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E7FB4" w14:textId="49231488" w:rsidR="00301021" w:rsidRPr="00006E50" w:rsidRDefault="007939AE" w:rsidP="00F4255E">
      <w:pPr>
        <w:spacing w:before="80" w:after="80"/>
        <w:ind w:right="1"/>
        <w:jc w:val="center"/>
        <w:rPr>
          <w:sz w:val="20"/>
          <w:szCs w:val="20"/>
        </w:rPr>
      </w:pPr>
      <w:r w:rsidRPr="00490B3C">
        <w:rPr>
          <w:rFonts w:ascii="Segoe UI" w:hAnsi="Segoe UI" w:cs="Segoe UI"/>
          <w:noProof/>
          <w:color w:val="000091" w:themeColor="text1"/>
        </w:rPr>
        <w:drawing>
          <wp:anchor distT="0" distB="0" distL="114300" distR="114300" simplePos="0" relativeHeight="251658240" behindDoc="1" locked="0" layoutInCell="1" allowOverlap="1" wp14:anchorId="56177B8F" wp14:editId="09210F8C">
            <wp:simplePos x="0" y="0"/>
            <wp:positionH relativeFrom="column">
              <wp:posOffset>-509270</wp:posOffset>
            </wp:positionH>
            <wp:positionV relativeFrom="page">
              <wp:posOffset>304800</wp:posOffset>
            </wp:positionV>
            <wp:extent cx="2914650" cy="1049020"/>
            <wp:effectExtent l="0" t="0" r="0" b="0"/>
            <wp:wrapTopAndBottom/>
            <wp:docPr id="1"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14650" cy="1049020"/>
                    </a:xfrm>
                    <a:prstGeom prst="rect">
                      <a:avLst/>
                    </a:prstGeom>
                  </pic:spPr>
                </pic:pic>
              </a:graphicData>
            </a:graphic>
            <wp14:sizeRelH relativeFrom="margin">
              <wp14:pctWidth>0</wp14:pctWidth>
            </wp14:sizeRelH>
            <wp14:sizeRelV relativeFrom="margin">
              <wp14:pctHeight>0</wp14:pctHeight>
            </wp14:sizeRelV>
          </wp:anchor>
        </w:drawing>
      </w:r>
      <w:r w:rsidR="00FD7798">
        <w:rPr>
          <w:rFonts w:ascii="Segoe UI" w:hAnsi="Segoe UI" w:cs="Segoe UI"/>
          <w:noProof/>
          <w:color w:val="000091" w:themeColor="text1"/>
        </w:rPr>
        <mc:AlternateContent>
          <mc:Choice Requires="wps">
            <w:drawing>
              <wp:anchor distT="0" distB="0" distL="114300" distR="114300" simplePos="0" relativeHeight="251656190" behindDoc="0" locked="0" layoutInCell="1" allowOverlap="1" wp14:anchorId="16D250F6" wp14:editId="7176FFA3">
                <wp:simplePos x="0" y="0"/>
                <wp:positionH relativeFrom="column">
                  <wp:posOffset>-528320</wp:posOffset>
                </wp:positionH>
                <wp:positionV relativeFrom="paragraph">
                  <wp:posOffset>1405255</wp:posOffset>
                </wp:positionV>
                <wp:extent cx="6800850" cy="361950"/>
                <wp:effectExtent l="0" t="0" r="0" b="0"/>
                <wp:wrapNone/>
                <wp:docPr id="4" name="Rectangle 4"/>
                <wp:cNvGraphicFramePr/>
                <a:graphic xmlns:a="http://schemas.openxmlformats.org/drawingml/2006/main">
                  <a:graphicData uri="http://schemas.microsoft.com/office/word/2010/wordprocessingShape">
                    <wps:wsp>
                      <wps:cNvSpPr/>
                      <wps:spPr>
                        <a:xfrm>
                          <a:off x="0" y="0"/>
                          <a:ext cx="6800850" cy="361950"/>
                        </a:xfrm>
                        <a:prstGeom prst="rect">
                          <a:avLst/>
                        </a:prstGeom>
                        <a:solidFill>
                          <a:srgbClr val="FCC63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D3FE0E" w14:textId="40B57321" w:rsidR="00532CE3" w:rsidRDefault="008C2431" w:rsidP="00532CE3">
                            <w:pPr>
                              <w:jc w:val="center"/>
                            </w:pPr>
                            <w:r>
                              <w:rPr>
                                <w:rFonts w:ascii="Segoe UI" w:hAnsi="Segoe UI" w:cs="Segoe UI"/>
                                <w:b/>
                                <w:bCs/>
                                <w:color w:val="000091" w:themeColor="text1"/>
                                <w:sz w:val="32"/>
                                <w:szCs w:val="20"/>
                              </w:rPr>
                              <w:t>NAMIBIE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250F6" id="Rectangle 4" o:spid="_x0000_s1026" style="position:absolute;left:0;text-align:left;margin-left:-41.6pt;margin-top:110.65pt;width:535.5pt;height:28.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" fillcolor="#fcc63a" stroked="f" strokeweight="1pt">
                <v:textbox>
                  <w:txbxContent>
                    <w:p w14:paraId="2ED3FE0E" w14:textId="40B57321" w:rsidR="00532CE3" w:rsidRDefault="008C2431" w:rsidP="00532CE3">
                      <w:pPr>
                        <w:jc w:val="center"/>
                      </w:pPr>
                      <w:r>
                        <w:rPr>
                          <w:rFonts w:ascii="Segoe UI" w:hAnsi="Segoe UI" w:cs="Segoe UI"/>
                          <w:b/>
                          <w:bCs/>
                          <w:color w:val="000091" w:themeColor="text1"/>
                          <w:sz w:val="32"/>
                          <w:szCs w:val="20"/>
                        </w:rPr>
                        <w:t>NAMIBIE</w:t>
                      </w:r>
                    </w:p>
                  </w:txbxContent>
                </v:textbox>
              </v:rect>
            </w:pict>
          </mc:Fallback>
        </mc:AlternateContent>
      </w:r>
      <w:r w:rsidR="00FD7798" w:rsidRPr="00490B3C">
        <w:rPr>
          <w:rFonts w:ascii="Segoe UI" w:hAnsi="Segoe UI" w:cs="Segoe UI"/>
          <w:noProof/>
          <w:color w:val="000091" w:themeColor="text1"/>
        </w:rPr>
        <mc:AlternateContent>
          <mc:Choice Requires="wps">
            <w:drawing>
              <wp:anchor distT="0" distB="0" distL="114300" distR="114300" simplePos="0" relativeHeight="251659264" behindDoc="0" locked="0" layoutInCell="1" allowOverlap="1" wp14:anchorId="585DE714" wp14:editId="4BE5B3E9">
                <wp:simplePos x="0" y="0"/>
                <wp:positionH relativeFrom="margin">
                  <wp:posOffset>3691255</wp:posOffset>
                </wp:positionH>
                <wp:positionV relativeFrom="paragraph">
                  <wp:posOffset>986774</wp:posOffset>
                </wp:positionV>
                <wp:extent cx="2508250" cy="40005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2508250" cy="400050"/>
                        </a:xfrm>
                        <a:prstGeom prst="rect">
                          <a:avLst/>
                        </a:prstGeom>
                        <a:noFill/>
                        <a:ln w="6350">
                          <a:noFill/>
                        </a:ln>
                      </wps:spPr>
                      <wps:txbx>
                        <w:txbxContent>
                          <w:p w14:paraId="1931003E" w14:textId="132C66D2" w:rsidR="00490B3C" w:rsidRPr="00A7004D" w:rsidRDefault="00490B3C" w:rsidP="00490B3C">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Affaire suivie par</w:t>
                            </w:r>
                            <w:r w:rsidR="008C2431">
                              <w:rPr>
                                <w:rFonts w:ascii="Segoe UI" w:hAnsi="Segoe UI" w:cs="Segoe UI"/>
                                <w:color w:val="000091" w:themeColor="text1"/>
                                <w:sz w:val="17"/>
                                <w:szCs w:val="17"/>
                                <w:lang w:eastAsia="ja-JP"/>
                              </w:rPr>
                              <w:t xml:space="preserve"> Jade Plancke</w:t>
                            </w:r>
                          </w:p>
                          <w:p w14:paraId="07E31681" w14:textId="6CCC1AB5" w:rsidR="00490B3C" w:rsidRPr="00A7004D" w:rsidRDefault="00490B3C" w:rsidP="00490B3C">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 xml:space="preserve">Visa : </w:t>
                            </w:r>
                            <w:r w:rsidR="008C03AF">
                              <w:rPr>
                                <w:rFonts w:ascii="Segoe UI" w:hAnsi="Segoe UI" w:cs="Segoe UI"/>
                                <w:color w:val="000091" w:themeColor="text1"/>
                                <w:sz w:val="17"/>
                                <w:szCs w:val="17"/>
                                <w:lang w:eastAsia="ja-JP"/>
                              </w:rPr>
                              <w:t>Claire Jolly</w:t>
                            </w:r>
                          </w:p>
                          <w:p w14:paraId="067872AE" w14:textId="7EEE9B92" w:rsidR="008A3AD5" w:rsidRPr="00A0743B" w:rsidRDefault="008A3AD5" w:rsidP="00490B3C">
                            <w:pPr>
                              <w:spacing w:after="0"/>
                              <w:ind w:left="142" w:right="-88"/>
                              <w:jc w:val="right"/>
                              <w:rPr>
                                <w:rFonts w:ascii="Arial" w:hAnsi="Arial" w:cs="Arial"/>
                                <w:color w:val="000091" w:themeColor="text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5DE714" id="_x0000_t202" coordsize="21600,21600" o:spt="202" path="m,l,21600r21600,l21600,xe">
                <v:stroke joinstyle="miter"/>
                <v:path gradientshapeok="t" o:connecttype="rect"/>
              </v:shapetype>
              <v:shape id="Zone de texte 3" o:spid="_x0000_s1027" type="#_x0000_t202" style="position:absolute;left:0;text-align:left;margin-left:290.65pt;margin-top:77.7pt;width:197.5pt;height: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" filled="f" stroked="f" strokeweight=".5pt">
                <v:textbox>
                  <w:txbxContent>
                    <w:p w14:paraId="1931003E" w14:textId="132C66D2" w:rsidR="00490B3C" w:rsidRPr="00A7004D" w:rsidRDefault="00490B3C" w:rsidP="00490B3C">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Affaire suivie par</w:t>
                      </w:r>
                      <w:r w:rsidR="008C2431">
                        <w:rPr>
                          <w:rFonts w:ascii="Segoe UI" w:hAnsi="Segoe UI" w:cs="Segoe UI"/>
                          <w:color w:val="000091" w:themeColor="text1"/>
                          <w:sz w:val="17"/>
                          <w:szCs w:val="17"/>
                          <w:lang w:eastAsia="ja-JP"/>
                        </w:rPr>
                        <w:t xml:space="preserve"> Jade Plancke</w:t>
                      </w:r>
                    </w:p>
                    <w:p w14:paraId="07E31681" w14:textId="6CCC1AB5" w:rsidR="00490B3C" w:rsidRPr="00A7004D" w:rsidRDefault="00490B3C" w:rsidP="00490B3C">
                      <w:pPr>
                        <w:tabs>
                          <w:tab w:val="left" w:pos="3969"/>
                        </w:tabs>
                        <w:spacing w:after="0"/>
                        <w:jc w:val="right"/>
                        <w:rPr>
                          <w:rFonts w:ascii="Segoe UI" w:hAnsi="Segoe UI" w:cs="Segoe UI"/>
                          <w:color w:val="000091" w:themeColor="text1"/>
                          <w:sz w:val="17"/>
                          <w:szCs w:val="17"/>
                          <w:lang w:eastAsia="ja-JP"/>
                        </w:rPr>
                      </w:pPr>
                      <w:r w:rsidRPr="00A7004D">
                        <w:rPr>
                          <w:rFonts w:ascii="Segoe UI" w:hAnsi="Segoe UI" w:cs="Segoe UI"/>
                          <w:color w:val="000091" w:themeColor="text1"/>
                          <w:sz w:val="17"/>
                          <w:szCs w:val="17"/>
                          <w:lang w:eastAsia="ja-JP"/>
                        </w:rPr>
                        <w:t xml:space="preserve">Visa : </w:t>
                      </w:r>
                      <w:r w:rsidR="008C03AF">
                        <w:rPr>
                          <w:rFonts w:ascii="Segoe UI" w:hAnsi="Segoe UI" w:cs="Segoe UI"/>
                          <w:color w:val="000091" w:themeColor="text1"/>
                          <w:sz w:val="17"/>
                          <w:szCs w:val="17"/>
                          <w:lang w:eastAsia="ja-JP"/>
                        </w:rPr>
                        <w:t>Claire Jolly</w:t>
                      </w:r>
                    </w:p>
                    <w:p w14:paraId="067872AE" w14:textId="7EEE9B92" w:rsidR="008A3AD5" w:rsidRPr="00A0743B" w:rsidRDefault="008A3AD5" w:rsidP="00490B3C">
                      <w:pPr>
                        <w:spacing w:after="0"/>
                        <w:ind w:left="142" w:right="-88"/>
                        <w:jc w:val="right"/>
                        <w:rPr>
                          <w:rFonts w:ascii="Arial" w:hAnsi="Arial" w:cs="Arial"/>
                          <w:color w:val="000091" w:themeColor="text1"/>
                          <w:sz w:val="18"/>
                          <w:szCs w:val="18"/>
                        </w:rPr>
                      </w:pPr>
                    </w:p>
                  </w:txbxContent>
                </v:textbox>
                <w10:wrap anchorx="margin"/>
              </v:shape>
            </w:pict>
          </mc:Fallback>
        </mc:AlternateContent>
      </w:r>
      <w:r w:rsidR="00FD7798" w:rsidRPr="00490B3C">
        <w:rPr>
          <w:rFonts w:ascii="Segoe UI" w:hAnsi="Segoe UI" w:cs="Segoe UI"/>
          <w:noProof/>
          <w:color w:val="000091" w:themeColor="text1"/>
        </w:rPr>
        <mc:AlternateContent>
          <mc:Choice Requires="wps">
            <w:drawing>
              <wp:anchor distT="45720" distB="45720" distL="114300" distR="114300" simplePos="0" relativeHeight="251661312" behindDoc="0" locked="0" layoutInCell="1" allowOverlap="1" wp14:anchorId="5987A5E4" wp14:editId="7E3795FC">
                <wp:simplePos x="0" y="0"/>
                <wp:positionH relativeFrom="margin">
                  <wp:posOffset>3844290</wp:posOffset>
                </wp:positionH>
                <wp:positionV relativeFrom="paragraph">
                  <wp:posOffset>605155</wp:posOffset>
                </wp:positionV>
                <wp:extent cx="2524125" cy="35242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352425"/>
                        </a:xfrm>
                        <a:prstGeom prst="rect">
                          <a:avLst/>
                        </a:prstGeom>
                        <a:noFill/>
                        <a:ln w="9525">
                          <a:noFill/>
                          <a:miter lim="800000"/>
                          <a:headEnd/>
                          <a:tailEnd/>
                        </a:ln>
                      </wps:spPr>
                      <wps:txbx>
                        <w:txbxContent>
                          <w:p w14:paraId="44111769" w14:textId="2E8ACAF0" w:rsidR="00490B3C" w:rsidRPr="00532CE3" w:rsidRDefault="008C2431" w:rsidP="00490B3C">
                            <w:pPr>
                              <w:spacing w:before="120" w:after="120"/>
                              <w:ind w:right="284"/>
                              <w:jc w:val="right"/>
                              <w:rPr>
                                <w:color w:val="986E02" w:themeColor="accent2" w:themeShade="80"/>
                                <w:sz w:val="17"/>
                                <w:szCs w:val="17"/>
                              </w:rPr>
                            </w:pPr>
                            <w:r>
                              <w:rPr>
                                <w:rFonts w:ascii="Segoe UI" w:hAnsi="Segoe UI" w:cs="Segoe UI"/>
                                <w:color w:val="986E02" w:themeColor="accent2" w:themeShade="80"/>
                                <w:sz w:val="17"/>
                                <w:szCs w:val="17"/>
                                <w:lang w:eastAsia="ja-JP"/>
                              </w:rPr>
                              <w:t xml:space="preserve">Pretoria, </w:t>
                            </w:r>
                            <w:r w:rsidR="00FA5438">
                              <w:rPr>
                                <w:rFonts w:ascii="Segoe UI" w:hAnsi="Segoe UI" w:cs="Segoe UI"/>
                                <w:color w:val="986E02" w:themeColor="accent2" w:themeShade="80"/>
                                <w:sz w:val="17"/>
                                <w:szCs w:val="17"/>
                                <w:lang w:eastAsia="ja-JP"/>
                              </w:rPr>
                              <w:t xml:space="preserve">le 30 juin </w:t>
                            </w:r>
                            <w:r>
                              <w:rPr>
                                <w:rFonts w:ascii="Segoe UI" w:hAnsi="Segoe UI" w:cs="Segoe UI"/>
                                <w:color w:val="986E02" w:themeColor="accent2" w:themeShade="80"/>
                                <w:sz w:val="17"/>
                                <w:szCs w:val="17"/>
                                <w:lang w:eastAsia="ja-JP"/>
                              </w:rPr>
                              <w:t>2025</w:t>
                            </w:r>
                          </w:p>
                          <w:p w14:paraId="36A3B918" w14:textId="266F4991" w:rsidR="00490B3C" w:rsidRPr="00490B3C" w:rsidRDefault="00490B3C">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87A5E4" id="Zone de texte 2" o:spid="_x0000_s1028" type="#_x0000_t202" style="position:absolute;left:0;text-align:left;margin-left:302.7pt;margin-top:47.65pt;width:198.75pt;height:27.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" filled="f" stroked="f">
                <v:textbox>
                  <w:txbxContent>
                    <w:p w14:paraId="44111769" w14:textId="2E8ACAF0" w:rsidR="00490B3C" w:rsidRPr="00532CE3" w:rsidRDefault="008C2431" w:rsidP="00490B3C">
                      <w:pPr>
                        <w:spacing w:before="120" w:after="120"/>
                        <w:ind w:right="284"/>
                        <w:jc w:val="right"/>
                        <w:rPr>
                          <w:color w:val="986E02" w:themeColor="accent2" w:themeShade="80"/>
                          <w:sz w:val="17"/>
                          <w:szCs w:val="17"/>
                        </w:rPr>
                      </w:pPr>
                      <w:r>
                        <w:rPr>
                          <w:rFonts w:ascii="Segoe UI" w:hAnsi="Segoe UI" w:cs="Segoe UI"/>
                          <w:color w:val="986E02" w:themeColor="accent2" w:themeShade="80"/>
                          <w:sz w:val="17"/>
                          <w:szCs w:val="17"/>
                          <w:lang w:eastAsia="ja-JP"/>
                        </w:rPr>
                        <w:t xml:space="preserve">Pretoria, </w:t>
                      </w:r>
                      <w:r w:rsidR="00FA5438">
                        <w:rPr>
                          <w:rFonts w:ascii="Segoe UI" w:hAnsi="Segoe UI" w:cs="Segoe UI"/>
                          <w:color w:val="986E02" w:themeColor="accent2" w:themeShade="80"/>
                          <w:sz w:val="17"/>
                          <w:szCs w:val="17"/>
                          <w:lang w:eastAsia="ja-JP"/>
                        </w:rPr>
                        <w:t xml:space="preserve">le 30 juin </w:t>
                      </w:r>
                      <w:r>
                        <w:rPr>
                          <w:rFonts w:ascii="Segoe UI" w:hAnsi="Segoe UI" w:cs="Segoe UI"/>
                          <w:color w:val="986E02" w:themeColor="accent2" w:themeShade="80"/>
                          <w:sz w:val="17"/>
                          <w:szCs w:val="17"/>
                          <w:lang w:eastAsia="ja-JP"/>
                        </w:rPr>
                        <w:t>2025</w:t>
                      </w:r>
                    </w:p>
                    <w:p w14:paraId="36A3B918" w14:textId="266F4991" w:rsidR="00490B3C" w:rsidRPr="00490B3C" w:rsidRDefault="00490B3C">
                      <w:pPr>
                        <w:rPr>
                          <w:sz w:val="28"/>
                          <w:szCs w:val="28"/>
                        </w:rPr>
                      </w:pPr>
                    </w:p>
                  </w:txbxContent>
                </v:textbox>
                <w10:wrap type="square" anchorx="margin"/>
              </v:shape>
            </w:pict>
          </mc:Fallback>
        </mc:AlternateContent>
      </w:r>
      <w:r w:rsidR="00FD7798" w:rsidRPr="00490B3C">
        <w:rPr>
          <w:rFonts w:ascii="Segoe UI" w:hAnsi="Segoe UI" w:cs="Segoe UI"/>
          <w:noProof/>
          <w:color w:val="000091" w:themeColor="text1"/>
        </w:rPr>
        <mc:AlternateContent>
          <mc:Choice Requires="wps">
            <w:drawing>
              <wp:anchor distT="0" distB="0" distL="114300" distR="114300" simplePos="0" relativeHeight="251657215" behindDoc="0" locked="0" layoutInCell="1" allowOverlap="1" wp14:anchorId="71112931" wp14:editId="169F4823">
                <wp:simplePos x="0" y="0"/>
                <wp:positionH relativeFrom="column">
                  <wp:posOffset>-528320</wp:posOffset>
                </wp:positionH>
                <wp:positionV relativeFrom="paragraph">
                  <wp:posOffset>935355</wp:posOffset>
                </wp:positionV>
                <wp:extent cx="6800850" cy="476250"/>
                <wp:effectExtent l="0" t="0" r="0" b="0"/>
                <wp:wrapTopAndBottom/>
                <wp:docPr id="2" name="Rectangle 2"/>
                <wp:cNvGraphicFramePr/>
                <a:graphic xmlns:a="http://schemas.openxmlformats.org/drawingml/2006/main">
                  <a:graphicData uri="http://schemas.microsoft.com/office/word/2010/wordprocessingShape">
                    <wps:wsp>
                      <wps:cNvSpPr/>
                      <wps:spPr>
                        <a:xfrm>
                          <a:off x="0" y="0"/>
                          <a:ext cx="6800850" cy="47625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65B737" w14:textId="04FE5CCB" w:rsidR="00490B3C" w:rsidRPr="00532CE3" w:rsidRDefault="00490B3C" w:rsidP="00490B3C">
                            <w:pPr>
                              <w:tabs>
                                <w:tab w:val="left" w:pos="3969"/>
                              </w:tabs>
                              <w:spacing w:after="0"/>
                              <w:ind w:left="57"/>
                              <w:rPr>
                                <w:rFonts w:ascii="Segoe UI" w:hAnsi="Segoe UI" w:cs="Segoe UI"/>
                                <w:bCs/>
                                <w:color w:val="000091" w:themeColor="text1"/>
                                <w:sz w:val="18"/>
                                <w:szCs w:val="18"/>
                                <w:lang w:eastAsia="ja-JP"/>
                              </w:rPr>
                            </w:pPr>
                            <w:r w:rsidRPr="00532CE3">
                              <w:rPr>
                                <w:rFonts w:ascii="Segoe UI" w:hAnsi="Segoe UI" w:cs="Segoe UI"/>
                                <w:bCs/>
                                <w:color w:val="000091" w:themeColor="text1"/>
                                <w:sz w:val="18"/>
                                <w:szCs w:val="18"/>
                                <w:lang w:eastAsia="ja-JP"/>
                              </w:rPr>
                              <w:t xml:space="preserve">Ambassade de </w:t>
                            </w:r>
                            <w:r w:rsidR="008C2431">
                              <w:rPr>
                                <w:rFonts w:ascii="Segoe UI" w:hAnsi="Segoe UI" w:cs="Segoe UI"/>
                                <w:bCs/>
                                <w:color w:val="000091" w:themeColor="text1"/>
                                <w:sz w:val="18"/>
                                <w:szCs w:val="18"/>
                                <w:lang w:eastAsia="ja-JP"/>
                              </w:rPr>
                              <w:t>France d’Afrique du Sud</w:t>
                            </w:r>
                          </w:p>
                          <w:p w14:paraId="3D62CBBB" w14:textId="6913E269" w:rsidR="008A3AD5" w:rsidRPr="00A0743B" w:rsidRDefault="00490B3C" w:rsidP="00490B3C">
                            <w:pPr>
                              <w:spacing w:after="0"/>
                              <w:ind w:left="57" w:right="614"/>
                              <w:jc w:val="both"/>
                              <w:rPr>
                                <w:rFonts w:ascii="Arial" w:hAnsi="Arial" w:cs="Arial"/>
                                <w:b/>
                                <w:bCs/>
                                <w:sz w:val="20"/>
                                <w:szCs w:val="20"/>
                              </w:rPr>
                            </w:pPr>
                            <w:r w:rsidRPr="00532CE3">
                              <w:rPr>
                                <w:rFonts w:ascii="Segoe UI" w:hAnsi="Segoe UI" w:cs="Segoe UI"/>
                                <w:bCs/>
                                <w:color w:val="000091" w:themeColor="text1"/>
                                <w:sz w:val="18"/>
                                <w:szCs w:val="18"/>
                                <w:lang w:eastAsia="ja-JP"/>
                              </w:rPr>
                              <w:t xml:space="preserve">Service économique </w:t>
                            </w:r>
                            <w:r w:rsidR="008C2431">
                              <w:rPr>
                                <w:rFonts w:ascii="Segoe UI" w:hAnsi="Segoe UI" w:cs="Segoe UI"/>
                                <w:bCs/>
                                <w:color w:val="000091" w:themeColor="text1"/>
                                <w:sz w:val="18"/>
                                <w:szCs w:val="18"/>
                                <w:lang w:eastAsia="ja-JP"/>
                              </w:rPr>
                              <w:t>de Pretoria</w:t>
                            </w:r>
                            <w:r w:rsidR="008A3AD5" w:rsidRPr="00532CE3">
                              <w:rPr>
                                <w:rFonts w:ascii="Arial" w:hAnsi="Arial" w:cs="Arial"/>
                                <w:bCs/>
                              </w:rPr>
                              <w:tab/>
                            </w:r>
                            <w:r w:rsidR="008A3AD5" w:rsidRPr="00A0743B">
                              <w:rPr>
                                <w:rFonts w:ascii="Arial" w:hAnsi="Arial" w:cs="Arial"/>
                                <w:b/>
                                <w:bCs/>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112931" id="Rectangle 2" o:spid="_x0000_s1029" style="position:absolute;left:0;text-align:left;margin-left:-41.6pt;margin-top:73.65pt;width:535.5pt;height:37.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" fillcolor="#fde8b0 [1301]" stroked="f" strokeweight="1pt">
                <v:textbox>
                  <w:txbxContent>
                    <w:p w14:paraId="7465B737" w14:textId="04FE5CCB" w:rsidR="00490B3C" w:rsidRPr="00532CE3" w:rsidRDefault="00490B3C" w:rsidP="00490B3C">
                      <w:pPr>
                        <w:tabs>
                          <w:tab w:val="left" w:pos="3969"/>
                        </w:tabs>
                        <w:spacing w:after="0"/>
                        <w:ind w:left="57"/>
                        <w:rPr>
                          <w:rFonts w:ascii="Segoe UI" w:hAnsi="Segoe UI" w:cs="Segoe UI"/>
                          <w:bCs/>
                          <w:color w:val="000091" w:themeColor="text1"/>
                          <w:sz w:val="18"/>
                          <w:szCs w:val="18"/>
                          <w:lang w:eastAsia="ja-JP"/>
                        </w:rPr>
                      </w:pPr>
                      <w:r w:rsidRPr="00532CE3">
                        <w:rPr>
                          <w:rFonts w:ascii="Segoe UI" w:hAnsi="Segoe UI" w:cs="Segoe UI"/>
                          <w:bCs/>
                          <w:color w:val="000091" w:themeColor="text1"/>
                          <w:sz w:val="18"/>
                          <w:szCs w:val="18"/>
                          <w:lang w:eastAsia="ja-JP"/>
                        </w:rPr>
                        <w:t xml:space="preserve">Ambassade de </w:t>
                      </w:r>
                      <w:r w:rsidR="008C2431">
                        <w:rPr>
                          <w:rFonts w:ascii="Segoe UI" w:hAnsi="Segoe UI" w:cs="Segoe UI"/>
                          <w:bCs/>
                          <w:color w:val="000091" w:themeColor="text1"/>
                          <w:sz w:val="18"/>
                          <w:szCs w:val="18"/>
                          <w:lang w:eastAsia="ja-JP"/>
                        </w:rPr>
                        <w:t>France d’Afrique du Sud</w:t>
                      </w:r>
                    </w:p>
                    <w:p w14:paraId="3D62CBBB" w14:textId="6913E269" w:rsidR="008A3AD5" w:rsidRPr="00A0743B" w:rsidRDefault="00490B3C" w:rsidP="00490B3C">
                      <w:pPr>
                        <w:spacing w:after="0"/>
                        <w:ind w:left="57" w:right="614"/>
                        <w:jc w:val="both"/>
                        <w:rPr>
                          <w:rFonts w:ascii="Arial" w:hAnsi="Arial" w:cs="Arial"/>
                          <w:b/>
                          <w:bCs/>
                          <w:sz w:val="20"/>
                          <w:szCs w:val="20"/>
                        </w:rPr>
                      </w:pPr>
                      <w:r w:rsidRPr="00532CE3">
                        <w:rPr>
                          <w:rFonts w:ascii="Segoe UI" w:hAnsi="Segoe UI" w:cs="Segoe UI"/>
                          <w:bCs/>
                          <w:color w:val="000091" w:themeColor="text1"/>
                          <w:sz w:val="18"/>
                          <w:szCs w:val="18"/>
                          <w:lang w:eastAsia="ja-JP"/>
                        </w:rPr>
                        <w:t xml:space="preserve">Service économique </w:t>
                      </w:r>
                      <w:r w:rsidR="008C2431">
                        <w:rPr>
                          <w:rFonts w:ascii="Segoe UI" w:hAnsi="Segoe UI" w:cs="Segoe UI"/>
                          <w:bCs/>
                          <w:color w:val="000091" w:themeColor="text1"/>
                          <w:sz w:val="18"/>
                          <w:szCs w:val="18"/>
                          <w:lang w:eastAsia="ja-JP"/>
                        </w:rPr>
                        <w:t>de Pretoria</w:t>
                      </w:r>
                      <w:r w:rsidR="008A3AD5" w:rsidRPr="00532CE3">
                        <w:rPr>
                          <w:rFonts w:ascii="Arial" w:hAnsi="Arial" w:cs="Arial"/>
                          <w:bCs/>
                        </w:rPr>
                        <w:tab/>
                      </w:r>
                      <w:r w:rsidR="008A3AD5" w:rsidRPr="00A0743B">
                        <w:rPr>
                          <w:rFonts w:ascii="Arial" w:hAnsi="Arial" w:cs="Arial"/>
                          <w:b/>
                          <w:bCs/>
                          <w:sz w:val="20"/>
                          <w:szCs w:val="20"/>
                        </w:rPr>
                        <w:t xml:space="preserve"> </w:t>
                      </w:r>
                    </w:p>
                  </w:txbxContent>
                </v:textbox>
                <w10:wrap type="topAndBottom"/>
              </v:rect>
            </w:pict>
          </mc:Fallback>
        </mc:AlternateContent>
      </w:r>
      <w:r w:rsidR="00532CE3" w:rsidRPr="00490B3C">
        <w:rPr>
          <w:rFonts w:ascii="Segoe UI" w:hAnsi="Segoe UI" w:cs="Segoe UI"/>
          <w:color w:val="000091" w:themeColor="text1"/>
          <w:sz w:val="44"/>
          <w:szCs w:val="28"/>
        </w:rPr>
        <w:t xml:space="preserve"> </w:t>
      </w:r>
      <w:r w:rsidR="00490B3C" w:rsidRPr="00490B3C">
        <w:rPr>
          <w:rFonts w:ascii="Segoe UI" w:hAnsi="Segoe UI" w:cs="Segoe UI"/>
          <w:color w:val="000091" w:themeColor="text1"/>
          <w:sz w:val="44"/>
          <w:szCs w:val="28"/>
        </w:rPr>
        <w:br/>
      </w:r>
      <w:r w:rsidR="008C2431" w:rsidRPr="008C2431">
        <w:rPr>
          <w:rFonts w:ascii="Segoe UI" w:hAnsi="Segoe UI" w:cs="Segoe UI"/>
          <w:color w:val="000091" w:themeColor="text1"/>
          <w:sz w:val="32"/>
          <w:szCs w:val="20"/>
          <w:lang w:eastAsia="fr-FR"/>
        </w:rPr>
        <w:t>Echanges commerciaux entre la France et la Namibie en 202</w:t>
      </w:r>
      <w:r w:rsidR="008C2431">
        <w:rPr>
          <w:rFonts w:ascii="Segoe UI" w:hAnsi="Segoe UI" w:cs="Segoe UI"/>
          <w:color w:val="000091" w:themeColor="text1"/>
          <w:sz w:val="32"/>
          <w:szCs w:val="20"/>
          <w:lang w:eastAsia="fr-FR"/>
        </w:rPr>
        <w:t>4</w:t>
      </w:r>
      <w:r w:rsidR="00006E50">
        <w:rPr>
          <w:rFonts w:ascii="Segoe UI" w:hAnsi="Segoe UI" w:cs="Segoe UI"/>
          <w:color w:val="000091" w:themeColor="text1"/>
          <w:sz w:val="32"/>
          <w:szCs w:val="20"/>
          <w:lang w:eastAsia="fr-FR"/>
        </w:rPr>
        <w:br/>
      </w:r>
    </w:p>
    <w:p w14:paraId="5374D058" w14:textId="2384DD03" w:rsidR="007209E2" w:rsidRDefault="0032683C" w:rsidP="00C165BA">
      <w:pPr>
        <w:spacing w:after="0"/>
        <w:ind w:left="-426" w:right="-141"/>
        <w:jc w:val="both"/>
        <w:rPr>
          <w:rFonts w:ascii="Segoe UI" w:hAnsi="Segoe UI" w:cs="Segoe UI"/>
          <w:noProof/>
          <w:color w:val="000091" w:themeColor="text1"/>
          <w:sz w:val="20"/>
          <w:szCs w:val="20"/>
          <w:lang w:val="es-419" w:eastAsia="fr-FR"/>
        </w:rPr>
      </w:pPr>
      <w:r>
        <w:rPr>
          <w:rFonts w:ascii="Segoe UI" w:hAnsi="Segoe UI" w:cs="Segoe UI"/>
          <w:noProof/>
          <w:color w:val="000091" w:themeColor="text1"/>
          <w:sz w:val="20"/>
          <w:szCs w:val="20"/>
          <w:lang w:val="es-419" w:eastAsia="fr-FR"/>
        </w:rPr>
        <w:t>Après six années consécutives de croissance, l</w:t>
      </w:r>
      <w:r w:rsidRPr="008C2431">
        <w:rPr>
          <w:rFonts w:ascii="Segoe UI" w:hAnsi="Segoe UI" w:cs="Segoe UI"/>
          <w:noProof/>
          <w:color w:val="000091" w:themeColor="text1"/>
          <w:sz w:val="20"/>
          <w:szCs w:val="20"/>
          <w:lang w:val="es-419" w:eastAsia="fr-FR"/>
        </w:rPr>
        <w:t xml:space="preserve">es </w:t>
      </w:r>
      <w:r w:rsidR="008C2431" w:rsidRPr="008C2431">
        <w:rPr>
          <w:rFonts w:ascii="Segoe UI" w:hAnsi="Segoe UI" w:cs="Segoe UI"/>
          <w:noProof/>
          <w:color w:val="000091" w:themeColor="text1"/>
          <w:sz w:val="20"/>
          <w:szCs w:val="20"/>
          <w:lang w:val="es-419" w:eastAsia="fr-FR"/>
        </w:rPr>
        <w:t xml:space="preserve">échanges commerciaux entre la France et la Namibie ont </w:t>
      </w:r>
      <w:r>
        <w:rPr>
          <w:rFonts w:ascii="Segoe UI" w:hAnsi="Segoe UI" w:cs="Segoe UI"/>
          <w:noProof/>
          <w:color w:val="000091" w:themeColor="text1"/>
          <w:sz w:val="20"/>
          <w:szCs w:val="20"/>
          <w:lang w:val="es-419" w:eastAsia="fr-FR"/>
        </w:rPr>
        <w:t>reflué</w:t>
      </w:r>
      <w:r w:rsidR="008C2431" w:rsidRPr="008C2431">
        <w:rPr>
          <w:rFonts w:ascii="Segoe UI" w:hAnsi="Segoe UI" w:cs="Segoe UI"/>
          <w:noProof/>
          <w:color w:val="000091" w:themeColor="text1"/>
          <w:sz w:val="20"/>
          <w:szCs w:val="20"/>
          <w:lang w:val="es-419" w:eastAsia="fr-FR"/>
        </w:rPr>
        <w:t xml:space="preserve"> en 2024</w:t>
      </w:r>
      <w:r>
        <w:rPr>
          <w:rFonts w:ascii="Segoe UI" w:hAnsi="Segoe UI" w:cs="Segoe UI"/>
          <w:noProof/>
          <w:color w:val="000091" w:themeColor="text1"/>
          <w:sz w:val="20"/>
          <w:szCs w:val="20"/>
          <w:lang w:val="es-419" w:eastAsia="fr-FR"/>
        </w:rPr>
        <w:t xml:space="preserve"> (-20%)</w:t>
      </w:r>
      <w:r w:rsidR="008C2431" w:rsidRPr="008C2431">
        <w:rPr>
          <w:rFonts w:ascii="Segoe UI" w:hAnsi="Segoe UI" w:cs="Segoe UI"/>
          <w:noProof/>
          <w:color w:val="000091" w:themeColor="text1"/>
          <w:sz w:val="20"/>
          <w:szCs w:val="20"/>
          <w:lang w:val="es-419" w:eastAsia="fr-FR"/>
        </w:rPr>
        <w:t xml:space="preserve">, </w:t>
      </w:r>
      <w:r>
        <w:rPr>
          <w:rFonts w:ascii="Segoe UI" w:hAnsi="Segoe UI" w:cs="Segoe UI"/>
          <w:noProof/>
          <w:color w:val="000091" w:themeColor="text1"/>
          <w:sz w:val="20"/>
          <w:szCs w:val="20"/>
          <w:lang w:val="es-419" w:eastAsia="fr-FR"/>
        </w:rPr>
        <w:t>pour atteindre</w:t>
      </w:r>
      <w:r w:rsidR="008C2431" w:rsidRPr="008C2431">
        <w:rPr>
          <w:rFonts w:ascii="Segoe UI" w:hAnsi="Segoe UI" w:cs="Segoe UI"/>
          <w:noProof/>
          <w:color w:val="000091" w:themeColor="text1"/>
          <w:sz w:val="20"/>
          <w:szCs w:val="20"/>
          <w:lang w:val="es-419" w:eastAsia="fr-FR"/>
        </w:rPr>
        <w:t xml:space="preserve"> </w:t>
      </w:r>
      <w:r w:rsidR="008C2431" w:rsidRPr="00844E59">
        <w:rPr>
          <w:rFonts w:ascii="Segoe UI" w:hAnsi="Segoe UI" w:cs="Segoe UI"/>
          <w:noProof/>
          <w:color w:val="000091" w:themeColor="text1"/>
          <w:sz w:val="20"/>
          <w:szCs w:val="20"/>
          <w:lang w:val="es-419" w:eastAsia="fr-FR"/>
        </w:rPr>
        <w:t>226 M</w:t>
      </w:r>
      <w:r w:rsidR="008C2431" w:rsidRPr="008C2431">
        <w:rPr>
          <w:rFonts w:ascii="Segoe UI" w:hAnsi="Segoe UI" w:cs="Segoe UI"/>
          <w:noProof/>
          <w:color w:val="000091" w:themeColor="text1"/>
          <w:sz w:val="20"/>
          <w:szCs w:val="20"/>
          <w:lang w:val="es-419" w:eastAsia="fr-FR"/>
        </w:rPr>
        <w:t>€. Cette baisse s’explique principalement par une réduction de nos importations (-24 %, à 189</w:t>
      </w:r>
      <w:r w:rsidR="008C2431">
        <w:rPr>
          <w:rFonts w:ascii="Segoe UI" w:hAnsi="Segoe UI" w:cs="Segoe UI"/>
          <w:noProof/>
          <w:color w:val="000091" w:themeColor="text1"/>
          <w:sz w:val="20"/>
          <w:szCs w:val="20"/>
          <w:lang w:val="es-419" w:eastAsia="fr-FR"/>
        </w:rPr>
        <w:t> </w:t>
      </w:r>
      <w:r w:rsidR="008C2431" w:rsidRPr="008C2431">
        <w:rPr>
          <w:rFonts w:ascii="Segoe UI" w:hAnsi="Segoe UI" w:cs="Segoe UI"/>
          <w:noProof/>
          <w:color w:val="000091" w:themeColor="text1"/>
          <w:sz w:val="20"/>
          <w:szCs w:val="20"/>
          <w:lang w:val="es-419" w:eastAsia="fr-FR"/>
        </w:rPr>
        <w:t>M€), liée à une diminution des flux d’uranium (</w:t>
      </w:r>
      <w:r w:rsidR="0017724D">
        <w:rPr>
          <w:rFonts w:ascii="Segoe UI" w:hAnsi="Segoe UI" w:cs="Segoe UI"/>
          <w:noProof/>
          <w:color w:val="000091" w:themeColor="text1"/>
          <w:sz w:val="20"/>
          <w:szCs w:val="20"/>
          <w:lang w:val="es-419" w:eastAsia="fr-FR"/>
        </w:rPr>
        <w:t>71</w:t>
      </w:r>
      <w:r w:rsidR="008C2431" w:rsidRPr="008C2431">
        <w:rPr>
          <w:rFonts w:ascii="Segoe UI" w:hAnsi="Segoe UI" w:cs="Segoe UI"/>
          <w:noProof/>
          <w:color w:val="000091" w:themeColor="text1"/>
          <w:sz w:val="20"/>
          <w:szCs w:val="20"/>
          <w:lang w:val="es-419" w:eastAsia="fr-FR"/>
        </w:rPr>
        <w:t xml:space="preserve"> % du total), dans un contexte de repli des cours mondiaux et de </w:t>
      </w:r>
      <w:r>
        <w:rPr>
          <w:rFonts w:ascii="Segoe UI" w:hAnsi="Segoe UI" w:cs="Segoe UI"/>
          <w:noProof/>
          <w:color w:val="000091" w:themeColor="text1"/>
          <w:sz w:val="20"/>
          <w:szCs w:val="20"/>
          <w:lang w:val="es-419" w:eastAsia="fr-FR"/>
        </w:rPr>
        <w:t>reprise</w:t>
      </w:r>
      <w:r w:rsidRPr="008C2431">
        <w:rPr>
          <w:rFonts w:ascii="Segoe UI" w:hAnsi="Segoe UI" w:cs="Segoe UI"/>
          <w:noProof/>
          <w:color w:val="000091" w:themeColor="text1"/>
          <w:sz w:val="20"/>
          <w:szCs w:val="20"/>
          <w:lang w:val="es-419" w:eastAsia="fr-FR"/>
        </w:rPr>
        <w:t xml:space="preserve"> </w:t>
      </w:r>
      <w:r w:rsidR="008C2431" w:rsidRPr="008C2431">
        <w:rPr>
          <w:rFonts w:ascii="Segoe UI" w:hAnsi="Segoe UI" w:cs="Segoe UI"/>
          <w:noProof/>
          <w:color w:val="000091" w:themeColor="text1"/>
          <w:sz w:val="20"/>
          <w:szCs w:val="20"/>
          <w:lang w:val="es-419" w:eastAsia="fr-FR"/>
        </w:rPr>
        <w:t>des approvisionnements en provenance du Niger et du Kazakhstan.</w:t>
      </w:r>
      <w:r w:rsidR="008C2431">
        <w:rPr>
          <w:rFonts w:ascii="Segoe UI" w:hAnsi="Segoe UI" w:cs="Segoe UI"/>
          <w:noProof/>
          <w:color w:val="000091" w:themeColor="text1"/>
          <w:sz w:val="20"/>
          <w:szCs w:val="20"/>
          <w:lang w:val="es-419" w:eastAsia="fr-FR"/>
        </w:rPr>
        <w:t xml:space="preserve"> </w:t>
      </w:r>
      <w:r>
        <w:rPr>
          <w:rFonts w:ascii="Segoe UI" w:hAnsi="Segoe UI" w:cs="Segoe UI"/>
          <w:noProof/>
          <w:color w:val="000091" w:themeColor="text1"/>
          <w:sz w:val="20"/>
          <w:szCs w:val="20"/>
          <w:lang w:val="es-419" w:eastAsia="fr-FR"/>
        </w:rPr>
        <w:t>Les</w:t>
      </w:r>
      <w:r w:rsidR="008C2431" w:rsidRPr="008C2431">
        <w:rPr>
          <w:rFonts w:ascii="Segoe UI" w:hAnsi="Segoe UI" w:cs="Segoe UI"/>
          <w:noProof/>
          <w:color w:val="000091" w:themeColor="text1"/>
          <w:sz w:val="20"/>
          <w:szCs w:val="20"/>
          <w:lang w:val="es-419" w:eastAsia="fr-FR"/>
        </w:rPr>
        <w:t xml:space="preserve"> exportations </w:t>
      </w:r>
      <w:r>
        <w:rPr>
          <w:rFonts w:ascii="Segoe UI" w:hAnsi="Segoe UI" w:cs="Segoe UI"/>
          <w:noProof/>
          <w:color w:val="000091" w:themeColor="text1"/>
          <w:sz w:val="20"/>
          <w:szCs w:val="20"/>
          <w:lang w:val="es-419" w:eastAsia="fr-FR"/>
        </w:rPr>
        <w:t xml:space="preserve">françaises </w:t>
      </w:r>
      <w:r w:rsidR="008C2431" w:rsidRPr="008C2431">
        <w:rPr>
          <w:rFonts w:ascii="Segoe UI" w:hAnsi="Segoe UI" w:cs="Segoe UI"/>
          <w:noProof/>
          <w:color w:val="000091" w:themeColor="text1"/>
          <w:sz w:val="20"/>
          <w:szCs w:val="20"/>
          <w:lang w:val="es-419" w:eastAsia="fr-FR"/>
        </w:rPr>
        <w:t xml:space="preserve">vers la Namibie ont </w:t>
      </w:r>
      <w:r>
        <w:rPr>
          <w:rFonts w:ascii="Segoe UI" w:hAnsi="Segoe UI" w:cs="Segoe UI"/>
          <w:noProof/>
          <w:color w:val="000091" w:themeColor="text1"/>
          <w:sz w:val="20"/>
          <w:szCs w:val="20"/>
          <w:lang w:val="es-419" w:eastAsia="fr-FR"/>
        </w:rPr>
        <w:t xml:space="preserve">en revanche </w:t>
      </w:r>
      <w:r w:rsidR="008C2431" w:rsidRPr="008C2431">
        <w:rPr>
          <w:rFonts w:ascii="Segoe UI" w:hAnsi="Segoe UI" w:cs="Segoe UI"/>
          <w:noProof/>
          <w:color w:val="000091" w:themeColor="text1"/>
          <w:sz w:val="20"/>
          <w:szCs w:val="20"/>
          <w:lang w:val="es-419" w:eastAsia="fr-FR"/>
        </w:rPr>
        <w:t xml:space="preserve">progressé </w:t>
      </w:r>
      <w:r w:rsidR="008C2431">
        <w:rPr>
          <w:rFonts w:ascii="Segoe UI" w:hAnsi="Segoe UI" w:cs="Segoe UI"/>
          <w:noProof/>
          <w:color w:val="000091" w:themeColor="text1"/>
          <w:sz w:val="20"/>
          <w:szCs w:val="20"/>
          <w:lang w:val="es-419" w:eastAsia="fr-FR"/>
        </w:rPr>
        <w:t>(+</w:t>
      </w:r>
      <w:r w:rsidR="008C2431" w:rsidRPr="008C2431">
        <w:rPr>
          <w:rFonts w:ascii="Segoe UI" w:hAnsi="Segoe UI" w:cs="Segoe UI"/>
          <w:noProof/>
          <w:color w:val="000091" w:themeColor="text1"/>
          <w:sz w:val="20"/>
          <w:szCs w:val="20"/>
          <w:lang w:val="es-419" w:eastAsia="fr-FR"/>
        </w:rPr>
        <w:t xml:space="preserve">14 %, </w:t>
      </w:r>
      <w:r w:rsidR="008C2431">
        <w:rPr>
          <w:rFonts w:ascii="Segoe UI" w:hAnsi="Segoe UI" w:cs="Segoe UI"/>
          <w:noProof/>
          <w:color w:val="000091" w:themeColor="text1"/>
          <w:sz w:val="20"/>
          <w:szCs w:val="20"/>
          <w:lang w:val="es-419" w:eastAsia="fr-FR"/>
        </w:rPr>
        <w:t xml:space="preserve">à </w:t>
      </w:r>
      <w:r w:rsidR="008C2431" w:rsidRPr="008C2431">
        <w:rPr>
          <w:rFonts w:ascii="Segoe UI" w:hAnsi="Segoe UI" w:cs="Segoe UI"/>
          <w:noProof/>
          <w:color w:val="000091" w:themeColor="text1"/>
          <w:sz w:val="20"/>
          <w:szCs w:val="20"/>
          <w:lang w:val="es-419" w:eastAsia="fr-FR"/>
        </w:rPr>
        <w:t>37 M€</w:t>
      </w:r>
      <w:r w:rsidR="008C2431">
        <w:rPr>
          <w:rFonts w:ascii="Segoe UI" w:hAnsi="Segoe UI" w:cs="Segoe UI"/>
          <w:noProof/>
          <w:color w:val="000091" w:themeColor="text1"/>
          <w:sz w:val="20"/>
          <w:szCs w:val="20"/>
          <w:lang w:val="es-419" w:eastAsia="fr-FR"/>
        </w:rPr>
        <w:t>)</w:t>
      </w:r>
      <w:r w:rsidR="008C2431" w:rsidRPr="008C2431">
        <w:rPr>
          <w:rFonts w:ascii="Segoe UI" w:hAnsi="Segoe UI" w:cs="Segoe UI"/>
          <w:noProof/>
          <w:color w:val="000091" w:themeColor="text1"/>
          <w:sz w:val="20"/>
          <w:szCs w:val="20"/>
          <w:lang w:val="es-419" w:eastAsia="fr-FR"/>
        </w:rPr>
        <w:t>, portées par une augmentation des ventes de matériel de transport. Malgré cette dynamique, le déséquilibre de notre balance commerciale persiste</w:t>
      </w:r>
      <w:r>
        <w:rPr>
          <w:rFonts w:ascii="Segoe UI" w:hAnsi="Segoe UI" w:cs="Segoe UI"/>
          <w:noProof/>
          <w:color w:val="000091" w:themeColor="text1"/>
          <w:sz w:val="20"/>
          <w:szCs w:val="20"/>
          <w:lang w:val="es-419" w:eastAsia="fr-FR"/>
        </w:rPr>
        <w:t xml:space="preserve"> (</w:t>
      </w:r>
      <w:r w:rsidR="008C2431" w:rsidRPr="008C2431">
        <w:rPr>
          <w:rFonts w:ascii="Segoe UI" w:hAnsi="Segoe UI" w:cs="Segoe UI"/>
          <w:noProof/>
          <w:color w:val="000091" w:themeColor="text1"/>
          <w:sz w:val="20"/>
          <w:szCs w:val="20"/>
          <w:lang w:val="es-419" w:eastAsia="fr-FR"/>
        </w:rPr>
        <w:t>déficit de 152 M€</w:t>
      </w:r>
      <w:r>
        <w:rPr>
          <w:rFonts w:ascii="Segoe UI" w:hAnsi="Segoe UI" w:cs="Segoe UI"/>
          <w:noProof/>
          <w:color w:val="000091" w:themeColor="text1"/>
          <w:sz w:val="20"/>
          <w:szCs w:val="20"/>
          <w:lang w:val="es-419" w:eastAsia="fr-FR"/>
        </w:rPr>
        <w:t>)</w:t>
      </w:r>
      <w:r w:rsidR="008C2431" w:rsidRPr="008C2431">
        <w:rPr>
          <w:rFonts w:ascii="Segoe UI" w:hAnsi="Segoe UI" w:cs="Segoe UI"/>
          <w:noProof/>
          <w:color w:val="000091" w:themeColor="text1"/>
          <w:sz w:val="20"/>
          <w:szCs w:val="20"/>
          <w:lang w:val="es-419" w:eastAsia="fr-FR"/>
        </w:rPr>
        <w:t>.</w:t>
      </w:r>
      <w:r w:rsidR="008C2431">
        <w:rPr>
          <w:rFonts w:ascii="Segoe UI" w:hAnsi="Segoe UI" w:cs="Segoe UI"/>
          <w:noProof/>
          <w:color w:val="000091" w:themeColor="text1"/>
          <w:sz w:val="20"/>
          <w:szCs w:val="20"/>
          <w:lang w:val="es-419" w:eastAsia="fr-FR"/>
        </w:rPr>
        <w:t xml:space="preserve"> </w:t>
      </w:r>
      <w:r w:rsidR="008C2431" w:rsidRPr="008C2431">
        <w:rPr>
          <w:rFonts w:ascii="Segoe UI" w:hAnsi="Segoe UI" w:cs="Segoe UI"/>
          <w:noProof/>
          <w:color w:val="000091" w:themeColor="text1"/>
          <w:sz w:val="20"/>
          <w:szCs w:val="20"/>
          <w:lang w:val="es-419" w:eastAsia="fr-FR"/>
        </w:rPr>
        <w:t>Bien que la Namibie demeure un partenaire commercial marginal en termes de volumes (145</w:t>
      </w:r>
      <w:r>
        <w:rPr>
          <w:rFonts w:ascii="Segoe UI" w:hAnsi="Segoe UI" w:cs="Segoe UI"/>
          <w:noProof/>
          <w:color w:val="000091" w:themeColor="text1"/>
          <w:sz w:val="20"/>
          <w:szCs w:val="20"/>
          <w:lang w:val="es-419" w:eastAsia="fr-FR"/>
        </w:rPr>
        <w:t>ème</w:t>
      </w:r>
      <w:r w:rsidRPr="008C2431">
        <w:rPr>
          <w:rFonts w:ascii="Segoe UI" w:hAnsi="Segoe UI" w:cs="Segoe UI"/>
          <w:noProof/>
          <w:color w:val="000091" w:themeColor="text1"/>
          <w:sz w:val="20"/>
          <w:szCs w:val="20"/>
          <w:lang w:val="es-419" w:eastAsia="fr-FR"/>
        </w:rPr>
        <w:t xml:space="preserve"> </w:t>
      </w:r>
      <w:r w:rsidR="008C2431" w:rsidRPr="008C2431">
        <w:rPr>
          <w:rFonts w:ascii="Segoe UI" w:hAnsi="Segoe UI" w:cs="Segoe UI"/>
          <w:noProof/>
          <w:color w:val="000091" w:themeColor="text1"/>
          <w:sz w:val="20"/>
          <w:szCs w:val="20"/>
          <w:lang w:val="es-419" w:eastAsia="fr-FR"/>
        </w:rPr>
        <w:t>client, 90</w:t>
      </w:r>
      <w:r>
        <w:rPr>
          <w:rFonts w:ascii="Segoe UI" w:hAnsi="Segoe UI" w:cs="Segoe UI"/>
          <w:noProof/>
          <w:color w:val="000091" w:themeColor="text1"/>
          <w:sz w:val="20"/>
          <w:szCs w:val="20"/>
          <w:lang w:val="es-419" w:eastAsia="fr-FR"/>
        </w:rPr>
        <w:t>ème</w:t>
      </w:r>
      <w:r w:rsidR="008C2431" w:rsidRPr="008C2431">
        <w:rPr>
          <w:rFonts w:ascii="Segoe UI" w:hAnsi="Segoe UI" w:cs="Segoe UI"/>
          <w:noProof/>
          <w:color w:val="000091" w:themeColor="text1"/>
          <w:sz w:val="20"/>
          <w:szCs w:val="20"/>
          <w:lang w:val="es-419" w:eastAsia="fr-FR"/>
        </w:rPr>
        <w:t xml:space="preserve"> fournisseur), elle conserve une importance stratégique pour notre sécurité énergétique. Elle est en effet notre </w:t>
      </w:r>
      <w:r w:rsidR="00000754">
        <w:rPr>
          <w:rFonts w:ascii="Segoe UI" w:hAnsi="Segoe UI" w:cs="Segoe UI"/>
          <w:noProof/>
          <w:color w:val="000091" w:themeColor="text1"/>
          <w:sz w:val="20"/>
          <w:szCs w:val="20"/>
          <w:lang w:val="es-419" w:eastAsia="fr-FR"/>
        </w:rPr>
        <w:t>3</w:t>
      </w:r>
      <w:r>
        <w:rPr>
          <w:rFonts w:ascii="Segoe UI" w:hAnsi="Segoe UI" w:cs="Segoe UI"/>
          <w:noProof/>
          <w:color w:val="000091" w:themeColor="text1"/>
          <w:sz w:val="20"/>
          <w:szCs w:val="20"/>
          <w:lang w:val="es-419" w:eastAsia="fr-FR"/>
        </w:rPr>
        <w:t>ème</w:t>
      </w:r>
      <w:r w:rsidR="008C2431" w:rsidRPr="008C2431">
        <w:rPr>
          <w:rFonts w:ascii="Segoe UI" w:hAnsi="Segoe UI" w:cs="Segoe UI"/>
          <w:noProof/>
          <w:color w:val="000091" w:themeColor="text1"/>
          <w:sz w:val="20"/>
          <w:szCs w:val="20"/>
          <w:lang w:val="es-419" w:eastAsia="fr-FR"/>
        </w:rPr>
        <w:t xml:space="preserve"> fournisseur d’uranium naturel, représentant 18 % de nos importations en valeur. Cette position devrait se renforcer dans les prochaines années, notamment grâce à la relance attendue de la mine de Trekkopje par le groupe français Orano.</w:t>
      </w:r>
    </w:p>
    <w:p w14:paraId="20308E01" w14:textId="77777777" w:rsidR="00933FDA" w:rsidRPr="00933FDA" w:rsidRDefault="00933FDA" w:rsidP="00C165BA">
      <w:pPr>
        <w:spacing w:after="0"/>
        <w:ind w:left="-426" w:right="-141"/>
        <w:jc w:val="both"/>
        <w:rPr>
          <w:rFonts w:ascii="Segoe UI" w:hAnsi="Segoe UI" w:cs="Segoe UI"/>
          <w:noProof/>
          <w:color w:val="000091" w:themeColor="text1"/>
          <w:sz w:val="20"/>
          <w:szCs w:val="20"/>
          <w:lang w:val="es-419" w:eastAsia="fr-FR"/>
        </w:rPr>
      </w:pPr>
    </w:p>
    <w:p w14:paraId="7A1D7282" w14:textId="423F3D65" w:rsidR="00926E0E" w:rsidRPr="00926E0E" w:rsidRDefault="00132011" w:rsidP="00DA5FF8">
      <w:pPr>
        <w:pStyle w:val="Brvesco-Normal"/>
        <w:numPr>
          <w:ilvl w:val="0"/>
          <w:numId w:val="16"/>
        </w:numPr>
        <w:spacing w:after="120" w:line="240" w:lineRule="auto"/>
        <w:ind w:left="-426" w:right="-141" w:firstLine="0"/>
        <w:rPr>
          <w:rStyle w:val="Lienhypertexte"/>
          <w:rFonts w:ascii="Segoe UI" w:hAnsi="Segoe UI" w:cs="Segoe UI"/>
          <w:noProof/>
          <w:color w:val="auto"/>
          <w:sz w:val="22"/>
          <w:szCs w:val="20"/>
          <w:u w:val="none"/>
        </w:rPr>
      </w:pPr>
      <w:r>
        <w:rPr>
          <w:rStyle w:val="Lienhypertexte"/>
          <w:rFonts w:ascii="Segoe UI" w:hAnsi="Segoe UI" w:cs="Segoe UI"/>
          <w:b/>
          <w:bCs/>
          <w:noProof/>
          <w:color w:val="auto"/>
          <w:szCs w:val="20"/>
          <w:u w:val="none"/>
        </w:rPr>
        <w:t>L</w:t>
      </w:r>
      <w:r w:rsidR="00933FDA" w:rsidRPr="00933FDA">
        <w:rPr>
          <w:rStyle w:val="Lienhypertexte"/>
          <w:rFonts w:ascii="Segoe UI" w:hAnsi="Segoe UI" w:cs="Segoe UI"/>
          <w:b/>
          <w:bCs/>
          <w:noProof/>
          <w:color w:val="auto"/>
          <w:szCs w:val="20"/>
          <w:u w:val="none"/>
        </w:rPr>
        <w:t xml:space="preserve">es exportations françaises vers la Namibie </w:t>
      </w:r>
      <w:r w:rsidR="009171CD">
        <w:rPr>
          <w:rStyle w:val="Lienhypertexte"/>
          <w:rFonts w:ascii="Segoe UI" w:hAnsi="Segoe UI" w:cs="Segoe UI"/>
          <w:b/>
          <w:bCs/>
          <w:noProof/>
          <w:color w:val="auto"/>
          <w:szCs w:val="20"/>
          <w:u w:val="none"/>
        </w:rPr>
        <w:t xml:space="preserve">ont </w:t>
      </w:r>
      <w:r>
        <w:rPr>
          <w:rStyle w:val="Lienhypertexte"/>
          <w:rFonts w:ascii="Segoe UI" w:hAnsi="Segoe UI" w:cs="Segoe UI"/>
          <w:b/>
          <w:bCs/>
          <w:noProof/>
          <w:color w:val="auto"/>
          <w:szCs w:val="20"/>
          <w:u w:val="none"/>
        </w:rPr>
        <w:t>progressé</w:t>
      </w:r>
      <w:r w:rsidR="00FA5438">
        <w:rPr>
          <w:rStyle w:val="Lienhypertexte"/>
          <w:rFonts w:ascii="Segoe UI" w:hAnsi="Segoe UI" w:cs="Segoe UI"/>
          <w:b/>
          <w:bCs/>
          <w:noProof/>
          <w:color w:val="auto"/>
          <w:szCs w:val="20"/>
          <w:u w:val="none"/>
        </w:rPr>
        <w:t xml:space="preserve"> pour la sixième année consécutive</w:t>
      </w:r>
      <w:r>
        <w:rPr>
          <w:rStyle w:val="Lienhypertexte"/>
          <w:rFonts w:ascii="Segoe UI" w:hAnsi="Segoe UI" w:cs="Segoe UI"/>
          <w:b/>
          <w:bCs/>
          <w:noProof/>
          <w:color w:val="auto"/>
          <w:szCs w:val="20"/>
          <w:u w:val="none"/>
        </w:rPr>
        <w:t xml:space="preserve"> en 2024 (+14%)</w:t>
      </w:r>
      <w:r w:rsidR="00933FDA" w:rsidRPr="00933FDA">
        <w:rPr>
          <w:rStyle w:val="Lienhypertexte"/>
          <w:rFonts w:ascii="Segoe UI" w:hAnsi="Segoe UI" w:cs="Segoe UI"/>
          <w:b/>
          <w:bCs/>
          <w:noProof/>
          <w:color w:val="auto"/>
          <w:szCs w:val="20"/>
          <w:u w:val="none"/>
        </w:rPr>
        <w:t xml:space="preserve">, </w:t>
      </w:r>
      <w:r>
        <w:rPr>
          <w:rStyle w:val="Lienhypertexte"/>
          <w:rFonts w:ascii="Segoe UI" w:hAnsi="Segoe UI" w:cs="Segoe UI"/>
          <w:b/>
          <w:bCs/>
          <w:noProof/>
          <w:color w:val="auto"/>
          <w:szCs w:val="20"/>
          <w:u w:val="none"/>
        </w:rPr>
        <w:t xml:space="preserve">pour </w:t>
      </w:r>
      <w:r w:rsidRPr="00933FDA">
        <w:rPr>
          <w:rStyle w:val="Lienhypertexte"/>
          <w:rFonts w:ascii="Segoe UI" w:hAnsi="Segoe UI" w:cs="Segoe UI"/>
          <w:b/>
          <w:bCs/>
          <w:noProof/>
          <w:color w:val="auto"/>
          <w:szCs w:val="20"/>
          <w:u w:val="none"/>
        </w:rPr>
        <w:t>attei</w:t>
      </w:r>
      <w:r>
        <w:rPr>
          <w:rStyle w:val="Lienhypertexte"/>
          <w:rFonts w:ascii="Segoe UI" w:hAnsi="Segoe UI" w:cs="Segoe UI"/>
          <w:b/>
          <w:bCs/>
          <w:noProof/>
          <w:color w:val="auto"/>
          <w:szCs w:val="20"/>
          <w:u w:val="none"/>
        </w:rPr>
        <w:t>ndre</w:t>
      </w:r>
      <w:r w:rsidRPr="00933FDA">
        <w:rPr>
          <w:rStyle w:val="Lienhypertexte"/>
          <w:rFonts w:ascii="Segoe UI" w:hAnsi="Segoe UI" w:cs="Segoe UI"/>
          <w:b/>
          <w:bCs/>
          <w:noProof/>
          <w:color w:val="auto"/>
          <w:szCs w:val="20"/>
          <w:u w:val="none"/>
        </w:rPr>
        <w:t xml:space="preserve"> </w:t>
      </w:r>
      <w:r w:rsidR="00FA5438">
        <w:rPr>
          <w:rStyle w:val="Lienhypertexte"/>
          <w:rFonts w:ascii="Segoe UI" w:hAnsi="Segoe UI" w:cs="Segoe UI"/>
          <w:b/>
          <w:bCs/>
          <w:noProof/>
          <w:color w:val="auto"/>
          <w:szCs w:val="20"/>
          <w:u w:val="none"/>
        </w:rPr>
        <w:t xml:space="preserve">le niveau record de </w:t>
      </w:r>
      <w:r w:rsidR="00933FDA" w:rsidRPr="00933FDA">
        <w:rPr>
          <w:rStyle w:val="Lienhypertexte"/>
          <w:rFonts w:ascii="Segoe UI" w:hAnsi="Segoe UI" w:cs="Segoe UI"/>
          <w:b/>
          <w:bCs/>
          <w:noProof/>
          <w:color w:val="auto"/>
          <w:szCs w:val="20"/>
          <w:u w:val="none"/>
        </w:rPr>
        <w:t>37</w:t>
      </w:r>
      <w:r w:rsidR="00926E0E">
        <w:rPr>
          <w:rStyle w:val="Lienhypertexte"/>
          <w:rFonts w:ascii="Segoe UI" w:hAnsi="Segoe UI" w:cs="Segoe UI"/>
          <w:b/>
          <w:bCs/>
          <w:noProof/>
          <w:color w:val="auto"/>
          <w:szCs w:val="20"/>
          <w:u w:val="none"/>
        </w:rPr>
        <w:t> </w:t>
      </w:r>
      <w:r w:rsidR="00933FDA" w:rsidRPr="00933FDA">
        <w:rPr>
          <w:rStyle w:val="Lienhypertexte"/>
          <w:rFonts w:ascii="Segoe UI" w:hAnsi="Segoe UI" w:cs="Segoe UI"/>
          <w:b/>
          <w:bCs/>
          <w:noProof/>
          <w:color w:val="auto"/>
          <w:szCs w:val="20"/>
          <w:u w:val="none"/>
        </w:rPr>
        <w:t xml:space="preserve">M€. </w:t>
      </w:r>
      <w:r w:rsidR="00933FDA" w:rsidRPr="003F5BA5">
        <w:rPr>
          <w:rStyle w:val="Lienhypertexte"/>
          <w:rFonts w:ascii="Segoe UI" w:hAnsi="Segoe UI" w:cs="Segoe UI"/>
          <w:noProof/>
          <w:color w:val="auto"/>
          <w:szCs w:val="20"/>
          <w:u w:val="none"/>
        </w:rPr>
        <w:t xml:space="preserve">Le flux </w:t>
      </w:r>
      <w:r w:rsidR="009171CD">
        <w:rPr>
          <w:rStyle w:val="Lienhypertexte"/>
          <w:rFonts w:ascii="Segoe UI" w:hAnsi="Segoe UI" w:cs="Segoe UI"/>
          <w:noProof/>
          <w:color w:val="auto"/>
          <w:szCs w:val="20"/>
          <w:u w:val="none"/>
        </w:rPr>
        <w:t>se distingue ainsi par son dynami</w:t>
      </w:r>
      <w:r w:rsidR="005E390E">
        <w:rPr>
          <w:rStyle w:val="Lienhypertexte"/>
          <w:rFonts w:ascii="Segoe UI" w:hAnsi="Segoe UI" w:cs="Segoe UI"/>
          <w:noProof/>
          <w:color w:val="auto"/>
          <w:szCs w:val="20"/>
          <w:u w:val="none"/>
        </w:rPr>
        <w:t>s</w:t>
      </w:r>
      <w:r w:rsidR="009171CD">
        <w:rPr>
          <w:rStyle w:val="Lienhypertexte"/>
          <w:rFonts w:ascii="Segoe UI" w:hAnsi="Segoe UI" w:cs="Segoe UI"/>
          <w:noProof/>
          <w:color w:val="auto"/>
          <w:szCs w:val="20"/>
          <w:u w:val="none"/>
        </w:rPr>
        <w:t xml:space="preserve">me, nettement plus marqué </w:t>
      </w:r>
      <w:r w:rsidR="00D06119">
        <w:rPr>
          <w:rStyle w:val="Lienhypertexte"/>
          <w:rFonts w:ascii="Segoe UI" w:hAnsi="Segoe UI" w:cs="Segoe UI"/>
          <w:noProof/>
          <w:color w:val="auto"/>
          <w:szCs w:val="20"/>
          <w:u w:val="none"/>
        </w:rPr>
        <w:t xml:space="preserve">sur l’année </w:t>
      </w:r>
      <w:r w:rsidR="009171CD">
        <w:rPr>
          <w:rStyle w:val="Lienhypertexte"/>
          <w:rFonts w:ascii="Segoe UI" w:hAnsi="Segoe UI" w:cs="Segoe UI"/>
          <w:noProof/>
          <w:color w:val="auto"/>
          <w:szCs w:val="20"/>
          <w:u w:val="none"/>
        </w:rPr>
        <w:t xml:space="preserve">que </w:t>
      </w:r>
      <w:r w:rsidR="00933FDA" w:rsidRPr="003F5BA5">
        <w:rPr>
          <w:rStyle w:val="Lienhypertexte"/>
          <w:rFonts w:ascii="Segoe UI" w:hAnsi="Segoe UI" w:cs="Segoe UI"/>
          <w:noProof/>
          <w:color w:val="auto"/>
          <w:szCs w:val="20"/>
          <w:u w:val="none"/>
        </w:rPr>
        <w:t xml:space="preserve">celui </w:t>
      </w:r>
      <w:r w:rsidR="009171CD">
        <w:rPr>
          <w:rStyle w:val="Lienhypertexte"/>
          <w:rFonts w:ascii="Segoe UI" w:hAnsi="Segoe UI" w:cs="Segoe UI"/>
          <w:noProof/>
          <w:color w:val="auto"/>
          <w:szCs w:val="20"/>
          <w:u w:val="none"/>
        </w:rPr>
        <w:t>des</w:t>
      </w:r>
      <w:r w:rsidR="00933FDA" w:rsidRPr="003F5BA5">
        <w:rPr>
          <w:rStyle w:val="Lienhypertexte"/>
          <w:rFonts w:ascii="Segoe UI" w:hAnsi="Segoe UI" w:cs="Segoe UI"/>
          <w:noProof/>
          <w:color w:val="auto"/>
          <w:szCs w:val="20"/>
          <w:u w:val="none"/>
        </w:rPr>
        <w:t xml:space="preserve"> exportations </w:t>
      </w:r>
      <w:r w:rsidR="009171CD">
        <w:rPr>
          <w:rStyle w:val="Lienhypertexte"/>
          <w:rFonts w:ascii="Segoe UI" w:hAnsi="Segoe UI" w:cs="Segoe UI"/>
          <w:noProof/>
          <w:color w:val="auto"/>
          <w:szCs w:val="20"/>
          <w:u w:val="none"/>
        </w:rPr>
        <w:t xml:space="preserve">françaises </w:t>
      </w:r>
      <w:r w:rsidR="00933FDA" w:rsidRPr="003F5BA5">
        <w:rPr>
          <w:rStyle w:val="Lienhypertexte"/>
          <w:rFonts w:ascii="Segoe UI" w:hAnsi="Segoe UI" w:cs="Segoe UI"/>
          <w:noProof/>
          <w:color w:val="auto"/>
          <w:szCs w:val="20"/>
          <w:u w:val="none"/>
        </w:rPr>
        <w:t xml:space="preserve">vers l’Afrique subsaharienne (+1,2 %) et </w:t>
      </w:r>
      <w:r w:rsidR="009171CD">
        <w:rPr>
          <w:rStyle w:val="Lienhypertexte"/>
          <w:rFonts w:ascii="Segoe UI" w:hAnsi="Segoe UI" w:cs="Segoe UI"/>
          <w:noProof/>
          <w:color w:val="auto"/>
          <w:szCs w:val="20"/>
          <w:u w:val="none"/>
        </w:rPr>
        <w:t>au niveau</w:t>
      </w:r>
      <w:r w:rsidR="00933FDA" w:rsidRPr="003F5BA5">
        <w:rPr>
          <w:rStyle w:val="Lienhypertexte"/>
          <w:rFonts w:ascii="Segoe UI" w:hAnsi="Segoe UI" w:cs="Segoe UI"/>
          <w:noProof/>
          <w:color w:val="auto"/>
          <w:szCs w:val="20"/>
          <w:u w:val="none"/>
        </w:rPr>
        <w:t xml:space="preserve"> mondial (</w:t>
      </w:r>
      <w:r w:rsidR="00B2739E">
        <w:rPr>
          <w:rStyle w:val="Lienhypertexte"/>
          <w:rFonts w:ascii="Segoe UI" w:hAnsi="Segoe UI" w:cs="Segoe UI"/>
          <w:noProof/>
          <w:color w:val="auto"/>
          <w:szCs w:val="20"/>
          <w:u w:val="none"/>
        </w:rPr>
        <w:t>-1,6</w:t>
      </w:r>
      <w:r w:rsidR="00933FDA" w:rsidRPr="003F5BA5">
        <w:rPr>
          <w:rStyle w:val="Lienhypertexte"/>
          <w:rFonts w:ascii="Segoe UI" w:hAnsi="Segoe UI" w:cs="Segoe UI"/>
          <w:noProof/>
          <w:color w:val="auto"/>
          <w:szCs w:val="20"/>
          <w:u w:val="none"/>
        </w:rPr>
        <w:t>%).</w:t>
      </w:r>
      <w:r w:rsidR="002965B7">
        <w:rPr>
          <w:rStyle w:val="Lienhypertexte"/>
          <w:rFonts w:ascii="Segoe UI" w:hAnsi="Segoe UI" w:cs="Segoe UI"/>
          <w:noProof/>
          <w:color w:val="auto"/>
          <w:szCs w:val="20"/>
          <w:u w:val="none"/>
        </w:rPr>
        <w:t xml:space="preserve"> Cette progression s’explique d’abord par :</w:t>
      </w:r>
    </w:p>
    <w:p w14:paraId="42D5C752" w14:textId="77777777" w:rsidR="00DA5FF8" w:rsidRDefault="002965B7" w:rsidP="00A91A50">
      <w:pPr>
        <w:pStyle w:val="Brvesco-Normal"/>
        <w:numPr>
          <w:ilvl w:val="1"/>
          <w:numId w:val="16"/>
        </w:numPr>
        <w:spacing w:line="240" w:lineRule="auto"/>
        <w:ind w:left="709" w:right="-141" w:hanging="273"/>
        <w:rPr>
          <w:rStyle w:val="Lienhypertexte"/>
          <w:rFonts w:ascii="Segoe UI" w:hAnsi="Segoe UI" w:cs="Segoe UI"/>
          <w:noProof/>
          <w:color w:val="auto"/>
          <w:szCs w:val="20"/>
          <w:u w:val="none"/>
        </w:rPr>
      </w:pPr>
      <w:r>
        <w:rPr>
          <w:rStyle w:val="Lienhypertexte"/>
          <w:rFonts w:ascii="Segoe UI" w:hAnsi="Segoe UI" w:cs="Segoe UI"/>
          <w:noProof/>
          <w:color w:val="auto"/>
          <w:szCs w:val="20"/>
          <w:u w:val="none"/>
        </w:rPr>
        <w:t>Le</w:t>
      </w:r>
      <w:r w:rsidR="00060C7B" w:rsidRPr="00060C7B">
        <w:rPr>
          <w:rStyle w:val="Lienhypertexte"/>
          <w:rFonts w:ascii="Segoe UI" w:hAnsi="Segoe UI" w:cs="Segoe UI"/>
          <w:noProof/>
          <w:color w:val="auto"/>
          <w:szCs w:val="20"/>
          <w:u w:val="none"/>
        </w:rPr>
        <w:t xml:space="preserve"> fort </w:t>
      </w:r>
      <w:r>
        <w:rPr>
          <w:rStyle w:val="Lienhypertexte"/>
          <w:rFonts w:ascii="Segoe UI" w:hAnsi="Segoe UI" w:cs="Segoe UI"/>
          <w:noProof/>
          <w:color w:val="auto"/>
          <w:szCs w:val="20"/>
          <w:u w:val="none"/>
        </w:rPr>
        <w:t>rebond</w:t>
      </w:r>
      <w:r w:rsidRPr="00060C7B">
        <w:rPr>
          <w:rStyle w:val="Lienhypertexte"/>
          <w:rFonts w:ascii="Segoe UI" w:hAnsi="Segoe UI" w:cs="Segoe UI"/>
          <w:noProof/>
          <w:color w:val="auto"/>
          <w:szCs w:val="20"/>
          <w:u w:val="none"/>
        </w:rPr>
        <w:t xml:space="preserve"> d</w:t>
      </w:r>
      <w:r>
        <w:rPr>
          <w:rStyle w:val="Lienhypertexte"/>
          <w:rFonts w:ascii="Segoe UI" w:hAnsi="Segoe UI" w:cs="Segoe UI"/>
          <w:noProof/>
          <w:color w:val="auto"/>
          <w:szCs w:val="20"/>
          <w:u w:val="none"/>
        </w:rPr>
        <w:t>es exportations de</w:t>
      </w:r>
      <w:r w:rsidR="00060C7B" w:rsidRPr="00060C7B">
        <w:rPr>
          <w:rStyle w:val="Lienhypertexte"/>
          <w:rFonts w:ascii="Segoe UI" w:hAnsi="Segoe UI" w:cs="Segoe UI"/>
          <w:noProof/>
          <w:color w:val="auto"/>
          <w:szCs w:val="20"/>
          <w:u w:val="none"/>
        </w:rPr>
        <w:t xml:space="preserve"> « </w:t>
      </w:r>
      <w:r w:rsidR="00060C7B" w:rsidRPr="00C165BA">
        <w:rPr>
          <w:rStyle w:val="Lienhypertexte"/>
          <w:rFonts w:ascii="Segoe UI" w:hAnsi="Segoe UI" w:cs="Segoe UI"/>
          <w:noProof/>
          <w:color w:val="auto"/>
          <w:szCs w:val="20"/>
        </w:rPr>
        <w:t>matériel de transport</w:t>
      </w:r>
      <w:r w:rsidR="00060C7B" w:rsidRPr="00060C7B">
        <w:rPr>
          <w:rStyle w:val="Lienhypertexte"/>
          <w:rFonts w:ascii="Segoe UI" w:hAnsi="Segoe UI" w:cs="Segoe UI"/>
          <w:noProof/>
          <w:color w:val="auto"/>
          <w:szCs w:val="20"/>
          <w:u w:val="none"/>
        </w:rPr>
        <w:t xml:space="preserve"> » (+12</w:t>
      </w:r>
      <w:r w:rsidR="00B84FE0">
        <w:rPr>
          <w:rStyle w:val="Lienhypertexte"/>
          <w:rFonts w:ascii="Segoe UI" w:hAnsi="Segoe UI" w:cs="Segoe UI"/>
          <w:noProof/>
          <w:color w:val="auto"/>
          <w:szCs w:val="20"/>
          <w:u w:val="none"/>
        </w:rPr>
        <w:t>73</w:t>
      </w:r>
      <w:r w:rsidR="00060C7B" w:rsidRPr="00060C7B">
        <w:rPr>
          <w:rStyle w:val="Lienhypertexte"/>
          <w:rFonts w:ascii="Segoe UI" w:hAnsi="Segoe UI" w:cs="Segoe UI"/>
          <w:noProof/>
          <w:color w:val="auto"/>
          <w:szCs w:val="20"/>
          <w:u w:val="none"/>
        </w:rPr>
        <w:t xml:space="preserve"> % à 9,</w:t>
      </w:r>
      <w:r w:rsidR="00B84FE0">
        <w:rPr>
          <w:rStyle w:val="Lienhypertexte"/>
          <w:rFonts w:ascii="Segoe UI" w:hAnsi="Segoe UI" w:cs="Segoe UI"/>
          <w:noProof/>
          <w:color w:val="auto"/>
          <w:szCs w:val="20"/>
          <w:u w:val="none"/>
        </w:rPr>
        <w:t>4</w:t>
      </w:r>
      <w:r w:rsidR="00060C7B" w:rsidRPr="00060C7B">
        <w:rPr>
          <w:rStyle w:val="Lienhypertexte"/>
          <w:rFonts w:ascii="Segoe UI" w:hAnsi="Segoe UI" w:cs="Segoe UI"/>
          <w:noProof/>
          <w:color w:val="auto"/>
          <w:szCs w:val="20"/>
          <w:u w:val="none"/>
        </w:rPr>
        <w:t xml:space="preserve"> MEUR</w:t>
      </w:r>
      <w:r>
        <w:rPr>
          <w:rStyle w:val="Lienhypertexte"/>
          <w:rFonts w:ascii="Segoe UI" w:hAnsi="Segoe UI" w:cs="Segoe UI"/>
          <w:noProof/>
          <w:color w:val="auto"/>
          <w:szCs w:val="20"/>
          <w:u w:val="none"/>
        </w:rPr>
        <w:t xml:space="preserve">, soit une contribution positive de 27 points </w:t>
      </w:r>
      <w:r w:rsidR="00060C7B" w:rsidRPr="00060C7B">
        <w:rPr>
          <w:rStyle w:val="Lienhypertexte"/>
          <w:rFonts w:ascii="Segoe UI" w:hAnsi="Segoe UI" w:cs="Segoe UI"/>
          <w:noProof/>
          <w:color w:val="auto"/>
          <w:szCs w:val="20"/>
          <w:u w:val="none"/>
        </w:rPr>
        <w:t>à la croissance des exportations</w:t>
      </w:r>
      <w:r>
        <w:rPr>
          <w:rStyle w:val="Lienhypertexte"/>
          <w:rFonts w:ascii="Segoe UI" w:hAnsi="Segoe UI" w:cs="Segoe UI"/>
          <w:noProof/>
          <w:color w:val="auto"/>
          <w:szCs w:val="20"/>
          <w:u w:val="none"/>
        </w:rPr>
        <w:t>)</w:t>
      </w:r>
      <w:r w:rsidR="00F615AB">
        <w:rPr>
          <w:rStyle w:val="Lienhypertexte"/>
          <w:rFonts w:ascii="Segoe UI" w:hAnsi="Segoe UI" w:cs="Segoe UI"/>
          <w:noProof/>
          <w:color w:val="auto"/>
          <w:szCs w:val="20"/>
          <w:u w:val="none"/>
        </w:rPr>
        <w:t>, traduisant le retour des échanges dans le secteur aéronaut</w:t>
      </w:r>
      <w:r w:rsidR="0070782A">
        <w:rPr>
          <w:rStyle w:val="Lienhypertexte"/>
          <w:rFonts w:ascii="Segoe UI" w:hAnsi="Segoe UI" w:cs="Segoe UI"/>
          <w:noProof/>
          <w:color w:val="auto"/>
          <w:szCs w:val="20"/>
          <w:u w:val="none"/>
        </w:rPr>
        <w:t>i</w:t>
      </w:r>
      <w:r w:rsidR="00F615AB">
        <w:rPr>
          <w:rStyle w:val="Lienhypertexte"/>
          <w:rFonts w:ascii="Segoe UI" w:hAnsi="Segoe UI" w:cs="Segoe UI"/>
          <w:noProof/>
          <w:color w:val="auto"/>
          <w:szCs w:val="20"/>
          <w:u w:val="none"/>
        </w:rPr>
        <w:t>que (ventes d’avions et autres véhicules aériens, ainsi que des pièces détachées), après une année 2023 décevante</w:t>
      </w:r>
      <w:r w:rsidR="00060C7B" w:rsidRPr="00060C7B">
        <w:rPr>
          <w:rStyle w:val="Lienhypertexte"/>
          <w:rFonts w:ascii="Segoe UI" w:hAnsi="Segoe UI" w:cs="Segoe UI"/>
          <w:noProof/>
          <w:color w:val="auto"/>
          <w:szCs w:val="20"/>
          <w:u w:val="none"/>
        </w:rPr>
        <w:t xml:space="preserve">. </w:t>
      </w:r>
    </w:p>
    <w:p w14:paraId="2F808774" w14:textId="550884A6" w:rsidR="002E4F5E" w:rsidRPr="00DA5FF8" w:rsidRDefault="00BD0E68" w:rsidP="00A91A50">
      <w:pPr>
        <w:pStyle w:val="Brvesco-Normal"/>
        <w:numPr>
          <w:ilvl w:val="1"/>
          <w:numId w:val="16"/>
        </w:numPr>
        <w:spacing w:after="120" w:line="240" w:lineRule="auto"/>
        <w:ind w:left="709" w:right="-141" w:hanging="273"/>
        <w:rPr>
          <w:rStyle w:val="Lienhypertexte"/>
          <w:rFonts w:ascii="Segoe UI" w:hAnsi="Segoe UI" w:cs="Segoe UI"/>
          <w:noProof/>
          <w:color w:val="auto"/>
          <w:szCs w:val="20"/>
          <w:u w:val="none"/>
        </w:rPr>
      </w:pPr>
      <w:r w:rsidRPr="00DA5FF8">
        <w:rPr>
          <w:rStyle w:val="Lienhypertexte"/>
          <w:rFonts w:ascii="Segoe UI" w:hAnsi="Segoe UI" w:cs="Segoe UI"/>
          <w:noProof/>
          <w:color w:val="auto"/>
          <w:szCs w:val="20"/>
          <w:u w:val="none"/>
        </w:rPr>
        <w:t>Le rebond</w:t>
      </w:r>
      <w:r w:rsidR="00060C7B" w:rsidRPr="00DA5FF8">
        <w:rPr>
          <w:rStyle w:val="Lienhypertexte"/>
          <w:rFonts w:ascii="Segoe UI" w:hAnsi="Segoe UI" w:cs="Segoe UI"/>
          <w:noProof/>
          <w:color w:val="auto"/>
          <w:szCs w:val="20"/>
          <w:u w:val="none"/>
        </w:rPr>
        <w:t xml:space="preserve"> des </w:t>
      </w:r>
      <w:r w:rsidRPr="00DA5FF8">
        <w:rPr>
          <w:rStyle w:val="Lienhypertexte"/>
          <w:rFonts w:ascii="Segoe UI" w:hAnsi="Segoe UI" w:cs="Segoe UI"/>
          <w:noProof/>
          <w:color w:val="auto"/>
          <w:szCs w:val="20"/>
          <w:u w:val="none"/>
        </w:rPr>
        <w:t xml:space="preserve">exportations de </w:t>
      </w:r>
      <w:r w:rsidR="00060C7B" w:rsidRPr="00DA5FF8">
        <w:rPr>
          <w:rStyle w:val="Lienhypertexte"/>
          <w:rFonts w:ascii="Segoe UI" w:hAnsi="Segoe UI" w:cs="Segoe UI"/>
          <w:noProof/>
          <w:color w:val="auto"/>
          <w:szCs w:val="20"/>
          <w:u w:val="none"/>
        </w:rPr>
        <w:t xml:space="preserve">« </w:t>
      </w:r>
      <w:r w:rsidR="00060C7B" w:rsidRPr="00DA5FF8">
        <w:rPr>
          <w:rStyle w:val="Lienhypertexte"/>
          <w:rFonts w:ascii="Segoe UI" w:hAnsi="Segoe UI" w:cs="Segoe UI"/>
          <w:noProof/>
          <w:color w:val="auto"/>
          <w:szCs w:val="20"/>
        </w:rPr>
        <w:t>produits chimiques, parfums et cosmétiques</w:t>
      </w:r>
      <w:r w:rsidR="00060C7B" w:rsidRPr="00DA5FF8">
        <w:rPr>
          <w:rStyle w:val="Lienhypertexte"/>
          <w:rFonts w:ascii="Segoe UI" w:hAnsi="Segoe UI" w:cs="Segoe UI"/>
          <w:noProof/>
          <w:color w:val="auto"/>
          <w:szCs w:val="20"/>
          <w:u w:val="none"/>
        </w:rPr>
        <w:t xml:space="preserve"> » (+77,7 %, à 7,5 MEUR, soit une contribution positive de 10,1 points</w:t>
      </w:r>
      <w:r w:rsidRPr="00DA5FF8">
        <w:rPr>
          <w:rStyle w:val="Lienhypertexte"/>
          <w:rFonts w:ascii="Segoe UI" w:hAnsi="Segoe UI" w:cs="Segoe UI"/>
          <w:noProof/>
          <w:color w:val="auto"/>
          <w:szCs w:val="20"/>
          <w:u w:val="none"/>
        </w:rPr>
        <w:t xml:space="preserve"> à la croissance des exportations</w:t>
      </w:r>
      <w:r w:rsidR="00060C7B" w:rsidRPr="00DA5FF8">
        <w:rPr>
          <w:rStyle w:val="Lienhypertexte"/>
          <w:rFonts w:ascii="Segoe UI" w:hAnsi="Segoe UI" w:cs="Segoe UI"/>
          <w:noProof/>
          <w:color w:val="auto"/>
          <w:szCs w:val="20"/>
          <w:u w:val="none"/>
        </w:rPr>
        <w:t>)</w:t>
      </w:r>
      <w:r w:rsidRPr="00DA5FF8">
        <w:rPr>
          <w:rStyle w:val="Lienhypertexte"/>
          <w:rFonts w:ascii="Segoe UI" w:hAnsi="Segoe UI" w:cs="Segoe UI"/>
          <w:noProof/>
          <w:color w:val="auto"/>
          <w:szCs w:val="20"/>
          <w:u w:val="none"/>
        </w:rPr>
        <w:t>,</w:t>
      </w:r>
      <w:r w:rsidR="00060C7B" w:rsidRPr="00DA5FF8">
        <w:rPr>
          <w:rStyle w:val="Lienhypertexte"/>
          <w:rFonts w:ascii="Segoe UI" w:hAnsi="Segoe UI" w:cs="Segoe UI"/>
          <w:noProof/>
          <w:color w:val="auto"/>
          <w:szCs w:val="20"/>
          <w:u w:val="none"/>
        </w:rPr>
        <w:t xml:space="preserve"> ainsi que </w:t>
      </w:r>
      <w:r w:rsidRPr="00DA5FF8">
        <w:rPr>
          <w:rStyle w:val="Lienhypertexte"/>
          <w:rFonts w:ascii="Segoe UI" w:hAnsi="Segoe UI" w:cs="Segoe UI"/>
          <w:noProof/>
          <w:color w:val="auto"/>
          <w:szCs w:val="20"/>
          <w:u w:val="none"/>
        </w:rPr>
        <w:t xml:space="preserve">la progression </w:t>
      </w:r>
      <w:r w:rsidR="00060C7B" w:rsidRPr="00DA5FF8">
        <w:rPr>
          <w:rStyle w:val="Lienhypertexte"/>
          <w:rFonts w:ascii="Segoe UI" w:hAnsi="Segoe UI" w:cs="Segoe UI"/>
          <w:noProof/>
          <w:color w:val="auto"/>
          <w:szCs w:val="20"/>
          <w:u w:val="none"/>
        </w:rPr>
        <w:t xml:space="preserve">des </w:t>
      </w:r>
      <w:r w:rsidRPr="00DA5FF8">
        <w:rPr>
          <w:rStyle w:val="Lienhypertexte"/>
          <w:rFonts w:ascii="Segoe UI" w:hAnsi="Segoe UI" w:cs="Segoe UI"/>
          <w:noProof/>
          <w:color w:val="auto"/>
          <w:szCs w:val="20"/>
          <w:u w:val="none"/>
        </w:rPr>
        <w:t xml:space="preserve">ventes de </w:t>
      </w:r>
      <w:r w:rsidR="00060C7B" w:rsidRPr="00DA5FF8">
        <w:rPr>
          <w:rStyle w:val="Lienhypertexte"/>
          <w:rFonts w:ascii="Segoe UI" w:hAnsi="Segoe UI" w:cs="Segoe UI"/>
          <w:noProof/>
          <w:color w:val="auto"/>
          <w:szCs w:val="20"/>
          <w:u w:val="none"/>
        </w:rPr>
        <w:t xml:space="preserve">« </w:t>
      </w:r>
      <w:r w:rsidR="00060C7B" w:rsidRPr="00DA5FF8">
        <w:rPr>
          <w:rStyle w:val="Lienhypertexte"/>
          <w:rFonts w:ascii="Segoe UI" w:hAnsi="Segoe UI" w:cs="Segoe UI"/>
          <w:noProof/>
          <w:color w:val="auto"/>
          <w:szCs w:val="20"/>
        </w:rPr>
        <w:t>produits agroalimentaires</w:t>
      </w:r>
      <w:r w:rsidR="00060C7B" w:rsidRPr="00DA5FF8">
        <w:rPr>
          <w:rStyle w:val="Lienhypertexte"/>
          <w:rFonts w:ascii="Segoe UI" w:hAnsi="Segoe UI" w:cs="Segoe UI"/>
          <w:noProof/>
          <w:color w:val="auto"/>
          <w:szCs w:val="20"/>
          <w:u w:val="none"/>
        </w:rPr>
        <w:t xml:space="preserve"> » (+253 %, à 1 MEUR, contribuant positivement à hauteur de 2,2 points).</w:t>
      </w:r>
    </w:p>
    <w:p w14:paraId="7CA8EA05" w14:textId="1106414B" w:rsidR="00320D4B" w:rsidRDefault="00060C7B" w:rsidP="00C165BA">
      <w:pPr>
        <w:pStyle w:val="Brvesco-Normal"/>
        <w:spacing w:line="240" w:lineRule="auto"/>
        <w:ind w:left="-426" w:right="-141"/>
        <w:rPr>
          <w:rStyle w:val="Lienhypertexte"/>
          <w:rFonts w:ascii="Segoe UI" w:hAnsi="Segoe UI" w:cs="Segoe UI"/>
          <w:noProof/>
          <w:color w:val="auto"/>
          <w:szCs w:val="20"/>
          <w:u w:val="none"/>
        </w:rPr>
      </w:pPr>
      <w:r w:rsidRPr="00060C7B">
        <w:rPr>
          <w:rStyle w:val="Lienhypertexte"/>
          <w:rFonts w:ascii="Segoe UI" w:hAnsi="Segoe UI" w:cs="Segoe UI"/>
          <w:noProof/>
          <w:color w:val="auto"/>
          <w:szCs w:val="20"/>
          <w:u w:val="none"/>
        </w:rPr>
        <w:t xml:space="preserve">À l’inverse, les exportations françaises </w:t>
      </w:r>
      <w:r w:rsidR="002E4F5E">
        <w:rPr>
          <w:rStyle w:val="Lienhypertexte"/>
          <w:rFonts w:ascii="Segoe UI" w:hAnsi="Segoe UI" w:cs="Segoe UI"/>
          <w:noProof/>
          <w:color w:val="auto"/>
          <w:szCs w:val="20"/>
          <w:u w:val="none"/>
        </w:rPr>
        <w:t>ont reculé</w:t>
      </w:r>
      <w:r w:rsidRPr="00060C7B">
        <w:rPr>
          <w:rStyle w:val="Lienhypertexte"/>
          <w:rFonts w:ascii="Segoe UI" w:hAnsi="Segoe UI" w:cs="Segoe UI"/>
          <w:noProof/>
          <w:color w:val="auto"/>
          <w:szCs w:val="20"/>
          <w:u w:val="none"/>
        </w:rPr>
        <w:t xml:space="preserve"> dans plusieurs catégories, notamment </w:t>
      </w:r>
      <w:r w:rsidR="002E4F5E">
        <w:rPr>
          <w:rStyle w:val="Lienhypertexte"/>
          <w:rFonts w:ascii="Segoe UI" w:hAnsi="Segoe UI" w:cs="Segoe UI"/>
          <w:noProof/>
          <w:color w:val="auto"/>
          <w:szCs w:val="20"/>
          <w:u w:val="none"/>
        </w:rPr>
        <w:t>celle des</w:t>
      </w:r>
      <w:r w:rsidRPr="00060C7B">
        <w:rPr>
          <w:rStyle w:val="Lienhypertexte"/>
          <w:rFonts w:ascii="Segoe UI" w:hAnsi="Segoe UI" w:cs="Segoe UI"/>
          <w:noProof/>
          <w:color w:val="auto"/>
          <w:szCs w:val="20"/>
          <w:u w:val="none"/>
        </w:rPr>
        <w:t xml:space="preserve"> « </w:t>
      </w:r>
      <w:r w:rsidR="002E4F5E" w:rsidRPr="00C165BA">
        <w:rPr>
          <w:rStyle w:val="Lienhypertexte"/>
          <w:rFonts w:ascii="Segoe UI" w:hAnsi="Segoe UI" w:cs="Segoe UI"/>
          <w:noProof/>
          <w:color w:val="auto"/>
          <w:szCs w:val="20"/>
        </w:rPr>
        <w:t xml:space="preserve">équipements </w:t>
      </w:r>
      <w:r w:rsidRPr="00C165BA">
        <w:rPr>
          <w:rStyle w:val="Lienhypertexte"/>
          <w:rFonts w:ascii="Segoe UI" w:hAnsi="Segoe UI" w:cs="Segoe UI"/>
          <w:noProof/>
          <w:color w:val="auto"/>
          <w:szCs w:val="20"/>
        </w:rPr>
        <w:t>mécaniques, électrique</w:t>
      </w:r>
      <w:r w:rsidR="002E4F5E">
        <w:rPr>
          <w:rStyle w:val="Lienhypertexte"/>
          <w:rFonts w:ascii="Segoe UI" w:hAnsi="Segoe UI" w:cs="Segoe UI"/>
          <w:noProof/>
          <w:color w:val="auto"/>
          <w:szCs w:val="20"/>
        </w:rPr>
        <w:t>s</w:t>
      </w:r>
      <w:r w:rsidRPr="00C165BA">
        <w:rPr>
          <w:rStyle w:val="Lienhypertexte"/>
          <w:rFonts w:ascii="Segoe UI" w:hAnsi="Segoe UI" w:cs="Segoe UI"/>
          <w:noProof/>
          <w:color w:val="auto"/>
          <w:szCs w:val="20"/>
        </w:rPr>
        <w:t>, électronique</w:t>
      </w:r>
      <w:r w:rsidR="002E4F5E">
        <w:rPr>
          <w:rStyle w:val="Lienhypertexte"/>
          <w:rFonts w:ascii="Segoe UI" w:hAnsi="Segoe UI" w:cs="Segoe UI"/>
          <w:noProof/>
          <w:color w:val="auto"/>
          <w:szCs w:val="20"/>
        </w:rPr>
        <w:t>s</w:t>
      </w:r>
      <w:r w:rsidRPr="00C165BA">
        <w:rPr>
          <w:rStyle w:val="Lienhypertexte"/>
          <w:rFonts w:ascii="Segoe UI" w:hAnsi="Segoe UI" w:cs="Segoe UI"/>
          <w:noProof/>
          <w:color w:val="auto"/>
          <w:szCs w:val="20"/>
        </w:rPr>
        <w:t xml:space="preserve"> et informatique</w:t>
      </w:r>
      <w:r w:rsidR="002E4F5E">
        <w:rPr>
          <w:rStyle w:val="Lienhypertexte"/>
          <w:rFonts w:ascii="Segoe UI" w:hAnsi="Segoe UI" w:cs="Segoe UI"/>
          <w:noProof/>
          <w:color w:val="auto"/>
          <w:szCs w:val="20"/>
        </w:rPr>
        <w:t>s</w:t>
      </w:r>
      <w:r w:rsidRPr="00060C7B">
        <w:rPr>
          <w:rStyle w:val="Lienhypertexte"/>
          <w:rFonts w:ascii="Segoe UI" w:hAnsi="Segoe UI" w:cs="Segoe UI"/>
          <w:noProof/>
          <w:color w:val="auto"/>
          <w:szCs w:val="20"/>
          <w:u w:val="none"/>
        </w:rPr>
        <w:t xml:space="preserve"> » (-24 %, à 13 MEUR, soit une contribution négative de 12,5 points</w:t>
      </w:r>
      <w:r w:rsidR="002E4F5E">
        <w:rPr>
          <w:rStyle w:val="Lienhypertexte"/>
          <w:rFonts w:ascii="Segoe UI" w:hAnsi="Segoe UI" w:cs="Segoe UI"/>
          <w:noProof/>
          <w:color w:val="auto"/>
          <w:szCs w:val="20"/>
          <w:u w:val="none"/>
        </w:rPr>
        <w:t xml:space="preserve"> à la croissance des exportations</w:t>
      </w:r>
      <w:r w:rsidRPr="00060C7B">
        <w:rPr>
          <w:rStyle w:val="Lienhypertexte"/>
          <w:rFonts w:ascii="Segoe UI" w:hAnsi="Segoe UI" w:cs="Segoe UI"/>
          <w:noProof/>
          <w:color w:val="auto"/>
          <w:szCs w:val="20"/>
          <w:u w:val="none"/>
        </w:rPr>
        <w:t xml:space="preserve">), en lien avec une baisse des exportations de « </w:t>
      </w:r>
      <w:r w:rsidR="002E4F5E">
        <w:rPr>
          <w:rStyle w:val="Lienhypertexte"/>
          <w:rFonts w:ascii="Segoe UI" w:hAnsi="Segoe UI" w:cs="Segoe UI"/>
          <w:noProof/>
          <w:color w:val="auto"/>
          <w:szCs w:val="20"/>
          <w:u w:val="none"/>
        </w:rPr>
        <w:t>m</w:t>
      </w:r>
      <w:r w:rsidR="002E4F5E" w:rsidRPr="00060C7B">
        <w:rPr>
          <w:rStyle w:val="Lienhypertexte"/>
          <w:rFonts w:ascii="Segoe UI" w:hAnsi="Segoe UI" w:cs="Segoe UI"/>
          <w:noProof/>
          <w:color w:val="auto"/>
          <w:szCs w:val="20"/>
          <w:u w:val="none"/>
        </w:rPr>
        <w:t xml:space="preserve">achines </w:t>
      </w:r>
      <w:r w:rsidRPr="00060C7B">
        <w:rPr>
          <w:rStyle w:val="Lienhypertexte"/>
          <w:rFonts w:ascii="Segoe UI" w:hAnsi="Segoe UI" w:cs="Segoe UI"/>
          <w:noProof/>
          <w:color w:val="auto"/>
          <w:szCs w:val="20"/>
          <w:u w:val="none"/>
        </w:rPr>
        <w:t>industrielles et agricoles, machines diverses » (-26 %, à 9 MEUR, soit une contribution négative de 10 points)</w:t>
      </w:r>
      <w:r w:rsidR="000F3DCF">
        <w:rPr>
          <w:rStyle w:val="Lienhypertexte"/>
          <w:rFonts w:ascii="Segoe UI" w:hAnsi="Segoe UI" w:cs="Segoe UI"/>
          <w:noProof/>
          <w:color w:val="auto"/>
          <w:szCs w:val="20"/>
          <w:u w:val="none"/>
        </w:rPr>
        <w:t>, qui avaient fortement progressé en 2023</w:t>
      </w:r>
      <w:r w:rsidRPr="00060C7B">
        <w:rPr>
          <w:rStyle w:val="Lienhypertexte"/>
          <w:rFonts w:ascii="Segoe UI" w:hAnsi="Segoe UI" w:cs="Segoe UI"/>
          <w:noProof/>
          <w:color w:val="auto"/>
          <w:szCs w:val="20"/>
          <w:u w:val="none"/>
        </w:rPr>
        <w:t>.</w:t>
      </w:r>
    </w:p>
    <w:p w14:paraId="7008A0BD" w14:textId="7F177AB4" w:rsidR="005E1486" w:rsidRPr="001430A7" w:rsidRDefault="005E1486" w:rsidP="00DA5FF8">
      <w:pPr>
        <w:pStyle w:val="Titre02"/>
        <w:rPr>
          <w:rStyle w:val="Lienhypertexte"/>
          <w:rFonts w:ascii="Marianne" w:hAnsi="Marianne" w:cs="Times New Roman (Corps CS)"/>
          <w:b w:val="0"/>
          <w:bCs/>
          <w:noProof w:val="0"/>
          <w:color w:val="auto"/>
          <w:szCs w:val="24"/>
          <w:u w:val="none"/>
        </w:rPr>
      </w:pPr>
      <w:r w:rsidRPr="005E1486">
        <w:rPr>
          <w:rStyle w:val="Lienhypertexte"/>
          <w:bCs/>
          <w:color w:val="auto"/>
          <w:u w:val="none"/>
        </w:rPr>
        <w:t xml:space="preserve">La </w:t>
      </w:r>
      <w:r w:rsidR="00D02E33">
        <w:rPr>
          <w:rStyle w:val="Lienhypertexte"/>
          <w:bCs/>
          <w:color w:val="auto"/>
          <w:u w:val="none"/>
        </w:rPr>
        <w:t>structures des</w:t>
      </w:r>
      <w:r w:rsidRPr="005E1486">
        <w:rPr>
          <w:rStyle w:val="Lienhypertexte"/>
          <w:bCs/>
          <w:color w:val="auto"/>
          <w:u w:val="none"/>
        </w:rPr>
        <w:t xml:space="preserve"> exportations </w:t>
      </w:r>
      <w:r w:rsidR="00D02E33">
        <w:rPr>
          <w:rStyle w:val="Lienhypertexte"/>
          <w:bCs/>
          <w:color w:val="auto"/>
          <w:u w:val="none"/>
        </w:rPr>
        <w:t xml:space="preserve">françaises </w:t>
      </w:r>
      <w:r w:rsidRPr="005E1486">
        <w:rPr>
          <w:rStyle w:val="Lienhypertexte"/>
          <w:bCs/>
          <w:color w:val="auto"/>
          <w:u w:val="none"/>
        </w:rPr>
        <w:t>vers la Namibie a connu une évolution marquée en 2024.</w:t>
      </w:r>
      <w:r>
        <w:rPr>
          <w:rStyle w:val="Lienhypertexte"/>
          <w:bCs/>
          <w:color w:val="auto"/>
          <w:u w:val="none"/>
        </w:rPr>
        <w:t xml:space="preserve"> </w:t>
      </w:r>
      <w:r w:rsidRPr="00246107">
        <w:rPr>
          <w:rStyle w:val="Lienhypertexte"/>
          <w:b w:val="0"/>
          <w:color w:val="auto"/>
          <w:u w:val="none"/>
        </w:rPr>
        <w:t xml:space="preserve">Bien que le </w:t>
      </w:r>
      <w:r w:rsidR="00D02E33">
        <w:rPr>
          <w:rStyle w:val="Lienhypertexte"/>
          <w:b w:val="0"/>
          <w:color w:val="auto"/>
          <w:u w:val="none"/>
        </w:rPr>
        <w:t>poste</w:t>
      </w:r>
      <w:r w:rsidRPr="00246107">
        <w:rPr>
          <w:rStyle w:val="Lienhypertexte"/>
          <w:b w:val="0"/>
          <w:color w:val="auto"/>
          <w:u w:val="none"/>
        </w:rPr>
        <w:t xml:space="preserve"> « </w:t>
      </w:r>
      <w:r w:rsidRPr="00C637CE">
        <w:rPr>
          <w:rStyle w:val="Lienhypertexte"/>
          <w:b w:val="0"/>
          <w:color w:val="auto"/>
        </w:rPr>
        <w:t>équipements mécaniques, électriques, électroniques et informatiques</w:t>
      </w:r>
      <w:r w:rsidRPr="00246107">
        <w:rPr>
          <w:rStyle w:val="Lienhypertexte"/>
          <w:b w:val="0"/>
          <w:color w:val="auto"/>
          <w:u w:val="none"/>
        </w:rPr>
        <w:t xml:space="preserve"> » (moteurs, transformateurs, machines et équipements d’usage général) conserve la première place, il n</w:t>
      </w:r>
      <w:r w:rsidR="00D02E33">
        <w:rPr>
          <w:rStyle w:val="Lienhypertexte"/>
          <w:b w:val="0"/>
          <w:color w:val="auto"/>
          <w:u w:val="none"/>
        </w:rPr>
        <w:t>’a</w:t>
      </w:r>
      <w:r w:rsidRPr="00246107">
        <w:rPr>
          <w:rStyle w:val="Lienhypertexte"/>
          <w:b w:val="0"/>
          <w:color w:val="auto"/>
          <w:u w:val="none"/>
        </w:rPr>
        <w:t xml:space="preserve"> </w:t>
      </w:r>
      <w:r w:rsidR="00D02E33" w:rsidRPr="00246107">
        <w:rPr>
          <w:rStyle w:val="Lienhypertexte"/>
          <w:b w:val="0"/>
          <w:color w:val="auto"/>
          <w:u w:val="none"/>
        </w:rPr>
        <w:t>représent</w:t>
      </w:r>
      <w:r w:rsidR="00D02E33">
        <w:rPr>
          <w:rStyle w:val="Lienhypertexte"/>
          <w:b w:val="0"/>
          <w:color w:val="auto"/>
          <w:u w:val="none"/>
        </w:rPr>
        <w:t>é</w:t>
      </w:r>
      <w:r w:rsidR="00D02E33" w:rsidRPr="00246107">
        <w:rPr>
          <w:rStyle w:val="Lienhypertexte"/>
          <w:b w:val="0"/>
          <w:color w:val="auto"/>
          <w:u w:val="none"/>
        </w:rPr>
        <w:t xml:space="preserve"> </w:t>
      </w:r>
      <w:r w:rsidRPr="00246107">
        <w:rPr>
          <w:rStyle w:val="Lienhypertexte"/>
          <w:b w:val="0"/>
          <w:color w:val="auto"/>
          <w:u w:val="none"/>
        </w:rPr>
        <w:t>que 35,</w:t>
      </w:r>
      <w:r w:rsidR="00B84FE0">
        <w:rPr>
          <w:rStyle w:val="Lienhypertexte"/>
          <w:b w:val="0"/>
          <w:color w:val="auto"/>
          <w:u w:val="none"/>
        </w:rPr>
        <w:t>5</w:t>
      </w:r>
      <w:r w:rsidRPr="00246107">
        <w:rPr>
          <w:rStyle w:val="Lienhypertexte"/>
          <w:b w:val="0"/>
          <w:color w:val="auto"/>
          <w:u w:val="none"/>
        </w:rPr>
        <w:t xml:space="preserve"> % des flux</w:t>
      </w:r>
      <w:r w:rsidR="00E07562">
        <w:rPr>
          <w:rStyle w:val="Lienhypertexte"/>
          <w:b w:val="0"/>
          <w:color w:val="auto"/>
          <w:u w:val="none"/>
        </w:rPr>
        <w:t xml:space="preserve"> (proche de sa moyenne historique – 35,7% entre 2018 et 2022)</w:t>
      </w:r>
      <w:r w:rsidRPr="00246107">
        <w:rPr>
          <w:rStyle w:val="Lienhypertexte"/>
          <w:b w:val="0"/>
          <w:color w:val="auto"/>
          <w:u w:val="none"/>
        </w:rPr>
        <w:t xml:space="preserve">, </w:t>
      </w:r>
      <w:r w:rsidR="00E07562">
        <w:rPr>
          <w:rStyle w:val="Lienhypertexte"/>
          <w:b w:val="0"/>
          <w:color w:val="auto"/>
          <w:u w:val="none"/>
        </w:rPr>
        <w:t>alors qu’il avait représenté plus de la moitié des exportations (</w:t>
      </w:r>
      <w:r w:rsidRPr="00246107">
        <w:rPr>
          <w:rStyle w:val="Lienhypertexte"/>
          <w:b w:val="0"/>
          <w:color w:val="auto"/>
          <w:u w:val="none"/>
        </w:rPr>
        <w:t>53,1 %</w:t>
      </w:r>
      <w:r w:rsidR="00E07562">
        <w:rPr>
          <w:rStyle w:val="Lienhypertexte"/>
          <w:b w:val="0"/>
          <w:color w:val="auto"/>
          <w:u w:val="none"/>
        </w:rPr>
        <w:t>)</w:t>
      </w:r>
      <w:r w:rsidRPr="00246107">
        <w:rPr>
          <w:rStyle w:val="Lienhypertexte"/>
          <w:b w:val="0"/>
          <w:color w:val="auto"/>
          <w:u w:val="none"/>
        </w:rPr>
        <w:t xml:space="preserve"> en 2023. Le </w:t>
      </w:r>
      <w:r w:rsidR="00D02E33">
        <w:rPr>
          <w:rStyle w:val="Lienhypertexte"/>
          <w:b w:val="0"/>
          <w:color w:val="auto"/>
          <w:u w:val="none"/>
        </w:rPr>
        <w:t xml:space="preserve">poste </w:t>
      </w:r>
      <w:r w:rsidRPr="00246107">
        <w:rPr>
          <w:rStyle w:val="Lienhypertexte"/>
          <w:b w:val="0"/>
          <w:color w:val="auto"/>
          <w:u w:val="none"/>
        </w:rPr>
        <w:t xml:space="preserve">« </w:t>
      </w:r>
      <w:r w:rsidRPr="00D02E33">
        <w:rPr>
          <w:rStyle w:val="Lienhypertexte"/>
          <w:b w:val="0"/>
          <w:color w:val="auto"/>
          <w:u w:val="none"/>
        </w:rPr>
        <w:t>matériel de transport</w:t>
      </w:r>
      <w:r w:rsidRPr="00246107">
        <w:rPr>
          <w:rStyle w:val="Lienhypertexte"/>
          <w:b w:val="0"/>
          <w:color w:val="auto"/>
          <w:u w:val="none"/>
        </w:rPr>
        <w:t xml:space="preserve"> » </w:t>
      </w:r>
      <w:r w:rsidR="00D02E33">
        <w:rPr>
          <w:rStyle w:val="Lienhypertexte"/>
          <w:b w:val="0"/>
          <w:color w:val="auto"/>
          <w:u w:val="none"/>
        </w:rPr>
        <w:t xml:space="preserve">se hisse </w:t>
      </w:r>
      <w:r w:rsidR="00E07562">
        <w:rPr>
          <w:rStyle w:val="Lienhypertexte"/>
          <w:b w:val="0"/>
          <w:color w:val="auto"/>
          <w:u w:val="none"/>
        </w:rPr>
        <w:t xml:space="preserve">quant à lui </w:t>
      </w:r>
      <w:r w:rsidR="00D02E33">
        <w:rPr>
          <w:rStyle w:val="Lienhypertexte"/>
          <w:b w:val="0"/>
          <w:color w:val="auto"/>
          <w:u w:val="none"/>
        </w:rPr>
        <w:t>à la</w:t>
      </w:r>
      <w:r w:rsidRPr="00246107">
        <w:rPr>
          <w:rStyle w:val="Lienhypertexte"/>
          <w:b w:val="0"/>
          <w:color w:val="auto"/>
          <w:u w:val="none"/>
        </w:rPr>
        <w:t xml:space="preserve"> deuxième position, </w:t>
      </w:r>
      <w:r w:rsidR="00D02E33">
        <w:rPr>
          <w:rStyle w:val="Lienhypertexte"/>
          <w:b w:val="0"/>
          <w:color w:val="auto"/>
          <w:u w:val="none"/>
        </w:rPr>
        <w:t>représentant</w:t>
      </w:r>
      <w:r w:rsidRPr="00246107">
        <w:rPr>
          <w:rStyle w:val="Lienhypertexte"/>
          <w:b w:val="0"/>
          <w:color w:val="auto"/>
          <w:u w:val="none"/>
        </w:rPr>
        <w:t xml:space="preserve"> 25,2 % du total, contre seulement 2,1 % </w:t>
      </w:r>
      <w:r w:rsidR="00D02E33">
        <w:rPr>
          <w:rStyle w:val="Lienhypertexte"/>
          <w:b w:val="0"/>
          <w:color w:val="auto"/>
          <w:u w:val="none"/>
        </w:rPr>
        <w:t>en 2023</w:t>
      </w:r>
      <w:r w:rsidRPr="00246107">
        <w:rPr>
          <w:rStyle w:val="Lienhypertexte"/>
          <w:b w:val="0"/>
          <w:color w:val="auto"/>
          <w:u w:val="none"/>
        </w:rPr>
        <w:t xml:space="preserve">. </w:t>
      </w:r>
      <w:r w:rsidR="00E07562">
        <w:rPr>
          <w:rStyle w:val="Lienhypertexte"/>
          <w:b w:val="0"/>
          <w:color w:val="auto"/>
          <w:u w:val="none"/>
        </w:rPr>
        <w:t>L</w:t>
      </w:r>
      <w:r w:rsidRPr="00246107">
        <w:rPr>
          <w:rStyle w:val="Lienhypertexte"/>
          <w:b w:val="0"/>
          <w:color w:val="auto"/>
          <w:u w:val="none"/>
        </w:rPr>
        <w:t xml:space="preserve">es « </w:t>
      </w:r>
      <w:r w:rsidRPr="00C637CE">
        <w:rPr>
          <w:rStyle w:val="Lienhypertexte"/>
          <w:b w:val="0"/>
          <w:color w:val="auto"/>
        </w:rPr>
        <w:t>produits chimiques, parfums et cosmétiques</w:t>
      </w:r>
      <w:r w:rsidRPr="00246107">
        <w:rPr>
          <w:rStyle w:val="Lienhypertexte"/>
          <w:b w:val="0"/>
          <w:color w:val="auto"/>
          <w:u w:val="none"/>
        </w:rPr>
        <w:t xml:space="preserve"> » (notamment les agents de surface organiques et les réactifs de laboratoire) </w:t>
      </w:r>
      <w:r w:rsidR="00E07562">
        <w:rPr>
          <w:rStyle w:val="Lienhypertexte"/>
          <w:b w:val="0"/>
          <w:color w:val="auto"/>
          <w:u w:val="none"/>
        </w:rPr>
        <w:t>continuent de reculer (troisième poste d’exportations en 2024, alors qu’il figurai</w:t>
      </w:r>
      <w:r w:rsidR="00003FA1">
        <w:rPr>
          <w:rStyle w:val="Lienhypertexte"/>
          <w:b w:val="0"/>
          <w:color w:val="auto"/>
          <w:u w:val="none"/>
        </w:rPr>
        <w:t>en</w:t>
      </w:r>
      <w:r w:rsidR="00E07562">
        <w:rPr>
          <w:rStyle w:val="Lienhypertexte"/>
          <w:b w:val="0"/>
          <w:color w:val="auto"/>
          <w:u w:val="none"/>
        </w:rPr>
        <w:t>t en deuxième position en 2023 et à la première place en 2021)</w:t>
      </w:r>
      <w:r w:rsidRPr="00246107">
        <w:rPr>
          <w:rStyle w:val="Lienhypertexte"/>
          <w:b w:val="0"/>
          <w:color w:val="auto"/>
          <w:u w:val="none"/>
        </w:rPr>
        <w:t xml:space="preserve">, malgré une hausse </w:t>
      </w:r>
      <w:r w:rsidR="00003FA1">
        <w:rPr>
          <w:rStyle w:val="Lienhypertexte"/>
          <w:b w:val="0"/>
          <w:color w:val="auto"/>
          <w:u w:val="none"/>
        </w:rPr>
        <w:t xml:space="preserve">des ventes </w:t>
      </w:r>
      <w:r w:rsidRPr="00246107">
        <w:rPr>
          <w:rStyle w:val="Lienhypertexte"/>
          <w:b w:val="0"/>
          <w:color w:val="auto"/>
          <w:u w:val="none"/>
        </w:rPr>
        <w:t>en valeur</w:t>
      </w:r>
      <w:r w:rsidR="001430A7">
        <w:rPr>
          <w:rStyle w:val="Lienhypertexte"/>
          <w:b w:val="0"/>
          <w:color w:val="auto"/>
          <w:u w:val="none"/>
        </w:rPr>
        <w:t xml:space="preserve"> et </w:t>
      </w:r>
      <w:r w:rsidR="00003FA1">
        <w:rPr>
          <w:rStyle w:val="Lienhypertexte"/>
          <w:b w:val="0"/>
          <w:color w:val="auto"/>
          <w:u w:val="none"/>
        </w:rPr>
        <w:t xml:space="preserve">en </w:t>
      </w:r>
      <w:r w:rsidR="001430A7">
        <w:rPr>
          <w:rStyle w:val="Lienhypertexte"/>
          <w:b w:val="0"/>
          <w:color w:val="auto"/>
          <w:u w:val="none"/>
        </w:rPr>
        <w:t>pourcentage des exportations (</w:t>
      </w:r>
      <w:r w:rsidRPr="00246107">
        <w:rPr>
          <w:rStyle w:val="Lienhypertexte"/>
          <w:b w:val="0"/>
          <w:color w:val="auto"/>
          <w:u w:val="none"/>
        </w:rPr>
        <w:t>20 %, contre 13 % en 2023</w:t>
      </w:r>
      <w:r w:rsidR="001430A7">
        <w:rPr>
          <w:rStyle w:val="Lienhypertexte"/>
          <w:b w:val="0"/>
          <w:color w:val="auto"/>
          <w:u w:val="none"/>
        </w:rPr>
        <w:t>)</w:t>
      </w:r>
      <w:r w:rsidRPr="00246107">
        <w:rPr>
          <w:rStyle w:val="Lienhypertexte"/>
          <w:b w:val="0"/>
          <w:color w:val="auto"/>
          <w:u w:val="none"/>
        </w:rPr>
        <w:t>.</w:t>
      </w:r>
    </w:p>
    <w:p w14:paraId="5C94E1DA" w14:textId="19F8FA11" w:rsidR="001430A7" w:rsidRDefault="00244CC2" w:rsidP="00DA5FF8">
      <w:pPr>
        <w:pStyle w:val="Titre02"/>
        <w:rPr>
          <w:rStyle w:val="Lienhypertexte"/>
          <w:bCs/>
          <w:color w:val="auto"/>
          <w:u w:val="none"/>
        </w:rPr>
      </w:pPr>
      <w:r>
        <w:rPr>
          <w:rStyle w:val="Lienhypertexte"/>
          <w:bCs/>
          <w:color w:val="auto"/>
          <w:u w:val="none"/>
        </w:rPr>
        <w:t>L</w:t>
      </w:r>
      <w:r w:rsidR="004E1164" w:rsidRPr="004E1164">
        <w:rPr>
          <w:rStyle w:val="Lienhypertexte"/>
          <w:bCs/>
          <w:color w:val="auto"/>
          <w:u w:val="none"/>
        </w:rPr>
        <w:t xml:space="preserve">a Namibie </w:t>
      </w:r>
      <w:r>
        <w:rPr>
          <w:rStyle w:val="Lienhypertexte"/>
          <w:bCs/>
          <w:color w:val="auto"/>
          <w:u w:val="none"/>
        </w:rPr>
        <w:t xml:space="preserve">reste </w:t>
      </w:r>
      <w:r w:rsidR="004E1164" w:rsidRPr="004E1164">
        <w:rPr>
          <w:rStyle w:val="Lienhypertexte"/>
          <w:bCs/>
          <w:color w:val="auto"/>
          <w:u w:val="none"/>
        </w:rPr>
        <w:t xml:space="preserve">un débouché marginal pour les produits français. </w:t>
      </w:r>
      <w:r>
        <w:rPr>
          <w:rStyle w:val="Lienhypertexte"/>
          <w:b w:val="0"/>
          <w:color w:val="auto"/>
          <w:u w:val="none"/>
        </w:rPr>
        <w:t>En valeur, le pays se classe au</w:t>
      </w:r>
      <w:r w:rsidR="004E1164" w:rsidRPr="00BB5797">
        <w:rPr>
          <w:rStyle w:val="Lienhypertexte"/>
          <w:b w:val="0"/>
          <w:color w:val="auto"/>
          <w:u w:val="none"/>
        </w:rPr>
        <w:t xml:space="preserve"> 1</w:t>
      </w:r>
      <w:r w:rsidR="00BB5797" w:rsidRPr="00BB5797">
        <w:rPr>
          <w:rStyle w:val="Lienhypertexte"/>
          <w:b w:val="0"/>
          <w:color w:val="auto"/>
          <w:u w:val="none"/>
        </w:rPr>
        <w:t>45</w:t>
      </w:r>
      <w:r w:rsidR="004E1164" w:rsidRPr="00C165BA">
        <w:rPr>
          <w:rStyle w:val="Lienhypertexte"/>
          <w:b w:val="0"/>
          <w:color w:val="auto"/>
          <w:u w:val="none"/>
          <w:vertAlign w:val="superscript"/>
        </w:rPr>
        <w:t>ème</w:t>
      </w:r>
      <w:r>
        <w:rPr>
          <w:rStyle w:val="Lienhypertexte"/>
          <w:b w:val="0"/>
          <w:color w:val="auto"/>
          <w:u w:val="none"/>
        </w:rPr>
        <w:t xml:space="preserve"> rang des </w:t>
      </w:r>
      <w:r w:rsidR="004E1164" w:rsidRPr="00BB5797">
        <w:rPr>
          <w:rStyle w:val="Lienhypertexte"/>
          <w:b w:val="0"/>
          <w:color w:val="auto"/>
          <w:u w:val="none"/>
        </w:rPr>
        <w:t xml:space="preserve">clients </w:t>
      </w:r>
      <w:r>
        <w:rPr>
          <w:rStyle w:val="Lienhypertexte"/>
          <w:b w:val="0"/>
          <w:color w:val="auto"/>
          <w:u w:val="none"/>
        </w:rPr>
        <w:t xml:space="preserve">de la France </w:t>
      </w:r>
      <w:r w:rsidR="004E1164" w:rsidRPr="00BB5797">
        <w:rPr>
          <w:rStyle w:val="Lienhypertexte"/>
          <w:b w:val="0"/>
          <w:color w:val="auto"/>
          <w:u w:val="none"/>
        </w:rPr>
        <w:t xml:space="preserve">(sur un total de 235 </w:t>
      </w:r>
      <w:r w:rsidR="004E1164" w:rsidRPr="006E0157">
        <w:rPr>
          <w:rStyle w:val="Lienhypertexte"/>
          <w:b w:val="0"/>
          <w:color w:val="auto"/>
          <w:u w:val="none"/>
        </w:rPr>
        <w:t>pays) et le 33</w:t>
      </w:r>
      <w:r w:rsidR="004E1164" w:rsidRPr="00C165BA">
        <w:rPr>
          <w:rStyle w:val="Lienhypertexte"/>
          <w:b w:val="0"/>
          <w:color w:val="auto"/>
          <w:u w:val="none"/>
          <w:vertAlign w:val="superscript"/>
        </w:rPr>
        <w:t>ème</w:t>
      </w:r>
      <w:r>
        <w:rPr>
          <w:rStyle w:val="Lienhypertexte"/>
          <w:b w:val="0"/>
          <w:color w:val="auto"/>
          <w:u w:val="none"/>
        </w:rPr>
        <w:t xml:space="preserve"> </w:t>
      </w:r>
      <w:r w:rsidR="004E1164" w:rsidRPr="006E0157">
        <w:rPr>
          <w:rStyle w:val="Lienhypertexte"/>
          <w:b w:val="0"/>
          <w:color w:val="auto"/>
          <w:u w:val="none"/>
        </w:rPr>
        <w:t xml:space="preserve">en Afrique subsaharienne. </w:t>
      </w:r>
      <w:r>
        <w:rPr>
          <w:rStyle w:val="Lienhypertexte"/>
          <w:b w:val="0"/>
          <w:color w:val="auto"/>
          <w:u w:val="none"/>
        </w:rPr>
        <w:t>L</w:t>
      </w:r>
      <w:r w:rsidR="004E1164" w:rsidRPr="006E0157">
        <w:rPr>
          <w:rStyle w:val="Lienhypertexte"/>
          <w:b w:val="0"/>
          <w:color w:val="auto"/>
          <w:u w:val="none"/>
        </w:rPr>
        <w:t xml:space="preserve">a France </w:t>
      </w:r>
      <w:r>
        <w:rPr>
          <w:rStyle w:val="Lienhypertexte"/>
          <w:b w:val="0"/>
          <w:color w:val="auto"/>
          <w:u w:val="none"/>
        </w:rPr>
        <w:t xml:space="preserve">est </w:t>
      </w:r>
      <w:r>
        <w:rPr>
          <w:rStyle w:val="Lienhypertexte"/>
          <w:b w:val="0"/>
          <w:color w:val="auto"/>
          <w:u w:val="none"/>
        </w:rPr>
        <w:lastRenderedPageBreak/>
        <w:t>également</w:t>
      </w:r>
      <w:r w:rsidR="004E1164" w:rsidRPr="006E0157">
        <w:rPr>
          <w:rStyle w:val="Lienhypertexte"/>
          <w:b w:val="0"/>
          <w:color w:val="auto"/>
          <w:u w:val="none"/>
        </w:rPr>
        <w:t xml:space="preserve"> un fournisseur marginal pour le pays (</w:t>
      </w:r>
      <w:r w:rsidR="00A710BC">
        <w:rPr>
          <w:rStyle w:val="Lienhypertexte"/>
          <w:b w:val="0"/>
          <w:color w:val="auto"/>
          <w:u w:val="none"/>
        </w:rPr>
        <w:t xml:space="preserve">le </w:t>
      </w:r>
      <w:r w:rsidR="006E0157" w:rsidRPr="006E0157">
        <w:rPr>
          <w:rStyle w:val="Lienhypertexte"/>
          <w:b w:val="0"/>
          <w:color w:val="auto"/>
          <w:u w:val="none"/>
        </w:rPr>
        <w:t>2</w:t>
      </w:r>
      <w:r w:rsidR="00B27721">
        <w:rPr>
          <w:rStyle w:val="Lienhypertexte"/>
          <w:b w:val="0"/>
          <w:color w:val="auto"/>
          <w:u w:val="none"/>
        </w:rPr>
        <w:t>0</w:t>
      </w:r>
      <w:r w:rsidR="004E1164" w:rsidRPr="00C165BA">
        <w:rPr>
          <w:rStyle w:val="Lienhypertexte"/>
          <w:b w:val="0"/>
          <w:color w:val="auto"/>
          <w:u w:val="none"/>
          <w:vertAlign w:val="superscript"/>
        </w:rPr>
        <w:t>ème</w:t>
      </w:r>
      <w:r>
        <w:rPr>
          <w:rStyle w:val="Lienhypertexte"/>
          <w:b w:val="0"/>
          <w:color w:val="auto"/>
          <w:u w:val="none"/>
        </w:rPr>
        <w:t xml:space="preserve"> </w:t>
      </w:r>
      <w:r w:rsidR="004E1164" w:rsidRPr="006E0157">
        <w:rPr>
          <w:rStyle w:val="Lienhypertexte"/>
          <w:b w:val="0"/>
          <w:color w:val="auto"/>
          <w:u w:val="none"/>
        </w:rPr>
        <w:t>au niveau mondial</w:t>
      </w:r>
      <w:r w:rsidR="00A710BC">
        <w:rPr>
          <w:rStyle w:val="Lienhypertexte"/>
          <w:b w:val="0"/>
          <w:color w:val="auto"/>
          <w:u w:val="none"/>
        </w:rPr>
        <w:t xml:space="preserve"> et le 7</w:t>
      </w:r>
      <w:r w:rsidR="00A710BC" w:rsidRPr="00C165BA">
        <w:rPr>
          <w:rStyle w:val="Lienhypertexte"/>
          <w:b w:val="0"/>
          <w:color w:val="auto"/>
          <w:u w:val="none"/>
          <w:vertAlign w:val="superscript"/>
        </w:rPr>
        <w:t>ème</w:t>
      </w:r>
      <w:r w:rsidR="00A710BC">
        <w:rPr>
          <w:rStyle w:val="Lienhypertexte"/>
          <w:b w:val="0"/>
          <w:color w:val="auto"/>
          <w:u w:val="none"/>
        </w:rPr>
        <w:t xml:space="preserve"> en Europe</w:t>
      </w:r>
      <w:r w:rsidR="004E1164" w:rsidRPr="006E0157">
        <w:rPr>
          <w:rStyle w:val="Lienhypertexte"/>
          <w:b w:val="0"/>
          <w:color w:val="auto"/>
          <w:u w:val="none"/>
        </w:rPr>
        <w:t>, avec une part de marché de 0,</w:t>
      </w:r>
      <w:r w:rsidR="006E0157" w:rsidRPr="006E0157">
        <w:rPr>
          <w:rStyle w:val="Lienhypertexte"/>
          <w:b w:val="0"/>
          <w:color w:val="auto"/>
          <w:u w:val="none"/>
        </w:rPr>
        <w:t>6</w:t>
      </w:r>
      <w:r w:rsidR="004E1164" w:rsidRPr="006E0157">
        <w:rPr>
          <w:rStyle w:val="Lienhypertexte"/>
          <w:b w:val="0"/>
          <w:color w:val="auto"/>
          <w:u w:val="none"/>
        </w:rPr>
        <w:t>%</w:t>
      </w:r>
      <w:r>
        <w:rPr>
          <w:rStyle w:val="Lienhypertexte"/>
          <w:b w:val="0"/>
          <w:color w:val="auto"/>
          <w:u w:val="none"/>
        </w:rPr>
        <w:t>, selon des données de 2023 – les dernières disponibles</w:t>
      </w:r>
      <w:r w:rsidR="004E1164" w:rsidRPr="006E0157">
        <w:rPr>
          <w:rStyle w:val="Lienhypertexte"/>
          <w:b w:val="0"/>
          <w:color w:val="auto"/>
          <w:u w:val="none"/>
        </w:rPr>
        <w:t>).</w:t>
      </w:r>
      <w:r w:rsidR="004E1164" w:rsidRPr="004E1164">
        <w:rPr>
          <w:rStyle w:val="Lienhypertexte"/>
          <w:bCs/>
          <w:color w:val="auto"/>
          <w:u w:val="none"/>
        </w:rPr>
        <w:t xml:space="preserve"> </w:t>
      </w:r>
      <w:r>
        <w:rPr>
          <w:rStyle w:val="Lienhypertexte"/>
          <w:b w:val="0"/>
          <w:color w:val="auto"/>
          <w:u w:val="none"/>
        </w:rPr>
        <w:t>La Namibie</w:t>
      </w:r>
      <w:r w:rsidR="004E1164" w:rsidRPr="006E0157">
        <w:rPr>
          <w:rStyle w:val="Lienhypertexte"/>
          <w:b w:val="0"/>
          <w:color w:val="auto"/>
          <w:u w:val="none"/>
        </w:rPr>
        <w:t xml:space="preserve"> reste en effet largement dépendant</w:t>
      </w:r>
      <w:r>
        <w:rPr>
          <w:rStyle w:val="Lienhypertexte"/>
          <w:b w:val="0"/>
          <w:color w:val="auto"/>
          <w:u w:val="none"/>
        </w:rPr>
        <w:t>e</w:t>
      </w:r>
      <w:r w:rsidR="004E1164" w:rsidRPr="006E0157">
        <w:rPr>
          <w:rStyle w:val="Lienhypertexte"/>
          <w:b w:val="0"/>
          <w:color w:val="auto"/>
          <w:u w:val="none"/>
        </w:rPr>
        <w:t xml:space="preserve"> de </w:t>
      </w:r>
      <w:r>
        <w:rPr>
          <w:rStyle w:val="Lienhypertexte"/>
          <w:b w:val="0"/>
          <w:color w:val="auto"/>
          <w:u w:val="none"/>
        </w:rPr>
        <w:t xml:space="preserve">son voisin sud-africain pour ses approvisionnements, qui représentent </w:t>
      </w:r>
      <w:r w:rsidR="006E0157" w:rsidRPr="006E0157">
        <w:rPr>
          <w:rStyle w:val="Lienhypertexte"/>
          <w:b w:val="0"/>
          <w:color w:val="auto"/>
          <w:u w:val="none"/>
        </w:rPr>
        <w:t>35,7</w:t>
      </w:r>
      <w:r w:rsidR="004E1164" w:rsidRPr="006E0157">
        <w:rPr>
          <w:rStyle w:val="Lienhypertexte"/>
          <w:b w:val="0"/>
          <w:color w:val="auto"/>
          <w:u w:val="none"/>
        </w:rPr>
        <w:t>% de ses importations.</w:t>
      </w:r>
      <w:r w:rsidR="004E1164" w:rsidRPr="004E1164">
        <w:rPr>
          <w:rStyle w:val="Lienhypertexte"/>
          <w:bCs/>
          <w:color w:val="auto"/>
          <w:u w:val="none"/>
        </w:rPr>
        <w:t xml:space="preserve"> </w:t>
      </w:r>
    </w:p>
    <w:p w14:paraId="1F76168B" w14:textId="3366C217" w:rsidR="00C62BD3" w:rsidRDefault="00CD788F" w:rsidP="00DA5FF8">
      <w:pPr>
        <w:pStyle w:val="Titre02"/>
        <w:rPr>
          <w:rStyle w:val="Lienhypertexte"/>
          <w:rFonts w:asciiTheme="minorHAnsi" w:hAnsiTheme="minorHAnsi" w:cstheme="minorBidi"/>
          <w:b w:val="0"/>
          <w:bCs/>
          <w:noProof w:val="0"/>
          <w:color w:val="auto"/>
          <w:sz w:val="22"/>
          <w:szCs w:val="22"/>
          <w:u w:val="none"/>
        </w:rPr>
      </w:pPr>
      <w:r>
        <w:rPr>
          <w:rStyle w:val="Lienhypertexte"/>
          <w:bCs/>
          <w:color w:val="auto"/>
          <w:u w:val="none"/>
        </w:rPr>
        <w:t>Dans le même temps</w:t>
      </w:r>
      <w:r w:rsidR="007E352A" w:rsidRPr="007E352A">
        <w:rPr>
          <w:rStyle w:val="Lienhypertexte"/>
          <w:bCs/>
          <w:color w:val="auto"/>
          <w:u w:val="none"/>
        </w:rPr>
        <w:t>, les importations françaises en provenance de Namibie</w:t>
      </w:r>
      <w:r>
        <w:rPr>
          <w:rStyle w:val="Lienhypertexte"/>
          <w:bCs/>
          <w:color w:val="auto"/>
          <w:u w:val="none"/>
        </w:rPr>
        <w:t>, qui avaient atteint un pic en 2023,</w:t>
      </w:r>
      <w:r w:rsidR="007E352A" w:rsidRPr="007E352A">
        <w:rPr>
          <w:rStyle w:val="Lienhypertexte"/>
          <w:bCs/>
          <w:color w:val="auto"/>
          <w:u w:val="none"/>
        </w:rPr>
        <w:t xml:space="preserve"> ont reculé</w:t>
      </w:r>
      <w:r>
        <w:rPr>
          <w:rStyle w:val="Lienhypertexte"/>
          <w:bCs/>
          <w:color w:val="auto"/>
          <w:u w:val="none"/>
        </w:rPr>
        <w:t xml:space="preserve"> (-</w:t>
      </w:r>
      <w:r w:rsidR="007E352A" w:rsidRPr="007E352A">
        <w:rPr>
          <w:rStyle w:val="Lienhypertexte"/>
          <w:bCs/>
          <w:color w:val="auto"/>
          <w:u w:val="none"/>
        </w:rPr>
        <w:t>24,5 %</w:t>
      </w:r>
      <w:r w:rsidR="00C637CE">
        <w:rPr>
          <w:rStyle w:val="Lienhypertexte"/>
          <w:bCs/>
          <w:color w:val="auto"/>
          <w:u w:val="none"/>
        </w:rPr>
        <w:t xml:space="preserve"> en 2024</w:t>
      </w:r>
      <w:r w:rsidR="007E352A" w:rsidRPr="007E352A">
        <w:rPr>
          <w:rStyle w:val="Lienhypertexte"/>
          <w:bCs/>
          <w:color w:val="auto"/>
          <w:u w:val="none"/>
        </w:rPr>
        <w:t>, à 189 M</w:t>
      </w:r>
      <w:r w:rsidR="00DC5779">
        <w:rPr>
          <w:rStyle w:val="Lienhypertexte"/>
          <w:bCs/>
          <w:color w:val="auto"/>
          <w:u w:val="none"/>
        </w:rPr>
        <w:t>EUR</w:t>
      </w:r>
      <w:r>
        <w:rPr>
          <w:rStyle w:val="Lienhypertexte"/>
          <w:bCs/>
          <w:color w:val="auto"/>
          <w:u w:val="none"/>
        </w:rPr>
        <w:t>)</w:t>
      </w:r>
      <w:r w:rsidR="007E352A" w:rsidRPr="007E352A">
        <w:rPr>
          <w:rStyle w:val="Lienhypertexte"/>
          <w:bCs/>
          <w:color w:val="auto"/>
          <w:u w:val="none"/>
        </w:rPr>
        <w:t>.</w:t>
      </w:r>
      <w:r w:rsidR="007E352A">
        <w:rPr>
          <w:rStyle w:val="Lienhypertexte"/>
          <w:bCs/>
          <w:color w:val="auto"/>
          <w:u w:val="none"/>
        </w:rPr>
        <w:t xml:space="preserve"> </w:t>
      </w:r>
      <w:r w:rsidR="00D90ECF">
        <w:rPr>
          <w:rStyle w:val="Lienhypertexte"/>
          <w:b w:val="0"/>
          <w:color w:val="auto"/>
          <w:u w:val="none"/>
        </w:rPr>
        <w:t>Elles ont</w:t>
      </w:r>
      <w:r>
        <w:rPr>
          <w:rStyle w:val="Lienhypertexte"/>
          <w:b w:val="0"/>
          <w:color w:val="auto"/>
          <w:u w:val="none"/>
        </w:rPr>
        <w:t xml:space="preserve"> toutefois plus que triplé </w:t>
      </w:r>
      <w:r w:rsidR="007E352A" w:rsidRPr="007E352A">
        <w:rPr>
          <w:rStyle w:val="Lienhypertexte"/>
          <w:b w:val="0"/>
          <w:color w:val="auto"/>
          <w:u w:val="none"/>
        </w:rPr>
        <w:t xml:space="preserve">sur les cinq dernières années, soulignant l’ampleur de la progression observée sur la période malgré </w:t>
      </w:r>
      <w:r w:rsidR="00D90ECF">
        <w:rPr>
          <w:rStyle w:val="Lienhypertexte"/>
          <w:b w:val="0"/>
          <w:color w:val="auto"/>
          <w:u w:val="none"/>
        </w:rPr>
        <w:t>c</w:t>
      </w:r>
      <w:r w:rsidR="00D90ECF" w:rsidRPr="007E352A">
        <w:rPr>
          <w:rStyle w:val="Lienhypertexte"/>
          <w:b w:val="0"/>
          <w:color w:val="auto"/>
          <w:u w:val="none"/>
        </w:rPr>
        <w:t xml:space="preserve">e </w:t>
      </w:r>
      <w:r w:rsidR="007E352A" w:rsidRPr="007E352A">
        <w:rPr>
          <w:rStyle w:val="Lienhypertexte"/>
          <w:b w:val="0"/>
          <w:color w:val="auto"/>
          <w:u w:val="none"/>
        </w:rPr>
        <w:t>repli récent.</w:t>
      </w:r>
      <w:r w:rsidR="00C637CE">
        <w:rPr>
          <w:rStyle w:val="Lienhypertexte"/>
          <w:b w:val="0"/>
          <w:color w:val="auto"/>
          <w:u w:val="none"/>
        </w:rPr>
        <w:t xml:space="preserve"> L’évolution constatée en 2024 s’explique principalement par :</w:t>
      </w:r>
    </w:p>
    <w:p w14:paraId="5110DD78" w14:textId="3DC43826" w:rsidR="007E39A3" w:rsidRDefault="00C637CE" w:rsidP="00A91A50">
      <w:pPr>
        <w:pStyle w:val="Titre02"/>
        <w:numPr>
          <w:ilvl w:val="1"/>
          <w:numId w:val="16"/>
        </w:numPr>
        <w:ind w:left="709" w:hanging="273"/>
        <w:rPr>
          <w:rStyle w:val="Lienhypertexte"/>
          <w:b w:val="0"/>
          <w:color w:val="auto"/>
          <w:u w:val="none"/>
        </w:rPr>
      </w:pPr>
      <w:r>
        <w:rPr>
          <w:rStyle w:val="Lienhypertexte"/>
          <w:b w:val="0"/>
          <w:color w:val="auto"/>
          <w:u w:val="none"/>
        </w:rPr>
        <w:t>L</w:t>
      </w:r>
      <w:r w:rsidR="00C62BD3" w:rsidRPr="003F5BA5">
        <w:rPr>
          <w:rStyle w:val="Lienhypertexte"/>
          <w:b w:val="0"/>
          <w:color w:val="auto"/>
          <w:u w:val="none"/>
        </w:rPr>
        <w:t>a baisse de</w:t>
      </w:r>
      <w:r>
        <w:rPr>
          <w:rStyle w:val="Lienhypertexte"/>
          <w:b w:val="0"/>
          <w:color w:val="auto"/>
          <w:u w:val="none"/>
        </w:rPr>
        <w:t>s</w:t>
      </w:r>
      <w:r w:rsidR="00C62BD3" w:rsidRPr="003F5BA5">
        <w:rPr>
          <w:rStyle w:val="Lienhypertexte"/>
          <w:b w:val="0"/>
          <w:color w:val="auto"/>
          <w:u w:val="none"/>
        </w:rPr>
        <w:t xml:space="preserve"> importations </w:t>
      </w:r>
      <w:r>
        <w:rPr>
          <w:rStyle w:val="Lienhypertexte"/>
          <w:b w:val="0"/>
          <w:color w:val="auto"/>
          <w:u w:val="none"/>
        </w:rPr>
        <w:t xml:space="preserve">françaises </w:t>
      </w:r>
      <w:r w:rsidR="00C62BD3" w:rsidRPr="003F5BA5">
        <w:rPr>
          <w:rStyle w:val="Lienhypertexte"/>
          <w:b w:val="0"/>
          <w:color w:val="auto"/>
          <w:u w:val="none"/>
        </w:rPr>
        <w:t xml:space="preserve">de « </w:t>
      </w:r>
      <w:r w:rsidR="00C62BD3" w:rsidRPr="00C165BA">
        <w:rPr>
          <w:rStyle w:val="Lienhypertexte"/>
          <w:b w:val="0"/>
          <w:color w:val="auto"/>
        </w:rPr>
        <w:t>produits métallurgiques et métalliques</w:t>
      </w:r>
      <w:r w:rsidR="00C62BD3" w:rsidRPr="003F5BA5">
        <w:rPr>
          <w:rStyle w:val="Lienhypertexte"/>
          <w:b w:val="0"/>
          <w:color w:val="auto"/>
          <w:u w:val="none"/>
        </w:rPr>
        <w:t xml:space="preserve"> » (-27,1 %, à 135 M</w:t>
      </w:r>
      <w:r w:rsidR="00DC5779">
        <w:rPr>
          <w:rStyle w:val="Lienhypertexte"/>
          <w:b w:val="0"/>
          <w:color w:val="auto"/>
          <w:u w:val="none"/>
        </w:rPr>
        <w:t>EUR</w:t>
      </w:r>
      <w:r w:rsidR="00C62BD3" w:rsidRPr="003F5BA5">
        <w:rPr>
          <w:rStyle w:val="Lienhypertexte"/>
          <w:b w:val="0"/>
          <w:color w:val="auto"/>
          <w:u w:val="none"/>
        </w:rPr>
        <w:t xml:space="preserve">, </w:t>
      </w:r>
      <w:r>
        <w:rPr>
          <w:rStyle w:val="Lienhypertexte"/>
          <w:b w:val="0"/>
          <w:color w:val="auto"/>
          <w:u w:val="none"/>
        </w:rPr>
        <w:t>représentant</w:t>
      </w:r>
      <w:r w:rsidR="00C62BD3" w:rsidRPr="003F5BA5">
        <w:rPr>
          <w:rStyle w:val="Lienhypertexte"/>
          <w:b w:val="0"/>
          <w:color w:val="auto"/>
          <w:u w:val="none"/>
        </w:rPr>
        <w:t xml:space="preserve"> une contribution de 20 points à la contraction des importations</w:t>
      </w:r>
      <w:r>
        <w:rPr>
          <w:rStyle w:val="Lienhypertexte"/>
          <w:b w:val="0"/>
          <w:color w:val="auto"/>
          <w:u w:val="none"/>
        </w:rPr>
        <w:t xml:space="preserve">), </w:t>
      </w:r>
      <w:r w:rsidR="00C62BD3" w:rsidRPr="003F5BA5">
        <w:rPr>
          <w:rStyle w:val="Lienhypertexte"/>
          <w:b w:val="0"/>
          <w:color w:val="auto"/>
          <w:u w:val="none"/>
        </w:rPr>
        <w:t>catégorie composée quasi exclusivement d’</w:t>
      </w:r>
      <w:r w:rsidR="00C62BD3" w:rsidRPr="00C165BA">
        <w:rPr>
          <w:rStyle w:val="Lienhypertexte"/>
          <w:b w:val="0"/>
          <w:color w:val="auto"/>
        </w:rPr>
        <w:t>uranium naturel</w:t>
      </w:r>
      <w:r w:rsidR="00C62BD3" w:rsidRPr="003F5BA5">
        <w:rPr>
          <w:rStyle w:val="Lienhypertexte"/>
          <w:b w:val="0"/>
          <w:color w:val="auto"/>
          <w:u w:val="none"/>
        </w:rPr>
        <w:t>.</w:t>
      </w:r>
      <w:r w:rsidR="003F5BA5">
        <w:rPr>
          <w:rStyle w:val="Lienhypertexte"/>
          <w:b w:val="0"/>
          <w:color w:val="auto"/>
          <w:u w:val="none"/>
        </w:rPr>
        <w:t xml:space="preserve"> </w:t>
      </w:r>
      <w:r w:rsidR="00C62BD3" w:rsidRPr="003F5BA5">
        <w:rPr>
          <w:rStyle w:val="Lienhypertexte"/>
          <w:b w:val="0"/>
          <w:color w:val="auto"/>
          <w:u w:val="none"/>
        </w:rPr>
        <w:t>Pour rappel, il convient de distinguer deux types d’importations françaises d’uranium :</w:t>
      </w:r>
      <w:r w:rsidR="003F5BA5" w:rsidRPr="003F5BA5">
        <w:rPr>
          <w:rStyle w:val="Lienhypertexte"/>
          <w:b w:val="0"/>
          <w:color w:val="auto"/>
          <w:u w:val="none"/>
        </w:rPr>
        <w:t xml:space="preserve"> </w:t>
      </w:r>
      <w:r w:rsidR="00C62BD3" w:rsidRPr="00C165BA">
        <w:rPr>
          <w:rStyle w:val="Lienhypertexte"/>
          <w:bCs/>
          <w:color w:val="auto"/>
          <w:u w:val="none"/>
        </w:rPr>
        <w:t>(i)</w:t>
      </w:r>
      <w:r w:rsidR="00C62BD3" w:rsidRPr="003F5BA5">
        <w:rPr>
          <w:rStyle w:val="Lienhypertexte"/>
          <w:b w:val="0"/>
          <w:color w:val="auto"/>
          <w:u w:val="none"/>
        </w:rPr>
        <w:t xml:space="preserve"> les composés d’uranium naturel, matière première brute, et</w:t>
      </w:r>
      <w:r w:rsidR="003F5BA5" w:rsidRPr="003F5BA5">
        <w:rPr>
          <w:rStyle w:val="Lienhypertexte"/>
          <w:b w:val="0"/>
          <w:color w:val="auto"/>
          <w:u w:val="none"/>
        </w:rPr>
        <w:t xml:space="preserve"> </w:t>
      </w:r>
      <w:r w:rsidR="00C62BD3" w:rsidRPr="00C165BA">
        <w:rPr>
          <w:rStyle w:val="Lienhypertexte"/>
          <w:bCs/>
          <w:color w:val="auto"/>
          <w:u w:val="none"/>
        </w:rPr>
        <w:t>(ii)</w:t>
      </w:r>
      <w:r w:rsidR="00C62BD3" w:rsidRPr="003F5BA5">
        <w:rPr>
          <w:rStyle w:val="Lienhypertexte"/>
          <w:b w:val="0"/>
          <w:color w:val="auto"/>
          <w:u w:val="none"/>
        </w:rPr>
        <w:t xml:space="preserve"> l’uranium enrichi, destiné à un usage industriel, provenant majoritairement des Pays-Bas (premier fournisseur avec 45 % des importations françaises en 2024, soit 205 M€), suivis de la Russie, de l’Allemagne et des États-Unis.</w:t>
      </w:r>
      <w:r w:rsidR="003F5BA5" w:rsidRPr="003F5BA5">
        <w:rPr>
          <w:rStyle w:val="Lienhypertexte"/>
          <w:b w:val="0"/>
          <w:color w:val="auto"/>
          <w:u w:val="none"/>
        </w:rPr>
        <w:t xml:space="preserve"> </w:t>
      </w:r>
      <w:r w:rsidR="00C62BD3" w:rsidRPr="003F5BA5">
        <w:rPr>
          <w:rStyle w:val="Lienhypertexte"/>
          <w:b w:val="0"/>
          <w:color w:val="auto"/>
          <w:u w:val="none"/>
        </w:rPr>
        <w:t xml:space="preserve">En 2023, les difficultés de production au Kazakhstan ainsi que le coup d’État militaire survenu au Niger en juillet </w:t>
      </w:r>
      <w:r w:rsidR="007B206C">
        <w:rPr>
          <w:rStyle w:val="Lienhypertexte"/>
          <w:b w:val="0"/>
          <w:color w:val="auto"/>
          <w:u w:val="none"/>
        </w:rPr>
        <w:t>avaien</w:t>
      </w:r>
      <w:r w:rsidR="007B206C" w:rsidRPr="003F5BA5">
        <w:rPr>
          <w:rStyle w:val="Lienhypertexte"/>
          <w:b w:val="0"/>
          <w:color w:val="auto"/>
          <w:u w:val="none"/>
        </w:rPr>
        <w:t xml:space="preserve">t </w:t>
      </w:r>
      <w:r w:rsidR="00C62BD3" w:rsidRPr="003F5BA5">
        <w:rPr>
          <w:rStyle w:val="Lienhypertexte"/>
          <w:b w:val="0"/>
          <w:color w:val="auto"/>
          <w:u w:val="none"/>
        </w:rPr>
        <w:t>provoqué une baisse marquée des importations en provenance de ces deux pays, entraînant par ricochet une hausse significative des achats d’uranium en provenance de Namibie. La baisse constatée en 2024 s’explique donc en partie par un rééquilibrage des approvisionnements en faveur des fournisseurs historiques</w:t>
      </w:r>
      <w:r w:rsidR="007B206C">
        <w:rPr>
          <w:rStyle w:val="Lienhypertexte"/>
          <w:b w:val="0"/>
          <w:color w:val="auto"/>
          <w:u w:val="none"/>
        </w:rPr>
        <w:t xml:space="preserve"> de la France</w:t>
      </w:r>
      <w:r w:rsidR="00C62BD3" w:rsidRPr="003F5BA5">
        <w:rPr>
          <w:rStyle w:val="Lienhypertexte"/>
          <w:b w:val="0"/>
          <w:color w:val="auto"/>
          <w:u w:val="none"/>
        </w:rPr>
        <w:t>.</w:t>
      </w:r>
    </w:p>
    <w:p w14:paraId="47833914" w14:textId="5138B187" w:rsidR="008F202D" w:rsidRPr="00DA5FF8" w:rsidRDefault="00145A59" w:rsidP="00A91A50">
      <w:pPr>
        <w:pStyle w:val="Titre02"/>
        <w:numPr>
          <w:ilvl w:val="1"/>
          <w:numId w:val="16"/>
        </w:numPr>
        <w:ind w:left="709" w:hanging="273"/>
        <w:rPr>
          <w:rStyle w:val="Lienhypertexte"/>
          <w:b w:val="0"/>
          <w:color w:val="auto"/>
          <w:u w:val="none"/>
        </w:rPr>
      </w:pPr>
      <w:r>
        <w:rPr>
          <w:rStyle w:val="Lienhypertexte"/>
          <w:b w:val="0"/>
          <w:color w:val="auto"/>
          <w:u w:val="none"/>
        </w:rPr>
        <w:t>L</w:t>
      </w:r>
      <w:r w:rsidR="007E39A3" w:rsidRPr="007E39A3">
        <w:rPr>
          <w:rStyle w:val="Lienhypertexte"/>
          <w:b w:val="0"/>
          <w:color w:val="auto"/>
          <w:u w:val="none"/>
        </w:rPr>
        <w:t xml:space="preserve">a </w:t>
      </w:r>
      <w:r w:rsidR="008F202D">
        <w:rPr>
          <w:rStyle w:val="Lienhypertexte"/>
          <w:b w:val="0"/>
          <w:color w:val="auto"/>
          <w:u w:val="none"/>
        </w:rPr>
        <w:t>diminution</w:t>
      </w:r>
      <w:r w:rsidR="008F202D" w:rsidRPr="007E39A3">
        <w:rPr>
          <w:rStyle w:val="Lienhypertexte"/>
          <w:b w:val="0"/>
          <w:color w:val="auto"/>
          <w:u w:val="none"/>
        </w:rPr>
        <w:t xml:space="preserve"> </w:t>
      </w:r>
      <w:r w:rsidR="007E39A3" w:rsidRPr="007E39A3">
        <w:rPr>
          <w:rStyle w:val="Lienhypertexte"/>
          <w:b w:val="0"/>
          <w:color w:val="auto"/>
          <w:u w:val="none"/>
        </w:rPr>
        <w:t>des importations</w:t>
      </w:r>
      <w:r>
        <w:rPr>
          <w:rStyle w:val="Lienhypertexte"/>
          <w:b w:val="0"/>
          <w:color w:val="auto"/>
          <w:u w:val="none"/>
        </w:rPr>
        <w:t xml:space="preserve">françaises </w:t>
      </w:r>
      <w:r w:rsidR="007E39A3" w:rsidRPr="007E39A3">
        <w:rPr>
          <w:rStyle w:val="Lienhypertexte"/>
          <w:b w:val="0"/>
          <w:color w:val="auto"/>
          <w:u w:val="none"/>
        </w:rPr>
        <w:t xml:space="preserve">de </w:t>
      </w:r>
      <w:r>
        <w:rPr>
          <w:rStyle w:val="Lienhypertexte"/>
          <w:b w:val="0"/>
          <w:color w:val="auto"/>
          <w:u w:val="none"/>
        </w:rPr>
        <w:t>« </w:t>
      </w:r>
      <w:r w:rsidR="007E39A3" w:rsidRPr="00C165BA">
        <w:rPr>
          <w:rStyle w:val="Lienhypertexte"/>
          <w:b w:val="0"/>
          <w:color w:val="auto"/>
        </w:rPr>
        <w:t>produits agroalimentaires</w:t>
      </w:r>
      <w:r>
        <w:rPr>
          <w:rStyle w:val="Lienhypertexte"/>
          <w:b w:val="0"/>
          <w:color w:val="auto"/>
          <w:u w:val="none"/>
        </w:rPr>
        <w:t> »</w:t>
      </w:r>
      <w:r w:rsidR="007E39A3" w:rsidRPr="007E39A3">
        <w:rPr>
          <w:rStyle w:val="Lienhypertexte"/>
          <w:b w:val="0"/>
          <w:color w:val="auto"/>
          <w:u w:val="none"/>
        </w:rPr>
        <w:t xml:space="preserve"> (-18,2 %, à 36 M€, soit une contribution de 3 points</w:t>
      </w:r>
      <w:r>
        <w:rPr>
          <w:rStyle w:val="Lienhypertexte"/>
          <w:b w:val="0"/>
          <w:color w:val="auto"/>
          <w:u w:val="none"/>
        </w:rPr>
        <w:t xml:space="preserve"> à la contraction des importations</w:t>
      </w:r>
      <w:r w:rsidR="007E39A3" w:rsidRPr="007E39A3">
        <w:rPr>
          <w:rStyle w:val="Lienhypertexte"/>
          <w:b w:val="0"/>
          <w:color w:val="auto"/>
          <w:u w:val="none"/>
        </w:rPr>
        <w:t xml:space="preserve">), de </w:t>
      </w:r>
      <w:r>
        <w:rPr>
          <w:rStyle w:val="Lienhypertexte"/>
          <w:b w:val="0"/>
          <w:color w:val="auto"/>
          <w:u w:val="none"/>
        </w:rPr>
        <w:t>« </w:t>
      </w:r>
      <w:r w:rsidR="007E39A3" w:rsidRPr="00C165BA">
        <w:rPr>
          <w:rStyle w:val="Lienhypertexte"/>
          <w:b w:val="0"/>
          <w:color w:val="auto"/>
        </w:rPr>
        <w:t>produits manufacturés divers</w:t>
      </w:r>
      <w:r>
        <w:rPr>
          <w:rStyle w:val="Lienhypertexte"/>
          <w:b w:val="0"/>
          <w:color w:val="auto"/>
          <w:u w:val="none"/>
        </w:rPr>
        <w:t> »</w:t>
      </w:r>
      <w:r w:rsidR="008F202D">
        <w:rPr>
          <w:rStyle w:val="Lienhypertexte"/>
          <w:b w:val="0"/>
          <w:color w:val="auto"/>
          <w:u w:val="none"/>
        </w:rPr>
        <w:t xml:space="preserve"> </w:t>
      </w:r>
      <w:r w:rsidR="007E39A3">
        <w:rPr>
          <w:rStyle w:val="Lienhypertexte"/>
          <w:b w:val="0"/>
          <w:color w:val="auto"/>
          <w:u w:val="none"/>
        </w:rPr>
        <w:t>(</w:t>
      </w:r>
      <w:r w:rsidR="007E39A3" w:rsidRPr="007E39A3">
        <w:rPr>
          <w:rStyle w:val="Lienhypertexte"/>
          <w:b w:val="0"/>
          <w:color w:val="auto"/>
          <w:u w:val="none"/>
        </w:rPr>
        <w:t xml:space="preserve">-17,3 %, à 7,5 M€, soit </w:t>
      </w:r>
      <w:r w:rsidR="008F202D">
        <w:rPr>
          <w:rStyle w:val="Lienhypertexte"/>
          <w:b w:val="0"/>
          <w:color w:val="auto"/>
          <w:u w:val="none"/>
        </w:rPr>
        <w:t>une contribution d’un</w:t>
      </w:r>
      <w:r w:rsidR="007E39A3" w:rsidRPr="007E39A3">
        <w:rPr>
          <w:rStyle w:val="Lienhypertexte"/>
          <w:b w:val="0"/>
          <w:color w:val="auto"/>
          <w:u w:val="none"/>
        </w:rPr>
        <w:t xml:space="preserve"> point</w:t>
      </w:r>
      <w:r w:rsidR="008F202D">
        <w:rPr>
          <w:rStyle w:val="Lienhypertexte"/>
          <w:b w:val="0"/>
          <w:color w:val="auto"/>
          <w:u w:val="none"/>
        </w:rPr>
        <w:t xml:space="preserve"> à la contraction – principalement diamants et pierres précieuses</w:t>
      </w:r>
      <w:r w:rsidR="007E39A3" w:rsidRPr="007E39A3">
        <w:rPr>
          <w:rStyle w:val="Lienhypertexte"/>
          <w:b w:val="0"/>
          <w:color w:val="auto"/>
          <w:u w:val="none"/>
        </w:rPr>
        <w:t xml:space="preserve">), ainsi que de </w:t>
      </w:r>
      <w:r>
        <w:rPr>
          <w:rStyle w:val="Lienhypertexte"/>
          <w:b w:val="0"/>
          <w:color w:val="auto"/>
          <w:u w:val="none"/>
        </w:rPr>
        <w:t>« </w:t>
      </w:r>
      <w:r w:rsidR="007E39A3" w:rsidRPr="00C165BA">
        <w:rPr>
          <w:rStyle w:val="Lienhypertexte"/>
          <w:b w:val="0"/>
          <w:color w:val="auto"/>
        </w:rPr>
        <w:t>produits chimiques, parfums et cosmétiques</w:t>
      </w:r>
      <w:r>
        <w:rPr>
          <w:rStyle w:val="Lienhypertexte"/>
          <w:b w:val="0"/>
          <w:color w:val="auto"/>
          <w:u w:val="none"/>
        </w:rPr>
        <w:t> »</w:t>
      </w:r>
      <w:r w:rsidR="007E39A3" w:rsidRPr="007E39A3">
        <w:rPr>
          <w:rStyle w:val="Lienhypertexte"/>
          <w:b w:val="0"/>
          <w:color w:val="auto"/>
          <w:u w:val="none"/>
        </w:rPr>
        <w:t xml:space="preserve">, composés à 95 % de charbon de bois (-21,3 %, à 6,9 M€, soit </w:t>
      </w:r>
      <w:r w:rsidR="008F202D">
        <w:rPr>
          <w:rStyle w:val="Lienhypertexte"/>
          <w:b w:val="0"/>
          <w:color w:val="auto"/>
          <w:u w:val="none"/>
        </w:rPr>
        <w:t>une contribution d’un</w:t>
      </w:r>
      <w:r w:rsidR="007E39A3" w:rsidRPr="007E39A3">
        <w:rPr>
          <w:rStyle w:val="Lienhypertexte"/>
          <w:b w:val="0"/>
          <w:color w:val="auto"/>
          <w:u w:val="none"/>
        </w:rPr>
        <w:t xml:space="preserve"> point</w:t>
      </w:r>
      <w:r w:rsidR="008F202D">
        <w:rPr>
          <w:rStyle w:val="Lienhypertexte"/>
          <w:b w:val="0"/>
          <w:color w:val="auto"/>
          <w:u w:val="none"/>
        </w:rPr>
        <w:t xml:space="preserve"> à la contraction</w:t>
      </w:r>
      <w:r w:rsidR="007E39A3" w:rsidRPr="007E39A3">
        <w:rPr>
          <w:rStyle w:val="Lienhypertexte"/>
          <w:b w:val="0"/>
          <w:color w:val="auto"/>
          <w:u w:val="none"/>
        </w:rPr>
        <w:t>).</w:t>
      </w:r>
    </w:p>
    <w:p w14:paraId="0E718D47" w14:textId="19DAD071" w:rsidR="007E39A3" w:rsidRDefault="007E39A3" w:rsidP="00DA5FF8">
      <w:pPr>
        <w:pStyle w:val="Titre02"/>
        <w:numPr>
          <w:ilvl w:val="0"/>
          <w:numId w:val="0"/>
        </w:numPr>
        <w:ind w:left="-426"/>
        <w:rPr>
          <w:rStyle w:val="Lienhypertexte"/>
          <w:b w:val="0"/>
          <w:color w:val="auto"/>
          <w:u w:val="none"/>
        </w:rPr>
      </w:pPr>
      <w:r w:rsidRPr="007E39A3">
        <w:rPr>
          <w:rStyle w:val="Lienhypertexte"/>
          <w:b w:val="0"/>
          <w:color w:val="auto"/>
          <w:u w:val="none"/>
        </w:rPr>
        <w:t xml:space="preserve">À l’inverse, on </w:t>
      </w:r>
      <w:r w:rsidR="008F202D">
        <w:rPr>
          <w:rStyle w:val="Lienhypertexte"/>
          <w:b w:val="0"/>
          <w:color w:val="auto"/>
          <w:u w:val="none"/>
        </w:rPr>
        <w:t xml:space="preserve">peut </w:t>
      </w:r>
      <w:r w:rsidRPr="007E39A3">
        <w:rPr>
          <w:rStyle w:val="Lienhypertexte"/>
          <w:b w:val="0"/>
          <w:color w:val="auto"/>
          <w:u w:val="none"/>
        </w:rPr>
        <w:t>note</w:t>
      </w:r>
      <w:r w:rsidR="008F202D">
        <w:rPr>
          <w:rStyle w:val="Lienhypertexte"/>
          <w:b w:val="0"/>
          <w:color w:val="auto"/>
          <w:u w:val="none"/>
        </w:rPr>
        <w:t>r</w:t>
      </w:r>
      <w:r w:rsidRPr="007E39A3">
        <w:rPr>
          <w:rStyle w:val="Lienhypertexte"/>
          <w:b w:val="0"/>
          <w:color w:val="auto"/>
          <w:u w:val="none"/>
        </w:rPr>
        <w:t xml:space="preserve"> une hausse des importations de </w:t>
      </w:r>
      <w:r w:rsidR="008F202D">
        <w:rPr>
          <w:rStyle w:val="Lienhypertexte"/>
          <w:b w:val="0"/>
          <w:color w:val="auto"/>
          <w:u w:val="none"/>
        </w:rPr>
        <w:t>« </w:t>
      </w:r>
      <w:r w:rsidRPr="00C165BA">
        <w:rPr>
          <w:rStyle w:val="Lienhypertexte"/>
          <w:b w:val="0"/>
          <w:color w:val="auto"/>
        </w:rPr>
        <w:t>produits pétroliers raffinés et coke</w:t>
      </w:r>
      <w:r w:rsidR="008F202D">
        <w:rPr>
          <w:rStyle w:val="Lienhypertexte"/>
          <w:b w:val="0"/>
          <w:color w:val="auto"/>
          <w:u w:val="none"/>
        </w:rPr>
        <w:t> »</w:t>
      </w:r>
      <w:r w:rsidRPr="007E39A3">
        <w:rPr>
          <w:rStyle w:val="Lienhypertexte"/>
          <w:b w:val="0"/>
          <w:color w:val="auto"/>
          <w:u w:val="none"/>
        </w:rPr>
        <w:t xml:space="preserve"> (+96,1 %, à 0,008 M€), ainsi que de </w:t>
      </w:r>
      <w:r w:rsidR="008F202D">
        <w:rPr>
          <w:rStyle w:val="Lienhypertexte"/>
          <w:b w:val="0"/>
          <w:color w:val="auto"/>
          <w:u w:val="none"/>
        </w:rPr>
        <w:t>« </w:t>
      </w:r>
      <w:r w:rsidRPr="00C165BA">
        <w:rPr>
          <w:rStyle w:val="Lienhypertexte"/>
          <w:b w:val="0"/>
          <w:color w:val="auto"/>
        </w:rPr>
        <w:t>machines industrielles et agricoles, machines diverses</w:t>
      </w:r>
      <w:r w:rsidR="008F202D">
        <w:rPr>
          <w:rStyle w:val="Lienhypertexte"/>
          <w:b w:val="0"/>
          <w:color w:val="auto"/>
          <w:u w:val="none"/>
        </w:rPr>
        <w:t> »</w:t>
      </w:r>
      <w:r w:rsidRPr="007E39A3">
        <w:rPr>
          <w:rStyle w:val="Lienhypertexte"/>
          <w:b w:val="0"/>
          <w:color w:val="auto"/>
          <w:u w:val="none"/>
        </w:rPr>
        <w:t xml:space="preserve"> (+648 %, à 0,03 M€</w:t>
      </w:r>
      <w:r w:rsidR="008F202D">
        <w:rPr>
          <w:rStyle w:val="Lienhypertexte"/>
          <w:b w:val="0"/>
          <w:color w:val="auto"/>
          <w:u w:val="none"/>
        </w:rPr>
        <w:t xml:space="preserve">), dont l’impact reste toutefois relativement </w:t>
      </w:r>
      <w:r w:rsidRPr="007E39A3">
        <w:rPr>
          <w:rStyle w:val="Lienhypertexte"/>
          <w:b w:val="0"/>
          <w:color w:val="auto"/>
          <w:u w:val="none"/>
        </w:rPr>
        <w:t>neutre</w:t>
      </w:r>
      <w:r w:rsidR="008F202D">
        <w:rPr>
          <w:rStyle w:val="Lienhypertexte"/>
          <w:b w:val="0"/>
          <w:color w:val="auto"/>
          <w:u w:val="none"/>
        </w:rPr>
        <w:t>, compte-tenu des faibles montants en jeu</w:t>
      </w:r>
      <w:r w:rsidRPr="007E39A3">
        <w:rPr>
          <w:rStyle w:val="Lienhypertexte"/>
          <w:b w:val="0"/>
          <w:color w:val="auto"/>
          <w:u w:val="none"/>
        </w:rPr>
        <w:t>.</w:t>
      </w:r>
    </w:p>
    <w:p w14:paraId="06A91DC7" w14:textId="3CE8502D" w:rsidR="00837D51" w:rsidRDefault="009E61CD" w:rsidP="00DA5FF8">
      <w:pPr>
        <w:pStyle w:val="Titre02"/>
        <w:rPr>
          <w:rStyle w:val="Lienhypertexte"/>
          <w:b w:val="0"/>
          <w:color w:val="auto"/>
          <w:u w:val="none"/>
        </w:rPr>
      </w:pPr>
      <w:r w:rsidRPr="00646BBC">
        <w:rPr>
          <w:rStyle w:val="Lienhypertexte"/>
          <w:bCs/>
          <w:color w:val="auto"/>
          <w:u w:val="none"/>
        </w:rPr>
        <w:t>La structure des importations françaises en provenance de Namibie demeure largement dominée par l’uranium</w:t>
      </w:r>
      <w:r w:rsidRPr="009E61CD">
        <w:rPr>
          <w:rStyle w:val="Lienhypertexte"/>
          <w:b w:val="0"/>
          <w:color w:val="auto"/>
          <w:u w:val="none"/>
        </w:rPr>
        <w:t xml:space="preserve"> </w:t>
      </w:r>
      <w:r w:rsidRPr="00C165BA">
        <w:rPr>
          <w:rStyle w:val="Lienhypertexte"/>
          <w:bCs/>
          <w:color w:val="auto"/>
          <w:u w:val="none"/>
        </w:rPr>
        <w:t>(« produits métallurgiques et métalliques »),</w:t>
      </w:r>
      <w:r w:rsidRPr="009E61CD">
        <w:rPr>
          <w:rStyle w:val="Lienhypertexte"/>
          <w:b w:val="0"/>
          <w:color w:val="auto"/>
          <w:u w:val="none"/>
        </w:rPr>
        <w:t xml:space="preserve"> qui a représenté 71 % des flux en 2024, confirmant une tendance haussière observée ces dernières années (50 % en 2022 et une moyenne de 44,4 % sur la période 2018-2022). Pour rappel, la Namibie figure parmi les principaux producteurs mondiaux d’uranium naturel</w:t>
      </w:r>
      <w:r w:rsidR="001A369F">
        <w:rPr>
          <w:rStyle w:val="Lienhypertexte"/>
          <w:b w:val="0"/>
          <w:color w:val="auto"/>
          <w:u w:val="none"/>
        </w:rPr>
        <w:t xml:space="preserve"> (</w:t>
      </w:r>
      <w:r w:rsidRPr="009E61CD">
        <w:rPr>
          <w:rStyle w:val="Lienhypertexte"/>
          <w:b w:val="0"/>
          <w:color w:val="auto"/>
          <w:u w:val="none"/>
        </w:rPr>
        <w:t xml:space="preserve">troisième ou quatrième </w:t>
      </w:r>
      <w:r w:rsidR="001A369F">
        <w:rPr>
          <w:rStyle w:val="Lienhypertexte"/>
          <w:b w:val="0"/>
          <w:color w:val="auto"/>
          <w:u w:val="none"/>
        </w:rPr>
        <w:t>rang selon les années)</w:t>
      </w:r>
      <w:r w:rsidRPr="009E61CD">
        <w:rPr>
          <w:rStyle w:val="Lienhypertexte"/>
          <w:b w:val="0"/>
          <w:color w:val="auto"/>
          <w:u w:val="none"/>
        </w:rPr>
        <w:t>.</w:t>
      </w:r>
      <w:r>
        <w:rPr>
          <w:rStyle w:val="Lienhypertexte"/>
          <w:b w:val="0"/>
          <w:color w:val="auto"/>
          <w:u w:val="none"/>
        </w:rPr>
        <w:t xml:space="preserve"> </w:t>
      </w:r>
      <w:r w:rsidRPr="009E61CD">
        <w:rPr>
          <w:rStyle w:val="Lienhypertexte"/>
          <w:b w:val="0"/>
          <w:color w:val="auto"/>
          <w:u w:val="none"/>
        </w:rPr>
        <w:t>L’économie namibienne devrait par ailleurs renforcer ses flux vers la France à moyen terme, Orano ayant annoncé son intention de relancer la mine de Trekkopje – un projet d’extraction situé dans le centre-est du pays, initié en 2011 puis mis à l’arrêt dès 2012 en raison de la faiblesse des cours mondiaux.</w:t>
      </w:r>
      <w:r>
        <w:rPr>
          <w:rStyle w:val="Lienhypertexte"/>
          <w:b w:val="0"/>
          <w:color w:val="auto"/>
          <w:u w:val="none"/>
        </w:rPr>
        <w:t xml:space="preserve"> </w:t>
      </w:r>
      <w:r w:rsidRPr="009E61CD">
        <w:rPr>
          <w:rStyle w:val="Lienhypertexte"/>
          <w:b w:val="0"/>
          <w:color w:val="auto"/>
          <w:u w:val="none"/>
        </w:rPr>
        <w:t xml:space="preserve">Les « </w:t>
      </w:r>
      <w:r w:rsidRPr="00C165BA">
        <w:rPr>
          <w:rStyle w:val="Lienhypertexte"/>
          <w:b w:val="0"/>
          <w:color w:val="auto"/>
        </w:rPr>
        <w:t>produits des industries agroalimentaires</w:t>
      </w:r>
      <w:r w:rsidRPr="009E61CD">
        <w:rPr>
          <w:rStyle w:val="Lienhypertexte"/>
          <w:b w:val="0"/>
          <w:color w:val="auto"/>
          <w:u w:val="none"/>
        </w:rPr>
        <w:t xml:space="preserve"> », composés très majoritairement de poissons pélagiques transformés, conservent leur deuxième position, avec une part de 19 %. Enfin, les « </w:t>
      </w:r>
      <w:r w:rsidRPr="00C165BA">
        <w:rPr>
          <w:rStyle w:val="Lienhypertexte"/>
          <w:b w:val="0"/>
          <w:color w:val="auto"/>
        </w:rPr>
        <w:t>produits manufacturés divers</w:t>
      </w:r>
      <w:r w:rsidRPr="009E61CD">
        <w:rPr>
          <w:rStyle w:val="Lienhypertexte"/>
          <w:b w:val="0"/>
          <w:color w:val="auto"/>
          <w:u w:val="none"/>
        </w:rPr>
        <w:t xml:space="preserve"> » (diamants et pierres précieuses) se maintiennent à la troisième place, avec une part relativement stable de 4 %.</w:t>
      </w:r>
    </w:p>
    <w:p w14:paraId="4FA4C2B8" w14:textId="4EC53646" w:rsidR="00646BBC" w:rsidRPr="00ED2FEC" w:rsidRDefault="00646BBC" w:rsidP="00DA5FF8">
      <w:pPr>
        <w:pStyle w:val="Titre02"/>
      </w:pPr>
      <w:r w:rsidRPr="008A1A29">
        <w:rPr>
          <w:rStyle w:val="Lienhypertexte"/>
          <w:color w:val="auto"/>
          <w:u w:val="none"/>
        </w:rPr>
        <w:t xml:space="preserve">La Namibie est un fournisseur marginal de la France, toutefois stratégique pour son approvisionnement en uranium. </w:t>
      </w:r>
      <w:r w:rsidR="008A1A29">
        <w:rPr>
          <w:rStyle w:val="Lienhypertexte"/>
          <w:b w:val="0"/>
          <w:bCs/>
          <w:color w:val="auto"/>
          <w:u w:val="none"/>
        </w:rPr>
        <w:t xml:space="preserve">En </w:t>
      </w:r>
      <w:r w:rsidR="008A1A29" w:rsidRPr="00ED2FEC">
        <w:rPr>
          <w:rStyle w:val="Lienhypertexte"/>
          <w:b w:val="0"/>
          <w:bCs/>
          <w:color w:val="auto"/>
          <w:u w:val="none"/>
        </w:rPr>
        <w:t>2024,</w:t>
      </w:r>
      <w:r w:rsidRPr="00ED2FEC">
        <w:rPr>
          <w:rStyle w:val="Lienhypertexte"/>
          <w:b w:val="0"/>
          <w:bCs/>
          <w:color w:val="auto"/>
          <w:u w:val="none"/>
        </w:rPr>
        <w:t xml:space="preserve"> le pay</w:t>
      </w:r>
      <w:r w:rsidR="00ED2FEC" w:rsidRPr="00ED2FEC">
        <w:rPr>
          <w:rStyle w:val="Lienhypertexte"/>
          <w:b w:val="0"/>
          <w:bCs/>
          <w:color w:val="auto"/>
          <w:u w:val="none"/>
        </w:rPr>
        <w:t>s</w:t>
      </w:r>
      <w:r w:rsidRPr="00ED2FEC">
        <w:rPr>
          <w:rStyle w:val="Lienhypertexte"/>
          <w:b w:val="0"/>
          <w:bCs/>
          <w:color w:val="auto"/>
          <w:u w:val="none"/>
        </w:rPr>
        <w:t xml:space="preserve"> se classait ainsi au 90</w:t>
      </w:r>
      <w:r w:rsidRPr="00C165BA">
        <w:rPr>
          <w:rStyle w:val="Lienhypertexte"/>
          <w:b w:val="0"/>
          <w:bCs/>
          <w:color w:val="auto"/>
          <w:u w:val="none"/>
          <w:vertAlign w:val="superscript"/>
        </w:rPr>
        <w:t>ème</w:t>
      </w:r>
      <w:r w:rsidR="000E5938">
        <w:rPr>
          <w:rStyle w:val="Lienhypertexte"/>
          <w:b w:val="0"/>
          <w:bCs/>
          <w:color w:val="auto"/>
          <w:u w:val="none"/>
        </w:rPr>
        <w:t xml:space="preserve"> </w:t>
      </w:r>
      <w:r w:rsidRPr="00ED2FEC">
        <w:rPr>
          <w:rStyle w:val="Lienhypertexte"/>
          <w:b w:val="0"/>
          <w:bCs/>
          <w:color w:val="auto"/>
          <w:u w:val="none"/>
        </w:rPr>
        <w:t>rang de nos fournisseurs</w:t>
      </w:r>
      <w:r w:rsidRPr="00473FAF">
        <w:rPr>
          <w:rStyle w:val="Lienhypertexte"/>
          <w:b w:val="0"/>
          <w:bCs/>
          <w:color w:val="auto"/>
          <w:u w:val="none"/>
        </w:rPr>
        <w:t xml:space="preserve"> </w:t>
      </w:r>
      <w:r w:rsidR="000E5938">
        <w:rPr>
          <w:rStyle w:val="Lienhypertexte"/>
          <w:b w:val="0"/>
          <w:bCs/>
          <w:color w:val="auto"/>
          <w:u w:val="none"/>
        </w:rPr>
        <w:t>(le 11</w:t>
      </w:r>
      <w:r w:rsidR="000E5938" w:rsidRPr="00C165BA">
        <w:rPr>
          <w:rStyle w:val="Lienhypertexte"/>
          <w:b w:val="0"/>
          <w:bCs/>
          <w:color w:val="auto"/>
          <w:u w:val="none"/>
          <w:vertAlign w:val="superscript"/>
        </w:rPr>
        <w:t>ème</w:t>
      </w:r>
      <w:r w:rsidR="000E5938">
        <w:rPr>
          <w:rStyle w:val="Lienhypertexte"/>
          <w:b w:val="0"/>
          <w:bCs/>
          <w:color w:val="auto"/>
          <w:u w:val="none"/>
        </w:rPr>
        <w:t xml:space="preserve"> en Afrique sub-saharienne)</w:t>
      </w:r>
      <w:r w:rsidRPr="00551301">
        <w:rPr>
          <w:rStyle w:val="Lienhypertexte"/>
          <w:b w:val="0"/>
          <w:bCs/>
          <w:color w:val="auto"/>
          <w:u w:val="none"/>
        </w:rPr>
        <w:t xml:space="preserve">. </w:t>
      </w:r>
      <w:r w:rsidR="000E5938">
        <w:rPr>
          <w:rStyle w:val="Lienhypertexte"/>
          <w:b w:val="0"/>
          <w:bCs/>
          <w:color w:val="auto"/>
          <w:u w:val="none"/>
        </w:rPr>
        <w:t>Il a toutefois été notre</w:t>
      </w:r>
      <w:r w:rsidRPr="00551301">
        <w:rPr>
          <w:rStyle w:val="Lienhypertexte"/>
          <w:b w:val="0"/>
          <w:color w:val="auto"/>
          <w:u w:val="none"/>
        </w:rPr>
        <w:t xml:space="preserve"> </w:t>
      </w:r>
      <w:r w:rsidR="00000754">
        <w:rPr>
          <w:rStyle w:val="Lienhypertexte"/>
          <w:b w:val="0"/>
          <w:color w:val="auto"/>
          <w:u w:val="none"/>
        </w:rPr>
        <w:t>3</w:t>
      </w:r>
      <w:r w:rsidRPr="00C165BA">
        <w:rPr>
          <w:rStyle w:val="Lienhypertexte"/>
          <w:b w:val="0"/>
          <w:color w:val="auto"/>
          <w:u w:val="none"/>
          <w:vertAlign w:val="superscript"/>
        </w:rPr>
        <w:t>ème</w:t>
      </w:r>
      <w:r w:rsidR="000E5938">
        <w:rPr>
          <w:rStyle w:val="Lienhypertexte"/>
          <w:color w:val="auto"/>
          <w:u w:val="none"/>
        </w:rPr>
        <w:t xml:space="preserve"> </w:t>
      </w:r>
      <w:r w:rsidRPr="000E5938">
        <w:rPr>
          <w:rStyle w:val="Lienhypertexte"/>
          <w:b w:val="0"/>
          <w:color w:val="auto"/>
          <w:u w:val="none"/>
        </w:rPr>
        <w:t xml:space="preserve">fournisseur d’uranium naturel sur la période, avec </w:t>
      </w:r>
      <w:r w:rsidR="00551301" w:rsidRPr="000E5938">
        <w:rPr>
          <w:rStyle w:val="Lienhypertexte"/>
          <w:b w:val="0"/>
          <w:color w:val="auto"/>
          <w:u w:val="none"/>
        </w:rPr>
        <w:t>18</w:t>
      </w:r>
      <w:r w:rsidRPr="000E5938">
        <w:rPr>
          <w:rStyle w:val="Lienhypertexte"/>
          <w:b w:val="0"/>
          <w:color w:val="auto"/>
          <w:u w:val="none"/>
        </w:rPr>
        <w:t>% du total en valeur (</w:t>
      </w:r>
      <w:r w:rsidR="00551301" w:rsidRPr="000E5938">
        <w:rPr>
          <w:rStyle w:val="Lienhypertexte"/>
          <w:b w:val="0"/>
          <w:color w:val="auto"/>
          <w:u w:val="none"/>
        </w:rPr>
        <w:t>2</w:t>
      </w:r>
      <w:r w:rsidRPr="00C165BA">
        <w:rPr>
          <w:rStyle w:val="Lienhypertexte"/>
          <w:b w:val="0"/>
          <w:color w:val="auto"/>
          <w:u w:val="none"/>
          <w:vertAlign w:val="superscript"/>
        </w:rPr>
        <w:t>ème</w:t>
      </w:r>
      <w:r w:rsidR="000E5938">
        <w:rPr>
          <w:rStyle w:val="Lienhypertexte"/>
          <w:b w:val="0"/>
          <w:color w:val="auto"/>
          <w:u w:val="none"/>
        </w:rPr>
        <w:t xml:space="preserve"> fournisseur avec</w:t>
      </w:r>
      <w:r w:rsidRPr="000E5938">
        <w:rPr>
          <w:rStyle w:val="Lienhypertexte"/>
          <w:b w:val="0"/>
          <w:color w:val="auto"/>
          <w:u w:val="none"/>
        </w:rPr>
        <w:t xml:space="preserve"> </w:t>
      </w:r>
      <w:r w:rsidR="00551301" w:rsidRPr="000E5938">
        <w:rPr>
          <w:rStyle w:val="Lienhypertexte"/>
          <w:b w:val="0"/>
          <w:color w:val="auto"/>
          <w:u w:val="none"/>
        </w:rPr>
        <w:t>25</w:t>
      </w:r>
      <w:r w:rsidRPr="000E5938">
        <w:rPr>
          <w:rStyle w:val="Lienhypertexte"/>
          <w:b w:val="0"/>
          <w:color w:val="auto"/>
          <w:u w:val="none"/>
        </w:rPr>
        <w:t>% en 202</w:t>
      </w:r>
      <w:r w:rsidR="00551301" w:rsidRPr="000E5938">
        <w:rPr>
          <w:rStyle w:val="Lienhypertexte"/>
          <w:b w:val="0"/>
          <w:color w:val="auto"/>
          <w:u w:val="none"/>
        </w:rPr>
        <w:t>3</w:t>
      </w:r>
      <w:r w:rsidRPr="000E5938">
        <w:rPr>
          <w:rStyle w:val="Lienhypertexte"/>
          <w:b w:val="0"/>
          <w:color w:val="auto"/>
          <w:u w:val="none"/>
        </w:rPr>
        <w:t>)</w:t>
      </w:r>
      <w:r w:rsidR="00551301" w:rsidRPr="000E5938">
        <w:rPr>
          <w:rStyle w:val="Lienhypertexte"/>
          <w:b w:val="0"/>
          <w:color w:val="auto"/>
          <w:u w:val="none"/>
        </w:rPr>
        <w:t xml:space="preserve">. </w:t>
      </w:r>
      <w:r w:rsidRPr="000E5938">
        <w:rPr>
          <w:rStyle w:val="Lienhypertexte"/>
          <w:b w:val="0"/>
          <w:color w:val="auto"/>
          <w:u w:val="none"/>
        </w:rPr>
        <w:t xml:space="preserve">La dépendance de la France à l’uranium namibien </w:t>
      </w:r>
      <w:r w:rsidR="000E5938">
        <w:rPr>
          <w:rStyle w:val="Lienhypertexte"/>
          <w:b w:val="0"/>
          <w:color w:val="auto"/>
          <w:u w:val="none"/>
        </w:rPr>
        <w:t>reste donc</w:t>
      </w:r>
      <w:r w:rsidR="00551301" w:rsidRPr="000E5938">
        <w:rPr>
          <w:rStyle w:val="Lienhypertexte"/>
          <w:b w:val="0"/>
          <w:color w:val="auto"/>
          <w:u w:val="none"/>
        </w:rPr>
        <w:t xml:space="preserve"> élevée</w:t>
      </w:r>
      <w:r w:rsidRPr="000E5938">
        <w:rPr>
          <w:rStyle w:val="Lienhypertexte"/>
          <w:b w:val="0"/>
          <w:color w:val="auto"/>
          <w:u w:val="none"/>
        </w:rPr>
        <w:t>.</w:t>
      </w:r>
      <w:r w:rsidRPr="000E5938">
        <w:rPr>
          <w:rFonts w:eastAsia="SimSun"/>
          <w:color w:val="000091" w:themeColor="text1"/>
          <w:szCs w:val="20"/>
          <w:highlight w:val="yellow"/>
          <w:lang w:eastAsia="ja-JP"/>
        </w:rPr>
        <w:t xml:space="preserve"> </w:t>
      </w:r>
    </w:p>
    <w:p w14:paraId="79FB8F0C" w14:textId="2B2C239D" w:rsidR="00646BBC" w:rsidRPr="009E61CD" w:rsidRDefault="00613F7C" w:rsidP="00DA5FF8">
      <w:pPr>
        <w:pStyle w:val="Titre02"/>
        <w:rPr>
          <w:rStyle w:val="Lienhypertexte"/>
          <w:b w:val="0"/>
          <w:color w:val="auto"/>
          <w:u w:val="none"/>
        </w:rPr>
      </w:pPr>
      <w:r w:rsidRPr="00613F7C">
        <w:rPr>
          <w:rStyle w:val="Lienhypertexte"/>
          <w:bCs/>
          <w:color w:val="auto"/>
          <w:u w:val="none"/>
        </w:rPr>
        <w:t xml:space="preserve">Le déficit commercial structurel entre la France et la Namibie a diminué de 30 % en 2024, </w:t>
      </w:r>
      <w:r w:rsidR="00B416BE">
        <w:rPr>
          <w:rStyle w:val="Lienhypertexte"/>
          <w:bCs/>
          <w:color w:val="auto"/>
          <w:u w:val="none"/>
        </w:rPr>
        <w:t xml:space="preserve">s’établissant à </w:t>
      </w:r>
      <w:r w:rsidRPr="00613F7C">
        <w:rPr>
          <w:rStyle w:val="Lienhypertexte"/>
          <w:bCs/>
          <w:color w:val="auto"/>
          <w:u w:val="none"/>
        </w:rPr>
        <w:t>152 M€.</w:t>
      </w:r>
      <w:r w:rsidRPr="00613F7C">
        <w:rPr>
          <w:rStyle w:val="Lienhypertexte"/>
          <w:b w:val="0"/>
          <w:color w:val="auto"/>
          <w:u w:val="none"/>
        </w:rPr>
        <w:t xml:space="preserve"> Cette réduction met fin à cinq années consécutives de hausse. Le déficit s’explique principalement par le déséquilibre des échanges commerciaux : </w:t>
      </w:r>
      <w:r w:rsidR="00B416BE">
        <w:rPr>
          <w:rStyle w:val="Lienhypertexte"/>
          <w:b w:val="0"/>
          <w:color w:val="auto"/>
          <w:u w:val="none"/>
        </w:rPr>
        <w:t>les</w:t>
      </w:r>
      <w:r w:rsidR="00B416BE" w:rsidRPr="00613F7C">
        <w:rPr>
          <w:rStyle w:val="Lienhypertexte"/>
          <w:b w:val="0"/>
          <w:color w:val="auto"/>
          <w:u w:val="none"/>
        </w:rPr>
        <w:t xml:space="preserve"> </w:t>
      </w:r>
      <w:r w:rsidRPr="00613F7C">
        <w:rPr>
          <w:rStyle w:val="Lienhypertexte"/>
          <w:b w:val="0"/>
          <w:color w:val="auto"/>
          <w:u w:val="none"/>
        </w:rPr>
        <w:t xml:space="preserve">importations </w:t>
      </w:r>
      <w:r w:rsidR="00B416BE">
        <w:rPr>
          <w:rStyle w:val="Lienhypertexte"/>
          <w:b w:val="0"/>
          <w:color w:val="auto"/>
          <w:u w:val="none"/>
        </w:rPr>
        <w:t xml:space="preserve">françaises </w:t>
      </w:r>
      <w:r w:rsidRPr="00613F7C">
        <w:rPr>
          <w:rStyle w:val="Lienhypertexte"/>
          <w:b w:val="0"/>
          <w:color w:val="auto"/>
          <w:u w:val="none"/>
        </w:rPr>
        <w:t xml:space="preserve">sont concentrées sur les matières premières, principalement l’uranium, </w:t>
      </w:r>
      <w:r w:rsidR="00B416BE">
        <w:rPr>
          <w:rStyle w:val="Lienhypertexte"/>
          <w:b w:val="0"/>
          <w:color w:val="auto"/>
          <w:u w:val="none"/>
        </w:rPr>
        <w:t>tandis que</w:t>
      </w:r>
      <w:r w:rsidRPr="00613F7C">
        <w:rPr>
          <w:rStyle w:val="Lienhypertexte"/>
          <w:b w:val="0"/>
          <w:color w:val="auto"/>
          <w:u w:val="none"/>
        </w:rPr>
        <w:t xml:space="preserve"> le marché domestique namibien reste particulièrement restreint, avec une population de seulement 3 millions d’habitants. </w:t>
      </w:r>
      <w:r w:rsidR="00B416BE">
        <w:rPr>
          <w:rStyle w:val="Lienhypertexte"/>
          <w:b w:val="0"/>
          <w:color w:val="auto"/>
          <w:u w:val="none"/>
        </w:rPr>
        <w:t>Les</w:t>
      </w:r>
      <w:r w:rsidR="00B416BE" w:rsidRPr="00613F7C">
        <w:rPr>
          <w:rStyle w:val="Lienhypertexte"/>
          <w:b w:val="0"/>
          <w:color w:val="auto"/>
          <w:u w:val="none"/>
        </w:rPr>
        <w:t xml:space="preserve"> </w:t>
      </w:r>
      <w:r w:rsidRPr="00613F7C">
        <w:rPr>
          <w:rStyle w:val="Lienhypertexte"/>
          <w:b w:val="0"/>
          <w:color w:val="auto"/>
          <w:u w:val="none"/>
        </w:rPr>
        <w:t xml:space="preserve">exportations </w:t>
      </w:r>
      <w:r w:rsidR="00B416BE">
        <w:rPr>
          <w:rStyle w:val="Lienhypertexte"/>
          <w:b w:val="0"/>
          <w:color w:val="auto"/>
          <w:u w:val="none"/>
        </w:rPr>
        <w:t xml:space="preserve">françaises </w:t>
      </w:r>
      <w:r w:rsidRPr="00613F7C">
        <w:rPr>
          <w:rStyle w:val="Lienhypertexte"/>
          <w:b w:val="0"/>
          <w:color w:val="auto"/>
          <w:u w:val="none"/>
        </w:rPr>
        <w:t>dépendent donc largement de la conclusion de grands contrats (comme les canalisations en fonte en 2021) et sont davantage sujettes à la volatilité. Elles pourraient cependant bénéficier des projets d’exploration pétrolière menés par TotalEnergies dans le pays dans les années à venir.</w:t>
      </w:r>
    </w:p>
    <w:p w14:paraId="568B587F" w14:textId="71BCF0BD" w:rsidR="00756A18" w:rsidRDefault="00B416BE" w:rsidP="00A91A50">
      <w:pPr>
        <w:spacing w:before="360" w:after="0"/>
        <w:ind w:left="-426" w:right="-141"/>
        <w:jc w:val="both"/>
        <w:rPr>
          <w:rFonts w:ascii="Segoe UI" w:hAnsi="Segoe UI" w:cs="Segoe UI"/>
          <w:b/>
          <w:sz w:val="18"/>
          <w:szCs w:val="18"/>
        </w:rPr>
      </w:pPr>
      <w:r>
        <w:rPr>
          <w:rFonts w:ascii="Segoe UI" w:hAnsi="Segoe UI" w:cs="Segoe UI"/>
          <w:b/>
          <w:sz w:val="18"/>
          <w:szCs w:val="18"/>
        </w:rPr>
        <w:t>Thibault DORNON</w:t>
      </w:r>
    </w:p>
    <w:p w14:paraId="4FD9A069" w14:textId="297BF690" w:rsidR="00756A18" w:rsidRDefault="00756A18" w:rsidP="00C165BA">
      <w:pPr>
        <w:spacing w:after="120"/>
        <w:ind w:left="-426" w:right="-141"/>
        <w:jc w:val="center"/>
        <w:rPr>
          <w:rFonts w:ascii="Segoe UI" w:hAnsi="Segoe UI" w:cs="Segoe UI"/>
          <w:bCs/>
          <w:color w:val="000091" w:themeColor="text1"/>
          <w:sz w:val="24"/>
          <w:szCs w:val="28"/>
        </w:rPr>
      </w:pPr>
      <w:r>
        <w:rPr>
          <w:rFonts w:ascii="Segoe UI" w:hAnsi="Segoe UI" w:cs="Segoe UI"/>
          <w:b/>
          <w:sz w:val="18"/>
          <w:szCs w:val="18"/>
        </w:rPr>
        <w:br w:type="page"/>
      </w:r>
      <w:r>
        <w:rPr>
          <w:rFonts w:ascii="Segoe UI" w:hAnsi="Segoe UI" w:cs="Segoe UI"/>
          <w:bCs/>
          <w:noProof/>
          <w:color w:val="000091" w:themeColor="text1"/>
          <w:sz w:val="24"/>
          <w:szCs w:val="28"/>
        </w:rPr>
        <w:lastRenderedPageBreak/>
        <mc:AlternateContent>
          <mc:Choice Requires="wps">
            <w:drawing>
              <wp:anchor distT="0" distB="0" distL="114300" distR="114300" simplePos="0" relativeHeight="251655165" behindDoc="1" locked="0" layoutInCell="1" allowOverlap="1" wp14:anchorId="5F263577" wp14:editId="2BF76131">
                <wp:simplePos x="0" y="0"/>
                <wp:positionH relativeFrom="page">
                  <wp:align>left</wp:align>
                </wp:positionH>
                <wp:positionV relativeFrom="page">
                  <wp:posOffset>-3810</wp:posOffset>
                </wp:positionV>
                <wp:extent cx="7543800" cy="10677525"/>
                <wp:effectExtent l="0" t="0" r="0" b="9525"/>
                <wp:wrapNone/>
                <wp:docPr id="10" name="Rectangle 10"/>
                <wp:cNvGraphicFramePr/>
                <a:graphic xmlns:a="http://schemas.openxmlformats.org/drawingml/2006/main">
                  <a:graphicData uri="http://schemas.microsoft.com/office/word/2010/wordprocessingShape">
                    <wps:wsp>
                      <wps:cNvSpPr/>
                      <wps:spPr>
                        <a:xfrm>
                          <a:off x="0" y="0"/>
                          <a:ext cx="7543800" cy="10677525"/>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7CF4A7" id="Rectangle 10" o:spid="_x0000_s1026" style="position:absolute;margin-left:0;margin-top:-.3pt;width:594pt;height:840.75pt;z-index:-251661315;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" fillcolor="#fef8e8" stroked="f" strokeweight="1pt">
                <w10:wrap anchorx="page" anchory="page"/>
              </v:rect>
            </w:pict>
          </mc:Fallback>
        </mc:AlternateContent>
      </w:r>
      <w:r w:rsidR="00AA020A">
        <w:rPr>
          <w:rFonts w:ascii="Segoe UI" w:hAnsi="Segoe UI" w:cs="Segoe UI"/>
          <w:bCs/>
          <w:noProof/>
          <w:color w:val="000091" w:themeColor="text1"/>
          <w:sz w:val="24"/>
          <w:szCs w:val="28"/>
        </w:rPr>
        <mc:AlternateContent>
          <mc:Choice Requires="wps">
            <w:drawing>
              <wp:anchor distT="0" distB="0" distL="114300" distR="114300" simplePos="0" relativeHeight="251663360" behindDoc="1" locked="0" layoutInCell="1" allowOverlap="1" wp14:anchorId="73FF70B4" wp14:editId="2428AD39">
                <wp:simplePos x="0" y="0"/>
                <wp:positionH relativeFrom="page">
                  <wp:align>left</wp:align>
                </wp:positionH>
                <wp:positionV relativeFrom="paragraph">
                  <wp:posOffset>-448310</wp:posOffset>
                </wp:positionV>
                <wp:extent cx="7543800" cy="10677525"/>
                <wp:effectExtent l="0" t="0" r="0" b="9525"/>
                <wp:wrapNone/>
                <wp:docPr id="11" name="Rectangle 11"/>
                <wp:cNvGraphicFramePr/>
                <a:graphic xmlns:a="http://schemas.openxmlformats.org/drawingml/2006/main">
                  <a:graphicData uri="http://schemas.microsoft.com/office/word/2010/wordprocessingShape">
                    <wps:wsp>
                      <wps:cNvSpPr/>
                      <wps:spPr>
                        <a:xfrm>
                          <a:off x="0" y="0"/>
                          <a:ext cx="7543800" cy="10677525"/>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E3EEAA" id="Rectangle 11" o:spid="_x0000_s1026" style="position:absolute;margin-left:0;margin-top:-35.3pt;width:594pt;height:840.75pt;z-index:-251653120;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" fillcolor="#fef8e8" stroked="f" strokeweight="1pt">
                <w10:wrap anchorx="page"/>
              </v:rect>
            </w:pict>
          </mc:Fallback>
        </mc:AlternateContent>
      </w:r>
      <w:r w:rsidR="009854A7" w:rsidRPr="009854A7">
        <w:rPr>
          <w:rFonts w:ascii="Segoe UI" w:hAnsi="Segoe UI" w:cs="Segoe UI"/>
          <w:bCs/>
          <w:color w:val="000091" w:themeColor="text1"/>
          <w:sz w:val="24"/>
          <w:szCs w:val="28"/>
        </w:rPr>
        <w:t xml:space="preserve">ANNEXE </w:t>
      </w:r>
      <w:r w:rsidR="00323A4A">
        <w:rPr>
          <w:rFonts w:ascii="Segoe UI" w:hAnsi="Segoe UI" w:cs="Segoe UI"/>
          <w:bCs/>
          <w:color w:val="000091" w:themeColor="text1"/>
          <w:sz w:val="24"/>
          <w:szCs w:val="28"/>
        </w:rPr>
        <w:t>1</w:t>
      </w:r>
      <w:r w:rsidR="009854A7" w:rsidRPr="009854A7">
        <w:rPr>
          <w:rFonts w:ascii="Segoe UI" w:hAnsi="Segoe UI" w:cs="Segoe UI"/>
          <w:bCs/>
          <w:color w:val="000091" w:themeColor="text1"/>
          <w:sz w:val="24"/>
          <w:szCs w:val="28"/>
        </w:rPr>
        <w:t xml:space="preserve"> : </w:t>
      </w:r>
      <w:r w:rsidR="00BC0B57" w:rsidRPr="00BC0B57">
        <w:rPr>
          <w:rFonts w:ascii="Segoe UI" w:hAnsi="Segoe UI" w:cs="Segoe UI"/>
          <w:bCs/>
          <w:color w:val="000091" w:themeColor="text1"/>
          <w:sz w:val="24"/>
          <w:szCs w:val="28"/>
        </w:rPr>
        <w:t>Commerce bilatéral entre la France et la Namibie entre 2015 et 202</w:t>
      </w:r>
      <w:r w:rsidR="00EE64F2">
        <w:rPr>
          <w:rFonts w:ascii="Segoe UI" w:hAnsi="Segoe UI" w:cs="Segoe UI"/>
          <w:bCs/>
          <w:color w:val="000091" w:themeColor="text1"/>
          <w:sz w:val="24"/>
          <w:szCs w:val="28"/>
        </w:rPr>
        <w:t>4</w:t>
      </w:r>
      <w:r w:rsidR="00BC0B57" w:rsidRPr="00BC0B57">
        <w:rPr>
          <w:rFonts w:ascii="Segoe UI" w:hAnsi="Segoe UI" w:cs="Segoe UI"/>
          <w:bCs/>
          <w:color w:val="000091" w:themeColor="text1"/>
          <w:sz w:val="24"/>
          <w:szCs w:val="28"/>
        </w:rPr>
        <w:t xml:space="preserve"> (en MEUR)</w:t>
      </w:r>
    </w:p>
    <w:p w14:paraId="13AEACD6" w14:textId="77777777" w:rsidR="0032683C" w:rsidRDefault="0032683C" w:rsidP="00D36A6F">
      <w:pPr>
        <w:spacing w:after="120"/>
        <w:ind w:left="-426" w:right="-141"/>
        <w:jc w:val="center"/>
        <w:rPr>
          <w:rFonts w:ascii="Segoe UI" w:hAnsi="Segoe UI" w:cs="Segoe UI"/>
          <w:bCs/>
          <w:color w:val="000091" w:themeColor="text1"/>
          <w:sz w:val="24"/>
          <w:szCs w:val="28"/>
        </w:rPr>
      </w:pPr>
    </w:p>
    <w:p w14:paraId="021FC853" w14:textId="45058520" w:rsidR="005F3C1A" w:rsidRDefault="00A76EEA" w:rsidP="00A93C3A">
      <w:pPr>
        <w:rPr>
          <w:rStyle w:val="Lienhypertexte"/>
          <w:rFonts w:ascii="Segoe UI" w:hAnsi="Segoe UI" w:cs="Segoe UI"/>
          <w:b/>
          <w:color w:val="auto"/>
          <w:sz w:val="18"/>
          <w:szCs w:val="18"/>
          <w:u w:val="none"/>
        </w:rPr>
      </w:pPr>
      <w:r>
        <w:rPr>
          <w:noProof/>
        </w:rPr>
        <w:drawing>
          <wp:inline distT="0" distB="0" distL="0" distR="0" wp14:anchorId="54C556B5" wp14:editId="4C611F95">
            <wp:extent cx="5851525" cy="2399665"/>
            <wp:effectExtent l="0" t="0" r="15875" b="635"/>
            <wp:docPr id="7" name="Graphique 7">
              <a:extLst xmlns:a="http://schemas.openxmlformats.org/drawingml/2006/main">
                <a:ext uri="{FF2B5EF4-FFF2-40B4-BE49-F238E27FC236}">
                  <a16:creationId xmlns:a16="http://schemas.microsoft.com/office/drawing/2014/main" id="{3DD922C0-CF42-4CDB-B034-5E84F9B420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C52CA74" w14:textId="77777777" w:rsidR="0032683C" w:rsidRDefault="0032683C" w:rsidP="00A93C3A">
      <w:pPr>
        <w:rPr>
          <w:rFonts w:ascii="Segoe UI" w:hAnsi="Segoe UI" w:cs="Segoe UI"/>
          <w:bCs/>
          <w:color w:val="000091" w:themeColor="text1"/>
          <w:sz w:val="24"/>
          <w:szCs w:val="28"/>
        </w:rPr>
      </w:pPr>
    </w:p>
    <w:p w14:paraId="5E333D21" w14:textId="5D28DFB7" w:rsidR="001D36E3" w:rsidRDefault="001D36E3" w:rsidP="00D36A6F">
      <w:pPr>
        <w:spacing w:after="120"/>
        <w:jc w:val="center"/>
        <w:rPr>
          <w:rFonts w:ascii="Segoe UI" w:hAnsi="Segoe UI" w:cs="Segoe UI"/>
          <w:bCs/>
          <w:color w:val="000091" w:themeColor="text1"/>
          <w:sz w:val="24"/>
          <w:szCs w:val="28"/>
        </w:rPr>
      </w:pPr>
      <w:r w:rsidRPr="009854A7">
        <w:rPr>
          <w:rFonts w:ascii="Segoe UI" w:hAnsi="Segoe UI" w:cs="Segoe UI"/>
          <w:bCs/>
          <w:color w:val="000091" w:themeColor="text1"/>
          <w:sz w:val="24"/>
          <w:szCs w:val="28"/>
        </w:rPr>
        <w:t xml:space="preserve">ANNEXE </w:t>
      </w:r>
      <w:r>
        <w:rPr>
          <w:rFonts w:ascii="Segoe UI" w:hAnsi="Segoe UI" w:cs="Segoe UI"/>
          <w:bCs/>
          <w:color w:val="000091" w:themeColor="text1"/>
          <w:sz w:val="24"/>
          <w:szCs w:val="28"/>
        </w:rPr>
        <w:t>2</w:t>
      </w:r>
      <w:r w:rsidRPr="009854A7">
        <w:rPr>
          <w:rFonts w:ascii="Segoe UI" w:hAnsi="Segoe UI" w:cs="Segoe UI"/>
          <w:bCs/>
          <w:color w:val="000091" w:themeColor="text1"/>
          <w:sz w:val="24"/>
          <w:szCs w:val="28"/>
        </w:rPr>
        <w:t xml:space="preserve"> : </w:t>
      </w:r>
      <w:r w:rsidRPr="001D36E3">
        <w:rPr>
          <w:rFonts w:ascii="Segoe UI" w:hAnsi="Segoe UI" w:cs="Segoe UI"/>
          <w:bCs/>
          <w:color w:val="000091" w:themeColor="text1"/>
          <w:sz w:val="24"/>
          <w:szCs w:val="28"/>
        </w:rPr>
        <w:t>Principales exportations françaises à destination de Namibie en 202</w:t>
      </w:r>
      <w:r>
        <w:rPr>
          <w:rFonts w:ascii="Segoe UI" w:hAnsi="Segoe UI" w:cs="Segoe UI"/>
          <w:bCs/>
          <w:color w:val="000091" w:themeColor="text1"/>
          <w:sz w:val="24"/>
          <w:szCs w:val="28"/>
        </w:rPr>
        <w:t>4</w:t>
      </w:r>
      <w:r w:rsidRPr="001D36E3">
        <w:rPr>
          <w:rFonts w:ascii="Segoe UI" w:hAnsi="Segoe UI" w:cs="Segoe UI"/>
          <w:bCs/>
          <w:color w:val="000091" w:themeColor="text1"/>
          <w:sz w:val="24"/>
          <w:szCs w:val="28"/>
        </w:rPr>
        <w:t xml:space="preserve"> par produit (Douanes françaises, 202</w:t>
      </w:r>
      <w:r>
        <w:rPr>
          <w:rFonts w:ascii="Segoe UI" w:hAnsi="Segoe UI" w:cs="Segoe UI"/>
          <w:bCs/>
          <w:color w:val="000091" w:themeColor="text1"/>
          <w:sz w:val="24"/>
          <w:szCs w:val="28"/>
        </w:rPr>
        <w:t>5</w:t>
      </w:r>
      <w:r w:rsidRPr="001D36E3">
        <w:rPr>
          <w:rFonts w:ascii="Segoe UI" w:hAnsi="Segoe UI" w:cs="Segoe UI"/>
          <w:bCs/>
          <w:color w:val="000091" w:themeColor="text1"/>
          <w:sz w:val="24"/>
          <w:szCs w:val="28"/>
        </w:rPr>
        <w:t>)</w:t>
      </w:r>
    </w:p>
    <w:p w14:paraId="041B619A" w14:textId="77777777" w:rsidR="0032683C" w:rsidRDefault="0032683C" w:rsidP="00D36A6F">
      <w:pPr>
        <w:spacing w:after="120"/>
        <w:jc w:val="center"/>
        <w:rPr>
          <w:rFonts w:ascii="Segoe UI" w:hAnsi="Segoe UI" w:cs="Segoe UI"/>
          <w:bCs/>
          <w:color w:val="000091" w:themeColor="text1"/>
          <w:sz w:val="24"/>
          <w:szCs w:val="28"/>
        </w:rPr>
      </w:pPr>
    </w:p>
    <w:tbl>
      <w:tblPr>
        <w:tblStyle w:val="Tableausimple1"/>
        <w:tblW w:w="9331" w:type="dxa"/>
        <w:tblLayout w:type="fixed"/>
        <w:tblLook w:val="0000" w:firstRow="0" w:lastRow="0" w:firstColumn="0" w:lastColumn="0" w:noHBand="0" w:noVBand="0"/>
      </w:tblPr>
      <w:tblGrid>
        <w:gridCol w:w="4416"/>
        <w:gridCol w:w="1548"/>
        <w:gridCol w:w="1757"/>
        <w:gridCol w:w="1610"/>
      </w:tblGrid>
      <w:tr w:rsidR="007F67AE" w:rsidRPr="00B84FE0" w14:paraId="043A73CA" w14:textId="77777777" w:rsidTr="007F67AE">
        <w:trPr>
          <w:cnfStyle w:val="000000100000" w:firstRow="0" w:lastRow="0" w:firstColumn="0" w:lastColumn="0" w:oddVBand="0" w:evenVBand="0" w:oddHBand="1" w:evenHBand="0" w:firstRowFirstColumn="0" w:firstRowLastColumn="0" w:lastRowFirstColumn="0" w:lastRowLastColumn="0"/>
          <w:trHeight w:val="492"/>
        </w:trPr>
        <w:tc>
          <w:tcPr>
            <w:cnfStyle w:val="000010000000" w:firstRow="0" w:lastRow="0" w:firstColumn="0" w:lastColumn="0" w:oddVBand="1" w:evenVBand="0" w:oddHBand="0" w:evenHBand="0" w:firstRowFirstColumn="0" w:firstRowLastColumn="0" w:lastRowFirstColumn="0" w:lastRowLastColumn="0"/>
            <w:tcW w:w="4416" w:type="dxa"/>
          </w:tcPr>
          <w:p w14:paraId="3B8C9430" w14:textId="77777777" w:rsidR="00B84FE0" w:rsidRPr="00B84FE0" w:rsidRDefault="00B84FE0" w:rsidP="00B84FE0">
            <w:pPr>
              <w:autoSpaceDE w:val="0"/>
              <w:autoSpaceDN w:val="0"/>
              <w:adjustRightInd w:val="0"/>
              <w:rPr>
                <w:rFonts w:ascii="Calibri" w:hAnsi="Calibri" w:cs="Calibri"/>
                <w:b/>
                <w:bCs/>
                <w:color w:val="000091" w:themeColor="text1"/>
                <w:sz w:val="18"/>
                <w:szCs w:val="18"/>
              </w:rPr>
            </w:pPr>
            <w:r w:rsidRPr="00B84FE0">
              <w:rPr>
                <w:rFonts w:ascii="Calibri" w:hAnsi="Calibri" w:cs="Calibri"/>
                <w:b/>
                <w:bCs/>
                <w:color w:val="000091" w:themeColor="text1"/>
                <w:sz w:val="18"/>
                <w:szCs w:val="18"/>
              </w:rPr>
              <w:t xml:space="preserve">Produits </w:t>
            </w:r>
          </w:p>
        </w:tc>
        <w:tc>
          <w:tcPr>
            <w:tcW w:w="1548" w:type="dxa"/>
          </w:tcPr>
          <w:p w14:paraId="1B1DBEF2" w14:textId="77777777" w:rsidR="00B84FE0" w:rsidRPr="00B84FE0" w:rsidRDefault="00B84FE0" w:rsidP="00B84FE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91" w:themeColor="text1"/>
                <w:sz w:val="18"/>
                <w:szCs w:val="18"/>
              </w:rPr>
            </w:pPr>
            <w:r w:rsidRPr="00B84FE0">
              <w:rPr>
                <w:rFonts w:ascii="Calibri" w:hAnsi="Calibri" w:cs="Calibri"/>
                <w:b/>
                <w:bCs/>
                <w:color w:val="000091" w:themeColor="text1"/>
                <w:sz w:val="18"/>
                <w:szCs w:val="18"/>
              </w:rPr>
              <w:t>% du total</w:t>
            </w:r>
          </w:p>
        </w:tc>
        <w:tc>
          <w:tcPr>
            <w:cnfStyle w:val="000010000000" w:firstRow="0" w:lastRow="0" w:firstColumn="0" w:lastColumn="0" w:oddVBand="1" w:evenVBand="0" w:oddHBand="0" w:evenHBand="0" w:firstRowFirstColumn="0" w:firstRowLastColumn="0" w:lastRowFirstColumn="0" w:lastRowLastColumn="0"/>
            <w:tcW w:w="1757" w:type="dxa"/>
          </w:tcPr>
          <w:p w14:paraId="5F3304A8" w14:textId="527B7B90" w:rsidR="00B84FE0" w:rsidRPr="00B84FE0" w:rsidRDefault="00B84FE0" w:rsidP="00B84FE0">
            <w:pPr>
              <w:autoSpaceDE w:val="0"/>
              <w:autoSpaceDN w:val="0"/>
              <w:adjustRightInd w:val="0"/>
              <w:rPr>
                <w:rFonts w:ascii="Calibri" w:hAnsi="Calibri" w:cs="Calibri"/>
                <w:b/>
                <w:bCs/>
                <w:color w:val="000091" w:themeColor="text1"/>
                <w:sz w:val="18"/>
                <w:szCs w:val="18"/>
              </w:rPr>
            </w:pPr>
            <w:r w:rsidRPr="00B84FE0">
              <w:rPr>
                <w:rFonts w:ascii="Calibri" w:hAnsi="Calibri" w:cs="Calibri"/>
                <w:b/>
                <w:bCs/>
                <w:color w:val="000091" w:themeColor="text1"/>
                <w:sz w:val="18"/>
                <w:szCs w:val="18"/>
              </w:rPr>
              <w:t xml:space="preserve">Evolution (en %) </w:t>
            </w:r>
          </w:p>
        </w:tc>
        <w:tc>
          <w:tcPr>
            <w:tcW w:w="1610" w:type="dxa"/>
          </w:tcPr>
          <w:p w14:paraId="43468A75" w14:textId="4C602A65" w:rsidR="00B84FE0" w:rsidRPr="00B84FE0" w:rsidRDefault="007F67AE" w:rsidP="00B84FE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91" w:themeColor="text1"/>
                <w:sz w:val="18"/>
                <w:szCs w:val="18"/>
              </w:rPr>
            </w:pPr>
            <w:r>
              <w:rPr>
                <w:rFonts w:ascii="Calibri" w:hAnsi="Calibri" w:cs="Calibri"/>
                <w:b/>
                <w:bCs/>
                <w:color w:val="000091" w:themeColor="text1"/>
                <w:sz w:val="18"/>
                <w:szCs w:val="18"/>
              </w:rPr>
              <w:t>M</w:t>
            </w:r>
            <w:r w:rsidR="00B84FE0" w:rsidRPr="00B84FE0">
              <w:rPr>
                <w:rFonts w:ascii="Calibri" w:hAnsi="Calibri" w:cs="Calibri"/>
                <w:b/>
                <w:bCs/>
                <w:color w:val="000091" w:themeColor="text1"/>
                <w:sz w:val="18"/>
                <w:szCs w:val="18"/>
              </w:rPr>
              <w:t>ontant (MEUR)</w:t>
            </w:r>
          </w:p>
        </w:tc>
      </w:tr>
      <w:tr w:rsidR="007F67AE" w:rsidRPr="00B84FE0" w14:paraId="0C41584E" w14:textId="77777777" w:rsidTr="00D36A6F">
        <w:trPr>
          <w:trHeight w:val="649"/>
        </w:trPr>
        <w:tc>
          <w:tcPr>
            <w:cnfStyle w:val="000010000000" w:firstRow="0" w:lastRow="0" w:firstColumn="0" w:lastColumn="0" w:oddVBand="1" w:evenVBand="0" w:oddHBand="0" w:evenHBand="0" w:firstRowFirstColumn="0" w:firstRowLastColumn="0" w:lastRowFirstColumn="0" w:lastRowLastColumn="0"/>
            <w:tcW w:w="0" w:type="dxa"/>
          </w:tcPr>
          <w:p w14:paraId="5178B239" w14:textId="77777777" w:rsidR="00B84FE0" w:rsidRPr="00B84FE0" w:rsidRDefault="00B84FE0" w:rsidP="00B84FE0">
            <w:pPr>
              <w:autoSpaceDE w:val="0"/>
              <w:autoSpaceDN w:val="0"/>
              <w:adjustRightInd w:val="0"/>
              <w:rPr>
                <w:rFonts w:ascii="Calibri" w:hAnsi="Calibri" w:cs="Calibri"/>
                <w:b/>
                <w:bCs/>
                <w:color w:val="000091" w:themeColor="text1"/>
                <w:sz w:val="18"/>
                <w:szCs w:val="18"/>
              </w:rPr>
            </w:pPr>
            <w:r w:rsidRPr="00B84FE0">
              <w:rPr>
                <w:rFonts w:ascii="Calibri" w:hAnsi="Calibri" w:cs="Calibri"/>
                <w:b/>
                <w:bCs/>
                <w:color w:val="000091" w:themeColor="text1"/>
                <w:sz w:val="18"/>
                <w:szCs w:val="18"/>
              </w:rPr>
              <w:t>Equipements mécaniques, matériel électrique, électronique et informatique</w:t>
            </w:r>
          </w:p>
        </w:tc>
        <w:tc>
          <w:tcPr>
            <w:tcW w:w="0" w:type="dxa"/>
          </w:tcPr>
          <w:p w14:paraId="1E5A0422" w14:textId="77777777" w:rsidR="00B84FE0" w:rsidRPr="00B84FE0" w:rsidRDefault="00B84FE0" w:rsidP="00B84FE0">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91" w:themeColor="text1"/>
                <w:sz w:val="20"/>
                <w:szCs w:val="20"/>
              </w:rPr>
            </w:pPr>
            <w:r w:rsidRPr="00B84FE0">
              <w:rPr>
                <w:rFonts w:ascii="Calibri" w:hAnsi="Calibri" w:cs="Calibri"/>
                <w:color w:val="000091" w:themeColor="text1"/>
                <w:sz w:val="20"/>
                <w:szCs w:val="20"/>
              </w:rPr>
              <w:t>35,5%</w:t>
            </w:r>
          </w:p>
        </w:tc>
        <w:tc>
          <w:tcPr>
            <w:cnfStyle w:val="000010000000" w:firstRow="0" w:lastRow="0" w:firstColumn="0" w:lastColumn="0" w:oddVBand="1" w:evenVBand="0" w:oddHBand="0" w:evenHBand="0" w:firstRowFirstColumn="0" w:firstRowLastColumn="0" w:lastRowFirstColumn="0" w:lastRowLastColumn="0"/>
            <w:tcW w:w="0" w:type="dxa"/>
            <w:shd w:val="clear" w:color="auto" w:fill="auto"/>
          </w:tcPr>
          <w:p w14:paraId="7E5D5481" w14:textId="77777777" w:rsidR="00B84FE0" w:rsidRPr="00B84FE0" w:rsidRDefault="00B84FE0" w:rsidP="00B84FE0">
            <w:pPr>
              <w:autoSpaceDE w:val="0"/>
              <w:autoSpaceDN w:val="0"/>
              <w:adjustRightInd w:val="0"/>
              <w:jc w:val="right"/>
              <w:rPr>
                <w:rFonts w:ascii="Calibri" w:hAnsi="Calibri" w:cs="Calibri"/>
                <w:color w:val="000091" w:themeColor="text1"/>
                <w:sz w:val="20"/>
                <w:szCs w:val="20"/>
              </w:rPr>
            </w:pPr>
            <w:r w:rsidRPr="00B84FE0">
              <w:rPr>
                <w:rFonts w:ascii="Calibri" w:hAnsi="Calibri" w:cs="Calibri"/>
                <w:color w:val="000091" w:themeColor="text1"/>
                <w:sz w:val="20"/>
                <w:szCs w:val="20"/>
              </w:rPr>
              <w:t>-23,5%</w:t>
            </w:r>
          </w:p>
        </w:tc>
        <w:tc>
          <w:tcPr>
            <w:tcW w:w="0" w:type="dxa"/>
          </w:tcPr>
          <w:p w14:paraId="5D7FD5FE" w14:textId="77777777" w:rsidR="00B84FE0" w:rsidRPr="00B84FE0" w:rsidRDefault="00B84FE0" w:rsidP="00B84FE0">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91" w:themeColor="text1"/>
                <w:sz w:val="20"/>
                <w:szCs w:val="20"/>
              </w:rPr>
            </w:pPr>
            <w:r w:rsidRPr="00B84FE0">
              <w:rPr>
                <w:rFonts w:ascii="Calibri" w:hAnsi="Calibri" w:cs="Calibri"/>
                <w:color w:val="000091" w:themeColor="text1"/>
                <w:sz w:val="20"/>
                <w:szCs w:val="20"/>
              </w:rPr>
              <w:t>13,2</w:t>
            </w:r>
          </w:p>
        </w:tc>
      </w:tr>
      <w:tr w:rsidR="007F67AE" w:rsidRPr="00B84FE0" w14:paraId="253CD1D0" w14:textId="77777777" w:rsidTr="00D36A6F">
        <w:trPr>
          <w:cnfStyle w:val="000000100000" w:firstRow="0" w:lastRow="0" w:firstColumn="0" w:lastColumn="0" w:oddVBand="0" w:evenVBand="0" w:oddHBand="1" w:evenHBand="0" w:firstRowFirstColumn="0" w:firstRowLastColumn="0" w:lastRowFirstColumn="0" w:lastRowLastColumn="0"/>
          <w:trHeight w:val="576"/>
        </w:trPr>
        <w:tc>
          <w:tcPr>
            <w:cnfStyle w:val="000010000000" w:firstRow="0" w:lastRow="0" w:firstColumn="0" w:lastColumn="0" w:oddVBand="1" w:evenVBand="0" w:oddHBand="0" w:evenHBand="0" w:firstRowFirstColumn="0" w:firstRowLastColumn="0" w:lastRowFirstColumn="0" w:lastRowLastColumn="0"/>
            <w:tcW w:w="0" w:type="dxa"/>
          </w:tcPr>
          <w:p w14:paraId="2B900943" w14:textId="77777777" w:rsidR="00B84FE0" w:rsidRPr="00B84FE0" w:rsidRDefault="00B84FE0" w:rsidP="00B84FE0">
            <w:pPr>
              <w:autoSpaceDE w:val="0"/>
              <w:autoSpaceDN w:val="0"/>
              <w:adjustRightInd w:val="0"/>
              <w:rPr>
                <w:rFonts w:ascii="Calibri" w:hAnsi="Calibri" w:cs="Calibri"/>
                <w:b/>
                <w:bCs/>
                <w:color w:val="000091" w:themeColor="text1"/>
                <w:sz w:val="18"/>
                <w:szCs w:val="18"/>
              </w:rPr>
            </w:pPr>
            <w:r w:rsidRPr="00B84FE0">
              <w:rPr>
                <w:rFonts w:ascii="Calibri" w:hAnsi="Calibri" w:cs="Calibri"/>
                <w:b/>
                <w:bCs/>
                <w:color w:val="000091" w:themeColor="text1"/>
                <w:sz w:val="18"/>
                <w:szCs w:val="18"/>
              </w:rPr>
              <w:t>Matériels de transport</w:t>
            </w:r>
          </w:p>
        </w:tc>
        <w:tc>
          <w:tcPr>
            <w:tcW w:w="0" w:type="dxa"/>
            <w:shd w:val="clear" w:color="auto" w:fill="auto"/>
          </w:tcPr>
          <w:p w14:paraId="4FC02C40" w14:textId="77777777" w:rsidR="00B84FE0" w:rsidRPr="00B84FE0" w:rsidRDefault="00B84FE0" w:rsidP="00B84FE0">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91" w:themeColor="text1"/>
                <w:sz w:val="20"/>
                <w:szCs w:val="20"/>
              </w:rPr>
            </w:pPr>
            <w:r w:rsidRPr="00B84FE0">
              <w:rPr>
                <w:rFonts w:ascii="Calibri" w:hAnsi="Calibri" w:cs="Calibri"/>
                <w:color w:val="000091" w:themeColor="text1"/>
                <w:sz w:val="20"/>
                <w:szCs w:val="20"/>
              </w:rPr>
              <w:t>25,2%</w:t>
            </w:r>
          </w:p>
        </w:tc>
        <w:tc>
          <w:tcPr>
            <w:cnfStyle w:val="000010000000" w:firstRow="0" w:lastRow="0" w:firstColumn="0" w:lastColumn="0" w:oddVBand="1" w:evenVBand="0" w:oddHBand="0" w:evenHBand="0" w:firstRowFirstColumn="0" w:firstRowLastColumn="0" w:lastRowFirstColumn="0" w:lastRowLastColumn="0"/>
            <w:tcW w:w="0" w:type="dxa"/>
            <w:shd w:val="clear" w:color="auto" w:fill="auto"/>
          </w:tcPr>
          <w:p w14:paraId="1A6E7615" w14:textId="77777777" w:rsidR="00B84FE0" w:rsidRPr="00B84FE0" w:rsidRDefault="00B84FE0" w:rsidP="00B84FE0">
            <w:pPr>
              <w:autoSpaceDE w:val="0"/>
              <w:autoSpaceDN w:val="0"/>
              <w:adjustRightInd w:val="0"/>
              <w:jc w:val="right"/>
              <w:rPr>
                <w:rFonts w:ascii="Calibri" w:hAnsi="Calibri" w:cs="Calibri"/>
                <w:color w:val="000091" w:themeColor="text1"/>
                <w:sz w:val="20"/>
                <w:szCs w:val="20"/>
              </w:rPr>
            </w:pPr>
            <w:r w:rsidRPr="00B84FE0">
              <w:rPr>
                <w:rFonts w:ascii="Calibri" w:hAnsi="Calibri" w:cs="Calibri"/>
                <w:color w:val="000091" w:themeColor="text1"/>
                <w:sz w:val="20"/>
                <w:szCs w:val="20"/>
              </w:rPr>
              <w:t>1273,3%</w:t>
            </w:r>
          </w:p>
        </w:tc>
        <w:tc>
          <w:tcPr>
            <w:tcW w:w="0" w:type="dxa"/>
            <w:shd w:val="clear" w:color="auto" w:fill="auto"/>
          </w:tcPr>
          <w:p w14:paraId="1AB4CD83" w14:textId="3F4BF79A" w:rsidR="00B84FE0" w:rsidRPr="00B84FE0" w:rsidRDefault="00B84FE0" w:rsidP="00B84FE0">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91" w:themeColor="text1"/>
                <w:sz w:val="20"/>
                <w:szCs w:val="20"/>
              </w:rPr>
            </w:pPr>
            <w:r w:rsidRPr="00B84FE0">
              <w:rPr>
                <w:rFonts w:ascii="Calibri" w:hAnsi="Calibri" w:cs="Calibri"/>
                <w:color w:val="000091" w:themeColor="text1"/>
                <w:sz w:val="20"/>
                <w:szCs w:val="20"/>
              </w:rPr>
              <w:t>9,4</w:t>
            </w:r>
          </w:p>
        </w:tc>
      </w:tr>
      <w:tr w:rsidR="007F67AE" w:rsidRPr="00B84FE0" w14:paraId="41BE518D" w14:textId="77777777" w:rsidTr="00D36A6F">
        <w:trPr>
          <w:trHeight w:val="557"/>
        </w:trPr>
        <w:tc>
          <w:tcPr>
            <w:cnfStyle w:val="000010000000" w:firstRow="0" w:lastRow="0" w:firstColumn="0" w:lastColumn="0" w:oddVBand="1" w:evenVBand="0" w:oddHBand="0" w:evenHBand="0" w:firstRowFirstColumn="0" w:firstRowLastColumn="0" w:lastRowFirstColumn="0" w:lastRowLastColumn="0"/>
            <w:tcW w:w="0" w:type="dxa"/>
          </w:tcPr>
          <w:p w14:paraId="5B137FA1" w14:textId="77777777" w:rsidR="00B84FE0" w:rsidRPr="00B84FE0" w:rsidRDefault="00B84FE0" w:rsidP="00B84FE0">
            <w:pPr>
              <w:autoSpaceDE w:val="0"/>
              <w:autoSpaceDN w:val="0"/>
              <w:adjustRightInd w:val="0"/>
              <w:rPr>
                <w:rFonts w:ascii="Calibri" w:hAnsi="Calibri" w:cs="Calibri"/>
                <w:b/>
                <w:bCs/>
                <w:color w:val="000091" w:themeColor="text1"/>
                <w:sz w:val="18"/>
                <w:szCs w:val="18"/>
              </w:rPr>
            </w:pPr>
            <w:r w:rsidRPr="00B84FE0">
              <w:rPr>
                <w:rFonts w:ascii="Calibri" w:hAnsi="Calibri" w:cs="Calibri"/>
                <w:b/>
                <w:bCs/>
                <w:color w:val="000091" w:themeColor="text1"/>
                <w:sz w:val="18"/>
                <w:szCs w:val="18"/>
              </w:rPr>
              <w:t>Produits chimiques, parfums et cosmétiques</w:t>
            </w:r>
          </w:p>
        </w:tc>
        <w:tc>
          <w:tcPr>
            <w:tcW w:w="0" w:type="dxa"/>
          </w:tcPr>
          <w:p w14:paraId="161419F6" w14:textId="77777777" w:rsidR="00B84FE0" w:rsidRPr="00B84FE0" w:rsidRDefault="00B84FE0" w:rsidP="00B84FE0">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91" w:themeColor="text1"/>
                <w:sz w:val="20"/>
                <w:szCs w:val="20"/>
              </w:rPr>
            </w:pPr>
            <w:r w:rsidRPr="00B84FE0">
              <w:rPr>
                <w:rFonts w:ascii="Calibri" w:hAnsi="Calibri" w:cs="Calibri"/>
                <w:color w:val="000091" w:themeColor="text1"/>
                <w:sz w:val="20"/>
                <w:szCs w:val="20"/>
              </w:rPr>
              <w:t>20,2%</w:t>
            </w:r>
          </w:p>
        </w:tc>
        <w:tc>
          <w:tcPr>
            <w:cnfStyle w:val="000010000000" w:firstRow="0" w:lastRow="0" w:firstColumn="0" w:lastColumn="0" w:oddVBand="1" w:evenVBand="0" w:oddHBand="0" w:evenHBand="0" w:firstRowFirstColumn="0" w:firstRowLastColumn="0" w:lastRowFirstColumn="0" w:lastRowLastColumn="0"/>
            <w:tcW w:w="0" w:type="dxa"/>
            <w:shd w:val="clear" w:color="auto" w:fill="auto"/>
          </w:tcPr>
          <w:p w14:paraId="1C34AE03" w14:textId="77777777" w:rsidR="00B84FE0" w:rsidRPr="00B84FE0" w:rsidRDefault="00B84FE0" w:rsidP="00B84FE0">
            <w:pPr>
              <w:autoSpaceDE w:val="0"/>
              <w:autoSpaceDN w:val="0"/>
              <w:adjustRightInd w:val="0"/>
              <w:jc w:val="right"/>
              <w:rPr>
                <w:rFonts w:ascii="Calibri" w:hAnsi="Calibri" w:cs="Calibri"/>
                <w:color w:val="000091" w:themeColor="text1"/>
                <w:sz w:val="20"/>
                <w:szCs w:val="20"/>
              </w:rPr>
            </w:pPr>
            <w:r w:rsidRPr="00B84FE0">
              <w:rPr>
                <w:rFonts w:ascii="Calibri" w:hAnsi="Calibri" w:cs="Calibri"/>
                <w:color w:val="000091" w:themeColor="text1"/>
                <w:sz w:val="20"/>
                <w:szCs w:val="20"/>
              </w:rPr>
              <w:t>77,7%</w:t>
            </w:r>
          </w:p>
        </w:tc>
        <w:tc>
          <w:tcPr>
            <w:tcW w:w="0" w:type="dxa"/>
          </w:tcPr>
          <w:p w14:paraId="2C04730C" w14:textId="77777777" w:rsidR="00B84FE0" w:rsidRPr="00B84FE0" w:rsidRDefault="00B84FE0" w:rsidP="00B84FE0">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91" w:themeColor="text1"/>
                <w:sz w:val="20"/>
                <w:szCs w:val="20"/>
              </w:rPr>
            </w:pPr>
            <w:r w:rsidRPr="00B84FE0">
              <w:rPr>
                <w:rFonts w:ascii="Calibri" w:hAnsi="Calibri" w:cs="Calibri"/>
                <w:color w:val="000091" w:themeColor="text1"/>
                <w:sz w:val="20"/>
                <w:szCs w:val="20"/>
              </w:rPr>
              <w:t>7,5</w:t>
            </w:r>
          </w:p>
        </w:tc>
      </w:tr>
      <w:tr w:rsidR="007F67AE" w:rsidRPr="00B84FE0" w14:paraId="5FAA3290" w14:textId="77777777" w:rsidTr="007F67AE">
        <w:trPr>
          <w:cnfStyle w:val="000000100000" w:firstRow="0" w:lastRow="0" w:firstColumn="0" w:lastColumn="0" w:oddVBand="0" w:evenVBand="0" w:oddHBand="1" w:evenHBand="0" w:firstRowFirstColumn="0" w:firstRowLastColumn="0" w:lastRowFirstColumn="0" w:lastRowLastColumn="0"/>
          <w:trHeight w:val="449"/>
        </w:trPr>
        <w:tc>
          <w:tcPr>
            <w:cnfStyle w:val="000010000000" w:firstRow="0" w:lastRow="0" w:firstColumn="0" w:lastColumn="0" w:oddVBand="1" w:evenVBand="0" w:oddHBand="0" w:evenHBand="0" w:firstRowFirstColumn="0" w:firstRowLastColumn="0" w:lastRowFirstColumn="0" w:lastRowLastColumn="0"/>
            <w:tcW w:w="4416" w:type="dxa"/>
          </w:tcPr>
          <w:p w14:paraId="46BB293B" w14:textId="149A3800" w:rsidR="00B84FE0" w:rsidRPr="00B84FE0" w:rsidRDefault="00B43F8B" w:rsidP="00B84FE0">
            <w:pPr>
              <w:autoSpaceDE w:val="0"/>
              <w:autoSpaceDN w:val="0"/>
              <w:adjustRightInd w:val="0"/>
              <w:jc w:val="right"/>
              <w:rPr>
                <w:rFonts w:ascii="Calibri" w:hAnsi="Calibri" w:cs="Calibri"/>
                <w:b/>
                <w:bCs/>
                <w:color w:val="000091" w:themeColor="text1"/>
              </w:rPr>
            </w:pPr>
            <w:r>
              <w:rPr>
                <w:rFonts w:ascii="Calibri" w:hAnsi="Calibri" w:cs="Calibri"/>
                <w:b/>
                <w:bCs/>
                <w:color w:val="000091" w:themeColor="text1"/>
              </w:rPr>
              <w:t>Sous-</w:t>
            </w:r>
            <w:r w:rsidR="00B84FE0" w:rsidRPr="00B84FE0">
              <w:rPr>
                <w:rFonts w:ascii="Calibri" w:hAnsi="Calibri" w:cs="Calibri"/>
                <w:b/>
                <w:bCs/>
                <w:color w:val="000091" w:themeColor="text1"/>
              </w:rPr>
              <w:t xml:space="preserve">Total      </w:t>
            </w:r>
          </w:p>
        </w:tc>
        <w:tc>
          <w:tcPr>
            <w:tcW w:w="1548" w:type="dxa"/>
          </w:tcPr>
          <w:p w14:paraId="15299EF8" w14:textId="77777777" w:rsidR="00B84FE0" w:rsidRPr="00B84FE0" w:rsidRDefault="00B84FE0" w:rsidP="00B84FE0">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91"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1757" w:type="dxa"/>
          </w:tcPr>
          <w:p w14:paraId="78C43E19" w14:textId="77777777" w:rsidR="00B84FE0" w:rsidRPr="00B84FE0" w:rsidRDefault="00B84FE0" w:rsidP="00B84FE0">
            <w:pPr>
              <w:autoSpaceDE w:val="0"/>
              <w:autoSpaceDN w:val="0"/>
              <w:adjustRightInd w:val="0"/>
              <w:jc w:val="right"/>
              <w:rPr>
                <w:rFonts w:ascii="Calibri" w:hAnsi="Calibri" w:cs="Calibri"/>
                <w:b/>
                <w:bCs/>
                <w:color w:val="000091" w:themeColor="text1"/>
                <w:sz w:val="20"/>
                <w:szCs w:val="20"/>
              </w:rPr>
            </w:pPr>
          </w:p>
        </w:tc>
        <w:tc>
          <w:tcPr>
            <w:tcW w:w="1610" w:type="dxa"/>
          </w:tcPr>
          <w:p w14:paraId="1B8F3327" w14:textId="77777777" w:rsidR="00B84FE0" w:rsidRPr="00B84FE0" w:rsidRDefault="00B84FE0" w:rsidP="00B84FE0">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91" w:themeColor="text1"/>
                <w:sz w:val="20"/>
                <w:szCs w:val="20"/>
              </w:rPr>
            </w:pPr>
            <w:r w:rsidRPr="00B84FE0">
              <w:rPr>
                <w:rFonts w:ascii="Calibri" w:hAnsi="Calibri" w:cs="Calibri"/>
                <w:b/>
                <w:bCs/>
                <w:color w:val="000091" w:themeColor="text1"/>
                <w:sz w:val="20"/>
                <w:szCs w:val="20"/>
              </w:rPr>
              <w:t>30,0</w:t>
            </w:r>
          </w:p>
        </w:tc>
      </w:tr>
    </w:tbl>
    <w:p w14:paraId="408271CE" w14:textId="6CA95CE0" w:rsidR="00B84FE0" w:rsidRDefault="00B84FE0" w:rsidP="00A93C3A">
      <w:pPr>
        <w:rPr>
          <w:rFonts w:ascii="Segoe UI" w:hAnsi="Segoe UI" w:cs="Segoe UI"/>
          <w:bCs/>
          <w:color w:val="000091" w:themeColor="text1"/>
          <w:sz w:val="24"/>
          <w:szCs w:val="28"/>
        </w:rPr>
      </w:pPr>
    </w:p>
    <w:p w14:paraId="6F2490A0" w14:textId="77777777" w:rsidR="0032683C" w:rsidRDefault="0032683C" w:rsidP="00A93C3A">
      <w:pPr>
        <w:rPr>
          <w:rFonts w:ascii="Segoe UI" w:hAnsi="Segoe UI" w:cs="Segoe UI"/>
          <w:bCs/>
          <w:color w:val="000091" w:themeColor="text1"/>
          <w:sz w:val="24"/>
          <w:szCs w:val="28"/>
        </w:rPr>
      </w:pPr>
    </w:p>
    <w:p w14:paraId="4FBBA546" w14:textId="2F8DF0EE" w:rsidR="001D36E3" w:rsidRDefault="001D36E3" w:rsidP="00D36A6F">
      <w:pPr>
        <w:spacing w:after="120"/>
        <w:jc w:val="center"/>
        <w:rPr>
          <w:rFonts w:ascii="Segoe UI" w:hAnsi="Segoe UI" w:cs="Segoe UI"/>
          <w:bCs/>
          <w:color w:val="000091" w:themeColor="text1"/>
          <w:sz w:val="24"/>
          <w:szCs w:val="28"/>
        </w:rPr>
      </w:pPr>
      <w:r w:rsidRPr="009854A7">
        <w:rPr>
          <w:rFonts w:ascii="Segoe UI" w:hAnsi="Segoe UI" w:cs="Segoe UI"/>
          <w:bCs/>
          <w:color w:val="000091" w:themeColor="text1"/>
          <w:sz w:val="24"/>
          <w:szCs w:val="28"/>
        </w:rPr>
        <w:t xml:space="preserve">ANNEXE </w:t>
      </w:r>
      <w:r>
        <w:rPr>
          <w:rFonts w:ascii="Segoe UI" w:hAnsi="Segoe UI" w:cs="Segoe UI"/>
          <w:bCs/>
          <w:color w:val="000091" w:themeColor="text1"/>
          <w:sz w:val="24"/>
          <w:szCs w:val="28"/>
        </w:rPr>
        <w:t>3</w:t>
      </w:r>
      <w:r w:rsidRPr="009854A7">
        <w:rPr>
          <w:rFonts w:ascii="Segoe UI" w:hAnsi="Segoe UI" w:cs="Segoe UI"/>
          <w:bCs/>
          <w:color w:val="000091" w:themeColor="text1"/>
          <w:sz w:val="24"/>
          <w:szCs w:val="28"/>
        </w:rPr>
        <w:t xml:space="preserve"> : </w:t>
      </w:r>
      <w:r w:rsidRPr="001D36E3">
        <w:rPr>
          <w:rFonts w:ascii="Segoe UI" w:hAnsi="Segoe UI" w:cs="Segoe UI"/>
          <w:bCs/>
          <w:color w:val="000091" w:themeColor="text1"/>
          <w:sz w:val="24"/>
          <w:szCs w:val="28"/>
        </w:rPr>
        <w:t>Principales importations françaises en provenance de Namibie en 202</w:t>
      </w:r>
      <w:r>
        <w:rPr>
          <w:rFonts w:ascii="Segoe UI" w:hAnsi="Segoe UI" w:cs="Segoe UI"/>
          <w:bCs/>
          <w:color w:val="000091" w:themeColor="text1"/>
          <w:sz w:val="24"/>
          <w:szCs w:val="28"/>
        </w:rPr>
        <w:t>4</w:t>
      </w:r>
      <w:r w:rsidRPr="001D36E3">
        <w:rPr>
          <w:rFonts w:ascii="Segoe UI" w:hAnsi="Segoe UI" w:cs="Segoe UI"/>
          <w:bCs/>
          <w:color w:val="000091" w:themeColor="text1"/>
          <w:sz w:val="24"/>
          <w:szCs w:val="28"/>
        </w:rPr>
        <w:t>, par produit (Douanes françaises, 202</w:t>
      </w:r>
      <w:r>
        <w:rPr>
          <w:rFonts w:ascii="Segoe UI" w:hAnsi="Segoe UI" w:cs="Segoe UI"/>
          <w:bCs/>
          <w:color w:val="000091" w:themeColor="text1"/>
          <w:sz w:val="24"/>
          <w:szCs w:val="28"/>
        </w:rPr>
        <w:t>5</w:t>
      </w:r>
      <w:r w:rsidRPr="001D36E3">
        <w:rPr>
          <w:rFonts w:ascii="Segoe UI" w:hAnsi="Segoe UI" w:cs="Segoe UI"/>
          <w:bCs/>
          <w:color w:val="000091" w:themeColor="text1"/>
          <w:sz w:val="24"/>
          <w:szCs w:val="28"/>
        </w:rPr>
        <w:t>)</w:t>
      </w:r>
    </w:p>
    <w:p w14:paraId="7360A1B7" w14:textId="77777777" w:rsidR="0032683C" w:rsidRDefault="0032683C" w:rsidP="00D36A6F">
      <w:pPr>
        <w:spacing w:after="120"/>
        <w:jc w:val="center"/>
        <w:rPr>
          <w:rFonts w:ascii="Segoe UI" w:hAnsi="Segoe UI" w:cs="Segoe UI"/>
          <w:bCs/>
          <w:color w:val="000091" w:themeColor="text1"/>
          <w:sz w:val="24"/>
          <w:szCs w:val="28"/>
        </w:rPr>
      </w:pPr>
    </w:p>
    <w:tbl>
      <w:tblPr>
        <w:tblStyle w:val="Tableausimple1"/>
        <w:tblW w:w="9331" w:type="dxa"/>
        <w:tblLayout w:type="fixed"/>
        <w:tblLook w:val="0000" w:firstRow="0" w:lastRow="0" w:firstColumn="0" w:lastColumn="0" w:noHBand="0" w:noVBand="0"/>
      </w:tblPr>
      <w:tblGrid>
        <w:gridCol w:w="4416"/>
        <w:gridCol w:w="1548"/>
        <w:gridCol w:w="1757"/>
        <w:gridCol w:w="1610"/>
      </w:tblGrid>
      <w:tr w:rsidR="007F67AE" w:rsidRPr="007F67AE" w14:paraId="579EA8AE" w14:textId="77777777" w:rsidTr="007F67AE">
        <w:trPr>
          <w:cnfStyle w:val="000000100000" w:firstRow="0" w:lastRow="0" w:firstColumn="0" w:lastColumn="0" w:oddVBand="0" w:evenVBand="0" w:oddHBand="1" w:evenHBand="0" w:firstRowFirstColumn="0" w:firstRowLastColumn="0" w:lastRowFirstColumn="0" w:lastRowLastColumn="0"/>
          <w:trHeight w:val="290"/>
        </w:trPr>
        <w:tc>
          <w:tcPr>
            <w:cnfStyle w:val="000010000000" w:firstRow="0" w:lastRow="0" w:firstColumn="0" w:lastColumn="0" w:oddVBand="1" w:evenVBand="0" w:oddHBand="0" w:evenHBand="0" w:firstRowFirstColumn="0" w:firstRowLastColumn="0" w:lastRowFirstColumn="0" w:lastRowLastColumn="0"/>
            <w:tcW w:w="4416" w:type="dxa"/>
          </w:tcPr>
          <w:p w14:paraId="55976391" w14:textId="77777777" w:rsidR="007F67AE" w:rsidRPr="007F67AE" w:rsidRDefault="007F67AE" w:rsidP="007F67AE">
            <w:pPr>
              <w:autoSpaceDE w:val="0"/>
              <w:autoSpaceDN w:val="0"/>
              <w:adjustRightInd w:val="0"/>
              <w:rPr>
                <w:rFonts w:ascii="Calibri" w:hAnsi="Calibri" w:cs="Calibri"/>
                <w:b/>
                <w:bCs/>
                <w:color w:val="000091" w:themeColor="text1"/>
                <w:sz w:val="18"/>
                <w:szCs w:val="18"/>
              </w:rPr>
            </w:pPr>
            <w:r w:rsidRPr="007F67AE">
              <w:rPr>
                <w:rFonts w:ascii="Calibri" w:hAnsi="Calibri" w:cs="Calibri"/>
                <w:b/>
                <w:bCs/>
                <w:color w:val="000091" w:themeColor="text1"/>
                <w:sz w:val="18"/>
                <w:szCs w:val="18"/>
              </w:rPr>
              <w:t xml:space="preserve">Produits </w:t>
            </w:r>
          </w:p>
        </w:tc>
        <w:tc>
          <w:tcPr>
            <w:tcW w:w="1548" w:type="dxa"/>
          </w:tcPr>
          <w:p w14:paraId="2BD386DF" w14:textId="77777777" w:rsidR="007F67AE" w:rsidRPr="007F67AE" w:rsidRDefault="007F67AE" w:rsidP="007F67A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91" w:themeColor="text1"/>
                <w:sz w:val="18"/>
                <w:szCs w:val="18"/>
              </w:rPr>
            </w:pPr>
            <w:r w:rsidRPr="007F67AE">
              <w:rPr>
                <w:rFonts w:ascii="Calibri" w:hAnsi="Calibri" w:cs="Calibri"/>
                <w:b/>
                <w:bCs/>
                <w:color w:val="000091" w:themeColor="text1"/>
                <w:sz w:val="18"/>
                <w:szCs w:val="18"/>
              </w:rPr>
              <w:t>% du total</w:t>
            </w:r>
          </w:p>
        </w:tc>
        <w:tc>
          <w:tcPr>
            <w:cnfStyle w:val="000010000000" w:firstRow="0" w:lastRow="0" w:firstColumn="0" w:lastColumn="0" w:oddVBand="1" w:evenVBand="0" w:oddHBand="0" w:evenHBand="0" w:firstRowFirstColumn="0" w:firstRowLastColumn="0" w:lastRowFirstColumn="0" w:lastRowLastColumn="0"/>
            <w:tcW w:w="1757" w:type="dxa"/>
          </w:tcPr>
          <w:p w14:paraId="6CE9E0A4" w14:textId="19043BEC" w:rsidR="007F67AE" w:rsidRPr="007F67AE" w:rsidRDefault="007F67AE" w:rsidP="007F67AE">
            <w:pPr>
              <w:autoSpaceDE w:val="0"/>
              <w:autoSpaceDN w:val="0"/>
              <w:adjustRightInd w:val="0"/>
              <w:rPr>
                <w:rFonts w:ascii="Calibri" w:hAnsi="Calibri" w:cs="Calibri"/>
                <w:b/>
                <w:bCs/>
                <w:color w:val="000091" w:themeColor="text1"/>
                <w:sz w:val="18"/>
                <w:szCs w:val="18"/>
              </w:rPr>
            </w:pPr>
            <w:r w:rsidRPr="007F67AE">
              <w:rPr>
                <w:rFonts w:ascii="Calibri" w:hAnsi="Calibri" w:cs="Calibri"/>
                <w:b/>
                <w:bCs/>
                <w:color w:val="000091" w:themeColor="text1"/>
                <w:sz w:val="18"/>
                <w:szCs w:val="18"/>
              </w:rPr>
              <w:t xml:space="preserve">Evolution (en %) </w:t>
            </w:r>
          </w:p>
        </w:tc>
        <w:tc>
          <w:tcPr>
            <w:tcW w:w="1610" w:type="dxa"/>
          </w:tcPr>
          <w:p w14:paraId="635BE64B" w14:textId="41B35D04" w:rsidR="007F67AE" w:rsidRPr="007F67AE" w:rsidRDefault="0094732E" w:rsidP="007F67A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91" w:themeColor="text1"/>
                <w:sz w:val="18"/>
                <w:szCs w:val="18"/>
              </w:rPr>
            </w:pPr>
            <w:r>
              <w:rPr>
                <w:rFonts w:ascii="Calibri" w:hAnsi="Calibri" w:cs="Calibri"/>
                <w:b/>
                <w:bCs/>
                <w:color w:val="000091" w:themeColor="text1"/>
                <w:sz w:val="18"/>
                <w:szCs w:val="18"/>
              </w:rPr>
              <w:t>M</w:t>
            </w:r>
            <w:r w:rsidR="007F67AE" w:rsidRPr="007F67AE">
              <w:rPr>
                <w:rFonts w:ascii="Calibri" w:hAnsi="Calibri" w:cs="Calibri"/>
                <w:b/>
                <w:bCs/>
                <w:color w:val="000091" w:themeColor="text1"/>
                <w:sz w:val="18"/>
                <w:szCs w:val="18"/>
              </w:rPr>
              <w:t>ontant (MEUR)</w:t>
            </w:r>
          </w:p>
        </w:tc>
      </w:tr>
      <w:tr w:rsidR="007F67AE" w:rsidRPr="007F67AE" w14:paraId="48DDE7C5" w14:textId="77777777" w:rsidTr="0094732E">
        <w:trPr>
          <w:trHeight w:val="581"/>
        </w:trPr>
        <w:tc>
          <w:tcPr>
            <w:cnfStyle w:val="000010000000" w:firstRow="0" w:lastRow="0" w:firstColumn="0" w:lastColumn="0" w:oddVBand="1" w:evenVBand="0" w:oddHBand="0" w:evenHBand="0" w:firstRowFirstColumn="0" w:firstRowLastColumn="0" w:lastRowFirstColumn="0" w:lastRowLastColumn="0"/>
            <w:tcW w:w="4416" w:type="dxa"/>
          </w:tcPr>
          <w:p w14:paraId="7CBA0874" w14:textId="77777777" w:rsidR="007F67AE" w:rsidRPr="007F67AE" w:rsidRDefault="007F67AE" w:rsidP="007F67AE">
            <w:pPr>
              <w:autoSpaceDE w:val="0"/>
              <w:autoSpaceDN w:val="0"/>
              <w:adjustRightInd w:val="0"/>
              <w:rPr>
                <w:rFonts w:ascii="Calibri" w:hAnsi="Calibri" w:cs="Calibri"/>
                <w:b/>
                <w:bCs/>
                <w:color w:val="000091" w:themeColor="text1"/>
                <w:sz w:val="18"/>
                <w:szCs w:val="18"/>
              </w:rPr>
            </w:pPr>
            <w:r w:rsidRPr="007F67AE">
              <w:rPr>
                <w:rFonts w:ascii="Calibri" w:hAnsi="Calibri" w:cs="Calibri"/>
                <w:b/>
                <w:bCs/>
                <w:color w:val="000091" w:themeColor="text1"/>
                <w:sz w:val="18"/>
                <w:szCs w:val="18"/>
              </w:rPr>
              <w:t>Produits métallurgiques et métalliques (uranium)</w:t>
            </w:r>
          </w:p>
        </w:tc>
        <w:tc>
          <w:tcPr>
            <w:tcW w:w="1548" w:type="dxa"/>
            <w:shd w:val="clear" w:color="auto" w:fill="auto"/>
          </w:tcPr>
          <w:p w14:paraId="07E343E7" w14:textId="77777777" w:rsidR="007F67AE" w:rsidRPr="007F67AE" w:rsidRDefault="007F67AE" w:rsidP="007F67A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91" w:themeColor="text1"/>
                <w:sz w:val="18"/>
                <w:szCs w:val="18"/>
              </w:rPr>
            </w:pPr>
            <w:r w:rsidRPr="007F67AE">
              <w:rPr>
                <w:rFonts w:ascii="Calibri" w:hAnsi="Calibri" w:cs="Calibri"/>
                <w:color w:val="000091" w:themeColor="text1"/>
                <w:sz w:val="18"/>
                <w:szCs w:val="18"/>
              </w:rPr>
              <w:t>71,1%</w:t>
            </w:r>
          </w:p>
        </w:tc>
        <w:tc>
          <w:tcPr>
            <w:cnfStyle w:val="000010000000" w:firstRow="0" w:lastRow="0" w:firstColumn="0" w:lastColumn="0" w:oddVBand="1" w:evenVBand="0" w:oddHBand="0" w:evenHBand="0" w:firstRowFirstColumn="0" w:firstRowLastColumn="0" w:lastRowFirstColumn="0" w:lastRowLastColumn="0"/>
            <w:tcW w:w="1757" w:type="dxa"/>
            <w:shd w:val="clear" w:color="auto" w:fill="auto"/>
          </w:tcPr>
          <w:p w14:paraId="34B0AED7" w14:textId="77777777" w:rsidR="007F67AE" w:rsidRPr="007F67AE" w:rsidRDefault="007F67AE" w:rsidP="007F67AE">
            <w:pPr>
              <w:autoSpaceDE w:val="0"/>
              <w:autoSpaceDN w:val="0"/>
              <w:adjustRightInd w:val="0"/>
              <w:jc w:val="right"/>
              <w:rPr>
                <w:rFonts w:ascii="Calibri" w:hAnsi="Calibri" w:cs="Calibri"/>
                <w:color w:val="000091" w:themeColor="text1"/>
                <w:sz w:val="18"/>
                <w:szCs w:val="18"/>
              </w:rPr>
            </w:pPr>
            <w:r w:rsidRPr="007F67AE">
              <w:rPr>
                <w:rFonts w:ascii="Calibri" w:hAnsi="Calibri" w:cs="Calibri"/>
                <w:color w:val="000091" w:themeColor="text1"/>
                <w:sz w:val="18"/>
                <w:szCs w:val="18"/>
              </w:rPr>
              <w:t>-27,1%</w:t>
            </w:r>
          </w:p>
        </w:tc>
        <w:tc>
          <w:tcPr>
            <w:tcW w:w="1610" w:type="dxa"/>
            <w:shd w:val="clear" w:color="auto" w:fill="auto"/>
          </w:tcPr>
          <w:p w14:paraId="7930313D" w14:textId="77777777" w:rsidR="007F67AE" w:rsidRPr="007F67AE" w:rsidRDefault="007F67AE" w:rsidP="007F67A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91" w:themeColor="text1"/>
                <w:sz w:val="18"/>
                <w:szCs w:val="18"/>
              </w:rPr>
            </w:pPr>
            <w:r w:rsidRPr="007F67AE">
              <w:rPr>
                <w:rFonts w:ascii="Calibri" w:hAnsi="Calibri" w:cs="Calibri"/>
                <w:color w:val="000091" w:themeColor="text1"/>
                <w:sz w:val="18"/>
                <w:szCs w:val="18"/>
              </w:rPr>
              <w:t>134,7</w:t>
            </w:r>
          </w:p>
        </w:tc>
      </w:tr>
      <w:tr w:rsidR="007F67AE" w:rsidRPr="007F67AE" w14:paraId="402DDCAC" w14:textId="77777777" w:rsidTr="0094732E">
        <w:trPr>
          <w:cnfStyle w:val="000000100000" w:firstRow="0" w:lastRow="0" w:firstColumn="0" w:lastColumn="0" w:oddVBand="0" w:evenVBand="0" w:oddHBand="1" w:evenHBand="0" w:firstRowFirstColumn="0" w:firstRowLastColumn="0" w:lastRowFirstColumn="0" w:lastRowLastColumn="0"/>
          <w:trHeight w:val="478"/>
        </w:trPr>
        <w:tc>
          <w:tcPr>
            <w:cnfStyle w:val="000010000000" w:firstRow="0" w:lastRow="0" w:firstColumn="0" w:lastColumn="0" w:oddVBand="1" w:evenVBand="0" w:oddHBand="0" w:evenHBand="0" w:firstRowFirstColumn="0" w:firstRowLastColumn="0" w:lastRowFirstColumn="0" w:lastRowLastColumn="0"/>
            <w:tcW w:w="4416" w:type="dxa"/>
          </w:tcPr>
          <w:p w14:paraId="5CF25976" w14:textId="4E2E744B" w:rsidR="007F67AE" w:rsidRPr="007F67AE" w:rsidRDefault="007F67AE" w:rsidP="007F67AE">
            <w:pPr>
              <w:autoSpaceDE w:val="0"/>
              <w:autoSpaceDN w:val="0"/>
              <w:adjustRightInd w:val="0"/>
              <w:rPr>
                <w:rFonts w:ascii="Calibri" w:hAnsi="Calibri" w:cs="Calibri"/>
                <w:b/>
                <w:bCs/>
                <w:color w:val="000091" w:themeColor="text1"/>
                <w:sz w:val="18"/>
                <w:szCs w:val="18"/>
              </w:rPr>
            </w:pPr>
            <w:r w:rsidRPr="007F67AE">
              <w:rPr>
                <w:rFonts w:ascii="Calibri" w:hAnsi="Calibri" w:cs="Calibri"/>
                <w:b/>
                <w:bCs/>
                <w:color w:val="000091" w:themeColor="text1"/>
                <w:sz w:val="18"/>
                <w:szCs w:val="18"/>
              </w:rPr>
              <w:t xml:space="preserve">Produits des industries agroalimentaires (IAA) </w:t>
            </w:r>
          </w:p>
        </w:tc>
        <w:tc>
          <w:tcPr>
            <w:tcW w:w="1548" w:type="dxa"/>
            <w:shd w:val="clear" w:color="auto" w:fill="auto"/>
          </w:tcPr>
          <w:p w14:paraId="585EF708" w14:textId="77777777" w:rsidR="007F67AE" w:rsidRPr="007F67AE" w:rsidRDefault="007F67AE" w:rsidP="007F67AE">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91" w:themeColor="text1"/>
                <w:sz w:val="18"/>
                <w:szCs w:val="18"/>
              </w:rPr>
            </w:pPr>
            <w:r w:rsidRPr="007F67AE">
              <w:rPr>
                <w:rFonts w:ascii="Calibri" w:hAnsi="Calibri" w:cs="Calibri"/>
                <w:color w:val="000091" w:themeColor="text1"/>
                <w:sz w:val="18"/>
                <w:szCs w:val="18"/>
              </w:rPr>
              <w:t>19,1%</w:t>
            </w:r>
          </w:p>
        </w:tc>
        <w:tc>
          <w:tcPr>
            <w:cnfStyle w:val="000010000000" w:firstRow="0" w:lastRow="0" w:firstColumn="0" w:lastColumn="0" w:oddVBand="1" w:evenVBand="0" w:oddHBand="0" w:evenHBand="0" w:firstRowFirstColumn="0" w:firstRowLastColumn="0" w:lastRowFirstColumn="0" w:lastRowLastColumn="0"/>
            <w:tcW w:w="1757" w:type="dxa"/>
            <w:shd w:val="clear" w:color="auto" w:fill="auto"/>
          </w:tcPr>
          <w:p w14:paraId="4E37CEB7" w14:textId="77777777" w:rsidR="007F67AE" w:rsidRPr="007F67AE" w:rsidRDefault="007F67AE" w:rsidP="007F67AE">
            <w:pPr>
              <w:autoSpaceDE w:val="0"/>
              <w:autoSpaceDN w:val="0"/>
              <w:adjustRightInd w:val="0"/>
              <w:jc w:val="right"/>
              <w:rPr>
                <w:rFonts w:ascii="Calibri" w:hAnsi="Calibri" w:cs="Calibri"/>
                <w:color w:val="000091" w:themeColor="text1"/>
                <w:sz w:val="18"/>
                <w:szCs w:val="18"/>
              </w:rPr>
            </w:pPr>
            <w:r w:rsidRPr="007F67AE">
              <w:rPr>
                <w:rFonts w:ascii="Calibri" w:hAnsi="Calibri" w:cs="Calibri"/>
                <w:color w:val="000091" w:themeColor="text1"/>
                <w:sz w:val="18"/>
                <w:szCs w:val="18"/>
              </w:rPr>
              <w:t>-18,2%</w:t>
            </w:r>
          </w:p>
        </w:tc>
        <w:tc>
          <w:tcPr>
            <w:tcW w:w="1610" w:type="dxa"/>
            <w:shd w:val="clear" w:color="auto" w:fill="auto"/>
          </w:tcPr>
          <w:p w14:paraId="4E021008" w14:textId="77777777" w:rsidR="007F67AE" w:rsidRPr="007F67AE" w:rsidRDefault="007F67AE" w:rsidP="007F67AE">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91" w:themeColor="text1"/>
                <w:sz w:val="18"/>
                <w:szCs w:val="18"/>
              </w:rPr>
            </w:pPr>
            <w:r w:rsidRPr="007F67AE">
              <w:rPr>
                <w:rFonts w:ascii="Calibri" w:hAnsi="Calibri" w:cs="Calibri"/>
                <w:color w:val="000091" w:themeColor="text1"/>
                <w:sz w:val="18"/>
                <w:szCs w:val="18"/>
              </w:rPr>
              <w:t>36,2</w:t>
            </w:r>
          </w:p>
        </w:tc>
      </w:tr>
      <w:tr w:rsidR="007F67AE" w:rsidRPr="007F67AE" w14:paraId="2B3688EA" w14:textId="77777777" w:rsidTr="0094732E">
        <w:trPr>
          <w:trHeight w:val="290"/>
        </w:trPr>
        <w:tc>
          <w:tcPr>
            <w:cnfStyle w:val="000010000000" w:firstRow="0" w:lastRow="0" w:firstColumn="0" w:lastColumn="0" w:oddVBand="1" w:evenVBand="0" w:oddHBand="0" w:evenHBand="0" w:firstRowFirstColumn="0" w:firstRowLastColumn="0" w:lastRowFirstColumn="0" w:lastRowLastColumn="0"/>
            <w:tcW w:w="4416" w:type="dxa"/>
          </w:tcPr>
          <w:p w14:paraId="1BCF06BF" w14:textId="77777777" w:rsidR="007F67AE" w:rsidRPr="007F67AE" w:rsidRDefault="007F67AE" w:rsidP="007F67AE">
            <w:pPr>
              <w:autoSpaceDE w:val="0"/>
              <w:autoSpaceDN w:val="0"/>
              <w:adjustRightInd w:val="0"/>
              <w:rPr>
                <w:rFonts w:ascii="Calibri" w:hAnsi="Calibri" w:cs="Calibri"/>
                <w:b/>
                <w:bCs/>
                <w:color w:val="000091" w:themeColor="text1"/>
                <w:sz w:val="18"/>
                <w:szCs w:val="18"/>
              </w:rPr>
            </w:pPr>
            <w:r w:rsidRPr="007F67AE">
              <w:rPr>
                <w:rFonts w:ascii="Calibri" w:hAnsi="Calibri" w:cs="Calibri"/>
                <w:b/>
                <w:bCs/>
                <w:color w:val="000091" w:themeColor="text1"/>
                <w:sz w:val="18"/>
                <w:szCs w:val="18"/>
              </w:rPr>
              <w:t>Produits manufacturés divers (diamants)</w:t>
            </w:r>
          </w:p>
        </w:tc>
        <w:tc>
          <w:tcPr>
            <w:tcW w:w="1548" w:type="dxa"/>
            <w:shd w:val="clear" w:color="auto" w:fill="auto"/>
          </w:tcPr>
          <w:p w14:paraId="70428D26" w14:textId="77777777" w:rsidR="007F67AE" w:rsidRPr="007F67AE" w:rsidRDefault="007F67AE" w:rsidP="007F67A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91" w:themeColor="text1"/>
                <w:sz w:val="18"/>
                <w:szCs w:val="18"/>
              </w:rPr>
            </w:pPr>
            <w:r w:rsidRPr="007F67AE">
              <w:rPr>
                <w:rFonts w:ascii="Calibri" w:hAnsi="Calibri" w:cs="Calibri"/>
                <w:color w:val="000091" w:themeColor="text1"/>
                <w:sz w:val="18"/>
                <w:szCs w:val="18"/>
              </w:rPr>
              <w:t>3,9%</w:t>
            </w:r>
          </w:p>
        </w:tc>
        <w:tc>
          <w:tcPr>
            <w:cnfStyle w:val="000010000000" w:firstRow="0" w:lastRow="0" w:firstColumn="0" w:lastColumn="0" w:oddVBand="1" w:evenVBand="0" w:oddHBand="0" w:evenHBand="0" w:firstRowFirstColumn="0" w:firstRowLastColumn="0" w:lastRowFirstColumn="0" w:lastRowLastColumn="0"/>
            <w:tcW w:w="1757" w:type="dxa"/>
            <w:shd w:val="clear" w:color="auto" w:fill="auto"/>
          </w:tcPr>
          <w:p w14:paraId="442DDABF" w14:textId="77777777" w:rsidR="007F67AE" w:rsidRPr="007F67AE" w:rsidRDefault="007F67AE" w:rsidP="007F67AE">
            <w:pPr>
              <w:autoSpaceDE w:val="0"/>
              <w:autoSpaceDN w:val="0"/>
              <w:adjustRightInd w:val="0"/>
              <w:jc w:val="right"/>
              <w:rPr>
                <w:rFonts w:ascii="Calibri" w:hAnsi="Calibri" w:cs="Calibri"/>
                <w:color w:val="000091" w:themeColor="text1"/>
                <w:sz w:val="18"/>
                <w:szCs w:val="18"/>
              </w:rPr>
            </w:pPr>
            <w:r w:rsidRPr="007F67AE">
              <w:rPr>
                <w:rFonts w:ascii="Calibri" w:hAnsi="Calibri" w:cs="Calibri"/>
                <w:color w:val="000091" w:themeColor="text1"/>
                <w:sz w:val="18"/>
                <w:szCs w:val="18"/>
              </w:rPr>
              <w:t>-17,3%</w:t>
            </w:r>
          </w:p>
        </w:tc>
        <w:tc>
          <w:tcPr>
            <w:tcW w:w="1610" w:type="dxa"/>
            <w:shd w:val="clear" w:color="auto" w:fill="auto"/>
          </w:tcPr>
          <w:p w14:paraId="2E2DB99D" w14:textId="77777777" w:rsidR="007F67AE" w:rsidRPr="007F67AE" w:rsidRDefault="007F67AE" w:rsidP="007F67AE">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91" w:themeColor="text1"/>
                <w:sz w:val="18"/>
                <w:szCs w:val="18"/>
              </w:rPr>
            </w:pPr>
            <w:r w:rsidRPr="007F67AE">
              <w:rPr>
                <w:rFonts w:ascii="Calibri" w:hAnsi="Calibri" w:cs="Calibri"/>
                <w:color w:val="000091" w:themeColor="text1"/>
                <w:sz w:val="18"/>
                <w:szCs w:val="18"/>
              </w:rPr>
              <w:t>7,4</w:t>
            </w:r>
          </w:p>
        </w:tc>
      </w:tr>
      <w:tr w:rsidR="007F67AE" w:rsidRPr="007F67AE" w14:paraId="73DDA7B0" w14:textId="77777777" w:rsidTr="007F67AE">
        <w:trPr>
          <w:cnfStyle w:val="000000100000" w:firstRow="0" w:lastRow="0" w:firstColumn="0" w:lastColumn="0" w:oddVBand="0" w:evenVBand="0" w:oddHBand="1" w:evenHBand="0" w:firstRowFirstColumn="0" w:firstRowLastColumn="0" w:lastRowFirstColumn="0" w:lastRowLastColumn="0"/>
          <w:trHeight w:val="305"/>
        </w:trPr>
        <w:tc>
          <w:tcPr>
            <w:cnfStyle w:val="000010000000" w:firstRow="0" w:lastRow="0" w:firstColumn="0" w:lastColumn="0" w:oddVBand="1" w:evenVBand="0" w:oddHBand="0" w:evenHBand="0" w:firstRowFirstColumn="0" w:firstRowLastColumn="0" w:lastRowFirstColumn="0" w:lastRowLastColumn="0"/>
            <w:tcW w:w="4416" w:type="dxa"/>
          </w:tcPr>
          <w:p w14:paraId="6E47D066" w14:textId="277C1150" w:rsidR="007F67AE" w:rsidRPr="007F67AE" w:rsidRDefault="00B43F8B" w:rsidP="0094732E">
            <w:pPr>
              <w:autoSpaceDE w:val="0"/>
              <w:autoSpaceDN w:val="0"/>
              <w:adjustRightInd w:val="0"/>
              <w:jc w:val="right"/>
              <w:rPr>
                <w:rFonts w:ascii="Calibri" w:hAnsi="Calibri" w:cs="Calibri"/>
                <w:b/>
                <w:bCs/>
                <w:color w:val="000091" w:themeColor="text1"/>
                <w:sz w:val="18"/>
                <w:szCs w:val="18"/>
              </w:rPr>
            </w:pPr>
            <w:r>
              <w:rPr>
                <w:rFonts w:ascii="Calibri" w:hAnsi="Calibri" w:cs="Calibri"/>
                <w:b/>
                <w:bCs/>
                <w:color w:val="000091" w:themeColor="text1"/>
              </w:rPr>
              <w:t>Sous-</w:t>
            </w:r>
            <w:r w:rsidR="007F67AE" w:rsidRPr="007F67AE">
              <w:rPr>
                <w:rFonts w:ascii="Calibri" w:hAnsi="Calibri" w:cs="Calibri"/>
                <w:b/>
                <w:bCs/>
                <w:color w:val="000091" w:themeColor="text1"/>
              </w:rPr>
              <w:t>Total</w:t>
            </w:r>
          </w:p>
        </w:tc>
        <w:tc>
          <w:tcPr>
            <w:tcW w:w="1548" w:type="dxa"/>
          </w:tcPr>
          <w:p w14:paraId="5412BD15" w14:textId="77777777" w:rsidR="007F67AE" w:rsidRPr="007F67AE" w:rsidRDefault="007F67AE" w:rsidP="007F67AE">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91" w:themeColor="text1"/>
                <w:sz w:val="18"/>
                <w:szCs w:val="18"/>
              </w:rPr>
            </w:pPr>
          </w:p>
        </w:tc>
        <w:tc>
          <w:tcPr>
            <w:cnfStyle w:val="000010000000" w:firstRow="0" w:lastRow="0" w:firstColumn="0" w:lastColumn="0" w:oddVBand="1" w:evenVBand="0" w:oddHBand="0" w:evenHBand="0" w:firstRowFirstColumn="0" w:firstRowLastColumn="0" w:lastRowFirstColumn="0" w:lastRowLastColumn="0"/>
            <w:tcW w:w="1757" w:type="dxa"/>
          </w:tcPr>
          <w:p w14:paraId="6DECBB59" w14:textId="77777777" w:rsidR="007F67AE" w:rsidRPr="007F67AE" w:rsidRDefault="007F67AE" w:rsidP="007F67AE">
            <w:pPr>
              <w:autoSpaceDE w:val="0"/>
              <w:autoSpaceDN w:val="0"/>
              <w:adjustRightInd w:val="0"/>
              <w:rPr>
                <w:rFonts w:ascii="Calibri" w:hAnsi="Calibri" w:cs="Calibri"/>
                <w:b/>
                <w:bCs/>
                <w:color w:val="000091" w:themeColor="text1"/>
                <w:sz w:val="18"/>
                <w:szCs w:val="18"/>
              </w:rPr>
            </w:pPr>
          </w:p>
        </w:tc>
        <w:tc>
          <w:tcPr>
            <w:tcW w:w="1610" w:type="dxa"/>
          </w:tcPr>
          <w:p w14:paraId="2DDC34AD" w14:textId="77777777" w:rsidR="007F67AE" w:rsidRPr="007F67AE" w:rsidRDefault="007F67AE" w:rsidP="00D36A6F">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91" w:themeColor="text1"/>
                <w:sz w:val="18"/>
                <w:szCs w:val="18"/>
              </w:rPr>
            </w:pPr>
            <w:r w:rsidRPr="007F67AE">
              <w:rPr>
                <w:rFonts w:ascii="Calibri" w:hAnsi="Calibri" w:cs="Calibri"/>
                <w:b/>
                <w:bCs/>
                <w:color w:val="000091" w:themeColor="text1"/>
                <w:sz w:val="18"/>
                <w:szCs w:val="18"/>
              </w:rPr>
              <w:t>178,3</w:t>
            </w:r>
          </w:p>
        </w:tc>
      </w:tr>
    </w:tbl>
    <w:p w14:paraId="376FDA0A" w14:textId="77777777" w:rsidR="0094732E" w:rsidRDefault="0094732E" w:rsidP="0094732E">
      <w:pPr>
        <w:rPr>
          <w:rFonts w:ascii="Segoe UI" w:hAnsi="Segoe UI" w:cs="Segoe UI"/>
          <w:bCs/>
          <w:color w:val="000091" w:themeColor="text1"/>
          <w:sz w:val="24"/>
          <w:szCs w:val="28"/>
        </w:rPr>
        <w:sectPr w:rsidR="0094732E" w:rsidSect="00415F39">
          <w:endnotePr>
            <w:numFmt w:val="decimal"/>
          </w:endnotePr>
          <w:pgSz w:w="11906" w:h="16838"/>
          <w:pgMar w:top="709" w:right="1274" w:bottom="709" w:left="1417" w:header="708" w:footer="708" w:gutter="0"/>
          <w:cols w:space="708"/>
          <w:docGrid w:linePitch="360"/>
        </w:sectPr>
      </w:pPr>
    </w:p>
    <w:p w14:paraId="4DFF6DDC" w14:textId="77777777" w:rsidR="0094732E" w:rsidRDefault="00AA020A" w:rsidP="0094732E">
      <w:pPr>
        <w:rPr>
          <w:rFonts w:ascii="Segoe UI" w:hAnsi="Segoe UI" w:cs="Segoe UI"/>
          <w:bCs/>
          <w:color w:val="000091" w:themeColor="text1"/>
          <w:sz w:val="24"/>
          <w:szCs w:val="28"/>
        </w:rPr>
      </w:pPr>
      <w:r>
        <w:rPr>
          <w:rFonts w:ascii="Segoe UI" w:hAnsi="Segoe UI" w:cs="Segoe UI"/>
          <w:bCs/>
          <w:noProof/>
          <w:color w:val="000091" w:themeColor="text1"/>
          <w:sz w:val="24"/>
          <w:szCs w:val="28"/>
        </w:rPr>
        <w:lastRenderedPageBreak/>
        <mc:AlternateContent>
          <mc:Choice Requires="wps">
            <w:drawing>
              <wp:anchor distT="0" distB="0" distL="114300" distR="114300" simplePos="0" relativeHeight="251665408" behindDoc="1" locked="0" layoutInCell="1" allowOverlap="1" wp14:anchorId="54087547" wp14:editId="1CD2738B">
                <wp:simplePos x="0" y="0"/>
                <wp:positionH relativeFrom="page">
                  <wp:posOffset>-114301</wp:posOffset>
                </wp:positionH>
                <wp:positionV relativeFrom="paragraph">
                  <wp:posOffset>-995680</wp:posOffset>
                </wp:positionV>
                <wp:extent cx="11782425" cy="11220450"/>
                <wp:effectExtent l="0" t="0" r="9525" b="0"/>
                <wp:wrapNone/>
                <wp:docPr id="12" name="Rectangle 12"/>
                <wp:cNvGraphicFramePr/>
                <a:graphic xmlns:a="http://schemas.openxmlformats.org/drawingml/2006/main">
                  <a:graphicData uri="http://schemas.microsoft.com/office/word/2010/wordprocessingShape">
                    <wps:wsp>
                      <wps:cNvSpPr/>
                      <wps:spPr>
                        <a:xfrm>
                          <a:off x="0" y="0"/>
                          <a:ext cx="11782425" cy="11220450"/>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D5BE7" id="Rectangle 12" o:spid="_x0000_s1026" style="position:absolute;margin-left:-9pt;margin-top:-78.4pt;width:927.75pt;height:883.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" fillcolor="#fef8e8" stroked="f" strokeweight="1pt">
                <w10:wrap anchorx="page"/>
              </v:rect>
            </w:pict>
          </mc:Fallback>
        </mc:AlternateContent>
      </w:r>
      <w:r w:rsidR="0094732E" w:rsidRPr="009854A7">
        <w:rPr>
          <w:rFonts w:ascii="Segoe UI" w:hAnsi="Segoe UI" w:cs="Segoe UI"/>
          <w:bCs/>
          <w:color w:val="000091" w:themeColor="text1"/>
          <w:sz w:val="24"/>
          <w:szCs w:val="28"/>
        </w:rPr>
        <w:t xml:space="preserve">ANNEXE </w:t>
      </w:r>
      <w:r w:rsidR="0094732E">
        <w:rPr>
          <w:rFonts w:ascii="Segoe UI" w:hAnsi="Segoe UI" w:cs="Segoe UI"/>
          <w:bCs/>
          <w:color w:val="000091" w:themeColor="text1"/>
          <w:sz w:val="24"/>
          <w:szCs w:val="28"/>
        </w:rPr>
        <w:t>4</w:t>
      </w:r>
      <w:r w:rsidR="0094732E" w:rsidRPr="009854A7">
        <w:rPr>
          <w:rFonts w:ascii="Segoe UI" w:hAnsi="Segoe UI" w:cs="Segoe UI"/>
          <w:bCs/>
          <w:color w:val="000091" w:themeColor="text1"/>
          <w:sz w:val="24"/>
          <w:szCs w:val="28"/>
        </w:rPr>
        <w:t xml:space="preserve"> : </w:t>
      </w:r>
      <w:r w:rsidR="0094732E">
        <w:rPr>
          <w:rFonts w:ascii="Segoe UI" w:hAnsi="Segoe UI" w:cs="Segoe UI"/>
          <w:bCs/>
          <w:color w:val="000091" w:themeColor="text1"/>
          <w:sz w:val="24"/>
          <w:szCs w:val="28"/>
        </w:rPr>
        <w:t xml:space="preserve"> </w:t>
      </w:r>
      <w:r w:rsidR="0094732E" w:rsidRPr="0094732E">
        <w:rPr>
          <w:rFonts w:ascii="Segoe UI" w:hAnsi="Segoe UI" w:cs="Segoe UI"/>
          <w:bCs/>
          <w:color w:val="000091" w:themeColor="text1"/>
          <w:sz w:val="24"/>
          <w:szCs w:val="28"/>
        </w:rPr>
        <w:t>Echanges bilatéraux entre la France et la Namibie– en EUR (Douanes françaises, 202</w:t>
      </w:r>
      <w:r w:rsidR="0094732E">
        <w:rPr>
          <w:rFonts w:ascii="Segoe UI" w:hAnsi="Segoe UI" w:cs="Segoe UI"/>
          <w:bCs/>
          <w:color w:val="000091" w:themeColor="text1"/>
          <w:sz w:val="24"/>
          <w:szCs w:val="28"/>
        </w:rPr>
        <w:t>5)</w:t>
      </w:r>
    </w:p>
    <w:p w14:paraId="4EE56E6F" w14:textId="1A51AA4E" w:rsidR="0094732E" w:rsidRPr="000D0CA0" w:rsidRDefault="0094732E" w:rsidP="0094732E">
      <w:pPr>
        <w:rPr>
          <w:rFonts w:ascii="Segoe UI" w:hAnsi="Segoe UI" w:cs="Segoe UI"/>
          <w:bCs/>
          <w:sz w:val="20"/>
        </w:rPr>
        <w:sectPr w:rsidR="0094732E" w:rsidRPr="000D0CA0" w:rsidSect="0094732E">
          <w:endnotePr>
            <w:numFmt w:val="decimal"/>
          </w:endnotePr>
          <w:pgSz w:w="16838" w:h="11906" w:orient="landscape"/>
          <w:pgMar w:top="1418" w:right="709" w:bottom="1276" w:left="709" w:header="709" w:footer="709" w:gutter="0"/>
          <w:cols w:space="708"/>
          <w:docGrid w:linePitch="360"/>
        </w:sectPr>
      </w:pPr>
      <w:r>
        <w:rPr>
          <w:rFonts w:ascii="Segoe UI" w:hAnsi="Segoe UI" w:cs="Segoe UI"/>
          <w:bCs/>
          <w:color w:val="000091" w:themeColor="text1"/>
          <w:sz w:val="24"/>
          <w:szCs w:val="28"/>
        </w:rPr>
        <w:t xml:space="preserve"> </w:t>
      </w:r>
      <w:r w:rsidR="006B3331" w:rsidRPr="006B3331">
        <w:rPr>
          <w:noProof/>
        </w:rPr>
        <w:drawing>
          <wp:inline distT="0" distB="0" distL="0" distR="0" wp14:anchorId="7902AF9E" wp14:editId="654971E3">
            <wp:extent cx="9791700" cy="499872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91700" cy="4998720"/>
                    </a:xfrm>
                    <a:prstGeom prst="rect">
                      <a:avLst/>
                    </a:prstGeom>
                    <a:noFill/>
                    <a:ln>
                      <a:noFill/>
                    </a:ln>
                  </pic:spPr>
                </pic:pic>
              </a:graphicData>
            </a:graphic>
          </wp:inline>
        </w:drawing>
      </w:r>
    </w:p>
    <w:p w14:paraId="1397BD10" w14:textId="590C7B5C" w:rsidR="0094732E" w:rsidRPr="00AA020A" w:rsidRDefault="0094732E">
      <w:pPr>
        <w:rPr>
          <w:rFonts w:ascii="Arial" w:hAnsi="Arial" w:cs="Arial"/>
          <w:bCs/>
          <w:color w:val="000091" w:themeColor="text1"/>
          <w:sz w:val="24"/>
          <w:szCs w:val="28"/>
        </w:rPr>
      </w:pPr>
    </w:p>
    <w:sectPr w:rsidR="0094732E" w:rsidRPr="00AA020A" w:rsidSect="00415F39">
      <w:endnotePr>
        <w:numFmt w:val="decimal"/>
      </w:endnotePr>
      <w:pgSz w:w="11906" w:h="16838"/>
      <w:pgMar w:top="709" w:right="1274"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E400F" w14:textId="77777777" w:rsidR="00E71CD9" w:rsidRDefault="00E71CD9" w:rsidP="001C2361">
      <w:pPr>
        <w:spacing w:after="0" w:line="240" w:lineRule="auto"/>
      </w:pPr>
      <w:r>
        <w:separator/>
      </w:r>
    </w:p>
  </w:endnote>
  <w:endnote w:type="continuationSeparator" w:id="0">
    <w:p w14:paraId="7E0AAB47" w14:textId="77777777" w:rsidR="00E71CD9" w:rsidRDefault="00E71CD9" w:rsidP="001C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Marianne Medium">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rianne ExtraBold">
    <w:panose1 w:val="02000000000000000000"/>
    <w:charset w:val="00"/>
    <w:family w:val="modern"/>
    <w:notTrueType/>
    <w:pitch w:val="variable"/>
    <w:sig w:usb0="0000000F" w:usb1="00000000" w:usb2="00000000" w:usb3="00000000" w:csb0="00000003" w:csb1="00000000"/>
  </w:font>
  <w:font w:name="Marianne">
    <w:panose1 w:val="02000000000000000000"/>
    <w:charset w:val="00"/>
    <w:family w:val="modern"/>
    <w:notTrueType/>
    <w:pitch w:val="variable"/>
    <w:sig w:usb0="0000000F" w:usb1="00000000" w:usb2="00000000" w:usb3="00000000" w:csb0="00000003" w:csb1="00000000"/>
  </w:font>
  <w:font w:name="Spectral Medium">
    <w:panose1 w:val="02020602060000000000"/>
    <w:charset w:val="00"/>
    <w:family w:val="roman"/>
    <w:pitch w:val="variable"/>
    <w:sig w:usb0="E000027F" w:usb1="4000E43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Times New Roman (Corps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69CA3" w14:textId="77777777" w:rsidR="00E71CD9" w:rsidRDefault="00E71CD9" w:rsidP="001C2361">
      <w:pPr>
        <w:spacing w:after="0" w:line="240" w:lineRule="auto"/>
      </w:pPr>
      <w:r>
        <w:separator/>
      </w:r>
    </w:p>
  </w:footnote>
  <w:footnote w:type="continuationSeparator" w:id="0">
    <w:p w14:paraId="4EDA9139" w14:textId="77777777" w:rsidR="00E71CD9" w:rsidRDefault="00E71CD9" w:rsidP="001C2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74FB"/>
    <w:multiLevelType w:val="hybridMultilevel"/>
    <w:tmpl w:val="0F965B52"/>
    <w:lvl w:ilvl="0" w:tplc="77D0C440">
      <w:start w:val="1"/>
      <w:numFmt w:val="bullet"/>
      <w:pStyle w:val="listeN-1"/>
      <w:lvlText w:val=""/>
      <w:lvlJc w:val="left"/>
      <w:pPr>
        <w:ind w:left="1571" w:hanging="360"/>
      </w:pPr>
      <w:rPr>
        <w:rFonts w:ascii="Wingdings 2" w:hAnsi="Wingdings 2" w:hint="default"/>
      </w:rPr>
    </w:lvl>
    <w:lvl w:ilvl="1" w:tplc="040C0003">
      <w:start w:val="1"/>
      <w:numFmt w:val="bullet"/>
      <w:lvlText w:val="o"/>
      <w:lvlJc w:val="left"/>
      <w:pPr>
        <w:ind w:left="2291" w:hanging="360"/>
      </w:pPr>
      <w:rPr>
        <w:rFonts w:ascii="Courier New" w:hAnsi="Courier New" w:cs="Courier New" w:hint="default"/>
      </w:rPr>
    </w:lvl>
    <w:lvl w:ilvl="2" w:tplc="040C0005">
      <w:start w:val="1"/>
      <w:numFmt w:val="bullet"/>
      <w:lvlText w:val=""/>
      <w:lvlJc w:val="left"/>
      <w:pPr>
        <w:ind w:left="3011" w:hanging="360"/>
      </w:pPr>
      <w:rPr>
        <w:rFonts w:ascii="Wingdings" w:hAnsi="Wingdings" w:hint="default"/>
      </w:rPr>
    </w:lvl>
    <w:lvl w:ilvl="3" w:tplc="040C0001">
      <w:start w:val="1"/>
      <w:numFmt w:val="bullet"/>
      <w:lvlText w:val=""/>
      <w:lvlJc w:val="left"/>
      <w:pPr>
        <w:ind w:left="3731" w:hanging="360"/>
      </w:pPr>
      <w:rPr>
        <w:rFonts w:ascii="Symbol" w:hAnsi="Symbol" w:hint="default"/>
      </w:rPr>
    </w:lvl>
    <w:lvl w:ilvl="4" w:tplc="040C0003">
      <w:start w:val="1"/>
      <w:numFmt w:val="bullet"/>
      <w:lvlText w:val="o"/>
      <w:lvlJc w:val="left"/>
      <w:pPr>
        <w:ind w:left="4451" w:hanging="360"/>
      </w:pPr>
      <w:rPr>
        <w:rFonts w:ascii="Courier New" w:hAnsi="Courier New" w:cs="Courier New" w:hint="default"/>
      </w:rPr>
    </w:lvl>
    <w:lvl w:ilvl="5" w:tplc="D4541F58">
      <w:start w:val="1"/>
      <w:numFmt w:val="bullet"/>
      <w:pStyle w:val="ListeN-2"/>
      <w:lvlText w:val=""/>
      <w:lvlJc w:val="left"/>
      <w:pPr>
        <w:ind w:left="5171" w:hanging="360"/>
      </w:pPr>
      <w:rPr>
        <w:rFonts w:ascii="Wingdings" w:hAnsi="Wingdings" w:hint="default"/>
      </w:rPr>
    </w:lvl>
    <w:lvl w:ilvl="6" w:tplc="040C0001">
      <w:start w:val="1"/>
      <w:numFmt w:val="bullet"/>
      <w:lvlText w:val=""/>
      <w:lvlJc w:val="left"/>
      <w:pPr>
        <w:ind w:left="5891" w:hanging="360"/>
      </w:pPr>
      <w:rPr>
        <w:rFonts w:ascii="Symbol" w:hAnsi="Symbol" w:hint="default"/>
      </w:rPr>
    </w:lvl>
    <w:lvl w:ilvl="7" w:tplc="040C0003">
      <w:start w:val="1"/>
      <w:numFmt w:val="bullet"/>
      <w:lvlText w:val="o"/>
      <w:lvlJc w:val="left"/>
      <w:pPr>
        <w:ind w:left="6611" w:hanging="360"/>
      </w:pPr>
      <w:rPr>
        <w:rFonts w:ascii="Courier New" w:hAnsi="Courier New" w:cs="Courier New" w:hint="default"/>
      </w:rPr>
    </w:lvl>
    <w:lvl w:ilvl="8" w:tplc="040C0005">
      <w:start w:val="1"/>
      <w:numFmt w:val="bullet"/>
      <w:lvlText w:val=""/>
      <w:lvlJc w:val="left"/>
      <w:pPr>
        <w:ind w:left="7331" w:hanging="360"/>
      </w:pPr>
      <w:rPr>
        <w:rFonts w:ascii="Wingdings" w:hAnsi="Wingdings" w:hint="default"/>
      </w:rPr>
    </w:lvl>
  </w:abstractNum>
  <w:abstractNum w:abstractNumId="1" w15:restartNumberingAfterBreak="0">
    <w:nsid w:val="04334A86"/>
    <w:multiLevelType w:val="hybridMultilevel"/>
    <w:tmpl w:val="80A24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375830"/>
    <w:multiLevelType w:val="hybridMultilevel"/>
    <w:tmpl w:val="D8D61E78"/>
    <w:lvl w:ilvl="0" w:tplc="040C0003">
      <w:start w:val="1"/>
      <w:numFmt w:val="bullet"/>
      <w:lvlText w:val="o"/>
      <w:lvlJc w:val="left"/>
      <w:pPr>
        <w:ind w:left="1440" w:hanging="360"/>
      </w:pPr>
      <w:rPr>
        <w:rFonts w:ascii="Courier New" w:hAnsi="Courier New" w:cs="Courier New" w:hint="default"/>
      </w:rPr>
    </w:lvl>
    <w:lvl w:ilvl="1" w:tplc="040C0005">
      <w:start w:val="1"/>
      <w:numFmt w:val="bullet"/>
      <w:lvlText w:val=""/>
      <w:lvlJc w:val="left"/>
      <w:pPr>
        <w:ind w:left="2160" w:hanging="360"/>
      </w:pPr>
      <w:rPr>
        <w:rFonts w:ascii="Wingdings" w:hAnsi="Wingdings"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3" w15:restartNumberingAfterBreak="0">
    <w:nsid w:val="2677533D"/>
    <w:multiLevelType w:val="hybridMultilevel"/>
    <w:tmpl w:val="059EEE3A"/>
    <w:lvl w:ilvl="0" w:tplc="7FA6A712">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17505A"/>
    <w:multiLevelType w:val="hybridMultilevel"/>
    <w:tmpl w:val="036818EE"/>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36A04DBC"/>
    <w:multiLevelType w:val="hybridMultilevel"/>
    <w:tmpl w:val="9DE2858C"/>
    <w:lvl w:ilvl="0" w:tplc="E66EC32E">
      <w:start w:val="1"/>
      <w:numFmt w:val="bullet"/>
      <w:pStyle w:val="liste"/>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39077AEF"/>
    <w:multiLevelType w:val="hybridMultilevel"/>
    <w:tmpl w:val="9A20665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7" w15:restartNumberingAfterBreak="0">
    <w:nsid w:val="3E306C0C"/>
    <w:multiLevelType w:val="hybridMultilevel"/>
    <w:tmpl w:val="9E9672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44954ADB"/>
    <w:multiLevelType w:val="hybridMultilevel"/>
    <w:tmpl w:val="E65CF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97854E5"/>
    <w:multiLevelType w:val="hybridMultilevel"/>
    <w:tmpl w:val="968AD670"/>
    <w:lvl w:ilvl="0" w:tplc="040C000F">
      <w:start w:val="1"/>
      <w:numFmt w:val="decimal"/>
      <w:lvlText w:val="%1."/>
      <w:lvlJc w:val="left"/>
      <w:pPr>
        <w:ind w:left="436" w:hanging="360"/>
      </w:pPr>
    </w:lvl>
    <w:lvl w:ilvl="1" w:tplc="BB1A8C52">
      <w:numFmt w:val="bullet"/>
      <w:lvlText w:val="-"/>
      <w:lvlJc w:val="left"/>
      <w:pPr>
        <w:ind w:left="1156" w:hanging="360"/>
      </w:pPr>
      <w:rPr>
        <w:rFonts w:ascii="Times New Roman" w:eastAsia="Arial Unicode MS" w:hAnsi="Times New Roman" w:cs="Times New Roman" w:hint="default"/>
      </w:r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10" w15:restartNumberingAfterBreak="0">
    <w:nsid w:val="4CF63425"/>
    <w:multiLevelType w:val="hybridMultilevel"/>
    <w:tmpl w:val="7C8A467C"/>
    <w:lvl w:ilvl="0" w:tplc="BB1A8C52">
      <w:numFmt w:val="bullet"/>
      <w:lvlText w:val="-"/>
      <w:lvlJc w:val="left"/>
      <w:pPr>
        <w:ind w:left="436" w:hanging="360"/>
      </w:pPr>
      <w:rPr>
        <w:rFonts w:ascii="Times New Roman" w:eastAsia="Arial Unicode MS" w:hAnsi="Times New Roman" w:cs="Times New Roman"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1" w15:restartNumberingAfterBreak="0">
    <w:nsid w:val="53F537E7"/>
    <w:multiLevelType w:val="multilevel"/>
    <w:tmpl w:val="A08E14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5FE52771"/>
    <w:multiLevelType w:val="hybridMultilevel"/>
    <w:tmpl w:val="9A10C69E"/>
    <w:lvl w:ilvl="0" w:tplc="38A6962C">
      <w:numFmt w:val="bullet"/>
      <w:pStyle w:val="accentuation01"/>
      <w:lvlText w:val=""/>
      <w:lvlJc w:val="left"/>
      <w:pPr>
        <w:ind w:left="720" w:hanging="360"/>
      </w:pPr>
      <w:rPr>
        <w:rFonts w:ascii="Symbol" w:eastAsiaTheme="minorHAnsi" w:hAnsi="Symbol" w:cs="Segoe UI" w:hint="default"/>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188793E"/>
    <w:multiLevelType w:val="hybridMultilevel"/>
    <w:tmpl w:val="DDE06BAE"/>
    <w:lvl w:ilvl="0" w:tplc="4CDA9BB6">
      <w:start w:val="1"/>
      <w:numFmt w:val="decimal"/>
      <w:pStyle w:val="Titre02"/>
      <w:lvlText w:val="%1."/>
      <w:lvlJc w:val="left"/>
      <w:pPr>
        <w:ind w:left="76" w:hanging="360"/>
      </w:pPr>
      <w:rPr>
        <w:rFonts w:hint="default"/>
        <w:b/>
      </w:rPr>
    </w:lvl>
    <w:lvl w:ilvl="1" w:tplc="BB1A8C52">
      <w:numFmt w:val="bullet"/>
      <w:lvlText w:val="-"/>
      <w:lvlJc w:val="left"/>
      <w:pPr>
        <w:ind w:left="796" w:hanging="360"/>
      </w:pPr>
      <w:rPr>
        <w:rFonts w:ascii="Times New Roman" w:eastAsia="Arial Unicode MS" w:hAnsi="Times New Roman" w:cs="Times New Roman" w:hint="default"/>
      </w:rPr>
    </w:lvl>
    <w:lvl w:ilvl="2" w:tplc="040C001B">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14" w15:restartNumberingAfterBreak="0">
    <w:nsid w:val="63B43AA4"/>
    <w:multiLevelType w:val="hybridMultilevel"/>
    <w:tmpl w:val="6BDC36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DDF64D1"/>
    <w:multiLevelType w:val="hybridMultilevel"/>
    <w:tmpl w:val="B052B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0C9220F"/>
    <w:multiLevelType w:val="hybridMultilevel"/>
    <w:tmpl w:val="72325826"/>
    <w:lvl w:ilvl="0" w:tplc="0E006CD4">
      <w:start w:val="1"/>
      <w:numFmt w:val="bullet"/>
      <w:lvlText w:val=""/>
      <w:lvlJc w:val="left"/>
      <w:pPr>
        <w:ind w:left="1070" w:hanging="360"/>
      </w:pPr>
      <w:rPr>
        <w:rFonts w:ascii="Wingdings" w:hAnsi="Wingdings" w:hint="default"/>
        <w:color w:val="AC224F"/>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17" w15:restartNumberingAfterBreak="0">
    <w:nsid w:val="79A203BA"/>
    <w:multiLevelType w:val="hybridMultilevel"/>
    <w:tmpl w:val="6DF6E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16"/>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7"/>
  </w:num>
  <w:num w:numId="6">
    <w:abstractNumId w:val="15"/>
  </w:num>
  <w:num w:numId="7">
    <w:abstractNumId w:val="4"/>
  </w:num>
  <w:num w:numId="8">
    <w:abstractNumId w:val="3"/>
  </w:num>
  <w:num w:numId="9">
    <w:abstractNumId w:val="1"/>
  </w:num>
  <w:num w:numId="10">
    <w:abstractNumId w:val="8"/>
  </w:num>
  <w:num w:numId="11">
    <w:abstractNumId w:val="5"/>
  </w:num>
  <w:num w:numId="12">
    <w:abstractNumId w:val="0"/>
  </w:num>
  <w:num w:numId="13">
    <w:abstractNumId w:val="2"/>
  </w:num>
  <w:num w:numId="14">
    <w:abstractNumId w:val="12"/>
  </w:num>
  <w:num w:numId="15">
    <w:abstractNumId w:val="6"/>
  </w:num>
  <w:num w:numId="16">
    <w:abstractNumId w:val="13"/>
  </w:num>
  <w:num w:numId="17">
    <w:abstractNumId w:val="10"/>
  </w:num>
  <w:num w:numId="18">
    <w:abstractNumId w:val="9"/>
  </w:num>
  <w:num w:numId="19">
    <w:abstractNumId w:val="13"/>
  </w:num>
  <w:num w:numId="20">
    <w:abstractNumId w:val="13"/>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5B6"/>
    <w:rsid w:val="00000754"/>
    <w:rsid w:val="00003FA1"/>
    <w:rsid w:val="000064C1"/>
    <w:rsid w:val="00006D9E"/>
    <w:rsid w:val="00006E50"/>
    <w:rsid w:val="00020EE2"/>
    <w:rsid w:val="00022880"/>
    <w:rsid w:val="00022F44"/>
    <w:rsid w:val="00031533"/>
    <w:rsid w:val="00045CF8"/>
    <w:rsid w:val="00050225"/>
    <w:rsid w:val="00052BD6"/>
    <w:rsid w:val="000534EC"/>
    <w:rsid w:val="00060C7B"/>
    <w:rsid w:val="00064115"/>
    <w:rsid w:val="000676F2"/>
    <w:rsid w:val="00071F97"/>
    <w:rsid w:val="000763B3"/>
    <w:rsid w:val="00080037"/>
    <w:rsid w:val="00081471"/>
    <w:rsid w:val="00097777"/>
    <w:rsid w:val="000A1918"/>
    <w:rsid w:val="000D0CA0"/>
    <w:rsid w:val="000E1E2F"/>
    <w:rsid w:val="000E5938"/>
    <w:rsid w:val="000E7793"/>
    <w:rsid w:val="000F2C4E"/>
    <w:rsid w:val="000F3DCF"/>
    <w:rsid w:val="00100569"/>
    <w:rsid w:val="00100C95"/>
    <w:rsid w:val="001105E1"/>
    <w:rsid w:val="001109EF"/>
    <w:rsid w:val="00111C32"/>
    <w:rsid w:val="0012430D"/>
    <w:rsid w:val="00132011"/>
    <w:rsid w:val="00133D54"/>
    <w:rsid w:val="00134DE8"/>
    <w:rsid w:val="001360A8"/>
    <w:rsid w:val="001378BA"/>
    <w:rsid w:val="001430A7"/>
    <w:rsid w:val="00145A59"/>
    <w:rsid w:val="00147754"/>
    <w:rsid w:val="001505C0"/>
    <w:rsid w:val="00152C27"/>
    <w:rsid w:val="00175E92"/>
    <w:rsid w:val="0017724D"/>
    <w:rsid w:val="00184135"/>
    <w:rsid w:val="0019173B"/>
    <w:rsid w:val="0019280B"/>
    <w:rsid w:val="001A1A43"/>
    <w:rsid w:val="001A1CD5"/>
    <w:rsid w:val="001A369F"/>
    <w:rsid w:val="001A5A37"/>
    <w:rsid w:val="001B1CF0"/>
    <w:rsid w:val="001C100F"/>
    <w:rsid w:val="001C2361"/>
    <w:rsid w:val="001D36E3"/>
    <w:rsid w:val="001E4D67"/>
    <w:rsid w:val="001F037D"/>
    <w:rsid w:val="001F235A"/>
    <w:rsid w:val="001F2D7C"/>
    <w:rsid w:val="002054D5"/>
    <w:rsid w:val="00220D07"/>
    <w:rsid w:val="00223554"/>
    <w:rsid w:val="00225798"/>
    <w:rsid w:val="00244CC2"/>
    <w:rsid w:val="00246107"/>
    <w:rsid w:val="00246C65"/>
    <w:rsid w:val="00250F27"/>
    <w:rsid w:val="002550BB"/>
    <w:rsid w:val="00255F30"/>
    <w:rsid w:val="00257E48"/>
    <w:rsid w:val="002762C9"/>
    <w:rsid w:val="00281BCD"/>
    <w:rsid w:val="002965B7"/>
    <w:rsid w:val="002D13A2"/>
    <w:rsid w:val="002D4C04"/>
    <w:rsid w:val="002D5703"/>
    <w:rsid w:val="002E4F5E"/>
    <w:rsid w:val="002E6890"/>
    <w:rsid w:val="002E7383"/>
    <w:rsid w:val="002F210F"/>
    <w:rsid w:val="0030017B"/>
    <w:rsid w:val="00301021"/>
    <w:rsid w:val="0030148A"/>
    <w:rsid w:val="00317870"/>
    <w:rsid w:val="00320D4B"/>
    <w:rsid w:val="00323A4A"/>
    <w:rsid w:val="003257BD"/>
    <w:rsid w:val="0032683C"/>
    <w:rsid w:val="0033036F"/>
    <w:rsid w:val="00330428"/>
    <w:rsid w:val="00332310"/>
    <w:rsid w:val="003339CE"/>
    <w:rsid w:val="003407BF"/>
    <w:rsid w:val="00341E94"/>
    <w:rsid w:val="00341EC1"/>
    <w:rsid w:val="00344131"/>
    <w:rsid w:val="00347F9E"/>
    <w:rsid w:val="00351E1C"/>
    <w:rsid w:val="00377143"/>
    <w:rsid w:val="00377431"/>
    <w:rsid w:val="003847EC"/>
    <w:rsid w:val="00386DF2"/>
    <w:rsid w:val="003A1D94"/>
    <w:rsid w:val="003A7EB8"/>
    <w:rsid w:val="003B1A22"/>
    <w:rsid w:val="003B33D3"/>
    <w:rsid w:val="003D2AD3"/>
    <w:rsid w:val="003D5550"/>
    <w:rsid w:val="003D6537"/>
    <w:rsid w:val="003F5BA5"/>
    <w:rsid w:val="0040330E"/>
    <w:rsid w:val="00406D60"/>
    <w:rsid w:val="00415F39"/>
    <w:rsid w:val="004311AF"/>
    <w:rsid w:val="004372C1"/>
    <w:rsid w:val="004418CF"/>
    <w:rsid w:val="00450D73"/>
    <w:rsid w:val="00452C51"/>
    <w:rsid w:val="00457B18"/>
    <w:rsid w:val="00463378"/>
    <w:rsid w:val="004716CD"/>
    <w:rsid w:val="00471702"/>
    <w:rsid w:val="00472C6F"/>
    <w:rsid w:val="00473FAF"/>
    <w:rsid w:val="004908E5"/>
    <w:rsid w:val="00490B3C"/>
    <w:rsid w:val="0049307C"/>
    <w:rsid w:val="00496D10"/>
    <w:rsid w:val="004A28DB"/>
    <w:rsid w:val="004C3273"/>
    <w:rsid w:val="004D444C"/>
    <w:rsid w:val="004D7C76"/>
    <w:rsid w:val="004E1164"/>
    <w:rsid w:val="004E6C1A"/>
    <w:rsid w:val="004E6DB3"/>
    <w:rsid w:val="004E7972"/>
    <w:rsid w:val="004F211B"/>
    <w:rsid w:val="005077FB"/>
    <w:rsid w:val="005140A1"/>
    <w:rsid w:val="00532CDF"/>
    <w:rsid w:val="00532CE3"/>
    <w:rsid w:val="00533C10"/>
    <w:rsid w:val="00541AB4"/>
    <w:rsid w:val="00542233"/>
    <w:rsid w:val="00543CA9"/>
    <w:rsid w:val="00545FE6"/>
    <w:rsid w:val="00551301"/>
    <w:rsid w:val="00557E89"/>
    <w:rsid w:val="00560368"/>
    <w:rsid w:val="00561CC4"/>
    <w:rsid w:val="00570D3F"/>
    <w:rsid w:val="00575F99"/>
    <w:rsid w:val="005806A2"/>
    <w:rsid w:val="00584799"/>
    <w:rsid w:val="00590894"/>
    <w:rsid w:val="00591EEF"/>
    <w:rsid w:val="0059242E"/>
    <w:rsid w:val="00595003"/>
    <w:rsid w:val="005A1ECF"/>
    <w:rsid w:val="005A5D69"/>
    <w:rsid w:val="005B28D9"/>
    <w:rsid w:val="005B3D40"/>
    <w:rsid w:val="005E1486"/>
    <w:rsid w:val="005E390E"/>
    <w:rsid w:val="005E6FED"/>
    <w:rsid w:val="005F3966"/>
    <w:rsid w:val="005F3C1A"/>
    <w:rsid w:val="005F6235"/>
    <w:rsid w:val="00610942"/>
    <w:rsid w:val="00613F7C"/>
    <w:rsid w:val="00616EE2"/>
    <w:rsid w:val="006256CB"/>
    <w:rsid w:val="00627753"/>
    <w:rsid w:val="00632692"/>
    <w:rsid w:val="00641868"/>
    <w:rsid w:val="00646BBC"/>
    <w:rsid w:val="006477A2"/>
    <w:rsid w:val="006600F3"/>
    <w:rsid w:val="006A0293"/>
    <w:rsid w:val="006A3795"/>
    <w:rsid w:val="006B3331"/>
    <w:rsid w:val="006B4AE0"/>
    <w:rsid w:val="006B5511"/>
    <w:rsid w:val="006D209E"/>
    <w:rsid w:val="006D4D83"/>
    <w:rsid w:val="006E0157"/>
    <w:rsid w:val="006E40BB"/>
    <w:rsid w:val="006E6805"/>
    <w:rsid w:val="006E6FA7"/>
    <w:rsid w:val="006F4CCE"/>
    <w:rsid w:val="006F6043"/>
    <w:rsid w:val="00706D2B"/>
    <w:rsid w:val="0070782A"/>
    <w:rsid w:val="00713D95"/>
    <w:rsid w:val="007209E2"/>
    <w:rsid w:val="007241D4"/>
    <w:rsid w:val="00727D83"/>
    <w:rsid w:val="0073377D"/>
    <w:rsid w:val="00733B08"/>
    <w:rsid w:val="00733CCE"/>
    <w:rsid w:val="00743DD2"/>
    <w:rsid w:val="00745853"/>
    <w:rsid w:val="00754E7E"/>
    <w:rsid w:val="00756A18"/>
    <w:rsid w:val="0077520D"/>
    <w:rsid w:val="00776C9A"/>
    <w:rsid w:val="00777884"/>
    <w:rsid w:val="00781BFC"/>
    <w:rsid w:val="0078229D"/>
    <w:rsid w:val="007855F6"/>
    <w:rsid w:val="00786241"/>
    <w:rsid w:val="00787921"/>
    <w:rsid w:val="00791423"/>
    <w:rsid w:val="007939AE"/>
    <w:rsid w:val="007952D4"/>
    <w:rsid w:val="00797604"/>
    <w:rsid w:val="007A352F"/>
    <w:rsid w:val="007B0159"/>
    <w:rsid w:val="007B138C"/>
    <w:rsid w:val="007B206C"/>
    <w:rsid w:val="007B3589"/>
    <w:rsid w:val="007B4BC5"/>
    <w:rsid w:val="007B74A6"/>
    <w:rsid w:val="007C3111"/>
    <w:rsid w:val="007E352A"/>
    <w:rsid w:val="007E39A3"/>
    <w:rsid w:val="007E456F"/>
    <w:rsid w:val="007E6D56"/>
    <w:rsid w:val="007F4001"/>
    <w:rsid w:val="007F55EB"/>
    <w:rsid w:val="007F6278"/>
    <w:rsid w:val="007F632E"/>
    <w:rsid w:val="007F67AE"/>
    <w:rsid w:val="008029D3"/>
    <w:rsid w:val="00816CD2"/>
    <w:rsid w:val="00837D51"/>
    <w:rsid w:val="00844E59"/>
    <w:rsid w:val="00847CE8"/>
    <w:rsid w:val="00872358"/>
    <w:rsid w:val="0088232B"/>
    <w:rsid w:val="00886EBB"/>
    <w:rsid w:val="00890E59"/>
    <w:rsid w:val="008918AF"/>
    <w:rsid w:val="008924BF"/>
    <w:rsid w:val="008A1A29"/>
    <w:rsid w:val="008A299F"/>
    <w:rsid w:val="008A3AD5"/>
    <w:rsid w:val="008B109B"/>
    <w:rsid w:val="008B697B"/>
    <w:rsid w:val="008C03AF"/>
    <w:rsid w:val="008C2431"/>
    <w:rsid w:val="008E048F"/>
    <w:rsid w:val="008E1707"/>
    <w:rsid w:val="008E3942"/>
    <w:rsid w:val="008F202D"/>
    <w:rsid w:val="008F7A1E"/>
    <w:rsid w:val="009171CD"/>
    <w:rsid w:val="00920915"/>
    <w:rsid w:val="009210BC"/>
    <w:rsid w:val="00921A06"/>
    <w:rsid w:val="009233E1"/>
    <w:rsid w:val="00924ECB"/>
    <w:rsid w:val="0092634F"/>
    <w:rsid w:val="00926E0E"/>
    <w:rsid w:val="00932313"/>
    <w:rsid w:val="00933FDA"/>
    <w:rsid w:val="0094732E"/>
    <w:rsid w:val="00952A36"/>
    <w:rsid w:val="00957E6E"/>
    <w:rsid w:val="00965841"/>
    <w:rsid w:val="0096625D"/>
    <w:rsid w:val="00971B84"/>
    <w:rsid w:val="009770F2"/>
    <w:rsid w:val="00981726"/>
    <w:rsid w:val="00985384"/>
    <w:rsid w:val="009854A7"/>
    <w:rsid w:val="00985A53"/>
    <w:rsid w:val="009A5CB7"/>
    <w:rsid w:val="009B7F35"/>
    <w:rsid w:val="009D65B6"/>
    <w:rsid w:val="009E61CD"/>
    <w:rsid w:val="009F118B"/>
    <w:rsid w:val="00A0197D"/>
    <w:rsid w:val="00A073CB"/>
    <w:rsid w:val="00A0743B"/>
    <w:rsid w:val="00A164E0"/>
    <w:rsid w:val="00A16E6F"/>
    <w:rsid w:val="00A2007D"/>
    <w:rsid w:val="00A22CFC"/>
    <w:rsid w:val="00A233D7"/>
    <w:rsid w:val="00A27EA0"/>
    <w:rsid w:val="00A35142"/>
    <w:rsid w:val="00A413F3"/>
    <w:rsid w:val="00A41974"/>
    <w:rsid w:val="00A429DE"/>
    <w:rsid w:val="00A45435"/>
    <w:rsid w:val="00A710BC"/>
    <w:rsid w:val="00A76EEA"/>
    <w:rsid w:val="00A85427"/>
    <w:rsid w:val="00A91A50"/>
    <w:rsid w:val="00A92617"/>
    <w:rsid w:val="00A93C3A"/>
    <w:rsid w:val="00AA020A"/>
    <w:rsid w:val="00AA5DA2"/>
    <w:rsid w:val="00AA684E"/>
    <w:rsid w:val="00AB3252"/>
    <w:rsid w:val="00AB48A8"/>
    <w:rsid w:val="00AC17E1"/>
    <w:rsid w:val="00AE00C8"/>
    <w:rsid w:val="00B02AE3"/>
    <w:rsid w:val="00B16C2B"/>
    <w:rsid w:val="00B2739E"/>
    <w:rsid w:val="00B27721"/>
    <w:rsid w:val="00B30489"/>
    <w:rsid w:val="00B343C4"/>
    <w:rsid w:val="00B416BE"/>
    <w:rsid w:val="00B43F8B"/>
    <w:rsid w:val="00B454D0"/>
    <w:rsid w:val="00B6555F"/>
    <w:rsid w:val="00B75885"/>
    <w:rsid w:val="00B84FE0"/>
    <w:rsid w:val="00B95CDB"/>
    <w:rsid w:val="00BA5EF8"/>
    <w:rsid w:val="00BA7283"/>
    <w:rsid w:val="00BB069D"/>
    <w:rsid w:val="00BB12C7"/>
    <w:rsid w:val="00BB1AFA"/>
    <w:rsid w:val="00BB5797"/>
    <w:rsid w:val="00BC0B57"/>
    <w:rsid w:val="00BD0E68"/>
    <w:rsid w:val="00BE7CCA"/>
    <w:rsid w:val="00BF4E9B"/>
    <w:rsid w:val="00C165BA"/>
    <w:rsid w:val="00C17508"/>
    <w:rsid w:val="00C264C8"/>
    <w:rsid w:val="00C26A1B"/>
    <w:rsid w:val="00C34A5E"/>
    <w:rsid w:val="00C3555F"/>
    <w:rsid w:val="00C41E6D"/>
    <w:rsid w:val="00C42AD3"/>
    <w:rsid w:val="00C62BD3"/>
    <w:rsid w:val="00C637CE"/>
    <w:rsid w:val="00C9503E"/>
    <w:rsid w:val="00CA0084"/>
    <w:rsid w:val="00CA0BF9"/>
    <w:rsid w:val="00CA50BD"/>
    <w:rsid w:val="00CA5F26"/>
    <w:rsid w:val="00CB51F4"/>
    <w:rsid w:val="00CC1270"/>
    <w:rsid w:val="00CC3768"/>
    <w:rsid w:val="00CC37AF"/>
    <w:rsid w:val="00CD1F5E"/>
    <w:rsid w:val="00CD788F"/>
    <w:rsid w:val="00CF2A11"/>
    <w:rsid w:val="00CF49B9"/>
    <w:rsid w:val="00D02E33"/>
    <w:rsid w:val="00D047A7"/>
    <w:rsid w:val="00D06119"/>
    <w:rsid w:val="00D11E72"/>
    <w:rsid w:val="00D13547"/>
    <w:rsid w:val="00D21565"/>
    <w:rsid w:val="00D309B8"/>
    <w:rsid w:val="00D36A6F"/>
    <w:rsid w:val="00D6187C"/>
    <w:rsid w:val="00D647F8"/>
    <w:rsid w:val="00D75547"/>
    <w:rsid w:val="00D75E28"/>
    <w:rsid w:val="00D7794E"/>
    <w:rsid w:val="00D82E2E"/>
    <w:rsid w:val="00D8590D"/>
    <w:rsid w:val="00D87853"/>
    <w:rsid w:val="00D90ECF"/>
    <w:rsid w:val="00D91814"/>
    <w:rsid w:val="00D9438C"/>
    <w:rsid w:val="00DA218D"/>
    <w:rsid w:val="00DA5BFB"/>
    <w:rsid w:val="00DA5C96"/>
    <w:rsid w:val="00DA5FF8"/>
    <w:rsid w:val="00DB3A59"/>
    <w:rsid w:val="00DB3E4A"/>
    <w:rsid w:val="00DB4B5B"/>
    <w:rsid w:val="00DC5779"/>
    <w:rsid w:val="00DE5AE7"/>
    <w:rsid w:val="00E01524"/>
    <w:rsid w:val="00E01831"/>
    <w:rsid w:val="00E07562"/>
    <w:rsid w:val="00E07DE5"/>
    <w:rsid w:val="00E12D9E"/>
    <w:rsid w:val="00E17D80"/>
    <w:rsid w:val="00E2222E"/>
    <w:rsid w:val="00E22E89"/>
    <w:rsid w:val="00E23C6C"/>
    <w:rsid w:val="00E273AF"/>
    <w:rsid w:val="00E40931"/>
    <w:rsid w:val="00E55039"/>
    <w:rsid w:val="00E71CD9"/>
    <w:rsid w:val="00E73D15"/>
    <w:rsid w:val="00E81403"/>
    <w:rsid w:val="00E909BE"/>
    <w:rsid w:val="00E95F3D"/>
    <w:rsid w:val="00EA31C5"/>
    <w:rsid w:val="00EB1FBA"/>
    <w:rsid w:val="00EC3104"/>
    <w:rsid w:val="00EC6882"/>
    <w:rsid w:val="00EC769F"/>
    <w:rsid w:val="00ED2FEC"/>
    <w:rsid w:val="00ED7BA8"/>
    <w:rsid w:val="00EE64F2"/>
    <w:rsid w:val="00F05AE8"/>
    <w:rsid w:val="00F063F5"/>
    <w:rsid w:val="00F15ADF"/>
    <w:rsid w:val="00F26F9A"/>
    <w:rsid w:val="00F32FC3"/>
    <w:rsid w:val="00F4255E"/>
    <w:rsid w:val="00F432CE"/>
    <w:rsid w:val="00F43D4E"/>
    <w:rsid w:val="00F44858"/>
    <w:rsid w:val="00F450DD"/>
    <w:rsid w:val="00F61170"/>
    <w:rsid w:val="00F615AB"/>
    <w:rsid w:val="00F676DD"/>
    <w:rsid w:val="00F84538"/>
    <w:rsid w:val="00F90A47"/>
    <w:rsid w:val="00F93864"/>
    <w:rsid w:val="00FA5438"/>
    <w:rsid w:val="00FB3378"/>
    <w:rsid w:val="00FD06D8"/>
    <w:rsid w:val="00FD6573"/>
    <w:rsid w:val="00FD7798"/>
    <w:rsid w:val="00FE0055"/>
    <w:rsid w:val="00FE0C91"/>
    <w:rsid w:val="00FF68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9B3222"/>
  <w15:chartTrackingRefBased/>
  <w15:docId w15:val="{4E9A3945-EB59-4A63-8F52-48C2A89CF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16EE2"/>
  </w:style>
  <w:style w:type="paragraph" w:styleId="Titre1">
    <w:name w:val="heading 1"/>
    <w:basedOn w:val="Normal"/>
    <w:next w:val="Normal"/>
    <w:link w:val="Titre1Car"/>
    <w:autoRedefine/>
    <w:uiPriority w:val="9"/>
    <w:rsid w:val="00490B3C"/>
    <w:pPr>
      <w:keepNext/>
      <w:keepLines/>
      <w:spacing w:after="360"/>
      <w:ind w:left="-851"/>
      <w:jc w:val="center"/>
      <w:outlineLvl w:val="0"/>
    </w:pPr>
    <w:rPr>
      <w:rFonts w:ascii="Segoe UI" w:eastAsiaTheme="majorEastAsia" w:hAnsi="Segoe UI" w:cs="Segoe UI"/>
      <w:b/>
      <w:bCs/>
      <w:color w:val="000091" w:themeColor="text1"/>
      <w:sz w:val="36"/>
    </w:rPr>
  </w:style>
  <w:style w:type="paragraph" w:styleId="Titre2">
    <w:name w:val="heading 2"/>
    <w:aliases w:val="Titre 04"/>
    <w:basedOn w:val="Normal"/>
    <w:next w:val="Normal"/>
    <w:link w:val="Titre2Car"/>
    <w:autoRedefine/>
    <w:uiPriority w:val="9"/>
    <w:unhideWhenUsed/>
    <w:rsid w:val="00472C6F"/>
    <w:pPr>
      <w:keepNext/>
      <w:keepLines/>
      <w:spacing w:after="120"/>
      <w:outlineLvl w:val="1"/>
    </w:pPr>
    <w:rPr>
      <w:rFonts w:ascii="Marianne Light" w:eastAsiaTheme="majorEastAsia" w:hAnsi="Marianne Light" w:cstheme="majorBidi"/>
      <w:caps/>
      <w:sz w:val="32"/>
      <w:szCs w:val="26"/>
    </w:rPr>
  </w:style>
  <w:style w:type="paragraph" w:styleId="Titre3">
    <w:name w:val="heading 3"/>
    <w:basedOn w:val="Normal"/>
    <w:next w:val="Normal"/>
    <w:link w:val="Titre3Car"/>
    <w:uiPriority w:val="9"/>
    <w:unhideWhenUsed/>
    <w:rsid w:val="00C26A1B"/>
    <w:pPr>
      <w:keepNext/>
      <w:keepLines/>
      <w:spacing w:before="40" w:after="0"/>
      <w:outlineLvl w:val="2"/>
    </w:pPr>
    <w:rPr>
      <w:rFonts w:asciiTheme="majorHAnsi" w:eastAsiaTheme="majorEastAsia" w:hAnsiTheme="majorHAnsi" w:cstheme="majorBidi"/>
      <w:color w:val="004740" w:themeColor="accent1" w:themeShade="7F"/>
      <w:sz w:val="24"/>
      <w:szCs w:val="24"/>
    </w:rPr>
  </w:style>
  <w:style w:type="paragraph" w:styleId="Titre4">
    <w:name w:val="heading 4"/>
    <w:basedOn w:val="Normal"/>
    <w:next w:val="Normal"/>
    <w:link w:val="Titre4Car"/>
    <w:uiPriority w:val="9"/>
    <w:unhideWhenUsed/>
    <w:rsid w:val="00F676DD"/>
    <w:pPr>
      <w:keepNext/>
      <w:keepLines/>
      <w:spacing w:before="40" w:after="0"/>
      <w:outlineLvl w:val="3"/>
    </w:pPr>
    <w:rPr>
      <w:rFonts w:asciiTheme="majorHAnsi" w:eastAsiaTheme="majorEastAsia" w:hAnsiTheme="majorHAnsi" w:cstheme="majorBidi"/>
      <w:i/>
      <w:iCs/>
      <w:color w:val="006B60"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rsid w:val="00F676DD"/>
    <w:rPr>
      <w:b/>
      <w:bCs/>
      <w:i/>
      <w:iCs/>
      <w:spacing w:val="5"/>
    </w:rPr>
  </w:style>
  <w:style w:type="character" w:styleId="Lienhypertexte">
    <w:name w:val="Hyperlink"/>
    <w:basedOn w:val="Policepardfaut"/>
    <w:uiPriority w:val="99"/>
    <w:unhideWhenUsed/>
    <w:rsid w:val="00981726"/>
    <w:rPr>
      <w:color w:val="0000FF"/>
      <w:u w:val="single"/>
    </w:rPr>
  </w:style>
  <w:style w:type="character" w:customStyle="1" w:styleId="Titre4Car">
    <w:name w:val="Titre 4 Car"/>
    <w:basedOn w:val="Policepardfaut"/>
    <w:link w:val="Titre4"/>
    <w:uiPriority w:val="9"/>
    <w:rsid w:val="00F676DD"/>
    <w:rPr>
      <w:rFonts w:asciiTheme="majorHAnsi" w:eastAsiaTheme="majorEastAsia" w:hAnsiTheme="majorHAnsi" w:cstheme="majorBidi"/>
      <w:i/>
      <w:iCs/>
      <w:color w:val="006B60" w:themeColor="accent1" w:themeShade="BF"/>
    </w:rPr>
  </w:style>
  <w:style w:type="character" w:styleId="lev">
    <w:name w:val="Strong"/>
    <w:basedOn w:val="Policepardfaut"/>
    <w:uiPriority w:val="22"/>
    <w:rsid w:val="004D444C"/>
    <w:rPr>
      <w:b/>
      <w:bCs/>
    </w:rPr>
  </w:style>
  <w:style w:type="character" w:styleId="Accentuation">
    <w:name w:val="Emphasis"/>
    <w:aliases w:val="titre liste"/>
    <w:basedOn w:val="Policepardfaut"/>
    <w:uiPriority w:val="20"/>
    <w:qFormat/>
    <w:rsid w:val="00111C32"/>
    <w:rPr>
      <w:rFonts w:ascii="Marianne Medium" w:hAnsi="Marianne Medium"/>
      <w:b w:val="0"/>
      <w:i w:val="0"/>
      <w:iCs/>
      <w:color w:val="auto"/>
      <w:sz w:val="22"/>
      <w:u w:val="none"/>
    </w:rPr>
  </w:style>
  <w:style w:type="paragraph" w:styleId="Commentaire">
    <w:name w:val="annotation text"/>
    <w:basedOn w:val="Normal"/>
    <w:link w:val="CommentaireCar"/>
    <w:uiPriority w:val="99"/>
    <w:semiHidden/>
    <w:unhideWhenUsed/>
    <w:rsid w:val="00981726"/>
    <w:pPr>
      <w:spacing w:line="240" w:lineRule="auto"/>
    </w:pPr>
    <w:rPr>
      <w:sz w:val="20"/>
      <w:szCs w:val="20"/>
    </w:rPr>
  </w:style>
  <w:style w:type="character" w:customStyle="1" w:styleId="CommentaireCar">
    <w:name w:val="Commentaire Car"/>
    <w:basedOn w:val="Policepardfaut"/>
    <w:link w:val="Commentaire"/>
    <w:uiPriority w:val="99"/>
    <w:semiHidden/>
    <w:rsid w:val="00981726"/>
    <w:rPr>
      <w:sz w:val="20"/>
      <w:szCs w:val="20"/>
    </w:rPr>
  </w:style>
  <w:style w:type="paragraph" w:customStyle="1" w:styleId="Miseenexergue">
    <w:name w:val="Mise en exergue"/>
    <w:basedOn w:val="Citation"/>
    <w:link w:val="MiseenexergueCar"/>
    <w:rsid w:val="00F15ADF"/>
    <w:pPr>
      <w:ind w:left="-567" w:right="2977"/>
    </w:pPr>
    <w:rPr>
      <w:rFonts w:ascii="Marianne Medium" w:hAnsi="Marianne Medium"/>
      <w:i w:val="0"/>
      <w:iCs w:val="0"/>
      <w:color w:val="000091" w:themeColor="text1"/>
      <w:sz w:val="32"/>
      <w:szCs w:val="24"/>
    </w:rPr>
  </w:style>
  <w:style w:type="character" w:styleId="Marquedecommentaire">
    <w:name w:val="annotation reference"/>
    <w:basedOn w:val="Policepardfaut"/>
    <w:uiPriority w:val="99"/>
    <w:semiHidden/>
    <w:unhideWhenUsed/>
    <w:rsid w:val="00981726"/>
    <w:rPr>
      <w:sz w:val="16"/>
      <w:szCs w:val="16"/>
    </w:rPr>
  </w:style>
  <w:style w:type="paragraph" w:styleId="Textedebulles">
    <w:name w:val="Balloon Text"/>
    <w:basedOn w:val="Normal"/>
    <w:link w:val="TextedebullesCar"/>
    <w:uiPriority w:val="99"/>
    <w:semiHidden/>
    <w:unhideWhenUsed/>
    <w:rsid w:val="009817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1726"/>
    <w:rPr>
      <w:rFonts w:ascii="Segoe UI" w:hAnsi="Segoe UI" w:cs="Segoe UI"/>
      <w:sz w:val="18"/>
      <w:szCs w:val="18"/>
    </w:rPr>
  </w:style>
  <w:style w:type="paragraph" w:customStyle="1" w:styleId="miseenavantlienhypertexte">
    <w:name w:val="mise en avant lien hypertexte"/>
    <w:basedOn w:val="Hyperlien"/>
    <w:link w:val="miseenavantlienhypertexteCar"/>
    <w:rsid w:val="00F15ADF"/>
    <w:pPr>
      <w:ind w:right="-850"/>
    </w:pPr>
    <w:rPr>
      <w:rFonts w:ascii="Marianne Medium" w:hAnsi="Marianne Medium"/>
      <w:color w:val="auto"/>
      <w:u w:val="none"/>
    </w:rPr>
  </w:style>
  <w:style w:type="character" w:customStyle="1" w:styleId="MiseenexergueCar">
    <w:name w:val="Mise en exergue Car"/>
    <w:basedOn w:val="CitationCar"/>
    <w:link w:val="Miseenexergue"/>
    <w:rsid w:val="00F15ADF"/>
    <w:rPr>
      <w:rFonts w:ascii="Marianne Medium" w:hAnsi="Marianne Medium"/>
      <w:i w:val="0"/>
      <w:iCs w:val="0"/>
      <w:color w:val="000091" w:themeColor="text1"/>
      <w:sz w:val="32"/>
      <w:szCs w:val="24"/>
    </w:rPr>
  </w:style>
  <w:style w:type="paragraph" w:styleId="Pieddepage">
    <w:name w:val="footer"/>
    <w:basedOn w:val="Normal"/>
    <w:link w:val="PieddepageCar"/>
    <w:uiPriority w:val="99"/>
    <w:unhideWhenUsed/>
    <w:rsid w:val="001C23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2361"/>
  </w:style>
  <w:style w:type="paragraph" w:styleId="Sansinterligne">
    <w:name w:val="No Spacing"/>
    <w:link w:val="SansinterligneCar"/>
    <w:uiPriority w:val="1"/>
    <w:qFormat/>
    <w:rsid w:val="005B3D40"/>
    <w:pPr>
      <w:spacing w:after="0" w:line="240" w:lineRule="auto"/>
    </w:pPr>
  </w:style>
  <w:style w:type="paragraph" w:styleId="Notedebasdepage">
    <w:name w:val="footnote text"/>
    <w:basedOn w:val="Normal"/>
    <w:link w:val="NotedebasdepageCar"/>
    <w:uiPriority w:val="99"/>
    <w:semiHidden/>
    <w:unhideWhenUsed/>
    <w:rsid w:val="0074585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45853"/>
    <w:rPr>
      <w:sz w:val="20"/>
      <w:szCs w:val="20"/>
    </w:rPr>
  </w:style>
  <w:style w:type="character" w:styleId="Appelnotedebasdep">
    <w:name w:val="footnote reference"/>
    <w:basedOn w:val="Policepardfaut"/>
    <w:uiPriority w:val="99"/>
    <w:semiHidden/>
    <w:unhideWhenUsed/>
    <w:rsid w:val="00745853"/>
    <w:rPr>
      <w:vertAlign w:val="superscript"/>
    </w:rPr>
  </w:style>
  <w:style w:type="character" w:customStyle="1" w:styleId="Textedelespacerserv">
    <w:name w:val="Texte de l’espace réservé"/>
    <w:basedOn w:val="Policepardfaut"/>
    <w:uiPriority w:val="99"/>
    <w:semiHidden/>
    <w:rsid w:val="00152C27"/>
    <w:rPr>
      <w:color w:val="808080"/>
    </w:rPr>
  </w:style>
  <w:style w:type="character" w:styleId="Lienhypertextesuivivisit">
    <w:name w:val="FollowedHyperlink"/>
    <w:basedOn w:val="Policepardfaut"/>
    <w:uiPriority w:val="99"/>
    <w:semiHidden/>
    <w:unhideWhenUsed/>
    <w:rsid w:val="006A3795"/>
    <w:rPr>
      <w:color w:val="A558A0" w:themeColor="followedHyperlink"/>
      <w:u w:val="single"/>
    </w:rPr>
  </w:style>
  <w:style w:type="paragraph" w:styleId="Objetducommentaire">
    <w:name w:val="annotation subject"/>
    <w:basedOn w:val="Commentaire"/>
    <w:next w:val="Commentaire"/>
    <w:link w:val="ObjetducommentaireCar"/>
    <w:uiPriority w:val="99"/>
    <w:semiHidden/>
    <w:unhideWhenUsed/>
    <w:rsid w:val="006A3795"/>
    <w:rPr>
      <w:b/>
      <w:bCs/>
    </w:rPr>
  </w:style>
  <w:style w:type="character" w:customStyle="1" w:styleId="ObjetducommentaireCar">
    <w:name w:val="Objet du commentaire Car"/>
    <w:basedOn w:val="CommentaireCar"/>
    <w:link w:val="Objetducommentaire"/>
    <w:uiPriority w:val="99"/>
    <w:semiHidden/>
    <w:rsid w:val="006A3795"/>
    <w:rPr>
      <w:b/>
      <w:bCs/>
      <w:sz w:val="20"/>
      <w:szCs w:val="20"/>
    </w:rPr>
  </w:style>
  <w:style w:type="paragraph" w:customStyle="1" w:styleId="Titre02">
    <w:name w:val="Titre 02"/>
    <w:basedOn w:val="Normal"/>
    <w:link w:val="Titre02Car"/>
    <w:autoRedefine/>
    <w:qFormat/>
    <w:rsid w:val="00DA5FF8"/>
    <w:pPr>
      <w:numPr>
        <w:numId w:val="16"/>
      </w:numPr>
      <w:spacing w:before="120" w:after="0" w:line="240" w:lineRule="auto"/>
      <w:ind w:left="-426" w:right="-141" w:firstLine="0"/>
      <w:jc w:val="both"/>
    </w:pPr>
    <w:rPr>
      <w:rFonts w:ascii="Segoe UI" w:hAnsi="Segoe UI" w:cs="Segoe UI"/>
      <w:b/>
      <w:noProof/>
      <w:sz w:val="20"/>
      <w:szCs w:val="18"/>
    </w:rPr>
  </w:style>
  <w:style w:type="paragraph" w:customStyle="1" w:styleId="Soustitre">
    <w:name w:val="Sous titre"/>
    <w:basedOn w:val="Normal"/>
    <w:link w:val="SoustitreCar"/>
    <w:autoRedefine/>
    <w:rsid w:val="00E07DE5"/>
    <w:pPr>
      <w:ind w:left="709"/>
    </w:pPr>
    <w:rPr>
      <w:rFonts w:ascii="Marianne Light" w:eastAsia="Times New Roman" w:hAnsi="Marianne Light" w:cs="Arial"/>
      <w:b/>
      <w:sz w:val="44"/>
      <w:szCs w:val="96"/>
      <w:lang w:eastAsia="fr-FR"/>
    </w:rPr>
  </w:style>
  <w:style w:type="character" w:customStyle="1" w:styleId="Titre02Car">
    <w:name w:val="Titre 02 Car"/>
    <w:basedOn w:val="Policepardfaut"/>
    <w:link w:val="Titre02"/>
    <w:rsid w:val="00DA5FF8"/>
    <w:rPr>
      <w:rFonts w:ascii="Segoe UI" w:hAnsi="Segoe UI" w:cs="Segoe UI"/>
      <w:b/>
      <w:noProof/>
      <w:sz w:val="20"/>
      <w:szCs w:val="18"/>
    </w:rPr>
  </w:style>
  <w:style w:type="paragraph" w:styleId="Titre">
    <w:name w:val="Title"/>
    <w:aliases w:val="Titre 01"/>
    <w:basedOn w:val="Normal"/>
    <w:next w:val="Normal"/>
    <w:link w:val="TitreCar"/>
    <w:uiPriority w:val="10"/>
    <w:rsid w:val="00E07DE5"/>
    <w:pPr>
      <w:spacing w:after="0" w:line="240" w:lineRule="auto"/>
      <w:contextualSpacing/>
    </w:pPr>
    <w:rPr>
      <w:rFonts w:ascii="Marianne ExtraBold" w:eastAsiaTheme="majorEastAsia" w:hAnsi="Marianne ExtraBold" w:cstheme="majorBidi"/>
      <w:spacing w:val="-10"/>
      <w:kern w:val="28"/>
      <w:sz w:val="96"/>
      <w:szCs w:val="56"/>
    </w:rPr>
  </w:style>
  <w:style w:type="character" w:customStyle="1" w:styleId="SoustitreCar">
    <w:name w:val="Sous titre Car"/>
    <w:basedOn w:val="Policepardfaut"/>
    <w:link w:val="Soustitre"/>
    <w:rsid w:val="00E07DE5"/>
    <w:rPr>
      <w:rFonts w:ascii="Marianne Light" w:eastAsia="Times New Roman" w:hAnsi="Marianne Light" w:cs="Arial"/>
      <w:b/>
      <w:sz w:val="44"/>
      <w:szCs w:val="96"/>
      <w:lang w:eastAsia="fr-FR"/>
    </w:rPr>
  </w:style>
  <w:style w:type="character" w:customStyle="1" w:styleId="TitreCar">
    <w:name w:val="Titre Car"/>
    <w:aliases w:val="Titre 01 Car"/>
    <w:basedOn w:val="Policepardfaut"/>
    <w:link w:val="Titre"/>
    <w:uiPriority w:val="10"/>
    <w:rsid w:val="00E07DE5"/>
    <w:rPr>
      <w:rFonts w:ascii="Marianne ExtraBold" w:eastAsiaTheme="majorEastAsia" w:hAnsi="Marianne ExtraBold" w:cstheme="majorBidi"/>
      <w:spacing w:val="-10"/>
      <w:kern w:val="28"/>
      <w:sz w:val="96"/>
      <w:szCs w:val="56"/>
    </w:rPr>
  </w:style>
  <w:style w:type="character" w:customStyle="1" w:styleId="Titre2Car">
    <w:name w:val="Titre 2 Car"/>
    <w:aliases w:val="Titre 04 Car"/>
    <w:basedOn w:val="Policepardfaut"/>
    <w:link w:val="Titre2"/>
    <w:uiPriority w:val="9"/>
    <w:rsid w:val="00472C6F"/>
    <w:rPr>
      <w:rFonts w:ascii="Marianne Light" w:eastAsiaTheme="majorEastAsia" w:hAnsi="Marianne Light" w:cstheme="majorBidi"/>
      <w:caps/>
      <w:sz w:val="32"/>
      <w:szCs w:val="26"/>
    </w:rPr>
  </w:style>
  <w:style w:type="character" w:customStyle="1" w:styleId="Titre1Car">
    <w:name w:val="Titre 1 Car"/>
    <w:basedOn w:val="Policepardfaut"/>
    <w:link w:val="Titre1"/>
    <w:uiPriority w:val="9"/>
    <w:rsid w:val="00490B3C"/>
    <w:rPr>
      <w:rFonts w:ascii="Segoe UI" w:eastAsiaTheme="majorEastAsia" w:hAnsi="Segoe UI" w:cs="Segoe UI"/>
      <w:b/>
      <w:bCs/>
      <w:color w:val="000091" w:themeColor="text1"/>
      <w:sz w:val="36"/>
    </w:rPr>
  </w:style>
  <w:style w:type="character" w:styleId="Accentuationlgre">
    <w:name w:val="Subtle Emphasis"/>
    <w:uiPriority w:val="19"/>
    <w:rsid w:val="00472C6F"/>
    <w:rPr>
      <w:rFonts w:ascii="Marianne" w:hAnsi="Marianne"/>
      <w:i w:val="0"/>
      <w:iCs/>
      <w:color w:val="FFFFFF" w:themeColor="background1"/>
      <w:sz w:val="22"/>
    </w:rPr>
  </w:style>
  <w:style w:type="character" w:styleId="Rfrenceintense">
    <w:name w:val="Intense Reference"/>
    <w:uiPriority w:val="32"/>
    <w:qFormat/>
    <w:rsid w:val="00AA020A"/>
    <w:rPr>
      <w:rFonts w:ascii="Segoe UI" w:hAnsi="Segoe UI" w:cs="Segoe UI"/>
      <w:color w:val="000091" w:themeColor="text1"/>
    </w:rPr>
  </w:style>
  <w:style w:type="paragraph" w:customStyle="1" w:styleId="Soustitrechapeau">
    <w:name w:val="Sous titre chapeau"/>
    <w:basedOn w:val="Normal"/>
    <w:link w:val="SoustitrechapeauCar"/>
    <w:qFormat/>
    <w:rsid w:val="007952D4"/>
    <w:pPr>
      <w:spacing w:before="240"/>
    </w:pPr>
    <w:rPr>
      <w:rFonts w:ascii="Marianne Light" w:hAnsi="Marianne Light"/>
      <w:color w:val="6A6AF4" w:themeColor="text2"/>
      <w:sz w:val="26"/>
      <w:szCs w:val="26"/>
    </w:rPr>
  </w:style>
  <w:style w:type="paragraph" w:customStyle="1" w:styleId="Titreliste">
    <w:name w:val="Titre liste"/>
    <w:basedOn w:val="Normal"/>
    <w:link w:val="TitrelisteCar"/>
    <w:rsid w:val="00DE5AE7"/>
    <w:pPr>
      <w:spacing w:before="240" w:after="80"/>
    </w:pPr>
    <w:rPr>
      <w:color w:val="000091" w:themeColor="text1"/>
    </w:rPr>
  </w:style>
  <w:style w:type="character" w:customStyle="1" w:styleId="SoustitrechapeauCar">
    <w:name w:val="Sous titre chapeau Car"/>
    <w:basedOn w:val="Policepardfaut"/>
    <w:link w:val="Soustitrechapeau"/>
    <w:rsid w:val="007952D4"/>
    <w:rPr>
      <w:rFonts w:ascii="Marianne Light" w:hAnsi="Marianne Light"/>
      <w:color w:val="6A6AF4" w:themeColor="text2"/>
      <w:sz w:val="26"/>
      <w:szCs w:val="26"/>
    </w:rPr>
  </w:style>
  <w:style w:type="paragraph" w:customStyle="1" w:styleId="Textecourant">
    <w:name w:val="Texte courant"/>
    <w:basedOn w:val="Normal"/>
    <w:link w:val="TextecourantCar"/>
    <w:qFormat/>
    <w:rsid w:val="00B02AE3"/>
    <w:pPr>
      <w:spacing w:after="0" w:line="240" w:lineRule="auto"/>
      <w:ind w:left="-284"/>
      <w:jc w:val="both"/>
    </w:pPr>
    <w:rPr>
      <w:rFonts w:ascii="Segoe UI" w:hAnsi="Segoe UI" w:cs="Segoe UI"/>
      <w:sz w:val="20"/>
      <w:szCs w:val="20"/>
    </w:rPr>
  </w:style>
  <w:style w:type="character" w:customStyle="1" w:styleId="TitrelisteCar">
    <w:name w:val="Titre liste Car"/>
    <w:basedOn w:val="Policepardfaut"/>
    <w:link w:val="Titreliste"/>
    <w:rsid w:val="00DE5AE7"/>
    <w:rPr>
      <w:color w:val="000091" w:themeColor="text1"/>
    </w:rPr>
  </w:style>
  <w:style w:type="character" w:customStyle="1" w:styleId="Titre3Car">
    <w:name w:val="Titre 3 Car"/>
    <w:basedOn w:val="Policepardfaut"/>
    <w:link w:val="Titre3"/>
    <w:uiPriority w:val="9"/>
    <w:rsid w:val="00C26A1B"/>
    <w:rPr>
      <w:rFonts w:asciiTheme="majorHAnsi" w:eastAsiaTheme="majorEastAsia" w:hAnsiTheme="majorHAnsi" w:cstheme="majorBidi"/>
      <w:color w:val="004740" w:themeColor="accent1" w:themeShade="7F"/>
      <w:sz w:val="24"/>
      <w:szCs w:val="24"/>
    </w:rPr>
  </w:style>
  <w:style w:type="character" w:customStyle="1" w:styleId="TextecourantCar">
    <w:name w:val="Texte courant Car"/>
    <w:basedOn w:val="Policepardfaut"/>
    <w:link w:val="Textecourant"/>
    <w:rsid w:val="00B02AE3"/>
    <w:rPr>
      <w:rFonts w:ascii="Segoe UI" w:hAnsi="Segoe UI" w:cs="Segoe UI"/>
      <w:sz w:val="20"/>
      <w:szCs w:val="20"/>
    </w:rPr>
  </w:style>
  <w:style w:type="paragraph" w:customStyle="1" w:styleId="listeTitre">
    <w:name w:val="liste Titre"/>
    <w:basedOn w:val="Titreliste"/>
    <w:link w:val="listeTitreCar"/>
    <w:qFormat/>
    <w:rsid w:val="00985384"/>
    <w:pPr>
      <w:spacing w:after="240"/>
    </w:pPr>
    <w:rPr>
      <w:rFonts w:ascii="Marianne Medium" w:hAnsi="Marianne Medium"/>
      <w:sz w:val="24"/>
    </w:rPr>
  </w:style>
  <w:style w:type="paragraph" w:customStyle="1" w:styleId="accentuation01">
    <w:name w:val="accentuation 01"/>
    <w:basedOn w:val="textecourant0"/>
    <w:link w:val="accentuation01Car"/>
    <w:qFormat/>
    <w:rsid w:val="00457B18"/>
    <w:pPr>
      <w:numPr>
        <w:numId w:val="14"/>
      </w:numPr>
      <w:spacing w:after="80" w:line="240" w:lineRule="auto"/>
      <w:ind w:left="-142" w:hanging="142"/>
      <w:jc w:val="left"/>
    </w:pPr>
    <w:rPr>
      <w:rFonts w:cs="Segoe UI"/>
      <w:color w:val="6A6AF4" w:themeColor="text2"/>
      <w:szCs w:val="20"/>
    </w:rPr>
  </w:style>
  <w:style w:type="character" w:customStyle="1" w:styleId="listeTitreCar">
    <w:name w:val="liste Titre Car"/>
    <w:basedOn w:val="TitrelisteCar"/>
    <w:link w:val="listeTitre"/>
    <w:rsid w:val="00985384"/>
    <w:rPr>
      <w:rFonts w:ascii="Marianne Medium" w:hAnsi="Marianne Medium"/>
      <w:color w:val="000091" w:themeColor="text1"/>
      <w:sz w:val="24"/>
    </w:rPr>
  </w:style>
  <w:style w:type="paragraph" w:customStyle="1" w:styleId="notesdebasdepage">
    <w:name w:val="notes de bas de page"/>
    <w:basedOn w:val="Textecourant"/>
    <w:link w:val="notesdebasdepageCar"/>
    <w:rsid w:val="00F15ADF"/>
    <w:rPr>
      <w:rFonts w:ascii="Marianne" w:hAnsi="Marianne"/>
      <w:color w:val="000091" w:themeColor="text1"/>
      <w:sz w:val="17"/>
      <w:szCs w:val="17"/>
    </w:rPr>
  </w:style>
  <w:style w:type="character" w:customStyle="1" w:styleId="accentuation01Car">
    <w:name w:val="accentuation 01 Car"/>
    <w:basedOn w:val="SoustitrechapeauCar"/>
    <w:link w:val="accentuation01"/>
    <w:rsid w:val="00457B18"/>
    <w:rPr>
      <w:rFonts w:ascii="Segoe UI" w:hAnsi="Segoe UI" w:cs="Segoe UI"/>
      <w:color w:val="6A6AF4" w:themeColor="text2"/>
      <w:sz w:val="20"/>
      <w:szCs w:val="20"/>
    </w:rPr>
  </w:style>
  <w:style w:type="paragraph" w:customStyle="1" w:styleId="Hyperlien">
    <w:name w:val="Hyperlien"/>
    <w:basedOn w:val="Normal"/>
    <w:link w:val="HyperlienCar"/>
    <w:qFormat/>
    <w:rsid w:val="00DA218D"/>
    <w:pPr>
      <w:spacing w:after="0"/>
    </w:pPr>
    <w:rPr>
      <w:rFonts w:ascii="Marianne Light" w:hAnsi="Marianne Light"/>
      <w:color w:val="1212FF"/>
      <w:u w:val="single"/>
    </w:rPr>
  </w:style>
  <w:style w:type="character" w:customStyle="1" w:styleId="miseenavantlienhypertexteCar">
    <w:name w:val="mise en avant lien hypertexte Car"/>
    <w:basedOn w:val="HyperlienCar"/>
    <w:link w:val="miseenavantlienhypertexte"/>
    <w:rsid w:val="00F15ADF"/>
    <w:rPr>
      <w:rFonts w:ascii="Marianne Medium" w:hAnsi="Marianne Medium"/>
      <w:color w:val="1212FF"/>
      <w:u w:val="single"/>
    </w:rPr>
  </w:style>
  <w:style w:type="character" w:customStyle="1" w:styleId="HyperlienCar">
    <w:name w:val="Hyperlien Car"/>
    <w:basedOn w:val="Policepardfaut"/>
    <w:link w:val="Hyperlien"/>
    <w:rsid w:val="00DA218D"/>
    <w:rPr>
      <w:rFonts w:ascii="Marianne Light" w:hAnsi="Marianne Light"/>
      <w:color w:val="1212FF"/>
      <w:u w:val="single"/>
    </w:rPr>
  </w:style>
  <w:style w:type="paragraph" w:styleId="Citation">
    <w:name w:val="Quote"/>
    <w:basedOn w:val="Normal"/>
    <w:next w:val="Normal"/>
    <w:link w:val="CitationCar"/>
    <w:uiPriority w:val="29"/>
    <w:rsid w:val="009A5CB7"/>
    <w:pPr>
      <w:spacing w:before="360" w:after="360"/>
      <w:ind w:left="862" w:right="862"/>
    </w:pPr>
    <w:rPr>
      <w:rFonts w:ascii="Spectral Medium" w:hAnsi="Spectral Medium"/>
      <w:i/>
      <w:iCs/>
      <w:color w:val="6D6DFF" w:themeColor="text1" w:themeTint="66"/>
      <w:sz w:val="28"/>
    </w:rPr>
  </w:style>
  <w:style w:type="character" w:customStyle="1" w:styleId="CitationCar">
    <w:name w:val="Citation Car"/>
    <w:basedOn w:val="Policepardfaut"/>
    <w:link w:val="Citation"/>
    <w:uiPriority w:val="29"/>
    <w:rsid w:val="009A5CB7"/>
    <w:rPr>
      <w:rFonts w:ascii="Spectral Medium" w:hAnsi="Spectral Medium"/>
      <w:i/>
      <w:iCs/>
      <w:color w:val="6D6DFF" w:themeColor="text1" w:themeTint="66"/>
      <w:sz w:val="28"/>
    </w:rPr>
  </w:style>
  <w:style w:type="character" w:customStyle="1" w:styleId="notesdebasdepageCar">
    <w:name w:val="notes de bas de page Car"/>
    <w:basedOn w:val="TextecourantCar"/>
    <w:link w:val="notesdebasdepage"/>
    <w:rsid w:val="00F15ADF"/>
    <w:rPr>
      <w:rFonts w:ascii="Marianne" w:hAnsi="Marianne" w:cs="Segoe UI"/>
      <w:color w:val="000091" w:themeColor="text1"/>
      <w:sz w:val="17"/>
      <w:szCs w:val="17"/>
    </w:rPr>
  </w:style>
  <w:style w:type="paragraph" w:styleId="En-tte">
    <w:name w:val="header"/>
    <w:basedOn w:val="Normal"/>
    <w:link w:val="En-tteCar"/>
    <w:uiPriority w:val="99"/>
    <w:unhideWhenUsed/>
    <w:rsid w:val="00DB4B5B"/>
    <w:pPr>
      <w:tabs>
        <w:tab w:val="center" w:pos="4536"/>
        <w:tab w:val="right" w:pos="9072"/>
      </w:tabs>
      <w:spacing w:after="0" w:line="240" w:lineRule="auto"/>
    </w:pPr>
  </w:style>
  <w:style w:type="character" w:customStyle="1" w:styleId="En-tteCar">
    <w:name w:val="En-tête Car"/>
    <w:basedOn w:val="Policepardfaut"/>
    <w:link w:val="En-tte"/>
    <w:uiPriority w:val="99"/>
    <w:rsid w:val="00DB4B5B"/>
  </w:style>
  <w:style w:type="character" w:customStyle="1" w:styleId="listeCar">
    <w:name w:val="liste Car"/>
    <w:basedOn w:val="Policepardfaut"/>
    <w:link w:val="liste"/>
    <w:locked/>
    <w:rsid w:val="004311AF"/>
    <w:rPr>
      <w:rFonts w:ascii="Marianne Light" w:hAnsi="Marianne Light"/>
    </w:rPr>
  </w:style>
  <w:style w:type="paragraph" w:customStyle="1" w:styleId="liste">
    <w:name w:val="liste"/>
    <w:basedOn w:val="Paragraphedeliste"/>
    <w:link w:val="listeCar"/>
    <w:rsid w:val="004311AF"/>
    <w:pPr>
      <w:numPr>
        <w:numId w:val="11"/>
      </w:numPr>
      <w:spacing w:before="240" w:after="240" w:line="256" w:lineRule="auto"/>
      <w:ind w:left="0" w:firstLine="0"/>
    </w:pPr>
    <w:rPr>
      <w:rFonts w:ascii="Marianne Light" w:hAnsi="Marianne Light"/>
    </w:rPr>
  </w:style>
  <w:style w:type="character" w:customStyle="1" w:styleId="listeN-1Car">
    <w:name w:val="liste N-1 Car"/>
    <w:basedOn w:val="Policepardfaut"/>
    <w:link w:val="listeN-1"/>
    <w:locked/>
    <w:rsid w:val="004311AF"/>
    <w:rPr>
      <w:rFonts w:ascii="Marianne Light" w:hAnsi="Marianne Light"/>
    </w:rPr>
  </w:style>
  <w:style w:type="paragraph" w:customStyle="1" w:styleId="listeN-1">
    <w:name w:val="liste N-1"/>
    <w:basedOn w:val="Paragraphedeliste"/>
    <w:link w:val="listeN-1Car"/>
    <w:autoRedefine/>
    <w:qFormat/>
    <w:rsid w:val="004311AF"/>
    <w:pPr>
      <w:numPr>
        <w:numId w:val="12"/>
      </w:numPr>
      <w:spacing w:before="240" w:after="240" w:line="256" w:lineRule="auto"/>
      <w:ind w:left="567" w:firstLine="0"/>
    </w:pPr>
    <w:rPr>
      <w:rFonts w:ascii="Marianne Light" w:hAnsi="Marianne Light"/>
    </w:rPr>
  </w:style>
  <w:style w:type="paragraph" w:customStyle="1" w:styleId="ListeN-2">
    <w:name w:val="Liste N-2"/>
    <w:basedOn w:val="Paragraphedeliste"/>
    <w:rsid w:val="004311AF"/>
    <w:pPr>
      <w:numPr>
        <w:ilvl w:val="5"/>
        <w:numId w:val="12"/>
      </w:numPr>
      <w:tabs>
        <w:tab w:val="num" w:pos="360"/>
      </w:tabs>
      <w:spacing w:after="0" w:line="256" w:lineRule="auto"/>
      <w:ind w:left="1276" w:hanging="283"/>
    </w:pPr>
    <w:rPr>
      <w:rFonts w:ascii="Marianne Light" w:hAnsi="Marianne Light"/>
      <w:b/>
    </w:rPr>
  </w:style>
  <w:style w:type="paragraph" w:styleId="Paragraphedeliste">
    <w:name w:val="List Paragraph"/>
    <w:aliases w:val="EC,Paragraphe de liste11,Paragraphe de liste1,Colorful List Accent 1,List Paragraph (numbered (a)),List_Paragraph,Multilevel para_II,List Paragraph1,Colorful List - Accent 11,Dot pt,No Spacing1,Indicator Text,L,List Paragraph,Puce"/>
    <w:basedOn w:val="Normal"/>
    <w:link w:val="ParagraphedelisteCar"/>
    <w:uiPriority w:val="34"/>
    <w:qFormat/>
    <w:rsid w:val="004311AF"/>
    <w:pPr>
      <w:ind w:left="720"/>
      <w:contextualSpacing/>
    </w:pPr>
  </w:style>
  <w:style w:type="character" w:customStyle="1" w:styleId="ParagraphedelisteCar">
    <w:name w:val="Paragraphe de liste Car"/>
    <w:aliases w:val="EC Car,Paragraphe de liste11 Car,Paragraphe de liste1 Car,Colorful List Accent 1 Car,List Paragraph (numbered (a)) Car,List_Paragraph Car,Multilevel para_II Car,List Paragraph1 Car,Colorful List - Accent 11 Car,Dot pt Car,L Car"/>
    <w:basedOn w:val="Policepardfaut"/>
    <w:link w:val="Paragraphedeliste"/>
    <w:uiPriority w:val="34"/>
    <w:qFormat/>
    <w:locked/>
    <w:rsid w:val="004311AF"/>
  </w:style>
  <w:style w:type="paragraph" w:customStyle="1" w:styleId="Titrenote">
    <w:name w:val="Titre note"/>
    <w:basedOn w:val="Normal"/>
    <w:link w:val="TitrenoteCar"/>
    <w:rsid w:val="00706D2B"/>
    <w:pPr>
      <w:ind w:right="-1417" w:hanging="709"/>
      <w:jc w:val="center"/>
    </w:pPr>
    <w:rPr>
      <w:rFonts w:ascii="Marianne" w:hAnsi="Marianne" w:cs="Segoe UI"/>
      <w:b/>
      <w:bCs/>
      <w:color w:val="E4A503" w:themeColor="accent2" w:themeShade="BF"/>
      <w:sz w:val="28"/>
      <w:szCs w:val="28"/>
    </w:rPr>
  </w:style>
  <w:style w:type="paragraph" w:customStyle="1" w:styleId="Commentairenote">
    <w:name w:val="Commentaire note"/>
    <w:basedOn w:val="Normal"/>
    <w:rsid w:val="00706D2B"/>
    <w:pPr>
      <w:ind w:right="-708"/>
    </w:pPr>
    <w:rPr>
      <w:rFonts w:ascii="Marianne" w:hAnsi="Marianne" w:cs="Segoe UI"/>
      <w:i/>
      <w:iCs/>
      <w:color w:val="6A6AF4" w:themeColor="text2"/>
    </w:rPr>
  </w:style>
  <w:style w:type="character" w:customStyle="1" w:styleId="TitrenoteCar">
    <w:name w:val="Titre note Car"/>
    <w:basedOn w:val="Policepardfaut"/>
    <w:link w:val="Titrenote"/>
    <w:rsid w:val="00706D2B"/>
    <w:rPr>
      <w:rFonts w:ascii="Marianne" w:hAnsi="Marianne" w:cs="Segoe UI"/>
      <w:b/>
      <w:bCs/>
      <w:color w:val="E4A503" w:themeColor="accent2" w:themeShade="BF"/>
      <w:sz w:val="28"/>
      <w:szCs w:val="28"/>
    </w:rPr>
  </w:style>
  <w:style w:type="character" w:customStyle="1" w:styleId="SansinterligneCar">
    <w:name w:val="Sans interligne Car"/>
    <w:basedOn w:val="Policepardfaut"/>
    <w:link w:val="Sansinterligne"/>
    <w:uiPriority w:val="1"/>
    <w:locked/>
    <w:rsid w:val="007209E2"/>
  </w:style>
  <w:style w:type="paragraph" w:styleId="Notedefin">
    <w:name w:val="endnote text"/>
    <w:basedOn w:val="Normal"/>
    <w:link w:val="NotedefinCar"/>
    <w:uiPriority w:val="99"/>
    <w:unhideWhenUsed/>
    <w:rsid w:val="007209E2"/>
    <w:pPr>
      <w:spacing w:after="0" w:line="240" w:lineRule="auto"/>
    </w:pPr>
    <w:rPr>
      <w:rFonts w:eastAsia="SimSun"/>
      <w:sz w:val="20"/>
      <w:szCs w:val="20"/>
    </w:rPr>
  </w:style>
  <w:style w:type="character" w:customStyle="1" w:styleId="NotedefinCar">
    <w:name w:val="Note de fin Car"/>
    <w:basedOn w:val="Policepardfaut"/>
    <w:link w:val="Notedefin"/>
    <w:uiPriority w:val="99"/>
    <w:rsid w:val="007209E2"/>
    <w:rPr>
      <w:rFonts w:eastAsia="SimSun"/>
      <w:sz w:val="20"/>
      <w:szCs w:val="20"/>
    </w:rPr>
  </w:style>
  <w:style w:type="character" w:styleId="Appeldenotedefin">
    <w:name w:val="endnote reference"/>
    <w:basedOn w:val="Policepardfaut"/>
    <w:uiPriority w:val="99"/>
    <w:semiHidden/>
    <w:unhideWhenUsed/>
    <w:rsid w:val="007209E2"/>
    <w:rPr>
      <w:vertAlign w:val="superscript"/>
    </w:rPr>
  </w:style>
  <w:style w:type="paragraph" w:customStyle="1" w:styleId="Brvesco-Normal">
    <w:name w:val="BrèvesÉco - Normal"/>
    <w:basedOn w:val="Normal"/>
    <w:rsid w:val="007209E2"/>
    <w:pPr>
      <w:spacing w:after="0" w:line="260" w:lineRule="exact"/>
      <w:jc w:val="both"/>
    </w:pPr>
    <w:rPr>
      <w:rFonts w:ascii="Marianne" w:hAnsi="Marianne" w:cs="Times New Roman (Corps CS)"/>
      <w:color w:val="1A171B"/>
      <w:sz w:val="20"/>
      <w:szCs w:val="24"/>
    </w:rPr>
  </w:style>
  <w:style w:type="paragraph" w:customStyle="1" w:styleId="notesbasdepage">
    <w:name w:val="notes bas de page"/>
    <w:basedOn w:val="Notedefin"/>
    <w:link w:val="notesbasdepageCar"/>
    <w:rsid w:val="007209E2"/>
    <w:pPr>
      <w:ind w:left="-567" w:right="142"/>
    </w:pPr>
    <w:rPr>
      <w:rFonts w:ascii="Segoe UI" w:hAnsi="Segoe UI" w:cs="Segoe UI"/>
      <w:sz w:val="18"/>
      <w:szCs w:val="18"/>
    </w:rPr>
  </w:style>
  <w:style w:type="paragraph" w:customStyle="1" w:styleId="textecourant0">
    <w:name w:val="texte courant"/>
    <w:basedOn w:val="Normal"/>
    <w:rsid w:val="00532CE3"/>
    <w:pPr>
      <w:spacing w:after="0" w:line="260" w:lineRule="exact"/>
      <w:jc w:val="both"/>
    </w:pPr>
    <w:rPr>
      <w:rFonts w:ascii="Segoe UI" w:hAnsi="Segoe UI" w:cs="Times New Roman (Corps CS)"/>
      <w:color w:val="1A171B"/>
      <w:sz w:val="20"/>
      <w:szCs w:val="24"/>
    </w:rPr>
  </w:style>
  <w:style w:type="character" w:customStyle="1" w:styleId="notesbasdepageCar">
    <w:name w:val="notes bas de page Car"/>
    <w:basedOn w:val="NotedefinCar"/>
    <w:link w:val="notesbasdepage"/>
    <w:rsid w:val="007209E2"/>
    <w:rPr>
      <w:rFonts w:ascii="Segoe UI" w:eastAsia="SimSun" w:hAnsi="Segoe UI" w:cs="Segoe UI"/>
      <w:sz w:val="18"/>
      <w:szCs w:val="18"/>
    </w:rPr>
  </w:style>
  <w:style w:type="table" w:styleId="Grilledutableau">
    <w:name w:val="Table Grid"/>
    <w:basedOn w:val="TableauNormal"/>
    <w:uiPriority w:val="39"/>
    <w:rsid w:val="009854A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nclusion">
    <w:name w:val="Intro/conclusion"/>
    <w:basedOn w:val="Sansinterligne"/>
    <w:link w:val="IntroconclusionCar"/>
    <w:qFormat/>
    <w:rsid w:val="00B343C4"/>
    <w:pPr>
      <w:spacing w:after="240"/>
      <w:ind w:left="-284"/>
      <w:jc w:val="both"/>
    </w:pPr>
    <w:rPr>
      <w:rFonts w:ascii="Segoe UI" w:hAnsi="Segoe UI" w:cs="Segoe UI"/>
      <w:color w:val="000091" w:themeColor="text1"/>
      <w:sz w:val="20"/>
      <w:szCs w:val="20"/>
      <w:lang w:eastAsia="fr-FR"/>
    </w:rPr>
  </w:style>
  <w:style w:type="character" w:customStyle="1" w:styleId="IntroconclusionCar">
    <w:name w:val="Intro/conclusion Car"/>
    <w:basedOn w:val="SansinterligneCar"/>
    <w:link w:val="Introconclusion"/>
    <w:rsid w:val="00B343C4"/>
    <w:rPr>
      <w:rFonts w:ascii="Segoe UI" w:hAnsi="Segoe UI" w:cs="Segoe UI"/>
      <w:color w:val="000091" w:themeColor="text1"/>
      <w:sz w:val="20"/>
      <w:szCs w:val="20"/>
      <w:lang w:eastAsia="fr-FR"/>
    </w:rPr>
  </w:style>
  <w:style w:type="table" w:styleId="Tableausimple1">
    <w:name w:val="Plain Table 1"/>
    <w:basedOn w:val="TableauNormal"/>
    <w:uiPriority w:val="41"/>
    <w:rsid w:val="007F67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821535">
      <w:bodyDiv w:val="1"/>
      <w:marLeft w:val="0"/>
      <w:marRight w:val="0"/>
      <w:marTop w:val="0"/>
      <w:marBottom w:val="0"/>
      <w:divBdr>
        <w:top w:val="none" w:sz="0" w:space="0" w:color="auto"/>
        <w:left w:val="none" w:sz="0" w:space="0" w:color="auto"/>
        <w:bottom w:val="none" w:sz="0" w:space="0" w:color="auto"/>
        <w:right w:val="none" w:sz="0" w:space="0" w:color="auto"/>
      </w:divBdr>
    </w:div>
    <w:div w:id="323974301">
      <w:bodyDiv w:val="1"/>
      <w:marLeft w:val="0"/>
      <w:marRight w:val="0"/>
      <w:marTop w:val="0"/>
      <w:marBottom w:val="0"/>
      <w:divBdr>
        <w:top w:val="none" w:sz="0" w:space="0" w:color="auto"/>
        <w:left w:val="none" w:sz="0" w:space="0" w:color="auto"/>
        <w:bottom w:val="none" w:sz="0" w:space="0" w:color="auto"/>
        <w:right w:val="none" w:sz="0" w:space="0" w:color="auto"/>
      </w:divBdr>
    </w:div>
    <w:div w:id="428158041">
      <w:bodyDiv w:val="1"/>
      <w:marLeft w:val="0"/>
      <w:marRight w:val="0"/>
      <w:marTop w:val="0"/>
      <w:marBottom w:val="0"/>
      <w:divBdr>
        <w:top w:val="none" w:sz="0" w:space="0" w:color="auto"/>
        <w:left w:val="none" w:sz="0" w:space="0" w:color="auto"/>
        <w:bottom w:val="none" w:sz="0" w:space="0" w:color="auto"/>
        <w:right w:val="none" w:sz="0" w:space="0" w:color="auto"/>
      </w:divBdr>
    </w:div>
    <w:div w:id="582568406">
      <w:bodyDiv w:val="1"/>
      <w:marLeft w:val="0"/>
      <w:marRight w:val="0"/>
      <w:marTop w:val="0"/>
      <w:marBottom w:val="0"/>
      <w:divBdr>
        <w:top w:val="none" w:sz="0" w:space="0" w:color="auto"/>
        <w:left w:val="none" w:sz="0" w:space="0" w:color="auto"/>
        <w:bottom w:val="none" w:sz="0" w:space="0" w:color="auto"/>
        <w:right w:val="none" w:sz="0" w:space="0" w:color="auto"/>
      </w:divBdr>
    </w:div>
    <w:div w:id="713195474">
      <w:bodyDiv w:val="1"/>
      <w:marLeft w:val="0"/>
      <w:marRight w:val="0"/>
      <w:marTop w:val="0"/>
      <w:marBottom w:val="0"/>
      <w:divBdr>
        <w:top w:val="none" w:sz="0" w:space="0" w:color="auto"/>
        <w:left w:val="none" w:sz="0" w:space="0" w:color="auto"/>
        <w:bottom w:val="none" w:sz="0" w:space="0" w:color="auto"/>
        <w:right w:val="none" w:sz="0" w:space="0" w:color="auto"/>
      </w:divBdr>
    </w:div>
    <w:div w:id="751321869">
      <w:bodyDiv w:val="1"/>
      <w:marLeft w:val="0"/>
      <w:marRight w:val="0"/>
      <w:marTop w:val="0"/>
      <w:marBottom w:val="0"/>
      <w:divBdr>
        <w:top w:val="none" w:sz="0" w:space="0" w:color="auto"/>
        <w:left w:val="none" w:sz="0" w:space="0" w:color="auto"/>
        <w:bottom w:val="none" w:sz="0" w:space="0" w:color="auto"/>
        <w:right w:val="none" w:sz="0" w:space="0" w:color="auto"/>
      </w:divBdr>
    </w:div>
    <w:div w:id="955065714">
      <w:bodyDiv w:val="1"/>
      <w:marLeft w:val="0"/>
      <w:marRight w:val="0"/>
      <w:marTop w:val="0"/>
      <w:marBottom w:val="0"/>
      <w:divBdr>
        <w:top w:val="none" w:sz="0" w:space="0" w:color="auto"/>
        <w:left w:val="none" w:sz="0" w:space="0" w:color="auto"/>
        <w:bottom w:val="none" w:sz="0" w:space="0" w:color="auto"/>
        <w:right w:val="none" w:sz="0" w:space="0" w:color="auto"/>
      </w:divBdr>
    </w:div>
    <w:div w:id="198574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P-NAS-PRY\PRY\Travail\1-SE\1.%20Finances\Namibie\Notes%202025\20252204%20-%20Commerce%20bilat&#233;ral%20Namibie\Annexes.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fr-FR" sz="1100">
                <a:solidFill>
                  <a:schemeClr val="tx1"/>
                </a:solidFill>
              </a:rPr>
              <a:t>Commerce bilatéral</a:t>
            </a:r>
            <a:r>
              <a:rPr lang="fr-FR" sz="1100" baseline="0">
                <a:solidFill>
                  <a:schemeClr val="tx1"/>
                </a:solidFill>
              </a:rPr>
              <a:t> entre la France et l'Afrique du Sud (en MEUR)</a:t>
            </a:r>
            <a:endParaRPr lang="fr-FR" sz="1100">
              <a:solidFill>
                <a:schemeClr val="tx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fr-FR"/>
        </a:p>
      </c:txPr>
    </c:title>
    <c:autoTitleDeleted val="0"/>
    <c:plotArea>
      <c:layout/>
      <c:barChart>
        <c:barDir val="col"/>
        <c:grouping val="clustered"/>
        <c:varyColors val="0"/>
        <c:ser>
          <c:idx val="0"/>
          <c:order val="0"/>
          <c:tx>
            <c:strRef>
              <c:f>'A129'!$A$14</c:f>
              <c:strCache>
                <c:ptCount val="1"/>
                <c:pt idx="0">
                  <c:v>Exportations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'A129'!$B$13:$J$13</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'A129'!$B$14:$J$14</c:f>
              <c:numCache>
                <c:formatCode>General</c:formatCode>
                <c:ptCount val="9"/>
                <c:pt idx="0">
                  <c:v>8711</c:v>
                </c:pt>
                <c:pt idx="1">
                  <c:v>11830</c:v>
                </c:pt>
                <c:pt idx="2">
                  <c:v>7385</c:v>
                </c:pt>
                <c:pt idx="3">
                  <c:v>9052</c:v>
                </c:pt>
                <c:pt idx="4">
                  <c:v>14435</c:v>
                </c:pt>
                <c:pt idx="5">
                  <c:v>19939</c:v>
                </c:pt>
                <c:pt idx="6">
                  <c:v>20527</c:v>
                </c:pt>
                <c:pt idx="7">
                  <c:v>32436</c:v>
                </c:pt>
                <c:pt idx="8">
                  <c:v>37028</c:v>
                </c:pt>
              </c:numCache>
            </c:numRef>
          </c:val>
          <c:extLst>
            <c:ext xmlns:c16="http://schemas.microsoft.com/office/drawing/2014/chart" uri="{C3380CC4-5D6E-409C-BE32-E72D297353CC}">
              <c16:uniqueId val="{00000000-ECE1-476D-8096-0293E5E084B4}"/>
            </c:ext>
          </c:extLst>
        </c:ser>
        <c:ser>
          <c:idx val="1"/>
          <c:order val="1"/>
          <c:tx>
            <c:strRef>
              <c:f>'A129'!$A$15</c:f>
              <c:strCache>
                <c:ptCount val="1"/>
                <c:pt idx="0">
                  <c:v>Importations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'A129'!$B$13:$J$13</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'A129'!$B$15:$J$15</c:f>
              <c:numCache>
                <c:formatCode>General</c:formatCode>
                <c:ptCount val="9"/>
                <c:pt idx="0">
                  <c:v>131478</c:v>
                </c:pt>
                <c:pt idx="1">
                  <c:v>105162</c:v>
                </c:pt>
                <c:pt idx="2">
                  <c:v>48916</c:v>
                </c:pt>
                <c:pt idx="3">
                  <c:v>52052</c:v>
                </c:pt>
                <c:pt idx="4">
                  <c:v>64476</c:v>
                </c:pt>
                <c:pt idx="5">
                  <c:v>102261</c:v>
                </c:pt>
                <c:pt idx="6">
                  <c:v>165091</c:v>
                </c:pt>
                <c:pt idx="7">
                  <c:v>250945</c:v>
                </c:pt>
                <c:pt idx="8">
                  <c:v>189477</c:v>
                </c:pt>
              </c:numCache>
            </c:numRef>
          </c:val>
          <c:extLst>
            <c:ext xmlns:c16="http://schemas.microsoft.com/office/drawing/2014/chart" uri="{C3380CC4-5D6E-409C-BE32-E72D297353CC}">
              <c16:uniqueId val="{00000001-ECE1-476D-8096-0293E5E084B4}"/>
            </c:ext>
          </c:extLst>
        </c:ser>
        <c:dLbls>
          <c:showLegendKey val="0"/>
          <c:showVal val="0"/>
          <c:showCatName val="0"/>
          <c:showSerName val="0"/>
          <c:showPercent val="0"/>
          <c:showBubbleSize val="0"/>
        </c:dLbls>
        <c:gapWidth val="150"/>
        <c:axId val="807180991"/>
        <c:axId val="807184735"/>
      </c:barChart>
      <c:lineChart>
        <c:grouping val="standard"/>
        <c:varyColors val="0"/>
        <c:ser>
          <c:idx val="2"/>
          <c:order val="2"/>
          <c:tx>
            <c:strRef>
              <c:f>'A129'!$A$16</c:f>
              <c:strCache>
                <c:ptCount val="1"/>
                <c:pt idx="0">
                  <c:v>Solde</c:v>
                </c:pt>
              </c:strCache>
            </c:strRef>
          </c:tx>
          <c:spPr>
            <a:ln w="28575" cap="rnd">
              <a:solidFill>
                <a:schemeClr val="accent3"/>
              </a:solidFill>
              <a:round/>
            </a:ln>
            <a:effectLst/>
          </c:spPr>
          <c:marker>
            <c:symbol val="none"/>
          </c:marker>
          <c:cat>
            <c:numRef>
              <c:f>'A129'!$B$13:$J$13</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'A129'!$B$16:$J$16</c:f>
              <c:numCache>
                <c:formatCode>General</c:formatCode>
                <c:ptCount val="9"/>
                <c:pt idx="0">
                  <c:v>-122767</c:v>
                </c:pt>
                <c:pt idx="1">
                  <c:v>-93334</c:v>
                </c:pt>
                <c:pt idx="2">
                  <c:v>-41532</c:v>
                </c:pt>
                <c:pt idx="3">
                  <c:v>-43005</c:v>
                </c:pt>
                <c:pt idx="4">
                  <c:v>-50043</c:v>
                </c:pt>
                <c:pt idx="5">
                  <c:v>-82322</c:v>
                </c:pt>
                <c:pt idx="6">
                  <c:v>-144562</c:v>
                </c:pt>
                <c:pt idx="7">
                  <c:v>-218511</c:v>
                </c:pt>
                <c:pt idx="8">
                  <c:v>-152446</c:v>
                </c:pt>
              </c:numCache>
            </c:numRef>
          </c:val>
          <c:smooth val="0"/>
          <c:extLst>
            <c:ext xmlns:c16="http://schemas.microsoft.com/office/drawing/2014/chart" uri="{C3380CC4-5D6E-409C-BE32-E72D297353CC}">
              <c16:uniqueId val="{00000002-ECE1-476D-8096-0293E5E084B4}"/>
            </c:ext>
          </c:extLst>
        </c:ser>
        <c:dLbls>
          <c:showLegendKey val="0"/>
          <c:showVal val="0"/>
          <c:showCatName val="0"/>
          <c:showSerName val="0"/>
          <c:showPercent val="0"/>
          <c:showBubbleSize val="0"/>
        </c:dLbls>
        <c:marker val="1"/>
        <c:smooth val="0"/>
        <c:axId val="807180991"/>
        <c:axId val="807184735"/>
      </c:lineChart>
      <c:catAx>
        <c:axId val="8071809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fr-FR"/>
          </a:p>
        </c:txPr>
        <c:crossAx val="807184735"/>
        <c:crosses val="autoZero"/>
        <c:auto val="1"/>
        <c:lblAlgn val="ctr"/>
        <c:lblOffset val="100"/>
        <c:noMultiLvlLbl val="0"/>
      </c:catAx>
      <c:valAx>
        <c:axId val="807184735"/>
        <c:scaling>
          <c:orientation val="minMax"/>
        </c:scaling>
        <c:delete val="1"/>
        <c:axPos val="l"/>
        <c:majorGridlines>
          <c:spPr>
            <a:ln w="9525" cap="flat" cmpd="sng" algn="ctr">
              <a:noFill/>
              <a:round/>
            </a:ln>
            <a:effectLst/>
          </c:spPr>
        </c:majorGridlines>
        <c:numFmt formatCode="General" sourceLinked="1"/>
        <c:majorTickMark val="none"/>
        <c:minorTickMark val="none"/>
        <c:tickLblPos val="nextTo"/>
        <c:crossAx val="807180991"/>
        <c:crosses val="autoZero"/>
        <c:crossBetween val="between"/>
        <c:dispUnits>
          <c:builtInUnit val="thousands"/>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0.71528</cdr:x>
      <cdr:y>0.92738</cdr:y>
    </cdr:from>
    <cdr:to>
      <cdr:x>1</cdr:x>
      <cdr:y>1</cdr:y>
    </cdr:to>
    <cdr:sp macro="" textlink="">
      <cdr:nvSpPr>
        <cdr:cNvPr id="2" name="ZoneTexte 1">
          <a:extLst xmlns:a="http://schemas.openxmlformats.org/drawingml/2006/main">
            <a:ext uri="{FF2B5EF4-FFF2-40B4-BE49-F238E27FC236}">
              <a16:creationId xmlns:a16="http://schemas.microsoft.com/office/drawing/2014/main" id="{CCA292E2-46F4-44EC-B92A-0B22EE462907}"/>
            </a:ext>
          </a:extLst>
        </cdr:cNvPr>
        <cdr:cNvSpPr txBox="1"/>
      </cdr:nvSpPr>
      <cdr:spPr>
        <a:xfrm xmlns:a="http://schemas.openxmlformats.org/drawingml/2006/main">
          <a:off x="4476191" y="2862263"/>
          <a:ext cx="1781734" cy="22411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800" i="1">
              <a:solidFill>
                <a:schemeClr val="tx1"/>
              </a:solidFill>
            </a:rPr>
            <a:t>Source : Douanes</a:t>
          </a:r>
          <a:r>
            <a:rPr lang="fr-FR" sz="800" i="1" baseline="0">
              <a:solidFill>
                <a:schemeClr val="tx1"/>
              </a:solidFill>
            </a:rPr>
            <a:t> françaises, 2025</a:t>
          </a:r>
          <a:endParaRPr lang="fr-FR" sz="800" i="1">
            <a:solidFill>
              <a:schemeClr val="tx1"/>
            </a:solidFill>
          </a:endParaRPr>
        </a:p>
      </cdr:txBody>
    </cdr:sp>
  </cdr:relSizeAnchor>
</c:userShapes>
</file>

<file path=word/theme/theme1.xml><?xml version="1.0" encoding="utf-8"?>
<a:theme xmlns:a="http://schemas.openxmlformats.org/drawingml/2006/main" name="Thème Office">
  <a:themeElements>
    <a:clrScheme name="Couleurs charte Etat">
      <a:dk1>
        <a:srgbClr val="000091"/>
      </a:dk1>
      <a:lt1>
        <a:sysClr val="window" lastClr="FFFFFF"/>
      </a:lt1>
      <a:dk2>
        <a:srgbClr val="6A6AF4"/>
      </a:dk2>
      <a:lt2>
        <a:srgbClr val="FFFFFF"/>
      </a:lt2>
      <a:accent1>
        <a:srgbClr val="009081"/>
      </a:accent1>
      <a:accent2>
        <a:srgbClr val="FCC63A"/>
      </a:accent2>
      <a:accent3>
        <a:srgbClr val="E4794A"/>
      </a:accent3>
      <a:accent4>
        <a:srgbClr val="37635F"/>
      </a:accent4>
      <a:accent5>
        <a:srgbClr val="73E0CF"/>
      </a:accent5>
      <a:accent6>
        <a:srgbClr val="FCC0B0"/>
      </a:accent6>
      <a:hlink>
        <a:srgbClr val="0078F3"/>
      </a:hlink>
      <a:folHlink>
        <a:srgbClr val="A558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39AB8653D8A34FAC99AC61D6685BD2" ma:contentTypeVersion="5" ma:contentTypeDescription="Crée un document." ma:contentTypeScope="" ma:versionID="58c0432a552b7b59bf5f13e9dcdb9239">
  <xsd:schema xmlns:xsd="http://www.w3.org/2001/XMLSchema" xmlns:xs="http://www.w3.org/2001/XMLSchema" xmlns:p="http://schemas.microsoft.com/office/2006/metadata/properties" xmlns:ns1="http://schemas.microsoft.com/sharepoint/v3" xmlns:ns2="57f014fb-e63d-429b-bf40-440cdd2ade6e" targetNamespace="http://schemas.microsoft.com/office/2006/metadata/properties" ma:root="true" ma:fieldsID="9edc6e895e479aa75efce00932c1c730" ns1:_="" ns2:_="">
    <xsd:import namespace="http://schemas.microsoft.com/sharepoint/v3"/>
    <xsd:import namespace="57f014fb-e63d-429b-bf40-440cdd2ade6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014fb-e63d-429b-bf40-440cdd2ade6e" elementFormDefault="qualified">
    <xsd:import namespace="http://schemas.microsoft.com/office/2006/documentManagement/types"/>
    <xsd:import namespace="http://schemas.microsoft.com/office/infopath/2007/PartnerControls"/>
    <xsd:element name="SharedWithUsers" ma:index="10"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57EFF4-20B2-4361-9893-41403B12B685}">
  <ds:schemaRefs>
    <ds:schemaRef ds:uri="http://schemas.openxmlformats.org/officeDocument/2006/bibliography"/>
  </ds:schemaRefs>
</ds:datastoreItem>
</file>

<file path=customXml/itemProps2.xml><?xml version="1.0" encoding="utf-8"?>
<ds:datastoreItem xmlns:ds="http://schemas.openxmlformats.org/officeDocument/2006/customXml" ds:itemID="{8C95412B-BB50-4FB4-924E-7EDF645D2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014fb-e63d-429b-bf40-440cdd2a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E290ED-311A-4B61-A24D-7BFB10623FD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591F387-A7B2-412E-9121-881A52675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1510</Words>
  <Characters>8311</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Assouad</dc:creator>
  <cp:keywords>template</cp:keywords>
  <dc:description/>
  <cp:lastModifiedBy>JOLLY Claire</cp:lastModifiedBy>
  <cp:revision>4</cp:revision>
  <dcterms:created xsi:type="dcterms:W3CDTF">2025-07-03T08:48:00Z</dcterms:created>
  <dcterms:modified xsi:type="dcterms:W3CDTF">2025-07-03T15:09:00Z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0x0101008439AB8653D8A34FAC99AC61D6685BD2</vt:lpwstr>
  </property>
</Properties>
</file>