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B4C" w:rsidRPr="00232B4C" w:rsidRDefault="00574561" w:rsidP="00232B4C">
      <w:pPr>
        <w:pStyle w:val="Titre"/>
        <w:rPr>
          <w:sz w:val="44"/>
          <w:szCs w:val="44"/>
        </w:rPr>
      </w:pPr>
      <w:r>
        <w:rPr>
          <w:sz w:val="44"/>
          <w:szCs w:val="44"/>
        </w:rPr>
        <w:t xml:space="preserve">Situation économique et financière du Royaume de Bahreïn – </w:t>
      </w:r>
      <w:r w:rsidR="004C1567">
        <w:rPr>
          <w:sz w:val="44"/>
          <w:szCs w:val="44"/>
        </w:rPr>
        <w:t>mai 2018</w:t>
      </w:r>
      <w:bookmarkStart w:id="0" w:name="_GoBack"/>
      <w:bookmarkEnd w:id="0"/>
    </w:p>
    <w:p w:rsidR="000C75A5" w:rsidRDefault="00BB65E4" w:rsidP="00751EF9">
      <w:pPr>
        <w:pStyle w:val="Titre4"/>
        <w:pBdr>
          <w:bottom w:val="single" w:sz="8" w:space="0" w:color="122255"/>
        </w:pBdr>
        <w:spacing w:after="0"/>
        <w:rPr>
          <w:b/>
          <w:color w:val="122255"/>
          <w:szCs w:val="20"/>
        </w:rPr>
      </w:pPr>
      <w:bookmarkStart w:id="1" w:name="anActuHead"/>
      <w:bookmarkEnd w:id="1"/>
      <w:r w:rsidRPr="00864336">
        <w:rPr>
          <w:b/>
          <w:color w:val="122255"/>
          <w:sz w:val="32"/>
          <w:szCs w:val="32"/>
        </w:rPr>
        <w:t>Résumé</w:t>
      </w:r>
    </w:p>
    <w:p w:rsidR="00EE2C19" w:rsidRPr="00EE2C19" w:rsidRDefault="00574561" w:rsidP="00751EF9">
      <w:pPr>
        <w:pStyle w:val="Titre4"/>
        <w:pBdr>
          <w:bottom w:val="single" w:sz="8" w:space="0" w:color="122255"/>
        </w:pBdr>
        <w:spacing w:after="0"/>
        <w:rPr>
          <w:rFonts w:cs="Arial"/>
          <w:bCs w:val="0"/>
          <w:iCs w:val="0"/>
          <w:szCs w:val="20"/>
        </w:rPr>
      </w:pPr>
      <w:r w:rsidRPr="00574561">
        <w:rPr>
          <w:rFonts w:cs="Arial"/>
        </w:rPr>
        <w:t>Malgré une croissance soutenue, l’économie d</w:t>
      </w:r>
      <w:r w:rsidR="00F02A8F">
        <w:rPr>
          <w:rFonts w:cs="Arial"/>
        </w:rPr>
        <w:t>e</w:t>
      </w:r>
      <w:r w:rsidRPr="00574561">
        <w:rPr>
          <w:rFonts w:cs="Arial"/>
        </w:rPr>
        <w:t xml:space="preserve"> Bahreïn est confrontée à des déficits jumeaux significatifs depuis 2015, qu’elle ne semble pas être en mesure de résorber rapidement. Si les levées de fonds, à rendements élevés, sur les marchés financiers assurent les besoins de financement du pays, </w:t>
      </w:r>
      <w:r w:rsidR="00753F50">
        <w:rPr>
          <w:rFonts w:cs="Arial"/>
        </w:rPr>
        <w:t>c’est au prix d’un rythme de progression soutenu de la dette</w:t>
      </w:r>
      <w:r w:rsidRPr="00574561">
        <w:rPr>
          <w:rFonts w:cs="Arial"/>
        </w:rPr>
        <w:t xml:space="preserve">. </w:t>
      </w:r>
    </w:p>
    <w:p w:rsidR="00EE2C19" w:rsidRPr="003C1EF5" w:rsidRDefault="00574561" w:rsidP="003C1EF5">
      <w:pPr>
        <w:pStyle w:val="Titre1"/>
        <w:tabs>
          <w:tab w:val="left" w:pos="2146"/>
        </w:tabs>
        <w:jc w:val="both"/>
        <w:rPr>
          <w:sz w:val="22"/>
          <w:szCs w:val="22"/>
        </w:rPr>
      </w:pPr>
      <w:r>
        <w:rPr>
          <w:bCs w:val="0"/>
          <w:sz w:val="22"/>
          <w:szCs w:val="22"/>
        </w:rPr>
        <w:t>L’</w:t>
      </w:r>
      <w:r w:rsidR="00F02A8F">
        <w:rPr>
          <w:bCs w:val="0"/>
          <w:sz w:val="22"/>
          <w:szCs w:val="22"/>
        </w:rPr>
        <w:t>économie de</w:t>
      </w:r>
      <w:r>
        <w:rPr>
          <w:bCs w:val="0"/>
          <w:sz w:val="22"/>
          <w:szCs w:val="22"/>
        </w:rPr>
        <w:t xml:space="preserve"> Bahreïn présente un profil diversifié, </w:t>
      </w:r>
      <w:r w:rsidR="003C1EF5">
        <w:rPr>
          <w:bCs w:val="0"/>
          <w:sz w:val="22"/>
          <w:szCs w:val="22"/>
        </w:rPr>
        <w:t>disposant notamment d’un secteur financier développé et de plusieurs complexes industriels</w:t>
      </w:r>
    </w:p>
    <w:p w:rsidR="00EE2C19" w:rsidRPr="00EE2C19" w:rsidRDefault="00EE2C19" w:rsidP="00EE2C19">
      <w:pPr>
        <w:overflowPunct w:val="0"/>
        <w:autoSpaceDE w:val="0"/>
        <w:autoSpaceDN w:val="0"/>
        <w:adjustRightInd w:val="0"/>
        <w:spacing w:after="0" w:line="240" w:lineRule="auto"/>
        <w:jc w:val="both"/>
        <w:textAlignment w:val="baseline"/>
        <w:rPr>
          <w:rFonts w:eastAsia="Times New Roman" w:cs="Arial"/>
          <w:szCs w:val="20"/>
          <w:lang w:eastAsia="fr-FR"/>
        </w:rPr>
      </w:pPr>
    </w:p>
    <w:p w:rsidR="003C1EF5" w:rsidRPr="003C1EF5" w:rsidRDefault="003C1EF5" w:rsidP="003C1EF5">
      <w:pPr>
        <w:spacing w:after="0" w:line="240" w:lineRule="auto"/>
        <w:jc w:val="both"/>
        <w:rPr>
          <w:rFonts w:cs="Arial"/>
        </w:rPr>
      </w:pPr>
      <w:r w:rsidRPr="003C1EF5">
        <w:rPr>
          <w:rFonts w:cs="Arial"/>
          <w:b/>
        </w:rPr>
        <w:t>L’économie bahreïnienne est l’une des plus diversifiées de la région</w:t>
      </w:r>
      <w:r w:rsidRPr="003C1EF5">
        <w:rPr>
          <w:rFonts w:cs="Arial"/>
        </w:rPr>
        <w:t>, le développement de son industrie et des services financiers étant au cœur de ses priorités économiques depuis les années 1970.</w:t>
      </w:r>
    </w:p>
    <w:p w:rsidR="003C1EF5" w:rsidRDefault="003C1EF5" w:rsidP="003C1EF5">
      <w:pPr>
        <w:spacing w:after="0" w:line="240" w:lineRule="auto"/>
        <w:jc w:val="both"/>
        <w:rPr>
          <w:rFonts w:cs="Arial"/>
        </w:rPr>
      </w:pPr>
    </w:p>
    <w:p w:rsidR="00B514D7" w:rsidRPr="00B514D7" w:rsidRDefault="00B514D7" w:rsidP="00B514D7">
      <w:pPr>
        <w:spacing w:after="0" w:line="240" w:lineRule="auto"/>
        <w:jc w:val="both"/>
        <w:rPr>
          <w:rFonts w:cs="Arial"/>
        </w:rPr>
      </w:pPr>
      <w:r w:rsidRPr="00B514D7">
        <w:rPr>
          <w:rFonts w:cs="Arial"/>
        </w:rPr>
        <w:t>Les hydrocarbures demeurent néanmoins le premier secteur de l’économie avec une part de 18,3 % du PIB en 2017, la plus basse parmi les économies de la Péninsule arabique, mais</w:t>
      </w:r>
      <w:r w:rsidR="00701BDB">
        <w:rPr>
          <w:rFonts w:cs="Arial"/>
        </w:rPr>
        <w:t xml:space="preserve"> ayant</w:t>
      </w:r>
      <w:r w:rsidRPr="00B514D7">
        <w:rPr>
          <w:rFonts w:cs="Arial"/>
        </w:rPr>
        <w:t xml:space="preserve"> </w:t>
      </w:r>
      <w:r w:rsidRPr="00B514D7">
        <w:rPr>
          <w:rFonts w:cs="Arial"/>
          <w:b/>
        </w:rPr>
        <w:t>un poids encore très élevé dans les recettes budgétaires</w:t>
      </w:r>
      <w:r w:rsidRPr="00B514D7">
        <w:rPr>
          <w:rFonts w:cs="Arial"/>
        </w:rPr>
        <w:t xml:space="preserve"> (78 % en 2017) et dans les exportations (55 % en 2017)</w:t>
      </w:r>
      <w:r>
        <w:rPr>
          <w:rFonts w:cs="Arial"/>
        </w:rPr>
        <w:t xml:space="preserve">. La production pétrolière </w:t>
      </w:r>
      <w:r w:rsidRPr="00B514D7">
        <w:rPr>
          <w:rFonts w:cs="Arial"/>
        </w:rPr>
        <w:t>s’élève</w:t>
      </w:r>
      <w:r>
        <w:rPr>
          <w:rFonts w:cs="Arial"/>
        </w:rPr>
        <w:t xml:space="preserve"> à environ 200 000 barils/jour, et celle de gaz naturel à </w:t>
      </w:r>
      <w:r w:rsidRPr="00B514D7">
        <w:rPr>
          <w:rFonts w:cs="Arial"/>
        </w:rPr>
        <w:t>21 Mds m3</w:t>
      </w:r>
      <w:r>
        <w:rPr>
          <w:rFonts w:cs="Arial"/>
        </w:rPr>
        <w:t xml:space="preserve"> / an</w:t>
      </w:r>
      <w:r w:rsidRPr="00B514D7">
        <w:rPr>
          <w:rFonts w:cs="Arial"/>
        </w:rPr>
        <w:t xml:space="preserve">. </w:t>
      </w:r>
      <w:r w:rsidRPr="00B514D7">
        <w:rPr>
          <w:rFonts w:cs="Arial"/>
          <w:b/>
        </w:rPr>
        <w:t>Le 1</w:t>
      </w:r>
      <w:r w:rsidRPr="00B514D7">
        <w:rPr>
          <w:rFonts w:cs="Arial"/>
          <w:b/>
          <w:vertAlign w:val="superscript"/>
        </w:rPr>
        <w:t>er</w:t>
      </w:r>
      <w:r w:rsidRPr="00B514D7">
        <w:rPr>
          <w:rFonts w:cs="Arial"/>
          <w:b/>
        </w:rPr>
        <w:t xml:space="preserve"> avril, les autorités ont annoncé la découverte d’un nouveau gisement de pétrole de roche mère (Khaleej Al Bahrain Basin)</w:t>
      </w:r>
      <w:r w:rsidRPr="00B514D7">
        <w:rPr>
          <w:rFonts w:cs="Arial"/>
        </w:rPr>
        <w:t>. Si les réserves estimées avoisinent les 80 Mds de barils, le taux de récupération est situé autour de</w:t>
      </w:r>
      <w:r w:rsidR="00D7173A">
        <w:rPr>
          <w:rFonts w:cs="Arial"/>
        </w:rPr>
        <w:t xml:space="preserve"> 10%, et le coût d’extraction </w:t>
      </w:r>
      <w:r w:rsidRPr="00B514D7">
        <w:rPr>
          <w:rFonts w:cs="Arial"/>
        </w:rPr>
        <w:t xml:space="preserve">supérieur au </w:t>
      </w:r>
      <w:r w:rsidR="00D7173A">
        <w:rPr>
          <w:rFonts w:cs="Arial"/>
        </w:rPr>
        <w:t>non-conventionnel</w:t>
      </w:r>
      <w:r w:rsidRPr="00B514D7">
        <w:rPr>
          <w:rFonts w:cs="Arial"/>
        </w:rPr>
        <w:t xml:space="preserve"> </w:t>
      </w:r>
      <w:r w:rsidRPr="00B514D7">
        <w:rPr>
          <w:rFonts w:cs="Arial"/>
          <w:i/>
        </w:rPr>
        <w:t>onshore</w:t>
      </w:r>
      <w:r w:rsidR="00D7173A">
        <w:rPr>
          <w:rFonts w:cs="Arial"/>
        </w:rPr>
        <w:t xml:space="preserve"> américain (40-</w:t>
      </w:r>
      <w:r w:rsidRPr="00B514D7">
        <w:rPr>
          <w:rFonts w:cs="Arial"/>
        </w:rPr>
        <w:t>4</w:t>
      </w:r>
      <w:r w:rsidR="00D7173A">
        <w:rPr>
          <w:rFonts w:cs="Arial"/>
        </w:rPr>
        <w:t>5 $ le baril)</w:t>
      </w:r>
      <w:r w:rsidRPr="00B514D7">
        <w:rPr>
          <w:rFonts w:cs="Arial"/>
        </w:rPr>
        <w:t xml:space="preserve">.  </w:t>
      </w:r>
    </w:p>
    <w:p w:rsidR="00B514D7" w:rsidRPr="00B514D7" w:rsidRDefault="00B514D7" w:rsidP="00B514D7">
      <w:pPr>
        <w:spacing w:after="0" w:line="240" w:lineRule="auto"/>
        <w:jc w:val="both"/>
        <w:rPr>
          <w:rFonts w:cs="Arial"/>
        </w:rPr>
      </w:pPr>
    </w:p>
    <w:p w:rsidR="00B514D7" w:rsidRPr="00B514D7" w:rsidRDefault="00B514D7" w:rsidP="00B514D7">
      <w:pPr>
        <w:spacing w:after="0" w:line="240" w:lineRule="auto"/>
        <w:jc w:val="both"/>
        <w:rPr>
          <w:rFonts w:cs="Arial"/>
        </w:rPr>
      </w:pPr>
      <w:r w:rsidRPr="00B514D7">
        <w:rPr>
          <w:rFonts w:cs="Arial"/>
        </w:rPr>
        <w:t>Les services financiers constituent le deuxième secteur de l’économie avec une part de 17 % du PIB en 2017. Le secteur bancaire est particulièrement développé (plus d’une centaine de banques) et se démarque comme un</w:t>
      </w:r>
      <w:r>
        <w:rPr>
          <w:rFonts w:cs="Arial"/>
        </w:rPr>
        <w:t xml:space="preserve"> centre de la finance islamique.</w:t>
      </w:r>
      <w:r w:rsidRPr="00B514D7">
        <w:rPr>
          <w:rFonts w:cs="Arial"/>
        </w:rPr>
        <w:t xml:space="preserve"> La Bourse de Bahreïn, qui a commencé à opérer en 1987, affichait une capitalisation de 21 Mds $ en 2017. </w:t>
      </w:r>
    </w:p>
    <w:p w:rsidR="00B514D7" w:rsidRPr="00B514D7" w:rsidRDefault="00B514D7" w:rsidP="00B514D7">
      <w:pPr>
        <w:spacing w:after="0" w:line="240" w:lineRule="auto"/>
        <w:jc w:val="both"/>
        <w:rPr>
          <w:rFonts w:cs="Arial"/>
        </w:rPr>
      </w:pPr>
    </w:p>
    <w:p w:rsidR="00B514D7" w:rsidRPr="00B514D7" w:rsidRDefault="00B514D7" w:rsidP="00B514D7">
      <w:pPr>
        <w:spacing w:after="0" w:line="240" w:lineRule="auto"/>
        <w:jc w:val="both"/>
        <w:rPr>
          <w:rFonts w:cs="Arial"/>
        </w:rPr>
      </w:pPr>
      <w:r w:rsidRPr="00B514D7">
        <w:rPr>
          <w:rFonts w:cs="Arial"/>
        </w:rPr>
        <w:t>Le secteur manufacturier du Royaume représente 15 % du PIB en 2017. Les complexes industriels les plus importants sont la fonderie d’</w:t>
      </w:r>
      <w:r w:rsidRPr="00B514D7">
        <w:rPr>
          <w:rFonts w:cs="Arial"/>
          <w:i/>
        </w:rPr>
        <w:t xml:space="preserve">Aluminium of Bahrain (Alba), </w:t>
      </w:r>
      <w:r w:rsidRPr="00B514D7">
        <w:rPr>
          <w:rFonts w:cs="Arial"/>
        </w:rPr>
        <w:t>la raffinerie de pétrole</w:t>
      </w:r>
      <w:r>
        <w:rPr>
          <w:rFonts w:cs="Arial"/>
          <w:i/>
        </w:rPr>
        <w:t xml:space="preserve"> de Bahrain Petrole</w:t>
      </w:r>
      <w:r w:rsidRPr="00B514D7">
        <w:rPr>
          <w:rFonts w:cs="Arial"/>
          <w:i/>
        </w:rPr>
        <w:t xml:space="preserve">um Company (BAPCO) </w:t>
      </w:r>
      <w:r w:rsidRPr="00B514D7">
        <w:rPr>
          <w:rFonts w:cs="Arial"/>
        </w:rPr>
        <w:t xml:space="preserve">et le complexe pétrochimique de </w:t>
      </w:r>
      <w:r w:rsidRPr="00B514D7">
        <w:rPr>
          <w:rFonts w:cs="Arial"/>
          <w:i/>
        </w:rPr>
        <w:t>Gulf Petrochemical Industries Co</w:t>
      </w:r>
      <w:r w:rsidRPr="00B514D7">
        <w:rPr>
          <w:rFonts w:cs="Arial"/>
        </w:rPr>
        <w:t>.</w:t>
      </w:r>
    </w:p>
    <w:p w:rsidR="00B514D7" w:rsidRPr="00B514D7" w:rsidRDefault="00B514D7" w:rsidP="00B514D7">
      <w:pPr>
        <w:spacing w:after="0" w:line="240" w:lineRule="auto"/>
        <w:jc w:val="both"/>
        <w:rPr>
          <w:rFonts w:cs="Arial"/>
        </w:rPr>
      </w:pPr>
    </w:p>
    <w:p w:rsidR="00B514D7" w:rsidRPr="00B514D7" w:rsidRDefault="00B514D7" w:rsidP="00B514D7">
      <w:pPr>
        <w:spacing w:after="0" w:line="240" w:lineRule="auto"/>
        <w:jc w:val="both"/>
        <w:rPr>
          <w:rFonts w:cs="Arial"/>
        </w:rPr>
      </w:pPr>
      <w:r>
        <w:rPr>
          <w:rFonts w:cs="Arial"/>
          <w:b/>
        </w:rPr>
        <w:t>Le</w:t>
      </w:r>
      <w:r w:rsidRPr="00B514D7">
        <w:rPr>
          <w:rFonts w:cs="Arial"/>
          <w:b/>
        </w:rPr>
        <w:t xml:space="preserve"> fond</w:t>
      </w:r>
      <w:r>
        <w:rPr>
          <w:rFonts w:cs="Arial"/>
          <w:b/>
        </w:rPr>
        <w:t>s souverain Mumtalakat disposait</w:t>
      </w:r>
      <w:r w:rsidRPr="00B514D7">
        <w:rPr>
          <w:rFonts w:cs="Arial"/>
          <w:b/>
        </w:rPr>
        <w:t xml:space="preserve"> de 10,4 Mds $ d’actifs fin 2017 </w:t>
      </w:r>
      <w:r w:rsidRPr="00B514D7">
        <w:rPr>
          <w:rFonts w:cs="Arial"/>
        </w:rPr>
        <w:t xml:space="preserve">(contre 230 Mds $ pour le Public Invesment Fund saoudien, 127 Mds $ pour le fond souverain émirien Mubadala, 500 Mds $ pour le fond souverain du Koweït et 18 Mds $ pour le fond souverain d’Oman) principalement investis à long terme : participations dans Gulf Air (100%), Alba (77%), National Bank </w:t>
      </w:r>
      <w:r w:rsidR="00D7173A">
        <w:rPr>
          <w:rFonts w:cs="Arial"/>
        </w:rPr>
        <w:t>of Bahrain (50%), Batelco (37%)</w:t>
      </w:r>
      <w:r w:rsidRPr="00B514D7">
        <w:rPr>
          <w:rFonts w:cs="Arial"/>
        </w:rPr>
        <w:t xml:space="preserve">. </w:t>
      </w:r>
    </w:p>
    <w:p w:rsidR="00D7173A" w:rsidRDefault="00D7173A" w:rsidP="00B514D7">
      <w:pPr>
        <w:spacing w:after="0" w:line="240" w:lineRule="auto"/>
        <w:jc w:val="both"/>
        <w:rPr>
          <w:rFonts w:cs="Arial"/>
        </w:rPr>
      </w:pPr>
    </w:p>
    <w:p w:rsidR="00B514D7" w:rsidRPr="003C1EF5" w:rsidRDefault="00B514D7" w:rsidP="003C1EF5">
      <w:pPr>
        <w:spacing w:after="0" w:line="240" w:lineRule="auto"/>
        <w:jc w:val="both"/>
        <w:rPr>
          <w:rFonts w:cs="Arial"/>
        </w:rPr>
      </w:pPr>
      <w:r w:rsidRPr="00B514D7">
        <w:rPr>
          <w:rFonts w:cs="Arial"/>
        </w:rPr>
        <w:t>Les nouvelles priorités de la diversification et du développement économique inscrites dans la Vision 20</w:t>
      </w:r>
      <w:r w:rsidR="00D7173A">
        <w:rPr>
          <w:rFonts w:cs="Arial"/>
        </w:rPr>
        <w:t>30 du Royaume sont le tourisme</w:t>
      </w:r>
      <w:r w:rsidRPr="00B514D7">
        <w:rPr>
          <w:rFonts w:cs="Arial"/>
        </w:rPr>
        <w:t xml:space="preserve">, les infrastructures, le </w:t>
      </w:r>
      <w:r w:rsidRPr="00B514D7">
        <w:rPr>
          <w:rFonts w:cs="Arial"/>
          <w:i/>
        </w:rPr>
        <w:t>manufacturing</w:t>
      </w:r>
      <w:r w:rsidRPr="00B514D7">
        <w:rPr>
          <w:rFonts w:cs="Arial"/>
        </w:rPr>
        <w:t xml:space="preserve">, les énergies renouvelables et les TIC. A cet égard, </w:t>
      </w:r>
      <w:r w:rsidRPr="00B514D7">
        <w:rPr>
          <w:rFonts w:cs="Arial"/>
          <w:b/>
        </w:rPr>
        <w:t>Bahreïn a mis en place un véritable écosystème d’innovation dans les fintechs</w:t>
      </w:r>
      <w:r w:rsidRPr="00B514D7">
        <w:rPr>
          <w:rFonts w:cs="Arial"/>
        </w:rPr>
        <w:t xml:space="preserve"> comprenant un cadre réglementaire allégé (</w:t>
      </w:r>
      <w:r w:rsidRPr="00B514D7">
        <w:rPr>
          <w:rFonts w:cs="Arial"/>
          <w:i/>
        </w:rPr>
        <w:t>sandbox</w:t>
      </w:r>
      <w:r w:rsidRPr="00B514D7">
        <w:rPr>
          <w:rFonts w:cs="Arial"/>
        </w:rPr>
        <w:t xml:space="preserve"> de la Banque centrale), un incubateur public d’envergure (Bahrain Fintech Bay), et un fonds de fonds de capital-risque abondé à hauteur</w:t>
      </w:r>
      <w:r w:rsidR="00D7173A">
        <w:rPr>
          <w:rFonts w:cs="Arial"/>
        </w:rPr>
        <w:t xml:space="preserve"> de 100 M $ (Al Waha Fund).</w:t>
      </w:r>
    </w:p>
    <w:p w:rsidR="00BB65E4" w:rsidRPr="00232B4C" w:rsidRDefault="00C52F8A" w:rsidP="00BB65E4">
      <w:pPr>
        <w:pStyle w:val="Titre2"/>
        <w:spacing w:before="480"/>
        <w:rPr>
          <w:iCs/>
          <w:sz w:val="22"/>
          <w:szCs w:val="22"/>
        </w:rPr>
      </w:pPr>
      <w:r>
        <w:rPr>
          <w:rFonts w:eastAsia="Calibri"/>
          <w:sz w:val="22"/>
          <w:szCs w:val="22"/>
        </w:rPr>
        <w:t>Une croissance de 3,2</w:t>
      </w:r>
      <w:r w:rsidR="003C1EF5">
        <w:rPr>
          <w:rFonts w:eastAsia="Calibri"/>
          <w:sz w:val="22"/>
          <w:szCs w:val="22"/>
        </w:rPr>
        <w:t>% en 2017, soutenue par de</w:t>
      </w:r>
      <w:r>
        <w:rPr>
          <w:rFonts w:eastAsia="Calibri"/>
          <w:sz w:val="22"/>
          <w:szCs w:val="22"/>
        </w:rPr>
        <w:t>s</w:t>
      </w:r>
      <w:r w:rsidR="003C1EF5">
        <w:rPr>
          <w:rFonts w:eastAsia="Calibri"/>
          <w:sz w:val="22"/>
          <w:szCs w:val="22"/>
        </w:rPr>
        <w:t xml:space="preserve"> grands projets d’investissement</w:t>
      </w:r>
    </w:p>
    <w:p w:rsidR="002B465E" w:rsidRDefault="00EE2C19" w:rsidP="00C52F8A">
      <w:pPr>
        <w:spacing w:after="0" w:line="240" w:lineRule="auto"/>
        <w:jc w:val="both"/>
        <w:rPr>
          <w:rFonts w:cs="Arial"/>
        </w:rPr>
      </w:pPr>
      <w:r>
        <w:rPr>
          <w:rFonts w:cs="Arial"/>
          <w:szCs w:val="20"/>
        </w:rPr>
        <w:br/>
      </w:r>
      <w:r w:rsidR="009A6B3C" w:rsidRPr="009A6B3C">
        <w:rPr>
          <w:rFonts w:cs="Arial"/>
          <w:b/>
        </w:rPr>
        <w:t xml:space="preserve">Bahreïn </w:t>
      </w:r>
      <w:r w:rsidR="00C52F8A" w:rsidRPr="00C52F8A">
        <w:rPr>
          <w:rFonts w:cs="Arial"/>
          <w:b/>
        </w:rPr>
        <w:t>a enregistré une croissance de 3,2 % en 2017, légèrement supérieure à 2016 (3 %) et sensiblement plus élevée que les autres pays du CCEAG (0,5 % en moyenne)</w:t>
      </w:r>
      <w:r w:rsidR="00C52F8A" w:rsidRPr="00C52F8A">
        <w:rPr>
          <w:rFonts w:cs="Arial"/>
        </w:rPr>
        <w:t xml:space="preserve">. L’activité est de nouveau soutenue par le segment « hors hydrocarbures » de l’économie, qui croît de 4,4% alors que la tendance baissière du PIB pétrolier s’accentue (-2,2%). </w:t>
      </w:r>
    </w:p>
    <w:p w:rsidR="00C52F8A" w:rsidRPr="00C52F8A" w:rsidRDefault="00C52F8A" w:rsidP="00C52F8A">
      <w:pPr>
        <w:spacing w:after="0" w:line="240" w:lineRule="auto"/>
        <w:jc w:val="both"/>
        <w:rPr>
          <w:rFonts w:cs="Arial"/>
        </w:rPr>
      </w:pPr>
      <w:r w:rsidRPr="00C52F8A">
        <w:rPr>
          <w:rFonts w:cs="Arial"/>
          <w:b/>
        </w:rPr>
        <w:lastRenderedPageBreak/>
        <w:t xml:space="preserve">Bahreïn conduit une politique </w:t>
      </w:r>
      <w:r>
        <w:rPr>
          <w:rFonts w:cs="Arial"/>
          <w:b/>
        </w:rPr>
        <w:t>de relance par l’investissement</w:t>
      </w:r>
      <w:r w:rsidRPr="00C52F8A">
        <w:rPr>
          <w:rFonts w:cs="Arial"/>
        </w:rPr>
        <w:t>,</w:t>
      </w:r>
      <w:r>
        <w:rPr>
          <w:rFonts w:cs="Arial"/>
          <w:b/>
        </w:rPr>
        <w:t xml:space="preserve"> </w:t>
      </w:r>
      <w:r w:rsidRPr="00C52F8A">
        <w:rPr>
          <w:rFonts w:cs="Arial"/>
        </w:rPr>
        <w:t>bénéficiant de de financements élevés</w:t>
      </w:r>
      <w:r>
        <w:rPr>
          <w:rFonts w:cs="Arial"/>
        </w:rPr>
        <w:t xml:space="preserve"> qui proviennent</w:t>
      </w:r>
      <w:r w:rsidRPr="00C52F8A">
        <w:rPr>
          <w:rFonts w:cs="Arial"/>
        </w:rPr>
        <w:t xml:space="preserve"> du Fonds de développement du Golfe constitué par le CCEAG en 2011 (7,5 Mds $), de la dépense publique (10 Mds $ sur six ans) et de l’investissement privé (15 Mds</w:t>
      </w:r>
      <w:r>
        <w:rPr>
          <w:rFonts w:cs="Arial"/>
        </w:rPr>
        <w:t xml:space="preserve"> $)</w:t>
      </w:r>
      <w:r w:rsidRPr="00C52F8A">
        <w:rPr>
          <w:rFonts w:cs="Arial"/>
        </w:rPr>
        <w:t xml:space="preserve">. </w:t>
      </w:r>
      <w:r w:rsidRPr="00C52F8A">
        <w:rPr>
          <w:rFonts w:cs="Arial"/>
          <w:b/>
        </w:rPr>
        <w:t>Parmi les projets majeurs figurent</w:t>
      </w:r>
      <w:r w:rsidRPr="00C52F8A">
        <w:rPr>
          <w:rFonts w:cs="Arial"/>
        </w:rPr>
        <w:t> :</w:t>
      </w:r>
    </w:p>
    <w:p w:rsidR="00C52F8A" w:rsidRPr="00C52F8A" w:rsidRDefault="00C52F8A" w:rsidP="00C52F8A">
      <w:pPr>
        <w:pStyle w:val="Paragraphedeliste"/>
        <w:numPr>
          <w:ilvl w:val="0"/>
          <w:numId w:val="14"/>
        </w:numPr>
        <w:spacing w:after="0" w:line="240" w:lineRule="auto"/>
        <w:jc w:val="both"/>
        <w:rPr>
          <w:rFonts w:cs="Arial"/>
        </w:rPr>
      </w:pPr>
      <w:r w:rsidRPr="00C52F8A">
        <w:rPr>
          <w:rFonts w:cs="Arial"/>
        </w:rPr>
        <w:t>la rénovation et l’extension de la fonderie d’</w:t>
      </w:r>
      <w:r>
        <w:rPr>
          <w:rFonts w:cs="Arial"/>
          <w:i/>
        </w:rPr>
        <w:t xml:space="preserve">Aluminium of </w:t>
      </w:r>
      <w:r w:rsidRPr="00C52F8A">
        <w:rPr>
          <w:rFonts w:cs="Arial"/>
          <w:i/>
        </w:rPr>
        <w:t>Bahrain</w:t>
      </w:r>
      <w:r>
        <w:rPr>
          <w:rFonts w:cs="Arial"/>
        </w:rPr>
        <w:t xml:space="preserve">, dont la </w:t>
      </w:r>
      <w:r w:rsidRPr="00C52F8A">
        <w:rPr>
          <w:rFonts w:cs="Arial"/>
        </w:rPr>
        <w:t xml:space="preserve">production annuelle devrait passer de 936 000 tonnes à </w:t>
      </w:r>
      <w:r>
        <w:rPr>
          <w:rFonts w:cs="Arial"/>
        </w:rPr>
        <w:t>plus de 1 450 000 tonnes</w:t>
      </w:r>
      <w:r w:rsidRPr="00C52F8A">
        <w:rPr>
          <w:rFonts w:cs="Arial"/>
        </w:rPr>
        <w:t> ;</w:t>
      </w:r>
    </w:p>
    <w:p w:rsidR="00C52F8A" w:rsidRPr="00C52F8A" w:rsidRDefault="00C52F8A" w:rsidP="00C52F8A">
      <w:pPr>
        <w:pStyle w:val="Paragraphedeliste"/>
        <w:numPr>
          <w:ilvl w:val="0"/>
          <w:numId w:val="14"/>
        </w:numPr>
        <w:spacing w:after="0" w:line="240" w:lineRule="auto"/>
        <w:jc w:val="both"/>
        <w:rPr>
          <w:rFonts w:cs="Arial"/>
        </w:rPr>
      </w:pPr>
      <w:r w:rsidRPr="00C52F8A">
        <w:rPr>
          <w:rFonts w:cs="Arial"/>
        </w:rPr>
        <w:t>l’extension de l’aé</w:t>
      </w:r>
      <w:r>
        <w:rPr>
          <w:rFonts w:cs="Arial"/>
        </w:rPr>
        <w:t xml:space="preserve">roport international de Bahreïn, dont la </w:t>
      </w:r>
      <w:r w:rsidRPr="00C52F8A">
        <w:rPr>
          <w:rFonts w:cs="Arial"/>
        </w:rPr>
        <w:t>capacité devrait atteindre 1</w:t>
      </w:r>
      <w:r>
        <w:rPr>
          <w:rFonts w:cs="Arial"/>
        </w:rPr>
        <w:t xml:space="preserve">4 millions de passagers par an, contre 9 millions actuellement ; </w:t>
      </w:r>
    </w:p>
    <w:p w:rsidR="00C52F8A" w:rsidRPr="00C52F8A" w:rsidRDefault="00C52F8A" w:rsidP="00C52F8A">
      <w:pPr>
        <w:pStyle w:val="Paragraphedeliste"/>
        <w:numPr>
          <w:ilvl w:val="0"/>
          <w:numId w:val="14"/>
        </w:numPr>
        <w:spacing w:after="0" w:line="240" w:lineRule="auto"/>
        <w:jc w:val="both"/>
        <w:rPr>
          <w:rFonts w:cs="Arial"/>
        </w:rPr>
      </w:pPr>
      <w:r w:rsidRPr="00C52F8A">
        <w:rPr>
          <w:rFonts w:cs="Arial"/>
        </w:rPr>
        <w:t>le métro léger (</w:t>
      </w:r>
      <w:r w:rsidRPr="00C52F8A">
        <w:rPr>
          <w:rFonts w:cs="Arial"/>
          <w:i/>
        </w:rPr>
        <w:t>light rail train</w:t>
      </w:r>
      <w:r w:rsidR="00701BDB">
        <w:rPr>
          <w:rFonts w:cs="Arial"/>
        </w:rPr>
        <w:t>) de 109 km en 5 phases, dont la première phase reliera l’aéroport à Seef</w:t>
      </w:r>
      <w:r w:rsidRPr="00C52F8A">
        <w:rPr>
          <w:rFonts w:cs="Arial"/>
        </w:rPr>
        <w:t>;</w:t>
      </w:r>
    </w:p>
    <w:p w:rsidR="00C52F8A" w:rsidRPr="00C52F8A" w:rsidRDefault="00D7173A" w:rsidP="00C52F8A">
      <w:pPr>
        <w:pStyle w:val="Paragraphedeliste"/>
        <w:numPr>
          <w:ilvl w:val="0"/>
          <w:numId w:val="14"/>
        </w:numPr>
        <w:spacing w:after="0" w:line="240" w:lineRule="auto"/>
        <w:jc w:val="both"/>
        <w:rPr>
          <w:rFonts w:cs="Arial"/>
        </w:rPr>
      </w:pPr>
      <w:r>
        <w:rPr>
          <w:rFonts w:cs="Arial"/>
        </w:rPr>
        <w:t xml:space="preserve">le King Hamad Causeway </w:t>
      </w:r>
      <w:r w:rsidR="00C52F8A" w:rsidRPr="00C52F8A">
        <w:rPr>
          <w:rFonts w:cs="Arial"/>
        </w:rPr>
        <w:t xml:space="preserve">reliant Bahreïn à l’Arabie </w:t>
      </w:r>
      <w:r w:rsidR="00701BDB">
        <w:rPr>
          <w:rFonts w:cs="Arial"/>
        </w:rPr>
        <w:t xml:space="preserve">Saoudite </w:t>
      </w:r>
      <w:r w:rsidR="00C52F8A" w:rsidRPr="00C52F8A">
        <w:rPr>
          <w:rFonts w:cs="Arial"/>
        </w:rPr>
        <w:t xml:space="preserve">via deux liaisons routière et ferroviaire ; </w:t>
      </w:r>
    </w:p>
    <w:p w:rsidR="00C52F8A" w:rsidRDefault="00C52F8A" w:rsidP="00C52F8A">
      <w:pPr>
        <w:pStyle w:val="Paragraphedeliste"/>
        <w:numPr>
          <w:ilvl w:val="0"/>
          <w:numId w:val="14"/>
        </w:numPr>
        <w:spacing w:after="0" w:line="240" w:lineRule="auto"/>
        <w:jc w:val="both"/>
        <w:rPr>
          <w:rFonts w:cs="Arial"/>
        </w:rPr>
      </w:pPr>
      <w:r w:rsidRPr="00C52F8A">
        <w:rPr>
          <w:rFonts w:cs="Arial"/>
        </w:rPr>
        <w:t>l’expansion de la raffinerie de BAPCO à Sitra, dont la capacité devrait passer de 260 à 380 000 barils/jour</w:t>
      </w:r>
      <w:r w:rsidR="00701BDB">
        <w:rPr>
          <w:rFonts w:cs="Arial"/>
        </w:rPr>
        <w:t> ;</w:t>
      </w:r>
    </w:p>
    <w:p w:rsidR="00701BDB" w:rsidRPr="00701BDB" w:rsidRDefault="00701BDB" w:rsidP="00701BDB">
      <w:pPr>
        <w:pStyle w:val="Paragraphedeliste"/>
        <w:spacing w:after="0" w:line="240" w:lineRule="auto"/>
        <w:ind w:left="360"/>
        <w:jc w:val="both"/>
        <w:rPr>
          <w:rFonts w:cs="Arial"/>
        </w:rPr>
      </w:pPr>
    </w:p>
    <w:p w:rsidR="00C52F8A" w:rsidRPr="00C52F8A" w:rsidRDefault="00C52F8A" w:rsidP="00C52F8A">
      <w:pPr>
        <w:spacing w:after="0" w:line="240" w:lineRule="auto"/>
        <w:jc w:val="both"/>
        <w:rPr>
          <w:rFonts w:cs="Arial"/>
        </w:rPr>
      </w:pPr>
      <w:r w:rsidRPr="00C52F8A">
        <w:rPr>
          <w:rFonts w:cs="Arial"/>
          <w:b/>
        </w:rPr>
        <w:t>Attractif pour les investisseurs de long terme</w:t>
      </w:r>
      <w:r w:rsidRPr="00C52F8A">
        <w:rPr>
          <w:rFonts w:cs="Arial"/>
        </w:rPr>
        <w:t xml:space="preserve"> (les flux d’IDE entrants progressent de 161% en 2017 à 733 Mds $), le Royaume conduit également des réformes structurelles qui visent à consolider son positionnement de hub régional : ainsi, Bahreïn devrait adopter en 2018 une loi sur les faillites </w:t>
      </w:r>
      <w:r w:rsidR="00751EF9">
        <w:rPr>
          <w:rFonts w:cs="Arial"/>
        </w:rPr>
        <w:t xml:space="preserve">et </w:t>
      </w:r>
      <w:r w:rsidRPr="00C52F8A">
        <w:rPr>
          <w:rFonts w:cs="Arial"/>
        </w:rPr>
        <w:t xml:space="preserve">une loi antitrust.   </w:t>
      </w:r>
    </w:p>
    <w:p w:rsidR="00C52F8A" w:rsidRPr="00C52F8A" w:rsidRDefault="00C52F8A" w:rsidP="00C52F8A">
      <w:pPr>
        <w:spacing w:after="0" w:line="240" w:lineRule="auto"/>
        <w:jc w:val="both"/>
        <w:rPr>
          <w:rFonts w:cs="Arial"/>
        </w:rPr>
      </w:pPr>
    </w:p>
    <w:p w:rsidR="00C52F8A" w:rsidRPr="00C52F8A" w:rsidRDefault="00C52F8A" w:rsidP="00C52F8A">
      <w:pPr>
        <w:spacing w:after="0" w:line="240" w:lineRule="auto"/>
        <w:jc w:val="both"/>
        <w:rPr>
          <w:rFonts w:cs="Arial"/>
        </w:rPr>
      </w:pPr>
      <w:r w:rsidRPr="00C52F8A">
        <w:rPr>
          <w:rFonts w:cs="Arial"/>
          <w:b/>
        </w:rPr>
        <w:t>L’inflation s’établit à 1,4% en 2017 après 2,8 % en 2016</w:t>
      </w:r>
      <w:r w:rsidRPr="00C52F8A">
        <w:rPr>
          <w:rFonts w:cs="Arial"/>
        </w:rPr>
        <w:t xml:space="preserve">. La remontée ponctuelle de l’inflation observée en 2016 faisait suite à la baisse de nombreuses subventions publiques : essence, eau et électricité, etc. </w:t>
      </w:r>
    </w:p>
    <w:p w:rsidR="00C52F8A" w:rsidRPr="00C52F8A" w:rsidRDefault="00C52F8A" w:rsidP="00C52F8A">
      <w:pPr>
        <w:spacing w:after="0" w:line="240" w:lineRule="auto"/>
        <w:jc w:val="both"/>
        <w:rPr>
          <w:rFonts w:cs="Arial"/>
        </w:rPr>
      </w:pPr>
    </w:p>
    <w:p w:rsidR="00EE2C19" w:rsidRPr="00701BDB" w:rsidRDefault="00C52F8A" w:rsidP="00C52F8A">
      <w:pPr>
        <w:spacing w:after="0" w:line="240" w:lineRule="auto"/>
        <w:jc w:val="both"/>
        <w:rPr>
          <w:rFonts w:cs="Arial"/>
        </w:rPr>
      </w:pPr>
      <w:r w:rsidRPr="00C52F8A">
        <w:rPr>
          <w:rFonts w:cs="Arial"/>
          <w:b/>
        </w:rPr>
        <w:t>Le taux de chômage des Bahreïniens s’élève à 4,1 % en 2017</w:t>
      </w:r>
      <w:r w:rsidRPr="00C52F8A">
        <w:rPr>
          <w:rFonts w:cs="Arial"/>
        </w:rPr>
        <w:t xml:space="preserve">, en baisse par rapport à 2015 (4,3 %). Si l’inclusion des Bahreïniens sur le marché du travail s’est améliorée, le marché du travail bahreïnien reste encore très déséquilibré, puisque 79% de la population active occupée est étrangère en 2017. </w:t>
      </w:r>
    </w:p>
    <w:p w:rsidR="004B7609" w:rsidRPr="00232B4C" w:rsidRDefault="00927647" w:rsidP="004B7609">
      <w:pPr>
        <w:pStyle w:val="Titre1"/>
        <w:tabs>
          <w:tab w:val="left" w:pos="2146"/>
        </w:tabs>
        <w:jc w:val="both"/>
        <w:rPr>
          <w:rFonts w:eastAsia="Calibri"/>
          <w:sz w:val="22"/>
          <w:szCs w:val="22"/>
        </w:rPr>
      </w:pPr>
      <w:r>
        <w:rPr>
          <w:rFonts w:eastAsia="Calibri"/>
          <w:sz w:val="22"/>
          <w:szCs w:val="22"/>
        </w:rPr>
        <w:t>Le Royaume affiche des déficits jumeaux significatifs depuis 2015</w:t>
      </w:r>
    </w:p>
    <w:p w:rsidR="002B4FEE" w:rsidRDefault="002B4FEE" w:rsidP="00927647">
      <w:pPr>
        <w:spacing w:after="0" w:line="240" w:lineRule="auto"/>
        <w:jc w:val="both"/>
        <w:rPr>
          <w:rFonts w:cs="Arial"/>
          <w:b/>
        </w:rPr>
      </w:pPr>
    </w:p>
    <w:p w:rsidR="008442F6" w:rsidRDefault="00D7173A" w:rsidP="008442F6">
      <w:pPr>
        <w:spacing w:after="0" w:line="240" w:lineRule="auto"/>
        <w:jc w:val="both"/>
        <w:rPr>
          <w:rFonts w:cs="Arial"/>
        </w:rPr>
      </w:pPr>
      <w:r>
        <w:rPr>
          <w:rFonts w:cs="Arial"/>
          <w:b/>
        </w:rPr>
        <w:t>Le</w:t>
      </w:r>
      <w:r w:rsidRPr="00D7173A">
        <w:rPr>
          <w:rFonts w:cs="Arial"/>
          <w:b/>
        </w:rPr>
        <w:t xml:space="preserve"> solde courant est passé d’un excédent de 4,6 % du PIB en 2014 à un d</w:t>
      </w:r>
      <w:r w:rsidR="002B465E">
        <w:rPr>
          <w:rFonts w:cs="Arial"/>
          <w:b/>
        </w:rPr>
        <w:t>éficit de 3,9 % du PIB en 2017</w:t>
      </w:r>
      <w:r w:rsidR="002B465E" w:rsidRPr="002B465E">
        <w:rPr>
          <w:rFonts w:cs="Arial"/>
          <w:b/>
        </w:rPr>
        <w:t> :</w:t>
      </w:r>
      <w:r w:rsidR="002B465E">
        <w:rPr>
          <w:rFonts w:cs="Arial"/>
          <w:b/>
        </w:rPr>
        <w:t xml:space="preserve"> </w:t>
      </w:r>
      <w:r w:rsidRPr="00D7173A">
        <w:rPr>
          <w:rFonts w:cs="Arial"/>
        </w:rPr>
        <w:t>dégradation induite par une baisse des exportations d’hydrocarbures de 50</w:t>
      </w:r>
      <w:r w:rsidR="00ED67AB">
        <w:rPr>
          <w:rFonts w:cs="Arial"/>
        </w:rPr>
        <w:t> % en valeur entre 2014 et 2015</w:t>
      </w:r>
      <w:r w:rsidR="00751EF9">
        <w:rPr>
          <w:rFonts w:cs="Arial"/>
        </w:rPr>
        <w:t>, et par la</w:t>
      </w:r>
      <w:r w:rsidRPr="00D7173A">
        <w:rPr>
          <w:rFonts w:cs="Arial"/>
        </w:rPr>
        <w:t xml:space="preserve"> hausse des remises des travailleurs expatriés vers leurs pays d’origine</w:t>
      </w:r>
      <w:r w:rsidR="00751EF9">
        <w:rPr>
          <w:rFonts w:cs="Arial"/>
        </w:rPr>
        <w:t xml:space="preserve"> (2,4 Mds $</w:t>
      </w:r>
      <w:r w:rsidR="002B465E">
        <w:rPr>
          <w:rFonts w:cs="Arial"/>
        </w:rPr>
        <w:t xml:space="preserve"> en 2017</w:t>
      </w:r>
      <w:r w:rsidR="00751EF9">
        <w:rPr>
          <w:rFonts w:cs="Arial"/>
        </w:rPr>
        <w:t>)</w:t>
      </w:r>
      <w:r w:rsidR="00ED67AB">
        <w:rPr>
          <w:rFonts w:cs="Arial"/>
        </w:rPr>
        <w:t>.</w:t>
      </w:r>
    </w:p>
    <w:p w:rsidR="008442F6" w:rsidRDefault="008442F6" w:rsidP="008442F6">
      <w:pPr>
        <w:spacing w:after="0" w:line="240" w:lineRule="auto"/>
        <w:jc w:val="both"/>
        <w:rPr>
          <w:rFonts w:cs="Arial"/>
        </w:rPr>
      </w:pPr>
    </w:p>
    <w:p w:rsidR="00EE2C19" w:rsidRPr="00ED67AB" w:rsidRDefault="00D7173A" w:rsidP="008442F6">
      <w:pPr>
        <w:spacing w:after="0" w:line="240" w:lineRule="auto"/>
        <w:jc w:val="both"/>
        <w:rPr>
          <w:rFonts w:cs="Arial"/>
        </w:rPr>
      </w:pPr>
      <w:r w:rsidRPr="00D7173A">
        <w:rPr>
          <w:rFonts w:cs="Arial"/>
          <w:b/>
        </w:rPr>
        <w:t xml:space="preserve">Le déficit public </w:t>
      </w:r>
      <w:r w:rsidR="00ED67AB">
        <w:rPr>
          <w:rFonts w:cs="Arial"/>
          <w:b/>
        </w:rPr>
        <w:t>atteint</w:t>
      </w:r>
      <w:r w:rsidRPr="00D7173A">
        <w:rPr>
          <w:rFonts w:cs="Arial"/>
          <w:b/>
        </w:rPr>
        <w:t xml:space="preserve"> -15,1 % du PIB en 2017</w:t>
      </w:r>
      <w:r w:rsidRPr="00ED67AB">
        <w:rPr>
          <w:rFonts w:cs="Arial"/>
        </w:rPr>
        <w:t>,</w:t>
      </w:r>
      <w:r w:rsidRPr="00D7173A">
        <w:rPr>
          <w:rFonts w:cs="Arial"/>
        </w:rPr>
        <w:t xml:space="preserve"> </w:t>
      </w:r>
      <w:r w:rsidR="00ED67AB">
        <w:rPr>
          <w:rFonts w:cs="Arial"/>
        </w:rPr>
        <w:t xml:space="preserve">contre </w:t>
      </w:r>
      <w:r w:rsidRPr="00D7173A">
        <w:rPr>
          <w:rFonts w:cs="Arial"/>
          <w:b/>
        </w:rPr>
        <w:t>-</w:t>
      </w:r>
      <w:r w:rsidRPr="00D7173A">
        <w:rPr>
          <w:rFonts w:cs="Arial"/>
        </w:rPr>
        <w:t xml:space="preserve">18,4 % du PIB en 2015. Cette amélioration résulte d’une série de mesures de consolidation budgétaire mises en place en 2016 (hausse des taxes sur le tabac et l’alcool, </w:t>
      </w:r>
      <w:r w:rsidR="00ED67AB">
        <w:rPr>
          <w:rFonts w:cs="Arial"/>
        </w:rPr>
        <w:t xml:space="preserve">réduction de subventions) et </w:t>
      </w:r>
      <w:r w:rsidRPr="00D7173A">
        <w:rPr>
          <w:rFonts w:cs="Arial"/>
        </w:rPr>
        <w:t>en 2018 (droits d’accise sur les boissons sucrées et énergisantes, réduction de subventions)</w:t>
      </w:r>
      <w:r w:rsidR="00ED67AB">
        <w:rPr>
          <w:rFonts w:cs="Arial"/>
        </w:rPr>
        <w:t>,</w:t>
      </w:r>
      <w:r w:rsidRPr="00D7173A">
        <w:rPr>
          <w:rFonts w:cs="Arial"/>
        </w:rPr>
        <w:t xml:space="preserve"> mais également d’une baisse de dépenses en capital</w:t>
      </w:r>
      <w:r w:rsidR="00ED67AB">
        <w:rPr>
          <w:rFonts w:cs="Arial"/>
        </w:rPr>
        <w:t>. L’introduction en</w:t>
      </w:r>
      <w:r w:rsidRPr="00D7173A">
        <w:rPr>
          <w:rFonts w:cs="Arial"/>
        </w:rPr>
        <w:t xml:space="preserve"> 2019 d’une TVA de 5 % devrait être avoir un impact modeste dans un premier temps</w:t>
      </w:r>
      <w:r w:rsidR="00ED67AB">
        <w:rPr>
          <w:rFonts w:cs="Arial"/>
        </w:rPr>
        <w:t>.</w:t>
      </w:r>
      <w:r w:rsidRPr="00D7173A">
        <w:rPr>
          <w:rFonts w:cs="Arial"/>
        </w:rPr>
        <w:t xml:space="preserve"> </w:t>
      </w:r>
    </w:p>
    <w:p w:rsidR="002B4FEE" w:rsidRDefault="002B4FEE" w:rsidP="002B4FEE">
      <w:pPr>
        <w:pStyle w:val="Titre1"/>
        <w:tabs>
          <w:tab w:val="left" w:pos="2146"/>
        </w:tabs>
        <w:jc w:val="both"/>
        <w:rPr>
          <w:rFonts w:eastAsia="Calibri"/>
          <w:sz w:val="22"/>
          <w:szCs w:val="22"/>
        </w:rPr>
      </w:pPr>
      <w:r>
        <w:rPr>
          <w:rFonts w:eastAsia="Calibri"/>
          <w:sz w:val="22"/>
          <w:szCs w:val="22"/>
        </w:rPr>
        <w:t>Les autorités parviennent à assurer leurs besoins de financement sur les marchés internationaux au prix de rendements élevés, entraînant une progression soutenue de la dette</w:t>
      </w:r>
    </w:p>
    <w:p w:rsidR="002B4FEE" w:rsidRDefault="002B4FEE" w:rsidP="002B4FEE">
      <w:pPr>
        <w:tabs>
          <w:tab w:val="left" w:pos="1305"/>
        </w:tabs>
        <w:spacing w:after="0" w:line="240" w:lineRule="auto"/>
        <w:jc w:val="both"/>
        <w:rPr>
          <w:rFonts w:cs="Arial"/>
        </w:rPr>
      </w:pPr>
    </w:p>
    <w:p w:rsidR="000B04BB" w:rsidRDefault="00F02A8F" w:rsidP="008442F6">
      <w:pPr>
        <w:tabs>
          <w:tab w:val="left" w:pos="1305"/>
        </w:tabs>
        <w:spacing w:after="0" w:line="240" w:lineRule="auto"/>
        <w:jc w:val="both"/>
        <w:rPr>
          <w:rFonts w:cs="Arial"/>
        </w:rPr>
      </w:pPr>
      <w:r>
        <w:rPr>
          <w:rFonts w:cs="Arial"/>
        </w:rPr>
        <w:t xml:space="preserve">La </w:t>
      </w:r>
      <w:r w:rsidR="000B04BB" w:rsidRPr="000B04BB">
        <w:rPr>
          <w:rFonts w:cs="Arial"/>
        </w:rPr>
        <w:t>dette publique de Bahreïn a doublé entre 2014 (44 % du PIB) et 2017 (90,3 % du PIB) et devrait continuer d’augmenter à un rythme soutenu à moyen terme. Cette détérioration a été sanctionné</w:t>
      </w:r>
      <w:r w:rsidR="00751EF9">
        <w:rPr>
          <w:rFonts w:cs="Arial"/>
        </w:rPr>
        <w:t xml:space="preserve">e par les agences de notation, qui classent le pays en </w:t>
      </w:r>
      <w:r w:rsidR="000B04BB" w:rsidRPr="000B04BB">
        <w:rPr>
          <w:rFonts w:cs="Arial"/>
          <w:b/>
        </w:rPr>
        <w:t>catégorie « spéculative »</w:t>
      </w:r>
      <w:r w:rsidR="000B04BB" w:rsidRPr="00751EF9">
        <w:rPr>
          <w:rFonts w:cs="Arial"/>
        </w:rPr>
        <w:t xml:space="preserve">. </w:t>
      </w:r>
      <w:r w:rsidR="00F60A2E">
        <w:rPr>
          <w:rFonts w:cs="Arial"/>
        </w:rPr>
        <w:t>Le Royaume a émis 5</w:t>
      </w:r>
      <w:r w:rsidR="000B04BB" w:rsidRPr="000B04BB">
        <w:rPr>
          <w:rFonts w:cs="Arial"/>
        </w:rPr>
        <w:t xml:space="preserve"> obligations internationales depuis février </w:t>
      </w:r>
      <w:r w:rsidR="00F60A2E">
        <w:rPr>
          <w:rFonts w:cs="Arial"/>
        </w:rPr>
        <w:t>2016, pour un montant total de 7</w:t>
      </w:r>
      <w:r w:rsidR="000B04BB" w:rsidRPr="000B04BB">
        <w:rPr>
          <w:rFonts w:cs="Arial"/>
        </w:rPr>
        <w:t xml:space="preserve">,2 Mds $. </w:t>
      </w:r>
      <w:r w:rsidR="00F60A2E">
        <w:rPr>
          <w:rFonts w:cs="Arial"/>
          <w:b/>
        </w:rPr>
        <w:t xml:space="preserve">Lors de la dernière émission, </w:t>
      </w:r>
      <w:r w:rsidR="000B04BB" w:rsidRPr="000B04BB">
        <w:rPr>
          <w:rFonts w:cs="Arial"/>
          <w:b/>
        </w:rPr>
        <w:t xml:space="preserve">en avril 2018, </w:t>
      </w:r>
      <w:r w:rsidR="000B04BB" w:rsidRPr="000B04BB">
        <w:rPr>
          <w:rFonts w:cs="Arial"/>
        </w:rPr>
        <w:t xml:space="preserve">Bahreïn a dû restreindre ses ambitions, ne réussissant qu’à lever 1 Md $ de </w:t>
      </w:r>
      <w:r w:rsidR="000B04BB" w:rsidRPr="000B04BB">
        <w:rPr>
          <w:rFonts w:cs="Arial"/>
          <w:i/>
        </w:rPr>
        <w:t>sukuk</w:t>
      </w:r>
      <w:r w:rsidR="000B04BB" w:rsidRPr="000B04BB">
        <w:rPr>
          <w:rFonts w:cs="Arial"/>
        </w:rPr>
        <w:t xml:space="preserve">s à 6,875% et à échéance 7,5 ans. </w:t>
      </w:r>
    </w:p>
    <w:p w:rsidR="008442F6" w:rsidRPr="000B04BB" w:rsidRDefault="008442F6" w:rsidP="008442F6">
      <w:pPr>
        <w:tabs>
          <w:tab w:val="left" w:pos="1305"/>
        </w:tabs>
        <w:spacing w:after="0" w:line="240" w:lineRule="auto"/>
        <w:jc w:val="both"/>
        <w:rPr>
          <w:rFonts w:cs="Arial"/>
        </w:rPr>
      </w:pPr>
    </w:p>
    <w:p w:rsidR="000B04BB" w:rsidRPr="000B04BB" w:rsidRDefault="000B04BB" w:rsidP="000B04BB">
      <w:pPr>
        <w:spacing w:after="0" w:line="240" w:lineRule="auto"/>
        <w:jc w:val="both"/>
        <w:rPr>
          <w:rFonts w:cs="Arial"/>
        </w:rPr>
      </w:pPr>
      <w:r w:rsidRPr="000B04BB">
        <w:rPr>
          <w:rFonts w:cs="Arial"/>
        </w:rPr>
        <w:t xml:space="preserve">La dégradation des déficits jumeaux devrait par ailleurs faire émerger de nouvelles difficultés : </w:t>
      </w:r>
    </w:p>
    <w:p w:rsidR="000B04BB" w:rsidRPr="000B04BB" w:rsidRDefault="000B04BB" w:rsidP="000B04BB">
      <w:pPr>
        <w:pStyle w:val="Paragraphedeliste"/>
        <w:numPr>
          <w:ilvl w:val="0"/>
          <w:numId w:val="14"/>
        </w:numPr>
        <w:tabs>
          <w:tab w:val="left" w:pos="1305"/>
        </w:tabs>
        <w:spacing w:after="0" w:line="240" w:lineRule="auto"/>
        <w:jc w:val="both"/>
        <w:rPr>
          <w:rFonts w:cs="Arial"/>
        </w:rPr>
      </w:pPr>
      <w:r w:rsidRPr="000B04BB">
        <w:rPr>
          <w:rFonts w:cs="Arial"/>
          <w:b/>
        </w:rPr>
        <w:t xml:space="preserve">Maintien de l’ancrage du dinar bahreïni au dollar conduit par la Banque centrale. </w:t>
      </w:r>
      <w:r w:rsidRPr="000B04BB">
        <w:rPr>
          <w:rFonts w:cs="Arial"/>
        </w:rPr>
        <w:t xml:space="preserve">Les réserves en </w:t>
      </w:r>
      <w:r w:rsidR="002B465E">
        <w:rPr>
          <w:rFonts w:cs="Arial"/>
        </w:rPr>
        <w:t>devises</w:t>
      </w:r>
      <w:r w:rsidRPr="000B04BB">
        <w:rPr>
          <w:rFonts w:cs="Arial"/>
        </w:rPr>
        <w:t xml:space="preserve"> détenu</w:t>
      </w:r>
      <w:r w:rsidR="002B465E">
        <w:rPr>
          <w:rFonts w:cs="Arial"/>
        </w:rPr>
        <w:t>e</w:t>
      </w:r>
      <w:r w:rsidRPr="000B04BB">
        <w:rPr>
          <w:rFonts w:cs="Arial"/>
        </w:rPr>
        <w:t>s par la Banque centrale se sont a</w:t>
      </w:r>
      <w:r w:rsidR="002B465E">
        <w:rPr>
          <w:rFonts w:cs="Arial"/>
        </w:rPr>
        <w:t xml:space="preserve">sséchées, passant de </w:t>
      </w:r>
      <w:r w:rsidRPr="000B04BB">
        <w:rPr>
          <w:rFonts w:cs="Arial"/>
        </w:rPr>
        <w:t>3,2 mois d’im</w:t>
      </w:r>
      <w:r w:rsidR="002B465E">
        <w:rPr>
          <w:rFonts w:cs="Arial"/>
        </w:rPr>
        <w:t>portations de biens et services</w:t>
      </w:r>
      <w:r w:rsidRPr="000B04BB">
        <w:rPr>
          <w:rFonts w:cs="Arial"/>
        </w:rPr>
        <w:t xml:space="preserve"> à la fin d’année 2014 à </w:t>
      </w:r>
      <w:r w:rsidR="002B465E">
        <w:rPr>
          <w:rFonts w:cs="Arial"/>
        </w:rPr>
        <w:t>0,6 mois</w:t>
      </w:r>
      <w:r w:rsidRPr="000B04BB">
        <w:rPr>
          <w:rFonts w:cs="Arial"/>
        </w:rPr>
        <w:t xml:space="preserve"> d’imp</w:t>
      </w:r>
      <w:r w:rsidR="002B465E">
        <w:rPr>
          <w:rFonts w:cs="Arial"/>
        </w:rPr>
        <w:t>ortations de biens et services en mars 2018</w:t>
      </w:r>
      <w:r w:rsidR="00F60A2E">
        <w:rPr>
          <w:rFonts w:cs="Arial"/>
        </w:rPr>
        <w:t> ;</w:t>
      </w:r>
    </w:p>
    <w:p w:rsidR="000B04BB" w:rsidRPr="000B04BB" w:rsidRDefault="000B04BB" w:rsidP="000B04BB">
      <w:pPr>
        <w:pStyle w:val="Paragraphedeliste"/>
        <w:numPr>
          <w:ilvl w:val="0"/>
          <w:numId w:val="14"/>
        </w:numPr>
        <w:tabs>
          <w:tab w:val="left" w:pos="1305"/>
        </w:tabs>
        <w:spacing w:after="0" w:line="240" w:lineRule="auto"/>
        <w:jc w:val="both"/>
        <w:rPr>
          <w:rFonts w:cs="Arial"/>
        </w:rPr>
      </w:pPr>
      <w:r w:rsidRPr="000B04BB">
        <w:rPr>
          <w:rFonts w:cs="Arial"/>
          <w:b/>
        </w:rPr>
        <w:t xml:space="preserve">Progression rapide et peu soutenable du service annuel de la dette publique. </w:t>
      </w:r>
      <w:r w:rsidRPr="000B04BB">
        <w:rPr>
          <w:rFonts w:cs="Arial"/>
        </w:rPr>
        <w:t xml:space="preserve">Les intérêts payés au titre du service de la dette devraient, selon le FMI, atteindre 1,6 Md $ en 2018, soit 4,5 % du PIB. </w:t>
      </w:r>
    </w:p>
    <w:tbl>
      <w:tblPr>
        <w:tblStyle w:val="Grilledutableau"/>
        <w:tblpPr w:leftFromText="141" w:rightFromText="141" w:vertAnchor="text" w:horzAnchor="margin" w:tblpY="142"/>
        <w:tblW w:w="0" w:type="auto"/>
        <w:shd w:val="clear" w:color="auto" w:fill="E6A300"/>
        <w:tblLook w:val="04A0" w:firstRow="1" w:lastRow="0" w:firstColumn="1" w:lastColumn="0" w:noHBand="0" w:noVBand="1"/>
      </w:tblPr>
      <w:tblGrid>
        <w:gridCol w:w="9628"/>
      </w:tblGrid>
      <w:tr w:rsidR="008442F6" w:rsidRPr="00F60A2E" w:rsidTr="008442F6">
        <w:trPr>
          <w:trHeight w:val="70"/>
        </w:trPr>
        <w:tc>
          <w:tcPr>
            <w:tcW w:w="9628" w:type="dxa"/>
            <w:shd w:val="clear" w:color="auto" w:fill="E6A300"/>
          </w:tcPr>
          <w:p w:rsidR="008442F6" w:rsidRPr="00F60A2E" w:rsidRDefault="008442F6" w:rsidP="008442F6">
            <w:pPr>
              <w:keepNext/>
              <w:keepLines/>
              <w:shd w:val="clear" w:color="auto" w:fill="E6A300"/>
              <w:spacing w:line="276" w:lineRule="auto"/>
              <w:jc w:val="both"/>
              <w:outlineLvl w:val="4"/>
              <w:rPr>
                <w:rFonts w:eastAsiaTheme="majorEastAsia" w:cstheme="majorBidi"/>
                <w:sz w:val="16"/>
              </w:rPr>
            </w:pPr>
            <w:r w:rsidRPr="00F60A2E">
              <w:rPr>
                <w:rFonts w:eastAsiaTheme="majorEastAsia" w:cstheme="majorBidi"/>
                <w:sz w:val="16"/>
              </w:rPr>
              <w:t xml:space="preserve">Clause de non-responsabilité - 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 </w:t>
            </w:r>
          </w:p>
        </w:tc>
      </w:tr>
    </w:tbl>
    <w:p w:rsidR="000F0B51" w:rsidRPr="000C75A5" w:rsidRDefault="000F0B51" w:rsidP="008442F6"/>
    <w:sectPr w:rsidR="000F0B51" w:rsidRPr="000C75A5" w:rsidSect="001B451E">
      <w:footerReference w:type="default" r:id="rId8"/>
      <w:pgSz w:w="11906" w:h="16838"/>
      <w:pgMar w:top="1418" w:right="1134" w:bottom="1418" w:left="1134"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5DF" w:rsidRDefault="009555DF" w:rsidP="00F425DB">
      <w:pPr>
        <w:spacing w:after="0" w:line="240" w:lineRule="auto"/>
      </w:pPr>
      <w:r>
        <w:separator/>
      </w:r>
    </w:p>
  </w:endnote>
  <w:endnote w:type="continuationSeparator" w:id="0">
    <w:p w:rsidR="009555DF" w:rsidRDefault="009555DF" w:rsidP="00F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122255"/>
      </w:rPr>
      <w:id w:val="444509257"/>
      <w:docPartObj>
        <w:docPartGallery w:val="Page Numbers (Bottom of Page)"/>
        <w:docPartUnique/>
      </w:docPartObj>
    </w:sdtPr>
    <w:sdtEndPr>
      <w:rPr>
        <w:color w:val="auto"/>
        <w:sz w:val="18"/>
        <w:szCs w:val="18"/>
      </w:rPr>
    </w:sdtEndPr>
    <w:sdtContent>
      <w:tbl>
        <w:tblPr>
          <w:tblStyle w:val="Grilledutableau"/>
          <w:tblW w:w="9781" w:type="dxa"/>
          <w:tblInd w:w="108" w:type="dxa"/>
          <w:tblBorders>
            <w:top w:val="single" w:sz="12" w:space="0" w:color="E6A3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040"/>
          <w:gridCol w:w="2331"/>
        </w:tblGrid>
        <w:tr w:rsidR="00347E10" w:rsidRPr="00347E10" w:rsidTr="003D1901">
          <w:trPr>
            <w:trHeight w:val="815"/>
          </w:trPr>
          <w:tc>
            <w:tcPr>
              <w:tcW w:w="2410" w:type="dxa"/>
            </w:tcPr>
            <w:p w:rsidR="005A69FD" w:rsidRPr="00347E10" w:rsidRDefault="000C75A5" w:rsidP="00347E10">
              <w:pPr>
                <w:spacing w:before="120"/>
                <w:rPr>
                  <w:rFonts w:ascii="Arial Gras" w:hAnsi="Arial Gras" w:cs="Arial"/>
                  <w:b/>
                  <w:color w:val="122255"/>
                  <w:sz w:val="16"/>
                </w:rPr>
              </w:pPr>
              <w:r>
                <w:rPr>
                  <w:rFonts w:ascii="Arial Gras" w:hAnsi="Arial Gras" w:cs="Arial"/>
                  <w:b/>
                  <w:bCs/>
                  <w:color w:val="122255"/>
                  <w:sz w:val="16"/>
                </w:rPr>
                <w:t>Janvier 2017</w:t>
              </w:r>
              <w:r w:rsidR="00C3179B" w:rsidRPr="00347E10">
                <w:rPr>
                  <w:rFonts w:ascii="Arial Gras" w:hAnsi="Arial Gras" w:cs="Arial"/>
                  <w:b/>
                  <w:color w:val="122255"/>
                  <w:sz w:val="16"/>
                </w:rPr>
                <w:t>© DG Trésor</w:t>
              </w:r>
            </w:p>
            <w:p w:rsidR="005A69FD" w:rsidRPr="00347E10" w:rsidRDefault="005A69FD" w:rsidP="005A69FD">
              <w:pPr>
                <w:rPr>
                  <w:color w:val="122255"/>
                  <w:sz w:val="18"/>
                  <w:szCs w:val="18"/>
                </w:rPr>
              </w:pPr>
            </w:p>
          </w:tc>
          <w:tc>
            <w:tcPr>
              <w:tcW w:w="5040" w:type="dxa"/>
            </w:tcPr>
            <w:p w:rsidR="00803591" w:rsidRPr="00347E10" w:rsidRDefault="00803591" w:rsidP="000B5DAE">
              <w:pPr>
                <w:spacing w:before="120"/>
                <w:jc w:val="center"/>
                <w:rPr>
                  <w:b/>
                  <w:color w:val="122255"/>
                  <w:sz w:val="18"/>
                  <w:szCs w:val="18"/>
                </w:rPr>
              </w:pPr>
              <w:r w:rsidRPr="00347E10">
                <w:rPr>
                  <w:b/>
                  <w:color w:val="122255"/>
                  <w:sz w:val="18"/>
                  <w:szCs w:val="18"/>
                </w:rPr>
                <w:t xml:space="preserve">AMBASSADE DE FRANCE </w:t>
              </w:r>
              <w:r w:rsidR="00074CCD">
                <w:rPr>
                  <w:b/>
                  <w:color w:val="122255"/>
                  <w:sz w:val="18"/>
                  <w:szCs w:val="18"/>
                </w:rPr>
                <w:t>AU ROYAUME DE BAHREIN</w:t>
              </w:r>
            </w:p>
            <w:p w:rsidR="005A69FD" w:rsidRDefault="00074CCD" w:rsidP="00803591">
              <w:pPr>
                <w:jc w:val="center"/>
                <w:rPr>
                  <w:b/>
                  <w:color w:val="122255"/>
                  <w:sz w:val="18"/>
                  <w:szCs w:val="18"/>
                </w:rPr>
              </w:pPr>
              <w:r>
                <w:rPr>
                  <w:b/>
                  <w:color w:val="122255"/>
                  <w:sz w:val="18"/>
                  <w:szCs w:val="18"/>
                </w:rPr>
                <w:t>SERVICE ECONOMIQUE DE MANAMA</w:t>
              </w:r>
            </w:p>
            <w:p w:rsidR="002611F0" w:rsidRPr="002611F0" w:rsidRDefault="002611F0" w:rsidP="00803591">
              <w:pPr>
                <w:jc w:val="center"/>
                <w:rPr>
                  <w:color w:val="122255"/>
                  <w:sz w:val="16"/>
                  <w:szCs w:val="16"/>
                </w:rPr>
              </w:pPr>
            </w:p>
          </w:tc>
          <w:tc>
            <w:tcPr>
              <w:tcW w:w="2331" w:type="dxa"/>
            </w:tcPr>
            <w:p w:rsidR="005A69FD" w:rsidRPr="00347E10" w:rsidRDefault="005A69FD" w:rsidP="00347E10">
              <w:pPr>
                <w:spacing w:before="120"/>
                <w:jc w:val="right"/>
                <w:rPr>
                  <w:b/>
                  <w:color w:val="122255"/>
                  <w:sz w:val="16"/>
                  <w:szCs w:val="16"/>
                </w:rPr>
              </w:pPr>
              <w:r w:rsidRPr="00347E10">
                <w:rPr>
                  <w:b/>
                  <w:color w:val="122255"/>
                  <w:sz w:val="16"/>
                  <w:szCs w:val="16"/>
                </w:rPr>
                <w:fldChar w:fldCharType="begin"/>
              </w:r>
              <w:r w:rsidRPr="00347E10">
                <w:rPr>
                  <w:b/>
                  <w:color w:val="122255"/>
                  <w:sz w:val="16"/>
                  <w:szCs w:val="16"/>
                </w:rPr>
                <w:instrText>PAGE   \* MERGEFORMAT</w:instrText>
              </w:r>
              <w:r w:rsidRPr="00347E10">
                <w:rPr>
                  <w:b/>
                  <w:color w:val="122255"/>
                  <w:sz w:val="16"/>
                  <w:szCs w:val="16"/>
                </w:rPr>
                <w:fldChar w:fldCharType="separate"/>
              </w:r>
              <w:r w:rsidR="004C1567">
                <w:rPr>
                  <w:b/>
                  <w:noProof/>
                  <w:color w:val="122255"/>
                  <w:sz w:val="16"/>
                  <w:szCs w:val="16"/>
                </w:rPr>
                <w:t>1</w:t>
              </w:r>
              <w:r w:rsidRPr="00347E10">
                <w:rPr>
                  <w:b/>
                  <w:color w:val="122255"/>
                  <w:sz w:val="16"/>
                  <w:szCs w:val="16"/>
                </w:rPr>
                <w:fldChar w:fldCharType="end"/>
              </w:r>
            </w:p>
          </w:tc>
        </w:tr>
      </w:tbl>
      <w:p w:rsidR="005A69FD" w:rsidRPr="005A69FD" w:rsidRDefault="009555DF" w:rsidP="005A69FD">
        <w:pPr>
          <w:pStyle w:val="Pieddepage"/>
          <w:rPr>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5DF" w:rsidRDefault="009555DF" w:rsidP="00F425DB">
      <w:pPr>
        <w:spacing w:after="0" w:line="240" w:lineRule="auto"/>
      </w:pPr>
      <w:r>
        <w:separator/>
      </w:r>
    </w:p>
  </w:footnote>
  <w:footnote w:type="continuationSeparator" w:id="0">
    <w:p w:rsidR="009555DF" w:rsidRDefault="009555DF" w:rsidP="00F42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abstractNum w:abstractNumId="0" w15:restartNumberingAfterBreak="0">
    <w:nsid w:val="04671D7C"/>
    <w:multiLevelType w:val="hybridMultilevel"/>
    <w:tmpl w:val="0E82ED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B3303"/>
    <w:multiLevelType w:val="multilevel"/>
    <w:tmpl w:val="71A2B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35E99"/>
    <w:multiLevelType w:val="multilevel"/>
    <w:tmpl w:val="A9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161857"/>
    <w:multiLevelType w:val="hybridMultilevel"/>
    <w:tmpl w:val="5374EA08"/>
    <w:lvl w:ilvl="0" w:tplc="C512EAE0">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0D21A75"/>
    <w:multiLevelType w:val="multilevel"/>
    <w:tmpl w:val="5568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2E6FDB"/>
    <w:multiLevelType w:val="multilevel"/>
    <w:tmpl w:val="D7B60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A722E9"/>
    <w:multiLevelType w:val="multilevel"/>
    <w:tmpl w:val="131C6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1576C5"/>
    <w:multiLevelType w:val="multilevel"/>
    <w:tmpl w:val="7F7C4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D311A4"/>
    <w:multiLevelType w:val="hybridMultilevel"/>
    <w:tmpl w:val="00FC14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0C326D6"/>
    <w:multiLevelType w:val="multilevel"/>
    <w:tmpl w:val="82940F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792854F1"/>
    <w:multiLevelType w:val="hybridMultilevel"/>
    <w:tmpl w:val="21645DC4"/>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 w15:restartNumberingAfterBreak="0">
    <w:nsid w:val="7972678E"/>
    <w:multiLevelType w:val="multilevel"/>
    <w:tmpl w:val="0358A5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B27446"/>
    <w:multiLevelType w:val="multilevel"/>
    <w:tmpl w:val="C1FA0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1"/>
  </w:num>
  <w:num w:numId="5">
    <w:abstractNumId w:val="12"/>
  </w:num>
  <w:num w:numId="6">
    <w:abstractNumId w:val="2"/>
  </w:num>
  <w:num w:numId="7">
    <w:abstractNumId w:val="8"/>
  </w:num>
  <w:num w:numId="8">
    <w:abstractNumId w:val="0"/>
  </w:num>
  <w:num w:numId="9">
    <w:abstractNumId w:val="10"/>
  </w:num>
  <w:num w:numId="10">
    <w:abstractNumId w:val="9"/>
  </w:num>
  <w:num w:numId="11">
    <w:abstractNumId w:val="5"/>
  </w:num>
  <w:num w:numId="12">
    <w:abstractNumId w:val="11"/>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09"/>
    <w:rsid w:val="000652F9"/>
    <w:rsid w:val="00074CCD"/>
    <w:rsid w:val="000B04BB"/>
    <w:rsid w:val="000B5DAE"/>
    <w:rsid w:val="000C52B6"/>
    <w:rsid w:val="000C75A5"/>
    <w:rsid w:val="000D6EF7"/>
    <w:rsid w:val="000F0B51"/>
    <w:rsid w:val="001855A5"/>
    <w:rsid w:val="001B451E"/>
    <w:rsid w:val="00202CA2"/>
    <w:rsid w:val="0021111A"/>
    <w:rsid w:val="00221DA1"/>
    <w:rsid w:val="00232B4C"/>
    <w:rsid w:val="0023311E"/>
    <w:rsid w:val="0024314F"/>
    <w:rsid w:val="00256A40"/>
    <w:rsid w:val="002611F0"/>
    <w:rsid w:val="002A008A"/>
    <w:rsid w:val="002A0E99"/>
    <w:rsid w:val="002A2D9B"/>
    <w:rsid w:val="002B465E"/>
    <w:rsid w:val="002B4FEE"/>
    <w:rsid w:val="002C1015"/>
    <w:rsid w:val="002E1793"/>
    <w:rsid w:val="002E6781"/>
    <w:rsid w:val="00332F60"/>
    <w:rsid w:val="00347E10"/>
    <w:rsid w:val="0037395A"/>
    <w:rsid w:val="00383A7F"/>
    <w:rsid w:val="003849B7"/>
    <w:rsid w:val="003B3388"/>
    <w:rsid w:val="003C1EF5"/>
    <w:rsid w:val="003D1901"/>
    <w:rsid w:val="00413B0F"/>
    <w:rsid w:val="00427381"/>
    <w:rsid w:val="00436D0C"/>
    <w:rsid w:val="004468D5"/>
    <w:rsid w:val="004B7609"/>
    <w:rsid w:val="004C1567"/>
    <w:rsid w:val="004C458A"/>
    <w:rsid w:val="004D7E73"/>
    <w:rsid w:val="004E6A6F"/>
    <w:rsid w:val="00572EB3"/>
    <w:rsid w:val="00574561"/>
    <w:rsid w:val="005A69FD"/>
    <w:rsid w:val="0064703D"/>
    <w:rsid w:val="006B118B"/>
    <w:rsid w:val="006E0409"/>
    <w:rsid w:val="006F11E9"/>
    <w:rsid w:val="00701BDB"/>
    <w:rsid w:val="00710A92"/>
    <w:rsid w:val="00724AA8"/>
    <w:rsid w:val="00746A96"/>
    <w:rsid w:val="00751EF9"/>
    <w:rsid w:val="00753F50"/>
    <w:rsid w:val="007B42E4"/>
    <w:rsid w:val="007F0323"/>
    <w:rsid w:val="007F1325"/>
    <w:rsid w:val="007F1945"/>
    <w:rsid w:val="00803591"/>
    <w:rsid w:val="008410A2"/>
    <w:rsid w:val="008442F6"/>
    <w:rsid w:val="00864336"/>
    <w:rsid w:val="008658D0"/>
    <w:rsid w:val="008F0D21"/>
    <w:rsid w:val="00926398"/>
    <w:rsid w:val="00927647"/>
    <w:rsid w:val="00954C01"/>
    <w:rsid w:val="009555DF"/>
    <w:rsid w:val="009557C3"/>
    <w:rsid w:val="0096234D"/>
    <w:rsid w:val="009A53AA"/>
    <w:rsid w:val="009A6B3C"/>
    <w:rsid w:val="009F7C9F"/>
    <w:rsid w:val="00A23AD5"/>
    <w:rsid w:val="00A47DCC"/>
    <w:rsid w:val="00A626A2"/>
    <w:rsid w:val="00A72588"/>
    <w:rsid w:val="00A72D34"/>
    <w:rsid w:val="00A95E79"/>
    <w:rsid w:val="00AA0B01"/>
    <w:rsid w:val="00AF65A5"/>
    <w:rsid w:val="00B514D7"/>
    <w:rsid w:val="00B5662B"/>
    <w:rsid w:val="00B67BDA"/>
    <w:rsid w:val="00B97C3F"/>
    <w:rsid w:val="00BB65E4"/>
    <w:rsid w:val="00BE4C3D"/>
    <w:rsid w:val="00C141F8"/>
    <w:rsid w:val="00C3179B"/>
    <w:rsid w:val="00C37EFC"/>
    <w:rsid w:val="00C4094A"/>
    <w:rsid w:val="00C52F8A"/>
    <w:rsid w:val="00C64D1F"/>
    <w:rsid w:val="00CA2091"/>
    <w:rsid w:val="00CB3FC6"/>
    <w:rsid w:val="00D050D6"/>
    <w:rsid w:val="00D122A1"/>
    <w:rsid w:val="00D420C4"/>
    <w:rsid w:val="00D4689D"/>
    <w:rsid w:val="00D64488"/>
    <w:rsid w:val="00D7173A"/>
    <w:rsid w:val="00DB2BFA"/>
    <w:rsid w:val="00DF02C6"/>
    <w:rsid w:val="00E20810"/>
    <w:rsid w:val="00E647E3"/>
    <w:rsid w:val="00E76811"/>
    <w:rsid w:val="00E76C44"/>
    <w:rsid w:val="00E77EA9"/>
    <w:rsid w:val="00E925A7"/>
    <w:rsid w:val="00ED67AB"/>
    <w:rsid w:val="00EE2C19"/>
    <w:rsid w:val="00EE32D2"/>
    <w:rsid w:val="00EE57C5"/>
    <w:rsid w:val="00F02A8F"/>
    <w:rsid w:val="00F35B32"/>
    <w:rsid w:val="00F425DB"/>
    <w:rsid w:val="00F5085B"/>
    <w:rsid w:val="00F60A2E"/>
    <w:rsid w:val="00FB14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B9A1A-7264-4D4D-A192-6BC78E68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A2"/>
    <w:rPr>
      <w:rFonts w:ascii="Arial" w:hAnsi="Arial"/>
      <w:sz w:val="20"/>
    </w:rPr>
  </w:style>
  <w:style w:type="paragraph" w:styleId="Titre1">
    <w:name w:val="heading 1"/>
    <w:basedOn w:val="Normal"/>
    <w:next w:val="Normal"/>
    <w:link w:val="Titre1Car"/>
    <w:uiPriority w:val="9"/>
    <w:qFormat/>
    <w:rsid w:val="00347E10"/>
    <w:pPr>
      <w:keepNext/>
      <w:keepLines/>
      <w:pBdr>
        <w:bottom w:val="single" w:sz="8" w:space="1" w:color="002060"/>
      </w:pBdr>
      <w:spacing w:before="600" w:after="120"/>
      <w:outlineLvl w:val="0"/>
    </w:pPr>
    <w:rPr>
      <w:rFonts w:eastAsiaTheme="majorEastAsia" w:cstheme="majorBidi"/>
      <w:b/>
      <w:bCs/>
      <w:color w:val="122255"/>
      <w:sz w:val="32"/>
      <w:szCs w:val="28"/>
    </w:rPr>
  </w:style>
  <w:style w:type="paragraph" w:styleId="Titre2">
    <w:name w:val="heading 2"/>
    <w:basedOn w:val="Normal"/>
    <w:next w:val="Normal"/>
    <w:link w:val="Titre2Car"/>
    <w:uiPriority w:val="9"/>
    <w:unhideWhenUsed/>
    <w:qFormat/>
    <w:rsid w:val="00347E10"/>
    <w:pPr>
      <w:keepNext/>
      <w:keepLines/>
      <w:pBdr>
        <w:bottom w:val="single" w:sz="8" w:space="1" w:color="002060"/>
      </w:pBdr>
      <w:spacing w:before="200" w:after="0"/>
      <w:outlineLvl w:val="1"/>
    </w:pPr>
    <w:rPr>
      <w:rFonts w:eastAsiaTheme="majorEastAsia" w:cstheme="majorBidi"/>
      <w:b/>
      <w:bCs/>
      <w:color w:val="122255"/>
      <w:sz w:val="28"/>
      <w:szCs w:val="26"/>
    </w:rPr>
  </w:style>
  <w:style w:type="paragraph" w:styleId="Titre3">
    <w:name w:val="heading 3"/>
    <w:basedOn w:val="Normal"/>
    <w:next w:val="Normal"/>
    <w:link w:val="Titre3Car"/>
    <w:uiPriority w:val="9"/>
    <w:unhideWhenUsed/>
    <w:qFormat/>
    <w:rsid w:val="00347E10"/>
    <w:pPr>
      <w:keepNext/>
      <w:keepLines/>
      <w:pBdr>
        <w:bottom w:val="single" w:sz="8" w:space="1" w:color="002060"/>
      </w:pBdr>
      <w:spacing w:before="200" w:after="120"/>
      <w:outlineLvl w:val="2"/>
    </w:pPr>
    <w:rPr>
      <w:rFonts w:eastAsiaTheme="majorEastAsia" w:cstheme="majorBidi"/>
      <w:b/>
      <w:bCs/>
      <w:color w:val="122255"/>
      <w:sz w:val="24"/>
    </w:rPr>
  </w:style>
  <w:style w:type="paragraph" w:styleId="Titre4">
    <w:name w:val="heading 4"/>
    <w:aliases w:val="Texte résumé"/>
    <w:basedOn w:val="Normal"/>
    <w:next w:val="Normal"/>
    <w:link w:val="Titre4Car"/>
    <w:uiPriority w:val="9"/>
    <w:unhideWhenUsed/>
    <w:qFormat/>
    <w:rsid w:val="00DB2BFA"/>
    <w:pPr>
      <w:keepNext/>
      <w:keepLines/>
      <w:pBdr>
        <w:top w:val="single" w:sz="8" w:space="1" w:color="122255"/>
        <w:left w:val="single" w:sz="8" w:space="4" w:color="122255"/>
        <w:bottom w:val="single" w:sz="8" w:space="1" w:color="122255"/>
        <w:right w:val="single" w:sz="8" w:space="4" w:color="122255"/>
      </w:pBdr>
      <w:spacing w:before="120" w:after="120"/>
      <w:jc w:val="both"/>
      <w:outlineLvl w:val="3"/>
    </w:pPr>
    <w:rPr>
      <w:rFonts w:eastAsiaTheme="majorEastAsia" w:cstheme="majorBidi"/>
      <w:bCs/>
      <w:iCs/>
    </w:rPr>
  </w:style>
  <w:style w:type="paragraph" w:styleId="Titre5">
    <w:name w:val="heading 5"/>
    <w:aliases w:val="Copyright"/>
    <w:basedOn w:val="Normal"/>
    <w:next w:val="Normal"/>
    <w:link w:val="Titre5Car"/>
    <w:uiPriority w:val="9"/>
    <w:unhideWhenUsed/>
    <w:qFormat/>
    <w:rsid w:val="004C458A"/>
    <w:pPr>
      <w:keepNext/>
      <w:keepLines/>
      <w:shd w:val="clear" w:color="auto" w:fill="E6A300"/>
      <w:spacing w:after="0"/>
      <w:jc w:val="both"/>
      <w:outlineLvl w:val="4"/>
    </w:pPr>
    <w:rPr>
      <w:rFonts w:eastAsiaTheme="majorEastAsia" w:cstheme="majorBid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E0409"/>
    <w:rPr>
      <w:color w:val="0000FF"/>
      <w:u w:val="single"/>
    </w:rPr>
  </w:style>
  <w:style w:type="paragraph" w:styleId="Textedebulles">
    <w:name w:val="Balloon Text"/>
    <w:basedOn w:val="Normal"/>
    <w:link w:val="TextedebullesCar"/>
    <w:uiPriority w:val="99"/>
    <w:semiHidden/>
    <w:unhideWhenUsed/>
    <w:rsid w:val="006E04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0409"/>
    <w:rPr>
      <w:rFonts w:ascii="Tahoma" w:hAnsi="Tahoma" w:cs="Tahoma"/>
      <w:sz w:val="16"/>
      <w:szCs w:val="16"/>
    </w:rPr>
  </w:style>
  <w:style w:type="paragraph" w:styleId="Titre">
    <w:name w:val="Title"/>
    <w:basedOn w:val="Normal"/>
    <w:next w:val="Normal"/>
    <w:link w:val="TitreCar"/>
    <w:uiPriority w:val="10"/>
    <w:qFormat/>
    <w:rsid w:val="00A626A2"/>
    <w:pPr>
      <w:pBdr>
        <w:top w:val="single" w:sz="12" w:space="1" w:color="E6A300"/>
        <w:bottom w:val="single" w:sz="12" w:space="1" w:color="E6A300"/>
      </w:pBdr>
      <w:shd w:val="clear" w:color="auto" w:fill="FFFFFF" w:themeFill="background1"/>
      <w:spacing w:after="300" w:line="240" w:lineRule="auto"/>
      <w:contextualSpacing/>
      <w:jc w:val="center"/>
    </w:pPr>
    <w:rPr>
      <w:rFonts w:eastAsiaTheme="majorEastAsia" w:cstheme="majorBidi"/>
      <w:color w:val="122255"/>
      <w:spacing w:val="5"/>
      <w:kern w:val="28"/>
      <w:sz w:val="52"/>
      <w:szCs w:val="52"/>
    </w:rPr>
  </w:style>
  <w:style w:type="character" w:customStyle="1" w:styleId="TitreCar">
    <w:name w:val="Titre Car"/>
    <w:basedOn w:val="Policepardfaut"/>
    <w:link w:val="Titre"/>
    <w:uiPriority w:val="10"/>
    <w:rsid w:val="00A626A2"/>
    <w:rPr>
      <w:rFonts w:ascii="Arial" w:eastAsiaTheme="majorEastAsia" w:hAnsi="Arial" w:cstheme="majorBidi"/>
      <w:color w:val="122255"/>
      <w:spacing w:val="5"/>
      <w:kern w:val="28"/>
      <w:sz w:val="52"/>
      <w:szCs w:val="52"/>
      <w:shd w:val="clear" w:color="auto" w:fill="FFFFFF" w:themeFill="background1"/>
    </w:rPr>
  </w:style>
  <w:style w:type="character" w:customStyle="1" w:styleId="Titre2Car">
    <w:name w:val="Titre 2 Car"/>
    <w:basedOn w:val="Policepardfaut"/>
    <w:link w:val="Titre2"/>
    <w:uiPriority w:val="9"/>
    <w:rsid w:val="00347E10"/>
    <w:rPr>
      <w:rFonts w:ascii="Arial" w:eastAsiaTheme="majorEastAsia" w:hAnsi="Arial" w:cstheme="majorBidi"/>
      <w:b/>
      <w:bCs/>
      <w:color w:val="122255"/>
      <w:sz w:val="28"/>
      <w:szCs w:val="26"/>
    </w:rPr>
  </w:style>
  <w:style w:type="paragraph" w:styleId="En-tte">
    <w:name w:val="header"/>
    <w:basedOn w:val="Normal"/>
    <w:link w:val="En-tteCar"/>
    <w:uiPriority w:val="99"/>
    <w:unhideWhenUsed/>
    <w:rsid w:val="00F425DB"/>
    <w:pPr>
      <w:tabs>
        <w:tab w:val="center" w:pos="4536"/>
        <w:tab w:val="right" w:pos="9072"/>
      </w:tabs>
      <w:spacing w:after="0" w:line="240" w:lineRule="auto"/>
    </w:pPr>
  </w:style>
  <w:style w:type="character" w:customStyle="1" w:styleId="En-tteCar">
    <w:name w:val="En-tête Car"/>
    <w:basedOn w:val="Policepardfaut"/>
    <w:link w:val="En-tte"/>
    <w:uiPriority w:val="99"/>
    <w:rsid w:val="00F425DB"/>
  </w:style>
  <w:style w:type="paragraph" w:styleId="Pieddepage">
    <w:name w:val="footer"/>
    <w:basedOn w:val="Normal"/>
    <w:link w:val="PieddepageCar"/>
    <w:uiPriority w:val="99"/>
    <w:unhideWhenUsed/>
    <w:rsid w:val="00F42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5DB"/>
  </w:style>
  <w:style w:type="paragraph" w:styleId="Paragraphedeliste">
    <w:name w:val="List Paragraph"/>
    <w:basedOn w:val="Normal"/>
    <w:uiPriority w:val="34"/>
    <w:qFormat/>
    <w:rsid w:val="00926398"/>
    <w:pPr>
      <w:ind w:left="720"/>
      <w:contextualSpacing/>
    </w:pPr>
  </w:style>
  <w:style w:type="table" w:styleId="Grilledutableau">
    <w:name w:val="Table Grid"/>
    <w:basedOn w:val="TableauNormal"/>
    <w:uiPriority w:val="59"/>
    <w:rsid w:val="005A6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47E10"/>
    <w:rPr>
      <w:rFonts w:ascii="Arial" w:eastAsiaTheme="majorEastAsia" w:hAnsi="Arial" w:cstheme="majorBidi"/>
      <w:b/>
      <w:bCs/>
      <w:color w:val="122255"/>
      <w:sz w:val="24"/>
    </w:rPr>
  </w:style>
  <w:style w:type="character" w:customStyle="1" w:styleId="Titre1Car">
    <w:name w:val="Titre 1 Car"/>
    <w:basedOn w:val="Policepardfaut"/>
    <w:link w:val="Titre1"/>
    <w:uiPriority w:val="9"/>
    <w:rsid w:val="00347E10"/>
    <w:rPr>
      <w:rFonts w:ascii="Arial" w:eastAsiaTheme="majorEastAsia" w:hAnsi="Arial" w:cstheme="majorBidi"/>
      <w:b/>
      <w:bCs/>
      <w:color w:val="122255"/>
      <w:sz w:val="32"/>
      <w:szCs w:val="28"/>
    </w:rPr>
  </w:style>
  <w:style w:type="character" w:customStyle="1" w:styleId="Titre4Car">
    <w:name w:val="Titre 4 Car"/>
    <w:aliases w:val="Texte résumé Car"/>
    <w:basedOn w:val="Policepardfaut"/>
    <w:link w:val="Titre4"/>
    <w:uiPriority w:val="9"/>
    <w:rsid w:val="00DB2BFA"/>
    <w:rPr>
      <w:rFonts w:ascii="Arial" w:eastAsiaTheme="majorEastAsia" w:hAnsi="Arial" w:cstheme="majorBidi"/>
      <w:bCs/>
      <w:iCs/>
      <w:sz w:val="20"/>
    </w:rPr>
  </w:style>
  <w:style w:type="paragraph" w:styleId="Sous-titre">
    <w:name w:val="Subtitle"/>
    <w:basedOn w:val="Normal"/>
    <w:next w:val="Normal"/>
    <w:link w:val="Sous-titreCar"/>
    <w:uiPriority w:val="11"/>
    <w:qFormat/>
    <w:rsid w:val="00D4689D"/>
    <w:pPr>
      <w:numPr>
        <w:ilvl w:val="1"/>
      </w:numPr>
    </w:pPr>
    <w:rPr>
      <w:rFonts w:ascii="Times New Roman" w:eastAsiaTheme="majorEastAsia" w:hAnsi="Times New Roman" w:cstheme="majorBidi"/>
      <w:i/>
      <w:iCs/>
      <w:color w:val="0D0D0D" w:themeColor="text1" w:themeTint="F2"/>
      <w:spacing w:val="15"/>
      <w:sz w:val="24"/>
      <w:szCs w:val="24"/>
    </w:rPr>
  </w:style>
  <w:style w:type="character" w:customStyle="1" w:styleId="Sous-titreCar">
    <w:name w:val="Sous-titre Car"/>
    <w:basedOn w:val="Policepardfaut"/>
    <w:link w:val="Sous-titre"/>
    <w:uiPriority w:val="11"/>
    <w:rsid w:val="00D4689D"/>
    <w:rPr>
      <w:rFonts w:ascii="Times New Roman" w:eastAsiaTheme="majorEastAsia" w:hAnsi="Times New Roman" w:cstheme="majorBidi"/>
      <w:i/>
      <w:iCs/>
      <w:color w:val="0D0D0D" w:themeColor="text1" w:themeTint="F2"/>
      <w:spacing w:val="15"/>
      <w:sz w:val="24"/>
      <w:szCs w:val="24"/>
    </w:rPr>
  </w:style>
  <w:style w:type="character" w:customStyle="1" w:styleId="Titre5Car">
    <w:name w:val="Titre 5 Car"/>
    <w:aliases w:val="Copyright Car"/>
    <w:basedOn w:val="Policepardfaut"/>
    <w:link w:val="Titre5"/>
    <w:uiPriority w:val="9"/>
    <w:rsid w:val="004C458A"/>
    <w:rPr>
      <w:rFonts w:ascii="Arial" w:eastAsiaTheme="majorEastAsia" w:hAnsi="Arial" w:cstheme="majorBidi"/>
      <w:sz w:val="16"/>
      <w:shd w:val="clear" w:color="auto" w:fill="E6A300"/>
    </w:rPr>
  </w:style>
  <w:style w:type="paragraph" w:styleId="NormalWeb">
    <w:name w:val="Normal (Web)"/>
    <w:basedOn w:val="Normal"/>
    <w:uiPriority w:val="99"/>
    <w:rsid w:val="00232B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3C1EF5"/>
    <w:pPr>
      <w:spacing w:after="0" w:line="240" w:lineRule="auto"/>
    </w:pPr>
    <w:rPr>
      <w:rFonts w:asciiTheme="minorHAnsi" w:hAnsiTheme="minorHAnsi"/>
      <w:szCs w:val="20"/>
    </w:rPr>
  </w:style>
  <w:style w:type="character" w:customStyle="1" w:styleId="NotedebasdepageCar">
    <w:name w:val="Note de bas de page Car"/>
    <w:basedOn w:val="Policepardfaut"/>
    <w:link w:val="Notedebasdepage"/>
    <w:uiPriority w:val="99"/>
    <w:semiHidden/>
    <w:rsid w:val="003C1EF5"/>
    <w:rPr>
      <w:sz w:val="20"/>
      <w:szCs w:val="20"/>
    </w:rPr>
  </w:style>
  <w:style w:type="character" w:styleId="Appelnotedebasdep">
    <w:name w:val="footnote reference"/>
    <w:basedOn w:val="Policepardfaut"/>
    <w:uiPriority w:val="99"/>
    <w:semiHidden/>
    <w:unhideWhenUsed/>
    <w:rsid w:val="003C1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785">
      <w:bodyDiv w:val="1"/>
      <w:marLeft w:val="0"/>
      <w:marRight w:val="0"/>
      <w:marTop w:val="0"/>
      <w:marBottom w:val="0"/>
      <w:divBdr>
        <w:top w:val="none" w:sz="0" w:space="0" w:color="auto"/>
        <w:left w:val="none" w:sz="0" w:space="0" w:color="auto"/>
        <w:bottom w:val="none" w:sz="0" w:space="0" w:color="auto"/>
        <w:right w:val="none" w:sz="0" w:space="0" w:color="auto"/>
      </w:divBdr>
    </w:div>
    <w:div w:id="794714273">
      <w:bodyDiv w:val="1"/>
      <w:marLeft w:val="0"/>
      <w:marRight w:val="0"/>
      <w:marTop w:val="0"/>
      <w:marBottom w:val="0"/>
      <w:divBdr>
        <w:top w:val="none" w:sz="0" w:space="0" w:color="auto"/>
        <w:left w:val="none" w:sz="0" w:space="0" w:color="auto"/>
        <w:bottom w:val="none" w:sz="0" w:space="0" w:color="auto"/>
        <w:right w:val="none" w:sz="0" w:space="0" w:color="auto"/>
      </w:divBdr>
    </w:div>
    <w:div w:id="867134823">
      <w:bodyDiv w:val="1"/>
      <w:marLeft w:val="0"/>
      <w:marRight w:val="0"/>
      <w:marTop w:val="0"/>
      <w:marBottom w:val="0"/>
      <w:divBdr>
        <w:top w:val="none" w:sz="0" w:space="0" w:color="auto"/>
        <w:left w:val="none" w:sz="0" w:space="0" w:color="auto"/>
        <w:bottom w:val="none" w:sz="0" w:space="0" w:color="auto"/>
        <w:right w:val="none" w:sz="0" w:space="0" w:color="auto"/>
      </w:divBdr>
    </w:div>
    <w:div w:id="874855775">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sChild>
        <w:div w:id="1316491390">
          <w:marLeft w:val="300"/>
          <w:marRight w:val="0"/>
          <w:marTop w:val="375"/>
          <w:marBottom w:val="225"/>
          <w:divBdr>
            <w:top w:val="none" w:sz="0" w:space="0" w:color="auto"/>
            <w:left w:val="none" w:sz="0" w:space="0" w:color="auto"/>
            <w:bottom w:val="none" w:sz="0" w:space="0" w:color="auto"/>
            <w:right w:val="none" w:sz="0" w:space="0" w:color="auto"/>
          </w:divBdr>
          <w:divsChild>
            <w:div w:id="1973828614">
              <w:marLeft w:val="0"/>
              <w:marRight w:val="0"/>
              <w:marTop w:val="0"/>
              <w:marBottom w:val="0"/>
              <w:divBdr>
                <w:top w:val="none" w:sz="0" w:space="0" w:color="auto"/>
                <w:left w:val="none" w:sz="0" w:space="0" w:color="auto"/>
                <w:bottom w:val="none" w:sz="0" w:space="0" w:color="auto"/>
                <w:right w:val="none" w:sz="0" w:space="0" w:color="auto"/>
              </w:divBdr>
              <w:divsChild>
                <w:div w:id="1374696158">
                  <w:marLeft w:val="0"/>
                  <w:marRight w:val="0"/>
                  <w:marTop w:val="0"/>
                  <w:marBottom w:val="0"/>
                  <w:divBdr>
                    <w:top w:val="none" w:sz="0" w:space="0" w:color="auto"/>
                    <w:left w:val="none" w:sz="0" w:space="0" w:color="auto"/>
                    <w:bottom w:val="none" w:sz="0" w:space="0" w:color="auto"/>
                    <w:right w:val="none" w:sz="0" w:space="0" w:color="auto"/>
                  </w:divBdr>
                  <w:divsChild>
                    <w:div w:id="143547384">
                      <w:marLeft w:val="0"/>
                      <w:marRight w:val="0"/>
                      <w:marTop w:val="0"/>
                      <w:marBottom w:val="0"/>
                      <w:divBdr>
                        <w:top w:val="none" w:sz="0" w:space="0" w:color="auto"/>
                        <w:left w:val="none" w:sz="0" w:space="0" w:color="auto"/>
                        <w:bottom w:val="none" w:sz="0" w:space="0" w:color="auto"/>
                        <w:right w:val="none" w:sz="0" w:space="0" w:color="auto"/>
                      </w:divBdr>
                      <w:divsChild>
                        <w:div w:id="3883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62540">
      <w:bodyDiv w:val="1"/>
      <w:marLeft w:val="0"/>
      <w:marRight w:val="0"/>
      <w:marTop w:val="0"/>
      <w:marBottom w:val="0"/>
      <w:divBdr>
        <w:top w:val="none" w:sz="0" w:space="0" w:color="auto"/>
        <w:left w:val="none" w:sz="0" w:space="0" w:color="auto"/>
        <w:bottom w:val="none" w:sz="0" w:space="0" w:color="auto"/>
        <w:right w:val="none" w:sz="0" w:space="0" w:color="auto"/>
      </w:divBdr>
    </w:div>
    <w:div w:id="1661084075">
      <w:bodyDiv w:val="1"/>
      <w:marLeft w:val="0"/>
      <w:marRight w:val="0"/>
      <w:marTop w:val="0"/>
      <w:marBottom w:val="0"/>
      <w:divBdr>
        <w:top w:val="none" w:sz="0" w:space="0" w:color="auto"/>
        <w:left w:val="none" w:sz="0" w:space="0" w:color="auto"/>
        <w:bottom w:val="none" w:sz="0" w:space="0" w:color="auto"/>
        <w:right w:val="none" w:sz="0" w:space="0" w:color="auto"/>
      </w:divBdr>
      <w:divsChild>
        <w:div w:id="1878200404">
          <w:marLeft w:val="300"/>
          <w:marRight w:val="0"/>
          <w:marTop w:val="375"/>
          <w:marBottom w:val="225"/>
          <w:divBdr>
            <w:top w:val="none" w:sz="0" w:space="0" w:color="auto"/>
            <w:left w:val="none" w:sz="0" w:space="0" w:color="auto"/>
            <w:bottom w:val="none" w:sz="0" w:space="0" w:color="auto"/>
            <w:right w:val="none" w:sz="0" w:space="0" w:color="auto"/>
          </w:divBdr>
          <w:divsChild>
            <w:div w:id="709569375">
              <w:marLeft w:val="0"/>
              <w:marRight w:val="0"/>
              <w:marTop w:val="0"/>
              <w:marBottom w:val="0"/>
              <w:divBdr>
                <w:top w:val="none" w:sz="0" w:space="0" w:color="auto"/>
                <w:left w:val="none" w:sz="0" w:space="0" w:color="auto"/>
                <w:bottom w:val="none" w:sz="0" w:space="0" w:color="auto"/>
                <w:right w:val="none" w:sz="0" w:space="0" w:color="auto"/>
              </w:divBdr>
              <w:divsChild>
                <w:div w:id="375204544">
                  <w:marLeft w:val="0"/>
                  <w:marRight w:val="0"/>
                  <w:marTop w:val="0"/>
                  <w:marBottom w:val="0"/>
                  <w:divBdr>
                    <w:top w:val="none" w:sz="0" w:space="0" w:color="auto"/>
                    <w:left w:val="none" w:sz="0" w:space="0" w:color="auto"/>
                    <w:bottom w:val="none" w:sz="0" w:space="0" w:color="auto"/>
                    <w:right w:val="none" w:sz="0" w:space="0" w:color="auto"/>
                  </w:divBdr>
                </w:div>
                <w:div w:id="583227115">
                  <w:marLeft w:val="0"/>
                  <w:marRight w:val="0"/>
                  <w:marTop w:val="0"/>
                  <w:marBottom w:val="0"/>
                  <w:divBdr>
                    <w:top w:val="none" w:sz="0" w:space="0" w:color="auto"/>
                    <w:left w:val="none" w:sz="0" w:space="0" w:color="auto"/>
                    <w:bottom w:val="none" w:sz="0" w:space="0" w:color="auto"/>
                    <w:right w:val="none" w:sz="0" w:space="0" w:color="auto"/>
                  </w:divBdr>
                  <w:divsChild>
                    <w:div w:id="1917010926">
                      <w:marLeft w:val="0"/>
                      <w:marRight w:val="0"/>
                      <w:marTop w:val="0"/>
                      <w:marBottom w:val="0"/>
                      <w:divBdr>
                        <w:top w:val="none" w:sz="0" w:space="0" w:color="auto"/>
                        <w:left w:val="none" w:sz="0" w:space="0" w:color="auto"/>
                        <w:bottom w:val="none" w:sz="0" w:space="0" w:color="auto"/>
                        <w:right w:val="none" w:sz="0" w:space="0" w:color="auto"/>
                      </w:divBdr>
                      <w:divsChild>
                        <w:div w:id="1948386814">
                          <w:marLeft w:val="0"/>
                          <w:marRight w:val="0"/>
                          <w:marTop w:val="0"/>
                          <w:marBottom w:val="0"/>
                          <w:divBdr>
                            <w:top w:val="none" w:sz="0" w:space="0" w:color="auto"/>
                            <w:left w:val="none" w:sz="0" w:space="0" w:color="auto"/>
                            <w:bottom w:val="none" w:sz="0" w:space="0" w:color="auto"/>
                            <w:right w:val="none" w:sz="0" w:space="0" w:color="auto"/>
                          </w:divBdr>
                          <w:divsChild>
                            <w:div w:id="251016775">
                              <w:marLeft w:val="0"/>
                              <w:marRight w:val="0"/>
                              <w:marTop w:val="15"/>
                              <w:marBottom w:val="0"/>
                              <w:divBdr>
                                <w:top w:val="none" w:sz="0" w:space="0" w:color="auto"/>
                                <w:left w:val="none" w:sz="0" w:space="0" w:color="auto"/>
                                <w:bottom w:val="none" w:sz="0" w:space="0" w:color="auto"/>
                                <w:right w:val="none" w:sz="0" w:space="0" w:color="auto"/>
                              </w:divBdr>
                            </w:div>
                            <w:div w:id="1493136400">
                              <w:marLeft w:val="0"/>
                              <w:marRight w:val="0"/>
                              <w:marTop w:val="15"/>
                              <w:marBottom w:val="0"/>
                              <w:divBdr>
                                <w:top w:val="none" w:sz="0" w:space="0" w:color="auto"/>
                                <w:left w:val="none" w:sz="0" w:space="0" w:color="auto"/>
                                <w:bottom w:val="none" w:sz="0" w:space="0" w:color="auto"/>
                                <w:right w:val="none" w:sz="0" w:space="0" w:color="auto"/>
                              </w:divBdr>
                            </w:div>
                            <w:div w:id="12482740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941306">
      <w:bodyDiv w:val="1"/>
      <w:marLeft w:val="0"/>
      <w:marRight w:val="0"/>
      <w:marTop w:val="0"/>
      <w:marBottom w:val="0"/>
      <w:divBdr>
        <w:top w:val="none" w:sz="0" w:space="0" w:color="auto"/>
        <w:left w:val="none" w:sz="0" w:space="0" w:color="auto"/>
        <w:bottom w:val="none" w:sz="0" w:space="0" w:color="auto"/>
        <w:right w:val="none" w:sz="0" w:space="0" w:color="auto"/>
      </w:divBdr>
    </w:div>
    <w:div w:id="2103525887">
      <w:bodyDiv w:val="1"/>
      <w:marLeft w:val="0"/>
      <w:marRight w:val="0"/>
      <w:marTop w:val="0"/>
      <w:marBottom w:val="0"/>
      <w:divBdr>
        <w:top w:val="none" w:sz="0" w:space="0" w:color="auto"/>
        <w:left w:val="none" w:sz="0" w:space="0" w:color="auto"/>
        <w:bottom w:val="none" w:sz="0" w:space="0" w:color="auto"/>
        <w:right w:val="none" w:sz="0" w:space="0" w:color="auto"/>
      </w:divBdr>
      <w:divsChild>
        <w:div w:id="1350791836">
          <w:marLeft w:val="0"/>
          <w:marRight w:val="0"/>
          <w:marTop w:val="100"/>
          <w:marBottom w:val="100"/>
          <w:divBdr>
            <w:top w:val="none" w:sz="0" w:space="0" w:color="auto"/>
            <w:left w:val="single" w:sz="6" w:space="0" w:color="8E8F92"/>
            <w:bottom w:val="none" w:sz="0" w:space="0" w:color="auto"/>
            <w:right w:val="single" w:sz="6" w:space="0" w:color="8E8F92"/>
          </w:divBdr>
          <w:divsChild>
            <w:div w:id="241137344">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 w:id="21171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3DD0D-0F38-4256-98F4-683A8B8D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6628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 Trésor</dc:creator>
  <cp:lastModifiedBy>NEU Aurélien</cp:lastModifiedBy>
  <cp:revision>2</cp:revision>
  <cp:lastPrinted>2014-06-03T08:56:00Z</cp:lastPrinted>
  <dcterms:created xsi:type="dcterms:W3CDTF">2018-05-22T12:56:00Z</dcterms:created>
  <dcterms:modified xsi:type="dcterms:W3CDTF">2018-05-22T12:56:00Z</dcterms:modified>
</cp:coreProperties>
</file>