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1426B" w14:textId="0930BB7D" w:rsidR="00714208" w:rsidRDefault="00714208" w:rsidP="00714208">
      <w:pPr>
        <w:tabs>
          <w:tab w:val="left" w:pos="3969"/>
          <w:tab w:val="center" w:pos="4423"/>
          <w:tab w:val="right" w:pos="8846"/>
        </w:tabs>
        <w:spacing w:after="0" w:line="240" w:lineRule="auto"/>
        <w:ind w:left="-1134"/>
        <w:jc w:val="left"/>
        <w:rPr>
          <w:rFonts w:eastAsia="Segoe UI" w:cs="Segoe UI"/>
          <w:b/>
          <w:smallCaps/>
          <w:color w:val="FFC000"/>
          <w:sz w:val="48"/>
          <w:szCs w:val="48"/>
        </w:rPr>
      </w:pPr>
      <w:r w:rsidRPr="00714208">
        <w:rPr>
          <w:rFonts w:asciiTheme="minorHAnsi" w:hAnsiTheme="minorHAnsi"/>
          <w:noProof/>
          <w:sz w:val="22"/>
          <w:szCs w:val="22"/>
        </w:rPr>
        <mc:AlternateContent>
          <mc:Choice Requires="wps">
            <w:drawing>
              <wp:anchor distT="0" distB="0" distL="114300" distR="114300" simplePos="0" relativeHeight="251675648" behindDoc="0" locked="0" layoutInCell="1" allowOverlap="1" wp14:anchorId="2D954EAD" wp14:editId="12E48987">
                <wp:simplePos x="0" y="0"/>
                <wp:positionH relativeFrom="page">
                  <wp:posOffset>1790700</wp:posOffset>
                </wp:positionH>
                <wp:positionV relativeFrom="paragraph">
                  <wp:posOffset>-262890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9C0EC29" w14:textId="77777777" w:rsidR="00714208" w:rsidRPr="00FC00EB" w:rsidRDefault="00714208" w:rsidP="00714208">
                            <w:pPr>
                              <w:textAlignment w:val="baseline"/>
                              <w:rPr>
                                <w:rFonts w:eastAsia="Calibri"/>
                                <w:b/>
                                <w:bCs/>
                                <w:color w:val="000000"/>
                                <w:kern w:val="24"/>
                                <w:sz w:val="18"/>
                                <w:szCs w:val="18"/>
                              </w:rPr>
                            </w:pPr>
                            <w:r w:rsidRPr="00FC00EB">
                              <w:rPr>
                                <w:rFonts w:eastAsia="Calibri"/>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2D954EAD" id="_x0000_t202" coordsize="21600,21600" o:spt="202" path="m,l,21600r21600,l21600,xe">
                <v:stroke joinstyle="miter"/>
                <v:path gradientshapeok="t" o:connecttype="rect"/>
              </v:shapetype>
              <v:shape id="ZoneTexte 8" o:spid="_x0000_s1026" type="#_x0000_t202" style="position:absolute;left:0;text-align:left;margin-left:141pt;margin-top:-20.7pt;width:154pt;height:20.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" filled="f" stroked="f">
                <v:textbox>
                  <w:txbxContent>
                    <w:p w14:paraId="49C0EC29" w14:textId="77777777" w:rsidR="00714208" w:rsidRPr="00FC00EB" w:rsidRDefault="00714208" w:rsidP="00714208">
                      <w:pPr>
                        <w:textAlignment w:val="baseline"/>
                        <w:rPr>
                          <w:rFonts w:eastAsia="Calibri"/>
                          <w:b/>
                          <w:bCs/>
                          <w:color w:val="000000"/>
                          <w:kern w:val="24"/>
                          <w:sz w:val="18"/>
                          <w:szCs w:val="18"/>
                        </w:rPr>
                      </w:pPr>
                      <w:r w:rsidRPr="00FC00EB">
                        <w:rPr>
                          <w:rFonts w:eastAsia="Calibri"/>
                          <w:b/>
                          <w:bCs/>
                          <w:color w:val="000000"/>
                          <w:kern w:val="24"/>
                          <w:sz w:val="18"/>
                          <w:szCs w:val="18"/>
                        </w:rPr>
                        <w:t xml:space="preserve">Direction générale du Trésor </w:t>
                      </w:r>
                    </w:p>
                  </w:txbxContent>
                </v:textbox>
                <w10:wrap anchorx="page"/>
              </v:shape>
            </w:pict>
          </mc:Fallback>
        </mc:AlternateContent>
      </w:r>
      <w:r w:rsidRPr="008516DA">
        <w:rPr>
          <w:rFonts w:ascii="Marianne Medium" w:hAnsi="Marianne Medium"/>
          <w:bCs/>
          <w:noProof/>
          <w:szCs w:val="18"/>
        </w:rPr>
        <w:drawing>
          <wp:anchor distT="0" distB="0" distL="114300" distR="114300" simplePos="0" relativeHeight="251673600" behindDoc="0" locked="0" layoutInCell="1" allowOverlap="1" wp14:anchorId="3C61F991" wp14:editId="20D6C0D2">
            <wp:simplePos x="0" y="0"/>
            <wp:positionH relativeFrom="page">
              <wp:posOffset>381000</wp:posOffset>
            </wp:positionH>
            <wp:positionV relativeFrom="margin">
              <wp:posOffset>-462915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Pr="000C1C74">
        <w:rPr>
          <w:rFonts w:ascii="Marianne Medium" w:eastAsia="Calibri" w:hAnsi="Marianne Medium" w:cs="Times New Roman"/>
          <w:bCs/>
          <w:noProof/>
          <w:szCs w:val="18"/>
        </w:rPr>
        <mc:AlternateContent>
          <mc:Choice Requires="wps">
            <w:drawing>
              <wp:anchor distT="0" distB="0" distL="114300" distR="114300" simplePos="0" relativeHeight="251671552" behindDoc="0" locked="0" layoutInCell="1" allowOverlap="1" wp14:anchorId="765CBDBF" wp14:editId="5A798E9D">
                <wp:simplePos x="0" y="0"/>
                <wp:positionH relativeFrom="column">
                  <wp:posOffset>-525145</wp:posOffset>
                </wp:positionH>
                <wp:positionV relativeFrom="paragraph">
                  <wp:posOffset>-529590</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83595" id="Rectangle 9" o:spid="_x0000_s1026" style="position:absolute;margin-left:-41.35pt;margin-top:-41.7pt;width:114.55pt;height:6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" fillcolor="window" stroked="f" strokeweight="1pt"/>
            </w:pict>
          </mc:Fallback>
        </mc:AlternateContent>
      </w:r>
      <w:r w:rsidRPr="008516DA">
        <w:rPr>
          <w:rFonts w:ascii="Marianne Medium" w:hAnsi="Marianne Medium"/>
          <w:bCs/>
          <w:noProof/>
          <w:szCs w:val="18"/>
        </w:rPr>
        <w:drawing>
          <wp:anchor distT="0" distB="0" distL="114300" distR="114300" simplePos="0" relativeHeight="251669504" behindDoc="1" locked="0" layoutInCell="1" allowOverlap="1" wp14:anchorId="2EC5F8DD" wp14:editId="6174F187">
            <wp:simplePos x="0" y="0"/>
            <wp:positionH relativeFrom="page">
              <wp:align>left</wp:align>
            </wp:positionH>
            <wp:positionV relativeFrom="paragraph">
              <wp:posOffset>-722630</wp:posOffset>
            </wp:positionV>
            <wp:extent cx="7562850" cy="2409825"/>
            <wp:effectExtent l="0" t="0" r="0" b="952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a:extLst>
                        <a:ext uri="{28A0092B-C50C-407E-A947-70E740481C1C}">
                          <a14:useLocalDpi xmlns:a14="http://schemas.microsoft.com/office/drawing/2010/main" val="0"/>
                        </a:ext>
                      </a:extLst>
                    </a:blip>
                    <a:srcRect t="2778" b="2778"/>
                    <a:stretch>
                      <a:fillRect/>
                    </a:stretch>
                  </pic:blipFill>
                  <pic:spPr bwMode="auto">
                    <a:xfrm>
                      <a:off x="0" y="0"/>
                      <a:ext cx="7562850" cy="2409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05E7DB" w14:textId="77777777" w:rsidR="00714208" w:rsidRDefault="00714208" w:rsidP="00714208">
      <w:pPr>
        <w:tabs>
          <w:tab w:val="left" w:pos="3969"/>
          <w:tab w:val="center" w:pos="4423"/>
          <w:tab w:val="right" w:pos="8846"/>
        </w:tabs>
        <w:spacing w:after="0" w:line="240" w:lineRule="auto"/>
        <w:ind w:left="-1134"/>
        <w:jc w:val="left"/>
        <w:rPr>
          <w:rFonts w:eastAsia="Segoe UI" w:cs="Segoe UI"/>
          <w:b/>
          <w:smallCaps/>
          <w:color w:val="FFC000"/>
          <w:sz w:val="48"/>
          <w:szCs w:val="48"/>
        </w:rPr>
      </w:pPr>
    </w:p>
    <w:p w14:paraId="33A551A2" w14:textId="369E7C4A" w:rsidR="00714208" w:rsidRPr="00714208" w:rsidRDefault="00714208" w:rsidP="00714208">
      <w:pPr>
        <w:tabs>
          <w:tab w:val="left" w:pos="3969"/>
          <w:tab w:val="center" w:pos="4423"/>
          <w:tab w:val="right" w:pos="8846"/>
        </w:tabs>
        <w:spacing w:after="0" w:line="240" w:lineRule="auto"/>
        <w:ind w:left="-1134"/>
        <w:jc w:val="left"/>
        <w:rPr>
          <w:rFonts w:eastAsia="Segoe UI" w:cs="Segoe UI"/>
          <w:b/>
          <w:smallCaps/>
          <w:color w:val="FFC000"/>
          <w:sz w:val="48"/>
          <w:szCs w:val="48"/>
        </w:rPr>
      </w:pPr>
      <w:r>
        <w:rPr>
          <w:rFonts w:eastAsia="Segoe UI" w:cs="Segoe UI"/>
          <w:b/>
          <w:smallCaps/>
          <w:color w:val="FFC000"/>
          <w:sz w:val="48"/>
          <w:szCs w:val="48"/>
        </w:rPr>
        <w:t>Mauritanie</w:t>
      </w:r>
    </w:p>
    <w:p w14:paraId="68397F61" w14:textId="77777777" w:rsidR="00714208" w:rsidRPr="00714208" w:rsidRDefault="00714208" w:rsidP="00714208">
      <w:pPr>
        <w:tabs>
          <w:tab w:val="left" w:pos="3969"/>
          <w:tab w:val="center" w:pos="4423"/>
          <w:tab w:val="right" w:pos="8846"/>
        </w:tabs>
        <w:spacing w:after="0" w:line="240" w:lineRule="auto"/>
        <w:ind w:left="-1134"/>
        <w:jc w:val="left"/>
        <w:rPr>
          <w:rFonts w:eastAsia="Segoe UI" w:cs="Segoe UI"/>
          <w:b/>
          <w:smallCaps/>
          <w:color w:val="FFC000"/>
          <w:sz w:val="44"/>
          <w:szCs w:val="44"/>
        </w:rPr>
      </w:pPr>
    </w:p>
    <w:p w14:paraId="00D89810" w14:textId="004DE128" w:rsidR="00714208" w:rsidRPr="00714208" w:rsidRDefault="00714208" w:rsidP="00714208">
      <w:pPr>
        <w:tabs>
          <w:tab w:val="left" w:pos="3969"/>
          <w:tab w:val="center" w:pos="4423"/>
          <w:tab w:val="right" w:pos="8846"/>
        </w:tabs>
        <w:spacing w:after="0" w:line="240" w:lineRule="auto"/>
        <w:ind w:left="-1134"/>
        <w:jc w:val="left"/>
        <w:rPr>
          <w:rFonts w:eastAsia="Segoe UI" w:cs="Segoe UI"/>
          <w:b/>
          <w:smallCaps/>
          <w:color w:val="FFC000"/>
          <w:sz w:val="44"/>
          <w:szCs w:val="44"/>
        </w:rPr>
      </w:pPr>
      <w:r w:rsidRPr="00714208">
        <w:rPr>
          <w:rFonts w:eastAsia="Segoe UI" w:cs="Segoe UI"/>
          <w:b/>
          <w:smallCaps/>
          <w:color w:val="FFC000"/>
          <w:sz w:val="44"/>
          <w:szCs w:val="44"/>
        </w:rPr>
        <w:t>Agriculture et Politique agricole</w:t>
      </w:r>
      <w:r w:rsidRPr="00714208">
        <w:rPr>
          <w:rFonts w:eastAsia="Segoe UI" w:cs="Segoe UI"/>
          <w:b/>
          <w:smallCaps/>
          <w:color w:val="FFC000"/>
          <w:sz w:val="44"/>
          <w:szCs w:val="44"/>
        </w:rPr>
        <w:tab/>
      </w:r>
      <w:r w:rsidR="00B37C8E">
        <w:rPr>
          <w:rFonts w:eastAsia="Segoe UI" w:cs="Segoe UI"/>
          <w:b/>
          <w:color w:val="FFC000"/>
          <w:sz w:val="24"/>
          <w:szCs w:val="24"/>
        </w:rPr>
        <w:t>Janvier</w:t>
      </w:r>
      <w:r w:rsidRPr="00714208">
        <w:rPr>
          <w:rFonts w:eastAsia="Segoe UI" w:cs="Segoe UI"/>
          <w:b/>
          <w:color w:val="FFC000"/>
          <w:sz w:val="24"/>
          <w:szCs w:val="24"/>
        </w:rPr>
        <w:t xml:space="preserve"> 202</w:t>
      </w:r>
      <w:r w:rsidR="00B37C8E">
        <w:rPr>
          <w:rFonts w:eastAsia="Segoe UI" w:cs="Segoe UI"/>
          <w:b/>
          <w:color w:val="FFC000"/>
          <w:sz w:val="24"/>
          <w:szCs w:val="24"/>
        </w:rPr>
        <w:t>6</w:t>
      </w:r>
    </w:p>
    <w:p w14:paraId="1474C9A5" w14:textId="638349C5" w:rsidR="00BF3BCA" w:rsidRPr="00714208" w:rsidRDefault="00BF3BCA" w:rsidP="00714208">
      <w:pPr>
        <w:pStyle w:val="Titre1"/>
        <w:numPr>
          <w:ilvl w:val="0"/>
          <w:numId w:val="0"/>
        </w:numPr>
        <w:ind w:left="360" w:hanging="360"/>
        <w:rPr>
          <w:sz w:val="16"/>
          <w:szCs w:val="16"/>
        </w:rPr>
      </w:pPr>
      <w:bookmarkStart w:id="0" w:name="_Hlk219097281"/>
      <w:r w:rsidRPr="00785965">
        <w:t>Contexte agricole et relations internationales</w:t>
      </w:r>
    </w:p>
    <w:tbl>
      <w:tblPr>
        <w:tblW w:w="10773" w:type="dxa"/>
        <w:tblInd w:w="-568" w:type="dxa"/>
        <w:tblLayout w:type="fixed"/>
        <w:tblCellMar>
          <w:top w:w="55" w:type="dxa"/>
          <w:left w:w="55" w:type="dxa"/>
          <w:bottom w:w="55" w:type="dxa"/>
          <w:right w:w="55" w:type="dxa"/>
        </w:tblCellMar>
        <w:tblLook w:val="0000" w:firstRow="0" w:lastRow="0" w:firstColumn="0" w:lastColumn="0" w:noHBand="0" w:noVBand="0"/>
      </w:tblPr>
      <w:tblGrid>
        <w:gridCol w:w="2552"/>
        <w:gridCol w:w="2126"/>
        <w:gridCol w:w="3047"/>
        <w:gridCol w:w="3048"/>
      </w:tblGrid>
      <w:tr w:rsidR="002415C7" w:rsidRPr="002E49D6" w14:paraId="384704D4" w14:textId="24CE465D" w:rsidTr="0009716C">
        <w:trPr>
          <w:trHeight w:val="227"/>
        </w:trPr>
        <w:tc>
          <w:tcPr>
            <w:tcW w:w="2552" w:type="dxa"/>
            <w:tcBorders>
              <w:top w:val="single" w:sz="1" w:space="0" w:color="000000"/>
              <w:left w:val="single" w:sz="1" w:space="0" w:color="000000"/>
              <w:bottom w:val="single" w:sz="1" w:space="0" w:color="000000"/>
            </w:tcBorders>
            <w:shd w:val="clear" w:color="auto" w:fill="auto"/>
            <w:vAlign w:val="center"/>
          </w:tcPr>
          <w:p w14:paraId="376D8E35" w14:textId="77777777" w:rsidR="002415C7" w:rsidRPr="008934F9" w:rsidRDefault="002415C7" w:rsidP="00677465">
            <w:pPr>
              <w:pStyle w:val="Styledetableau"/>
              <w:jc w:val="both"/>
              <w:rPr>
                <w:b/>
                <w:bCs/>
              </w:rPr>
            </w:pPr>
            <w:r w:rsidRPr="008934F9">
              <w:rPr>
                <w:b/>
                <w:bCs/>
              </w:rPr>
              <w:t>PRINCIPALES DONNÉES</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14:paraId="00F55E40" w14:textId="77777777" w:rsidR="002415C7" w:rsidRPr="008934F9" w:rsidRDefault="002415C7" w:rsidP="00842707">
            <w:pPr>
              <w:pStyle w:val="Styledetableau"/>
              <w:rPr>
                <w:b/>
                <w:bCs/>
              </w:rPr>
            </w:pPr>
            <w:r w:rsidRPr="008934F9">
              <w:rPr>
                <w:b/>
                <w:bCs/>
              </w:rPr>
              <w:t>UNITES</w:t>
            </w:r>
          </w:p>
        </w:tc>
        <w:tc>
          <w:tcPr>
            <w:tcW w:w="3047" w:type="dxa"/>
            <w:tcBorders>
              <w:top w:val="single" w:sz="1" w:space="0" w:color="000000"/>
              <w:left w:val="single" w:sz="1" w:space="0" w:color="000000"/>
              <w:bottom w:val="single" w:sz="1" w:space="0" w:color="000000"/>
              <w:right w:val="single" w:sz="1" w:space="0" w:color="000000"/>
            </w:tcBorders>
            <w:shd w:val="clear" w:color="auto" w:fill="auto"/>
          </w:tcPr>
          <w:p w14:paraId="602D6C4E" w14:textId="6B8BDDEA" w:rsidR="002415C7" w:rsidRPr="008934F9" w:rsidRDefault="008D3636" w:rsidP="00842707">
            <w:pPr>
              <w:pStyle w:val="Styledetableau"/>
              <w:rPr>
                <w:b/>
                <w:bCs/>
              </w:rPr>
            </w:pPr>
            <w:r w:rsidRPr="008934F9">
              <w:rPr>
                <w:b/>
                <w:bCs/>
              </w:rPr>
              <w:t>MAURITANIE</w:t>
            </w:r>
          </w:p>
        </w:tc>
        <w:tc>
          <w:tcPr>
            <w:tcW w:w="3048" w:type="dxa"/>
            <w:tcBorders>
              <w:top w:val="single" w:sz="1" w:space="0" w:color="000000"/>
              <w:left w:val="single" w:sz="1" w:space="0" w:color="000000"/>
              <w:bottom w:val="single" w:sz="1" w:space="0" w:color="000000"/>
              <w:right w:val="single" w:sz="1" w:space="0" w:color="000000"/>
            </w:tcBorders>
            <w:shd w:val="clear" w:color="auto" w:fill="auto"/>
          </w:tcPr>
          <w:p w14:paraId="49A0C8E0" w14:textId="77777777" w:rsidR="002415C7" w:rsidRPr="008934F9" w:rsidRDefault="002415C7" w:rsidP="00842707">
            <w:pPr>
              <w:pStyle w:val="Styledetableau"/>
              <w:rPr>
                <w:b/>
                <w:bCs/>
              </w:rPr>
            </w:pPr>
            <w:r w:rsidRPr="008934F9">
              <w:rPr>
                <w:b/>
                <w:bCs/>
              </w:rPr>
              <w:t>FRANCE</w:t>
            </w:r>
          </w:p>
        </w:tc>
      </w:tr>
      <w:tr w:rsidR="002415C7" w:rsidRPr="002E49D6" w14:paraId="62F4F4E2" w14:textId="55D79820" w:rsidTr="0009716C">
        <w:trPr>
          <w:trHeight w:val="227"/>
        </w:trPr>
        <w:tc>
          <w:tcPr>
            <w:tcW w:w="2552" w:type="dxa"/>
            <w:tcBorders>
              <w:left w:val="single" w:sz="1" w:space="0" w:color="000000"/>
              <w:bottom w:val="single" w:sz="1" w:space="0" w:color="000000"/>
            </w:tcBorders>
            <w:shd w:val="clear" w:color="auto" w:fill="auto"/>
          </w:tcPr>
          <w:p w14:paraId="17910F7C" w14:textId="77777777" w:rsidR="002415C7" w:rsidRPr="00842707" w:rsidRDefault="002415C7" w:rsidP="00677465">
            <w:pPr>
              <w:pStyle w:val="Styledetableau"/>
              <w:jc w:val="both"/>
            </w:pPr>
            <w:r w:rsidRPr="00842707">
              <w:t xml:space="preserve">Superficie </w:t>
            </w:r>
          </w:p>
        </w:tc>
        <w:tc>
          <w:tcPr>
            <w:tcW w:w="2126" w:type="dxa"/>
            <w:tcBorders>
              <w:left w:val="single" w:sz="1" w:space="0" w:color="000000"/>
              <w:bottom w:val="single" w:sz="1" w:space="0" w:color="000000"/>
              <w:right w:val="single" w:sz="1" w:space="0" w:color="000000"/>
            </w:tcBorders>
            <w:shd w:val="clear" w:color="auto" w:fill="auto"/>
          </w:tcPr>
          <w:p w14:paraId="330BD30D" w14:textId="77777777" w:rsidR="002415C7" w:rsidRPr="00842707" w:rsidRDefault="002415C7" w:rsidP="00842707">
            <w:pPr>
              <w:pStyle w:val="Styledetableau"/>
            </w:pPr>
            <w:proofErr w:type="gramStart"/>
            <w:r w:rsidRPr="00842707">
              <w:rPr>
                <w:rFonts w:eastAsia="CorporateS-RegularItalic"/>
              </w:rPr>
              <w:t>km</w:t>
            </w:r>
            <w:proofErr w:type="gramEnd"/>
            <w:r w:rsidRPr="00842707">
              <w:rPr>
                <w:rFonts w:eastAsia="CorporateS-RegularItalic"/>
                <w:vertAlign w:val="superscript"/>
              </w:rPr>
              <w:t>2</w:t>
            </w:r>
            <w:r w:rsidRPr="00842707">
              <w:rPr>
                <w:rFonts w:eastAsia="CorporateS-RegularItalic"/>
                <w:i/>
                <w:iCs/>
                <w:vertAlign w:val="superscript"/>
              </w:rPr>
              <w:t xml:space="preserve"> </w:t>
            </w:r>
            <w:r w:rsidRPr="00842707">
              <w:t>- 2020</w:t>
            </w:r>
            <w:r w:rsidRPr="00842707">
              <w:rPr>
                <w:rFonts w:eastAsia="Arial Unicode MS"/>
                <w:vertAlign w:val="superscript"/>
              </w:rPr>
              <w:footnoteReference w:id="1"/>
            </w:r>
          </w:p>
        </w:tc>
        <w:tc>
          <w:tcPr>
            <w:tcW w:w="3047" w:type="dxa"/>
            <w:tcBorders>
              <w:left w:val="single" w:sz="1" w:space="0" w:color="000000"/>
              <w:bottom w:val="single" w:sz="1" w:space="0" w:color="000000"/>
              <w:right w:val="single" w:sz="1" w:space="0" w:color="000000"/>
            </w:tcBorders>
            <w:shd w:val="clear" w:color="auto" w:fill="auto"/>
          </w:tcPr>
          <w:p w14:paraId="67AC6CBE" w14:textId="31F9FB0E" w:rsidR="002415C7" w:rsidRPr="000F6870" w:rsidRDefault="000F6870" w:rsidP="00842707">
            <w:pPr>
              <w:pStyle w:val="Styledetableau"/>
              <w:rPr>
                <w:highlight w:val="yellow"/>
              </w:rPr>
            </w:pPr>
            <w:r w:rsidRPr="000F6870">
              <w:t>1 030 700</w:t>
            </w:r>
          </w:p>
        </w:tc>
        <w:tc>
          <w:tcPr>
            <w:tcW w:w="3048" w:type="dxa"/>
            <w:tcBorders>
              <w:left w:val="single" w:sz="1" w:space="0" w:color="000000"/>
              <w:bottom w:val="single" w:sz="1" w:space="0" w:color="000000"/>
              <w:right w:val="single" w:sz="1" w:space="0" w:color="000000"/>
            </w:tcBorders>
            <w:shd w:val="clear" w:color="auto" w:fill="auto"/>
          </w:tcPr>
          <w:p w14:paraId="5CD498C0" w14:textId="77777777" w:rsidR="002415C7" w:rsidRPr="00842707" w:rsidRDefault="002415C7" w:rsidP="00842707">
            <w:pPr>
              <w:pStyle w:val="Styledetableau"/>
            </w:pPr>
            <w:r w:rsidRPr="00842707">
              <w:t>543</w:t>
            </w:r>
            <w:r w:rsidRPr="00842707">
              <w:rPr>
                <w:rFonts w:ascii="Calibri" w:hAnsi="Calibri" w:cs="Calibri"/>
              </w:rPr>
              <w:t> </w:t>
            </w:r>
            <w:r w:rsidRPr="00842707">
              <w:t>965</w:t>
            </w:r>
            <w:r w:rsidRPr="00842707">
              <w:rPr>
                <w:vertAlign w:val="superscript"/>
              </w:rPr>
              <w:footnoteReference w:id="2"/>
            </w:r>
          </w:p>
        </w:tc>
      </w:tr>
      <w:tr w:rsidR="005536EB" w:rsidRPr="002E49D6" w14:paraId="26017299" w14:textId="0AB7568F" w:rsidTr="0009716C">
        <w:trPr>
          <w:trHeight w:val="227"/>
        </w:trPr>
        <w:tc>
          <w:tcPr>
            <w:tcW w:w="2552" w:type="dxa"/>
            <w:tcBorders>
              <w:left w:val="single" w:sz="1" w:space="0" w:color="000000"/>
              <w:bottom w:val="single" w:sz="1" w:space="0" w:color="000000"/>
            </w:tcBorders>
            <w:shd w:val="clear" w:color="auto" w:fill="auto"/>
          </w:tcPr>
          <w:p w14:paraId="6A637AF5" w14:textId="77777777" w:rsidR="005536EB" w:rsidRPr="00842707" w:rsidRDefault="005536EB" w:rsidP="00677465">
            <w:pPr>
              <w:pStyle w:val="Styledetableau"/>
              <w:jc w:val="both"/>
            </w:pPr>
            <w:r w:rsidRPr="00842707">
              <w:t xml:space="preserve">Population </w:t>
            </w:r>
          </w:p>
        </w:tc>
        <w:tc>
          <w:tcPr>
            <w:tcW w:w="2126" w:type="dxa"/>
            <w:tcBorders>
              <w:left w:val="single" w:sz="1" w:space="0" w:color="000000"/>
              <w:bottom w:val="single" w:sz="1" w:space="0" w:color="000000"/>
              <w:right w:val="single" w:sz="1" w:space="0" w:color="000000"/>
            </w:tcBorders>
            <w:shd w:val="clear" w:color="auto" w:fill="auto"/>
          </w:tcPr>
          <w:p w14:paraId="057108B0" w14:textId="77777777" w:rsidR="005536EB" w:rsidRPr="00842707" w:rsidRDefault="005536EB" w:rsidP="00842707">
            <w:pPr>
              <w:pStyle w:val="Styledetableau"/>
              <w:rPr>
                <w:lang w:val="en-US"/>
              </w:rPr>
            </w:pPr>
            <w:r w:rsidRPr="00842707">
              <w:t>Millions d’habitants - Evolution 2024/2023</w:t>
            </w:r>
            <w:r w:rsidRPr="00842707">
              <w:rPr>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514B1C1F" w14:textId="0B9D8396" w:rsidR="005536EB" w:rsidRPr="00842707" w:rsidRDefault="00F1439A" w:rsidP="00842707">
            <w:pPr>
              <w:pStyle w:val="Styledetableau"/>
            </w:pPr>
            <w:r w:rsidRPr="00842707">
              <w:t>5,2</w:t>
            </w:r>
          </w:p>
          <w:p w14:paraId="72FF0340" w14:textId="34CDD2FB" w:rsidR="00F1439A" w:rsidRPr="00842707" w:rsidRDefault="00F1439A" w:rsidP="00842707">
            <w:pPr>
              <w:pStyle w:val="Styledetableau"/>
            </w:pPr>
            <w:r w:rsidRPr="00842707">
              <w:t>+</w:t>
            </w:r>
            <w:r w:rsidR="00FF65BE" w:rsidRPr="00842707">
              <w:t>2,9%</w:t>
            </w:r>
          </w:p>
        </w:tc>
        <w:tc>
          <w:tcPr>
            <w:tcW w:w="3048" w:type="dxa"/>
            <w:tcBorders>
              <w:left w:val="single" w:sz="1" w:space="0" w:color="000000"/>
              <w:bottom w:val="single" w:sz="1" w:space="0" w:color="000000"/>
              <w:right w:val="single" w:sz="1" w:space="0" w:color="000000"/>
            </w:tcBorders>
            <w:shd w:val="clear" w:color="auto" w:fill="auto"/>
          </w:tcPr>
          <w:p w14:paraId="5E608005" w14:textId="77777777" w:rsidR="005536EB" w:rsidRPr="00842707" w:rsidRDefault="005536EB" w:rsidP="00842707">
            <w:pPr>
              <w:pStyle w:val="Styledetableau"/>
            </w:pPr>
            <w:r w:rsidRPr="00842707">
              <w:t>68,5</w:t>
            </w:r>
          </w:p>
          <w:p w14:paraId="170B4276" w14:textId="5723B795" w:rsidR="00F1439A" w:rsidRPr="00842707" w:rsidRDefault="00F1439A" w:rsidP="00842707">
            <w:pPr>
              <w:pStyle w:val="Styledetableau"/>
            </w:pPr>
            <w:r w:rsidRPr="00842707">
              <w:t>+0,3%</w:t>
            </w:r>
          </w:p>
        </w:tc>
      </w:tr>
      <w:tr w:rsidR="00F1439A" w:rsidRPr="002E49D6" w14:paraId="3CBB86C9" w14:textId="7577EEAA" w:rsidTr="0009716C">
        <w:trPr>
          <w:trHeight w:val="227"/>
        </w:trPr>
        <w:tc>
          <w:tcPr>
            <w:tcW w:w="2552" w:type="dxa"/>
            <w:tcBorders>
              <w:left w:val="single" w:sz="1" w:space="0" w:color="000000"/>
              <w:bottom w:val="single" w:sz="1" w:space="0" w:color="000000"/>
            </w:tcBorders>
            <w:shd w:val="clear" w:color="auto" w:fill="auto"/>
          </w:tcPr>
          <w:p w14:paraId="2096273C" w14:textId="77777777" w:rsidR="00F1439A" w:rsidRPr="00842707" w:rsidRDefault="00F1439A" w:rsidP="00677465">
            <w:pPr>
              <w:pStyle w:val="Styledetableau"/>
              <w:jc w:val="both"/>
            </w:pPr>
            <w:r w:rsidRPr="00842707">
              <w:t>Indice de développement humain (IDH)</w:t>
            </w:r>
          </w:p>
        </w:tc>
        <w:tc>
          <w:tcPr>
            <w:tcW w:w="2126" w:type="dxa"/>
            <w:tcBorders>
              <w:left w:val="single" w:sz="1" w:space="0" w:color="000000"/>
              <w:bottom w:val="single" w:sz="1" w:space="0" w:color="000000"/>
              <w:right w:val="single" w:sz="1" w:space="0" w:color="000000"/>
            </w:tcBorders>
            <w:shd w:val="clear" w:color="auto" w:fill="auto"/>
          </w:tcPr>
          <w:p w14:paraId="3B6BDF7F" w14:textId="77777777" w:rsidR="00F1439A" w:rsidRPr="00842707" w:rsidRDefault="00F1439A" w:rsidP="00842707">
            <w:pPr>
              <w:pStyle w:val="Styledetableau"/>
              <w:rPr>
                <w:lang w:val="en-US"/>
              </w:rPr>
            </w:pPr>
            <w:r w:rsidRPr="00842707">
              <w:t>2023</w:t>
            </w:r>
            <w:r w:rsidRPr="00842707">
              <w:rPr>
                <w:vertAlign w:val="superscript"/>
              </w:rPr>
              <w:footnoteReference w:id="3"/>
            </w:r>
          </w:p>
        </w:tc>
        <w:tc>
          <w:tcPr>
            <w:tcW w:w="3047" w:type="dxa"/>
            <w:tcBorders>
              <w:left w:val="single" w:sz="1" w:space="0" w:color="000000"/>
              <w:bottom w:val="single" w:sz="1" w:space="0" w:color="000000"/>
              <w:right w:val="single" w:sz="1" w:space="0" w:color="000000"/>
            </w:tcBorders>
            <w:shd w:val="clear" w:color="auto" w:fill="auto"/>
          </w:tcPr>
          <w:p w14:paraId="3469D58B" w14:textId="38C4FA95" w:rsidR="00F1439A" w:rsidRDefault="00CC0F77" w:rsidP="00CC0F77">
            <w:pPr>
              <w:pStyle w:val="Styledetableau"/>
            </w:pPr>
            <w:r>
              <w:t>0,563</w:t>
            </w:r>
          </w:p>
          <w:p w14:paraId="5B31F722" w14:textId="1D331D23" w:rsidR="00F1439A" w:rsidRPr="00842707" w:rsidRDefault="00CC0F77" w:rsidP="00842707">
            <w:pPr>
              <w:pStyle w:val="Styledetableau"/>
            </w:pPr>
            <w:r>
              <w:t>163</w:t>
            </w:r>
            <w:r w:rsidR="00B638B4" w:rsidRPr="00B638B4">
              <w:rPr>
                <w:vertAlign w:val="superscript"/>
              </w:rPr>
              <w:t>e</w:t>
            </w:r>
            <w:r w:rsidR="00B638B4">
              <w:t xml:space="preserve"> rang mondial</w:t>
            </w:r>
          </w:p>
        </w:tc>
        <w:tc>
          <w:tcPr>
            <w:tcW w:w="3048" w:type="dxa"/>
            <w:tcBorders>
              <w:left w:val="single" w:sz="1" w:space="0" w:color="000000"/>
              <w:bottom w:val="single" w:sz="1" w:space="0" w:color="000000"/>
              <w:right w:val="single" w:sz="1" w:space="0" w:color="000000"/>
            </w:tcBorders>
            <w:shd w:val="clear" w:color="auto" w:fill="auto"/>
          </w:tcPr>
          <w:p w14:paraId="2453176D" w14:textId="77777777" w:rsidR="00F1439A" w:rsidRPr="00842707" w:rsidRDefault="00F1439A" w:rsidP="00842707">
            <w:pPr>
              <w:pStyle w:val="Styledetableau"/>
            </w:pPr>
            <w:r w:rsidRPr="00842707">
              <w:t>0,920</w:t>
            </w:r>
          </w:p>
          <w:p w14:paraId="61C77AB6" w14:textId="4B800F2F" w:rsidR="00F1439A" w:rsidRPr="00842707" w:rsidRDefault="00F1439A" w:rsidP="00842707">
            <w:pPr>
              <w:pStyle w:val="Styledetableau"/>
            </w:pPr>
            <w:r w:rsidRPr="00842707">
              <w:t>26</w:t>
            </w:r>
            <w:r w:rsidRPr="00842707">
              <w:rPr>
                <w:vertAlign w:val="superscript"/>
              </w:rPr>
              <w:t>e</w:t>
            </w:r>
            <w:r w:rsidRPr="00842707">
              <w:t xml:space="preserve"> rang mondial</w:t>
            </w:r>
          </w:p>
        </w:tc>
      </w:tr>
      <w:tr w:rsidR="00F1439A" w:rsidRPr="002E49D6" w14:paraId="08E1B4F9" w14:textId="03F099EA" w:rsidTr="0009716C">
        <w:trPr>
          <w:trHeight w:val="227"/>
        </w:trPr>
        <w:tc>
          <w:tcPr>
            <w:tcW w:w="2552" w:type="dxa"/>
            <w:tcBorders>
              <w:left w:val="single" w:sz="1" w:space="0" w:color="000000"/>
              <w:bottom w:val="single" w:sz="1" w:space="0" w:color="000000"/>
            </w:tcBorders>
            <w:shd w:val="clear" w:color="auto" w:fill="auto"/>
          </w:tcPr>
          <w:p w14:paraId="012EB1BA" w14:textId="77777777" w:rsidR="00F1439A" w:rsidRPr="00842707" w:rsidRDefault="00F1439A" w:rsidP="00677465">
            <w:pPr>
              <w:pStyle w:val="Styledetableau"/>
              <w:jc w:val="both"/>
            </w:pPr>
            <w:r w:rsidRPr="00842707">
              <w:t xml:space="preserve">Produit intérieur brut (PIB) </w:t>
            </w:r>
          </w:p>
        </w:tc>
        <w:tc>
          <w:tcPr>
            <w:tcW w:w="2126" w:type="dxa"/>
            <w:tcBorders>
              <w:left w:val="single" w:sz="1" w:space="0" w:color="000000"/>
              <w:bottom w:val="single" w:sz="1" w:space="0" w:color="000000"/>
              <w:right w:val="single" w:sz="1" w:space="0" w:color="000000"/>
            </w:tcBorders>
            <w:shd w:val="clear" w:color="auto" w:fill="auto"/>
          </w:tcPr>
          <w:p w14:paraId="7764E4D7" w14:textId="091BDEC6" w:rsidR="00F1439A" w:rsidRPr="00842707" w:rsidRDefault="00F1439A" w:rsidP="00842707">
            <w:pPr>
              <w:pStyle w:val="Styledetableau"/>
            </w:pPr>
            <w:r w:rsidRPr="00842707">
              <w:t>Md USD courants - 202</w:t>
            </w:r>
            <w:r w:rsidR="001A5BB3">
              <w:t>4</w:t>
            </w:r>
            <w:r w:rsidRPr="00842707">
              <w:rPr>
                <w:kern w:val="18"/>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74ABF5C1" w14:textId="66EA98EA" w:rsidR="00F1439A" w:rsidRPr="00842707" w:rsidRDefault="00FF65BE" w:rsidP="00842707">
            <w:pPr>
              <w:pStyle w:val="Styledetableau"/>
              <w:rPr>
                <w:lang w:val="en-US"/>
              </w:rPr>
            </w:pPr>
            <w:r w:rsidRPr="00842707">
              <w:rPr>
                <w:lang w:val="en-US"/>
              </w:rPr>
              <w:t>10,8</w:t>
            </w:r>
          </w:p>
        </w:tc>
        <w:tc>
          <w:tcPr>
            <w:tcW w:w="3048" w:type="dxa"/>
            <w:tcBorders>
              <w:left w:val="single" w:sz="1" w:space="0" w:color="000000"/>
              <w:bottom w:val="single" w:sz="1" w:space="0" w:color="000000"/>
              <w:right w:val="single" w:sz="1" w:space="0" w:color="000000"/>
            </w:tcBorders>
            <w:shd w:val="clear" w:color="auto" w:fill="auto"/>
          </w:tcPr>
          <w:p w14:paraId="03FFD6D7" w14:textId="0AE76F19" w:rsidR="00F1439A" w:rsidRPr="00842707" w:rsidRDefault="00F1439A" w:rsidP="00842707">
            <w:pPr>
              <w:pStyle w:val="Styledetableau"/>
              <w:rPr>
                <w:rFonts w:eastAsia="Times New Roman"/>
                <w:kern w:val="1"/>
              </w:rPr>
            </w:pPr>
            <w:r w:rsidRPr="00842707">
              <w:t>3 160</w:t>
            </w:r>
          </w:p>
        </w:tc>
      </w:tr>
      <w:tr w:rsidR="00F1439A" w:rsidRPr="002E49D6" w14:paraId="63CD19B9" w14:textId="720FDFFC" w:rsidTr="0009716C">
        <w:trPr>
          <w:trHeight w:val="227"/>
        </w:trPr>
        <w:tc>
          <w:tcPr>
            <w:tcW w:w="2552" w:type="dxa"/>
            <w:tcBorders>
              <w:left w:val="single" w:sz="1" w:space="0" w:color="000000"/>
              <w:bottom w:val="single" w:sz="1" w:space="0" w:color="000000"/>
            </w:tcBorders>
            <w:shd w:val="clear" w:color="auto" w:fill="auto"/>
          </w:tcPr>
          <w:p w14:paraId="55E87724" w14:textId="77777777" w:rsidR="00F1439A" w:rsidRPr="00842707" w:rsidRDefault="00F1439A" w:rsidP="00677465">
            <w:pPr>
              <w:pStyle w:val="Styledetableau"/>
              <w:jc w:val="both"/>
            </w:pPr>
            <w:r w:rsidRPr="00842707">
              <w:t xml:space="preserve">Taux de croissance du PIB </w:t>
            </w:r>
          </w:p>
        </w:tc>
        <w:tc>
          <w:tcPr>
            <w:tcW w:w="2126" w:type="dxa"/>
            <w:tcBorders>
              <w:left w:val="single" w:sz="1" w:space="0" w:color="000000"/>
              <w:bottom w:val="single" w:sz="1" w:space="0" w:color="000000"/>
              <w:right w:val="single" w:sz="1" w:space="0" w:color="000000"/>
            </w:tcBorders>
            <w:shd w:val="clear" w:color="auto" w:fill="auto"/>
          </w:tcPr>
          <w:p w14:paraId="522F933E" w14:textId="77777777" w:rsidR="00F1439A" w:rsidRPr="00842707" w:rsidRDefault="00F1439A" w:rsidP="00842707">
            <w:pPr>
              <w:pStyle w:val="Styledetableau"/>
            </w:pPr>
            <w:r w:rsidRPr="00842707">
              <w:t>% - 2023/2022</w:t>
            </w:r>
            <w:r w:rsidRPr="00842707">
              <w:rPr>
                <w:kern w:val="18"/>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06309256" w14:textId="2EC271DC" w:rsidR="00F1439A" w:rsidRPr="00842707" w:rsidRDefault="00FF65BE" w:rsidP="00842707">
            <w:pPr>
              <w:pStyle w:val="Styledetableau"/>
            </w:pPr>
            <w:r w:rsidRPr="00842707">
              <w:t>+5,2%</w:t>
            </w:r>
          </w:p>
        </w:tc>
        <w:tc>
          <w:tcPr>
            <w:tcW w:w="3048" w:type="dxa"/>
            <w:tcBorders>
              <w:left w:val="single" w:sz="1" w:space="0" w:color="000000"/>
              <w:bottom w:val="single" w:sz="1" w:space="0" w:color="000000"/>
              <w:right w:val="single" w:sz="1" w:space="0" w:color="000000"/>
            </w:tcBorders>
            <w:shd w:val="clear" w:color="auto" w:fill="auto"/>
          </w:tcPr>
          <w:p w14:paraId="106A946F" w14:textId="00ACCA8F" w:rsidR="00F1439A" w:rsidRPr="00842707" w:rsidRDefault="00F1439A" w:rsidP="00842707">
            <w:pPr>
              <w:pStyle w:val="Styledetableau"/>
              <w:rPr>
                <w:rFonts w:eastAsia="Times New Roman"/>
                <w:kern w:val="1"/>
              </w:rPr>
            </w:pPr>
            <w:r w:rsidRPr="00842707">
              <w:t>+1,2%</w:t>
            </w:r>
          </w:p>
        </w:tc>
      </w:tr>
      <w:tr w:rsidR="00F1439A" w:rsidRPr="002E49D6" w14:paraId="2F2200C1" w14:textId="29F68455" w:rsidTr="0009716C">
        <w:trPr>
          <w:trHeight w:val="227"/>
        </w:trPr>
        <w:tc>
          <w:tcPr>
            <w:tcW w:w="2552" w:type="dxa"/>
            <w:tcBorders>
              <w:left w:val="single" w:sz="1" w:space="0" w:color="000000"/>
              <w:bottom w:val="single" w:sz="1" w:space="0" w:color="000000"/>
            </w:tcBorders>
            <w:shd w:val="clear" w:color="auto" w:fill="auto"/>
          </w:tcPr>
          <w:p w14:paraId="4E60BF46" w14:textId="77777777" w:rsidR="00F1439A" w:rsidRPr="00842707" w:rsidRDefault="00F1439A" w:rsidP="00677465">
            <w:pPr>
              <w:pStyle w:val="Styledetableau"/>
              <w:jc w:val="both"/>
            </w:pPr>
            <w:r w:rsidRPr="00842707">
              <w:t xml:space="preserve">PIB / habitant </w:t>
            </w:r>
          </w:p>
        </w:tc>
        <w:tc>
          <w:tcPr>
            <w:tcW w:w="2126" w:type="dxa"/>
            <w:tcBorders>
              <w:left w:val="single" w:sz="1" w:space="0" w:color="000000"/>
              <w:bottom w:val="single" w:sz="1" w:space="0" w:color="000000"/>
              <w:right w:val="single" w:sz="1" w:space="0" w:color="000000"/>
            </w:tcBorders>
            <w:shd w:val="clear" w:color="auto" w:fill="auto"/>
          </w:tcPr>
          <w:p w14:paraId="7096BDF0" w14:textId="77777777" w:rsidR="00F1439A" w:rsidRPr="00842707" w:rsidRDefault="00F1439A" w:rsidP="00842707">
            <w:pPr>
              <w:pStyle w:val="Styledetableau"/>
            </w:pPr>
            <w:r w:rsidRPr="00842707">
              <w:t>USD courants - 2021</w:t>
            </w:r>
            <w:r w:rsidRPr="00842707">
              <w:rPr>
                <w:kern w:val="18"/>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62019466" w14:textId="4B8A8A53" w:rsidR="00F1439A" w:rsidRPr="00842707" w:rsidRDefault="00FF65BE" w:rsidP="00842707">
            <w:pPr>
              <w:pStyle w:val="Styledetableau"/>
              <w:rPr>
                <w:lang w:val="en-US"/>
              </w:rPr>
            </w:pPr>
            <w:r w:rsidRPr="00842707">
              <w:rPr>
                <w:lang w:val="en-US"/>
              </w:rPr>
              <w:t>2 083</w:t>
            </w:r>
          </w:p>
        </w:tc>
        <w:tc>
          <w:tcPr>
            <w:tcW w:w="3048" w:type="dxa"/>
            <w:tcBorders>
              <w:left w:val="single" w:sz="1" w:space="0" w:color="000000"/>
              <w:bottom w:val="single" w:sz="1" w:space="0" w:color="000000"/>
              <w:right w:val="single" w:sz="1" w:space="0" w:color="000000"/>
            </w:tcBorders>
            <w:shd w:val="clear" w:color="auto" w:fill="auto"/>
          </w:tcPr>
          <w:p w14:paraId="71A702C4" w14:textId="7FE386CB" w:rsidR="00F1439A" w:rsidRPr="00842707" w:rsidRDefault="00F1439A" w:rsidP="00842707">
            <w:pPr>
              <w:pStyle w:val="Styledetableau"/>
              <w:rPr>
                <w:rFonts w:eastAsia="Times New Roman"/>
                <w:kern w:val="1"/>
              </w:rPr>
            </w:pPr>
            <w:r w:rsidRPr="00842707">
              <w:t>46 151</w:t>
            </w:r>
          </w:p>
        </w:tc>
      </w:tr>
      <w:tr w:rsidR="00F1439A" w:rsidRPr="002E49D6" w14:paraId="391B8CCE" w14:textId="2BC83CE4" w:rsidTr="0009716C">
        <w:trPr>
          <w:trHeight w:val="227"/>
        </w:trPr>
        <w:tc>
          <w:tcPr>
            <w:tcW w:w="2552" w:type="dxa"/>
            <w:tcBorders>
              <w:left w:val="single" w:sz="1" w:space="0" w:color="000000"/>
              <w:bottom w:val="single" w:sz="1" w:space="0" w:color="000000"/>
            </w:tcBorders>
            <w:shd w:val="clear" w:color="auto" w:fill="auto"/>
          </w:tcPr>
          <w:p w14:paraId="4683C727" w14:textId="77777777" w:rsidR="00F1439A" w:rsidRPr="00842707" w:rsidRDefault="00F1439A" w:rsidP="00677465">
            <w:pPr>
              <w:pStyle w:val="Styledetableau"/>
              <w:jc w:val="both"/>
            </w:pPr>
            <w:r w:rsidRPr="00842707">
              <w:t xml:space="preserve">Part de l'agriculture dans le PIB </w:t>
            </w:r>
          </w:p>
        </w:tc>
        <w:tc>
          <w:tcPr>
            <w:tcW w:w="2126" w:type="dxa"/>
            <w:tcBorders>
              <w:left w:val="single" w:sz="1" w:space="0" w:color="000000"/>
              <w:bottom w:val="single" w:sz="1" w:space="0" w:color="000000"/>
              <w:right w:val="single" w:sz="1" w:space="0" w:color="000000"/>
            </w:tcBorders>
            <w:shd w:val="clear" w:color="auto" w:fill="auto"/>
          </w:tcPr>
          <w:p w14:paraId="487BF13E" w14:textId="535B3EE4" w:rsidR="00F1439A" w:rsidRPr="00842707" w:rsidRDefault="00F1439A" w:rsidP="00842707">
            <w:pPr>
              <w:pStyle w:val="Styledetableau"/>
            </w:pPr>
            <w:r w:rsidRPr="00842707">
              <w:t>% - 2023</w:t>
            </w:r>
            <w:r w:rsidRPr="00842707">
              <w:rPr>
                <w:kern w:val="18"/>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55E2BBB4" w14:textId="69F7BA8A" w:rsidR="00F1439A" w:rsidRPr="00FC14E2" w:rsidRDefault="00FC14E2" w:rsidP="00842707">
            <w:pPr>
              <w:pStyle w:val="Styledetableau"/>
              <w:rPr>
                <w:lang w:val="en-US"/>
              </w:rPr>
            </w:pPr>
            <w:r w:rsidRPr="00FC14E2">
              <w:rPr>
                <w:lang w:val="en-US"/>
              </w:rPr>
              <w:t>18,4</w:t>
            </w:r>
            <w:r w:rsidR="00FF65BE" w:rsidRPr="00FC14E2">
              <w:rPr>
                <w:lang w:val="en-US"/>
              </w:rPr>
              <w:t>%</w:t>
            </w:r>
          </w:p>
        </w:tc>
        <w:tc>
          <w:tcPr>
            <w:tcW w:w="3048" w:type="dxa"/>
            <w:tcBorders>
              <w:left w:val="single" w:sz="1" w:space="0" w:color="000000"/>
              <w:bottom w:val="single" w:sz="1" w:space="0" w:color="000000"/>
              <w:right w:val="single" w:sz="1" w:space="0" w:color="000000"/>
            </w:tcBorders>
            <w:shd w:val="clear" w:color="auto" w:fill="auto"/>
          </w:tcPr>
          <w:p w14:paraId="7647BC9B" w14:textId="56B71873" w:rsidR="00F1439A" w:rsidRPr="00842707" w:rsidRDefault="00F1439A" w:rsidP="00842707">
            <w:pPr>
              <w:pStyle w:val="Styledetableau"/>
              <w:rPr>
                <w:rFonts w:eastAsia="Times New Roman"/>
                <w:kern w:val="1"/>
              </w:rPr>
            </w:pPr>
            <w:r w:rsidRPr="00842707">
              <w:t>1,4%</w:t>
            </w:r>
          </w:p>
        </w:tc>
      </w:tr>
      <w:tr w:rsidR="00F1439A" w:rsidRPr="002E49D6" w14:paraId="47654FB9" w14:textId="6BE35DFC" w:rsidTr="0009716C">
        <w:trPr>
          <w:trHeight w:val="227"/>
        </w:trPr>
        <w:tc>
          <w:tcPr>
            <w:tcW w:w="2552" w:type="dxa"/>
            <w:tcBorders>
              <w:left w:val="single" w:sz="1" w:space="0" w:color="000000"/>
              <w:bottom w:val="single" w:sz="1" w:space="0" w:color="000000"/>
            </w:tcBorders>
            <w:shd w:val="clear" w:color="auto" w:fill="auto"/>
          </w:tcPr>
          <w:p w14:paraId="70F59678" w14:textId="77777777" w:rsidR="00F1439A" w:rsidRPr="00842707" w:rsidRDefault="00F1439A" w:rsidP="00677465">
            <w:pPr>
              <w:pStyle w:val="Styledetableau"/>
              <w:jc w:val="both"/>
            </w:pPr>
            <w:r w:rsidRPr="00842707">
              <w:t>Surface agricole utilisée (SAU)</w:t>
            </w:r>
            <w:r w:rsidRPr="00842707">
              <w:rPr>
                <w:vertAlign w:val="superscript"/>
              </w:rPr>
              <w:footnoteReference w:id="4"/>
            </w:r>
          </w:p>
        </w:tc>
        <w:tc>
          <w:tcPr>
            <w:tcW w:w="2126" w:type="dxa"/>
            <w:tcBorders>
              <w:left w:val="single" w:sz="1" w:space="0" w:color="000000"/>
              <w:bottom w:val="single" w:sz="1" w:space="0" w:color="000000"/>
              <w:right w:val="single" w:sz="1" w:space="0" w:color="000000"/>
            </w:tcBorders>
            <w:shd w:val="clear" w:color="auto" w:fill="auto"/>
          </w:tcPr>
          <w:p w14:paraId="189A7F6B" w14:textId="354B0D50" w:rsidR="00F1439A" w:rsidRPr="00842707" w:rsidRDefault="00F1439A" w:rsidP="00842707">
            <w:pPr>
              <w:pStyle w:val="Styledetableau"/>
            </w:pPr>
            <w:proofErr w:type="spellStart"/>
            <w:r w:rsidRPr="00842707">
              <w:t>Mha</w:t>
            </w:r>
            <w:proofErr w:type="spellEnd"/>
            <w:r w:rsidRPr="00842707">
              <w:rPr>
                <w:rFonts w:eastAsia="CorporateS-RegularItalic"/>
                <w:i/>
                <w:iCs/>
                <w:vertAlign w:val="superscript"/>
              </w:rPr>
              <w:t xml:space="preserve"> </w:t>
            </w:r>
            <w:r w:rsidRPr="00842707">
              <w:t>- 202</w:t>
            </w:r>
            <w:r w:rsidR="00D75319">
              <w:t>3</w:t>
            </w:r>
            <w:r w:rsidRPr="00842707">
              <w:rPr>
                <w:vertAlign w:val="superscript"/>
              </w:rPr>
              <w:footnoteReference w:id="5"/>
            </w:r>
          </w:p>
        </w:tc>
        <w:tc>
          <w:tcPr>
            <w:tcW w:w="3047" w:type="dxa"/>
            <w:tcBorders>
              <w:left w:val="single" w:sz="1" w:space="0" w:color="000000"/>
              <w:bottom w:val="single" w:sz="1" w:space="0" w:color="000000"/>
              <w:right w:val="single" w:sz="1" w:space="0" w:color="000000"/>
            </w:tcBorders>
            <w:shd w:val="clear" w:color="auto" w:fill="auto"/>
          </w:tcPr>
          <w:p w14:paraId="7A16EF3A" w14:textId="063E708E" w:rsidR="00F1439A" w:rsidRPr="00842707" w:rsidRDefault="00D75319" w:rsidP="00842707">
            <w:pPr>
              <w:pStyle w:val="Styledetableau"/>
              <w:rPr>
                <w:lang w:val="en-US"/>
              </w:rPr>
            </w:pPr>
            <w:r>
              <w:rPr>
                <w:lang w:val="en-US"/>
              </w:rPr>
              <w:t>0,4</w:t>
            </w:r>
          </w:p>
        </w:tc>
        <w:tc>
          <w:tcPr>
            <w:tcW w:w="3048" w:type="dxa"/>
            <w:tcBorders>
              <w:left w:val="single" w:sz="1" w:space="0" w:color="000000"/>
              <w:bottom w:val="single" w:sz="1" w:space="0" w:color="000000"/>
              <w:right w:val="single" w:sz="1" w:space="0" w:color="000000"/>
            </w:tcBorders>
            <w:shd w:val="clear" w:color="auto" w:fill="auto"/>
          </w:tcPr>
          <w:p w14:paraId="5CE48F96" w14:textId="13F2DFF3" w:rsidR="00F1439A" w:rsidRPr="00842707" w:rsidRDefault="00F1439A" w:rsidP="00842707">
            <w:pPr>
              <w:pStyle w:val="Styledetableau"/>
              <w:rPr>
                <w:rFonts w:eastAsia="Times New Roman"/>
                <w:kern w:val="1"/>
              </w:rPr>
            </w:pPr>
            <w:r w:rsidRPr="00842707">
              <w:t>28,</w:t>
            </w:r>
            <w:r w:rsidR="00D75319">
              <w:t>3</w:t>
            </w:r>
          </w:p>
        </w:tc>
      </w:tr>
      <w:tr w:rsidR="00F1439A" w:rsidRPr="002E49D6" w14:paraId="1404B038" w14:textId="764F9ACF" w:rsidTr="0009716C">
        <w:trPr>
          <w:trHeight w:val="227"/>
        </w:trPr>
        <w:tc>
          <w:tcPr>
            <w:tcW w:w="2552" w:type="dxa"/>
            <w:tcBorders>
              <w:left w:val="single" w:sz="1" w:space="0" w:color="000000"/>
              <w:bottom w:val="single" w:sz="1" w:space="0" w:color="000000"/>
            </w:tcBorders>
            <w:shd w:val="clear" w:color="auto" w:fill="auto"/>
          </w:tcPr>
          <w:p w14:paraId="14B04B12" w14:textId="77777777" w:rsidR="00F1439A" w:rsidRPr="00842707" w:rsidRDefault="00F1439A" w:rsidP="00677465">
            <w:pPr>
              <w:pStyle w:val="Styledetableau"/>
              <w:jc w:val="both"/>
            </w:pPr>
            <w:r w:rsidRPr="00842707">
              <w:t xml:space="preserve">Surface arable </w:t>
            </w:r>
          </w:p>
        </w:tc>
        <w:tc>
          <w:tcPr>
            <w:tcW w:w="2126" w:type="dxa"/>
            <w:tcBorders>
              <w:left w:val="single" w:sz="1" w:space="0" w:color="000000"/>
              <w:bottom w:val="single" w:sz="1" w:space="0" w:color="000000"/>
              <w:right w:val="single" w:sz="1" w:space="0" w:color="000000"/>
            </w:tcBorders>
            <w:shd w:val="clear" w:color="auto" w:fill="auto"/>
          </w:tcPr>
          <w:p w14:paraId="4A3CA35E" w14:textId="77777777" w:rsidR="00F1439A" w:rsidRPr="00842707" w:rsidRDefault="00F1439A" w:rsidP="00842707">
            <w:pPr>
              <w:pStyle w:val="Styledetableau"/>
            </w:pPr>
            <w:proofErr w:type="spellStart"/>
            <w:r w:rsidRPr="00842707">
              <w:t>Mha</w:t>
            </w:r>
            <w:proofErr w:type="spellEnd"/>
            <w:r w:rsidRPr="00842707">
              <w:rPr>
                <w:rFonts w:eastAsia="CorporateS-RegularItalic"/>
                <w:i/>
                <w:iCs/>
                <w:vertAlign w:val="superscript"/>
              </w:rPr>
              <w:t xml:space="preserve"> </w:t>
            </w:r>
            <w:r w:rsidRPr="00842707">
              <w:t>- 2023</w:t>
            </w:r>
            <w:r w:rsidRPr="00842707">
              <w:rPr>
                <w:rFonts w:eastAsia="Arial Unicode MS"/>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13541EF9" w14:textId="355BF1F3" w:rsidR="00F1439A" w:rsidRPr="00842707" w:rsidRDefault="00D75319" w:rsidP="00842707">
            <w:pPr>
              <w:pStyle w:val="Styledetableau"/>
              <w:rPr>
                <w:lang w:val="en-US"/>
              </w:rPr>
            </w:pPr>
            <w:r>
              <w:rPr>
                <w:lang w:val="en-US"/>
              </w:rPr>
              <w:t>0,5</w:t>
            </w:r>
          </w:p>
        </w:tc>
        <w:tc>
          <w:tcPr>
            <w:tcW w:w="3048" w:type="dxa"/>
            <w:tcBorders>
              <w:left w:val="single" w:sz="1" w:space="0" w:color="000000"/>
              <w:bottom w:val="single" w:sz="1" w:space="0" w:color="000000"/>
              <w:right w:val="single" w:sz="1" w:space="0" w:color="000000"/>
            </w:tcBorders>
            <w:shd w:val="clear" w:color="auto" w:fill="auto"/>
          </w:tcPr>
          <w:p w14:paraId="1D34F76C" w14:textId="194A99D0" w:rsidR="00F1439A" w:rsidRPr="00842707" w:rsidRDefault="00F1439A" w:rsidP="00842707">
            <w:pPr>
              <w:pStyle w:val="Styledetableau"/>
              <w:rPr>
                <w:rFonts w:eastAsia="Times New Roman"/>
                <w:kern w:val="1"/>
              </w:rPr>
            </w:pPr>
            <w:r w:rsidRPr="00842707">
              <w:t>17,9</w:t>
            </w:r>
          </w:p>
        </w:tc>
      </w:tr>
      <w:tr w:rsidR="00F1439A" w:rsidRPr="002E49D6" w14:paraId="0BD22C64" w14:textId="110A27C1" w:rsidTr="0009716C">
        <w:trPr>
          <w:trHeight w:val="227"/>
        </w:trPr>
        <w:tc>
          <w:tcPr>
            <w:tcW w:w="2552" w:type="dxa"/>
            <w:tcBorders>
              <w:left w:val="single" w:sz="1" w:space="0" w:color="000000"/>
              <w:bottom w:val="single" w:sz="1" w:space="0" w:color="000000"/>
            </w:tcBorders>
            <w:shd w:val="clear" w:color="auto" w:fill="auto"/>
          </w:tcPr>
          <w:p w14:paraId="12E920D9" w14:textId="77777777" w:rsidR="00F1439A" w:rsidRPr="00842707" w:rsidRDefault="00F1439A" w:rsidP="00677465">
            <w:pPr>
              <w:pStyle w:val="Styledetableau"/>
              <w:jc w:val="both"/>
            </w:pPr>
            <w:r w:rsidRPr="00842707">
              <w:t xml:space="preserve">Surface forestière </w:t>
            </w:r>
          </w:p>
        </w:tc>
        <w:tc>
          <w:tcPr>
            <w:tcW w:w="2126" w:type="dxa"/>
            <w:tcBorders>
              <w:left w:val="single" w:sz="1" w:space="0" w:color="000000"/>
              <w:bottom w:val="single" w:sz="1" w:space="0" w:color="000000"/>
              <w:right w:val="single" w:sz="1" w:space="0" w:color="000000"/>
            </w:tcBorders>
            <w:shd w:val="clear" w:color="auto" w:fill="auto"/>
          </w:tcPr>
          <w:p w14:paraId="149DE9C5" w14:textId="77777777" w:rsidR="00F1439A" w:rsidRPr="00842707" w:rsidRDefault="00F1439A" w:rsidP="00842707">
            <w:pPr>
              <w:pStyle w:val="Styledetableau"/>
            </w:pPr>
            <w:proofErr w:type="spellStart"/>
            <w:r w:rsidRPr="00842707">
              <w:t>Mha</w:t>
            </w:r>
            <w:proofErr w:type="spellEnd"/>
            <w:r w:rsidRPr="00842707">
              <w:t xml:space="preserve"> - 2023</w:t>
            </w:r>
            <w:r w:rsidRPr="00842707">
              <w:rPr>
                <w:kern w:val="18"/>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091DE23E" w14:textId="79A03ABF" w:rsidR="00F1439A" w:rsidRPr="00842707" w:rsidRDefault="00D75319" w:rsidP="00842707">
            <w:pPr>
              <w:pStyle w:val="Styledetableau"/>
              <w:rPr>
                <w:lang w:val="en-US"/>
              </w:rPr>
            </w:pPr>
            <w:r>
              <w:rPr>
                <w:lang w:val="en-US"/>
              </w:rPr>
              <w:t>0,3</w:t>
            </w:r>
          </w:p>
        </w:tc>
        <w:tc>
          <w:tcPr>
            <w:tcW w:w="3048" w:type="dxa"/>
            <w:tcBorders>
              <w:left w:val="single" w:sz="1" w:space="0" w:color="000000"/>
              <w:bottom w:val="single" w:sz="1" w:space="0" w:color="000000"/>
              <w:right w:val="single" w:sz="1" w:space="0" w:color="000000"/>
            </w:tcBorders>
            <w:shd w:val="clear" w:color="auto" w:fill="auto"/>
          </w:tcPr>
          <w:p w14:paraId="5A7D166D" w14:textId="164BD434" w:rsidR="00F1439A" w:rsidRPr="00842707" w:rsidRDefault="006D66B2" w:rsidP="00842707">
            <w:pPr>
              <w:pStyle w:val="Styledetableau"/>
            </w:pPr>
            <w:r>
              <w:t>17,2</w:t>
            </w:r>
          </w:p>
        </w:tc>
      </w:tr>
      <w:tr w:rsidR="00F1439A" w:rsidRPr="002E49D6" w14:paraId="3851F605" w14:textId="1F1E7A59" w:rsidTr="0009716C">
        <w:trPr>
          <w:trHeight w:val="400"/>
        </w:trPr>
        <w:tc>
          <w:tcPr>
            <w:tcW w:w="2552" w:type="dxa"/>
            <w:tcBorders>
              <w:left w:val="single" w:sz="1" w:space="0" w:color="000000"/>
              <w:bottom w:val="single" w:sz="1" w:space="0" w:color="000000"/>
            </w:tcBorders>
            <w:shd w:val="clear" w:color="auto" w:fill="auto"/>
          </w:tcPr>
          <w:p w14:paraId="18FDB52C" w14:textId="77777777" w:rsidR="00F1439A" w:rsidRPr="00842707" w:rsidRDefault="00F1439A" w:rsidP="00677465">
            <w:pPr>
              <w:pStyle w:val="Styledetableau"/>
              <w:jc w:val="both"/>
            </w:pPr>
            <w:r w:rsidRPr="00842707">
              <w:t xml:space="preserve">Balance commerciale tous secteurs </w:t>
            </w:r>
          </w:p>
        </w:tc>
        <w:tc>
          <w:tcPr>
            <w:tcW w:w="2126" w:type="dxa"/>
            <w:tcBorders>
              <w:left w:val="single" w:sz="1" w:space="0" w:color="000000"/>
              <w:bottom w:val="single" w:sz="1" w:space="0" w:color="000000"/>
              <w:right w:val="single" w:sz="1" w:space="0" w:color="000000"/>
            </w:tcBorders>
            <w:shd w:val="clear" w:color="auto" w:fill="auto"/>
          </w:tcPr>
          <w:p w14:paraId="581C1F57" w14:textId="77777777" w:rsidR="00F1439A" w:rsidRPr="00842707" w:rsidRDefault="00F1439A" w:rsidP="00842707">
            <w:pPr>
              <w:pStyle w:val="Styledetableau"/>
            </w:pPr>
            <w:r w:rsidRPr="00842707">
              <w:t>France</w:t>
            </w:r>
            <w:r w:rsidRPr="00842707">
              <w:rPr>
                <w:rFonts w:ascii="Calibri" w:hAnsi="Calibri" w:cs="Calibri"/>
              </w:rPr>
              <w:t> </w:t>
            </w:r>
            <w:r w:rsidRPr="00842707">
              <w:t>: Md</w:t>
            </w:r>
            <w:r w:rsidRPr="00842707">
              <w:rPr>
                <w:rFonts w:cs="Marianne"/>
              </w:rPr>
              <w:t>€</w:t>
            </w:r>
            <w:r w:rsidRPr="00842707">
              <w:t xml:space="preserve"> - 2024</w:t>
            </w:r>
            <w:r w:rsidRPr="00842707">
              <w:rPr>
                <w:vertAlign w:val="superscript"/>
              </w:rPr>
              <w:footnoteReference w:id="6"/>
            </w:r>
          </w:p>
          <w:p w14:paraId="49EB3BF3" w14:textId="2CAD75BA" w:rsidR="00F1439A" w:rsidRPr="00842707" w:rsidRDefault="00CD6B84" w:rsidP="00842707">
            <w:pPr>
              <w:pStyle w:val="Styledetableau"/>
            </w:pPr>
            <w:r w:rsidRPr="00842707">
              <w:t>Mauritanie</w:t>
            </w:r>
            <w:r w:rsidR="00F1439A" w:rsidRPr="00842707">
              <w:t xml:space="preserve"> : Md</w:t>
            </w:r>
            <w:r w:rsidR="00F1439A" w:rsidRPr="00842707">
              <w:rPr>
                <w:rFonts w:eastAsia="Times New Roman"/>
                <w:kern w:val="1"/>
              </w:rPr>
              <w:t>€</w:t>
            </w:r>
            <w:r w:rsidR="00F1439A" w:rsidRPr="00842707">
              <w:t xml:space="preserve"> - 2024</w:t>
            </w:r>
            <w:r w:rsidR="00F1439A" w:rsidRPr="00842707">
              <w:rPr>
                <w:vertAlign w:val="superscript"/>
              </w:rPr>
              <w:t>7</w:t>
            </w:r>
          </w:p>
        </w:tc>
        <w:tc>
          <w:tcPr>
            <w:tcW w:w="3047" w:type="dxa"/>
            <w:tcBorders>
              <w:left w:val="single" w:sz="1" w:space="0" w:color="000000"/>
              <w:bottom w:val="single" w:sz="1" w:space="0" w:color="000000"/>
              <w:right w:val="single" w:sz="1" w:space="0" w:color="000000"/>
            </w:tcBorders>
            <w:shd w:val="clear" w:color="auto" w:fill="auto"/>
          </w:tcPr>
          <w:p w14:paraId="6067AFF8" w14:textId="2A12BB0C" w:rsidR="00F1439A" w:rsidRPr="00842707" w:rsidRDefault="006D66B2" w:rsidP="00842707">
            <w:pPr>
              <w:pStyle w:val="Styledetableau"/>
              <w:rPr>
                <w:lang w:val="en-US"/>
              </w:rPr>
            </w:pPr>
            <w:r>
              <w:rPr>
                <w:lang w:val="en-US"/>
              </w:rPr>
              <w:t>+0,2</w:t>
            </w:r>
          </w:p>
        </w:tc>
        <w:tc>
          <w:tcPr>
            <w:tcW w:w="3048" w:type="dxa"/>
            <w:tcBorders>
              <w:left w:val="single" w:sz="1" w:space="0" w:color="000000"/>
              <w:bottom w:val="single" w:sz="1" w:space="0" w:color="000000"/>
              <w:right w:val="single" w:sz="1" w:space="0" w:color="000000"/>
            </w:tcBorders>
            <w:shd w:val="clear" w:color="auto" w:fill="auto"/>
          </w:tcPr>
          <w:p w14:paraId="04D69D02" w14:textId="214556B8" w:rsidR="00F1439A" w:rsidRPr="00842707" w:rsidRDefault="006D66B2" w:rsidP="00842707">
            <w:pPr>
              <w:pStyle w:val="Styledetableau"/>
            </w:pPr>
            <w:r>
              <w:t>-104,9</w:t>
            </w:r>
          </w:p>
        </w:tc>
      </w:tr>
      <w:tr w:rsidR="00F1439A" w:rsidRPr="002E49D6" w14:paraId="448C6B98" w14:textId="4AB10F6D" w:rsidTr="0009716C">
        <w:trPr>
          <w:trHeight w:val="227"/>
        </w:trPr>
        <w:tc>
          <w:tcPr>
            <w:tcW w:w="2552" w:type="dxa"/>
            <w:tcBorders>
              <w:left w:val="single" w:sz="1" w:space="0" w:color="000000"/>
              <w:bottom w:val="single" w:sz="1" w:space="0" w:color="000000"/>
            </w:tcBorders>
            <w:shd w:val="clear" w:color="auto" w:fill="auto"/>
          </w:tcPr>
          <w:p w14:paraId="3B5802AC" w14:textId="4035B985" w:rsidR="00F1439A" w:rsidRPr="00842707" w:rsidRDefault="00F1439A" w:rsidP="00677465">
            <w:pPr>
              <w:pStyle w:val="Styledetableau"/>
              <w:jc w:val="both"/>
            </w:pPr>
            <w:r w:rsidRPr="00842707">
              <w:t>Balance commerciale agricole et agroalimentaire</w:t>
            </w:r>
            <w:r w:rsidR="007E315C" w:rsidRPr="00842707">
              <w:rPr>
                <w:vertAlign w:val="superscript"/>
              </w:rPr>
              <w:t>8</w:t>
            </w:r>
          </w:p>
        </w:tc>
        <w:tc>
          <w:tcPr>
            <w:tcW w:w="2126" w:type="dxa"/>
            <w:tcBorders>
              <w:left w:val="single" w:sz="1" w:space="0" w:color="000000"/>
              <w:bottom w:val="single" w:sz="1" w:space="0" w:color="000000"/>
              <w:right w:val="single" w:sz="1" w:space="0" w:color="000000"/>
            </w:tcBorders>
            <w:shd w:val="clear" w:color="auto" w:fill="auto"/>
          </w:tcPr>
          <w:p w14:paraId="3A6B46B1" w14:textId="77777777" w:rsidR="00F1439A" w:rsidRPr="00842707" w:rsidRDefault="00F1439A" w:rsidP="00842707">
            <w:pPr>
              <w:pStyle w:val="Styledetableau"/>
            </w:pPr>
            <w:r w:rsidRPr="00842707">
              <w:t>France</w:t>
            </w:r>
            <w:r w:rsidRPr="00842707">
              <w:rPr>
                <w:rFonts w:ascii="Calibri" w:hAnsi="Calibri" w:cs="Calibri"/>
              </w:rPr>
              <w:t> </w:t>
            </w:r>
            <w:r w:rsidRPr="00842707">
              <w:t>: Md</w:t>
            </w:r>
            <w:r w:rsidRPr="00842707">
              <w:rPr>
                <w:rFonts w:cs="Marianne"/>
              </w:rPr>
              <w:t>€</w:t>
            </w:r>
            <w:r w:rsidRPr="00842707">
              <w:t xml:space="preserve"> - 2024</w:t>
            </w:r>
            <w:r w:rsidRPr="00842707">
              <w:rPr>
                <w:vertAlign w:val="superscript"/>
              </w:rPr>
              <w:t>6</w:t>
            </w:r>
          </w:p>
          <w:p w14:paraId="4083D5B5" w14:textId="2875222B" w:rsidR="00F1439A" w:rsidRPr="00842707" w:rsidRDefault="00CD6B84" w:rsidP="00842707">
            <w:pPr>
              <w:pStyle w:val="Styledetableau"/>
            </w:pPr>
            <w:r w:rsidRPr="00842707">
              <w:t>Mauritanie</w:t>
            </w:r>
            <w:r w:rsidR="00F1439A" w:rsidRPr="00842707">
              <w:rPr>
                <w:rFonts w:ascii="Calibri" w:hAnsi="Calibri" w:cs="Calibri"/>
              </w:rPr>
              <w:t> </w:t>
            </w:r>
            <w:r w:rsidR="00F1439A" w:rsidRPr="00842707">
              <w:t xml:space="preserve">: Md </w:t>
            </w:r>
            <w:r w:rsidR="00F1439A" w:rsidRPr="00842707">
              <w:rPr>
                <w:rFonts w:cs="Marianne"/>
              </w:rPr>
              <w:t>€</w:t>
            </w:r>
            <w:r w:rsidR="00F1439A" w:rsidRPr="00842707">
              <w:t xml:space="preserve"> - 2024</w:t>
            </w:r>
            <w:r w:rsidR="00F1439A" w:rsidRPr="00842707">
              <w:rPr>
                <w:vertAlign w:val="superscript"/>
              </w:rPr>
              <w:t>7</w:t>
            </w:r>
          </w:p>
        </w:tc>
        <w:tc>
          <w:tcPr>
            <w:tcW w:w="3047" w:type="dxa"/>
            <w:tcBorders>
              <w:left w:val="single" w:sz="1" w:space="0" w:color="000000"/>
              <w:bottom w:val="single" w:sz="1" w:space="0" w:color="000000"/>
              <w:right w:val="single" w:sz="1" w:space="0" w:color="000000"/>
            </w:tcBorders>
            <w:shd w:val="clear" w:color="auto" w:fill="auto"/>
          </w:tcPr>
          <w:p w14:paraId="7C1459B6" w14:textId="7E491B28" w:rsidR="008A6A05" w:rsidRPr="008A6A05" w:rsidRDefault="008A6A05" w:rsidP="008A6A05">
            <w:pPr>
              <w:spacing w:after="0" w:line="240" w:lineRule="auto"/>
              <w:contextualSpacing/>
              <w:rPr>
                <w:rFonts w:cs="Helvetica"/>
                <w:sz w:val="16"/>
                <w:szCs w:val="16"/>
              </w:rPr>
            </w:pPr>
            <w:r w:rsidRPr="008A6A05">
              <w:rPr>
                <w:rFonts w:cs="Helvetica"/>
                <w:sz w:val="16"/>
                <w:szCs w:val="16"/>
              </w:rPr>
              <w:t xml:space="preserve">Export : </w:t>
            </w:r>
            <w:r w:rsidR="007E315C">
              <w:rPr>
                <w:rFonts w:cs="Helvetica"/>
                <w:sz w:val="16"/>
                <w:szCs w:val="16"/>
              </w:rPr>
              <w:t>1</w:t>
            </w:r>
            <w:r w:rsidRPr="008A6A05">
              <w:rPr>
                <w:rFonts w:cs="Helvetica"/>
                <w:sz w:val="16"/>
                <w:szCs w:val="16"/>
              </w:rPr>
              <w:t>,</w:t>
            </w:r>
            <w:r w:rsidR="007E315C">
              <w:rPr>
                <w:rFonts w:cs="Helvetica"/>
                <w:sz w:val="16"/>
                <w:szCs w:val="16"/>
              </w:rPr>
              <w:t>0</w:t>
            </w:r>
          </w:p>
          <w:p w14:paraId="33C284FE" w14:textId="6D5A667A" w:rsidR="008A6A05" w:rsidRPr="008A6A05" w:rsidRDefault="008A6A05" w:rsidP="008A6A05">
            <w:pPr>
              <w:spacing w:after="0" w:line="240" w:lineRule="auto"/>
              <w:contextualSpacing/>
              <w:rPr>
                <w:rFonts w:cs="Helvetica"/>
                <w:sz w:val="16"/>
                <w:szCs w:val="16"/>
              </w:rPr>
            </w:pPr>
            <w:r w:rsidRPr="008A6A05">
              <w:rPr>
                <w:rFonts w:cs="Helvetica"/>
                <w:sz w:val="16"/>
                <w:szCs w:val="16"/>
              </w:rPr>
              <w:t xml:space="preserve">Import : </w:t>
            </w:r>
            <w:r>
              <w:rPr>
                <w:rFonts w:cs="Helvetica"/>
                <w:sz w:val="16"/>
                <w:szCs w:val="16"/>
              </w:rPr>
              <w:t>1</w:t>
            </w:r>
            <w:r w:rsidRPr="008A6A05">
              <w:rPr>
                <w:rFonts w:cs="Helvetica"/>
                <w:sz w:val="16"/>
                <w:szCs w:val="16"/>
              </w:rPr>
              <w:t>,3</w:t>
            </w:r>
          </w:p>
          <w:p w14:paraId="769406C8" w14:textId="2715363E" w:rsidR="00F1439A" w:rsidRPr="00842707" w:rsidRDefault="008A6A05" w:rsidP="008A6A05">
            <w:pPr>
              <w:pStyle w:val="Styledetableau"/>
            </w:pPr>
            <w:r w:rsidRPr="008A6A05">
              <w:rPr>
                <w:rFonts w:eastAsiaTheme="minorHAnsi"/>
                <w:color w:val="auto"/>
                <w:bdr w:val="none" w:sz="0" w:space="0" w:color="auto"/>
                <w:lang w:eastAsia="en-US"/>
              </w:rPr>
              <w:t xml:space="preserve">Solde : </w:t>
            </w:r>
            <w:r w:rsidR="007E315C">
              <w:rPr>
                <w:rFonts w:eastAsiaTheme="minorHAnsi"/>
                <w:color w:val="auto"/>
                <w:bdr w:val="none" w:sz="0" w:space="0" w:color="auto"/>
                <w:lang w:eastAsia="en-US"/>
              </w:rPr>
              <w:t>-0</w:t>
            </w:r>
            <w:r w:rsidRPr="008A6A05">
              <w:rPr>
                <w:rFonts w:eastAsiaTheme="minorHAnsi"/>
                <w:color w:val="auto"/>
                <w:bdr w:val="none" w:sz="0" w:space="0" w:color="auto"/>
                <w:lang w:eastAsia="en-US"/>
              </w:rPr>
              <w:t>,</w:t>
            </w:r>
            <w:r w:rsidR="007E315C">
              <w:rPr>
                <w:rFonts w:eastAsiaTheme="minorHAnsi"/>
                <w:color w:val="auto"/>
                <w:bdr w:val="none" w:sz="0" w:space="0" w:color="auto"/>
                <w:lang w:eastAsia="en-US"/>
              </w:rPr>
              <w:t>3</w:t>
            </w:r>
          </w:p>
        </w:tc>
        <w:tc>
          <w:tcPr>
            <w:tcW w:w="3048" w:type="dxa"/>
            <w:tcBorders>
              <w:left w:val="single" w:sz="1" w:space="0" w:color="000000"/>
              <w:bottom w:val="single" w:sz="1" w:space="0" w:color="000000"/>
              <w:right w:val="single" w:sz="1" w:space="0" w:color="000000"/>
            </w:tcBorders>
            <w:shd w:val="clear" w:color="auto" w:fill="auto"/>
          </w:tcPr>
          <w:p w14:paraId="29AA061E" w14:textId="77777777" w:rsidR="008A6A05" w:rsidRPr="008A6A05" w:rsidRDefault="008A6A05" w:rsidP="008A6A05">
            <w:pPr>
              <w:spacing w:after="0" w:line="240" w:lineRule="auto"/>
              <w:contextualSpacing/>
              <w:rPr>
                <w:rFonts w:cs="Helvetica"/>
                <w:sz w:val="16"/>
                <w:szCs w:val="16"/>
              </w:rPr>
            </w:pPr>
            <w:r w:rsidRPr="008A6A05">
              <w:rPr>
                <w:rFonts w:cs="Helvetica"/>
                <w:sz w:val="16"/>
                <w:szCs w:val="16"/>
              </w:rPr>
              <w:t>Export : 81,9</w:t>
            </w:r>
          </w:p>
          <w:p w14:paraId="7AB96CA9" w14:textId="77777777" w:rsidR="008A6A05" w:rsidRPr="008A6A05" w:rsidRDefault="008A6A05" w:rsidP="008A6A05">
            <w:pPr>
              <w:spacing w:after="0" w:line="240" w:lineRule="auto"/>
              <w:contextualSpacing/>
              <w:rPr>
                <w:rFonts w:cs="Helvetica"/>
                <w:sz w:val="16"/>
                <w:szCs w:val="16"/>
              </w:rPr>
            </w:pPr>
            <w:r w:rsidRPr="008A6A05">
              <w:rPr>
                <w:rFonts w:cs="Helvetica"/>
                <w:sz w:val="16"/>
                <w:szCs w:val="16"/>
              </w:rPr>
              <w:t>Import : 78,0</w:t>
            </w:r>
          </w:p>
          <w:p w14:paraId="6813395C" w14:textId="368A7F57" w:rsidR="00F1439A" w:rsidRPr="00842707" w:rsidRDefault="008A6A05" w:rsidP="008A6A05">
            <w:pPr>
              <w:pStyle w:val="Styledetableau"/>
            </w:pPr>
            <w:r w:rsidRPr="008A6A05">
              <w:rPr>
                <w:rFonts w:eastAsiaTheme="minorHAnsi"/>
                <w:color w:val="auto"/>
                <w:bdr w:val="none" w:sz="0" w:space="0" w:color="auto"/>
                <w:lang w:eastAsia="en-US"/>
              </w:rPr>
              <w:t>Solde : +3,9</w:t>
            </w:r>
          </w:p>
        </w:tc>
      </w:tr>
      <w:tr w:rsidR="00F1439A" w:rsidRPr="002E49D6" w14:paraId="4EB16666" w14:textId="567083E1" w:rsidTr="0009716C">
        <w:trPr>
          <w:trHeight w:val="227"/>
        </w:trPr>
        <w:tc>
          <w:tcPr>
            <w:tcW w:w="2552" w:type="dxa"/>
            <w:tcBorders>
              <w:left w:val="single" w:sz="1" w:space="0" w:color="000000"/>
              <w:bottom w:val="single" w:sz="4" w:space="0" w:color="auto"/>
            </w:tcBorders>
            <w:shd w:val="clear" w:color="auto" w:fill="auto"/>
          </w:tcPr>
          <w:p w14:paraId="5A0872A5" w14:textId="77777777" w:rsidR="00F1439A" w:rsidRPr="00842707" w:rsidRDefault="00F1439A" w:rsidP="00677465">
            <w:pPr>
              <w:pStyle w:val="Styledetableau"/>
              <w:jc w:val="both"/>
            </w:pPr>
            <w:bookmarkStart w:id="1" w:name="_Hlk219097656"/>
            <w:r w:rsidRPr="00842707">
              <w:t>Exportations et importations agricoles et agroalimentaires</w:t>
            </w:r>
            <w:r w:rsidRPr="00842707">
              <w:rPr>
                <w:vertAlign w:val="superscript"/>
              </w:rPr>
              <w:t>8</w:t>
            </w:r>
            <w:r w:rsidRPr="00842707">
              <w:t xml:space="preserve"> entre les deux pays</w:t>
            </w:r>
          </w:p>
        </w:tc>
        <w:tc>
          <w:tcPr>
            <w:tcW w:w="2126" w:type="dxa"/>
            <w:tcBorders>
              <w:left w:val="single" w:sz="1" w:space="0" w:color="000000"/>
              <w:right w:val="single" w:sz="1" w:space="0" w:color="000000"/>
            </w:tcBorders>
            <w:shd w:val="clear" w:color="auto" w:fill="auto"/>
          </w:tcPr>
          <w:p w14:paraId="11230846" w14:textId="77777777" w:rsidR="00F1439A" w:rsidRPr="00842707" w:rsidRDefault="00F1439A" w:rsidP="00842707">
            <w:pPr>
              <w:pStyle w:val="Styledetableau"/>
            </w:pPr>
            <w:r w:rsidRPr="00842707">
              <w:t>M€ - 2024</w:t>
            </w:r>
            <w:r w:rsidRPr="00842707">
              <w:rPr>
                <w:vertAlign w:val="superscript"/>
              </w:rPr>
              <w:t xml:space="preserve">6 </w:t>
            </w:r>
            <w:r w:rsidRPr="00842707">
              <w:rPr>
                <w:vertAlign w:val="superscript"/>
              </w:rPr>
              <w:footnoteReference w:id="7"/>
            </w:r>
          </w:p>
          <w:p w14:paraId="0801213A" w14:textId="77777777" w:rsidR="00F1439A" w:rsidRPr="00842707" w:rsidRDefault="00F1439A" w:rsidP="00842707">
            <w:pPr>
              <w:pStyle w:val="Styledetableau"/>
            </w:pPr>
            <w:r w:rsidRPr="00842707">
              <w:t>Variation 2024/2023</w:t>
            </w:r>
          </w:p>
        </w:tc>
        <w:tc>
          <w:tcPr>
            <w:tcW w:w="3047" w:type="dxa"/>
            <w:tcBorders>
              <w:left w:val="single" w:sz="1" w:space="0" w:color="000000"/>
              <w:right w:val="single" w:sz="1" w:space="0" w:color="000000"/>
            </w:tcBorders>
            <w:shd w:val="clear" w:color="auto" w:fill="auto"/>
          </w:tcPr>
          <w:p w14:paraId="17B6412E" w14:textId="3949906A" w:rsidR="008A6A05" w:rsidRPr="008A6A05" w:rsidRDefault="008A6A05" w:rsidP="008A6A05">
            <w:pPr>
              <w:spacing w:after="0" w:line="240" w:lineRule="auto"/>
              <w:contextualSpacing/>
              <w:rPr>
                <w:rFonts w:cs="Helvetica"/>
                <w:sz w:val="16"/>
                <w:szCs w:val="16"/>
              </w:rPr>
            </w:pPr>
            <w:r w:rsidRPr="008A6A05">
              <w:rPr>
                <w:rFonts w:cs="Helvetica"/>
                <w:sz w:val="16"/>
                <w:szCs w:val="16"/>
              </w:rPr>
              <w:t>France depuis</w:t>
            </w:r>
            <w:r w:rsidR="007E315C">
              <w:rPr>
                <w:rFonts w:cs="Helvetica"/>
                <w:sz w:val="16"/>
                <w:szCs w:val="16"/>
              </w:rPr>
              <w:t xml:space="preserve"> Mauritanie</w:t>
            </w:r>
            <w:r w:rsidRPr="008A6A05">
              <w:rPr>
                <w:rFonts w:cs="Helvetica"/>
                <w:sz w:val="16"/>
                <w:szCs w:val="16"/>
              </w:rPr>
              <w:t xml:space="preserve"> : </w:t>
            </w:r>
            <w:r w:rsidR="007E315C">
              <w:rPr>
                <w:rFonts w:cs="Helvetica"/>
                <w:sz w:val="16"/>
                <w:szCs w:val="16"/>
              </w:rPr>
              <w:t>40,2</w:t>
            </w:r>
          </w:p>
          <w:p w14:paraId="5BB44CE4" w14:textId="58AA8947" w:rsidR="00F1439A" w:rsidRPr="00842707" w:rsidRDefault="007E315C" w:rsidP="008A6A05">
            <w:pPr>
              <w:pStyle w:val="Styledetableau"/>
            </w:pPr>
            <w:r>
              <w:rPr>
                <w:rFonts w:eastAsiaTheme="minorHAnsi"/>
                <w:color w:val="auto"/>
                <w:bdr w:val="none" w:sz="0" w:space="0" w:color="auto"/>
                <w:lang w:eastAsia="en-US"/>
              </w:rPr>
              <w:t>-</w:t>
            </w:r>
            <w:r w:rsidR="008A6A05" w:rsidRPr="008A6A05">
              <w:rPr>
                <w:rFonts w:eastAsiaTheme="minorHAnsi"/>
                <w:color w:val="auto"/>
                <w:bdr w:val="none" w:sz="0" w:space="0" w:color="auto"/>
                <w:lang w:eastAsia="en-US"/>
              </w:rPr>
              <w:t>3</w:t>
            </w:r>
            <w:r>
              <w:rPr>
                <w:rFonts w:eastAsiaTheme="minorHAnsi"/>
                <w:color w:val="auto"/>
                <w:bdr w:val="none" w:sz="0" w:space="0" w:color="auto"/>
                <w:lang w:eastAsia="en-US"/>
              </w:rPr>
              <w:t>5</w:t>
            </w:r>
            <w:r w:rsidR="008A6A05" w:rsidRPr="008A6A05">
              <w:rPr>
                <w:rFonts w:eastAsiaTheme="minorHAnsi"/>
                <w:color w:val="auto"/>
                <w:bdr w:val="none" w:sz="0" w:space="0" w:color="auto"/>
                <w:lang w:eastAsia="en-US"/>
              </w:rPr>
              <w:t>,</w:t>
            </w:r>
            <w:r>
              <w:rPr>
                <w:rFonts w:eastAsiaTheme="minorHAnsi"/>
                <w:color w:val="auto"/>
                <w:bdr w:val="none" w:sz="0" w:space="0" w:color="auto"/>
                <w:lang w:eastAsia="en-US"/>
              </w:rPr>
              <w:t>6</w:t>
            </w:r>
            <w:r w:rsidR="008A6A05" w:rsidRPr="008A6A05">
              <w:rPr>
                <w:rFonts w:eastAsiaTheme="minorHAnsi"/>
                <w:color w:val="auto"/>
                <w:bdr w:val="none" w:sz="0" w:space="0" w:color="auto"/>
                <w:lang w:eastAsia="en-US"/>
              </w:rPr>
              <w:t>%</w:t>
            </w:r>
          </w:p>
        </w:tc>
        <w:tc>
          <w:tcPr>
            <w:tcW w:w="3048" w:type="dxa"/>
            <w:tcBorders>
              <w:left w:val="single" w:sz="1" w:space="0" w:color="000000"/>
              <w:bottom w:val="single" w:sz="4" w:space="0" w:color="auto"/>
              <w:right w:val="single" w:sz="1" w:space="0" w:color="000000"/>
            </w:tcBorders>
            <w:shd w:val="clear" w:color="auto" w:fill="auto"/>
          </w:tcPr>
          <w:p w14:paraId="4AFC5E10" w14:textId="43ACAD39" w:rsidR="00F1439A" w:rsidRPr="00677465" w:rsidRDefault="008A6A05" w:rsidP="00677465">
            <w:pPr>
              <w:spacing w:after="0" w:line="240" w:lineRule="auto"/>
              <w:contextualSpacing/>
              <w:rPr>
                <w:rFonts w:cs="Helvetica"/>
                <w:sz w:val="16"/>
                <w:szCs w:val="16"/>
              </w:rPr>
            </w:pPr>
            <w:r w:rsidRPr="008A6A05">
              <w:rPr>
                <w:rFonts w:cs="Helvetica"/>
                <w:sz w:val="16"/>
                <w:szCs w:val="16"/>
              </w:rPr>
              <w:t xml:space="preserve">France vers </w:t>
            </w:r>
            <w:r w:rsidR="007E315C">
              <w:rPr>
                <w:rFonts w:cs="Helvetica"/>
                <w:sz w:val="16"/>
                <w:szCs w:val="16"/>
              </w:rPr>
              <w:t xml:space="preserve">Mauritanie </w:t>
            </w:r>
            <w:r w:rsidRPr="008A6A05">
              <w:rPr>
                <w:rFonts w:cs="Helvetica"/>
                <w:sz w:val="16"/>
                <w:szCs w:val="16"/>
              </w:rPr>
              <w:t xml:space="preserve">: </w:t>
            </w:r>
            <w:r w:rsidR="007E315C">
              <w:rPr>
                <w:rFonts w:cs="Helvetica"/>
                <w:sz w:val="16"/>
                <w:szCs w:val="16"/>
              </w:rPr>
              <w:t>119</w:t>
            </w:r>
            <w:r w:rsidRPr="008A6A05">
              <w:rPr>
                <w:rFonts w:cs="Helvetica"/>
                <w:sz w:val="16"/>
                <w:szCs w:val="16"/>
              </w:rPr>
              <w:t>,5</w:t>
            </w:r>
            <w:r w:rsidR="00677465">
              <w:rPr>
                <w:rFonts w:cs="Helvetica"/>
                <w:sz w:val="16"/>
                <w:szCs w:val="16"/>
              </w:rPr>
              <w:t xml:space="preserve"> </w:t>
            </w:r>
            <w:r w:rsidRPr="00677465">
              <w:rPr>
                <w:sz w:val="16"/>
                <w:szCs w:val="16"/>
              </w:rPr>
              <w:t>+</w:t>
            </w:r>
            <w:r w:rsidR="007E315C" w:rsidRPr="00677465">
              <w:rPr>
                <w:sz w:val="16"/>
                <w:szCs w:val="16"/>
              </w:rPr>
              <w:t>2</w:t>
            </w:r>
            <w:r w:rsidRPr="00677465">
              <w:rPr>
                <w:sz w:val="16"/>
                <w:szCs w:val="16"/>
              </w:rPr>
              <w:t>6,</w:t>
            </w:r>
            <w:r w:rsidR="007E315C" w:rsidRPr="00677465">
              <w:rPr>
                <w:sz w:val="16"/>
                <w:szCs w:val="16"/>
              </w:rPr>
              <w:t>5</w:t>
            </w:r>
            <w:r w:rsidRPr="00677465">
              <w:rPr>
                <w:sz w:val="16"/>
                <w:szCs w:val="16"/>
              </w:rPr>
              <w:t>%</w:t>
            </w:r>
          </w:p>
        </w:tc>
      </w:tr>
      <w:tr w:rsidR="00F1439A" w:rsidRPr="002E49D6" w14:paraId="57541B7D" w14:textId="0FEF4F75" w:rsidTr="0009716C">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6B2480D" w14:textId="77777777" w:rsidR="00F1439A" w:rsidRPr="00842707" w:rsidRDefault="00F1439A" w:rsidP="00677465">
            <w:pPr>
              <w:pStyle w:val="Styledetableau"/>
              <w:jc w:val="both"/>
            </w:pPr>
            <w:r w:rsidRPr="00842707">
              <w:t>Part du flux bilatéral dans les importations agricoles</w:t>
            </w:r>
          </w:p>
          <w:p w14:paraId="0082CAE8" w14:textId="77777777" w:rsidR="00F1439A" w:rsidRPr="00842707" w:rsidRDefault="00F1439A" w:rsidP="00677465">
            <w:pPr>
              <w:pStyle w:val="Styledetableau"/>
              <w:jc w:val="both"/>
            </w:pPr>
            <w:proofErr w:type="gramStart"/>
            <w:r w:rsidRPr="00842707">
              <w:t>et</w:t>
            </w:r>
            <w:proofErr w:type="gramEnd"/>
            <w:r w:rsidRPr="00842707">
              <w:t xml:space="preserve"> agroalimentaires</w:t>
            </w:r>
            <w:r w:rsidRPr="00842707">
              <w:rPr>
                <w:vertAlign w:val="superscript"/>
              </w:rPr>
              <w:footnoteReference w:id="8"/>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AED1E4" w14:textId="77777777" w:rsidR="00F1439A" w:rsidRPr="00842707" w:rsidRDefault="00F1439A" w:rsidP="00842707">
            <w:pPr>
              <w:pStyle w:val="Styledetableau"/>
            </w:pPr>
            <w:r w:rsidRPr="00842707">
              <w:t>2024</w:t>
            </w:r>
            <w:r w:rsidRPr="00842707">
              <w:rPr>
                <w:vertAlign w:val="superscript"/>
              </w:rPr>
              <w:t>6 7</w:t>
            </w:r>
          </w:p>
        </w:tc>
        <w:tc>
          <w:tcPr>
            <w:tcW w:w="3047" w:type="dxa"/>
            <w:tcBorders>
              <w:top w:val="single" w:sz="4" w:space="0" w:color="auto"/>
              <w:left w:val="single" w:sz="4" w:space="0" w:color="auto"/>
              <w:bottom w:val="single" w:sz="4" w:space="0" w:color="auto"/>
              <w:right w:val="single" w:sz="4" w:space="0" w:color="auto"/>
            </w:tcBorders>
            <w:shd w:val="clear" w:color="auto" w:fill="auto"/>
          </w:tcPr>
          <w:p w14:paraId="09FC2FF4" w14:textId="05B5D052" w:rsidR="008A6A05" w:rsidRPr="008A6A05" w:rsidRDefault="007E315C" w:rsidP="008A6A05">
            <w:pPr>
              <w:spacing w:after="0" w:line="240" w:lineRule="auto"/>
              <w:contextualSpacing/>
              <w:rPr>
                <w:rFonts w:cs="Helvetica"/>
                <w:bCs/>
                <w:sz w:val="16"/>
                <w:szCs w:val="16"/>
              </w:rPr>
            </w:pPr>
            <w:r>
              <w:rPr>
                <w:rFonts w:cs="Helvetica"/>
                <w:bCs/>
                <w:sz w:val="16"/>
                <w:szCs w:val="16"/>
              </w:rPr>
              <w:t>0,5</w:t>
            </w:r>
            <w:r w:rsidR="008A6A05" w:rsidRPr="008A6A05">
              <w:rPr>
                <w:rFonts w:cs="Helvetica"/>
                <w:bCs/>
                <w:sz w:val="16"/>
                <w:szCs w:val="16"/>
              </w:rPr>
              <w:t>% des importations françaises</w:t>
            </w:r>
          </w:p>
          <w:p w14:paraId="50BE5D2D" w14:textId="1EF915FD" w:rsidR="00F1439A" w:rsidRPr="00842707" w:rsidRDefault="007E315C" w:rsidP="008A6A05">
            <w:pPr>
              <w:pStyle w:val="Styledetableau"/>
            </w:pPr>
            <w:r>
              <w:rPr>
                <w:rFonts w:eastAsiaTheme="minorHAnsi"/>
                <w:bCs/>
                <w:color w:val="auto"/>
                <w:bdr w:val="none" w:sz="0" w:space="0" w:color="auto"/>
                <w:lang w:eastAsia="en-US"/>
              </w:rPr>
              <w:t>78</w:t>
            </w:r>
            <w:r w:rsidR="008A6A05" w:rsidRPr="008A6A05">
              <w:rPr>
                <w:rFonts w:eastAsiaTheme="minorHAnsi"/>
                <w:bCs/>
                <w:color w:val="auto"/>
                <w:bdr w:val="none" w:sz="0" w:space="0" w:color="auto"/>
                <w:vertAlign w:val="superscript"/>
                <w:lang w:eastAsia="en-US"/>
              </w:rPr>
              <w:t>e</w:t>
            </w:r>
            <w:r w:rsidR="008A6A05" w:rsidRPr="008A6A05">
              <w:rPr>
                <w:rFonts w:eastAsiaTheme="minorHAnsi"/>
                <w:bCs/>
                <w:color w:val="auto"/>
                <w:bdr w:val="none" w:sz="0" w:space="0" w:color="auto"/>
                <w:lang w:eastAsia="en-US"/>
              </w:rPr>
              <w:t xml:space="preserve"> fournisseur de la France</w:t>
            </w: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5FEB6BE1" w14:textId="3C7767E0" w:rsidR="008A6A05" w:rsidRPr="008A6A05" w:rsidRDefault="00FF6FFB" w:rsidP="00677465">
            <w:pPr>
              <w:spacing w:after="0" w:line="240" w:lineRule="auto"/>
              <w:contextualSpacing/>
              <w:rPr>
                <w:rFonts w:cs="Helvetica"/>
                <w:sz w:val="16"/>
                <w:szCs w:val="16"/>
              </w:rPr>
            </w:pPr>
            <w:r>
              <w:rPr>
                <w:rFonts w:cs="Helvetica"/>
                <w:bCs/>
                <w:sz w:val="16"/>
                <w:szCs w:val="16"/>
              </w:rPr>
              <w:t>9,5</w:t>
            </w:r>
            <w:r w:rsidR="008A6A05" w:rsidRPr="008A6A05">
              <w:rPr>
                <w:rFonts w:cs="Helvetica"/>
                <w:bCs/>
                <w:sz w:val="16"/>
                <w:szCs w:val="16"/>
              </w:rPr>
              <w:t xml:space="preserve">% </w:t>
            </w:r>
            <w:r w:rsidR="008A6A05" w:rsidRPr="008A6A05">
              <w:rPr>
                <w:rFonts w:cs="Helvetica"/>
                <w:sz w:val="16"/>
                <w:szCs w:val="16"/>
              </w:rPr>
              <w:t xml:space="preserve">des importations </w:t>
            </w:r>
            <w:r>
              <w:rPr>
                <w:rFonts w:cs="Helvetica"/>
                <w:sz w:val="16"/>
                <w:szCs w:val="16"/>
              </w:rPr>
              <w:t>mauritaniennes</w:t>
            </w:r>
          </w:p>
          <w:p w14:paraId="2D314C98" w14:textId="7871146E" w:rsidR="00F1439A" w:rsidRPr="00842707" w:rsidRDefault="00FF6FFB" w:rsidP="00677465">
            <w:pPr>
              <w:pStyle w:val="Styledetableau"/>
              <w:jc w:val="both"/>
              <w:rPr>
                <w:highlight w:val="yellow"/>
              </w:rPr>
            </w:pPr>
            <w:r>
              <w:rPr>
                <w:rFonts w:eastAsiaTheme="minorHAnsi"/>
                <w:color w:val="auto"/>
                <w:bdr w:val="none" w:sz="0" w:space="0" w:color="auto"/>
                <w:lang w:eastAsia="en-US"/>
              </w:rPr>
              <w:t>3</w:t>
            </w:r>
            <w:r w:rsidR="008A6A05" w:rsidRPr="008A6A05">
              <w:rPr>
                <w:rFonts w:eastAsiaTheme="minorHAnsi"/>
                <w:color w:val="auto"/>
                <w:bdr w:val="none" w:sz="0" w:space="0" w:color="auto"/>
                <w:vertAlign w:val="superscript"/>
                <w:lang w:eastAsia="en-US"/>
              </w:rPr>
              <w:t>e</w:t>
            </w:r>
            <w:r w:rsidR="008A6A05" w:rsidRPr="008A6A05">
              <w:rPr>
                <w:rFonts w:eastAsiaTheme="minorHAnsi"/>
                <w:color w:val="auto"/>
                <w:bdr w:val="none" w:sz="0" w:space="0" w:color="auto"/>
                <w:lang w:eastAsia="en-US"/>
              </w:rPr>
              <w:t xml:space="preserve"> fournisseur de la </w:t>
            </w:r>
            <w:r>
              <w:rPr>
                <w:rFonts w:eastAsiaTheme="minorHAnsi"/>
                <w:color w:val="auto"/>
                <w:bdr w:val="none" w:sz="0" w:space="0" w:color="auto"/>
                <w:lang w:eastAsia="en-US"/>
              </w:rPr>
              <w:t>Mauritanie</w:t>
            </w:r>
          </w:p>
        </w:tc>
      </w:tr>
      <w:tr w:rsidR="00F1439A" w:rsidRPr="002E49D6" w14:paraId="562EAD6E" w14:textId="16E239EC" w:rsidTr="0009716C">
        <w:trPr>
          <w:trHeight w:val="741"/>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50AF740F" w14:textId="77777777" w:rsidR="00F1439A" w:rsidRPr="00842707" w:rsidRDefault="00F1439A" w:rsidP="00677465">
            <w:pPr>
              <w:pStyle w:val="Styledetableau"/>
              <w:jc w:val="both"/>
            </w:pPr>
            <w:r w:rsidRPr="00842707">
              <w:t>Part du flux bilatéral dans les exportations agricoles</w:t>
            </w:r>
          </w:p>
          <w:p w14:paraId="760441A2" w14:textId="77777777" w:rsidR="00F1439A" w:rsidRPr="00842707" w:rsidRDefault="00F1439A" w:rsidP="00677465">
            <w:pPr>
              <w:pStyle w:val="Styledetableau"/>
              <w:jc w:val="both"/>
            </w:pPr>
            <w:proofErr w:type="gramStart"/>
            <w:r w:rsidRPr="00842707">
              <w:t>et</w:t>
            </w:r>
            <w:proofErr w:type="gramEnd"/>
            <w:r w:rsidRPr="00842707">
              <w:t xml:space="preserve"> agroalimentaires</w:t>
            </w:r>
            <w:r w:rsidRPr="00842707">
              <w:rPr>
                <w:vertAlign w:val="superscript"/>
              </w:rPr>
              <w:t>8</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56CA0E" w14:textId="77777777" w:rsidR="00F1439A" w:rsidRPr="00842707" w:rsidRDefault="00F1439A" w:rsidP="00842707">
            <w:pPr>
              <w:pStyle w:val="Styledetableau"/>
            </w:pPr>
            <w:r w:rsidRPr="00842707">
              <w:t>2024</w:t>
            </w:r>
            <w:r w:rsidRPr="00842707">
              <w:rPr>
                <w:vertAlign w:val="superscript"/>
              </w:rPr>
              <w:t>6 7</w:t>
            </w:r>
          </w:p>
        </w:tc>
        <w:tc>
          <w:tcPr>
            <w:tcW w:w="3047" w:type="dxa"/>
            <w:tcBorders>
              <w:top w:val="single" w:sz="4" w:space="0" w:color="auto"/>
              <w:left w:val="single" w:sz="4" w:space="0" w:color="auto"/>
              <w:bottom w:val="single" w:sz="4" w:space="0" w:color="auto"/>
              <w:right w:val="single" w:sz="4" w:space="0" w:color="auto"/>
            </w:tcBorders>
            <w:shd w:val="clear" w:color="auto" w:fill="auto"/>
          </w:tcPr>
          <w:p w14:paraId="1A5C0CB4" w14:textId="2B059848" w:rsidR="008A6A05" w:rsidRPr="008A6A05" w:rsidRDefault="008A6A05" w:rsidP="008A6A05">
            <w:pPr>
              <w:autoSpaceDE w:val="0"/>
              <w:autoSpaceDN w:val="0"/>
              <w:adjustRightInd w:val="0"/>
              <w:spacing w:after="0"/>
              <w:contextualSpacing/>
              <w:rPr>
                <w:rFonts w:cs="Helvetica"/>
                <w:bCs/>
                <w:sz w:val="16"/>
                <w:szCs w:val="16"/>
              </w:rPr>
            </w:pPr>
            <w:r w:rsidRPr="008A6A05">
              <w:rPr>
                <w:rFonts w:cs="Helvetica"/>
                <w:bCs/>
                <w:sz w:val="16"/>
                <w:szCs w:val="16"/>
              </w:rPr>
              <w:t>0,</w:t>
            </w:r>
            <w:r w:rsidR="007E315C">
              <w:rPr>
                <w:rFonts w:cs="Helvetica"/>
                <w:bCs/>
                <w:sz w:val="16"/>
                <w:szCs w:val="16"/>
              </w:rPr>
              <w:t>1</w:t>
            </w:r>
            <w:r w:rsidRPr="008A6A05">
              <w:rPr>
                <w:rFonts w:cs="Helvetica"/>
                <w:bCs/>
                <w:sz w:val="16"/>
                <w:szCs w:val="16"/>
              </w:rPr>
              <w:t>5% des exportations françaises</w:t>
            </w:r>
          </w:p>
          <w:p w14:paraId="48924BA2" w14:textId="748EAA74" w:rsidR="00F1439A" w:rsidRPr="008A6A05" w:rsidRDefault="007E315C" w:rsidP="008A6A05">
            <w:pPr>
              <w:pStyle w:val="Styledetableau"/>
              <w:rPr>
                <w:bCs/>
              </w:rPr>
            </w:pPr>
            <w:r>
              <w:rPr>
                <w:rFonts w:eastAsiaTheme="minorHAnsi"/>
                <w:bCs/>
                <w:color w:val="auto"/>
                <w:bdr w:val="none" w:sz="0" w:space="0" w:color="auto"/>
                <w:lang w:eastAsia="en-US"/>
              </w:rPr>
              <w:t>61</w:t>
            </w:r>
            <w:r w:rsidR="008A6A05" w:rsidRPr="008A6A05">
              <w:rPr>
                <w:rFonts w:eastAsiaTheme="minorHAnsi"/>
                <w:bCs/>
                <w:color w:val="auto"/>
                <w:bdr w:val="none" w:sz="0" w:space="0" w:color="auto"/>
                <w:vertAlign w:val="superscript"/>
                <w:lang w:eastAsia="en-US"/>
              </w:rPr>
              <w:t>e</w:t>
            </w:r>
            <w:r w:rsidR="008A6A05" w:rsidRPr="008A6A05">
              <w:rPr>
                <w:rFonts w:eastAsiaTheme="minorHAnsi"/>
                <w:bCs/>
                <w:color w:val="auto"/>
                <w:bdr w:val="none" w:sz="0" w:space="0" w:color="auto"/>
                <w:lang w:eastAsia="en-US"/>
              </w:rPr>
              <w:t xml:space="preserve"> client de la France</w:t>
            </w:r>
          </w:p>
          <w:p w14:paraId="2F6C69CF" w14:textId="169B14D8" w:rsidR="00F1439A" w:rsidRPr="00842707" w:rsidRDefault="00F1439A" w:rsidP="00842707">
            <w:pPr>
              <w:pStyle w:val="Styledetableau"/>
              <w:rPr>
                <w:highlight w:val="yellow"/>
              </w:rPr>
            </w:pP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5A16D6BF" w14:textId="13ACF729" w:rsidR="008A6A05" w:rsidRPr="008A6A05" w:rsidRDefault="00FF6FFB" w:rsidP="008A6A05">
            <w:pPr>
              <w:autoSpaceDE w:val="0"/>
              <w:autoSpaceDN w:val="0"/>
              <w:adjustRightInd w:val="0"/>
              <w:spacing w:after="0"/>
              <w:contextualSpacing/>
              <w:rPr>
                <w:rFonts w:cs="Helvetica"/>
                <w:sz w:val="16"/>
                <w:szCs w:val="16"/>
              </w:rPr>
            </w:pPr>
            <w:r>
              <w:rPr>
                <w:rFonts w:cs="Helvetica"/>
                <w:bCs/>
                <w:sz w:val="16"/>
                <w:szCs w:val="16"/>
              </w:rPr>
              <w:t>4</w:t>
            </w:r>
            <w:r w:rsidR="008A6A05" w:rsidRPr="008A6A05">
              <w:rPr>
                <w:rFonts w:cs="Helvetica"/>
                <w:bCs/>
                <w:sz w:val="16"/>
                <w:szCs w:val="16"/>
              </w:rPr>
              <w:t xml:space="preserve">,2% </w:t>
            </w:r>
            <w:r w:rsidR="008A6A05" w:rsidRPr="008A6A05">
              <w:rPr>
                <w:rFonts w:cs="Helvetica"/>
                <w:sz w:val="16"/>
                <w:szCs w:val="16"/>
              </w:rPr>
              <w:t xml:space="preserve">des exportations </w:t>
            </w:r>
            <w:r>
              <w:rPr>
                <w:rFonts w:cs="Helvetica"/>
                <w:sz w:val="16"/>
                <w:szCs w:val="16"/>
              </w:rPr>
              <w:t>mauritanienne</w:t>
            </w:r>
          </w:p>
          <w:p w14:paraId="15C23317" w14:textId="33AF66A6" w:rsidR="00F1439A" w:rsidRPr="00842707" w:rsidRDefault="00FF6FFB" w:rsidP="008A6A05">
            <w:pPr>
              <w:pStyle w:val="Styledetableau"/>
              <w:rPr>
                <w:highlight w:val="yellow"/>
              </w:rPr>
            </w:pPr>
            <w:r>
              <w:rPr>
                <w:rFonts w:eastAsiaTheme="minorHAnsi"/>
                <w:color w:val="auto"/>
                <w:bdr w:val="none" w:sz="0" w:space="0" w:color="auto"/>
                <w:lang w:eastAsia="en-US"/>
              </w:rPr>
              <w:t>6</w:t>
            </w:r>
            <w:r w:rsidR="008A6A05" w:rsidRPr="008A6A05">
              <w:rPr>
                <w:rFonts w:eastAsiaTheme="minorHAnsi"/>
                <w:color w:val="auto"/>
                <w:bdr w:val="none" w:sz="0" w:space="0" w:color="auto"/>
                <w:vertAlign w:val="superscript"/>
                <w:lang w:eastAsia="en-US"/>
              </w:rPr>
              <w:t>e</w:t>
            </w:r>
            <w:r w:rsidR="008A6A05" w:rsidRPr="008A6A05">
              <w:rPr>
                <w:rFonts w:eastAsiaTheme="minorHAnsi"/>
                <w:color w:val="auto"/>
                <w:bdr w:val="none" w:sz="0" w:space="0" w:color="auto"/>
                <w:lang w:eastAsia="en-US"/>
              </w:rPr>
              <w:t xml:space="preserve"> client de la </w:t>
            </w:r>
            <w:r>
              <w:rPr>
                <w:rFonts w:eastAsiaTheme="minorHAnsi"/>
                <w:color w:val="auto"/>
                <w:bdr w:val="none" w:sz="0" w:space="0" w:color="auto"/>
                <w:lang w:eastAsia="en-US"/>
              </w:rPr>
              <w:t>Mauritanie</w:t>
            </w:r>
          </w:p>
        </w:tc>
      </w:tr>
    </w:tbl>
    <w:bookmarkEnd w:id="0"/>
    <w:bookmarkEnd w:id="1"/>
    <w:p w14:paraId="0431D03E" w14:textId="2E3A106E" w:rsidR="00BF3BCA" w:rsidRPr="00785965" w:rsidRDefault="00BF3BCA" w:rsidP="00DB2A02">
      <w:pPr>
        <w:pStyle w:val="Titre1"/>
        <w:numPr>
          <w:ilvl w:val="0"/>
          <w:numId w:val="0"/>
        </w:numPr>
        <w:spacing w:before="0" w:after="0"/>
        <w:rPr>
          <w:bdr w:val="nil"/>
          <w:lang w:eastAsia="fr-FR"/>
        </w:rPr>
      </w:pPr>
      <w:r w:rsidRPr="00785965">
        <w:lastRenderedPageBreak/>
        <w:t>Résumé</w:t>
      </w:r>
      <w:r w:rsidRPr="00785965">
        <w:rPr>
          <w:rFonts w:ascii="Calibri" w:hAnsi="Calibri" w:cs="Calibri"/>
        </w:rPr>
        <w:t> </w:t>
      </w:r>
      <w:r w:rsidRPr="00785965">
        <w:t>: Ce qu</w:t>
      </w:r>
      <w:r w:rsidRPr="00785965">
        <w:rPr>
          <w:rFonts w:cs="Marianne"/>
        </w:rPr>
        <w:t>’</w:t>
      </w:r>
      <w:r w:rsidRPr="00785965">
        <w:t xml:space="preserve">il faut retenir </w:t>
      </w:r>
    </w:p>
    <w:p w14:paraId="4070F477" w14:textId="146F17D3" w:rsidR="00BF3BCA" w:rsidRDefault="00BF3BCA" w:rsidP="00DB2A02">
      <w:pPr>
        <w:spacing w:after="0"/>
      </w:pPr>
    </w:p>
    <w:p w14:paraId="54EA528F" w14:textId="17FA7420" w:rsidR="000B464A" w:rsidRDefault="00720587" w:rsidP="00DB2A02">
      <w:pPr>
        <w:spacing w:after="0"/>
        <w:rPr>
          <w:b/>
          <w:bCs/>
        </w:rPr>
      </w:pPr>
      <w:bookmarkStart w:id="3" w:name="_Hlk216285295"/>
      <w:bookmarkStart w:id="4" w:name="_Hlk219086305"/>
      <w:r w:rsidRPr="00785965">
        <w:rPr>
          <w:rFonts w:ascii="Segoe UI Symbol" w:hAnsi="Segoe UI Symbol" w:cs="Segoe UI Symbol"/>
        </w:rPr>
        <w:t>✚</w:t>
      </w:r>
      <w:r>
        <w:rPr>
          <w:rFonts w:ascii="Segoe UI Symbol" w:hAnsi="Segoe UI Symbol" w:cs="Segoe UI Symbol"/>
        </w:rPr>
        <w:t xml:space="preserve"> </w:t>
      </w:r>
      <w:bookmarkEnd w:id="3"/>
      <w:r w:rsidR="00053689">
        <w:rPr>
          <w:b/>
          <w:bCs/>
        </w:rPr>
        <w:t>L</w:t>
      </w:r>
      <w:r w:rsidR="000B464A" w:rsidRPr="00E83E45">
        <w:rPr>
          <w:b/>
          <w:bCs/>
        </w:rPr>
        <w:t xml:space="preserve">e secteur agricole représente près de </w:t>
      </w:r>
      <w:r w:rsidR="006F11FE">
        <w:rPr>
          <w:b/>
          <w:bCs/>
        </w:rPr>
        <w:t>21</w:t>
      </w:r>
      <w:r w:rsidR="000B464A" w:rsidRPr="00E83E45">
        <w:rPr>
          <w:b/>
          <w:bCs/>
        </w:rPr>
        <w:t>% du PIB national</w:t>
      </w:r>
      <w:r w:rsidR="006F11FE">
        <w:rPr>
          <w:b/>
          <w:bCs/>
        </w:rPr>
        <w:t xml:space="preserve"> et </w:t>
      </w:r>
      <w:r w:rsidR="006F11FE" w:rsidRPr="00622A9F">
        <w:rPr>
          <w:b/>
          <w:bCs/>
        </w:rPr>
        <w:t xml:space="preserve">34% </w:t>
      </w:r>
      <w:r w:rsidR="00036F6E" w:rsidRPr="00622A9F">
        <w:rPr>
          <w:b/>
          <w:bCs/>
        </w:rPr>
        <w:t xml:space="preserve">de l’emploi du pays </w:t>
      </w:r>
      <w:r w:rsidR="00F46E38">
        <w:rPr>
          <w:b/>
          <w:bCs/>
        </w:rPr>
        <w:t xml:space="preserve">(contre 65% en 2000) </w:t>
      </w:r>
      <w:r w:rsidR="00036F6E" w:rsidRPr="00622A9F">
        <w:rPr>
          <w:b/>
          <w:bCs/>
        </w:rPr>
        <w:t>dont près de la moitié dans l’élevage</w:t>
      </w:r>
      <w:r w:rsidR="00CC7BCB" w:rsidRPr="00622A9F">
        <w:rPr>
          <w:b/>
          <w:bCs/>
        </w:rPr>
        <w:t xml:space="preserve"> (80% de la population possède du bétail)</w:t>
      </w:r>
      <w:r w:rsidR="000B464A" w:rsidRPr="00622A9F">
        <w:rPr>
          <w:b/>
          <w:bCs/>
        </w:rPr>
        <w:t>.</w:t>
      </w:r>
    </w:p>
    <w:p w14:paraId="0735C254" w14:textId="77777777" w:rsidR="0089187E" w:rsidRDefault="0089187E" w:rsidP="00DB2A02">
      <w:pPr>
        <w:spacing w:after="0"/>
      </w:pPr>
    </w:p>
    <w:p w14:paraId="1A46066F" w14:textId="77777777" w:rsidR="008C1BB8" w:rsidRDefault="0089187E" w:rsidP="00DB2A02">
      <w:pPr>
        <w:spacing w:after="0"/>
      </w:pPr>
      <w:bookmarkStart w:id="5" w:name="_Hlk216378534"/>
      <w:r w:rsidRPr="00785965">
        <w:rPr>
          <w:rFonts w:ascii="Segoe UI Symbol" w:hAnsi="Segoe UI Symbol" w:cs="Segoe UI Symbol"/>
        </w:rPr>
        <w:t>✚</w:t>
      </w:r>
      <w:r>
        <w:rPr>
          <w:rFonts w:ascii="Segoe UI Symbol" w:hAnsi="Segoe UI Symbol" w:cs="Segoe UI Symbol"/>
        </w:rPr>
        <w:t xml:space="preserve"> </w:t>
      </w:r>
      <w:bookmarkEnd w:id="5"/>
      <w:r w:rsidR="00053689" w:rsidRPr="0089187E">
        <w:rPr>
          <w:b/>
          <w:bCs/>
        </w:rPr>
        <w:t>Seul 0,5% de la superficie totale des terres présente un potentiel agronomique</w:t>
      </w:r>
      <w:r w:rsidR="00053689">
        <w:t>, soit 500</w:t>
      </w:r>
      <w:r w:rsidR="00053689">
        <w:rPr>
          <w:rFonts w:ascii="Calibri" w:hAnsi="Calibri" w:cs="Calibri"/>
        </w:rPr>
        <w:t> </w:t>
      </w:r>
      <w:r w:rsidR="00053689">
        <w:t>000 ha mais à peine la moitié est mis en valeur.</w:t>
      </w:r>
      <w:r w:rsidR="00095AB6">
        <w:t xml:space="preserve"> </w:t>
      </w:r>
    </w:p>
    <w:p w14:paraId="25D507EE" w14:textId="4A1D1F5E" w:rsidR="0089187E" w:rsidRDefault="0089187E" w:rsidP="00DB2A02">
      <w:pPr>
        <w:spacing w:after="0"/>
        <w:rPr>
          <w:rFonts w:eastAsia="Marianne" w:cs="Arial"/>
          <w:b/>
          <w:bCs/>
        </w:rPr>
      </w:pPr>
    </w:p>
    <w:p w14:paraId="5A4946FE" w14:textId="15FBA53D" w:rsidR="00095AB6" w:rsidRDefault="00095AB6" w:rsidP="00DB2A02">
      <w:pPr>
        <w:spacing w:after="0"/>
        <w:rPr>
          <w:rFonts w:eastAsia="Marianne" w:cs="Arial"/>
          <w:b/>
          <w:bCs/>
        </w:rPr>
      </w:pPr>
      <w:r w:rsidRPr="00785965">
        <w:rPr>
          <w:rFonts w:ascii="Segoe UI Symbol" w:hAnsi="Segoe UI Symbol" w:cs="Segoe UI Symbol"/>
        </w:rPr>
        <w:t>✚</w:t>
      </w:r>
      <w:r>
        <w:rPr>
          <w:rFonts w:ascii="Segoe UI Symbol" w:hAnsi="Segoe UI Symbol" w:cs="Segoe UI Symbol"/>
        </w:rPr>
        <w:t xml:space="preserve"> </w:t>
      </w:r>
      <w:r w:rsidRPr="00095AB6">
        <w:rPr>
          <w:rFonts w:eastAsia="Marianne" w:cs="Arial"/>
          <w:b/>
          <w:bCs/>
        </w:rPr>
        <w:t>Le secteur de l’élevage assure l’autosuffisance nationale en viande rouge</w:t>
      </w:r>
      <w:r w:rsidR="007C5A4D">
        <w:rPr>
          <w:rFonts w:eastAsia="Marianne" w:cs="Arial"/>
          <w:b/>
          <w:bCs/>
        </w:rPr>
        <w:t xml:space="preserve">. </w:t>
      </w:r>
      <w:r w:rsidR="007C5A4D" w:rsidRPr="007C5A4D">
        <w:rPr>
          <w:rFonts w:eastAsia="Marianne" w:cs="Arial"/>
        </w:rPr>
        <w:t>L</w:t>
      </w:r>
      <w:r w:rsidRPr="007C5A4D">
        <w:rPr>
          <w:rFonts w:eastAsia="Marianne" w:cs="Arial"/>
        </w:rPr>
        <w:t>’excédent de production par rapport à la consommation nationale représente près de 40%</w:t>
      </w:r>
      <w:r w:rsidRPr="00095AB6">
        <w:rPr>
          <w:rFonts w:eastAsia="Marianne" w:cs="Arial"/>
          <w:b/>
          <w:bCs/>
        </w:rPr>
        <w:t>.</w:t>
      </w:r>
    </w:p>
    <w:p w14:paraId="71FEDF56" w14:textId="59CADFB3" w:rsidR="00622A9F" w:rsidRDefault="00622A9F" w:rsidP="00DB2A02">
      <w:pPr>
        <w:spacing w:after="0"/>
        <w:rPr>
          <w:rFonts w:eastAsia="Marianne" w:cs="Arial"/>
          <w:b/>
          <w:bCs/>
        </w:rPr>
      </w:pPr>
    </w:p>
    <w:p w14:paraId="77B2E8C2" w14:textId="77777777" w:rsidR="00622A9F" w:rsidRDefault="00622A9F" w:rsidP="00622A9F">
      <w:pPr>
        <w:spacing w:after="0"/>
      </w:pPr>
      <w:bookmarkStart w:id="6" w:name="_Hlk219072056"/>
      <w:r w:rsidRPr="008C1BB8">
        <w:rPr>
          <w:rFonts w:ascii="Segoe UI Symbol" w:hAnsi="Segoe UI Symbol" w:cs="Segoe UI Symbol"/>
        </w:rPr>
        <w:t>✚</w:t>
      </w:r>
      <w:r>
        <w:rPr>
          <w:rFonts w:ascii="Segoe UI Symbol" w:hAnsi="Segoe UI Symbol" w:cs="Segoe UI Symbol"/>
        </w:rPr>
        <w:t xml:space="preserve"> </w:t>
      </w:r>
      <w:bookmarkEnd w:id="6"/>
      <w:r w:rsidRPr="00622A9F">
        <w:t>La production céréalière totale de 2024 a été évaluée à 589 000 tonnes par la FAO, ce qui est proche du niveau de 2023 et environ 25% de plus que la moyenne des cinq années précédentes. Dans ce contexte avec une production de 481 854 tonnes de riz sur une superficie de 97 444 hectares, la Mauritanie est quasiment autosuffisante en riz.</w:t>
      </w:r>
    </w:p>
    <w:p w14:paraId="0CA007F8" w14:textId="7E0883A8" w:rsidR="00DB2A02" w:rsidRDefault="00DB2A02" w:rsidP="00DB2A02">
      <w:pPr>
        <w:spacing w:after="0"/>
        <w:rPr>
          <w:rFonts w:cs="Marianne"/>
        </w:rPr>
      </w:pPr>
    </w:p>
    <w:p w14:paraId="0DDE5285" w14:textId="7CF363E2" w:rsidR="007C5A4D" w:rsidRDefault="00095AB6" w:rsidP="00DB2A02">
      <w:pPr>
        <w:spacing w:after="0"/>
      </w:pPr>
      <w:bookmarkStart w:id="7" w:name="_Hlk216378661"/>
      <w:r w:rsidRPr="00785965">
        <w:rPr>
          <w:rFonts w:ascii="Segoe UI Symbol" w:hAnsi="Segoe UI Symbol" w:cs="Segoe UI Symbol"/>
        </w:rPr>
        <w:t>✚</w:t>
      </w:r>
      <w:r>
        <w:rPr>
          <w:rFonts w:ascii="Segoe UI Symbol" w:hAnsi="Segoe UI Symbol" w:cs="Segoe UI Symbol"/>
        </w:rPr>
        <w:t xml:space="preserve"> </w:t>
      </w:r>
      <w:bookmarkEnd w:id="7"/>
      <w:r w:rsidR="007C5A4D" w:rsidRPr="00431435">
        <w:rPr>
          <w:b/>
          <w:bCs/>
        </w:rPr>
        <w:t>Les eaux côtières mauritaniennes sont parmi les plus riches du monde en ressources halieutiques.</w:t>
      </w:r>
      <w:r w:rsidR="007C5A4D" w:rsidRPr="005206E0">
        <w:t xml:space="preserve"> </w:t>
      </w:r>
    </w:p>
    <w:p w14:paraId="204BC07A" w14:textId="1523C70A" w:rsidR="00F05256" w:rsidRPr="00C81738" w:rsidRDefault="00F05256" w:rsidP="00DB2A02">
      <w:pPr>
        <w:spacing w:after="0"/>
        <w:rPr>
          <w:sz w:val="22"/>
          <w:szCs w:val="22"/>
        </w:rPr>
      </w:pPr>
    </w:p>
    <w:p w14:paraId="18977F63" w14:textId="7E618005" w:rsidR="00F05256" w:rsidRPr="007D6C30" w:rsidRDefault="00F05256" w:rsidP="00DB2A02">
      <w:pPr>
        <w:spacing w:after="0"/>
      </w:pPr>
      <w:r w:rsidRPr="00622A9F">
        <w:rPr>
          <w:rFonts w:ascii="Segoe UI Symbol" w:hAnsi="Segoe UI Symbol" w:cs="Segoe UI Symbol"/>
          <w:sz w:val="22"/>
          <w:szCs w:val="22"/>
        </w:rPr>
        <w:t xml:space="preserve">✚ </w:t>
      </w:r>
      <w:r w:rsidR="00102ACD" w:rsidRPr="00622A9F">
        <w:rPr>
          <w:rFonts w:cs="Segoe UI Symbol"/>
        </w:rPr>
        <w:t xml:space="preserve">Le gouvernement vise à attirer des IDE dans l’agriculture et l’agro-industrie et la Banque centrale favorise la modernisation du secteur par des crédits bancaires au secteur de l’agriculture et de l’élevage (+57,8% entre 2024 et 2025). </w:t>
      </w:r>
      <w:r w:rsidR="007D6C30" w:rsidRPr="00622A9F">
        <w:rPr>
          <w:rFonts w:cs="Segoe UI Symbol"/>
        </w:rPr>
        <w:t xml:space="preserve">Selon la Banque mondiale, en 2025, la contribution de l’agriculture à la croissance devrait être </w:t>
      </w:r>
      <w:r w:rsidR="00AA5D90" w:rsidRPr="00622A9F">
        <w:rPr>
          <w:rFonts w:cs="Segoe UI Symbol"/>
        </w:rPr>
        <w:t>exceptionnellement élevée</w:t>
      </w:r>
      <w:r w:rsidR="007D6C30" w:rsidRPr="00622A9F">
        <w:rPr>
          <w:rFonts w:cs="Segoe UI Symbol"/>
        </w:rPr>
        <w:t xml:space="preserve"> à 1,1 point de croissance (contre 0,4 </w:t>
      </w:r>
      <w:bookmarkStart w:id="8" w:name="_Hlk219076120"/>
      <w:r w:rsidR="007D6C30" w:rsidRPr="00622A9F">
        <w:rPr>
          <w:rFonts w:cs="Segoe UI Symbol"/>
        </w:rPr>
        <w:t>point de croissance</w:t>
      </w:r>
      <w:bookmarkEnd w:id="8"/>
      <w:r w:rsidR="007D6C30" w:rsidRPr="00622A9F">
        <w:rPr>
          <w:rFonts w:cs="Segoe UI Symbol"/>
        </w:rPr>
        <w:t xml:space="preserve"> pour le secteur minier, 0,5 point pour l’industrie et 2 points pour </w:t>
      </w:r>
      <w:r w:rsidR="00AA5D90" w:rsidRPr="00622A9F">
        <w:rPr>
          <w:rFonts w:cs="Segoe UI Symbol"/>
        </w:rPr>
        <w:t>les services).</w:t>
      </w:r>
    </w:p>
    <w:p w14:paraId="5F436C9B" w14:textId="77777777" w:rsidR="00F05256" w:rsidRDefault="00F05256" w:rsidP="00DB2A02">
      <w:pPr>
        <w:spacing w:after="0"/>
        <w:rPr>
          <w:rFonts w:ascii="Segoe UI Symbol" w:hAnsi="Segoe UI Symbol" w:cs="Segoe UI Symbol"/>
        </w:rPr>
      </w:pPr>
    </w:p>
    <w:p w14:paraId="27AFB2C7" w14:textId="745796DC" w:rsidR="00095AB6" w:rsidRDefault="007C5A4D" w:rsidP="00DB2A02">
      <w:pPr>
        <w:spacing w:after="0"/>
        <w:rPr>
          <w:rFonts w:ascii="Calibri" w:hAnsi="Calibri" w:cs="Calibri"/>
        </w:rPr>
      </w:pPr>
      <w:r w:rsidRPr="00785965">
        <w:rPr>
          <w:rFonts w:ascii="Segoe UI Symbol" w:hAnsi="Segoe UI Symbol" w:cs="Segoe UI Symbol"/>
        </w:rPr>
        <w:t>✚</w:t>
      </w:r>
      <w:r>
        <w:rPr>
          <w:rFonts w:ascii="Segoe UI Symbol" w:hAnsi="Segoe UI Symbol" w:cs="Segoe UI Symbol"/>
        </w:rPr>
        <w:t xml:space="preserve"> </w:t>
      </w:r>
      <w:r w:rsidR="00095AB6" w:rsidRPr="007C5A4D">
        <w:rPr>
          <w:rFonts w:cs="Marianne"/>
          <w:b/>
          <w:bCs/>
        </w:rPr>
        <w:t>La balance commerciale de produits agricoles et alimentaires est déficitaire</w:t>
      </w:r>
      <w:r w:rsidR="00095AB6">
        <w:rPr>
          <w:rFonts w:cs="Marianne"/>
        </w:rPr>
        <w:t xml:space="preserve"> malgré l’importance des exportations de produits de la mer</w:t>
      </w:r>
      <w:r w:rsidR="00095AB6">
        <w:rPr>
          <w:rFonts w:ascii="Calibri" w:hAnsi="Calibri" w:cs="Calibri"/>
        </w:rPr>
        <w:t>.</w:t>
      </w:r>
    </w:p>
    <w:bookmarkEnd w:id="4"/>
    <w:p w14:paraId="72EE178E" w14:textId="58A7C990" w:rsidR="00095AB6" w:rsidRDefault="00095AB6" w:rsidP="00DB2A02">
      <w:pPr>
        <w:spacing w:after="0"/>
        <w:rPr>
          <w:rFonts w:ascii="Calibri" w:hAnsi="Calibri" w:cs="Calibri"/>
        </w:rPr>
      </w:pPr>
    </w:p>
    <w:p w14:paraId="37EC7972" w14:textId="77777777" w:rsidR="006E5C68" w:rsidRPr="00095AB6" w:rsidRDefault="006E5C68" w:rsidP="00DB2A02">
      <w:pPr>
        <w:spacing w:after="0"/>
        <w:rPr>
          <w:rFonts w:ascii="Calibri" w:hAnsi="Calibri" w:cs="Calibri"/>
        </w:rPr>
      </w:pPr>
    </w:p>
    <w:p w14:paraId="0073C3F7" w14:textId="70A2E5C5" w:rsidR="008A640D" w:rsidRDefault="00BF3BCA" w:rsidP="00DB2A02">
      <w:pPr>
        <w:pStyle w:val="Titre1"/>
        <w:spacing w:before="0" w:after="0"/>
      </w:pPr>
      <w:r w:rsidRPr="00785965">
        <w:t>Production agricole</w:t>
      </w:r>
      <w:r w:rsidR="001629CF" w:rsidRPr="007268D8">
        <w:rPr>
          <w:rStyle w:val="Appelnotedebasdep"/>
          <w:b w:val="0"/>
          <w:bCs/>
          <w:color w:val="auto"/>
          <w:sz w:val="20"/>
          <w:szCs w:val="20"/>
        </w:rPr>
        <w:footnoteReference w:id="9"/>
      </w:r>
      <w:r w:rsidR="004D51A7" w:rsidRPr="007268D8">
        <w:rPr>
          <w:b w:val="0"/>
          <w:bCs/>
          <w:color w:val="auto"/>
          <w:sz w:val="20"/>
          <w:szCs w:val="20"/>
          <w:vertAlign w:val="superscript"/>
        </w:rPr>
        <w:t>,</w:t>
      </w:r>
      <w:r w:rsidR="00C85229" w:rsidRPr="007268D8">
        <w:rPr>
          <w:rStyle w:val="Appelnotedebasdep"/>
          <w:b w:val="0"/>
          <w:bCs/>
          <w:color w:val="auto"/>
          <w:sz w:val="20"/>
          <w:szCs w:val="20"/>
        </w:rPr>
        <w:footnoteReference w:id="10"/>
      </w:r>
      <w:r w:rsidR="00C85229" w:rsidRPr="007268D8">
        <w:rPr>
          <w:b w:val="0"/>
          <w:bCs/>
          <w:color w:val="auto"/>
          <w:sz w:val="20"/>
          <w:szCs w:val="20"/>
          <w:vertAlign w:val="superscript"/>
        </w:rPr>
        <w:t>,</w:t>
      </w:r>
      <w:r w:rsidR="00C85229" w:rsidRPr="007268D8">
        <w:rPr>
          <w:rStyle w:val="Appelnotedebasdep"/>
          <w:b w:val="0"/>
          <w:bCs/>
          <w:color w:val="auto"/>
          <w:sz w:val="20"/>
          <w:szCs w:val="20"/>
        </w:rPr>
        <w:footnoteReference w:id="11"/>
      </w:r>
    </w:p>
    <w:p w14:paraId="3AF45F15" w14:textId="77777777" w:rsidR="00DB2A02" w:rsidRDefault="00DB2A02" w:rsidP="00DB2A02">
      <w:pPr>
        <w:spacing w:after="0"/>
        <w:rPr>
          <w:b/>
          <w:bCs/>
        </w:rPr>
      </w:pPr>
    </w:p>
    <w:p w14:paraId="2E9E87BC" w14:textId="707347FC" w:rsidR="00514406" w:rsidRDefault="00785965" w:rsidP="00DB2A02">
      <w:pPr>
        <w:spacing w:after="0"/>
      </w:pPr>
      <w:r w:rsidRPr="00A72B22">
        <w:rPr>
          <w:b/>
          <w:bCs/>
        </w:rPr>
        <w:t>La Mauritanie est un pays qui s’étend sur</w:t>
      </w:r>
      <w:r w:rsidRPr="00785965">
        <w:t xml:space="preserve"> </w:t>
      </w:r>
      <w:r w:rsidRPr="005172E7">
        <w:rPr>
          <w:b/>
          <w:bCs/>
        </w:rPr>
        <w:t>1 030 700 km</w:t>
      </w:r>
      <w:r w:rsidR="006239B1" w:rsidRPr="005172E7">
        <w:rPr>
          <w:b/>
          <w:bCs/>
          <w:vertAlign w:val="superscript"/>
        </w:rPr>
        <w:t>2</w:t>
      </w:r>
      <w:r w:rsidRPr="005172E7">
        <w:rPr>
          <w:b/>
          <w:bCs/>
        </w:rPr>
        <w:t xml:space="preserve"> dont les deux tiers septentrionaux sont sahariens et le tiers méridional est sahélien</w:t>
      </w:r>
      <w:r w:rsidR="006239B1">
        <w:t>.</w:t>
      </w:r>
      <w:r w:rsidR="00F548D1">
        <w:t xml:space="preserve"> </w:t>
      </w:r>
      <w:bookmarkStart w:id="9" w:name="_Hlk216377493"/>
      <w:r w:rsidR="00805353">
        <w:t>Seul 0,5% de la superficie totale des terres présente un potentiel agronomique, soit 500</w:t>
      </w:r>
      <w:r w:rsidR="00805353">
        <w:rPr>
          <w:rFonts w:ascii="Calibri" w:hAnsi="Calibri" w:cs="Calibri"/>
        </w:rPr>
        <w:t> </w:t>
      </w:r>
      <w:r w:rsidR="00805353">
        <w:t>000 ha</w:t>
      </w:r>
      <w:r w:rsidR="00DB2A02">
        <w:t xml:space="preserve"> mais à peine la moitié est mis en valeur</w:t>
      </w:r>
      <w:r w:rsidR="00805353">
        <w:t>.</w:t>
      </w:r>
      <w:r w:rsidR="00C624E9">
        <w:t xml:space="preserve"> </w:t>
      </w:r>
      <w:bookmarkEnd w:id="9"/>
      <w:r w:rsidR="00C624E9">
        <w:t>L</w:t>
      </w:r>
      <w:r w:rsidR="00FE2161">
        <w:t>es activités agricoles du pays se déploient sur quatre grandes zones agroécologiques</w:t>
      </w:r>
      <w:r w:rsidR="00805353">
        <w:t>.</w:t>
      </w:r>
    </w:p>
    <w:p w14:paraId="4664C7FF" w14:textId="4BF0883D" w:rsidR="006C7F40" w:rsidRDefault="000D2033" w:rsidP="00C624E9">
      <w:pPr>
        <w:pStyle w:val="Paragraphedeliste"/>
        <w:numPr>
          <w:ilvl w:val="0"/>
          <w:numId w:val="30"/>
        </w:numPr>
        <w:spacing w:after="0"/>
      </w:pPr>
      <w:r w:rsidRPr="00C624E9">
        <w:rPr>
          <w:b/>
          <w:bCs/>
        </w:rPr>
        <w:t>La</w:t>
      </w:r>
      <w:r w:rsidR="00FE2161" w:rsidRPr="00C624E9">
        <w:rPr>
          <w:b/>
          <w:bCs/>
        </w:rPr>
        <w:t xml:space="preserve"> zone aride</w:t>
      </w:r>
      <w:r w:rsidR="004D51A7" w:rsidRPr="00C624E9">
        <w:rPr>
          <w:rFonts w:ascii="Calibri" w:hAnsi="Calibri" w:cs="Calibri"/>
          <w:b/>
          <w:bCs/>
        </w:rPr>
        <w:t xml:space="preserve">, </w:t>
      </w:r>
      <w:r w:rsidR="004D51A7" w:rsidRPr="00C624E9">
        <w:rPr>
          <w:b/>
          <w:bCs/>
        </w:rPr>
        <w:t>la plus vaste du territoire (80% de la superficie totale), est caractérisée par des températures très élevées, la sécheresse de l’air et par une très faible pluviométrie</w:t>
      </w:r>
      <w:r w:rsidR="004D51A7" w:rsidRPr="004D51A7">
        <w:t>. Le système de production de référence, de type oasien avec palmier et cultures irriguées associées (céréales, luzernes, fruits et légumes), couvre environ 12 000 ha, soit 2,4 % de la SAU.</w:t>
      </w:r>
    </w:p>
    <w:p w14:paraId="74576633" w14:textId="3726FDE5" w:rsidR="00514406" w:rsidRDefault="000D2033" w:rsidP="00C624E9">
      <w:pPr>
        <w:pStyle w:val="Paragraphedeliste"/>
        <w:numPr>
          <w:ilvl w:val="0"/>
          <w:numId w:val="30"/>
        </w:numPr>
        <w:spacing w:after="0"/>
      </w:pPr>
      <w:r w:rsidRPr="00C624E9">
        <w:rPr>
          <w:b/>
          <w:bCs/>
        </w:rPr>
        <w:t>La</w:t>
      </w:r>
      <w:r w:rsidR="00FE2161" w:rsidRPr="00C624E9">
        <w:rPr>
          <w:b/>
          <w:bCs/>
        </w:rPr>
        <w:t xml:space="preserve"> zone sahélienne </w:t>
      </w:r>
      <w:r w:rsidR="004D51A7" w:rsidRPr="00C624E9">
        <w:rPr>
          <w:b/>
          <w:bCs/>
        </w:rPr>
        <w:t xml:space="preserve">du </w:t>
      </w:r>
      <w:r w:rsidR="00DB2A02" w:rsidRPr="00C624E9">
        <w:rPr>
          <w:b/>
          <w:bCs/>
        </w:rPr>
        <w:t>s</w:t>
      </w:r>
      <w:r w:rsidR="004D51A7" w:rsidRPr="00C624E9">
        <w:rPr>
          <w:b/>
          <w:bCs/>
        </w:rPr>
        <w:t>ud-est de la Mauritanie est celle où alterne une saison hivernale sèche et une saison estivale pluvieuse.</w:t>
      </w:r>
      <w:r w:rsidR="004D51A7" w:rsidRPr="004D51A7">
        <w:t xml:space="preserve"> Le système de production est de type agropastoral</w:t>
      </w:r>
      <w:r w:rsidRPr="00C624E9">
        <w:rPr>
          <w:rFonts w:ascii="Calibri" w:hAnsi="Calibri" w:cs="Calibri"/>
        </w:rPr>
        <w:t> </w:t>
      </w:r>
      <w:r>
        <w:t>:</w:t>
      </w:r>
    </w:p>
    <w:p w14:paraId="0CAFBF55" w14:textId="71595FB7" w:rsidR="006C7F40" w:rsidRDefault="006C7F40" w:rsidP="00DB2A02">
      <w:pPr>
        <w:pStyle w:val="Paragraphedeliste"/>
        <w:numPr>
          <w:ilvl w:val="0"/>
          <w:numId w:val="27"/>
        </w:numPr>
        <w:spacing w:after="0"/>
      </w:pPr>
      <w:r w:rsidRPr="006C7F40">
        <w:t>À l’</w:t>
      </w:r>
      <w:r w:rsidR="00DB2A02">
        <w:t>E</w:t>
      </w:r>
      <w:r w:rsidRPr="006C7F40">
        <w:t xml:space="preserve">st du pays, </w:t>
      </w:r>
      <w:r w:rsidRPr="000D2033">
        <w:rPr>
          <w:b/>
          <w:bCs/>
        </w:rPr>
        <w:t>l’élevage transhumant et extensif prédomine</w:t>
      </w:r>
      <w:r w:rsidRPr="006C7F40">
        <w:t xml:space="preserve"> par rapport aux cultures (sorgho, mil, maïs) extensives pluviales</w:t>
      </w:r>
      <w:r w:rsidR="00DB2A02">
        <w:t xml:space="preserve"> </w:t>
      </w:r>
      <w:r w:rsidRPr="006C7F40">
        <w:t xml:space="preserve">en zone sablonneuse. Les superficies varient considérablement </w:t>
      </w:r>
      <w:r w:rsidRPr="006C7F40">
        <w:lastRenderedPageBreak/>
        <w:t xml:space="preserve">en fonction de la pluviométrie : de 57 000 à 184 000 ha soit de 11% à 37% de la SAU. Les rendements sont faibles, de l’ordre de 0,3 tonne /ha. </w:t>
      </w:r>
    </w:p>
    <w:p w14:paraId="54965565" w14:textId="05FBE5FB" w:rsidR="006C7F40" w:rsidRDefault="006C7F40" w:rsidP="00DB2A02">
      <w:pPr>
        <w:pStyle w:val="Paragraphedeliste"/>
        <w:numPr>
          <w:ilvl w:val="0"/>
          <w:numId w:val="27"/>
        </w:numPr>
        <w:spacing w:after="0"/>
      </w:pPr>
      <w:r w:rsidRPr="006C7F40">
        <w:t xml:space="preserve">Au Sud, </w:t>
      </w:r>
      <w:r w:rsidRPr="000D2033">
        <w:rPr>
          <w:b/>
          <w:bCs/>
        </w:rPr>
        <w:t>dominent les cultures</w:t>
      </w:r>
      <w:r w:rsidRPr="006C7F40">
        <w:t xml:space="preserve"> (sorgho, maïs, légumes) derrière</w:t>
      </w:r>
      <w:r w:rsidR="00880CCD">
        <w:t xml:space="preserve"> des</w:t>
      </w:r>
      <w:r w:rsidRPr="006C7F40">
        <w:t xml:space="preserve"> barrages et de</w:t>
      </w:r>
      <w:r>
        <w:t>s</w:t>
      </w:r>
      <w:r w:rsidRPr="006C7F40">
        <w:t xml:space="preserve"> bas-fonds. Les superficies varient entre 14 000 ha et 60 000 ha, soit de 3% à 12% de la SAU totale. Les rendements moyens sont faibles, de l’ordre de 0,8 tonnes/ha.</w:t>
      </w:r>
      <w:r>
        <w:t xml:space="preserve"> </w:t>
      </w:r>
      <w:r w:rsidRPr="006C7F40">
        <w:t xml:space="preserve">Ces </w:t>
      </w:r>
      <w:r w:rsidR="00C62DA4">
        <w:t xml:space="preserve">deux </w:t>
      </w:r>
      <w:r w:rsidRPr="006C7F40">
        <w:t xml:space="preserve">systèmes sont caractéristiques de l’agriculture familiale (main </w:t>
      </w:r>
      <w:r w:rsidR="000D2033" w:rsidRPr="006C7F40">
        <w:t>d’œuvre familiale</w:t>
      </w:r>
      <w:r w:rsidRPr="006C7F40">
        <w:t>, cultures de subsistance).</w:t>
      </w:r>
    </w:p>
    <w:p w14:paraId="2BB28050" w14:textId="77777777" w:rsidR="006E5C68" w:rsidRDefault="006E5C68" w:rsidP="006E5C68">
      <w:pPr>
        <w:spacing w:after="0"/>
        <w:ind w:left="360"/>
      </w:pPr>
    </w:p>
    <w:p w14:paraId="00435ABB" w14:textId="15A1182F" w:rsidR="000D2033" w:rsidRDefault="000D2033" w:rsidP="00C624E9">
      <w:pPr>
        <w:pStyle w:val="Paragraphedeliste"/>
        <w:numPr>
          <w:ilvl w:val="0"/>
          <w:numId w:val="31"/>
        </w:numPr>
        <w:spacing w:after="0"/>
      </w:pPr>
      <w:r w:rsidRPr="00C624E9">
        <w:rPr>
          <w:b/>
          <w:bCs/>
        </w:rPr>
        <w:t>La zone de la vallée du fleuve Sénégal est celle où domine l’agriculture irriguée, mais où sont également</w:t>
      </w:r>
      <w:r w:rsidR="007268D8">
        <w:rPr>
          <w:b/>
          <w:bCs/>
        </w:rPr>
        <w:t xml:space="preserve"> </w:t>
      </w:r>
      <w:r w:rsidRPr="00C624E9">
        <w:rPr>
          <w:b/>
          <w:bCs/>
        </w:rPr>
        <w:t>développés les cultures pluviales et l’élevage. I</w:t>
      </w:r>
      <w:r w:rsidRPr="000D2033">
        <w:t>l existe deux systèmes de culture</w:t>
      </w:r>
      <w:r>
        <w:t xml:space="preserve"> irriguée</w:t>
      </w:r>
      <w:r w:rsidRPr="000D2033">
        <w:t xml:space="preserve"> :</w:t>
      </w:r>
    </w:p>
    <w:p w14:paraId="494B8938" w14:textId="50206A85" w:rsidR="000D2033" w:rsidRDefault="00C62DA4" w:rsidP="00DB2A02">
      <w:pPr>
        <w:pStyle w:val="Paragraphedeliste"/>
        <w:numPr>
          <w:ilvl w:val="0"/>
          <w:numId w:val="26"/>
        </w:numPr>
        <w:spacing w:after="0"/>
      </w:pPr>
      <w:r>
        <w:t>I</w:t>
      </w:r>
      <w:r w:rsidR="000D2033">
        <w:t>rrigation en</w:t>
      </w:r>
      <w:r w:rsidR="000D2033" w:rsidRPr="000D2033">
        <w:t xml:space="preserve"> maîtrise totale de l’eau</w:t>
      </w:r>
      <w:r>
        <w:t>.</w:t>
      </w:r>
      <w:r w:rsidR="000D2033" w:rsidRPr="000D2033">
        <w:t xml:space="preserve"> </w:t>
      </w:r>
      <w:r>
        <w:t>L</w:t>
      </w:r>
      <w:r w:rsidRPr="00C62DA4">
        <w:t xml:space="preserve">e potentiel est estimé à 135 000 ha </w:t>
      </w:r>
      <w:r w:rsidR="000D2033" w:rsidRPr="000D2033">
        <w:t>essentiellement concentré</w:t>
      </w:r>
      <w:r>
        <w:t>s</w:t>
      </w:r>
      <w:r w:rsidR="000D2033" w:rsidRPr="000D2033">
        <w:t xml:space="preserve"> dans la vallée du fleuve Sénégal. Trois campagnes sont pratiquées par an :</w:t>
      </w:r>
      <w:r w:rsidR="000D2033">
        <w:t xml:space="preserve"> </w:t>
      </w:r>
      <w:r w:rsidR="000D2033" w:rsidRPr="000D2033">
        <w:t>riz en hivernage (juillet-octobre</w:t>
      </w:r>
      <w:r w:rsidR="007E5394" w:rsidRPr="000D2033">
        <w:t>) ;</w:t>
      </w:r>
      <w:r w:rsidR="000D2033" w:rsidRPr="000D2033">
        <w:t xml:space="preserve"> fruits et légumes, </w:t>
      </w:r>
      <w:r w:rsidR="007E5394" w:rsidRPr="000D2033">
        <w:t>maïs, sorgho</w:t>
      </w:r>
      <w:r w:rsidR="000D2033" w:rsidRPr="000D2033">
        <w:t xml:space="preserve"> en contre-saison froide (novembre-février</w:t>
      </w:r>
      <w:r w:rsidR="007E5394" w:rsidRPr="000D2033">
        <w:t>)</w:t>
      </w:r>
      <w:r>
        <w:t> ;</w:t>
      </w:r>
      <w:r w:rsidR="000D2033" w:rsidRPr="000D2033">
        <w:t xml:space="preserve"> riz en contre-saison chaude (mars-juin). Le riz, principale culture en irrigué, a un rendement moyen de 4 </w:t>
      </w:r>
      <w:r w:rsidR="000D2033">
        <w:t>tonnes/ha</w:t>
      </w:r>
      <w:r w:rsidR="000D2033" w:rsidRPr="000D2033">
        <w:t xml:space="preserve"> pour un potentiel de 6 à 8 tonnes</w:t>
      </w:r>
      <w:r w:rsidR="000D2033">
        <w:t>/</w:t>
      </w:r>
      <w:r w:rsidR="000D2033" w:rsidRPr="000D2033">
        <w:t xml:space="preserve">ha. 8 900 ha ont été aménagés, portant le total des superficies irriguées à environ 30 000 ha soit 6% de la SAU. </w:t>
      </w:r>
    </w:p>
    <w:p w14:paraId="6D883B51" w14:textId="1F2A2112" w:rsidR="007F29B8" w:rsidRDefault="00C62DA4" w:rsidP="00DB2A02">
      <w:pPr>
        <w:pStyle w:val="Paragraphedeliste"/>
        <w:numPr>
          <w:ilvl w:val="0"/>
          <w:numId w:val="26"/>
        </w:numPr>
        <w:spacing w:after="0"/>
      </w:pPr>
      <w:r>
        <w:t xml:space="preserve">Irrigation en </w:t>
      </w:r>
      <w:r w:rsidR="000D2033" w:rsidRPr="000D2033">
        <w:t>décrue naturelle ou contrôlé</w:t>
      </w:r>
      <w:r>
        <w:t>e</w:t>
      </w:r>
      <w:r w:rsidR="000D2033" w:rsidRPr="000D2033">
        <w:t>. Les superficies mises en valeur varient d’un minimum de 7 000 ha, soit 1,4% de la SAU, à un maximum de 40 000 ha, soit 8% de la SAU. Les principales spéculations de ces systèmes sont le sorgho et le maïs. Les rendements moyens y sont peu élevés, de l’ordre de 0,6 tonne</w:t>
      </w:r>
      <w:r w:rsidR="007F29B8">
        <w:t>/</w:t>
      </w:r>
      <w:r w:rsidR="000D2033" w:rsidRPr="000D2033">
        <w:t>ha en décrue naturelle et de 0,9 tonne/ha en décrue contrôlée. Ce système de culture dépend pour 50% environ de la gestion du barrage</w:t>
      </w:r>
      <w:r w:rsidR="007F29B8">
        <w:t xml:space="preserve"> hydraulique</w:t>
      </w:r>
      <w:r w:rsidR="000D2033" w:rsidRPr="000D2033">
        <w:t xml:space="preserve"> </w:t>
      </w:r>
      <w:r w:rsidR="007F29B8">
        <w:t>amont</w:t>
      </w:r>
      <w:r w:rsidR="000D2033" w:rsidRPr="000D2033">
        <w:t>.</w:t>
      </w:r>
    </w:p>
    <w:p w14:paraId="66536F57" w14:textId="65A7C02F" w:rsidR="0088545D" w:rsidRDefault="007F29B8" w:rsidP="000B464A">
      <w:pPr>
        <w:pStyle w:val="Paragraphedeliste"/>
        <w:numPr>
          <w:ilvl w:val="0"/>
          <w:numId w:val="31"/>
        </w:numPr>
        <w:spacing w:after="0"/>
      </w:pPr>
      <w:r w:rsidRPr="000B464A">
        <w:rPr>
          <w:b/>
          <w:bCs/>
        </w:rPr>
        <w:t>La</w:t>
      </w:r>
      <w:r w:rsidR="00FE2161" w:rsidRPr="000B464A">
        <w:rPr>
          <w:b/>
          <w:bCs/>
        </w:rPr>
        <w:t xml:space="preserve"> zone maritime</w:t>
      </w:r>
      <w:r w:rsidR="00FE2161">
        <w:t xml:space="preserve"> </w:t>
      </w:r>
      <w:r w:rsidR="00FE2161" w:rsidRPr="000B464A">
        <w:rPr>
          <w:b/>
          <w:bCs/>
        </w:rPr>
        <w:t>le long de la façade</w:t>
      </w:r>
      <w:r w:rsidR="00514406" w:rsidRPr="000B464A">
        <w:rPr>
          <w:b/>
          <w:bCs/>
        </w:rPr>
        <w:t xml:space="preserve"> A</w:t>
      </w:r>
      <w:r w:rsidR="00FE2161" w:rsidRPr="000B464A">
        <w:rPr>
          <w:b/>
          <w:bCs/>
        </w:rPr>
        <w:t xml:space="preserve">tlantique </w:t>
      </w:r>
      <w:r w:rsidR="00CE315F" w:rsidRPr="000B464A">
        <w:rPr>
          <w:b/>
          <w:bCs/>
        </w:rPr>
        <w:t xml:space="preserve">enfin, avec </w:t>
      </w:r>
      <w:r w:rsidR="00FE2161" w:rsidRPr="000B464A">
        <w:rPr>
          <w:b/>
          <w:bCs/>
        </w:rPr>
        <w:t>la présence des deux principales villes du</w:t>
      </w:r>
      <w:r w:rsidRPr="000B464A">
        <w:rPr>
          <w:b/>
          <w:bCs/>
        </w:rPr>
        <w:t xml:space="preserve"> </w:t>
      </w:r>
      <w:r w:rsidR="00FE2161" w:rsidRPr="000B464A">
        <w:rPr>
          <w:b/>
          <w:bCs/>
        </w:rPr>
        <w:t xml:space="preserve">pays (Nouakchott et Nouadhibou) </w:t>
      </w:r>
      <w:r w:rsidR="00CE315F" w:rsidRPr="000B464A">
        <w:rPr>
          <w:b/>
          <w:bCs/>
        </w:rPr>
        <w:t xml:space="preserve">est </w:t>
      </w:r>
      <w:r w:rsidR="00FE2161" w:rsidRPr="000B464A">
        <w:rPr>
          <w:b/>
          <w:bCs/>
        </w:rPr>
        <w:t xml:space="preserve">une zone importante </w:t>
      </w:r>
      <w:r w:rsidR="00FE2161" w:rsidRPr="00C624E9">
        <w:t>en matière de fermes avicoles, de productions laitières et de cultures maraîchères périurbaines</w:t>
      </w:r>
      <w:r w:rsidRPr="00C624E9">
        <w:t xml:space="preserve">. </w:t>
      </w:r>
      <w:r w:rsidRPr="007F29B8">
        <w:t xml:space="preserve">Un système de production littoral permet l’exploitation des potentialités spécifiques de cette zone, plus humide, aux températures moins élevées et donc propices aux cultures, notamment maraîchères et arboricoles. Une estimation indicative de la SAU en zone maritime est de l’ordre de 12 000 ha. </w:t>
      </w:r>
      <w:r w:rsidR="00CE315F">
        <w:t xml:space="preserve">Un </w:t>
      </w:r>
      <w:r w:rsidRPr="007F29B8">
        <w:t xml:space="preserve">élevage de type urbain </w:t>
      </w:r>
      <w:r w:rsidR="00CE315F">
        <w:t>s’</w:t>
      </w:r>
      <w:r w:rsidRPr="007F29B8">
        <w:t>est développé à proximité des agglomérations.</w:t>
      </w:r>
    </w:p>
    <w:p w14:paraId="6F84C342" w14:textId="5343A24D" w:rsidR="00EC33B0" w:rsidRDefault="00EC33B0" w:rsidP="00DB2A02">
      <w:pPr>
        <w:spacing w:after="0"/>
      </w:pPr>
    </w:p>
    <w:p w14:paraId="64B65064" w14:textId="683A82AD" w:rsidR="00EC33B0" w:rsidRDefault="00EC33B0" w:rsidP="00DB2A02">
      <w:pPr>
        <w:spacing w:after="0"/>
      </w:pPr>
      <w:r w:rsidRPr="002748B2">
        <w:rPr>
          <w:b/>
          <w:bCs/>
        </w:rPr>
        <w:t>La Mauritanie est confrontée à d’importants défis environnementaux liés aux changements climatiques</w:t>
      </w:r>
      <w:r>
        <w:rPr>
          <w:rFonts w:ascii="Calibri" w:hAnsi="Calibri" w:cs="Calibri"/>
          <w:b/>
          <w:bCs/>
        </w:rPr>
        <w:t> </w:t>
      </w:r>
      <w:r>
        <w:rPr>
          <w:b/>
          <w:bCs/>
        </w:rPr>
        <w:t xml:space="preserve">: </w:t>
      </w:r>
      <w:r w:rsidRPr="00EC33B0">
        <w:t>inondations, sécheresses, montée des eaux salées, dégradation de la biodiversité́ maritime et côtière, rareté en eau et en ressources fourragères, rétrécissement de la bande agropastorale, vents de sable de plus en plus fréquents favorisant l’ensablement des terres fertiles, des mares temporaires, des oasis et des infrastructures.</w:t>
      </w:r>
      <w:r w:rsidRPr="002748B2">
        <w:t xml:space="preserve"> </w:t>
      </w:r>
      <w:r>
        <w:t>Les</w:t>
      </w:r>
      <w:r w:rsidRPr="002748B2">
        <w:t xml:space="preserve"> risques et la fréquence des sécheresses vont augmenter, ce qui aura un impact important sur les circuits de transhumance, sur la sécurité́ alimentaire mais aussi sur l’intensité des conflits entre agriculteurs et pasteurs en raison de la rareté des pâturages et de l’eau. </w:t>
      </w:r>
      <w:r w:rsidRPr="00720587">
        <w:rPr>
          <w:b/>
          <w:bCs/>
        </w:rPr>
        <w:t>En l’absence de politiques d’adaptation au changement climatique et d’investissements, le PIB annuel de la Mauritanie pourrait diminuer de 7,2% d’ici 2050</w:t>
      </w:r>
      <w:r w:rsidR="00A8374B">
        <w:rPr>
          <w:rStyle w:val="Appelnotedebasdep"/>
          <w:b/>
          <w:bCs/>
        </w:rPr>
        <w:footnoteReference w:id="12"/>
      </w:r>
      <w:r w:rsidRPr="00720587">
        <w:rPr>
          <w:b/>
          <w:bCs/>
        </w:rPr>
        <w:t>.</w:t>
      </w:r>
      <w:r w:rsidRPr="002748B2">
        <w:t xml:space="preserve"> Les changements climatiques ont accentué également la pression sur le foncier car le phénomène de dégradation de l’environnement entraîne une mobilité des populations des régions les plus arides vers les régions les moins arides du pays. Les zones qui connaîtront de fortes pressions foncières sont la zone maritime et particulièrement la zone de la vallée du fleuve Sénégal</w:t>
      </w:r>
      <w:r>
        <w:rPr>
          <w:rFonts w:ascii="Calibri" w:hAnsi="Calibri" w:cs="Calibri"/>
        </w:rPr>
        <w:t>.</w:t>
      </w:r>
    </w:p>
    <w:p w14:paraId="41F5E365" w14:textId="1B9B91FF" w:rsidR="0018698F" w:rsidRDefault="00F548D1" w:rsidP="00DB2A02">
      <w:pPr>
        <w:spacing w:after="0"/>
      </w:pPr>
      <w:r w:rsidRPr="00565C4D">
        <w:rPr>
          <w:b/>
          <w:bCs/>
        </w:rPr>
        <w:lastRenderedPageBreak/>
        <w:t>La population mauritanienne est estimée à environ 5,2 M d’habitants avec une croissance démographique de +2,9%.</w:t>
      </w:r>
      <w:r w:rsidRPr="00F548D1">
        <w:t xml:space="preserve"> La population rurale compte 41% de la population totale du pays et 60% de cette population vit de l’agriculture et de l’élevage. </w:t>
      </w:r>
      <w:r w:rsidRPr="003832D5">
        <w:t>L’insécurité alimentaire reste une préoccupation majeure. L’insécurité alimentaire aiguë est passée de 9% en 2020 à 11,6% entre 2021 et 2023. Pendant la période de soudure, de juin à septembre 2024, 12,8 % de la population, soit 600</w:t>
      </w:r>
      <w:r w:rsidR="00565C4D">
        <w:t> </w:t>
      </w:r>
      <w:r w:rsidRPr="003832D5">
        <w:t xml:space="preserve">000 personnes, ont été confrontées à une insécurité alimentaire de crise. Pour la période de soudure de juin à août 2025, la FAO estime qu’environ 375 000 personnes (8% de la population analysée) </w:t>
      </w:r>
      <w:r w:rsidR="00565C4D">
        <w:t>aur</w:t>
      </w:r>
      <w:r w:rsidRPr="003832D5">
        <w:t>aient</w:t>
      </w:r>
      <w:r w:rsidR="00565C4D">
        <w:t xml:space="preserve"> été</w:t>
      </w:r>
      <w:r w:rsidRPr="003832D5">
        <w:t xml:space="preserve"> en insécurité alimentaire aiguë, dont près de 32 000 en phase d’urgence</w:t>
      </w:r>
      <w:r>
        <w:t>.</w:t>
      </w:r>
      <w:r w:rsidRPr="000661A5">
        <w:rPr>
          <w:vertAlign w:val="superscript"/>
        </w:rPr>
        <w:footnoteReference w:id="13"/>
      </w:r>
    </w:p>
    <w:p w14:paraId="4AECBEFE" w14:textId="77777777" w:rsidR="0018698F" w:rsidRDefault="0018698F" w:rsidP="00DB2A02">
      <w:pPr>
        <w:spacing w:after="0"/>
      </w:pPr>
    </w:p>
    <w:p w14:paraId="4FDCD058" w14:textId="77777777" w:rsidR="00FF4AC9" w:rsidRDefault="0018698F" w:rsidP="00DB2A02">
      <w:pPr>
        <w:spacing w:after="0"/>
      </w:pPr>
      <w:r w:rsidRPr="00551E94">
        <w:rPr>
          <w:b/>
          <w:bCs/>
        </w:rPr>
        <w:t>Le régime foncier constituerait l'un des principaux facteurs perpétuant l'extrême pauvreté</w:t>
      </w:r>
      <w:r w:rsidRPr="0018698F">
        <w:t xml:space="preserve"> dans laquelle </w:t>
      </w:r>
      <w:r w:rsidR="00551E94">
        <w:t xml:space="preserve">vit une grande partie de </w:t>
      </w:r>
      <w:r w:rsidRPr="0018698F">
        <w:t>la population mauritanienne.</w:t>
      </w:r>
      <w:r w:rsidR="00551E94">
        <w:t xml:space="preserve"> S</w:t>
      </w:r>
      <w:r w:rsidRPr="0018698F">
        <w:t>ans titre de propriété, les plus pauvres ne peuvent obtenir de prêts pour les semences et les engrais, et sont souvent menacés d'éviction sans indemnisation</w:t>
      </w:r>
      <w:r w:rsidR="00551E94">
        <w:t xml:space="preserve"> alors que l</w:t>
      </w:r>
      <w:r w:rsidRPr="0018698F">
        <w:t>es terres agricoles peuvent être achetées par les étrangers à travers la constitution d'une société de droit mauritanien et la location par bail emphytéotique. Selon les autorités, l'État attache</w:t>
      </w:r>
      <w:r w:rsidR="00551E94">
        <w:t>rait cependant</w:t>
      </w:r>
      <w:r w:rsidRPr="0018698F">
        <w:t xml:space="preserve"> une grande importance à l'accessibilité des coopératives villageoises aux terres, à l'accès au crédit agricole, et à l'assainissement du système foncier.</w:t>
      </w:r>
      <w:r w:rsidR="00551E94" w:rsidRPr="00551E94">
        <w:t xml:space="preserve"> </w:t>
      </w:r>
    </w:p>
    <w:p w14:paraId="3AACEE75" w14:textId="77777777" w:rsidR="00FF4AC9" w:rsidRDefault="00FF4AC9" w:rsidP="00DB2A02">
      <w:pPr>
        <w:spacing w:after="0"/>
      </w:pPr>
    </w:p>
    <w:p w14:paraId="753DC06B" w14:textId="6531984F" w:rsidR="00F548D1" w:rsidRDefault="00551E94" w:rsidP="00DB2A02">
      <w:pPr>
        <w:spacing w:after="0"/>
      </w:pPr>
      <w:r w:rsidRPr="00551E94">
        <w:rPr>
          <w:b/>
          <w:bCs/>
        </w:rPr>
        <w:t>Pour autant, le système financier mauritanien se caractérise par une faible contribution du système bancaire au financement du secteur rural</w:t>
      </w:r>
      <w:r w:rsidRPr="00551E94">
        <w:t xml:space="preserve"> (1%)</w:t>
      </w:r>
      <w:r>
        <w:t xml:space="preserve">. </w:t>
      </w:r>
      <w:r w:rsidRPr="00551E94">
        <w:t>Les banques sont très peu présentes en milieu rural et ne répondent que partiellement aux besoins de financement des exploitants agricoles en posant des conditions d’accès au crédit contraignantes au regard des possibilités des producteurs. Le secteur de la microfinance en est encore au stade embryonnaire et son offre est limitée. Les seules institutions spécialisées dans le crédit en milieu rural sont les institutions de microfinance (IMF), dont le système des 9 mutuelles d’investissement et de crédit oasien (MICO) et le réseau de l’Union nationale du crédit agricole et de caisses d’épargnes (UNCACEM) dont le rôle a été repris par la Caisse des dépôts et de développement (CDD).</w:t>
      </w:r>
    </w:p>
    <w:p w14:paraId="28980ACA" w14:textId="77777777" w:rsidR="00F548D1" w:rsidRDefault="00F548D1" w:rsidP="00DB2A02">
      <w:pPr>
        <w:spacing w:after="0"/>
      </w:pPr>
    </w:p>
    <w:p w14:paraId="0CE042C3" w14:textId="6B0FB357" w:rsidR="0088545D" w:rsidRDefault="00565C4D" w:rsidP="00DB2A02">
      <w:pPr>
        <w:spacing w:after="0"/>
      </w:pPr>
      <w:bookmarkStart w:id="10" w:name="_Hlk216285280"/>
      <w:r>
        <w:rPr>
          <w:b/>
          <w:bCs/>
        </w:rPr>
        <w:t>L</w:t>
      </w:r>
      <w:r w:rsidR="00371217" w:rsidRPr="00E83E45">
        <w:rPr>
          <w:b/>
          <w:bCs/>
        </w:rPr>
        <w:t>e secteur agricole (production végétale, animale, forestière et halieutique)</w:t>
      </w:r>
      <w:r w:rsidR="008A640D" w:rsidRPr="00E83E45">
        <w:rPr>
          <w:b/>
          <w:bCs/>
        </w:rPr>
        <w:t xml:space="preserve"> représent</w:t>
      </w:r>
      <w:r>
        <w:rPr>
          <w:b/>
          <w:bCs/>
        </w:rPr>
        <w:t>ait en 2024</w:t>
      </w:r>
      <w:r w:rsidR="008A640D" w:rsidRPr="00E83E45">
        <w:rPr>
          <w:b/>
          <w:bCs/>
        </w:rPr>
        <w:t xml:space="preserve"> </w:t>
      </w:r>
      <w:r w:rsidR="00E03533" w:rsidRPr="00E83E45">
        <w:rPr>
          <w:b/>
          <w:bCs/>
        </w:rPr>
        <w:t xml:space="preserve">près de </w:t>
      </w:r>
      <w:r w:rsidR="008A640D" w:rsidRPr="00E83E45">
        <w:rPr>
          <w:b/>
          <w:bCs/>
        </w:rPr>
        <w:t>1</w:t>
      </w:r>
      <w:r w:rsidR="00E03533" w:rsidRPr="00E83E45">
        <w:rPr>
          <w:b/>
          <w:bCs/>
        </w:rPr>
        <w:t>9</w:t>
      </w:r>
      <w:r w:rsidR="008A640D" w:rsidRPr="00E83E45">
        <w:rPr>
          <w:b/>
          <w:bCs/>
        </w:rPr>
        <w:t xml:space="preserve">% du PIB national </w:t>
      </w:r>
      <w:r w:rsidR="00371217" w:rsidRPr="00E83E45">
        <w:rPr>
          <w:b/>
          <w:bCs/>
        </w:rPr>
        <w:t>pour une valeur de 2 Md USD.</w:t>
      </w:r>
      <w:r w:rsidR="00371217">
        <w:t xml:space="preserve"> </w:t>
      </w:r>
      <w:bookmarkEnd w:id="10"/>
      <w:r w:rsidR="00371217">
        <w:t>Ces deux secteurs</w:t>
      </w:r>
      <w:r w:rsidR="009A4D50" w:rsidRPr="009A4D50">
        <w:t xml:space="preserve"> contribu</w:t>
      </w:r>
      <w:r w:rsidR="00DC2454">
        <w:t>ent</w:t>
      </w:r>
      <w:r w:rsidR="009A4D50" w:rsidRPr="009A4D50">
        <w:t xml:space="preserve"> </w:t>
      </w:r>
      <w:r w:rsidR="00371217">
        <w:t>à près de 1</w:t>
      </w:r>
      <w:r w:rsidR="00E03533">
        <w:t>3</w:t>
      </w:r>
      <w:r w:rsidR="009A4D50" w:rsidRPr="009A4D50">
        <w:t>% du PIB</w:t>
      </w:r>
      <w:r w:rsidR="00E83E45">
        <w:t xml:space="preserve"> et</w:t>
      </w:r>
      <w:r w:rsidR="009A4D50" w:rsidRPr="009A4D50">
        <w:t xml:space="preserve"> </w:t>
      </w:r>
      <w:r w:rsidR="00E83E45" w:rsidRPr="009A4D50">
        <w:t xml:space="preserve">occupent environ </w:t>
      </w:r>
      <w:r w:rsidR="00E83E45">
        <w:t>30</w:t>
      </w:r>
      <w:r w:rsidR="00E83E45" w:rsidRPr="009A4D50">
        <w:t>% de la main</w:t>
      </w:r>
      <w:r w:rsidR="00E83E45">
        <w:t>-</w:t>
      </w:r>
      <w:r w:rsidR="00E83E45" w:rsidRPr="009A4D50">
        <w:t xml:space="preserve">d’œuvre active totale </w:t>
      </w:r>
      <w:r w:rsidR="009A4D50" w:rsidRPr="009A4D50">
        <w:t>dont 75% revient à l’élevage seul.</w:t>
      </w:r>
      <w:r w:rsidR="0035424A">
        <w:t xml:space="preserve"> </w:t>
      </w:r>
      <w:r w:rsidR="0035424A" w:rsidRPr="0035424A">
        <w:t>Les activités de production sont assurées par des organisations de producteurs communautaires et interprofessionnelles aux statuts juridiques variés. On dénombre ainsi plus de 22</w:t>
      </w:r>
      <w:r w:rsidR="0035424A" w:rsidRPr="0035424A">
        <w:rPr>
          <w:rFonts w:ascii="Calibri" w:hAnsi="Calibri" w:cs="Calibri"/>
        </w:rPr>
        <w:t> </w:t>
      </w:r>
      <w:r w:rsidR="0035424A" w:rsidRPr="0035424A">
        <w:t>000 coop</w:t>
      </w:r>
      <w:r w:rsidR="0035424A" w:rsidRPr="0035424A">
        <w:rPr>
          <w:rFonts w:cs="Marianne"/>
        </w:rPr>
        <w:t>é</w:t>
      </w:r>
      <w:r w:rsidR="0035424A" w:rsidRPr="0035424A">
        <w:t>ratives agricoles et plus de 1</w:t>
      </w:r>
      <w:r w:rsidR="0035424A" w:rsidRPr="0035424A">
        <w:rPr>
          <w:rFonts w:ascii="Calibri" w:hAnsi="Calibri" w:cs="Calibri"/>
        </w:rPr>
        <w:t> </w:t>
      </w:r>
      <w:r w:rsidR="0035424A" w:rsidRPr="0035424A">
        <w:t>500 associations</w:t>
      </w:r>
      <w:r w:rsidR="00CE315F">
        <w:t>.</w:t>
      </w:r>
    </w:p>
    <w:p w14:paraId="2BFA869F" w14:textId="77777777" w:rsidR="00CE315F" w:rsidRDefault="00CE315F" w:rsidP="00DB2A02">
      <w:pPr>
        <w:spacing w:after="0"/>
      </w:pPr>
    </w:p>
    <w:p w14:paraId="51347B98" w14:textId="427E636B" w:rsidR="00277423" w:rsidRDefault="00EC4BF6" w:rsidP="00DB2A02">
      <w:pPr>
        <w:spacing w:after="0"/>
      </w:pPr>
      <w:r w:rsidRPr="00FF490C">
        <w:rPr>
          <w:b/>
          <w:bCs/>
        </w:rPr>
        <w:t xml:space="preserve">Selon les </w:t>
      </w:r>
      <w:r w:rsidR="006B3E2E">
        <w:rPr>
          <w:b/>
          <w:bCs/>
        </w:rPr>
        <w:t xml:space="preserve">derniers </w:t>
      </w:r>
      <w:r w:rsidRPr="00FF490C">
        <w:rPr>
          <w:b/>
          <w:bCs/>
        </w:rPr>
        <w:t xml:space="preserve">chiffres </w:t>
      </w:r>
      <w:r w:rsidR="006B3E2E">
        <w:rPr>
          <w:b/>
          <w:bCs/>
        </w:rPr>
        <w:t>(</w:t>
      </w:r>
      <w:r w:rsidR="001D4518">
        <w:rPr>
          <w:b/>
          <w:bCs/>
        </w:rPr>
        <w:t>2023</w:t>
      </w:r>
      <w:r w:rsidR="006B3E2E">
        <w:rPr>
          <w:b/>
          <w:bCs/>
        </w:rPr>
        <w:t>)</w:t>
      </w:r>
      <w:r w:rsidR="001D4518">
        <w:rPr>
          <w:b/>
          <w:bCs/>
        </w:rPr>
        <w:t xml:space="preserve"> </w:t>
      </w:r>
      <w:r w:rsidRPr="00FF490C">
        <w:rPr>
          <w:b/>
          <w:bCs/>
        </w:rPr>
        <w:t>de la FAO, l</w:t>
      </w:r>
      <w:r w:rsidR="009A4D50" w:rsidRPr="00FF490C">
        <w:rPr>
          <w:b/>
          <w:bCs/>
        </w:rPr>
        <w:t>a production</w:t>
      </w:r>
      <w:r w:rsidR="00E03533" w:rsidRPr="00FF490C">
        <w:rPr>
          <w:b/>
          <w:bCs/>
        </w:rPr>
        <w:t xml:space="preserve"> </w:t>
      </w:r>
      <w:r w:rsidR="00277423">
        <w:rPr>
          <w:b/>
          <w:bCs/>
        </w:rPr>
        <w:t xml:space="preserve">végétale </w:t>
      </w:r>
      <w:r w:rsidR="00B263C5">
        <w:rPr>
          <w:b/>
          <w:bCs/>
        </w:rPr>
        <w:t xml:space="preserve">alimentaire </w:t>
      </w:r>
      <w:r w:rsidR="0088545D" w:rsidRPr="00FF490C">
        <w:rPr>
          <w:b/>
          <w:bCs/>
        </w:rPr>
        <w:t>se décompose</w:t>
      </w:r>
      <w:r w:rsidR="0003328A" w:rsidRPr="00FF490C">
        <w:rPr>
          <w:b/>
          <w:bCs/>
        </w:rPr>
        <w:t xml:space="preserve">, assez classiquement pour les pays sahéliens, avec une prédominance des céréales </w:t>
      </w:r>
      <w:r w:rsidR="0003328A" w:rsidRPr="006B3E2E">
        <w:t>(560</w:t>
      </w:r>
      <w:r w:rsidR="0003328A" w:rsidRPr="006B3E2E">
        <w:rPr>
          <w:rFonts w:ascii="Calibri" w:hAnsi="Calibri" w:cs="Calibri"/>
        </w:rPr>
        <w:t> </w:t>
      </w:r>
      <w:r w:rsidR="0003328A" w:rsidRPr="006B3E2E">
        <w:t>000 tonnes, 85% du tonnage globale</w:t>
      </w:r>
      <w:r w:rsidR="00636060" w:rsidRPr="006B3E2E">
        <w:t>, sur 70% de la SAU</w:t>
      </w:r>
      <w:r w:rsidR="0003328A" w:rsidRPr="006B3E2E">
        <w:t>), suivi des légumineuses (50</w:t>
      </w:r>
      <w:r w:rsidR="0003328A" w:rsidRPr="006B3E2E">
        <w:rPr>
          <w:rFonts w:ascii="Calibri" w:hAnsi="Calibri" w:cs="Calibri"/>
        </w:rPr>
        <w:t> </w:t>
      </w:r>
      <w:r w:rsidR="0003328A" w:rsidRPr="006B3E2E">
        <w:t>000 tonnes, 8%</w:t>
      </w:r>
      <w:r w:rsidR="00636060" w:rsidRPr="006B3E2E">
        <w:t>, sur 25%</w:t>
      </w:r>
      <w:r w:rsidR="0003328A" w:rsidRPr="006B3E2E">
        <w:t>) et des fruits (30</w:t>
      </w:r>
      <w:r w:rsidR="0003328A" w:rsidRPr="006B3E2E">
        <w:rPr>
          <w:rFonts w:ascii="Calibri" w:hAnsi="Calibri" w:cs="Calibri"/>
        </w:rPr>
        <w:t> </w:t>
      </w:r>
      <w:r w:rsidR="0003328A" w:rsidRPr="006B3E2E">
        <w:t>000 tonnes, 4%</w:t>
      </w:r>
      <w:r w:rsidR="00636060" w:rsidRPr="006B3E2E">
        <w:t>, sur 4%</w:t>
      </w:r>
      <w:r w:rsidR="0003328A" w:rsidRPr="006B3E2E">
        <w:t>).</w:t>
      </w:r>
      <w:r w:rsidR="00130B8A">
        <w:t xml:space="preserve"> </w:t>
      </w:r>
      <w:r>
        <w:t>L</w:t>
      </w:r>
      <w:r w:rsidR="00277423">
        <w:t>es</w:t>
      </w:r>
      <w:r>
        <w:t xml:space="preserve"> principale</w:t>
      </w:r>
      <w:r w:rsidR="00277423">
        <w:t>s</w:t>
      </w:r>
      <w:r>
        <w:t xml:space="preserve"> spéculation</w:t>
      </w:r>
      <w:r w:rsidR="00277423">
        <w:t>s</w:t>
      </w:r>
      <w:r>
        <w:t xml:space="preserve"> céréalière</w:t>
      </w:r>
      <w:r w:rsidR="00277423">
        <w:t>s</w:t>
      </w:r>
      <w:r w:rsidR="00207DE0">
        <w:t xml:space="preserve"> et légumineuses</w:t>
      </w:r>
      <w:r>
        <w:t xml:space="preserve"> </w:t>
      </w:r>
      <w:r w:rsidR="00277423">
        <w:t>sont</w:t>
      </w:r>
      <w:r w:rsidR="00277423">
        <w:rPr>
          <w:rFonts w:ascii="Calibri" w:hAnsi="Calibri" w:cs="Calibri"/>
        </w:rPr>
        <w:t> </w:t>
      </w:r>
      <w:r w:rsidR="00277423">
        <w:t>:</w:t>
      </w:r>
    </w:p>
    <w:p w14:paraId="77D0E481" w14:textId="4ED681C0" w:rsidR="00277423" w:rsidRDefault="00277423" w:rsidP="00DB2A02">
      <w:pPr>
        <w:pStyle w:val="Paragraphedeliste"/>
        <w:numPr>
          <w:ilvl w:val="0"/>
          <w:numId w:val="29"/>
        </w:numPr>
        <w:spacing w:after="0"/>
      </w:pPr>
      <w:r w:rsidRPr="005A4C51">
        <w:rPr>
          <w:b/>
          <w:bCs/>
        </w:rPr>
        <w:t>Riz</w:t>
      </w:r>
      <w:r>
        <w:rPr>
          <w:rFonts w:ascii="Calibri" w:hAnsi="Calibri" w:cs="Calibri"/>
        </w:rPr>
        <w:t> </w:t>
      </w:r>
      <w:r>
        <w:t xml:space="preserve">: </w:t>
      </w:r>
      <w:r w:rsidR="00EC4BF6">
        <w:t>4</w:t>
      </w:r>
      <w:r w:rsidR="006B3E2E">
        <w:t>82</w:t>
      </w:r>
      <w:r w:rsidR="00FF490C" w:rsidRPr="00277423">
        <w:rPr>
          <w:rFonts w:ascii="Calibri" w:hAnsi="Calibri" w:cs="Calibri"/>
        </w:rPr>
        <w:t> </w:t>
      </w:r>
      <w:r w:rsidR="00FF490C">
        <w:t>000 tonnes</w:t>
      </w:r>
      <w:r>
        <w:t xml:space="preserve"> sur </w:t>
      </w:r>
      <w:r w:rsidR="006B3E2E">
        <w:t>97</w:t>
      </w:r>
      <w:r>
        <w:rPr>
          <w:rFonts w:ascii="Calibri" w:hAnsi="Calibri" w:cs="Calibri"/>
        </w:rPr>
        <w:t> </w:t>
      </w:r>
      <w:r>
        <w:t>000 ha</w:t>
      </w:r>
      <w:r w:rsidR="00636060">
        <w:t xml:space="preserve"> (2</w:t>
      </w:r>
      <w:r w:rsidR="006B3E2E">
        <w:t>2</w:t>
      </w:r>
      <w:r w:rsidR="00636060">
        <w:t>% SAU)</w:t>
      </w:r>
      <w:r w:rsidR="006B3E2E">
        <w:t xml:space="preserve"> à l’occasion de la campagne 2024/2025</w:t>
      </w:r>
      <w:r w:rsidR="00FF490C">
        <w:t xml:space="preserve">, </w:t>
      </w:r>
      <w:r w:rsidR="006B3E2E">
        <w:t xml:space="preserve">en progression de </w:t>
      </w:r>
      <w:r w:rsidR="00FF490C">
        <w:t>1</w:t>
      </w:r>
      <w:r w:rsidR="006B3E2E">
        <w:t>6</w:t>
      </w:r>
      <w:r w:rsidR="00FF490C">
        <w:t>0</w:t>
      </w:r>
      <w:r w:rsidR="00FF490C" w:rsidRPr="00277423">
        <w:rPr>
          <w:rFonts w:ascii="Calibri" w:hAnsi="Calibri" w:cs="Calibri"/>
        </w:rPr>
        <w:t> </w:t>
      </w:r>
      <w:r w:rsidR="00FF490C">
        <w:t xml:space="preserve">000 tonnes </w:t>
      </w:r>
      <w:r w:rsidR="001D4518">
        <w:t xml:space="preserve">et </w:t>
      </w:r>
      <w:r w:rsidR="006B3E2E">
        <w:t xml:space="preserve">de </w:t>
      </w:r>
      <w:r w:rsidR="00F94D31">
        <w:t>34</w:t>
      </w:r>
      <w:r w:rsidR="001D4518">
        <w:rPr>
          <w:rFonts w:ascii="Calibri" w:hAnsi="Calibri" w:cs="Calibri"/>
        </w:rPr>
        <w:t> </w:t>
      </w:r>
      <w:r w:rsidR="001D4518">
        <w:t xml:space="preserve">000 ha </w:t>
      </w:r>
      <w:r w:rsidR="00FF490C">
        <w:t>en 5 ans</w:t>
      </w:r>
      <w:r w:rsidR="00207DE0">
        <w:rPr>
          <w:rFonts w:ascii="Calibri" w:hAnsi="Calibri" w:cs="Calibri"/>
        </w:rPr>
        <w:t> </w:t>
      </w:r>
      <w:r w:rsidR="00207DE0">
        <w:t>;</w:t>
      </w:r>
    </w:p>
    <w:p w14:paraId="71F95595" w14:textId="29829F94" w:rsidR="0003328A" w:rsidRDefault="00277423" w:rsidP="00DB2A02">
      <w:pPr>
        <w:pStyle w:val="Paragraphedeliste"/>
        <w:numPr>
          <w:ilvl w:val="0"/>
          <w:numId w:val="29"/>
        </w:numPr>
        <w:spacing w:after="0"/>
      </w:pPr>
      <w:r w:rsidRPr="005A4C51">
        <w:rPr>
          <w:b/>
          <w:bCs/>
        </w:rPr>
        <w:t>Sorgho</w:t>
      </w:r>
      <w:r w:rsidR="001D4518">
        <w:rPr>
          <w:rFonts w:ascii="Calibri" w:hAnsi="Calibri" w:cs="Calibri"/>
        </w:rPr>
        <w:t> </w:t>
      </w:r>
      <w:r w:rsidR="001D4518">
        <w:t xml:space="preserve">: </w:t>
      </w:r>
      <w:r w:rsidR="00926102">
        <w:t>114</w:t>
      </w:r>
      <w:r w:rsidR="00FF490C" w:rsidRPr="00277423">
        <w:rPr>
          <w:rFonts w:ascii="Calibri" w:hAnsi="Calibri" w:cs="Calibri"/>
        </w:rPr>
        <w:t> </w:t>
      </w:r>
      <w:r w:rsidR="00FF490C">
        <w:t>000 tonnes</w:t>
      </w:r>
      <w:r w:rsidR="001D4518">
        <w:t xml:space="preserve"> sur</w:t>
      </w:r>
      <w:r w:rsidR="00DC1B7D">
        <w:t xml:space="preserve"> </w:t>
      </w:r>
      <w:r w:rsidR="00926102">
        <w:t>240</w:t>
      </w:r>
      <w:r w:rsidR="00DC1B7D">
        <w:rPr>
          <w:rFonts w:ascii="Calibri" w:hAnsi="Calibri" w:cs="Calibri"/>
        </w:rPr>
        <w:t> </w:t>
      </w:r>
      <w:r w:rsidR="00DC1B7D">
        <w:t>000 ha</w:t>
      </w:r>
      <w:r w:rsidR="00FF490C">
        <w:t xml:space="preserve">, </w:t>
      </w:r>
      <w:r w:rsidR="00DC1B7D">
        <w:t xml:space="preserve">production et surface </w:t>
      </w:r>
      <w:r w:rsidR="00926102">
        <w:t xml:space="preserve">relativement </w:t>
      </w:r>
      <w:r w:rsidR="00FF490C">
        <w:t>stable depuis 1985</w:t>
      </w:r>
      <w:r w:rsidR="00207DE0">
        <w:rPr>
          <w:rFonts w:ascii="Calibri" w:hAnsi="Calibri" w:cs="Calibri"/>
        </w:rPr>
        <w:t> </w:t>
      </w:r>
      <w:r w:rsidR="00207DE0">
        <w:t>;</w:t>
      </w:r>
    </w:p>
    <w:p w14:paraId="3E751C99" w14:textId="4F861696" w:rsidR="005A4C51" w:rsidRDefault="00636060" w:rsidP="00DB2A02">
      <w:pPr>
        <w:pStyle w:val="Paragraphedeliste"/>
        <w:numPr>
          <w:ilvl w:val="0"/>
          <w:numId w:val="29"/>
        </w:numPr>
        <w:spacing w:after="0"/>
      </w:pPr>
      <w:r w:rsidRPr="005A4C51">
        <w:rPr>
          <w:b/>
          <w:bCs/>
        </w:rPr>
        <w:t>Haricot</w:t>
      </w:r>
      <w:r>
        <w:t xml:space="preserve"> </w:t>
      </w:r>
      <w:r w:rsidRPr="0042765D">
        <w:rPr>
          <w:b/>
          <w:bCs/>
        </w:rPr>
        <w:t>sec</w:t>
      </w:r>
      <w:r>
        <w:rPr>
          <w:rFonts w:ascii="Calibri" w:hAnsi="Calibri" w:cs="Calibri"/>
        </w:rPr>
        <w:t> </w:t>
      </w:r>
      <w:r>
        <w:t>: 15</w:t>
      </w:r>
      <w:r>
        <w:rPr>
          <w:rFonts w:ascii="Calibri" w:hAnsi="Calibri" w:cs="Calibri"/>
        </w:rPr>
        <w:t> </w:t>
      </w:r>
      <w:r>
        <w:t xml:space="preserve">000 tonnes sur </w:t>
      </w:r>
      <w:r w:rsidR="005A4C51">
        <w:t>12</w:t>
      </w:r>
      <w:r w:rsidR="005A4C51">
        <w:rPr>
          <w:rFonts w:ascii="Calibri" w:hAnsi="Calibri" w:cs="Calibri"/>
        </w:rPr>
        <w:t> </w:t>
      </w:r>
      <w:r w:rsidR="005A4C51">
        <w:t>000 ha, production et surface stable depuis 2015</w:t>
      </w:r>
      <w:r w:rsidR="005A4C51">
        <w:rPr>
          <w:rFonts w:ascii="Calibri" w:hAnsi="Calibri" w:cs="Calibri"/>
        </w:rPr>
        <w:t> </w:t>
      </w:r>
      <w:r w:rsidR="005A4C51">
        <w:t>;</w:t>
      </w:r>
    </w:p>
    <w:p w14:paraId="15D5A606" w14:textId="661D6656" w:rsidR="00207DE0" w:rsidRPr="00A04302" w:rsidRDefault="005A4C51" w:rsidP="00DB2A02">
      <w:pPr>
        <w:pStyle w:val="Paragraphedeliste"/>
        <w:numPr>
          <w:ilvl w:val="0"/>
          <w:numId w:val="29"/>
        </w:numPr>
        <w:spacing w:after="0"/>
      </w:pPr>
      <w:r w:rsidRPr="005A4C51">
        <w:rPr>
          <w:b/>
          <w:bCs/>
        </w:rPr>
        <w:t>Pois</w:t>
      </w:r>
      <w:r>
        <w:t xml:space="preserve"> </w:t>
      </w:r>
      <w:r w:rsidRPr="005A4C51">
        <w:rPr>
          <w:b/>
          <w:bCs/>
        </w:rPr>
        <w:t>sec</w:t>
      </w:r>
      <w:r>
        <w:rPr>
          <w:rFonts w:ascii="Calibri" w:hAnsi="Calibri" w:cs="Calibri"/>
        </w:rPr>
        <w:t> </w:t>
      </w:r>
      <w:r>
        <w:t>: 10</w:t>
      </w:r>
      <w:r>
        <w:rPr>
          <w:rFonts w:ascii="Calibri" w:hAnsi="Calibri" w:cs="Calibri"/>
        </w:rPr>
        <w:t> </w:t>
      </w:r>
      <w:r>
        <w:t>000 tonnes sur 30</w:t>
      </w:r>
      <w:r>
        <w:rPr>
          <w:rFonts w:ascii="Calibri" w:hAnsi="Calibri" w:cs="Calibri"/>
        </w:rPr>
        <w:t> </w:t>
      </w:r>
      <w:r>
        <w:t>000 ha,</w:t>
      </w:r>
      <w:r>
        <w:rPr>
          <w:rFonts w:ascii="Calibri" w:hAnsi="Calibri" w:cs="Calibri"/>
        </w:rPr>
        <w:t> </w:t>
      </w:r>
      <w:r>
        <w:t>production et surface stable depuis 2015</w:t>
      </w:r>
      <w:r>
        <w:rPr>
          <w:rFonts w:ascii="Calibri" w:hAnsi="Calibri" w:cs="Calibri"/>
        </w:rPr>
        <w:t>.</w:t>
      </w:r>
    </w:p>
    <w:p w14:paraId="57F0E4CB" w14:textId="77777777" w:rsidR="00130B8A" w:rsidRDefault="00130B8A" w:rsidP="00DB2A02">
      <w:pPr>
        <w:spacing w:after="0"/>
        <w:rPr>
          <w:b/>
          <w:bCs/>
        </w:rPr>
      </w:pPr>
    </w:p>
    <w:p w14:paraId="7FA9089E" w14:textId="5A750FED" w:rsidR="00A04302" w:rsidRPr="00A04302" w:rsidRDefault="00A04302" w:rsidP="00DB2A02">
      <w:pPr>
        <w:spacing w:after="0"/>
        <w:rPr>
          <w:highlight w:val="yellow"/>
        </w:rPr>
      </w:pPr>
      <w:r w:rsidRPr="00AA7D62">
        <w:rPr>
          <w:b/>
          <w:bCs/>
        </w:rPr>
        <w:t xml:space="preserve">Le riz et le blé constituent les principales productions agricoles </w:t>
      </w:r>
      <w:r w:rsidR="00CE315F" w:rsidRPr="00AA7D62">
        <w:rPr>
          <w:b/>
          <w:bCs/>
        </w:rPr>
        <w:t xml:space="preserve">ayant bénéficié de </w:t>
      </w:r>
      <w:r w:rsidRPr="00AA7D62">
        <w:rPr>
          <w:b/>
          <w:bCs/>
        </w:rPr>
        <w:t>mesures significatives d'aide à la production.</w:t>
      </w:r>
      <w:r w:rsidRPr="00AA7D62">
        <w:t xml:space="preserve"> L'État a soutenu la production agricole par la réalisation des aménagements hydroagricoles au profits des communautés villageoises les plus démunies, il a aussi subventionné les intrants agricoles (plus particulièrement les engrais et les herbicides et semences pour la riziculture, blé, maraichages)</w:t>
      </w:r>
      <w:r w:rsidR="00AA7D62" w:rsidRPr="00AA7D62">
        <w:t>, il a garanti les prix</w:t>
      </w:r>
      <w:r w:rsidRPr="00AA7D62">
        <w:t xml:space="preserve">. Les superficies aménagées ont été réhabilitées et développées, le traitement du paddy et le stockage du riz local améliorés. </w:t>
      </w:r>
      <w:r w:rsidR="0089187E" w:rsidRPr="0089187E">
        <w:t>Le pays est devenu quasiment autosuffisant en riz</w:t>
      </w:r>
      <w:r w:rsidR="0089187E">
        <w:t>, p</w:t>
      </w:r>
      <w:r w:rsidR="00AA7D62">
        <w:t xml:space="preserve">our autant, </w:t>
      </w:r>
      <w:r w:rsidR="00AA7D62" w:rsidRPr="00AA7D62">
        <w:t>la production céréalière ne couvre que 30% des besoins nationaux, rendant le pays extrêmement dépendant aux importations</w:t>
      </w:r>
      <w:r w:rsidR="0089187E">
        <w:t xml:space="preserve"> de blé</w:t>
      </w:r>
      <w:r w:rsidR="00AA7D62" w:rsidRPr="00AA7D62">
        <w:t xml:space="preserve">. </w:t>
      </w:r>
      <w:r w:rsidR="00AA7D62">
        <w:t>L</w:t>
      </w:r>
      <w:r w:rsidR="00AA7D62" w:rsidRPr="00AA7D62">
        <w:t xml:space="preserve">a production de blé est </w:t>
      </w:r>
      <w:r w:rsidR="0089187E">
        <w:t xml:space="preserve">en effet </w:t>
      </w:r>
      <w:r w:rsidR="00AA7D62">
        <w:t xml:space="preserve">restée </w:t>
      </w:r>
      <w:r w:rsidR="00AA7D62" w:rsidRPr="00AA7D62">
        <w:t>faible, et</w:t>
      </w:r>
      <w:r w:rsidR="00AA7D62">
        <w:t xml:space="preserve"> a même chuté ces dernières années</w:t>
      </w:r>
      <w:r w:rsidR="00AA7D62" w:rsidRPr="00AA7D62">
        <w:t xml:space="preserve">, passant de 7 500 tonnes en 2021 à 2 000 tonnes en 2023. L’ordre de grandeur de consommation </w:t>
      </w:r>
      <w:r w:rsidR="0089187E">
        <w:t xml:space="preserve">humaine </w:t>
      </w:r>
      <w:r w:rsidR="00AA7D62" w:rsidRPr="00AA7D62">
        <w:t>nationale est de 500</w:t>
      </w:r>
      <w:r w:rsidR="0089187E">
        <w:t> </w:t>
      </w:r>
      <w:r w:rsidR="00AA7D62" w:rsidRPr="00AA7D62">
        <w:t>000 tonnes. Le différentiel est donc entièrement importé, majoritairement d’Europe.</w:t>
      </w:r>
    </w:p>
    <w:p w14:paraId="32D956A9" w14:textId="77777777" w:rsidR="00AA7D62" w:rsidRDefault="00AA7D62" w:rsidP="00DB2A02">
      <w:pPr>
        <w:spacing w:after="0"/>
        <w:rPr>
          <w:b/>
          <w:bCs/>
        </w:rPr>
      </w:pPr>
    </w:p>
    <w:p w14:paraId="59B39355" w14:textId="77777777" w:rsidR="000F664D" w:rsidRDefault="000F664D" w:rsidP="00DB2A02">
      <w:pPr>
        <w:spacing w:after="0"/>
      </w:pPr>
      <w:r w:rsidRPr="0035424A">
        <w:rPr>
          <w:b/>
          <w:bCs/>
        </w:rPr>
        <w:t xml:space="preserve">Les céréales sont pour la plupart destinées à l’autoconsommation. </w:t>
      </w:r>
      <w:r w:rsidRPr="000F664D">
        <w:t>Néanmoins, pour le paiement des redevances et le remboursement du crédit, les producteurs ont recours au système de grenier villageois pour le paddy au niveau de leur coopérative qui se charge de vendre le produit aux riziers.</w:t>
      </w:r>
      <w:r w:rsidRPr="00A72BEF">
        <w:t xml:space="preserve"> </w:t>
      </w:r>
    </w:p>
    <w:p w14:paraId="4B36BB38" w14:textId="38B0B06F" w:rsidR="000F664D" w:rsidRPr="000F664D" w:rsidRDefault="000F664D" w:rsidP="00DB2A02">
      <w:pPr>
        <w:spacing w:after="0"/>
      </w:pPr>
      <w:r w:rsidRPr="000F664D">
        <w:t>La transformation du paddy en riz blanc et du blé est effectuée par de petites décortiqueuses privées, des rizeries et des organisations de producteurs au niveau des villages.</w:t>
      </w:r>
      <w:r w:rsidRPr="00C85229">
        <w:t xml:space="preserve"> On dénombre actuellement </w:t>
      </w:r>
      <w:r>
        <w:t>une quinzaine de</w:t>
      </w:r>
      <w:r w:rsidRPr="00C85229">
        <w:t xml:space="preserve"> rizeries privées et un grand nombre de petites décortiqueuses.</w:t>
      </w:r>
      <w:r>
        <w:t xml:space="preserve"> </w:t>
      </w:r>
      <w:r w:rsidRPr="00C85229">
        <w:t>La transformation des céréales traditionnelles est effectuée manuellement par les femmes rurales ou par des moulins à grains gérés par des petits opérateurs privés et des organisations de producteurs au niveau des villages.</w:t>
      </w:r>
      <w:r>
        <w:t xml:space="preserve"> </w:t>
      </w:r>
      <w:r w:rsidRPr="00A72BEF">
        <w:t>La vente du riz blanc aux consommateurs se fait à travers un réseau de commerçants qui s’approvisionnent auprès des usiniers et autres propriétaires de décortiqueuses pour la production nationale et auprès de grossistes pour le riz importé. Pour ce qui est du blé, les producteurs vendent directement au niveau des marchés locaux des villages et des villes, et aux minoteries. La commercialisation des céréales traditionnelles se fait généralement de façon sporadique au même niveau et, souvent, l’opération commerciale est effectuée par le biais de pratiques usuraires</w:t>
      </w:r>
    </w:p>
    <w:p w14:paraId="151E0934" w14:textId="77777777" w:rsidR="000F664D" w:rsidRDefault="000F664D" w:rsidP="00DB2A02">
      <w:pPr>
        <w:spacing w:after="0"/>
        <w:rPr>
          <w:b/>
          <w:bCs/>
        </w:rPr>
      </w:pPr>
    </w:p>
    <w:p w14:paraId="766682C1" w14:textId="4BF786A3" w:rsidR="001821EE" w:rsidRDefault="009A4D50" w:rsidP="00DB2A02">
      <w:pPr>
        <w:spacing w:after="0"/>
      </w:pPr>
      <w:r w:rsidRPr="00F24CDD">
        <w:rPr>
          <w:b/>
          <w:bCs/>
        </w:rPr>
        <w:t>La Mauritanie produit également de grandes quantités de dattes</w:t>
      </w:r>
      <w:r w:rsidR="00F24CDD" w:rsidRPr="00F24CDD">
        <w:rPr>
          <w:b/>
          <w:bCs/>
        </w:rPr>
        <w:t xml:space="preserve"> (22</w:t>
      </w:r>
      <w:r w:rsidR="00F24CDD" w:rsidRPr="00F24CDD">
        <w:rPr>
          <w:rFonts w:ascii="Calibri" w:hAnsi="Calibri" w:cs="Calibri"/>
          <w:b/>
          <w:bCs/>
        </w:rPr>
        <w:t> </w:t>
      </w:r>
      <w:r w:rsidR="00F24CDD" w:rsidRPr="00F24CDD">
        <w:rPr>
          <w:b/>
          <w:bCs/>
        </w:rPr>
        <w:t>000 tonnes, production stable)</w:t>
      </w:r>
      <w:r w:rsidRPr="00F24CDD">
        <w:rPr>
          <w:b/>
          <w:bCs/>
        </w:rPr>
        <w:t>, de produits forestiers non ligneux et d’autres produits agricoles dans les oasis et autour des lacs.</w:t>
      </w:r>
      <w:r w:rsidRPr="009A4D50">
        <w:t xml:space="preserve"> La plupart de ces produits sont autoconsommés (60% pour les dattes) avec un excédent qui est écoulé dans les grands centres urbains.</w:t>
      </w:r>
      <w:r w:rsidR="00AA7D62">
        <w:t xml:space="preserve"> </w:t>
      </w:r>
      <w:r w:rsidR="00F24CDD" w:rsidRPr="00AA7D62">
        <w:t>La culture du palmier dattier représente la principale activité du système de production oasienne.</w:t>
      </w:r>
      <w:r w:rsidR="00F24CDD" w:rsidRPr="00B83D57">
        <w:t xml:space="preserve"> </w:t>
      </w:r>
      <w:r w:rsidR="00F24CDD">
        <w:t xml:space="preserve">Elle </w:t>
      </w:r>
      <w:r w:rsidR="00F24CDD" w:rsidRPr="00B83D57">
        <w:t xml:space="preserve">demeure une culture importante tant du point de vue économique que culturel. </w:t>
      </w:r>
      <w:r w:rsidR="00F24CDD">
        <w:t>Le palmier</w:t>
      </w:r>
      <w:r w:rsidR="00F24CDD" w:rsidRPr="00B83D57">
        <w:t xml:space="preserve"> favorise le développement d’un microclimat propice à la culture d’arbres fruitiers, de plantes maraîchères, fourragères ou céréalières au niveau des oasis. Dans la plus grande partie des oasis, les techniques culturales restent encore traditionnelles et les palmiers dattiers sont en général peu productifs par rapport à ceux des pays de la sous-région. Les zones de production se caractérisent par un fort enclavement et une réduction de la disponibilité en eau due tant à la sècheresse qu’à la surexploitation de la nappe phréatique.</w:t>
      </w:r>
    </w:p>
    <w:p w14:paraId="4A9B686F" w14:textId="77777777" w:rsidR="00AA7D62" w:rsidRDefault="00AA7D62" w:rsidP="00DB2A02">
      <w:pPr>
        <w:spacing w:after="0"/>
      </w:pPr>
    </w:p>
    <w:p w14:paraId="443DD599" w14:textId="71F4EE15" w:rsidR="00A04302" w:rsidRDefault="00A04302" w:rsidP="00DB2A02">
      <w:pPr>
        <w:spacing w:after="0"/>
      </w:pPr>
      <w:r w:rsidRPr="004E1D8C">
        <w:rPr>
          <w:b/>
          <w:bCs/>
        </w:rPr>
        <w:t>La gomme arabique (de la famille des acacias) fut initiée en Mauritanie au 15</w:t>
      </w:r>
      <w:r w:rsidRPr="004E1D8C">
        <w:rPr>
          <w:b/>
          <w:bCs/>
          <w:vertAlign w:val="superscript"/>
        </w:rPr>
        <w:t>ième</w:t>
      </w:r>
      <w:r w:rsidRPr="004E1D8C">
        <w:rPr>
          <w:b/>
          <w:bCs/>
        </w:rPr>
        <w:t xml:space="preserve"> siècle, et le pays en était autrefois un exportateur important.</w:t>
      </w:r>
      <w:r w:rsidR="004E1D8C">
        <w:t xml:space="preserve"> S</w:t>
      </w:r>
      <w:r w:rsidRPr="00A04302">
        <w:t xml:space="preserve">on importance s'est effondrée suite aux sécheresses des années 1970 et 1980. Actuellement, la production annuelle ne dépasse pas 500 tonnes. </w:t>
      </w:r>
      <w:r w:rsidR="000F664D">
        <w:t>E</w:t>
      </w:r>
      <w:r w:rsidR="000F664D" w:rsidRPr="00A04302">
        <w:t xml:space="preserve">n appui à l'Initiative de la </w:t>
      </w:r>
      <w:r w:rsidR="000F664D">
        <w:t>« </w:t>
      </w:r>
      <w:r w:rsidR="000F664D" w:rsidRPr="00A04302">
        <w:t>Grande muraille verte</w:t>
      </w:r>
      <w:r w:rsidR="000F664D">
        <w:t> », l</w:t>
      </w:r>
      <w:r w:rsidRPr="00A04302">
        <w:t xml:space="preserve">a Banque mondiale </w:t>
      </w:r>
      <w:r w:rsidR="004E1D8C">
        <w:t>œuvre</w:t>
      </w:r>
      <w:r w:rsidRPr="00A04302">
        <w:t xml:space="preserve"> avec le pays à la promotion de cette culture qui permet de lutter contre l'avancée du désert grâce à ses profondes racines et donc à leur retenue d'eau, en plus de son intérêt économique.</w:t>
      </w:r>
    </w:p>
    <w:p w14:paraId="5C5E97C9" w14:textId="33F1D31C" w:rsidR="001821EE" w:rsidRDefault="001821EE" w:rsidP="00DB2A02">
      <w:pPr>
        <w:spacing w:after="0"/>
      </w:pPr>
    </w:p>
    <w:p w14:paraId="1C375F9F" w14:textId="77777777" w:rsidR="001821EE" w:rsidRDefault="001821EE" w:rsidP="001821EE">
      <w:pPr>
        <w:spacing w:after="0" w:line="240" w:lineRule="auto"/>
        <w:rPr>
          <w:bCs/>
        </w:rPr>
      </w:pPr>
      <w:bookmarkStart w:id="11" w:name="_Hlk219093342"/>
      <w:r w:rsidRPr="00705E08">
        <w:rPr>
          <w:b/>
        </w:rPr>
        <w:t>Le pays entend s’engager en 2026 dans un projet dans le secteur sucrier.</w:t>
      </w:r>
      <w:r w:rsidRPr="00705E08">
        <w:rPr>
          <w:bCs/>
        </w:rPr>
        <w:t xml:space="preserve"> L’objectif affiché est de réduire la dépendance aux importations et de stimuler la transformation locale. Le projet prend la forme d’un partenariat public-privé entre les pouvoirs publics et un groupement d’entreprises centré </w:t>
      </w:r>
      <w:r w:rsidRPr="00705E08">
        <w:rPr>
          <w:bCs/>
        </w:rPr>
        <w:lastRenderedPageBreak/>
        <w:t xml:space="preserve">sur la construction d’un complexe agro-industriel à </w:t>
      </w:r>
      <w:proofErr w:type="spellStart"/>
      <w:r w:rsidRPr="00705E08">
        <w:rPr>
          <w:bCs/>
        </w:rPr>
        <w:t>Foum</w:t>
      </w:r>
      <w:proofErr w:type="spellEnd"/>
      <w:r w:rsidRPr="00705E08">
        <w:rPr>
          <w:bCs/>
        </w:rPr>
        <w:t xml:space="preserve"> </w:t>
      </w:r>
      <w:proofErr w:type="spellStart"/>
      <w:r w:rsidRPr="00705E08">
        <w:rPr>
          <w:bCs/>
        </w:rPr>
        <w:t>Gleita</w:t>
      </w:r>
      <w:proofErr w:type="spellEnd"/>
      <w:r w:rsidRPr="00705E08">
        <w:rPr>
          <w:bCs/>
        </w:rPr>
        <w:t>, une zone agricole située au sud du territoire. Le besoin en financement estimé pour cette future infrastructure avoisine les 450 M USD.</w:t>
      </w:r>
    </w:p>
    <w:bookmarkEnd w:id="11"/>
    <w:p w14:paraId="6B7718F9" w14:textId="77777777" w:rsidR="004E1D8C" w:rsidRDefault="004E1D8C" w:rsidP="00DB2A02">
      <w:pPr>
        <w:spacing w:after="0"/>
        <w:rPr>
          <w:b/>
          <w:bCs/>
        </w:rPr>
      </w:pPr>
    </w:p>
    <w:p w14:paraId="47DC75F9" w14:textId="460734A0" w:rsidR="00F24CDD" w:rsidRPr="000F664D" w:rsidRDefault="000F664D" w:rsidP="00DB2A02">
      <w:pPr>
        <w:spacing w:after="0"/>
      </w:pPr>
      <w:r w:rsidRPr="000F664D">
        <w:rPr>
          <w:b/>
          <w:bCs/>
        </w:rPr>
        <w:t>La Mauritanie possède un cheptel important d</w:t>
      </w:r>
      <w:r>
        <w:rPr>
          <w:b/>
          <w:bCs/>
        </w:rPr>
        <w:t>e près de</w:t>
      </w:r>
      <w:r w:rsidRPr="000F664D">
        <w:rPr>
          <w:b/>
          <w:bCs/>
        </w:rPr>
        <w:t xml:space="preserve"> </w:t>
      </w:r>
      <w:r>
        <w:rPr>
          <w:b/>
          <w:bCs/>
        </w:rPr>
        <w:t>3</w:t>
      </w:r>
      <w:r w:rsidRPr="000F664D">
        <w:rPr>
          <w:b/>
          <w:bCs/>
        </w:rPr>
        <w:t xml:space="preserve">0 millions de têtes, reflet de l'avantage comparatif que représente l'immensité de son territoire. </w:t>
      </w:r>
      <w:r w:rsidR="008C0DCF" w:rsidRPr="000F664D">
        <w:t>Selon les chiffres du recensement général de l’élevage de 2024 (RGE 2024)</w:t>
      </w:r>
      <w:r w:rsidR="008C0DCF" w:rsidRPr="000F664D">
        <w:rPr>
          <w:rStyle w:val="Appelnotedebasdep"/>
        </w:rPr>
        <w:footnoteReference w:id="14"/>
      </w:r>
      <w:r w:rsidR="008C0DCF" w:rsidRPr="000F664D">
        <w:t xml:space="preserve">, </w:t>
      </w:r>
      <w:r w:rsidR="00926102">
        <w:t xml:space="preserve">qui diffèrent de ceux de la FAO, </w:t>
      </w:r>
      <w:r w:rsidR="008C0DCF" w:rsidRPr="000F664D">
        <w:t>les effectifs des différents cheptels sont</w:t>
      </w:r>
      <w:r w:rsidR="008C0DCF" w:rsidRPr="000F664D">
        <w:rPr>
          <w:rFonts w:ascii="Calibri" w:hAnsi="Calibri" w:cs="Calibri"/>
        </w:rPr>
        <w:t> </w:t>
      </w:r>
      <w:r w:rsidR="008C0DCF" w:rsidRPr="000F664D">
        <w:t>:</w:t>
      </w:r>
    </w:p>
    <w:p w14:paraId="2D0279E1" w14:textId="3BA0BD44" w:rsidR="008C0DCF" w:rsidRDefault="005B08F1" w:rsidP="00DB2A02">
      <w:pPr>
        <w:pStyle w:val="Paragraphedeliste"/>
        <w:numPr>
          <w:ilvl w:val="0"/>
          <w:numId w:val="28"/>
        </w:numPr>
        <w:spacing w:after="0"/>
      </w:pPr>
      <w:r w:rsidRPr="005A50CC">
        <w:rPr>
          <w:b/>
          <w:bCs/>
        </w:rPr>
        <w:t>Ovins</w:t>
      </w:r>
      <w:r>
        <w:t xml:space="preserve"> : 13,9 M de têtes</w:t>
      </w:r>
      <w:r w:rsidR="00FB388E">
        <w:t xml:space="preserve"> (estimé à 1</w:t>
      </w:r>
      <w:r w:rsidR="006B44A1">
        <w:t>1</w:t>
      </w:r>
      <w:r w:rsidR="00FB388E">
        <w:t>,7 M en 2017)</w:t>
      </w:r>
      <w:r w:rsidR="0004427B">
        <w:t xml:space="preserve"> produisant</w:t>
      </w:r>
      <w:r>
        <w:t xml:space="preserve"> 45</w:t>
      </w:r>
      <w:r>
        <w:rPr>
          <w:rFonts w:ascii="Calibri" w:hAnsi="Calibri" w:cs="Calibri"/>
        </w:rPr>
        <w:t> </w:t>
      </w:r>
      <w:r>
        <w:t>000 tonnes de viande</w:t>
      </w:r>
      <w:r w:rsidR="0042765D">
        <w:rPr>
          <w:rFonts w:ascii="Calibri" w:hAnsi="Calibri" w:cs="Calibri"/>
        </w:rPr>
        <w:t> </w:t>
      </w:r>
      <w:r w:rsidR="0042765D">
        <w:t>;</w:t>
      </w:r>
    </w:p>
    <w:p w14:paraId="7DECC203" w14:textId="5CF635F6" w:rsidR="008C0DCF" w:rsidRDefault="008C0DCF" w:rsidP="00DB2A02">
      <w:pPr>
        <w:pStyle w:val="Paragraphedeliste"/>
        <w:numPr>
          <w:ilvl w:val="0"/>
          <w:numId w:val="28"/>
        </w:numPr>
        <w:spacing w:after="0"/>
      </w:pPr>
      <w:r w:rsidRPr="005A50CC">
        <w:rPr>
          <w:b/>
          <w:bCs/>
        </w:rPr>
        <w:t>Bovins</w:t>
      </w:r>
      <w:r>
        <w:rPr>
          <w:rFonts w:ascii="Calibri" w:hAnsi="Calibri" w:cs="Calibri"/>
        </w:rPr>
        <w:t> </w:t>
      </w:r>
      <w:r>
        <w:t>: 6,1 M de têtes</w:t>
      </w:r>
      <w:r w:rsidR="00FB388E">
        <w:t xml:space="preserve"> (estimé à 1,9 M en 2017)</w:t>
      </w:r>
      <w:r w:rsidR="0004427B">
        <w:t xml:space="preserve"> produisant</w:t>
      </w:r>
      <w:r w:rsidR="005B08F1">
        <w:t xml:space="preserve"> 30</w:t>
      </w:r>
      <w:r w:rsidR="005B08F1">
        <w:rPr>
          <w:rFonts w:ascii="Calibri" w:hAnsi="Calibri" w:cs="Calibri"/>
        </w:rPr>
        <w:t> </w:t>
      </w:r>
      <w:r w:rsidR="005B08F1">
        <w:t>000 tonnes de viand</w:t>
      </w:r>
      <w:r w:rsidR="00B63327">
        <w:t>e</w:t>
      </w:r>
      <w:r w:rsidR="0042765D">
        <w:rPr>
          <w:rFonts w:ascii="Calibri" w:hAnsi="Calibri" w:cs="Calibri"/>
        </w:rPr>
        <w:t> </w:t>
      </w:r>
      <w:r w:rsidR="0042765D">
        <w:t>;</w:t>
      </w:r>
    </w:p>
    <w:p w14:paraId="2985F687" w14:textId="35246243" w:rsidR="005B08F1" w:rsidRDefault="005B08F1" w:rsidP="00DB2A02">
      <w:pPr>
        <w:pStyle w:val="Paragraphedeliste"/>
        <w:numPr>
          <w:ilvl w:val="0"/>
          <w:numId w:val="28"/>
        </w:numPr>
        <w:spacing w:after="0"/>
      </w:pPr>
      <w:r w:rsidRPr="005A50CC">
        <w:rPr>
          <w:b/>
          <w:bCs/>
        </w:rPr>
        <w:t>Camelins</w:t>
      </w:r>
      <w:r>
        <w:rPr>
          <w:rFonts w:ascii="Calibri" w:hAnsi="Calibri" w:cs="Calibri"/>
        </w:rPr>
        <w:t> </w:t>
      </w:r>
      <w:r>
        <w:t>: 2</w:t>
      </w:r>
      <w:r w:rsidR="000F664D">
        <w:t>,0</w:t>
      </w:r>
      <w:r>
        <w:t xml:space="preserve"> M de têtes</w:t>
      </w:r>
      <w:r w:rsidR="00FB388E">
        <w:t xml:space="preserve"> (estimé à 1,5 M en 2017)</w:t>
      </w:r>
      <w:r w:rsidR="0004427B">
        <w:t xml:space="preserve"> produisant 30</w:t>
      </w:r>
      <w:r w:rsidR="0004427B" w:rsidRPr="00FB388E">
        <w:rPr>
          <w:rFonts w:ascii="Calibri" w:hAnsi="Calibri" w:cs="Calibri"/>
        </w:rPr>
        <w:t> </w:t>
      </w:r>
      <w:r w:rsidR="0004427B">
        <w:t>000 tonnes de viande</w:t>
      </w:r>
      <w:r w:rsidR="0042765D">
        <w:rPr>
          <w:rFonts w:ascii="Calibri" w:hAnsi="Calibri" w:cs="Calibri"/>
        </w:rPr>
        <w:t> </w:t>
      </w:r>
      <w:r w:rsidR="0042765D">
        <w:t>;</w:t>
      </w:r>
    </w:p>
    <w:p w14:paraId="018725E4" w14:textId="35017B0D" w:rsidR="005B08F1" w:rsidRDefault="005B08F1" w:rsidP="00DB2A02">
      <w:pPr>
        <w:pStyle w:val="Paragraphedeliste"/>
        <w:numPr>
          <w:ilvl w:val="0"/>
          <w:numId w:val="28"/>
        </w:numPr>
        <w:spacing w:after="0"/>
      </w:pPr>
      <w:r w:rsidRPr="005A50CC">
        <w:rPr>
          <w:b/>
          <w:bCs/>
        </w:rPr>
        <w:t>Caprins</w:t>
      </w:r>
      <w:r>
        <w:rPr>
          <w:rFonts w:ascii="Calibri" w:hAnsi="Calibri" w:cs="Calibri"/>
        </w:rPr>
        <w:t> </w:t>
      </w:r>
      <w:r>
        <w:t>: 7,3 M de têtes</w:t>
      </w:r>
      <w:r w:rsidR="0004427B">
        <w:t xml:space="preserve"> </w:t>
      </w:r>
      <w:r w:rsidR="00FB388E">
        <w:t xml:space="preserve">(estimé à </w:t>
      </w:r>
      <w:r w:rsidR="006B44A1">
        <w:t>7</w:t>
      </w:r>
      <w:r w:rsidR="00FB388E">
        <w:t>,</w:t>
      </w:r>
      <w:r w:rsidR="006B44A1">
        <w:t>7</w:t>
      </w:r>
      <w:r w:rsidR="00FB388E">
        <w:t xml:space="preserve"> M en 2017) </w:t>
      </w:r>
      <w:r w:rsidR="0004427B">
        <w:t>produisant</w:t>
      </w:r>
      <w:r>
        <w:t xml:space="preserve"> 20</w:t>
      </w:r>
      <w:r>
        <w:rPr>
          <w:rFonts w:ascii="Calibri" w:hAnsi="Calibri" w:cs="Calibri"/>
        </w:rPr>
        <w:t> </w:t>
      </w:r>
      <w:r>
        <w:t>000 tonnes de viande</w:t>
      </w:r>
      <w:r w:rsidR="0042765D">
        <w:rPr>
          <w:rFonts w:ascii="Calibri" w:hAnsi="Calibri" w:cs="Calibri"/>
        </w:rPr>
        <w:t> </w:t>
      </w:r>
      <w:r w:rsidR="0042765D">
        <w:t>;</w:t>
      </w:r>
    </w:p>
    <w:p w14:paraId="50F46D58" w14:textId="4FD194F9" w:rsidR="00CA6CF4" w:rsidRDefault="00CA6CF4" w:rsidP="00465FDF">
      <w:pPr>
        <w:spacing w:after="0"/>
      </w:pPr>
      <w:r w:rsidRPr="005206E0">
        <w:rPr>
          <w:b/>
          <w:bCs/>
        </w:rPr>
        <w:t>Ce secteur procure des revenus à environ un million d'individus et permet, surtout aux plus pauvres, d'accumuler du capital.</w:t>
      </w:r>
      <w:r w:rsidRPr="00E01736">
        <w:t xml:space="preserve"> </w:t>
      </w:r>
      <w:r>
        <w:t>La c</w:t>
      </w:r>
      <w:r w:rsidRPr="00CA6CF4">
        <w:t>haîne de valeur de la viande roug</w:t>
      </w:r>
      <w:r>
        <w:t>e compte plus de</w:t>
      </w:r>
      <w:r w:rsidRPr="00CA6CF4">
        <w:t xml:space="preserve"> </w:t>
      </w:r>
      <w:r>
        <w:t>100</w:t>
      </w:r>
      <w:r w:rsidRPr="00CA6CF4">
        <w:rPr>
          <w:rFonts w:ascii="Calibri" w:hAnsi="Calibri" w:cs="Calibri"/>
        </w:rPr>
        <w:t> </w:t>
      </w:r>
      <w:r w:rsidR="002025FA">
        <w:rPr>
          <w:rFonts w:ascii="Calibri" w:hAnsi="Calibri" w:cs="Calibri"/>
        </w:rPr>
        <w:t>0</w:t>
      </w:r>
      <w:r>
        <w:t>00</w:t>
      </w:r>
      <w:r w:rsidRPr="00CA6CF4">
        <w:t xml:space="preserve"> </w:t>
      </w:r>
      <w:r w:rsidRPr="00CA6CF4">
        <w:rPr>
          <w:rFonts w:cs="Marianne"/>
        </w:rPr>
        <w:t>é</w:t>
      </w:r>
      <w:r w:rsidRPr="00CA6CF4">
        <w:t>leveurs, 10</w:t>
      </w:r>
      <w:r w:rsidRPr="00CA6CF4">
        <w:rPr>
          <w:rFonts w:ascii="Calibri" w:hAnsi="Calibri" w:cs="Calibri"/>
        </w:rPr>
        <w:t> </w:t>
      </w:r>
      <w:r w:rsidRPr="00CA6CF4">
        <w:t>000 commer</w:t>
      </w:r>
      <w:r w:rsidRPr="00CA6CF4">
        <w:rPr>
          <w:rFonts w:cs="Marianne"/>
        </w:rPr>
        <w:t>ç</w:t>
      </w:r>
      <w:r w:rsidRPr="00CA6CF4">
        <w:t>ants de b</w:t>
      </w:r>
      <w:r w:rsidRPr="00CA6CF4">
        <w:rPr>
          <w:rFonts w:cs="Marianne"/>
        </w:rPr>
        <w:t>é</w:t>
      </w:r>
      <w:r w:rsidRPr="00CA6CF4">
        <w:t>tail, 2</w:t>
      </w:r>
      <w:r w:rsidRPr="00CA6CF4">
        <w:rPr>
          <w:rFonts w:ascii="Calibri" w:hAnsi="Calibri" w:cs="Calibri"/>
        </w:rPr>
        <w:t> </w:t>
      </w:r>
      <w:r w:rsidRPr="00CA6CF4">
        <w:t>000 chevillards et 5</w:t>
      </w:r>
      <w:r w:rsidRPr="00CA6CF4">
        <w:rPr>
          <w:rFonts w:ascii="Calibri" w:hAnsi="Calibri" w:cs="Calibri"/>
        </w:rPr>
        <w:t> </w:t>
      </w:r>
      <w:r w:rsidRPr="00CA6CF4">
        <w:t>000 bouchers.</w:t>
      </w:r>
      <w:r w:rsidR="00EF717C">
        <w:t xml:space="preserve"> </w:t>
      </w:r>
      <w:r w:rsidR="005172E7" w:rsidRPr="005172E7">
        <w:rPr>
          <w:b/>
          <w:bCs/>
        </w:rPr>
        <w:t>L'élevage extensif est le système d’élevage dominant.</w:t>
      </w:r>
      <w:r w:rsidR="005172E7" w:rsidRPr="005172E7">
        <w:t xml:space="preserve"> Ce mode d’élevage adapté à l’écosystème local dépend de la disponibilité des ressources fourragères qui varie en fonction des précipitations. </w:t>
      </w:r>
      <w:r w:rsidRPr="00E01736">
        <w:t>Cependant, la forte concentration du cheptel sur les zones de pâturages a accéléré la déforestation et la dégradation des sols, accélérant ainsi la sévère désertification que connaît le pays</w:t>
      </w:r>
      <w:r w:rsidRPr="00EF717C">
        <w:t>.</w:t>
      </w:r>
      <w:r w:rsidR="00EF717C" w:rsidRPr="00EF717C">
        <w:t xml:space="preserve"> Concernant l'état sanitaire du cheptel, des épidémies répétées entraîn</w:t>
      </w:r>
      <w:r w:rsidR="00465FDF">
        <w:t>a</w:t>
      </w:r>
      <w:r w:rsidR="00EF717C" w:rsidRPr="00EF717C">
        <w:t>nt régulièrement des décès et des pertes économiques</w:t>
      </w:r>
      <w:r w:rsidR="00465FDF">
        <w:t>, les autorités organisent des campagnes de vaccination. La campagne 2025/2026 prévoit la vaccination gratuite de 8 M de têtes d’ovins et de caprins contre la peste des petits ruminants, ainsi que de 3 M de bovins contre la pleuropneumonie contagieuse.</w:t>
      </w:r>
    </w:p>
    <w:p w14:paraId="376A7D41" w14:textId="77777777" w:rsidR="00EF717C" w:rsidRDefault="00EF717C" w:rsidP="00DB2A02">
      <w:pPr>
        <w:spacing w:after="0"/>
        <w:rPr>
          <w:b/>
          <w:bCs/>
        </w:rPr>
      </w:pPr>
    </w:p>
    <w:p w14:paraId="225C6575" w14:textId="50E3B940" w:rsidR="00E01736" w:rsidRDefault="005172E7" w:rsidP="00DB2A02">
      <w:pPr>
        <w:spacing w:after="0"/>
      </w:pPr>
      <w:bookmarkStart w:id="12" w:name="_Hlk216378513"/>
      <w:r w:rsidRPr="00CA6CF4">
        <w:rPr>
          <w:b/>
          <w:bCs/>
        </w:rPr>
        <w:t xml:space="preserve">Le secteur de l’élevage assure l’autosuffisance nationale en viande </w:t>
      </w:r>
      <w:r w:rsidR="008C29C2">
        <w:rPr>
          <w:b/>
          <w:bCs/>
        </w:rPr>
        <w:t xml:space="preserve">rouge </w:t>
      </w:r>
      <w:r w:rsidRPr="00CA6CF4">
        <w:rPr>
          <w:b/>
          <w:bCs/>
        </w:rPr>
        <w:t>(l’excédent de production par rapport à la consommation nationale représente près de 40%)</w:t>
      </w:r>
      <w:r w:rsidR="006B44A1" w:rsidRPr="00CA6CF4">
        <w:rPr>
          <w:b/>
          <w:bCs/>
        </w:rPr>
        <w:t>.</w:t>
      </w:r>
      <w:r w:rsidR="0042765D" w:rsidRPr="0042765D">
        <w:t xml:space="preserve"> </w:t>
      </w:r>
      <w:bookmarkEnd w:id="12"/>
      <w:r w:rsidR="00CA6CF4">
        <w:t xml:space="preserve">Cet </w:t>
      </w:r>
      <w:r w:rsidR="0042765D" w:rsidRPr="005172E7">
        <w:t xml:space="preserve">excédent est exporté, sous forme brute (animaux vivants), principalement à travers les filières traditionnelles </w:t>
      </w:r>
      <w:r w:rsidR="00EF717C">
        <w:t xml:space="preserve">(et généralement informelles) </w:t>
      </w:r>
      <w:r w:rsidR="0042765D" w:rsidRPr="005172E7">
        <w:t xml:space="preserve">vers les pays de la sous-région (Sénégal, </w:t>
      </w:r>
      <w:r w:rsidR="00EF717C">
        <w:t xml:space="preserve">Gambie, </w:t>
      </w:r>
      <w:r w:rsidR="0042765D" w:rsidRPr="005172E7">
        <w:t>Mali</w:t>
      </w:r>
      <w:r w:rsidR="00386928">
        <w:t xml:space="preserve"> et même Maroc</w:t>
      </w:r>
      <w:r w:rsidR="0042765D" w:rsidRPr="005172E7">
        <w:t>)</w:t>
      </w:r>
      <w:r w:rsidR="00720587">
        <w:t>.</w:t>
      </w:r>
      <w:r w:rsidR="00E01736">
        <w:t xml:space="preserve"> </w:t>
      </w:r>
      <w:r w:rsidR="00386928">
        <w:t>L</w:t>
      </w:r>
      <w:r w:rsidR="00386928" w:rsidRPr="00386928">
        <w:t xml:space="preserve">a Mauritanie est </w:t>
      </w:r>
      <w:r w:rsidR="00386928">
        <w:t xml:space="preserve">ainsi </w:t>
      </w:r>
      <w:r w:rsidR="00386928" w:rsidRPr="00386928">
        <w:t xml:space="preserve">traditionnellement considérée comme </w:t>
      </w:r>
      <w:r w:rsidR="00386928">
        <w:t xml:space="preserve">un des </w:t>
      </w:r>
      <w:r w:rsidR="00386928" w:rsidRPr="00386928">
        <w:t>plus grand</w:t>
      </w:r>
      <w:r w:rsidR="00386928">
        <w:t>s</w:t>
      </w:r>
      <w:r w:rsidR="00386928" w:rsidRPr="00386928">
        <w:t xml:space="preserve"> exportateur</w:t>
      </w:r>
      <w:r w:rsidR="00386928">
        <w:t>s</w:t>
      </w:r>
      <w:r w:rsidR="00386928" w:rsidRPr="00386928">
        <w:t xml:space="preserve"> de bétail sur pied </w:t>
      </w:r>
      <w:r w:rsidR="00386928">
        <w:t xml:space="preserve">de </w:t>
      </w:r>
      <w:r w:rsidR="00386928" w:rsidRPr="00386928">
        <w:t xml:space="preserve">la région. </w:t>
      </w:r>
      <w:r w:rsidR="00A72BEF">
        <w:t>Pour l</w:t>
      </w:r>
      <w:r w:rsidR="00A72BEF" w:rsidRPr="00A72BEF">
        <w:t xml:space="preserve">a transformation des produits de l’élevage, on compte </w:t>
      </w:r>
      <w:r w:rsidR="00386928">
        <w:t>une dizaine</w:t>
      </w:r>
      <w:r w:rsidR="00A72BEF" w:rsidRPr="00A72BEF">
        <w:t xml:space="preserve"> </w:t>
      </w:r>
      <w:r w:rsidR="00386928">
        <w:t>d’</w:t>
      </w:r>
      <w:r w:rsidR="00A72BEF" w:rsidRPr="00A72BEF">
        <w:t xml:space="preserve">abattoirs </w:t>
      </w:r>
      <w:r w:rsidR="00EC7B3D">
        <w:t>dont trois à Nouakchott (</w:t>
      </w:r>
      <w:r w:rsidR="00EC7B3D" w:rsidRPr="00EC7B3D">
        <w:t xml:space="preserve">Société </w:t>
      </w:r>
      <w:r w:rsidR="00EC7B3D">
        <w:t xml:space="preserve">mixte </w:t>
      </w:r>
      <w:r w:rsidR="00EC7B3D" w:rsidRPr="00EC7B3D">
        <w:t xml:space="preserve">des abattoirs de Nouakchott </w:t>
      </w:r>
      <w:r w:rsidR="00EC7B3D">
        <w:t xml:space="preserve">- </w:t>
      </w:r>
      <w:r w:rsidR="00EC7B3D" w:rsidRPr="00EC7B3D">
        <w:t xml:space="preserve">SAN) </w:t>
      </w:r>
      <w:r w:rsidR="00A72BEF" w:rsidRPr="00A72BEF">
        <w:t xml:space="preserve">et </w:t>
      </w:r>
      <w:r w:rsidR="00386928">
        <w:t>une trentaine</w:t>
      </w:r>
      <w:r w:rsidR="00A72BEF" w:rsidRPr="00A72BEF">
        <w:t xml:space="preserve"> </w:t>
      </w:r>
      <w:r w:rsidR="00386928">
        <w:t>d’</w:t>
      </w:r>
      <w:r w:rsidR="00A72BEF" w:rsidRPr="00A72BEF">
        <w:t>aires d’abattage gérées par des privés.</w:t>
      </w:r>
    </w:p>
    <w:p w14:paraId="3137AD17" w14:textId="77777777" w:rsidR="00EF717C" w:rsidRDefault="00EF717C" w:rsidP="00DB2A02">
      <w:pPr>
        <w:spacing w:after="0"/>
        <w:rPr>
          <w:b/>
          <w:bCs/>
        </w:rPr>
      </w:pPr>
    </w:p>
    <w:p w14:paraId="69A5AD70" w14:textId="4B6D823F" w:rsidR="005172E7" w:rsidRDefault="0042765D" w:rsidP="00DB2A02">
      <w:pPr>
        <w:spacing w:after="0"/>
      </w:pPr>
      <w:bookmarkStart w:id="13" w:name="_Hlk222162356"/>
      <w:r w:rsidRPr="00720587">
        <w:rPr>
          <w:b/>
          <w:bCs/>
        </w:rPr>
        <w:t xml:space="preserve">La production laitière associée à l’élevage </w:t>
      </w:r>
      <w:r w:rsidR="005172E7" w:rsidRPr="00720587">
        <w:rPr>
          <w:b/>
          <w:bCs/>
        </w:rPr>
        <w:t>couvre plus de 30% des besoins du pays en lait</w:t>
      </w:r>
      <w:r w:rsidRPr="00720587">
        <w:rPr>
          <w:b/>
          <w:bCs/>
        </w:rPr>
        <w:t>.</w:t>
      </w:r>
      <w:r>
        <w:t xml:space="preserve"> </w:t>
      </w:r>
      <w:r w:rsidR="00587B56">
        <w:t>En 202</w:t>
      </w:r>
      <w:r w:rsidR="00926102">
        <w:t>4</w:t>
      </w:r>
      <w:r w:rsidR="00587B56">
        <w:t>, e</w:t>
      </w:r>
      <w:r>
        <w:t>lle s’évalue à 3</w:t>
      </w:r>
      <w:r w:rsidR="00720587">
        <w:t>6</w:t>
      </w:r>
      <w:r w:rsidR="00926102">
        <w:t>6</w:t>
      </w:r>
      <w:r>
        <w:rPr>
          <w:rFonts w:ascii="Calibri" w:hAnsi="Calibri" w:cs="Calibri"/>
        </w:rPr>
        <w:t> </w:t>
      </w:r>
      <w:r>
        <w:t xml:space="preserve">000 tonnes </w:t>
      </w:r>
      <w:bookmarkEnd w:id="13"/>
      <w:r w:rsidR="00587B56">
        <w:t>et se décompose en</w:t>
      </w:r>
      <w:r w:rsidR="00587B56">
        <w:rPr>
          <w:rFonts w:ascii="Calibri" w:hAnsi="Calibri" w:cs="Calibri"/>
        </w:rPr>
        <w:t> </w:t>
      </w:r>
      <w:r w:rsidR="00587B56">
        <w:t>:</w:t>
      </w:r>
    </w:p>
    <w:p w14:paraId="462F439D" w14:textId="32728D38" w:rsidR="00587B56" w:rsidRDefault="00587B56" w:rsidP="00DB2A02">
      <w:pPr>
        <w:pStyle w:val="Paragraphedeliste"/>
        <w:numPr>
          <w:ilvl w:val="0"/>
          <w:numId w:val="28"/>
        </w:numPr>
        <w:spacing w:after="0"/>
      </w:pPr>
      <w:r w:rsidRPr="00521CD6">
        <w:rPr>
          <w:b/>
          <w:bCs/>
        </w:rPr>
        <w:t>Lait de vache</w:t>
      </w:r>
      <w:r>
        <w:rPr>
          <w:rFonts w:ascii="Calibri" w:hAnsi="Calibri" w:cs="Calibri"/>
        </w:rPr>
        <w:t> </w:t>
      </w:r>
      <w:r>
        <w:t>: 150</w:t>
      </w:r>
      <w:r>
        <w:rPr>
          <w:rFonts w:ascii="Calibri" w:hAnsi="Calibri" w:cs="Calibri"/>
        </w:rPr>
        <w:t> </w:t>
      </w:r>
      <w:r>
        <w:t>000 tonnes (40% de la production)</w:t>
      </w:r>
      <w:r w:rsidR="008C484F">
        <w:rPr>
          <w:rFonts w:ascii="Calibri" w:hAnsi="Calibri" w:cs="Calibri"/>
        </w:rPr>
        <w:t> </w:t>
      </w:r>
      <w:r w:rsidR="008C484F">
        <w:t>;</w:t>
      </w:r>
    </w:p>
    <w:p w14:paraId="08085D91" w14:textId="2892C5FD" w:rsidR="00587B56" w:rsidRDefault="00587B56" w:rsidP="00DB2A02">
      <w:pPr>
        <w:pStyle w:val="Paragraphedeliste"/>
        <w:numPr>
          <w:ilvl w:val="0"/>
          <w:numId w:val="28"/>
        </w:numPr>
        <w:spacing w:after="0"/>
      </w:pPr>
      <w:r w:rsidRPr="00521CD6">
        <w:rPr>
          <w:b/>
          <w:bCs/>
        </w:rPr>
        <w:t>Lait de chèvre</w:t>
      </w:r>
      <w:r>
        <w:rPr>
          <w:rFonts w:ascii="Calibri" w:hAnsi="Calibri" w:cs="Calibri"/>
        </w:rPr>
        <w:t> </w:t>
      </w:r>
      <w:r>
        <w:t>: 110</w:t>
      </w:r>
      <w:r>
        <w:rPr>
          <w:rFonts w:ascii="Calibri" w:hAnsi="Calibri" w:cs="Calibri"/>
        </w:rPr>
        <w:t> </w:t>
      </w:r>
      <w:r>
        <w:t>000 tonnes (30%)</w:t>
      </w:r>
      <w:r w:rsidR="008C484F">
        <w:rPr>
          <w:rFonts w:ascii="Calibri" w:hAnsi="Calibri" w:cs="Calibri"/>
        </w:rPr>
        <w:t> </w:t>
      </w:r>
      <w:r w:rsidR="008C484F">
        <w:t>;</w:t>
      </w:r>
    </w:p>
    <w:p w14:paraId="4D4501A6" w14:textId="6D81CE6B" w:rsidR="00587B56" w:rsidRDefault="00587B56" w:rsidP="00DB2A02">
      <w:pPr>
        <w:pStyle w:val="Paragraphedeliste"/>
        <w:numPr>
          <w:ilvl w:val="0"/>
          <w:numId w:val="28"/>
        </w:numPr>
        <w:spacing w:after="0"/>
      </w:pPr>
      <w:r w:rsidRPr="00521CD6">
        <w:rPr>
          <w:b/>
          <w:bCs/>
        </w:rPr>
        <w:t>Lait de brebis</w:t>
      </w:r>
      <w:r>
        <w:rPr>
          <w:rFonts w:ascii="Calibri" w:hAnsi="Calibri" w:cs="Calibri"/>
        </w:rPr>
        <w:t> </w:t>
      </w:r>
      <w:r>
        <w:t>: 80</w:t>
      </w:r>
      <w:r>
        <w:rPr>
          <w:rFonts w:ascii="Calibri" w:hAnsi="Calibri" w:cs="Calibri"/>
        </w:rPr>
        <w:t> </w:t>
      </w:r>
      <w:r>
        <w:t>000 tonnes (25%)</w:t>
      </w:r>
      <w:r w:rsidR="008C484F">
        <w:rPr>
          <w:rFonts w:ascii="Calibri" w:hAnsi="Calibri" w:cs="Calibri"/>
        </w:rPr>
        <w:t> </w:t>
      </w:r>
      <w:r w:rsidR="008C484F">
        <w:t>;</w:t>
      </w:r>
    </w:p>
    <w:p w14:paraId="3B67C3CA" w14:textId="712489DB" w:rsidR="00587B56" w:rsidRDefault="00587B56" w:rsidP="00DB2A02">
      <w:pPr>
        <w:pStyle w:val="Paragraphedeliste"/>
        <w:numPr>
          <w:ilvl w:val="0"/>
          <w:numId w:val="28"/>
        </w:numPr>
        <w:spacing w:after="0"/>
      </w:pPr>
      <w:r w:rsidRPr="00521CD6">
        <w:rPr>
          <w:b/>
          <w:bCs/>
        </w:rPr>
        <w:t>Lait de chamelle</w:t>
      </w:r>
      <w:r>
        <w:rPr>
          <w:rFonts w:ascii="Calibri" w:hAnsi="Calibri" w:cs="Calibri"/>
        </w:rPr>
        <w:t> </w:t>
      </w:r>
      <w:r>
        <w:t>: 2</w:t>
      </w:r>
      <w:r w:rsidR="00926102">
        <w:t>6</w:t>
      </w:r>
      <w:r>
        <w:rPr>
          <w:rFonts w:ascii="Calibri" w:hAnsi="Calibri" w:cs="Calibri"/>
        </w:rPr>
        <w:t> </w:t>
      </w:r>
      <w:r>
        <w:t>000 tonnes (5%).</w:t>
      </w:r>
    </w:p>
    <w:p w14:paraId="1968BD3A" w14:textId="40D7CA3D" w:rsidR="003260C3" w:rsidRDefault="00A72BEF" w:rsidP="003260C3">
      <w:pPr>
        <w:spacing w:after="0"/>
      </w:pPr>
      <w:r w:rsidRPr="00514725">
        <w:rPr>
          <w:b/>
          <w:bCs/>
        </w:rPr>
        <w:t>La production locale est essentiellement autoconsommée.</w:t>
      </w:r>
      <w:r w:rsidRPr="00A72BEF">
        <w:t xml:space="preserve"> La demande croissante en lait et produits laitiers a facilité la création de cinq unités de transformation laitière</w:t>
      </w:r>
      <w:r>
        <w:t xml:space="preserve">, </w:t>
      </w:r>
      <w:r w:rsidRPr="00A72BEF">
        <w:t>toutes implantées à Nouakchott, et de petites unités de production de lait réparties dans le pays.</w:t>
      </w:r>
      <w:r w:rsidR="008C29C2" w:rsidRPr="008C29C2">
        <w:t xml:space="preserve"> </w:t>
      </w:r>
      <w:r w:rsidR="008C29C2" w:rsidRPr="00774B1D">
        <w:rPr>
          <w:b/>
          <w:bCs/>
        </w:rPr>
        <w:t>Le lait en poudre importé est considéré comme un intrant pour les laiteries et faiblement taxé.</w:t>
      </w:r>
      <w:r w:rsidR="003260C3" w:rsidRPr="003260C3">
        <w:t xml:space="preserve"> </w:t>
      </w:r>
      <w:r w:rsidR="007C60B4" w:rsidRPr="007C60B4">
        <w:t>Créée en 2016 à Néma</w:t>
      </w:r>
      <w:r w:rsidR="00774B1D">
        <w:t>,</w:t>
      </w:r>
      <w:r w:rsidR="007C60B4" w:rsidRPr="007C60B4">
        <w:t xml:space="preserve"> </w:t>
      </w:r>
      <w:r w:rsidR="003260C3">
        <w:t xml:space="preserve">la </w:t>
      </w:r>
      <w:r w:rsidR="003260C3" w:rsidRPr="00514725">
        <w:rPr>
          <w:b/>
          <w:bCs/>
        </w:rPr>
        <w:t>Société Mauritanienne des Produits Laitiers (SMPL)</w:t>
      </w:r>
      <w:r w:rsidR="003260C3">
        <w:t>,</w:t>
      </w:r>
      <w:r w:rsidR="007C60B4" w:rsidRPr="007C60B4">
        <w:t xml:space="preserve"> </w:t>
      </w:r>
      <w:r w:rsidR="00514725">
        <w:t xml:space="preserve">société publique, </w:t>
      </w:r>
      <w:r w:rsidR="00774B1D">
        <w:t xml:space="preserve">témoigne des difficultés </w:t>
      </w:r>
      <w:r w:rsidR="00514725">
        <w:t xml:space="preserve">de la filière. La SMPL avait pour </w:t>
      </w:r>
      <w:r w:rsidR="007C60B4" w:rsidRPr="007C60B4">
        <w:t>ambition</w:t>
      </w:r>
      <w:r w:rsidR="00514725">
        <w:t xml:space="preserve"> </w:t>
      </w:r>
      <w:r w:rsidR="007C60B4" w:rsidRPr="007C60B4">
        <w:t>de structurer un bassin laitier en connectant les éleveurs à une filière formelle de collecte, de transformation et de commercialisation. Son modèle repos</w:t>
      </w:r>
      <w:r w:rsidR="007C60B4">
        <w:t>ait</w:t>
      </w:r>
      <w:r w:rsidR="007C60B4" w:rsidRPr="007C60B4">
        <w:t xml:space="preserve"> sur une </w:t>
      </w:r>
      <w:r w:rsidR="007C60B4" w:rsidRPr="007C60B4">
        <w:lastRenderedPageBreak/>
        <w:t>industrialisation adossée à des achats de lait cru local</w:t>
      </w:r>
      <w:r w:rsidR="007C60B4">
        <w:t>. D</w:t>
      </w:r>
      <w:r w:rsidR="007C60B4" w:rsidRPr="007C60B4">
        <w:t xml:space="preserve">ès 2021, l’entreprise </w:t>
      </w:r>
      <w:r w:rsidR="007C60B4">
        <w:t xml:space="preserve">a </w:t>
      </w:r>
      <w:r w:rsidR="007C60B4" w:rsidRPr="007C60B4">
        <w:t>accumul</w:t>
      </w:r>
      <w:r w:rsidR="007C60B4">
        <w:t>é</w:t>
      </w:r>
      <w:r w:rsidR="007C60B4" w:rsidRPr="007C60B4">
        <w:t xml:space="preserve"> les difficultés</w:t>
      </w:r>
      <w:r w:rsidR="007C60B4">
        <w:t>, a</w:t>
      </w:r>
      <w:r w:rsidR="007C60B4" w:rsidRPr="007C60B4">
        <w:t xml:space="preserve"> cess</w:t>
      </w:r>
      <w:r w:rsidR="007C60B4">
        <w:t>é</w:t>
      </w:r>
      <w:r w:rsidR="007C60B4" w:rsidRPr="007C60B4">
        <w:t xml:space="preserve"> toute activité en 2022</w:t>
      </w:r>
      <w:r w:rsidR="00514725">
        <w:t>,</w:t>
      </w:r>
      <w:r w:rsidR="007C60B4">
        <w:t xml:space="preserve"> avant d’être relancée en 2023 dans le cadre d’un plan d’urgence</w:t>
      </w:r>
      <w:r w:rsidR="007C60B4" w:rsidRPr="007C60B4">
        <w:t>.</w:t>
      </w:r>
      <w:r w:rsidR="007C60B4">
        <w:t xml:space="preserve"> </w:t>
      </w:r>
      <w:r w:rsidR="007C60B4" w:rsidRPr="007C60B4">
        <w:t xml:space="preserve">En juillet 2024, une première tranche d’investissement public </w:t>
      </w:r>
      <w:r w:rsidR="00774B1D">
        <w:t xml:space="preserve">a été </w:t>
      </w:r>
      <w:r w:rsidR="007C60B4" w:rsidRPr="007C60B4">
        <w:t xml:space="preserve">débloquée. Le redémarrage </w:t>
      </w:r>
      <w:r w:rsidR="00774B1D">
        <w:t xml:space="preserve">est intervenu </w:t>
      </w:r>
      <w:r w:rsidR="007C60B4" w:rsidRPr="007C60B4">
        <w:t>en janvier 2025 pour le lait pasteurisé, puis en juillet pour le lait longue durée.</w:t>
      </w:r>
      <w:r w:rsidR="00774B1D">
        <w:t xml:space="preserve"> </w:t>
      </w:r>
      <w:r w:rsidR="00774B1D" w:rsidRPr="00774B1D">
        <w:t xml:space="preserve">Sur le plan opérationnel, l’approvisionnement reste instable, la chaîne du froid partiellement défaillante et la redondance des équipements techniques insuffisante. </w:t>
      </w:r>
      <w:r w:rsidR="00774B1D">
        <w:t xml:space="preserve">Sur le segment du marché, la SMPL dispose de deux produits </w:t>
      </w:r>
      <w:proofErr w:type="spellStart"/>
      <w:r w:rsidR="00774B1D" w:rsidRPr="00774B1D">
        <w:rPr>
          <w:i/>
          <w:iCs/>
        </w:rPr>
        <w:t>Ngadi</w:t>
      </w:r>
      <w:proofErr w:type="spellEnd"/>
      <w:r w:rsidR="00774B1D">
        <w:t xml:space="preserve">, produit 100% à base de lait cru local longue durée, promu comme l’emblème d’un lait « made in </w:t>
      </w:r>
      <w:proofErr w:type="spellStart"/>
      <w:r w:rsidR="00774B1D">
        <w:t>Mauritania</w:t>
      </w:r>
      <w:proofErr w:type="spellEnd"/>
      <w:r w:rsidR="00774B1D">
        <w:t xml:space="preserve"> », </w:t>
      </w:r>
      <w:r w:rsidR="00774B1D" w:rsidRPr="00774B1D">
        <w:rPr>
          <w:i/>
          <w:iCs/>
        </w:rPr>
        <w:t xml:space="preserve">Al </w:t>
      </w:r>
      <w:proofErr w:type="spellStart"/>
      <w:r w:rsidR="00774B1D" w:rsidRPr="00774B1D">
        <w:rPr>
          <w:i/>
          <w:iCs/>
        </w:rPr>
        <w:t>Bahja</w:t>
      </w:r>
      <w:proofErr w:type="spellEnd"/>
      <w:r w:rsidR="00774B1D">
        <w:t xml:space="preserve">, mélange de lait local et de poudre importée, destiné à stabiliser les volumes dans les périodes de faible collecte. Mais la viabilité commerciale reste fragile. La concurrence des produits importés, notamment sénégalais et européens, demeure forte en prix et en distribution. Les marges de la SMPL, contraintes par ses coûts fixes élevés et sa faible échelle de production, ne permettent pas encore de soutenir une stratégie de croissance ou de pénétration régionale. </w:t>
      </w:r>
      <w:r w:rsidR="003260C3">
        <w:t>L’hypothèse d’un modèle public-privé, encouragée par la loi sur les PPP de 2017 révisée en 2024, n’est pas activée à ce stade.</w:t>
      </w:r>
    </w:p>
    <w:p w14:paraId="62302AFE" w14:textId="77777777" w:rsidR="003260C3" w:rsidRDefault="003260C3" w:rsidP="003260C3">
      <w:pPr>
        <w:spacing w:after="0"/>
      </w:pPr>
    </w:p>
    <w:p w14:paraId="7F0E2782" w14:textId="4258B89E" w:rsidR="006E3BC3" w:rsidRDefault="005206E0" w:rsidP="006E3BC3">
      <w:pPr>
        <w:spacing w:after="0"/>
      </w:pPr>
      <w:bookmarkStart w:id="14" w:name="_Hlk216378603"/>
      <w:r w:rsidRPr="00431435">
        <w:rPr>
          <w:b/>
          <w:bCs/>
        </w:rPr>
        <w:t>Les eaux côtières mauritaniennes sont parmi les plus riches du monde en ressources halieutiques.</w:t>
      </w:r>
      <w:r w:rsidRPr="005206E0">
        <w:t xml:space="preserve"> </w:t>
      </w:r>
      <w:bookmarkEnd w:id="14"/>
      <w:r w:rsidRPr="005206E0">
        <w:t>La Zone économique exclusive (ZEE) est d'une superficie de 230 000 km</w:t>
      </w:r>
      <w:r>
        <w:rPr>
          <w:vertAlign w:val="superscript"/>
        </w:rPr>
        <w:t>2</w:t>
      </w:r>
      <w:r w:rsidRPr="005206E0">
        <w:t>. La</w:t>
      </w:r>
      <w:r w:rsidR="00FB180E">
        <w:t xml:space="preserve"> </w:t>
      </w:r>
      <w:r w:rsidR="00FB180E" w:rsidRPr="00FB180E">
        <w:t>longueur des côtes atlantiques atteint 750 km, en plus des côtes fluviales de 750 km sur le fleuve Sénégal qui sépare la Mauritanie du Sénégal.</w:t>
      </w:r>
      <w:r w:rsidR="00C85229" w:rsidRPr="00C85229">
        <w:t xml:space="preserve"> </w:t>
      </w:r>
      <w:r w:rsidR="00C85229" w:rsidRPr="009A4D50">
        <w:t xml:space="preserve">La pêche contribue à </w:t>
      </w:r>
      <w:r w:rsidR="00D62F3E">
        <w:t>un peu plus</w:t>
      </w:r>
      <w:r w:rsidR="00C85229">
        <w:t xml:space="preserve"> de 6</w:t>
      </w:r>
      <w:r w:rsidR="00C85229" w:rsidRPr="009A4D50">
        <w:t>% du PIB</w:t>
      </w:r>
      <w:r w:rsidR="00D62F3E">
        <w:t>, à 40% des exportation</w:t>
      </w:r>
      <w:r w:rsidR="00C85229" w:rsidRPr="009A4D50">
        <w:t xml:space="preserve"> mais elle ne représente que 3,3% de l’emploi total.</w:t>
      </w:r>
      <w:r w:rsidR="00C624E9">
        <w:t xml:space="preserve"> </w:t>
      </w:r>
      <w:r w:rsidR="00300617" w:rsidRPr="00335D0B">
        <w:rPr>
          <w:b/>
          <w:bCs/>
        </w:rPr>
        <w:t xml:space="preserve">La pêche maritime a connu un essor </w:t>
      </w:r>
      <w:r w:rsidR="0062403B">
        <w:rPr>
          <w:b/>
          <w:bCs/>
        </w:rPr>
        <w:t xml:space="preserve">important </w:t>
      </w:r>
      <w:r w:rsidR="00E26624" w:rsidRPr="00335D0B">
        <w:rPr>
          <w:b/>
          <w:bCs/>
        </w:rPr>
        <w:t xml:space="preserve">passant de </w:t>
      </w:r>
      <w:r w:rsidR="0062403B">
        <w:rPr>
          <w:b/>
          <w:bCs/>
        </w:rPr>
        <w:t>0,</w:t>
      </w:r>
      <w:r w:rsidR="00E26624" w:rsidRPr="00335D0B">
        <w:rPr>
          <w:b/>
          <w:bCs/>
        </w:rPr>
        <w:t>18</w:t>
      </w:r>
      <w:r w:rsidR="0062403B">
        <w:rPr>
          <w:b/>
          <w:bCs/>
        </w:rPr>
        <w:t xml:space="preserve"> M de</w:t>
      </w:r>
      <w:r w:rsidR="00E26624" w:rsidRPr="00335D0B">
        <w:rPr>
          <w:b/>
          <w:bCs/>
        </w:rPr>
        <w:t xml:space="preserve"> tonnes </w:t>
      </w:r>
      <w:r w:rsidR="0062403B">
        <w:rPr>
          <w:b/>
          <w:bCs/>
        </w:rPr>
        <w:t xml:space="preserve">en 2008 </w:t>
      </w:r>
      <w:r w:rsidR="00E26624" w:rsidRPr="00335D0B">
        <w:rPr>
          <w:b/>
          <w:bCs/>
        </w:rPr>
        <w:t xml:space="preserve">à </w:t>
      </w:r>
      <w:r w:rsidR="0062403B">
        <w:rPr>
          <w:b/>
          <w:bCs/>
        </w:rPr>
        <w:t xml:space="preserve">1,53 M en 2023 </w:t>
      </w:r>
      <w:r w:rsidR="00D62F3E">
        <w:rPr>
          <w:b/>
          <w:bCs/>
        </w:rPr>
        <w:t xml:space="preserve">soit une progression de </w:t>
      </w:r>
      <w:r w:rsidR="0062403B">
        <w:rPr>
          <w:b/>
          <w:bCs/>
        </w:rPr>
        <w:t>+750% en 15 ans</w:t>
      </w:r>
      <w:r w:rsidR="00D62F3E">
        <w:rPr>
          <w:rStyle w:val="Appelnotedebasdep"/>
          <w:b/>
          <w:bCs/>
        </w:rPr>
        <w:footnoteReference w:id="15"/>
      </w:r>
      <w:r w:rsidR="00E26624" w:rsidRPr="00335D0B">
        <w:rPr>
          <w:b/>
          <w:bCs/>
        </w:rPr>
        <w:t>.</w:t>
      </w:r>
      <w:r w:rsidR="00E26624">
        <w:t xml:space="preserve"> </w:t>
      </w:r>
      <w:r w:rsidR="006E3BC3">
        <w:t>Cette production est dominée par les petits pélagiques (sardinelles, chinchards, maquereaux), qui représentent environ 73% du volume total, soit près de 1,12 M de tonnes. Les céphalopodes, principalement le poulpe (</w:t>
      </w:r>
      <w:r w:rsidR="006E3BC3" w:rsidRPr="006E3BC3">
        <w:rPr>
          <w:i/>
          <w:iCs/>
        </w:rPr>
        <w:t>Octopus vulgaris</w:t>
      </w:r>
      <w:r w:rsidR="006E3BC3">
        <w:t>), atteignent environ 38 400 tonnes, et génèrent près de 40% de la valeur marchande des exportations halieutiques. Les espèces démersales et thonidés (dorades, mérous, rougets, bonites, thons) pèsent pour environ 130</w:t>
      </w:r>
      <w:r w:rsidR="00A070FB">
        <w:t> </w:t>
      </w:r>
      <w:r w:rsidR="006E3BC3">
        <w:t xml:space="preserve">000 tonnes, tandis que les crustacés et autres céphalopodes complètent la production avec près de 20 000 tonnes. </w:t>
      </w:r>
      <w:r w:rsidR="00A070FB">
        <w:t>P</w:t>
      </w:r>
      <w:r w:rsidR="006E3BC3">
        <w:t>lus de 40% des stocks sont aujourd’hui pleinement exploités ou surexploités. Le poulpe, en particulier, est capturé à plus de 70% de sa capacité biologique durable.</w:t>
      </w:r>
    </w:p>
    <w:p w14:paraId="03CB0F9D" w14:textId="77777777" w:rsidR="00A070FB" w:rsidRDefault="00A070FB" w:rsidP="006E3BC3">
      <w:pPr>
        <w:spacing w:after="0"/>
        <w:rPr>
          <w:b/>
          <w:bCs/>
        </w:rPr>
      </w:pPr>
    </w:p>
    <w:p w14:paraId="51D85166" w14:textId="61BB3D06" w:rsidR="006E3BC3" w:rsidRDefault="00F802AE" w:rsidP="006E3BC3">
      <w:pPr>
        <w:spacing w:after="0"/>
      </w:pPr>
      <w:r>
        <w:rPr>
          <w:b/>
          <w:bCs/>
        </w:rPr>
        <w:t>L</w:t>
      </w:r>
      <w:r w:rsidR="006E3BC3" w:rsidRPr="00A070FB">
        <w:rPr>
          <w:b/>
          <w:bCs/>
        </w:rPr>
        <w:t>a flotte étrangère (européenne, asiatique, turque</w:t>
      </w:r>
      <w:r w:rsidR="00A070FB" w:rsidRPr="00A070FB">
        <w:rPr>
          <w:b/>
          <w:bCs/>
        </w:rPr>
        <w:t>, sénégalaise</w:t>
      </w:r>
      <w:r w:rsidR="006E3BC3" w:rsidRPr="00A070FB">
        <w:rPr>
          <w:b/>
          <w:bCs/>
        </w:rPr>
        <w:t>) exploite environ 70% des quotas autorisés, ne laissant que 30% à la flotte mauritanienne.</w:t>
      </w:r>
      <w:r>
        <w:rPr>
          <w:b/>
          <w:bCs/>
        </w:rPr>
        <w:t xml:space="preserve"> </w:t>
      </w:r>
      <w:r w:rsidR="006E3BC3">
        <w:t>La pêche artisanale emploie près de 20</w:t>
      </w:r>
      <w:r w:rsidR="006E3BC3">
        <w:rPr>
          <w:rFonts w:ascii="Cambria Math" w:hAnsi="Cambria Math" w:cs="Cambria Math"/>
        </w:rPr>
        <w:t> </w:t>
      </w:r>
      <w:r w:rsidR="006E3BC3">
        <w:t>000 p</w:t>
      </w:r>
      <w:r w:rsidR="006E3BC3">
        <w:rPr>
          <w:rFonts w:cs="Marianne"/>
        </w:rPr>
        <w:t>ê</w:t>
      </w:r>
      <w:r w:rsidR="006E3BC3">
        <w:t>cheurs et fait vivre plus de 60</w:t>
      </w:r>
      <w:r w:rsidR="006E3BC3">
        <w:rPr>
          <w:rFonts w:ascii="Cambria Math" w:hAnsi="Cambria Math" w:cs="Cambria Math"/>
        </w:rPr>
        <w:t> </w:t>
      </w:r>
      <w:r w:rsidR="006E3BC3">
        <w:t>000 personnes, notamment dans les communautés côtières. Malgré cette importance socio-économique, elle reste marginalisée et vulnérable. Parmi les obstacles majeurs figurent la concurrence des navires industriels, l’accès limité aux infrastructures de débarquement, une flotte vétuste, et une faible valorisation des produits liée à l’absence de chaînes de froid et de moyens modernes de conservation. Le Chantier Naval de Mauritanie (CNM), censé jouer un rôle structurant dans le renouvellement de la flotte artisanale, opère en sous-capacité. Sa production annuelle, estimée entre 30 et 50 unités, reste très en deçà des besoins nationaux. Ce déficit s’explique par des équipements obsolètes, un sous-financement chronique et surtout un déficit d’accompagnement institutionnel de sa stratégie industrielle. Par ailleurs, les femmes, qui assurent plus de 70% des activités post-capture (transformation, séchage, commercialisation), évoluent dans des conditions précaires, sans infrastructures adaptées ni statut reconnu.</w:t>
      </w:r>
    </w:p>
    <w:p w14:paraId="6721009E" w14:textId="77777777" w:rsidR="00F802AE" w:rsidRPr="00F802AE" w:rsidRDefault="00F802AE" w:rsidP="006E3BC3">
      <w:pPr>
        <w:spacing w:after="0"/>
        <w:rPr>
          <w:b/>
          <w:bCs/>
        </w:rPr>
      </w:pPr>
    </w:p>
    <w:p w14:paraId="5DD7C0C6" w14:textId="3FC0B234" w:rsidR="00335D0B" w:rsidRDefault="006E3BC3" w:rsidP="006E3BC3">
      <w:pPr>
        <w:spacing w:after="0"/>
      </w:pPr>
      <w:r w:rsidRPr="00F802AE">
        <w:rPr>
          <w:b/>
          <w:bCs/>
        </w:rPr>
        <w:lastRenderedPageBreak/>
        <w:t>La Société Mauritanienne de Commercialisation du Poisson (SMCP), joue un rôle central dans l’exportation et la commercialisation des produits halieutiques.</w:t>
      </w:r>
      <w:r>
        <w:t xml:space="preserve"> </w:t>
      </w:r>
      <w:r w:rsidR="00F802AE" w:rsidRPr="00F802AE">
        <w:t>La SMCP perçoit près de 300 M d’USD par an au titre des taxes, redevances et exportations. Cette manne illustre l’importance stratégique du secteur, mais elle est accompagnée d’une gouvernance problématique qui limite la traçabilité, la transparence et la redistribution équitable des revenus. Moins de 15% des ressources sont affectées aux collectivités locales ou au développement des infrastructures portuaires. Malgré son rôle central, la SMCP peine à impulser une dynamique de transformation locale, limitant ainsi la contribution économique et sociale du secteur</w:t>
      </w:r>
      <w:r w:rsidR="00F802AE">
        <w:t xml:space="preserve">. La </w:t>
      </w:r>
      <w:r>
        <w:t>SMCP fait face à des défis majeurs liés à une faible intégration locale et à un déficit en infrastructures modernes pour la transformation. La Mauritanie reste principalement un pays exportateur de poisson brut, avec moins de 12% des produits halieutiques transformés localement. En 2023, les usines de farine ont transformé environ 150 000 tonnes de poisson, générant 25 000 tonnes d’huile,</w:t>
      </w:r>
      <w:r w:rsidR="00E722E3" w:rsidRPr="00E722E3">
        <w:t xml:space="preserve"> </w:t>
      </w:r>
      <w:r w:rsidR="00E722E3" w:rsidRPr="00104D5B">
        <w:t>destinées à la pisciculture et à l’alimentation animale</w:t>
      </w:r>
      <w:r w:rsidR="00E722E3">
        <w:t xml:space="preserve"> et</w:t>
      </w:r>
      <w:r>
        <w:t xml:space="preserve"> principalement exportées vers la Chine </w:t>
      </w:r>
      <w:r w:rsidR="00E722E3">
        <w:t>ou</w:t>
      </w:r>
      <w:r>
        <w:t xml:space="preserve"> d’autres marchés asiatiques</w:t>
      </w:r>
      <w:r w:rsidR="00E722E3">
        <w:t xml:space="preserve"> et l’Union européenne (environ 20% des exportations mauritaniennes de farines et 70% des exportations d’huiles)</w:t>
      </w:r>
      <w:r>
        <w:t>. Ce modèle de commercialisation favorisé par la SMCP contribue à une dilution des bénéfices pour l’économie nationale et limite la création d’emplois locaux. Il engendre également une dilapidation des ressources nutritionnelles essentielles, alors que 70% des enfants mauritaniens en zones rurales ne consomment pas de poisson frais au moins une fois par semaine.</w:t>
      </w:r>
    </w:p>
    <w:p w14:paraId="4925F466" w14:textId="2A9EA606" w:rsidR="00EC33B0" w:rsidRDefault="00EC33B0" w:rsidP="00DB2A02">
      <w:pPr>
        <w:spacing w:after="0"/>
      </w:pPr>
    </w:p>
    <w:p w14:paraId="23540242" w14:textId="77777777" w:rsidR="006E5C68" w:rsidRDefault="006E5C68" w:rsidP="00DB2A02">
      <w:pPr>
        <w:spacing w:after="0"/>
      </w:pPr>
    </w:p>
    <w:p w14:paraId="20AC1924" w14:textId="36E94B29" w:rsidR="00EC33B0" w:rsidRDefault="00BF3BCA" w:rsidP="00EC33B0">
      <w:pPr>
        <w:pStyle w:val="Titre1"/>
        <w:spacing w:before="0" w:after="0"/>
        <w:rPr>
          <w:bdr w:val="nil"/>
          <w:lang w:eastAsia="fr-FR"/>
        </w:rPr>
      </w:pPr>
      <w:r w:rsidRPr="00785965">
        <w:rPr>
          <w:bdr w:val="nil"/>
          <w:lang w:eastAsia="fr-FR"/>
        </w:rPr>
        <w:t>Politique agricole</w:t>
      </w:r>
    </w:p>
    <w:p w14:paraId="2EF53365" w14:textId="77777777" w:rsidR="00195A95" w:rsidRPr="00195A95" w:rsidRDefault="00195A95" w:rsidP="00195A95">
      <w:pPr>
        <w:spacing w:after="0"/>
        <w:rPr>
          <w:lang w:eastAsia="fr-FR"/>
        </w:rPr>
      </w:pPr>
    </w:p>
    <w:p w14:paraId="323A4CC1" w14:textId="4AB01BF5" w:rsidR="0019112D" w:rsidRDefault="0019112D" w:rsidP="00195A95">
      <w:pPr>
        <w:spacing w:after="0"/>
      </w:pPr>
      <w:r w:rsidRPr="004A1016">
        <w:rPr>
          <w:b/>
          <w:bCs/>
          <w:lang w:eastAsia="fr-FR"/>
        </w:rPr>
        <w:t>Une multitude de plans, projets et programmes de développement de la production agricole et de l'élevage ont été élaborés au cours des quinze dernières années</w:t>
      </w:r>
      <w:r w:rsidRPr="004A1016">
        <w:rPr>
          <w:lang w:eastAsia="fr-FR"/>
        </w:rPr>
        <w:t>, notamment en collaboration avec les partenaires au développement de la Mauritanie.</w:t>
      </w:r>
      <w:r>
        <w:rPr>
          <w:lang w:eastAsia="fr-FR"/>
        </w:rPr>
        <w:t xml:space="preserve"> </w:t>
      </w:r>
      <w:r w:rsidR="002847E8" w:rsidRPr="002847E8">
        <w:rPr>
          <w:lang w:eastAsia="fr-FR"/>
        </w:rPr>
        <w:t>En 2011, la Mauritanie a signé la déclaration de Maputo. Cette dernière établie notamment une allocation minimale de 10% des budgets nationaux à l’agriculture et un objectif de croissance annuelle de 6% de ce secteur. Toutefois, les budgets alloués aux secteurs ayant trait à la sécurité alimentaires (agriculture, élevage, pêche) ne dépassent pas les 2%. Pour donner un cadre stratégique et technique à la mise en œuvre de ces accords, le programme détaillé de développement de l’agriculture africaine (PDDAA) donne les grandes lignes directrices aux états signataires, à l’échelle continentale.</w:t>
      </w:r>
      <w:r w:rsidR="002847E8">
        <w:rPr>
          <w:lang w:eastAsia="fr-FR"/>
        </w:rPr>
        <w:t xml:space="preserve"> </w:t>
      </w:r>
      <w:r w:rsidRPr="004A1016">
        <w:rPr>
          <w:lang w:eastAsia="fr-FR"/>
        </w:rPr>
        <w:t>Ainsi</w:t>
      </w:r>
      <w:r w:rsidR="004A1016">
        <w:rPr>
          <w:lang w:eastAsia="fr-FR"/>
        </w:rPr>
        <w:t>,</w:t>
      </w:r>
      <w:r w:rsidRPr="004A1016">
        <w:rPr>
          <w:lang w:eastAsia="fr-FR"/>
        </w:rPr>
        <w:t xml:space="preserve"> afin de doter sa stratégie d’un cadre juridique clair, la Mauritanie a adopté en 2013 </w:t>
      </w:r>
      <w:r w:rsidRPr="0019112D">
        <w:rPr>
          <w:b/>
          <w:bCs/>
          <w:lang w:eastAsia="fr-FR"/>
        </w:rPr>
        <w:t xml:space="preserve">la loi d’orientation agropastorale (LOA). </w:t>
      </w:r>
      <w:r w:rsidRPr="004A1016">
        <w:rPr>
          <w:lang w:eastAsia="fr-FR"/>
        </w:rPr>
        <w:t>Cette loi, établit les principes et les règles de gouvernance du secteur agricole et pastoral : elle fixe les droits et devoirs des exploitants, encadre la gestion du foncier rural, et définit le rôle de l’État dans la planification et le soutien à la production. Elle consacre également la gestion décentralisée du développement agricole, en encourageant la participation des collectivités locales, des organisations paysannes et du secteur privé.</w:t>
      </w:r>
      <w:r w:rsidRPr="0019112D">
        <w:t xml:space="preserve"> </w:t>
      </w:r>
      <w:r w:rsidR="004A1016">
        <w:t xml:space="preserve">Les autorités disposent également d’une </w:t>
      </w:r>
      <w:r w:rsidR="004A1016" w:rsidRPr="004A1016">
        <w:rPr>
          <w:b/>
          <w:bCs/>
        </w:rPr>
        <w:t>Stratégie nationale de sécurité alimentaire</w:t>
      </w:r>
      <w:r w:rsidR="004A1016">
        <w:t xml:space="preserve"> (SNSA, 2012) qui a débouché sur un Programme national d'investissement agricole et de sécurité alimentaire (PNIA), d’une </w:t>
      </w:r>
      <w:r w:rsidR="004A1016" w:rsidRPr="004A1016">
        <w:rPr>
          <w:b/>
          <w:bCs/>
        </w:rPr>
        <w:t xml:space="preserve">Stratégie de développement du </w:t>
      </w:r>
      <w:r w:rsidR="00C66298" w:rsidRPr="00974FE4">
        <w:rPr>
          <w:b/>
          <w:bCs/>
          <w:lang w:eastAsia="fr-FR"/>
        </w:rPr>
        <w:t>secteur rural</w:t>
      </w:r>
      <w:r w:rsidR="00C66298">
        <w:rPr>
          <w:rStyle w:val="Appelnotedebasdep"/>
          <w:b/>
          <w:bCs/>
          <w:lang w:eastAsia="fr-FR"/>
        </w:rPr>
        <w:footnoteReference w:id="16"/>
      </w:r>
      <w:r w:rsidR="00C66298">
        <w:rPr>
          <w:b/>
          <w:bCs/>
          <w:lang w:eastAsia="fr-FR"/>
        </w:rPr>
        <w:t xml:space="preserve"> </w:t>
      </w:r>
      <w:r w:rsidR="004A1016">
        <w:t>à l'horizon 2025 (SDSR, 2012) et d’une</w:t>
      </w:r>
      <w:r w:rsidR="004A1016" w:rsidRPr="004A1016">
        <w:t xml:space="preserve"> </w:t>
      </w:r>
      <w:r w:rsidR="004A1016" w:rsidRPr="004A1016">
        <w:rPr>
          <w:b/>
          <w:bCs/>
        </w:rPr>
        <w:t>Stratégie nationale de croissance accélérée et de prospérité partagée</w:t>
      </w:r>
      <w:r w:rsidR="004A1016" w:rsidRPr="004A1016">
        <w:t xml:space="preserve"> (SCAPP, 2016).</w:t>
      </w:r>
    </w:p>
    <w:p w14:paraId="7548990E" w14:textId="77777777" w:rsidR="004A1016" w:rsidRPr="0019112D" w:rsidRDefault="004A1016" w:rsidP="004A1016">
      <w:pPr>
        <w:spacing w:after="0"/>
      </w:pPr>
    </w:p>
    <w:p w14:paraId="6BCBBCDD" w14:textId="60749898" w:rsidR="00BA0C6E" w:rsidRPr="00C66298" w:rsidRDefault="004A1016" w:rsidP="00DB2A02">
      <w:pPr>
        <w:spacing w:after="0"/>
        <w:rPr>
          <w:lang w:eastAsia="fr-FR"/>
        </w:rPr>
      </w:pPr>
      <w:r w:rsidRPr="004A1016">
        <w:rPr>
          <w:b/>
          <w:bCs/>
          <w:lang w:eastAsia="fr-FR"/>
        </w:rPr>
        <w:t xml:space="preserve">Un Plan </w:t>
      </w:r>
      <w:r w:rsidR="00C66298" w:rsidRPr="0085733A">
        <w:rPr>
          <w:b/>
          <w:bCs/>
          <w:lang w:eastAsia="fr-FR"/>
        </w:rPr>
        <w:t>National de Développement Agricole</w:t>
      </w:r>
      <w:r w:rsidR="00C66298" w:rsidRPr="0085733A">
        <w:rPr>
          <w:rStyle w:val="Appelnotedebasdep"/>
          <w:b/>
          <w:bCs/>
          <w:lang w:eastAsia="fr-FR"/>
        </w:rPr>
        <w:footnoteReference w:id="17"/>
      </w:r>
      <w:r w:rsidR="00C66298" w:rsidRPr="0085733A">
        <w:rPr>
          <w:b/>
          <w:bCs/>
          <w:lang w:eastAsia="fr-FR"/>
        </w:rPr>
        <w:t xml:space="preserve"> (PNDA) </w:t>
      </w:r>
      <w:r w:rsidRPr="004A1016">
        <w:rPr>
          <w:b/>
          <w:bCs/>
          <w:lang w:eastAsia="fr-FR"/>
        </w:rPr>
        <w:t>pour la période 2015-2025 a été établi en 2013 en collaboration avec la FAO.</w:t>
      </w:r>
      <w:r>
        <w:rPr>
          <w:b/>
          <w:bCs/>
          <w:lang w:eastAsia="fr-FR"/>
        </w:rPr>
        <w:t xml:space="preserve"> </w:t>
      </w:r>
      <w:r w:rsidR="00C66298" w:rsidRPr="00C66298">
        <w:rPr>
          <w:lang w:eastAsia="fr-FR"/>
        </w:rPr>
        <w:t>Le PNDA n’a pas de valeur règlementaire, c’est un document de planification stratégique et programmatique.</w:t>
      </w:r>
      <w:r w:rsidR="00C66298">
        <w:rPr>
          <w:lang w:eastAsia="fr-FR"/>
        </w:rPr>
        <w:t xml:space="preserve"> </w:t>
      </w:r>
      <w:r w:rsidR="00C66298" w:rsidRPr="00C66298">
        <w:rPr>
          <w:lang w:eastAsia="fr-FR"/>
        </w:rPr>
        <w:t>Il précise les orientations spécifiques du secteur avec pour objectif</w:t>
      </w:r>
      <w:r w:rsidR="00C66298">
        <w:rPr>
          <w:b/>
          <w:bCs/>
          <w:lang w:eastAsia="fr-FR"/>
        </w:rPr>
        <w:t xml:space="preserve"> </w:t>
      </w:r>
      <w:r w:rsidRPr="004A1016">
        <w:rPr>
          <w:lang w:eastAsia="fr-FR"/>
        </w:rPr>
        <w:t xml:space="preserve">de développer une agriculture moderne, durable et capable de soutenir la concurrence, </w:t>
      </w:r>
      <w:r w:rsidRPr="004A1016">
        <w:rPr>
          <w:lang w:eastAsia="fr-FR"/>
        </w:rPr>
        <w:lastRenderedPageBreak/>
        <w:t>grâce au développement de filières végétales à grande capacité productive.</w:t>
      </w:r>
      <w:r>
        <w:rPr>
          <w:lang w:eastAsia="fr-FR"/>
        </w:rPr>
        <w:t xml:space="preserve"> </w:t>
      </w:r>
      <w:r w:rsidR="00C66298" w:rsidRPr="00C66298">
        <w:rPr>
          <w:lang w:eastAsia="fr-FR"/>
        </w:rPr>
        <w:t xml:space="preserve">Il </w:t>
      </w:r>
      <w:r w:rsidR="001F0145" w:rsidRPr="00C66298">
        <w:rPr>
          <w:lang w:eastAsia="fr-FR"/>
        </w:rPr>
        <w:t>structure l’action publique autour de quatre grands axes</w:t>
      </w:r>
      <w:r w:rsidR="00B45287" w:rsidRPr="00C66298">
        <w:rPr>
          <w:lang w:eastAsia="fr-FR"/>
        </w:rPr>
        <w:t xml:space="preserve"> </w:t>
      </w:r>
      <w:r w:rsidR="001F0145" w:rsidRPr="00C66298">
        <w:rPr>
          <w:lang w:eastAsia="fr-FR"/>
        </w:rPr>
        <w:t>:</w:t>
      </w:r>
    </w:p>
    <w:p w14:paraId="28D05401" w14:textId="42D6BA80" w:rsidR="001F0145" w:rsidRDefault="007E671B" w:rsidP="00163E5C">
      <w:pPr>
        <w:pStyle w:val="Paragraphedeliste"/>
        <w:numPr>
          <w:ilvl w:val="0"/>
          <w:numId w:val="31"/>
        </w:numPr>
        <w:spacing w:after="0"/>
        <w:rPr>
          <w:lang w:eastAsia="fr-FR"/>
        </w:rPr>
      </w:pPr>
      <w:r w:rsidRPr="00163E5C">
        <w:rPr>
          <w:b/>
          <w:bCs/>
          <w:lang w:eastAsia="fr-FR"/>
        </w:rPr>
        <w:t>Intensifier et diversifier la production pour satisfaire les besoins nationaux.</w:t>
      </w:r>
      <w:r>
        <w:rPr>
          <w:lang w:eastAsia="fr-FR"/>
        </w:rPr>
        <w:t xml:space="preserve"> Opérationnellement, cela se traduit par la remise à niveau et l’extension de l’irrigué (riz, blé, horticulture, sucrier), la diffusion d’itinéraires techniques adaptés, le recours aux champs écoles paysans, et une mécanisation proportionnée aux types d’exploitations.</w:t>
      </w:r>
    </w:p>
    <w:p w14:paraId="174A667E" w14:textId="3DC49F2A" w:rsidR="001F0145" w:rsidRDefault="007E671B" w:rsidP="00163E5C">
      <w:pPr>
        <w:pStyle w:val="Paragraphedeliste"/>
        <w:numPr>
          <w:ilvl w:val="0"/>
          <w:numId w:val="31"/>
        </w:numPr>
        <w:spacing w:after="0"/>
        <w:rPr>
          <w:lang w:eastAsia="fr-FR"/>
        </w:rPr>
      </w:pPr>
      <w:r w:rsidRPr="00163E5C">
        <w:rPr>
          <w:b/>
          <w:bCs/>
          <w:lang w:eastAsia="fr-FR"/>
        </w:rPr>
        <w:t>Promouvoir la compétitivité des filières agricoles.</w:t>
      </w:r>
      <w:r>
        <w:rPr>
          <w:lang w:eastAsia="fr-FR"/>
        </w:rPr>
        <w:t xml:space="preserve"> Le PNDA cible d’abord la réduction des pertes post-récolte et l’amélioration de la qualité via le stockage, le conditionnement et la transformation (renforcement d’équipements pour paddy et céréales traditionnelles, valorisation horticole et </w:t>
      </w:r>
      <w:proofErr w:type="spellStart"/>
      <w:r>
        <w:rPr>
          <w:lang w:eastAsia="fr-FR"/>
        </w:rPr>
        <w:t>dattière</w:t>
      </w:r>
      <w:proofErr w:type="spellEnd"/>
      <w:r>
        <w:rPr>
          <w:lang w:eastAsia="fr-FR"/>
        </w:rPr>
        <w:t xml:space="preserve">), ensuite l’accès au marché (pistes, marchés hebdomadaires, système d’information sur les prix), et enfin un environnement d’affaires plus attractif, y compris des </w:t>
      </w:r>
      <w:r w:rsidR="00470F33">
        <w:rPr>
          <w:lang w:eastAsia="fr-FR"/>
        </w:rPr>
        <w:t xml:space="preserve">partenariats Publics-Privé </w:t>
      </w:r>
      <w:r>
        <w:rPr>
          <w:lang w:eastAsia="fr-FR"/>
        </w:rPr>
        <w:t>PPP</w:t>
      </w:r>
      <w:r w:rsidR="00470F33">
        <w:rPr>
          <w:lang w:eastAsia="fr-FR"/>
        </w:rPr>
        <w:t xml:space="preserve"> (</w:t>
      </w:r>
      <w:r>
        <w:rPr>
          <w:lang w:eastAsia="fr-FR"/>
        </w:rPr>
        <w:t>ex. complexe sucrier COMASUD).</w:t>
      </w:r>
    </w:p>
    <w:p w14:paraId="6C1563FE" w14:textId="77777777" w:rsidR="00470F33" w:rsidRDefault="007E671B" w:rsidP="00163E5C">
      <w:pPr>
        <w:pStyle w:val="Paragraphedeliste"/>
        <w:numPr>
          <w:ilvl w:val="0"/>
          <w:numId w:val="31"/>
        </w:numPr>
        <w:spacing w:after="0"/>
        <w:rPr>
          <w:lang w:eastAsia="fr-FR"/>
        </w:rPr>
      </w:pPr>
      <w:r w:rsidRPr="00163E5C">
        <w:rPr>
          <w:b/>
          <w:bCs/>
          <w:lang w:eastAsia="fr-FR"/>
        </w:rPr>
        <w:t>Promouvoir la gestion durable et participative des ressources naturelles.</w:t>
      </w:r>
      <w:r>
        <w:rPr>
          <w:lang w:eastAsia="fr-FR"/>
        </w:rPr>
        <w:t xml:space="preserve"> Le programme consacre la sécurisation foncière, la restauration des terres et la valorisation des zones humides, en insistant sur des organes de gestion participative et l’articulation avec les autres ministères (environnement, hydraulique, aménagement du territoire).</w:t>
      </w:r>
    </w:p>
    <w:p w14:paraId="088CF007" w14:textId="29262297" w:rsidR="00A879FC" w:rsidRPr="00A879FC" w:rsidRDefault="007E671B" w:rsidP="00163E5C">
      <w:pPr>
        <w:pStyle w:val="Paragraphedeliste"/>
        <w:numPr>
          <w:ilvl w:val="0"/>
          <w:numId w:val="31"/>
        </w:numPr>
        <w:spacing w:after="0"/>
        <w:rPr>
          <w:lang w:eastAsia="fr-FR"/>
        </w:rPr>
      </w:pPr>
      <w:r w:rsidRPr="00163E5C">
        <w:rPr>
          <w:b/>
          <w:bCs/>
          <w:lang w:eastAsia="fr-FR"/>
        </w:rPr>
        <w:t>Accroître l’opérationnalité des structures d’appui au secteur agricole.</w:t>
      </w:r>
      <w:r>
        <w:rPr>
          <w:lang w:eastAsia="fr-FR"/>
        </w:rPr>
        <w:t xml:space="preserve"> Le PNDA prévoit la réorganisation du conseil agricole, le renforcement de la recherche et de la formation (avec couverture nationale du conseil), et l’opérationnalisation de la LOA (paquet réglementaire).</w:t>
      </w:r>
      <w:r w:rsidR="00470F33">
        <w:rPr>
          <w:lang w:eastAsia="fr-FR"/>
        </w:rPr>
        <w:t xml:space="preserve"> Par exemple, l</w:t>
      </w:r>
      <w:r>
        <w:rPr>
          <w:lang w:eastAsia="fr-FR"/>
        </w:rPr>
        <w:t>a mise en place d’un système d’assurance agricole pour l</w:t>
      </w:r>
      <w:r w:rsidR="00163E5C">
        <w:rPr>
          <w:lang w:eastAsia="fr-FR"/>
        </w:rPr>
        <w:t>es cultures irriguées</w:t>
      </w:r>
      <w:r>
        <w:rPr>
          <w:lang w:eastAsia="fr-FR"/>
        </w:rPr>
        <w:t xml:space="preserve">, complété par un fonds de calamités pour les cultures pluviales et par des produits financiers adaptés (crédit de campagne/équipement), </w:t>
      </w:r>
      <w:r w:rsidR="00470F33">
        <w:rPr>
          <w:lang w:eastAsia="fr-FR"/>
        </w:rPr>
        <w:t>rend</w:t>
      </w:r>
      <w:r>
        <w:rPr>
          <w:lang w:eastAsia="fr-FR"/>
        </w:rPr>
        <w:t xml:space="preserve"> l’investissement productif soutenable pour les exploitations et leurs organisations.</w:t>
      </w:r>
    </w:p>
    <w:p w14:paraId="35C7BC3F" w14:textId="548C0A68" w:rsidR="00163E5C" w:rsidRDefault="00163E5C" w:rsidP="00163E5C">
      <w:pPr>
        <w:spacing w:after="0"/>
        <w:rPr>
          <w:lang w:eastAsia="fr-FR"/>
        </w:rPr>
      </w:pPr>
      <w:r w:rsidRPr="00163E5C">
        <w:rPr>
          <w:b/>
          <w:bCs/>
          <w:lang w:eastAsia="fr-FR"/>
        </w:rPr>
        <w:t>Le coût total du PNDA était évalué à environ 1,1 M USD sur dix ans</w:t>
      </w:r>
      <w:r>
        <w:rPr>
          <w:lang w:eastAsia="fr-FR"/>
        </w:rPr>
        <w:t>, son financement étant réparti entre plusieurs sources : environ 18,9% à la charge de l’État, 2,8% des bénéficiaires, et 78,3% provenant de financements extérieurs (bailleurs multilatéraux, bilatéraux et secteur privé). Les partenaires techniques et financiers (Banque mondiale, BAD, FIDA, UE, FAO, BID, coopération bilatérale) soutiennent la majorité des projets structurants, tandis que les collectivités locales et les organisations de producteurs participent aux contreparties locales et à la gestion des infrastructures.</w:t>
      </w:r>
    </w:p>
    <w:p w14:paraId="278FF0D8" w14:textId="446B0664" w:rsidR="000A0F0A" w:rsidRDefault="00163E5C" w:rsidP="00163E5C">
      <w:pPr>
        <w:spacing w:after="0"/>
        <w:rPr>
          <w:lang w:eastAsia="fr-FR"/>
        </w:rPr>
      </w:pPr>
      <w:r>
        <w:rPr>
          <w:lang w:eastAsia="fr-FR"/>
        </w:rPr>
        <w:t>L’année 2025 arrivant à son terme, le ministère de l’agriculture et de la souveraineté alimentaire réalise une évaluation de son PNDA 2015-2025. Il se basera sur cette dernière pour formuler un nouveau plan, déjà renommé plan national d’investissement et de développement agricole (PNIDA), pour la période 2026-2036. Les documents d’évaluation et du PNIDA ne sont à ce jour pas publiés.</w:t>
      </w:r>
      <w:r w:rsidR="00241125" w:rsidRPr="00241125">
        <w:t xml:space="preserve"> </w:t>
      </w:r>
    </w:p>
    <w:p w14:paraId="00708F69" w14:textId="77777777" w:rsidR="00163E5C" w:rsidRDefault="00163E5C" w:rsidP="00163E5C">
      <w:pPr>
        <w:spacing w:after="0"/>
        <w:rPr>
          <w:lang w:eastAsia="fr-FR"/>
        </w:rPr>
      </w:pPr>
    </w:p>
    <w:p w14:paraId="41ABB1A4" w14:textId="2C1889CB" w:rsidR="0053503F" w:rsidRPr="00CA7AB1" w:rsidRDefault="00163E5C" w:rsidP="00DB2A02">
      <w:pPr>
        <w:spacing w:after="0"/>
        <w:rPr>
          <w:lang w:eastAsia="fr-FR"/>
        </w:rPr>
      </w:pPr>
      <w:r>
        <w:rPr>
          <w:b/>
          <w:bCs/>
          <w:lang w:eastAsia="fr-FR"/>
        </w:rPr>
        <w:t>L</w:t>
      </w:r>
      <w:r w:rsidR="0053503F" w:rsidRPr="00CA7AB1">
        <w:rPr>
          <w:b/>
          <w:bCs/>
          <w:lang w:eastAsia="fr-FR"/>
        </w:rPr>
        <w:t xml:space="preserve">e </w:t>
      </w:r>
      <w:r w:rsidR="00CA7AB1">
        <w:rPr>
          <w:b/>
          <w:bCs/>
          <w:lang w:eastAsia="fr-FR"/>
        </w:rPr>
        <w:t>m</w:t>
      </w:r>
      <w:r w:rsidR="0053503F" w:rsidRPr="00CA7AB1">
        <w:rPr>
          <w:b/>
          <w:bCs/>
          <w:lang w:eastAsia="fr-FR"/>
        </w:rPr>
        <w:t>inistère de l’</w:t>
      </w:r>
      <w:r w:rsidR="00CA7AB1">
        <w:rPr>
          <w:b/>
          <w:bCs/>
          <w:lang w:eastAsia="fr-FR"/>
        </w:rPr>
        <w:t>a</w:t>
      </w:r>
      <w:r w:rsidR="0053503F" w:rsidRPr="00CA7AB1">
        <w:rPr>
          <w:b/>
          <w:bCs/>
          <w:lang w:eastAsia="fr-FR"/>
        </w:rPr>
        <w:t xml:space="preserve">griculture </w:t>
      </w:r>
      <w:r w:rsidR="00CA7AB1">
        <w:rPr>
          <w:b/>
          <w:bCs/>
          <w:lang w:eastAsia="fr-FR"/>
        </w:rPr>
        <w:t xml:space="preserve">et de la souveraineté </w:t>
      </w:r>
      <w:r w:rsidR="0053503F" w:rsidRPr="00CA7AB1">
        <w:rPr>
          <w:b/>
          <w:bCs/>
          <w:lang w:eastAsia="fr-FR"/>
        </w:rPr>
        <w:t xml:space="preserve">assure le pilotage stratégique et la coordination globale du </w:t>
      </w:r>
      <w:r w:rsidR="00241125">
        <w:rPr>
          <w:b/>
          <w:bCs/>
          <w:lang w:eastAsia="fr-FR"/>
        </w:rPr>
        <w:t xml:space="preserve">PNDA </w:t>
      </w:r>
      <w:r w:rsidR="00241125" w:rsidRPr="00241125">
        <w:rPr>
          <w:lang w:eastAsia="fr-FR"/>
        </w:rPr>
        <w:t>au travers du Programme National d’Investissement Agricole et de Sécurité Alimentaire (PNIASA), qui constitu</w:t>
      </w:r>
      <w:r w:rsidR="00241125">
        <w:rPr>
          <w:lang w:eastAsia="fr-FR"/>
        </w:rPr>
        <w:t>ant</w:t>
      </w:r>
      <w:r w:rsidR="00241125" w:rsidRPr="00241125">
        <w:rPr>
          <w:lang w:eastAsia="fr-FR"/>
        </w:rPr>
        <w:t xml:space="preserve"> le principal instrument de mise en œuvre, traduisant les objectifs stratégiques en actions concrètes et en investissements ciblés.</w:t>
      </w:r>
      <w:r w:rsidR="00241125">
        <w:rPr>
          <w:lang w:eastAsia="fr-FR"/>
        </w:rPr>
        <w:t xml:space="preserve"> Le ministère</w:t>
      </w:r>
      <w:r w:rsidR="0053503F" w:rsidRPr="00CA7AB1">
        <w:rPr>
          <w:lang w:eastAsia="fr-FR"/>
        </w:rPr>
        <w:t xml:space="preserve"> préside le Comité National de Coordination et de Concertation (CNCC-PNDA), organe inter</w:t>
      </w:r>
      <w:r>
        <w:rPr>
          <w:lang w:eastAsia="fr-FR"/>
        </w:rPr>
        <w:t>-</w:t>
      </w:r>
      <w:r w:rsidR="0053503F" w:rsidRPr="00CA7AB1">
        <w:rPr>
          <w:lang w:eastAsia="fr-FR"/>
        </w:rPr>
        <w:t>institutionnel chargé de l’orientation politique, de la validation des plans annuels de travail et de la mobilisation des financements. Ce comité réunit les départements ministériels concernés (agriculture, élevage, finances, environnement), les représentants des partenaires techniques et financiers, ainsi que ceux des organisations professionnelles agricoles. À ce niveau, des comités techniques nationaux assurent le suivi opérationnel, la normalisation des données et la cohérence avec les cadres stratégiques supérieurs, notamment la SDSR et la SCAPP 2016-2030.</w:t>
      </w:r>
    </w:p>
    <w:p w14:paraId="2145589E" w14:textId="77777777" w:rsidR="00130B8A" w:rsidRDefault="00130B8A">
      <w:pPr>
        <w:jc w:val="left"/>
        <w:rPr>
          <w:b/>
          <w:bCs/>
          <w:lang w:eastAsia="fr-FR"/>
        </w:rPr>
      </w:pPr>
      <w:r>
        <w:rPr>
          <w:b/>
          <w:bCs/>
          <w:lang w:eastAsia="fr-FR"/>
        </w:rPr>
        <w:br w:type="page"/>
      </w:r>
    </w:p>
    <w:p w14:paraId="72CAC62E" w14:textId="05B8E567" w:rsidR="0053503F" w:rsidRPr="00CA7AB1" w:rsidRDefault="0053503F" w:rsidP="00DB2A02">
      <w:pPr>
        <w:spacing w:after="0"/>
        <w:rPr>
          <w:lang w:eastAsia="fr-FR"/>
        </w:rPr>
      </w:pPr>
      <w:r w:rsidRPr="00CA7AB1">
        <w:rPr>
          <w:b/>
          <w:bCs/>
          <w:lang w:eastAsia="fr-FR"/>
        </w:rPr>
        <w:lastRenderedPageBreak/>
        <w:t>Au niveau régional, la mise en œuvre repose sur les Comités de Coordination Régionaux (CCR-PNDA), présidés par les walis et animés par les directions régionales de l’agriculture.</w:t>
      </w:r>
      <w:r w:rsidRPr="00CA7AB1">
        <w:rPr>
          <w:lang w:eastAsia="fr-FR"/>
        </w:rPr>
        <w:t xml:space="preserve"> Ces instances assurent la coordination des projets dans chaque wilaya, la supervision technique des actions, la cohérence avec les plans régionaux de développement rural et la participation des collectivités locales. Les CCR-PNDA constituent un relais essentiel entre le pilotage national et les acteurs de terrain.</w:t>
      </w:r>
    </w:p>
    <w:p w14:paraId="6821B83D" w14:textId="24A75BBE" w:rsidR="0053503F" w:rsidRDefault="0053503F" w:rsidP="00DB2A02">
      <w:pPr>
        <w:spacing w:after="0"/>
        <w:rPr>
          <w:lang w:eastAsia="fr-FR"/>
        </w:rPr>
      </w:pPr>
      <w:r w:rsidRPr="0018554F">
        <w:rPr>
          <w:b/>
          <w:bCs/>
          <w:lang w:eastAsia="fr-FR"/>
        </w:rPr>
        <w:t>Enfin, au niveau local, les Comités de Coordination Locaux (CCL-PNDA), installés dans les communes rurales, veillent à l’exécution concrète des activités et à la mobilisation des bénéficiaires.</w:t>
      </w:r>
      <w:r w:rsidRPr="00CA7AB1">
        <w:rPr>
          <w:lang w:eastAsia="fr-FR"/>
        </w:rPr>
        <w:t xml:space="preserve"> Ils associent les coopératives agricoles, les organisations de producteurs, les ONG locales et les services techniques déconcentrés. Ces dispositifs territoriaux favorisent l’appropriation du programme par les communautés et permettent une gestion concertée des infrastructures agricoles (périmètres irrigués, pistes rurales, magasins de stockage, etc.).</w:t>
      </w:r>
    </w:p>
    <w:p w14:paraId="3466B849" w14:textId="526E756F" w:rsidR="00FC7E04" w:rsidRPr="00CA7AB1" w:rsidRDefault="0076331E" w:rsidP="00DB2A02">
      <w:pPr>
        <w:spacing w:after="0"/>
        <w:rPr>
          <w:lang w:eastAsia="fr-FR"/>
        </w:rPr>
      </w:pPr>
      <w:r w:rsidRPr="0076750D">
        <w:rPr>
          <w:b/>
          <w:bCs/>
          <w:lang w:eastAsia="fr-FR"/>
        </w:rPr>
        <w:t>Historiquement, l’opérateur technique des projets gouvernementaux est la société nationale pour le développement rural (SONADER, crée en 1975 pour les projets d’irrigation).</w:t>
      </w:r>
      <w:r>
        <w:rPr>
          <w:lang w:eastAsia="fr-FR"/>
        </w:rPr>
        <w:t xml:space="preserve"> Cette société nationale intervient encore sur le territoire national, </w:t>
      </w:r>
      <w:r w:rsidR="0076750D">
        <w:rPr>
          <w:lang w:eastAsia="fr-FR"/>
        </w:rPr>
        <w:t xml:space="preserve">soit par mandat direct soit après un </w:t>
      </w:r>
      <w:r>
        <w:rPr>
          <w:lang w:eastAsia="fr-FR"/>
        </w:rPr>
        <w:t>appel d’offre.</w:t>
      </w:r>
    </w:p>
    <w:p w14:paraId="5DA4CD7B" w14:textId="59FBFBD7" w:rsidR="00414E7A" w:rsidRDefault="00414E7A" w:rsidP="00DB2A02">
      <w:pPr>
        <w:spacing w:after="0"/>
      </w:pPr>
    </w:p>
    <w:p w14:paraId="14468423" w14:textId="48111F89" w:rsidR="00363CB8" w:rsidRPr="001B7B01" w:rsidRDefault="00363CB8" w:rsidP="00DB2A02">
      <w:pPr>
        <w:spacing w:after="0"/>
        <w:rPr>
          <w:lang w:eastAsia="fr-FR"/>
        </w:rPr>
      </w:pPr>
      <w:r w:rsidRPr="001B7B01">
        <w:rPr>
          <w:b/>
          <w:bCs/>
          <w:lang w:eastAsia="fr-FR"/>
        </w:rPr>
        <w:t xml:space="preserve">Le secteur halieutique mauritanien est régi principalement par la </w:t>
      </w:r>
      <w:r w:rsidR="001B7B01" w:rsidRPr="001B7B01">
        <w:rPr>
          <w:b/>
          <w:bCs/>
          <w:lang w:eastAsia="fr-FR"/>
        </w:rPr>
        <w:t>l</w:t>
      </w:r>
      <w:r w:rsidRPr="001B7B01">
        <w:rPr>
          <w:b/>
          <w:bCs/>
          <w:lang w:eastAsia="fr-FR"/>
        </w:rPr>
        <w:t>oi</w:t>
      </w:r>
      <w:r w:rsidR="001B7B01" w:rsidRPr="001B7B01">
        <w:rPr>
          <w:b/>
          <w:bCs/>
          <w:lang w:eastAsia="fr-FR"/>
        </w:rPr>
        <w:t xml:space="preserve"> de </w:t>
      </w:r>
      <w:r w:rsidRPr="001B7B01">
        <w:rPr>
          <w:b/>
          <w:bCs/>
          <w:lang w:eastAsia="fr-FR"/>
        </w:rPr>
        <w:t>juillet 2015 portant Code des pêches maritimes</w:t>
      </w:r>
      <w:r w:rsidR="001B7B01" w:rsidRPr="001B7B01">
        <w:rPr>
          <w:rStyle w:val="Appelnotedebasdep"/>
          <w:b/>
          <w:bCs/>
          <w:lang w:eastAsia="fr-FR"/>
        </w:rPr>
        <w:footnoteReference w:id="18"/>
      </w:r>
      <w:r w:rsidRPr="001B7B01">
        <w:rPr>
          <w:b/>
          <w:bCs/>
          <w:lang w:eastAsia="fr-FR"/>
        </w:rPr>
        <w:t>, qui établit le cadre juridique de la gestion durable des ressources marines</w:t>
      </w:r>
      <w:r w:rsidRPr="001B7B01">
        <w:rPr>
          <w:lang w:eastAsia="fr-FR"/>
        </w:rPr>
        <w:t xml:space="preserve">. Cette loi fixe </w:t>
      </w:r>
      <w:r w:rsidR="001B7B01" w:rsidRPr="001B7B01">
        <w:rPr>
          <w:lang w:eastAsia="fr-FR"/>
        </w:rPr>
        <w:t>désormais les activités selon la zone et la capacité des navires (pêche artisanale, côtière et hauturière) plutôt que par leur nature industrielle. Deux régimes d’exploitation sont définis : un régime national, réservé aux navires mauritaniens et soumis à l’obligation de débarquer les captures dans le pays, et un régime étranger, accordé à titre exceptionnel dans le cadre d’accords internationaux, imposant une forte participation de marins mauritaniens à bord. Les droits d’accès à la ressource sont fixés selon l’espèce, la zone, le type d’engin et le mode de conservation, tandis que les redevances de pêche sont calculées sur la valeur des captures. Enfin, les textes récents renforcent le contrôle et la transparence à travers la surveillance satellitaire, la déclaration électronique des activités et la traçabilité des produits, affirmant ainsi la volonté de la Mauritanie d’assurer une gestion durable et souveraine de ses ressources halieutiques.</w:t>
      </w:r>
    </w:p>
    <w:p w14:paraId="23BE23A6" w14:textId="77777777" w:rsidR="00514725" w:rsidRDefault="00514725" w:rsidP="00A070FB">
      <w:pPr>
        <w:spacing w:after="0"/>
        <w:rPr>
          <w:b/>
          <w:bCs/>
        </w:rPr>
      </w:pPr>
    </w:p>
    <w:p w14:paraId="4B7CF481" w14:textId="31765596" w:rsidR="00A070FB" w:rsidRPr="008E48EB" w:rsidRDefault="000A3547" w:rsidP="00A070FB">
      <w:pPr>
        <w:spacing w:after="0"/>
      </w:pPr>
      <w:r w:rsidRPr="000A3547">
        <w:rPr>
          <w:b/>
          <w:bCs/>
        </w:rPr>
        <w:t>Parmi les accords internationaux,</w:t>
      </w:r>
      <w:r>
        <w:t xml:space="preserve"> </w:t>
      </w:r>
      <w:r w:rsidR="008E48EB" w:rsidRPr="008E48EB">
        <w:t xml:space="preserve">un </w:t>
      </w:r>
      <w:r w:rsidR="00A070FB" w:rsidRPr="008E48EB">
        <w:t>protocole</w:t>
      </w:r>
      <w:r w:rsidR="008E48EB" w:rsidRPr="008E48EB">
        <w:t>, le 9</w:t>
      </w:r>
      <w:r w:rsidR="008E48EB" w:rsidRPr="008E48EB">
        <w:rPr>
          <w:vertAlign w:val="superscript"/>
        </w:rPr>
        <w:t>ème</w:t>
      </w:r>
      <w:r w:rsidR="008E48EB" w:rsidRPr="008E48EB">
        <w:t xml:space="preserve">, </w:t>
      </w:r>
      <w:r w:rsidR="00A070FB" w:rsidRPr="008E48EB">
        <w:t xml:space="preserve">entre la Mauritanie et </w:t>
      </w:r>
      <w:r w:rsidR="00A070FB" w:rsidRPr="00720DC1">
        <w:t>l’</w:t>
      </w:r>
      <w:r w:rsidR="00A070FB" w:rsidRPr="00720DC1">
        <w:rPr>
          <w:b/>
          <w:bCs/>
        </w:rPr>
        <w:t>Union européenne</w:t>
      </w:r>
      <w:r w:rsidR="00A070FB" w:rsidRPr="008E48EB">
        <w:t xml:space="preserve"> </w:t>
      </w:r>
      <w:r w:rsidR="008E48EB" w:rsidRPr="008E48EB">
        <w:t xml:space="preserve">couvre la période </w:t>
      </w:r>
      <w:r w:rsidR="00A070FB" w:rsidRPr="008E48EB">
        <w:t>2021–2026</w:t>
      </w:r>
      <w:r w:rsidR="008E48EB" w:rsidRPr="008E48EB">
        <w:t xml:space="preserve">, et va donc devoir être renégocié. Il autorise la flotte européenne à prélever jusqu’à environ 290 000 tonnes de poissons par an dans les eaux mauritaniennes, dont environ 225 000 tonnes de petits pélagiques, ce qui en fait de très loin le plus gros accord en termes de tonnage. </w:t>
      </w:r>
      <w:r w:rsidR="00720DC1" w:rsidRPr="00720DC1">
        <w:t>La valeur estimée des captures réalisées par les flottes européennes dans la ZEE dépasse 300 M d’EUR par an, soit plus de cinq fois le montant de la compensation versée. 70,1% des quotas attribués sont exploités par des navires européens, moins de 1,9% des captures sont débarquées sur le sol mauritanien, moins de 5% des produits sont transformés localement. Par ailleurs, le soutien sectoriel annuel de 16 M d’EUR manquerait de transparence quant à sa gestion et son impact réel.</w:t>
      </w:r>
    </w:p>
    <w:p w14:paraId="1E0D8F6B" w14:textId="77777777" w:rsidR="00514725" w:rsidRDefault="00514725" w:rsidP="00720DC1">
      <w:pPr>
        <w:spacing w:after="0"/>
        <w:rPr>
          <w:lang w:eastAsia="fr-FR"/>
        </w:rPr>
      </w:pPr>
    </w:p>
    <w:p w14:paraId="5B318845" w14:textId="506A6E12" w:rsidR="00720DC1" w:rsidRDefault="00720DC1" w:rsidP="00720DC1">
      <w:pPr>
        <w:spacing w:after="0"/>
        <w:rPr>
          <w:lang w:eastAsia="fr-FR"/>
        </w:rPr>
      </w:pPr>
      <w:r>
        <w:rPr>
          <w:lang w:eastAsia="fr-FR"/>
        </w:rPr>
        <w:t xml:space="preserve">L’accord avec la </w:t>
      </w:r>
      <w:r w:rsidRPr="00720DC1">
        <w:rPr>
          <w:b/>
          <w:bCs/>
          <w:lang w:eastAsia="fr-FR"/>
        </w:rPr>
        <w:t xml:space="preserve">Chine </w:t>
      </w:r>
      <w:r>
        <w:rPr>
          <w:lang w:eastAsia="fr-FR"/>
        </w:rPr>
        <w:t xml:space="preserve">constitue le deuxième bloc en volume. Il s’agit d’un accord de 25 ans signé en 2010 avec la société chinoise Poly </w:t>
      </w:r>
      <w:proofErr w:type="spellStart"/>
      <w:r>
        <w:rPr>
          <w:lang w:eastAsia="fr-FR"/>
        </w:rPr>
        <w:t>Hondone</w:t>
      </w:r>
      <w:proofErr w:type="spellEnd"/>
      <w:r>
        <w:rPr>
          <w:lang w:eastAsia="fr-FR"/>
        </w:rPr>
        <w:t>/Poly-</w:t>
      </w:r>
      <w:proofErr w:type="spellStart"/>
      <w:r>
        <w:rPr>
          <w:lang w:eastAsia="fr-FR"/>
        </w:rPr>
        <w:t>Hondone</w:t>
      </w:r>
      <w:proofErr w:type="spellEnd"/>
      <w:r>
        <w:rPr>
          <w:lang w:eastAsia="fr-FR"/>
        </w:rPr>
        <w:t xml:space="preserve"> </w:t>
      </w:r>
      <w:proofErr w:type="spellStart"/>
      <w:r>
        <w:rPr>
          <w:lang w:eastAsia="fr-FR"/>
        </w:rPr>
        <w:t>Pelagic</w:t>
      </w:r>
      <w:proofErr w:type="spellEnd"/>
      <w:r>
        <w:rPr>
          <w:lang w:eastAsia="fr-FR"/>
        </w:rPr>
        <w:t xml:space="preserve"> </w:t>
      </w:r>
      <w:proofErr w:type="spellStart"/>
      <w:r>
        <w:rPr>
          <w:lang w:eastAsia="fr-FR"/>
        </w:rPr>
        <w:t>Fishery</w:t>
      </w:r>
      <w:proofErr w:type="spellEnd"/>
      <w:r>
        <w:rPr>
          <w:lang w:eastAsia="fr-FR"/>
        </w:rPr>
        <w:t xml:space="preserve">. Cet accord permet à la flotte chinoise (jusqu’à 50 navires industriels) d’exploiter les ressources pélagiques mauritaniennes, avec des captures estimées entre 80 000 et 100 000 tonnes de poissons par an débarquées en Mauritanie puis exportées comme produits mauritaniens. En contrepartie, la Chine s’est engagée à investir environ 100 M USD dans la construction et l’exploitation d’une importante usine de transformation à Nouadhibou, ainsi que dans un centre de formation et des installations liées à la construction de bateaux, avec la promesse de créer plusieurs milliers d’emplois. L’accord comporte </w:t>
      </w:r>
      <w:r>
        <w:rPr>
          <w:lang w:eastAsia="fr-FR"/>
        </w:rPr>
        <w:lastRenderedPageBreak/>
        <w:t>également des avantages fiscaux et douaniers substantiels pour l’opérateur chinois (exonérations de droits de douane et allègements sur l’impôt sur les sociétés), ce qui nourrit d’ailleurs de fortes critiques internes sur le déséquilibre des contreparties.</w:t>
      </w:r>
    </w:p>
    <w:p w14:paraId="06EC8103" w14:textId="77777777" w:rsidR="00514725" w:rsidRDefault="00514725" w:rsidP="00720DC1">
      <w:pPr>
        <w:spacing w:after="0"/>
        <w:rPr>
          <w:lang w:eastAsia="fr-FR"/>
        </w:rPr>
      </w:pPr>
    </w:p>
    <w:p w14:paraId="16459AA2" w14:textId="0943BE69" w:rsidR="00720DC1" w:rsidRDefault="00720DC1" w:rsidP="00720DC1">
      <w:pPr>
        <w:spacing w:after="0"/>
        <w:rPr>
          <w:lang w:eastAsia="fr-FR"/>
        </w:rPr>
      </w:pPr>
      <w:r>
        <w:rPr>
          <w:lang w:eastAsia="fr-FR"/>
        </w:rPr>
        <w:t xml:space="preserve">L’accord avec le </w:t>
      </w:r>
      <w:r w:rsidRPr="00720DC1">
        <w:rPr>
          <w:b/>
          <w:bCs/>
          <w:lang w:eastAsia="fr-FR"/>
        </w:rPr>
        <w:t xml:space="preserve">Sénégal </w:t>
      </w:r>
      <w:r>
        <w:rPr>
          <w:lang w:eastAsia="fr-FR"/>
        </w:rPr>
        <w:t xml:space="preserve">a été signé en 2023 et mis en œuvre à partir de 2024. Il autorise jusqu’à 500 pirogues ou navires sénégalais à pêcher dans les eaux mauritaniennes, pour un plafond annuel d’environ 50 000 tonnes de petits pélagiques. Les contreparties sont à la fois financières et techniques : chaque sortie de pêche est assortie d’une redevance, dont une partie est directement prise en charge par l’État sénégalais pour ses pêcheurs, et le Sénégal s’engage en plus à fournir des alevins pour le repeuplement des eaux continentales mauritaniennes (par exemple le lac de </w:t>
      </w:r>
      <w:proofErr w:type="spellStart"/>
      <w:r>
        <w:rPr>
          <w:lang w:eastAsia="fr-FR"/>
        </w:rPr>
        <w:t>Foum</w:t>
      </w:r>
      <w:proofErr w:type="spellEnd"/>
      <w:r>
        <w:rPr>
          <w:lang w:eastAsia="fr-FR"/>
        </w:rPr>
        <w:t xml:space="preserve"> </w:t>
      </w:r>
      <w:proofErr w:type="spellStart"/>
      <w:r>
        <w:rPr>
          <w:lang w:eastAsia="fr-FR"/>
        </w:rPr>
        <w:t>Gleita</w:t>
      </w:r>
      <w:proofErr w:type="spellEnd"/>
      <w:r>
        <w:rPr>
          <w:lang w:eastAsia="fr-FR"/>
        </w:rPr>
        <w:t>) ainsi que des formateurs en aquaculture pour renforcer les capacités techniques mauritaniennes dans ce domaine.</w:t>
      </w:r>
    </w:p>
    <w:p w14:paraId="2EC32919" w14:textId="77777777" w:rsidR="00514725" w:rsidRDefault="00514725" w:rsidP="00720DC1">
      <w:pPr>
        <w:spacing w:after="0"/>
        <w:rPr>
          <w:lang w:eastAsia="fr-FR"/>
        </w:rPr>
      </w:pPr>
    </w:p>
    <w:p w14:paraId="284CDB51" w14:textId="686E56B0" w:rsidR="00363CB8" w:rsidRDefault="00720DC1" w:rsidP="00720DC1">
      <w:pPr>
        <w:spacing w:after="0"/>
        <w:rPr>
          <w:lang w:eastAsia="fr-FR"/>
        </w:rPr>
      </w:pPr>
      <w:r>
        <w:rPr>
          <w:lang w:eastAsia="fr-FR"/>
        </w:rPr>
        <w:t xml:space="preserve">Enfin, la coopération entre la Mauritanie et le </w:t>
      </w:r>
      <w:r w:rsidRPr="00720DC1">
        <w:rPr>
          <w:b/>
          <w:bCs/>
          <w:lang w:eastAsia="fr-FR"/>
        </w:rPr>
        <w:t>Maroc</w:t>
      </w:r>
      <w:r>
        <w:rPr>
          <w:lang w:eastAsia="fr-FR"/>
        </w:rPr>
        <w:t xml:space="preserve"> ne se traduit pas, à ce stade, par des quotas de pêche massifs clairement chiffrés, mais plutôt par une série d’accords de coopération technique et</w:t>
      </w:r>
      <w:r w:rsidR="006E5C68">
        <w:rPr>
          <w:lang w:eastAsia="fr-FR"/>
        </w:rPr>
        <w:t xml:space="preserve"> </w:t>
      </w:r>
      <w:r>
        <w:rPr>
          <w:lang w:eastAsia="fr-FR"/>
        </w:rPr>
        <w:t>institutionnelle. Un premier programme exécutif dans le domaine de la pêche maritime et de l’aquaculture a été signé en 2022 pour la période 2023–2024, puis la coopération a été renforcée en 2024–2025 autour de la formation maritime, de la recherche scientifique, de l’aquaculture, de la valorisation et de la commercialisation des produits halieutiques, ainsi que de la lutte contre la pêche INN (illégale, non déclarée et non réglementée).</w:t>
      </w:r>
    </w:p>
    <w:p w14:paraId="2CC12A2A" w14:textId="68E75BCA" w:rsidR="00A070FB" w:rsidRDefault="00A070FB" w:rsidP="00DB2A02">
      <w:pPr>
        <w:spacing w:after="0"/>
        <w:rPr>
          <w:lang w:eastAsia="fr-FR"/>
        </w:rPr>
      </w:pPr>
    </w:p>
    <w:p w14:paraId="0EB94EF8" w14:textId="77777777" w:rsidR="006E5C68" w:rsidRPr="00785965" w:rsidRDefault="006E5C68" w:rsidP="00DB2A02">
      <w:pPr>
        <w:spacing w:after="0"/>
        <w:rPr>
          <w:lang w:eastAsia="fr-FR"/>
        </w:rPr>
      </w:pPr>
    </w:p>
    <w:p w14:paraId="62083FF8" w14:textId="1F3F9786" w:rsidR="00BF3BCA" w:rsidRDefault="00BF3BCA" w:rsidP="00DB2A02">
      <w:pPr>
        <w:pStyle w:val="Titre1"/>
        <w:spacing w:before="0" w:after="0"/>
      </w:pPr>
      <w:r w:rsidRPr="00785965">
        <w:t>Echanges commerciaux</w:t>
      </w:r>
    </w:p>
    <w:p w14:paraId="6E0E409B" w14:textId="77777777" w:rsidR="000A2ACD" w:rsidRPr="000A2ACD" w:rsidRDefault="000A2ACD" w:rsidP="000A2ACD">
      <w:pPr>
        <w:spacing w:after="0"/>
        <w:rPr>
          <w:rFonts w:cs="Arial"/>
        </w:rPr>
      </w:pPr>
    </w:p>
    <w:p w14:paraId="1C0C57DE" w14:textId="5579E564" w:rsidR="00345A0D" w:rsidRPr="007268D8" w:rsidRDefault="00BF3BCA" w:rsidP="00DB2A02">
      <w:pPr>
        <w:pStyle w:val="Titre2"/>
        <w:rPr>
          <w:color w:val="auto"/>
          <w:sz w:val="20"/>
          <w:szCs w:val="20"/>
          <w:vertAlign w:val="superscript"/>
        </w:rPr>
      </w:pPr>
      <w:r w:rsidRPr="00785965">
        <w:t xml:space="preserve">3.1 Balance agricole et agroalimentaire de la </w:t>
      </w:r>
      <w:r w:rsidR="00CD6B84" w:rsidRPr="00785965">
        <w:t>Mauritanie</w:t>
      </w:r>
      <w:r w:rsidRPr="007268D8">
        <w:rPr>
          <w:color w:val="auto"/>
          <w:sz w:val="20"/>
          <w:szCs w:val="20"/>
          <w:vertAlign w:val="superscript"/>
        </w:rPr>
        <w:footnoteReference w:id="19"/>
      </w:r>
    </w:p>
    <w:p w14:paraId="22B3CBC8" w14:textId="2CD9E4CB" w:rsidR="008F5ACB" w:rsidRDefault="008F5ACB" w:rsidP="00DB2A02">
      <w:pPr>
        <w:spacing w:after="0"/>
      </w:pPr>
    </w:p>
    <w:p w14:paraId="46DC93EF" w14:textId="4240F8F1" w:rsidR="00474F86" w:rsidRPr="00EB0C1E" w:rsidRDefault="00474F86" w:rsidP="00474F86">
      <w:pPr>
        <w:spacing w:after="0"/>
        <w:rPr>
          <w:rFonts w:cs="Arial"/>
        </w:rPr>
      </w:pPr>
      <w:r w:rsidRPr="00964F71">
        <w:rPr>
          <w:rFonts w:cs="Arial"/>
          <w:b/>
          <w:bCs/>
        </w:rPr>
        <w:t>La balance commerciale de produits agricoles et agroalimentaires</w:t>
      </w:r>
      <w:r w:rsidR="0034345C" w:rsidRPr="00964F71">
        <w:rPr>
          <w:rStyle w:val="Appelnotedebasdep"/>
          <w:rFonts w:cs="Arial"/>
          <w:b/>
          <w:bCs/>
        </w:rPr>
        <w:footnoteReference w:id="20"/>
      </w:r>
      <w:r w:rsidRPr="00964F71">
        <w:rPr>
          <w:rFonts w:cs="Arial"/>
          <w:b/>
          <w:bCs/>
        </w:rPr>
        <w:t xml:space="preserve"> de la </w:t>
      </w:r>
      <w:r w:rsidR="00701A7D" w:rsidRPr="00964F71">
        <w:rPr>
          <w:rFonts w:cs="Arial"/>
          <w:b/>
          <w:bCs/>
        </w:rPr>
        <w:t xml:space="preserve">Mauritanie </w:t>
      </w:r>
      <w:r w:rsidRPr="00964F71">
        <w:rPr>
          <w:rFonts w:cs="Arial"/>
          <w:b/>
          <w:bCs/>
        </w:rPr>
        <w:t xml:space="preserve">est </w:t>
      </w:r>
      <w:r w:rsidR="00701A7D" w:rsidRPr="00964F71">
        <w:rPr>
          <w:rFonts w:cs="Arial"/>
          <w:b/>
          <w:bCs/>
        </w:rPr>
        <w:t>défici</w:t>
      </w:r>
      <w:r w:rsidRPr="00964F71">
        <w:rPr>
          <w:rFonts w:cs="Arial"/>
          <w:b/>
          <w:bCs/>
        </w:rPr>
        <w:t>taire</w:t>
      </w:r>
      <w:r w:rsidRPr="00D416B1">
        <w:rPr>
          <w:rFonts w:cs="Arial"/>
          <w:b/>
          <w:bCs/>
        </w:rPr>
        <w:t xml:space="preserve"> </w:t>
      </w:r>
      <w:r w:rsidR="00EB0C1E">
        <w:rPr>
          <w:rFonts w:cs="Arial"/>
          <w:b/>
          <w:bCs/>
        </w:rPr>
        <w:t xml:space="preserve">depuis 2023, le déficit se creusant </w:t>
      </w:r>
      <w:r w:rsidRPr="00D416B1">
        <w:rPr>
          <w:rFonts w:cs="Arial"/>
        </w:rPr>
        <w:t xml:space="preserve">alors que </w:t>
      </w:r>
      <w:r w:rsidR="00D16088">
        <w:rPr>
          <w:rFonts w:cs="Arial"/>
        </w:rPr>
        <w:t>l</w:t>
      </w:r>
      <w:r w:rsidRPr="00D416B1">
        <w:rPr>
          <w:rFonts w:cs="Arial"/>
        </w:rPr>
        <w:t xml:space="preserve">a balance commerciale globale </w:t>
      </w:r>
      <w:r w:rsidR="00701A7D" w:rsidRPr="00D416B1">
        <w:rPr>
          <w:rFonts w:cs="Arial"/>
        </w:rPr>
        <w:t xml:space="preserve">apparait en excédent </w:t>
      </w:r>
      <w:bookmarkStart w:id="16" w:name="_Hlk193128607"/>
      <w:r w:rsidR="003014E8" w:rsidRPr="00D416B1">
        <w:rPr>
          <w:rFonts w:cs="Arial"/>
        </w:rPr>
        <w:t>depuis 2023, excédent qui s’est renforcé en 2024.</w:t>
      </w:r>
      <w:r w:rsidR="003014E8" w:rsidRPr="00D416B1">
        <w:rPr>
          <w:rFonts w:cs="Arial"/>
          <w:b/>
          <w:bCs/>
        </w:rPr>
        <w:t xml:space="preserve"> </w:t>
      </w:r>
      <w:r w:rsidRPr="00D416B1">
        <w:rPr>
          <w:rFonts w:cs="Arial"/>
        </w:rPr>
        <w:t>1</w:t>
      </w:r>
      <w:r w:rsidR="00D416B1" w:rsidRPr="00D416B1">
        <w:rPr>
          <w:rFonts w:cs="Arial"/>
        </w:rPr>
        <w:t>,264</w:t>
      </w:r>
      <w:r w:rsidRPr="00D416B1">
        <w:rPr>
          <w:rFonts w:cs="Arial"/>
        </w:rPr>
        <w:t xml:space="preserve"> M</w:t>
      </w:r>
      <w:r w:rsidR="00D416B1" w:rsidRPr="00D416B1">
        <w:rPr>
          <w:rFonts w:cs="Arial"/>
        </w:rPr>
        <w:t>d</w:t>
      </w:r>
      <w:r w:rsidRPr="00D416B1">
        <w:rPr>
          <w:rFonts w:cs="Arial"/>
        </w:rPr>
        <w:t xml:space="preserve"> d’EUR de produits agricoles et agroalimentaire ont été exportés en 2024 à destination de la </w:t>
      </w:r>
      <w:r w:rsidR="003014E8" w:rsidRPr="00D416B1">
        <w:rPr>
          <w:rFonts w:cs="Arial"/>
        </w:rPr>
        <w:t xml:space="preserve">Mauritanie </w:t>
      </w:r>
      <w:r w:rsidRPr="00D416B1">
        <w:rPr>
          <w:rFonts w:cs="Arial"/>
        </w:rPr>
        <w:t xml:space="preserve">par ses principaux fournisseurs, en hausse de </w:t>
      </w:r>
      <w:r w:rsidRPr="009320B5">
        <w:rPr>
          <w:rFonts w:cs="Arial"/>
        </w:rPr>
        <w:t>+</w:t>
      </w:r>
      <w:r w:rsidR="009320B5" w:rsidRPr="009320B5">
        <w:rPr>
          <w:rFonts w:cs="Arial"/>
        </w:rPr>
        <w:t>4</w:t>
      </w:r>
      <w:r w:rsidRPr="009320B5">
        <w:rPr>
          <w:rFonts w:cs="Arial"/>
        </w:rPr>
        <w:t>,</w:t>
      </w:r>
      <w:r w:rsidR="009320B5" w:rsidRPr="009320B5">
        <w:rPr>
          <w:rFonts w:cs="Arial"/>
        </w:rPr>
        <w:t>4</w:t>
      </w:r>
      <w:r w:rsidRPr="009320B5">
        <w:rPr>
          <w:rFonts w:cs="Arial"/>
        </w:rPr>
        <w:t>% par rapport</w:t>
      </w:r>
      <w:bookmarkStart w:id="17" w:name="_Hlk193137429"/>
      <w:r w:rsidRPr="009320B5">
        <w:rPr>
          <w:rFonts w:cs="Arial"/>
        </w:rPr>
        <w:t> </w:t>
      </w:r>
      <w:bookmarkEnd w:id="17"/>
      <w:r w:rsidRPr="009320B5">
        <w:rPr>
          <w:rFonts w:cs="Arial"/>
        </w:rPr>
        <w:t>à 2023. 3</w:t>
      </w:r>
      <w:r w:rsidR="009320B5" w:rsidRPr="009320B5">
        <w:rPr>
          <w:rFonts w:cs="Arial"/>
        </w:rPr>
        <w:t>3</w:t>
      </w:r>
      <w:r w:rsidRPr="009320B5">
        <w:rPr>
          <w:rFonts w:cs="Arial"/>
        </w:rPr>
        <w:t>,</w:t>
      </w:r>
      <w:r w:rsidR="009320B5" w:rsidRPr="009320B5">
        <w:rPr>
          <w:rFonts w:cs="Arial"/>
        </w:rPr>
        <w:t>8</w:t>
      </w:r>
      <w:r w:rsidRPr="009320B5">
        <w:rPr>
          <w:rFonts w:cs="Arial"/>
        </w:rPr>
        <w:t xml:space="preserve">% des produits exportés à destination de la </w:t>
      </w:r>
      <w:r w:rsidR="009320B5" w:rsidRPr="009320B5">
        <w:rPr>
          <w:rFonts w:cs="Arial"/>
        </w:rPr>
        <w:t xml:space="preserve">Mauritanie </w:t>
      </w:r>
      <w:r w:rsidRPr="009320B5">
        <w:rPr>
          <w:rFonts w:cs="Arial"/>
        </w:rPr>
        <w:t>en 2024 étaient des produits agricoles</w:t>
      </w:r>
      <w:r w:rsidR="009320B5" w:rsidRPr="009320B5">
        <w:rPr>
          <w:rFonts w:cs="Arial"/>
        </w:rPr>
        <w:t>.</w:t>
      </w:r>
      <w:r w:rsidRPr="009320B5">
        <w:rPr>
          <w:rFonts w:cs="Arial"/>
        </w:rPr>
        <w:t xml:space="preserve"> </w:t>
      </w:r>
      <w:r w:rsidR="00EB0C1E" w:rsidRPr="00EB0C1E">
        <w:rPr>
          <w:rFonts w:cs="Arial"/>
        </w:rPr>
        <w:t>960</w:t>
      </w:r>
      <w:r w:rsidRPr="00EB0C1E">
        <w:rPr>
          <w:rFonts w:cs="Arial"/>
        </w:rPr>
        <w:t>,</w:t>
      </w:r>
      <w:r w:rsidR="00EB0C1E" w:rsidRPr="00EB0C1E">
        <w:rPr>
          <w:rFonts w:cs="Arial"/>
        </w:rPr>
        <w:t>0</w:t>
      </w:r>
      <w:r w:rsidRPr="00EB0C1E">
        <w:rPr>
          <w:rFonts w:cs="Arial"/>
        </w:rPr>
        <w:t xml:space="preserve"> M d’EUR ont été importés en provenance de la </w:t>
      </w:r>
      <w:r w:rsidR="00EB0C1E" w:rsidRPr="00EB0C1E">
        <w:rPr>
          <w:rFonts w:cs="Arial"/>
        </w:rPr>
        <w:t xml:space="preserve">Mauritanie </w:t>
      </w:r>
      <w:r w:rsidRPr="00EB0C1E">
        <w:rPr>
          <w:rFonts w:cs="Arial"/>
        </w:rPr>
        <w:t xml:space="preserve">par ses principaux clients, en </w:t>
      </w:r>
      <w:r w:rsidR="00EB0C1E" w:rsidRPr="00EB0C1E">
        <w:rPr>
          <w:rFonts w:cs="Arial"/>
        </w:rPr>
        <w:t>baisse de -3,0</w:t>
      </w:r>
      <w:r w:rsidRPr="00EB0C1E">
        <w:rPr>
          <w:rFonts w:cs="Arial"/>
        </w:rPr>
        <w:t xml:space="preserve">%. </w:t>
      </w:r>
      <w:bookmarkEnd w:id="16"/>
      <w:r w:rsidR="00EB0C1E" w:rsidRPr="00EB0C1E">
        <w:rPr>
          <w:rFonts w:cs="Arial"/>
        </w:rPr>
        <w:t>24</w:t>
      </w:r>
      <w:r w:rsidRPr="00EB0C1E">
        <w:rPr>
          <w:rFonts w:cs="Arial"/>
        </w:rPr>
        <w:t>,</w:t>
      </w:r>
      <w:r w:rsidR="00EB0C1E" w:rsidRPr="00EB0C1E">
        <w:rPr>
          <w:rFonts w:cs="Arial"/>
        </w:rPr>
        <w:t>6</w:t>
      </w:r>
      <w:r w:rsidRPr="00EB0C1E">
        <w:rPr>
          <w:rFonts w:cs="Arial"/>
        </w:rPr>
        <w:t xml:space="preserve">% </w:t>
      </w:r>
      <w:bookmarkStart w:id="18" w:name="_Hlk211610394"/>
      <w:r w:rsidRPr="00EB0C1E">
        <w:rPr>
          <w:rFonts w:cs="Arial"/>
        </w:rPr>
        <w:t xml:space="preserve">des produits importés en provenance de la </w:t>
      </w:r>
      <w:r w:rsidR="00EB0C1E" w:rsidRPr="00EB0C1E">
        <w:rPr>
          <w:rFonts w:cs="Arial"/>
        </w:rPr>
        <w:t xml:space="preserve">Mauritanie </w:t>
      </w:r>
      <w:r w:rsidRPr="00EB0C1E">
        <w:rPr>
          <w:rFonts w:cs="Arial"/>
        </w:rPr>
        <w:t>en 2024 étaient des produits agricoles</w:t>
      </w:r>
      <w:bookmarkEnd w:id="18"/>
      <w:r w:rsidRPr="00EB0C1E">
        <w:rPr>
          <w:rFonts w:cs="Arial"/>
        </w:rPr>
        <w:t>.</w:t>
      </w:r>
    </w:p>
    <w:p w14:paraId="17241CC1" w14:textId="77777777" w:rsidR="00474F86" w:rsidRPr="000A2ACD" w:rsidRDefault="00474F86" w:rsidP="00474F86">
      <w:pPr>
        <w:spacing w:after="0"/>
        <w:rPr>
          <w:rFonts w:cs="Arial"/>
          <w:highlight w:val="yellow"/>
        </w:rPr>
      </w:pPr>
    </w:p>
    <w:p w14:paraId="5F6FE54A" w14:textId="299088F5" w:rsidR="00474F86" w:rsidRPr="008B6172" w:rsidRDefault="00474F86" w:rsidP="00474F86">
      <w:pPr>
        <w:spacing w:after="0"/>
        <w:rPr>
          <w:rFonts w:cs="Arial"/>
        </w:rPr>
      </w:pPr>
      <w:r w:rsidRPr="00092B0B">
        <w:rPr>
          <w:rFonts w:cs="Arial"/>
          <w:b/>
          <w:bCs/>
        </w:rPr>
        <w:t>En 2024, les principaux pays exportant des produits agricoles et agroalimentaires</w:t>
      </w:r>
      <w:r w:rsidRPr="00092B0B">
        <w:rPr>
          <w:rFonts w:cs="Arial"/>
        </w:rPr>
        <w:t xml:space="preserve"> </w:t>
      </w:r>
      <w:r w:rsidRPr="00092B0B">
        <w:rPr>
          <w:rFonts w:cs="Arial"/>
          <w:b/>
          <w:bCs/>
        </w:rPr>
        <w:t xml:space="preserve">à destination de la </w:t>
      </w:r>
      <w:r w:rsidR="009320B5" w:rsidRPr="00092B0B">
        <w:rPr>
          <w:rFonts w:cs="Arial"/>
          <w:b/>
          <w:bCs/>
        </w:rPr>
        <w:t xml:space="preserve">Mauritanie </w:t>
      </w:r>
      <w:r w:rsidRPr="00092B0B">
        <w:rPr>
          <w:rFonts w:cs="Arial"/>
        </w:rPr>
        <w:t xml:space="preserve">sont le </w:t>
      </w:r>
      <w:r w:rsidR="009320B5" w:rsidRPr="00092B0B">
        <w:rPr>
          <w:rFonts w:cs="Arial"/>
        </w:rPr>
        <w:t>Brésil</w:t>
      </w:r>
      <w:r w:rsidRPr="00092B0B">
        <w:rPr>
          <w:rFonts w:cs="Arial"/>
        </w:rPr>
        <w:t xml:space="preserve"> (</w:t>
      </w:r>
      <w:r w:rsidR="00092B0B" w:rsidRPr="00092B0B">
        <w:rPr>
          <w:rFonts w:cs="Arial"/>
        </w:rPr>
        <w:t>17</w:t>
      </w:r>
      <w:r w:rsidRPr="00092B0B">
        <w:rPr>
          <w:rFonts w:cs="Arial"/>
        </w:rPr>
        <w:t xml:space="preserve">,4% de part de marché, </w:t>
      </w:r>
      <w:r w:rsidRPr="00670493">
        <w:rPr>
          <w:rFonts w:cs="Arial"/>
        </w:rPr>
        <w:t>principal fournisseur de</w:t>
      </w:r>
      <w:r w:rsidR="008B6172" w:rsidRPr="00670493">
        <w:rPr>
          <w:rFonts w:cs="Arial"/>
        </w:rPr>
        <w:t xml:space="preserve"> sucre</w:t>
      </w:r>
      <w:r w:rsidRPr="00670493">
        <w:rPr>
          <w:rFonts w:cs="Arial"/>
        </w:rPr>
        <w:t xml:space="preserve">, le </w:t>
      </w:r>
      <w:r w:rsidR="008B6172" w:rsidRPr="00670493">
        <w:rPr>
          <w:rFonts w:cs="Arial"/>
        </w:rPr>
        <w:t xml:space="preserve">sucre </w:t>
      </w:r>
      <w:r w:rsidRPr="00670493">
        <w:rPr>
          <w:rFonts w:cs="Arial"/>
        </w:rPr>
        <w:t>représentant 9</w:t>
      </w:r>
      <w:r w:rsidR="00670493" w:rsidRPr="00670493">
        <w:rPr>
          <w:rFonts w:cs="Arial"/>
        </w:rPr>
        <w:t>2</w:t>
      </w:r>
      <w:r w:rsidRPr="00670493">
        <w:rPr>
          <w:rFonts w:cs="Arial"/>
        </w:rPr>
        <w:t>,</w:t>
      </w:r>
      <w:r w:rsidR="00670493" w:rsidRPr="00670493">
        <w:rPr>
          <w:rFonts w:cs="Arial"/>
        </w:rPr>
        <w:t>2</w:t>
      </w:r>
      <w:r w:rsidRPr="00670493">
        <w:rPr>
          <w:rFonts w:cs="Arial"/>
        </w:rPr>
        <w:t xml:space="preserve">% des exportations </w:t>
      </w:r>
      <w:r w:rsidR="00670493" w:rsidRPr="00670493">
        <w:rPr>
          <w:rFonts w:cs="Arial"/>
        </w:rPr>
        <w:t>brésilienne</w:t>
      </w:r>
      <w:r w:rsidRPr="00670493">
        <w:rPr>
          <w:rFonts w:cs="Arial"/>
        </w:rPr>
        <w:t>s à destination de la</w:t>
      </w:r>
      <w:r w:rsidR="00670493" w:rsidRPr="00670493">
        <w:rPr>
          <w:rFonts w:cs="Arial"/>
        </w:rPr>
        <w:t xml:space="preserve"> Mauritanie, 6,7% étant des exportations de viandes</w:t>
      </w:r>
      <w:r w:rsidRPr="00670493">
        <w:rPr>
          <w:rFonts w:cs="Arial"/>
        </w:rPr>
        <w:t xml:space="preserve">) </w:t>
      </w:r>
      <w:r w:rsidRPr="00092B0B">
        <w:rPr>
          <w:rFonts w:cs="Arial"/>
        </w:rPr>
        <w:t>en progression de +</w:t>
      </w:r>
      <w:r w:rsidR="00092B0B" w:rsidRPr="00092B0B">
        <w:rPr>
          <w:rFonts w:cs="Arial"/>
        </w:rPr>
        <w:t>3,5</w:t>
      </w:r>
      <w:r w:rsidRPr="00092B0B">
        <w:rPr>
          <w:rFonts w:cs="Arial"/>
        </w:rPr>
        <w:t xml:space="preserve">%, le </w:t>
      </w:r>
      <w:r w:rsidR="00092B0B" w:rsidRPr="00092B0B">
        <w:rPr>
          <w:rFonts w:cs="Arial"/>
        </w:rPr>
        <w:t xml:space="preserve">Maroc </w:t>
      </w:r>
      <w:r w:rsidRPr="00092B0B">
        <w:rPr>
          <w:rFonts w:cs="Arial"/>
        </w:rPr>
        <w:t>(</w:t>
      </w:r>
      <w:r w:rsidR="00092B0B" w:rsidRPr="00092B0B">
        <w:rPr>
          <w:rFonts w:cs="Arial"/>
        </w:rPr>
        <w:t>9,5</w:t>
      </w:r>
      <w:r w:rsidRPr="00092B0B">
        <w:rPr>
          <w:rFonts w:cs="Arial"/>
        </w:rPr>
        <w:t xml:space="preserve">%, </w:t>
      </w:r>
      <w:r w:rsidR="00092B0B" w:rsidRPr="00092B0B">
        <w:rPr>
          <w:rFonts w:cs="Arial"/>
        </w:rPr>
        <w:t>+1</w:t>
      </w:r>
      <w:r w:rsidRPr="00092B0B">
        <w:rPr>
          <w:rFonts w:cs="Arial"/>
        </w:rPr>
        <w:t>2,</w:t>
      </w:r>
      <w:r w:rsidR="00092B0B" w:rsidRPr="00092B0B">
        <w:rPr>
          <w:rFonts w:cs="Arial"/>
        </w:rPr>
        <w:t>1</w:t>
      </w:r>
      <w:r w:rsidRPr="00092B0B">
        <w:rPr>
          <w:rFonts w:cs="Arial"/>
        </w:rPr>
        <w:t>%</w:t>
      </w:r>
      <w:r w:rsidR="00670493">
        <w:rPr>
          <w:rFonts w:cs="Arial"/>
        </w:rPr>
        <w:t>, la Mauritanie est le 11</w:t>
      </w:r>
      <w:r w:rsidR="00670493" w:rsidRPr="00670493">
        <w:rPr>
          <w:rFonts w:cs="Arial"/>
          <w:vertAlign w:val="superscript"/>
        </w:rPr>
        <w:t>ème</w:t>
      </w:r>
      <w:r w:rsidR="00670493">
        <w:rPr>
          <w:rFonts w:cs="Arial"/>
        </w:rPr>
        <w:t xml:space="preserve"> client du Maroc qui exporte principalement des fruits et légumes 34,0%, des produits d’épicerie 17,7% et des </w:t>
      </w:r>
      <w:r w:rsidR="00D340F3">
        <w:rPr>
          <w:rFonts w:cs="Arial"/>
        </w:rPr>
        <w:t>produits de la mer 12,5%</w:t>
      </w:r>
      <w:r w:rsidRPr="00092B0B">
        <w:rPr>
          <w:rFonts w:cs="Arial"/>
        </w:rPr>
        <w:t xml:space="preserve">), </w:t>
      </w:r>
      <w:r w:rsidR="00092B0B" w:rsidRPr="00092B0B">
        <w:rPr>
          <w:rFonts w:cs="Arial"/>
        </w:rPr>
        <w:t xml:space="preserve">la France </w:t>
      </w:r>
      <w:r w:rsidRPr="00092B0B">
        <w:rPr>
          <w:rFonts w:cs="Arial"/>
        </w:rPr>
        <w:t>(</w:t>
      </w:r>
      <w:r w:rsidR="00092B0B" w:rsidRPr="00092B0B">
        <w:rPr>
          <w:rFonts w:cs="Arial"/>
        </w:rPr>
        <w:t>9,5</w:t>
      </w:r>
      <w:r w:rsidRPr="00092B0B">
        <w:rPr>
          <w:rFonts w:cs="Arial"/>
        </w:rPr>
        <w:t>%, +</w:t>
      </w:r>
      <w:r w:rsidR="00092B0B" w:rsidRPr="00092B0B">
        <w:rPr>
          <w:rFonts w:cs="Arial"/>
        </w:rPr>
        <w:t>26,5</w:t>
      </w:r>
      <w:r w:rsidRPr="00092B0B">
        <w:rPr>
          <w:rFonts w:cs="Arial"/>
        </w:rPr>
        <w:t xml:space="preserve">%), </w:t>
      </w:r>
      <w:r w:rsidR="00092B0B" w:rsidRPr="00092B0B">
        <w:rPr>
          <w:rFonts w:cs="Arial"/>
        </w:rPr>
        <w:t xml:space="preserve">la Malaisie </w:t>
      </w:r>
      <w:r w:rsidRPr="00092B0B">
        <w:rPr>
          <w:rFonts w:cs="Arial"/>
        </w:rPr>
        <w:t>(</w:t>
      </w:r>
      <w:r w:rsidR="00092B0B" w:rsidRPr="00092B0B">
        <w:rPr>
          <w:rFonts w:cs="Arial"/>
        </w:rPr>
        <w:t>6,4</w:t>
      </w:r>
      <w:r w:rsidRPr="00092B0B">
        <w:rPr>
          <w:rFonts w:cs="Arial"/>
        </w:rPr>
        <w:t xml:space="preserve">%, </w:t>
      </w:r>
      <w:r w:rsidR="00092B0B" w:rsidRPr="00092B0B">
        <w:rPr>
          <w:rFonts w:cs="Arial"/>
        </w:rPr>
        <w:t>-16,6%</w:t>
      </w:r>
      <w:r w:rsidR="00D340F3">
        <w:rPr>
          <w:rFonts w:cs="Arial"/>
        </w:rPr>
        <w:t xml:space="preserve">, l’huile de palme </w:t>
      </w:r>
      <w:r w:rsidR="00D340F3">
        <w:rPr>
          <w:rFonts w:cs="Arial"/>
        </w:rPr>
        <w:lastRenderedPageBreak/>
        <w:t>représentant 93,3% des exportations malaisiennes</w:t>
      </w:r>
      <w:r w:rsidRPr="00092B0B">
        <w:rPr>
          <w:rFonts w:cs="Arial"/>
        </w:rPr>
        <w:t>), la Chine (</w:t>
      </w:r>
      <w:r w:rsidR="00092B0B" w:rsidRPr="00092B0B">
        <w:rPr>
          <w:rFonts w:cs="Arial"/>
        </w:rPr>
        <w:t>6,0</w:t>
      </w:r>
      <w:r w:rsidRPr="00092B0B">
        <w:rPr>
          <w:rFonts w:cs="Arial"/>
        </w:rPr>
        <w:t>%, +6,</w:t>
      </w:r>
      <w:r w:rsidR="00092B0B" w:rsidRPr="00092B0B">
        <w:rPr>
          <w:rFonts w:cs="Arial"/>
        </w:rPr>
        <w:t>0</w:t>
      </w:r>
      <w:r w:rsidRPr="00092B0B">
        <w:rPr>
          <w:rFonts w:cs="Arial"/>
        </w:rPr>
        <w:t xml:space="preserve">%, </w:t>
      </w:r>
      <w:r w:rsidR="00923BD2" w:rsidRPr="00923BD2">
        <w:rPr>
          <w:rFonts w:cs="Arial"/>
        </w:rPr>
        <w:t>80,9</w:t>
      </w:r>
      <w:r w:rsidRPr="00923BD2">
        <w:rPr>
          <w:rFonts w:cs="Arial"/>
        </w:rPr>
        <w:t xml:space="preserve">% de </w:t>
      </w:r>
      <w:r w:rsidR="00923BD2" w:rsidRPr="00923BD2">
        <w:rPr>
          <w:rFonts w:cs="Arial"/>
        </w:rPr>
        <w:t>thé</w:t>
      </w:r>
      <w:r w:rsidRPr="008B6172">
        <w:rPr>
          <w:rFonts w:cs="Arial"/>
        </w:rPr>
        <w:t>),</w:t>
      </w:r>
      <w:r w:rsidR="00092B0B" w:rsidRPr="008B6172">
        <w:rPr>
          <w:rFonts w:cs="Arial"/>
        </w:rPr>
        <w:t xml:space="preserve"> les Pays-Bas (5,7%, -8,9%</w:t>
      </w:r>
      <w:r w:rsidR="00923BD2">
        <w:rPr>
          <w:rFonts w:cs="Arial"/>
        </w:rPr>
        <w:t xml:space="preserve">, 49,4% </w:t>
      </w:r>
      <w:bookmarkStart w:id="19" w:name="_Hlk216344196"/>
      <w:r w:rsidR="00923BD2">
        <w:rPr>
          <w:rFonts w:cs="Arial"/>
        </w:rPr>
        <w:t>de préparations alimentaires à base de farine</w:t>
      </w:r>
      <w:bookmarkEnd w:id="19"/>
      <w:r w:rsidR="00923BD2">
        <w:rPr>
          <w:rFonts w:cs="Arial"/>
        </w:rPr>
        <w:t>, 29,5% d’oignons, 11,6% de pomme de terre</w:t>
      </w:r>
      <w:r w:rsidR="00092B0B" w:rsidRPr="008B6172">
        <w:rPr>
          <w:rFonts w:cs="Arial"/>
        </w:rPr>
        <w:t>),</w:t>
      </w:r>
      <w:r w:rsidRPr="008B6172">
        <w:rPr>
          <w:rFonts w:cs="Arial"/>
        </w:rPr>
        <w:t xml:space="preserve"> l’Ind</w:t>
      </w:r>
      <w:r w:rsidR="00092B0B" w:rsidRPr="008B6172">
        <w:rPr>
          <w:rFonts w:cs="Arial"/>
        </w:rPr>
        <w:t>onésie</w:t>
      </w:r>
      <w:r w:rsidRPr="008B6172">
        <w:rPr>
          <w:rFonts w:cs="Arial"/>
        </w:rPr>
        <w:t xml:space="preserve"> (</w:t>
      </w:r>
      <w:r w:rsidR="008B6172" w:rsidRPr="008B6172">
        <w:rPr>
          <w:rFonts w:cs="Arial"/>
        </w:rPr>
        <w:t>5,1%</w:t>
      </w:r>
      <w:r w:rsidRPr="008B6172">
        <w:rPr>
          <w:rFonts w:cs="Arial"/>
        </w:rPr>
        <w:t xml:space="preserve">%, </w:t>
      </w:r>
      <w:r w:rsidR="008B6172" w:rsidRPr="008B6172">
        <w:rPr>
          <w:rFonts w:cs="Arial"/>
        </w:rPr>
        <w:t>-46,8</w:t>
      </w:r>
      <w:r w:rsidRPr="00923BD2">
        <w:rPr>
          <w:rFonts w:cs="Arial"/>
        </w:rPr>
        <w:t>, 9</w:t>
      </w:r>
      <w:r w:rsidR="00923BD2" w:rsidRPr="00923BD2">
        <w:rPr>
          <w:rFonts w:cs="Arial"/>
        </w:rPr>
        <w:t>8</w:t>
      </w:r>
      <w:r w:rsidRPr="00923BD2">
        <w:rPr>
          <w:rFonts w:cs="Arial"/>
        </w:rPr>
        <w:t>,</w:t>
      </w:r>
      <w:r w:rsidR="00923BD2" w:rsidRPr="00923BD2">
        <w:rPr>
          <w:rFonts w:cs="Arial"/>
        </w:rPr>
        <w:t>5</w:t>
      </w:r>
      <w:r w:rsidRPr="00923BD2">
        <w:rPr>
          <w:rFonts w:cs="Arial"/>
        </w:rPr>
        <w:t>% d</w:t>
      </w:r>
      <w:r w:rsidR="00923BD2" w:rsidRPr="00923BD2">
        <w:rPr>
          <w:rFonts w:cs="Arial"/>
        </w:rPr>
        <w:t>’huile de palme</w:t>
      </w:r>
      <w:r w:rsidRPr="00923BD2">
        <w:rPr>
          <w:rFonts w:cs="Arial"/>
        </w:rPr>
        <w:t xml:space="preserve">), </w:t>
      </w:r>
      <w:r w:rsidR="008B6172" w:rsidRPr="008B6172">
        <w:rPr>
          <w:rFonts w:cs="Arial"/>
        </w:rPr>
        <w:t xml:space="preserve">l’Espagne </w:t>
      </w:r>
      <w:r w:rsidRPr="008B6172">
        <w:rPr>
          <w:rFonts w:cs="Arial"/>
        </w:rPr>
        <w:t>(</w:t>
      </w:r>
      <w:r w:rsidR="008B6172" w:rsidRPr="008B6172">
        <w:rPr>
          <w:rFonts w:cs="Arial"/>
        </w:rPr>
        <w:t>4</w:t>
      </w:r>
      <w:r w:rsidRPr="008B6172">
        <w:rPr>
          <w:rFonts w:cs="Arial"/>
        </w:rPr>
        <w:t>,</w:t>
      </w:r>
      <w:r w:rsidR="008B6172" w:rsidRPr="008B6172">
        <w:rPr>
          <w:rFonts w:cs="Arial"/>
        </w:rPr>
        <w:t>2</w:t>
      </w:r>
      <w:r w:rsidRPr="008B6172">
        <w:rPr>
          <w:rFonts w:cs="Arial"/>
        </w:rPr>
        <w:t>%, +</w:t>
      </w:r>
      <w:r w:rsidR="008B6172" w:rsidRPr="008B6172">
        <w:rPr>
          <w:rFonts w:cs="Arial"/>
        </w:rPr>
        <w:t>20,3</w:t>
      </w:r>
      <w:r w:rsidRPr="008B6172">
        <w:rPr>
          <w:rFonts w:cs="Arial"/>
        </w:rPr>
        <w:t>%</w:t>
      </w:r>
      <w:r w:rsidR="008E7400">
        <w:rPr>
          <w:rFonts w:cs="Arial"/>
        </w:rPr>
        <w:t>, 39,9% de produits d’épicerie, 17,0% de fruits et légumes, 12,7% de céréales</w:t>
      </w:r>
      <w:r w:rsidRPr="008B6172">
        <w:rPr>
          <w:rFonts w:cs="Arial"/>
        </w:rPr>
        <w:t>), l</w:t>
      </w:r>
      <w:r w:rsidR="008B6172" w:rsidRPr="008B6172">
        <w:rPr>
          <w:rFonts w:cs="Arial"/>
        </w:rPr>
        <w:t>es Etats-Unis</w:t>
      </w:r>
      <w:r w:rsidRPr="008B6172">
        <w:rPr>
          <w:rFonts w:cs="Arial"/>
        </w:rPr>
        <w:t xml:space="preserve"> (</w:t>
      </w:r>
      <w:r w:rsidR="008B6172" w:rsidRPr="008B6172">
        <w:rPr>
          <w:rFonts w:cs="Arial"/>
        </w:rPr>
        <w:t>4,1</w:t>
      </w:r>
      <w:r w:rsidRPr="008B6172">
        <w:rPr>
          <w:rFonts w:cs="Arial"/>
        </w:rPr>
        <w:t xml:space="preserve">%, </w:t>
      </w:r>
      <w:r w:rsidR="008B6172" w:rsidRPr="008B6172">
        <w:rPr>
          <w:rFonts w:cs="Arial"/>
        </w:rPr>
        <w:t>+86,0</w:t>
      </w:r>
      <w:r w:rsidRPr="008B6172">
        <w:rPr>
          <w:rFonts w:cs="Arial"/>
        </w:rPr>
        <w:t>%</w:t>
      </w:r>
      <w:r w:rsidR="008E7400">
        <w:rPr>
          <w:rFonts w:cs="Arial"/>
        </w:rPr>
        <w:t xml:space="preserve">, </w:t>
      </w:r>
      <w:r w:rsidR="00733AFD">
        <w:rPr>
          <w:rFonts w:cs="Arial"/>
        </w:rPr>
        <w:t>69,4% de viandes et 15,5% de blé</w:t>
      </w:r>
      <w:r w:rsidRPr="008B6172">
        <w:rPr>
          <w:rFonts w:cs="Arial"/>
        </w:rPr>
        <w:t xml:space="preserve">) et </w:t>
      </w:r>
      <w:r w:rsidR="008B6172" w:rsidRPr="008B6172">
        <w:rPr>
          <w:rFonts w:cs="Arial"/>
        </w:rPr>
        <w:t xml:space="preserve">l’Allemagne </w:t>
      </w:r>
      <w:r w:rsidRPr="008B6172">
        <w:rPr>
          <w:rFonts w:cs="Arial"/>
        </w:rPr>
        <w:t>(</w:t>
      </w:r>
      <w:r w:rsidR="008B6172" w:rsidRPr="008B6172">
        <w:rPr>
          <w:rFonts w:cs="Arial"/>
        </w:rPr>
        <w:t>3,9</w:t>
      </w:r>
      <w:r w:rsidRPr="008B6172">
        <w:rPr>
          <w:rFonts w:cs="Arial"/>
        </w:rPr>
        <w:t>%,+1</w:t>
      </w:r>
      <w:r w:rsidR="008B6172" w:rsidRPr="008B6172">
        <w:rPr>
          <w:rFonts w:cs="Arial"/>
        </w:rPr>
        <w:t>2</w:t>
      </w:r>
      <w:r w:rsidRPr="008B6172">
        <w:rPr>
          <w:rFonts w:cs="Arial"/>
        </w:rPr>
        <w:t>,</w:t>
      </w:r>
      <w:r w:rsidR="008B6172" w:rsidRPr="008B6172">
        <w:rPr>
          <w:rFonts w:cs="Arial"/>
        </w:rPr>
        <w:t>3</w:t>
      </w:r>
      <w:r w:rsidRPr="008B6172">
        <w:rPr>
          <w:rFonts w:cs="Arial"/>
        </w:rPr>
        <w:t>%</w:t>
      </w:r>
      <w:r w:rsidR="00733AFD">
        <w:rPr>
          <w:rFonts w:cs="Arial"/>
        </w:rPr>
        <w:t>, 54,5% de blé, 21,2% de lait et 18,2%</w:t>
      </w:r>
      <w:r w:rsidR="00733AFD" w:rsidRPr="00733AFD">
        <w:rPr>
          <w:rFonts w:cs="Arial"/>
        </w:rPr>
        <w:t xml:space="preserve"> </w:t>
      </w:r>
      <w:r w:rsidR="00733AFD">
        <w:rPr>
          <w:rFonts w:cs="Arial"/>
        </w:rPr>
        <w:t>de préparations alimentaires à base de farine</w:t>
      </w:r>
      <w:r w:rsidRPr="008B6172">
        <w:rPr>
          <w:rFonts w:cs="Arial"/>
        </w:rPr>
        <w:t>).</w:t>
      </w:r>
      <w:bookmarkStart w:id="20" w:name="_Hlk211612789"/>
    </w:p>
    <w:p w14:paraId="7755DB1C" w14:textId="761739DC" w:rsidR="004072F7" w:rsidRDefault="006D66B2" w:rsidP="00474F86">
      <w:pPr>
        <w:spacing w:after="0"/>
        <w:rPr>
          <w:rFonts w:cs="Arial"/>
        </w:rPr>
      </w:pPr>
      <w:r>
        <w:rPr>
          <w:rFonts w:cs="Arial"/>
        </w:rPr>
        <w:t>L</w:t>
      </w:r>
      <w:r w:rsidR="009A36E6">
        <w:rPr>
          <w:rFonts w:cs="Arial"/>
        </w:rPr>
        <w:t>es principaux produits agricoles et agroalimentaires exportés</w:t>
      </w:r>
      <w:r w:rsidR="00FE28DC">
        <w:rPr>
          <w:rFonts w:cs="Arial"/>
        </w:rPr>
        <w:t xml:space="preserve"> en 2024</w:t>
      </w:r>
      <w:r w:rsidR="009A36E6">
        <w:rPr>
          <w:rFonts w:cs="Arial"/>
        </w:rPr>
        <w:t xml:space="preserve"> à destination de la Mauritanie</w:t>
      </w:r>
      <w:r>
        <w:rPr>
          <w:rFonts w:cs="Arial"/>
        </w:rPr>
        <w:t xml:space="preserve"> sont</w:t>
      </w:r>
      <w:r w:rsidR="009A36E6">
        <w:rPr>
          <w:rFonts w:cs="Arial"/>
        </w:rPr>
        <w:t> :</w:t>
      </w:r>
    </w:p>
    <w:p w14:paraId="3DC159CB" w14:textId="6BF03E36" w:rsidR="004072F7" w:rsidRDefault="004072F7" w:rsidP="004072F7">
      <w:pPr>
        <w:pStyle w:val="Paragraphedeliste"/>
        <w:numPr>
          <w:ilvl w:val="0"/>
          <w:numId w:val="33"/>
        </w:numPr>
        <w:spacing w:after="0"/>
        <w:rPr>
          <w:rFonts w:cs="Arial"/>
        </w:rPr>
      </w:pPr>
      <w:r w:rsidRPr="00507A74">
        <w:rPr>
          <w:rFonts w:cs="Arial"/>
          <w:b/>
          <w:bCs/>
        </w:rPr>
        <w:t>Sucre</w:t>
      </w:r>
      <w:r w:rsidR="00291D20" w:rsidRPr="00507A74">
        <w:rPr>
          <w:rFonts w:cs="Arial"/>
          <w:b/>
          <w:bCs/>
        </w:rPr>
        <w:t xml:space="preserve"> </w:t>
      </w:r>
      <w:r w:rsidR="00291D20">
        <w:rPr>
          <w:rFonts w:cs="Arial"/>
        </w:rPr>
        <w:t xml:space="preserve">(20,6% des </w:t>
      </w:r>
      <w:r w:rsidR="00291D20" w:rsidRPr="004072F7">
        <w:rPr>
          <w:rFonts w:cs="Arial"/>
        </w:rPr>
        <w:t xml:space="preserve">exportations </w:t>
      </w:r>
      <w:r w:rsidR="00291D20">
        <w:rPr>
          <w:rFonts w:cs="Arial"/>
        </w:rPr>
        <w:t xml:space="preserve">en valeur </w:t>
      </w:r>
      <w:r w:rsidR="00291D20" w:rsidRPr="004072F7">
        <w:rPr>
          <w:rFonts w:cs="Arial"/>
        </w:rPr>
        <w:t>à destination de la Mauritanie</w:t>
      </w:r>
      <w:r w:rsidR="00291D20">
        <w:rPr>
          <w:rFonts w:cs="Arial"/>
        </w:rPr>
        <w:t>)</w:t>
      </w:r>
      <w:r w:rsidR="009A36E6">
        <w:rPr>
          <w:rFonts w:cs="Arial"/>
        </w:rPr>
        <w:t xml:space="preserve"> : </w:t>
      </w:r>
      <w:r w:rsidR="009A36E6" w:rsidRPr="009A36E6">
        <w:rPr>
          <w:rFonts w:cs="Arial"/>
        </w:rPr>
        <w:t xml:space="preserve">les exportations de </w:t>
      </w:r>
      <w:r w:rsidR="009A36E6">
        <w:rPr>
          <w:rFonts w:cs="Arial"/>
        </w:rPr>
        <w:t xml:space="preserve">sucre </w:t>
      </w:r>
      <w:r w:rsidR="009A36E6" w:rsidRPr="009A36E6">
        <w:rPr>
          <w:rFonts w:cs="Arial"/>
        </w:rPr>
        <w:t xml:space="preserve">à destination de la Mauritanie se sont élevées à </w:t>
      </w:r>
      <w:r w:rsidR="00F857AD">
        <w:rPr>
          <w:rFonts w:cs="Arial"/>
        </w:rPr>
        <w:t>506</w:t>
      </w:r>
      <w:r w:rsidR="009A36E6" w:rsidRPr="009A36E6">
        <w:rPr>
          <w:rFonts w:cs="Arial"/>
        </w:rPr>
        <w:t xml:space="preserve"> 000 tonnes en 2024 en hausse de +</w:t>
      </w:r>
      <w:r w:rsidR="00F857AD">
        <w:rPr>
          <w:rFonts w:cs="Arial"/>
        </w:rPr>
        <w:t>11,4</w:t>
      </w:r>
      <w:r w:rsidR="009A36E6" w:rsidRPr="009A36E6">
        <w:rPr>
          <w:rFonts w:cs="Arial"/>
        </w:rPr>
        <w:t>% ;</w:t>
      </w:r>
      <w:r w:rsidR="00F857AD">
        <w:rPr>
          <w:rFonts w:cs="Arial"/>
        </w:rPr>
        <w:t xml:space="preserve"> le sucre provient essentiellement du Brésil (82,2%, +25,8%) ; les autres provenances en particulier de l’Union européenne pèsent pour moins de 5% comme la Pologne (3,8%) ou la France (3,0%).</w:t>
      </w:r>
    </w:p>
    <w:p w14:paraId="66EAC1EE" w14:textId="515516ED" w:rsidR="00474F86" w:rsidRDefault="004072F7" w:rsidP="004072F7">
      <w:pPr>
        <w:pStyle w:val="Paragraphedeliste"/>
        <w:numPr>
          <w:ilvl w:val="0"/>
          <w:numId w:val="33"/>
        </w:numPr>
        <w:spacing w:after="0"/>
        <w:rPr>
          <w:rFonts w:cs="Arial"/>
        </w:rPr>
      </w:pPr>
      <w:r w:rsidRPr="00507A74">
        <w:rPr>
          <w:rFonts w:cs="Arial"/>
          <w:b/>
          <w:bCs/>
        </w:rPr>
        <w:t>Blé</w:t>
      </w:r>
      <w:r w:rsidR="005C52C6">
        <w:rPr>
          <w:rFonts w:cs="Arial"/>
          <w:b/>
          <w:bCs/>
        </w:rPr>
        <w:t xml:space="preserve"> tendre</w:t>
      </w:r>
      <w:r>
        <w:rPr>
          <w:rFonts w:cs="Arial"/>
        </w:rPr>
        <w:t xml:space="preserve"> (16,4%) : </w:t>
      </w:r>
      <w:bookmarkStart w:id="21" w:name="_Hlk216365597"/>
      <w:r>
        <w:rPr>
          <w:rFonts w:cs="Arial"/>
        </w:rPr>
        <w:t>l</w:t>
      </w:r>
      <w:r w:rsidR="00AC0126" w:rsidRPr="004072F7">
        <w:rPr>
          <w:rFonts w:cs="Arial"/>
        </w:rPr>
        <w:t>es exportations de blé à destination de la Mauritanie se sont élevées à 950 000 tonnes en 2024 en hausse de +50,5%</w:t>
      </w:r>
      <w:r>
        <w:rPr>
          <w:rFonts w:cs="Arial"/>
        </w:rPr>
        <w:t xml:space="preserve"> ; </w:t>
      </w:r>
      <w:bookmarkEnd w:id="21"/>
      <w:r>
        <w:rPr>
          <w:rFonts w:cs="Arial"/>
        </w:rPr>
        <w:t>l</w:t>
      </w:r>
      <w:r w:rsidR="00AC0126" w:rsidRPr="004072F7">
        <w:rPr>
          <w:rFonts w:cs="Arial"/>
        </w:rPr>
        <w:t>e blé provient principalement de France (34,2%, +91,4%)</w:t>
      </w:r>
      <w:r w:rsidR="00A55793" w:rsidRPr="004072F7">
        <w:rPr>
          <w:rFonts w:cs="Arial"/>
        </w:rPr>
        <w:t xml:space="preserve"> et d’autres pays de l’Union européenne comme</w:t>
      </w:r>
      <w:r w:rsidR="00AC0126" w:rsidRPr="004072F7">
        <w:rPr>
          <w:rFonts w:cs="Arial"/>
        </w:rPr>
        <w:t xml:space="preserve"> </w:t>
      </w:r>
      <w:r w:rsidR="00A55793" w:rsidRPr="004072F7">
        <w:rPr>
          <w:rFonts w:cs="Arial"/>
        </w:rPr>
        <w:t>la</w:t>
      </w:r>
      <w:r w:rsidR="00AC0126" w:rsidRPr="004072F7">
        <w:rPr>
          <w:rFonts w:cs="Arial"/>
        </w:rPr>
        <w:t xml:space="preserve"> Roumanie </w:t>
      </w:r>
      <w:r w:rsidR="00A55793" w:rsidRPr="004072F7">
        <w:rPr>
          <w:rFonts w:cs="Arial"/>
        </w:rPr>
        <w:t>(23,1%, +25,7%), l’Allemagne (13,7%, +91,2%) ou la Pologne (6,4%, -32,2%)</w:t>
      </w:r>
      <w:r>
        <w:rPr>
          <w:rFonts w:cs="Arial"/>
        </w:rPr>
        <w:t> ; l</w:t>
      </w:r>
      <w:r w:rsidR="00A55793" w:rsidRPr="004072F7">
        <w:rPr>
          <w:rFonts w:cs="Arial"/>
        </w:rPr>
        <w:t>a forte hausse de la demande mauritanienne en 2024 a entraîné une diversification des provenances, principalement d’Argentine (6,9%) et des Etats-Unis (5,8%)</w:t>
      </w:r>
      <w:r>
        <w:rPr>
          <w:rFonts w:cs="Arial"/>
        </w:rPr>
        <w:t> ; l</w:t>
      </w:r>
      <w:r w:rsidR="00AE3D41" w:rsidRPr="004072F7">
        <w:rPr>
          <w:rFonts w:cs="Arial"/>
        </w:rPr>
        <w:t>es exportations de riz à destination de la Mauritanie apparaissent limitées autour de 30 000 à 35 000 tonnes en provenance principalement d’Inde ou de Thaïlande.</w:t>
      </w:r>
    </w:p>
    <w:p w14:paraId="668CE9EA" w14:textId="2CB471DF" w:rsidR="00507A74" w:rsidRDefault="00507A74" w:rsidP="004072F7">
      <w:pPr>
        <w:pStyle w:val="Paragraphedeliste"/>
        <w:numPr>
          <w:ilvl w:val="0"/>
          <w:numId w:val="33"/>
        </w:numPr>
        <w:spacing w:after="0"/>
        <w:rPr>
          <w:rFonts w:cs="Arial"/>
        </w:rPr>
      </w:pPr>
      <w:r>
        <w:rPr>
          <w:rFonts w:cs="Arial"/>
          <w:b/>
          <w:bCs/>
        </w:rPr>
        <w:t>Huile de palme</w:t>
      </w:r>
      <w:r w:rsidR="0024391C">
        <w:rPr>
          <w:rFonts w:cs="Arial"/>
          <w:b/>
          <w:bCs/>
        </w:rPr>
        <w:t xml:space="preserve"> </w:t>
      </w:r>
      <w:r w:rsidR="0024391C" w:rsidRPr="00D16088">
        <w:rPr>
          <w:rFonts w:cs="Arial"/>
        </w:rPr>
        <w:t>(10,9%)</w:t>
      </w:r>
      <w:r>
        <w:rPr>
          <w:rFonts w:cs="Arial"/>
          <w:b/>
          <w:bCs/>
        </w:rPr>
        <w:t xml:space="preserve"> : </w:t>
      </w:r>
      <w:r w:rsidRPr="0024391C">
        <w:rPr>
          <w:rFonts w:cs="Arial"/>
        </w:rPr>
        <w:t xml:space="preserve">les exportations d’huile de palme à destination de la Mauritanie se sont élevées à </w:t>
      </w:r>
      <w:r w:rsidR="0024391C" w:rsidRPr="0024391C">
        <w:rPr>
          <w:rFonts w:cs="Arial"/>
        </w:rPr>
        <w:t>137 000 tonnes en 2024 en baisse de -38,5% ; l’huile de palme provient essentiellement de Malaisie (52,8%, -21,5%) et d’Indonésie (47,2%, -49,9%).</w:t>
      </w:r>
    </w:p>
    <w:p w14:paraId="21814D6F" w14:textId="2F4E0C15" w:rsidR="00FE28DC" w:rsidRDefault="00FE28DC" w:rsidP="004072F7">
      <w:pPr>
        <w:pStyle w:val="Paragraphedeliste"/>
        <w:numPr>
          <w:ilvl w:val="0"/>
          <w:numId w:val="33"/>
        </w:numPr>
        <w:spacing w:after="0"/>
        <w:rPr>
          <w:rFonts w:cs="Arial"/>
        </w:rPr>
      </w:pPr>
      <w:r>
        <w:rPr>
          <w:rFonts w:cs="Arial"/>
          <w:b/>
          <w:bCs/>
        </w:rPr>
        <w:t xml:space="preserve">Préparations à base de farine </w:t>
      </w:r>
      <w:r w:rsidR="001C5E1A">
        <w:rPr>
          <w:rFonts w:cs="Arial"/>
          <w:b/>
          <w:bCs/>
        </w:rPr>
        <w:t>et/</w:t>
      </w:r>
      <w:r>
        <w:rPr>
          <w:rFonts w:cs="Arial"/>
          <w:b/>
          <w:bCs/>
        </w:rPr>
        <w:t xml:space="preserve">ou de lait - SH 19 </w:t>
      </w:r>
      <w:r w:rsidRPr="00FE28DC">
        <w:rPr>
          <w:rFonts w:cs="Arial"/>
        </w:rPr>
        <w:t>(10,5%)</w:t>
      </w:r>
      <w:r>
        <w:rPr>
          <w:rFonts w:cs="Arial"/>
        </w:rPr>
        <w:t xml:space="preserve"> : </w:t>
      </w:r>
      <w:r w:rsidR="001C5E1A">
        <w:rPr>
          <w:rFonts w:cs="Arial"/>
        </w:rPr>
        <w:t>l</w:t>
      </w:r>
      <w:r>
        <w:rPr>
          <w:rFonts w:cs="Arial"/>
        </w:rPr>
        <w:t xml:space="preserve">es </w:t>
      </w:r>
      <w:r w:rsidR="001C5E1A">
        <w:rPr>
          <w:rFonts w:cs="Arial"/>
        </w:rPr>
        <w:t xml:space="preserve">pays de provenance de ces </w:t>
      </w:r>
      <w:r>
        <w:rPr>
          <w:rFonts w:cs="Arial"/>
        </w:rPr>
        <w:t xml:space="preserve">préparations </w:t>
      </w:r>
      <w:r w:rsidR="001C5E1A">
        <w:rPr>
          <w:rFonts w:cs="Arial"/>
        </w:rPr>
        <w:t>sont essentiellement de l’Union européenne</w:t>
      </w:r>
      <w:r w:rsidR="00432B8D">
        <w:rPr>
          <w:rFonts w:cs="Arial"/>
        </w:rPr>
        <w:t xml:space="preserve">, les </w:t>
      </w:r>
      <w:r>
        <w:rPr>
          <w:rFonts w:cs="Arial"/>
        </w:rPr>
        <w:t>Pays-Bas (27,0%, +11,8%)</w:t>
      </w:r>
      <w:r w:rsidR="00432B8D">
        <w:rPr>
          <w:rFonts w:cs="Arial"/>
        </w:rPr>
        <w:t xml:space="preserve"> étant le 1</w:t>
      </w:r>
      <w:r w:rsidR="00432B8D" w:rsidRPr="00432B8D">
        <w:rPr>
          <w:rFonts w:cs="Arial"/>
          <w:vertAlign w:val="superscript"/>
        </w:rPr>
        <w:t>er</w:t>
      </w:r>
      <w:r w:rsidR="00432B8D">
        <w:rPr>
          <w:rFonts w:cs="Arial"/>
        </w:rPr>
        <w:t xml:space="preserve"> fournisseur devant sept pays avec des parts de marché entre 5 et 10%</w:t>
      </w:r>
      <w:r w:rsidR="001C5E1A">
        <w:rPr>
          <w:rFonts w:cs="Arial"/>
        </w:rPr>
        <w:t>, Pologne</w:t>
      </w:r>
      <w:r>
        <w:rPr>
          <w:rFonts w:cs="Arial"/>
        </w:rPr>
        <w:t xml:space="preserve"> (10,9%, +10,9%)</w:t>
      </w:r>
      <w:r w:rsidR="001C5E1A">
        <w:rPr>
          <w:rFonts w:cs="Arial"/>
        </w:rPr>
        <w:t>, Irlande (</w:t>
      </w:r>
      <w:r>
        <w:rPr>
          <w:rFonts w:cs="Arial"/>
        </w:rPr>
        <w:t>9,6%, +116,7%)</w:t>
      </w:r>
      <w:r w:rsidR="001C5E1A">
        <w:rPr>
          <w:rFonts w:cs="Arial"/>
        </w:rPr>
        <w:t>, France (9,0%, +8,5%), Maroc (8,3%, +37,2%), Espagne (8,0%, +14,0%), Allemagne (6,9%, +142,8%), Turquie (5,4%, +45,2%)</w:t>
      </w:r>
      <w:r w:rsidR="00432B8D">
        <w:rPr>
          <w:rFonts w:cs="Arial"/>
        </w:rPr>
        <w:t>.</w:t>
      </w:r>
    </w:p>
    <w:p w14:paraId="0E21E592" w14:textId="0D3D1D6C" w:rsidR="00432B8D" w:rsidRPr="0024391C" w:rsidRDefault="00B01368" w:rsidP="004072F7">
      <w:pPr>
        <w:pStyle w:val="Paragraphedeliste"/>
        <w:numPr>
          <w:ilvl w:val="0"/>
          <w:numId w:val="33"/>
        </w:numPr>
        <w:spacing w:after="0"/>
        <w:rPr>
          <w:rFonts w:cs="Arial"/>
        </w:rPr>
      </w:pPr>
      <w:r w:rsidRPr="006D66B2">
        <w:rPr>
          <w:rFonts w:cs="Arial"/>
          <w:b/>
          <w:bCs/>
        </w:rPr>
        <w:t>Viande de volaille</w:t>
      </w:r>
      <w:r>
        <w:rPr>
          <w:rFonts w:cs="Arial"/>
        </w:rPr>
        <w:t xml:space="preserve"> (5,8%) : les pays de provenance sont essentiellement les Etats-Unis (49,5%, +35,4%), la Turquie (25,0%, +7,7%), le Brésil (19,7%, +12,1%) ; les principaux pays européens fournisseurs sont la Pologne (2,3% de part de marché) et l’Ukraine</w:t>
      </w:r>
      <w:r w:rsidR="006D66B2">
        <w:rPr>
          <w:rFonts w:cs="Arial"/>
        </w:rPr>
        <w:t xml:space="preserve"> (1,7%)</w:t>
      </w:r>
      <w:r>
        <w:rPr>
          <w:rFonts w:cs="Arial"/>
        </w:rPr>
        <w:t>.</w:t>
      </w:r>
    </w:p>
    <w:bookmarkEnd w:id="20"/>
    <w:p w14:paraId="571EA319" w14:textId="77777777" w:rsidR="00474F86" w:rsidRPr="000A2ACD" w:rsidRDefault="00474F86" w:rsidP="00474F86">
      <w:pPr>
        <w:spacing w:after="0"/>
        <w:rPr>
          <w:rFonts w:cs="Arial"/>
          <w:highlight w:val="yellow"/>
        </w:rPr>
      </w:pPr>
    </w:p>
    <w:p w14:paraId="4D63D58A" w14:textId="7116A988" w:rsidR="00474F86" w:rsidRPr="00BC3F87" w:rsidRDefault="00474F86" w:rsidP="00474F86">
      <w:pPr>
        <w:spacing w:after="0"/>
        <w:rPr>
          <w:sz w:val="22"/>
          <w:szCs w:val="22"/>
        </w:rPr>
      </w:pPr>
      <w:r w:rsidRPr="00BC3F87">
        <w:rPr>
          <w:rFonts w:cs="Arial"/>
          <w:b/>
          <w:bCs/>
        </w:rPr>
        <w:t>En 2024, le principal pays import</w:t>
      </w:r>
      <w:r w:rsidRPr="0068340E">
        <w:rPr>
          <w:rFonts w:cs="Arial"/>
          <w:b/>
          <w:bCs/>
        </w:rPr>
        <w:t>a</w:t>
      </w:r>
      <w:r w:rsidR="007A1E3C" w:rsidRPr="0068340E">
        <w:rPr>
          <w:rFonts w:cs="Arial"/>
          <w:b/>
          <w:bCs/>
        </w:rPr>
        <w:t>teur</w:t>
      </w:r>
      <w:r w:rsidR="007A1E3C">
        <w:rPr>
          <w:rFonts w:cs="Arial"/>
          <w:b/>
          <w:bCs/>
        </w:rPr>
        <w:t xml:space="preserve"> </w:t>
      </w:r>
      <w:r w:rsidRPr="00BC3F87">
        <w:rPr>
          <w:rFonts w:cs="Arial"/>
          <w:b/>
          <w:bCs/>
        </w:rPr>
        <w:t xml:space="preserve">des produits agricoles et agroalimentaires en provenance de </w:t>
      </w:r>
      <w:r w:rsidR="00CA42E2" w:rsidRPr="00BC3F87">
        <w:rPr>
          <w:rFonts w:cs="Arial"/>
          <w:b/>
          <w:bCs/>
        </w:rPr>
        <w:t xml:space="preserve">Mauritanie </w:t>
      </w:r>
      <w:r w:rsidRPr="00BC3F87">
        <w:rPr>
          <w:rFonts w:cs="Arial"/>
          <w:b/>
          <w:bCs/>
        </w:rPr>
        <w:t>est l’</w:t>
      </w:r>
      <w:r w:rsidR="00CA42E2" w:rsidRPr="00BC3F87">
        <w:rPr>
          <w:rFonts w:cs="Arial"/>
          <w:b/>
          <w:bCs/>
        </w:rPr>
        <w:t>Espagne</w:t>
      </w:r>
      <w:r w:rsidRPr="00BC3F87">
        <w:rPr>
          <w:rFonts w:cs="Arial"/>
        </w:rPr>
        <w:t xml:space="preserve"> (</w:t>
      </w:r>
      <w:r w:rsidR="00CA42E2" w:rsidRPr="00BC3F87">
        <w:rPr>
          <w:rFonts w:cs="Arial"/>
        </w:rPr>
        <w:t>37,3</w:t>
      </w:r>
      <w:r w:rsidRPr="00BC3F87">
        <w:rPr>
          <w:rFonts w:cs="Arial"/>
        </w:rPr>
        <w:t>% des exportations de la</w:t>
      </w:r>
      <w:r w:rsidR="00CA42E2" w:rsidRPr="00BC3F87">
        <w:rPr>
          <w:rFonts w:cs="Arial"/>
        </w:rPr>
        <w:t xml:space="preserve"> Mauritanie</w:t>
      </w:r>
      <w:r w:rsidRPr="00BC3F87">
        <w:rPr>
          <w:rFonts w:cs="Arial"/>
        </w:rPr>
        <w:t>, +</w:t>
      </w:r>
      <w:r w:rsidR="00CA42E2" w:rsidRPr="00BC3F87">
        <w:rPr>
          <w:rFonts w:cs="Arial"/>
        </w:rPr>
        <w:t>15,7</w:t>
      </w:r>
      <w:r w:rsidRPr="00BC3F87">
        <w:rPr>
          <w:rFonts w:cs="Arial"/>
        </w:rPr>
        <w:t xml:space="preserve">%) </w:t>
      </w:r>
      <w:r w:rsidR="00CA42E2" w:rsidRPr="00BC3F87">
        <w:rPr>
          <w:rFonts w:cs="Arial"/>
        </w:rPr>
        <w:t xml:space="preserve">devant la Chine </w:t>
      </w:r>
      <w:r w:rsidRPr="00BC3F87">
        <w:rPr>
          <w:rFonts w:cs="Arial"/>
        </w:rPr>
        <w:t>(</w:t>
      </w:r>
      <w:r w:rsidR="00CA42E2" w:rsidRPr="00BC3F87">
        <w:rPr>
          <w:rFonts w:cs="Arial"/>
        </w:rPr>
        <w:t>13,5</w:t>
      </w:r>
      <w:r w:rsidRPr="00BC3F87">
        <w:rPr>
          <w:rFonts w:cs="Arial"/>
        </w:rPr>
        <w:t xml:space="preserve">%, </w:t>
      </w:r>
      <w:r w:rsidR="00CA42E2" w:rsidRPr="00BC3F87">
        <w:rPr>
          <w:rFonts w:cs="Arial"/>
        </w:rPr>
        <w:t>-13,8</w:t>
      </w:r>
      <w:r w:rsidRPr="00BC3F87">
        <w:rPr>
          <w:rFonts w:cs="Arial"/>
        </w:rPr>
        <w:t>%)</w:t>
      </w:r>
      <w:r w:rsidR="00CA42E2" w:rsidRPr="00BC3F87">
        <w:rPr>
          <w:rFonts w:cs="Arial"/>
        </w:rPr>
        <w:t xml:space="preserve">, le Japon (10,2%, -13,1%), la Côte d’Ivoire (8,4%, -3,7%), le Ghana (5,9%, +23,5%), la France </w:t>
      </w:r>
      <w:r w:rsidR="00BC3F87" w:rsidRPr="00BC3F87">
        <w:rPr>
          <w:rFonts w:cs="Arial"/>
        </w:rPr>
        <w:t>(4,2%, -35,6%), la Corée du Sud (2,9%, -3,1%), la Norvège (2,7%, -67,3%), l’Italie (2,5%, +56,8%) et le Portugal (2,2, +25,3%).</w:t>
      </w:r>
    </w:p>
    <w:p w14:paraId="0A03F8B6" w14:textId="77777777" w:rsidR="00474F86" w:rsidRPr="000A2ACD" w:rsidRDefault="00474F86" w:rsidP="00474F86">
      <w:pPr>
        <w:spacing w:after="0"/>
        <w:rPr>
          <w:sz w:val="22"/>
          <w:szCs w:val="22"/>
          <w:highlight w:val="yellow"/>
        </w:rPr>
      </w:pPr>
    </w:p>
    <w:p w14:paraId="2A0DE9DD" w14:textId="47F7761B" w:rsidR="00507B13" w:rsidRPr="003D1B98" w:rsidRDefault="00474F86" w:rsidP="00474F86">
      <w:pPr>
        <w:spacing w:after="0"/>
        <w:rPr>
          <w:rFonts w:cs="Arial"/>
        </w:rPr>
      </w:pPr>
      <w:r w:rsidRPr="003D1B98">
        <w:rPr>
          <w:rFonts w:cs="Arial"/>
          <w:b/>
          <w:bCs/>
        </w:rPr>
        <w:t>L</w:t>
      </w:r>
      <w:r w:rsidR="00B27034" w:rsidRPr="003D1B98">
        <w:rPr>
          <w:rFonts w:cs="Arial"/>
          <w:b/>
          <w:bCs/>
        </w:rPr>
        <w:t xml:space="preserve">es produits de la mer </w:t>
      </w:r>
      <w:r w:rsidRPr="003D1B98">
        <w:rPr>
          <w:rFonts w:cs="Arial"/>
          <w:b/>
          <w:bCs/>
        </w:rPr>
        <w:t>représente</w:t>
      </w:r>
      <w:r w:rsidR="00B9143B" w:rsidRPr="003D1B98">
        <w:rPr>
          <w:rFonts w:cs="Arial"/>
          <w:b/>
          <w:bCs/>
        </w:rPr>
        <w:t>nt</w:t>
      </w:r>
      <w:r w:rsidRPr="003D1B98">
        <w:rPr>
          <w:rFonts w:cs="Arial"/>
          <w:b/>
          <w:bCs/>
        </w:rPr>
        <w:t xml:space="preserve"> </w:t>
      </w:r>
      <w:r w:rsidR="00CD5253" w:rsidRPr="003D1B98">
        <w:rPr>
          <w:rFonts w:cs="Arial"/>
          <w:b/>
          <w:bCs/>
        </w:rPr>
        <w:t>9</w:t>
      </w:r>
      <w:r w:rsidR="00B9143B" w:rsidRPr="003D1B98">
        <w:rPr>
          <w:rFonts w:cs="Arial"/>
          <w:b/>
          <w:bCs/>
        </w:rPr>
        <w:t>4</w:t>
      </w:r>
      <w:r w:rsidRPr="003D1B98">
        <w:rPr>
          <w:rFonts w:cs="Arial"/>
          <w:b/>
          <w:bCs/>
        </w:rPr>
        <w:t>,</w:t>
      </w:r>
      <w:r w:rsidR="00CD5253" w:rsidRPr="003D1B98">
        <w:rPr>
          <w:rFonts w:cs="Arial"/>
          <w:b/>
          <w:bCs/>
        </w:rPr>
        <w:t>1</w:t>
      </w:r>
      <w:r w:rsidRPr="003D1B98">
        <w:rPr>
          <w:rFonts w:cs="Arial"/>
          <w:b/>
          <w:bCs/>
        </w:rPr>
        <w:t>% des importations de produits agricoles en provenance de</w:t>
      </w:r>
      <w:r w:rsidR="00B9143B" w:rsidRPr="003D1B98">
        <w:rPr>
          <w:rFonts w:cs="Arial"/>
          <w:b/>
          <w:bCs/>
        </w:rPr>
        <w:t xml:space="preserve"> Mauritanie</w:t>
      </w:r>
      <w:r w:rsidRPr="003D1B98">
        <w:rPr>
          <w:rFonts w:cs="Arial"/>
          <w:b/>
          <w:bCs/>
        </w:rPr>
        <w:t>.</w:t>
      </w:r>
      <w:r w:rsidRPr="003D1B98">
        <w:rPr>
          <w:rFonts w:cs="Arial"/>
        </w:rPr>
        <w:t xml:space="preserve"> </w:t>
      </w:r>
      <w:r w:rsidR="00507B13" w:rsidRPr="003D1B98">
        <w:rPr>
          <w:rFonts w:cs="Arial"/>
        </w:rPr>
        <w:t>Parmi les produits de la mer importé</w:t>
      </w:r>
      <w:r w:rsidR="008B5005">
        <w:rPr>
          <w:rFonts w:cs="Arial"/>
        </w:rPr>
        <w:t>s</w:t>
      </w:r>
      <w:r w:rsidR="00507B13" w:rsidRPr="003D1B98">
        <w:rPr>
          <w:rFonts w:cs="Arial"/>
        </w:rPr>
        <w:t xml:space="preserve"> en provenance de Mauritanie se trouvent principalement</w:t>
      </w:r>
      <w:r w:rsidR="003D1B98">
        <w:rPr>
          <w:rFonts w:cs="Arial"/>
        </w:rPr>
        <w:t xml:space="preserve"> des</w:t>
      </w:r>
      <w:r w:rsidR="00507B13" w:rsidRPr="003D1B98">
        <w:rPr>
          <w:rFonts w:cs="Arial"/>
        </w:rPr>
        <w:t> :</w:t>
      </w:r>
    </w:p>
    <w:p w14:paraId="1751C009" w14:textId="19CD28B6" w:rsidR="00507B13" w:rsidRDefault="00507B13" w:rsidP="00507B13">
      <w:pPr>
        <w:pStyle w:val="Paragraphedeliste"/>
        <w:numPr>
          <w:ilvl w:val="0"/>
          <w:numId w:val="32"/>
        </w:numPr>
        <w:spacing w:after="0"/>
        <w:rPr>
          <w:rFonts w:cs="Arial"/>
        </w:rPr>
      </w:pPr>
      <w:proofErr w:type="gramStart"/>
      <w:r w:rsidRPr="003D1B98">
        <w:rPr>
          <w:rFonts w:cs="Arial"/>
        </w:rPr>
        <w:t>mollusques</w:t>
      </w:r>
      <w:proofErr w:type="gramEnd"/>
      <w:r w:rsidRPr="003D1B98">
        <w:rPr>
          <w:rFonts w:cs="Arial"/>
        </w:rPr>
        <w:t xml:space="preserve"> (SH 0307) pour 52,3%</w:t>
      </w:r>
      <w:r w:rsidR="003072F6" w:rsidRPr="003D1B98">
        <w:rPr>
          <w:rFonts w:cs="Arial"/>
        </w:rPr>
        <w:t xml:space="preserve"> (+28,7%)</w:t>
      </w:r>
      <w:r w:rsidR="00733F09" w:rsidRPr="003D1B98">
        <w:rPr>
          <w:rFonts w:cs="Arial"/>
        </w:rPr>
        <w:t>,</w:t>
      </w:r>
      <w:r w:rsidRPr="003D1B98">
        <w:rPr>
          <w:rFonts w:cs="Arial"/>
        </w:rPr>
        <w:t xml:space="preserve"> importés principalement par l’Espagne (58,2%</w:t>
      </w:r>
      <w:r w:rsidR="00733F09" w:rsidRPr="003D1B98">
        <w:rPr>
          <w:rFonts w:cs="Arial"/>
        </w:rPr>
        <w:t>, +26,7%</w:t>
      </w:r>
      <w:r w:rsidRPr="003D1B98">
        <w:rPr>
          <w:rFonts w:cs="Arial"/>
        </w:rPr>
        <w:t>)</w:t>
      </w:r>
      <w:r w:rsidR="00733F09" w:rsidRPr="003D1B98">
        <w:rPr>
          <w:rFonts w:cs="Arial"/>
        </w:rPr>
        <w:t xml:space="preserve">, </w:t>
      </w:r>
      <w:r w:rsidRPr="003D1B98">
        <w:rPr>
          <w:rFonts w:cs="Arial"/>
        </w:rPr>
        <w:t>le Japon (20,4%</w:t>
      </w:r>
      <w:r w:rsidR="00733F09" w:rsidRPr="003D1B98">
        <w:rPr>
          <w:rFonts w:cs="Arial"/>
        </w:rPr>
        <w:t>, -12,6%</w:t>
      </w:r>
      <w:r w:rsidRPr="003D1B98">
        <w:rPr>
          <w:rFonts w:cs="Arial"/>
        </w:rPr>
        <w:t>) </w:t>
      </w:r>
      <w:r w:rsidR="00733F09" w:rsidRPr="003D1B98">
        <w:rPr>
          <w:rFonts w:cs="Arial"/>
        </w:rPr>
        <w:t>et la Chine (6,27%, -26,9%)</w:t>
      </w:r>
      <w:r w:rsidR="008C1ED5">
        <w:rPr>
          <w:rFonts w:cs="Arial"/>
        </w:rPr>
        <w:t> ;</w:t>
      </w:r>
    </w:p>
    <w:p w14:paraId="64FB0B20" w14:textId="24F315EB" w:rsidR="003D1B98" w:rsidRDefault="003D1B98" w:rsidP="00507B13">
      <w:pPr>
        <w:pStyle w:val="Paragraphedeliste"/>
        <w:numPr>
          <w:ilvl w:val="0"/>
          <w:numId w:val="32"/>
        </w:numPr>
        <w:spacing w:after="0"/>
        <w:rPr>
          <w:rFonts w:cs="Arial"/>
        </w:rPr>
      </w:pPr>
      <w:proofErr w:type="gramStart"/>
      <w:r>
        <w:rPr>
          <w:rFonts w:cs="Arial"/>
        </w:rPr>
        <w:t>poissons</w:t>
      </w:r>
      <w:proofErr w:type="gramEnd"/>
      <w:r>
        <w:rPr>
          <w:rFonts w:cs="Arial"/>
        </w:rPr>
        <w:t xml:space="preserve"> congelés</w:t>
      </w:r>
      <w:r w:rsidR="008C1ED5">
        <w:rPr>
          <w:rFonts w:cs="Arial"/>
        </w:rPr>
        <w:t xml:space="preserve"> (SH 030</w:t>
      </w:r>
      <w:r w:rsidR="008B5005">
        <w:rPr>
          <w:rFonts w:cs="Arial"/>
        </w:rPr>
        <w:t>3</w:t>
      </w:r>
      <w:r w:rsidR="008C1ED5">
        <w:rPr>
          <w:rFonts w:cs="Arial"/>
        </w:rPr>
        <w:t>) pour 24,6% (</w:t>
      </w:r>
      <w:r w:rsidR="008B5005">
        <w:rPr>
          <w:rFonts w:cs="Arial"/>
        </w:rPr>
        <w:t>+5,7%), importés principalement par la Côte d’Ivoire (36,2%, -3,65%), le Ghana ((24,8%, +21,8%), le Togo (8,9%, +49,3%), l’Espagne (7,4%, +0,1%) et le Nigéria (5,6%, -8,9%)</w:t>
      </w:r>
      <w:r w:rsidR="006F2CC6">
        <w:rPr>
          <w:rFonts w:cs="Arial"/>
        </w:rPr>
        <w:t> ;</w:t>
      </w:r>
    </w:p>
    <w:p w14:paraId="01BC63DB" w14:textId="0AD65D21" w:rsidR="00733F09" w:rsidRPr="003D1B98" w:rsidRDefault="00733F09" w:rsidP="00507B13">
      <w:pPr>
        <w:pStyle w:val="Paragraphedeliste"/>
        <w:numPr>
          <w:ilvl w:val="0"/>
          <w:numId w:val="32"/>
        </w:numPr>
        <w:spacing w:after="0"/>
        <w:rPr>
          <w:rFonts w:cs="Arial"/>
        </w:rPr>
      </w:pPr>
      <w:proofErr w:type="gramStart"/>
      <w:r w:rsidRPr="003D1B98">
        <w:rPr>
          <w:rFonts w:cs="Arial"/>
        </w:rPr>
        <w:lastRenderedPageBreak/>
        <w:t>farines</w:t>
      </w:r>
      <w:proofErr w:type="gramEnd"/>
      <w:r w:rsidRPr="003D1B98">
        <w:rPr>
          <w:rFonts w:cs="Arial"/>
        </w:rPr>
        <w:t xml:space="preserve"> de poissons (SH 2301) pour 10,1%</w:t>
      </w:r>
      <w:r w:rsidR="003072F6" w:rsidRPr="003D1B98">
        <w:rPr>
          <w:rFonts w:cs="Arial"/>
        </w:rPr>
        <w:t xml:space="preserve"> (-11,1%)</w:t>
      </w:r>
      <w:r w:rsidRPr="003D1B98">
        <w:rPr>
          <w:rFonts w:cs="Arial"/>
        </w:rPr>
        <w:t xml:space="preserve"> importées principalement par la Chine (84,1%</w:t>
      </w:r>
      <w:r w:rsidR="003072F6" w:rsidRPr="003D1B98">
        <w:rPr>
          <w:rFonts w:cs="Arial"/>
        </w:rPr>
        <w:t>, -12,6%</w:t>
      </w:r>
      <w:r w:rsidRPr="003D1B98">
        <w:rPr>
          <w:rFonts w:cs="Arial"/>
        </w:rPr>
        <w:t>) et la Turquie (7,3%</w:t>
      </w:r>
      <w:r w:rsidR="003072F6" w:rsidRPr="003D1B98">
        <w:rPr>
          <w:rFonts w:cs="Arial"/>
        </w:rPr>
        <w:t>, +81,0%</w:t>
      </w:r>
      <w:r w:rsidRPr="003D1B98">
        <w:rPr>
          <w:rFonts w:cs="Arial"/>
        </w:rPr>
        <w:t>)</w:t>
      </w:r>
      <w:r w:rsidR="006F2CC6">
        <w:rPr>
          <w:rFonts w:cs="Arial"/>
        </w:rPr>
        <w:t> ;</w:t>
      </w:r>
    </w:p>
    <w:p w14:paraId="630C294E" w14:textId="7D6CF1D1" w:rsidR="008B5005" w:rsidRPr="008B5005" w:rsidRDefault="008B5005" w:rsidP="008B5005">
      <w:pPr>
        <w:pStyle w:val="Paragraphedeliste"/>
        <w:numPr>
          <w:ilvl w:val="0"/>
          <w:numId w:val="32"/>
        </w:numPr>
        <w:spacing w:after="0"/>
        <w:rPr>
          <w:rFonts w:cs="Arial"/>
        </w:rPr>
      </w:pPr>
      <w:proofErr w:type="gramStart"/>
      <w:r>
        <w:rPr>
          <w:rFonts w:cs="Arial"/>
        </w:rPr>
        <w:t>poissons</w:t>
      </w:r>
      <w:proofErr w:type="gramEnd"/>
      <w:r>
        <w:rPr>
          <w:rFonts w:cs="Arial"/>
        </w:rPr>
        <w:t xml:space="preserve"> frais ou réfrigérés (SH 0302) pour 4,9% (-7,6%), importés principalement par l’Espagne (90,3%, -10,2%) et la France (3,3%, -25,6%) ;</w:t>
      </w:r>
    </w:p>
    <w:p w14:paraId="3E2AF937" w14:textId="376E6C28" w:rsidR="00474F86" w:rsidRDefault="003072F6" w:rsidP="00DB2A02">
      <w:pPr>
        <w:pStyle w:val="Paragraphedeliste"/>
        <w:numPr>
          <w:ilvl w:val="0"/>
          <w:numId w:val="32"/>
        </w:numPr>
        <w:spacing w:after="0"/>
        <w:rPr>
          <w:rFonts w:cs="Arial"/>
        </w:rPr>
      </w:pPr>
      <w:proofErr w:type="gramStart"/>
      <w:r w:rsidRPr="003D1B98">
        <w:rPr>
          <w:rFonts w:cs="Arial"/>
        </w:rPr>
        <w:t>huiles</w:t>
      </w:r>
      <w:proofErr w:type="gramEnd"/>
      <w:r w:rsidRPr="003D1B98">
        <w:rPr>
          <w:rFonts w:cs="Arial"/>
        </w:rPr>
        <w:t xml:space="preserve"> et graisses de poissons (SH 1504) pour </w:t>
      </w:r>
      <w:r w:rsidR="0063481D" w:rsidRPr="003D1B98">
        <w:rPr>
          <w:rFonts w:cs="Arial"/>
        </w:rPr>
        <w:t>4,8% (-53,4%) importées principalement par la Norvège (57,9%, -67,5%) et la France (28,7%, +6,2%)</w:t>
      </w:r>
      <w:r w:rsidR="00474F86" w:rsidRPr="003D1B98">
        <w:rPr>
          <w:rFonts w:cs="Arial"/>
        </w:rPr>
        <w:t>.</w:t>
      </w:r>
    </w:p>
    <w:p w14:paraId="2434BD6C" w14:textId="77777777" w:rsidR="006E5C68" w:rsidRPr="0068340E" w:rsidRDefault="006E5C68" w:rsidP="00DB2A02">
      <w:pPr>
        <w:pStyle w:val="Titre2"/>
        <w:rPr>
          <w:sz w:val="20"/>
          <w:szCs w:val="20"/>
        </w:rPr>
      </w:pPr>
    </w:p>
    <w:p w14:paraId="7EC2BC18" w14:textId="105EE99C" w:rsidR="00BF3BCA" w:rsidRPr="007268D8" w:rsidRDefault="00BF3BCA" w:rsidP="00DB2A02">
      <w:pPr>
        <w:pStyle w:val="Titre2"/>
        <w:rPr>
          <w:color w:val="auto"/>
          <w:sz w:val="20"/>
          <w:szCs w:val="20"/>
          <w:vertAlign w:val="superscript"/>
        </w:rPr>
      </w:pPr>
      <w:r w:rsidRPr="00785965">
        <w:t xml:space="preserve">3.2 </w:t>
      </w:r>
      <w:r w:rsidRPr="008C1687">
        <w:t xml:space="preserve">Echanges commerciaux entre la France et la </w:t>
      </w:r>
      <w:r w:rsidR="00CD6B84" w:rsidRPr="008C1687">
        <w:t>Mauritanie</w:t>
      </w:r>
      <w:r w:rsidRPr="007268D8">
        <w:rPr>
          <w:color w:val="auto"/>
          <w:sz w:val="20"/>
          <w:szCs w:val="20"/>
          <w:vertAlign w:val="superscript"/>
        </w:rPr>
        <w:footnoteReference w:id="21"/>
      </w:r>
    </w:p>
    <w:p w14:paraId="4DBCEB14" w14:textId="59BE5F1E" w:rsidR="008F5ACB" w:rsidRDefault="008F5ACB" w:rsidP="00DB2A02">
      <w:pPr>
        <w:spacing w:after="0"/>
      </w:pPr>
    </w:p>
    <w:p w14:paraId="3FC0A604" w14:textId="3D2CE6EF" w:rsidR="00DA7F46" w:rsidRPr="00DA7F46" w:rsidRDefault="00474F86" w:rsidP="00CD61D7">
      <w:pPr>
        <w:spacing w:after="0"/>
        <w:rPr>
          <w:rFonts w:cs="Arial"/>
        </w:rPr>
      </w:pPr>
      <w:bookmarkStart w:id="22" w:name="_Hlk219097118"/>
      <w:r w:rsidRPr="002A7C67">
        <w:rPr>
          <w:rFonts w:cs="Arial"/>
          <w:b/>
          <w:bCs/>
        </w:rPr>
        <w:t xml:space="preserve">Le commerce agricole et agroalimentaire bilatéral </w:t>
      </w:r>
      <w:r w:rsidR="0042619D" w:rsidRPr="002A7C67">
        <w:rPr>
          <w:rFonts w:cs="Arial"/>
          <w:b/>
          <w:bCs/>
        </w:rPr>
        <w:t xml:space="preserve">demeure </w:t>
      </w:r>
      <w:r w:rsidRPr="002A7C67">
        <w:rPr>
          <w:rFonts w:cs="Arial"/>
          <w:b/>
          <w:bCs/>
        </w:rPr>
        <w:t>modeste</w:t>
      </w:r>
      <w:r w:rsidRPr="002A7C67">
        <w:rPr>
          <w:rFonts w:cs="Arial"/>
        </w:rPr>
        <w:t xml:space="preserve">, la </w:t>
      </w:r>
      <w:r w:rsidR="0042619D" w:rsidRPr="002A7C67">
        <w:rPr>
          <w:rFonts w:cs="Arial"/>
        </w:rPr>
        <w:t>Mauritanie</w:t>
      </w:r>
      <w:r w:rsidRPr="002A7C67">
        <w:rPr>
          <w:rFonts w:cs="Arial"/>
        </w:rPr>
        <w:t xml:space="preserve"> étant le </w:t>
      </w:r>
      <w:r w:rsidR="002A7C67" w:rsidRPr="002A7C67">
        <w:rPr>
          <w:rFonts w:cs="Arial"/>
        </w:rPr>
        <w:t>78</w:t>
      </w:r>
      <w:r w:rsidRPr="002A7C67">
        <w:rPr>
          <w:rFonts w:cs="Arial"/>
          <w:vertAlign w:val="superscript"/>
        </w:rPr>
        <w:t>ème</w:t>
      </w:r>
      <w:r w:rsidRPr="002A7C67">
        <w:rPr>
          <w:rFonts w:cs="Arial"/>
        </w:rPr>
        <w:t xml:space="preserve"> fournisseur de la France (0,0</w:t>
      </w:r>
      <w:r w:rsidR="002A7C67" w:rsidRPr="002A7C67">
        <w:rPr>
          <w:rFonts w:cs="Arial"/>
        </w:rPr>
        <w:t>5</w:t>
      </w:r>
      <w:r w:rsidRPr="002A7C67">
        <w:rPr>
          <w:rFonts w:cs="Arial"/>
        </w:rPr>
        <w:t xml:space="preserve">% des importations françaises) et le </w:t>
      </w:r>
      <w:r w:rsidR="002A7C67" w:rsidRPr="002A7C67">
        <w:rPr>
          <w:rFonts w:cs="Arial"/>
        </w:rPr>
        <w:t>6</w:t>
      </w:r>
      <w:r w:rsidRPr="002A7C67">
        <w:rPr>
          <w:rFonts w:cs="Arial"/>
        </w:rPr>
        <w:t>1</w:t>
      </w:r>
      <w:r w:rsidRPr="002A7C67">
        <w:rPr>
          <w:rFonts w:cs="Arial"/>
          <w:vertAlign w:val="superscript"/>
        </w:rPr>
        <w:t>ème</w:t>
      </w:r>
      <w:r w:rsidRPr="002A7C67">
        <w:rPr>
          <w:rFonts w:cs="Arial"/>
        </w:rPr>
        <w:t xml:space="preserve"> client de la France (0,</w:t>
      </w:r>
      <w:r w:rsidR="002A7C67" w:rsidRPr="002A7C67">
        <w:rPr>
          <w:rFonts w:cs="Arial"/>
        </w:rPr>
        <w:t>15</w:t>
      </w:r>
      <w:r w:rsidRPr="002A7C67">
        <w:rPr>
          <w:rFonts w:cs="Arial"/>
        </w:rPr>
        <w:t xml:space="preserve">% des exportations françaises). La France est le </w:t>
      </w:r>
      <w:r w:rsidR="002A7C67" w:rsidRPr="002A7C67">
        <w:rPr>
          <w:rFonts w:cs="Arial"/>
        </w:rPr>
        <w:t>3</w:t>
      </w:r>
      <w:r w:rsidRPr="002A7C67">
        <w:rPr>
          <w:rFonts w:cs="Arial"/>
          <w:vertAlign w:val="superscript"/>
        </w:rPr>
        <w:t>ème</w:t>
      </w:r>
      <w:r w:rsidRPr="002A7C67">
        <w:rPr>
          <w:rFonts w:cs="Arial"/>
        </w:rPr>
        <w:t xml:space="preserve"> fournisseur de la </w:t>
      </w:r>
      <w:r w:rsidR="0042619D" w:rsidRPr="002A7C67">
        <w:rPr>
          <w:rFonts w:cs="Arial"/>
        </w:rPr>
        <w:t xml:space="preserve">Mauritanie </w:t>
      </w:r>
      <w:r w:rsidRPr="002A7C67">
        <w:rPr>
          <w:rFonts w:cs="Arial"/>
        </w:rPr>
        <w:t>(</w:t>
      </w:r>
      <w:r w:rsidR="002A7C67" w:rsidRPr="002A7C67">
        <w:rPr>
          <w:rFonts w:cs="Arial"/>
        </w:rPr>
        <w:t>1</w:t>
      </w:r>
      <w:r w:rsidRPr="002A7C67">
        <w:rPr>
          <w:rFonts w:cs="Arial"/>
          <w:vertAlign w:val="superscript"/>
        </w:rPr>
        <w:t>e</w:t>
      </w:r>
      <w:r w:rsidR="002A7C67" w:rsidRPr="002A7C67">
        <w:rPr>
          <w:rFonts w:cs="Arial"/>
          <w:vertAlign w:val="superscript"/>
        </w:rPr>
        <w:t>r</w:t>
      </w:r>
      <w:r w:rsidRPr="002A7C67">
        <w:rPr>
          <w:rFonts w:cs="Arial"/>
        </w:rPr>
        <w:t xml:space="preserve"> fournisseur pour </w:t>
      </w:r>
      <w:r w:rsidRPr="00D1570C">
        <w:rPr>
          <w:rFonts w:cs="Arial"/>
        </w:rPr>
        <w:t xml:space="preserve">l’Union européenne) et le </w:t>
      </w:r>
      <w:r w:rsidR="002A7C67">
        <w:rPr>
          <w:rFonts w:cs="Arial"/>
        </w:rPr>
        <w:t>6</w:t>
      </w:r>
      <w:r w:rsidRPr="00D1570C">
        <w:rPr>
          <w:rFonts w:cs="Arial"/>
          <w:vertAlign w:val="superscript"/>
        </w:rPr>
        <w:t>ème</w:t>
      </w:r>
      <w:r w:rsidRPr="00D1570C">
        <w:rPr>
          <w:rFonts w:cs="Arial"/>
        </w:rPr>
        <w:t xml:space="preserve"> client de la </w:t>
      </w:r>
      <w:r w:rsidR="0042619D" w:rsidRPr="00D1570C">
        <w:rPr>
          <w:rFonts w:cs="Arial"/>
        </w:rPr>
        <w:t xml:space="preserve">Mauritanie </w:t>
      </w:r>
      <w:r w:rsidRPr="00D1570C">
        <w:rPr>
          <w:rFonts w:cs="Arial"/>
        </w:rPr>
        <w:t>(</w:t>
      </w:r>
      <w:r w:rsidR="002A7C67">
        <w:rPr>
          <w:rFonts w:cs="Arial"/>
        </w:rPr>
        <w:t>2</w:t>
      </w:r>
      <w:r w:rsidRPr="00D1570C">
        <w:rPr>
          <w:rFonts w:cs="Arial"/>
          <w:vertAlign w:val="superscript"/>
        </w:rPr>
        <w:t>ème</w:t>
      </w:r>
      <w:r w:rsidRPr="00D1570C">
        <w:rPr>
          <w:rFonts w:cs="Arial"/>
        </w:rPr>
        <w:t xml:space="preserve"> pour l’Union européenne).</w:t>
      </w:r>
      <w:r w:rsidR="00CD61D7">
        <w:rPr>
          <w:rFonts w:cs="Arial"/>
        </w:rPr>
        <w:t xml:space="preserve"> </w:t>
      </w:r>
      <w:r w:rsidR="00DA7F46" w:rsidRPr="00DA7F46">
        <w:rPr>
          <w:rFonts w:cs="Segoe UI"/>
          <w:b/>
          <w:bCs/>
          <w:lang w:eastAsia="fr-FR"/>
        </w:rPr>
        <w:t xml:space="preserve">Le solde des échanges agricoles et agroalimentaires entre la France et la </w:t>
      </w:r>
      <w:r w:rsidR="00751A63" w:rsidRPr="00CD61D7">
        <w:rPr>
          <w:rFonts w:cs="Segoe UI"/>
          <w:b/>
          <w:bCs/>
          <w:lang w:eastAsia="fr-FR"/>
        </w:rPr>
        <w:t xml:space="preserve">Mauritanie </w:t>
      </w:r>
      <w:r w:rsidR="00DA7F46" w:rsidRPr="00DA7F46">
        <w:rPr>
          <w:rFonts w:cs="Segoe UI"/>
          <w:b/>
          <w:bCs/>
          <w:lang w:eastAsia="fr-FR"/>
        </w:rPr>
        <w:t xml:space="preserve">est structurellement </w:t>
      </w:r>
      <w:r w:rsidR="00751A63" w:rsidRPr="00CD61D7">
        <w:rPr>
          <w:rFonts w:cs="Segoe UI"/>
          <w:b/>
          <w:lang w:eastAsia="fr-FR"/>
        </w:rPr>
        <w:t>ex</w:t>
      </w:r>
      <w:r w:rsidR="00CD61D7" w:rsidRPr="00CD61D7">
        <w:rPr>
          <w:rFonts w:cs="Segoe UI"/>
          <w:b/>
          <w:lang w:eastAsia="fr-FR"/>
        </w:rPr>
        <w:t>c</w:t>
      </w:r>
      <w:r w:rsidR="00751A63" w:rsidRPr="00CD61D7">
        <w:rPr>
          <w:rFonts w:cs="Segoe UI"/>
          <w:b/>
          <w:lang w:eastAsia="fr-FR"/>
        </w:rPr>
        <w:t>éden</w:t>
      </w:r>
      <w:r w:rsidR="00DA7F46" w:rsidRPr="00DA7F46">
        <w:rPr>
          <w:rFonts w:cs="Segoe UI"/>
          <w:b/>
          <w:lang w:eastAsia="fr-FR"/>
        </w:rPr>
        <w:t>taire pour la France</w:t>
      </w:r>
      <w:r w:rsidR="00DA7F46" w:rsidRPr="00DA7F46">
        <w:rPr>
          <w:rFonts w:cs="Segoe UI"/>
          <w:lang w:eastAsia="fr-FR"/>
        </w:rPr>
        <w:t xml:space="preserve">. En 2024, il est de </w:t>
      </w:r>
      <w:r w:rsidR="00CD61D7" w:rsidRPr="00CD61D7">
        <w:rPr>
          <w:rFonts w:cs="Segoe UI"/>
          <w:lang w:eastAsia="fr-FR"/>
        </w:rPr>
        <w:t>79,3</w:t>
      </w:r>
      <w:r w:rsidR="00DA7F46" w:rsidRPr="00DA7F46">
        <w:rPr>
          <w:rFonts w:cs="Segoe UI"/>
          <w:lang w:eastAsia="fr-FR"/>
        </w:rPr>
        <w:t xml:space="preserve"> M d’EUR et </w:t>
      </w:r>
      <w:r w:rsidR="00CD61D7" w:rsidRPr="00CD61D7">
        <w:rPr>
          <w:rFonts w:cs="Segoe UI"/>
          <w:lang w:eastAsia="fr-FR"/>
        </w:rPr>
        <w:t xml:space="preserve">progresse </w:t>
      </w:r>
      <w:r w:rsidR="00DA7F46" w:rsidRPr="00DA7F46">
        <w:rPr>
          <w:rFonts w:cs="Segoe UI"/>
          <w:lang w:eastAsia="fr-FR"/>
        </w:rPr>
        <w:t xml:space="preserve">fortement </w:t>
      </w:r>
      <w:r w:rsidR="00CD61D7" w:rsidRPr="00CD61D7">
        <w:rPr>
          <w:rFonts w:cs="Segoe UI"/>
          <w:lang w:eastAsia="fr-FR"/>
        </w:rPr>
        <w:t>par rapport à 2023 (32,1 M d’EUR) et 2022 (39,2 M d’EUR)</w:t>
      </w:r>
      <w:r w:rsidR="00DA7F46" w:rsidRPr="00DA7F46">
        <w:rPr>
          <w:rFonts w:cs="Segoe UI"/>
          <w:lang w:eastAsia="fr-FR"/>
        </w:rPr>
        <w:t>.</w:t>
      </w:r>
    </w:p>
    <w:p w14:paraId="3935C0D7" w14:textId="77777777" w:rsidR="00DA7F46" w:rsidRDefault="00DA7F46" w:rsidP="0042619D">
      <w:pPr>
        <w:tabs>
          <w:tab w:val="left" w:pos="3150"/>
        </w:tabs>
        <w:autoSpaceDE w:val="0"/>
        <w:adjustRightInd w:val="0"/>
        <w:spacing w:after="0"/>
        <w:rPr>
          <w:rFonts w:cs="Segoe UI"/>
          <w:b/>
          <w:bCs/>
          <w:lang w:eastAsia="fr-FR"/>
        </w:rPr>
      </w:pPr>
    </w:p>
    <w:p w14:paraId="6FE420BF" w14:textId="3A4735E2" w:rsidR="0042619D" w:rsidRPr="0042619D" w:rsidRDefault="0042619D" w:rsidP="0042619D">
      <w:pPr>
        <w:tabs>
          <w:tab w:val="left" w:pos="3150"/>
        </w:tabs>
        <w:autoSpaceDE w:val="0"/>
        <w:adjustRightInd w:val="0"/>
        <w:spacing w:after="0"/>
      </w:pPr>
      <w:r w:rsidRPr="00181169">
        <w:rPr>
          <w:rFonts w:cs="Segoe UI"/>
          <w:b/>
          <w:bCs/>
          <w:lang w:eastAsia="fr-FR"/>
        </w:rPr>
        <w:t>En 2024,</w:t>
      </w:r>
      <w:r w:rsidRPr="00181169">
        <w:rPr>
          <w:rFonts w:cs="Segoe UI"/>
          <w:lang w:eastAsia="fr-FR"/>
        </w:rPr>
        <w:t xml:space="preserve"> </w:t>
      </w:r>
      <w:r w:rsidRPr="00181169">
        <w:rPr>
          <w:rFonts w:cs="Segoe UI"/>
          <w:b/>
          <w:lang w:eastAsia="fr-FR"/>
        </w:rPr>
        <w:t xml:space="preserve">la France a exporté vers la </w:t>
      </w:r>
      <w:r w:rsidR="00DA7F46" w:rsidRPr="00181169">
        <w:rPr>
          <w:rFonts w:cs="Segoe UI"/>
          <w:b/>
          <w:lang w:eastAsia="fr-FR"/>
        </w:rPr>
        <w:t>Mauritanie</w:t>
      </w:r>
      <w:r w:rsidR="004D1B86" w:rsidRPr="00181169">
        <w:rPr>
          <w:rFonts w:cs="Segoe UI"/>
          <w:b/>
          <w:lang w:eastAsia="fr-FR"/>
        </w:rPr>
        <w:t xml:space="preserve"> 119</w:t>
      </w:r>
      <w:r w:rsidRPr="00181169">
        <w:rPr>
          <w:rFonts w:cs="Segoe UI"/>
          <w:b/>
          <w:lang w:eastAsia="fr-FR"/>
        </w:rPr>
        <w:t>,5 M d’EUR</w:t>
      </w:r>
      <w:r w:rsidRPr="00181169">
        <w:rPr>
          <w:rFonts w:cs="Segoe UI"/>
          <w:lang w:eastAsia="fr-FR"/>
        </w:rPr>
        <w:t xml:space="preserve"> de produits agricoles et agroalimentaires, en hausse de +</w:t>
      </w:r>
      <w:r w:rsidR="004D1B86" w:rsidRPr="00181169">
        <w:rPr>
          <w:rFonts w:cs="Segoe UI"/>
          <w:lang w:eastAsia="fr-FR"/>
        </w:rPr>
        <w:t>2</w:t>
      </w:r>
      <w:r w:rsidRPr="00181169">
        <w:rPr>
          <w:rFonts w:cs="Segoe UI"/>
          <w:lang w:eastAsia="fr-FR"/>
        </w:rPr>
        <w:t>6,</w:t>
      </w:r>
      <w:r w:rsidR="004D1B86" w:rsidRPr="00181169">
        <w:rPr>
          <w:rFonts w:cs="Segoe UI"/>
          <w:lang w:eastAsia="fr-FR"/>
        </w:rPr>
        <w:t>5</w:t>
      </w:r>
      <w:r w:rsidRPr="00181169">
        <w:rPr>
          <w:rFonts w:cs="Segoe UI"/>
          <w:lang w:eastAsia="fr-FR"/>
        </w:rPr>
        <w:t xml:space="preserve">% par rapport à 2023. Le poste </w:t>
      </w:r>
      <w:r w:rsidRPr="00181169">
        <w:rPr>
          <w:rFonts w:cs="Segoe UI"/>
          <w:b/>
          <w:bCs/>
          <w:i/>
          <w:iCs/>
          <w:lang w:eastAsia="fr-FR"/>
        </w:rPr>
        <w:t>Céréales</w:t>
      </w:r>
      <w:r w:rsidRPr="00181169">
        <w:rPr>
          <w:rFonts w:cs="Segoe UI"/>
          <w:lang w:eastAsia="fr-FR"/>
        </w:rPr>
        <w:t xml:space="preserve"> reste le principal poste d’exportation pesant pour p</w:t>
      </w:r>
      <w:r w:rsidR="004D1B86" w:rsidRPr="00181169">
        <w:rPr>
          <w:rFonts w:cs="Segoe UI"/>
          <w:lang w:eastAsia="fr-FR"/>
        </w:rPr>
        <w:t>lu</w:t>
      </w:r>
      <w:r w:rsidRPr="00181169">
        <w:rPr>
          <w:rFonts w:cs="Segoe UI"/>
          <w:lang w:eastAsia="fr-FR"/>
        </w:rPr>
        <w:t xml:space="preserve">s de </w:t>
      </w:r>
      <w:r w:rsidR="004D1B86" w:rsidRPr="00181169">
        <w:rPr>
          <w:rFonts w:cs="Segoe UI"/>
          <w:lang w:eastAsia="fr-FR"/>
        </w:rPr>
        <w:t>6</w:t>
      </w:r>
      <w:r w:rsidRPr="00181169">
        <w:rPr>
          <w:rFonts w:cs="Segoe UI"/>
          <w:lang w:eastAsia="fr-FR"/>
        </w:rPr>
        <w:t>0%, en progression de +</w:t>
      </w:r>
      <w:r w:rsidR="004D1B86" w:rsidRPr="00181169">
        <w:rPr>
          <w:rFonts w:cs="Segoe UI"/>
          <w:lang w:eastAsia="fr-FR"/>
        </w:rPr>
        <w:t>5</w:t>
      </w:r>
      <w:r w:rsidRPr="00181169">
        <w:rPr>
          <w:rFonts w:cs="Segoe UI"/>
          <w:lang w:eastAsia="fr-FR"/>
        </w:rPr>
        <w:t>7,1%. Ce sont essentiellement des exportations de blé tendre (</w:t>
      </w:r>
      <w:r w:rsidR="004D1B86" w:rsidRPr="00181169">
        <w:rPr>
          <w:rFonts w:cs="Segoe UI"/>
          <w:lang w:eastAsia="fr-FR"/>
        </w:rPr>
        <w:t>70,0</w:t>
      </w:r>
      <w:r w:rsidRPr="00181169">
        <w:rPr>
          <w:rFonts w:cs="Segoe UI"/>
          <w:lang w:eastAsia="fr-FR"/>
        </w:rPr>
        <w:t xml:space="preserve"> M d’EUR) qui progressent de +</w:t>
      </w:r>
      <w:r w:rsidR="004D1B86" w:rsidRPr="00181169">
        <w:rPr>
          <w:rFonts w:cs="Segoe UI"/>
          <w:lang w:eastAsia="fr-FR"/>
        </w:rPr>
        <w:t>8</w:t>
      </w:r>
      <w:r w:rsidRPr="00181169">
        <w:rPr>
          <w:rFonts w:cs="Segoe UI"/>
          <w:lang w:eastAsia="fr-FR"/>
        </w:rPr>
        <w:t>4,</w:t>
      </w:r>
      <w:r w:rsidR="004D1B86" w:rsidRPr="00181169">
        <w:rPr>
          <w:rFonts w:cs="Segoe UI"/>
          <w:lang w:eastAsia="fr-FR"/>
        </w:rPr>
        <w:t>6</w:t>
      </w:r>
      <w:r w:rsidRPr="00181169">
        <w:rPr>
          <w:rFonts w:cs="Segoe UI"/>
          <w:lang w:eastAsia="fr-FR"/>
        </w:rPr>
        <w:t xml:space="preserve">% en valeur </w:t>
      </w:r>
      <w:r w:rsidR="003B2893" w:rsidRPr="00181169">
        <w:rPr>
          <w:rFonts w:cs="Segoe UI"/>
          <w:lang w:eastAsia="fr-FR"/>
        </w:rPr>
        <w:t xml:space="preserve">et </w:t>
      </w:r>
      <w:r w:rsidRPr="00181169">
        <w:rPr>
          <w:rFonts w:cs="Segoe UI"/>
          <w:lang w:eastAsia="fr-FR"/>
        </w:rPr>
        <w:t>de +</w:t>
      </w:r>
      <w:r w:rsidR="003B2893" w:rsidRPr="00181169">
        <w:rPr>
          <w:rFonts w:cs="Segoe UI"/>
          <w:lang w:eastAsia="fr-FR"/>
        </w:rPr>
        <w:t>111</w:t>
      </w:r>
      <w:r w:rsidRPr="00181169">
        <w:rPr>
          <w:rFonts w:cs="Segoe UI"/>
          <w:lang w:eastAsia="fr-FR"/>
        </w:rPr>
        <w:t>,</w:t>
      </w:r>
      <w:r w:rsidR="003B2893" w:rsidRPr="00181169">
        <w:rPr>
          <w:rFonts w:cs="Segoe UI"/>
          <w:lang w:eastAsia="fr-FR"/>
        </w:rPr>
        <w:t>4</w:t>
      </w:r>
      <w:r w:rsidRPr="00181169">
        <w:rPr>
          <w:rFonts w:cs="Segoe UI"/>
          <w:lang w:eastAsia="fr-FR"/>
        </w:rPr>
        <w:t>% en tonnage (3</w:t>
      </w:r>
      <w:r w:rsidR="00D1570C" w:rsidRPr="00181169">
        <w:rPr>
          <w:rFonts w:cs="Segoe UI"/>
          <w:lang w:eastAsia="fr-FR"/>
        </w:rPr>
        <w:t>14</w:t>
      </w:r>
      <w:r w:rsidRPr="00181169">
        <w:rPr>
          <w:rFonts w:cs="Segoe UI"/>
          <w:lang w:eastAsia="fr-FR"/>
        </w:rPr>
        <w:t xml:space="preserve"> 000 tonnes en 2024 contre </w:t>
      </w:r>
      <w:r w:rsidR="00D1570C" w:rsidRPr="00181169">
        <w:rPr>
          <w:rFonts w:cs="Segoe UI"/>
          <w:lang w:eastAsia="fr-FR"/>
        </w:rPr>
        <w:t>148</w:t>
      </w:r>
      <w:r w:rsidRPr="00181169">
        <w:rPr>
          <w:rFonts w:cs="Segoe UI"/>
          <w:lang w:eastAsia="fr-FR"/>
        </w:rPr>
        <w:t xml:space="preserve"> 000 tonnes en 2023)</w:t>
      </w:r>
      <w:r w:rsidR="003B2893" w:rsidRPr="00181169">
        <w:rPr>
          <w:rFonts w:cs="Segoe UI"/>
          <w:lang w:eastAsia="fr-FR"/>
        </w:rPr>
        <w:t>, ainsi que de blé dur (4,6 M d’EUR, -51,5%).</w:t>
      </w:r>
      <w:r w:rsidRPr="00181169">
        <w:rPr>
          <w:rFonts w:cs="Segoe UI"/>
          <w:lang w:eastAsia="fr-FR"/>
        </w:rPr>
        <w:t xml:space="preserve"> </w:t>
      </w:r>
      <w:r w:rsidRPr="00181169">
        <w:rPr>
          <w:rFonts w:cs="Calibri"/>
          <w:i/>
          <w:iCs/>
        </w:rPr>
        <w:t>Lait et produits laitiers</w:t>
      </w:r>
      <w:r w:rsidRPr="00181169">
        <w:rPr>
          <w:rFonts w:cs="Calibri"/>
        </w:rPr>
        <w:t xml:space="preserve"> (</w:t>
      </w:r>
      <w:r w:rsidR="006206FE" w:rsidRPr="00181169">
        <w:rPr>
          <w:rFonts w:cs="Calibri"/>
        </w:rPr>
        <w:t>11</w:t>
      </w:r>
      <w:r w:rsidRPr="00181169">
        <w:rPr>
          <w:rFonts w:cs="Calibri"/>
        </w:rPr>
        <w:t>,7 M d’EUR, -</w:t>
      </w:r>
      <w:r w:rsidR="006206FE" w:rsidRPr="00181169">
        <w:rPr>
          <w:rFonts w:cs="Calibri"/>
        </w:rPr>
        <w:t>7,</w:t>
      </w:r>
      <w:r w:rsidRPr="00181169">
        <w:rPr>
          <w:rFonts w:cs="Calibri"/>
        </w:rPr>
        <w:t xml:space="preserve">3%), </w:t>
      </w:r>
      <w:r w:rsidR="006206FE" w:rsidRPr="00181169">
        <w:rPr>
          <w:rFonts w:cs="Calibri"/>
          <w:i/>
          <w:iCs/>
        </w:rPr>
        <w:t>Sucre</w:t>
      </w:r>
      <w:r w:rsidR="006206FE" w:rsidRPr="00181169">
        <w:rPr>
          <w:rFonts w:cs="Calibri"/>
        </w:rPr>
        <w:t xml:space="preserve"> (9,5 M d’EUR -34,3%) </w:t>
      </w:r>
      <w:r w:rsidRPr="00181169">
        <w:rPr>
          <w:rFonts w:cs="Calibri"/>
          <w:i/>
          <w:iCs/>
        </w:rPr>
        <w:t>Produits d’épicerie</w:t>
      </w:r>
      <w:r w:rsidRPr="00181169">
        <w:rPr>
          <w:rFonts w:cs="Calibri"/>
        </w:rPr>
        <w:t xml:space="preserve"> (</w:t>
      </w:r>
      <w:r w:rsidR="006206FE" w:rsidRPr="00181169">
        <w:rPr>
          <w:rFonts w:cs="Calibri"/>
        </w:rPr>
        <w:t xml:space="preserve">5,0 </w:t>
      </w:r>
      <w:r w:rsidRPr="00181169">
        <w:rPr>
          <w:rFonts w:cs="Calibri"/>
        </w:rPr>
        <w:t xml:space="preserve">M d’EUR, </w:t>
      </w:r>
      <w:r w:rsidR="006206FE" w:rsidRPr="00181169">
        <w:rPr>
          <w:rFonts w:cs="Calibri"/>
        </w:rPr>
        <w:t>+19,3</w:t>
      </w:r>
      <w:r w:rsidRPr="00181169">
        <w:rPr>
          <w:rFonts w:cs="Calibri"/>
        </w:rPr>
        <w:t xml:space="preserve">%), </w:t>
      </w:r>
      <w:r w:rsidR="006206FE" w:rsidRPr="00181169">
        <w:rPr>
          <w:rFonts w:cs="Calibri"/>
          <w:i/>
          <w:iCs/>
        </w:rPr>
        <w:t>Fruits et légumes</w:t>
      </w:r>
      <w:r w:rsidR="006206FE" w:rsidRPr="00181169">
        <w:rPr>
          <w:rFonts w:cs="Calibri"/>
        </w:rPr>
        <w:t xml:space="preserve"> (3,0 M d’EUR, +45,2%)</w:t>
      </w:r>
      <w:r w:rsidR="003B2893" w:rsidRPr="00181169">
        <w:rPr>
          <w:rFonts w:cs="Calibri"/>
        </w:rPr>
        <w:t>.</w:t>
      </w:r>
    </w:p>
    <w:p w14:paraId="47261EA8" w14:textId="77777777" w:rsidR="0042619D" w:rsidRPr="00474F86" w:rsidRDefault="0042619D" w:rsidP="0042619D">
      <w:pPr>
        <w:spacing w:after="0"/>
        <w:rPr>
          <w:rFonts w:cs="Arial"/>
          <w:highlight w:val="yellow"/>
        </w:rPr>
      </w:pPr>
    </w:p>
    <w:p w14:paraId="7753F536" w14:textId="40FBDA97" w:rsidR="00474F86" w:rsidRPr="007F2201" w:rsidRDefault="00DA7F46" w:rsidP="007F2201">
      <w:pPr>
        <w:tabs>
          <w:tab w:val="left" w:pos="3150"/>
        </w:tabs>
        <w:autoSpaceDE w:val="0"/>
        <w:adjustRightInd w:val="0"/>
        <w:spacing w:after="0"/>
        <w:rPr>
          <w:rFonts w:cs="Segoe UI"/>
          <w:lang w:eastAsia="fr-FR"/>
        </w:rPr>
      </w:pPr>
      <w:r w:rsidRPr="00DA7F46">
        <w:rPr>
          <w:rFonts w:cs="Segoe UI"/>
          <w:b/>
          <w:bCs/>
          <w:lang w:eastAsia="fr-FR"/>
        </w:rPr>
        <w:t xml:space="preserve">En 2024, la France a importé depuis la </w:t>
      </w:r>
      <w:r w:rsidR="00D1570C" w:rsidRPr="007F2201">
        <w:rPr>
          <w:rFonts w:cs="Segoe UI"/>
          <w:b/>
          <w:bCs/>
          <w:lang w:eastAsia="fr-FR"/>
        </w:rPr>
        <w:t xml:space="preserve">Mauritanie 40,2 M </w:t>
      </w:r>
      <w:r w:rsidRPr="00DA7F46">
        <w:rPr>
          <w:rFonts w:cs="Segoe UI"/>
          <w:b/>
          <w:bCs/>
          <w:lang w:eastAsia="fr-FR"/>
        </w:rPr>
        <w:t>d’EUR de produits agricoles et agroalimentaires</w:t>
      </w:r>
      <w:r w:rsidRPr="00DA7F46">
        <w:rPr>
          <w:rFonts w:cs="Segoe UI"/>
          <w:lang w:eastAsia="fr-FR"/>
        </w:rPr>
        <w:t xml:space="preserve">, en </w:t>
      </w:r>
      <w:r w:rsidR="00D1570C" w:rsidRPr="007F2201">
        <w:rPr>
          <w:rFonts w:cs="Segoe UI"/>
          <w:lang w:eastAsia="fr-FR"/>
        </w:rPr>
        <w:t>baiss</w:t>
      </w:r>
      <w:r w:rsidRPr="00DA7F46">
        <w:rPr>
          <w:rFonts w:cs="Segoe UI"/>
          <w:lang w:eastAsia="fr-FR"/>
        </w:rPr>
        <w:t xml:space="preserve">e de </w:t>
      </w:r>
      <w:r w:rsidR="00D1570C" w:rsidRPr="007F2201">
        <w:rPr>
          <w:rFonts w:cs="Segoe UI"/>
          <w:lang w:eastAsia="fr-FR"/>
        </w:rPr>
        <w:t>-</w:t>
      </w:r>
      <w:r w:rsidRPr="00DA7F46">
        <w:rPr>
          <w:rFonts w:cs="Segoe UI"/>
          <w:lang w:eastAsia="fr-FR"/>
        </w:rPr>
        <w:t>3</w:t>
      </w:r>
      <w:r w:rsidR="00D1570C" w:rsidRPr="007F2201">
        <w:rPr>
          <w:rFonts w:cs="Segoe UI"/>
          <w:lang w:eastAsia="fr-FR"/>
        </w:rPr>
        <w:t>5</w:t>
      </w:r>
      <w:r w:rsidRPr="00DA7F46">
        <w:rPr>
          <w:rFonts w:cs="Segoe UI"/>
          <w:lang w:eastAsia="fr-FR"/>
        </w:rPr>
        <w:t>,</w:t>
      </w:r>
      <w:r w:rsidR="00D1570C" w:rsidRPr="007F2201">
        <w:rPr>
          <w:rFonts w:cs="Segoe UI"/>
          <w:lang w:eastAsia="fr-FR"/>
        </w:rPr>
        <w:t>6</w:t>
      </w:r>
      <w:r w:rsidRPr="00DA7F46">
        <w:rPr>
          <w:rFonts w:cs="Segoe UI"/>
          <w:lang w:eastAsia="fr-FR"/>
        </w:rPr>
        <w:t xml:space="preserve">% par rapport à 2023. </w:t>
      </w:r>
      <w:r w:rsidR="007F2201" w:rsidRPr="007F2201">
        <w:rPr>
          <w:rFonts w:cs="Segoe UI"/>
          <w:lang w:eastAsia="fr-FR"/>
        </w:rPr>
        <w:t>Le 1</w:t>
      </w:r>
      <w:r w:rsidR="007F2201" w:rsidRPr="007F2201">
        <w:rPr>
          <w:rFonts w:cs="Segoe UI"/>
          <w:vertAlign w:val="superscript"/>
          <w:lang w:eastAsia="fr-FR"/>
        </w:rPr>
        <w:t>er</w:t>
      </w:r>
      <w:r w:rsidR="007F2201" w:rsidRPr="007F2201">
        <w:rPr>
          <w:rFonts w:cs="Segoe UI"/>
          <w:lang w:eastAsia="fr-FR"/>
        </w:rPr>
        <w:t xml:space="preserve"> poste (57,2%) est le poste </w:t>
      </w:r>
      <w:r w:rsidR="00D1570C" w:rsidRPr="007F2201">
        <w:rPr>
          <w:rFonts w:cs="Segoe UI"/>
          <w:b/>
          <w:i/>
          <w:iCs/>
          <w:lang w:eastAsia="fr-FR"/>
        </w:rPr>
        <w:t xml:space="preserve">Fruits </w:t>
      </w:r>
      <w:r w:rsidR="007F2201" w:rsidRPr="007F2201">
        <w:rPr>
          <w:rFonts w:cs="Segoe UI"/>
          <w:lang w:eastAsia="fr-FR"/>
        </w:rPr>
        <w:t xml:space="preserve">avec </w:t>
      </w:r>
      <w:r w:rsidR="00D1570C" w:rsidRPr="007F2201">
        <w:rPr>
          <w:rFonts w:cs="Segoe UI"/>
          <w:lang w:eastAsia="fr-FR"/>
        </w:rPr>
        <w:t>2</w:t>
      </w:r>
      <w:r w:rsidR="00752D63" w:rsidRPr="007F2201">
        <w:rPr>
          <w:rFonts w:cs="Segoe UI"/>
          <w:lang w:eastAsia="fr-FR"/>
        </w:rPr>
        <w:t>3</w:t>
      </w:r>
      <w:r w:rsidRPr="00DA7F46">
        <w:rPr>
          <w:rFonts w:cs="Segoe UI"/>
          <w:lang w:eastAsia="fr-FR"/>
        </w:rPr>
        <w:t>,</w:t>
      </w:r>
      <w:r w:rsidR="00752D63" w:rsidRPr="007F2201">
        <w:rPr>
          <w:rFonts w:cs="Segoe UI"/>
          <w:lang w:eastAsia="fr-FR"/>
        </w:rPr>
        <w:t>0</w:t>
      </w:r>
      <w:r w:rsidRPr="00DA7F46">
        <w:rPr>
          <w:rFonts w:cs="Segoe UI"/>
          <w:lang w:eastAsia="fr-FR"/>
        </w:rPr>
        <w:t xml:space="preserve"> M d’EUR</w:t>
      </w:r>
      <w:r w:rsidR="00752D63" w:rsidRPr="007F2201">
        <w:rPr>
          <w:rFonts w:cs="Segoe UI"/>
          <w:lang w:eastAsia="fr-FR"/>
        </w:rPr>
        <w:t xml:space="preserve"> (-50,0%)</w:t>
      </w:r>
      <w:r w:rsidR="007F2201" w:rsidRPr="007F2201">
        <w:rPr>
          <w:rFonts w:cs="Segoe UI"/>
          <w:lang w:eastAsia="fr-FR"/>
        </w:rPr>
        <w:t xml:space="preserve"> d’importation</w:t>
      </w:r>
      <w:r w:rsidR="007F2201">
        <w:rPr>
          <w:rFonts w:cs="Segoe UI"/>
          <w:lang w:eastAsia="fr-FR"/>
        </w:rPr>
        <w:t>s</w:t>
      </w:r>
      <w:r w:rsidRPr="00DA7F46">
        <w:rPr>
          <w:rFonts w:cs="Segoe UI"/>
          <w:lang w:eastAsia="fr-FR"/>
        </w:rPr>
        <w:t xml:space="preserve">, </w:t>
      </w:r>
      <w:r w:rsidR="00752D63" w:rsidRPr="007F2201">
        <w:rPr>
          <w:rFonts w:cs="Segoe UI"/>
          <w:lang w:eastAsia="fr-FR"/>
        </w:rPr>
        <w:t xml:space="preserve">principalement des pastèques (64,4% des importations de fruits en provenance de Mauritanie) et des dates fraîches (35,1% des importations de fruits). </w:t>
      </w:r>
      <w:r w:rsidRPr="00DA7F46">
        <w:rPr>
          <w:rFonts w:cs="Segoe UI"/>
          <w:lang w:eastAsia="fr-FR"/>
        </w:rPr>
        <w:t xml:space="preserve">Le deuxième poste à l’importation est le poste </w:t>
      </w:r>
      <w:r w:rsidR="00752D63" w:rsidRPr="007F2201">
        <w:rPr>
          <w:rFonts w:cs="Segoe UI"/>
          <w:b/>
          <w:bCs/>
          <w:i/>
          <w:iCs/>
          <w:lang w:eastAsia="fr-FR"/>
        </w:rPr>
        <w:t xml:space="preserve">Produits de la pêche </w:t>
      </w:r>
      <w:r w:rsidRPr="00DA7F46">
        <w:rPr>
          <w:rFonts w:cs="Segoe UI"/>
          <w:lang w:eastAsia="fr-FR"/>
        </w:rPr>
        <w:t xml:space="preserve">pour </w:t>
      </w:r>
      <w:r w:rsidR="00752D63" w:rsidRPr="007F2201">
        <w:rPr>
          <w:rFonts w:cs="Segoe UI"/>
          <w:lang w:eastAsia="fr-FR"/>
        </w:rPr>
        <w:t>21,2</w:t>
      </w:r>
      <w:r w:rsidRPr="00DA7F46">
        <w:rPr>
          <w:rFonts w:cs="Segoe UI"/>
          <w:lang w:eastAsia="fr-FR"/>
        </w:rPr>
        <w:t xml:space="preserve"> M d’EUR (</w:t>
      </w:r>
      <w:r w:rsidR="007F2201" w:rsidRPr="007F2201">
        <w:rPr>
          <w:rFonts w:cs="Segoe UI"/>
          <w:lang w:eastAsia="fr-FR"/>
        </w:rPr>
        <w:t xml:space="preserve">+4,9 </w:t>
      </w:r>
      <w:r w:rsidRPr="00DA7F46">
        <w:rPr>
          <w:rFonts w:cs="Segoe UI"/>
          <w:lang w:eastAsia="fr-FR"/>
        </w:rPr>
        <w:t>%)</w:t>
      </w:r>
      <w:r w:rsidR="007F2201">
        <w:rPr>
          <w:rFonts w:cs="Segoe UI"/>
          <w:lang w:eastAsia="fr-FR"/>
        </w:rPr>
        <w:t xml:space="preserve"> d’importations</w:t>
      </w:r>
      <w:r w:rsidRPr="00DA7F46">
        <w:rPr>
          <w:rFonts w:cs="Segoe UI"/>
          <w:lang w:eastAsia="fr-FR"/>
        </w:rPr>
        <w:t>, principalement d</w:t>
      </w:r>
      <w:r w:rsidR="00751A63">
        <w:rPr>
          <w:rFonts w:cs="Segoe UI"/>
          <w:lang w:eastAsia="fr-FR"/>
        </w:rPr>
        <w:t>es huiles (12,5 M d’EUR, +6,2%), des poissons frais ou réfrigérés (1,5 M d’EUR, -23,6%) et des mollusques (1,2 M d’EUR, +155,3%)</w:t>
      </w:r>
      <w:r w:rsidRPr="00DA7F46">
        <w:rPr>
          <w:rFonts w:cs="Segoe UI"/>
          <w:lang w:eastAsia="fr-FR"/>
        </w:rPr>
        <w:t>.</w:t>
      </w:r>
      <w:r w:rsidR="007F2201" w:rsidRPr="007F2201">
        <w:rPr>
          <w:rFonts w:cs="Segoe UI"/>
          <w:lang w:eastAsia="fr-FR"/>
        </w:rPr>
        <w:t xml:space="preserve"> </w:t>
      </w:r>
      <w:r w:rsidRPr="007F2201">
        <w:rPr>
          <w:rFonts w:cs="Segoe UI"/>
          <w:b/>
          <w:bCs/>
          <w:lang w:eastAsia="fr-FR"/>
        </w:rPr>
        <w:t xml:space="preserve">Les deux postes représentent </w:t>
      </w:r>
      <w:r w:rsidR="007F2201" w:rsidRPr="007F2201">
        <w:rPr>
          <w:rFonts w:cs="Segoe UI"/>
          <w:b/>
          <w:bCs/>
          <w:lang w:eastAsia="fr-FR"/>
        </w:rPr>
        <w:t>99,7</w:t>
      </w:r>
      <w:r w:rsidRPr="007F2201">
        <w:rPr>
          <w:rFonts w:cs="Segoe UI"/>
          <w:b/>
          <w:bCs/>
          <w:lang w:eastAsia="fr-FR"/>
        </w:rPr>
        <w:t>% des importations françaises en provenance de</w:t>
      </w:r>
      <w:r w:rsidR="007F2201" w:rsidRPr="007F2201">
        <w:rPr>
          <w:rFonts w:cs="Segoe UI"/>
          <w:b/>
          <w:bCs/>
          <w:lang w:eastAsia="fr-FR"/>
        </w:rPr>
        <w:t xml:space="preserve"> Mauritanie</w:t>
      </w:r>
      <w:r w:rsidRPr="007F2201">
        <w:rPr>
          <w:rFonts w:cs="Segoe UI"/>
          <w:b/>
          <w:bCs/>
          <w:lang w:eastAsia="fr-FR"/>
        </w:rPr>
        <w:t>.</w:t>
      </w:r>
    </w:p>
    <w:p w14:paraId="7FD416E1" w14:textId="7413AED8" w:rsidR="00DA7F46" w:rsidRDefault="00DA7F46" w:rsidP="00DA7F46">
      <w:pPr>
        <w:spacing w:after="0"/>
      </w:pPr>
    </w:p>
    <w:bookmarkEnd w:id="22"/>
    <w:p w14:paraId="32279379" w14:textId="77777777" w:rsidR="006E5C68" w:rsidRPr="00785965" w:rsidRDefault="006E5C68" w:rsidP="00DA7F46">
      <w:pPr>
        <w:spacing w:after="0"/>
      </w:pPr>
    </w:p>
    <w:p w14:paraId="4D2E1B20" w14:textId="211C379F" w:rsidR="004B1024" w:rsidRDefault="00BF3BCA" w:rsidP="00DB2A02">
      <w:pPr>
        <w:pStyle w:val="Titre1"/>
        <w:spacing w:before="0" w:after="0"/>
      </w:pPr>
      <w:r w:rsidRPr="00785965">
        <w:t>Accords internationaux</w:t>
      </w:r>
    </w:p>
    <w:p w14:paraId="01419B5D" w14:textId="77777777" w:rsidR="000A3547" w:rsidRDefault="000A3547" w:rsidP="00DB2A02">
      <w:pPr>
        <w:spacing w:after="0"/>
        <w:rPr>
          <w:b/>
          <w:bCs/>
        </w:rPr>
      </w:pPr>
    </w:p>
    <w:p w14:paraId="528EA2C1" w14:textId="37C45019" w:rsidR="007449B7" w:rsidRPr="007449B7" w:rsidRDefault="007449B7" w:rsidP="00DB2A02">
      <w:pPr>
        <w:spacing w:after="0"/>
      </w:pPr>
      <w:r w:rsidRPr="007449B7">
        <w:rPr>
          <w:b/>
          <w:bCs/>
        </w:rPr>
        <w:t>La Mauritanie est membre de l’Organisation mondiale du commerce (OMC) depuis 1995, après avoir été membre du GATT.</w:t>
      </w:r>
      <w:r w:rsidRPr="007449B7">
        <w:t xml:space="preserve"> Cet ancrage impose des disciplines sur les droits de douane, les subventions, les mesures non tarifaires et la résolution des différends, et sécurise l’accès aux marchés pour les exportations de minerais, de poissons et, désormais, d’hydrocarbures. Dans la durée, ce cadre multilatéral a contribué à ouvrir et stabiliser le régime commercial, en complément des accords bilatéraux</w:t>
      </w:r>
      <w:r w:rsidR="00D2312C">
        <w:t>.</w:t>
      </w:r>
    </w:p>
    <w:p w14:paraId="78638BF5" w14:textId="550FC27A" w:rsidR="000A3547" w:rsidRDefault="000A3547" w:rsidP="00DB2A02">
      <w:pPr>
        <w:spacing w:after="0"/>
        <w:rPr>
          <w:b/>
          <w:bCs/>
        </w:rPr>
      </w:pPr>
    </w:p>
    <w:p w14:paraId="72B73272" w14:textId="77777777" w:rsidR="00FE32E1" w:rsidRDefault="00FE32E1" w:rsidP="00FE32E1">
      <w:pPr>
        <w:spacing w:after="0"/>
        <w:rPr>
          <w:b/>
          <w:bCs/>
        </w:rPr>
      </w:pPr>
      <w:r w:rsidRPr="007449B7">
        <w:rPr>
          <w:b/>
          <w:bCs/>
        </w:rPr>
        <w:lastRenderedPageBreak/>
        <w:t xml:space="preserve">Concernant les communautés économiques régionale, la Mauritanie a été membre fondateur de la CEDEAO </w:t>
      </w:r>
      <w:r w:rsidRPr="00FE32E1">
        <w:t>et a historiquement cherché à aligner ses priorités sur les cadres régionaux, dont la Politique Agricole Commune (ECOWAP)</w:t>
      </w:r>
      <w:r>
        <w:rPr>
          <w:b/>
          <w:bCs/>
        </w:rPr>
        <w:t xml:space="preserve"> </w:t>
      </w:r>
      <w:r w:rsidRPr="007449B7">
        <w:rPr>
          <w:b/>
          <w:bCs/>
        </w:rPr>
        <w:t>avant de s’en retirer en 2000, puis de signer un accord d’association en 2017</w:t>
      </w:r>
      <w:r>
        <w:rPr>
          <w:b/>
          <w:bCs/>
        </w:rPr>
        <w:t xml:space="preserve">. </w:t>
      </w:r>
    </w:p>
    <w:p w14:paraId="58A4A2D4" w14:textId="77777777" w:rsidR="00FE32E1" w:rsidRDefault="00FE32E1" w:rsidP="00DB2A02">
      <w:pPr>
        <w:spacing w:after="0"/>
        <w:rPr>
          <w:b/>
          <w:bCs/>
        </w:rPr>
      </w:pPr>
    </w:p>
    <w:p w14:paraId="1EF28D7B" w14:textId="77777777" w:rsidR="006E5C68" w:rsidRDefault="006E5C68" w:rsidP="002847E8">
      <w:pPr>
        <w:spacing w:after="0"/>
        <w:rPr>
          <w:b/>
          <w:bCs/>
        </w:rPr>
      </w:pPr>
    </w:p>
    <w:p w14:paraId="0A4A3829" w14:textId="1653911C" w:rsidR="002847E8" w:rsidRDefault="002847E8" w:rsidP="002847E8">
      <w:pPr>
        <w:spacing w:after="0"/>
      </w:pPr>
      <w:r w:rsidRPr="007449B7">
        <w:rPr>
          <w:b/>
          <w:bCs/>
        </w:rPr>
        <w:t xml:space="preserve">La Mauritanie a signé l’accord établissant la </w:t>
      </w:r>
      <w:proofErr w:type="spellStart"/>
      <w:r w:rsidRPr="007449B7">
        <w:rPr>
          <w:b/>
          <w:bCs/>
        </w:rPr>
        <w:t>ZLECAf</w:t>
      </w:r>
      <w:proofErr w:type="spellEnd"/>
      <w:r w:rsidRPr="007449B7">
        <w:rPr>
          <w:b/>
          <w:bCs/>
        </w:rPr>
        <w:t xml:space="preserve"> le 21 mars 2018 et l’a ratifié, avec dépôt des instruments en février 2019, ce qui en fait l’un des premiers pays africains à s’engager. </w:t>
      </w:r>
      <w:r w:rsidRPr="007449B7">
        <w:t>L’objectif est la suppression progressive des droits de douane sur une large part des échanges intra-africains. Pour l’instant, l’impact réel reste limité (mise en œuvre encore lente), mais à moyen terme cela peut faciliter la diversification des exportations mauritaniennes vers le reste du continent et réduire la dépendance vis-à-vis de quelques grands clients</w:t>
      </w:r>
      <w:r>
        <w:t>, comme la Chine et l’UE.</w:t>
      </w:r>
    </w:p>
    <w:p w14:paraId="70A90AB0" w14:textId="200BF88D" w:rsidR="002847E8" w:rsidRDefault="002847E8" w:rsidP="002847E8">
      <w:pPr>
        <w:spacing w:after="0"/>
      </w:pPr>
    </w:p>
    <w:p w14:paraId="085F2B10" w14:textId="770E25EA" w:rsidR="002847E8" w:rsidRDefault="002847E8" w:rsidP="002847E8">
      <w:pPr>
        <w:spacing w:after="0"/>
      </w:pPr>
      <w:r>
        <w:t xml:space="preserve">La Mauritanie </w:t>
      </w:r>
      <w:r w:rsidRPr="007449B7">
        <w:t xml:space="preserve">est aussi </w:t>
      </w:r>
      <w:r w:rsidRPr="002847E8">
        <w:rPr>
          <w:b/>
          <w:bCs/>
        </w:rPr>
        <w:t>membre de l’Union du Maghreb arabe (UMA)</w:t>
      </w:r>
      <w:r w:rsidRPr="007449B7">
        <w:t xml:space="preserve"> et de la </w:t>
      </w:r>
      <w:r w:rsidRPr="002847E8">
        <w:rPr>
          <w:b/>
          <w:bCs/>
        </w:rPr>
        <w:t>Communauté des États sahélo-sahariens (CEN-SAD)</w:t>
      </w:r>
      <w:r w:rsidRPr="007449B7">
        <w:t>, mais ces organisations ont eu peu de retombées concrètes en termes de commerce régional. Enfin, le G5 Sahel, dont le secrétariat permanent est à Nouakchott, canalise surtout des financements de sécurité et de développement liés à la lutte contre le terrorisme, avec des effets économiques indirects (infrastructures, projets ruraux, emplois dans les forces de sécurité).</w:t>
      </w:r>
    </w:p>
    <w:p w14:paraId="249CCD68" w14:textId="77777777" w:rsidR="002847E8" w:rsidRDefault="002847E8" w:rsidP="002847E8">
      <w:pPr>
        <w:spacing w:after="0"/>
      </w:pPr>
    </w:p>
    <w:p w14:paraId="74BB9E5D" w14:textId="3884A05E" w:rsidR="00047A55" w:rsidRPr="00047A55" w:rsidRDefault="000A2ACD" w:rsidP="00DB2A02">
      <w:pPr>
        <w:spacing w:after="0"/>
      </w:pPr>
      <w:r w:rsidRPr="000A2ACD">
        <w:rPr>
          <w:b/>
          <w:bCs/>
        </w:rPr>
        <w:t>Avec l’Union européenne</w:t>
      </w:r>
      <w:r>
        <w:t xml:space="preserve">, </w:t>
      </w:r>
      <w:r w:rsidR="000A3547" w:rsidRPr="000A3547">
        <w:t xml:space="preserve">la Mauritanie est intégrée </w:t>
      </w:r>
      <w:r>
        <w:t xml:space="preserve">depuis 2020 </w:t>
      </w:r>
      <w:r w:rsidR="000A3547" w:rsidRPr="000A3547">
        <w:t>au grand partenariat ACP–U</w:t>
      </w:r>
      <w:r w:rsidR="000A3547">
        <w:t>nion européenne</w:t>
      </w:r>
      <w:r w:rsidR="000A3547" w:rsidRPr="000A3547">
        <w:t xml:space="preserve"> (accord de Cotonou, aujourd’hui remplacé par </w:t>
      </w:r>
      <w:r w:rsidR="000A3547" w:rsidRPr="00FE32E1">
        <w:t>l’</w:t>
      </w:r>
      <w:r w:rsidR="000A3547" w:rsidRPr="00FE32E1">
        <w:rPr>
          <w:b/>
          <w:bCs/>
        </w:rPr>
        <w:t>Accord de Samoa</w:t>
      </w:r>
      <w:r w:rsidR="000A3547" w:rsidRPr="000A3547">
        <w:t xml:space="preserve">), qui organise l’aide, les préférences commerciales et les futurs accords de partenariat économique (APE). </w:t>
      </w:r>
      <w:r w:rsidR="00FE32E1" w:rsidRPr="00FE32E1">
        <w:t>La Mauritanie a participé aux négociations d</w:t>
      </w:r>
      <w:r w:rsidR="00FE32E1">
        <w:t>e</w:t>
      </w:r>
      <w:r w:rsidR="00FE32E1" w:rsidRPr="00FE32E1">
        <w:t xml:space="preserve"> </w:t>
      </w:r>
      <w:r w:rsidR="00FE32E1">
        <w:t>l’</w:t>
      </w:r>
      <w:r w:rsidR="00FE32E1" w:rsidRPr="00FE32E1">
        <w:t xml:space="preserve">accord de partenariat économique (APE) régional avec l’Union européenne via le bloc Afrique de l’Ouest. </w:t>
      </w:r>
      <w:r w:rsidR="000A3547" w:rsidRPr="000A3547">
        <w:t>L’U</w:t>
      </w:r>
      <w:r w:rsidR="000A3547">
        <w:t>nion européenne</w:t>
      </w:r>
      <w:r w:rsidR="000A3547" w:rsidRPr="000A3547">
        <w:t xml:space="preserve"> est l’un des principaux partenaires commerciaux du pays et absorbe une part importante des exportations (minerais, poissons, produits de la mer).</w:t>
      </w:r>
      <w:r w:rsidR="00720DC1">
        <w:t xml:space="preserve"> </w:t>
      </w:r>
      <w:r w:rsidR="00047A55" w:rsidRPr="00720DC1">
        <w:t xml:space="preserve">Avec l’Union européenne, la Mauritanie applique </w:t>
      </w:r>
      <w:r w:rsidR="00720DC1">
        <w:t xml:space="preserve">également </w:t>
      </w:r>
      <w:r w:rsidR="00047A55" w:rsidRPr="00720DC1">
        <w:t>un</w:t>
      </w:r>
      <w:r w:rsidR="00047A55" w:rsidRPr="00047A55">
        <w:rPr>
          <w:b/>
          <w:bCs/>
        </w:rPr>
        <w:t xml:space="preserve"> accord de partenariat pour une pêche couvrant la période 2021–2026</w:t>
      </w:r>
      <w:r w:rsidR="008E48EB">
        <w:rPr>
          <w:b/>
          <w:bCs/>
        </w:rPr>
        <w:t xml:space="preserve"> qui en </w:t>
      </w:r>
      <w:r w:rsidR="00047A55" w:rsidRPr="00047A55">
        <w:t>contrepartie</w:t>
      </w:r>
      <w:r w:rsidR="008E48EB">
        <w:t xml:space="preserve"> des tonnages péchés</w:t>
      </w:r>
      <w:r w:rsidR="00047A55" w:rsidRPr="00047A55">
        <w:t>,</w:t>
      </w:r>
      <w:r w:rsidR="00FE32E1">
        <w:t xml:space="preserve"> </w:t>
      </w:r>
      <w:r w:rsidR="00FE32E1" w:rsidRPr="00FE32E1">
        <w:t xml:space="preserve">prévoit une compensation annuelle totale de 57,5 M d’EUR, répartie ainsi : 16,5 M EUR pour l’accès aux ressources, 16 M EUR pour le soutien sectoriel, environ 25 M d’EUR de redevances des armateurs européens. </w:t>
      </w:r>
    </w:p>
    <w:p w14:paraId="110A39D0" w14:textId="33515E4D" w:rsidR="000A2ACD" w:rsidRDefault="000A2ACD" w:rsidP="000A2ACD">
      <w:pPr>
        <w:spacing w:after="0"/>
        <w:rPr>
          <w:rFonts w:cs="Arial"/>
        </w:rPr>
      </w:pPr>
    </w:p>
    <w:p w14:paraId="539B858A" w14:textId="77777777" w:rsidR="006E5C68" w:rsidRPr="000A2ACD" w:rsidRDefault="006E5C68" w:rsidP="000A2ACD">
      <w:pPr>
        <w:spacing w:after="0"/>
        <w:rPr>
          <w:rFonts w:cs="Arial"/>
        </w:rPr>
      </w:pPr>
    </w:p>
    <w:p w14:paraId="50589696" w14:textId="77777777" w:rsidR="000A2ACD" w:rsidRPr="000A2ACD" w:rsidRDefault="000A2ACD" w:rsidP="000A2ACD">
      <w:pPr>
        <w:spacing w:after="0"/>
        <w:jc w:val="left"/>
        <w:rPr>
          <w:rFonts w:eastAsia="Segoe UI" w:cs="Segoe UI"/>
          <w:b/>
          <w:color w:val="FFC000"/>
          <w:sz w:val="26"/>
          <w:szCs w:val="26"/>
        </w:rPr>
      </w:pPr>
      <w:r w:rsidRPr="000A2ACD">
        <w:rPr>
          <w:rFonts w:eastAsia="Segoe UI" w:cs="Segoe UI"/>
          <w:b/>
          <w:color w:val="FFC000"/>
          <w:sz w:val="26"/>
          <w:szCs w:val="26"/>
        </w:rPr>
        <w:t>5. Relations bilatérales</w:t>
      </w:r>
    </w:p>
    <w:p w14:paraId="15E3685B" w14:textId="77777777" w:rsidR="000A2ACD" w:rsidRDefault="000A2ACD" w:rsidP="00DB2A02">
      <w:pPr>
        <w:spacing w:after="0"/>
        <w:rPr>
          <w:b/>
          <w:bCs/>
        </w:rPr>
      </w:pPr>
    </w:p>
    <w:p w14:paraId="3EFAE52A" w14:textId="2D468EF1" w:rsidR="00EC756A" w:rsidRDefault="002A3CD3" w:rsidP="00DB2A02">
      <w:pPr>
        <w:spacing w:after="0"/>
      </w:pPr>
      <w:bookmarkStart w:id="23" w:name="_Hlk222162102"/>
      <w:r w:rsidRPr="002A3CD3">
        <w:rPr>
          <w:b/>
          <w:bCs/>
        </w:rPr>
        <w:t>La France est le premier bailleur d’aide publique au développement en Mauritanie</w:t>
      </w:r>
      <w:r w:rsidR="000A2ACD">
        <w:rPr>
          <w:rFonts w:ascii="Calibri" w:hAnsi="Calibri" w:cs="Calibri"/>
          <w:b/>
          <w:bCs/>
        </w:rPr>
        <w:t xml:space="preserve">. </w:t>
      </w:r>
      <w:r w:rsidR="000A2ACD" w:rsidRPr="000A2ACD">
        <w:t>Tr</w:t>
      </w:r>
      <w:r w:rsidRPr="000A2ACD">
        <w:t>ente-neuf projets de l</w:t>
      </w:r>
      <w:r w:rsidRPr="000A2ACD">
        <w:rPr>
          <w:rFonts w:cs="Marianne"/>
        </w:rPr>
        <w:t>’</w:t>
      </w:r>
      <w:r w:rsidRPr="000A2ACD">
        <w:t>Agence Fran</w:t>
      </w:r>
      <w:r w:rsidRPr="000A2ACD">
        <w:rPr>
          <w:rFonts w:cs="Marianne"/>
        </w:rPr>
        <w:t>ç</w:t>
      </w:r>
      <w:r w:rsidRPr="000A2ACD">
        <w:t xml:space="preserve">aise de Développement (AFD) sont actuellement en cours d’exécution en Mauritanie, pour une valeur de 267,5 M EUR, </w:t>
      </w:r>
      <w:r w:rsidR="00EC756A" w:rsidRPr="000A2ACD">
        <w:t>dont 23% sont consacrés au secteur agricole</w:t>
      </w:r>
      <w:r w:rsidR="00A46EDF" w:rsidRPr="000A2ACD">
        <w:rPr>
          <w:rStyle w:val="Appelnotedebasdep"/>
        </w:rPr>
        <w:footnoteReference w:id="22"/>
      </w:r>
      <w:r w:rsidR="00EC756A" w:rsidRPr="000A2ACD">
        <w:t>.</w:t>
      </w:r>
      <w:r w:rsidR="00EC756A" w:rsidRPr="00EC756A">
        <w:t xml:space="preserve"> </w:t>
      </w:r>
      <w:r w:rsidR="007F270E">
        <w:t>L’</w:t>
      </w:r>
      <w:r w:rsidR="007F270E" w:rsidRPr="002A3CD3">
        <w:t>investissement</w:t>
      </w:r>
      <w:r w:rsidR="007F270E">
        <w:t xml:space="preserve"> français</w:t>
      </w:r>
      <w:r w:rsidR="007F270E" w:rsidRPr="002A3CD3">
        <w:t xml:space="preserve"> solidaire et durable atteint près de 100 M</w:t>
      </w:r>
      <w:r w:rsidR="007F270E">
        <w:t xml:space="preserve"> EUR</w:t>
      </w:r>
      <w:r w:rsidR="007F270E" w:rsidRPr="002A3CD3">
        <w:t xml:space="preserve"> par an, soit un des plus hauts niveaux par rapport au nombre d’habitants.</w:t>
      </w:r>
      <w:r w:rsidR="007F270E">
        <w:t xml:space="preserve"> </w:t>
      </w:r>
      <w:r w:rsidR="00EC756A" w:rsidRPr="00EC756A">
        <w:t>Les interventions portent</w:t>
      </w:r>
      <w:r w:rsidR="007F270E">
        <w:t xml:space="preserve"> notamment</w:t>
      </w:r>
      <w:r w:rsidR="00EC756A" w:rsidRPr="00EC756A">
        <w:t xml:space="preserve"> sur l’eau, l’énergie, l’éducation, la santé et surtout le développement rural. Le projet SAP3C et un don de 16 </w:t>
      </w:r>
      <w:r w:rsidR="00C615B7">
        <w:t>M EUR</w:t>
      </w:r>
      <w:r w:rsidR="00EC756A" w:rsidRPr="00EC756A">
        <w:t xml:space="preserve"> pour la structuration de filières agro-pastorales illustrent l’appui à la sécurité alimentaire et à la résilience climatique.</w:t>
      </w:r>
    </w:p>
    <w:bookmarkEnd w:id="23"/>
    <w:p w14:paraId="74C1CE3F" w14:textId="466EF080" w:rsidR="000A2ACD" w:rsidRPr="00EC756A" w:rsidRDefault="00CD61D7" w:rsidP="000A2ACD">
      <w:pPr>
        <w:spacing w:after="0"/>
      </w:pPr>
      <w:r>
        <w:br/>
        <w:t xml:space="preserve">La </w:t>
      </w:r>
      <w:r w:rsidR="000A2ACD" w:rsidRPr="00EC756A">
        <w:t>PROPARCO</w:t>
      </w:r>
      <w:r w:rsidR="000A2ACD">
        <w:t>,</w:t>
      </w:r>
      <w:r w:rsidR="000A2ACD" w:rsidRPr="00EC756A">
        <w:t xml:space="preserve"> </w:t>
      </w:r>
      <w:r w:rsidR="000A2ACD" w:rsidRPr="002E4B43">
        <w:t xml:space="preserve">filiale du groupe AFD, </w:t>
      </w:r>
      <w:r w:rsidR="000A2ACD" w:rsidRPr="00EC756A">
        <w:t>accompagne par ailleurs le développement du secteur privé, en particulier dans l’agro-transformation.</w:t>
      </w:r>
      <w:r w:rsidR="000A2ACD">
        <w:t xml:space="preserve"> PROPARCO </w:t>
      </w:r>
      <w:r w:rsidR="000A2ACD" w:rsidRPr="002E4B43">
        <w:t>a</w:t>
      </w:r>
      <w:r w:rsidR="000A2ACD">
        <w:t xml:space="preserve"> récemment accordé</w:t>
      </w:r>
      <w:r w:rsidR="000A2ACD" w:rsidRPr="002E4B43">
        <w:rPr>
          <w:rFonts w:ascii="Calibri" w:hAnsi="Calibri" w:cs="Calibri"/>
        </w:rPr>
        <w:t> </w:t>
      </w:r>
      <w:r w:rsidR="000A2ACD" w:rsidRPr="002E4B43">
        <w:t xml:space="preserve">une enveloppe de 40 </w:t>
      </w:r>
      <w:r w:rsidR="000A2ACD">
        <w:t>M EUR</w:t>
      </w:r>
      <w:r w:rsidR="000A2ACD" w:rsidRPr="002E4B43">
        <w:t xml:space="preserve"> </w:t>
      </w:r>
      <w:r w:rsidR="000A2ACD" w:rsidRPr="002E4B43">
        <w:rPr>
          <w:rFonts w:cs="Marianne"/>
        </w:rPr>
        <w:t>à</w:t>
      </w:r>
      <w:r w:rsidR="000A2ACD" w:rsidRPr="002E4B43">
        <w:t xml:space="preserve"> trois banques locales pour soutenir les importations alimentaires et agricoles. Il s’agit de la </w:t>
      </w:r>
      <w:r w:rsidR="000A2ACD" w:rsidRPr="002E4B43">
        <w:lastRenderedPageBreak/>
        <w:t>Banque El Amana (BEA), la Générale de banque de Mauritanie pour l’investissement et le commerce (GBM) et la Banque mauritanienne de l’investissement (BMI).</w:t>
      </w:r>
    </w:p>
    <w:p w14:paraId="06E6780A" w14:textId="77777777" w:rsidR="000A2ACD" w:rsidRPr="00EC756A" w:rsidRDefault="000A2ACD" w:rsidP="00DB2A02">
      <w:pPr>
        <w:spacing w:after="0"/>
      </w:pPr>
    </w:p>
    <w:p w14:paraId="3A3661DC" w14:textId="53BDE45E" w:rsidR="00EC756A" w:rsidRPr="000A2ACD" w:rsidRDefault="00EC756A" w:rsidP="00DB2A02">
      <w:pPr>
        <w:spacing w:after="0"/>
      </w:pPr>
      <w:r w:rsidRPr="000A2ACD">
        <w:rPr>
          <w:b/>
          <w:bCs/>
        </w:rPr>
        <w:t>L’IRD et le CIRAD sont activement présents</w:t>
      </w:r>
      <w:r w:rsidRPr="007F270E">
        <w:rPr>
          <w:b/>
          <w:bCs/>
        </w:rPr>
        <w:t xml:space="preserve">, </w:t>
      </w:r>
      <w:r w:rsidRPr="000A2ACD">
        <w:t>menant des programmes sur la santé, l’environnement et l’</w:t>
      </w:r>
      <w:r w:rsidR="00C615B7" w:rsidRPr="000A2ACD">
        <w:t>agroécologie</w:t>
      </w:r>
      <w:r w:rsidRPr="000A2ACD">
        <w:t xml:space="preserve">, notamment autour du pastoralisme et de la gestion durable des ressources naturelles. </w:t>
      </w:r>
    </w:p>
    <w:p w14:paraId="33CCC490" w14:textId="09FEAA87" w:rsidR="000A2ACD" w:rsidRDefault="000A2ACD" w:rsidP="00DB2A02">
      <w:pPr>
        <w:spacing w:after="0"/>
        <w:rPr>
          <w:b/>
          <w:bCs/>
        </w:rPr>
      </w:pPr>
    </w:p>
    <w:p w14:paraId="638BAB9E" w14:textId="4CAB08AB" w:rsidR="00A46EDF" w:rsidRDefault="00681319" w:rsidP="00DB2A02">
      <w:pPr>
        <w:spacing w:after="0"/>
      </w:pPr>
      <w:r w:rsidRPr="00681319">
        <w:rPr>
          <w:b/>
          <w:bCs/>
        </w:rPr>
        <w:t>Une cinquantaine d’entreprises françaises, dont 19 filiales de groupes français, sont actives dans le pays et génèrent environ 2600 emplois.</w:t>
      </w:r>
      <w:r w:rsidRPr="00681319">
        <w:t xml:space="preserve"> Ces entreprises bénéficient pour plusieurs d’une installation de longue date dans le pays et dans la sous-région.</w:t>
      </w:r>
      <w:r w:rsidR="004A5898" w:rsidRPr="004A5898">
        <w:t xml:space="preserve"> Dans le secteur de l’agriculture, </w:t>
      </w:r>
      <w:bookmarkStart w:id="24" w:name="_Hlk222162048"/>
      <w:r w:rsidR="004A5898" w:rsidRPr="004A5898">
        <w:t xml:space="preserve">quelques investisseurs ont lancé des projets de production fourragère </w:t>
      </w:r>
      <w:bookmarkEnd w:id="24"/>
      <w:r w:rsidR="004A5898" w:rsidRPr="004A5898">
        <w:t>et maraichère.</w:t>
      </w:r>
    </w:p>
    <w:p w14:paraId="589C44A0" w14:textId="20F1686B" w:rsidR="00A46EDF" w:rsidRDefault="00A46EDF" w:rsidP="00DB2A02">
      <w:pPr>
        <w:spacing w:after="0"/>
      </w:pPr>
    </w:p>
    <w:p w14:paraId="1B42C67C" w14:textId="1AA3AB0C" w:rsidR="00A46EDF" w:rsidRDefault="00A46EDF" w:rsidP="00DB2A02">
      <w:pPr>
        <w:spacing w:after="0"/>
      </w:pPr>
    </w:p>
    <w:p w14:paraId="080301C5" w14:textId="16FC5A05" w:rsidR="00A46EDF" w:rsidRDefault="00A46EDF" w:rsidP="00DB2A02">
      <w:pPr>
        <w:spacing w:after="0"/>
      </w:pPr>
    </w:p>
    <w:p w14:paraId="7E0E0003" w14:textId="752DECA3" w:rsidR="00A46EDF" w:rsidRDefault="00A46EDF" w:rsidP="00DB2A02">
      <w:pPr>
        <w:spacing w:after="0"/>
      </w:pPr>
    </w:p>
    <w:p w14:paraId="3AA97169" w14:textId="2ADF2671" w:rsidR="00A46EDF" w:rsidRDefault="00A46EDF" w:rsidP="00DB2A02">
      <w:pPr>
        <w:spacing w:after="0"/>
      </w:pPr>
    </w:p>
    <w:p w14:paraId="613E8ABB" w14:textId="6A1621FE" w:rsidR="00842707" w:rsidRPr="00842707" w:rsidRDefault="006E5C68" w:rsidP="00DB2A02">
      <w:pPr>
        <w:spacing w:after="0"/>
      </w:pPr>
      <w:r w:rsidRPr="00785965">
        <w:rPr>
          <w:noProof/>
        </w:rPr>
        <mc:AlternateContent>
          <mc:Choice Requires="wps">
            <w:drawing>
              <wp:anchor distT="0" distB="0" distL="114300" distR="114300" simplePos="0" relativeHeight="251667456" behindDoc="1" locked="0" layoutInCell="1" allowOverlap="1" wp14:anchorId="1E5BF8D3" wp14:editId="6E23059B">
                <wp:simplePos x="0" y="0"/>
                <wp:positionH relativeFrom="page">
                  <wp:align>right</wp:align>
                </wp:positionH>
                <wp:positionV relativeFrom="page">
                  <wp:posOffset>7690485</wp:posOffset>
                </wp:positionV>
                <wp:extent cx="7549116" cy="1677726"/>
                <wp:effectExtent l="0" t="0" r="0" b="0"/>
                <wp:wrapNone/>
                <wp:docPr id="3" name="Rectangle 3"/>
                <wp:cNvGraphicFramePr/>
                <a:graphic xmlns:a="http://schemas.openxmlformats.org/drawingml/2006/main">
                  <a:graphicData uri="http://schemas.microsoft.com/office/word/2010/wordprocessingShape">
                    <wps:wsp>
                      <wps:cNvSpPr/>
                      <wps:spPr>
                        <a:xfrm>
                          <a:off x="0" y="0"/>
                          <a:ext cx="7549116" cy="1677726"/>
                        </a:xfrm>
                        <a:prstGeom prst="rect">
                          <a:avLst/>
                        </a:prstGeom>
                        <a:solidFill>
                          <a:srgbClr val="FBE769"/>
                        </a:solidFill>
                        <a:ln w="12700" cap="flat" cmpd="sng" algn="ctr">
                          <a:noFill/>
                          <a:prstDash val="solid"/>
                          <a:miter lim="800000"/>
                        </a:ln>
                        <a:effectLst/>
                      </wps:spPr>
                      <wps:txbx>
                        <w:txbxContent>
                          <w:p w14:paraId="1C3B976E" w14:textId="77777777" w:rsidR="00276A75" w:rsidRPr="00EE5287" w:rsidRDefault="00276A75" w:rsidP="007862CE">
                            <w:pPr>
                              <w:jc w:val="left"/>
                            </w:pPr>
                            <w:r w:rsidRPr="00EE5287">
                              <w:t xml:space="preserve">La direction générale du Trésor est présente dans plus de 100 pays à travers ses Services économiques. </w:t>
                            </w:r>
                            <w:r w:rsidRPr="00EE5287">
                              <w:br/>
                              <w:t xml:space="preserve">Pour en savoir plus sur ses missions et ses implantations : </w:t>
                            </w:r>
                            <w:r w:rsidRPr="00EE5287">
                              <w:br/>
                            </w:r>
                            <w:hyperlink r:id="rId13" w:history="1">
                              <w:r w:rsidRPr="008F51C9">
                                <w:rPr>
                                  <w:rStyle w:val="Lienhypertexte"/>
                                  <w:color w:val="0070C0"/>
                                </w:rPr>
                                <w:t>www.tresor.economie.gouv.fr/tresor-international</w:t>
                              </w:r>
                            </w:hyperlink>
                          </w:p>
                          <w:p w14:paraId="352D117B" w14:textId="77777777" w:rsidR="00276A75" w:rsidRPr="00EE5287" w:rsidRDefault="00276A75" w:rsidP="007862CE">
                            <w:pPr>
                              <w:jc w:val="left"/>
                              <w:rPr>
                                <w:rStyle w:val="Lienhypertexte"/>
                                <w:color w:val="666666" w:themeColor="text1" w:themeTint="99"/>
                              </w:rPr>
                            </w:pPr>
                            <w:r w:rsidRPr="00EE5287">
                              <w:t>Responsable de la publication</w:t>
                            </w:r>
                            <w:r w:rsidRPr="00EE5287">
                              <w:rPr>
                                <w:rFonts w:ascii="Calibri" w:hAnsi="Calibri" w:cs="Calibri"/>
                              </w:rPr>
                              <w:t> </w:t>
                            </w:r>
                            <w:r w:rsidRPr="00EE5287">
                              <w:t xml:space="preserve">: Service économique </w:t>
                            </w:r>
                            <w:r>
                              <w:t xml:space="preserve">régional </w:t>
                            </w:r>
                            <w:r w:rsidRPr="00EE5287">
                              <w:t>d</w:t>
                            </w:r>
                            <w:r>
                              <w:t xml:space="preserve">’Abidjan </w:t>
                            </w:r>
                          </w:p>
                          <w:p w14:paraId="1D047035" w14:textId="77777777" w:rsidR="00276A75" w:rsidRPr="008F51C9" w:rsidRDefault="00276A75" w:rsidP="007862CE">
                            <w:pPr>
                              <w:pStyle w:val="BREVESECOPieddepage"/>
                              <w:jc w:val="left"/>
                              <w:rPr>
                                <w:rFonts w:ascii="Marianne" w:hAnsi="Marianne"/>
                              </w:rPr>
                            </w:pPr>
                            <w:r w:rsidRPr="008F51C9">
                              <w:rPr>
                                <w:rFonts w:ascii="Marianne" w:hAnsi="Marianne"/>
                              </w:rPr>
                              <w:t>Rédaction</w:t>
                            </w:r>
                            <w:r w:rsidRPr="008F51C9">
                              <w:rPr>
                                <w:rFonts w:ascii="Calibri" w:hAnsi="Calibri" w:cs="Calibri"/>
                              </w:rPr>
                              <w:t> </w:t>
                            </w:r>
                            <w:r w:rsidRPr="008F51C9">
                              <w:rPr>
                                <w:rFonts w:ascii="Marianne" w:hAnsi="Marianne"/>
                              </w:rPr>
                              <w:t>: Régis RAFFIN Conseiller pour les affaires agricoles SER d’Abidjan</w:t>
                            </w:r>
                            <w:r w:rsidRPr="008F51C9">
                              <w:rPr>
                                <w:rFonts w:ascii="Marianne" w:hAnsi="Marianne"/>
                              </w:rPr>
                              <w:br/>
                              <w:t>Abonnez-vous</w:t>
                            </w:r>
                            <w:r w:rsidRPr="008F51C9">
                              <w:rPr>
                                <w:rFonts w:ascii="Calibri" w:hAnsi="Calibri" w:cs="Calibri"/>
                              </w:rPr>
                              <w:t> </w:t>
                            </w:r>
                            <w:r w:rsidRPr="008F51C9">
                              <w:rPr>
                                <w:rFonts w:ascii="Marianne" w:hAnsi="Marianne"/>
                              </w:rPr>
                              <w:t xml:space="preserve">: </w:t>
                            </w:r>
                            <w:r w:rsidRPr="008F51C9">
                              <w:rPr>
                                <w:rFonts w:ascii="Marianne" w:hAnsi="Marianne"/>
                                <w:color w:val="0070C0"/>
                                <w:u w:val="single"/>
                              </w:rPr>
                              <w:t>regis.raffin@dgtresor.gouv.fr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BF8D3" id="Rectangle 3" o:spid="_x0000_s1027" style="position:absolute;left:0;text-align:left;margin-left:543.2pt;margin-top:605.55pt;width:594.4pt;height:132.1pt;z-index:-2516490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" fillcolor="#fbe769" stroked="f" strokeweight="1pt">
                <v:textbox>
                  <w:txbxContent>
                    <w:p w14:paraId="1C3B976E" w14:textId="77777777" w:rsidR="00276A75" w:rsidRPr="00EE5287" w:rsidRDefault="00276A75" w:rsidP="007862CE">
                      <w:pPr>
                        <w:jc w:val="left"/>
                      </w:pPr>
                      <w:r w:rsidRPr="00EE5287">
                        <w:t xml:space="preserve">La direction générale du Trésor est présente dans plus de 100 pays à travers ses Services économiques. </w:t>
                      </w:r>
                      <w:r w:rsidRPr="00EE5287">
                        <w:br/>
                        <w:t xml:space="preserve">Pour en savoir plus sur ses missions et ses implantations : </w:t>
                      </w:r>
                      <w:r w:rsidRPr="00EE5287">
                        <w:br/>
                      </w:r>
                      <w:hyperlink r:id="rId18" w:history="1">
                        <w:r w:rsidRPr="008F51C9">
                          <w:rPr>
                            <w:rStyle w:val="Lienhypertexte"/>
                            <w:color w:val="0070C0"/>
                          </w:rPr>
                          <w:t>www.tresor.economie.gouv.fr/tresor-international</w:t>
                        </w:r>
                      </w:hyperlink>
                    </w:p>
                    <w:p w14:paraId="352D117B" w14:textId="77777777" w:rsidR="00276A75" w:rsidRPr="00EE5287" w:rsidRDefault="00276A75" w:rsidP="007862CE">
                      <w:pPr>
                        <w:jc w:val="left"/>
                        <w:rPr>
                          <w:rStyle w:val="Lienhypertexte"/>
                          <w:color w:val="666666" w:themeColor="text1" w:themeTint="99"/>
                        </w:rPr>
                      </w:pPr>
                      <w:r w:rsidRPr="00EE5287">
                        <w:t>Responsable de la publication</w:t>
                      </w:r>
                      <w:r w:rsidRPr="00EE5287">
                        <w:rPr>
                          <w:rFonts w:ascii="Calibri" w:hAnsi="Calibri" w:cs="Calibri"/>
                        </w:rPr>
                        <w:t> </w:t>
                      </w:r>
                      <w:r w:rsidRPr="00EE5287">
                        <w:t xml:space="preserve">: Service économique </w:t>
                      </w:r>
                      <w:r>
                        <w:t xml:space="preserve">régional </w:t>
                      </w:r>
                      <w:r w:rsidRPr="00EE5287">
                        <w:t>d</w:t>
                      </w:r>
                      <w:r>
                        <w:t xml:space="preserve">’Abidjan </w:t>
                      </w:r>
                    </w:p>
                    <w:p w14:paraId="1D047035" w14:textId="77777777" w:rsidR="00276A75" w:rsidRPr="008F51C9" w:rsidRDefault="00276A75" w:rsidP="007862CE">
                      <w:pPr>
                        <w:pStyle w:val="BREVESECOPieddepage"/>
                        <w:jc w:val="left"/>
                        <w:rPr>
                          <w:rFonts w:ascii="Marianne" w:hAnsi="Marianne"/>
                        </w:rPr>
                      </w:pPr>
                      <w:r w:rsidRPr="008F51C9">
                        <w:rPr>
                          <w:rFonts w:ascii="Marianne" w:hAnsi="Marianne"/>
                        </w:rPr>
                        <w:t>Rédaction</w:t>
                      </w:r>
                      <w:r w:rsidRPr="008F51C9">
                        <w:rPr>
                          <w:rFonts w:ascii="Calibri" w:hAnsi="Calibri" w:cs="Calibri"/>
                        </w:rPr>
                        <w:t> </w:t>
                      </w:r>
                      <w:r w:rsidRPr="008F51C9">
                        <w:rPr>
                          <w:rFonts w:ascii="Marianne" w:hAnsi="Marianne"/>
                        </w:rPr>
                        <w:t>: Régis RAFFIN Conseiller pour les affaires agricoles SER d’Abidjan</w:t>
                      </w:r>
                      <w:r w:rsidRPr="008F51C9">
                        <w:rPr>
                          <w:rFonts w:ascii="Marianne" w:hAnsi="Marianne"/>
                        </w:rPr>
                        <w:br/>
                        <w:t>Abonnez-vous</w:t>
                      </w:r>
                      <w:r w:rsidRPr="008F51C9">
                        <w:rPr>
                          <w:rFonts w:ascii="Calibri" w:hAnsi="Calibri" w:cs="Calibri"/>
                        </w:rPr>
                        <w:t> </w:t>
                      </w:r>
                      <w:r w:rsidRPr="008F51C9">
                        <w:rPr>
                          <w:rFonts w:ascii="Marianne" w:hAnsi="Marianne"/>
                        </w:rPr>
                        <w:t xml:space="preserve">: </w:t>
                      </w:r>
                      <w:r w:rsidRPr="008F51C9">
                        <w:rPr>
                          <w:rFonts w:ascii="Marianne" w:hAnsi="Marianne"/>
                          <w:color w:val="0070C0"/>
                          <w:u w:val="single"/>
                        </w:rPr>
                        <w:t>regis.raffin@dgtresor.gouv.fr</w:t>
                      </w:r>
                    </w:p>
                  </w:txbxContent>
                </v:textbox>
                <w10:wrap anchorx="page" anchory="page"/>
              </v:rect>
            </w:pict>
          </mc:Fallback>
        </mc:AlternateContent>
      </w:r>
    </w:p>
    <w:sectPr w:rsidR="00842707" w:rsidRPr="00842707" w:rsidSect="00F6752A">
      <w:headerReference w:type="default" r:id="rId19"/>
      <w:pgSz w:w="11906" w:h="16838"/>
      <w:pgMar w:top="1134" w:right="992" w:bottom="567" w:left="1247" w:header="227"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E2C6" w14:textId="77777777" w:rsidR="00707F6B" w:rsidRDefault="00707F6B" w:rsidP="003832D5">
      <w:r>
        <w:separator/>
      </w:r>
    </w:p>
    <w:p w14:paraId="13B4CB15" w14:textId="77777777" w:rsidR="00707F6B" w:rsidRDefault="00707F6B" w:rsidP="003832D5"/>
  </w:endnote>
  <w:endnote w:type="continuationSeparator" w:id="0">
    <w:p w14:paraId="3093643A" w14:textId="77777777" w:rsidR="00707F6B" w:rsidRDefault="00707F6B" w:rsidP="003832D5">
      <w:r>
        <w:continuationSeparator/>
      </w:r>
    </w:p>
    <w:p w14:paraId="2178C18A" w14:textId="77777777" w:rsidR="00707F6B" w:rsidRDefault="00707F6B" w:rsidP="00383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otham-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C74A" w14:textId="77777777" w:rsidR="00707F6B" w:rsidRDefault="00707F6B" w:rsidP="003832D5">
      <w:r>
        <w:separator/>
      </w:r>
    </w:p>
    <w:p w14:paraId="2AB60C12" w14:textId="77777777" w:rsidR="00707F6B" w:rsidRDefault="00707F6B" w:rsidP="003832D5"/>
  </w:footnote>
  <w:footnote w:type="continuationSeparator" w:id="0">
    <w:p w14:paraId="1E18F3AB" w14:textId="77777777" w:rsidR="00707F6B" w:rsidRDefault="00707F6B" w:rsidP="003832D5">
      <w:r>
        <w:continuationSeparator/>
      </w:r>
    </w:p>
    <w:p w14:paraId="3E48AD41" w14:textId="77777777" w:rsidR="00707F6B" w:rsidRDefault="00707F6B" w:rsidP="003832D5"/>
  </w:footnote>
  <w:footnote w:id="1">
    <w:p w14:paraId="47A227FB" w14:textId="77777777" w:rsidR="002415C7" w:rsidRPr="00842707" w:rsidRDefault="002415C7"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F6752A">
        <w:rPr>
          <w:vertAlign w:val="superscript"/>
        </w:rPr>
        <w:t xml:space="preserve"> </w:t>
      </w:r>
      <w:r w:rsidRPr="00842707">
        <w:t>Banque mondiale</w:t>
      </w:r>
    </w:p>
  </w:footnote>
  <w:footnote w:id="2">
    <w:p w14:paraId="32E49F2D" w14:textId="77777777" w:rsidR="002415C7" w:rsidRPr="00842707" w:rsidRDefault="002415C7"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543 965 km² pour la métropole</w:t>
      </w:r>
      <w:r w:rsidRPr="00842707">
        <w:rPr>
          <w:rFonts w:ascii="Calibri" w:hAnsi="Calibri" w:cs="Calibri"/>
        </w:rPr>
        <w:t> </w:t>
      </w:r>
      <w:r w:rsidRPr="00842707">
        <w:t>; la surface Outre-mer est de 89</w:t>
      </w:r>
      <w:r w:rsidRPr="00842707">
        <w:rPr>
          <w:rFonts w:ascii="Calibri" w:hAnsi="Calibri" w:cs="Calibri"/>
        </w:rPr>
        <w:t> </w:t>
      </w:r>
      <w:r w:rsidRPr="00842707">
        <w:t>242 km</w:t>
      </w:r>
      <w:r w:rsidRPr="00842707">
        <w:rPr>
          <w:rFonts w:cs="Marianne"/>
        </w:rPr>
        <w:t>²</w:t>
      </w:r>
      <w:r w:rsidRPr="00842707">
        <w:t xml:space="preserve"> pour les seuls DROM (Source IGN 2016) et monte </w:t>
      </w:r>
      <w:r w:rsidRPr="00842707">
        <w:rPr>
          <w:rFonts w:cs="Marianne"/>
        </w:rPr>
        <w:t>à</w:t>
      </w:r>
      <w:r w:rsidRPr="00842707">
        <w:t xml:space="preserve"> environ 113 000 km</w:t>
      </w:r>
      <w:r w:rsidRPr="00842707">
        <w:rPr>
          <w:rFonts w:cs="Marianne"/>
        </w:rPr>
        <w:t>²</w:t>
      </w:r>
      <w:r w:rsidRPr="00842707">
        <w:t xml:space="preserve"> au total</w:t>
      </w:r>
    </w:p>
  </w:footnote>
  <w:footnote w:id="3">
    <w:p w14:paraId="07BB56C5" w14:textId="77777777" w:rsidR="00F1439A" w:rsidRPr="00842707" w:rsidRDefault="00F1439A"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Rapport sur le développement humain 2021/2022</w:t>
      </w:r>
    </w:p>
  </w:footnote>
  <w:footnote w:id="4">
    <w:p w14:paraId="38FC79BE" w14:textId="77777777" w:rsidR="00F1439A" w:rsidRPr="00842707" w:rsidRDefault="00F1439A"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48D72E03" w14:textId="77777777" w:rsidR="00F1439A" w:rsidRPr="00842707" w:rsidRDefault="00F1439A"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FAO</w:t>
      </w:r>
    </w:p>
  </w:footnote>
  <w:footnote w:id="6">
    <w:p w14:paraId="020D0794" w14:textId="77777777" w:rsidR="00F1439A" w:rsidRPr="00842707" w:rsidRDefault="00F1439A"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Douanes françaises, Trade Data Monitor</w:t>
      </w:r>
    </w:p>
  </w:footnote>
  <w:footnote w:id="7">
    <w:p w14:paraId="48E86E1D" w14:textId="60E5B01B" w:rsidR="00F1439A" w:rsidRPr="00842707" w:rsidRDefault="00F1439A"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w:t>
      </w:r>
      <w:bookmarkStart w:id="2" w:name="_Hlk193653908"/>
      <w:r w:rsidR="00053689">
        <w:rPr>
          <w:rFonts w:ascii="Helvetica" w:hAnsi="Helvetica"/>
        </w:rPr>
        <w:t>D</w:t>
      </w:r>
      <w:r w:rsidR="00053689" w:rsidRPr="00016987">
        <w:rPr>
          <w:rFonts w:ascii="Helvetica" w:hAnsi="Helvetica"/>
        </w:rPr>
        <w:t xml:space="preserve">onnées des </w:t>
      </w:r>
      <w:r w:rsidR="00053689">
        <w:rPr>
          <w:rFonts w:ascii="Helvetica" w:hAnsi="Helvetica"/>
        </w:rPr>
        <w:t xml:space="preserve">douanes des </w:t>
      </w:r>
      <w:r w:rsidR="00053689" w:rsidRPr="00016987">
        <w:rPr>
          <w:rFonts w:ascii="Helvetica" w:hAnsi="Helvetica"/>
        </w:rPr>
        <w:t xml:space="preserve">partenaires </w:t>
      </w:r>
      <w:r w:rsidR="00053689">
        <w:rPr>
          <w:rFonts w:ascii="Helvetica" w:hAnsi="Helvetica"/>
        </w:rPr>
        <w:t xml:space="preserve">de la Guinée-Bissau </w:t>
      </w:r>
      <w:r w:rsidR="00053689" w:rsidRPr="00016987">
        <w:rPr>
          <w:rFonts w:ascii="Helvetica" w:hAnsi="Helvetica"/>
        </w:rPr>
        <w:t>(statistiques miroir)</w:t>
      </w:r>
      <w:r w:rsidR="00053689" w:rsidRPr="00B55B68">
        <w:rPr>
          <w:rFonts w:ascii="Helvetica" w:hAnsi="Helvetica"/>
        </w:rPr>
        <w:t>, Trade Data Monitor</w:t>
      </w:r>
      <w:bookmarkEnd w:id="2"/>
    </w:p>
  </w:footnote>
  <w:footnote w:id="8">
    <w:p w14:paraId="17D534F8" w14:textId="77777777" w:rsidR="00F1439A" w:rsidRPr="00842707" w:rsidRDefault="00F1439A"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N’incluant pas le machinisme agricole et agroalimentaire, le bois et dérivés, les engrais et produits phytosanitaires, le biodiesel</w:t>
      </w:r>
    </w:p>
  </w:footnote>
  <w:footnote w:id="9">
    <w:p w14:paraId="33765FAB" w14:textId="050F9957" w:rsidR="001629CF" w:rsidRPr="004D51A7" w:rsidRDefault="001629CF" w:rsidP="004D51A7">
      <w:pPr>
        <w:pStyle w:val="Styledetableau"/>
      </w:pPr>
      <w:r w:rsidRPr="004D51A7">
        <w:rPr>
          <w:rStyle w:val="Appelnotedebasdep"/>
        </w:rPr>
        <w:footnoteRef/>
      </w:r>
      <w:r w:rsidRPr="004D51A7">
        <w:rPr>
          <w:vertAlign w:val="superscript"/>
        </w:rPr>
        <w:t xml:space="preserve"> </w:t>
      </w:r>
      <w:r w:rsidRPr="004D51A7">
        <w:t>Rapport FIDA</w:t>
      </w:r>
      <w:r w:rsidRPr="004D51A7">
        <w:rPr>
          <w:rFonts w:ascii="Calibri" w:hAnsi="Calibri" w:cs="Calibri"/>
        </w:rPr>
        <w:t> </w:t>
      </w:r>
      <w:r w:rsidRPr="004D51A7">
        <w:t xml:space="preserve">: </w:t>
      </w:r>
      <w:hyperlink r:id="rId1" w:history="1">
        <w:r w:rsidR="00CE315F" w:rsidRPr="00B30B36">
          <w:rPr>
            <w:rStyle w:val="Lienhypertexte"/>
          </w:rPr>
          <w:t>https://ioe.ifad.org/documents/38714182/51322248/CSPE+Mauritania/7f99f4b6-3a32-4798-ec5f-4bfcef96c5aa</w:t>
        </w:r>
      </w:hyperlink>
      <w:r w:rsidR="00CE315F">
        <w:t xml:space="preserve"> </w:t>
      </w:r>
    </w:p>
  </w:footnote>
  <w:footnote w:id="10">
    <w:p w14:paraId="5BD6EF4E" w14:textId="11E6AC5B" w:rsidR="00C85229" w:rsidRDefault="00C85229" w:rsidP="00C85229">
      <w:pPr>
        <w:pStyle w:val="Styledetableau"/>
      </w:pPr>
      <w:r>
        <w:rPr>
          <w:rStyle w:val="Appelnotedebasdep"/>
        </w:rPr>
        <w:footnoteRef/>
      </w:r>
      <w:r>
        <w:t xml:space="preserve"> Rapport </w:t>
      </w:r>
      <w:r w:rsidR="004A22E3">
        <w:t>FAO/</w:t>
      </w:r>
      <w:r>
        <w:t>CIRAD</w:t>
      </w:r>
      <w:r w:rsidR="004A22E3">
        <w:t>/UE</w:t>
      </w:r>
      <w:r>
        <w:rPr>
          <w:rFonts w:ascii="Calibri" w:hAnsi="Calibri" w:cs="Calibri"/>
        </w:rPr>
        <w:t> </w:t>
      </w:r>
      <w:r>
        <w:t xml:space="preserve">: </w:t>
      </w:r>
      <w:hyperlink r:id="rId2" w:history="1">
        <w:r w:rsidR="00CE315F" w:rsidRPr="00B30B36">
          <w:rPr>
            <w:rStyle w:val="Lienhypertexte"/>
          </w:rPr>
          <w:t>https://openknowledge.fao.org/server/api/core/bitstreams/fcebe6e2-6632-4f33-9428-d4fca3ad67a6/content</w:t>
        </w:r>
      </w:hyperlink>
      <w:r w:rsidR="00CE315F">
        <w:t xml:space="preserve"> </w:t>
      </w:r>
    </w:p>
  </w:footnote>
  <w:footnote w:id="11">
    <w:p w14:paraId="73E77C07" w14:textId="10DC7299" w:rsidR="00C85229" w:rsidRDefault="00C85229" w:rsidP="00C85229">
      <w:pPr>
        <w:pStyle w:val="Styledetableau"/>
      </w:pPr>
      <w:r w:rsidRPr="004D51A7">
        <w:rPr>
          <w:rStyle w:val="Appelnotedebasdep"/>
        </w:rPr>
        <w:footnoteRef/>
      </w:r>
      <w:r w:rsidRPr="004D51A7">
        <w:t xml:space="preserve"> Fiche </w:t>
      </w:r>
      <w:r>
        <w:t>Mauritanie</w:t>
      </w:r>
      <w:r w:rsidRPr="004D51A7">
        <w:t xml:space="preserve"> FAO</w:t>
      </w:r>
      <w:r w:rsidRPr="004D51A7">
        <w:rPr>
          <w:rFonts w:ascii="Calibri" w:hAnsi="Calibri" w:cs="Calibri"/>
        </w:rPr>
        <w:t> </w:t>
      </w:r>
      <w:r w:rsidRPr="004D51A7">
        <w:t xml:space="preserve">: </w:t>
      </w:r>
      <w:hyperlink r:id="rId3" w:history="1">
        <w:r w:rsidR="00CE315F" w:rsidRPr="00B30B36">
          <w:rPr>
            <w:rStyle w:val="Lienhypertexte"/>
          </w:rPr>
          <w:t>https://www.fao.org/family-farming/countries/mrt/fr/</w:t>
        </w:r>
      </w:hyperlink>
      <w:r w:rsidR="00CE315F">
        <w:t xml:space="preserve"> </w:t>
      </w:r>
    </w:p>
  </w:footnote>
  <w:footnote w:id="12">
    <w:p w14:paraId="27B41957" w14:textId="0CB7A916" w:rsidR="00A8374B" w:rsidRDefault="00A8374B">
      <w:pPr>
        <w:pStyle w:val="Notedebasdepage"/>
      </w:pPr>
      <w:r>
        <w:rPr>
          <w:rStyle w:val="Appelnotedebasdep"/>
        </w:rPr>
        <w:footnoteRef/>
      </w:r>
      <w:r>
        <w:t xml:space="preserve"> </w:t>
      </w:r>
      <w:r w:rsidRPr="00A8374B">
        <w:rPr>
          <w:sz w:val="16"/>
          <w:szCs w:val="16"/>
        </w:rPr>
        <w:t xml:space="preserve">Banque mondiale - Région du G5 Sahel : Rapport National sur le Climat et le Développement </w:t>
      </w:r>
      <w:hyperlink r:id="rId4" w:history="1">
        <w:r w:rsidRPr="00F47664">
          <w:rPr>
            <w:rStyle w:val="Lienhypertexte"/>
            <w:sz w:val="16"/>
            <w:szCs w:val="16"/>
          </w:rPr>
          <w:t>https://documents.worldbank.org/fr/publication/documents-reports/documentdetail/099175502132397037</w:t>
        </w:r>
      </w:hyperlink>
      <w:r>
        <w:rPr>
          <w:sz w:val="16"/>
          <w:szCs w:val="16"/>
        </w:rPr>
        <w:t xml:space="preserve"> </w:t>
      </w:r>
    </w:p>
  </w:footnote>
  <w:footnote w:id="13">
    <w:p w14:paraId="28119F77" w14:textId="77777777" w:rsidR="00F548D1" w:rsidRPr="004D51A7" w:rsidRDefault="00F548D1" w:rsidP="00F548D1">
      <w:pPr>
        <w:pStyle w:val="Styledetableau"/>
      </w:pPr>
      <w:r w:rsidRPr="001629CF">
        <w:rPr>
          <w:rStyle w:val="TitreCar"/>
          <w:rFonts w:eastAsia="Helvetica" w:cs="Helvetica"/>
          <w:b w:val="0"/>
          <w:smallCaps w:val="0"/>
          <w:color w:val="000000"/>
          <w:sz w:val="16"/>
          <w:szCs w:val="16"/>
          <w:vertAlign w:val="superscript"/>
        </w:rPr>
        <w:footnoteRef/>
      </w:r>
      <w:r w:rsidRPr="00842707">
        <w:t xml:space="preserve"> Rapport situation économique 2025 de la Banque Mondiale</w:t>
      </w:r>
      <w:r w:rsidRPr="00842707">
        <w:rPr>
          <w:rFonts w:ascii="Calibri" w:hAnsi="Calibri" w:cs="Calibri"/>
        </w:rPr>
        <w:t> </w:t>
      </w:r>
      <w:r w:rsidRPr="00842707">
        <w:t>:</w:t>
      </w:r>
      <w:r>
        <w:t xml:space="preserve"> </w:t>
      </w:r>
      <w:hyperlink r:id="rId5" w:history="1">
        <w:r w:rsidRPr="00B30B36">
          <w:rPr>
            <w:rStyle w:val="Lienhypertexte"/>
          </w:rPr>
          <w:t>https://documents1.worldbank.org/curated/en/099061225033569207/pdf/P507238-df34455d-3816-4578-b9a9-0e6eb57e1a53.pdf</w:t>
        </w:r>
      </w:hyperlink>
      <w:r>
        <w:t xml:space="preserve"> </w:t>
      </w:r>
    </w:p>
  </w:footnote>
  <w:footnote w:id="14">
    <w:p w14:paraId="662CCBE1" w14:textId="77777777" w:rsidR="008C0DCF" w:rsidRPr="002B45A3" w:rsidRDefault="008C0DCF" w:rsidP="002B45A3">
      <w:pPr>
        <w:pStyle w:val="Styledetableau"/>
      </w:pPr>
      <w:r>
        <w:rPr>
          <w:rStyle w:val="Appelnotedebasdep"/>
        </w:rPr>
        <w:footnoteRef/>
      </w:r>
      <w:r>
        <w:t xml:space="preserve"> </w:t>
      </w:r>
      <w:r w:rsidRPr="002B45A3">
        <w:t>Publication du RGE 2024</w:t>
      </w:r>
      <w:r w:rsidRPr="002B45A3">
        <w:rPr>
          <w:rFonts w:ascii="Calibri" w:hAnsi="Calibri" w:cs="Calibri"/>
        </w:rPr>
        <w:t> </w:t>
      </w:r>
      <w:r w:rsidRPr="002B45A3">
        <w:t>:</w:t>
      </w:r>
    </w:p>
    <w:p w14:paraId="19671582" w14:textId="657060BD" w:rsidR="008C0DCF" w:rsidRDefault="00A244D2" w:rsidP="002B45A3">
      <w:pPr>
        <w:pStyle w:val="Styledetableau"/>
      </w:pPr>
      <w:hyperlink r:id="rId6" w:history="1">
        <w:r w:rsidR="00FA6286" w:rsidRPr="00B30B36">
          <w:rPr>
            <w:rStyle w:val="Lienhypertexte"/>
          </w:rPr>
          <w:t>https://www.agenceafrique.com/59422-le-cheptel-mauritanien-evalue-a-plus-de-29-millions-de-tetes-a-fin-2024-officiel.html</w:t>
        </w:r>
      </w:hyperlink>
      <w:r w:rsidR="00FA6286">
        <w:t xml:space="preserve"> </w:t>
      </w:r>
    </w:p>
  </w:footnote>
  <w:footnote w:id="15">
    <w:p w14:paraId="614A0815" w14:textId="6E41C44F" w:rsidR="00D62F3E" w:rsidRPr="006E3BC3" w:rsidRDefault="00D62F3E" w:rsidP="006E3BC3">
      <w:pPr>
        <w:pStyle w:val="Notedebasdepage"/>
      </w:pPr>
      <w:r>
        <w:rPr>
          <w:rStyle w:val="Appelnotedebasdep"/>
        </w:rPr>
        <w:footnoteRef/>
      </w:r>
      <w:r>
        <w:t xml:space="preserve"> </w:t>
      </w:r>
      <w:bookmarkStart w:id="15" w:name="_Hlk216290319"/>
      <w:r w:rsidRPr="006E3BC3">
        <w:rPr>
          <w:sz w:val="16"/>
          <w:szCs w:val="16"/>
        </w:rPr>
        <w:t xml:space="preserve">Institut mauritanien de recherche océanique </w:t>
      </w:r>
      <w:r w:rsidR="006E3BC3" w:rsidRPr="006E3BC3">
        <w:rPr>
          <w:sz w:val="16"/>
          <w:szCs w:val="16"/>
        </w:rPr>
        <w:t>Océanographiques et des Pêches</w:t>
      </w:r>
      <w:r w:rsidR="006E3BC3">
        <w:rPr>
          <w:sz w:val="16"/>
          <w:szCs w:val="16"/>
        </w:rPr>
        <w:t xml:space="preserve"> </w:t>
      </w:r>
      <w:bookmarkEnd w:id="15"/>
      <w:r w:rsidR="006E3BC3">
        <w:rPr>
          <w:sz w:val="16"/>
          <w:szCs w:val="16"/>
        </w:rPr>
        <w:t>-</w:t>
      </w:r>
      <w:r w:rsidRPr="00D62F3E">
        <w:rPr>
          <w:sz w:val="16"/>
          <w:szCs w:val="16"/>
        </w:rPr>
        <w:t xml:space="preserve"> Rapport annuel 2024</w:t>
      </w:r>
      <w:r w:rsidR="006E3BC3" w:rsidRPr="006E3BC3">
        <w:t xml:space="preserve"> </w:t>
      </w:r>
      <w:hyperlink r:id="rId7" w:history="1">
        <w:r w:rsidR="006E3BC3" w:rsidRPr="00B30B36">
          <w:rPr>
            <w:rStyle w:val="Lienhypertexte"/>
            <w:sz w:val="16"/>
            <w:szCs w:val="16"/>
          </w:rPr>
          <w:t>https://www.imrop.mr/</w:t>
        </w:r>
      </w:hyperlink>
      <w:r w:rsidR="006E3BC3">
        <w:rPr>
          <w:sz w:val="16"/>
          <w:szCs w:val="16"/>
        </w:rPr>
        <w:t xml:space="preserve"> </w:t>
      </w:r>
    </w:p>
  </w:footnote>
  <w:footnote w:id="16">
    <w:p w14:paraId="72D83CE3" w14:textId="0F84D84E" w:rsidR="00C66298" w:rsidRDefault="00C66298" w:rsidP="00C66298">
      <w:pPr>
        <w:pStyle w:val="Styledetableau"/>
      </w:pPr>
      <w:r>
        <w:rPr>
          <w:rStyle w:val="Appelnotedebasdep"/>
        </w:rPr>
        <w:footnoteRef/>
      </w:r>
      <w:r>
        <w:t xml:space="preserve"> SDSR</w:t>
      </w:r>
      <w:r>
        <w:rPr>
          <w:rFonts w:ascii="Calibri" w:hAnsi="Calibri" w:cs="Calibri"/>
        </w:rPr>
        <w:tab/>
      </w:r>
      <w:r>
        <w:t xml:space="preserve">: </w:t>
      </w:r>
      <w:hyperlink r:id="rId8" w:history="1">
        <w:r w:rsidRPr="00B30B36">
          <w:rPr>
            <w:rStyle w:val="Lienhypertexte"/>
          </w:rPr>
          <w:t>https://faolex.fao.org/docs/pdf/mau209755.pdf</w:t>
        </w:r>
      </w:hyperlink>
      <w:r>
        <w:t xml:space="preserve"> </w:t>
      </w:r>
    </w:p>
  </w:footnote>
  <w:footnote w:id="17">
    <w:p w14:paraId="573740B7" w14:textId="0CFC6A9B" w:rsidR="00C66298" w:rsidRDefault="00C66298" w:rsidP="00C66298">
      <w:pPr>
        <w:pStyle w:val="Styledetableau"/>
      </w:pPr>
      <w:r>
        <w:rPr>
          <w:rStyle w:val="Appelnotedebasdep"/>
        </w:rPr>
        <w:footnoteRef/>
      </w:r>
      <w:r>
        <w:t xml:space="preserve"> PNDA</w:t>
      </w:r>
      <w:r>
        <w:rPr>
          <w:rFonts w:ascii="Calibri" w:hAnsi="Calibri" w:cs="Calibri"/>
        </w:rPr>
        <w:tab/>
      </w:r>
      <w:r>
        <w:t xml:space="preserve">: </w:t>
      </w:r>
      <w:hyperlink r:id="rId9" w:history="1">
        <w:r w:rsidR="00FA6286" w:rsidRPr="00B30B36">
          <w:rPr>
            <w:rStyle w:val="Lienhypertexte"/>
          </w:rPr>
          <w:t>https://faolex.fao.org/docs/pdf/Mau175842.pdf</w:t>
        </w:r>
      </w:hyperlink>
      <w:r w:rsidR="00FA6286">
        <w:t xml:space="preserve"> </w:t>
      </w:r>
    </w:p>
  </w:footnote>
  <w:footnote w:id="18">
    <w:p w14:paraId="72B64C78" w14:textId="08C1C9B7" w:rsidR="001B7B01" w:rsidRDefault="001B7B01" w:rsidP="001B7B01">
      <w:pPr>
        <w:pStyle w:val="Styledetableau"/>
      </w:pPr>
      <w:r>
        <w:rPr>
          <w:rStyle w:val="Appelnotedebasdep"/>
        </w:rPr>
        <w:footnoteRef/>
      </w:r>
      <w:r>
        <w:t xml:space="preserve"> </w:t>
      </w:r>
      <w:r w:rsidRPr="001B7B01">
        <w:t>Code des pêches</w:t>
      </w:r>
      <w:r>
        <w:rPr>
          <w:rFonts w:ascii="Calibri" w:hAnsi="Calibri" w:cs="Calibri"/>
        </w:rPr>
        <w:t xml:space="preserve"> </w:t>
      </w:r>
      <w:r w:rsidRPr="001B7B01">
        <w:t xml:space="preserve">: </w:t>
      </w:r>
      <w:hyperlink r:id="rId10" w:history="1">
        <w:r w:rsidR="00FA6286" w:rsidRPr="00B30B36">
          <w:rPr>
            <w:rStyle w:val="Lienhypertexte"/>
          </w:rPr>
          <w:t>https://www.droit-afrique.com/uploads/Mauritanie-Code-2015-Peches-Maritimes.pdf</w:t>
        </w:r>
      </w:hyperlink>
      <w:r w:rsidR="00FA6286">
        <w:t xml:space="preserve"> </w:t>
      </w:r>
    </w:p>
  </w:footnote>
  <w:footnote w:id="19">
    <w:p w14:paraId="04F1CF5C" w14:textId="7C648835" w:rsidR="00BF3BCA" w:rsidRPr="00474F86" w:rsidRDefault="00BF3BCA" w:rsidP="00474F86">
      <w:pPr>
        <w:pStyle w:val="Notedebasdepage"/>
        <w:rPr>
          <w:sz w:val="16"/>
          <w:szCs w:val="16"/>
        </w:rPr>
      </w:pPr>
      <w:r w:rsidRPr="00E8018E">
        <w:rPr>
          <w:rStyle w:val="TitreCar"/>
          <w:rFonts w:eastAsia="Helvetica" w:cs="Helvetica"/>
          <w:b w:val="0"/>
          <w:smallCaps w:val="0"/>
          <w:color w:val="000000"/>
          <w:sz w:val="16"/>
          <w:szCs w:val="16"/>
          <w:vertAlign w:val="superscript"/>
        </w:rPr>
        <w:footnoteRef/>
      </w:r>
      <w:r w:rsidRPr="00E8018E">
        <w:rPr>
          <w:vertAlign w:val="superscript"/>
        </w:rPr>
        <w:t xml:space="preserve"> </w:t>
      </w:r>
      <w:r w:rsidR="00474F86" w:rsidRPr="00474F86">
        <w:rPr>
          <w:sz w:val="16"/>
          <w:szCs w:val="16"/>
        </w:rPr>
        <w:t>En l’absence de données des douanes de</w:t>
      </w:r>
      <w:r w:rsidR="00474F86">
        <w:rPr>
          <w:sz w:val="16"/>
          <w:szCs w:val="16"/>
        </w:rPr>
        <w:t xml:space="preserve"> Mauritanie</w:t>
      </w:r>
      <w:r w:rsidR="00474F86" w:rsidRPr="00474F86">
        <w:rPr>
          <w:sz w:val="16"/>
          <w:szCs w:val="16"/>
        </w:rPr>
        <w:t xml:space="preserve">, les données sont celles des douanes des partenaires de la </w:t>
      </w:r>
      <w:r w:rsidR="00474F86">
        <w:rPr>
          <w:sz w:val="16"/>
          <w:szCs w:val="16"/>
        </w:rPr>
        <w:t xml:space="preserve">Mauritanie </w:t>
      </w:r>
      <w:r w:rsidR="00474F86" w:rsidRPr="00474F86">
        <w:rPr>
          <w:sz w:val="16"/>
          <w:szCs w:val="16"/>
        </w:rPr>
        <w:t xml:space="preserve">(statistiques miroir - Trade Data Monitor) qui couvrent plus de 95% des échanges de la </w:t>
      </w:r>
      <w:r w:rsidR="00474F86">
        <w:rPr>
          <w:sz w:val="16"/>
          <w:szCs w:val="16"/>
        </w:rPr>
        <w:t xml:space="preserve">Mauritanie </w:t>
      </w:r>
      <w:r w:rsidR="00474F86" w:rsidRPr="00474F86">
        <w:rPr>
          <w:sz w:val="16"/>
          <w:szCs w:val="16"/>
        </w:rPr>
        <w:t>à l’exception principale des échanges avec</w:t>
      </w:r>
      <w:r w:rsidR="0034345C">
        <w:rPr>
          <w:sz w:val="16"/>
          <w:szCs w:val="16"/>
        </w:rPr>
        <w:t xml:space="preserve"> le Mali,</w:t>
      </w:r>
      <w:r w:rsidR="00474F86" w:rsidRPr="00474F86">
        <w:rPr>
          <w:sz w:val="16"/>
          <w:szCs w:val="16"/>
        </w:rPr>
        <w:t xml:space="preserve"> la Russie (exportations éventuellement de céréales) et des Emirats Arabes Unis (réexportations éventuellement de lait en poudre</w:t>
      </w:r>
      <w:r w:rsidR="006F2CC6">
        <w:rPr>
          <w:sz w:val="16"/>
          <w:szCs w:val="16"/>
        </w:rPr>
        <w:t xml:space="preserve"> ou de préparation à base de lait</w:t>
      </w:r>
      <w:r w:rsidR="00474F86" w:rsidRPr="00474F86">
        <w:rPr>
          <w:sz w:val="16"/>
          <w:szCs w:val="16"/>
        </w:rPr>
        <w:t>).</w:t>
      </w:r>
    </w:p>
  </w:footnote>
  <w:footnote w:id="20">
    <w:p w14:paraId="0495C192" w14:textId="2EB60502" w:rsidR="0034345C" w:rsidRPr="00842707" w:rsidRDefault="0034345C" w:rsidP="0034345C">
      <w:pPr>
        <w:pStyle w:val="Styledetableau"/>
        <w:jc w:val="both"/>
      </w:pPr>
      <w:r>
        <w:rPr>
          <w:rStyle w:val="Appelnotedebasdep"/>
        </w:rPr>
        <w:footnoteRef/>
      </w:r>
      <w:r>
        <w:t xml:space="preserve"> </w:t>
      </w:r>
      <w:r w:rsidRPr="00842707">
        <w:t>N’incluant pas le machinisme agricole et agroalimentaire, le bois et dérivés, les engrais et produits phytosanitaires, le biodiesel</w:t>
      </w:r>
      <w:r>
        <w:t>.</w:t>
      </w:r>
    </w:p>
    <w:p w14:paraId="1054598F" w14:textId="002FB484" w:rsidR="0034345C" w:rsidRDefault="0034345C">
      <w:pPr>
        <w:pStyle w:val="Notedebasdepage"/>
      </w:pPr>
    </w:p>
  </w:footnote>
  <w:footnote w:id="21">
    <w:p w14:paraId="4BACB032" w14:textId="77777777" w:rsidR="00BF3BCA" w:rsidRPr="00B55B68" w:rsidRDefault="00BF3BCA" w:rsidP="00842707">
      <w:pPr>
        <w:pStyle w:val="Styledetableau"/>
        <w:rPr>
          <w:rFonts w:ascii="Helvetica" w:hAnsi="Helvetica"/>
        </w:rPr>
      </w:pPr>
      <w:r w:rsidRPr="00E8018E">
        <w:rPr>
          <w:rStyle w:val="TitreCar"/>
          <w:rFonts w:eastAsia="Helvetica" w:cs="Helvetica"/>
          <w:b w:val="0"/>
          <w:smallCaps w:val="0"/>
          <w:color w:val="000000"/>
          <w:sz w:val="16"/>
          <w:szCs w:val="16"/>
          <w:vertAlign w:val="superscript"/>
        </w:rPr>
        <w:footnoteRef/>
      </w:r>
      <w:r w:rsidRPr="00E8018E">
        <w:rPr>
          <w:vertAlign w:val="superscript"/>
        </w:rPr>
        <w:t xml:space="preserve"> </w:t>
      </w:r>
      <w:r w:rsidRPr="00842707">
        <w:t>Douanes françaises, Trade Data Monitor</w:t>
      </w:r>
    </w:p>
  </w:footnote>
  <w:footnote w:id="22">
    <w:p w14:paraId="03C78DB5" w14:textId="7ADA840C" w:rsidR="00A46EDF" w:rsidRDefault="00A46EDF" w:rsidP="00A46EDF">
      <w:pPr>
        <w:pStyle w:val="Styledetableau"/>
      </w:pPr>
      <w:r>
        <w:rPr>
          <w:rStyle w:val="Appelnotedebasdep"/>
        </w:rPr>
        <w:footnoteRef/>
      </w:r>
      <w:r>
        <w:t xml:space="preserve"> Fiche AFD</w:t>
      </w:r>
      <w:r>
        <w:rPr>
          <w:rFonts w:ascii="Calibri" w:hAnsi="Calibri" w:cs="Calibri"/>
        </w:rPr>
        <w:t> </w:t>
      </w:r>
      <w:r>
        <w:t xml:space="preserve">: </w:t>
      </w:r>
      <w:r w:rsidRPr="00A46EDF">
        <w:t>https://www.afd.fr/sites/default/files/2025-09/afd-fiche-pays-mauritanie-2025_fr.pdf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3832D5">
    <w:pPr>
      <w:pStyle w:val="En-tte"/>
    </w:pPr>
  </w:p>
  <w:p w14:paraId="63108C52" w14:textId="77777777" w:rsidR="004432FE" w:rsidRDefault="004432FE" w:rsidP="003832D5">
    <w:pPr>
      <w:pStyle w:val="En-tte"/>
    </w:pPr>
  </w:p>
  <w:p w14:paraId="71708415" w14:textId="77777777" w:rsidR="00F06384" w:rsidRDefault="00F06384" w:rsidP="003832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F03"/>
    <w:multiLevelType w:val="hybridMultilevel"/>
    <w:tmpl w:val="75549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B6021"/>
    <w:multiLevelType w:val="hybridMultilevel"/>
    <w:tmpl w:val="155CA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06B47"/>
    <w:multiLevelType w:val="hybridMultilevel"/>
    <w:tmpl w:val="DAC2ECD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750573"/>
    <w:multiLevelType w:val="hybridMultilevel"/>
    <w:tmpl w:val="5D307C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62652B"/>
    <w:multiLevelType w:val="hybridMultilevel"/>
    <w:tmpl w:val="EC983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C82B86"/>
    <w:multiLevelType w:val="hybridMultilevel"/>
    <w:tmpl w:val="CADA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4D66CE"/>
    <w:multiLevelType w:val="hybridMultilevel"/>
    <w:tmpl w:val="F2CAC50C"/>
    <w:lvl w:ilvl="0" w:tplc="DD500854">
      <w:start w:val="1"/>
      <w:numFmt w:val="decimal"/>
      <w:pStyle w:val="Titre1"/>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D13B5"/>
    <w:multiLevelType w:val="hybridMultilevel"/>
    <w:tmpl w:val="5EAE999A"/>
    <w:lvl w:ilvl="0" w:tplc="80907F1C">
      <w:numFmt w:val="bullet"/>
      <w:lvlText w:val="•"/>
      <w:lvlJc w:val="left"/>
      <w:pPr>
        <w:ind w:left="360" w:hanging="360"/>
      </w:pPr>
      <w:rPr>
        <w:rFonts w:ascii="Marianne" w:eastAsiaTheme="minorHAnsi" w:hAnsi="Marianne" w:cs="Gotham-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E85110E"/>
    <w:multiLevelType w:val="hybridMultilevel"/>
    <w:tmpl w:val="3D86873E"/>
    <w:lvl w:ilvl="0" w:tplc="AAD2BD00">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9D4DB1"/>
    <w:multiLevelType w:val="hybridMultilevel"/>
    <w:tmpl w:val="7A662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CC2582"/>
    <w:multiLevelType w:val="hybridMultilevel"/>
    <w:tmpl w:val="DEBEC046"/>
    <w:lvl w:ilvl="0" w:tplc="80907F1C">
      <w:numFmt w:val="bullet"/>
      <w:lvlText w:val="•"/>
      <w:lvlJc w:val="left"/>
      <w:pPr>
        <w:ind w:left="720" w:hanging="360"/>
      </w:pPr>
      <w:rPr>
        <w:rFonts w:ascii="Marianne" w:eastAsiaTheme="minorHAnsi" w:hAnsi="Marianne" w:cs="Gotham-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DC1EA1"/>
    <w:multiLevelType w:val="hybridMultilevel"/>
    <w:tmpl w:val="87506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1F67D2"/>
    <w:multiLevelType w:val="hybridMultilevel"/>
    <w:tmpl w:val="7D38305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4A6CD4"/>
    <w:multiLevelType w:val="hybridMultilevel"/>
    <w:tmpl w:val="80305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C377E3"/>
    <w:multiLevelType w:val="hybridMultilevel"/>
    <w:tmpl w:val="06F43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9B5DA3"/>
    <w:multiLevelType w:val="hybridMultilevel"/>
    <w:tmpl w:val="E7A6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4F32AF"/>
    <w:multiLevelType w:val="hybridMultilevel"/>
    <w:tmpl w:val="3EF251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65C214E"/>
    <w:multiLevelType w:val="hybridMultilevel"/>
    <w:tmpl w:val="A4D87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D5584E"/>
    <w:multiLevelType w:val="hybridMultilevel"/>
    <w:tmpl w:val="F1749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131C03"/>
    <w:multiLevelType w:val="hybridMultilevel"/>
    <w:tmpl w:val="96DE5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0F4669"/>
    <w:multiLevelType w:val="hybridMultilevel"/>
    <w:tmpl w:val="EAA2D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FC2942"/>
    <w:multiLevelType w:val="hybridMultilevel"/>
    <w:tmpl w:val="14B603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E083C53"/>
    <w:multiLevelType w:val="hybridMultilevel"/>
    <w:tmpl w:val="6FDCB680"/>
    <w:lvl w:ilvl="0" w:tplc="A6BAD91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581465"/>
    <w:multiLevelType w:val="hybridMultilevel"/>
    <w:tmpl w:val="999454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38C6961"/>
    <w:multiLevelType w:val="hybridMultilevel"/>
    <w:tmpl w:val="E26E45B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42567EC"/>
    <w:multiLevelType w:val="hybridMultilevel"/>
    <w:tmpl w:val="4FBC5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EB2AAC"/>
    <w:multiLevelType w:val="hybridMultilevel"/>
    <w:tmpl w:val="AA54D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ED6CD2"/>
    <w:multiLevelType w:val="hybridMultilevel"/>
    <w:tmpl w:val="04EAC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F06673"/>
    <w:multiLevelType w:val="hybridMultilevel"/>
    <w:tmpl w:val="9F7602C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A13A13"/>
    <w:multiLevelType w:val="hybridMultilevel"/>
    <w:tmpl w:val="5CAED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B72A80"/>
    <w:multiLevelType w:val="hybridMultilevel"/>
    <w:tmpl w:val="6ABC2D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FD8600B"/>
    <w:multiLevelType w:val="hybridMultilevel"/>
    <w:tmpl w:val="A788C0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2"/>
  </w:num>
  <w:num w:numId="4">
    <w:abstractNumId w:val="5"/>
  </w:num>
  <w:num w:numId="5">
    <w:abstractNumId w:val="22"/>
  </w:num>
  <w:num w:numId="6">
    <w:abstractNumId w:val="18"/>
  </w:num>
  <w:num w:numId="7">
    <w:abstractNumId w:val="19"/>
  </w:num>
  <w:num w:numId="8">
    <w:abstractNumId w:val="12"/>
  </w:num>
  <w:num w:numId="9">
    <w:abstractNumId w:val="21"/>
  </w:num>
  <w:num w:numId="10">
    <w:abstractNumId w:val="16"/>
  </w:num>
  <w:num w:numId="11">
    <w:abstractNumId w:val="14"/>
  </w:num>
  <w:num w:numId="12">
    <w:abstractNumId w:val="27"/>
  </w:num>
  <w:num w:numId="13">
    <w:abstractNumId w:val="6"/>
  </w:num>
  <w:num w:numId="14">
    <w:abstractNumId w:val="0"/>
  </w:num>
  <w:num w:numId="15">
    <w:abstractNumId w:val="28"/>
  </w:num>
  <w:num w:numId="16">
    <w:abstractNumId w:val="26"/>
  </w:num>
  <w:num w:numId="17">
    <w:abstractNumId w:val="1"/>
  </w:num>
  <w:num w:numId="18">
    <w:abstractNumId w:val="17"/>
  </w:num>
  <w:num w:numId="19">
    <w:abstractNumId w:val="4"/>
  </w:num>
  <w:num w:numId="20">
    <w:abstractNumId w:val="20"/>
  </w:num>
  <w:num w:numId="21">
    <w:abstractNumId w:val="10"/>
  </w:num>
  <w:num w:numId="22">
    <w:abstractNumId w:val="11"/>
  </w:num>
  <w:num w:numId="23">
    <w:abstractNumId w:val="8"/>
  </w:num>
  <w:num w:numId="24">
    <w:abstractNumId w:val="31"/>
  </w:num>
  <w:num w:numId="25">
    <w:abstractNumId w:val="3"/>
  </w:num>
  <w:num w:numId="26">
    <w:abstractNumId w:val="29"/>
  </w:num>
  <w:num w:numId="27">
    <w:abstractNumId w:val="13"/>
  </w:num>
  <w:num w:numId="28">
    <w:abstractNumId w:val="23"/>
  </w:num>
  <w:num w:numId="29">
    <w:abstractNumId w:val="9"/>
  </w:num>
  <w:num w:numId="30">
    <w:abstractNumId w:val="24"/>
  </w:num>
  <w:num w:numId="31">
    <w:abstractNumId w:val="32"/>
  </w:num>
  <w:num w:numId="32">
    <w:abstractNumId w:val="30"/>
  </w:num>
  <w:num w:numId="3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7BD"/>
    <w:rsid w:val="00002901"/>
    <w:rsid w:val="00002EC1"/>
    <w:rsid w:val="00003413"/>
    <w:rsid w:val="00003958"/>
    <w:rsid w:val="00003B44"/>
    <w:rsid w:val="00003C2C"/>
    <w:rsid w:val="00004C85"/>
    <w:rsid w:val="000054DF"/>
    <w:rsid w:val="00006D1B"/>
    <w:rsid w:val="00007B46"/>
    <w:rsid w:val="000105ED"/>
    <w:rsid w:val="00010663"/>
    <w:rsid w:val="00010A72"/>
    <w:rsid w:val="00010E5B"/>
    <w:rsid w:val="00011EC1"/>
    <w:rsid w:val="00012BCA"/>
    <w:rsid w:val="00013073"/>
    <w:rsid w:val="00013CEA"/>
    <w:rsid w:val="0001444A"/>
    <w:rsid w:val="00014653"/>
    <w:rsid w:val="000155BC"/>
    <w:rsid w:val="000158D1"/>
    <w:rsid w:val="00015F0D"/>
    <w:rsid w:val="0001611E"/>
    <w:rsid w:val="000163A1"/>
    <w:rsid w:val="000167BB"/>
    <w:rsid w:val="00016987"/>
    <w:rsid w:val="00017983"/>
    <w:rsid w:val="00022179"/>
    <w:rsid w:val="000239DC"/>
    <w:rsid w:val="000241B8"/>
    <w:rsid w:val="00024F6B"/>
    <w:rsid w:val="0002661E"/>
    <w:rsid w:val="000279BD"/>
    <w:rsid w:val="0003028D"/>
    <w:rsid w:val="00030531"/>
    <w:rsid w:val="00030A5E"/>
    <w:rsid w:val="000313B9"/>
    <w:rsid w:val="00032C84"/>
    <w:rsid w:val="0003328A"/>
    <w:rsid w:val="000337EB"/>
    <w:rsid w:val="00033E1A"/>
    <w:rsid w:val="00033F07"/>
    <w:rsid w:val="000343BD"/>
    <w:rsid w:val="00035850"/>
    <w:rsid w:val="000360F7"/>
    <w:rsid w:val="0003651A"/>
    <w:rsid w:val="00036E44"/>
    <w:rsid w:val="00036F6E"/>
    <w:rsid w:val="00037430"/>
    <w:rsid w:val="000374B6"/>
    <w:rsid w:val="000419B7"/>
    <w:rsid w:val="000424B5"/>
    <w:rsid w:val="00043397"/>
    <w:rsid w:val="0004427B"/>
    <w:rsid w:val="00045140"/>
    <w:rsid w:val="00045505"/>
    <w:rsid w:val="0004598B"/>
    <w:rsid w:val="00046619"/>
    <w:rsid w:val="0004673A"/>
    <w:rsid w:val="00047A55"/>
    <w:rsid w:val="00052804"/>
    <w:rsid w:val="0005306C"/>
    <w:rsid w:val="00053689"/>
    <w:rsid w:val="00053D2D"/>
    <w:rsid w:val="00054B6E"/>
    <w:rsid w:val="000563CB"/>
    <w:rsid w:val="00056FAD"/>
    <w:rsid w:val="0005758B"/>
    <w:rsid w:val="000610B8"/>
    <w:rsid w:val="00061E4D"/>
    <w:rsid w:val="0006237E"/>
    <w:rsid w:val="00063536"/>
    <w:rsid w:val="00063CEA"/>
    <w:rsid w:val="00064A82"/>
    <w:rsid w:val="000661A5"/>
    <w:rsid w:val="0006638E"/>
    <w:rsid w:val="0006639F"/>
    <w:rsid w:val="00067E03"/>
    <w:rsid w:val="00072826"/>
    <w:rsid w:val="00072E3C"/>
    <w:rsid w:val="00072E97"/>
    <w:rsid w:val="00072EEF"/>
    <w:rsid w:val="00074C8B"/>
    <w:rsid w:val="00074FBD"/>
    <w:rsid w:val="0007718F"/>
    <w:rsid w:val="0007750D"/>
    <w:rsid w:val="00077EEA"/>
    <w:rsid w:val="000804EF"/>
    <w:rsid w:val="00080C3C"/>
    <w:rsid w:val="00081090"/>
    <w:rsid w:val="0008116B"/>
    <w:rsid w:val="00082155"/>
    <w:rsid w:val="00082406"/>
    <w:rsid w:val="000824F9"/>
    <w:rsid w:val="00085375"/>
    <w:rsid w:val="00085FF2"/>
    <w:rsid w:val="00086132"/>
    <w:rsid w:val="00087037"/>
    <w:rsid w:val="0008713F"/>
    <w:rsid w:val="00087C82"/>
    <w:rsid w:val="00090284"/>
    <w:rsid w:val="000902FF"/>
    <w:rsid w:val="0009061F"/>
    <w:rsid w:val="00090F4E"/>
    <w:rsid w:val="00091B4F"/>
    <w:rsid w:val="00091C30"/>
    <w:rsid w:val="00092B0B"/>
    <w:rsid w:val="00093000"/>
    <w:rsid w:val="000930B8"/>
    <w:rsid w:val="000939E5"/>
    <w:rsid w:val="000944FE"/>
    <w:rsid w:val="00095272"/>
    <w:rsid w:val="00095318"/>
    <w:rsid w:val="00095358"/>
    <w:rsid w:val="00095AB6"/>
    <w:rsid w:val="00095F3F"/>
    <w:rsid w:val="0009716C"/>
    <w:rsid w:val="00097D3F"/>
    <w:rsid w:val="000A0F0A"/>
    <w:rsid w:val="000A10FC"/>
    <w:rsid w:val="000A1F88"/>
    <w:rsid w:val="000A2029"/>
    <w:rsid w:val="000A2747"/>
    <w:rsid w:val="000A2ACD"/>
    <w:rsid w:val="000A2E50"/>
    <w:rsid w:val="000A3547"/>
    <w:rsid w:val="000A3FEB"/>
    <w:rsid w:val="000A416A"/>
    <w:rsid w:val="000A6109"/>
    <w:rsid w:val="000A61A2"/>
    <w:rsid w:val="000A636C"/>
    <w:rsid w:val="000A7822"/>
    <w:rsid w:val="000B0536"/>
    <w:rsid w:val="000B08CB"/>
    <w:rsid w:val="000B111D"/>
    <w:rsid w:val="000B1971"/>
    <w:rsid w:val="000B1F92"/>
    <w:rsid w:val="000B2A85"/>
    <w:rsid w:val="000B337F"/>
    <w:rsid w:val="000B3CE9"/>
    <w:rsid w:val="000B464A"/>
    <w:rsid w:val="000B4B80"/>
    <w:rsid w:val="000B51D1"/>
    <w:rsid w:val="000B5CE7"/>
    <w:rsid w:val="000B6A72"/>
    <w:rsid w:val="000B6ACC"/>
    <w:rsid w:val="000B7CFC"/>
    <w:rsid w:val="000C0028"/>
    <w:rsid w:val="000C006E"/>
    <w:rsid w:val="000C1C74"/>
    <w:rsid w:val="000C220E"/>
    <w:rsid w:val="000C2314"/>
    <w:rsid w:val="000C3D6D"/>
    <w:rsid w:val="000C3E50"/>
    <w:rsid w:val="000C5613"/>
    <w:rsid w:val="000C5DBC"/>
    <w:rsid w:val="000C668C"/>
    <w:rsid w:val="000C762C"/>
    <w:rsid w:val="000D1BD7"/>
    <w:rsid w:val="000D1E72"/>
    <w:rsid w:val="000D2033"/>
    <w:rsid w:val="000D2B20"/>
    <w:rsid w:val="000D2E7E"/>
    <w:rsid w:val="000D3D89"/>
    <w:rsid w:val="000D4867"/>
    <w:rsid w:val="000D50CA"/>
    <w:rsid w:val="000D5784"/>
    <w:rsid w:val="000D5EDC"/>
    <w:rsid w:val="000D6596"/>
    <w:rsid w:val="000D6935"/>
    <w:rsid w:val="000D6FA8"/>
    <w:rsid w:val="000D7876"/>
    <w:rsid w:val="000E015A"/>
    <w:rsid w:val="000E1C77"/>
    <w:rsid w:val="000E2175"/>
    <w:rsid w:val="000E2F4B"/>
    <w:rsid w:val="000E366B"/>
    <w:rsid w:val="000E3BB5"/>
    <w:rsid w:val="000E3BD7"/>
    <w:rsid w:val="000E4462"/>
    <w:rsid w:val="000E46A4"/>
    <w:rsid w:val="000E5F17"/>
    <w:rsid w:val="000E61A6"/>
    <w:rsid w:val="000F00F3"/>
    <w:rsid w:val="000F0400"/>
    <w:rsid w:val="000F16C9"/>
    <w:rsid w:val="000F1EEC"/>
    <w:rsid w:val="000F2540"/>
    <w:rsid w:val="000F2A08"/>
    <w:rsid w:val="000F31D0"/>
    <w:rsid w:val="000F3700"/>
    <w:rsid w:val="000F370E"/>
    <w:rsid w:val="000F592F"/>
    <w:rsid w:val="000F664D"/>
    <w:rsid w:val="000F6870"/>
    <w:rsid w:val="000F7185"/>
    <w:rsid w:val="000F7BDB"/>
    <w:rsid w:val="000F7C60"/>
    <w:rsid w:val="000F7F96"/>
    <w:rsid w:val="00100082"/>
    <w:rsid w:val="001003AA"/>
    <w:rsid w:val="001019B3"/>
    <w:rsid w:val="0010210E"/>
    <w:rsid w:val="001022B6"/>
    <w:rsid w:val="001026E0"/>
    <w:rsid w:val="00102ACD"/>
    <w:rsid w:val="001034C8"/>
    <w:rsid w:val="00105CA7"/>
    <w:rsid w:val="00105CE5"/>
    <w:rsid w:val="00105D43"/>
    <w:rsid w:val="00106140"/>
    <w:rsid w:val="00106C24"/>
    <w:rsid w:val="0010769A"/>
    <w:rsid w:val="001112F3"/>
    <w:rsid w:val="0011156E"/>
    <w:rsid w:val="00111579"/>
    <w:rsid w:val="0011186E"/>
    <w:rsid w:val="00111F09"/>
    <w:rsid w:val="001122C4"/>
    <w:rsid w:val="00112885"/>
    <w:rsid w:val="001132DF"/>
    <w:rsid w:val="0011330C"/>
    <w:rsid w:val="0011375C"/>
    <w:rsid w:val="00113B3A"/>
    <w:rsid w:val="00113E9E"/>
    <w:rsid w:val="00113F24"/>
    <w:rsid w:val="001149E6"/>
    <w:rsid w:val="001151EE"/>
    <w:rsid w:val="00115554"/>
    <w:rsid w:val="00116087"/>
    <w:rsid w:val="00116B48"/>
    <w:rsid w:val="00121379"/>
    <w:rsid w:val="00121795"/>
    <w:rsid w:val="00123C3A"/>
    <w:rsid w:val="00124738"/>
    <w:rsid w:val="00124BEF"/>
    <w:rsid w:val="00125B29"/>
    <w:rsid w:val="00126342"/>
    <w:rsid w:val="001267DA"/>
    <w:rsid w:val="00126A87"/>
    <w:rsid w:val="00127628"/>
    <w:rsid w:val="00127F72"/>
    <w:rsid w:val="0013037A"/>
    <w:rsid w:val="0013077F"/>
    <w:rsid w:val="00130807"/>
    <w:rsid w:val="00130818"/>
    <w:rsid w:val="001308DE"/>
    <w:rsid w:val="00130B8A"/>
    <w:rsid w:val="00132575"/>
    <w:rsid w:val="001329F7"/>
    <w:rsid w:val="00132B2C"/>
    <w:rsid w:val="00132BE4"/>
    <w:rsid w:val="001335B5"/>
    <w:rsid w:val="001361FF"/>
    <w:rsid w:val="001379F4"/>
    <w:rsid w:val="00137E86"/>
    <w:rsid w:val="00140142"/>
    <w:rsid w:val="00141625"/>
    <w:rsid w:val="00142E1B"/>
    <w:rsid w:val="001458A9"/>
    <w:rsid w:val="00146139"/>
    <w:rsid w:val="00147452"/>
    <w:rsid w:val="00147C23"/>
    <w:rsid w:val="0015190E"/>
    <w:rsid w:val="00152486"/>
    <w:rsid w:val="00154A39"/>
    <w:rsid w:val="00155496"/>
    <w:rsid w:val="00155747"/>
    <w:rsid w:val="0015590C"/>
    <w:rsid w:val="001559EC"/>
    <w:rsid w:val="0015614E"/>
    <w:rsid w:val="0015633D"/>
    <w:rsid w:val="00156C59"/>
    <w:rsid w:val="00157BB6"/>
    <w:rsid w:val="0016049F"/>
    <w:rsid w:val="0016102D"/>
    <w:rsid w:val="0016283D"/>
    <w:rsid w:val="001629CF"/>
    <w:rsid w:val="001630ED"/>
    <w:rsid w:val="001634E8"/>
    <w:rsid w:val="00163686"/>
    <w:rsid w:val="00163B48"/>
    <w:rsid w:val="00163E5C"/>
    <w:rsid w:val="00164CDB"/>
    <w:rsid w:val="001654F2"/>
    <w:rsid w:val="00165DF4"/>
    <w:rsid w:val="00165FE3"/>
    <w:rsid w:val="001674E0"/>
    <w:rsid w:val="00167AC0"/>
    <w:rsid w:val="00170D74"/>
    <w:rsid w:val="0017197D"/>
    <w:rsid w:val="00172601"/>
    <w:rsid w:val="001759C2"/>
    <w:rsid w:val="001766D8"/>
    <w:rsid w:val="00177EA5"/>
    <w:rsid w:val="00180101"/>
    <w:rsid w:val="00180D84"/>
    <w:rsid w:val="00181169"/>
    <w:rsid w:val="001821EE"/>
    <w:rsid w:val="0018268D"/>
    <w:rsid w:val="00183936"/>
    <w:rsid w:val="00184911"/>
    <w:rsid w:val="00184D3C"/>
    <w:rsid w:val="0018549E"/>
    <w:rsid w:val="0018554F"/>
    <w:rsid w:val="001855B0"/>
    <w:rsid w:val="00185E3A"/>
    <w:rsid w:val="0018666F"/>
    <w:rsid w:val="0018698F"/>
    <w:rsid w:val="00187A0E"/>
    <w:rsid w:val="0019112D"/>
    <w:rsid w:val="00191803"/>
    <w:rsid w:val="001919CD"/>
    <w:rsid w:val="001927CA"/>
    <w:rsid w:val="00192B53"/>
    <w:rsid w:val="0019349C"/>
    <w:rsid w:val="00193EDC"/>
    <w:rsid w:val="00194304"/>
    <w:rsid w:val="00194AE2"/>
    <w:rsid w:val="00194E7B"/>
    <w:rsid w:val="001954AE"/>
    <w:rsid w:val="00195A95"/>
    <w:rsid w:val="001964CF"/>
    <w:rsid w:val="0019697F"/>
    <w:rsid w:val="00197A64"/>
    <w:rsid w:val="00197EA9"/>
    <w:rsid w:val="001A0F8F"/>
    <w:rsid w:val="001A0FF3"/>
    <w:rsid w:val="001A1380"/>
    <w:rsid w:val="001A2CA3"/>
    <w:rsid w:val="001A46D3"/>
    <w:rsid w:val="001A4765"/>
    <w:rsid w:val="001A4C0A"/>
    <w:rsid w:val="001A4EAD"/>
    <w:rsid w:val="001A5BAA"/>
    <w:rsid w:val="001A5BB3"/>
    <w:rsid w:val="001A5FBE"/>
    <w:rsid w:val="001A6CA7"/>
    <w:rsid w:val="001A6CC4"/>
    <w:rsid w:val="001A6DBB"/>
    <w:rsid w:val="001A7432"/>
    <w:rsid w:val="001B01FF"/>
    <w:rsid w:val="001B06B0"/>
    <w:rsid w:val="001B0E1F"/>
    <w:rsid w:val="001B1116"/>
    <w:rsid w:val="001B222E"/>
    <w:rsid w:val="001B2747"/>
    <w:rsid w:val="001B38A5"/>
    <w:rsid w:val="001B3B4E"/>
    <w:rsid w:val="001B407A"/>
    <w:rsid w:val="001B4E44"/>
    <w:rsid w:val="001B67CD"/>
    <w:rsid w:val="001B7110"/>
    <w:rsid w:val="001B7115"/>
    <w:rsid w:val="001B7B01"/>
    <w:rsid w:val="001B7B15"/>
    <w:rsid w:val="001C08BA"/>
    <w:rsid w:val="001C0CB4"/>
    <w:rsid w:val="001C22D2"/>
    <w:rsid w:val="001C2C0F"/>
    <w:rsid w:val="001C35A7"/>
    <w:rsid w:val="001C3D32"/>
    <w:rsid w:val="001C4904"/>
    <w:rsid w:val="001C5E1A"/>
    <w:rsid w:val="001C7693"/>
    <w:rsid w:val="001D1007"/>
    <w:rsid w:val="001D10EB"/>
    <w:rsid w:val="001D1A27"/>
    <w:rsid w:val="001D1B36"/>
    <w:rsid w:val="001D1E7A"/>
    <w:rsid w:val="001D1F24"/>
    <w:rsid w:val="001D2CD5"/>
    <w:rsid w:val="001D3625"/>
    <w:rsid w:val="001D387D"/>
    <w:rsid w:val="001D443D"/>
    <w:rsid w:val="001D4518"/>
    <w:rsid w:val="001D5864"/>
    <w:rsid w:val="001D5B31"/>
    <w:rsid w:val="001D6E2A"/>
    <w:rsid w:val="001D7C2A"/>
    <w:rsid w:val="001E2661"/>
    <w:rsid w:val="001E30E5"/>
    <w:rsid w:val="001E3364"/>
    <w:rsid w:val="001E3B60"/>
    <w:rsid w:val="001E45ED"/>
    <w:rsid w:val="001E64D4"/>
    <w:rsid w:val="001E78DC"/>
    <w:rsid w:val="001E7C51"/>
    <w:rsid w:val="001E7D24"/>
    <w:rsid w:val="001F0145"/>
    <w:rsid w:val="001F08AB"/>
    <w:rsid w:val="001F14EE"/>
    <w:rsid w:val="001F366B"/>
    <w:rsid w:val="001F3AFE"/>
    <w:rsid w:val="001F411F"/>
    <w:rsid w:val="001F4F0C"/>
    <w:rsid w:val="001F5EB4"/>
    <w:rsid w:val="001F6DE5"/>
    <w:rsid w:val="001F7434"/>
    <w:rsid w:val="001F748A"/>
    <w:rsid w:val="001F773C"/>
    <w:rsid w:val="002002FE"/>
    <w:rsid w:val="00200396"/>
    <w:rsid w:val="002006D8"/>
    <w:rsid w:val="00201968"/>
    <w:rsid w:val="002025FA"/>
    <w:rsid w:val="00202870"/>
    <w:rsid w:val="0020456B"/>
    <w:rsid w:val="00204756"/>
    <w:rsid w:val="00204953"/>
    <w:rsid w:val="00204D61"/>
    <w:rsid w:val="00205D8F"/>
    <w:rsid w:val="00207BA8"/>
    <w:rsid w:val="00207DE0"/>
    <w:rsid w:val="00207EDC"/>
    <w:rsid w:val="00210053"/>
    <w:rsid w:val="00210F0A"/>
    <w:rsid w:val="002110BE"/>
    <w:rsid w:val="002113EC"/>
    <w:rsid w:val="00211842"/>
    <w:rsid w:val="00211A3A"/>
    <w:rsid w:val="00211C61"/>
    <w:rsid w:val="00212E13"/>
    <w:rsid w:val="002132A3"/>
    <w:rsid w:val="002146B6"/>
    <w:rsid w:val="002146CA"/>
    <w:rsid w:val="00215648"/>
    <w:rsid w:val="0021631E"/>
    <w:rsid w:val="00216594"/>
    <w:rsid w:val="00217713"/>
    <w:rsid w:val="00217F03"/>
    <w:rsid w:val="002215E1"/>
    <w:rsid w:val="0022243E"/>
    <w:rsid w:val="0022257A"/>
    <w:rsid w:val="00222DE7"/>
    <w:rsid w:val="002237B5"/>
    <w:rsid w:val="00223F42"/>
    <w:rsid w:val="0022593E"/>
    <w:rsid w:val="00226946"/>
    <w:rsid w:val="002269B8"/>
    <w:rsid w:val="00230788"/>
    <w:rsid w:val="00230BC1"/>
    <w:rsid w:val="00231A6B"/>
    <w:rsid w:val="00234BC8"/>
    <w:rsid w:val="00236793"/>
    <w:rsid w:val="00236FAD"/>
    <w:rsid w:val="00241125"/>
    <w:rsid w:val="002415C7"/>
    <w:rsid w:val="002422F4"/>
    <w:rsid w:val="0024391C"/>
    <w:rsid w:val="00244110"/>
    <w:rsid w:val="00244E37"/>
    <w:rsid w:val="00246A91"/>
    <w:rsid w:val="00247D36"/>
    <w:rsid w:val="00250E62"/>
    <w:rsid w:val="00250EC7"/>
    <w:rsid w:val="00252317"/>
    <w:rsid w:val="002532A8"/>
    <w:rsid w:val="00253FD0"/>
    <w:rsid w:val="00254227"/>
    <w:rsid w:val="00254443"/>
    <w:rsid w:val="00254EF1"/>
    <w:rsid w:val="00255193"/>
    <w:rsid w:val="00256358"/>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5CA8"/>
    <w:rsid w:val="002668DB"/>
    <w:rsid w:val="00266B4D"/>
    <w:rsid w:val="00266E6B"/>
    <w:rsid w:val="0026754B"/>
    <w:rsid w:val="00271D06"/>
    <w:rsid w:val="00272444"/>
    <w:rsid w:val="00272944"/>
    <w:rsid w:val="0027308C"/>
    <w:rsid w:val="00273896"/>
    <w:rsid w:val="0027436A"/>
    <w:rsid w:val="002748B2"/>
    <w:rsid w:val="0027491A"/>
    <w:rsid w:val="00274F28"/>
    <w:rsid w:val="00275251"/>
    <w:rsid w:val="00275BF5"/>
    <w:rsid w:val="00276A3C"/>
    <w:rsid w:val="00276A75"/>
    <w:rsid w:val="00276F6A"/>
    <w:rsid w:val="00277128"/>
    <w:rsid w:val="00277423"/>
    <w:rsid w:val="00280D18"/>
    <w:rsid w:val="0028255F"/>
    <w:rsid w:val="002827AE"/>
    <w:rsid w:val="00282E11"/>
    <w:rsid w:val="0028340E"/>
    <w:rsid w:val="0028457C"/>
    <w:rsid w:val="002847E8"/>
    <w:rsid w:val="00285752"/>
    <w:rsid w:val="0028693A"/>
    <w:rsid w:val="00290133"/>
    <w:rsid w:val="00291761"/>
    <w:rsid w:val="00291D20"/>
    <w:rsid w:val="00292E65"/>
    <w:rsid w:val="00292FD8"/>
    <w:rsid w:val="00294011"/>
    <w:rsid w:val="00294848"/>
    <w:rsid w:val="00294972"/>
    <w:rsid w:val="00294A0E"/>
    <w:rsid w:val="00294FBC"/>
    <w:rsid w:val="002965DE"/>
    <w:rsid w:val="00296657"/>
    <w:rsid w:val="00297690"/>
    <w:rsid w:val="002A101D"/>
    <w:rsid w:val="002A1396"/>
    <w:rsid w:val="002A34B5"/>
    <w:rsid w:val="002A36CA"/>
    <w:rsid w:val="002A3C62"/>
    <w:rsid w:val="002A3C89"/>
    <w:rsid w:val="002A3CD3"/>
    <w:rsid w:val="002A5520"/>
    <w:rsid w:val="002A5DAE"/>
    <w:rsid w:val="002A63DE"/>
    <w:rsid w:val="002A6DD1"/>
    <w:rsid w:val="002A758F"/>
    <w:rsid w:val="002A7C67"/>
    <w:rsid w:val="002B04B7"/>
    <w:rsid w:val="002B09F2"/>
    <w:rsid w:val="002B0EA4"/>
    <w:rsid w:val="002B2D95"/>
    <w:rsid w:val="002B3DC5"/>
    <w:rsid w:val="002B3F5B"/>
    <w:rsid w:val="002B45A3"/>
    <w:rsid w:val="002B5DEE"/>
    <w:rsid w:val="002B65E6"/>
    <w:rsid w:val="002B6F4F"/>
    <w:rsid w:val="002C0510"/>
    <w:rsid w:val="002C0830"/>
    <w:rsid w:val="002C0E29"/>
    <w:rsid w:val="002C29D6"/>
    <w:rsid w:val="002C3C2C"/>
    <w:rsid w:val="002C51B7"/>
    <w:rsid w:val="002C5FAC"/>
    <w:rsid w:val="002C627D"/>
    <w:rsid w:val="002C7B7C"/>
    <w:rsid w:val="002D03E9"/>
    <w:rsid w:val="002D0921"/>
    <w:rsid w:val="002D19D3"/>
    <w:rsid w:val="002D3C55"/>
    <w:rsid w:val="002D3C7B"/>
    <w:rsid w:val="002D4751"/>
    <w:rsid w:val="002D5109"/>
    <w:rsid w:val="002D5A56"/>
    <w:rsid w:val="002D7BF2"/>
    <w:rsid w:val="002D7C2B"/>
    <w:rsid w:val="002D7D4A"/>
    <w:rsid w:val="002E0B0F"/>
    <w:rsid w:val="002E240C"/>
    <w:rsid w:val="002E2555"/>
    <w:rsid w:val="002E28CB"/>
    <w:rsid w:val="002E3ECC"/>
    <w:rsid w:val="002E405D"/>
    <w:rsid w:val="002E49D6"/>
    <w:rsid w:val="002E4B43"/>
    <w:rsid w:val="002E4F06"/>
    <w:rsid w:val="002E6EFE"/>
    <w:rsid w:val="002E7E97"/>
    <w:rsid w:val="002E7F27"/>
    <w:rsid w:val="002F21DF"/>
    <w:rsid w:val="002F273C"/>
    <w:rsid w:val="002F2B30"/>
    <w:rsid w:val="002F5362"/>
    <w:rsid w:val="002F5AB4"/>
    <w:rsid w:val="002F66DD"/>
    <w:rsid w:val="002F7AF3"/>
    <w:rsid w:val="003000E1"/>
    <w:rsid w:val="00300518"/>
    <w:rsid w:val="00300617"/>
    <w:rsid w:val="00300918"/>
    <w:rsid w:val="0030137F"/>
    <w:rsid w:val="003013F6"/>
    <w:rsid w:val="003014E8"/>
    <w:rsid w:val="00302255"/>
    <w:rsid w:val="00302277"/>
    <w:rsid w:val="0030252B"/>
    <w:rsid w:val="00303472"/>
    <w:rsid w:val="003040AF"/>
    <w:rsid w:val="00304ECC"/>
    <w:rsid w:val="003051A9"/>
    <w:rsid w:val="00306874"/>
    <w:rsid w:val="00306F44"/>
    <w:rsid w:val="0030705B"/>
    <w:rsid w:val="00307227"/>
    <w:rsid w:val="003072F6"/>
    <w:rsid w:val="0030733E"/>
    <w:rsid w:val="00310093"/>
    <w:rsid w:val="00310627"/>
    <w:rsid w:val="003106C2"/>
    <w:rsid w:val="00310CC0"/>
    <w:rsid w:val="00311374"/>
    <w:rsid w:val="00311F85"/>
    <w:rsid w:val="003123A2"/>
    <w:rsid w:val="00312961"/>
    <w:rsid w:val="00313951"/>
    <w:rsid w:val="00313AFB"/>
    <w:rsid w:val="00313FFE"/>
    <w:rsid w:val="00314F60"/>
    <w:rsid w:val="00315348"/>
    <w:rsid w:val="0031694C"/>
    <w:rsid w:val="00316A5B"/>
    <w:rsid w:val="00316E53"/>
    <w:rsid w:val="00317B77"/>
    <w:rsid w:val="00317B7A"/>
    <w:rsid w:val="00320ED6"/>
    <w:rsid w:val="00321169"/>
    <w:rsid w:val="003221D0"/>
    <w:rsid w:val="003236BE"/>
    <w:rsid w:val="00323E5F"/>
    <w:rsid w:val="0032445C"/>
    <w:rsid w:val="003260C3"/>
    <w:rsid w:val="00326932"/>
    <w:rsid w:val="00326FBE"/>
    <w:rsid w:val="003270D9"/>
    <w:rsid w:val="003309BC"/>
    <w:rsid w:val="00330CAD"/>
    <w:rsid w:val="00331570"/>
    <w:rsid w:val="003320F6"/>
    <w:rsid w:val="0033270D"/>
    <w:rsid w:val="00332E34"/>
    <w:rsid w:val="00332F23"/>
    <w:rsid w:val="0033419F"/>
    <w:rsid w:val="00334675"/>
    <w:rsid w:val="00334A22"/>
    <w:rsid w:val="00334DE7"/>
    <w:rsid w:val="003350FF"/>
    <w:rsid w:val="00335D0B"/>
    <w:rsid w:val="00336C57"/>
    <w:rsid w:val="003376FB"/>
    <w:rsid w:val="00337DAA"/>
    <w:rsid w:val="00337E58"/>
    <w:rsid w:val="00341755"/>
    <w:rsid w:val="00341791"/>
    <w:rsid w:val="0034345C"/>
    <w:rsid w:val="00343869"/>
    <w:rsid w:val="00344EE7"/>
    <w:rsid w:val="0034540A"/>
    <w:rsid w:val="00345A0D"/>
    <w:rsid w:val="00350639"/>
    <w:rsid w:val="00352657"/>
    <w:rsid w:val="00352B18"/>
    <w:rsid w:val="00354150"/>
    <w:rsid w:val="0035424A"/>
    <w:rsid w:val="003546F2"/>
    <w:rsid w:val="0035673B"/>
    <w:rsid w:val="003568BE"/>
    <w:rsid w:val="00357A0E"/>
    <w:rsid w:val="0036185E"/>
    <w:rsid w:val="00361E57"/>
    <w:rsid w:val="00362217"/>
    <w:rsid w:val="0036358F"/>
    <w:rsid w:val="00363CB8"/>
    <w:rsid w:val="00364890"/>
    <w:rsid w:val="00364B46"/>
    <w:rsid w:val="00364BA8"/>
    <w:rsid w:val="0036582B"/>
    <w:rsid w:val="00365C00"/>
    <w:rsid w:val="00365F76"/>
    <w:rsid w:val="003664DC"/>
    <w:rsid w:val="00366510"/>
    <w:rsid w:val="00367563"/>
    <w:rsid w:val="00371217"/>
    <w:rsid w:val="003728C0"/>
    <w:rsid w:val="00373142"/>
    <w:rsid w:val="00374055"/>
    <w:rsid w:val="00374E33"/>
    <w:rsid w:val="00375A53"/>
    <w:rsid w:val="00375AF7"/>
    <w:rsid w:val="00375B76"/>
    <w:rsid w:val="00377D3A"/>
    <w:rsid w:val="003800EE"/>
    <w:rsid w:val="00380FE9"/>
    <w:rsid w:val="00381CA1"/>
    <w:rsid w:val="00381DE8"/>
    <w:rsid w:val="00381EE9"/>
    <w:rsid w:val="00382580"/>
    <w:rsid w:val="003832D5"/>
    <w:rsid w:val="00383497"/>
    <w:rsid w:val="00383642"/>
    <w:rsid w:val="00383994"/>
    <w:rsid w:val="003853D2"/>
    <w:rsid w:val="0038583F"/>
    <w:rsid w:val="00386564"/>
    <w:rsid w:val="00386928"/>
    <w:rsid w:val="00387011"/>
    <w:rsid w:val="0039048D"/>
    <w:rsid w:val="00390663"/>
    <w:rsid w:val="00390EF3"/>
    <w:rsid w:val="00391BB4"/>
    <w:rsid w:val="0039326E"/>
    <w:rsid w:val="00393E85"/>
    <w:rsid w:val="003944F6"/>
    <w:rsid w:val="00396791"/>
    <w:rsid w:val="00397FA1"/>
    <w:rsid w:val="003A1282"/>
    <w:rsid w:val="003A1310"/>
    <w:rsid w:val="003A1F59"/>
    <w:rsid w:val="003A229B"/>
    <w:rsid w:val="003A23D2"/>
    <w:rsid w:val="003A3B60"/>
    <w:rsid w:val="003A3F7A"/>
    <w:rsid w:val="003A4425"/>
    <w:rsid w:val="003A5068"/>
    <w:rsid w:val="003A5546"/>
    <w:rsid w:val="003A635C"/>
    <w:rsid w:val="003A7969"/>
    <w:rsid w:val="003B110A"/>
    <w:rsid w:val="003B1A5F"/>
    <w:rsid w:val="003B2893"/>
    <w:rsid w:val="003B37C3"/>
    <w:rsid w:val="003B42A9"/>
    <w:rsid w:val="003B52EB"/>
    <w:rsid w:val="003B5EE4"/>
    <w:rsid w:val="003B6926"/>
    <w:rsid w:val="003B6A8F"/>
    <w:rsid w:val="003B6C9F"/>
    <w:rsid w:val="003B6D5E"/>
    <w:rsid w:val="003B788F"/>
    <w:rsid w:val="003B7CEE"/>
    <w:rsid w:val="003C1760"/>
    <w:rsid w:val="003C1A19"/>
    <w:rsid w:val="003C1BC9"/>
    <w:rsid w:val="003C1C63"/>
    <w:rsid w:val="003C222A"/>
    <w:rsid w:val="003C2E54"/>
    <w:rsid w:val="003C3F4A"/>
    <w:rsid w:val="003C4BC4"/>
    <w:rsid w:val="003C50BD"/>
    <w:rsid w:val="003C5FE4"/>
    <w:rsid w:val="003C6668"/>
    <w:rsid w:val="003C67FB"/>
    <w:rsid w:val="003C6850"/>
    <w:rsid w:val="003C6B71"/>
    <w:rsid w:val="003C75EF"/>
    <w:rsid w:val="003C771D"/>
    <w:rsid w:val="003C7DDB"/>
    <w:rsid w:val="003D0D87"/>
    <w:rsid w:val="003D1171"/>
    <w:rsid w:val="003D17C0"/>
    <w:rsid w:val="003D1B98"/>
    <w:rsid w:val="003D27BE"/>
    <w:rsid w:val="003D4192"/>
    <w:rsid w:val="003D4605"/>
    <w:rsid w:val="003D480D"/>
    <w:rsid w:val="003D567E"/>
    <w:rsid w:val="003D5F86"/>
    <w:rsid w:val="003D5FBA"/>
    <w:rsid w:val="003E010B"/>
    <w:rsid w:val="003E0CA0"/>
    <w:rsid w:val="003E14F6"/>
    <w:rsid w:val="003E1A61"/>
    <w:rsid w:val="003E255B"/>
    <w:rsid w:val="003E2C69"/>
    <w:rsid w:val="003E3490"/>
    <w:rsid w:val="003E34ED"/>
    <w:rsid w:val="003E4EE1"/>
    <w:rsid w:val="003E6515"/>
    <w:rsid w:val="003E687B"/>
    <w:rsid w:val="003E70C1"/>
    <w:rsid w:val="003E7452"/>
    <w:rsid w:val="003F0156"/>
    <w:rsid w:val="003F064B"/>
    <w:rsid w:val="003F0923"/>
    <w:rsid w:val="003F1D4E"/>
    <w:rsid w:val="003F2089"/>
    <w:rsid w:val="003F20B4"/>
    <w:rsid w:val="003F3271"/>
    <w:rsid w:val="003F3C7F"/>
    <w:rsid w:val="003F41E6"/>
    <w:rsid w:val="003F44C7"/>
    <w:rsid w:val="003F452A"/>
    <w:rsid w:val="003F458B"/>
    <w:rsid w:val="003F4666"/>
    <w:rsid w:val="003F6FB3"/>
    <w:rsid w:val="003F780F"/>
    <w:rsid w:val="00402178"/>
    <w:rsid w:val="00403FAE"/>
    <w:rsid w:val="004054D2"/>
    <w:rsid w:val="0040660B"/>
    <w:rsid w:val="00406787"/>
    <w:rsid w:val="00406FA3"/>
    <w:rsid w:val="00407193"/>
    <w:rsid w:val="004072F7"/>
    <w:rsid w:val="00407F4A"/>
    <w:rsid w:val="004108F6"/>
    <w:rsid w:val="0041234A"/>
    <w:rsid w:val="00412923"/>
    <w:rsid w:val="00414074"/>
    <w:rsid w:val="00414E7A"/>
    <w:rsid w:val="004153C9"/>
    <w:rsid w:val="004161BC"/>
    <w:rsid w:val="004164A5"/>
    <w:rsid w:val="004171BD"/>
    <w:rsid w:val="0041732B"/>
    <w:rsid w:val="004176F3"/>
    <w:rsid w:val="00417C5F"/>
    <w:rsid w:val="00417C91"/>
    <w:rsid w:val="00420AA7"/>
    <w:rsid w:val="00420CAD"/>
    <w:rsid w:val="00420EBE"/>
    <w:rsid w:val="00421C89"/>
    <w:rsid w:val="004221B5"/>
    <w:rsid w:val="00422E33"/>
    <w:rsid w:val="00424FE0"/>
    <w:rsid w:val="00425E0B"/>
    <w:rsid w:val="0042619D"/>
    <w:rsid w:val="00426661"/>
    <w:rsid w:val="00426950"/>
    <w:rsid w:val="0042765D"/>
    <w:rsid w:val="00427CE3"/>
    <w:rsid w:val="00427E28"/>
    <w:rsid w:val="00430167"/>
    <w:rsid w:val="0043102E"/>
    <w:rsid w:val="00431435"/>
    <w:rsid w:val="00431BA8"/>
    <w:rsid w:val="00432234"/>
    <w:rsid w:val="00432B8D"/>
    <w:rsid w:val="00434604"/>
    <w:rsid w:val="00436F64"/>
    <w:rsid w:val="00437018"/>
    <w:rsid w:val="00437BE5"/>
    <w:rsid w:val="00437C0C"/>
    <w:rsid w:val="00437CD5"/>
    <w:rsid w:val="00437DA6"/>
    <w:rsid w:val="0044058C"/>
    <w:rsid w:val="00441D60"/>
    <w:rsid w:val="004432FE"/>
    <w:rsid w:val="00443C55"/>
    <w:rsid w:val="0044403E"/>
    <w:rsid w:val="00446232"/>
    <w:rsid w:val="00446A26"/>
    <w:rsid w:val="00446EB6"/>
    <w:rsid w:val="00447CFC"/>
    <w:rsid w:val="004549C4"/>
    <w:rsid w:val="00454E7B"/>
    <w:rsid w:val="004553E5"/>
    <w:rsid w:val="004556E3"/>
    <w:rsid w:val="0045573C"/>
    <w:rsid w:val="00455E4C"/>
    <w:rsid w:val="004567FE"/>
    <w:rsid w:val="00456CED"/>
    <w:rsid w:val="00457E4E"/>
    <w:rsid w:val="0046065C"/>
    <w:rsid w:val="00461889"/>
    <w:rsid w:val="004619B2"/>
    <w:rsid w:val="004619FD"/>
    <w:rsid w:val="0046207A"/>
    <w:rsid w:val="004626A6"/>
    <w:rsid w:val="004632C9"/>
    <w:rsid w:val="00463788"/>
    <w:rsid w:val="00463B6E"/>
    <w:rsid w:val="00464F80"/>
    <w:rsid w:val="00465FDF"/>
    <w:rsid w:val="004660CD"/>
    <w:rsid w:val="0046679F"/>
    <w:rsid w:val="00466954"/>
    <w:rsid w:val="00466BB0"/>
    <w:rsid w:val="00467283"/>
    <w:rsid w:val="0046790B"/>
    <w:rsid w:val="00467B6A"/>
    <w:rsid w:val="00470C81"/>
    <w:rsid w:val="00470F33"/>
    <w:rsid w:val="00471188"/>
    <w:rsid w:val="0047157B"/>
    <w:rsid w:val="004727A7"/>
    <w:rsid w:val="00472A2A"/>
    <w:rsid w:val="00472C71"/>
    <w:rsid w:val="00472C8B"/>
    <w:rsid w:val="00472D56"/>
    <w:rsid w:val="00473C67"/>
    <w:rsid w:val="00474119"/>
    <w:rsid w:val="00474F86"/>
    <w:rsid w:val="00477DB9"/>
    <w:rsid w:val="00480717"/>
    <w:rsid w:val="004807E2"/>
    <w:rsid w:val="00480D75"/>
    <w:rsid w:val="00481604"/>
    <w:rsid w:val="00481BD6"/>
    <w:rsid w:val="00482789"/>
    <w:rsid w:val="00485CFE"/>
    <w:rsid w:val="00486802"/>
    <w:rsid w:val="00490298"/>
    <w:rsid w:val="004903FD"/>
    <w:rsid w:val="00490F63"/>
    <w:rsid w:val="00491669"/>
    <w:rsid w:val="00491ABD"/>
    <w:rsid w:val="00491DAB"/>
    <w:rsid w:val="0049298D"/>
    <w:rsid w:val="00493884"/>
    <w:rsid w:val="00493BF2"/>
    <w:rsid w:val="00493E03"/>
    <w:rsid w:val="00494076"/>
    <w:rsid w:val="00494C28"/>
    <w:rsid w:val="00495240"/>
    <w:rsid w:val="00495D7D"/>
    <w:rsid w:val="004963B5"/>
    <w:rsid w:val="00496E5D"/>
    <w:rsid w:val="004A0C66"/>
    <w:rsid w:val="004A1016"/>
    <w:rsid w:val="004A1C71"/>
    <w:rsid w:val="004A1CD1"/>
    <w:rsid w:val="004A2226"/>
    <w:rsid w:val="004A22E3"/>
    <w:rsid w:val="004A278D"/>
    <w:rsid w:val="004A2BCE"/>
    <w:rsid w:val="004A48C2"/>
    <w:rsid w:val="004A4DBC"/>
    <w:rsid w:val="004A50EA"/>
    <w:rsid w:val="004A5898"/>
    <w:rsid w:val="004A62CD"/>
    <w:rsid w:val="004A648E"/>
    <w:rsid w:val="004B0441"/>
    <w:rsid w:val="004B0FCA"/>
    <w:rsid w:val="004B1024"/>
    <w:rsid w:val="004B12E1"/>
    <w:rsid w:val="004B16AC"/>
    <w:rsid w:val="004B19C7"/>
    <w:rsid w:val="004B2A8D"/>
    <w:rsid w:val="004B2D4E"/>
    <w:rsid w:val="004B324B"/>
    <w:rsid w:val="004B36BD"/>
    <w:rsid w:val="004B3934"/>
    <w:rsid w:val="004B3969"/>
    <w:rsid w:val="004B3ADE"/>
    <w:rsid w:val="004B4B2E"/>
    <w:rsid w:val="004B4FD3"/>
    <w:rsid w:val="004B5050"/>
    <w:rsid w:val="004B5249"/>
    <w:rsid w:val="004B5D13"/>
    <w:rsid w:val="004B727D"/>
    <w:rsid w:val="004C0915"/>
    <w:rsid w:val="004C103F"/>
    <w:rsid w:val="004C2007"/>
    <w:rsid w:val="004C2193"/>
    <w:rsid w:val="004C5BAE"/>
    <w:rsid w:val="004C6426"/>
    <w:rsid w:val="004C65D4"/>
    <w:rsid w:val="004C6698"/>
    <w:rsid w:val="004D0184"/>
    <w:rsid w:val="004D044D"/>
    <w:rsid w:val="004D078F"/>
    <w:rsid w:val="004D1273"/>
    <w:rsid w:val="004D1426"/>
    <w:rsid w:val="004D1B86"/>
    <w:rsid w:val="004D1D2A"/>
    <w:rsid w:val="004D1F5F"/>
    <w:rsid w:val="004D244E"/>
    <w:rsid w:val="004D2AB1"/>
    <w:rsid w:val="004D4F09"/>
    <w:rsid w:val="004D518D"/>
    <w:rsid w:val="004D51A7"/>
    <w:rsid w:val="004D5428"/>
    <w:rsid w:val="004D55EF"/>
    <w:rsid w:val="004D6631"/>
    <w:rsid w:val="004D66A3"/>
    <w:rsid w:val="004D67FB"/>
    <w:rsid w:val="004D6D85"/>
    <w:rsid w:val="004D73EC"/>
    <w:rsid w:val="004D74BB"/>
    <w:rsid w:val="004D75F6"/>
    <w:rsid w:val="004D764F"/>
    <w:rsid w:val="004E0B45"/>
    <w:rsid w:val="004E116A"/>
    <w:rsid w:val="004E1D72"/>
    <w:rsid w:val="004E1D8C"/>
    <w:rsid w:val="004E22CE"/>
    <w:rsid w:val="004E24EC"/>
    <w:rsid w:val="004E277A"/>
    <w:rsid w:val="004E4CCC"/>
    <w:rsid w:val="004E6EEB"/>
    <w:rsid w:val="004E7021"/>
    <w:rsid w:val="004E77CC"/>
    <w:rsid w:val="004E79AB"/>
    <w:rsid w:val="004E7DCC"/>
    <w:rsid w:val="004F263F"/>
    <w:rsid w:val="004F2D8C"/>
    <w:rsid w:val="004F30A3"/>
    <w:rsid w:val="004F3F8B"/>
    <w:rsid w:val="004F4100"/>
    <w:rsid w:val="004F4A8D"/>
    <w:rsid w:val="004F54AE"/>
    <w:rsid w:val="004F5BBF"/>
    <w:rsid w:val="004F649A"/>
    <w:rsid w:val="004F6F24"/>
    <w:rsid w:val="004F7241"/>
    <w:rsid w:val="004F7673"/>
    <w:rsid w:val="004F77C7"/>
    <w:rsid w:val="004F77CE"/>
    <w:rsid w:val="005000BD"/>
    <w:rsid w:val="00500342"/>
    <w:rsid w:val="005004D0"/>
    <w:rsid w:val="00501C69"/>
    <w:rsid w:val="00503DD7"/>
    <w:rsid w:val="00503EE0"/>
    <w:rsid w:val="00503FFB"/>
    <w:rsid w:val="00504232"/>
    <w:rsid w:val="00505163"/>
    <w:rsid w:val="00505C73"/>
    <w:rsid w:val="0050629D"/>
    <w:rsid w:val="00507858"/>
    <w:rsid w:val="00507A74"/>
    <w:rsid w:val="00507B13"/>
    <w:rsid w:val="00510402"/>
    <w:rsid w:val="0051057F"/>
    <w:rsid w:val="0051169E"/>
    <w:rsid w:val="00511C09"/>
    <w:rsid w:val="0051237A"/>
    <w:rsid w:val="005129FF"/>
    <w:rsid w:val="00512E8A"/>
    <w:rsid w:val="00513406"/>
    <w:rsid w:val="00514406"/>
    <w:rsid w:val="00514725"/>
    <w:rsid w:val="00514A6C"/>
    <w:rsid w:val="00514F71"/>
    <w:rsid w:val="005159E8"/>
    <w:rsid w:val="00516157"/>
    <w:rsid w:val="005172E7"/>
    <w:rsid w:val="00517FAD"/>
    <w:rsid w:val="005206E0"/>
    <w:rsid w:val="005207E5"/>
    <w:rsid w:val="00520D1D"/>
    <w:rsid w:val="00521865"/>
    <w:rsid w:val="00521CD6"/>
    <w:rsid w:val="00521D21"/>
    <w:rsid w:val="005222EA"/>
    <w:rsid w:val="005223D4"/>
    <w:rsid w:val="00523035"/>
    <w:rsid w:val="00523F20"/>
    <w:rsid w:val="00524473"/>
    <w:rsid w:val="00525737"/>
    <w:rsid w:val="00525C90"/>
    <w:rsid w:val="00525FC4"/>
    <w:rsid w:val="005265DA"/>
    <w:rsid w:val="00526707"/>
    <w:rsid w:val="0052723A"/>
    <w:rsid w:val="005277FE"/>
    <w:rsid w:val="00530E4A"/>
    <w:rsid w:val="00531AFE"/>
    <w:rsid w:val="00532190"/>
    <w:rsid w:val="00532636"/>
    <w:rsid w:val="00532952"/>
    <w:rsid w:val="00532C99"/>
    <w:rsid w:val="00533286"/>
    <w:rsid w:val="00534CBB"/>
    <w:rsid w:val="0053503F"/>
    <w:rsid w:val="00535D1B"/>
    <w:rsid w:val="00535FB6"/>
    <w:rsid w:val="00536D5F"/>
    <w:rsid w:val="00537558"/>
    <w:rsid w:val="00540A7F"/>
    <w:rsid w:val="0054170E"/>
    <w:rsid w:val="005424F9"/>
    <w:rsid w:val="00543D6F"/>
    <w:rsid w:val="005443F1"/>
    <w:rsid w:val="005445D4"/>
    <w:rsid w:val="00545D03"/>
    <w:rsid w:val="00546041"/>
    <w:rsid w:val="00546091"/>
    <w:rsid w:val="0054610F"/>
    <w:rsid w:val="0054617A"/>
    <w:rsid w:val="005466B8"/>
    <w:rsid w:val="00546D9E"/>
    <w:rsid w:val="0055015F"/>
    <w:rsid w:val="00551E94"/>
    <w:rsid w:val="00552257"/>
    <w:rsid w:val="00552444"/>
    <w:rsid w:val="00552778"/>
    <w:rsid w:val="00552AB8"/>
    <w:rsid w:val="00552D18"/>
    <w:rsid w:val="00552FD3"/>
    <w:rsid w:val="0055309E"/>
    <w:rsid w:val="00553170"/>
    <w:rsid w:val="005536EB"/>
    <w:rsid w:val="005558CB"/>
    <w:rsid w:val="00555ACB"/>
    <w:rsid w:val="0055691E"/>
    <w:rsid w:val="0055716E"/>
    <w:rsid w:val="00557A7B"/>
    <w:rsid w:val="00560194"/>
    <w:rsid w:val="00561A0D"/>
    <w:rsid w:val="00561AEC"/>
    <w:rsid w:val="00561BB6"/>
    <w:rsid w:val="005621C8"/>
    <w:rsid w:val="0056258B"/>
    <w:rsid w:val="005646CC"/>
    <w:rsid w:val="00565C4D"/>
    <w:rsid w:val="0056611E"/>
    <w:rsid w:val="0057050E"/>
    <w:rsid w:val="00570C96"/>
    <w:rsid w:val="00570E5C"/>
    <w:rsid w:val="00571883"/>
    <w:rsid w:val="00571DA6"/>
    <w:rsid w:val="005722E0"/>
    <w:rsid w:val="0057291F"/>
    <w:rsid w:val="0057352B"/>
    <w:rsid w:val="005736AD"/>
    <w:rsid w:val="0057494D"/>
    <w:rsid w:val="00574F5D"/>
    <w:rsid w:val="005753AE"/>
    <w:rsid w:val="00575EB3"/>
    <w:rsid w:val="00576DCD"/>
    <w:rsid w:val="0057707C"/>
    <w:rsid w:val="00577997"/>
    <w:rsid w:val="0058104C"/>
    <w:rsid w:val="00581485"/>
    <w:rsid w:val="005815FE"/>
    <w:rsid w:val="0058235A"/>
    <w:rsid w:val="005825D0"/>
    <w:rsid w:val="00585C7B"/>
    <w:rsid w:val="00585E01"/>
    <w:rsid w:val="00587B56"/>
    <w:rsid w:val="0059041A"/>
    <w:rsid w:val="0059186C"/>
    <w:rsid w:val="00592826"/>
    <w:rsid w:val="005933B9"/>
    <w:rsid w:val="00593567"/>
    <w:rsid w:val="0059398F"/>
    <w:rsid w:val="00594C6F"/>
    <w:rsid w:val="0059511E"/>
    <w:rsid w:val="0059565B"/>
    <w:rsid w:val="005A00E5"/>
    <w:rsid w:val="005A03DE"/>
    <w:rsid w:val="005A0615"/>
    <w:rsid w:val="005A0912"/>
    <w:rsid w:val="005A0ACA"/>
    <w:rsid w:val="005A0DA9"/>
    <w:rsid w:val="005A1ACB"/>
    <w:rsid w:val="005A1FF0"/>
    <w:rsid w:val="005A24B8"/>
    <w:rsid w:val="005A2AE6"/>
    <w:rsid w:val="005A36FF"/>
    <w:rsid w:val="005A4C51"/>
    <w:rsid w:val="005A50CC"/>
    <w:rsid w:val="005A5B12"/>
    <w:rsid w:val="005A67ED"/>
    <w:rsid w:val="005A6EC9"/>
    <w:rsid w:val="005B08F1"/>
    <w:rsid w:val="005B13CA"/>
    <w:rsid w:val="005B13FE"/>
    <w:rsid w:val="005B1DD9"/>
    <w:rsid w:val="005B2748"/>
    <w:rsid w:val="005B2B21"/>
    <w:rsid w:val="005B32A4"/>
    <w:rsid w:val="005B3343"/>
    <w:rsid w:val="005B393A"/>
    <w:rsid w:val="005B3CF7"/>
    <w:rsid w:val="005B416E"/>
    <w:rsid w:val="005B4C1B"/>
    <w:rsid w:val="005B531B"/>
    <w:rsid w:val="005B601E"/>
    <w:rsid w:val="005B665C"/>
    <w:rsid w:val="005B6929"/>
    <w:rsid w:val="005B71CC"/>
    <w:rsid w:val="005B739B"/>
    <w:rsid w:val="005B76D0"/>
    <w:rsid w:val="005B78D4"/>
    <w:rsid w:val="005B7EB0"/>
    <w:rsid w:val="005C0533"/>
    <w:rsid w:val="005C0D07"/>
    <w:rsid w:val="005C1385"/>
    <w:rsid w:val="005C1834"/>
    <w:rsid w:val="005C30DD"/>
    <w:rsid w:val="005C48AE"/>
    <w:rsid w:val="005C49A0"/>
    <w:rsid w:val="005C5173"/>
    <w:rsid w:val="005C52C6"/>
    <w:rsid w:val="005C5B55"/>
    <w:rsid w:val="005C5BC6"/>
    <w:rsid w:val="005C741B"/>
    <w:rsid w:val="005D0DDD"/>
    <w:rsid w:val="005D3583"/>
    <w:rsid w:val="005D35FF"/>
    <w:rsid w:val="005D380B"/>
    <w:rsid w:val="005D44A2"/>
    <w:rsid w:val="005D47A0"/>
    <w:rsid w:val="005D5744"/>
    <w:rsid w:val="005D5AB2"/>
    <w:rsid w:val="005D631D"/>
    <w:rsid w:val="005D638F"/>
    <w:rsid w:val="005D71EF"/>
    <w:rsid w:val="005D72C5"/>
    <w:rsid w:val="005D7D70"/>
    <w:rsid w:val="005E00F5"/>
    <w:rsid w:val="005E0B88"/>
    <w:rsid w:val="005E1539"/>
    <w:rsid w:val="005E2506"/>
    <w:rsid w:val="005E25D9"/>
    <w:rsid w:val="005E2F23"/>
    <w:rsid w:val="005E43C7"/>
    <w:rsid w:val="005E5105"/>
    <w:rsid w:val="005E6A1B"/>
    <w:rsid w:val="005E6B5D"/>
    <w:rsid w:val="005E6C59"/>
    <w:rsid w:val="005E7BC0"/>
    <w:rsid w:val="005F0AED"/>
    <w:rsid w:val="005F0F06"/>
    <w:rsid w:val="005F1CAC"/>
    <w:rsid w:val="005F2019"/>
    <w:rsid w:val="005F24D5"/>
    <w:rsid w:val="005F26F6"/>
    <w:rsid w:val="005F3554"/>
    <w:rsid w:val="005F3E8F"/>
    <w:rsid w:val="005F48A8"/>
    <w:rsid w:val="005F617B"/>
    <w:rsid w:val="005F666F"/>
    <w:rsid w:val="005F73D9"/>
    <w:rsid w:val="005F7C53"/>
    <w:rsid w:val="00601773"/>
    <w:rsid w:val="006023CD"/>
    <w:rsid w:val="006028CA"/>
    <w:rsid w:val="0060315D"/>
    <w:rsid w:val="006040C3"/>
    <w:rsid w:val="006044DF"/>
    <w:rsid w:val="006050D7"/>
    <w:rsid w:val="006056F0"/>
    <w:rsid w:val="00605FA7"/>
    <w:rsid w:val="0060658B"/>
    <w:rsid w:val="00606B3C"/>
    <w:rsid w:val="006070A1"/>
    <w:rsid w:val="00611C90"/>
    <w:rsid w:val="00612245"/>
    <w:rsid w:val="00612989"/>
    <w:rsid w:val="00612A22"/>
    <w:rsid w:val="00613B47"/>
    <w:rsid w:val="00614AE1"/>
    <w:rsid w:val="00614FC1"/>
    <w:rsid w:val="0061505C"/>
    <w:rsid w:val="0061544C"/>
    <w:rsid w:val="0061552B"/>
    <w:rsid w:val="00615ABF"/>
    <w:rsid w:val="00615C47"/>
    <w:rsid w:val="006163D7"/>
    <w:rsid w:val="00617FB7"/>
    <w:rsid w:val="006206FE"/>
    <w:rsid w:val="00620800"/>
    <w:rsid w:val="00620F18"/>
    <w:rsid w:val="0062169A"/>
    <w:rsid w:val="0062231F"/>
    <w:rsid w:val="00622A9F"/>
    <w:rsid w:val="00622B65"/>
    <w:rsid w:val="006239B1"/>
    <w:rsid w:val="0062403B"/>
    <w:rsid w:val="00624946"/>
    <w:rsid w:val="00625BF0"/>
    <w:rsid w:val="006260E1"/>
    <w:rsid w:val="00626B4E"/>
    <w:rsid w:val="006309C1"/>
    <w:rsid w:val="006318F8"/>
    <w:rsid w:val="00631A05"/>
    <w:rsid w:val="00631B28"/>
    <w:rsid w:val="0063232D"/>
    <w:rsid w:val="006329A9"/>
    <w:rsid w:val="006330E9"/>
    <w:rsid w:val="0063439C"/>
    <w:rsid w:val="00634413"/>
    <w:rsid w:val="0063481D"/>
    <w:rsid w:val="00634947"/>
    <w:rsid w:val="006349DD"/>
    <w:rsid w:val="00634C43"/>
    <w:rsid w:val="00636060"/>
    <w:rsid w:val="00636431"/>
    <w:rsid w:val="00636F92"/>
    <w:rsid w:val="006377B0"/>
    <w:rsid w:val="006416BE"/>
    <w:rsid w:val="00641E02"/>
    <w:rsid w:val="00641F99"/>
    <w:rsid w:val="00643BAD"/>
    <w:rsid w:val="00644082"/>
    <w:rsid w:val="0064423C"/>
    <w:rsid w:val="00644ACB"/>
    <w:rsid w:val="00645AA4"/>
    <w:rsid w:val="0064655B"/>
    <w:rsid w:val="0064691C"/>
    <w:rsid w:val="00646FE8"/>
    <w:rsid w:val="00650517"/>
    <w:rsid w:val="00652092"/>
    <w:rsid w:val="00652531"/>
    <w:rsid w:val="00652BCC"/>
    <w:rsid w:val="00652BDE"/>
    <w:rsid w:val="00652CE2"/>
    <w:rsid w:val="006533EB"/>
    <w:rsid w:val="006534A2"/>
    <w:rsid w:val="00653C2D"/>
    <w:rsid w:val="006551FD"/>
    <w:rsid w:val="00655BE1"/>
    <w:rsid w:val="00656171"/>
    <w:rsid w:val="006562A7"/>
    <w:rsid w:val="006600EE"/>
    <w:rsid w:val="00660ABE"/>
    <w:rsid w:val="00661051"/>
    <w:rsid w:val="006620F4"/>
    <w:rsid w:val="00662F68"/>
    <w:rsid w:val="0066392E"/>
    <w:rsid w:val="006640CB"/>
    <w:rsid w:val="00666637"/>
    <w:rsid w:val="00666DD1"/>
    <w:rsid w:val="00667A09"/>
    <w:rsid w:val="00667BBD"/>
    <w:rsid w:val="00670493"/>
    <w:rsid w:val="006704E8"/>
    <w:rsid w:val="006716C8"/>
    <w:rsid w:val="00671C5D"/>
    <w:rsid w:val="00672781"/>
    <w:rsid w:val="0067434D"/>
    <w:rsid w:val="00674EA4"/>
    <w:rsid w:val="00675158"/>
    <w:rsid w:val="00677465"/>
    <w:rsid w:val="0068055A"/>
    <w:rsid w:val="006807CE"/>
    <w:rsid w:val="00680ECD"/>
    <w:rsid w:val="00681319"/>
    <w:rsid w:val="00681B26"/>
    <w:rsid w:val="00681E7B"/>
    <w:rsid w:val="00682A64"/>
    <w:rsid w:val="00682ABC"/>
    <w:rsid w:val="00682F00"/>
    <w:rsid w:val="0068340E"/>
    <w:rsid w:val="0068468D"/>
    <w:rsid w:val="00684765"/>
    <w:rsid w:val="00684B9E"/>
    <w:rsid w:val="00685ECA"/>
    <w:rsid w:val="00686811"/>
    <w:rsid w:val="00687232"/>
    <w:rsid w:val="00687744"/>
    <w:rsid w:val="00690CBC"/>
    <w:rsid w:val="006915A8"/>
    <w:rsid w:val="006921E5"/>
    <w:rsid w:val="00692A99"/>
    <w:rsid w:val="00694023"/>
    <w:rsid w:val="00694C37"/>
    <w:rsid w:val="00695591"/>
    <w:rsid w:val="0069651C"/>
    <w:rsid w:val="00696D55"/>
    <w:rsid w:val="00697753"/>
    <w:rsid w:val="006978D3"/>
    <w:rsid w:val="006A0DD4"/>
    <w:rsid w:val="006A246E"/>
    <w:rsid w:val="006A29B3"/>
    <w:rsid w:val="006A2EA8"/>
    <w:rsid w:val="006A3368"/>
    <w:rsid w:val="006A341A"/>
    <w:rsid w:val="006A3E90"/>
    <w:rsid w:val="006A4788"/>
    <w:rsid w:val="006A6000"/>
    <w:rsid w:val="006A6814"/>
    <w:rsid w:val="006A7493"/>
    <w:rsid w:val="006B0117"/>
    <w:rsid w:val="006B0145"/>
    <w:rsid w:val="006B0B1B"/>
    <w:rsid w:val="006B0CCF"/>
    <w:rsid w:val="006B1263"/>
    <w:rsid w:val="006B173D"/>
    <w:rsid w:val="006B1F44"/>
    <w:rsid w:val="006B2E12"/>
    <w:rsid w:val="006B3777"/>
    <w:rsid w:val="006B3E2E"/>
    <w:rsid w:val="006B44A1"/>
    <w:rsid w:val="006B59AF"/>
    <w:rsid w:val="006B5B60"/>
    <w:rsid w:val="006B6ACD"/>
    <w:rsid w:val="006C04E7"/>
    <w:rsid w:val="006C09EF"/>
    <w:rsid w:val="006C13A3"/>
    <w:rsid w:val="006C23AB"/>
    <w:rsid w:val="006C3381"/>
    <w:rsid w:val="006C3670"/>
    <w:rsid w:val="006C36CC"/>
    <w:rsid w:val="006C3CA1"/>
    <w:rsid w:val="006C4C78"/>
    <w:rsid w:val="006C5F44"/>
    <w:rsid w:val="006C7162"/>
    <w:rsid w:val="006C7CC9"/>
    <w:rsid w:val="006C7F40"/>
    <w:rsid w:val="006D06A8"/>
    <w:rsid w:val="006D06D8"/>
    <w:rsid w:val="006D077C"/>
    <w:rsid w:val="006D0B12"/>
    <w:rsid w:val="006D0D14"/>
    <w:rsid w:val="006D112A"/>
    <w:rsid w:val="006D1781"/>
    <w:rsid w:val="006D27B9"/>
    <w:rsid w:val="006D2BF4"/>
    <w:rsid w:val="006D41C3"/>
    <w:rsid w:val="006D42CE"/>
    <w:rsid w:val="006D4499"/>
    <w:rsid w:val="006D44E8"/>
    <w:rsid w:val="006D5412"/>
    <w:rsid w:val="006D66B2"/>
    <w:rsid w:val="006D66FB"/>
    <w:rsid w:val="006D6CB7"/>
    <w:rsid w:val="006D6FF8"/>
    <w:rsid w:val="006D7953"/>
    <w:rsid w:val="006D7957"/>
    <w:rsid w:val="006E0C7F"/>
    <w:rsid w:val="006E0FBD"/>
    <w:rsid w:val="006E0FD8"/>
    <w:rsid w:val="006E1655"/>
    <w:rsid w:val="006E3555"/>
    <w:rsid w:val="006E3639"/>
    <w:rsid w:val="006E3BC3"/>
    <w:rsid w:val="006E453B"/>
    <w:rsid w:val="006E46CD"/>
    <w:rsid w:val="006E4C7E"/>
    <w:rsid w:val="006E588A"/>
    <w:rsid w:val="006E58F3"/>
    <w:rsid w:val="006E5C68"/>
    <w:rsid w:val="006E6222"/>
    <w:rsid w:val="006E6385"/>
    <w:rsid w:val="006E68D4"/>
    <w:rsid w:val="006E6C70"/>
    <w:rsid w:val="006E7EA4"/>
    <w:rsid w:val="006F011A"/>
    <w:rsid w:val="006F031A"/>
    <w:rsid w:val="006F03B2"/>
    <w:rsid w:val="006F11FE"/>
    <w:rsid w:val="006F1891"/>
    <w:rsid w:val="006F19C0"/>
    <w:rsid w:val="006F1ADE"/>
    <w:rsid w:val="006F2906"/>
    <w:rsid w:val="006F2CC6"/>
    <w:rsid w:val="006F2F2C"/>
    <w:rsid w:val="006F2F92"/>
    <w:rsid w:val="006F31E9"/>
    <w:rsid w:val="006F38BD"/>
    <w:rsid w:val="006F4641"/>
    <w:rsid w:val="006F7152"/>
    <w:rsid w:val="006F730B"/>
    <w:rsid w:val="006F75A3"/>
    <w:rsid w:val="00700555"/>
    <w:rsid w:val="00700F9E"/>
    <w:rsid w:val="00701A7D"/>
    <w:rsid w:val="00702E3D"/>
    <w:rsid w:val="007032BC"/>
    <w:rsid w:val="007040BA"/>
    <w:rsid w:val="00705281"/>
    <w:rsid w:val="0070546D"/>
    <w:rsid w:val="00705A24"/>
    <w:rsid w:val="00705B87"/>
    <w:rsid w:val="00705D76"/>
    <w:rsid w:val="00705E08"/>
    <w:rsid w:val="00706D55"/>
    <w:rsid w:val="00707111"/>
    <w:rsid w:val="007077CD"/>
    <w:rsid w:val="00707F6B"/>
    <w:rsid w:val="00710EC9"/>
    <w:rsid w:val="00711510"/>
    <w:rsid w:val="00711791"/>
    <w:rsid w:val="00711829"/>
    <w:rsid w:val="00711EC6"/>
    <w:rsid w:val="00712ABD"/>
    <w:rsid w:val="00712EF8"/>
    <w:rsid w:val="00713F9A"/>
    <w:rsid w:val="00714208"/>
    <w:rsid w:val="0071473F"/>
    <w:rsid w:val="00714FC3"/>
    <w:rsid w:val="00715388"/>
    <w:rsid w:val="007168FE"/>
    <w:rsid w:val="00716D64"/>
    <w:rsid w:val="00717A58"/>
    <w:rsid w:val="007202D1"/>
    <w:rsid w:val="00720587"/>
    <w:rsid w:val="00720DC1"/>
    <w:rsid w:val="007210A1"/>
    <w:rsid w:val="00721A42"/>
    <w:rsid w:val="00721FDB"/>
    <w:rsid w:val="007224CD"/>
    <w:rsid w:val="007236BD"/>
    <w:rsid w:val="00723913"/>
    <w:rsid w:val="00723AFD"/>
    <w:rsid w:val="0072404C"/>
    <w:rsid w:val="00724898"/>
    <w:rsid w:val="007250F6"/>
    <w:rsid w:val="00725B68"/>
    <w:rsid w:val="00725C8A"/>
    <w:rsid w:val="007268D8"/>
    <w:rsid w:val="00726A13"/>
    <w:rsid w:val="00730A54"/>
    <w:rsid w:val="00731EB5"/>
    <w:rsid w:val="00732A35"/>
    <w:rsid w:val="0073313D"/>
    <w:rsid w:val="00733917"/>
    <w:rsid w:val="007339A2"/>
    <w:rsid w:val="00733AFD"/>
    <w:rsid w:val="00733F09"/>
    <w:rsid w:val="007345C0"/>
    <w:rsid w:val="0073499E"/>
    <w:rsid w:val="00735A2B"/>
    <w:rsid w:val="00735FFD"/>
    <w:rsid w:val="00736B8E"/>
    <w:rsid w:val="007416BA"/>
    <w:rsid w:val="007420A6"/>
    <w:rsid w:val="00744880"/>
    <w:rsid w:val="007448D8"/>
    <w:rsid w:val="007449B7"/>
    <w:rsid w:val="00744FA2"/>
    <w:rsid w:val="00745699"/>
    <w:rsid w:val="00745C3C"/>
    <w:rsid w:val="00745D3F"/>
    <w:rsid w:val="00746193"/>
    <w:rsid w:val="00746746"/>
    <w:rsid w:val="00747B23"/>
    <w:rsid w:val="007505A7"/>
    <w:rsid w:val="00750841"/>
    <w:rsid w:val="00750905"/>
    <w:rsid w:val="00751975"/>
    <w:rsid w:val="00751A63"/>
    <w:rsid w:val="00751CA6"/>
    <w:rsid w:val="00751F07"/>
    <w:rsid w:val="00752BCD"/>
    <w:rsid w:val="00752D2A"/>
    <w:rsid w:val="00752D63"/>
    <w:rsid w:val="0075392E"/>
    <w:rsid w:val="00757985"/>
    <w:rsid w:val="0076097A"/>
    <w:rsid w:val="00761C77"/>
    <w:rsid w:val="007626B6"/>
    <w:rsid w:val="00762FB7"/>
    <w:rsid w:val="007631D5"/>
    <w:rsid w:val="00763224"/>
    <w:rsid w:val="0076331E"/>
    <w:rsid w:val="00763E89"/>
    <w:rsid w:val="0076413C"/>
    <w:rsid w:val="00766168"/>
    <w:rsid w:val="007671D4"/>
    <w:rsid w:val="0076750D"/>
    <w:rsid w:val="00771142"/>
    <w:rsid w:val="007713E3"/>
    <w:rsid w:val="007724BE"/>
    <w:rsid w:val="007725E9"/>
    <w:rsid w:val="0077312E"/>
    <w:rsid w:val="007737F6"/>
    <w:rsid w:val="00773C9D"/>
    <w:rsid w:val="00773DDD"/>
    <w:rsid w:val="007743EF"/>
    <w:rsid w:val="00774B1D"/>
    <w:rsid w:val="00775834"/>
    <w:rsid w:val="007763EE"/>
    <w:rsid w:val="007800E8"/>
    <w:rsid w:val="00780331"/>
    <w:rsid w:val="00781119"/>
    <w:rsid w:val="007812E9"/>
    <w:rsid w:val="00781918"/>
    <w:rsid w:val="00781FC3"/>
    <w:rsid w:val="00782600"/>
    <w:rsid w:val="007836F0"/>
    <w:rsid w:val="00783CA4"/>
    <w:rsid w:val="00783F85"/>
    <w:rsid w:val="0078557C"/>
    <w:rsid w:val="00785965"/>
    <w:rsid w:val="00785B73"/>
    <w:rsid w:val="007862CE"/>
    <w:rsid w:val="0078684B"/>
    <w:rsid w:val="0078798F"/>
    <w:rsid w:val="00792123"/>
    <w:rsid w:val="007926B0"/>
    <w:rsid w:val="00792A98"/>
    <w:rsid w:val="00792ACD"/>
    <w:rsid w:val="00792CFF"/>
    <w:rsid w:val="007951D8"/>
    <w:rsid w:val="00795359"/>
    <w:rsid w:val="007953C5"/>
    <w:rsid w:val="0079642B"/>
    <w:rsid w:val="00796C7A"/>
    <w:rsid w:val="00796D8E"/>
    <w:rsid w:val="007A0D93"/>
    <w:rsid w:val="007A1E3C"/>
    <w:rsid w:val="007A1EFF"/>
    <w:rsid w:val="007A24B5"/>
    <w:rsid w:val="007A4742"/>
    <w:rsid w:val="007A61E3"/>
    <w:rsid w:val="007B010D"/>
    <w:rsid w:val="007B063C"/>
    <w:rsid w:val="007B089A"/>
    <w:rsid w:val="007B09CF"/>
    <w:rsid w:val="007B18D8"/>
    <w:rsid w:val="007B39BD"/>
    <w:rsid w:val="007B4647"/>
    <w:rsid w:val="007B4BC9"/>
    <w:rsid w:val="007B4DE4"/>
    <w:rsid w:val="007B4EA7"/>
    <w:rsid w:val="007B5630"/>
    <w:rsid w:val="007B5E54"/>
    <w:rsid w:val="007B6CCB"/>
    <w:rsid w:val="007B6DCF"/>
    <w:rsid w:val="007B7783"/>
    <w:rsid w:val="007B77C8"/>
    <w:rsid w:val="007B78AB"/>
    <w:rsid w:val="007C17B9"/>
    <w:rsid w:val="007C2A04"/>
    <w:rsid w:val="007C38E6"/>
    <w:rsid w:val="007C4EAB"/>
    <w:rsid w:val="007C4EE5"/>
    <w:rsid w:val="007C52A2"/>
    <w:rsid w:val="007C5A4D"/>
    <w:rsid w:val="007C5D17"/>
    <w:rsid w:val="007C60B4"/>
    <w:rsid w:val="007C616C"/>
    <w:rsid w:val="007C678D"/>
    <w:rsid w:val="007C6BA0"/>
    <w:rsid w:val="007C6DBF"/>
    <w:rsid w:val="007C6F54"/>
    <w:rsid w:val="007D01A7"/>
    <w:rsid w:val="007D1053"/>
    <w:rsid w:val="007D149D"/>
    <w:rsid w:val="007D29B9"/>
    <w:rsid w:val="007D52D6"/>
    <w:rsid w:val="007D58D2"/>
    <w:rsid w:val="007D5B28"/>
    <w:rsid w:val="007D5CC7"/>
    <w:rsid w:val="007D6C30"/>
    <w:rsid w:val="007E0350"/>
    <w:rsid w:val="007E1B0D"/>
    <w:rsid w:val="007E20E8"/>
    <w:rsid w:val="007E2CA2"/>
    <w:rsid w:val="007E2E30"/>
    <w:rsid w:val="007E315C"/>
    <w:rsid w:val="007E3302"/>
    <w:rsid w:val="007E364C"/>
    <w:rsid w:val="007E3F91"/>
    <w:rsid w:val="007E42DF"/>
    <w:rsid w:val="007E4B03"/>
    <w:rsid w:val="007E5394"/>
    <w:rsid w:val="007E5516"/>
    <w:rsid w:val="007E593C"/>
    <w:rsid w:val="007E5B5C"/>
    <w:rsid w:val="007E671B"/>
    <w:rsid w:val="007E6B29"/>
    <w:rsid w:val="007F0827"/>
    <w:rsid w:val="007F19FB"/>
    <w:rsid w:val="007F1F76"/>
    <w:rsid w:val="007F2201"/>
    <w:rsid w:val="007F270E"/>
    <w:rsid w:val="007F284C"/>
    <w:rsid w:val="007F29B8"/>
    <w:rsid w:val="007F343E"/>
    <w:rsid w:val="007F3CB4"/>
    <w:rsid w:val="007F443D"/>
    <w:rsid w:val="007F47A9"/>
    <w:rsid w:val="007F5015"/>
    <w:rsid w:val="007F52C6"/>
    <w:rsid w:val="007F67CC"/>
    <w:rsid w:val="007F76A7"/>
    <w:rsid w:val="007F7B38"/>
    <w:rsid w:val="007F7FE2"/>
    <w:rsid w:val="0080064D"/>
    <w:rsid w:val="008010D9"/>
    <w:rsid w:val="00801227"/>
    <w:rsid w:val="008014BC"/>
    <w:rsid w:val="00801D16"/>
    <w:rsid w:val="00803989"/>
    <w:rsid w:val="00804519"/>
    <w:rsid w:val="00805353"/>
    <w:rsid w:val="008058E2"/>
    <w:rsid w:val="00806A6C"/>
    <w:rsid w:val="00806AD0"/>
    <w:rsid w:val="00806F06"/>
    <w:rsid w:val="008077ED"/>
    <w:rsid w:val="00807B4C"/>
    <w:rsid w:val="00807D91"/>
    <w:rsid w:val="00810212"/>
    <w:rsid w:val="008113CA"/>
    <w:rsid w:val="0081175D"/>
    <w:rsid w:val="00811C55"/>
    <w:rsid w:val="00813554"/>
    <w:rsid w:val="00814712"/>
    <w:rsid w:val="00815180"/>
    <w:rsid w:val="00816C9D"/>
    <w:rsid w:val="00817D85"/>
    <w:rsid w:val="00820C9A"/>
    <w:rsid w:val="00822667"/>
    <w:rsid w:val="0082322C"/>
    <w:rsid w:val="008235AE"/>
    <w:rsid w:val="00823AAA"/>
    <w:rsid w:val="0082440F"/>
    <w:rsid w:val="00824E4B"/>
    <w:rsid w:val="00825141"/>
    <w:rsid w:val="00825157"/>
    <w:rsid w:val="0082535F"/>
    <w:rsid w:val="00826848"/>
    <w:rsid w:val="0082686F"/>
    <w:rsid w:val="0082771F"/>
    <w:rsid w:val="00827AFC"/>
    <w:rsid w:val="00830302"/>
    <w:rsid w:val="00830648"/>
    <w:rsid w:val="00830D91"/>
    <w:rsid w:val="0083236D"/>
    <w:rsid w:val="008339A5"/>
    <w:rsid w:val="00834BB9"/>
    <w:rsid w:val="0083674B"/>
    <w:rsid w:val="00836DF2"/>
    <w:rsid w:val="00837641"/>
    <w:rsid w:val="0083783F"/>
    <w:rsid w:val="00837A27"/>
    <w:rsid w:val="00842699"/>
    <w:rsid w:val="00842707"/>
    <w:rsid w:val="008429D4"/>
    <w:rsid w:val="00843505"/>
    <w:rsid w:val="00845B96"/>
    <w:rsid w:val="00846BCF"/>
    <w:rsid w:val="008475B9"/>
    <w:rsid w:val="00850C62"/>
    <w:rsid w:val="00851744"/>
    <w:rsid w:val="008519BD"/>
    <w:rsid w:val="00852015"/>
    <w:rsid w:val="0085232E"/>
    <w:rsid w:val="008526CC"/>
    <w:rsid w:val="00852DF8"/>
    <w:rsid w:val="008554D3"/>
    <w:rsid w:val="0085598E"/>
    <w:rsid w:val="00855D78"/>
    <w:rsid w:val="00855D9A"/>
    <w:rsid w:val="008570CF"/>
    <w:rsid w:val="0085733A"/>
    <w:rsid w:val="00857D41"/>
    <w:rsid w:val="0086071A"/>
    <w:rsid w:val="00860A69"/>
    <w:rsid w:val="00861E43"/>
    <w:rsid w:val="00862CC1"/>
    <w:rsid w:val="00863D4C"/>
    <w:rsid w:val="00863D8A"/>
    <w:rsid w:val="0086496A"/>
    <w:rsid w:val="00864AF9"/>
    <w:rsid w:val="00865BD4"/>
    <w:rsid w:val="00866793"/>
    <w:rsid w:val="00866B87"/>
    <w:rsid w:val="00867374"/>
    <w:rsid w:val="00870612"/>
    <w:rsid w:val="00870840"/>
    <w:rsid w:val="008713AB"/>
    <w:rsid w:val="00872073"/>
    <w:rsid w:val="00872386"/>
    <w:rsid w:val="008731F1"/>
    <w:rsid w:val="00873BBE"/>
    <w:rsid w:val="00874B1C"/>
    <w:rsid w:val="00876863"/>
    <w:rsid w:val="008775B0"/>
    <w:rsid w:val="008778C9"/>
    <w:rsid w:val="00880659"/>
    <w:rsid w:val="00880774"/>
    <w:rsid w:val="00880CCD"/>
    <w:rsid w:val="00882AFE"/>
    <w:rsid w:val="008850D1"/>
    <w:rsid w:val="0088545D"/>
    <w:rsid w:val="00885DD7"/>
    <w:rsid w:val="00890712"/>
    <w:rsid w:val="00891094"/>
    <w:rsid w:val="0089187E"/>
    <w:rsid w:val="00892C03"/>
    <w:rsid w:val="008934F9"/>
    <w:rsid w:val="00893D4F"/>
    <w:rsid w:val="0089413C"/>
    <w:rsid w:val="00894496"/>
    <w:rsid w:val="008952AA"/>
    <w:rsid w:val="00896A79"/>
    <w:rsid w:val="0089763C"/>
    <w:rsid w:val="008977DF"/>
    <w:rsid w:val="008A0207"/>
    <w:rsid w:val="008A1B66"/>
    <w:rsid w:val="008A1CE9"/>
    <w:rsid w:val="008A1DA6"/>
    <w:rsid w:val="008A34E7"/>
    <w:rsid w:val="008A37C0"/>
    <w:rsid w:val="008A386F"/>
    <w:rsid w:val="008A414F"/>
    <w:rsid w:val="008A41FE"/>
    <w:rsid w:val="008A45A0"/>
    <w:rsid w:val="008A4812"/>
    <w:rsid w:val="008A4AD6"/>
    <w:rsid w:val="008A4B71"/>
    <w:rsid w:val="008A5409"/>
    <w:rsid w:val="008A5BCE"/>
    <w:rsid w:val="008A640D"/>
    <w:rsid w:val="008A6A05"/>
    <w:rsid w:val="008A7EFC"/>
    <w:rsid w:val="008B02ED"/>
    <w:rsid w:val="008B16F9"/>
    <w:rsid w:val="008B5005"/>
    <w:rsid w:val="008B5172"/>
    <w:rsid w:val="008B5C17"/>
    <w:rsid w:val="008B6172"/>
    <w:rsid w:val="008B6A1E"/>
    <w:rsid w:val="008B6DA5"/>
    <w:rsid w:val="008C0697"/>
    <w:rsid w:val="008C0DCF"/>
    <w:rsid w:val="008C141D"/>
    <w:rsid w:val="008C15CE"/>
    <w:rsid w:val="008C1687"/>
    <w:rsid w:val="008C1BB8"/>
    <w:rsid w:val="008C1EB1"/>
    <w:rsid w:val="008C1ED5"/>
    <w:rsid w:val="008C24D8"/>
    <w:rsid w:val="008C2729"/>
    <w:rsid w:val="008C29C2"/>
    <w:rsid w:val="008C484F"/>
    <w:rsid w:val="008C4BE3"/>
    <w:rsid w:val="008C4C2B"/>
    <w:rsid w:val="008C5A61"/>
    <w:rsid w:val="008C5FF6"/>
    <w:rsid w:val="008C6172"/>
    <w:rsid w:val="008C64B7"/>
    <w:rsid w:val="008C7B24"/>
    <w:rsid w:val="008D2012"/>
    <w:rsid w:val="008D21BC"/>
    <w:rsid w:val="008D3132"/>
    <w:rsid w:val="008D31D0"/>
    <w:rsid w:val="008D34E3"/>
    <w:rsid w:val="008D3636"/>
    <w:rsid w:val="008D369E"/>
    <w:rsid w:val="008D3AED"/>
    <w:rsid w:val="008D4FEC"/>
    <w:rsid w:val="008D5DA9"/>
    <w:rsid w:val="008D7F1A"/>
    <w:rsid w:val="008E2F6A"/>
    <w:rsid w:val="008E2F8E"/>
    <w:rsid w:val="008E3AA9"/>
    <w:rsid w:val="008E48EB"/>
    <w:rsid w:val="008E4E6D"/>
    <w:rsid w:val="008E632F"/>
    <w:rsid w:val="008E6742"/>
    <w:rsid w:val="008E6F15"/>
    <w:rsid w:val="008E70A0"/>
    <w:rsid w:val="008E7400"/>
    <w:rsid w:val="008E77F8"/>
    <w:rsid w:val="008E7FEB"/>
    <w:rsid w:val="008F0DD5"/>
    <w:rsid w:val="008F2FF6"/>
    <w:rsid w:val="008F337E"/>
    <w:rsid w:val="008F3468"/>
    <w:rsid w:val="008F4F58"/>
    <w:rsid w:val="008F51C9"/>
    <w:rsid w:val="008F530E"/>
    <w:rsid w:val="008F55A8"/>
    <w:rsid w:val="008F5ACB"/>
    <w:rsid w:val="008F5E08"/>
    <w:rsid w:val="008F6065"/>
    <w:rsid w:val="008F63AC"/>
    <w:rsid w:val="008F78BC"/>
    <w:rsid w:val="009008F6"/>
    <w:rsid w:val="00900D6B"/>
    <w:rsid w:val="00900D95"/>
    <w:rsid w:val="00904EBC"/>
    <w:rsid w:val="00905228"/>
    <w:rsid w:val="00906C61"/>
    <w:rsid w:val="00906FA6"/>
    <w:rsid w:val="009071F3"/>
    <w:rsid w:val="0091083F"/>
    <w:rsid w:val="00910958"/>
    <w:rsid w:val="00910ED5"/>
    <w:rsid w:val="009128B2"/>
    <w:rsid w:val="00913140"/>
    <w:rsid w:val="00913C43"/>
    <w:rsid w:val="0091526D"/>
    <w:rsid w:val="00916933"/>
    <w:rsid w:val="00916C8E"/>
    <w:rsid w:val="00916FE1"/>
    <w:rsid w:val="0091756F"/>
    <w:rsid w:val="009176CA"/>
    <w:rsid w:val="00917985"/>
    <w:rsid w:val="00917B53"/>
    <w:rsid w:val="00920593"/>
    <w:rsid w:val="00921F87"/>
    <w:rsid w:val="0092373C"/>
    <w:rsid w:val="00923A22"/>
    <w:rsid w:val="00923BD2"/>
    <w:rsid w:val="00923BFB"/>
    <w:rsid w:val="00925236"/>
    <w:rsid w:val="009252CD"/>
    <w:rsid w:val="00926102"/>
    <w:rsid w:val="0092627A"/>
    <w:rsid w:val="009265B0"/>
    <w:rsid w:val="00926C6E"/>
    <w:rsid w:val="00930B70"/>
    <w:rsid w:val="0093134F"/>
    <w:rsid w:val="009320B5"/>
    <w:rsid w:val="009326A6"/>
    <w:rsid w:val="00932708"/>
    <w:rsid w:val="0093439A"/>
    <w:rsid w:val="0093573E"/>
    <w:rsid w:val="009357AD"/>
    <w:rsid w:val="0093664A"/>
    <w:rsid w:val="00936678"/>
    <w:rsid w:val="00937CF9"/>
    <w:rsid w:val="0094039C"/>
    <w:rsid w:val="00940FAD"/>
    <w:rsid w:val="00941192"/>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A5D"/>
    <w:rsid w:val="00953ED5"/>
    <w:rsid w:val="00956A41"/>
    <w:rsid w:val="00956B52"/>
    <w:rsid w:val="00956D38"/>
    <w:rsid w:val="0095700F"/>
    <w:rsid w:val="0095750A"/>
    <w:rsid w:val="00957C31"/>
    <w:rsid w:val="00957D27"/>
    <w:rsid w:val="00957F73"/>
    <w:rsid w:val="0096054F"/>
    <w:rsid w:val="00963557"/>
    <w:rsid w:val="00963B41"/>
    <w:rsid w:val="00964F71"/>
    <w:rsid w:val="00965448"/>
    <w:rsid w:val="00965E54"/>
    <w:rsid w:val="00965E9D"/>
    <w:rsid w:val="009665BD"/>
    <w:rsid w:val="009668AF"/>
    <w:rsid w:val="009673D5"/>
    <w:rsid w:val="00967D65"/>
    <w:rsid w:val="00967E98"/>
    <w:rsid w:val="009715A4"/>
    <w:rsid w:val="0097296E"/>
    <w:rsid w:val="00972B93"/>
    <w:rsid w:val="009731C2"/>
    <w:rsid w:val="00974180"/>
    <w:rsid w:val="00974FE4"/>
    <w:rsid w:val="00975151"/>
    <w:rsid w:val="00975253"/>
    <w:rsid w:val="009768BE"/>
    <w:rsid w:val="009772DC"/>
    <w:rsid w:val="00980BA5"/>
    <w:rsid w:val="00980D27"/>
    <w:rsid w:val="00980D2E"/>
    <w:rsid w:val="00980E69"/>
    <w:rsid w:val="00981508"/>
    <w:rsid w:val="009826DC"/>
    <w:rsid w:val="00982D6F"/>
    <w:rsid w:val="009834F9"/>
    <w:rsid w:val="0098423B"/>
    <w:rsid w:val="00984A17"/>
    <w:rsid w:val="00984F9F"/>
    <w:rsid w:val="0098503F"/>
    <w:rsid w:val="0098526E"/>
    <w:rsid w:val="009856DB"/>
    <w:rsid w:val="00986C14"/>
    <w:rsid w:val="00987C4B"/>
    <w:rsid w:val="00987C4D"/>
    <w:rsid w:val="00987E1E"/>
    <w:rsid w:val="009905C0"/>
    <w:rsid w:val="0099063B"/>
    <w:rsid w:val="00991389"/>
    <w:rsid w:val="0099343C"/>
    <w:rsid w:val="00993E6B"/>
    <w:rsid w:val="00996864"/>
    <w:rsid w:val="00997FCA"/>
    <w:rsid w:val="009A169D"/>
    <w:rsid w:val="009A1B70"/>
    <w:rsid w:val="009A2FA1"/>
    <w:rsid w:val="009A3682"/>
    <w:rsid w:val="009A36E6"/>
    <w:rsid w:val="009A3EC6"/>
    <w:rsid w:val="009A4D50"/>
    <w:rsid w:val="009A6AAA"/>
    <w:rsid w:val="009A7637"/>
    <w:rsid w:val="009A7C5F"/>
    <w:rsid w:val="009A7D07"/>
    <w:rsid w:val="009B0C97"/>
    <w:rsid w:val="009B0D65"/>
    <w:rsid w:val="009B24A8"/>
    <w:rsid w:val="009B2D38"/>
    <w:rsid w:val="009B313D"/>
    <w:rsid w:val="009B3A49"/>
    <w:rsid w:val="009B4A6C"/>
    <w:rsid w:val="009B7119"/>
    <w:rsid w:val="009C0D07"/>
    <w:rsid w:val="009C13B1"/>
    <w:rsid w:val="009C2276"/>
    <w:rsid w:val="009C2882"/>
    <w:rsid w:val="009C2C15"/>
    <w:rsid w:val="009C385A"/>
    <w:rsid w:val="009C3FC6"/>
    <w:rsid w:val="009C79C9"/>
    <w:rsid w:val="009D1450"/>
    <w:rsid w:val="009D1488"/>
    <w:rsid w:val="009D1613"/>
    <w:rsid w:val="009D3174"/>
    <w:rsid w:val="009D31AD"/>
    <w:rsid w:val="009D3457"/>
    <w:rsid w:val="009D3691"/>
    <w:rsid w:val="009D378B"/>
    <w:rsid w:val="009D41BB"/>
    <w:rsid w:val="009D4BFA"/>
    <w:rsid w:val="009D4C93"/>
    <w:rsid w:val="009D5375"/>
    <w:rsid w:val="009D599B"/>
    <w:rsid w:val="009D6149"/>
    <w:rsid w:val="009D6772"/>
    <w:rsid w:val="009D6EE5"/>
    <w:rsid w:val="009D74D3"/>
    <w:rsid w:val="009D75BF"/>
    <w:rsid w:val="009D79E9"/>
    <w:rsid w:val="009E09DD"/>
    <w:rsid w:val="009E127C"/>
    <w:rsid w:val="009E2719"/>
    <w:rsid w:val="009E2E43"/>
    <w:rsid w:val="009E3491"/>
    <w:rsid w:val="009E43C9"/>
    <w:rsid w:val="009E49C7"/>
    <w:rsid w:val="009E5C43"/>
    <w:rsid w:val="009E6FBC"/>
    <w:rsid w:val="009F0524"/>
    <w:rsid w:val="009F13FD"/>
    <w:rsid w:val="009F161B"/>
    <w:rsid w:val="009F1BAA"/>
    <w:rsid w:val="009F24AB"/>
    <w:rsid w:val="009F27D0"/>
    <w:rsid w:val="009F29A2"/>
    <w:rsid w:val="009F4446"/>
    <w:rsid w:val="009F46BF"/>
    <w:rsid w:val="009F51FF"/>
    <w:rsid w:val="009F52BF"/>
    <w:rsid w:val="009F5613"/>
    <w:rsid w:val="009F59DA"/>
    <w:rsid w:val="009F5A1C"/>
    <w:rsid w:val="009F645B"/>
    <w:rsid w:val="00A0024C"/>
    <w:rsid w:val="00A00E2B"/>
    <w:rsid w:val="00A01221"/>
    <w:rsid w:val="00A029A3"/>
    <w:rsid w:val="00A03234"/>
    <w:rsid w:val="00A03334"/>
    <w:rsid w:val="00A03DE5"/>
    <w:rsid w:val="00A04302"/>
    <w:rsid w:val="00A05E76"/>
    <w:rsid w:val="00A06499"/>
    <w:rsid w:val="00A070FB"/>
    <w:rsid w:val="00A11824"/>
    <w:rsid w:val="00A121A9"/>
    <w:rsid w:val="00A121C2"/>
    <w:rsid w:val="00A1232A"/>
    <w:rsid w:val="00A12351"/>
    <w:rsid w:val="00A137DB"/>
    <w:rsid w:val="00A140F7"/>
    <w:rsid w:val="00A14A24"/>
    <w:rsid w:val="00A14B9F"/>
    <w:rsid w:val="00A15430"/>
    <w:rsid w:val="00A154A4"/>
    <w:rsid w:val="00A155FD"/>
    <w:rsid w:val="00A1619E"/>
    <w:rsid w:val="00A21B47"/>
    <w:rsid w:val="00A22209"/>
    <w:rsid w:val="00A22BE6"/>
    <w:rsid w:val="00A244D2"/>
    <w:rsid w:val="00A2480D"/>
    <w:rsid w:val="00A24904"/>
    <w:rsid w:val="00A24BE1"/>
    <w:rsid w:val="00A25157"/>
    <w:rsid w:val="00A26115"/>
    <w:rsid w:val="00A26B8F"/>
    <w:rsid w:val="00A26DA7"/>
    <w:rsid w:val="00A27252"/>
    <w:rsid w:val="00A2788C"/>
    <w:rsid w:val="00A3069B"/>
    <w:rsid w:val="00A30DC7"/>
    <w:rsid w:val="00A313CC"/>
    <w:rsid w:val="00A3195E"/>
    <w:rsid w:val="00A332BC"/>
    <w:rsid w:val="00A33F07"/>
    <w:rsid w:val="00A341FE"/>
    <w:rsid w:val="00A34A5F"/>
    <w:rsid w:val="00A35399"/>
    <w:rsid w:val="00A37794"/>
    <w:rsid w:val="00A40D2E"/>
    <w:rsid w:val="00A41240"/>
    <w:rsid w:val="00A419AE"/>
    <w:rsid w:val="00A4331D"/>
    <w:rsid w:val="00A43C33"/>
    <w:rsid w:val="00A43D6E"/>
    <w:rsid w:val="00A448C7"/>
    <w:rsid w:val="00A4657F"/>
    <w:rsid w:val="00A46A31"/>
    <w:rsid w:val="00A46B6B"/>
    <w:rsid w:val="00A46EDF"/>
    <w:rsid w:val="00A525F2"/>
    <w:rsid w:val="00A536F2"/>
    <w:rsid w:val="00A55793"/>
    <w:rsid w:val="00A5757C"/>
    <w:rsid w:val="00A57B21"/>
    <w:rsid w:val="00A57EDE"/>
    <w:rsid w:val="00A63512"/>
    <w:rsid w:val="00A63C33"/>
    <w:rsid w:val="00A63D7C"/>
    <w:rsid w:val="00A63F38"/>
    <w:rsid w:val="00A647D6"/>
    <w:rsid w:val="00A66086"/>
    <w:rsid w:val="00A66645"/>
    <w:rsid w:val="00A66B25"/>
    <w:rsid w:val="00A67002"/>
    <w:rsid w:val="00A670BE"/>
    <w:rsid w:val="00A67A60"/>
    <w:rsid w:val="00A67BB0"/>
    <w:rsid w:val="00A70BFA"/>
    <w:rsid w:val="00A7121B"/>
    <w:rsid w:val="00A7161E"/>
    <w:rsid w:val="00A720A2"/>
    <w:rsid w:val="00A7252E"/>
    <w:rsid w:val="00A72B22"/>
    <w:rsid w:val="00A72BEF"/>
    <w:rsid w:val="00A73D68"/>
    <w:rsid w:val="00A73D87"/>
    <w:rsid w:val="00A74120"/>
    <w:rsid w:val="00A74A31"/>
    <w:rsid w:val="00A74F6F"/>
    <w:rsid w:val="00A76A06"/>
    <w:rsid w:val="00A7796A"/>
    <w:rsid w:val="00A77B36"/>
    <w:rsid w:val="00A77EC6"/>
    <w:rsid w:val="00A810AF"/>
    <w:rsid w:val="00A81A1B"/>
    <w:rsid w:val="00A83422"/>
    <w:rsid w:val="00A8374B"/>
    <w:rsid w:val="00A844AA"/>
    <w:rsid w:val="00A8505E"/>
    <w:rsid w:val="00A87678"/>
    <w:rsid w:val="00A879FC"/>
    <w:rsid w:val="00A87BBB"/>
    <w:rsid w:val="00A92679"/>
    <w:rsid w:val="00A9272D"/>
    <w:rsid w:val="00A92AE1"/>
    <w:rsid w:val="00A93E4C"/>
    <w:rsid w:val="00A93F29"/>
    <w:rsid w:val="00A93F41"/>
    <w:rsid w:val="00A946CC"/>
    <w:rsid w:val="00A97151"/>
    <w:rsid w:val="00A97691"/>
    <w:rsid w:val="00AA1144"/>
    <w:rsid w:val="00AA11E3"/>
    <w:rsid w:val="00AA13FA"/>
    <w:rsid w:val="00AA169B"/>
    <w:rsid w:val="00AA17D8"/>
    <w:rsid w:val="00AA1DB9"/>
    <w:rsid w:val="00AA2A5E"/>
    <w:rsid w:val="00AA33AF"/>
    <w:rsid w:val="00AA38E5"/>
    <w:rsid w:val="00AA3C25"/>
    <w:rsid w:val="00AA457C"/>
    <w:rsid w:val="00AA5D90"/>
    <w:rsid w:val="00AA62AB"/>
    <w:rsid w:val="00AA7D62"/>
    <w:rsid w:val="00AB0ACC"/>
    <w:rsid w:val="00AB2CA7"/>
    <w:rsid w:val="00AB2D41"/>
    <w:rsid w:val="00AB3D36"/>
    <w:rsid w:val="00AB3E09"/>
    <w:rsid w:val="00AB42F9"/>
    <w:rsid w:val="00AB55E4"/>
    <w:rsid w:val="00AB7422"/>
    <w:rsid w:val="00AB7D2D"/>
    <w:rsid w:val="00AC00C8"/>
    <w:rsid w:val="00AC0126"/>
    <w:rsid w:val="00AC0230"/>
    <w:rsid w:val="00AC1213"/>
    <w:rsid w:val="00AC2F83"/>
    <w:rsid w:val="00AC323F"/>
    <w:rsid w:val="00AC349A"/>
    <w:rsid w:val="00AC479A"/>
    <w:rsid w:val="00AC562B"/>
    <w:rsid w:val="00AC5E77"/>
    <w:rsid w:val="00AC6999"/>
    <w:rsid w:val="00AC7BD3"/>
    <w:rsid w:val="00AD161F"/>
    <w:rsid w:val="00AD2546"/>
    <w:rsid w:val="00AD4B3B"/>
    <w:rsid w:val="00AD590D"/>
    <w:rsid w:val="00AD75B9"/>
    <w:rsid w:val="00AD7C9D"/>
    <w:rsid w:val="00AD7C9E"/>
    <w:rsid w:val="00AD7CCD"/>
    <w:rsid w:val="00AE0AC0"/>
    <w:rsid w:val="00AE0C4C"/>
    <w:rsid w:val="00AE0FFF"/>
    <w:rsid w:val="00AE13ED"/>
    <w:rsid w:val="00AE2A0A"/>
    <w:rsid w:val="00AE3457"/>
    <w:rsid w:val="00AE3B18"/>
    <w:rsid w:val="00AE3D41"/>
    <w:rsid w:val="00AE4253"/>
    <w:rsid w:val="00AE466C"/>
    <w:rsid w:val="00AE523E"/>
    <w:rsid w:val="00AE54EB"/>
    <w:rsid w:val="00AE74F6"/>
    <w:rsid w:val="00AE7553"/>
    <w:rsid w:val="00AE7909"/>
    <w:rsid w:val="00AE7A66"/>
    <w:rsid w:val="00AE7E4B"/>
    <w:rsid w:val="00AF0353"/>
    <w:rsid w:val="00AF06DE"/>
    <w:rsid w:val="00AF0F56"/>
    <w:rsid w:val="00AF0F94"/>
    <w:rsid w:val="00AF0FE8"/>
    <w:rsid w:val="00AF109C"/>
    <w:rsid w:val="00AF1414"/>
    <w:rsid w:val="00AF1E61"/>
    <w:rsid w:val="00AF371D"/>
    <w:rsid w:val="00AF3A1A"/>
    <w:rsid w:val="00AF3E63"/>
    <w:rsid w:val="00AF51EE"/>
    <w:rsid w:val="00AF59A6"/>
    <w:rsid w:val="00AF6B51"/>
    <w:rsid w:val="00AF6CBA"/>
    <w:rsid w:val="00AF7B2C"/>
    <w:rsid w:val="00B004CF"/>
    <w:rsid w:val="00B01368"/>
    <w:rsid w:val="00B02F4E"/>
    <w:rsid w:val="00B0305C"/>
    <w:rsid w:val="00B03ACD"/>
    <w:rsid w:val="00B04193"/>
    <w:rsid w:val="00B0435E"/>
    <w:rsid w:val="00B049D8"/>
    <w:rsid w:val="00B04E5E"/>
    <w:rsid w:val="00B05934"/>
    <w:rsid w:val="00B076E5"/>
    <w:rsid w:val="00B101B1"/>
    <w:rsid w:val="00B1067B"/>
    <w:rsid w:val="00B10A9A"/>
    <w:rsid w:val="00B10EB1"/>
    <w:rsid w:val="00B10FA2"/>
    <w:rsid w:val="00B11FE2"/>
    <w:rsid w:val="00B1247A"/>
    <w:rsid w:val="00B130A2"/>
    <w:rsid w:val="00B13ECB"/>
    <w:rsid w:val="00B1483B"/>
    <w:rsid w:val="00B1798E"/>
    <w:rsid w:val="00B218E4"/>
    <w:rsid w:val="00B22128"/>
    <w:rsid w:val="00B224F5"/>
    <w:rsid w:val="00B2271D"/>
    <w:rsid w:val="00B22F13"/>
    <w:rsid w:val="00B23007"/>
    <w:rsid w:val="00B2370D"/>
    <w:rsid w:val="00B23FC6"/>
    <w:rsid w:val="00B248D7"/>
    <w:rsid w:val="00B249F3"/>
    <w:rsid w:val="00B255A9"/>
    <w:rsid w:val="00B25B40"/>
    <w:rsid w:val="00B25DBE"/>
    <w:rsid w:val="00B263C5"/>
    <w:rsid w:val="00B2643E"/>
    <w:rsid w:val="00B27034"/>
    <w:rsid w:val="00B27A8D"/>
    <w:rsid w:val="00B301E4"/>
    <w:rsid w:val="00B303D3"/>
    <w:rsid w:val="00B30E9C"/>
    <w:rsid w:val="00B31366"/>
    <w:rsid w:val="00B31E58"/>
    <w:rsid w:val="00B32DEB"/>
    <w:rsid w:val="00B33C6F"/>
    <w:rsid w:val="00B35183"/>
    <w:rsid w:val="00B35C58"/>
    <w:rsid w:val="00B36907"/>
    <w:rsid w:val="00B36964"/>
    <w:rsid w:val="00B37C8E"/>
    <w:rsid w:val="00B400B6"/>
    <w:rsid w:val="00B40BD3"/>
    <w:rsid w:val="00B42D1A"/>
    <w:rsid w:val="00B42E00"/>
    <w:rsid w:val="00B4322B"/>
    <w:rsid w:val="00B43BF1"/>
    <w:rsid w:val="00B4449E"/>
    <w:rsid w:val="00B4452E"/>
    <w:rsid w:val="00B44658"/>
    <w:rsid w:val="00B451D4"/>
    <w:rsid w:val="00B45287"/>
    <w:rsid w:val="00B4539E"/>
    <w:rsid w:val="00B46013"/>
    <w:rsid w:val="00B5041B"/>
    <w:rsid w:val="00B506DF"/>
    <w:rsid w:val="00B50A7C"/>
    <w:rsid w:val="00B50BE5"/>
    <w:rsid w:val="00B54490"/>
    <w:rsid w:val="00B55FA6"/>
    <w:rsid w:val="00B574F9"/>
    <w:rsid w:val="00B579C0"/>
    <w:rsid w:val="00B57CC5"/>
    <w:rsid w:val="00B57D37"/>
    <w:rsid w:val="00B62A28"/>
    <w:rsid w:val="00B62DAD"/>
    <w:rsid w:val="00B63327"/>
    <w:rsid w:val="00B637E3"/>
    <w:rsid w:val="00B638B4"/>
    <w:rsid w:val="00B63AF1"/>
    <w:rsid w:val="00B63BCE"/>
    <w:rsid w:val="00B63FA5"/>
    <w:rsid w:val="00B649D5"/>
    <w:rsid w:val="00B663AE"/>
    <w:rsid w:val="00B6654D"/>
    <w:rsid w:val="00B66772"/>
    <w:rsid w:val="00B70296"/>
    <w:rsid w:val="00B70841"/>
    <w:rsid w:val="00B71E66"/>
    <w:rsid w:val="00B72B03"/>
    <w:rsid w:val="00B74713"/>
    <w:rsid w:val="00B75273"/>
    <w:rsid w:val="00B75C97"/>
    <w:rsid w:val="00B76A5F"/>
    <w:rsid w:val="00B773BC"/>
    <w:rsid w:val="00B7755B"/>
    <w:rsid w:val="00B77D4F"/>
    <w:rsid w:val="00B77EF1"/>
    <w:rsid w:val="00B80152"/>
    <w:rsid w:val="00B80F0C"/>
    <w:rsid w:val="00B81987"/>
    <w:rsid w:val="00B82081"/>
    <w:rsid w:val="00B8230C"/>
    <w:rsid w:val="00B824AC"/>
    <w:rsid w:val="00B83D57"/>
    <w:rsid w:val="00B83DCB"/>
    <w:rsid w:val="00B85F2B"/>
    <w:rsid w:val="00B86923"/>
    <w:rsid w:val="00B86BA2"/>
    <w:rsid w:val="00B87320"/>
    <w:rsid w:val="00B87B92"/>
    <w:rsid w:val="00B90CE1"/>
    <w:rsid w:val="00B9143B"/>
    <w:rsid w:val="00B91ABE"/>
    <w:rsid w:val="00B91DA4"/>
    <w:rsid w:val="00B934E2"/>
    <w:rsid w:val="00B94B93"/>
    <w:rsid w:val="00B94DF7"/>
    <w:rsid w:val="00B95074"/>
    <w:rsid w:val="00B9516F"/>
    <w:rsid w:val="00B95410"/>
    <w:rsid w:val="00B95965"/>
    <w:rsid w:val="00B95FA8"/>
    <w:rsid w:val="00B9640A"/>
    <w:rsid w:val="00BA0631"/>
    <w:rsid w:val="00BA0C6E"/>
    <w:rsid w:val="00BA16A1"/>
    <w:rsid w:val="00BA178D"/>
    <w:rsid w:val="00BA1880"/>
    <w:rsid w:val="00BA2DC6"/>
    <w:rsid w:val="00BA2F34"/>
    <w:rsid w:val="00BA2F43"/>
    <w:rsid w:val="00BA36A5"/>
    <w:rsid w:val="00BA44F4"/>
    <w:rsid w:val="00BA452D"/>
    <w:rsid w:val="00BA4920"/>
    <w:rsid w:val="00BA61E4"/>
    <w:rsid w:val="00BA6268"/>
    <w:rsid w:val="00BA6817"/>
    <w:rsid w:val="00BB010F"/>
    <w:rsid w:val="00BB07FB"/>
    <w:rsid w:val="00BB1B03"/>
    <w:rsid w:val="00BB22A7"/>
    <w:rsid w:val="00BB25CF"/>
    <w:rsid w:val="00BB2BC5"/>
    <w:rsid w:val="00BB2F43"/>
    <w:rsid w:val="00BB310A"/>
    <w:rsid w:val="00BB354D"/>
    <w:rsid w:val="00BB36D4"/>
    <w:rsid w:val="00BB546C"/>
    <w:rsid w:val="00BB5F8C"/>
    <w:rsid w:val="00BC0485"/>
    <w:rsid w:val="00BC0CA1"/>
    <w:rsid w:val="00BC1FAA"/>
    <w:rsid w:val="00BC28A8"/>
    <w:rsid w:val="00BC3F87"/>
    <w:rsid w:val="00BC509A"/>
    <w:rsid w:val="00BC601E"/>
    <w:rsid w:val="00BC639E"/>
    <w:rsid w:val="00BC6A16"/>
    <w:rsid w:val="00BC7759"/>
    <w:rsid w:val="00BD054E"/>
    <w:rsid w:val="00BD0CF9"/>
    <w:rsid w:val="00BD1BBD"/>
    <w:rsid w:val="00BD1DE0"/>
    <w:rsid w:val="00BD4373"/>
    <w:rsid w:val="00BD4BC4"/>
    <w:rsid w:val="00BD4BE8"/>
    <w:rsid w:val="00BD4EFC"/>
    <w:rsid w:val="00BD6D79"/>
    <w:rsid w:val="00BD75B3"/>
    <w:rsid w:val="00BD7E02"/>
    <w:rsid w:val="00BE02AF"/>
    <w:rsid w:val="00BE0589"/>
    <w:rsid w:val="00BE1254"/>
    <w:rsid w:val="00BE144F"/>
    <w:rsid w:val="00BE3D10"/>
    <w:rsid w:val="00BE52A9"/>
    <w:rsid w:val="00BF0446"/>
    <w:rsid w:val="00BF1542"/>
    <w:rsid w:val="00BF1CE0"/>
    <w:rsid w:val="00BF361E"/>
    <w:rsid w:val="00BF3BCA"/>
    <w:rsid w:val="00BF4CEF"/>
    <w:rsid w:val="00BF5375"/>
    <w:rsid w:val="00BF597B"/>
    <w:rsid w:val="00BF5C89"/>
    <w:rsid w:val="00BF6928"/>
    <w:rsid w:val="00BF79EE"/>
    <w:rsid w:val="00BF7B3A"/>
    <w:rsid w:val="00C03E8B"/>
    <w:rsid w:val="00C05642"/>
    <w:rsid w:val="00C05B6D"/>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4602"/>
    <w:rsid w:val="00C1464C"/>
    <w:rsid w:val="00C14865"/>
    <w:rsid w:val="00C14B50"/>
    <w:rsid w:val="00C1584A"/>
    <w:rsid w:val="00C15C73"/>
    <w:rsid w:val="00C1756B"/>
    <w:rsid w:val="00C17B0A"/>
    <w:rsid w:val="00C20203"/>
    <w:rsid w:val="00C209B2"/>
    <w:rsid w:val="00C20D35"/>
    <w:rsid w:val="00C21310"/>
    <w:rsid w:val="00C226E3"/>
    <w:rsid w:val="00C2318A"/>
    <w:rsid w:val="00C23E88"/>
    <w:rsid w:val="00C24C3D"/>
    <w:rsid w:val="00C26718"/>
    <w:rsid w:val="00C26734"/>
    <w:rsid w:val="00C26909"/>
    <w:rsid w:val="00C27355"/>
    <w:rsid w:val="00C27DB4"/>
    <w:rsid w:val="00C27F2B"/>
    <w:rsid w:val="00C302CB"/>
    <w:rsid w:val="00C30545"/>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227C"/>
    <w:rsid w:val="00C423F8"/>
    <w:rsid w:val="00C44862"/>
    <w:rsid w:val="00C45536"/>
    <w:rsid w:val="00C45ACE"/>
    <w:rsid w:val="00C45BA8"/>
    <w:rsid w:val="00C4687C"/>
    <w:rsid w:val="00C47325"/>
    <w:rsid w:val="00C47569"/>
    <w:rsid w:val="00C4759D"/>
    <w:rsid w:val="00C47A64"/>
    <w:rsid w:val="00C47AA0"/>
    <w:rsid w:val="00C47AD1"/>
    <w:rsid w:val="00C503A7"/>
    <w:rsid w:val="00C503CE"/>
    <w:rsid w:val="00C51AD1"/>
    <w:rsid w:val="00C52B3C"/>
    <w:rsid w:val="00C5338E"/>
    <w:rsid w:val="00C533AF"/>
    <w:rsid w:val="00C53F03"/>
    <w:rsid w:val="00C54331"/>
    <w:rsid w:val="00C56C3B"/>
    <w:rsid w:val="00C57382"/>
    <w:rsid w:val="00C57C0D"/>
    <w:rsid w:val="00C61230"/>
    <w:rsid w:val="00C615B7"/>
    <w:rsid w:val="00C61CF4"/>
    <w:rsid w:val="00C624E9"/>
    <w:rsid w:val="00C627B3"/>
    <w:rsid w:val="00C62DA4"/>
    <w:rsid w:val="00C64840"/>
    <w:rsid w:val="00C64EFC"/>
    <w:rsid w:val="00C66298"/>
    <w:rsid w:val="00C665AB"/>
    <w:rsid w:val="00C66C7B"/>
    <w:rsid w:val="00C677EA"/>
    <w:rsid w:val="00C67AD8"/>
    <w:rsid w:val="00C67B85"/>
    <w:rsid w:val="00C67DAB"/>
    <w:rsid w:val="00C707B7"/>
    <w:rsid w:val="00C734DB"/>
    <w:rsid w:val="00C73EB0"/>
    <w:rsid w:val="00C74D1A"/>
    <w:rsid w:val="00C76109"/>
    <w:rsid w:val="00C7632C"/>
    <w:rsid w:val="00C7676B"/>
    <w:rsid w:val="00C76EB1"/>
    <w:rsid w:val="00C77353"/>
    <w:rsid w:val="00C77C06"/>
    <w:rsid w:val="00C81738"/>
    <w:rsid w:val="00C81D0E"/>
    <w:rsid w:val="00C824B6"/>
    <w:rsid w:val="00C8287E"/>
    <w:rsid w:val="00C83BE1"/>
    <w:rsid w:val="00C83BEE"/>
    <w:rsid w:val="00C83F0F"/>
    <w:rsid w:val="00C85197"/>
    <w:rsid w:val="00C85229"/>
    <w:rsid w:val="00C85A7B"/>
    <w:rsid w:val="00C8648C"/>
    <w:rsid w:val="00C87395"/>
    <w:rsid w:val="00C91618"/>
    <w:rsid w:val="00C923B9"/>
    <w:rsid w:val="00C92412"/>
    <w:rsid w:val="00C938B7"/>
    <w:rsid w:val="00C9623A"/>
    <w:rsid w:val="00C96DEE"/>
    <w:rsid w:val="00CA03AE"/>
    <w:rsid w:val="00CA090D"/>
    <w:rsid w:val="00CA0D25"/>
    <w:rsid w:val="00CA147C"/>
    <w:rsid w:val="00CA1BB3"/>
    <w:rsid w:val="00CA2331"/>
    <w:rsid w:val="00CA24E4"/>
    <w:rsid w:val="00CA31B2"/>
    <w:rsid w:val="00CA3E6D"/>
    <w:rsid w:val="00CA42E2"/>
    <w:rsid w:val="00CA4F5D"/>
    <w:rsid w:val="00CA592F"/>
    <w:rsid w:val="00CA5DC6"/>
    <w:rsid w:val="00CA6CF4"/>
    <w:rsid w:val="00CA6E26"/>
    <w:rsid w:val="00CA7689"/>
    <w:rsid w:val="00CA7AB1"/>
    <w:rsid w:val="00CB0109"/>
    <w:rsid w:val="00CB15BA"/>
    <w:rsid w:val="00CB2408"/>
    <w:rsid w:val="00CB2700"/>
    <w:rsid w:val="00CB2D02"/>
    <w:rsid w:val="00CB2EF3"/>
    <w:rsid w:val="00CB326B"/>
    <w:rsid w:val="00CB463C"/>
    <w:rsid w:val="00CB56DF"/>
    <w:rsid w:val="00CB5DCA"/>
    <w:rsid w:val="00CB688B"/>
    <w:rsid w:val="00CB750E"/>
    <w:rsid w:val="00CB7543"/>
    <w:rsid w:val="00CB7715"/>
    <w:rsid w:val="00CB7A76"/>
    <w:rsid w:val="00CB7AF2"/>
    <w:rsid w:val="00CB7D23"/>
    <w:rsid w:val="00CC0937"/>
    <w:rsid w:val="00CC0F42"/>
    <w:rsid w:val="00CC0F77"/>
    <w:rsid w:val="00CC19CA"/>
    <w:rsid w:val="00CC1E12"/>
    <w:rsid w:val="00CC2581"/>
    <w:rsid w:val="00CC284A"/>
    <w:rsid w:val="00CC3161"/>
    <w:rsid w:val="00CC3C18"/>
    <w:rsid w:val="00CC3C99"/>
    <w:rsid w:val="00CC440C"/>
    <w:rsid w:val="00CC6BB5"/>
    <w:rsid w:val="00CC6FEF"/>
    <w:rsid w:val="00CC769C"/>
    <w:rsid w:val="00CC7BCB"/>
    <w:rsid w:val="00CD1DD2"/>
    <w:rsid w:val="00CD1FE6"/>
    <w:rsid w:val="00CD2FF4"/>
    <w:rsid w:val="00CD31FE"/>
    <w:rsid w:val="00CD3D67"/>
    <w:rsid w:val="00CD4C1E"/>
    <w:rsid w:val="00CD5253"/>
    <w:rsid w:val="00CD61D7"/>
    <w:rsid w:val="00CD62E7"/>
    <w:rsid w:val="00CD6B84"/>
    <w:rsid w:val="00CD6BE0"/>
    <w:rsid w:val="00CD7747"/>
    <w:rsid w:val="00CD78ED"/>
    <w:rsid w:val="00CE01A0"/>
    <w:rsid w:val="00CE059A"/>
    <w:rsid w:val="00CE0A49"/>
    <w:rsid w:val="00CE1B9C"/>
    <w:rsid w:val="00CE239A"/>
    <w:rsid w:val="00CE2CBF"/>
    <w:rsid w:val="00CE315F"/>
    <w:rsid w:val="00CE4958"/>
    <w:rsid w:val="00CE4C91"/>
    <w:rsid w:val="00CE74D5"/>
    <w:rsid w:val="00CF09DC"/>
    <w:rsid w:val="00CF0D3B"/>
    <w:rsid w:val="00CF22FC"/>
    <w:rsid w:val="00CF252E"/>
    <w:rsid w:val="00CF3690"/>
    <w:rsid w:val="00CF3AC8"/>
    <w:rsid w:val="00CF42C3"/>
    <w:rsid w:val="00CF4764"/>
    <w:rsid w:val="00CF4972"/>
    <w:rsid w:val="00CF49BB"/>
    <w:rsid w:val="00CF5F2F"/>
    <w:rsid w:val="00CF616A"/>
    <w:rsid w:val="00CF6613"/>
    <w:rsid w:val="00CF68B0"/>
    <w:rsid w:val="00CF74F4"/>
    <w:rsid w:val="00CF7A25"/>
    <w:rsid w:val="00D00221"/>
    <w:rsid w:val="00D004E7"/>
    <w:rsid w:val="00D00E76"/>
    <w:rsid w:val="00D0187B"/>
    <w:rsid w:val="00D01B42"/>
    <w:rsid w:val="00D01FA0"/>
    <w:rsid w:val="00D02082"/>
    <w:rsid w:val="00D0263A"/>
    <w:rsid w:val="00D02655"/>
    <w:rsid w:val="00D027CC"/>
    <w:rsid w:val="00D03054"/>
    <w:rsid w:val="00D03784"/>
    <w:rsid w:val="00D037D0"/>
    <w:rsid w:val="00D0424A"/>
    <w:rsid w:val="00D043CD"/>
    <w:rsid w:val="00D044B6"/>
    <w:rsid w:val="00D04558"/>
    <w:rsid w:val="00D05990"/>
    <w:rsid w:val="00D05B6B"/>
    <w:rsid w:val="00D05D8F"/>
    <w:rsid w:val="00D06546"/>
    <w:rsid w:val="00D07D51"/>
    <w:rsid w:val="00D11275"/>
    <w:rsid w:val="00D11483"/>
    <w:rsid w:val="00D1180E"/>
    <w:rsid w:val="00D1253D"/>
    <w:rsid w:val="00D12721"/>
    <w:rsid w:val="00D128D0"/>
    <w:rsid w:val="00D1339F"/>
    <w:rsid w:val="00D134AA"/>
    <w:rsid w:val="00D1398C"/>
    <w:rsid w:val="00D14C49"/>
    <w:rsid w:val="00D1570C"/>
    <w:rsid w:val="00D15A4D"/>
    <w:rsid w:val="00D16088"/>
    <w:rsid w:val="00D16117"/>
    <w:rsid w:val="00D166AA"/>
    <w:rsid w:val="00D172A6"/>
    <w:rsid w:val="00D17599"/>
    <w:rsid w:val="00D17CEA"/>
    <w:rsid w:val="00D211E4"/>
    <w:rsid w:val="00D21CE1"/>
    <w:rsid w:val="00D2200C"/>
    <w:rsid w:val="00D2218F"/>
    <w:rsid w:val="00D22A9C"/>
    <w:rsid w:val="00D230EE"/>
    <w:rsid w:val="00D2312C"/>
    <w:rsid w:val="00D23A70"/>
    <w:rsid w:val="00D247AE"/>
    <w:rsid w:val="00D2653E"/>
    <w:rsid w:val="00D27637"/>
    <w:rsid w:val="00D30330"/>
    <w:rsid w:val="00D309FF"/>
    <w:rsid w:val="00D30C92"/>
    <w:rsid w:val="00D30D46"/>
    <w:rsid w:val="00D314AB"/>
    <w:rsid w:val="00D317EA"/>
    <w:rsid w:val="00D31FB9"/>
    <w:rsid w:val="00D32CFA"/>
    <w:rsid w:val="00D33383"/>
    <w:rsid w:val="00D33ACF"/>
    <w:rsid w:val="00D340F3"/>
    <w:rsid w:val="00D34DF7"/>
    <w:rsid w:val="00D3502F"/>
    <w:rsid w:val="00D35409"/>
    <w:rsid w:val="00D358E2"/>
    <w:rsid w:val="00D3637A"/>
    <w:rsid w:val="00D364B0"/>
    <w:rsid w:val="00D36B22"/>
    <w:rsid w:val="00D37144"/>
    <w:rsid w:val="00D410FA"/>
    <w:rsid w:val="00D416B1"/>
    <w:rsid w:val="00D428BD"/>
    <w:rsid w:val="00D43C14"/>
    <w:rsid w:val="00D442E2"/>
    <w:rsid w:val="00D4480C"/>
    <w:rsid w:val="00D449D2"/>
    <w:rsid w:val="00D4765D"/>
    <w:rsid w:val="00D51EEB"/>
    <w:rsid w:val="00D5222A"/>
    <w:rsid w:val="00D52B4F"/>
    <w:rsid w:val="00D53598"/>
    <w:rsid w:val="00D53A20"/>
    <w:rsid w:val="00D54848"/>
    <w:rsid w:val="00D54C21"/>
    <w:rsid w:val="00D559AB"/>
    <w:rsid w:val="00D56EED"/>
    <w:rsid w:val="00D60720"/>
    <w:rsid w:val="00D61D46"/>
    <w:rsid w:val="00D62090"/>
    <w:rsid w:val="00D62692"/>
    <w:rsid w:val="00D62F3E"/>
    <w:rsid w:val="00D641BF"/>
    <w:rsid w:val="00D64282"/>
    <w:rsid w:val="00D64BB8"/>
    <w:rsid w:val="00D64F48"/>
    <w:rsid w:val="00D66393"/>
    <w:rsid w:val="00D66758"/>
    <w:rsid w:val="00D66DA5"/>
    <w:rsid w:val="00D708DB"/>
    <w:rsid w:val="00D70DE3"/>
    <w:rsid w:val="00D732B3"/>
    <w:rsid w:val="00D74178"/>
    <w:rsid w:val="00D75319"/>
    <w:rsid w:val="00D810FC"/>
    <w:rsid w:val="00D81101"/>
    <w:rsid w:val="00D813E3"/>
    <w:rsid w:val="00D81F27"/>
    <w:rsid w:val="00D84187"/>
    <w:rsid w:val="00D84E30"/>
    <w:rsid w:val="00D85203"/>
    <w:rsid w:val="00D85239"/>
    <w:rsid w:val="00D8561D"/>
    <w:rsid w:val="00D85921"/>
    <w:rsid w:val="00D86685"/>
    <w:rsid w:val="00D86786"/>
    <w:rsid w:val="00D91496"/>
    <w:rsid w:val="00D91D00"/>
    <w:rsid w:val="00D9222E"/>
    <w:rsid w:val="00D932E6"/>
    <w:rsid w:val="00D933E0"/>
    <w:rsid w:val="00D93AB7"/>
    <w:rsid w:val="00D94379"/>
    <w:rsid w:val="00D94BED"/>
    <w:rsid w:val="00D9763E"/>
    <w:rsid w:val="00D97D81"/>
    <w:rsid w:val="00DA35D8"/>
    <w:rsid w:val="00DA527E"/>
    <w:rsid w:val="00DA6ECF"/>
    <w:rsid w:val="00DA7951"/>
    <w:rsid w:val="00DA7DA0"/>
    <w:rsid w:val="00DA7F46"/>
    <w:rsid w:val="00DB0076"/>
    <w:rsid w:val="00DB08C2"/>
    <w:rsid w:val="00DB2358"/>
    <w:rsid w:val="00DB23C9"/>
    <w:rsid w:val="00DB2A02"/>
    <w:rsid w:val="00DB321D"/>
    <w:rsid w:val="00DB4024"/>
    <w:rsid w:val="00DB4345"/>
    <w:rsid w:val="00DB4FA3"/>
    <w:rsid w:val="00DB594A"/>
    <w:rsid w:val="00DB6FE9"/>
    <w:rsid w:val="00DB710F"/>
    <w:rsid w:val="00DB758B"/>
    <w:rsid w:val="00DC02CB"/>
    <w:rsid w:val="00DC03A5"/>
    <w:rsid w:val="00DC0BC4"/>
    <w:rsid w:val="00DC1013"/>
    <w:rsid w:val="00DC1501"/>
    <w:rsid w:val="00DC1B7D"/>
    <w:rsid w:val="00DC225C"/>
    <w:rsid w:val="00DC2320"/>
    <w:rsid w:val="00DC2454"/>
    <w:rsid w:val="00DC3DE9"/>
    <w:rsid w:val="00DC3DF8"/>
    <w:rsid w:val="00DC4123"/>
    <w:rsid w:val="00DC41A7"/>
    <w:rsid w:val="00DC4C60"/>
    <w:rsid w:val="00DC5716"/>
    <w:rsid w:val="00DC6231"/>
    <w:rsid w:val="00DC6A74"/>
    <w:rsid w:val="00DC708D"/>
    <w:rsid w:val="00DD07A0"/>
    <w:rsid w:val="00DD0918"/>
    <w:rsid w:val="00DD1FD8"/>
    <w:rsid w:val="00DD247A"/>
    <w:rsid w:val="00DD46DE"/>
    <w:rsid w:val="00DD51CD"/>
    <w:rsid w:val="00DD5580"/>
    <w:rsid w:val="00DD607C"/>
    <w:rsid w:val="00DD7C32"/>
    <w:rsid w:val="00DE1C22"/>
    <w:rsid w:val="00DE24C2"/>
    <w:rsid w:val="00DE2970"/>
    <w:rsid w:val="00DE39EA"/>
    <w:rsid w:val="00DE4185"/>
    <w:rsid w:val="00DE6A8F"/>
    <w:rsid w:val="00DE7BCE"/>
    <w:rsid w:val="00DE7EDD"/>
    <w:rsid w:val="00DF07C4"/>
    <w:rsid w:val="00DF0CEF"/>
    <w:rsid w:val="00DF1FA0"/>
    <w:rsid w:val="00DF20A9"/>
    <w:rsid w:val="00DF273A"/>
    <w:rsid w:val="00DF2764"/>
    <w:rsid w:val="00DF2C7F"/>
    <w:rsid w:val="00DF2E3E"/>
    <w:rsid w:val="00DF2F7B"/>
    <w:rsid w:val="00DF3A5E"/>
    <w:rsid w:val="00DF40C4"/>
    <w:rsid w:val="00DF43E2"/>
    <w:rsid w:val="00DF4412"/>
    <w:rsid w:val="00DF5F9A"/>
    <w:rsid w:val="00E01736"/>
    <w:rsid w:val="00E0237F"/>
    <w:rsid w:val="00E02BC3"/>
    <w:rsid w:val="00E0303E"/>
    <w:rsid w:val="00E03392"/>
    <w:rsid w:val="00E03533"/>
    <w:rsid w:val="00E03E5A"/>
    <w:rsid w:val="00E04B12"/>
    <w:rsid w:val="00E0516B"/>
    <w:rsid w:val="00E057D6"/>
    <w:rsid w:val="00E065A2"/>
    <w:rsid w:val="00E077D8"/>
    <w:rsid w:val="00E10965"/>
    <w:rsid w:val="00E122A5"/>
    <w:rsid w:val="00E124D6"/>
    <w:rsid w:val="00E1264C"/>
    <w:rsid w:val="00E137AB"/>
    <w:rsid w:val="00E141C8"/>
    <w:rsid w:val="00E143CE"/>
    <w:rsid w:val="00E149D6"/>
    <w:rsid w:val="00E155AA"/>
    <w:rsid w:val="00E15E54"/>
    <w:rsid w:val="00E165A3"/>
    <w:rsid w:val="00E16A35"/>
    <w:rsid w:val="00E17014"/>
    <w:rsid w:val="00E2027E"/>
    <w:rsid w:val="00E218A7"/>
    <w:rsid w:val="00E22F9A"/>
    <w:rsid w:val="00E2420C"/>
    <w:rsid w:val="00E24C31"/>
    <w:rsid w:val="00E24E83"/>
    <w:rsid w:val="00E25DD6"/>
    <w:rsid w:val="00E2637C"/>
    <w:rsid w:val="00E26624"/>
    <w:rsid w:val="00E27730"/>
    <w:rsid w:val="00E31A45"/>
    <w:rsid w:val="00E327BF"/>
    <w:rsid w:val="00E33837"/>
    <w:rsid w:val="00E33C2C"/>
    <w:rsid w:val="00E33D10"/>
    <w:rsid w:val="00E3440B"/>
    <w:rsid w:val="00E346B8"/>
    <w:rsid w:val="00E357B8"/>
    <w:rsid w:val="00E35B5D"/>
    <w:rsid w:val="00E36D65"/>
    <w:rsid w:val="00E41F48"/>
    <w:rsid w:val="00E441E9"/>
    <w:rsid w:val="00E45655"/>
    <w:rsid w:val="00E466B3"/>
    <w:rsid w:val="00E46807"/>
    <w:rsid w:val="00E50569"/>
    <w:rsid w:val="00E52233"/>
    <w:rsid w:val="00E53D3F"/>
    <w:rsid w:val="00E5475B"/>
    <w:rsid w:val="00E558E3"/>
    <w:rsid w:val="00E5717E"/>
    <w:rsid w:val="00E57C33"/>
    <w:rsid w:val="00E6070C"/>
    <w:rsid w:val="00E607FE"/>
    <w:rsid w:val="00E610DC"/>
    <w:rsid w:val="00E616F3"/>
    <w:rsid w:val="00E61C2D"/>
    <w:rsid w:val="00E62E1E"/>
    <w:rsid w:val="00E62EA0"/>
    <w:rsid w:val="00E63042"/>
    <w:rsid w:val="00E65027"/>
    <w:rsid w:val="00E6588E"/>
    <w:rsid w:val="00E65E99"/>
    <w:rsid w:val="00E66261"/>
    <w:rsid w:val="00E66582"/>
    <w:rsid w:val="00E667EF"/>
    <w:rsid w:val="00E66F4B"/>
    <w:rsid w:val="00E673E1"/>
    <w:rsid w:val="00E70E4F"/>
    <w:rsid w:val="00E718FF"/>
    <w:rsid w:val="00E71B56"/>
    <w:rsid w:val="00E722E3"/>
    <w:rsid w:val="00E723A2"/>
    <w:rsid w:val="00E72A80"/>
    <w:rsid w:val="00E7604C"/>
    <w:rsid w:val="00E776BE"/>
    <w:rsid w:val="00E8018E"/>
    <w:rsid w:val="00E801DA"/>
    <w:rsid w:val="00E8029B"/>
    <w:rsid w:val="00E813FE"/>
    <w:rsid w:val="00E828FD"/>
    <w:rsid w:val="00E82A92"/>
    <w:rsid w:val="00E82DD4"/>
    <w:rsid w:val="00E83D57"/>
    <w:rsid w:val="00E83E45"/>
    <w:rsid w:val="00E85425"/>
    <w:rsid w:val="00E8556F"/>
    <w:rsid w:val="00E85B3D"/>
    <w:rsid w:val="00E85D51"/>
    <w:rsid w:val="00E865BB"/>
    <w:rsid w:val="00E87C34"/>
    <w:rsid w:val="00E87FFA"/>
    <w:rsid w:val="00E910D2"/>
    <w:rsid w:val="00E91720"/>
    <w:rsid w:val="00E937F4"/>
    <w:rsid w:val="00E93D67"/>
    <w:rsid w:val="00E942C4"/>
    <w:rsid w:val="00E94C19"/>
    <w:rsid w:val="00E9659F"/>
    <w:rsid w:val="00E9665E"/>
    <w:rsid w:val="00E96DAD"/>
    <w:rsid w:val="00E96F13"/>
    <w:rsid w:val="00E97688"/>
    <w:rsid w:val="00EA02F7"/>
    <w:rsid w:val="00EA071E"/>
    <w:rsid w:val="00EA0D02"/>
    <w:rsid w:val="00EA13C4"/>
    <w:rsid w:val="00EA1C12"/>
    <w:rsid w:val="00EA2F9C"/>
    <w:rsid w:val="00EA3147"/>
    <w:rsid w:val="00EA31E5"/>
    <w:rsid w:val="00EA3713"/>
    <w:rsid w:val="00EA68CC"/>
    <w:rsid w:val="00EA7818"/>
    <w:rsid w:val="00EB01EA"/>
    <w:rsid w:val="00EB0515"/>
    <w:rsid w:val="00EB083E"/>
    <w:rsid w:val="00EB0C1E"/>
    <w:rsid w:val="00EB10E2"/>
    <w:rsid w:val="00EB152E"/>
    <w:rsid w:val="00EB1A7D"/>
    <w:rsid w:val="00EB1CB0"/>
    <w:rsid w:val="00EB2ABB"/>
    <w:rsid w:val="00EB2DE5"/>
    <w:rsid w:val="00EB35FF"/>
    <w:rsid w:val="00EB4D9D"/>
    <w:rsid w:val="00EB507A"/>
    <w:rsid w:val="00EB63AE"/>
    <w:rsid w:val="00EB6604"/>
    <w:rsid w:val="00EB6843"/>
    <w:rsid w:val="00EB6C71"/>
    <w:rsid w:val="00EB7B70"/>
    <w:rsid w:val="00EB7DE6"/>
    <w:rsid w:val="00EC0110"/>
    <w:rsid w:val="00EC01F3"/>
    <w:rsid w:val="00EC07D4"/>
    <w:rsid w:val="00EC12BB"/>
    <w:rsid w:val="00EC3316"/>
    <w:rsid w:val="00EC33B0"/>
    <w:rsid w:val="00EC3E05"/>
    <w:rsid w:val="00EC4BF6"/>
    <w:rsid w:val="00EC4FA8"/>
    <w:rsid w:val="00EC51A6"/>
    <w:rsid w:val="00EC533D"/>
    <w:rsid w:val="00EC56C8"/>
    <w:rsid w:val="00EC5CF3"/>
    <w:rsid w:val="00EC756A"/>
    <w:rsid w:val="00EC7A58"/>
    <w:rsid w:val="00EC7B3D"/>
    <w:rsid w:val="00ED00EE"/>
    <w:rsid w:val="00ED0B41"/>
    <w:rsid w:val="00ED108C"/>
    <w:rsid w:val="00ED3285"/>
    <w:rsid w:val="00ED387C"/>
    <w:rsid w:val="00ED3E19"/>
    <w:rsid w:val="00ED3F30"/>
    <w:rsid w:val="00ED4215"/>
    <w:rsid w:val="00ED473B"/>
    <w:rsid w:val="00ED50E9"/>
    <w:rsid w:val="00ED5642"/>
    <w:rsid w:val="00ED5A78"/>
    <w:rsid w:val="00ED60A1"/>
    <w:rsid w:val="00ED6767"/>
    <w:rsid w:val="00ED6E59"/>
    <w:rsid w:val="00ED75AC"/>
    <w:rsid w:val="00ED7BE9"/>
    <w:rsid w:val="00EE0BAF"/>
    <w:rsid w:val="00EE0D57"/>
    <w:rsid w:val="00EE123C"/>
    <w:rsid w:val="00EE24EB"/>
    <w:rsid w:val="00EE25C8"/>
    <w:rsid w:val="00EE29D8"/>
    <w:rsid w:val="00EE2A43"/>
    <w:rsid w:val="00EE64AC"/>
    <w:rsid w:val="00EE6614"/>
    <w:rsid w:val="00EF094A"/>
    <w:rsid w:val="00EF12EF"/>
    <w:rsid w:val="00EF1483"/>
    <w:rsid w:val="00EF1D94"/>
    <w:rsid w:val="00EF37F2"/>
    <w:rsid w:val="00EF4E64"/>
    <w:rsid w:val="00EF542E"/>
    <w:rsid w:val="00EF55D6"/>
    <w:rsid w:val="00EF58F5"/>
    <w:rsid w:val="00EF6287"/>
    <w:rsid w:val="00EF635F"/>
    <w:rsid w:val="00EF6998"/>
    <w:rsid w:val="00EF717C"/>
    <w:rsid w:val="00EF7470"/>
    <w:rsid w:val="00EF763F"/>
    <w:rsid w:val="00EF7AF2"/>
    <w:rsid w:val="00F00704"/>
    <w:rsid w:val="00F009AC"/>
    <w:rsid w:val="00F01142"/>
    <w:rsid w:val="00F01364"/>
    <w:rsid w:val="00F0193F"/>
    <w:rsid w:val="00F022A0"/>
    <w:rsid w:val="00F025C1"/>
    <w:rsid w:val="00F02880"/>
    <w:rsid w:val="00F028CA"/>
    <w:rsid w:val="00F03904"/>
    <w:rsid w:val="00F03EB8"/>
    <w:rsid w:val="00F04E5F"/>
    <w:rsid w:val="00F05256"/>
    <w:rsid w:val="00F05825"/>
    <w:rsid w:val="00F05E41"/>
    <w:rsid w:val="00F06384"/>
    <w:rsid w:val="00F10651"/>
    <w:rsid w:val="00F10B88"/>
    <w:rsid w:val="00F11BE0"/>
    <w:rsid w:val="00F1439A"/>
    <w:rsid w:val="00F14F4A"/>
    <w:rsid w:val="00F15121"/>
    <w:rsid w:val="00F15C9D"/>
    <w:rsid w:val="00F15F1A"/>
    <w:rsid w:val="00F177CA"/>
    <w:rsid w:val="00F17B1E"/>
    <w:rsid w:val="00F17C39"/>
    <w:rsid w:val="00F20246"/>
    <w:rsid w:val="00F205E1"/>
    <w:rsid w:val="00F2070E"/>
    <w:rsid w:val="00F210F4"/>
    <w:rsid w:val="00F2184F"/>
    <w:rsid w:val="00F22467"/>
    <w:rsid w:val="00F22DB2"/>
    <w:rsid w:val="00F24131"/>
    <w:rsid w:val="00F249EE"/>
    <w:rsid w:val="00F24CDD"/>
    <w:rsid w:val="00F25E65"/>
    <w:rsid w:val="00F26287"/>
    <w:rsid w:val="00F264CF"/>
    <w:rsid w:val="00F27BB5"/>
    <w:rsid w:val="00F305A3"/>
    <w:rsid w:val="00F30E63"/>
    <w:rsid w:val="00F30F87"/>
    <w:rsid w:val="00F33568"/>
    <w:rsid w:val="00F341E5"/>
    <w:rsid w:val="00F3463B"/>
    <w:rsid w:val="00F354E6"/>
    <w:rsid w:val="00F37E56"/>
    <w:rsid w:val="00F40F36"/>
    <w:rsid w:val="00F41374"/>
    <w:rsid w:val="00F4192A"/>
    <w:rsid w:val="00F4198B"/>
    <w:rsid w:val="00F4348B"/>
    <w:rsid w:val="00F447DC"/>
    <w:rsid w:val="00F44844"/>
    <w:rsid w:val="00F45432"/>
    <w:rsid w:val="00F45EAB"/>
    <w:rsid w:val="00F46383"/>
    <w:rsid w:val="00F466F3"/>
    <w:rsid w:val="00F46CF4"/>
    <w:rsid w:val="00F46E38"/>
    <w:rsid w:val="00F47110"/>
    <w:rsid w:val="00F47396"/>
    <w:rsid w:val="00F4760F"/>
    <w:rsid w:val="00F52504"/>
    <w:rsid w:val="00F527F0"/>
    <w:rsid w:val="00F53AB2"/>
    <w:rsid w:val="00F542D4"/>
    <w:rsid w:val="00F548D1"/>
    <w:rsid w:val="00F54D9E"/>
    <w:rsid w:val="00F54E8F"/>
    <w:rsid w:val="00F5502D"/>
    <w:rsid w:val="00F568D2"/>
    <w:rsid w:val="00F577C5"/>
    <w:rsid w:val="00F57D69"/>
    <w:rsid w:val="00F60FBF"/>
    <w:rsid w:val="00F6205E"/>
    <w:rsid w:val="00F62B2D"/>
    <w:rsid w:val="00F633D7"/>
    <w:rsid w:val="00F63871"/>
    <w:rsid w:val="00F648F3"/>
    <w:rsid w:val="00F66399"/>
    <w:rsid w:val="00F66A5E"/>
    <w:rsid w:val="00F67063"/>
    <w:rsid w:val="00F67169"/>
    <w:rsid w:val="00F6752A"/>
    <w:rsid w:val="00F70036"/>
    <w:rsid w:val="00F7058F"/>
    <w:rsid w:val="00F70B45"/>
    <w:rsid w:val="00F70C87"/>
    <w:rsid w:val="00F710E7"/>
    <w:rsid w:val="00F71CE4"/>
    <w:rsid w:val="00F733DB"/>
    <w:rsid w:val="00F749BF"/>
    <w:rsid w:val="00F749FD"/>
    <w:rsid w:val="00F74A89"/>
    <w:rsid w:val="00F74FDE"/>
    <w:rsid w:val="00F75BC1"/>
    <w:rsid w:val="00F764F3"/>
    <w:rsid w:val="00F766CC"/>
    <w:rsid w:val="00F7706E"/>
    <w:rsid w:val="00F802AE"/>
    <w:rsid w:val="00F8108D"/>
    <w:rsid w:val="00F819EC"/>
    <w:rsid w:val="00F821CF"/>
    <w:rsid w:val="00F82484"/>
    <w:rsid w:val="00F8416C"/>
    <w:rsid w:val="00F8443E"/>
    <w:rsid w:val="00F846E4"/>
    <w:rsid w:val="00F85221"/>
    <w:rsid w:val="00F855F7"/>
    <w:rsid w:val="00F857AD"/>
    <w:rsid w:val="00F85CED"/>
    <w:rsid w:val="00F9050E"/>
    <w:rsid w:val="00F90F36"/>
    <w:rsid w:val="00F91FFD"/>
    <w:rsid w:val="00F921C1"/>
    <w:rsid w:val="00F9354D"/>
    <w:rsid w:val="00F9371D"/>
    <w:rsid w:val="00F9475E"/>
    <w:rsid w:val="00F94A22"/>
    <w:rsid w:val="00F94CFB"/>
    <w:rsid w:val="00F94D31"/>
    <w:rsid w:val="00F953F7"/>
    <w:rsid w:val="00F975E5"/>
    <w:rsid w:val="00F97D8E"/>
    <w:rsid w:val="00FA0AF2"/>
    <w:rsid w:val="00FA0C27"/>
    <w:rsid w:val="00FA1488"/>
    <w:rsid w:val="00FA201D"/>
    <w:rsid w:val="00FA2A59"/>
    <w:rsid w:val="00FA2B2A"/>
    <w:rsid w:val="00FA477E"/>
    <w:rsid w:val="00FA5C2F"/>
    <w:rsid w:val="00FA5DFD"/>
    <w:rsid w:val="00FA5E06"/>
    <w:rsid w:val="00FA6286"/>
    <w:rsid w:val="00FA640B"/>
    <w:rsid w:val="00FA71D3"/>
    <w:rsid w:val="00FB094A"/>
    <w:rsid w:val="00FB180E"/>
    <w:rsid w:val="00FB1896"/>
    <w:rsid w:val="00FB2578"/>
    <w:rsid w:val="00FB2DF8"/>
    <w:rsid w:val="00FB35E2"/>
    <w:rsid w:val="00FB370B"/>
    <w:rsid w:val="00FB388E"/>
    <w:rsid w:val="00FB3F69"/>
    <w:rsid w:val="00FB4D19"/>
    <w:rsid w:val="00FB53AE"/>
    <w:rsid w:val="00FB6BCC"/>
    <w:rsid w:val="00FC00E5"/>
    <w:rsid w:val="00FC00EB"/>
    <w:rsid w:val="00FC14E2"/>
    <w:rsid w:val="00FC1B0E"/>
    <w:rsid w:val="00FC220E"/>
    <w:rsid w:val="00FC283F"/>
    <w:rsid w:val="00FC3090"/>
    <w:rsid w:val="00FC3F6A"/>
    <w:rsid w:val="00FC401F"/>
    <w:rsid w:val="00FC7E04"/>
    <w:rsid w:val="00FD049B"/>
    <w:rsid w:val="00FD17AD"/>
    <w:rsid w:val="00FD1AF0"/>
    <w:rsid w:val="00FD3609"/>
    <w:rsid w:val="00FD4142"/>
    <w:rsid w:val="00FD4CDE"/>
    <w:rsid w:val="00FD5499"/>
    <w:rsid w:val="00FD67CA"/>
    <w:rsid w:val="00FD695F"/>
    <w:rsid w:val="00FD6E58"/>
    <w:rsid w:val="00FD7691"/>
    <w:rsid w:val="00FE0F81"/>
    <w:rsid w:val="00FE15C4"/>
    <w:rsid w:val="00FE2161"/>
    <w:rsid w:val="00FE2871"/>
    <w:rsid w:val="00FE28AA"/>
    <w:rsid w:val="00FE28DC"/>
    <w:rsid w:val="00FE2C0E"/>
    <w:rsid w:val="00FE32E1"/>
    <w:rsid w:val="00FE3F62"/>
    <w:rsid w:val="00FE6444"/>
    <w:rsid w:val="00FE6B8B"/>
    <w:rsid w:val="00FE7F57"/>
    <w:rsid w:val="00FF072F"/>
    <w:rsid w:val="00FF0DF2"/>
    <w:rsid w:val="00FF0EEB"/>
    <w:rsid w:val="00FF1BBA"/>
    <w:rsid w:val="00FF227C"/>
    <w:rsid w:val="00FF2D31"/>
    <w:rsid w:val="00FF30C6"/>
    <w:rsid w:val="00FF32DE"/>
    <w:rsid w:val="00FF3E81"/>
    <w:rsid w:val="00FF490C"/>
    <w:rsid w:val="00FF4AC9"/>
    <w:rsid w:val="00FF5608"/>
    <w:rsid w:val="00FF65BE"/>
    <w:rsid w:val="00FF6FFB"/>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D5"/>
    <w:pPr>
      <w:jc w:val="both"/>
    </w:pPr>
    <w:rPr>
      <w:rFonts w:ascii="Marianne" w:hAnsi="Marianne"/>
      <w:sz w:val="20"/>
      <w:szCs w:val="20"/>
    </w:rPr>
  </w:style>
  <w:style w:type="paragraph" w:styleId="Titre1">
    <w:name w:val="heading 1"/>
    <w:basedOn w:val="Normal"/>
    <w:next w:val="Normal"/>
    <w:link w:val="Titre1Car"/>
    <w:uiPriority w:val="9"/>
    <w:qFormat/>
    <w:rsid w:val="00A72B22"/>
    <w:pPr>
      <w:numPr>
        <w:numId w:val="13"/>
      </w:numPr>
      <w:spacing w:before="240" w:after="240" w:line="240" w:lineRule="auto"/>
      <w:ind w:left="357" w:hanging="357"/>
      <w:contextualSpacing/>
      <w:outlineLvl w:val="0"/>
    </w:pPr>
    <w:rPr>
      <w:rFonts w:eastAsia="Segoe UI" w:cs="Segoe UI"/>
      <w:b/>
      <w:color w:val="FFC000"/>
      <w:sz w:val="26"/>
      <w:szCs w:val="26"/>
    </w:rPr>
  </w:style>
  <w:style w:type="paragraph" w:styleId="Titre2">
    <w:name w:val="heading 2"/>
    <w:basedOn w:val="Normal"/>
    <w:next w:val="Normal"/>
    <w:link w:val="Titre2Car"/>
    <w:uiPriority w:val="9"/>
    <w:unhideWhenUsed/>
    <w:qFormat/>
    <w:rsid w:val="008F5ACB"/>
    <w:pPr>
      <w:keepNext/>
      <w:keepLines/>
      <w:pBdr>
        <w:top w:val="nil"/>
        <w:left w:val="nil"/>
        <w:bottom w:val="nil"/>
        <w:right w:val="nil"/>
        <w:between w:val="nil"/>
        <w:bar w:val="nil"/>
      </w:pBdr>
      <w:spacing w:after="0" w:line="240" w:lineRule="auto"/>
      <w:ind w:left="720" w:hanging="720"/>
      <w:contextualSpacing/>
      <w:outlineLvl w:val="1"/>
    </w:pPr>
    <w:rPr>
      <w:rFonts w:eastAsia="Segoe UI" w:cs="Segoe UI"/>
      <w:color w:val="FFC000"/>
      <w:sz w:val="26"/>
      <w:szCs w:val="26"/>
      <w:bdr w:val="nil"/>
    </w:rPr>
  </w:style>
  <w:style w:type="paragraph" w:styleId="Titre3">
    <w:name w:val="heading 3"/>
    <w:basedOn w:val="Normal"/>
    <w:link w:val="Titre3Car"/>
    <w:uiPriority w:val="9"/>
    <w:rsid w:val="005257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tabs>
        <w:tab w:val="clear" w:pos="284"/>
        <w:tab w:val="num" w:pos="360"/>
      </w:tabs>
      <w:spacing w:after="120" w:line="240" w:lineRule="auto"/>
      <w:ind w:left="0" w:firstLine="0"/>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paragraph" w:styleId="Titre">
    <w:name w:val="Title"/>
    <w:basedOn w:val="Normal"/>
    <w:next w:val="Normal"/>
    <w:link w:val="TitreCar"/>
    <w:uiPriority w:val="10"/>
    <w:qFormat/>
    <w:rsid w:val="003F1D4E"/>
    <w:pPr>
      <w:tabs>
        <w:tab w:val="left" w:pos="3969"/>
        <w:tab w:val="center" w:pos="4423"/>
        <w:tab w:val="right" w:pos="8846"/>
      </w:tabs>
      <w:spacing w:after="0" w:line="240" w:lineRule="auto"/>
      <w:ind w:left="-1134"/>
    </w:pPr>
    <w:rPr>
      <w:rFonts w:eastAsia="Segoe UI" w:cs="Segoe UI"/>
      <w:b/>
      <w:smallCaps/>
      <w:color w:val="FFC000"/>
      <w:sz w:val="48"/>
      <w:szCs w:val="48"/>
    </w:rPr>
  </w:style>
  <w:style w:type="paragraph" w:styleId="Sansinterligne">
    <w:name w:val="No Spacing"/>
    <w:uiPriority w:val="1"/>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rsid w:val="005E1539"/>
    <w:pPr>
      <w:spacing w:after="0" w:line="240" w:lineRule="auto"/>
    </w:p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customStyle="1" w:styleId="TitreCar">
    <w:name w:val="Titre Car"/>
    <w:basedOn w:val="Policepardfaut"/>
    <w:link w:val="Titre"/>
    <w:uiPriority w:val="10"/>
    <w:rsid w:val="003F1D4E"/>
    <w:rPr>
      <w:rFonts w:ascii="Marianne" w:eastAsia="Segoe UI" w:hAnsi="Marianne" w:cs="Segoe UI"/>
      <w:b/>
      <w:smallCaps/>
      <w:color w:val="FFC000"/>
      <w:sz w:val="48"/>
      <w:szCs w:val="48"/>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pPr>
      <w:spacing w:line="240" w:lineRule="auto"/>
    </w:p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A72B22"/>
    <w:rPr>
      <w:rFonts w:ascii="Marianne" w:eastAsia="Segoe UI" w:hAnsi="Marianne" w:cs="Segoe UI"/>
      <w:b/>
      <w:color w:val="FFC000"/>
      <w:sz w:val="26"/>
      <w:szCs w:val="26"/>
    </w:rPr>
  </w:style>
  <w:style w:type="character" w:customStyle="1" w:styleId="Titre2Car">
    <w:name w:val="Titre 2 Car"/>
    <w:basedOn w:val="Policepardfaut"/>
    <w:link w:val="Titre2"/>
    <w:uiPriority w:val="9"/>
    <w:rsid w:val="008F5ACB"/>
    <w:rPr>
      <w:rFonts w:ascii="Marianne" w:eastAsia="Segoe UI" w:hAnsi="Marianne" w:cs="Segoe UI"/>
      <w:color w:val="FFC000"/>
      <w:sz w:val="26"/>
      <w:szCs w:val="26"/>
      <w:bdr w:val="nil"/>
    </w:rPr>
  </w:style>
  <w:style w:type="paragraph" w:styleId="Notedefin">
    <w:name w:val="endnote text"/>
    <w:basedOn w:val="Normal"/>
    <w:link w:val="NotedefinCar"/>
    <w:uiPriority w:val="99"/>
    <w:unhideWhenUsed/>
    <w:rsid w:val="0092373C"/>
    <w:pPr>
      <w:spacing w:after="0" w:line="240" w:lineRule="auto"/>
    </w:p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1629CF"/>
    <w:rPr>
      <w:vertAlign w:val="superscript"/>
    </w:rPr>
  </w:style>
  <w:style w:type="paragraph" w:customStyle="1" w:styleId="Intituldeladirection">
    <w:name w:val="Intitulé de la direction"/>
    <w:basedOn w:val="Normal"/>
    <w:rsid w:val="008C64B7"/>
    <w:pPr>
      <w:spacing w:after="0" w:line="336" w:lineRule="atLeast"/>
      <w:jc w:val="right"/>
    </w:pPr>
    <w:rPr>
      <w:rFonts w:ascii="Arial" w:hAnsi="Arial"/>
      <w:b/>
      <w:sz w:val="28"/>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spacing w:after="0" w:line="240" w:lineRule="auto"/>
      <w:textAlignment w:val="baseline"/>
    </w:pPr>
    <w:rPr>
      <w:rFonts w:ascii="Univers" w:eastAsia="Times New Roman" w:hAnsi="Univers" w:cs="Arial"/>
      <w:kern w:val="1"/>
      <w:lang w:eastAsia="ar-SA"/>
    </w:rPr>
  </w:style>
  <w:style w:type="numbering" w:customStyle="1" w:styleId="Aucuneliste1">
    <w:name w:val="Aucune liste1"/>
    <w:next w:val="Aucuneliste"/>
    <w:uiPriority w:val="99"/>
    <w:semiHidden/>
    <w:unhideWhenUsed/>
    <w:rsid w:val="00A24BE1"/>
  </w:style>
  <w:style w:type="table" w:customStyle="1" w:styleId="TableNormal">
    <w:name w:val="Table Normal"/>
    <w:rsid w:val="00A24BE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A">
    <w:name w:val="Corps A"/>
    <w:rsid w:val="00A24BE1"/>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0">
    <w:name w:val="Corps.0"/>
    <w:rsid w:val="00A24BE1"/>
    <w:rPr>
      <w:rFonts w:ascii="Segoe UI" w:eastAsia="Segoe UI" w:hAnsi="Segoe UI" w:cs="Segoe UI"/>
      <w:b w:val="0"/>
      <w:bCs w:val="0"/>
      <w:i w:val="0"/>
      <w:iCs w:val="0"/>
      <w:sz w:val="20"/>
      <w:szCs w:val="20"/>
      <w:lang w:val="fr-FR"/>
    </w:rPr>
  </w:style>
  <w:style w:type="character" w:customStyle="1" w:styleId="Hyperlink0">
    <w:name w:val="Hyperlink.0"/>
    <w:basedOn w:val="Lienhypertexte"/>
    <w:rsid w:val="00A24BE1"/>
    <w:rPr>
      <w:color w:val="0563C1" w:themeColor="hyperlink"/>
      <w:u w:val="single"/>
    </w:rPr>
  </w:style>
  <w:style w:type="paragraph" w:customStyle="1" w:styleId="Pardfaut">
    <w:name w:val="Par défaut"/>
    <w:rsid w:val="00A24BE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ru-RU" w:eastAsia="fr-FR"/>
    </w:rPr>
  </w:style>
  <w:style w:type="paragraph" w:customStyle="1" w:styleId="Styledetableau">
    <w:name w:val="Style de tableau"/>
    <w:qFormat/>
    <w:rsid w:val="00842707"/>
    <w:pPr>
      <w:pBdr>
        <w:top w:val="nil"/>
        <w:left w:val="nil"/>
        <w:bottom w:val="nil"/>
        <w:right w:val="nil"/>
        <w:between w:val="nil"/>
        <w:bar w:val="nil"/>
      </w:pBdr>
      <w:spacing w:after="0" w:line="240" w:lineRule="auto"/>
    </w:pPr>
    <w:rPr>
      <w:rFonts w:ascii="Marianne" w:eastAsia="Helvetica" w:hAnsi="Marianne" w:cs="Helvetica"/>
      <w:color w:val="000000"/>
      <w:sz w:val="16"/>
      <w:szCs w:val="16"/>
      <w:bdr w:val="nil"/>
      <w:lang w:eastAsia="fr-FR"/>
    </w:rPr>
  </w:style>
  <w:style w:type="paragraph" w:customStyle="1" w:styleId="Default">
    <w:name w:val="Default"/>
    <w:rsid w:val="00A24BE1"/>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fr-FR"/>
    </w:rPr>
  </w:style>
  <w:style w:type="table" w:customStyle="1" w:styleId="Listemoyenne2-Accent11">
    <w:name w:val="Liste moyenne 2 - Accent 11"/>
    <w:basedOn w:val="TableauNormal"/>
    <w:next w:val="Listemoyenne2-Accent1"/>
    <w:uiPriority w:val="66"/>
    <w:rsid w:val="00A24BE1"/>
    <w:pPr>
      <w:spacing w:after="0" w:line="240" w:lineRule="auto"/>
    </w:pPr>
    <w:rPr>
      <w:rFonts w:ascii="Helvetica" w:eastAsia="Times New Roman" w:hAnsi="Helvetica" w:cs="Times New Roman"/>
      <w:color w:val="000000"/>
      <w:lang w:eastAsia="fr-FR"/>
    </w:rPr>
    <w:tblPr>
      <w:tblStyleRowBandSize w:val="1"/>
      <w:tblStyleColBandSize w:val="1"/>
      <w:tblBorders>
        <w:top w:val="single" w:sz="8" w:space="0" w:color="499BC9"/>
        <w:left w:val="single" w:sz="8" w:space="0" w:color="499BC9"/>
        <w:bottom w:val="single" w:sz="8" w:space="0" w:color="499BC9"/>
        <w:right w:val="single" w:sz="8" w:space="0" w:color="499BC9"/>
      </w:tblBorders>
    </w:tblPr>
    <w:tblStylePr w:type="firstRow">
      <w:rPr>
        <w:sz w:val="24"/>
        <w:szCs w:val="24"/>
      </w:rPr>
      <w:tblPr/>
      <w:tcPr>
        <w:tcBorders>
          <w:top w:val="nil"/>
          <w:left w:val="nil"/>
          <w:bottom w:val="single" w:sz="24" w:space="0" w:color="499BC9"/>
          <w:right w:val="nil"/>
          <w:insideH w:val="nil"/>
          <w:insideV w:val="nil"/>
        </w:tcBorders>
        <w:shd w:val="clear" w:color="auto" w:fill="FFFFFF"/>
      </w:tcPr>
    </w:tblStylePr>
    <w:tblStylePr w:type="lastRow">
      <w:tblPr/>
      <w:tcPr>
        <w:tcBorders>
          <w:top w:val="single" w:sz="8" w:space="0" w:color="499BC9"/>
          <w:left w:val="nil"/>
          <w:bottom w:val="nil"/>
          <w:right w:val="nil"/>
          <w:insideH w:val="nil"/>
          <w:insideV w:val="nil"/>
        </w:tcBorders>
        <w:shd w:val="clear" w:color="auto" w:fill="FFFFFF"/>
      </w:tcPr>
    </w:tblStylePr>
    <w:tblStylePr w:type="firstCol">
      <w:tblPr/>
      <w:tcPr>
        <w:tcBorders>
          <w:top w:val="nil"/>
          <w:left w:val="nil"/>
          <w:bottom w:val="nil"/>
          <w:right w:val="single" w:sz="8" w:space="0" w:color="499BC9"/>
          <w:insideH w:val="nil"/>
          <w:insideV w:val="nil"/>
        </w:tcBorders>
        <w:shd w:val="clear" w:color="auto" w:fill="FFFFFF"/>
      </w:tcPr>
    </w:tblStylePr>
    <w:tblStylePr w:type="lastCol">
      <w:tblPr/>
      <w:tcPr>
        <w:tcBorders>
          <w:top w:val="nil"/>
          <w:left w:val="single" w:sz="8" w:space="0" w:color="499B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6F1"/>
      </w:tcPr>
    </w:tblStylePr>
    <w:tblStylePr w:type="band1Horz">
      <w:tblPr/>
      <w:tcPr>
        <w:tcBorders>
          <w:top w:val="nil"/>
          <w:bottom w:val="nil"/>
          <w:insideH w:val="nil"/>
          <w:insideV w:val="nil"/>
        </w:tcBorders>
        <w:shd w:val="clear" w:color="auto" w:fill="D2E6F1"/>
      </w:tcPr>
    </w:tblStylePr>
    <w:tblStylePr w:type="nwCell">
      <w:tblPr/>
      <w:tcPr>
        <w:shd w:val="clear" w:color="auto" w:fill="FFFFFF"/>
      </w:tcPr>
    </w:tblStylePr>
    <w:tblStylePr w:type="swCell">
      <w:tblPr/>
      <w:tcPr>
        <w:tcBorders>
          <w:top w:val="nil"/>
        </w:tcBorders>
      </w:tcPr>
    </w:tblStylePr>
  </w:style>
  <w:style w:type="paragraph" w:styleId="Rvision">
    <w:name w:val="Revision"/>
    <w:hidden/>
    <w:uiPriority w:val="99"/>
    <w:semiHidden/>
    <w:rsid w:val="00A24BE1"/>
    <w:pPr>
      <w:spacing w:after="0" w:line="240" w:lineRule="auto"/>
    </w:pPr>
    <w:rPr>
      <w:rFonts w:ascii="Times New Roman" w:eastAsia="Arial Unicode MS" w:hAnsi="Times New Roman" w:cs="Times New Roman"/>
      <w:sz w:val="24"/>
      <w:szCs w:val="24"/>
      <w:bdr w:val="nil"/>
      <w:lang w:val="en-US"/>
    </w:rPr>
  </w:style>
  <w:style w:type="table" w:customStyle="1" w:styleId="TableauGrille6Couleur1">
    <w:name w:val="Tableau Grille 6 Couleur1"/>
    <w:basedOn w:val="TableauNormal"/>
    <w:next w:val="TableauGrille6Couleur"/>
    <w:uiPriority w:val="51"/>
    <w:rsid w:val="00A24BE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rpsdetexte23">
    <w:name w:val="corpsdetexte23"/>
    <w:basedOn w:val="Normal"/>
    <w:rsid w:val="00A24BE1"/>
    <w:pPr>
      <w:spacing w:before="100" w:beforeAutospacing="1" w:after="100" w:afterAutospacing="1" w:line="240" w:lineRule="auto"/>
    </w:pPr>
    <w:rPr>
      <w:rFonts w:ascii="Times New Roman" w:hAnsi="Times New Roman" w:cs="Times New Roman"/>
      <w:sz w:val="24"/>
      <w:szCs w:val="24"/>
      <w:lang w:eastAsia="fr-FR"/>
    </w:rPr>
  </w:style>
  <w:style w:type="table" w:styleId="Listemoyenne2-Accent1">
    <w:name w:val="Medium List 2 Accent 1"/>
    <w:basedOn w:val="TableauNormal"/>
    <w:uiPriority w:val="66"/>
    <w:semiHidden/>
    <w:unhideWhenUsed/>
    <w:rsid w:val="00A2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
    <w:name w:val="Grid Table 6 Colorful"/>
    <w:basedOn w:val="TableauNormal"/>
    <w:uiPriority w:val="51"/>
    <w:rsid w:val="00A2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ev">
    <w:name w:val="Strong"/>
    <w:basedOn w:val="Policepardfaut"/>
    <w:uiPriority w:val="22"/>
    <w:qFormat/>
    <w:rsid w:val="00BF3BCA"/>
    <w:rPr>
      <w:b/>
      <w:bCs/>
    </w:rPr>
  </w:style>
  <w:style w:type="paragraph" w:customStyle="1" w:styleId="BREVESECOPieddepage">
    <w:name w:val="BREVES ECO Pied de page"/>
    <w:basedOn w:val="Normal"/>
    <w:link w:val="BREVESECOPieddepageCar"/>
    <w:rsid w:val="00276A75"/>
    <w:pPr>
      <w:spacing w:after="120"/>
    </w:pPr>
    <w:rPr>
      <w:rFonts w:ascii="Marianne Light" w:hAnsi="Marianne Light"/>
      <w:sz w:val="18"/>
      <w:szCs w:val="18"/>
    </w:rPr>
  </w:style>
  <w:style w:type="character" w:customStyle="1" w:styleId="BREVESECOPieddepageCar">
    <w:name w:val="BREVES ECO Pied de page Car"/>
    <w:basedOn w:val="Policepardfaut"/>
    <w:link w:val="BREVESECOPieddepage"/>
    <w:rsid w:val="00276A75"/>
    <w:rPr>
      <w:rFonts w:ascii="Marianne Light" w:hAnsi="Marianne Light"/>
      <w:sz w:val="18"/>
      <w:szCs w:val="18"/>
    </w:rPr>
  </w:style>
  <w:style w:type="paragraph" w:customStyle="1" w:styleId="CharChar">
    <w:name w:val="Char Char"/>
    <w:basedOn w:val="Normal"/>
    <w:next w:val="Normal"/>
    <w:link w:val="Appelnotedebasdep"/>
    <w:uiPriority w:val="99"/>
    <w:rsid w:val="00053689"/>
    <w:pPr>
      <w:spacing w:line="240" w:lineRule="exact"/>
      <w:jc w:val="left"/>
    </w:pPr>
    <w:rPr>
      <w:rFonts w:asciiTheme="minorHAnsi" w:hAnsiTheme="minorHAns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499581393">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785008559">
      <w:bodyDiv w:val="1"/>
      <w:marLeft w:val="0"/>
      <w:marRight w:val="0"/>
      <w:marTop w:val="0"/>
      <w:marBottom w:val="0"/>
      <w:divBdr>
        <w:top w:val="none" w:sz="0" w:space="0" w:color="auto"/>
        <w:left w:val="none" w:sz="0" w:space="0" w:color="auto"/>
        <w:bottom w:val="none" w:sz="0" w:space="0" w:color="auto"/>
        <w:right w:val="none" w:sz="0" w:space="0" w:color="auto"/>
      </w:divBdr>
    </w:div>
    <w:div w:id="858857584">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982855609">
      <w:bodyDiv w:val="1"/>
      <w:marLeft w:val="0"/>
      <w:marRight w:val="0"/>
      <w:marTop w:val="0"/>
      <w:marBottom w:val="0"/>
      <w:divBdr>
        <w:top w:val="none" w:sz="0" w:space="0" w:color="auto"/>
        <w:left w:val="none" w:sz="0" w:space="0" w:color="auto"/>
        <w:bottom w:val="none" w:sz="0" w:space="0" w:color="auto"/>
        <w:right w:val="none" w:sz="0" w:space="0" w:color="auto"/>
      </w:divBdr>
    </w:div>
    <w:div w:id="1150682043">
      <w:bodyDiv w:val="1"/>
      <w:marLeft w:val="0"/>
      <w:marRight w:val="0"/>
      <w:marTop w:val="0"/>
      <w:marBottom w:val="0"/>
      <w:divBdr>
        <w:top w:val="none" w:sz="0" w:space="0" w:color="auto"/>
        <w:left w:val="none" w:sz="0" w:space="0" w:color="auto"/>
        <w:bottom w:val="none" w:sz="0" w:space="0" w:color="auto"/>
        <w:right w:val="none" w:sz="0" w:space="0" w:color="auto"/>
      </w:divBdr>
    </w:div>
    <w:div w:id="1238828149">
      <w:bodyDiv w:val="1"/>
      <w:marLeft w:val="0"/>
      <w:marRight w:val="0"/>
      <w:marTop w:val="0"/>
      <w:marBottom w:val="0"/>
      <w:divBdr>
        <w:top w:val="none" w:sz="0" w:space="0" w:color="auto"/>
        <w:left w:val="none" w:sz="0" w:space="0" w:color="auto"/>
        <w:bottom w:val="none" w:sz="0" w:space="0" w:color="auto"/>
        <w:right w:val="none" w:sz="0" w:space="0" w:color="auto"/>
      </w:divBdr>
    </w:div>
    <w:div w:id="1251964970">
      <w:bodyDiv w:val="1"/>
      <w:marLeft w:val="0"/>
      <w:marRight w:val="0"/>
      <w:marTop w:val="0"/>
      <w:marBottom w:val="0"/>
      <w:divBdr>
        <w:top w:val="none" w:sz="0" w:space="0" w:color="auto"/>
        <w:left w:val="none" w:sz="0" w:space="0" w:color="auto"/>
        <w:bottom w:val="none" w:sz="0" w:space="0" w:color="auto"/>
        <w:right w:val="none" w:sz="0" w:space="0" w:color="auto"/>
      </w:divBdr>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04452615">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478494261">
      <w:bodyDiv w:val="1"/>
      <w:marLeft w:val="0"/>
      <w:marRight w:val="0"/>
      <w:marTop w:val="0"/>
      <w:marBottom w:val="0"/>
      <w:divBdr>
        <w:top w:val="none" w:sz="0" w:space="0" w:color="auto"/>
        <w:left w:val="none" w:sz="0" w:space="0" w:color="auto"/>
        <w:bottom w:val="none" w:sz="0" w:space="0" w:color="auto"/>
        <w:right w:val="none" w:sz="0" w:space="0" w:color="auto"/>
      </w:divBdr>
    </w:div>
    <w:div w:id="1484279498">
      <w:bodyDiv w:val="1"/>
      <w:marLeft w:val="0"/>
      <w:marRight w:val="0"/>
      <w:marTop w:val="0"/>
      <w:marBottom w:val="0"/>
      <w:divBdr>
        <w:top w:val="none" w:sz="0" w:space="0" w:color="auto"/>
        <w:left w:val="none" w:sz="0" w:space="0" w:color="auto"/>
        <w:bottom w:val="none" w:sz="0" w:space="0" w:color="auto"/>
        <w:right w:val="none" w:sz="0" w:space="0" w:color="auto"/>
      </w:divBdr>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585843965">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742944822">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 w:id="2079935653">
      <w:bodyDiv w:val="1"/>
      <w:marLeft w:val="0"/>
      <w:marRight w:val="0"/>
      <w:marTop w:val="0"/>
      <w:marBottom w:val="0"/>
      <w:divBdr>
        <w:top w:val="none" w:sz="0" w:space="0" w:color="auto"/>
        <w:left w:val="none" w:sz="0" w:space="0" w:color="auto"/>
        <w:bottom w:val="none" w:sz="0" w:space="0" w:color="auto"/>
        <w:right w:val="none" w:sz="0" w:space="0" w:color="auto"/>
      </w:divBdr>
    </w:div>
    <w:div w:id="2128085307">
      <w:bodyDiv w:val="1"/>
      <w:marLeft w:val="0"/>
      <w:marRight w:val="0"/>
      <w:marTop w:val="0"/>
      <w:marBottom w:val="0"/>
      <w:divBdr>
        <w:top w:val="none" w:sz="0" w:space="0" w:color="auto"/>
        <w:left w:val="none" w:sz="0" w:space="0" w:color="auto"/>
        <w:bottom w:val="none" w:sz="0" w:space="0" w:color="auto"/>
        <w:right w:val="none" w:sz="0" w:space="0" w:color="auto"/>
      </w:divBdr>
    </w:div>
    <w:div w:id="214095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sor.economie.gouv.fr/tresor-international" TargetMode="External"/><Relationship Id="rId18" Type="http://schemas.openxmlformats.org/officeDocument/2006/relationships/hyperlink" Target="http://www.tresor.economie.gouv.fr/tresor-internation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faolex.fao.org/docs/pdf/mau209755.pdf" TargetMode="External"/><Relationship Id="rId3" Type="http://schemas.openxmlformats.org/officeDocument/2006/relationships/hyperlink" Target="https://www.fao.org/family-farming/countries/mrt/fr/" TargetMode="External"/><Relationship Id="rId7" Type="http://schemas.openxmlformats.org/officeDocument/2006/relationships/hyperlink" Target="https://www.imrop.mr/" TargetMode="External"/><Relationship Id="rId2" Type="http://schemas.openxmlformats.org/officeDocument/2006/relationships/hyperlink" Target="https://openknowledge.fao.org/server/api/core/bitstreams/fcebe6e2-6632-4f33-9428-d4fca3ad67a6/content" TargetMode="External"/><Relationship Id="rId1" Type="http://schemas.openxmlformats.org/officeDocument/2006/relationships/hyperlink" Target="https://ioe.ifad.org/documents/38714182/51322248/CSPE+Mauritania/7f99f4b6-3a32-4798-ec5f-4bfcef96c5aa" TargetMode="External"/><Relationship Id="rId6" Type="http://schemas.openxmlformats.org/officeDocument/2006/relationships/hyperlink" Target="https://www.agenceafrique.com/59422-le-cheptel-mauritanien-evalue-a-plus-de-29-millions-de-tetes-a-fin-2024-officiel.html" TargetMode="External"/><Relationship Id="rId5" Type="http://schemas.openxmlformats.org/officeDocument/2006/relationships/hyperlink" Target="https://documents1.worldbank.org/curated/en/099061225033569207/pdf/P507238-df34455d-3816-4578-b9a9-0e6eb57e1a53.pdf" TargetMode="External"/><Relationship Id="rId10" Type="http://schemas.openxmlformats.org/officeDocument/2006/relationships/hyperlink" Target="https://www.droit-afrique.com/uploads/Mauritanie-Code-2015-Peches-Maritimes.pdf" TargetMode="External"/><Relationship Id="rId4" Type="http://schemas.openxmlformats.org/officeDocument/2006/relationships/hyperlink" Target="https://documents.worldbank.org/fr/publication/documents-reports/documentdetail/099175502132397037" TargetMode="External"/><Relationship Id="rId9" Type="http://schemas.openxmlformats.org/officeDocument/2006/relationships/hyperlink" Target="https://faolex.fao.org/docs/pdf/Mau175842.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customXml/itemProps3.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ED9D934-B2D2-4B4E-A779-F24A898AE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7600</Words>
  <Characters>41806</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49308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5</cp:revision>
  <cp:lastPrinted>2024-12-06T20:46:00Z</cp:lastPrinted>
  <dcterms:created xsi:type="dcterms:W3CDTF">2026-01-14T10:41:00Z</dcterms:created>
  <dcterms:modified xsi:type="dcterms:W3CDTF">2026-02-16T20:19:00Z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