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1580" w14:textId="510D9717" w:rsidR="006A6814" w:rsidRPr="00EC5CF3" w:rsidRDefault="00AE7553" w:rsidP="004432FE">
      <w:pPr>
        <w:tabs>
          <w:tab w:val="left" w:pos="3969"/>
        </w:tabs>
        <w:spacing w:after="0"/>
        <w:rPr>
          <w:rFonts w:ascii="Segoe UI" w:hAnsi="Segoe UI" w:cs="Segoe UI"/>
        </w:rPr>
      </w:pPr>
      <w:r w:rsidRPr="008516DA">
        <w:rPr>
          <w:rFonts w:ascii="Marianne Medium" w:hAnsi="Marianne Medium"/>
          <w:bCs/>
          <w:noProof/>
          <w:sz w:val="20"/>
          <w:szCs w:val="18"/>
        </w:rPr>
        <w:drawing>
          <wp:anchor distT="0" distB="0" distL="114300" distR="114300" simplePos="0" relativeHeight="251659264" behindDoc="1" locked="0" layoutInCell="1" allowOverlap="1" wp14:anchorId="2EFC3400" wp14:editId="116A344F">
            <wp:simplePos x="0" y="0"/>
            <wp:positionH relativeFrom="page">
              <wp:align>right</wp:align>
            </wp:positionH>
            <wp:positionV relativeFrom="paragraph">
              <wp:posOffset>-800100</wp:posOffset>
            </wp:positionV>
            <wp:extent cx="7562850" cy="248031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rcRect t="2778" b="2778"/>
                    <a:stretch>
                      <a:fillRect/>
                    </a:stretch>
                  </pic:blipFill>
                  <pic:spPr bwMode="auto">
                    <a:xfrm>
                      <a:off x="0" y="0"/>
                      <a:ext cx="7562850" cy="248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2175">
        <w:rPr>
          <w:noProof/>
        </w:rPr>
        <mc:AlternateContent>
          <mc:Choice Requires="wps">
            <w:drawing>
              <wp:anchor distT="0" distB="0" distL="114300" distR="114300" simplePos="0" relativeHeight="251665408" behindDoc="0" locked="0" layoutInCell="1" allowOverlap="1" wp14:anchorId="4A723720" wp14:editId="0D8003F6">
                <wp:simplePos x="0" y="0"/>
                <wp:positionH relativeFrom="page">
                  <wp:posOffset>1739900</wp:posOffset>
                </wp:positionH>
                <wp:positionV relativeFrom="paragraph">
                  <wp:posOffset>-359410</wp:posOffset>
                </wp:positionV>
                <wp:extent cx="1955800" cy="260350"/>
                <wp:effectExtent l="0" t="0" r="0" b="0"/>
                <wp:wrapNone/>
                <wp:docPr id="1" name="ZoneTexte 8"/>
                <wp:cNvGraphicFramePr/>
                <a:graphic xmlns:a="http://schemas.openxmlformats.org/drawingml/2006/main">
                  <a:graphicData uri="http://schemas.microsoft.com/office/word/2010/wordprocessingShape">
                    <wps:wsp>
                      <wps:cNvSpPr txBox="1"/>
                      <wps:spPr>
                        <a:xfrm>
                          <a:off x="0" y="0"/>
                          <a:ext cx="1955800" cy="260350"/>
                        </a:xfrm>
                        <a:prstGeom prst="rect">
                          <a:avLst/>
                        </a:prstGeom>
                        <a:noFill/>
                      </wps:spPr>
                      <wps:txbx>
                        <w:txbxContent>
                          <w:p w14:paraId="4DF76685" w14:textId="77777777" w:rsidR="000E2175" w:rsidRPr="00FC00EB" w:rsidRDefault="000E2175" w:rsidP="000E2175">
                            <w:pPr>
                              <w:textAlignment w:val="baseline"/>
                              <w:rPr>
                                <w:rFonts w:ascii="Marianne" w:eastAsia="Calibri" w:hAnsi="Marianne"/>
                                <w:b/>
                                <w:bCs/>
                                <w:color w:val="000000"/>
                                <w:kern w:val="24"/>
                                <w:sz w:val="18"/>
                                <w:szCs w:val="18"/>
                              </w:rPr>
                            </w:pPr>
                            <w:r w:rsidRPr="00FC00EB">
                              <w:rPr>
                                <w:rFonts w:ascii="Marianne" w:eastAsia="Calibri" w:hAnsi="Marianne"/>
                                <w:b/>
                                <w:bCs/>
                                <w:color w:val="000000"/>
                                <w:kern w:val="24"/>
                                <w:sz w:val="18"/>
                                <w:szCs w:val="18"/>
                              </w:rPr>
                              <w:t xml:space="preserve">Direction générale du Trésor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A723720" id="_x0000_t202" coordsize="21600,21600" o:spt="202" path="m,l,21600r21600,l21600,xe">
                <v:stroke joinstyle="miter"/>
                <v:path gradientshapeok="t" o:connecttype="rect"/>
              </v:shapetype>
              <v:shape id="ZoneTexte 8" o:spid="_x0000_s1026" type="#_x0000_t202" style="position:absolute;margin-left:137pt;margin-top:-28.3pt;width:154pt;height:2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" filled="f" stroked="f">
                <v:textbox>
                  <w:txbxContent>
                    <w:p w14:paraId="4DF76685" w14:textId="77777777" w:rsidR="000E2175" w:rsidRPr="00FC00EB" w:rsidRDefault="000E2175" w:rsidP="000E2175">
                      <w:pPr>
                        <w:textAlignment w:val="baseline"/>
                        <w:rPr>
                          <w:rFonts w:ascii="Marianne" w:eastAsia="Calibri" w:hAnsi="Marianne"/>
                          <w:b/>
                          <w:bCs/>
                          <w:color w:val="000000"/>
                          <w:kern w:val="24"/>
                          <w:sz w:val="18"/>
                          <w:szCs w:val="18"/>
                        </w:rPr>
                      </w:pPr>
                      <w:r w:rsidRPr="00FC00EB">
                        <w:rPr>
                          <w:rFonts w:ascii="Marianne" w:eastAsia="Calibri" w:hAnsi="Marianne"/>
                          <w:b/>
                          <w:bCs/>
                          <w:color w:val="000000"/>
                          <w:kern w:val="24"/>
                          <w:sz w:val="18"/>
                          <w:szCs w:val="18"/>
                        </w:rPr>
                        <w:t xml:space="preserve">Direction générale du Trésor </w:t>
                      </w:r>
                    </w:p>
                  </w:txbxContent>
                </v:textbox>
                <w10:wrap anchorx="page"/>
              </v:shape>
            </w:pict>
          </mc:Fallback>
        </mc:AlternateContent>
      </w:r>
      <w:r w:rsidR="000C1C74" w:rsidRPr="008516DA">
        <w:rPr>
          <w:rFonts w:ascii="Marianne Medium" w:hAnsi="Marianne Medium"/>
          <w:bCs/>
          <w:noProof/>
          <w:sz w:val="20"/>
          <w:szCs w:val="18"/>
        </w:rPr>
        <w:drawing>
          <wp:anchor distT="0" distB="0" distL="114300" distR="114300" simplePos="0" relativeHeight="251663360" behindDoc="0" locked="0" layoutInCell="1" allowOverlap="1" wp14:anchorId="15827F1E" wp14:editId="080DD556">
            <wp:simplePos x="0" y="0"/>
            <wp:positionH relativeFrom="page">
              <wp:posOffset>361950</wp:posOffset>
            </wp:positionH>
            <wp:positionV relativeFrom="margin">
              <wp:posOffset>-506095</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000C1C74" w:rsidRPr="000C1C74">
        <w:rPr>
          <w:rFonts w:ascii="Marianne Medium" w:eastAsia="Calibri" w:hAnsi="Marianne Medium" w:cs="Times New Roman"/>
          <w:bCs/>
          <w:noProof/>
          <w:sz w:val="20"/>
          <w:szCs w:val="18"/>
        </w:rPr>
        <mc:AlternateContent>
          <mc:Choice Requires="wps">
            <w:drawing>
              <wp:anchor distT="0" distB="0" distL="114300" distR="114300" simplePos="0" relativeHeight="251661312" behindDoc="0" locked="0" layoutInCell="1" allowOverlap="1" wp14:anchorId="13E6010F" wp14:editId="6079CB5F">
                <wp:simplePos x="0" y="0"/>
                <wp:positionH relativeFrom="column">
                  <wp:posOffset>-537845</wp:posOffset>
                </wp:positionH>
                <wp:positionV relativeFrom="paragraph">
                  <wp:posOffset>-588645</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34910" id="Rectangle 9" o:spid="_x0000_s1026" style="position:absolute;margin-left:-42.35pt;margin-top:-46.35pt;width:114.55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" fillcolor="window" stroked="f" strokeweight="1pt"/>
            </w:pict>
          </mc:Fallback>
        </mc:AlternateContent>
      </w:r>
    </w:p>
    <w:p w14:paraId="1DB969ED" w14:textId="25C023B3" w:rsidR="00EC3E05" w:rsidRDefault="00EC3E05" w:rsidP="008519BD">
      <w:pPr>
        <w:tabs>
          <w:tab w:val="left" w:pos="3969"/>
          <w:tab w:val="center" w:pos="4423"/>
          <w:tab w:val="right" w:pos="8846"/>
        </w:tabs>
        <w:spacing w:after="0" w:line="240" w:lineRule="auto"/>
        <w:rPr>
          <w:rFonts w:ascii="Segoe UI" w:eastAsia="Segoe UI" w:hAnsi="Segoe UI" w:cs="Segoe UI"/>
          <w:b/>
          <w:color w:val="006CE5"/>
          <w:sz w:val="26"/>
          <w:szCs w:val="26"/>
        </w:rPr>
      </w:pPr>
    </w:p>
    <w:p w14:paraId="06648094" w14:textId="77777777" w:rsidR="00504232" w:rsidRDefault="00504232" w:rsidP="00504232">
      <w:pPr>
        <w:tabs>
          <w:tab w:val="left" w:pos="3969"/>
          <w:tab w:val="center" w:pos="4423"/>
          <w:tab w:val="right" w:pos="8846"/>
        </w:tabs>
        <w:spacing w:after="0" w:line="240" w:lineRule="auto"/>
        <w:rPr>
          <w:rFonts w:ascii="Segoe UI" w:eastAsia="Segoe UI" w:hAnsi="Segoe UI" w:cs="Segoe UI"/>
          <w:b/>
          <w:color w:val="006CE5"/>
          <w:sz w:val="26"/>
          <w:szCs w:val="26"/>
        </w:rPr>
      </w:pPr>
    </w:p>
    <w:p w14:paraId="1EADA3A6" w14:textId="77777777" w:rsidR="006D7957" w:rsidRPr="006D7957" w:rsidRDefault="006D7957" w:rsidP="006D7957">
      <w:pPr>
        <w:tabs>
          <w:tab w:val="left" w:pos="3969"/>
          <w:tab w:val="center" w:pos="4423"/>
          <w:tab w:val="right" w:pos="8846"/>
        </w:tabs>
        <w:spacing w:after="0" w:line="240" w:lineRule="auto"/>
        <w:ind w:left="-1134"/>
        <w:rPr>
          <w:rFonts w:ascii="Marianne" w:eastAsia="Segoe UI" w:hAnsi="Marianne" w:cs="Segoe UI"/>
          <w:b/>
          <w:smallCaps/>
          <w:color w:val="FFC000"/>
        </w:rPr>
      </w:pPr>
    </w:p>
    <w:p w14:paraId="42C8A989" w14:textId="153D780B" w:rsidR="000E42AF" w:rsidRDefault="00B60181" w:rsidP="006D7957">
      <w:pPr>
        <w:tabs>
          <w:tab w:val="left" w:pos="3969"/>
          <w:tab w:val="center" w:pos="4423"/>
          <w:tab w:val="right" w:pos="8846"/>
        </w:tabs>
        <w:spacing w:after="0" w:line="240" w:lineRule="auto"/>
        <w:ind w:left="-1134"/>
        <w:rPr>
          <w:rFonts w:ascii="Calibri" w:eastAsia="Segoe UI" w:hAnsi="Calibri" w:cs="Calibri"/>
          <w:b/>
          <w:smallCaps/>
          <w:color w:val="FFC000"/>
          <w:sz w:val="48"/>
          <w:szCs w:val="48"/>
        </w:rPr>
      </w:pPr>
      <w:r>
        <w:rPr>
          <w:rFonts w:ascii="Calibri" w:eastAsia="Segoe UI" w:hAnsi="Calibri" w:cs="Calibri"/>
          <w:b/>
          <w:smallCaps/>
          <w:color w:val="FFC000"/>
          <w:sz w:val="48"/>
          <w:szCs w:val="48"/>
        </w:rPr>
        <w:t>TOGO</w:t>
      </w:r>
    </w:p>
    <w:p w14:paraId="12C4C536" w14:textId="3643758B" w:rsidR="007C38E6" w:rsidRPr="000E42AF" w:rsidRDefault="007C38E6" w:rsidP="006D7957">
      <w:pPr>
        <w:tabs>
          <w:tab w:val="left" w:pos="3969"/>
          <w:tab w:val="center" w:pos="4423"/>
          <w:tab w:val="right" w:pos="8846"/>
        </w:tabs>
        <w:spacing w:after="0" w:line="240" w:lineRule="auto"/>
        <w:ind w:left="-1134"/>
        <w:rPr>
          <w:rFonts w:ascii="Calibri" w:eastAsia="Segoe UI" w:hAnsi="Calibri" w:cs="Calibri"/>
          <w:b/>
          <w:smallCaps/>
          <w:color w:val="FFC000"/>
          <w:sz w:val="48"/>
          <w:szCs w:val="48"/>
        </w:rPr>
      </w:pPr>
    </w:p>
    <w:p w14:paraId="0761B75B" w14:textId="1273AF17" w:rsidR="007C38E6" w:rsidRPr="000E42AF" w:rsidRDefault="006D7957" w:rsidP="000E42AF">
      <w:pPr>
        <w:tabs>
          <w:tab w:val="left" w:pos="3969"/>
          <w:tab w:val="center" w:pos="4423"/>
          <w:tab w:val="right" w:pos="8846"/>
        </w:tabs>
        <w:spacing w:after="0" w:line="240" w:lineRule="auto"/>
        <w:ind w:left="-1134"/>
        <w:rPr>
          <w:rFonts w:ascii="Marianne" w:eastAsia="Segoe UI" w:hAnsi="Marianne" w:cs="Segoe UI"/>
          <w:b/>
          <w:smallCaps/>
          <w:color w:val="FFC000"/>
          <w:sz w:val="44"/>
          <w:szCs w:val="44"/>
        </w:rPr>
      </w:pPr>
      <w:r w:rsidRPr="00E36D65">
        <w:rPr>
          <w:rFonts w:ascii="Marianne" w:eastAsia="Segoe UI" w:hAnsi="Marianne" w:cs="Segoe UI"/>
          <w:b/>
          <w:smallCaps/>
          <w:color w:val="FFC000"/>
          <w:sz w:val="44"/>
          <w:szCs w:val="44"/>
        </w:rPr>
        <w:t xml:space="preserve">Agriculture et </w:t>
      </w:r>
      <w:r w:rsidR="000C1C74" w:rsidRPr="00E36D65">
        <w:rPr>
          <w:rFonts w:ascii="Marianne" w:eastAsia="Segoe UI" w:hAnsi="Marianne" w:cs="Segoe UI"/>
          <w:b/>
          <w:smallCaps/>
          <w:color w:val="FFC000"/>
          <w:sz w:val="44"/>
          <w:szCs w:val="44"/>
        </w:rPr>
        <w:t>Politique agricole</w:t>
      </w:r>
      <w:r w:rsidR="000E42AF">
        <w:rPr>
          <w:rFonts w:ascii="Marianne" w:eastAsia="Segoe UI" w:hAnsi="Marianne" w:cs="Segoe UI"/>
          <w:b/>
          <w:smallCaps/>
          <w:color w:val="FFC000"/>
          <w:sz w:val="44"/>
          <w:szCs w:val="44"/>
        </w:rPr>
        <w:tab/>
      </w:r>
      <w:r w:rsidR="002F2CC9">
        <w:rPr>
          <w:rFonts w:ascii="Marianne" w:eastAsia="Segoe UI" w:hAnsi="Marianne" w:cs="Segoe UI"/>
          <w:b/>
          <w:color w:val="FFC000"/>
          <w:sz w:val="24"/>
          <w:szCs w:val="24"/>
        </w:rPr>
        <w:t>Avril</w:t>
      </w:r>
      <w:r w:rsidR="00E36D65" w:rsidRPr="00E36D65">
        <w:rPr>
          <w:rFonts w:ascii="Marianne" w:eastAsia="Segoe UI" w:hAnsi="Marianne" w:cs="Segoe UI"/>
          <w:b/>
          <w:color w:val="FFC000"/>
          <w:sz w:val="24"/>
          <w:szCs w:val="24"/>
        </w:rPr>
        <w:t xml:space="preserve"> 2025</w:t>
      </w:r>
    </w:p>
    <w:p w14:paraId="1C0FE17D" w14:textId="77777777" w:rsidR="00E36D65" w:rsidRDefault="00E36D65" w:rsidP="00504232">
      <w:pPr>
        <w:tabs>
          <w:tab w:val="left" w:pos="3969"/>
          <w:tab w:val="center" w:pos="4423"/>
          <w:tab w:val="right" w:pos="8846"/>
        </w:tabs>
        <w:spacing w:after="0" w:line="240" w:lineRule="auto"/>
        <w:rPr>
          <w:rFonts w:ascii="Marianne" w:eastAsia="Segoe UI" w:hAnsi="Marianne" w:cs="Segoe UI"/>
          <w:b/>
          <w:color w:val="FFC000"/>
          <w:sz w:val="24"/>
          <w:szCs w:val="24"/>
        </w:rPr>
      </w:pPr>
    </w:p>
    <w:p w14:paraId="5FF7C258" w14:textId="77777777" w:rsidR="000E42AF" w:rsidRPr="000E42AF" w:rsidRDefault="000E42AF" w:rsidP="000E42AF">
      <w:pPr>
        <w:tabs>
          <w:tab w:val="left" w:pos="3969"/>
          <w:tab w:val="center" w:pos="4423"/>
          <w:tab w:val="right" w:pos="8846"/>
        </w:tabs>
        <w:spacing w:after="0" w:line="240" w:lineRule="auto"/>
        <w:rPr>
          <w:rFonts w:ascii="Segoe UI" w:eastAsia="Segoe UI" w:hAnsi="Segoe UI" w:cs="Segoe UI"/>
          <w:b/>
          <w:color w:val="FFC000"/>
          <w:sz w:val="26"/>
          <w:szCs w:val="26"/>
        </w:rPr>
      </w:pPr>
      <w:r w:rsidRPr="000E42AF">
        <w:rPr>
          <w:rFonts w:ascii="Segoe UI" w:eastAsia="Segoe UI" w:hAnsi="Segoe UI" w:cs="Segoe UI"/>
          <w:b/>
          <w:color w:val="FFC000"/>
          <w:sz w:val="26"/>
          <w:szCs w:val="26"/>
        </w:rPr>
        <w:t>Contexte agricole et relations internationales</w:t>
      </w:r>
    </w:p>
    <w:p w14:paraId="3EE79DCF" w14:textId="77777777" w:rsidR="000E42AF" w:rsidRPr="00B14C1B" w:rsidRDefault="000E42AF" w:rsidP="000E42AF">
      <w:pPr>
        <w:tabs>
          <w:tab w:val="left" w:pos="3969"/>
          <w:tab w:val="center" w:pos="4423"/>
          <w:tab w:val="right" w:pos="8846"/>
        </w:tabs>
        <w:spacing w:after="0" w:line="240" w:lineRule="auto"/>
        <w:rPr>
          <w:rFonts w:ascii="Arial" w:eastAsia="Calibri" w:hAnsi="Arial" w:cs="Arial"/>
          <w:color w:val="006CE5"/>
          <w:sz w:val="30"/>
          <w:szCs w:val="30"/>
          <w:lang w:eastAsia="fr-FR"/>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2638"/>
        <w:gridCol w:w="1842"/>
        <w:gridCol w:w="2552"/>
        <w:gridCol w:w="2551"/>
      </w:tblGrid>
      <w:tr w:rsidR="000E42AF" w:rsidRPr="00B55B68" w14:paraId="66CBC72D" w14:textId="77777777" w:rsidTr="000E42AF">
        <w:trPr>
          <w:trHeight w:val="227"/>
        </w:trPr>
        <w:tc>
          <w:tcPr>
            <w:tcW w:w="2638" w:type="dxa"/>
            <w:tcBorders>
              <w:top w:val="single" w:sz="1" w:space="0" w:color="000000"/>
              <w:left w:val="single" w:sz="1" w:space="0" w:color="000000"/>
              <w:bottom w:val="single" w:sz="1" w:space="0" w:color="000000"/>
            </w:tcBorders>
            <w:shd w:val="clear" w:color="auto" w:fill="auto"/>
            <w:vAlign w:val="center"/>
          </w:tcPr>
          <w:p w14:paraId="569DE0FE" w14:textId="77777777" w:rsidR="000E42AF" w:rsidRPr="00B55B68" w:rsidRDefault="000E42AF" w:rsidP="006D067C">
            <w:pPr>
              <w:pStyle w:val="Contenudetableau"/>
              <w:snapToGrid w:val="0"/>
              <w:contextualSpacing/>
              <w:jc w:val="both"/>
              <w:rPr>
                <w:rFonts w:ascii="Helvetica" w:hAnsi="Helvetica" w:cs="Helvetica"/>
                <w:b/>
                <w:sz w:val="18"/>
                <w:szCs w:val="18"/>
              </w:rPr>
            </w:pPr>
            <w:r w:rsidRPr="00B55B68">
              <w:rPr>
                <w:rFonts w:ascii="Helvetica" w:hAnsi="Helvetica" w:cs="Helvetica"/>
                <w:b/>
                <w:sz w:val="18"/>
                <w:szCs w:val="18"/>
              </w:rPr>
              <w:t>PRINCIPALES DONNÉES</w:t>
            </w:r>
          </w:p>
        </w:tc>
        <w:tc>
          <w:tcPr>
            <w:tcW w:w="1842" w:type="dxa"/>
            <w:tcBorders>
              <w:top w:val="single" w:sz="1" w:space="0" w:color="000000"/>
              <w:left w:val="single" w:sz="1" w:space="0" w:color="000000"/>
              <w:bottom w:val="single" w:sz="1" w:space="0" w:color="000000"/>
              <w:right w:val="single" w:sz="1" w:space="0" w:color="000000"/>
            </w:tcBorders>
            <w:shd w:val="clear" w:color="auto" w:fill="auto"/>
          </w:tcPr>
          <w:p w14:paraId="01CD6577" w14:textId="77777777" w:rsidR="000E42AF" w:rsidRPr="00B55B68" w:rsidRDefault="000E42AF" w:rsidP="006D067C">
            <w:pPr>
              <w:pStyle w:val="Contenudetableau"/>
              <w:snapToGrid w:val="0"/>
              <w:contextualSpacing/>
              <w:jc w:val="both"/>
              <w:rPr>
                <w:rFonts w:ascii="Helvetica" w:hAnsi="Helvetica" w:cs="Helvetica"/>
                <w:b/>
                <w:sz w:val="18"/>
                <w:szCs w:val="18"/>
              </w:rPr>
            </w:pPr>
            <w:r w:rsidRPr="00B55B68">
              <w:rPr>
                <w:rFonts w:ascii="Helvetica" w:hAnsi="Helvetica" w:cs="Helvetica"/>
                <w:b/>
                <w:sz w:val="18"/>
                <w:szCs w:val="18"/>
              </w:rPr>
              <w:t>UNITES</w:t>
            </w: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14:paraId="3FBA3D01" w14:textId="77777777" w:rsidR="000E42AF" w:rsidRPr="00B55B68" w:rsidRDefault="000E42AF" w:rsidP="006D067C">
            <w:pPr>
              <w:pStyle w:val="Contenudetableau"/>
              <w:snapToGrid w:val="0"/>
              <w:contextualSpacing/>
              <w:jc w:val="both"/>
              <w:rPr>
                <w:rFonts w:ascii="Helvetica" w:hAnsi="Helvetica" w:cs="Helvetica"/>
                <w:b/>
                <w:sz w:val="18"/>
                <w:szCs w:val="18"/>
              </w:rPr>
            </w:pPr>
            <w:r>
              <w:rPr>
                <w:rFonts w:ascii="Helvetica" w:hAnsi="Helvetica" w:cs="Helvetica"/>
                <w:b/>
                <w:sz w:val="18"/>
                <w:szCs w:val="18"/>
              </w:rPr>
              <w:t>TOGO</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14:paraId="66C320BC" w14:textId="77777777" w:rsidR="000E42AF" w:rsidRPr="00B55B68" w:rsidRDefault="000E42AF" w:rsidP="006D067C">
            <w:pPr>
              <w:pStyle w:val="Contenudetableau"/>
              <w:snapToGrid w:val="0"/>
              <w:contextualSpacing/>
              <w:jc w:val="both"/>
              <w:rPr>
                <w:rFonts w:ascii="Helvetica" w:hAnsi="Helvetica" w:cs="Helvetica"/>
                <w:b/>
                <w:sz w:val="18"/>
                <w:szCs w:val="18"/>
              </w:rPr>
            </w:pPr>
            <w:r w:rsidRPr="00B55B68">
              <w:rPr>
                <w:rFonts w:ascii="Helvetica" w:hAnsi="Helvetica" w:cs="Helvetica"/>
                <w:b/>
                <w:sz w:val="18"/>
                <w:szCs w:val="18"/>
              </w:rPr>
              <w:t>FRANCE</w:t>
            </w:r>
          </w:p>
        </w:tc>
      </w:tr>
      <w:tr w:rsidR="000E42AF" w:rsidRPr="00B55B68" w14:paraId="1CDC9905" w14:textId="77777777" w:rsidTr="000E42AF">
        <w:trPr>
          <w:trHeight w:val="227"/>
        </w:trPr>
        <w:tc>
          <w:tcPr>
            <w:tcW w:w="2638" w:type="dxa"/>
            <w:tcBorders>
              <w:left w:val="single" w:sz="1" w:space="0" w:color="000000"/>
              <w:bottom w:val="single" w:sz="1" w:space="0" w:color="000000"/>
            </w:tcBorders>
            <w:shd w:val="clear" w:color="auto" w:fill="auto"/>
          </w:tcPr>
          <w:p w14:paraId="32A5055B"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Superficie </w:t>
            </w:r>
          </w:p>
        </w:tc>
        <w:tc>
          <w:tcPr>
            <w:tcW w:w="1842" w:type="dxa"/>
            <w:tcBorders>
              <w:left w:val="single" w:sz="1" w:space="0" w:color="000000"/>
              <w:bottom w:val="single" w:sz="1" w:space="0" w:color="000000"/>
              <w:right w:val="single" w:sz="1" w:space="0" w:color="000000"/>
            </w:tcBorders>
            <w:shd w:val="clear" w:color="auto" w:fill="auto"/>
          </w:tcPr>
          <w:p w14:paraId="7FCB3F22"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eastAsia="CorporateS-RegularItalic" w:hAnsi="Helvetica" w:cs="Helvetica"/>
                <w:sz w:val="18"/>
                <w:szCs w:val="18"/>
              </w:rPr>
              <w:t>km</w:t>
            </w:r>
            <w:r w:rsidRPr="00B55B68">
              <w:rPr>
                <w:rFonts w:ascii="Helvetica" w:eastAsia="CorporateS-RegularItalic" w:hAnsi="Helvetica" w:cs="Helvetica"/>
                <w:sz w:val="18"/>
                <w:szCs w:val="18"/>
                <w:vertAlign w:val="superscript"/>
              </w:rPr>
              <w:t>2</w:t>
            </w:r>
            <w:r w:rsidRPr="00B55B68">
              <w:rPr>
                <w:rFonts w:ascii="Helvetica" w:eastAsia="CorporateS-RegularItalic" w:hAnsi="Helvetica" w:cs="Helvetica"/>
                <w:i/>
                <w:iCs/>
                <w:sz w:val="18"/>
                <w:szCs w:val="18"/>
                <w:vertAlign w:val="superscript"/>
              </w:rPr>
              <w:t xml:space="preserve"> </w:t>
            </w:r>
            <w:r w:rsidRPr="00B55B68">
              <w:rPr>
                <w:rFonts w:ascii="Helvetica" w:hAnsi="Helvetica" w:cs="Helvetica"/>
                <w:sz w:val="18"/>
                <w:szCs w:val="18"/>
              </w:rPr>
              <w:t>- 2020</w:t>
            </w:r>
            <w:r w:rsidRPr="00B55B68">
              <w:rPr>
                <w:rStyle w:val="Appelnotedebasdep"/>
                <w:rFonts w:ascii="Helvetica" w:eastAsia="Arial Unicode MS" w:hAnsi="Helvetica" w:cs="Helvetica"/>
                <w:sz w:val="18"/>
                <w:szCs w:val="18"/>
              </w:rPr>
              <w:footnoteReference w:id="1"/>
            </w:r>
          </w:p>
        </w:tc>
        <w:tc>
          <w:tcPr>
            <w:tcW w:w="2552" w:type="dxa"/>
            <w:tcBorders>
              <w:left w:val="single" w:sz="1" w:space="0" w:color="000000"/>
              <w:bottom w:val="single" w:sz="1" w:space="0" w:color="000000"/>
              <w:right w:val="single" w:sz="1" w:space="0" w:color="000000"/>
            </w:tcBorders>
            <w:shd w:val="clear" w:color="auto" w:fill="auto"/>
          </w:tcPr>
          <w:p w14:paraId="3341FBB4" w14:textId="77777777" w:rsidR="000E42AF" w:rsidRPr="000D1155" w:rsidRDefault="000E42AF" w:rsidP="006D067C">
            <w:pPr>
              <w:pStyle w:val="Contenudetableau"/>
              <w:snapToGrid w:val="0"/>
              <w:contextualSpacing/>
              <w:jc w:val="both"/>
              <w:rPr>
                <w:rFonts w:ascii="Helvetica" w:hAnsi="Helvetica" w:cs="Helvetica"/>
                <w:sz w:val="18"/>
                <w:szCs w:val="18"/>
                <w:highlight w:val="yellow"/>
                <w:vertAlign w:val="superscript"/>
              </w:rPr>
            </w:pPr>
            <w:r w:rsidRPr="000E2ADD">
              <w:rPr>
                <w:rFonts w:ascii="Helvetica" w:hAnsi="Helvetica" w:cs="Helvetica"/>
                <w:sz w:val="18"/>
                <w:szCs w:val="18"/>
              </w:rPr>
              <w:t>59 790</w:t>
            </w:r>
          </w:p>
        </w:tc>
        <w:tc>
          <w:tcPr>
            <w:tcW w:w="2551" w:type="dxa"/>
            <w:tcBorders>
              <w:left w:val="single" w:sz="1" w:space="0" w:color="000000"/>
              <w:bottom w:val="single" w:sz="1" w:space="0" w:color="000000"/>
              <w:right w:val="single" w:sz="1" w:space="0" w:color="000000"/>
            </w:tcBorders>
            <w:shd w:val="clear" w:color="auto" w:fill="auto"/>
          </w:tcPr>
          <w:p w14:paraId="05620814"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543 965</w:t>
            </w:r>
            <w:r w:rsidRPr="00B55B68">
              <w:rPr>
                <w:rStyle w:val="Appelnotedebasdep"/>
                <w:rFonts w:ascii="Helvetica" w:hAnsi="Helvetica" w:cs="Helvetica"/>
                <w:sz w:val="18"/>
                <w:szCs w:val="18"/>
              </w:rPr>
              <w:footnoteReference w:id="2"/>
            </w:r>
          </w:p>
        </w:tc>
      </w:tr>
      <w:tr w:rsidR="000E42AF" w:rsidRPr="00B55B68" w14:paraId="5A60F7C3" w14:textId="77777777" w:rsidTr="000E42AF">
        <w:trPr>
          <w:trHeight w:val="227"/>
        </w:trPr>
        <w:tc>
          <w:tcPr>
            <w:tcW w:w="2638" w:type="dxa"/>
            <w:tcBorders>
              <w:left w:val="single" w:sz="1" w:space="0" w:color="000000"/>
              <w:bottom w:val="single" w:sz="1" w:space="0" w:color="000000"/>
            </w:tcBorders>
            <w:shd w:val="clear" w:color="auto" w:fill="auto"/>
          </w:tcPr>
          <w:p w14:paraId="55E71FAB"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Population </w:t>
            </w:r>
          </w:p>
        </w:tc>
        <w:tc>
          <w:tcPr>
            <w:tcW w:w="1842" w:type="dxa"/>
            <w:tcBorders>
              <w:left w:val="single" w:sz="1" w:space="0" w:color="000000"/>
              <w:bottom w:val="single" w:sz="1" w:space="0" w:color="000000"/>
              <w:right w:val="single" w:sz="1" w:space="0" w:color="000000"/>
            </w:tcBorders>
            <w:shd w:val="clear" w:color="auto" w:fill="auto"/>
          </w:tcPr>
          <w:p w14:paraId="1EB6CE92" w14:textId="77777777" w:rsidR="000E42AF" w:rsidRPr="00B55B68" w:rsidRDefault="000E42AF" w:rsidP="006D067C">
            <w:pPr>
              <w:pStyle w:val="Contenudetableau"/>
              <w:snapToGrid w:val="0"/>
              <w:contextualSpacing/>
              <w:jc w:val="both"/>
              <w:rPr>
                <w:rFonts w:ascii="Helvetica" w:hAnsi="Helvetica" w:cs="Helvetica"/>
                <w:sz w:val="18"/>
                <w:szCs w:val="18"/>
                <w:lang w:val="en-US"/>
              </w:rPr>
            </w:pPr>
            <w:r w:rsidRPr="00B55B68">
              <w:rPr>
                <w:rFonts w:ascii="Helvetica" w:hAnsi="Helvetica" w:cs="Helvetica"/>
                <w:sz w:val="18"/>
                <w:szCs w:val="18"/>
              </w:rPr>
              <w:t xml:space="preserve">Millions d’habitants - Evolution </w:t>
            </w:r>
            <w:r>
              <w:rPr>
                <w:rFonts w:ascii="Helvetica" w:hAnsi="Helvetica" w:cs="Helvetica"/>
                <w:sz w:val="18"/>
                <w:szCs w:val="18"/>
              </w:rPr>
              <w:t>2025/2024</w:t>
            </w:r>
          </w:p>
        </w:tc>
        <w:tc>
          <w:tcPr>
            <w:tcW w:w="2552" w:type="dxa"/>
            <w:tcBorders>
              <w:left w:val="single" w:sz="1" w:space="0" w:color="000000"/>
              <w:bottom w:val="single" w:sz="1" w:space="0" w:color="000000"/>
              <w:right w:val="single" w:sz="1" w:space="0" w:color="000000"/>
            </w:tcBorders>
            <w:shd w:val="clear" w:color="auto" w:fill="auto"/>
          </w:tcPr>
          <w:p w14:paraId="661F7CA5" w14:textId="77777777" w:rsidR="000E42AF" w:rsidRDefault="000E42AF" w:rsidP="006D067C">
            <w:pPr>
              <w:pStyle w:val="Contenudetableau"/>
              <w:snapToGrid w:val="0"/>
              <w:contextualSpacing/>
              <w:jc w:val="both"/>
              <w:rPr>
                <w:rFonts w:ascii="Arial" w:hAnsi="Arial"/>
              </w:rPr>
            </w:pPr>
            <w:r>
              <w:rPr>
                <w:rFonts w:ascii="Arial" w:hAnsi="Arial"/>
              </w:rPr>
              <w:t xml:space="preserve">9,7 </w:t>
            </w:r>
          </w:p>
          <w:p w14:paraId="60FDBC54" w14:textId="77777777" w:rsidR="000E42AF" w:rsidRPr="00B55B68" w:rsidRDefault="000E42AF" w:rsidP="006D067C">
            <w:pPr>
              <w:pStyle w:val="Contenudetableau"/>
              <w:snapToGrid w:val="0"/>
              <w:contextualSpacing/>
              <w:jc w:val="both"/>
              <w:rPr>
                <w:rFonts w:ascii="Helvetica" w:hAnsi="Helvetica" w:cs="Helvetica"/>
                <w:sz w:val="18"/>
                <w:szCs w:val="18"/>
              </w:rPr>
            </w:pPr>
            <w:r>
              <w:rPr>
                <w:rFonts w:ascii="Arial" w:hAnsi="Arial"/>
              </w:rPr>
              <w:t>+2,1</w:t>
            </w:r>
          </w:p>
        </w:tc>
        <w:tc>
          <w:tcPr>
            <w:tcW w:w="2551" w:type="dxa"/>
            <w:tcBorders>
              <w:left w:val="single" w:sz="1" w:space="0" w:color="000000"/>
              <w:bottom w:val="single" w:sz="1" w:space="0" w:color="000000"/>
              <w:right w:val="single" w:sz="1" w:space="0" w:color="000000"/>
            </w:tcBorders>
            <w:shd w:val="clear" w:color="auto" w:fill="auto"/>
          </w:tcPr>
          <w:p w14:paraId="012EBC0F" w14:textId="77777777"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6</w:t>
            </w:r>
            <w:r>
              <w:rPr>
                <w:rFonts w:ascii="Helvetica" w:hAnsi="Helvetica" w:cs="Helvetica"/>
                <w:sz w:val="18"/>
                <w:szCs w:val="18"/>
              </w:rPr>
              <w:t>8</w:t>
            </w:r>
            <w:r w:rsidRPr="00B55B68">
              <w:rPr>
                <w:rFonts w:ascii="Helvetica" w:hAnsi="Helvetica" w:cs="Helvetica"/>
                <w:sz w:val="18"/>
                <w:szCs w:val="18"/>
              </w:rPr>
              <w:t>,</w:t>
            </w:r>
            <w:r>
              <w:rPr>
                <w:rFonts w:ascii="Helvetica" w:hAnsi="Helvetica" w:cs="Helvetica"/>
                <w:sz w:val="18"/>
                <w:szCs w:val="18"/>
              </w:rPr>
              <w:t>6</w:t>
            </w:r>
          </w:p>
          <w:p w14:paraId="78F1413F" w14:textId="77777777" w:rsidR="000E42AF" w:rsidRPr="00B55B68" w:rsidRDefault="000E42AF" w:rsidP="006D067C">
            <w:pPr>
              <w:pStyle w:val="Contenudetableau"/>
              <w:snapToGrid w:val="0"/>
              <w:contextualSpacing/>
              <w:jc w:val="both"/>
              <w:rPr>
                <w:rFonts w:ascii="Helvetica" w:hAnsi="Helvetica" w:cs="Helvetica"/>
                <w:sz w:val="18"/>
                <w:szCs w:val="18"/>
              </w:rPr>
            </w:pPr>
            <w:r>
              <w:rPr>
                <w:rFonts w:ascii="Helvetica" w:hAnsi="Helvetica" w:cs="Helvetica"/>
                <w:sz w:val="18"/>
                <w:szCs w:val="18"/>
              </w:rPr>
              <w:t>+0,2</w:t>
            </w:r>
          </w:p>
        </w:tc>
      </w:tr>
      <w:tr w:rsidR="000E42AF" w:rsidRPr="00B55B68" w14:paraId="17107B4D" w14:textId="77777777" w:rsidTr="000E42AF">
        <w:trPr>
          <w:trHeight w:val="227"/>
        </w:trPr>
        <w:tc>
          <w:tcPr>
            <w:tcW w:w="2638" w:type="dxa"/>
            <w:tcBorders>
              <w:left w:val="single" w:sz="1" w:space="0" w:color="000000"/>
              <w:bottom w:val="single" w:sz="1" w:space="0" w:color="000000"/>
            </w:tcBorders>
            <w:shd w:val="clear" w:color="auto" w:fill="auto"/>
          </w:tcPr>
          <w:p w14:paraId="550DCC2E"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Indice de développement humain (IDH)</w:t>
            </w:r>
          </w:p>
        </w:tc>
        <w:tc>
          <w:tcPr>
            <w:tcW w:w="1842" w:type="dxa"/>
            <w:tcBorders>
              <w:left w:val="single" w:sz="1" w:space="0" w:color="000000"/>
              <w:bottom w:val="single" w:sz="1" w:space="0" w:color="000000"/>
              <w:right w:val="single" w:sz="1" w:space="0" w:color="000000"/>
            </w:tcBorders>
            <w:shd w:val="clear" w:color="auto" w:fill="auto"/>
          </w:tcPr>
          <w:p w14:paraId="0D5EE079" w14:textId="57029325" w:rsidR="000E42AF" w:rsidRPr="00B55B68" w:rsidRDefault="000E42AF" w:rsidP="006D067C">
            <w:pPr>
              <w:pStyle w:val="Sansinterligne"/>
              <w:contextualSpacing/>
              <w:jc w:val="both"/>
              <w:rPr>
                <w:rFonts w:ascii="Helvetica" w:hAnsi="Helvetica" w:cs="Helvetica"/>
                <w:sz w:val="18"/>
                <w:szCs w:val="18"/>
                <w:lang w:val="en-US"/>
              </w:rPr>
            </w:pPr>
            <w:r w:rsidRPr="00B55B68">
              <w:rPr>
                <w:rFonts w:ascii="Helvetica" w:hAnsi="Helvetica" w:cs="Helvetica"/>
                <w:sz w:val="18"/>
                <w:szCs w:val="18"/>
              </w:rPr>
              <w:t>202</w:t>
            </w:r>
            <w:r w:rsidR="003453FB">
              <w:rPr>
                <w:rFonts w:ascii="Helvetica" w:hAnsi="Helvetica" w:cs="Helvetica"/>
                <w:sz w:val="18"/>
                <w:szCs w:val="18"/>
              </w:rPr>
              <w:t>3</w:t>
            </w:r>
            <w:r w:rsidRPr="00B55B68">
              <w:rPr>
                <w:rStyle w:val="Appelnotedebasdep"/>
                <w:rFonts w:ascii="Helvetica" w:hAnsi="Helvetica" w:cs="Helvetica"/>
                <w:sz w:val="18"/>
                <w:szCs w:val="18"/>
              </w:rPr>
              <w:footnoteReference w:id="3"/>
            </w:r>
          </w:p>
        </w:tc>
        <w:tc>
          <w:tcPr>
            <w:tcW w:w="2552" w:type="dxa"/>
            <w:tcBorders>
              <w:left w:val="single" w:sz="1" w:space="0" w:color="000000"/>
              <w:bottom w:val="single" w:sz="1" w:space="0" w:color="000000"/>
              <w:right w:val="single" w:sz="1" w:space="0" w:color="000000"/>
            </w:tcBorders>
            <w:shd w:val="clear" w:color="auto" w:fill="auto"/>
          </w:tcPr>
          <w:p w14:paraId="0BD63AAE" w14:textId="3BBF9661"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0</w:t>
            </w:r>
            <w:r>
              <w:rPr>
                <w:rFonts w:ascii="Helvetica" w:hAnsi="Helvetica" w:cs="Helvetica"/>
                <w:sz w:val="18"/>
                <w:szCs w:val="18"/>
              </w:rPr>
              <w:t>,5</w:t>
            </w:r>
            <w:r w:rsidR="003453FB">
              <w:rPr>
                <w:rFonts w:ascii="Helvetica" w:hAnsi="Helvetica" w:cs="Helvetica"/>
                <w:sz w:val="18"/>
                <w:szCs w:val="18"/>
              </w:rPr>
              <w:t>71</w:t>
            </w:r>
          </w:p>
          <w:p w14:paraId="3495EBF2" w14:textId="692B80A4" w:rsidR="000E42AF" w:rsidRPr="00B55B68" w:rsidRDefault="000E42AF" w:rsidP="006D067C">
            <w:pPr>
              <w:pStyle w:val="Sansinterligne"/>
              <w:contextualSpacing/>
              <w:jc w:val="both"/>
              <w:rPr>
                <w:rFonts w:ascii="Helvetica" w:hAnsi="Helvetica" w:cs="Helvetica"/>
                <w:sz w:val="18"/>
                <w:szCs w:val="18"/>
              </w:rPr>
            </w:pPr>
            <w:r>
              <w:rPr>
                <w:rFonts w:ascii="Helvetica" w:hAnsi="Helvetica" w:cs="Helvetica"/>
                <w:sz w:val="18"/>
                <w:szCs w:val="18"/>
              </w:rPr>
              <w:t>16</w:t>
            </w:r>
            <w:r w:rsidR="003453FB">
              <w:rPr>
                <w:rFonts w:ascii="Helvetica" w:hAnsi="Helvetica" w:cs="Helvetica"/>
                <w:sz w:val="18"/>
                <w:szCs w:val="18"/>
              </w:rPr>
              <w:t>1</w:t>
            </w:r>
            <w:r w:rsidRPr="00B55B68">
              <w:rPr>
                <w:rFonts w:ascii="Helvetica" w:hAnsi="Helvetica" w:cs="Helvetica"/>
                <w:sz w:val="18"/>
                <w:szCs w:val="18"/>
                <w:vertAlign w:val="superscript"/>
              </w:rPr>
              <w:t>e</w:t>
            </w:r>
            <w:r w:rsidRPr="00B55B68">
              <w:rPr>
                <w:rFonts w:ascii="Helvetica" w:hAnsi="Helvetica" w:cs="Helvetica"/>
                <w:sz w:val="18"/>
                <w:szCs w:val="18"/>
              </w:rPr>
              <w:t xml:space="preserve"> rang mondial</w:t>
            </w:r>
          </w:p>
        </w:tc>
        <w:tc>
          <w:tcPr>
            <w:tcW w:w="2551" w:type="dxa"/>
            <w:tcBorders>
              <w:left w:val="single" w:sz="1" w:space="0" w:color="000000"/>
              <w:bottom w:val="single" w:sz="1" w:space="0" w:color="000000"/>
              <w:right w:val="single" w:sz="1" w:space="0" w:color="000000"/>
            </w:tcBorders>
            <w:shd w:val="clear" w:color="auto" w:fill="auto"/>
          </w:tcPr>
          <w:p w14:paraId="215F78B2" w14:textId="77777777" w:rsidR="003453FB" w:rsidRPr="003453FB" w:rsidRDefault="003453FB" w:rsidP="003453FB">
            <w:pPr>
              <w:pStyle w:val="Sansinterligne"/>
              <w:contextualSpacing/>
              <w:jc w:val="both"/>
              <w:rPr>
                <w:rFonts w:ascii="Helvetica" w:hAnsi="Helvetica" w:cs="Helvetica"/>
                <w:sz w:val="18"/>
                <w:szCs w:val="18"/>
              </w:rPr>
            </w:pPr>
            <w:r w:rsidRPr="003453FB">
              <w:rPr>
                <w:rFonts w:ascii="Helvetica" w:hAnsi="Helvetica" w:cs="Helvetica"/>
                <w:sz w:val="18"/>
                <w:szCs w:val="18"/>
              </w:rPr>
              <w:t>0,920</w:t>
            </w:r>
          </w:p>
          <w:p w14:paraId="1075ECF7" w14:textId="7CAAC7CD" w:rsidR="000E42AF" w:rsidRPr="00B55B68" w:rsidRDefault="003453FB" w:rsidP="006D067C">
            <w:pPr>
              <w:pStyle w:val="Sansinterligne"/>
              <w:contextualSpacing/>
              <w:jc w:val="both"/>
              <w:rPr>
                <w:rFonts w:ascii="Helvetica" w:hAnsi="Helvetica" w:cs="Helvetica"/>
                <w:sz w:val="18"/>
                <w:szCs w:val="18"/>
              </w:rPr>
            </w:pPr>
            <w:r w:rsidRPr="003453FB">
              <w:rPr>
                <w:rFonts w:ascii="Helvetica" w:hAnsi="Helvetica" w:cs="Helvetica"/>
                <w:sz w:val="18"/>
                <w:szCs w:val="18"/>
              </w:rPr>
              <w:t>26</w:t>
            </w:r>
            <w:r w:rsidRPr="003453FB">
              <w:rPr>
                <w:rFonts w:ascii="Helvetica" w:hAnsi="Helvetica" w:cs="Helvetica"/>
                <w:sz w:val="18"/>
                <w:szCs w:val="18"/>
                <w:vertAlign w:val="superscript"/>
              </w:rPr>
              <w:t>e</w:t>
            </w:r>
            <w:r w:rsidRPr="003453FB">
              <w:rPr>
                <w:rFonts w:ascii="Helvetica" w:hAnsi="Helvetica" w:cs="Helvetica"/>
                <w:sz w:val="18"/>
                <w:szCs w:val="18"/>
              </w:rPr>
              <w:t xml:space="preserve"> rang mondial</w:t>
            </w:r>
          </w:p>
        </w:tc>
      </w:tr>
      <w:tr w:rsidR="000E42AF" w:rsidRPr="00B55B68" w14:paraId="08A22CDC" w14:textId="77777777" w:rsidTr="000E42AF">
        <w:trPr>
          <w:trHeight w:val="227"/>
        </w:trPr>
        <w:tc>
          <w:tcPr>
            <w:tcW w:w="2638" w:type="dxa"/>
            <w:tcBorders>
              <w:left w:val="single" w:sz="1" w:space="0" w:color="000000"/>
              <w:bottom w:val="single" w:sz="1" w:space="0" w:color="000000"/>
            </w:tcBorders>
            <w:shd w:val="clear" w:color="auto" w:fill="auto"/>
          </w:tcPr>
          <w:p w14:paraId="6E56FBF5"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Produit intérieur brut (PIB) </w:t>
            </w:r>
          </w:p>
        </w:tc>
        <w:tc>
          <w:tcPr>
            <w:tcW w:w="1842" w:type="dxa"/>
            <w:tcBorders>
              <w:left w:val="single" w:sz="1" w:space="0" w:color="000000"/>
              <w:bottom w:val="single" w:sz="1" w:space="0" w:color="000000"/>
              <w:right w:val="single" w:sz="1" w:space="0" w:color="000000"/>
            </w:tcBorders>
            <w:shd w:val="clear" w:color="auto" w:fill="auto"/>
          </w:tcPr>
          <w:p w14:paraId="1A0CCEAE"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Md USD courants - 202</w:t>
            </w:r>
            <w:r>
              <w:rPr>
                <w:rFonts w:ascii="Helvetica" w:hAnsi="Helvetica" w:cs="Helvetica"/>
                <w:sz w:val="18"/>
                <w:szCs w:val="18"/>
              </w:rPr>
              <w:t>3</w:t>
            </w:r>
            <w:r w:rsidRPr="00B55B68">
              <w:rPr>
                <w:rFonts w:ascii="Helvetica" w:hAnsi="Helvetica" w:cs="Helvetica"/>
                <w:kern w:val="18"/>
                <w:sz w:val="18"/>
                <w:szCs w:val="18"/>
                <w:vertAlign w:val="superscript"/>
              </w:rPr>
              <w:t>1</w:t>
            </w:r>
          </w:p>
        </w:tc>
        <w:tc>
          <w:tcPr>
            <w:tcW w:w="2552" w:type="dxa"/>
            <w:tcBorders>
              <w:left w:val="single" w:sz="1" w:space="0" w:color="000000"/>
              <w:bottom w:val="single" w:sz="1" w:space="0" w:color="000000"/>
              <w:right w:val="single" w:sz="1" w:space="0" w:color="000000"/>
            </w:tcBorders>
            <w:shd w:val="clear" w:color="auto" w:fill="auto"/>
          </w:tcPr>
          <w:p w14:paraId="7861B99B" w14:textId="77777777" w:rsidR="000E42AF" w:rsidRPr="00B55B68" w:rsidRDefault="000E42AF" w:rsidP="006D067C">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9,1</w:t>
            </w:r>
          </w:p>
        </w:tc>
        <w:tc>
          <w:tcPr>
            <w:tcW w:w="2551" w:type="dxa"/>
            <w:tcBorders>
              <w:left w:val="single" w:sz="1" w:space="0" w:color="000000"/>
              <w:bottom w:val="single" w:sz="1" w:space="0" w:color="000000"/>
              <w:right w:val="single" w:sz="1" w:space="0" w:color="000000"/>
            </w:tcBorders>
            <w:shd w:val="clear" w:color="auto" w:fill="auto"/>
          </w:tcPr>
          <w:p w14:paraId="581A6BB0" w14:textId="77777777" w:rsidR="000E42AF" w:rsidRPr="00B55B68" w:rsidRDefault="000E42AF" w:rsidP="006D067C">
            <w:pPr>
              <w:pStyle w:val="Contenudetableau"/>
              <w:snapToGrid w:val="0"/>
              <w:contextualSpacing/>
              <w:jc w:val="both"/>
              <w:rPr>
                <w:rFonts w:ascii="Helvetica" w:hAnsi="Helvetica" w:cs="Helvetica"/>
                <w:sz w:val="18"/>
                <w:szCs w:val="18"/>
              </w:rPr>
            </w:pPr>
            <w:r>
              <w:rPr>
                <w:rFonts w:ascii="Helvetica" w:hAnsi="Helvetica" w:cs="Helvetica"/>
                <w:sz w:val="18"/>
                <w:szCs w:val="18"/>
              </w:rPr>
              <w:t>3 972</w:t>
            </w:r>
          </w:p>
        </w:tc>
      </w:tr>
      <w:tr w:rsidR="000E42AF" w:rsidRPr="00B55B68" w14:paraId="0EEF142A" w14:textId="77777777" w:rsidTr="000E42AF">
        <w:trPr>
          <w:trHeight w:val="227"/>
        </w:trPr>
        <w:tc>
          <w:tcPr>
            <w:tcW w:w="2638" w:type="dxa"/>
            <w:tcBorders>
              <w:left w:val="single" w:sz="1" w:space="0" w:color="000000"/>
              <w:bottom w:val="single" w:sz="1" w:space="0" w:color="000000"/>
            </w:tcBorders>
            <w:shd w:val="clear" w:color="auto" w:fill="auto"/>
          </w:tcPr>
          <w:p w14:paraId="509FB94E"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Taux de croissance du PIB </w:t>
            </w:r>
          </w:p>
        </w:tc>
        <w:tc>
          <w:tcPr>
            <w:tcW w:w="1842" w:type="dxa"/>
            <w:tcBorders>
              <w:left w:val="single" w:sz="1" w:space="0" w:color="000000"/>
              <w:bottom w:val="single" w:sz="1" w:space="0" w:color="000000"/>
              <w:right w:val="single" w:sz="1" w:space="0" w:color="000000"/>
            </w:tcBorders>
            <w:shd w:val="clear" w:color="auto" w:fill="auto"/>
          </w:tcPr>
          <w:p w14:paraId="1A94C6D2"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- 202</w:t>
            </w:r>
            <w:r>
              <w:rPr>
                <w:rFonts w:ascii="Helvetica" w:hAnsi="Helvetica" w:cs="Helvetica"/>
                <w:sz w:val="18"/>
                <w:szCs w:val="18"/>
              </w:rPr>
              <w:t>2</w:t>
            </w:r>
            <w:r w:rsidRPr="00B55B68">
              <w:rPr>
                <w:rFonts w:ascii="Helvetica" w:hAnsi="Helvetica" w:cs="Helvetica"/>
                <w:sz w:val="18"/>
                <w:szCs w:val="18"/>
              </w:rPr>
              <w:t>/202</w:t>
            </w:r>
            <w:r>
              <w:rPr>
                <w:rFonts w:ascii="Helvetica" w:hAnsi="Helvetica" w:cs="Helvetica"/>
                <w:sz w:val="18"/>
                <w:szCs w:val="18"/>
              </w:rPr>
              <w:t>3</w:t>
            </w:r>
            <w:r w:rsidRPr="00B55B68">
              <w:rPr>
                <w:rFonts w:ascii="Helvetica" w:hAnsi="Helvetica" w:cs="Helvetica"/>
                <w:kern w:val="18"/>
                <w:sz w:val="18"/>
                <w:szCs w:val="18"/>
                <w:vertAlign w:val="superscript"/>
              </w:rPr>
              <w:t>1</w:t>
            </w:r>
          </w:p>
        </w:tc>
        <w:tc>
          <w:tcPr>
            <w:tcW w:w="2552" w:type="dxa"/>
            <w:tcBorders>
              <w:left w:val="single" w:sz="1" w:space="0" w:color="000000"/>
              <w:bottom w:val="single" w:sz="1" w:space="0" w:color="000000"/>
              <w:right w:val="single" w:sz="1" w:space="0" w:color="000000"/>
            </w:tcBorders>
            <w:shd w:val="clear" w:color="auto" w:fill="auto"/>
          </w:tcPr>
          <w:p w14:paraId="589C25D4" w14:textId="77777777" w:rsidR="000E42AF" w:rsidRPr="00B55B68" w:rsidRDefault="000E42AF" w:rsidP="006D067C">
            <w:pPr>
              <w:pStyle w:val="Contenudetableau"/>
              <w:snapToGrid w:val="0"/>
              <w:contextualSpacing/>
              <w:jc w:val="both"/>
              <w:rPr>
                <w:rFonts w:ascii="Helvetica" w:hAnsi="Helvetica" w:cs="Helvetica"/>
                <w:sz w:val="18"/>
                <w:szCs w:val="18"/>
              </w:rPr>
            </w:pPr>
            <w:r>
              <w:rPr>
                <w:rFonts w:ascii="Helvetica" w:hAnsi="Helvetica" w:cs="Helvetica"/>
                <w:sz w:val="18"/>
                <w:szCs w:val="18"/>
              </w:rPr>
              <w:t>+5,6%</w:t>
            </w:r>
          </w:p>
        </w:tc>
        <w:tc>
          <w:tcPr>
            <w:tcW w:w="2551" w:type="dxa"/>
            <w:tcBorders>
              <w:left w:val="single" w:sz="1" w:space="0" w:color="000000"/>
              <w:bottom w:val="single" w:sz="1" w:space="0" w:color="000000"/>
              <w:right w:val="single" w:sz="1" w:space="0" w:color="000000"/>
            </w:tcBorders>
            <w:shd w:val="clear" w:color="auto" w:fill="auto"/>
          </w:tcPr>
          <w:p w14:paraId="7964110D"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w:t>
            </w:r>
            <w:r>
              <w:rPr>
                <w:rFonts w:ascii="Helvetica" w:hAnsi="Helvetica" w:cs="Helvetica"/>
                <w:sz w:val="18"/>
                <w:szCs w:val="18"/>
              </w:rPr>
              <w:t>0,9</w:t>
            </w:r>
            <w:r w:rsidRPr="00B55B68">
              <w:rPr>
                <w:rFonts w:ascii="Helvetica" w:hAnsi="Helvetica" w:cs="Helvetica"/>
                <w:sz w:val="18"/>
                <w:szCs w:val="18"/>
              </w:rPr>
              <w:t>%</w:t>
            </w:r>
          </w:p>
        </w:tc>
      </w:tr>
      <w:tr w:rsidR="000E42AF" w:rsidRPr="00B55B68" w14:paraId="52D215B6" w14:textId="77777777" w:rsidTr="000E42AF">
        <w:trPr>
          <w:trHeight w:val="227"/>
        </w:trPr>
        <w:tc>
          <w:tcPr>
            <w:tcW w:w="2638" w:type="dxa"/>
            <w:tcBorders>
              <w:left w:val="single" w:sz="1" w:space="0" w:color="000000"/>
              <w:bottom w:val="single" w:sz="1" w:space="0" w:color="000000"/>
            </w:tcBorders>
            <w:shd w:val="clear" w:color="auto" w:fill="auto"/>
          </w:tcPr>
          <w:p w14:paraId="04E54D3A"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PIB / habitant </w:t>
            </w:r>
          </w:p>
        </w:tc>
        <w:tc>
          <w:tcPr>
            <w:tcW w:w="1842" w:type="dxa"/>
            <w:tcBorders>
              <w:left w:val="single" w:sz="1" w:space="0" w:color="000000"/>
              <w:bottom w:val="single" w:sz="1" w:space="0" w:color="000000"/>
              <w:right w:val="single" w:sz="1" w:space="0" w:color="000000"/>
            </w:tcBorders>
            <w:shd w:val="clear" w:color="auto" w:fill="auto"/>
          </w:tcPr>
          <w:p w14:paraId="6BD065DC"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USD courants - 202</w:t>
            </w:r>
            <w:r>
              <w:rPr>
                <w:rFonts w:ascii="Helvetica" w:hAnsi="Helvetica" w:cs="Helvetica"/>
                <w:sz w:val="18"/>
                <w:szCs w:val="18"/>
              </w:rPr>
              <w:t>3</w:t>
            </w:r>
            <w:r w:rsidRPr="00B55B68">
              <w:rPr>
                <w:rFonts w:ascii="Helvetica" w:hAnsi="Helvetica" w:cs="Helvetica"/>
                <w:kern w:val="18"/>
                <w:sz w:val="18"/>
                <w:szCs w:val="18"/>
                <w:vertAlign w:val="superscript"/>
              </w:rPr>
              <w:t>1</w:t>
            </w:r>
          </w:p>
        </w:tc>
        <w:tc>
          <w:tcPr>
            <w:tcW w:w="2552" w:type="dxa"/>
            <w:tcBorders>
              <w:left w:val="single" w:sz="1" w:space="0" w:color="000000"/>
              <w:bottom w:val="single" w:sz="1" w:space="0" w:color="000000"/>
              <w:right w:val="single" w:sz="1" w:space="0" w:color="000000"/>
            </w:tcBorders>
            <w:shd w:val="clear" w:color="auto" w:fill="auto"/>
          </w:tcPr>
          <w:p w14:paraId="34E0A72D" w14:textId="77777777" w:rsidR="000E42AF" w:rsidRPr="00B55B68" w:rsidRDefault="000E42AF" w:rsidP="006D067C">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986</w:t>
            </w:r>
          </w:p>
        </w:tc>
        <w:tc>
          <w:tcPr>
            <w:tcW w:w="2551" w:type="dxa"/>
            <w:tcBorders>
              <w:left w:val="single" w:sz="1" w:space="0" w:color="000000"/>
              <w:bottom w:val="single" w:sz="1" w:space="0" w:color="000000"/>
              <w:right w:val="single" w:sz="1" w:space="0" w:color="000000"/>
            </w:tcBorders>
            <w:shd w:val="clear" w:color="auto" w:fill="auto"/>
          </w:tcPr>
          <w:p w14:paraId="297A45BC"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4</w:t>
            </w:r>
            <w:r>
              <w:rPr>
                <w:rFonts w:ascii="Helvetica" w:hAnsi="Helvetica" w:cs="Helvetica"/>
                <w:sz w:val="18"/>
                <w:szCs w:val="18"/>
              </w:rPr>
              <w:t>4 691</w:t>
            </w:r>
          </w:p>
        </w:tc>
      </w:tr>
      <w:tr w:rsidR="000E42AF" w:rsidRPr="00B55B68" w14:paraId="100C1D30" w14:textId="77777777" w:rsidTr="000E42AF">
        <w:trPr>
          <w:trHeight w:val="227"/>
        </w:trPr>
        <w:tc>
          <w:tcPr>
            <w:tcW w:w="2638" w:type="dxa"/>
            <w:tcBorders>
              <w:left w:val="single" w:sz="1" w:space="0" w:color="000000"/>
              <w:bottom w:val="single" w:sz="1" w:space="0" w:color="000000"/>
            </w:tcBorders>
            <w:shd w:val="clear" w:color="auto" w:fill="auto"/>
          </w:tcPr>
          <w:p w14:paraId="6097CDD8"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Part de l'agriculture dans le PIB </w:t>
            </w:r>
          </w:p>
        </w:tc>
        <w:tc>
          <w:tcPr>
            <w:tcW w:w="1842" w:type="dxa"/>
            <w:tcBorders>
              <w:left w:val="single" w:sz="1" w:space="0" w:color="000000"/>
              <w:bottom w:val="single" w:sz="1" w:space="0" w:color="000000"/>
              <w:right w:val="single" w:sz="1" w:space="0" w:color="000000"/>
            </w:tcBorders>
            <w:shd w:val="clear" w:color="auto" w:fill="auto"/>
          </w:tcPr>
          <w:p w14:paraId="3AC0B26F"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- 202</w:t>
            </w:r>
            <w:r>
              <w:rPr>
                <w:rFonts w:ascii="Helvetica" w:hAnsi="Helvetica" w:cs="Helvetica"/>
                <w:sz w:val="18"/>
                <w:szCs w:val="18"/>
              </w:rPr>
              <w:t>3</w:t>
            </w:r>
            <w:r w:rsidRPr="00B55B68">
              <w:rPr>
                <w:rFonts w:ascii="Helvetica" w:hAnsi="Helvetica" w:cs="Helvetica"/>
                <w:kern w:val="18"/>
                <w:sz w:val="18"/>
                <w:szCs w:val="18"/>
                <w:vertAlign w:val="superscript"/>
              </w:rPr>
              <w:t>1</w:t>
            </w:r>
          </w:p>
        </w:tc>
        <w:tc>
          <w:tcPr>
            <w:tcW w:w="2552" w:type="dxa"/>
            <w:tcBorders>
              <w:left w:val="single" w:sz="1" w:space="0" w:color="000000"/>
              <w:bottom w:val="single" w:sz="1" w:space="0" w:color="000000"/>
              <w:right w:val="single" w:sz="1" w:space="0" w:color="000000"/>
            </w:tcBorders>
            <w:shd w:val="clear" w:color="auto" w:fill="auto"/>
          </w:tcPr>
          <w:p w14:paraId="0D8A136F" w14:textId="77777777" w:rsidR="000E42AF" w:rsidRPr="00B55B68" w:rsidRDefault="000E42AF" w:rsidP="006D067C">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18,1</w:t>
            </w:r>
            <w:r w:rsidRPr="00B55B68">
              <w:rPr>
                <w:rFonts w:ascii="Helvetica" w:hAnsi="Helvetica" w:cs="Helvetica"/>
                <w:sz w:val="18"/>
                <w:szCs w:val="18"/>
                <w:lang w:val="en-US"/>
              </w:rPr>
              <w:t>%</w:t>
            </w:r>
          </w:p>
        </w:tc>
        <w:tc>
          <w:tcPr>
            <w:tcW w:w="2551" w:type="dxa"/>
            <w:tcBorders>
              <w:left w:val="single" w:sz="1" w:space="0" w:color="000000"/>
              <w:bottom w:val="single" w:sz="1" w:space="0" w:color="000000"/>
              <w:right w:val="single" w:sz="1" w:space="0" w:color="000000"/>
            </w:tcBorders>
            <w:shd w:val="clear" w:color="auto" w:fill="auto"/>
          </w:tcPr>
          <w:p w14:paraId="05184B44"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1,</w:t>
            </w:r>
            <w:r>
              <w:rPr>
                <w:rFonts w:ascii="Helvetica" w:hAnsi="Helvetica" w:cs="Helvetica"/>
                <w:sz w:val="18"/>
                <w:szCs w:val="18"/>
              </w:rPr>
              <w:t>7</w:t>
            </w:r>
            <w:r w:rsidRPr="00B55B68">
              <w:rPr>
                <w:rFonts w:ascii="Helvetica" w:hAnsi="Helvetica" w:cs="Helvetica"/>
                <w:sz w:val="18"/>
                <w:szCs w:val="18"/>
              </w:rPr>
              <w:t>%</w:t>
            </w:r>
          </w:p>
        </w:tc>
      </w:tr>
      <w:tr w:rsidR="000E42AF" w:rsidRPr="00B55B68" w14:paraId="19BD6614" w14:textId="77777777" w:rsidTr="000E42AF">
        <w:trPr>
          <w:trHeight w:val="227"/>
        </w:trPr>
        <w:tc>
          <w:tcPr>
            <w:tcW w:w="2638" w:type="dxa"/>
            <w:tcBorders>
              <w:left w:val="single" w:sz="1" w:space="0" w:color="000000"/>
              <w:bottom w:val="single" w:sz="1" w:space="0" w:color="000000"/>
            </w:tcBorders>
            <w:shd w:val="clear" w:color="auto" w:fill="auto"/>
          </w:tcPr>
          <w:p w14:paraId="3BC877BB"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Surface agricole utilisée (SAU)</w:t>
            </w:r>
            <w:r w:rsidRPr="00B55B68">
              <w:rPr>
                <w:rStyle w:val="Appelnotedebasdep"/>
                <w:rFonts w:ascii="Helvetica" w:hAnsi="Helvetica" w:cs="Helvetica"/>
                <w:sz w:val="18"/>
                <w:szCs w:val="18"/>
              </w:rPr>
              <w:footnoteReference w:id="4"/>
            </w:r>
          </w:p>
        </w:tc>
        <w:tc>
          <w:tcPr>
            <w:tcW w:w="1842" w:type="dxa"/>
            <w:tcBorders>
              <w:left w:val="single" w:sz="1" w:space="0" w:color="000000"/>
              <w:bottom w:val="single" w:sz="1" w:space="0" w:color="000000"/>
              <w:right w:val="single" w:sz="1" w:space="0" w:color="000000"/>
            </w:tcBorders>
            <w:shd w:val="clear" w:color="auto" w:fill="auto"/>
          </w:tcPr>
          <w:p w14:paraId="14A60ABE"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Mha</w:t>
            </w:r>
            <w:r w:rsidRPr="00B55B68">
              <w:rPr>
                <w:rFonts w:ascii="Helvetica" w:eastAsia="CorporateS-RegularItalic" w:hAnsi="Helvetica" w:cs="Helvetica"/>
                <w:i/>
                <w:iCs/>
                <w:sz w:val="18"/>
                <w:szCs w:val="18"/>
                <w:vertAlign w:val="superscript"/>
              </w:rPr>
              <w:t xml:space="preserve"> </w:t>
            </w:r>
            <w:r w:rsidRPr="00B55B68">
              <w:rPr>
                <w:rFonts w:ascii="Helvetica" w:hAnsi="Helvetica" w:cs="Helvetica"/>
                <w:sz w:val="18"/>
                <w:szCs w:val="18"/>
              </w:rPr>
              <w:t>- 2020</w:t>
            </w:r>
            <w:r w:rsidRPr="00B55B68">
              <w:rPr>
                <w:rStyle w:val="Appelnotedebasdep"/>
                <w:rFonts w:ascii="Helvetica" w:hAnsi="Helvetica" w:cs="Helvetica"/>
                <w:sz w:val="18"/>
                <w:szCs w:val="18"/>
              </w:rPr>
              <w:footnoteReference w:id="5"/>
            </w:r>
          </w:p>
        </w:tc>
        <w:tc>
          <w:tcPr>
            <w:tcW w:w="2552" w:type="dxa"/>
            <w:tcBorders>
              <w:left w:val="single" w:sz="1" w:space="0" w:color="000000"/>
              <w:bottom w:val="single" w:sz="1" w:space="0" w:color="000000"/>
              <w:right w:val="single" w:sz="1" w:space="0" w:color="000000"/>
            </w:tcBorders>
            <w:shd w:val="clear" w:color="auto" w:fill="auto"/>
          </w:tcPr>
          <w:p w14:paraId="40F6CB47" w14:textId="77777777" w:rsidR="000E42AF" w:rsidRPr="00B55B68" w:rsidRDefault="000E42AF" w:rsidP="006D067C">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1,6</w:t>
            </w:r>
          </w:p>
        </w:tc>
        <w:tc>
          <w:tcPr>
            <w:tcW w:w="2551" w:type="dxa"/>
            <w:tcBorders>
              <w:left w:val="single" w:sz="1" w:space="0" w:color="000000"/>
              <w:bottom w:val="single" w:sz="1" w:space="0" w:color="000000"/>
              <w:right w:val="single" w:sz="1" w:space="0" w:color="000000"/>
            </w:tcBorders>
            <w:shd w:val="clear" w:color="auto" w:fill="auto"/>
          </w:tcPr>
          <w:p w14:paraId="56E13BBB"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28,6</w:t>
            </w:r>
          </w:p>
        </w:tc>
      </w:tr>
      <w:tr w:rsidR="000E42AF" w:rsidRPr="00B55B68" w14:paraId="7C46925C" w14:textId="77777777" w:rsidTr="000E42AF">
        <w:trPr>
          <w:trHeight w:val="227"/>
        </w:trPr>
        <w:tc>
          <w:tcPr>
            <w:tcW w:w="2638" w:type="dxa"/>
            <w:tcBorders>
              <w:left w:val="single" w:sz="1" w:space="0" w:color="000000"/>
              <w:bottom w:val="single" w:sz="1" w:space="0" w:color="000000"/>
            </w:tcBorders>
            <w:shd w:val="clear" w:color="auto" w:fill="auto"/>
          </w:tcPr>
          <w:p w14:paraId="1201CB62"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Surface arable </w:t>
            </w:r>
          </w:p>
        </w:tc>
        <w:tc>
          <w:tcPr>
            <w:tcW w:w="1842" w:type="dxa"/>
            <w:tcBorders>
              <w:left w:val="single" w:sz="1" w:space="0" w:color="000000"/>
              <w:bottom w:val="single" w:sz="1" w:space="0" w:color="000000"/>
              <w:right w:val="single" w:sz="1" w:space="0" w:color="000000"/>
            </w:tcBorders>
            <w:shd w:val="clear" w:color="auto" w:fill="auto"/>
          </w:tcPr>
          <w:p w14:paraId="69E43854"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Mha</w:t>
            </w:r>
            <w:r w:rsidRPr="00B55B68">
              <w:rPr>
                <w:rFonts w:ascii="Helvetica" w:eastAsia="CorporateS-RegularItalic" w:hAnsi="Helvetica" w:cs="Helvetica"/>
                <w:i/>
                <w:iCs/>
                <w:sz w:val="18"/>
                <w:szCs w:val="18"/>
                <w:vertAlign w:val="superscript"/>
              </w:rPr>
              <w:t xml:space="preserve"> </w:t>
            </w:r>
            <w:r w:rsidRPr="00B55B68">
              <w:rPr>
                <w:rFonts w:ascii="Helvetica" w:hAnsi="Helvetica" w:cs="Helvetica"/>
                <w:sz w:val="18"/>
                <w:szCs w:val="18"/>
              </w:rPr>
              <w:t>- 2020</w:t>
            </w:r>
            <w:r w:rsidRPr="00B55B68">
              <w:rPr>
                <w:rFonts w:ascii="Helvetica" w:eastAsia="Arial Unicode MS" w:hAnsi="Helvetica" w:cs="Helvetica"/>
                <w:sz w:val="18"/>
                <w:szCs w:val="18"/>
                <w:vertAlign w:val="superscript"/>
              </w:rPr>
              <w:t>1</w:t>
            </w:r>
          </w:p>
        </w:tc>
        <w:tc>
          <w:tcPr>
            <w:tcW w:w="2552" w:type="dxa"/>
            <w:tcBorders>
              <w:left w:val="single" w:sz="1" w:space="0" w:color="000000"/>
              <w:bottom w:val="single" w:sz="1" w:space="0" w:color="000000"/>
              <w:right w:val="single" w:sz="1" w:space="0" w:color="000000"/>
            </w:tcBorders>
            <w:shd w:val="clear" w:color="auto" w:fill="auto"/>
          </w:tcPr>
          <w:p w14:paraId="7351E486" w14:textId="77777777" w:rsidR="000E42AF" w:rsidRPr="000D1155" w:rsidRDefault="000E42AF" w:rsidP="006D067C">
            <w:pPr>
              <w:pStyle w:val="Contenudetableau"/>
              <w:snapToGrid w:val="0"/>
              <w:contextualSpacing/>
              <w:jc w:val="both"/>
              <w:rPr>
                <w:rFonts w:ascii="Helvetica" w:hAnsi="Helvetica" w:cs="Helvetica"/>
                <w:sz w:val="18"/>
                <w:szCs w:val="18"/>
                <w:vertAlign w:val="superscript"/>
                <w:lang w:val="en-US"/>
              </w:rPr>
            </w:pPr>
            <w:r>
              <w:rPr>
                <w:rFonts w:ascii="Helvetica" w:hAnsi="Helvetica" w:cs="Helvetica"/>
                <w:sz w:val="18"/>
                <w:szCs w:val="18"/>
                <w:lang w:val="en-US"/>
              </w:rPr>
              <w:t>3,6</w:t>
            </w:r>
            <w:r>
              <w:rPr>
                <w:rFonts w:ascii="Helvetica" w:hAnsi="Helvetica" w:cs="Helvetica"/>
                <w:sz w:val="18"/>
                <w:szCs w:val="18"/>
                <w:vertAlign w:val="superscript"/>
                <w:lang w:val="en-US"/>
              </w:rPr>
              <w:t>9</w:t>
            </w:r>
          </w:p>
        </w:tc>
        <w:tc>
          <w:tcPr>
            <w:tcW w:w="2551" w:type="dxa"/>
            <w:tcBorders>
              <w:left w:val="single" w:sz="1" w:space="0" w:color="000000"/>
              <w:bottom w:val="single" w:sz="1" w:space="0" w:color="000000"/>
              <w:right w:val="single" w:sz="1" w:space="0" w:color="000000"/>
            </w:tcBorders>
            <w:shd w:val="clear" w:color="auto" w:fill="auto"/>
          </w:tcPr>
          <w:p w14:paraId="27B8EC1B"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17,9</w:t>
            </w:r>
          </w:p>
        </w:tc>
      </w:tr>
      <w:tr w:rsidR="000E42AF" w:rsidRPr="00B55B68" w14:paraId="2364D32E" w14:textId="77777777" w:rsidTr="000E42AF">
        <w:trPr>
          <w:trHeight w:val="227"/>
        </w:trPr>
        <w:tc>
          <w:tcPr>
            <w:tcW w:w="2638" w:type="dxa"/>
            <w:tcBorders>
              <w:left w:val="single" w:sz="1" w:space="0" w:color="000000"/>
              <w:bottom w:val="single" w:sz="1" w:space="0" w:color="000000"/>
            </w:tcBorders>
            <w:shd w:val="clear" w:color="auto" w:fill="auto"/>
          </w:tcPr>
          <w:p w14:paraId="3A69C95C"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 xml:space="preserve">Surface forestière </w:t>
            </w:r>
          </w:p>
        </w:tc>
        <w:tc>
          <w:tcPr>
            <w:tcW w:w="1842" w:type="dxa"/>
            <w:tcBorders>
              <w:left w:val="single" w:sz="1" w:space="0" w:color="000000"/>
              <w:bottom w:val="single" w:sz="1" w:space="0" w:color="000000"/>
              <w:right w:val="single" w:sz="1" w:space="0" w:color="000000"/>
            </w:tcBorders>
            <w:shd w:val="clear" w:color="auto" w:fill="auto"/>
          </w:tcPr>
          <w:p w14:paraId="075EA4AB"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Mha - 2020</w:t>
            </w:r>
            <w:r w:rsidRPr="00B55B68">
              <w:rPr>
                <w:rFonts w:ascii="Helvetica" w:hAnsi="Helvetica" w:cs="Helvetica"/>
                <w:kern w:val="18"/>
                <w:sz w:val="18"/>
                <w:szCs w:val="18"/>
                <w:vertAlign w:val="superscript"/>
              </w:rPr>
              <w:t>1</w:t>
            </w:r>
          </w:p>
        </w:tc>
        <w:tc>
          <w:tcPr>
            <w:tcW w:w="2552" w:type="dxa"/>
            <w:tcBorders>
              <w:left w:val="single" w:sz="1" w:space="0" w:color="000000"/>
              <w:bottom w:val="single" w:sz="1" w:space="0" w:color="000000"/>
              <w:right w:val="single" w:sz="1" w:space="0" w:color="000000"/>
            </w:tcBorders>
            <w:shd w:val="clear" w:color="auto" w:fill="auto"/>
          </w:tcPr>
          <w:p w14:paraId="54DFEA38" w14:textId="77777777" w:rsidR="000E42AF" w:rsidRPr="00B55B68" w:rsidRDefault="000E42AF" w:rsidP="006D067C">
            <w:pPr>
              <w:pStyle w:val="Contenudetableau"/>
              <w:snapToGrid w:val="0"/>
              <w:contextualSpacing/>
              <w:jc w:val="both"/>
              <w:rPr>
                <w:rFonts w:ascii="Helvetica" w:hAnsi="Helvetica" w:cs="Helvetica"/>
                <w:sz w:val="18"/>
                <w:szCs w:val="18"/>
                <w:lang w:val="en-US"/>
              </w:rPr>
            </w:pPr>
            <w:r>
              <w:rPr>
                <w:rFonts w:ascii="Helvetica" w:hAnsi="Helvetica" w:cs="Helvetica"/>
                <w:sz w:val="18"/>
                <w:szCs w:val="18"/>
                <w:lang w:val="en-US"/>
              </w:rPr>
              <w:t>1,2</w:t>
            </w:r>
          </w:p>
        </w:tc>
        <w:tc>
          <w:tcPr>
            <w:tcW w:w="2551" w:type="dxa"/>
            <w:tcBorders>
              <w:left w:val="single" w:sz="1" w:space="0" w:color="000000"/>
              <w:bottom w:val="single" w:sz="1" w:space="0" w:color="000000"/>
              <w:right w:val="single" w:sz="1" w:space="0" w:color="000000"/>
            </w:tcBorders>
            <w:shd w:val="clear" w:color="auto" w:fill="auto"/>
          </w:tcPr>
          <w:p w14:paraId="2D2945BB" w14:textId="77777777" w:rsidR="000E42AF" w:rsidRPr="00B55B68" w:rsidRDefault="000E42AF" w:rsidP="006D067C">
            <w:pPr>
              <w:pStyle w:val="Contenudetableau"/>
              <w:snapToGrid w:val="0"/>
              <w:contextualSpacing/>
              <w:jc w:val="both"/>
              <w:rPr>
                <w:rFonts w:ascii="Helvetica" w:hAnsi="Helvetica" w:cs="Helvetica"/>
                <w:sz w:val="18"/>
                <w:szCs w:val="18"/>
              </w:rPr>
            </w:pPr>
            <w:r w:rsidRPr="00B55B68">
              <w:rPr>
                <w:rFonts w:ascii="Helvetica" w:hAnsi="Helvetica" w:cs="Helvetica"/>
                <w:sz w:val="18"/>
                <w:szCs w:val="18"/>
              </w:rPr>
              <w:t>17,2</w:t>
            </w:r>
          </w:p>
        </w:tc>
      </w:tr>
      <w:tr w:rsidR="000E42AF" w:rsidRPr="00B55B68" w14:paraId="227ACB3D" w14:textId="77777777" w:rsidTr="000E42AF">
        <w:trPr>
          <w:trHeight w:val="227"/>
        </w:trPr>
        <w:tc>
          <w:tcPr>
            <w:tcW w:w="2638" w:type="dxa"/>
            <w:tcBorders>
              <w:left w:val="single" w:sz="1" w:space="0" w:color="000000"/>
              <w:bottom w:val="single" w:sz="1" w:space="0" w:color="000000"/>
            </w:tcBorders>
            <w:shd w:val="clear" w:color="auto" w:fill="auto"/>
          </w:tcPr>
          <w:p w14:paraId="6E0640AF" w14:textId="77777777"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 xml:space="preserve">Balance commerciale tous secteurs </w:t>
            </w:r>
          </w:p>
        </w:tc>
        <w:tc>
          <w:tcPr>
            <w:tcW w:w="1842" w:type="dxa"/>
            <w:tcBorders>
              <w:left w:val="single" w:sz="1" w:space="0" w:color="000000"/>
              <w:bottom w:val="single" w:sz="1" w:space="0" w:color="000000"/>
              <w:right w:val="single" w:sz="1" w:space="0" w:color="000000"/>
            </w:tcBorders>
            <w:shd w:val="clear" w:color="auto" w:fill="auto"/>
          </w:tcPr>
          <w:p w14:paraId="00EC6387" w14:textId="77777777" w:rsidR="000E42AF" w:rsidRPr="00CF1509" w:rsidRDefault="000E42AF" w:rsidP="006D067C">
            <w:pPr>
              <w:pStyle w:val="Sansinterligne"/>
              <w:contextualSpacing/>
              <w:jc w:val="both"/>
              <w:rPr>
                <w:rFonts w:ascii="Helvetica" w:hAnsi="Helvetica" w:cs="Helvetica"/>
                <w:sz w:val="18"/>
                <w:szCs w:val="18"/>
              </w:rPr>
            </w:pPr>
            <w:r w:rsidRPr="00CF1509">
              <w:rPr>
                <w:rFonts w:ascii="Helvetica" w:eastAsia="Times New Roman" w:hAnsi="Helvetica" w:cs="Helvetica"/>
                <w:kern w:val="1"/>
                <w:sz w:val="18"/>
                <w:szCs w:val="18"/>
                <w:lang w:eastAsia="ar-SA"/>
              </w:rPr>
              <w:t>France : Md€ - 202</w:t>
            </w:r>
            <w:r>
              <w:rPr>
                <w:rFonts w:ascii="Helvetica" w:eastAsia="Times New Roman" w:hAnsi="Helvetica" w:cs="Helvetica"/>
                <w:kern w:val="1"/>
                <w:sz w:val="18"/>
                <w:szCs w:val="18"/>
                <w:lang w:eastAsia="ar-SA"/>
              </w:rPr>
              <w:t>4</w:t>
            </w:r>
            <w:r w:rsidRPr="00CF1509">
              <w:rPr>
                <w:rStyle w:val="Appelnotedebasdep"/>
                <w:rFonts w:ascii="Helvetica" w:eastAsia="Times New Roman" w:hAnsi="Helvetica" w:cs="Helvetica"/>
                <w:kern w:val="1"/>
                <w:sz w:val="18"/>
                <w:szCs w:val="18"/>
                <w:lang w:eastAsia="ar-SA"/>
              </w:rPr>
              <w:footnoteReference w:id="6"/>
            </w:r>
          </w:p>
          <w:p w14:paraId="07B2DF87" w14:textId="77777777" w:rsidR="000E42AF" w:rsidRPr="00CF1509" w:rsidRDefault="000E42AF" w:rsidP="006D067C">
            <w:pPr>
              <w:pStyle w:val="Sansinterligne"/>
              <w:contextualSpacing/>
              <w:jc w:val="both"/>
              <w:rPr>
                <w:rFonts w:ascii="Helvetica" w:hAnsi="Helvetica" w:cs="Helvetica"/>
                <w:sz w:val="18"/>
                <w:szCs w:val="18"/>
              </w:rPr>
            </w:pPr>
            <w:r>
              <w:rPr>
                <w:rFonts w:ascii="Helvetica" w:hAnsi="Helvetica" w:cs="Helvetica"/>
                <w:sz w:val="18"/>
                <w:szCs w:val="18"/>
              </w:rPr>
              <w:t xml:space="preserve">Togo </w:t>
            </w:r>
            <w:r w:rsidRPr="00CF1509">
              <w:rPr>
                <w:rFonts w:ascii="Helvetica" w:hAnsi="Helvetica" w:cs="Helvetica"/>
                <w:sz w:val="18"/>
                <w:szCs w:val="18"/>
              </w:rPr>
              <w:t>: Md</w:t>
            </w:r>
            <w:r>
              <w:rPr>
                <w:rFonts w:ascii="Helvetica" w:hAnsi="Helvetica" w:cs="Helvetica"/>
                <w:sz w:val="18"/>
                <w:szCs w:val="18"/>
              </w:rPr>
              <w:t>€</w:t>
            </w:r>
            <w:r w:rsidRPr="00CF1509">
              <w:rPr>
                <w:rFonts w:ascii="Helvetica" w:hAnsi="Helvetica" w:cs="Helvetica"/>
                <w:sz w:val="18"/>
                <w:szCs w:val="18"/>
              </w:rPr>
              <w:t xml:space="preserve"> - 202</w:t>
            </w:r>
            <w:r>
              <w:rPr>
                <w:rFonts w:ascii="Helvetica" w:hAnsi="Helvetica" w:cs="Helvetica"/>
                <w:sz w:val="18"/>
                <w:szCs w:val="18"/>
              </w:rPr>
              <w:t>4</w:t>
            </w:r>
            <w:r w:rsidRPr="00CF1509">
              <w:rPr>
                <w:rFonts w:ascii="Helvetica" w:hAnsi="Helvetica" w:cs="Helvetica"/>
                <w:sz w:val="18"/>
                <w:szCs w:val="18"/>
                <w:vertAlign w:val="superscript"/>
              </w:rPr>
              <w:t>7</w:t>
            </w:r>
          </w:p>
        </w:tc>
        <w:tc>
          <w:tcPr>
            <w:tcW w:w="2552" w:type="dxa"/>
            <w:tcBorders>
              <w:left w:val="single" w:sz="1" w:space="0" w:color="000000"/>
              <w:bottom w:val="single" w:sz="1" w:space="0" w:color="000000"/>
              <w:right w:val="single" w:sz="1" w:space="0" w:color="000000"/>
            </w:tcBorders>
            <w:shd w:val="clear" w:color="auto" w:fill="auto"/>
          </w:tcPr>
          <w:p w14:paraId="7435FB55" w14:textId="77777777" w:rsidR="000E42AF" w:rsidRPr="00CF1509" w:rsidRDefault="000E42AF" w:rsidP="006D067C">
            <w:pPr>
              <w:pStyle w:val="Sansinterligne"/>
              <w:contextualSpacing/>
              <w:jc w:val="both"/>
              <w:rPr>
                <w:rFonts w:ascii="Helvetica" w:hAnsi="Helvetica" w:cs="Helvetica"/>
                <w:sz w:val="18"/>
                <w:szCs w:val="18"/>
                <w:lang w:val="en-US"/>
              </w:rPr>
            </w:pPr>
            <w:r w:rsidRPr="00CF1509">
              <w:rPr>
                <w:rFonts w:ascii="Helvetica" w:hAnsi="Helvetica" w:cs="Helvetica"/>
                <w:sz w:val="18"/>
                <w:szCs w:val="18"/>
                <w:lang w:val="en-US"/>
              </w:rPr>
              <w:t>-1,</w:t>
            </w:r>
            <w:r>
              <w:rPr>
                <w:rFonts w:ascii="Helvetica" w:hAnsi="Helvetica" w:cs="Helvetica"/>
                <w:sz w:val="18"/>
                <w:szCs w:val="18"/>
                <w:lang w:val="en-US"/>
              </w:rPr>
              <w:t>7</w:t>
            </w:r>
          </w:p>
        </w:tc>
        <w:tc>
          <w:tcPr>
            <w:tcW w:w="2551" w:type="dxa"/>
            <w:tcBorders>
              <w:left w:val="single" w:sz="1" w:space="0" w:color="000000"/>
              <w:bottom w:val="single" w:sz="1" w:space="0" w:color="000000"/>
              <w:right w:val="single" w:sz="1" w:space="0" w:color="000000"/>
            </w:tcBorders>
            <w:shd w:val="clear" w:color="auto" w:fill="auto"/>
          </w:tcPr>
          <w:p w14:paraId="55F7E78C" w14:textId="77777777"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-1</w:t>
            </w:r>
            <w:r>
              <w:rPr>
                <w:rFonts w:ascii="Helvetica" w:hAnsi="Helvetica" w:cs="Helvetica"/>
                <w:sz w:val="18"/>
                <w:szCs w:val="18"/>
              </w:rPr>
              <w:t>0</w:t>
            </w:r>
            <w:r w:rsidRPr="00B55B68">
              <w:rPr>
                <w:rFonts w:ascii="Helvetica" w:hAnsi="Helvetica" w:cs="Helvetica"/>
                <w:sz w:val="18"/>
                <w:szCs w:val="18"/>
              </w:rPr>
              <w:t>4,</w:t>
            </w:r>
            <w:r>
              <w:rPr>
                <w:rFonts w:ascii="Helvetica" w:hAnsi="Helvetica" w:cs="Helvetica"/>
                <w:sz w:val="18"/>
                <w:szCs w:val="18"/>
              </w:rPr>
              <w:t>9</w:t>
            </w:r>
          </w:p>
        </w:tc>
      </w:tr>
      <w:tr w:rsidR="000E42AF" w:rsidRPr="00B55B68" w14:paraId="611E5F33" w14:textId="77777777" w:rsidTr="000E42AF">
        <w:trPr>
          <w:trHeight w:val="227"/>
        </w:trPr>
        <w:tc>
          <w:tcPr>
            <w:tcW w:w="2638" w:type="dxa"/>
            <w:tcBorders>
              <w:left w:val="single" w:sz="1" w:space="0" w:color="000000"/>
              <w:bottom w:val="single" w:sz="1" w:space="0" w:color="000000"/>
            </w:tcBorders>
            <w:shd w:val="clear" w:color="auto" w:fill="auto"/>
          </w:tcPr>
          <w:p w14:paraId="5BD3B3C8" w14:textId="77777777"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Balance commerciale agricole et agroalimentaire</w:t>
            </w:r>
            <w:r w:rsidRPr="00B55B68">
              <w:rPr>
                <w:rFonts w:ascii="Helvetica" w:hAnsi="Helvetica" w:cs="Helvetica"/>
                <w:sz w:val="18"/>
                <w:szCs w:val="18"/>
                <w:vertAlign w:val="superscript"/>
              </w:rPr>
              <w:t>8</w:t>
            </w:r>
          </w:p>
        </w:tc>
        <w:tc>
          <w:tcPr>
            <w:tcW w:w="1842" w:type="dxa"/>
            <w:tcBorders>
              <w:left w:val="single" w:sz="1" w:space="0" w:color="000000"/>
              <w:bottom w:val="single" w:sz="1" w:space="0" w:color="000000"/>
              <w:right w:val="single" w:sz="1" w:space="0" w:color="000000"/>
            </w:tcBorders>
            <w:shd w:val="clear" w:color="auto" w:fill="auto"/>
          </w:tcPr>
          <w:p w14:paraId="63A4EA94" w14:textId="77777777" w:rsidR="000E42AF" w:rsidRPr="00CF1509" w:rsidRDefault="000E42AF" w:rsidP="006D067C">
            <w:pPr>
              <w:pStyle w:val="Sansinterligne"/>
              <w:contextualSpacing/>
              <w:jc w:val="both"/>
              <w:rPr>
                <w:rFonts w:ascii="Helvetica" w:hAnsi="Helvetica" w:cs="Helvetica"/>
                <w:sz w:val="18"/>
                <w:szCs w:val="18"/>
              </w:rPr>
            </w:pPr>
            <w:r w:rsidRPr="00CF1509">
              <w:rPr>
                <w:rFonts w:ascii="Helvetica" w:eastAsia="Times New Roman" w:hAnsi="Helvetica" w:cs="Helvetica"/>
                <w:kern w:val="1"/>
                <w:sz w:val="18"/>
                <w:szCs w:val="18"/>
                <w:lang w:eastAsia="ar-SA"/>
              </w:rPr>
              <w:t>France : Md€ - 202</w:t>
            </w:r>
            <w:r>
              <w:rPr>
                <w:rFonts w:ascii="Helvetica" w:eastAsia="Times New Roman" w:hAnsi="Helvetica" w:cs="Helvetica"/>
                <w:kern w:val="1"/>
                <w:sz w:val="18"/>
                <w:szCs w:val="18"/>
                <w:lang w:eastAsia="ar-SA"/>
              </w:rPr>
              <w:t>4</w:t>
            </w:r>
            <w:r w:rsidRPr="00CF1509">
              <w:rPr>
                <w:rFonts w:ascii="Helvetica" w:eastAsia="Times New Roman" w:hAnsi="Helvetica" w:cs="Helvetica"/>
                <w:kern w:val="1"/>
                <w:sz w:val="18"/>
                <w:szCs w:val="18"/>
                <w:vertAlign w:val="superscript"/>
                <w:lang w:eastAsia="ar-SA"/>
              </w:rPr>
              <w:t>6</w:t>
            </w:r>
          </w:p>
          <w:p w14:paraId="48C81152" w14:textId="77777777" w:rsidR="000E42AF" w:rsidRPr="00CF1509" w:rsidRDefault="000E42AF" w:rsidP="006D067C">
            <w:pPr>
              <w:pStyle w:val="Sansinterligne"/>
              <w:contextualSpacing/>
              <w:jc w:val="both"/>
              <w:rPr>
                <w:rFonts w:ascii="Helvetica" w:hAnsi="Helvetica" w:cs="Helvetica"/>
                <w:sz w:val="18"/>
                <w:szCs w:val="18"/>
              </w:rPr>
            </w:pPr>
            <w:r>
              <w:rPr>
                <w:rFonts w:ascii="Helvetica" w:hAnsi="Helvetica" w:cs="Helvetica"/>
                <w:sz w:val="18"/>
                <w:szCs w:val="18"/>
              </w:rPr>
              <w:t>Togo</w:t>
            </w:r>
            <w:r w:rsidRPr="00CF1509">
              <w:rPr>
                <w:rFonts w:ascii="Helvetica" w:hAnsi="Helvetica" w:cs="Helvetica"/>
                <w:sz w:val="18"/>
                <w:szCs w:val="18"/>
              </w:rPr>
              <w:t> : Md</w:t>
            </w:r>
            <w:r>
              <w:rPr>
                <w:rFonts w:ascii="Helvetica" w:hAnsi="Helvetica" w:cs="Helvetica"/>
                <w:sz w:val="18"/>
                <w:szCs w:val="18"/>
              </w:rPr>
              <w:t>€</w:t>
            </w:r>
            <w:r w:rsidRPr="00CF1509">
              <w:rPr>
                <w:rFonts w:ascii="Helvetica" w:hAnsi="Helvetica" w:cs="Helvetica"/>
                <w:sz w:val="18"/>
                <w:szCs w:val="18"/>
              </w:rPr>
              <w:t xml:space="preserve"> - 202</w:t>
            </w:r>
            <w:r>
              <w:rPr>
                <w:rFonts w:ascii="Helvetica" w:hAnsi="Helvetica" w:cs="Helvetica"/>
                <w:sz w:val="18"/>
                <w:szCs w:val="18"/>
              </w:rPr>
              <w:t>4</w:t>
            </w:r>
            <w:r w:rsidRPr="00CF1509">
              <w:rPr>
                <w:rFonts w:ascii="Helvetica" w:hAnsi="Helvetica" w:cs="Helvetica"/>
                <w:sz w:val="18"/>
                <w:szCs w:val="18"/>
                <w:vertAlign w:val="superscript"/>
              </w:rPr>
              <w:t>7</w:t>
            </w:r>
          </w:p>
        </w:tc>
        <w:tc>
          <w:tcPr>
            <w:tcW w:w="2552" w:type="dxa"/>
            <w:tcBorders>
              <w:left w:val="single" w:sz="1" w:space="0" w:color="000000"/>
              <w:bottom w:val="single" w:sz="1" w:space="0" w:color="000000"/>
              <w:right w:val="single" w:sz="1" w:space="0" w:color="000000"/>
            </w:tcBorders>
            <w:shd w:val="clear" w:color="auto" w:fill="auto"/>
          </w:tcPr>
          <w:p w14:paraId="3E4D63A9" w14:textId="77777777" w:rsidR="000E42AF" w:rsidRPr="00CF1509" w:rsidRDefault="000E42AF" w:rsidP="006D067C">
            <w:pPr>
              <w:pStyle w:val="Sansinterligne"/>
              <w:contextualSpacing/>
              <w:jc w:val="both"/>
              <w:rPr>
                <w:rFonts w:ascii="Helvetica" w:hAnsi="Helvetica" w:cs="Helvetica"/>
                <w:sz w:val="18"/>
                <w:szCs w:val="18"/>
              </w:rPr>
            </w:pPr>
            <w:r w:rsidRPr="00CF1509">
              <w:rPr>
                <w:rFonts w:ascii="Helvetica" w:hAnsi="Helvetica" w:cs="Helvetica"/>
                <w:sz w:val="18"/>
                <w:szCs w:val="18"/>
              </w:rPr>
              <w:t xml:space="preserve">Export : </w:t>
            </w:r>
            <w:r>
              <w:rPr>
                <w:rFonts w:ascii="Helvetica" w:hAnsi="Helvetica" w:cs="Helvetica"/>
                <w:sz w:val="18"/>
                <w:szCs w:val="18"/>
              </w:rPr>
              <w:t>0</w:t>
            </w:r>
            <w:r w:rsidRPr="00CF1509">
              <w:rPr>
                <w:rFonts w:ascii="Helvetica" w:hAnsi="Helvetica" w:cs="Helvetica"/>
                <w:sz w:val="18"/>
                <w:szCs w:val="18"/>
              </w:rPr>
              <w:t>,4</w:t>
            </w:r>
          </w:p>
          <w:p w14:paraId="39F52150" w14:textId="77777777" w:rsidR="000E42AF" w:rsidRPr="00CF1509" w:rsidRDefault="000E42AF" w:rsidP="006D067C">
            <w:pPr>
              <w:pStyle w:val="Sansinterligne"/>
              <w:contextualSpacing/>
              <w:jc w:val="both"/>
              <w:rPr>
                <w:rFonts w:ascii="Helvetica" w:hAnsi="Helvetica" w:cs="Helvetica"/>
                <w:sz w:val="18"/>
                <w:szCs w:val="18"/>
              </w:rPr>
            </w:pPr>
            <w:r w:rsidRPr="00CF1509">
              <w:rPr>
                <w:rFonts w:ascii="Helvetica" w:hAnsi="Helvetica" w:cs="Helvetica"/>
                <w:sz w:val="18"/>
                <w:szCs w:val="18"/>
              </w:rPr>
              <w:t xml:space="preserve">Import : </w:t>
            </w:r>
            <w:r>
              <w:rPr>
                <w:rFonts w:ascii="Helvetica" w:hAnsi="Helvetica" w:cs="Helvetica"/>
                <w:sz w:val="18"/>
                <w:szCs w:val="18"/>
              </w:rPr>
              <w:t>0</w:t>
            </w:r>
            <w:r w:rsidRPr="00CF1509">
              <w:rPr>
                <w:rFonts w:ascii="Helvetica" w:hAnsi="Helvetica" w:cs="Helvetica"/>
                <w:sz w:val="18"/>
                <w:szCs w:val="18"/>
              </w:rPr>
              <w:t>,</w:t>
            </w:r>
            <w:r>
              <w:rPr>
                <w:rFonts w:ascii="Helvetica" w:hAnsi="Helvetica" w:cs="Helvetica"/>
                <w:sz w:val="18"/>
                <w:szCs w:val="18"/>
              </w:rPr>
              <w:t>5</w:t>
            </w:r>
          </w:p>
          <w:p w14:paraId="0C0BC884" w14:textId="77777777" w:rsidR="000E42AF" w:rsidRPr="00CF1509" w:rsidRDefault="000E42AF" w:rsidP="006D067C">
            <w:pPr>
              <w:pStyle w:val="Sansinterligne"/>
              <w:contextualSpacing/>
              <w:jc w:val="both"/>
              <w:rPr>
                <w:rFonts w:ascii="Helvetica" w:hAnsi="Helvetica" w:cs="Helvetica"/>
                <w:sz w:val="18"/>
                <w:szCs w:val="18"/>
              </w:rPr>
            </w:pPr>
            <w:r w:rsidRPr="00CF1509">
              <w:rPr>
                <w:rFonts w:ascii="Helvetica" w:hAnsi="Helvetica" w:cs="Helvetica"/>
                <w:sz w:val="18"/>
                <w:szCs w:val="18"/>
              </w:rPr>
              <w:t xml:space="preserve">Solde : </w:t>
            </w:r>
            <w:r>
              <w:rPr>
                <w:rFonts w:ascii="Helvetica" w:hAnsi="Helvetica" w:cs="Helvetica"/>
                <w:sz w:val="18"/>
                <w:szCs w:val="18"/>
              </w:rPr>
              <w:t>-0</w:t>
            </w:r>
            <w:r w:rsidRPr="00CF1509">
              <w:rPr>
                <w:rFonts w:ascii="Helvetica" w:hAnsi="Helvetica" w:cs="Helvetica"/>
                <w:sz w:val="18"/>
                <w:szCs w:val="18"/>
              </w:rPr>
              <w:t>,1</w:t>
            </w:r>
          </w:p>
        </w:tc>
        <w:tc>
          <w:tcPr>
            <w:tcW w:w="2551" w:type="dxa"/>
            <w:tcBorders>
              <w:left w:val="single" w:sz="1" w:space="0" w:color="000000"/>
              <w:bottom w:val="single" w:sz="1" w:space="0" w:color="000000"/>
              <w:right w:val="single" w:sz="1" w:space="0" w:color="000000"/>
            </w:tcBorders>
            <w:shd w:val="clear" w:color="auto" w:fill="auto"/>
          </w:tcPr>
          <w:p w14:paraId="3B182A3F" w14:textId="77777777"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Export : 8</w:t>
            </w:r>
            <w:r>
              <w:rPr>
                <w:rFonts w:ascii="Helvetica" w:hAnsi="Helvetica" w:cs="Helvetica"/>
                <w:sz w:val="18"/>
                <w:szCs w:val="18"/>
              </w:rPr>
              <w:t>1</w:t>
            </w:r>
            <w:r w:rsidRPr="00B55B68">
              <w:rPr>
                <w:rFonts w:ascii="Helvetica" w:hAnsi="Helvetica" w:cs="Helvetica"/>
                <w:sz w:val="18"/>
                <w:szCs w:val="18"/>
              </w:rPr>
              <w:t>,</w:t>
            </w:r>
            <w:r>
              <w:rPr>
                <w:rFonts w:ascii="Helvetica" w:hAnsi="Helvetica" w:cs="Helvetica"/>
                <w:sz w:val="18"/>
                <w:szCs w:val="18"/>
              </w:rPr>
              <w:t>9</w:t>
            </w:r>
          </w:p>
          <w:p w14:paraId="291998DE" w14:textId="77777777"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Import : 7</w:t>
            </w:r>
            <w:r>
              <w:rPr>
                <w:rFonts w:ascii="Helvetica" w:hAnsi="Helvetica" w:cs="Helvetica"/>
                <w:sz w:val="18"/>
                <w:szCs w:val="18"/>
              </w:rPr>
              <w:t>8</w:t>
            </w:r>
            <w:r w:rsidRPr="00B55B68">
              <w:rPr>
                <w:rFonts w:ascii="Helvetica" w:hAnsi="Helvetica" w:cs="Helvetica"/>
                <w:sz w:val="18"/>
                <w:szCs w:val="18"/>
              </w:rPr>
              <w:t>,</w:t>
            </w:r>
            <w:r>
              <w:rPr>
                <w:rFonts w:ascii="Helvetica" w:hAnsi="Helvetica" w:cs="Helvetica"/>
                <w:sz w:val="18"/>
                <w:szCs w:val="18"/>
              </w:rPr>
              <w:t>0</w:t>
            </w:r>
          </w:p>
          <w:p w14:paraId="560A384A" w14:textId="77777777"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Solde : +</w:t>
            </w:r>
            <w:r>
              <w:rPr>
                <w:rFonts w:ascii="Helvetica" w:hAnsi="Helvetica" w:cs="Helvetica"/>
                <w:sz w:val="18"/>
                <w:szCs w:val="18"/>
              </w:rPr>
              <w:t>3</w:t>
            </w:r>
            <w:r w:rsidRPr="00B55B68">
              <w:rPr>
                <w:rFonts w:ascii="Helvetica" w:hAnsi="Helvetica" w:cs="Helvetica"/>
                <w:sz w:val="18"/>
                <w:szCs w:val="18"/>
              </w:rPr>
              <w:t>,</w:t>
            </w:r>
            <w:r>
              <w:rPr>
                <w:rFonts w:ascii="Helvetica" w:hAnsi="Helvetica" w:cs="Helvetica"/>
                <w:sz w:val="18"/>
                <w:szCs w:val="18"/>
              </w:rPr>
              <w:t>9</w:t>
            </w:r>
          </w:p>
        </w:tc>
      </w:tr>
      <w:tr w:rsidR="000E42AF" w:rsidRPr="00B55B68" w14:paraId="4BA0E41F" w14:textId="77777777" w:rsidTr="000E42AF">
        <w:trPr>
          <w:trHeight w:val="227"/>
        </w:trPr>
        <w:tc>
          <w:tcPr>
            <w:tcW w:w="2638" w:type="dxa"/>
            <w:tcBorders>
              <w:left w:val="single" w:sz="1" w:space="0" w:color="000000"/>
              <w:bottom w:val="single" w:sz="4" w:space="0" w:color="auto"/>
            </w:tcBorders>
            <w:shd w:val="clear" w:color="auto" w:fill="auto"/>
          </w:tcPr>
          <w:p w14:paraId="65370C14" w14:textId="77777777"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Exportations et importations agricoles et agroalimentaires</w:t>
            </w:r>
            <w:r w:rsidRPr="00B55B68">
              <w:rPr>
                <w:rFonts w:ascii="Helvetica" w:hAnsi="Helvetica" w:cs="Helvetica"/>
                <w:sz w:val="18"/>
                <w:szCs w:val="18"/>
                <w:vertAlign w:val="superscript"/>
              </w:rPr>
              <w:t>8</w:t>
            </w:r>
            <w:r w:rsidRPr="00B55B68">
              <w:rPr>
                <w:rFonts w:ascii="Helvetica" w:hAnsi="Helvetica" w:cs="Helvetica"/>
                <w:sz w:val="18"/>
                <w:szCs w:val="18"/>
              </w:rPr>
              <w:t xml:space="preserve"> entre les deux pays</w:t>
            </w:r>
          </w:p>
        </w:tc>
        <w:tc>
          <w:tcPr>
            <w:tcW w:w="1842" w:type="dxa"/>
            <w:tcBorders>
              <w:left w:val="single" w:sz="1" w:space="0" w:color="000000"/>
              <w:right w:val="single" w:sz="1" w:space="0" w:color="000000"/>
            </w:tcBorders>
            <w:shd w:val="clear" w:color="auto" w:fill="auto"/>
          </w:tcPr>
          <w:p w14:paraId="0BD75255" w14:textId="77777777" w:rsidR="000E42AF" w:rsidRPr="00CF1509" w:rsidRDefault="000E42AF" w:rsidP="006D067C">
            <w:pPr>
              <w:pStyle w:val="Sansinterligne"/>
              <w:contextualSpacing/>
              <w:jc w:val="both"/>
              <w:rPr>
                <w:rFonts w:ascii="Helvetica" w:hAnsi="Helvetica" w:cs="Helvetica"/>
                <w:sz w:val="18"/>
                <w:szCs w:val="18"/>
              </w:rPr>
            </w:pPr>
            <w:r w:rsidRPr="00CF1509">
              <w:rPr>
                <w:rFonts w:ascii="Helvetica" w:hAnsi="Helvetica" w:cs="Helvetica"/>
                <w:sz w:val="18"/>
                <w:szCs w:val="18"/>
              </w:rPr>
              <w:t>M€ - 202</w:t>
            </w:r>
            <w:r>
              <w:rPr>
                <w:rFonts w:ascii="Helvetica" w:hAnsi="Helvetica" w:cs="Helvetica"/>
                <w:sz w:val="18"/>
                <w:szCs w:val="18"/>
              </w:rPr>
              <w:t>4</w:t>
            </w:r>
            <w:r w:rsidRPr="00CF1509">
              <w:rPr>
                <w:rFonts w:ascii="Helvetica" w:hAnsi="Helvetica" w:cs="Helvetica"/>
                <w:sz w:val="18"/>
                <w:szCs w:val="18"/>
                <w:vertAlign w:val="superscript"/>
              </w:rPr>
              <w:t xml:space="preserve">6 </w:t>
            </w:r>
            <w:r w:rsidRPr="00CF1509">
              <w:rPr>
                <w:rStyle w:val="Appelnotedebasdep"/>
                <w:rFonts w:ascii="Helvetica" w:hAnsi="Helvetica" w:cs="Helvetica"/>
                <w:sz w:val="18"/>
                <w:szCs w:val="18"/>
              </w:rPr>
              <w:footnoteReference w:id="7"/>
            </w:r>
          </w:p>
          <w:p w14:paraId="5E7E2C0B" w14:textId="77777777" w:rsidR="000E42AF" w:rsidRPr="00CF1509" w:rsidRDefault="000E42AF" w:rsidP="006D067C">
            <w:pPr>
              <w:pStyle w:val="Sansinterligne"/>
              <w:contextualSpacing/>
              <w:jc w:val="both"/>
              <w:rPr>
                <w:rFonts w:ascii="Helvetica" w:hAnsi="Helvetica" w:cs="Helvetica"/>
                <w:sz w:val="18"/>
                <w:szCs w:val="18"/>
              </w:rPr>
            </w:pPr>
            <w:r w:rsidRPr="00CF1509">
              <w:rPr>
                <w:rFonts w:ascii="Helvetica" w:hAnsi="Helvetica" w:cs="Helvetica"/>
                <w:sz w:val="18"/>
                <w:szCs w:val="18"/>
              </w:rPr>
              <w:t>Variation 202</w:t>
            </w:r>
            <w:r>
              <w:rPr>
                <w:rFonts w:ascii="Helvetica" w:hAnsi="Helvetica" w:cs="Helvetica"/>
                <w:sz w:val="18"/>
                <w:szCs w:val="18"/>
              </w:rPr>
              <w:t>4</w:t>
            </w:r>
            <w:r w:rsidRPr="00CF1509">
              <w:rPr>
                <w:rFonts w:ascii="Helvetica" w:hAnsi="Helvetica" w:cs="Helvetica"/>
                <w:sz w:val="18"/>
                <w:szCs w:val="18"/>
              </w:rPr>
              <w:t>/202</w:t>
            </w:r>
            <w:r>
              <w:rPr>
                <w:rFonts w:ascii="Helvetica" w:hAnsi="Helvetica" w:cs="Helvetica"/>
                <w:sz w:val="18"/>
                <w:szCs w:val="18"/>
              </w:rPr>
              <w:t>3</w:t>
            </w:r>
          </w:p>
        </w:tc>
        <w:tc>
          <w:tcPr>
            <w:tcW w:w="2552" w:type="dxa"/>
            <w:tcBorders>
              <w:left w:val="single" w:sz="1" w:space="0" w:color="000000"/>
              <w:right w:val="single" w:sz="1" w:space="0" w:color="000000"/>
            </w:tcBorders>
            <w:shd w:val="clear" w:color="auto" w:fill="auto"/>
          </w:tcPr>
          <w:p w14:paraId="296C7F6F" w14:textId="77777777" w:rsidR="000E42AF" w:rsidRPr="00CF1509" w:rsidRDefault="000E42AF" w:rsidP="006D067C">
            <w:pPr>
              <w:pStyle w:val="Sansinterligne"/>
              <w:contextualSpacing/>
              <w:jc w:val="both"/>
              <w:rPr>
                <w:rFonts w:ascii="Helvetica" w:hAnsi="Helvetica" w:cs="Helvetica"/>
                <w:sz w:val="18"/>
                <w:szCs w:val="18"/>
              </w:rPr>
            </w:pPr>
            <w:r w:rsidRPr="00CF1509">
              <w:rPr>
                <w:rFonts w:ascii="Helvetica" w:hAnsi="Helvetica" w:cs="Helvetica"/>
                <w:sz w:val="18"/>
                <w:szCs w:val="18"/>
              </w:rPr>
              <w:t>France depuis</w:t>
            </w:r>
            <w:r>
              <w:rPr>
                <w:rFonts w:ascii="Helvetica" w:hAnsi="Helvetica" w:cs="Helvetica"/>
                <w:sz w:val="18"/>
                <w:szCs w:val="18"/>
              </w:rPr>
              <w:t xml:space="preserve"> Togo</w:t>
            </w:r>
            <w:r w:rsidRPr="00CF1509">
              <w:rPr>
                <w:rFonts w:ascii="Helvetica" w:hAnsi="Helvetica" w:cs="Helvetica"/>
                <w:sz w:val="18"/>
                <w:szCs w:val="18"/>
              </w:rPr>
              <w:t xml:space="preserve"> : </w:t>
            </w:r>
            <w:r>
              <w:rPr>
                <w:rFonts w:ascii="Helvetica" w:hAnsi="Helvetica" w:cs="Helvetica"/>
                <w:sz w:val="18"/>
                <w:szCs w:val="18"/>
              </w:rPr>
              <w:t>22</w:t>
            </w:r>
            <w:r w:rsidRPr="00CF1509">
              <w:rPr>
                <w:rFonts w:ascii="Helvetica" w:hAnsi="Helvetica" w:cs="Helvetica"/>
                <w:sz w:val="18"/>
                <w:szCs w:val="18"/>
              </w:rPr>
              <w:t>,4</w:t>
            </w:r>
          </w:p>
          <w:p w14:paraId="42618C35" w14:textId="77777777" w:rsidR="000E42AF" w:rsidRPr="00CF1509" w:rsidRDefault="000E42AF" w:rsidP="006D067C">
            <w:pPr>
              <w:pStyle w:val="Sansinterligne"/>
              <w:contextualSpacing/>
              <w:jc w:val="both"/>
              <w:rPr>
                <w:rFonts w:ascii="Helvetica" w:hAnsi="Helvetica" w:cs="Helvetica"/>
                <w:sz w:val="18"/>
                <w:szCs w:val="18"/>
              </w:rPr>
            </w:pPr>
            <w:r>
              <w:rPr>
                <w:rFonts w:ascii="Helvetica" w:hAnsi="Helvetica" w:cs="Helvetica"/>
                <w:sz w:val="18"/>
                <w:szCs w:val="18"/>
              </w:rPr>
              <w:t>-45</w:t>
            </w:r>
            <w:r w:rsidRPr="00CF1509">
              <w:rPr>
                <w:rFonts w:ascii="Helvetica" w:hAnsi="Helvetica" w:cs="Helvetica"/>
                <w:sz w:val="18"/>
                <w:szCs w:val="18"/>
              </w:rPr>
              <w:t>,</w:t>
            </w:r>
            <w:r>
              <w:rPr>
                <w:rFonts w:ascii="Helvetica" w:hAnsi="Helvetica" w:cs="Helvetica"/>
                <w:sz w:val="18"/>
                <w:szCs w:val="18"/>
              </w:rPr>
              <w:t>0</w:t>
            </w:r>
            <w:r w:rsidRPr="00CF1509">
              <w:rPr>
                <w:rFonts w:ascii="Helvetica" w:hAnsi="Helvetica" w:cs="Helvetica"/>
                <w:sz w:val="18"/>
                <w:szCs w:val="18"/>
              </w:rPr>
              <w:t>%</w:t>
            </w:r>
          </w:p>
        </w:tc>
        <w:tc>
          <w:tcPr>
            <w:tcW w:w="2551" w:type="dxa"/>
            <w:tcBorders>
              <w:left w:val="single" w:sz="1" w:space="0" w:color="000000"/>
              <w:bottom w:val="single" w:sz="4" w:space="0" w:color="auto"/>
              <w:right w:val="single" w:sz="1" w:space="0" w:color="000000"/>
            </w:tcBorders>
            <w:shd w:val="clear" w:color="auto" w:fill="auto"/>
          </w:tcPr>
          <w:p w14:paraId="334CA0A6" w14:textId="77777777" w:rsidR="000E42AF" w:rsidRPr="00CF1509" w:rsidRDefault="000E42AF" w:rsidP="006D067C">
            <w:pPr>
              <w:pStyle w:val="Sansinterligne"/>
              <w:contextualSpacing/>
              <w:rPr>
                <w:rFonts w:ascii="Helvetica" w:hAnsi="Helvetica" w:cs="Helvetica"/>
                <w:sz w:val="18"/>
                <w:szCs w:val="18"/>
              </w:rPr>
            </w:pPr>
            <w:r w:rsidRPr="00CF1509">
              <w:rPr>
                <w:rFonts w:ascii="Helvetica" w:hAnsi="Helvetica" w:cs="Helvetica"/>
                <w:sz w:val="18"/>
                <w:szCs w:val="18"/>
              </w:rPr>
              <w:t xml:space="preserve">France vers </w:t>
            </w:r>
            <w:r>
              <w:rPr>
                <w:rFonts w:ascii="Helvetica" w:hAnsi="Helvetica" w:cs="Helvetica"/>
                <w:sz w:val="18"/>
                <w:szCs w:val="18"/>
              </w:rPr>
              <w:t>Togo</w:t>
            </w:r>
            <w:r w:rsidRPr="00CF1509">
              <w:rPr>
                <w:rFonts w:ascii="Helvetica" w:hAnsi="Helvetica" w:cs="Helvetica"/>
                <w:sz w:val="18"/>
                <w:szCs w:val="18"/>
              </w:rPr>
              <w:t xml:space="preserve"> : </w:t>
            </w:r>
            <w:r>
              <w:rPr>
                <w:rFonts w:ascii="Helvetica" w:hAnsi="Helvetica" w:cs="Helvetica"/>
                <w:sz w:val="18"/>
                <w:szCs w:val="18"/>
              </w:rPr>
              <w:t>54</w:t>
            </w:r>
            <w:r w:rsidRPr="00CF1509">
              <w:rPr>
                <w:rFonts w:ascii="Helvetica" w:hAnsi="Helvetica" w:cs="Helvetica"/>
                <w:sz w:val="18"/>
                <w:szCs w:val="18"/>
              </w:rPr>
              <w:t>,</w:t>
            </w:r>
            <w:r>
              <w:rPr>
                <w:rFonts w:ascii="Helvetica" w:hAnsi="Helvetica" w:cs="Helvetica"/>
                <w:sz w:val="18"/>
                <w:szCs w:val="18"/>
              </w:rPr>
              <w:t>2</w:t>
            </w:r>
          </w:p>
          <w:p w14:paraId="1DBBE084" w14:textId="77777777" w:rsidR="000E42AF" w:rsidRPr="00B55B68" w:rsidRDefault="000E42AF" w:rsidP="006D067C">
            <w:pPr>
              <w:pStyle w:val="Sansinterligne"/>
              <w:contextualSpacing/>
              <w:rPr>
                <w:rFonts w:ascii="Helvetica" w:hAnsi="Helvetica" w:cs="Helvetica"/>
                <w:sz w:val="18"/>
                <w:szCs w:val="18"/>
                <w:highlight w:val="yellow"/>
              </w:rPr>
            </w:pPr>
            <w:r w:rsidRPr="00CF1509">
              <w:rPr>
                <w:rFonts w:ascii="Helvetica" w:hAnsi="Helvetica" w:cs="Helvetica"/>
                <w:sz w:val="18"/>
                <w:szCs w:val="18"/>
              </w:rPr>
              <w:t>+</w:t>
            </w:r>
            <w:r>
              <w:rPr>
                <w:rFonts w:ascii="Helvetica" w:hAnsi="Helvetica" w:cs="Helvetica"/>
                <w:sz w:val="18"/>
                <w:szCs w:val="18"/>
              </w:rPr>
              <w:t>4,2</w:t>
            </w:r>
            <w:r w:rsidRPr="00CF1509">
              <w:rPr>
                <w:rFonts w:ascii="Helvetica" w:hAnsi="Helvetica" w:cs="Helvetica"/>
                <w:sz w:val="18"/>
                <w:szCs w:val="18"/>
              </w:rPr>
              <w:t>%</w:t>
            </w:r>
          </w:p>
        </w:tc>
      </w:tr>
      <w:tr w:rsidR="000E42AF" w:rsidRPr="00B55B68" w14:paraId="2515F80F" w14:textId="77777777" w:rsidTr="000E42AF">
        <w:trPr>
          <w:trHeight w:val="227"/>
        </w:trPr>
        <w:tc>
          <w:tcPr>
            <w:tcW w:w="2638" w:type="dxa"/>
            <w:tcBorders>
              <w:top w:val="single" w:sz="4" w:space="0" w:color="auto"/>
              <w:left w:val="single" w:sz="4" w:space="0" w:color="auto"/>
              <w:bottom w:val="single" w:sz="4" w:space="0" w:color="auto"/>
              <w:right w:val="single" w:sz="4" w:space="0" w:color="auto"/>
            </w:tcBorders>
            <w:shd w:val="clear" w:color="auto" w:fill="auto"/>
          </w:tcPr>
          <w:p w14:paraId="765C4DA1" w14:textId="77777777" w:rsidR="000E42AF" w:rsidRPr="00B55B68" w:rsidRDefault="000E42AF" w:rsidP="006D067C">
            <w:pPr>
              <w:pStyle w:val="Sansinterligne"/>
              <w:contextualSpacing/>
              <w:jc w:val="both"/>
              <w:rPr>
                <w:rFonts w:ascii="Helvetica" w:hAnsi="Helvetica" w:cs="Helvetica"/>
                <w:sz w:val="18"/>
                <w:szCs w:val="18"/>
              </w:rPr>
            </w:pPr>
            <w:bookmarkStart w:id="0" w:name="_Hlk193129356"/>
            <w:r w:rsidRPr="00B55B68">
              <w:rPr>
                <w:rFonts w:ascii="Helvetica" w:hAnsi="Helvetica" w:cs="Helvetica"/>
                <w:sz w:val="18"/>
                <w:szCs w:val="18"/>
              </w:rPr>
              <w:t>Part du flux bilatéral dans les importations agricoles</w:t>
            </w:r>
          </w:p>
          <w:p w14:paraId="4E1B078F" w14:textId="77777777"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et agroalimentaires</w:t>
            </w:r>
            <w:r w:rsidRPr="00B55B68">
              <w:rPr>
                <w:rStyle w:val="Appelnotedebasdep"/>
                <w:rFonts w:ascii="Helvetica" w:hAnsi="Helvetica" w:cs="Helvetica"/>
                <w:sz w:val="18"/>
                <w:szCs w:val="18"/>
              </w:rPr>
              <w:footnoteReference w:id="8"/>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FDCC57" w14:textId="77777777" w:rsidR="000E42AF" w:rsidRPr="00CF1509" w:rsidRDefault="000E42AF" w:rsidP="006D067C">
            <w:pPr>
              <w:pStyle w:val="Sansinterligne"/>
              <w:contextualSpacing/>
              <w:jc w:val="both"/>
              <w:rPr>
                <w:rFonts w:ascii="Helvetica" w:hAnsi="Helvetica" w:cs="Helvetica"/>
                <w:b/>
                <w:bCs/>
                <w:sz w:val="18"/>
                <w:szCs w:val="18"/>
              </w:rPr>
            </w:pPr>
            <w:r w:rsidRPr="00CF1509">
              <w:rPr>
                <w:rFonts w:ascii="Helvetica" w:hAnsi="Helvetica" w:cs="Helvetica"/>
                <w:sz w:val="18"/>
                <w:szCs w:val="18"/>
              </w:rPr>
              <w:t>202</w:t>
            </w:r>
            <w:r>
              <w:rPr>
                <w:rFonts w:ascii="Helvetica" w:hAnsi="Helvetica" w:cs="Helvetica"/>
                <w:sz w:val="18"/>
                <w:szCs w:val="18"/>
              </w:rPr>
              <w:t>4</w:t>
            </w:r>
            <w:r w:rsidRPr="00CF1509">
              <w:rPr>
                <w:rFonts w:ascii="Helvetica" w:hAnsi="Helvetica" w:cs="Helvetica"/>
                <w:sz w:val="18"/>
                <w:szCs w:val="18"/>
                <w:vertAlign w:val="superscript"/>
              </w:rPr>
              <w:t>6 7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952C2E" w14:textId="77777777" w:rsidR="000E42AF" w:rsidRPr="00CF1509" w:rsidRDefault="000E42AF" w:rsidP="006D067C">
            <w:pPr>
              <w:pStyle w:val="Sansinterligne"/>
              <w:contextualSpacing/>
              <w:jc w:val="both"/>
              <w:rPr>
                <w:rFonts w:ascii="Helvetica" w:hAnsi="Helvetica" w:cs="Helvetica"/>
                <w:bCs/>
                <w:sz w:val="18"/>
                <w:szCs w:val="18"/>
              </w:rPr>
            </w:pPr>
            <w:r>
              <w:rPr>
                <w:rFonts w:ascii="Helvetica" w:hAnsi="Helvetica" w:cs="Helvetica"/>
                <w:bCs/>
                <w:sz w:val="18"/>
                <w:szCs w:val="18"/>
              </w:rPr>
              <w:t>0</w:t>
            </w:r>
            <w:r w:rsidRPr="00CF1509">
              <w:rPr>
                <w:rFonts w:ascii="Helvetica" w:hAnsi="Helvetica" w:cs="Helvetica"/>
                <w:bCs/>
                <w:sz w:val="18"/>
                <w:szCs w:val="18"/>
              </w:rPr>
              <w:t>,</w:t>
            </w:r>
            <w:r>
              <w:rPr>
                <w:rFonts w:ascii="Helvetica" w:hAnsi="Helvetica" w:cs="Helvetica"/>
                <w:bCs/>
                <w:sz w:val="18"/>
                <w:szCs w:val="18"/>
              </w:rPr>
              <w:t>0</w:t>
            </w:r>
            <w:r w:rsidRPr="00CF1509">
              <w:rPr>
                <w:rFonts w:ascii="Helvetica" w:hAnsi="Helvetica" w:cs="Helvetica"/>
                <w:bCs/>
                <w:sz w:val="18"/>
                <w:szCs w:val="18"/>
              </w:rPr>
              <w:t>5% des importations françaises</w:t>
            </w:r>
          </w:p>
          <w:p w14:paraId="51CC9CE1" w14:textId="77777777" w:rsidR="000E42AF" w:rsidRPr="00CF1509" w:rsidRDefault="000E42AF" w:rsidP="006D067C">
            <w:pPr>
              <w:pStyle w:val="Sansinterligne"/>
              <w:contextualSpacing/>
              <w:jc w:val="both"/>
              <w:rPr>
                <w:rFonts w:ascii="Helvetica" w:hAnsi="Helvetica" w:cs="Helvetica"/>
                <w:bCs/>
                <w:sz w:val="18"/>
                <w:szCs w:val="18"/>
              </w:rPr>
            </w:pPr>
            <w:r>
              <w:rPr>
                <w:rFonts w:ascii="Helvetica" w:hAnsi="Helvetica" w:cs="Helvetica"/>
                <w:bCs/>
                <w:sz w:val="18"/>
                <w:szCs w:val="18"/>
              </w:rPr>
              <w:t>9</w:t>
            </w:r>
            <w:r w:rsidRPr="00CF1509">
              <w:rPr>
                <w:rFonts w:ascii="Helvetica" w:hAnsi="Helvetica" w:cs="Helvetica"/>
                <w:bCs/>
                <w:sz w:val="18"/>
                <w:szCs w:val="18"/>
              </w:rPr>
              <w:t>5</w:t>
            </w:r>
            <w:r w:rsidRPr="00CF1509">
              <w:rPr>
                <w:rFonts w:ascii="Helvetica" w:hAnsi="Helvetica" w:cs="Helvetica"/>
                <w:bCs/>
                <w:sz w:val="18"/>
                <w:szCs w:val="18"/>
                <w:vertAlign w:val="superscript"/>
              </w:rPr>
              <w:t>e</w:t>
            </w:r>
            <w:r w:rsidRPr="00CF1509">
              <w:rPr>
                <w:rFonts w:ascii="Helvetica" w:hAnsi="Helvetica" w:cs="Helvetica"/>
                <w:bCs/>
                <w:sz w:val="18"/>
                <w:szCs w:val="18"/>
              </w:rPr>
              <w:t xml:space="preserve"> fournisseur de la France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AB381C" w14:textId="77777777" w:rsidR="000E42AF" w:rsidRPr="00CF1509" w:rsidRDefault="000E42AF" w:rsidP="006D067C">
            <w:pPr>
              <w:pStyle w:val="Sansinterligne"/>
              <w:contextualSpacing/>
              <w:jc w:val="both"/>
              <w:rPr>
                <w:rFonts w:ascii="Helvetica" w:hAnsi="Helvetica" w:cs="Helvetica"/>
                <w:sz w:val="18"/>
                <w:szCs w:val="18"/>
              </w:rPr>
            </w:pPr>
            <w:r>
              <w:rPr>
                <w:rFonts w:ascii="Helvetica" w:hAnsi="Helvetica" w:cs="Helvetica"/>
                <w:bCs/>
                <w:sz w:val="18"/>
                <w:szCs w:val="18"/>
              </w:rPr>
              <w:t>5,4</w:t>
            </w:r>
            <w:r w:rsidRPr="00CF1509">
              <w:rPr>
                <w:rFonts w:ascii="Helvetica" w:hAnsi="Helvetica" w:cs="Helvetica"/>
                <w:bCs/>
                <w:sz w:val="18"/>
                <w:szCs w:val="18"/>
              </w:rPr>
              <w:t xml:space="preserve">% </w:t>
            </w:r>
            <w:r w:rsidRPr="00CF1509">
              <w:rPr>
                <w:rFonts w:ascii="Helvetica" w:hAnsi="Helvetica" w:cs="Helvetica"/>
                <w:sz w:val="18"/>
                <w:szCs w:val="18"/>
              </w:rPr>
              <w:t xml:space="preserve">des importations </w:t>
            </w:r>
            <w:r>
              <w:rPr>
                <w:rFonts w:ascii="Helvetica" w:hAnsi="Helvetica" w:cs="Helvetica"/>
                <w:sz w:val="18"/>
                <w:szCs w:val="18"/>
              </w:rPr>
              <w:t>togolais</w:t>
            </w:r>
            <w:r w:rsidRPr="00CF1509">
              <w:rPr>
                <w:rFonts w:ascii="Helvetica" w:hAnsi="Helvetica" w:cs="Helvetica"/>
                <w:sz w:val="18"/>
                <w:szCs w:val="18"/>
              </w:rPr>
              <w:t>es</w:t>
            </w:r>
          </w:p>
          <w:p w14:paraId="109451E2" w14:textId="77777777" w:rsidR="000E42AF" w:rsidRPr="00B55B68" w:rsidRDefault="000E42AF" w:rsidP="006D067C">
            <w:pPr>
              <w:pStyle w:val="Sansinterligne"/>
              <w:contextualSpacing/>
              <w:jc w:val="both"/>
              <w:rPr>
                <w:rFonts w:ascii="Helvetica" w:hAnsi="Helvetica" w:cs="Helvetica"/>
                <w:bCs/>
                <w:sz w:val="18"/>
                <w:szCs w:val="18"/>
                <w:highlight w:val="yellow"/>
              </w:rPr>
            </w:pPr>
            <w:r>
              <w:rPr>
                <w:rFonts w:ascii="Helvetica" w:hAnsi="Helvetica" w:cs="Helvetica"/>
                <w:sz w:val="18"/>
                <w:szCs w:val="18"/>
              </w:rPr>
              <w:t>6</w:t>
            </w:r>
            <w:r>
              <w:rPr>
                <w:rFonts w:ascii="Helvetica" w:hAnsi="Helvetica" w:cs="Helvetica"/>
                <w:sz w:val="18"/>
                <w:szCs w:val="18"/>
                <w:vertAlign w:val="superscript"/>
              </w:rPr>
              <w:t>e</w:t>
            </w:r>
            <w:r w:rsidRPr="00CF1509">
              <w:rPr>
                <w:rFonts w:ascii="Helvetica" w:hAnsi="Helvetica" w:cs="Helvetica"/>
                <w:sz w:val="18"/>
                <w:szCs w:val="18"/>
              </w:rPr>
              <w:t xml:space="preserve"> fournisseur </w:t>
            </w:r>
            <w:r>
              <w:rPr>
                <w:rFonts w:ascii="Helvetica" w:hAnsi="Helvetica" w:cs="Helvetica"/>
                <w:sz w:val="18"/>
                <w:szCs w:val="18"/>
              </w:rPr>
              <w:t>du Togo</w:t>
            </w:r>
          </w:p>
        </w:tc>
      </w:tr>
      <w:tr w:rsidR="000E42AF" w:rsidRPr="00B55B68" w14:paraId="63D510FB" w14:textId="77777777" w:rsidTr="000E42AF">
        <w:trPr>
          <w:trHeight w:val="227"/>
        </w:trPr>
        <w:tc>
          <w:tcPr>
            <w:tcW w:w="2638" w:type="dxa"/>
            <w:tcBorders>
              <w:top w:val="single" w:sz="4" w:space="0" w:color="auto"/>
              <w:left w:val="single" w:sz="4" w:space="0" w:color="auto"/>
              <w:bottom w:val="single" w:sz="4" w:space="0" w:color="auto"/>
              <w:right w:val="single" w:sz="4" w:space="0" w:color="auto"/>
            </w:tcBorders>
            <w:shd w:val="clear" w:color="auto" w:fill="auto"/>
          </w:tcPr>
          <w:p w14:paraId="56DA30B0" w14:textId="77777777" w:rsidR="000E42AF" w:rsidRPr="00B55B68" w:rsidRDefault="000E42AF" w:rsidP="006D067C">
            <w:pPr>
              <w:pStyle w:val="Sansinterligne"/>
              <w:contextualSpacing/>
              <w:jc w:val="both"/>
              <w:rPr>
                <w:rFonts w:ascii="Helvetica" w:hAnsi="Helvetica" w:cs="Helvetica"/>
                <w:sz w:val="18"/>
                <w:szCs w:val="18"/>
              </w:rPr>
            </w:pPr>
            <w:r w:rsidRPr="00B55B68">
              <w:rPr>
                <w:rFonts w:ascii="Helvetica" w:hAnsi="Helvetica" w:cs="Helvetica"/>
                <w:sz w:val="18"/>
                <w:szCs w:val="18"/>
              </w:rPr>
              <w:t>Part du flux bilatéral dans les exportations agricoles</w:t>
            </w:r>
          </w:p>
          <w:p w14:paraId="0B8AB698" w14:textId="77777777" w:rsidR="000E42AF" w:rsidRPr="00B55B68" w:rsidRDefault="000E42AF" w:rsidP="006D067C">
            <w:pPr>
              <w:pStyle w:val="Contenudetableau"/>
              <w:shd w:val="clear" w:color="auto" w:fill="FFFFFF"/>
              <w:snapToGrid w:val="0"/>
              <w:contextualSpacing/>
              <w:jc w:val="both"/>
              <w:rPr>
                <w:rFonts w:ascii="Helvetica" w:hAnsi="Helvetica" w:cs="Helvetica"/>
                <w:sz w:val="18"/>
                <w:szCs w:val="18"/>
              </w:rPr>
            </w:pPr>
            <w:r w:rsidRPr="00B55B68">
              <w:rPr>
                <w:rFonts w:ascii="Helvetica" w:hAnsi="Helvetica" w:cs="Helvetica"/>
                <w:sz w:val="18"/>
                <w:szCs w:val="18"/>
              </w:rPr>
              <w:t>et agroalimentaires</w:t>
            </w:r>
            <w:r w:rsidRPr="00B55B68">
              <w:rPr>
                <w:rFonts w:ascii="Helvetica" w:hAnsi="Helvetica" w:cs="Helvetica"/>
                <w:sz w:val="18"/>
                <w:szCs w:val="18"/>
                <w:vertAlign w:val="superscript"/>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8B92D9" w14:textId="77777777" w:rsidR="000E42AF" w:rsidRPr="00B55B68" w:rsidRDefault="000E42AF" w:rsidP="006D067C">
            <w:pPr>
              <w:autoSpaceDE w:val="0"/>
              <w:autoSpaceDN w:val="0"/>
              <w:adjustRightInd w:val="0"/>
              <w:contextualSpacing/>
              <w:jc w:val="both"/>
              <w:rPr>
                <w:rFonts w:ascii="Helvetica" w:hAnsi="Helvetica" w:cs="Helvetica"/>
                <w:b/>
                <w:bCs/>
                <w:sz w:val="18"/>
                <w:szCs w:val="18"/>
              </w:rPr>
            </w:pPr>
            <w:r w:rsidRPr="00B55B68">
              <w:rPr>
                <w:rFonts w:ascii="Helvetica" w:hAnsi="Helvetica" w:cs="Helvetica"/>
                <w:sz w:val="18"/>
                <w:szCs w:val="18"/>
              </w:rPr>
              <w:t>202</w:t>
            </w:r>
            <w:r>
              <w:rPr>
                <w:rFonts w:ascii="Helvetica" w:hAnsi="Helvetica" w:cs="Helvetica"/>
                <w:sz w:val="18"/>
                <w:szCs w:val="18"/>
              </w:rPr>
              <w:t>4</w:t>
            </w:r>
            <w:r w:rsidRPr="00B55B68">
              <w:rPr>
                <w:rFonts w:ascii="Helvetica" w:hAnsi="Helvetica" w:cs="Helvetica"/>
                <w:sz w:val="18"/>
                <w:szCs w:val="18"/>
                <w:vertAlign w:val="superscript"/>
              </w:rPr>
              <w:t>6 7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8D806C" w14:textId="77777777" w:rsidR="000E42AF" w:rsidRPr="00DB0B73" w:rsidRDefault="000E42AF" w:rsidP="006D067C">
            <w:pPr>
              <w:autoSpaceDE w:val="0"/>
              <w:autoSpaceDN w:val="0"/>
              <w:adjustRightInd w:val="0"/>
              <w:contextualSpacing/>
              <w:jc w:val="both"/>
              <w:rPr>
                <w:rFonts w:ascii="Helvetica" w:hAnsi="Helvetica" w:cs="Helvetica"/>
                <w:bCs/>
                <w:sz w:val="18"/>
                <w:szCs w:val="18"/>
              </w:rPr>
            </w:pPr>
            <w:r w:rsidRPr="00DB0B73">
              <w:rPr>
                <w:rFonts w:ascii="Helvetica" w:hAnsi="Helvetica" w:cs="Helvetica"/>
                <w:bCs/>
                <w:sz w:val="18"/>
                <w:szCs w:val="18"/>
              </w:rPr>
              <w:t>0,</w:t>
            </w:r>
            <w:r>
              <w:rPr>
                <w:rFonts w:ascii="Helvetica" w:hAnsi="Helvetica" w:cs="Helvetica"/>
                <w:bCs/>
                <w:sz w:val="18"/>
                <w:szCs w:val="18"/>
              </w:rPr>
              <w:t>07</w:t>
            </w:r>
            <w:r w:rsidRPr="00DB0B73">
              <w:rPr>
                <w:rFonts w:ascii="Helvetica" w:hAnsi="Helvetica" w:cs="Helvetica"/>
                <w:bCs/>
                <w:sz w:val="18"/>
                <w:szCs w:val="18"/>
              </w:rPr>
              <w:t>% des exportations françaises</w:t>
            </w:r>
          </w:p>
          <w:p w14:paraId="5B849729" w14:textId="77777777" w:rsidR="000E42AF" w:rsidRPr="00B55B68" w:rsidRDefault="000E42AF" w:rsidP="006D067C">
            <w:pPr>
              <w:autoSpaceDE w:val="0"/>
              <w:autoSpaceDN w:val="0"/>
              <w:adjustRightInd w:val="0"/>
              <w:contextualSpacing/>
              <w:jc w:val="both"/>
              <w:rPr>
                <w:rFonts w:ascii="Helvetica" w:hAnsi="Helvetica" w:cs="Helvetica"/>
                <w:bCs/>
                <w:sz w:val="18"/>
                <w:szCs w:val="18"/>
                <w:highlight w:val="yellow"/>
              </w:rPr>
            </w:pPr>
            <w:r>
              <w:rPr>
                <w:rFonts w:ascii="Helvetica" w:hAnsi="Helvetica" w:cs="Helvetica"/>
                <w:bCs/>
                <w:sz w:val="18"/>
                <w:szCs w:val="18"/>
              </w:rPr>
              <w:t>8</w:t>
            </w:r>
            <w:r w:rsidRPr="00DB0B73">
              <w:rPr>
                <w:rFonts w:ascii="Helvetica" w:hAnsi="Helvetica" w:cs="Helvetica"/>
                <w:bCs/>
                <w:sz w:val="18"/>
                <w:szCs w:val="18"/>
              </w:rPr>
              <w:t>9</w:t>
            </w:r>
            <w:r w:rsidRPr="00DB0B73">
              <w:rPr>
                <w:rFonts w:ascii="Helvetica" w:hAnsi="Helvetica" w:cs="Helvetica"/>
                <w:bCs/>
                <w:sz w:val="18"/>
                <w:szCs w:val="18"/>
                <w:vertAlign w:val="superscript"/>
              </w:rPr>
              <w:t>e</w:t>
            </w:r>
            <w:r w:rsidRPr="00DB0B73">
              <w:rPr>
                <w:rFonts w:ascii="Helvetica" w:hAnsi="Helvetica" w:cs="Helvetica"/>
                <w:bCs/>
                <w:sz w:val="18"/>
                <w:szCs w:val="18"/>
              </w:rPr>
              <w:t xml:space="preserve"> client de la France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A7D757" w14:textId="77777777" w:rsidR="000E42AF" w:rsidRPr="00CF1509" w:rsidRDefault="000E42AF" w:rsidP="006D067C">
            <w:pPr>
              <w:autoSpaceDE w:val="0"/>
              <w:autoSpaceDN w:val="0"/>
              <w:adjustRightInd w:val="0"/>
              <w:contextualSpacing/>
              <w:jc w:val="both"/>
              <w:rPr>
                <w:rFonts w:ascii="Helvetica" w:hAnsi="Helvetica" w:cs="Helvetica"/>
                <w:sz w:val="18"/>
                <w:szCs w:val="18"/>
              </w:rPr>
            </w:pPr>
            <w:r>
              <w:rPr>
                <w:rFonts w:ascii="Helvetica" w:hAnsi="Helvetica" w:cs="Helvetica"/>
                <w:bCs/>
                <w:sz w:val="18"/>
                <w:szCs w:val="18"/>
              </w:rPr>
              <w:t>3,8</w:t>
            </w:r>
            <w:r w:rsidRPr="00CF1509">
              <w:rPr>
                <w:rFonts w:ascii="Helvetica" w:hAnsi="Helvetica" w:cs="Helvetica"/>
                <w:bCs/>
                <w:sz w:val="18"/>
                <w:szCs w:val="18"/>
              </w:rPr>
              <w:t xml:space="preserve">% </w:t>
            </w:r>
            <w:r w:rsidRPr="00CF1509">
              <w:rPr>
                <w:rFonts w:ascii="Helvetica" w:hAnsi="Helvetica" w:cs="Helvetica"/>
                <w:sz w:val="18"/>
                <w:szCs w:val="18"/>
              </w:rPr>
              <w:t xml:space="preserve">des exportations </w:t>
            </w:r>
            <w:r>
              <w:rPr>
                <w:rFonts w:ascii="Helvetica" w:hAnsi="Helvetica" w:cs="Helvetica"/>
                <w:sz w:val="18"/>
                <w:szCs w:val="18"/>
              </w:rPr>
              <w:t>togolais</w:t>
            </w:r>
            <w:r w:rsidRPr="00CF1509">
              <w:rPr>
                <w:rFonts w:ascii="Helvetica" w:hAnsi="Helvetica" w:cs="Helvetica"/>
                <w:sz w:val="18"/>
                <w:szCs w:val="18"/>
              </w:rPr>
              <w:t>es</w:t>
            </w:r>
          </w:p>
          <w:p w14:paraId="29FCD71C" w14:textId="77777777" w:rsidR="000E42AF" w:rsidRPr="00B55B68" w:rsidRDefault="000E42AF" w:rsidP="006D067C">
            <w:pPr>
              <w:autoSpaceDE w:val="0"/>
              <w:autoSpaceDN w:val="0"/>
              <w:adjustRightInd w:val="0"/>
              <w:contextualSpacing/>
              <w:jc w:val="both"/>
              <w:rPr>
                <w:rFonts w:ascii="Helvetica" w:hAnsi="Helvetica" w:cs="Helvetica"/>
                <w:sz w:val="18"/>
                <w:szCs w:val="18"/>
                <w:highlight w:val="yellow"/>
              </w:rPr>
            </w:pPr>
            <w:r>
              <w:rPr>
                <w:rFonts w:ascii="Helvetica" w:hAnsi="Helvetica" w:cs="Helvetica"/>
                <w:sz w:val="18"/>
                <w:szCs w:val="18"/>
              </w:rPr>
              <w:t>11</w:t>
            </w:r>
            <w:r w:rsidRPr="00CF1509">
              <w:rPr>
                <w:rFonts w:ascii="Helvetica" w:hAnsi="Helvetica" w:cs="Helvetica"/>
                <w:sz w:val="18"/>
                <w:szCs w:val="18"/>
                <w:vertAlign w:val="superscript"/>
              </w:rPr>
              <w:t>e</w:t>
            </w:r>
            <w:r w:rsidRPr="00CF1509">
              <w:rPr>
                <w:rFonts w:ascii="Helvetica" w:hAnsi="Helvetica" w:cs="Helvetica"/>
                <w:sz w:val="18"/>
                <w:szCs w:val="18"/>
              </w:rPr>
              <w:t xml:space="preserve"> client </w:t>
            </w:r>
            <w:r>
              <w:rPr>
                <w:rFonts w:ascii="Helvetica" w:hAnsi="Helvetica" w:cs="Helvetica"/>
                <w:sz w:val="18"/>
                <w:szCs w:val="18"/>
              </w:rPr>
              <w:t>du Togo</w:t>
            </w:r>
          </w:p>
        </w:tc>
      </w:tr>
    </w:tbl>
    <w:bookmarkEnd w:id="0"/>
    <w:p w14:paraId="7136E688" w14:textId="6F523695" w:rsidR="000E42AF" w:rsidRPr="000E42AF" w:rsidRDefault="000E42AF" w:rsidP="000E42AF">
      <w:pPr>
        <w:spacing w:after="0" w:line="240" w:lineRule="auto"/>
        <w:rPr>
          <w:rFonts w:ascii="Segoe UI" w:eastAsia="Segoe UI" w:hAnsi="Segoe UI" w:cs="Segoe UI"/>
          <w:b/>
          <w:color w:val="FFC000"/>
          <w:sz w:val="26"/>
          <w:szCs w:val="26"/>
          <w:bdr w:val="nil"/>
          <w:lang w:eastAsia="fr-FR"/>
        </w:rPr>
      </w:pPr>
      <w:r w:rsidRPr="000E42AF">
        <w:rPr>
          <w:rFonts w:ascii="Marianne" w:eastAsia="Segoe UI" w:hAnsi="Marianne" w:cs="Segoe UI"/>
          <w:b/>
          <w:color w:val="FFC000"/>
          <w:sz w:val="24"/>
          <w:szCs w:val="24"/>
        </w:rPr>
        <w:lastRenderedPageBreak/>
        <w:t xml:space="preserve">Résumé : Ce qu’il faut retenir </w:t>
      </w:r>
    </w:p>
    <w:p w14:paraId="6236DA2D" w14:textId="77777777" w:rsidR="000E42AF" w:rsidRPr="008519BD" w:rsidRDefault="000E42AF" w:rsidP="000E42AF">
      <w:pPr>
        <w:spacing w:after="0" w:line="264" w:lineRule="atLeast"/>
        <w:jc w:val="both"/>
        <w:rPr>
          <w:rFonts w:ascii="Marianne" w:eastAsia="Marianne" w:hAnsi="Marianne" w:cs="Arial"/>
          <w:sz w:val="20"/>
          <w:szCs w:val="20"/>
          <w:u w:val="single"/>
        </w:rPr>
      </w:pPr>
    </w:p>
    <w:p w14:paraId="6D5CEA67" w14:textId="77777777" w:rsidR="000E42AF" w:rsidRDefault="000E42AF" w:rsidP="000E42AF">
      <w:pPr>
        <w:spacing w:after="0" w:line="240" w:lineRule="auto"/>
        <w:jc w:val="both"/>
        <w:rPr>
          <w:rFonts w:ascii="Marianne" w:eastAsia="Marianne" w:hAnsi="Marianne" w:cs="Arial"/>
          <w:sz w:val="20"/>
          <w:szCs w:val="20"/>
        </w:rPr>
      </w:pPr>
      <w:bookmarkStart w:id="1" w:name="_Hlk193102684"/>
      <w:r w:rsidRPr="00B41761">
        <w:rPr>
          <w:rFonts w:ascii="Segoe UI Symbol" w:hAnsi="Segoe UI Symbol" w:cs="Segoe UI Symbol"/>
          <w:sz w:val="20"/>
          <w:szCs w:val="20"/>
        </w:rPr>
        <w:t>✚</w:t>
      </w:r>
      <w:r>
        <w:rPr>
          <w:rFonts w:ascii="Segoe UI Symbol" w:hAnsi="Segoe UI Symbol" w:cs="Segoe UI Symbol"/>
          <w:sz w:val="20"/>
          <w:szCs w:val="20"/>
        </w:rPr>
        <w:t xml:space="preserve"> </w:t>
      </w:r>
      <w:bookmarkEnd w:id="1"/>
      <w:r w:rsidRPr="008519BD">
        <w:rPr>
          <w:rFonts w:ascii="Marianne" w:eastAsia="Marianne" w:hAnsi="Marianne" w:cs="Arial"/>
          <w:b/>
          <w:bCs/>
          <w:sz w:val="20"/>
          <w:szCs w:val="20"/>
        </w:rPr>
        <w:t>L’agriculture et l’agroalimentaire contribuent à 40% du PIB</w:t>
      </w:r>
      <w:r w:rsidRPr="008519BD">
        <w:rPr>
          <w:rFonts w:ascii="Marianne" w:eastAsia="Marianne" w:hAnsi="Marianne" w:cs="Arial"/>
          <w:sz w:val="20"/>
          <w:szCs w:val="20"/>
        </w:rPr>
        <w:t xml:space="preserve"> </w:t>
      </w:r>
      <w:r w:rsidRPr="00D12721">
        <w:rPr>
          <w:rFonts w:ascii="Marianne" w:eastAsia="Marianne" w:hAnsi="Marianne" w:cs="Arial"/>
          <w:b/>
          <w:bCs/>
          <w:sz w:val="20"/>
          <w:szCs w:val="20"/>
        </w:rPr>
        <w:t xml:space="preserve">du Togo </w:t>
      </w:r>
      <w:r w:rsidRPr="008519BD">
        <w:rPr>
          <w:rFonts w:ascii="Marianne" w:eastAsia="Marianne" w:hAnsi="Marianne" w:cs="Arial"/>
          <w:sz w:val="20"/>
          <w:szCs w:val="20"/>
        </w:rPr>
        <w:t>et occupent deux tiers de la population active togolaise.</w:t>
      </w:r>
    </w:p>
    <w:p w14:paraId="20996D80" w14:textId="77777777" w:rsidR="000E42AF" w:rsidRDefault="000E42AF" w:rsidP="000E42AF">
      <w:pPr>
        <w:spacing w:after="0" w:line="240" w:lineRule="auto"/>
        <w:jc w:val="both"/>
        <w:rPr>
          <w:rFonts w:ascii="Marianne" w:eastAsia="Marianne" w:hAnsi="Marianne" w:cs="Arial"/>
          <w:sz w:val="20"/>
          <w:szCs w:val="20"/>
        </w:rPr>
      </w:pPr>
    </w:p>
    <w:p w14:paraId="390A998C" w14:textId="77777777" w:rsidR="000E42AF" w:rsidRDefault="000E42AF" w:rsidP="000E42AF">
      <w:pPr>
        <w:spacing w:after="0" w:line="240" w:lineRule="auto"/>
        <w:jc w:val="both"/>
        <w:rPr>
          <w:rFonts w:ascii="Marianne" w:eastAsia="Marianne" w:hAnsi="Marianne" w:cs="Arial"/>
          <w:sz w:val="20"/>
          <w:szCs w:val="20"/>
        </w:rPr>
      </w:pPr>
      <w:bookmarkStart w:id="2" w:name="_Hlk193102875"/>
      <w:bookmarkStart w:id="3" w:name="_Hlk193102746"/>
      <w:r w:rsidRPr="00B41761">
        <w:rPr>
          <w:rFonts w:ascii="Segoe UI Symbol" w:hAnsi="Segoe UI Symbol" w:cs="Segoe UI Symbol"/>
          <w:sz w:val="20"/>
          <w:szCs w:val="20"/>
        </w:rPr>
        <w:t>✚</w:t>
      </w:r>
      <w:bookmarkEnd w:id="2"/>
      <w:r>
        <w:rPr>
          <w:rFonts w:ascii="Segoe UI Symbol" w:hAnsi="Segoe UI Symbol" w:cs="Segoe UI Symbol"/>
          <w:sz w:val="20"/>
          <w:szCs w:val="20"/>
        </w:rPr>
        <w:t xml:space="preserve"> </w:t>
      </w:r>
      <w:bookmarkEnd w:id="3"/>
      <w:r w:rsidRPr="00D12721">
        <w:rPr>
          <w:rFonts w:ascii="Marianne" w:eastAsia="Marianne" w:hAnsi="Marianne" w:cs="Arial"/>
          <w:b/>
          <w:bCs/>
          <w:sz w:val="20"/>
          <w:szCs w:val="20"/>
        </w:rPr>
        <w:t xml:space="preserve">L’agriculture </w:t>
      </w:r>
      <w:r>
        <w:rPr>
          <w:rFonts w:ascii="Marianne" w:eastAsia="Marianne" w:hAnsi="Marianne" w:cs="Arial"/>
          <w:b/>
          <w:bCs/>
          <w:sz w:val="20"/>
          <w:szCs w:val="20"/>
        </w:rPr>
        <w:t xml:space="preserve">togolaise </w:t>
      </w:r>
      <w:r w:rsidRPr="00D12721">
        <w:rPr>
          <w:rFonts w:ascii="Marianne" w:eastAsia="Marianne" w:hAnsi="Marianne" w:cs="Arial"/>
          <w:b/>
          <w:bCs/>
          <w:sz w:val="20"/>
          <w:szCs w:val="20"/>
        </w:rPr>
        <w:t>fait face à de nombreux défis</w:t>
      </w:r>
      <w:r w:rsidRPr="008519BD">
        <w:rPr>
          <w:rFonts w:ascii="Marianne" w:eastAsia="Marianne" w:hAnsi="Marianne" w:cs="Arial"/>
          <w:sz w:val="20"/>
          <w:szCs w:val="20"/>
        </w:rPr>
        <w:t xml:space="preserve"> de productivité, d’adaptation au changement climatique, de financement et de structuration des filières.</w:t>
      </w:r>
    </w:p>
    <w:p w14:paraId="66B165BA" w14:textId="77777777" w:rsidR="000E42AF" w:rsidRDefault="000E42AF" w:rsidP="000E42AF">
      <w:pPr>
        <w:spacing w:after="0" w:line="240" w:lineRule="auto"/>
        <w:jc w:val="both"/>
        <w:rPr>
          <w:rFonts w:ascii="Marianne" w:eastAsia="Marianne" w:hAnsi="Marianne" w:cs="Arial"/>
          <w:sz w:val="20"/>
          <w:szCs w:val="20"/>
        </w:rPr>
      </w:pPr>
    </w:p>
    <w:p w14:paraId="3E98708E" w14:textId="77777777" w:rsidR="000E42AF" w:rsidRDefault="000E42AF" w:rsidP="000E42AF">
      <w:pPr>
        <w:spacing w:after="0" w:line="240" w:lineRule="auto"/>
        <w:jc w:val="both"/>
        <w:rPr>
          <w:rFonts w:ascii="Marianne" w:eastAsia="Marianne" w:hAnsi="Marianne" w:cs="Arial"/>
          <w:sz w:val="20"/>
          <w:szCs w:val="20"/>
        </w:rPr>
      </w:pPr>
      <w:r w:rsidRPr="00D12721">
        <w:rPr>
          <w:rFonts w:ascii="Segoe UI Symbol" w:eastAsia="Marianne" w:hAnsi="Segoe UI Symbol" w:cs="Segoe UI Symbol"/>
          <w:sz w:val="20"/>
          <w:szCs w:val="20"/>
        </w:rPr>
        <w:t>✚</w:t>
      </w:r>
      <w:r>
        <w:rPr>
          <w:rFonts w:ascii="Segoe UI Symbol" w:eastAsia="Marianne" w:hAnsi="Segoe UI Symbol" w:cs="Segoe UI Symbol"/>
          <w:sz w:val="20"/>
          <w:szCs w:val="20"/>
        </w:rPr>
        <w:t xml:space="preserve"> </w:t>
      </w:r>
      <w:r w:rsidRPr="00D12721">
        <w:rPr>
          <w:rFonts w:ascii="Marianne" w:eastAsia="Marianne" w:hAnsi="Marianne" w:cs="Arial"/>
          <w:b/>
          <w:bCs/>
          <w:sz w:val="20"/>
          <w:szCs w:val="20"/>
        </w:rPr>
        <w:t>Priorité stratégique majeure du gouvernement</w:t>
      </w:r>
      <w:r w:rsidRPr="00D12721">
        <w:rPr>
          <w:rFonts w:ascii="Marianne" w:eastAsia="Marianne" w:hAnsi="Marianne" w:cs="Arial"/>
          <w:sz w:val="20"/>
          <w:szCs w:val="20"/>
        </w:rPr>
        <w:t>, le secteur constitue un levier de croissance pour développer de nouveaux partenariats</w:t>
      </w:r>
      <w:r>
        <w:rPr>
          <w:rFonts w:ascii="Marianne" w:eastAsia="Marianne" w:hAnsi="Marianne" w:cs="Arial"/>
          <w:sz w:val="20"/>
          <w:szCs w:val="20"/>
        </w:rPr>
        <w:t xml:space="preserve">, en particulier </w:t>
      </w:r>
      <w:r w:rsidRPr="00D12721">
        <w:rPr>
          <w:rFonts w:ascii="Marianne" w:eastAsia="Marianne" w:hAnsi="Marianne" w:cs="Arial"/>
          <w:sz w:val="20"/>
          <w:szCs w:val="20"/>
        </w:rPr>
        <w:t>entre les entreprises françaises et togolaises.</w:t>
      </w:r>
    </w:p>
    <w:p w14:paraId="7922C535" w14:textId="77777777" w:rsidR="000E42AF" w:rsidRDefault="000E42AF" w:rsidP="000E42AF">
      <w:pPr>
        <w:spacing w:after="0" w:line="240" w:lineRule="auto"/>
        <w:jc w:val="both"/>
        <w:rPr>
          <w:rFonts w:ascii="Marianne" w:eastAsia="Marianne" w:hAnsi="Marianne" w:cs="Arial"/>
          <w:sz w:val="20"/>
          <w:szCs w:val="20"/>
        </w:rPr>
      </w:pPr>
    </w:p>
    <w:p w14:paraId="45F48959" w14:textId="77777777" w:rsidR="000E42AF" w:rsidRDefault="000E42AF" w:rsidP="000E42AF">
      <w:pPr>
        <w:spacing w:after="0" w:line="240" w:lineRule="auto"/>
        <w:jc w:val="both"/>
        <w:rPr>
          <w:rFonts w:ascii="Marianne" w:eastAsia="Marianne" w:hAnsi="Marianne" w:cs="Arial"/>
          <w:sz w:val="20"/>
          <w:szCs w:val="20"/>
        </w:rPr>
      </w:pPr>
      <w:bookmarkStart w:id="4" w:name="_Hlk193102785"/>
      <w:r w:rsidRPr="00B41761">
        <w:rPr>
          <w:rFonts w:ascii="Segoe UI Symbol" w:hAnsi="Segoe UI Symbol" w:cs="Segoe UI Symbol"/>
          <w:sz w:val="20"/>
          <w:szCs w:val="20"/>
        </w:rPr>
        <w:t>✚</w:t>
      </w:r>
      <w:r>
        <w:rPr>
          <w:rFonts w:ascii="Segoe UI Symbol" w:hAnsi="Segoe UI Symbol" w:cs="Segoe UI Symbol"/>
          <w:sz w:val="20"/>
          <w:szCs w:val="20"/>
        </w:rPr>
        <w:t xml:space="preserve"> </w:t>
      </w:r>
      <w:bookmarkEnd w:id="4"/>
      <w:r w:rsidRPr="000E2ADD">
        <w:rPr>
          <w:rFonts w:ascii="Segoe UI Symbol" w:hAnsi="Segoe UI Symbol" w:cs="Segoe UI Symbol"/>
          <w:b/>
          <w:bCs/>
          <w:sz w:val="20"/>
          <w:szCs w:val="20"/>
        </w:rPr>
        <w:t>D</w:t>
      </w:r>
      <w:r w:rsidRPr="000E2ADD">
        <w:rPr>
          <w:rFonts w:ascii="Marianne" w:eastAsia="Marianne" w:hAnsi="Marianne" w:cs="Arial"/>
          <w:b/>
          <w:bCs/>
          <w:sz w:val="20"/>
          <w:szCs w:val="20"/>
        </w:rPr>
        <w:t>e</w:t>
      </w:r>
      <w:r w:rsidRPr="00D12721">
        <w:rPr>
          <w:rFonts w:ascii="Marianne" w:eastAsia="Marianne" w:hAnsi="Marianne" w:cs="Arial"/>
          <w:b/>
          <w:bCs/>
          <w:sz w:val="20"/>
          <w:szCs w:val="20"/>
        </w:rPr>
        <w:t>s opportunités existent et sont soutenues par les pouvoirs publics</w:t>
      </w:r>
      <w:r w:rsidRPr="008519BD">
        <w:rPr>
          <w:rFonts w:ascii="Marianne" w:eastAsia="Marianne" w:hAnsi="Marianne" w:cs="Arial"/>
          <w:sz w:val="20"/>
          <w:szCs w:val="20"/>
        </w:rPr>
        <w:t>, telles que la production biologique pour l’export, le développement de l’élevage à destination du marché national, la transformation de produits bruts issus des filières végétales (soja notamment).</w:t>
      </w:r>
    </w:p>
    <w:p w14:paraId="5146085A" w14:textId="77777777" w:rsidR="000E42AF" w:rsidRDefault="000E42AF" w:rsidP="000E42AF">
      <w:pPr>
        <w:spacing w:after="0" w:line="240" w:lineRule="auto"/>
        <w:jc w:val="both"/>
        <w:rPr>
          <w:rFonts w:ascii="Marianne" w:eastAsia="Marianne" w:hAnsi="Marianne" w:cs="Arial"/>
          <w:sz w:val="20"/>
          <w:szCs w:val="20"/>
        </w:rPr>
      </w:pPr>
    </w:p>
    <w:p w14:paraId="5A016C6E" w14:textId="24D4395D" w:rsidR="000E42AF" w:rsidRDefault="000E42AF" w:rsidP="000E42AF">
      <w:pPr>
        <w:spacing w:after="0" w:line="240" w:lineRule="auto"/>
        <w:jc w:val="both"/>
        <w:rPr>
          <w:rFonts w:ascii="Marianne" w:eastAsia="Marianne" w:hAnsi="Marianne" w:cs="Arial"/>
          <w:sz w:val="20"/>
          <w:szCs w:val="20"/>
        </w:rPr>
      </w:pPr>
      <w:r w:rsidRPr="00D12721">
        <w:rPr>
          <w:rFonts w:ascii="Segoe UI Symbol" w:eastAsia="Marianne" w:hAnsi="Segoe UI Symbol" w:cs="Segoe UI Symbol"/>
          <w:sz w:val="20"/>
          <w:szCs w:val="20"/>
        </w:rPr>
        <w:t>✚</w:t>
      </w:r>
      <w:r w:rsidRPr="00D12721">
        <w:rPr>
          <w:rFonts w:ascii="Marianne" w:eastAsia="Marianne" w:hAnsi="Marianne" w:cs="Arial"/>
          <w:sz w:val="20"/>
          <w:szCs w:val="20"/>
        </w:rPr>
        <w:t xml:space="preserve"> </w:t>
      </w:r>
      <w:r w:rsidRPr="00D12721">
        <w:rPr>
          <w:rFonts w:ascii="Marianne" w:eastAsia="Marianne" w:hAnsi="Marianne" w:cs="Arial"/>
          <w:b/>
          <w:bCs/>
          <w:sz w:val="20"/>
          <w:szCs w:val="20"/>
        </w:rPr>
        <w:t>L</w:t>
      </w:r>
      <w:r>
        <w:rPr>
          <w:rFonts w:ascii="Marianne" w:eastAsia="Marianne" w:hAnsi="Marianne" w:cs="Arial"/>
          <w:b/>
          <w:bCs/>
          <w:sz w:val="20"/>
          <w:szCs w:val="20"/>
        </w:rPr>
        <w:t>a balance commerciale agricole et agroalimentaire du Togo est déficitaire</w:t>
      </w:r>
      <w:r w:rsidRPr="008519BD">
        <w:rPr>
          <w:rFonts w:ascii="Marianne" w:eastAsia="Marianne" w:hAnsi="Marianne" w:cs="Arial"/>
          <w:sz w:val="20"/>
          <w:szCs w:val="20"/>
        </w:rPr>
        <w:t xml:space="preserve">, en particulier avec la France, sixième fournisseur. </w:t>
      </w:r>
      <w:bookmarkStart w:id="5" w:name="_Hlk173920434"/>
    </w:p>
    <w:p w14:paraId="03A9995F" w14:textId="77777777" w:rsidR="000E42AF" w:rsidRDefault="000E42AF" w:rsidP="000E42AF">
      <w:pPr>
        <w:spacing w:after="0" w:line="240" w:lineRule="auto"/>
        <w:jc w:val="both"/>
        <w:rPr>
          <w:rFonts w:ascii="Marianne" w:eastAsia="Marianne" w:hAnsi="Marianne" w:cs="Arial"/>
          <w:sz w:val="20"/>
          <w:szCs w:val="20"/>
        </w:rPr>
      </w:pPr>
    </w:p>
    <w:p w14:paraId="1C6D8A16" w14:textId="77777777" w:rsidR="000E42AF" w:rsidRPr="000E42AF" w:rsidRDefault="000E42AF" w:rsidP="000E42AF">
      <w:pPr>
        <w:pStyle w:val="Paragraphedeliste"/>
        <w:numPr>
          <w:ilvl w:val="0"/>
          <w:numId w:val="24"/>
        </w:numPr>
        <w:spacing w:after="0" w:line="240" w:lineRule="auto"/>
        <w:rPr>
          <w:rFonts w:ascii="Marianne" w:eastAsia="Segoe UI" w:hAnsi="Marianne" w:cs="Segoe UI"/>
          <w:b/>
          <w:color w:val="FFC000"/>
          <w:sz w:val="26"/>
          <w:szCs w:val="26"/>
        </w:rPr>
      </w:pPr>
      <w:bookmarkStart w:id="6" w:name="_Hlk193102951"/>
      <w:r w:rsidRPr="000E42AF">
        <w:rPr>
          <w:rFonts w:ascii="Marianne" w:eastAsia="Segoe UI" w:hAnsi="Marianne" w:cs="Segoe UI"/>
          <w:b/>
          <w:color w:val="FFC000"/>
          <w:sz w:val="26"/>
          <w:szCs w:val="26"/>
        </w:rPr>
        <w:t>Production agricole</w:t>
      </w:r>
    </w:p>
    <w:bookmarkEnd w:id="6"/>
    <w:p w14:paraId="315726CA" w14:textId="77777777" w:rsidR="000E42AF" w:rsidRDefault="000E42AF" w:rsidP="000E42AF">
      <w:pPr>
        <w:spacing w:after="0" w:line="240" w:lineRule="auto"/>
        <w:jc w:val="both"/>
        <w:rPr>
          <w:rFonts w:ascii="Marianne" w:eastAsia="Marianne" w:hAnsi="Marianne" w:cs="Arial"/>
          <w:sz w:val="20"/>
          <w:szCs w:val="20"/>
        </w:rPr>
      </w:pPr>
    </w:p>
    <w:p w14:paraId="7777E115" w14:textId="77777777" w:rsidR="000E42AF" w:rsidRDefault="000E42AF" w:rsidP="000E42AF">
      <w:pPr>
        <w:spacing w:after="0"/>
        <w:jc w:val="both"/>
        <w:rPr>
          <w:rFonts w:ascii="Marianne" w:hAnsi="Marianne" w:cs="Arial"/>
          <w:sz w:val="20"/>
          <w:szCs w:val="20"/>
        </w:rPr>
      </w:pPr>
      <w:r w:rsidRPr="008519BD">
        <w:rPr>
          <w:rFonts w:ascii="Marianne" w:hAnsi="Marianne" w:cs="Arial"/>
          <w:sz w:val="20"/>
          <w:szCs w:val="20"/>
        </w:rPr>
        <w:t>Au Togo, la surface des terres arables est d’environ 3,6</w:t>
      </w:r>
      <w:r>
        <w:rPr>
          <w:rFonts w:ascii="Marianne" w:hAnsi="Marianne" w:cs="Arial"/>
          <w:sz w:val="20"/>
          <w:szCs w:val="20"/>
        </w:rPr>
        <w:t xml:space="preserve"> M d’ha</w:t>
      </w:r>
      <w:r w:rsidRPr="008519BD">
        <w:rPr>
          <w:rFonts w:ascii="Marianne" w:hAnsi="Marianne" w:cs="Arial"/>
          <w:sz w:val="20"/>
          <w:szCs w:val="20"/>
        </w:rPr>
        <w:t xml:space="preserve">, ce qui dote le pays de </w:t>
      </w:r>
      <w:r w:rsidRPr="008519BD">
        <w:rPr>
          <w:rFonts w:ascii="Marianne" w:hAnsi="Marianne" w:cs="Arial"/>
          <w:b/>
          <w:bCs/>
          <w:sz w:val="20"/>
          <w:szCs w:val="20"/>
        </w:rPr>
        <w:t>l’une des plus grandes superficies de terres arables par habitant d’Afrique de l’ouest</w:t>
      </w:r>
      <w:r w:rsidRPr="008519BD">
        <w:rPr>
          <w:rFonts w:ascii="Marianne" w:hAnsi="Marianne" w:cs="Arial"/>
          <w:sz w:val="20"/>
          <w:szCs w:val="20"/>
          <w:vertAlign w:val="superscript"/>
        </w:rPr>
        <w:footnoteReference w:id="9"/>
      </w:r>
      <w:r>
        <w:rPr>
          <w:rFonts w:ascii="Marianne" w:hAnsi="Marianne" w:cs="Arial"/>
          <w:sz w:val="20"/>
          <w:szCs w:val="20"/>
        </w:rPr>
        <w:t xml:space="preserve">. </w:t>
      </w:r>
      <w:r w:rsidRPr="008519BD">
        <w:rPr>
          <w:rFonts w:ascii="Marianne" w:hAnsi="Marianne" w:cs="Arial"/>
          <w:sz w:val="20"/>
          <w:szCs w:val="20"/>
        </w:rPr>
        <w:t>Si 60% de la surface totale du pays est cultivable, seulement 45% de ces terres cultivables est utilisée.</w:t>
      </w:r>
    </w:p>
    <w:p w14:paraId="4D02CA54" w14:textId="77777777" w:rsidR="000E42AF" w:rsidRDefault="000E42AF" w:rsidP="000E42AF">
      <w:pPr>
        <w:spacing w:after="0"/>
        <w:jc w:val="both"/>
        <w:rPr>
          <w:rFonts w:ascii="Marianne" w:hAnsi="Marianne" w:cs="Arial"/>
          <w:sz w:val="20"/>
          <w:szCs w:val="20"/>
        </w:rPr>
      </w:pPr>
    </w:p>
    <w:p w14:paraId="7F18E156"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Le climat est </w:t>
      </w:r>
      <w:r w:rsidRPr="008519BD">
        <w:rPr>
          <w:rFonts w:ascii="Marianne" w:hAnsi="Marianne" w:cs="Arial"/>
          <w:b/>
          <w:bCs/>
          <w:sz w:val="20"/>
          <w:szCs w:val="20"/>
        </w:rPr>
        <w:t>tropical</w:t>
      </w:r>
      <w:r w:rsidRPr="008519BD">
        <w:rPr>
          <w:rFonts w:ascii="Marianne" w:hAnsi="Marianne" w:cs="Arial"/>
          <w:sz w:val="20"/>
          <w:szCs w:val="20"/>
        </w:rPr>
        <w:t>, mais la pluviométrie est différente selon les régions</w:t>
      </w:r>
      <w:r>
        <w:rPr>
          <w:rFonts w:ascii="Marianne" w:hAnsi="Marianne" w:cs="Arial"/>
          <w:sz w:val="20"/>
          <w:szCs w:val="20"/>
        </w:rPr>
        <w:t> :</w:t>
      </w:r>
      <w:r w:rsidRPr="008519BD">
        <w:rPr>
          <w:rFonts w:ascii="Marianne" w:hAnsi="Marianne" w:cs="Arial"/>
          <w:sz w:val="20"/>
          <w:szCs w:val="20"/>
        </w:rPr>
        <w:t xml:space="preserve"> tropical humide au sud (deux saisons humides par an, dont une importante d’avril à juin et une plus légère de septembre à octobre), et tropical sec au nord (une seule saison des pluies, de juin à septembre).</w:t>
      </w:r>
    </w:p>
    <w:p w14:paraId="7889A4DD" w14:textId="77777777" w:rsidR="000E42AF" w:rsidRDefault="000E42AF" w:rsidP="000E42AF">
      <w:pPr>
        <w:spacing w:after="0"/>
        <w:jc w:val="both"/>
        <w:rPr>
          <w:rFonts w:ascii="Marianne" w:hAnsi="Marianne" w:cs="Arial"/>
          <w:b/>
          <w:bCs/>
          <w:sz w:val="20"/>
          <w:szCs w:val="20"/>
        </w:rPr>
      </w:pPr>
    </w:p>
    <w:p w14:paraId="53869F9B" w14:textId="77777777" w:rsidR="000E42AF" w:rsidRDefault="000E42AF" w:rsidP="000E42AF">
      <w:pPr>
        <w:spacing w:after="0"/>
        <w:jc w:val="both"/>
        <w:rPr>
          <w:rFonts w:ascii="Marianne" w:hAnsi="Marianne" w:cs="Arial"/>
          <w:b/>
          <w:bCs/>
          <w:sz w:val="20"/>
          <w:szCs w:val="20"/>
        </w:rPr>
      </w:pPr>
      <w:r w:rsidRPr="00CA6E26">
        <w:rPr>
          <w:rFonts w:ascii="Marianne" w:hAnsi="Marianne" w:cs="Arial"/>
          <w:b/>
          <w:bCs/>
          <w:sz w:val="20"/>
          <w:szCs w:val="20"/>
        </w:rPr>
        <w:t>Le volume de la production agricole progresse de 2,4% par an en moyenne</w:t>
      </w:r>
      <w:r w:rsidRPr="00B54490">
        <w:rPr>
          <w:rFonts w:ascii="Marianne" w:hAnsi="Marianne" w:cs="Arial"/>
          <w:sz w:val="20"/>
          <w:szCs w:val="20"/>
        </w:rPr>
        <w:t>, pour atteindre 5,89 M</w:t>
      </w:r>
      <w:r>
        <w:rPr>
          <w:rFonts w:ascii="Marianne" w:hAnsi="Marianne" w:cs="Arial"/>
          <w:sz w:val="20"/>
          <w:szCs w:val="20"/>
        </w:rPr>
        <w:t xml:space="preserve">t </w:t>
      </w:r>
      <w:r w:rsidRPr="00B54490">
        <w:rPr>
          <w:rFonts w:ascii="Marianne" w:hAnsi="Marianne" w:cs="Arial"/>
          <w:sz w:val="20"/>
          <w:szCs w:val="20"/>
        </w:rPr>
        <w:t xml:space="preserve">en 2022. </w:t>
      </w:r>
      <w:r w:rsidRPr="00B54490">
        <w:rPr>
          <w:rFonts w:ascii="Marianne" w:hAnsi="Marianne" w:cs="Arial"/>
          <w:b/>
          <w:bCs/>
          <w:sz w:val="20"/>
          <w:szCs w:val="20"/>
        </w:rPr>
        <w:t>L’augmentation de la surface des terres cultivées</w:t>
      </w:r>
      <w:r w:rsidRPr="00B54490">
        <w:rPr>
          <w:rFonts w:ascii="Marianne" w:hAnsi="Marianne" w:cs="Arial"/>
          <w:sz w:val="20"/>
          <w:szCs w:val="20"/>
        </w:rPr>
        <w:t xml:space="preserve"> est le principal levier de cette hausse de la production agricole depuis les années 2000</w:t>
      </w:r>
      <w:r w:rsidRPr="00B54490">
        <w:rPr>
          <w:rFonts w:ascii="Marianne" w:hAnsi="Marianne" w:cs="Arial"/>
          <w:sz w:val="20"/>
          <w:szCs w:val="20"/>
          <w:vertAlign w:val="superscript"/>
        </w:rPr>
        <w:footnoteReference w:id="10"/>
      </w:r>
      <w:r>
        <w:rPr>
          <w:rFonts w:ascii="Marianne" w:hAnsi="Marianne" w:cs="Arial"/>
          <w:sz w:val="20"/>
          <w:szCs w:val="20"/>
        </w:rPr>
        <w:t>. L</w:t>
      </w:r>
      <w:r w:rsidRPr="00CA6E26">
        <w:rPr>
          <w:rFonts w:ascii="Marianne" w:hAnsi="Marianne" w:cs="Arial"/>
          <w:sz w:val="20"/>
          <w:szCs w:val="20"/>
        </w:rPr>
        <w:t xml:space="preserve">a valeur ajoutée du secteur agricole a </w:t>
      </w:r>
      <w:r>
        <w:rPr>
          <w:rFonts w:ascii="Marianne" w:hAnsi="Marianne" w:cs="Arial"/>
          <w:sz w:val="20"/>
          <w:szCs w:val="20"/>
        </w:rPr>
        <w:t xml:space="preserve">ainsi </w:t>
      </w:r>
      <w:r w:rsidRPr="00CA6E26">
        <w:rPr>
          <w:rFonts w:ascii="Marianne" w:hAnsi="Marianne" w:cs="Arial"/>
          <w:sz w:val="20"/>
          <w:szCs w:val="20"/>
        </w:rPr>
        <w:t>augmenté de 31,6% entre 2012 et 2022</w:t>
      </w:r>
      <w:r>
        <w:rPr>
          <w:rFonts w:ascii="Marianne" w:hAnsi="Marianne" w:cs="Arial"/>
          <w:sz w:val="20"/>
          <w:szCs w:val="20"/>
        </w:rPr>
        <w:t>.</w:t>
      </w:r>
      <w:r w:rsidRPr="00A313CC">
        <w:t xml:space="preserve"> </w:t>
      </w:r>
      <w:r w:rsidRPr="00A313CC">
        <w:rPr>
          <w:rFonts w:ascii="Marianne" w:hAnsi="Marianne" w:cs="Arial"/>
          <w:sz w:val="20"/>
          <w:szCs w:val="20"/>
        </w:rPr>
        <w:t xml:space="preserve">En 2022, le secteur agricole, sylvicole et de la pêche a généré près d’1,5 Md </w:t>
      </w:r>
      <w:r>
        <w:rPr>
          <w:rFonts w:ascii="Marianne" w:hAnsi="Marianne" w:cs="Arial"/>
          <w:sz w:val="20"/>
          <w:szCs w:val="20"/>
        </w:rPr>
        <w:t>d’</w:t>
      </w:r>
      <w:r w:rsidRPr="00A313CC">
        <w:rPr>
          <w:rFonts w:ascii="Marianne" w:hAnsi="Marianne" w:cs="Arial"/>
          <w:sz w:val="20"/>
          <w:szCs w:val="20"/>
        </w:rPr>
        <w:t>USD de valeur ajoutée</w:t>
      </w:r>
      <w:r w:rsidRPr="00CA6E26">
        <w:rPr>
          <w:rFonts w:ascii="Marianne" w:hAnsi="Marianne" w:cs="Arial"/>
          <w:sz w:val="20"/>
          <w:szCs w:val="20"/>
        </w:rPr>
        <w:t>.</w:t>
      </w:r>
      <w:r>
        <w:rPr>
          <w:rFonts w:ascii="Marianne" w:hAnsi="Marianne" w:cs="Arial"/>
          <w:b/>
          <w:bCs/>
          <w:sz w:val="20"/>
          <w:szCs w:val="20"/>
        </w:rPr>
        <w:t xml:space="preserve"> </w:t>
      </w:r>
      <w:r w:rsidRPr="00C11F03">
        <w:rPr>
          <w:rFonts w:ascii="Marianne" w:hAnsi="Marianne" w:cs="Arial"/>
          <w:b/>
          <w:bCs/>
          <w:sz w:val="20"/>
          <w:szCs w:val="20"/>
        </w:rPr>
        <w:t>Le secteur agricole et agroalimentaire contribue à 40% du Produit Intérieur Brut (PIB)</w:t>
      </w:r>
      <w:r>
        <w:rPr>
          <w:rFonts w:ascii="Marianne" w:hAnsi="Marianne" w:cs="Arial"/>
          <w:b/>
          <w:bCs/>
          <w:sz w:val="20"/>
          <w:szCs w:val="20"/>
        </w:rPr>
        <w:t xml:space="preserve"> mais </w:t>
      </w:r>
      <w:r w:rsidRPr="00C11F03">
        <w:rPr>
          <w:rFonts w:ascii="Marianne" w:hAnsi="Marianne" w:cs="Arial"/>
          <w:b/>
          <w:bCs/>
          <w:sz w:val="20"/>
          <w:szCs w:val="20"/>
        </w:rPr>
        <w:t>occupe plus de 70% de la population active</w:t>
      </w:r>
      <w:r>
        <w:rPr>
          <w:rFonts w:ascii="Marianne" w:hAnsi="Marianne" w:cs="Arial"/>
          <w:b/>
          <w:bCs/>
          <w:sz w:val="20"/>
          <w:szCs w:val="20"/>
        </w:rPr>
        <w:t>.</w:t>
      </w:r>
    </w:p>
    <w:p w14:paraId="6EA5D7BF" w14:textId="77777777" w:rsidR="000E42AF" w:rsidRDefault="000E42AF" w:rsidP="000E42AF">
      <w:pPr>
        <w:spacing w:after="0"/>
        <w:jc w:val="both"/>
        <w:rPr>
          <w:rFonts w:ascii="Marianne" w:hAnsi="Marianne" w:cs="Arial"/>
          <w:b/>
          <w:bCs/>
          <w:sz w:val="20"/>
          <w:szCs w:val="20"/>
        </w:rPr>
      </w:pPr>
    </w:p>
    <w:p w14:paraId="6B529D71"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b/>
          <w:bCs/>
          <w:sz w:val="20"/>
          <w:szCs w:val="20"/>
        </w:rPr>
        <w:t xml:space="preserve">Les exploitations agricoles togolaises </w:t>
      </w:r>
      <w:r>
        <w:rPr>
          <w:rFonts w:ascii="Marianne" w:hAnsi="Marianne" w:cs="Arial"/>
          <w:b/>
          <w:bCs/>
          <w:sz w:val="20"/>
          <w:szCs w:val="20"/>
        </w:rPr>
        <w:t>resten</w:t>
      </w:r>
      <w:r w:rsidRPr="008519BD">
        <w:rPr>
          <w:rFonts w:ascii="Marianne" w:hAnsi="Marianne" w:cs="Arial"/>
          <w:b/>
          <w:bCs/>
          <w:sz w:val="20"/>
          <w:szCs w:val="20"/>
        </w:rPr>
        <w:t>t de très petite taille</w:t>
      </w:r>
      <w:r w:rsidRPr="008519BD">
        <w:rPr>
          <w:rFonts w:ascii="Marianne" w:hAnsi="Marianne" w:cs="Arial"/>
          <w:sz w:val="20"/>
          <w:szCs w:val="20"/>
        </w:rPr>
        <w:t xml:space="preserve"> (2,9 hectares en moyenne</w:t>
      </w:r>
      <w:r w:rsidRPr="008519BD">
        <w:rPr>
          <w:rFonts w:ascii="Marianne" w:hAnsi="Marianne" w:cs="Arial"/>
          <w:sz w:val="20"/>
          <w:szCs w:val="20"/>
          <w:vertAlign w:val="superscript"/>
        </w:rPr>
        <w:footnoteReference w:id="11"/>
      </w:r>
      <w:r w:rsidRPr="008519BD">
        <w:rPr>
          <w:rFonts w:ascii="Marianne" w:hAnsi="Marianne" w:cs="Arial"/>
          <w:sz w:val="20"/>
          <w:szCs w:val="20"/>
        </w:rPr>
        <w:t xml:space="preserve">), et principalement orientées sur les </w:t>
      </w:r>
      <w:r w:rsidRPr="008519BD">
        <w:rPr>
          <w:rFonts w:ascii="Marianne" w:hAnsi="Marianne" w:cs="Arial"/>
          <w:b/>
          <w:bCs/>
          <w:sz w:val="20"/>
          <w:szCs w:val="20"/>
        </w:rPr>
        <w:t>productions végétales</w:t>
      </w:r>
      <w:r w:rsidRPr="008519BD">
        <w:rPr>
          <w:rFonts w:ascii="Marianne" w:hAnsi="Marianne" w:cs="Arial"/>
          <w:sz w:val="20"/>
          <w:szCs w:val="20"/>
        </w:rPr>
        <w:t> : cultures vivrières</w:t>
      </w:r>
      <w:r w:rsidRPr="008519BD">
        <w:rPr>
          <w:rFonts w:ascii="Marianne" w:hAnsi="Marianne" w:cs="Arial"/>
          <w:b/>
          <w:bCs/>
          <w:sz w:val="20"/>
          <w:szCs w:val="20"/>
        </w:rPr>
        <w:t xml:space="preserve"> </w:t>
      </w:r>
      <w:r w:rsidRPr="008519BD">
        <w:rPr>
          <w:rFonts w:ascii="Marianne" w:hAnsi="Marianne" w:cs="Arial"/>
          <w:sz w:val="20"/>
          <w:szCs w:val="20"/>
        </w:rPr>
        <w:t>(céréales, racines et tubercules, légumineuses, cultures maraîchères et fruitières, etc.) et cultures de rente (coton 70 000 tonnes produites en 2023-2024), cacao (13 800 t exportées en 2023), café (6 600 t exportées en 2023), soja (260 000 t produites et 121 000 exportées en 2023), ananas (44 391 t produites en 2022).</w:t>
      </w:r>
    </w:p>
    <w:p w14:paraId="5B6ED6FC" w14:textId="77777777" w:rsidR="000E42AF" w:rsidRDefault="000E42AF" w:rsidP="000E42AF">
      <w:pPr>
        <w:spacing w:after="0"/>
        <w:jc w:val="both"/>
        <w:rPr>
          <w:rFonts w:ascii="Marianne" w:hAnsi="Marianne" w:cs="Arial"/>
          <w:b/>
          <w:bCs/>
          <w:sz w:val="20"/>
          <w:szCs w:val="20"/>
        </w:rPr>
      </w:pPr>
    </w:p>
    <w:p w14:paraId="463A60C8" w14:textId="77777777" w:rsidR="000E42AF" w:rsidRPr="008519BD" w:rsidRDefault="000E42AF" w:rsidP="000E42AF">
      <w:pPr>
        <w:spacing w:after="0"/>
        <w:jc w:val="both"/>
        <w:rPr>
          <w:rFonts w:ascii="Marianne" w:hAnsi="Marianne" w:cs="Arial"/>
          <w:sz w:val="20"/>
          <w:szCs w:val="20"/>
        </w:rPr>
      </w:pPr>
      <w:r w:rsidRPr="005E2506">
        <w:rPr>
          <w:rFonts w:ascii="Marianne" w:hAnsi="Marianne" w:cs="Arial"/>
          <w:b/>
          <w:bCs/>
          <w:sz w:val="20"/>
          <w:szCs w:val="20"/>
        </w:rPr>
        <w:t>Le principal défi de l’agriculture togolaise est le</w:t>
      </w:r>
      <w:r w:rsidRPr="008519BD">
        <w:rPr>
          <w:rFonts w:ascii="Marianne" w:hAnsi="Marianne" w:cs="Arial"/>
          <w:sz w:val="20"/>
          <w:szCs w:val="20"/>
        </w:rPr>
        <w:t xml:space="preserve"> </w:t>
      </w:r>
      <w:r w:rsidRPr="008519BD">
        <w:rPr>
          <w:rFonts w:ascii="Marianne" w:hAnsi="Marianne" w:cs="Arial"/>
          <w:b/>
          <w:bCs/>
          <w:sz w:val="20"/>
          <w:szCs w:val="20"/>
        </w:rPr>
        <w:t xml:space="preserve">faible rendement des cultures </w:t>
      </w:r>
      <w:r w:rsidRPr="008519BD">
        <w:rPr>
          <w:rFonts w:ascii="Marianne" w:hAnsi="Marianne" w:cs="Arial"/>
          <w:sz w:val="20"/>
          <w:szCs w:val="20"/>
        </w:rPr>
        <w:t>(1 à 2 t/ha pour les céréales, 0,5 à 1 t/ha pour les légumineuses et 10 t/ha pour les tubercules), en raison de difficultés multiples : accès à l’eau (</w:t>
      </w:r>
      <w:r>
        <w:rPr>
          <w:rFonts w:ascii="Marianne" w:hAnsi="Marianne" w:cs="Arial"/>
          <w:sz w:val="20"/>
          <w:szCs w:val="20"/>
        </w:rPr>
        <w:t>6</w:t>
      </w:r>
      <w:r w:rsidRPr="008519BD">
        <w:rPr>
          <w:rFonts w:ascii="Marianne" w:hAnsi="Marianne" w:cs="Arial"/>
          <w:sz w:val="20"/>
          <w:szCs w:val="20"/>
        </w:rPr>
        <w:t>%</w:t>
      </w:r>
      <w:r>
        <w:rPr>
          <w:rStyle w:val="Appelnotedebasdep"/>
          <w:rFonts w:ascii="Marianne" w:hAnsi="Marianne" w:cs="Arial"/>
          <w:sz w:val="20"/>
          <w:szCs w:val="20"/>
        </w:rPr>
        <w:footnoteReference w:id="12"/>
      </w:r>
      <w:r w:rsidRPr="008519BD">
        <w:rPr>
          <w:rFonts w:ascii="Marianne" w:hAnsi="Marianne" w:cs="Arial"/>
          <w:sz w:val="20"/>
          <w:szCs w:val="20"/>
        </w:rPr>
        <w:t xml:space="preserve"> des </w:t>
      </w:r>
      <w:r>
        <w:rPr>
          <w:rFonts w:ascii="Marianne" w:hAnsi="Marianne" w:cs="Arial"/>
          <w:sz w:val="20"/>
          <w:szCs w:val="20"/>
        </w:rPr>
        <w:t>exploitations</w:t>
      </w:r>
      <w:r w:rsidRPr="008519BD">
        <w:rPr>
          <w:rFonts w:ascii="Marianne" w:hAnsi="Marianne" w:cs="Arial"/>
          <w:sz w:val="20"/>
          <w:szCs w:val="20"/>
        </w:rPr>
        <w:t xml:space="preserve"> sont équipées d’un système d’irrigation), à la </w:t>
      </w:r>
      <w:r w:rsidRPr="008519BD">
        <w:rPr>
          <w:rFonts w:ascii="Marianne" w:hAnsi="Marianne" w:cs="Arial"/>
          <w:sz w:val="20"/>
          <w:szCs w:val="20"/>
        </w:rPr>
        <w:lastRenderedPageBreak/>
        <w:t>mécanisation (</w:t>
      </w:r>
      <w:r>
        <w:rPr>
          <w:rFonts w:ascii="Marianne" w:hAnsi="Marianne" w:cs="Arial"/>
          <w:sz w:val="20"/>
          <w:szCs w:val="20"/>
        </w:rPr>
        <w:t>seulement 2% des exploitation ont mécanisé leur récoltes, 27% des exploitations utilisent des traitement post-récolte mécanisés</w:t>
      </w:r>
      <w:r w:rsidRPr="008519BD">
        <w:rPr>
          <w:rFonts w:ascii="Marianne" w:hAnsi="Marianne" w:cs="Arial"/>
          <w:sz w:val="20"/>
          <w:szCs w:val="20"/>
        </w:rPr>
        <w:t xml:space="preserve">), aux produits phytosanitaires et vétérinaires, aux engrais et aux semences de qualité (seuls </w:t>
      </w:r>
      <w:r>
        <w:rPr>
          <w:rFonts w:ascii="Marianne" w:hAnsi="Marianne" w:cs="Arial"/>
          <w:sz w:val="20"/>
          <w:szCs w:val="20"/>
        </w:rPr>
        <w:t>10</w:t>
      </w:r>
      <w:r w:rsidRPr="008519BD">
        <w:rPr>
          <w:rFonts w:ascii="Marianne" w:hAnsi="Marianne" w:cs="Arial"/>
          <w:sz w:val="20"/>
          <w:szCs w:val="20"/>
        </w:rPr>
        <w:t>% des cultivateurs utilisent des semences améliorées).</w:t>
      </w:r>
    </w:p>
    <w:p w14:paraId="489FAD53" w14:textId="77777777" w:rsidR="000E42AF" w:rsidRDefault="000E42AF" w:rsidP="000E42AF">
      <w:pPr>
        <w:spacing w:after="0"/>
        <w:jc w:val="both"/>
        <w:rPr>
          <w:rFonts w:ascii="Marianne" w:hAnsi="Marianne" w:cs="Arial"/>
          <w:sz w:val="20"/>
          <w:szCs w:val="20"/>
        </w:rPr>
      </w:pPr>
    </w:p>
    <w:p w14:paraId="30C92CBC" w14:textId="77777777" w:rsidR="000E42AF" w:rsidRDefault="000E42AF" w:rsidP="000E42AF">
      <w:pPr>
        <w:spacing w:after="0"/>
        <w:jc w:val="both"/>
        <w:rPr>
          <w:rFonts w:ascii="Marianne" w:hAnsi="Marianne" w:cs="Arial"/>
          <w:sz w:val="20"/>
          <w:szCs w:val="20"/>
        </w:rPr>
      </w:pPr>
      <w:r w:rsidRPr="005E2506">
        <w:rPr>
          <w:rFonts w:ascii="Marianne" w:hAnsi="Marianne" w:cs="Arial"/>
          <w:b/>
          <w:bCs/>
          <w:sz w:val="20"/>
          <w:szCs w:val="20"/>
        </w:rPr>
        <w:t>Le secteur agricole est</w:t>
      </w:r>
      <w:r w:rsidRPr="008519BD">
        <w:rPr>
          <w:rFonts w:ascii="Marianne" w:hAnsi="Marianne" w:cs="Arial"/>
          <w:sz w:val="20"/>
          <w:szCs w:val="20"/>
        </w:rPr>
        <w:t xml:space="preserve"> </w:t>
      </w:r>
      <w:r w:rsidRPr="008519BD">
        <w:rPr>
          <w:rFonts w:ascii="Marianne" w:hAnsi="Marianne" w:cs="Arial"/>
          <w:b/>
          <w:bCs/>
          <w:sz w:val="20"/>
          <w:szCs w:val="20"/>
        </w:rPr>
        <w:t>fortement exposé au changement climatique</w:t>
      </w:r>
      <w:r w:rsidRPr="008519BD">
        <w:rPr>
          <w:rFonts w:ascii="Marianne" w:hAnsi="Marianne" w:cs="Arial"/>
          <w:sz w:val="20"/>
          <w:szCs w:val="20"/>
        </w:rPr>
        <w:t xml:space="preserve">. En effet, l’agriculture étant très peu irriguée, les récoltes sont dépendantes de la pluviométrie. La température annuelle moyenne a augmenté de 1,1°C depuis 1969 soit 0,24°C par décennie, ce qui a un impact sur la productivité des cultures. </w:t>
      </w:r>
      <w:r>
        <w:rPr>
          <w:rFonts w:ascii="Marianne" w:hAnsi="Marianne" w:cs="Arial"/>
          <w:sz w:val="20"/>
          <w:szCs w:val="20"/>
        </w:rPr>
        <w:t xml:space="preserve"> </w:t>
      </w:r>
      <w:r w:rsidRPr="008519BD">
        <w:rPr>
          <w:rFonts w:ascii="Marianne" w:hAnsi="Marianne" w:cs="Arial"/>
          <w:sz w:val="20"/>
          <w:szCs w:val="20"/>
        </w:rPr>
        <w:t>Or, la productivité des grandes cultures conditionne aussi celle de l’</w:t>
      </w:r>
      <w:r w:rsidRPr="008519BD">
        <w:rPr>
          <w:rFonts w:ascii="Marianne" w:hAnsi="Marianne" w:cs="Arial"/>
          <w:b/>
          <w:bCs/>
          <w:sz w:val="20"/>
          <w:szCs w:val="20"/>
        </w:rPr>
        <w:t>élevage avicole</w:t>
      </w:r>
      <w:r w:rsidRPr="008519BD">
        <w:rPr>
          <w:rFonts w:ascii="Marianne" w:hAnsi="Marianne" w:cs="Arial"/>
          <w:sz w:val="20"/>
          <w:szCs w:val="20"/>
        </w:rPr>
        <w:t xml:space="preserve">, qui dépend fortement de l’accès à un prix abordable au soja et au maïs pour l’alimentation des volailles. </w:t>
      </w:r>
    </w:p>
    <w:p w14:paraId="30C5EB22" w14:textId="77777777" w:rsidR="000E42AF" w:rsidRDefault="000E42AF" w:rsidP="000E42AF">
      <w:pPr>
        <w:spacing w:after="0"/>
        <w:jc w:val="both"/>
        <w:rPr>
          <w:rFonts w:ascii="Marianne" w:hAnsi="Marianne" w:cs="Arial"/>
          <w:sz w:val="20"/>
          <w:szCs w:val="20"/>
        </w:rPr>
      </w:pPr>
    </w:p>
    <w:p w14:paraId="33DA5217"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Par ailleurs, l</w:t>
      </w:r>
      <w:r w:rsidRPr="008519BD">
        <w:rPr>
          <w:rFonts w:ascii="Marianne" w:hAnsi="Marianne" w:cs="Arial"/>
          <w:b/>
          <w:bCs/>
          <w:sz w:val="20"/>
          <w:szCs w:val="20"/>
        </w:rPr>
        <w:t>’élevage bovin traditionnel, pratiqué en système transhumant</w:t>
      </w:r>
      <w:r w:rsidRPr="008519BD">
        <w:rPr>
          <w:rFonts w:ascii="Marianne" w:hAnsi="Marianne" w:cs="Arial"/>
          <w:sz w:val="20"/>
          <w:szCs w:val="20"/>
        </w:rPr>
        <w:t>, s’adapte à la disponibilité de l’herbe en fonction des saisons des pluies et de la géographie du pays, mais reste source de conflits avec les cultivateurs.</w:t>
      </w:r>
      <w:r w:rsidRPr="008519BD">
        <w:rPr>
          <w:rFonts w:ascii="Marianne" w:hAnsi="Marianne"/>
          <w:sz w:val="20"/>
          <w:szCs w:val="20"/>
        </w:rPr>
        <w:t xml:space="preserve"> </w:t>
      </w:r>
      <w:r w:rsidRPr="008519BD">
        <w:rPr>
          <w:rFonts w:ascii="Marianne" w:hAnsi="Marianne" w:cs="Arial"/>
          <w:sz w:val="20"/>
          <w:szCs w:val="20"/>
        </w:rPr>
        <w:t>Dans ces 2 filières animales pour lesquelles le Togo est très dépendant des importations pour ses approvisionnements, le potentiel de développement est élevé.</w:t>
      </w:r>
    </w:p>
    <w:p w14:paraId="598C14EB" w14:textId="77777777" w:rsidR="000E42AF" w:rsidRDefault="000E42AF" w:rsidP="000E42AF">
      <w:pPr>
        <w:spacing w:after="0"/>
        <w:jc w:val="both"/>
        <w:rPr>
          <w:rFonts w:ascii="Marianne" w:hAnsi="Marianne" w:cs="Arial"/>
          <w:sz w:val="20"/>
          <w:szCs w:val="20"/>
        </w:rPr>
      </w:pPr>
    </w:p>
    <w:p w14:paraId="6E0B7008"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Avec une </w:t>
      </w:r>
      <w:r w:rsidRPr="008519BD">
        <w:rPr>
          <w:rFonts w:ascii="Marianne" w:hAnsi="Marianne" w:cs="Arial"/>
          <w:b/>
          <w:bCs/>
          <w:sz w:val="20"/>
          <w:szCs w:val="20"/>
        </w:rPr>
        <w:t>surface boisée d’environ 1,2 M</w:t>
      </w:r>
      <w:r>
        <w:rPr>
          <w:rFonts w:ascii="Marianne" w:hAnsi="Marianne" w:cs="Arial"/>
          <w:b/>
          <w:bCs/>
          <w:sz w:val="20"/>
          <w:szCs w:val="20"/>
        </w:rPr>
        <w:t xml:space="preserve"> d’</w:t>
      </w:r>
      <w:r w:rsidRPr="008519BD">
        <w:rPr>
          <w:rFonts w:ascii="Marianne" w:hAnsi="Marianne" w:cs="Arial"/>
          <w:b/>
          <w:bCs/>
          <w:sz w:val="20"/>
          <w:szCs w:val="20"/>
        </w:rPr>
        <w:t>ha</w:t>
      </w:r>
      <w:r w:rsidRPr="008519BD">
        <w:rPr>
          <w:rFonts w:ascii="Marianne" w:hAnsi="Marianne" w:cs="Arial"/>
          <w:sz w:val="20"/>
          <w:szCs w:val="20"/>
        </w:rPr>
        <w:t xml:space="preserve"> (soit 20% du territoire national), le Togo n’est pas un pays forestier. La production de bois ne représente que 2% du PIB. Il s’agit essentiellement de bois de chauffe et de charbon, très utilisé par les ménages pour la cuisson des aliments.</w:t>
      </w:r>
    </w:p>
    <w:p w14:paraId="47D5DBFD" w14:textId="77777777" w:rsidR="000E42AF" w:rsidRDefault="000E42AF" w:rsidP="000E42AF">
      <w:pPr>
        <w:spacing w:after="0"/>
        <w:jc w:val="both"/>
        <w:rPr>
          <w:rFonts w:ascii="Marianne" w:hAnsi="Marianne" w:cs="Arial"/>
          <w:b/>
          <w:bCs/>
          <w:sz w:val="20"/>
          <w:szCs w:val="20"/>
        </w:rPr>
      </w:pPr>
    </w:p>
    <w:p w14:paraId="72656720"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b/>
          <w:bCs/>
          <w:sz w:val="20"/>
          <w:szCs w:val="20"/>
        </w:rPr>
        <w:t>Le secteur de la pêche reste très artisanal</w:t>
      </w:r>
      <w:r w:rsidRPr="008519BD">
        <w:rPr>
          <w:rFonts w:ascii="Marianne" w:hAnsi="Marianne" w:cs="Arial"/>
          <w:sz w:val="20"/>
          <w:szCs w:val="20"/>
        </w:rPr>
        <w:t>. Il contribue à 4,5% du PIB et fait vivre environ 22 000 personnes, dont 55% de femmes (mareyeuses pour la plupart). Il est opéré par 3 000 pêcheurs piroguiers. Leurs captures sont de l’ordre de 25 000 t</w:t>
      </w:r>
      <w:r>
        <w:rPr>
          <w:rFonts w:ascii="Marianne" w:hAnsi="Marianne" w:cs="Arial"/>
          <w:sz w:val="20"/>
          <w:szCs w:val="20"/>
        </w:rPr>
        <w:t>/an</w:t>
      </w:r>
      <w:r w:rsidRPr="008519BD">
        <w:rPr>
          <w:rFonts w:ascii="Marianne" w:hAnsi="Marianne" w:cs="Arial"/>
          <w:sz w:val="20"/>
          <w:szCs w:val="20"/>
        </w:rPr>
        <w:t>, bien en deçà (environ un tiers) des besoins nationaux en protéines, ce qui rend le pays structurellement dépendant des importations pour ses approvisionnements en poissons. Près de 75% des prises concernent des espèces pélagiques (maquereaux, caranges, thons) et démersales (carpes, dorades, bars, mérous).</w:t>
      </w:r>
    </w:p>
    <w:p w14:paraId="37323E3F" w14:textId="77777777" w:rsidR="000E42AF" w:rsidRDefault="000E42AF" w:rsidP="000E42AF">
      <w:pPr>
        <w:spacing w:after="0"/>
        <w:jc w:val="both"/>
        <w:rPr>
          <w:rFonts w:ascii="Marianne" w:hAnsi="Marianne" w:cs="Arial"/>
          <w:sz w:val="20"/>
          <w:szCs w:val="20"/>
        </w:rPr>
      </w:pPr>
    </w:p>
    <w:p w14:paraId="1D8AC809" w14:textId="77777777" w:rsidR="000E42AF" w:rsidRPr="00A313CC" w:rsidRDefault="000E42AF" w:rsidP="000E42AF">
      <w:pPr>
        <w:spacing w:after="0"/>
        <w:jc w:val="both"/>
        <w:rPr>
          <w:rFonts w:ascii="Marianne" w:hAnsi="Marianne" w:cs="Arial"/>
          <w:sz w:val="20"/>
          <w:szCs w:val="20"/>
        </w:rPr>
      </w:pPr>
      <w:r w:rsidRPr="00A313CC">
        <w:rPr>
          <w:rFonts w:ascii="Marianne" w:hAnsi="Marianne" w:cs="Arial"/>
          <w:b/>
          <w:bCs/>
          <w:sz w:val="20"/>
          <w:szCs w:val="20"/>
        </w:rPr>
        <w:t>Le secteur agroalimentaire est encore peu développé</w:t>
      </w:r>
      <w:r w:rsidRPr="00A313CC">
        <w:rPr>
          <w:rFonts w:ascii="Marianne" w:hAnsi="Marianne" w:cs="Arial"/>
          <w:sz w:val="20"/>
          <w:szCs w:val="20"/>
        </w:rPr>
        <w:t> : le taux de transformation des produits agricoles était estimé à 4% en 2018</w:t>
      </w:r>
      <w:r w:rsidRPr="00A313CC">
        <w:rPr>
          <w:rFonts w:ascii="Marianne" w:hAnsi="Marianne" w:cs="Arial"/>
          <w:sz w:val="20"/>
          <w:szCs w:val="20"/>
          <w:vertAlign w:val="superscript"/>
        </w:rPr>
        <w:footnoteReference w:id="13"/>
      </w:r>
      <w:r w:rsidRPr="00A313CC">
        <w:rPr>
          <w:rFonts w:ascii="Marianne" w:hAnsi="Marianne" w:cs="Arial"/>
          <w:sz w:val="20"/>
          <w:szCs w:val="20"/>
        </w:rPr>
        <w:t>, rendant le pays structurellement dépendant des importations pour un grand nombre de produits alimentaires de base. Si le taux de couverture des besoins nationaux par la production végétale était de 101% en 2020, le taux de couverture des besoins en viandes par la production nationale se limitait à 61%.</w:t>
      </w:r>
      <w:r w:rsidRPr="00A313CC">
        <w:rPr>
          <w:rFonts w:ascii="Marianne" w:hAnsi="Marianne" w:cs="Arial"/>
          <w:sz w:val="20"/>
          <w:szCs w:val="20"/>
          <w:vertAlign w:val="superscript"/>
        </w:rPr>
        <w:footnoteReference w:id="14"/>
      </w:r>
    </w:p>
    <w:p w14:paraId="68C9C598" w14:textId="77777777" w:rsidR="000E42AF" w:rsidRDefault="000E42AF" w:rsidP="000E42AF">
      <w:pPr>
        <w:spacing w:after="0"/>
        <w:jc w:val="both"/>
        <w:rPr>
          <w:rFonts w:ascii="Marianne" w:hAnsi="Marianne" w:cs="Arial"/>
          <w:sz w:val="20"/>
          <w:szCs w:val="20"/>
        </w:rPr>
      </w:pPr>
    </w:p>
    <w:p w14:paraId="1FAE47CA" w14:textId="77777777" w:rsidR="000E42AF" w:rsidRPr="000E42AF" w:rsidRDefault="000E42AF" w:rsidP="000E42AF">
      <w:pPr>
        <w:spacing w:after="0"/>
        <w:jc w:val="both"/>
        <w:rPr>
          <w:rFonts w:ascii="Marianne" w:hAnsi="Marianne" w:cs="Arial"/>
          <w:color w:val="FFC000"/>
          <w:sz w:val="20"/>
          <w:szCs w:val="20"/>
        </w:rPr>
      </w:pPr>
      <w:r w:rsidRPr="000E42AF">
        <w:rPr>
          <w:rFonts w:ascii="Segoe UI" w:eastAsia="Segoe UI" w:hAnsi="Segoe UI" w:cs="Segoe UI"/>
          <w:b/>
          <w:color w:val="FFC000"/>
          <w:sz w:val="26"/>
          <w:szCs w:val="26"/>
        </w:rPr>
        <w:t xml:space="preserve">2. </w:t>
      </w:r>
      <w:r w:rsidRPr="000E42AF">
        <w:rPr>
          <w:rFonts w:ascii="Marianne" w:eastAsia="Segoe UI" w:hAnsi="Marianne" w:cs="Segoe UI"/>
          <w:b/>
          <w:color w:val="FFC000"/>
          <w:sz w:val="26"/>
          <w:szCs w:val="26"/>
        </w:rPr>
        <w:t>Politique agricole</w:t>
      </w:r>
    </w:p>
    <w:p w14:paraId="7C04D59D" w14:textId="77777777" w:rsidR="000E42AF" w:rsidRDefault="000E42AF" w:rsidP="000E42AF">
      <w:pPr>
        <w:spacing w:after="0"/>
        <w:jc w:val="both"/>
        <w:rPr>
          <w:rFonts w:ascii="Marianne" w:hAnsi="Marianne" w:cs="Arial"/>
          <w:sz w:val="20"/>
          <w:szCs w:val="20"/>
        </w:rPr>
      </w:pPr>
      <w:bookmarkStart w:id="7" w:name="_Hlk173921510"/>
      <w:bookmarkStart w:id="8" w:name="_Hlk158400181"/>
      <w:bookmarkEnd w:id="5"/>
    </w:p>
    <w:p w14:paraId="6083E1F1" w14:textId="77777777" w:rsidR="000E42AF" w:rsidRPr="008519BD" w:rsidRDefault="000E42AF" w:rsidP="000E42AF">
      <w:pPr>
        <w:spacing w:after="0"/>
        <w:jc w:val="both"/>
        <w:rPr>
          <w:rFonts w:ascii="Marianne" w:hAnsi="Marianne" w:cs="Arial"/>
          <w:sz w:val="20"/>
          <w:szCs w:val="20"/>
        </w:rPr>
      </w:pPr>
      <w:r w:rsidRPr="000F16C9">
        <w:rPr>
          <w:rFonts w:ascii="Marianne" w:hAnsi="Marianne" w:cs="Arial"/>
          <w:b/>
          <w:bCs/>
          <w:sz w:val="20"/>
          <w:szCs w:val="20"/>
        </w:rPr>
        <w:t>Le gouvernement togolais a fait de la sécurité alimentaire une priorité nationale</w:t>
      </w:r>
      <w:r w:rsidRPr="008519BD">
        <w:rPr>
          <w:rFonts w:ascii="Marianne" w:hAnsi="Marianne" w:cs="Arial"/>
          <w:sz w:val="20"/>
          <w:szCs w:val="20"/>
        </w:rPr>
        <w:t>, autour de 2 axes : i) développer les filières destinées à la consommation intérieure (notamment l’élevage) ; ii) transformer localement les matières premières agricoles, afin de capter la valeur ajoutée et créer des emplois, en particulier pour les jeunes et les femmes.</w:t>
      </w:r>
    </w:p>
    <w:p w14:paraId="3E7FC8C5" w14:textId="77777777" w:rsidR="000E42AF" w:rsidRDefault="000E42AF" w:rsidP="000E42AF">
      <w:pPr>
        <w:spacing w:after="0"/>
        <w:jc w:val="both"/>
        <w:rPr>
          <w:rFonts w:ascii="Marianne" w:hAnsi="Marianne" w:cs="Arial"/>
          <w:sz w:val="20"/>
          <w:szCs w:val="20"/>
        </w:rPr>
      </w:pPr>
    </w:p>
    <w:p w14:paraId="47460ED3"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Ainsi, la </w:t>
      </w:r>
      <w:r w:rsidRPr="008519BD">
        <w:rPr>
          <w:rFonts w:ascii="Marianne" w:hAnsi="Marianne" w:cs="Arial"/>
          <w:b/>
          <w:bCs/>
          <w:sz w:val="20"/>
          <w:szCs w:val="20"/>
        </w:rPr>
        <w:t>politique agricole 2016-2030</w:t>
      </w:r>
      <w:r w:rsidRPr="008519BD">
        <w:rPr>
          <w:rFonts w:ascii="Marianne" w:hAnsi="Marianne" w:cs="Arial"/>
          <w:sz w:val="20"/>
          <w:szCs w:val="20"/>
        </w:rPr>
        <w:t xml:space="preserve"> vise de nombreux objectifs : renforcer les investissements dans les infrastructures, accompagner la modernisation du secteur agricole, développer les PME-TPE, améliorer la logistique pour un transport fluide des marchandises vers le port de Lomé et les pays de l’hinterland, renforcer la compétitivité du secteur et mettre en place un label de qualité. Cette </w:t>
      </w:r>
      <w:r w:rsidRPr="008519BD">
        <w:rPr>
          <w:rFonts w:ascii="Marianne" w:hAnsi="Marianne" w:cs="Arial"/>
          <w:sz w:val="20"/>
          <w:szCs w:val="20"/>
        </w:rPr>
        <w:lastRenderedPageBreak/>
        <w:t xml:space="preserve">politique se traduit par la mise en œuvre de nombreuses actions, cofinancées par les bailleurs multilatéraux et bilatéraux, au premier rang desquels l’AFD. </w:t>
      </w:r>
    </w:p>
    <w:p w14:paraId="65B385A6" w14:textId="77777777" w:rsidR="000E42AF" w:rsidRDefault="000E42AF" w:rsidP="000E42AF">
      <w:pPr>
        <w:spacing w:after="0"/>
        <w:jc w:val="both"/>
        <w:rPr>
          <w:rFonts w:ascii="Marianne" w:hAnsi="Marianne" w:cs="Arial"/>
          <w:sz w:val="20"/>
          <w:szCs w:val="20"/>
        </w:rPr>
      </w:pPr>
    </w:p>
    <w:p w14:paraId="331B18B5"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Le gouvernement a notamment lancé un </w:t>
      </w:r>
      <w:r w:rsidRPr="008519BD">
        <w:rPr>
          <w:rFonts w:ascii="Marianne" w:hAnsi="Marianne" w:cs="Arial"/>
          <w:b/>
          <w:bCs/>
          <w:sz w:val="20"/>
          <w:szCs w:val="20"/>
        </w:rPr>
        <w:t>Projet de transformation agro-alimentaire (PTA-Togo)</w:t>
      </w:r>
      <w:r w:rsidRPr="008519BD">
        <w:rPr>
          <w:rFonts w:ascii="Marianne" w:hAnsi="Marianne" w:cs="Arial"/>
          <w:sz w:val="20"/>
          <w:szCs w:val="20"/>
        </w:rPr>
        <w:t xml:space="preserve"> avec l’appui technique et financier de la Banque Africaine de Développement (BAD) et de la Banque Ouest-Africaine de Développement (BOAD)</w:t>
      </w:r>
      <w:r w:rsidRPr="008519BD">
        <w:rPr>
          <w:rStyle w:val="Appelnotedebasdep"/>
          <w:rFonts w:ascii="Marianne" w:hAnsi="Marianne" w:cs="Arial"/>
          <w:sz w:val="20"/>
          <w:szCs w:val="20"/>
        </w:rPr>
        <w:footnoteReference w:id="15"/>
      </w:r>
      <w:r w:rsidRPr="008519BD">
        <w:rPr>
          <w:rFonts w:ascii="Marianne" w:hAnsi="Marianne" w:cs="Arial"/>
          <w:sz w:val="20"/>
          <w:szCs w:val="20"/>
        </w:rPr>
        <w:t>.</w:t>
      </w:r>
      <w:r>
        <w:rPr>
          <w:rFonts w:ascii="Marianne" w:hAnsi="Marianne" w:cs="Arial"/>
          <w:sz w:val="20"/>
          <w:szCs w:val="20"/>
        </w:rPr>
        <w:t xml:space="preserve"> </w:t>
      </w:r>
      <w:r w:rsidRPr="008519BD">
        <w:rPr>
          <w:rFonts w:ascii="Marianne" w:hAnsi="Marianne" w:cs="Arial"/>
          <w:sz w:val="20"/>
          <w:szCs w:val="20"/>
        </w:rPr>
        <w:t>Dans le cadre du PTA-Togo, 10 pôles de croissance agricoles ciblés sur des filières à haut potentiel (maïs, riz, soja, sésame, anacarde, volaille de chair, aquaculture), appelés « </w:t>
      </w:r>
      <w:r w:rsidRPr="008519BD">
        <w:rPr>
          <w:rFonts w:ascii="Marianne" w:hAnsi="Marianne" w:cs="Arial"/>
          <w:b/>
          <w:bCs/>
          <w:sz w:val="20"/>
          <w:szCs w:val="20"/>
        </w:rPr>
        <w:t>agropoles</w:t>
      </w:r>
      <w:r w:rsidRPr="008519BD">
        <w:rPr>
          <w:rFonts w:ascii="Marianne" w:hAnsi="Marianne" w:cs="Arial"/>
          <w:sz w:val="20"/>
          <w:szCs w:val="20"/>
        </w:rPr>
        <w:t> », devraient être déployés dans le pays</w:t>
      </w:r>
      <w:r w:rsidRPr="008519BD">
        <w:rPr>
          <w:rFonts w:ascii="Marianne" w:hAnsi="Marianne"/>
          <w:sz w:val="20"/>
          <w:szCs w:val="20"/>
        </w:rPr>
        <w:t xml:space="preserve"> </w:t>
      </w:r>
      <w:r w:rsidRPr="008519BD">
        <w:rPr>
          <w:rFonts w:ascii="Marianne" w:hAnsi="Marianne" w:cs="Arial"/>
          <w:sz w:val="20"/>
          <w:szCs w:val="20"/>
        </w:rPr>
        <w:t xml:space="preserve">d’ici 2030. La première agropole pilote, située à Kara (centre du pays), couvre 100 000 ha destinés à la culture de soja, du maïs et du riz, et 1 500 ha de périmètres irrigués, dont l’approvisionnement en eau sera assuré par des mini-barrages. Elle accueillera 11 centres de transformation agricole. </w:t>
      </w:r>
    </w:p>
    <w:p w14:paraId="318FA4B5" w14:textId="77777777" w:rsidR="000E42AF" w:rsidRDefault="000E42AF" w:rsidP="000E42AF">
      <w:pPr>
        <w:spacing w:after="0"/>
        <w:jc w:val="both"/>
        <w:rPr>
          <w:rFonts w:ascii="Marianne" w:hAnsi="Marianne" w:cs="Arial"/>
          <w:sz w:val="20"/>
          <w:szCs w:val="20"/>
        </w:rPr>
      </w:pPr>
    </w:p>
    <w:p w14:paraId="6EAE7C22"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Des </w:t>
      </w:r>
      <w:r w:rsidRPr="008519BD">
        <w:rPr>
          <w:rFonts w:ascii="Marianne" w:hAnsi="Marianne" w:cs="Arial"/>
          <w:b/>
          <w:bCs/>
          <w:sz w:val="20"/>
          <w:szCs w:val="20"/>
        </w:rPr>
        <w:t>Zones d’Aménagement Agricole Planifiées (ZAAP)</w:t>
      </w:r>
      <w:r w:rsidRPr="008519BD">
        <w:rPr>
          <w:rFonts w:ascii="Marianne" w:hAnsi="Marianne" w:cs="Arial"/>
          <w:sz w:val="20"/>
          <w:szCs w:val="20"/>
        </w:rPr>
        <w:t xml:space="preserve"> sont aussi en développement sur le territoire. Fin décembre 2023, 231 ZAAP ont été aménagées sur les 400 prévues à l’horizon 2025. Les ZAAP sont des lots de terres cultivables de 100 à 700 ha mis à disposition des agriculteurs par les propriétaires terriens pour la production agricole, avec l’appui ministère de l’</w:t>
      </w:r>
      <w:r>
        <w:rPr>
          <w:rFonts w:ascii="Marianne" w:hAnsi="Marianne" w:cs="Arial"/>
          <w:sz w:val="20"/>
          <w:szCs w:val="20"/>
        </w:rPr>
        <w:t>a</w:t>
      </w:r>
      <w:r w:rsidRPr="008519BD">
        <w:rPr>
          <w:rFonts w:ascii="Marianne" w:hAnsi="Marianne" w:cs="Arial"/>
          <w:sz w:val="20"/>
          <w:szCs w:val="20"/>
        </w:rPr>
        <w:t>griculture pour les infrastructures (systèmes d’irrigation, éclairage, routes, bâtiments d’élevage, forages, etc.).</w:t>
      </w:r>
    </w:p>
    <w:p w14:paraId="36DD1006" w14:textId="77777777" w:rsidR="000E42AF" w:rsidRDefault="000E42AF" w:rsidP="000E42AF">
      <w:pPr>
        <w:spacing w:after="0"/>
        <w:jc w:val="both"/>
        <w:rPr>
          <w:rFonts w:ascii="Marianne" w:hAnsi="Marianne" w:cs="Arial"/>
          <w:sz w:val="20"/>
          <w:szCs w:val="20"/>
        </w:rPr>
      </w:pPr>
    </w:p>
    <w:p w14:paraId="59BC90C4" w14:textId="77777777" w:rsidR="000E42AF" w:rsidRDefault="000E42AF" w:rsidP="000E42AF">
      <w:pPr>
        <w:spacing w:after="0"/>
        <w:jc w:val="both"/>
        <w:rPr>
          <w:rFonts w:ascii="Marianne" w:hAnsi="Marianne" w:cs="Arial"/>
          <w:sz w:val="20"/>
          <w:szCs w:val="20"/>
        </w:rPr>
      </w:pPr>
      <w:r w:rsidRPr="00D813E3">
        <w:rPr>
          <w:rFonts w:ascii="Marianne" w:hAnsi="Marianne" w:cs="Arial"/>
          <w:b/>
          <w:bCs/>
          <w:sz w:val="20"/>
          <w:szCs w:val="20"/>
        </w:rPr>
        <w:t>Deux filières disposent de plans stratégiques d’envergure à horizon 2028 : le soja et l’ananas.</w:t>
      </w:r>
      <w:r w:rsidRPr="00D813E3">
        <w:rPr>
          <w:rFonts w:ascii="Marianne" w:hAnsi="Marianne" w:cs="Arial"/>
          <w:sz w:val="20"/>
          <w:szCs w:val="20"/>
        </w:rPr>
        <w:t xml:space="preserve"> Le plan d’action pour la filière soja met l’accent sur la transformation (trituration) pour l’alimentation humaine et animale. Le programme d’investissement dans la filière ananas mise sur un investissement total de 9,5 Md</w:t>
      </w:r>
      <w:r>
        <w:rPr>
          <w:rFonts w:ascii="Marianne" w:hAnsi="Marianne" w:cs="Arial"/>
          <w:sz w:val="20"/>
          <w:szCs w:val="20"/>
        </w:rPr>
        <w:t xml:space="preserve"> de</w:t>
      </w:r>
      <w:r w:rsidRPr="00D813E3">
        <w:rPr>
          <w:rFonts w:ascii="Marianne" w:hAnsi="Marianne" w:cs="Arial"/>
          <w:sz w:val="20"/>
          <w:szCs w:val="20"/>
        </w:rPr>
        <w:t xml:space="preserve"> FCFA (près de 15 M </w:t>
      </w:r>
      <w:r>
        <w:rPr>
          <w:rFonts w:ascii="Marianne" w:hAnsi="Marianne" w:cs="Arial"/>
          <w:sz w:val="20"/>
          <w:szCs w:val="20"/>
        </w:rPr>
        <w:t>d’</w:t>
      </w:r>
      <w:r w:rsidRPr="00D813E3">
        <w:rPr>
          <w:rFonts w:ascii="Marianne" w:hAnsi="Marianne" w:cs="Arial"/>
          <w:sz w:val="20"/>
          <w:szCs w:val="20"/>
        </w:rPr>
        <w:t>EUR), pour à la fois doubler la production (88 782 t prévues en 2028 contre 44 391 en 2022) et transformer au moins 75 % de l’ananas produit (contre 35% actuellement).</w:t>
      </w:r>
    </w:p>
    <w:p w14:paraId="320AA032" w14:textId="77777777" w:rsidR="000E42AF" w:rsidRDefault="000E42AF" w:rsidP="000E42AF">
      <w:pPr>
        <w:spacing w:after="0"/>
        <w:jc w:val="both"/>
        <w:rPr>
          <w:rFonts w:ascii="Marianne" w:hAnsi="Marianne" w:cs="Arial"/>
          <w:sz w:val="20"/>
          <w:szCs w:val="20"/>
        </w:rPr>
      </w:pPr>
    </w:p>
    <w:p w14:paraId="5CB074B4"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Pour développer la production de viande et de lait, des </w:t>
      </w:r>
      <w:r w:rsidRPr="008519BD">
        <w:rPr>
          <w:rFonts w:ascii="Marianne" w:hAnsi="Marianne" w:cs="Arial"/>
          <w:b/>
          <w:bCs/>
          <w:sz w:val="20"/>
          <w:szCs w:val="20"/>
        </w:rPr>
        <w:t>Zones d’Aménagement pour la Production Bovine (ZAPB)</w:t>
      </w:r>
      <w:r w:rsidRPr="008519BD">
        <w:rPr>
          <w:rFonts w:ascii="Marianne" w:hAnsi="Marianne" w:cs="Arial"/>
          <w:sz w:val="20"/>
          <w:szCs w:val="20"/>
        </w:rPr>
        <w:t xml:space="preserve"> se mettent en place. Couvrant un périmètre d’au moins 500 ha, chaque ZAPB regroupe des élevages bovins auxquels sont fournis l’accès à l’eau, à des terres à fort potentiel de production fourragère, à des services vétérinaires et à des infrastructures sociales de base (école, dispensaire de santé, etc.) pour accueillir les familles d’éleveurs. Au total, 10 ZAPB sont prévues dans les préfectures de Zio, Lacs, Haho, Ogou, Anié, Blitta, Tchamba, Bassar, Kozah et Oti.</w:t>
      </w:r>
    </w:p>
    <w:p w14:paraId="787A15B9" w14:textId="77777777" w:rsidR="000E42AF" w:rsidRPr="008519BD" w:rsidRDefault="000E42AF" w:rsidP="000E42AF">
      <w:pPr>
        <w:spacing w:after="0"/>
        <w:jc w:val="both"/>
        <w:rPr>
          <w:rFonts w:ascii="Marianne" w:hAnsi="Marianne" w:cs="Arial"/>
          <w:sz w:val="20"/>
          <w:szCs w:val="20"/>
        </w:rPr>
      </w:pPr>
    </w:p>
    <w:p w14:paraId="7EA04F77"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Depuis 2021, la politique d’industrialisation de l’agriculture togolaise s’appuie également sur la </w:t>
      </w:r>
      <w:r w:rsidRPr="008519BD">
        <w:rPr>
          <w:rFonts w:ascii="Marianne" w:hAnsi="Marianne" w:cs="Arial"/>
          <w:b/>
          <w:bCs/>
          <w:sz w:val="20"/>
          <w:szCs w:val="20"/>
        </w:rPr>
        <w:t>Plateforme Industrielle d’Adétikopé (PIA)</w:t>
      </w:r>
      <w:r w:rsidRPr="008519BD">
        <w:rPr>
          <w:rFonts w:ascii="Marianne" w:hAnsi="Marianne" w:cs="Arial"/>
          <w:sz w:val="20"/>
          <w:szCs w:val="20"/>
        </w:rPr>
        <w:t xml:space="preserve">, au nord de Lomé. Détenue à 35% par l’État togolais et à 65 % par la société Arise, cette zone économique spéciale accueille un port sec, une zone logistique camions-conteneurs, un parc textile (entrepôts et stockage de coton, filage, tissage, confection) et un centre de formation aux métiers de la confection. L’objectif est de transformer 100 % de la fibre de coton produite sur le sol togolais. La PIA a aussi pour ambition de valoriser le soja produit au Togo, avec des unités de transformation de soja conventionnel (240 000 t/an à terme) et biologique (150 000 t/an). </w:t>
      </w:r>
    </w:p>
    <w:p w14:paraId="671592C5" w14:textId="77777777" w:rsidR="000E42AF" w:rsidRDefault="000E42AF" w:rsidP="000E42AF">
      <w:pPr>
        <w:spacing w:after="0"/>
        <w:jc w:val="both"/>
        <w:rPr>
          <w:rFonts w:ascii="Marianne" w:hAnsi="Marianne" w:cs="Arial"/>
          <w:sz w:val="20"/>
          <w:szCs w:val="20"/>
        </w:rPr>
      </w:pPr>
    </w:p>
    <w:p w14:paraId="41AC8A39" w14:textId="77777777" w:rsidR="000E42AF" w:rsidRPr="008519BD" w:rsidRDefault="000E42AF" w:rsidP="000E42AF">
      <w:pPr>
        <w:spacing w:after="0"/>
        <w:jc w:val="both"/>
        <w:rPr>
          <w:rFonts w:ascii="Marianne" w:hAnsi="Marianne" w:cs="Arial"/>
          <w:sz w:val="20"/>
          <w:szCs w:val="20"/>
        </w:rPr>
      </w:pPr>
      <w:r>
        <w:rPr>
          <w:rFonts w:ascii="Marianne" w:hAnsi="Marianne" w:cs="Arial"/>
          <w:sz w:val="20"/>
          <w:szCs w:val="20"/>
        </w:rPr>
        <w:t>L</w:t>
      </w:r>
      <w:r w:rsidRPr="008519BD">
        <w:rPr>
          <w:rFonts w:ascii="Marianne" w:hAnsi="Marianne" w:cs="Arial"/>
          <w:sz w:val="20"/>
          <w:szCs w:val="20"/>
        </w:rPr>
        <w:t xml:space="preserve">e Chef de l’État a confié </w:t>
      </w:r>
      <w:r>
        <w:rPr>
          <w:rFonts w:ascii="Marianne" w:hAnsi="Marianne" w:cs="Arial"/>
          <w:sz w:val="20"/>
          <w:szCs w:val="20"/>
        </w:rPr>
        <w:t xml:space="preserve">depuis 2023 </w:t>
      </w:r>
      <w:r w:rsidRPr="008519BD">
        <w:rPr>
          <w:rFonts w:ascii="Marianne" w:hAnsi="Marianne" w:cs="Arial"/>
          <w:sz w:val="20"/>
          <w:szCs w:val="20"/>
        </w:rPr>
        <w:t xml:space="preserve">la modernisation du secteur agricole à </w:t>
      </w:r>
      <w:r w:rsidRPr="008519BD">
        <w:rPr>
          <w:rFonts w:ascii="Marianne" w:hAnsi="Marianne" w:cs="Arial"/>
          <w:b/>
          <w:bCs/>
          <w:sz w:val="20"/>
          <w:szCs w:val="20"/>
        </w:rPr>
        <w:t>l’Agence de Transformation Agricole (ATA)</w:t>
      </w:r>
      <w:r w:rsidRPr="008519BD">
        <w:rPr>
          <w:rFonts w:ascii="Marianne" w:hAnsi="Marianne" w:cs="Arial"/>
          <w:sz w:val="20"/>
          <w:szCs w:val="20"/>
        </w:rPr>
        <w:t xml:space="preserve">, dont il préside le conseil d’administration, pour soutenir la modernisation de l’agriculture. Celle-ci s’appuie sur </w:t>
      </w:r>
      <w:r>
        <w:rPr>
          <w:rFonts w:ascii="Marianne" w:hAnsi="Marianne" w:cs="Arial"/>
          <w:sz w:val="20"/>
          <w:szCs w:val="20"/>
        </w:rPr>
        <w:t>deux</w:t>
      </w:r>
      <w:r w:rsidRPr="008519BD">
        <w:rPr>
          <w:rFonts w:ascii="Marianne" w:hAnsi="Marianne" w:cs="Arial"/>
          <w:sz w:val="20"/>
          <w:szCs w:val="20"/>
        </w:rPr>
        <w:t xml:space="preserve"> </w:t>
      </w:r>
      <w:r w:rsidRPr="008519BD">
        <w:rPr>
          <w:rFonts w:ascii="Marianne" w:hAnsi="Marianne" w:cs="Arial"/>
          <w:b/>
          <w:bCs/>
          <w:sz w:val="20"/>
          <w:szCs w:val="20"/>
        </w:rPr>
        <w:t>Centres régionaux de mécanisation agricole (CRMA</w:t>
      </w:r>
      <w:r w:rsidRPr="008519BD">
        <w:rPr>
          <w:rFonts w:ascii="Marianne" w:hAnsi="Marianne" w:cs="Arial"/>
          <w:sz w:val="20"/>
          <w:szCs w:val="20"/>
        </w:rPr>
        <w:t>), à Kpalimé et Kara, et une plateforme en ligne, « </w:t>
      </w:r>
      <w:r w:rsidRPr="008519BD">
        <w:rPr>
          <w:rFonts w:ascii="Marianne" w:hAnsi="Marianne" w:cs="Arial"/>
          <w:b/>
          <w:bCs/>
          <w:sz w:val="20"/>
          <w:szCs w:val="20"/>
        </w:rPr>
        <w:t>FertiTogo</w:t>
      </w:r>
      <w:r w:rsidRPr="008519BD">
        <w:rPr>
          <w:rFonts w:ascii="Marianne" w:hAnsi="Marianne" w:cs="Arial"/>
          <w:sz w:val="20"/>
          <w:szCs w:val="20"/>
        </w:rPr>
        <w:t> »</w:t>
      </w:r>
      <w:r w:rsidRPr="008519BD">
        <w:rPr>
          <w:rStyle w:val="Appelnotedebasdep"/>
          <w:rFonts w:ascii="Marianne" w:hAnsi="Marianne" w:cs="Arial"/>
          <w:sz w:val="20"/>
          <w:szCs w:val="20"/>
        </w:rPr>
        <w:footnoteReference w:id="16"/>
      </w:r>
      <w:r w:rsidRPr="008519BD">
        <w:rPr>
          <w:rFonts w:ascii="Marianne" w:hAnsi="Marianne" w:cs="Arial"/>
          <w:sz w:val="20"/>
          <w:szCs w:val="20"/>
        </w:rPr>
        <w:t xml:space="preserve"> (développée par l’Institut </w:t>
      </w:r>
      <w:r w:rsidRPr="008519BD">
        <w:rPr>
          <w:rFonts w:ascii="Marianne" w:hAnsi="Marianne" w:cs="Arial"/>
          <w:sz w:val="20"/>
          <w:szCs w:val="20"/>
        </w:rPr>
        <w:lastRenderedPageBreak/>
        <w:t>Togolais de Recherche Agronomique – ITRA en 2021), qui présente des cartes de fertilité des sols agricoles du pays accompagnées de recommandations d’utilisation de fertilisants pour chaque région selon chaque culture.</w:t>
      </w:r>
      <w:r>
        <w:rPr>
          <w:rFonts w:ascii="Marianne" w:hAnsi="Marianne" w:cs="Arial"/>
          <w:sz w:val="20"/>
          <w:szCs w:val="20"/>
        </w:rPr>
        <w:t xml:space="preserve"> </w:t>
      </w:r>
      <w:r w:rsidRPr="008519BD">
        <w:rPr>
          <w:rFonts w:ascii="Marianne" w:hAnsi="Marianne" w:cs="Arial"/>
          <w:sz w:val="20"/>
          <w:szCs w:val="20"/>
        </w:rPr>
        <w:t xml:space="preserve">La politique d’irrigation se fonde quant à elle sur un </w:t>
      </w:r>
      <w:r w:rsidRPr="008519BD">
        <w:rPr>
          <w:rFonts w:ascii="Marianne" w:hAnsi="Marianne" w:cs="Arial"/>
          <w:b/>
          <w:bCs/>
          <w:sz w:val="20"/>
          <w:szCs w:val="20"/>
        </w:rPr>
        <w:t>Schéma Directeur de l’agriculture irriguée (SDAI)</w:t>
      </w:r>
      <w:r w:rsidRPr="008519BD">
        <w:rPr>
          <w:rFonts w:ascii="Marianne" w:hAnsi="Marianne" w:cs="Arial"/>
          <w:sz w:val="20"/>
          <w:szCs w:val="20"/>
        </w:rPr>
        <w:t>, datant de 2022 à horizon 2040, et développé avec le soutien de l’Union européenne</w:t>
      </w:r>
      <w:r w:rsidRPr="008519BD">
        <w:rPr>
          <w:rStyle w:val="Appelnotedebasdep"/>
          <w:rFonts w:ascii="Marianne" w:hAnsi="Marianne" w:cs="Arial"/>
          <w:sz w:val="20"/>
          <w:szCs w:val="20"/>
        </w:rPr>
        <w:footnoteReference w:id="17"/>
      </w:r>
      <w:r w:rsidRPr="008519BD">
        <w:rPr>
          <w:rFonts w:ascii="Marianne" w:hAnsi="Marianne" w:cs="Arial"/>
          <w:sz w:val="20"/>
          <w:szCs w:val="20"/>
        </w:rPr>
        <w:t>.</w:t>
      </w:r>
    </w:p>
    <w:p w14:paraId="133F93D0"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En matière de formation, deux </w:t>
      </w:r>
      <w:r w:rsidRPr="008519BD">
        <w:rPr>
          <w:rFonts w:ascii="Marianne" w:hAnsi="Marianne" w:cs="Arial"/>
          <w:b/>
          <w:bCs/>
          <w:sz w:val="20"/>
          <w:szCs w:val="20"/>
        </w:rPr>
        <w:t xml:space="preserve">Instituts de Formation en Alternance pour le Développement </w:t>
      </w:r>
      <w:r w:rsidRPr="008519BD">
        <w:rPr>
          <w:rFonts w:ascii="Marianne" w:hAnsi="Marianne" w:cs="Arial"/>
          <w:sz w:val="20"/>
          <w:szCs w:val="20"/>
        </w:rPr>
        <w:t>ont été créés dans le secteur agricole, l’un dédié aux métiers de l’élevage, l’autre en aquaculture. Ces IFAD sont gérés par l'Agence Education-Développement (AED, rattachée à la présidence togolaise</w:t>
      </w:r>
      <w:bookmarkEnd w:id="7"/>
      <w:r w:rsidRPr="008519BD">
        <w:rPr>
          <w:rFonts w:ascii="Marianne" w:hAnsi="Marianne" w:cs="Arial"/>
          <w:sz w:val="20"/>
          <w:szCs w:val="20"/>
        </w:rPr>
        <w:t>).</w:t>
      </w:r>
    </w:p>
    <w:p w14:paraId="091643A5" w14:textId="77777777" w:rsidR="000E42AF" w:rsidRDefault="000E42AF" w:rsidP="000E42AF">
      <w:pPr>
        <w:spacing w:after="0" w:line="240" w:lineRule="auto"/>
        <w:jc w:val="both"/>
        <w:rPr>
          <w:rFonts w:ascii="Marianne" w:hAnsi="Marianne" w:cs="Arial"/>
          <w:sz w:val="20"/>
          <w:szCs w:val="20"/>
        </w:rPr>
      </w:pPr>
    </w:p>
    <w:p w14:paraId="362DC372" w14:textId="77777777" w:rsidR="000E42AF" w:rsidRDefault="000E42AF" w:rsidP="000E42AF">
      <w:pPr>
        <w:spacing w:after="0" w:line="240" w:lineRule="auto"/>
        <w:jc w:val="both"/>
        <w:rPr>
          <w:rFonts w:ascii="Marianne" w:hAnsi="Marianne" w:cs="Arial"/>
          <w:sz w:val="20"/>
          <w:szCs w:val="20"/>
        </w:rPr>
      </w:pPr>
      <w:r w:rsidRPr="00D813E3">
        <w:rPr>
          <w:rFonts w:ascii="Marianne" w:hAnsi="Marianne" w:cs="Arial"/>
          <w:b/>
          <w:bCs/>
          <w:sz w:val="20"/>
          <w:szCs w:val="20"/>
        </w:rPr>
        <w:t>L’essor du secteur agricole freiné par les difficultés d’accès aux financements.</w:t>
      </w:r>
      <w:r w:rsidRPr="005E2506">
        <w:rPr>
          <w:rFonts w:ascii="Marianne" w:hAnsi="Marianne" w:cs="Arial"/>
          <w:sz w:val="20"/>
          <w:szCs w:val="20"/>
        </w:rPr>
        <w:t xml:space="preserve"> En 2021, les crédits bancaires classiques à destination du secteur agricole représentaient seulement 0,3% des crédits accordés au secteur privé.</w:t>
      </w:r>
      <w:r>
        <w:rPr>
          <w:rFonts w:ascii="Marianne" w:hAnsi="Marianne" w:cs="Arial"/>
          <w:sz w:val="20"/>
          <w:szCs w:val="20"/>
        </w:rPr>
        <w:t xml:space="preserve"> </w:t>
      </w:r>
      <w:r w:rsidRPr="005E2506">
        <w:rPr>
          <w:rFonts w:ascii="Marianne" w:hAnsi="Marianne" w:cs="Arial"/>
          <w:sz w:val="20"/>
          <w:szCs w:val="20"/>
        </w:rPr>
        <w:t>Les banques traditionnelles disposent encore de peu de moyens pour évaluer de manière fiable les risques du secteur (variabilité des récoltes causées par des variations de température, de pluviométrie, des conflits et variabilité des cours mondiaux des produits agricoles). Les banques commerciales ont donc peu d’outils et de produits financiers adaptés aux investissements agricoles et agroalimentaires.</w:t>
      </w:r>
    </w:p>
    <w:p w14:paraId="14AFB03A" w14:textId="77777777" w:rsidR="000E42AF" w:rsidRDefault="000E42AF" w:rsidP="000E42AF">
      <w:pPr>
        <w:spacing w:after="0" w:line="240" w:lineRule="auto"/>
        <w:jc w:val="both"/>
        <w:rPr>
          <w:rFonts w:ascii="Marianne" w:hAnsi="Marianne" w:cs="Arial"/>
          <w:sz w:val="20"/>
          <w:szCs w:val="20"/>
        </w:rPr>
      </w:pPr>
    </w:p>
    <w:p w14:paraId="3308634F" w14:textId="77777777" w:rsidR="000E42AF" w:rsidRPr="005E2506" w:rsidRDefault="000E42AF" w:rsidP="000E42AF">
      <w:pPr>
        <w:spacing w:after="0" w:line="240" w:lineRule="auto"/>
        <w:jc w:val="both"/>
        <w:rPr>
          <w:rFonts w:ascii="Marianne" w:hAnsi="Marianne" w:cs="Arial"/>
          <w:sz w:val="20"/>
          <w:szCs w:val="20"/>
        </w:rPr>
      </w:pPr>
      <w:r w:rsidRPr="005E2506">
        <w:rPr>
          <w:rFonts w:ascii="Marianne" w:hAnsi="Marianne" w:cs="Arial"/>
          <w:sz w:val="20"/>
          <w:szCs w:val="20"/>
        </w:rPr>
        <w:t>Néanmoins, d’autres outils financiers plus adaptés à l’agriculture paysanne existent, comme la microfinance</w:t>
      </w:r>
      <w:r>
        <w:rPr>
          <w:rFonts w:ascii="Marianne" w:hAnsi="Marianne" w:cs="Arial"/>
          <w:sz w:val="20"/>
          <w:szCs w:val="20"/>
        </w:rPr>
        <w:t xml:space="preserve">. Par ailleurs, les autorités togolaises ont </w:t>
      </w:r>
      <w:r w:rsidRPr="00D813E3">
        <w:rPr>
          <w:rFonts w:ascii="Marianne" w:hAnsi="Marianne" w:cs="Arial"/>
          <w:sz w:val="20"/>
          <w:szCs w:val="20"/>
        </w:rPr>
        <w:t xml:space="preserve">mis en place le </w:t>
      </w:r>
      <w:r w:rsidRPr="00D813E3">
        <w:rPr>
          <w:rFonts w:ascii="Marianne" w:hAnsi="Marianne" w:cs="Arial"/>
          <w:b/>
          <w:bCs/>
          <w:sz w:val="20"/>
          <w:szCs w:val="20"/>
        </w:rPr>
        <w:t>Mécanisme Incitatif de Financement Agricole</w:t>
      </w:r>
      <w:r w:rsidRPr="00D813E3">
        <w:rPr>
          <w:rFonts w:ascii="Marianne" w:hAnsi="Marianne" w:cs="Arial"/>
          <w:sz w:val="20"/>
          <w:szCs w:val="20"/>
        </w:rPr>
        <w:t xml:space="preserve"> (MIFA), construit sur le modèle nigérian. Cette société anonyme a accompagné près de 200 000 producteurs agricoles et 1 450 coopératives en 2021.</w:t>
      </w:r>
    </w:p>
    <w:p w14:paraId="3A6DC742" w14:textId="77777777" w:rsidR="000E42AF" w:rsidRDefault="000E42AF" w:rsidP="000E42AF">
      <w:pPr>
        <w:spacing w:after="0" w:line="240" w:lineRule="auto"/>
        <w:jc w:val="both"/>
        <w:rPr>
          <w:rFonts w:ascii="Marianne" w:hAnsi="Marianne" w:cs="Arial"/>
          <w:sz w:val="20"/>
          <w:szCs w:val="20"/>
        </w:rPr>
      </w:pPr>
    </w:p>
    <w:p w14:paraId="2081FA48" w14:textId="77777777" w:rsidR="000E42AF" w:rsidRPr="000E42AF" w:rsidRDefault="000E42AF" w:rsidP="000E42AF">
      <w:pPr>
        <w:spacing w:after="0" w:line="240" w:lineRule="auto"/>
        <w:jc w:val="both"/>
        <w:rPr>
          <w:rFonts w:ascii="Marianne" w:hAnsi="Marianne" w:cs="Arial"/>
          <w:color w:val="FFC000"/>
          <w:sz w:val="20"/>
          <w:szCs w:val="20"/>
        </w:rPr>
      </w:pPr>
      <w:r w:rsidRPr="000E42AF">
        <w:rPr>
          <w:rFonts w:ascii="Segoe UI" w:eastAsia="Segoe UI" w:hAnsi="Segoe UI" w:cs="Segoe UI"/>
          <w:b/>
          <w:color w:val="FFC000"/>
          <w:sz w:val="26"/>
          <w:szCs w:val="26"/>
        </w:rPr>
        <w:t xml:space="preserve">3. </w:t>
      </w:r>
      <w:r w:rsidRPr="000E42AF">
        <w:rPr>
          <w:rFonts w:ascii="Marianne" w:eastAsia="Segoe UI" w:hAnsi="Marianne" w:cs="Segoe UI"/>
          <w:b/>
          <w:color w:val="FFC000"/>
          <w:sz w:val="26"/>
          <w:szCs w:val="26"/>
        </w:rPr>
        <w:t>Echanges commerciaux</w:t>
      </w:r>
    </w:p>
    <w:p w14:paraId="356B64B0" w14:textId="77777777" w:rsidR="000E42AF" w:rsidRPr="000E42AF" w:rsidRDefault="000E42AF" w:rsidP="000E42AF">
      <w:pPr>
        <w:pBdr>
          <w:top w:val="nil"/>
          <w:left w:val="nil"/>
          <w:bottom w:val="nil"/>
          <w:right w:val="nil"/>
          <w:between w:val="nil"/>
          <w:bar w:val="nil"/>
        </w:pBdr>
        <w:spacing w:after="0" w:line="240" w:lineRule="auto"/>
        <w:jc w:val="both"/>
        <w:rPr>
          <w:rFonts w:ascii="Segoe UI" w:eastAsia="Segoe UI" w:hAnsi="Segoe UI" w:cs="Segoe UI"/>
          <w:color w:val="FFC000"/>
          <w:sz w:val="20"/>
          <w:szCs w:val="20"/>
          <w:bdr w:val="nil"/>
          <w:lang w:eastAsia="fr-FR"/>
        </w:rPr>
      </w:pPr>
      <w:bookmarkStart w:id="9" w:name="_Hlk173922137"/>
    </w:p>
    <w:p w14:paraId="7402872E" w14:textId="77777777" w:rsidR="000E42AF" w:rsidRPr="000E42AF" w:rsidRDefault="000E42AF" w:rsidP="000E42AF">
      <w:pPr>
        <w:keepNext/>
        <w:keepLines/>
        <w:pBdr>
          <w:top w:val="nil"/>
          <w:left w:val="nil"/>
          <w:bottom w:val="nil"/>
          <w:right w:val="nil"/>
          <w:between w:val="nil"/>
          <w:bar w:val="nil"/>
        </w:pBdr>
        <w:spacing w:after="0" w:line="240" w:lineRule="auto"/>
        <w:ind w:left="720" w:hanging="720"/>
        <w:contextualSpacing/>
        <w:outlineLvl w:val="1"/>
        <w:rPr>
          <w:rFonts w:ascii="Marianne" w:eastAsia="Segoe UI" w:hAnsi="Marianne" w:cs="Segoe UI"/>
          <w:b/>
          <w:bCs/>
          <w:color w:val="FFC000"/>
          <w:sz w:val="26"/>
          <w:szCs w:val="26"/>
          <w:bdr w:val="nil"/>
        </w:rPr>
      </w:pPr>
      <w:r w:rsidRPr="000E42AF">
        <w:rPr>
          <w:rFonts w:ascii="Marianne" w:eastAsia="Segoe UI" w:hAnsi="Marianne" w:cs="Segoe UI"/>
          <w:color w:val="FFC000"/>
          <w:sz w:val="26"/>
          <w:szCs w:val="26"/>
          <w:bdr w:val="nil"/>
        </w:rPr>
        <w:t>3.1 Balance agricole et agroalimentaire du Togo</w:t>
      </w:r>
    </w:p>
    <w:p w14:paraId="2008E859" w14:textId="77777777" w:rsidR="000E42AF" w:rsidRPr="000E42AF" w:rsidRDefault="000E42AF" w:rsidP="000E42AF">
      <w:pPr>
        <w:spacing w:after="0"/>
        <w:jc w:val="both"/>
        <w:rPr>
          <w:rFonts w:ascii="Marianne" w:hAnsi="Marianne" w:cs="Arial"/>
          <w:color w:val="FFC000"/>
          <w:sz w:val="20"/>
          <w:szCs w:val="20"/>
        </w:rPr>
      </w:pPr>
    </w:p>
    <w:p w14:paraId="10C662E5" w14:textId="77777777" w:rsidR="000E42AF" w:rsidRPr="008519BD" w:rsidRDefault="000E42AF" w:rsidP="000E42AF">
      <w:pPr>
        <w:spacing w:after="0"/>
        <w:jc w:val="both"/>
        <w:rPr>
          <w:rFonts w:ascii="Marianne" w:hAnsi="Marianne" w:cs="Arial"/>
          <w:sz w:val="20"/>
          <w:szCs w:val="20"/>
        </w:rPr>
      </w:pPr>
      <w:r>
        <w:rPr>
          <w:rFonts w:ascii="Marianne" w:hAnsi="Marianne" w:cs="Arial"/>
          <w:sz w:val="20"/>
          <w:szCs w:val="20"/>
        </w:rPr>
        <w:t>La</w:t>
      </w:r>
      <w:r w:rsidRPr="008519BD">
        <w:rPr>
          <w:rFonts w:ascii="Marianne" w:eastAsia="Marianne" w:hAnsi="Marianne" w:cs="Arial"/>
          <w:b/>
          <w:bCs/>
          <w:sz w:val="20"/>
          <w:szCs w:val="20"/>
        </w:rPr>
        <w:t xml:space="preserve"> balance commerciale agricole et agroalimentaire </w:t>
      </w:r>
      <w:r>
        <w:rPr>
          <w:rFonts w:ascii="Marianne" w:eastAsia="Marianne" w:hAnsi="Marianne" w:cs="Arial"/>
          <w:b/>
          <w:bCs/>
          <w:sz w:val="20"/>
          <w:szCs w:val="20"/>
        </w:rPr>
        <w:t xml:space="preserve">togolaise est </w:t>
      </w:r>
      <w:r w:rsidRPr="008519BD">
        <w:rPr>
          <w:rFonts w:ascii="Marianne" w:eastAsia="Marianne" w:hAnsi="Marianne" w:cs="Arial"/>
          <w:b/>
          <w:bCs/>
          <w:sz w:val="20"/>
          <w:szCs w:val="20"/>
        </w:rPr>
        <w:t>structurellement déficitaire.</w:t>
      </w:r>
      <w:r>
        <w:rPr>
          <w:rFonts w:ascii="Marianne" w:eastAsia="Marianne" w:hAnsi="Marianne" w:cs="Arial"/>
          <w:b/>
          <w:bCs/>
          <w:sz w:val="20"/>
          <w:szCs w:val="20"/>
        </w:rPr>
        <w:t xml:space="preserve"> </w:t>
      </w:r>
      <w:bookmarkStart w:id="10" w:name="_Hlk193128607"/>
      <w:r w:rsidRPr="008519BD">
        <w:rPr>
          <w:rFonts w:ascii="Marianne" w:hAnsi="Marianne" w:cs="Arial"/>
          <w:sz w:val="20"/>
          <w:szCs w:val="20"/>
        </w:rPr>
        <w:t>Le</w:t>
      </w:r>
      <w:r>
        <w:rPr>
          <w:rFonts w:ascii="Marianne" w:hAnsi="Marianne" w:cs="Arial"/>
          <w:sz w:val="20"/>
          <w:szCs w:val="20"/>
        </w:rPr>
        <w:t xml:space="preserve"> </w:t>
      </w:r>
      <w:r w:rsidRPr="008519BD">
        <w:rPr>
          <w:rFonts w:ascii="Marianne" w:hAnsi="Marianne" w:cs="Arial"/>
          <w:sz w:val="20"/>
          <w:szCs w:val="20"/>
        </w:rPr>
        <w:t>Togo a importé pour 5</w:t>
      </w:r>
      <w:r>
        <w:rPr>
          <w:rFonts w:ascii="Marianne" w:hAnsi="Marianne" w:cs="Arial"/>
          <w:sz w:val="20"/>
          <w:szCs w:val="20"/>
        </w:rPr>
        <w:t>11</w:t>
      </w:r>
      <w:r w:rsidRPr="008519BD">
        <w:rPr>
          <w:rFonts w:ascii="Marianne" w:hAnsi="Marianne" w:cs="Arial"/>
          <w:sz w:val="20"/>
          <w:szCs w:val="20"/>
        </w:rPr>
        <w:t xml:space="preserve"> M </w:t>
      </w:r>
      <w:r>
        <w:rPr>
          <w:rFonts w:ascii="Marianne" w:hAnsi="Marianne" w:cs="Arial"/>
          <w:sz w:val="20"/>
          <w:szCs w:val="20"/>
        </w:rPr>
        <w:t>d’</w:t>
      </w:r>
      <w:r w:rsidRPr="008519BD">
        <w:rPr>
          <w:rFonts w:ascii="Marianne" w:hAnsi="Marianne" w:cs="Arial"/>
          <w:sz w:val="20"/>
          <w:szCs w:val="20"/>
        </w:rPr>
        <w:t>EUR de</w:t>
      </w:r>
      <w:r>
        <w:rPr>
          <w:rFonts w:ascii="Marianne" w:hAnsi="Marianne" w:cs="Arial"/>
          <w:sz w:val="20"/>
          <w:szCs w:val="20"/>
        </w:rPr>
        <w:t xml:space="preserve"> produits agricoles et agroalimentaire </w:t>
      </w:r>
      <w:r w:rsidRPr="008519BD">
        <w:rPr>
          <w:rFonts w:ascii="Marianne" w:hAnsi="Marianne" w:cs="Arial"/>
          <w:sz w:val="20"/>
          <w:szCs w:val="20"/>
        </w:rPr>
        <w:t>en 202</w:t>
      </w:r>
      <w:r>
        <w:rPr>
          <w:rFonts w:ascii="Marianne" w:hAnsi="Marianne" w:cs="Arial"/>
          <w:sz w:val="20"/>
          <w:szCs w:val="20"/>
        </w:rPr>
        <w:t>4</w:t>
      </w:r>
      <w:r w:rsidRPr="008519BD">
        <w:rPr>
          <w:rFonts w:ascii="Marianne" w:hAnsi="Marianne" w:cs="Arial"/>
          <w:sz w:val="20"/>
          <w:szCs w:val="20"/>
        </w:rPr>
        <w:t xml:space="preserve">, </w:t>
      </w:r>
      <w:r>
        <w:rPr>
          <w:rFonts w:ascii="Marianne" w:hAnsi="Marianne" w:cs="Arial"/>
          <w:sz w:val="20"/>
          <w:szCs w:val="20"/>
        </w:rPr>
        <w:t>en baisse de - 7,2% par rapport</w:t>
      </w:r>
      <w:bookmarkStart w:id="11" w:name="_Hlk193137429"/>
      <w:r>
        <w:rPr>
          <w:rFonts w:ascii="Marianne" w:hAnsi="Marianne" w:cs="Arial"/>
          <w:sz w:val="20"/>
          <w:szCs w:val="20"/>
        </w:rPr>
        <w:t> </w:t>
      </w:r>
      <w:bookmarkEnd w:id="11"/>
      <w:r>
        <w:rPr>
          <w:rFonts w:ascii="Marianne" w:hAnsi="Marianne" w:cs="Arial"/>
          <w:sz w:val="20"/>
          <w:szCs w:val="20"/>
        </w:rPr>
        <w:t xml:space="preserve">: à 2023, </w:t>
      </w:r>
      <w:r w:rsidRPr="008519BD">
        <w:rPr>
          <w:rFonts w:ascii="Marianne" w:hAnsi="Marianne" w:cs="Arial"/>
          <w:sz w:val="20"/>
          <w:szCs w:val="20"/>
        </w:rPr>
        <w:t xml:space="preserve">et en a exporté pour </w:t>
      </w:r>
      <w:r>
        <w:rPr>
          <w:rFonts w:ascii="Marianne" w:hAnsi="Marianne" w:cs="Arial"/>
          <w:sz w:val="20"/>
          <w:szCs w:val="20"/>
        </w:rPr>
        <w:t>354</w:t>
      </w:r>
      <w:r w:rsidRPr="008519BD">
        <w:rPr>
          <w:rFonts w:ascii="Marianne" w:hAnsi="Marianne" w:cs="Arial"/>
          <w:sz w:val="20"/>
          <w:szCs w:val="20"/>
        </w:rPr>
        <w:t xml:space="preserve"> M </w:t>
      </w:r>
      <w:r>
        <w:rPr>
          <w:rFonts w:ascii="Marianne" w:hAnsi="Marianne" w:cs="Arial"/>
          <w:sz w:val="20"/>
          <w:szCs w:val="20"/>
        </w:rPr>
        <w:t>d’</w:t>
      </w:r>
      <w:r w:rsidRPr="008519BD">
        <w:rPr>
          <w:rFonts w:ascii="Marianne" w:hAnsi="Marianne" w:cs="Arial"/>
          <w:sz w:val="20"/>
          <w:szCs w:val="20"/>
        </w:rPr>
        <w:t>EUR</w:t>
      </w:r>
      <w:r>
        <w:rPr>
          <w:rFonts w:ascii="Marianne" w:hAnsi="Marianne" w:cs="Arial"/>
          <w:sz w:val="20"/>
          <w:szCs w:val="20"/>
        </w:rPr>
        <w:t>, en baisse de -4,6%</w:t>
      </w:r>
      <w:r w:rsidRPr="008519BD">
        <w:rPr>
          <w:rFonts w:ascii="Marianne" w:hAnsi="Marianne" w:cs="Arial"/>
          <w:sz w:val="20"/>
          <w:szCs w:val="20"/>
        </w:rPr>
        <w:t xml:space="preserve">. </w:t>
      </w:r>
      <w:r w:rsidRPr="000D01C8">
        <w:rPr>
          <w:rFonts w:ascii="Marianne" w:hAnsi="Marianne" w:cs="Arial"/>
          <w:b/>
          <w:bCs/>
          <w:sz w:val="20"/>
          <w:szCs w:val="20"/>
        </w:rPr>
        <w:t>En 2024, la</w:t>
      </w:r>
      <w:r w:rsidRPr="008519BD">
        <w:rPr>
          <w:rFonts w:ascii="Marianne" w:hAnsi="Marianne" w:cs="Arial"/>
          <w:b/>
          <w:bCs/>
          <w:sz w:val="20"/>
          <w:szCs w:val="20"/>
        </w:rPr>
        <w:t xml:space="preserve"> balance commerciale extérieure de produits agricoles et agroalimentaires du Togo est déficitaire de 1</w:t>
      </w:r>
      <w:r>
        <w:rPr>
          <w:rFonts w:ascii="Marianne" w:hAnsi="Marianne" w:cs="Arial"/>
          <w:b/>
          <w:bCs/>
          <w:sz w:val="20"/>
          <w:szCs w:val="20"/>
        </w:rPr>
        <w:t>57</w:t>
      </w:r>
      <w:r w:rsidRPr="008519BD">
        <w:rPr>
          <w:rFonts w:ascii="Marianne" w:hAnsi="Marianne" w:cs="Arial"/>
          <w:b/>
          <w:bCs/>
          <w:sz w:val="20"/>
          <w:szCs w:val="20"/>
        </w:rPr>
        <w:t xml:space="preserve"> M </w:t>
      </w:r>
      <w:r>
        <w:rPr>
          <w:rFonts w:ascii="Marianne" w:hAnsi="Marianne" w:cs="Arial"/>
          <w:b/>
          <w:bCs/>
          <w:sz w:val="20"/>
          <w:szCs w:val="20"/>
        </w:rPr>
        <w:t>d’</w:t>
      </w:r>
      <w:r w:rsidRPr="008519BD">
        <w:rPr>
          <w:rFonts w:ascii="Marianne" w:hAnsi="Marianne" w:cs="Arial"/>
          <w:b/>
          <w:bCs/>
          <w:sz w:val="20"/>
          <w:szCs w:val="20"/>
        </w:rPr>
        <w:t>EUR</w:t>
      </w:r>
      <w:r w:rsidRPr="008519BD">
        <w:rPr>
          <w:rFonts w:ascii="Marianne" w:hAnsi="Marianne" w:cs="Arial"/>
          <w:sz w:val="20"/>
          <w:szCs w:val="20"/>
        </w:rPr>
        <w:t>.</w:t>
      </w:r>
      <w:r w:rsidRPr="008519BD">
        <w:rPr>
          <w:rFonts w:ascii="Marianne" w:hAnsi="Marianne"/>
          <w:sz w:val="20"/>
          <w:szCs w:val="20"/>
        </w:rPr>
        <w:t xml:space="preserve"> </w:t>
      </w:r>
      <w:bookmarkEnd w:id="10"/>
    </w:p>
    <w:p w14:paraId="25CCA663" w14:textId="77777777" w:rsidR="000E42AF" w:rsidRDefault="000E42AF" w:rsidP="000E42AF">
      <w:pPr>
        <w:spacing w:after="0"/>
        <w:jc w:val="both"/>
        <w:rPr>
          <w:rFonts w:ascii="Marianne" w:hAnsi="Marianne" w:cs="Arial"/>
          <w:sz w:val="20"/>
          <w:szCs w:val="20"/>
        </w:rPr>
      </w:pPr>
    </w:p>
    <w:p w14:paraId="3717EA79" w14:textId="77777777" w:rsidR="000E42AF" w:rsidRPr="008519BD" w:rsidRDefault="000E42AF" w:rsidP="000E42AF">
      <w:pPr>
        <w:spacing w:after="0"/>
        <w:jc w:val="both"/>
        <w:rPr>
          <w:rFonts w:ascii="Marianne" w:hAnsi="Marianne" w:cs="Arial"/>
          <w:sz w:val="20"/>
          <w:szCs w:val="20"/>
        </w:rPr>
      </w:pPr>
      <w:bookmarkStart w:id="12" w:name="_Hlk193126373"/>
      <w:r w:rsidRPr="00F22467">
        <w:rPr>
          <w:rFonts w:ascii="Marianne" w:hAnsi="Marianne" w:cs="Arial"/>
          <w:b/>
          <w:bCs/>
          <w:sz w:val="20"/>
          <w:szCs w:val="20"/>
        </w:rPr>
        <w:t>Les produits agricoles et agroalimentaires représentaient</w:t>
      </w:r>
      <w:r w:rsidRPr="008519BD">
        <w:rPr>
          <w:rFonts w:ascii="Marianne" w:hAnsi="Marianne" w:cs="Arial"/>
          <w:b/>
          <w:bCs/>
          <w:sz w:val="20"/>
          <w:szCs w:val="20"/>
        </w:rPr>
        <w:t xml:space="preserve"> </w:t>
      </w:r>
      <w:bookmarkEnd w:id="12"/>
      <w:r w:rsidRPr="008519BD">
        <w:rPr>
          <w:rFonts w:ascii="Marianne" w:hAnsi="Marianne" w:cs="Arial"/>
          <w:b/>
          <w:bCs/>
          <w:sz w:val="20"/>
          <w:szCs w:val="20"/>
        </w:rPr>
        <w:t>1</w:t>
      </w:r>
      <w:r>
        <w:rPr>
          <w:rFonts w:ascii="Marianne" w:hAnsi="Marianne" w:cs="Arial"/>
          <w:b/>
          <w:bCs/>
          <w:sz w:val="20"/>
          <w:szCs w:val="20"/>
        </w:rPr>
        <w:t>7</w:t>
      </w:r>
      <w:r w:rsidRPr="008519BD">
        <w:rPr>
          <w:rFonts w:ascii="Marianne" w:hAnsi="Marianne" w:cs="Arial"/>
          <w:b/>
          <w:bCs/>
          <w:sz w:val="20"/>
          <w:szCs w:val="20"/>
        </w:rPr>
        <w:t>% de la valeur totale des importations du Togo</w:t>
      </w:r>
      <w:r>
        <w:rPr>
          <w:rFonts w:ascii="Marianne" w:hAnsi="Marianne" w:cs="Arial"/>
          <w:b/>
          <w:bCs/>
          <w:sz w:val="20"/>
          <w:szCs w:val="20"/>
        </w:rPr>
        <w:t xml:space="preserve"> en 2024</w:t>
      </w:r>
      <w:r w:rsidRPr="00F22467">
        <w:rPr>
          <w:rFonts w:ascii="Marianne" w:hAnsi="Marianne" w:cs="Arial"/>
          <w:b/>
          <w:bCs/>
          <w:sz w:val="20"/>
          <w:szCs w:val="20"/>
        </w:rPr>
        <w:t>.</w:t>
      </w:r>
      <w:r w:rsidRPr="008519BD">
        <w:rPr>
          <w:rFonts w:ascii="Marianne" w:hAnsi="Marianne" w:cs="Arial"/>
          <w:sz w:val="20"/>
          <w:szCs w:val="20"/>
        </w:rPr>
        <w:t xml:space="preserve"> Les principaux produits </w:t>
      </w:r>
      <w:bookmarkStart w:id="13" w:name="_Hlk193127936"/>
      <w:r w:rsidRPr="008519BD">
        <w:rPr>
          <w:rFonts w:ascii="Marianne" w:hAnsi="Marianne" w:cs="Arial"/>
          <w:sz w:val="20"/>
          <w:szCs w:val="20"/>
        </w:rPr>
        <w:t xml:space="preserve">agricoles et agroalimentaires </w:t>
      </w:r>
      <w:bookmarkEnd w:id="13"/>
      <w:r w:rsidRPr="008519BD">
        <w:rPr>
          <w:rFonts w:ascii="Marianne" w:hAnsi="Marianne" w:cs="Arial"/>
          <w:sz w:val="20"/>
          <w:szCs w:val="20"/>
        </w:rPr>
        <w:t>importés se concentrent sur l’huile de palme (</w:t>
      </w:r>
      <w:r>
        <w:rPr>
          <w:rFonts w:ascii="Marianne" w:hAnsi="Marianne" w:cs="Arial"/>
          <w:sz w:val="20"/>
          <w:szCs w:val="20"/>
        </w:rPr>
        <w:t>82</w:t>
      </w:r>
      <w:r w:rsidRPr="008519BD">
        <w:rPr>
          <w:rFonts w:ascii="Marianne" w:hAnsi="Marianne" w:cs="Arial"/>
          <w:sz w:val="20"/>
          <w:szCs w:val="20"/>
        </w:rPr>
        <w:t xml:space="preserve"> M </w:t>
      </w:r>
      <w:r>
        <w:rPr>
          <w:rFonts w:ascii="Marianne" w:hAnsi="Marianne" w:cs="Arial"/>
          <w:sz w:val="20"/>
          <w:szCs w:val="20"/>
        </w:rPr>
        <w:t>d’</w:t>
      </w:r>
      <w:r w:rsidRPr="008519BD">
        <w:rPr>
          <w:rFonts w:ascii="Marianne" w:hAnsi="Marianne" w:cs="Arial"/>
          <w:sz w:val="20"/>
          <w:szCs w:val="20"/>
        </w:rPr>
        <w:t>EUR</w:t>
      </w:r>
      <w:r>
        <w:rPr>
          <w:rFonts w:ascii="Marianne" w:hAnsi="Marianne" w:cs="Arial"/>
          <w:sz w:val="20"/>
          <w:szCs w:val="20"/>
        </w:rPr>
        <w:t>, -14,2% par rapport à 2023</w:t>
      </w:r>
      <w:r w:rsidRPr="008519BD">
        <w:rPr>
          <w:rFonts w:ascii="Marianne" w:hAnsi="Marianne" w:cs="Arial"/>
          <w:sz w:val="20"/>
          <w:szCs w:val="20"/>
        </w:rPr>
        <w:t>), le riz (</w:t>
      </w:r>
      <w:r>
        <w:rPr>
          <w:rFonts w:ascii="Marianne" w:hAnsi="Marianne" w:cs="Arial"/>
          <w:sz w:val="20"/>
          <w:szCs w:val="20"/>
        </w:rPr>
        <w:t>71</w:t>
      </w:r>
      <w:r w:rsidRPr="008519BD">
        <w:rPr>
          <w:rFonts w:ascii="Marianne" w:hAnsi="Marianne" w:cs="Arial"/>
          <w:sz w:val="20"/>
          <w:szCs w:val="20"/>
        </w:rPr>
        <w:t xml:space="preserve"> M </w:t>
      </w:r>
      <w:r>
        <w:rPr>
          <w:rFonts w:ascii="Marianne" w:hAnsi="Marianne" w:cs="Arial"/>
          <w:sz w:val="20"/>
          <w:szCs w:val="20"/>
        </w:rPr>
        <w:t>d’</w:t>
      </w:r>
      <w:r w:rsidRPr="008519BD">
        <w:rPr>
          <w:rFonts w:ascii="Marianne" w:hAnsi="Marianne" w:cs="Arial"/>
          <w:sz w:val="20"/>
          <w:szCs w:val="20"/>
        </w:rPr>
        <w:t>EUR</w:t>
      </w:r>
      <w:r>
        <w:rPr>
          <w:rFonts w:ascii="Marianne" w:hAnsi="Marianne" w:cs="Arial"/>
          <w:sz w:val="20"/>
          <w:szCs w:val="20"/>
        </w:rPr>
        <w:t>, +8,4%</w:t>
      </w:r>
      <w:r w:rsidRPr="008519BD">
        <w:rPr>
          <w:rFonts w:ascii="Marianne" w:hAnsi="Marianne" w:cs="Arial"/>
          <w:sz w:val="20"/>
          <w:szCs w:val="20"/>
        </w:rPr>
        <w:t>), les fèves de soja (</w:t>
      </w:r>
      <w:r>
        <w:rPr>
          <w:rFonts w:ascii="Marianne" w:hAnsi="Marianne" w:cs="Arial"/>
          <w:sz w:val="20"/>
          <w:szCs w:val="20"/>
        </w:rPr>
        <w:t>37</w:t>
      </w:r>
      <w:r w:rsidRPr="008519BD">
        <w:rPr>
          <w:rFonts w:ascii="Marianne" w:hAnsi="Marianne" w:cs="Arial"/>
          <w:sz w:val="20"/>
          <w:szCs w:val="20"/>
        </w:rPr>
        <w:t xml:space="preserve"> M </w:t>
      </w:r>
      <w:r>
        <w:rPr>
          <w:rFonts w:ascii="Marianne" w:hAnsi="Marianne" w:cs="Arial"/>
          <w:sz w:val="20"/>
          <w:szCs w:val="20"/>
        </w:rPr>
        <w:t>d’</w:t>
      </w:r>
      <w:r w:rsidRPr="008519BD">
        <w:rPr>
          <w:rFonts w:ascii="Marianne" w:hAnsi="Marianne" w:cs="Arial"/>
          <w:sz w:val="20"/>
          <w:szCs w:val="20"/>
        </w:rPr>
        <w:t>EUR</w:t>
      </w:r>
      <w:r>
        <w:rPr>
          <w:rFonts w:ascii="Marianne" w:hAnsi="Marianne" w:cs="Arial"/>
          <w:sz w:val="20"/>
          <w:szCs w:val="20"/>
        </w:rPr>
        <w:t>, -43,1%</w:t>
      </w:r>
      <w:r w:rsidRPr="008519BD">
        <w:rPr>
          <w:rFonts w:ascii="Marianne" w:hAnsi="Marianne" w:cs="Arial"/>
          <w:sz w:val="20"/>
          <w:szCs w:val="20"/>
        </w:rPr>
        <w:t>) et le sucre (</w:t>
      </w:r>
      <w:r>
        <w:rPr>
          <w:rFonts w:ascii="Marianne" w:hAnsi="Marianne" w:cs="Arial"/>
          <w:sz w:val="20"/>
          <w:szCs w:val="20"/>
        </w:rPr>
        <w:t>39</w:t>
      </w:r>
      <w:r w:rsidRPr="008519BD">
        <w:rPr>
          <w:rFonts w:ascii="Marianne" w:hAnsi="Marianne" w:cs="Arial"/>
          <w:sz w:val="20"/>
          <w:szCs w:val="20"/>
        </w:rPr>
        <w:t xml:space="preserve"> M </w:t>
      </w:r>
      <w:r>
        <w:rPr>
          <w:rFonts w:ascii="Marianne" w:hAnsi="Marianne" w:cs="Arial"/>
          <w:sz w:val="20"/>
          <w:szCs w:val="20"/>
        </w:rPr>
        <w:t>d’</w:t>
      </w:r>
      <w:r w:rsidRPr="008519BD">
        <w:rPr>
          <w:rFonts w:ascii="Marianne" w:hAnsi="Marianne" w:cs="Arial"/>
          <w:sz w:val="20"/>
          <w:szCs w:val="20"/>
        </w:rPr>
        <w:t>EUR</w:t>
      </w:r>
      <w:r>
        <w:rPr>
          <w:rFonts w:ascii="Marianne" w:hAnsi="Marianne" w:cs="Arial"/>
          <w:sz w:val="20"/>
          <w:szCs w:val="20"/>
        </w:rPr>
        <w:t>, -5,4%</w:t>
      </w:r>
      <w:r w:rsidRPr="008519BD">
        <w:rPr>
          <w:rFonts w:ascii="Marianne" w:hAnsi="Marianne" w:cs="Arial"/>
          <w:sz w:val="20"/>
          <w:szCs w:val="20"/>
        </w:rPr>
        <w:t>). Le riz représente 6</w:t>
      </w:r>
      <w:r>
        <w:rPr>
          <w:rFonts w:ascii="Marianne" w:hAnsi="Marianne" w:cs="Arial"/>
          <w:sz w:val="20"/>
          <w:szCs w:val="20"/>
        </w:rPr>
        <w:t>5</w:t>
      </w:r>
      <w:r w:rsidRPr="008519BD">
        <w:rPr>
          <w:rFonts w:ascii="Marianne" w:hAnsi="Marianne" w:cs="Arial"/>
          <w:sz w:val="20"/>
          <w:szCs w:val="20"/>
        </w:rPr>
        <w:t>% des céréales importées et le blé</w:t>
      </w:r>
      <w:r>
        <w:rPr>
          <w:rFonts w:ascii="Marianne" w:hAnsi="Marianne" w:cs="Arial"/>
          <w:sz w:val="20"/>
          <w:szCs w:val="20"/>
        </w:rPr>
        <w:t xml:space="preserve"> tendre</w:t>
      </w:r>
      <w:r w:rsidRPr="008519BD">
        <w:rPr>
          <w:rFonts w:ascii="Marianne" w:hAnsi="Marianne" w:cs="Arial"/>
          <w:sz w:val="20"/>
          <w:szCs w:val="20"/>
        </w:rPr>
        <w:t xml:space="preserve"> </w:t>
      </w:r>
      <w:r>
        <w:rPr>
          <w:rFonts w:ascii="Marianne" w:hAnsi="Marianne" w:cs="Arial"/>
          <w:sz w:val="20"/>
          <w:szCs w:val="20"/>
        </w:rPr>
        <w:t>22</w:t>
      </w:r>
      <w:r w:rsidRPr="008519BD">
        <w:rPr>
          <w:rFonts w:ascii="Marianne" w:hAnsi="Marianne" w:cs="Arial"/>
          <w:sz w:val="20"/>
          <w:szCs w:val="20"/>
        </w:rPr>
        <w:t>%.</w:t>
      </w:r>
    </w:p>
    <w:p w14:paraId="2B8AFAE0" w14:textId="77777777" w:rsidR="000E42AF" w:rsidRDefault="000E42AF" w:rsidP="000E42AF">
      <w:pPr>
        <w:spacing w:after="0"/>
        <w:jc w:val="both"/>
        <w:rPr>
          <w:rFonts w:ascii="Marianne" w:hAnsi="Marianne" w:cs="Arial"/>
          <w:sz w:val="20"/>
          <w:szCs w:val="20"/>
        </w:rPr>
      </w:pPr>
    </w:p>
    <w:p w14:paraId="0DC731D4" w14:textId="77777777" w:rsidR="000E42AF" w:rsidRPr="00D15A4D" w:rsidRDefault="000E42AF" w:rsidP="000E42AF">
      <w:pPr>
        <w:spacing w:after="0"/>
        <w:jc w:val="both"/>
        <w:rPr>
          <w:rFonts w:ascii="Marianne" w:hAnsi="Marianne" w:cs="Arial"/>
          <w:sz w:val="20"/>
          <w:szCs w:val="20"/>
        </w:rPr>
      </w:pPr>
      <w:r w:rsidRPr="00D15A4D">
        <w:rPr>
          <w:rFonts w:ascii="Marianne" w:hAnsi="Marianne" w:cs="Arial"/>
          <w:sz w:val="20"/>
          <w:szCs w:val="20"/>
        </w:rPr>
        <w:t>En 202</w:t>
      </w:r>
      <w:r>
        <w:rPr>
          <w:rFonts w:ascii="Marianne" w:hAnsi="Marianne" w:cs="Arial"/>
          <w:sz w:val="20"/>
          <w:szCs w:val="20"/>
        </w:rPr>
        <w:t>4</w:t>
      </w:r>
      <w:r w:rsidRPr="00D15A4D">
        <w:rPr>
          <w:rFonts w:ascii="Marianne" w:hAnsi="Marianne" w:cs="Arial"/>
          <w:sz w:val="20"/>
          <w:szCs w:val="20"/>
        </w:rPr>
        <w:t>, les principaux fournisseurs du Togo en produits agricoles et agroalimentaires sont</w:t>
      </w:r>
      <w:r>
        <w:rPr>
          <w:rFonts w:ascii="Marianne" w:hAnsi="Marianne" w:cs="Arial"/>
          <w:sz w:val="20"/>
          <w:szCs w:val="20"/>
        </w:rPr>
        <w:t xml:space="preserve"> l’Union européenne (20,8% des importations),</w:t>
      </w:r>
      <w:r w:rsidRPr="00D15A4D">
        <w:rPr>
          <w:rFonts w:ascii="Marianne" w:hAnsi="Marianne" w:cs="Arial"/>
          <w:sz w:val="20"/>
          <w:szCs w:val="20"/>
        </w:rPr>
        <w:t xml:space="preserve"> la Malaisie (1</w:t>
      </w:r>
      <w:r>
        <w:rPr>
          <w:rFonts w:ascii="Marianne" w:hAnsi="Marianne" w:cs="Arial"/>
          <w:sz w:val="20"/>
          <w:szCs w:val="20"/>
        </w:rPr>
        <w:t>2</w:t>
      </w:r>
      <w:r w:rsidRPr="00D15A4D">
        <w:rPr>
          <w:rFonts w:ascii="Marianne" w:hAnsi="Marianne" w:cs="Arial"/>
          <w:sz w:val="20"/>
          <w:szCs w:val="20"/>
        </w:rPr>
        <w:t>,</w:t>
      </w:r>
      <w:r>
        <w:rPr>
          <w:rFonts w:ascii="Marianne" w:hAnsi="Marianne" w:cs="Arial"/>
          <w:sz w:val="20"/>
          <w:szCs w:val="20"/>
        </w:rPr>
        <w:t>9</w:t>
      </w:r>
      <w:r w:rsidRPr="00D15A4D">
        <w:rPr>
          <w:rFonts w:ascii="Marianne" w:hAnsi="Marianne" w:cs="Arial"/>
          <w:sz w:val="20"/>
          <w:szCs w:val="20"/>
        </w:rPr>
        <w:t>%), l’Inde (1</w:t>
      </w:r>
      <w:r>
        <w:rPr>
          <w:rFonts w:ascii="Marianne" w:hAnsi="Marianne" w:cs="Arial"/>
          <w:sz w:val="20"/>
          <w:szCs w:val="20"/>
        </w:rPr>
        <w:t>0</w:t>
      </w:r>
      <w:r w:rsidRPr="00D15A4D">
        <w:rPr>
          <w:rFonts w:ascii="Marianne" w:hAnsi="Marianne" w:cs="Arial"/>
          <w:sz w:val="20"/>
          <w:szCs w:val="20"/>
        </w:rPr>
        <w:t>,</w:t>
      </w:r>
      <w:r>
        <w:rPr>
          <w:rFonts w:ascii="Marianne" w:hAnsi="Marianne" w:cs="Arial"/>
          <w:sz w:val="20"/>
          <w:szCs w:val="20"/>
        </w:rPr>
        <w:t>3</w:t>
      </w:r>
      <w:r w:rsidRPr="00D15A4D">
        <w:rPr>
          <w:rFonts w:ascii="Marianne" w:hAnsi="Marianne" w:cs="Arial"/>
          <w:sz w:val="20"/>
          <w:szCs w:val="20"/>
        </w:rPr>
        <w:t>%, principal fournisseur de riz), le</w:t>
      </w:r>
      <w:r>
        <w:rPr>
          <w:rFonts w:ascii="Marianne" w:hAnsi="Marianne" w:cs="Arial"/>
          <w:sz w:val="20"/>
          <w:szCs w:val="20"/>
        </w:rPr>
        <w:t xml:space="preserve"> Burkina-Faso (8,3%), le</w:t>
      </w:r>
      <w:r w:rsidRPr="00D15A4D">
        <w:rPr>
          <w:rFonts w:ascii="Marianne" w:hAnsi="Marianne" w:cs="Arial"/>
          <w:sz w:val="20"/>
          <w:szCs w:val="20"/>
        </w:rPr>
        <w:t xml:space="preserve"> Brésil (</w:t>
      </w:r>
      <w:r>
        <w:rPr>
          <w:rFonts w:ascii="Marianne" w:hAnsi="Marianne" w:cs="Arial"/>
          <w:sz w:val="20"/>
          <w:szCs w:val="20"/>
        </w:rPr>
        <w:t>8</w:t>
      </w:r>
      <w:r w:rsidRPr="00D15A4D">
        <w:rPr>
          <w:rFonts w:ascii="Marianne" w:hAnsi="Marianne" w:cs="Arial"/>
          <w:sz w:val="20"/>
          <w:szCs w:val="20"/>
        </w:rPr>
        <w:t>,</w:t>
      </w:r>
      <w:r>
        <w:rPr>
          <w:rFonts w:ascii="Marianne" w:hAnsi="Marianne" w:cs="Arial"/>
          <w:sz w:val="20"/>
          <w:szCs w:val="20"/>
        </w:rPr>
        <w:t>0</w:t>
      </w:r>
      <w:r w:rsidRPr="00D15A4D">
        <w:rPr>
          <w:rFonts w:ascii="Marianne" w:hAnsi="Marianne" w:cs="Arial"/>
          <w:sz w:val="20"/>
          <w:szCs w:val="20"/>
        </w:rPr>
        <w:t>%), l’Indonésie (</w:t>
      </w:r>
      <w:r>
        <w:rPr>
          <w:rFonts w:ascii="Marianne" w:hAnsi="Marianne" w:cs="Arial"/>
          <w:sz w:val="20"/>
          <w:szCs w:val="20"/>
        </w:rPr>
        <w:t>5</w:t>
      </w:r>
      <w:r w:rsidRPr="00D15A4D">
        <w:rPr>
          <w:rFonts w:ascii="Marianne" w:hAnsi="Marianne" w:cs="Arial"/>
          <w:sz w:val="20"/>
          <w:szCs w:val="20"/>
        </w:rPr>
        <w:t>,</w:t>
      </w:r>
      <w:r>
        <w:rPr>
          <w:rFonts w:ascii="Marianne" w:hAnsi="Marianne" w:cs="Arial"/>
          <w:sz w:val="20"/>
          <w:szCs w:val="20"/>
        </w:rPr>
        <w:t>7</w:t>
      </w:r>
      <w:r w:rsidRPr="00D15A4D">
        <w:rPr>
          <w:rFonts w:ascii="Marianne" w:hAnsi="Marianne" w:cs="Arial"/>
          <w:sz w:val="20"/>
          <w:szCs w:val="20"/>
        </w:rPr>
        <w:t>%)</w:t>
      </w:r>
      <w:r>
        <w:rPr>
          <w:rFonts w:ascii="Marianne" w:hAnsi="Marianne" w:cs="Arial"/>
          <w:sz w:val="20"/>
          <w:szCs w:val="20"/>
        </w:rPr>
        <w:t>. L</w:t>
      </w:r>
      <w:r w:rsidRPr="00D15A4D">
        <w:rPr>
          <w:rFonts w:ascii="Marianne" w:hAnsi="Marianne" w:cs="Arial"/>
          <w:sz w:val="20"/>
          <w:szCs w:val="20"/>
        </w:rPr>
        <w:t>a France (5,4%)</w:t>
      </w:r>
      <w:r>
        <w:rPr>
          <w:rFonts w:ascii="Marianne" w:hAnsi="Marianne" w:cs="Arial"/>
          <w:sz w:val="20"/>
          <w:szCs w:val="20"/>
        </w:rPr>
        <w:t xml:space="preserve"> est le 6</w:t>
      </w:r>
      <w:r w:rsidRPr="00AF06DE">
        <w:rPr>
          <w:rFonts w:ascii="Marianne" w:hAnsi="Marianne" w:cs="Arial"/>
          <w:sz w:val="20"/>
          <w:szCs w:val="20"/>
          <w:vertAlign w:val="superscript"/>
        </w:rPr>
        <w:t>ème</w:t>
      </w:r>
      <w:r>
        <w:rPr>
          <w:rFonts w:ascii="Marianne" w:hAnsi="Marianne" w:cs="Arial"/>
          <w:sz w:val="20"/>
          <w:szCs w:val="20"/>
        </w:rPr>
        <w:t xml:space="preserve"> fournisseur et 1</w:t>
      </w:r>
      <w:r w:rsidRPr="00AF06DE">
        <w:rPr>
          <w:rFonts w:ascii="Marianne" w:hAnsi="Marianne" w:cs="Arial"/>
          <w:sz w:val="20"/>
          <w:szCs w:val="20"/>
          <w:vertAlign w:val="superscript"/>
        </w:rPr>
        <w:t>er</w:t>
      </w:r>
      <w:r>
        <w:rPr>
          <w:rFonts w:ascii="Marianne" w:hAnsi="Marianne" w:cs="Arial"/>
          <w:sz w:val="20"/>
          <w:szCs w:val="20"/>
        </w:rPr>
        <w:t xml:space="preserve"> pays européen</w:t>
      </w:r>
      <w:r w:rsidRPr="00D15A4D">
        <w:rPr>
          <w:rFonts w:ascii="Marianne" w:hAnsi="Marianne" w:cs="Arial"/>
          <w:sz w:val="20"/>
          <w:szCs w:val="20"/>
        </w:rPr>
        <w:t xml:space="preserve">. </w:t>
      </w:r>
    </w:p>
    <w:p w14:paraId="2DCF4C50" w14:textId="77777777" w:rsidR="000E42AF" w:rsidRDefault="000E42AF" w:rsidP="000E42AF">
      <w:pPr>
        <w:spacing w:after="0"/>
        <w:jc w:val="both"/>
        <w:rPr>
          <w:rFonts w:ascii="Marianne" w:hAnsi="Marianne" w:cs="Arial"/>
          <w:sz w:val="20"/>
          <w:szCs w:val="20"/>
        </w:rPr>
      </w:pPr>
    </w:p>
    <w:p w14:paraId="04AF58AE" w14:textId="77777777" w:rsidR="000E42AF" w:rsidRDefault="000E42AF" w:rsidP="000E42AF">
      <w:pPr>
        <w:spacing w:after="0"/>
        <w:jc w:val="both"/>
        <w:rPr>
          <w:rFonts w:ascii="Marianne" w:hAnsi="Marianne" w:cs="Arial"/>
          <w:sz w:val="20"/>
          <w:szCs w:val="20"/>
        </w:rPr>
      </w:pPr>
      <w:r w:rsidRPr="00AE13ED">
        <w:rPr>
          <w:rFonts w:ascii="Marianne" w:hAnsi="Marianne" w:cs="Arial"/>
          <w:b/>
          <w:bCs/>
          <w:sz w:val="20"/>
          <w:szCs w:val="20"/>
        </w:rPr>
        <w:t>Les produits agricoles et agroalimentaires représentaient 29% du montant des exportations totales du Togo en 2024.</w:t>
      </w:r>
      <w:r w:rsidRPr="008519BD">
        <w:rPr>
          <w:rFonts w:ascii="Marianne" w:hAnsi="Marianne" w:cs="Arial"/>
          <w:sz w:val="20"/>
          <w:szCs w:val="20"/>
        </w:rPr>
        <w:t xml:space="preserve"> Les produits </w:t>
      </w:r>
      <w:r w:rsidRPr="00AE13ED">
        <w:rPr>
          <w:rFonts w:ascii="Marianne" w:hAnsi="Marianne" w:cs="Arial"/>
          <w:sz w:val="20"/>
          <w:szCs w:val="20"/>
        </w:rPr>
        <w:t xml:space="preserve">agricoles et agroalimentaires </w:t>
      </w:r>
      <w:r w:rsidRPr="008519BD">
        <w:rPr>
          <w:rFonts w:ascii="Marianne" w:hAnsi="Marianne" w:cs="Arial"/>
          <w:sz w:val="20"/>
          <w:szCs w:val="20"/>
        </w:rPr>
        <w:t xml:space="preserve">exportés ont </w:t>
      </w:r>
      <w:r>
        <w:rPr>
          <w:rFonts w:ascii="Marianne" w:hAnsi="Marianne" w:cs="Arial"/>
          <w:sz w:val="20"/>
          <w:szCs w:val="20"/>
        </w:rPr>
        <w:t xml:space="preserve">été </w:t>
      </w:r>
      <w:r w:rsidRPr="008519BD">
        <w:rPr>
          <w:rFonts w:ascii="Marianne" w:hAnsi="Marianne" w:cs="Arial"/>
          <w:sz w:val="20"/>
          <w:szCs w:val="20"/>
        </w:rPr>
        <w:t>principalement l’huile de palme (</w:t>
      </w:r>
      <w:r>
        <w:rPr>
          <w:rFonts w:ascii="Marianne" w:hAnsi="Marianne" w:cs="Arial"/>
          <w:sz w:val="20"/>
          <w:szCs w:val="20"/>
        </w:rPr>
        <w:t>50</w:t>
      </w:r>
      <w:r w:rsidRPr="008519BD">
        <w:rPr>
          <w:rFonts w:ascii="Marianne" w:hAnsi="Marianne" w:cs="Arial"/>
          <w:sz w:val="20"/>
          <w:szCs w:val="20"/>
        </w:rPr>
        <w:t xml:space="preserve"> M </w:t>
      </w:r>
      <w:r>
        <w:rPr>
          <w:rFonts w:ascii="Marianne" w:hAnsi="Marianne" w:cs="Arial"/>
          <w:sz w:val="20"/>
          <w:szCs w:val="20"/>
        </w:rPr>
        <w:t>d’</w:t>
      </w:r>
      <w:r w:rsidRPr="008519BD">
        <w:rPr>
          <w:rFonts w:ascii="Marianne" w:hAnsi="Marianne" w:cs="Arial"/>
          <w:sz w:val="20"/>
          <w:szCs w:val="20"/>
        </w:rPr>
        <w:t>EUR</w:t>
      </w:r>
      <w:r>
        <w:rPr>
          <w:rFonts w:ascii="Marianne" w:hAnsi="Marianne" w:cs="Arial"/>
          <w:sz w:val="20"/>
          <w:szCs w:val="20"/>
        </w:rPr>
        <w:t>, -22,2% par rapport à 2023</w:t>
      </w:r>
      <w:r w:rsidRPr="008519BD">
        <w:rPr>
          <w:rFonts w:ascii="Marianne" w:hAnsi="Marianne" w:cs="Arial"/>
          <w:sz w:val="20"/>
          <w:szCs w:val="20"/>
        </w:rPr>
        <w:t xml:space="preserve">) et </w:t>
      </w:r>
      <w:r>
        <w:rPr>
          <w:rFonts w:ascii="Marianne" w:hAnsi="Marianne" w:cs="Arial"/>
          <w:sz w:val="20"/>
          <w:szCs w:val="20"/>
        </w:rPr>
        <w:t xml:space="preserve">le </w:t>
      </w:r>
      <w:r w:rsidRPr="008519BD">
        <w:rPr>
          <w:rFonts w:ascii="Marianne" w:hAnsi="Marianne" w:cs="Arial"/>
          <w:sz w:val="20"/>
          <w:szCs w:val="20"/>
        </w:rPr>
        <w:t>soja (1</w:t>
      </w:r>
      <w:r>
        <w:rPr>
          <w:rFonts w:ascii="Marianne" w:hAnsi="Marianne" w:cs="Arial"/>
          <w:sz w:val="20"/>
          <w:szCs w:val="20"/>
        </w:rPr>
        <w:t>7</w:t>
      </w:r>
      <w:r w:rsidRPr="008519BD">
        <w:rPr>
          <w:rFonts w:ascii="Marianne" w:hAnsi="Marianne" w:cs="Arial"/>
          <w:sz w:val="20"/>
          <w:szCs w:val="20"/>
        </w:rPr>
        <w:t xml:space="preserve"> M </w:t>
      </w:r>
      <w:r>
        <w:rPr>
          <w:rFonts w:ascii="Marianne" w:hAnsi="Marianne" w:cs="Arial"/>
          <w:sz w:val="20"/>
          <w:szCs w:val="20"/>
        </w:rPr>
        <w:t>d’</w:t>
      </w:r>
      <w:r w:rsidRPr="008519BD">
        <w:rPr>
          <w:rFonts w:ascii="Marianne" w:hAnsi="Marianne" w:cs="Arial"/>
          <w:sz w:val="20"/>
          <w:szCs w:val="20"/>
        </w:rPr>
        <w:t>EUR</w:t>
      </w:r>
      <w:r>
        <w:rPr>
          <w:rFonts w:ascii="Marianne" w:hAnsi="Marianne" w:cs="Arial"/>
          <w:sz w:val="20"/>
          <w:szCs w:val="20"/>
        </w:rPr>
        <w:t>, -13,3%</w:t>
      </w:r>
      <w:r w:rsidRPr="008519BD">
        <w:rPr>
          <w:rFonts w:ascii="Marianne" w:hAnsi="Marianne" w:cs="Arial"/>
          <w:sz w:val="20"/>
          <w:szCs w:val="20"/>
        </w:rPr>
        <w:t>), des tourteaux (6</w:t>
      </w:r>
      <w:r>
        <w:rPr>
          <w:rFonts w:ascii="Marianne" w:hAnsi="Marianne" w:cs="Arial"/>
          <w:sz w:val="20"/>
          <w:szCs w:val="20"/>
        </w:rPr>
        <w:t>4</w:t>
      </w:r>
      <w:r w:rsidRPr="008519BD">
        <w:rPr>
          <w:rFonts w:ascii="Marianne" w:hAnsi="Marianne" w:cs="Arial"/>
          <w:sz w:val="20"/>
          <w:szCs w:val="20"/>
        </w:rPr>
        <w:t xml:space="preserve"> M </w:t>
      </w:r>
      <w:r>
        <w:rPr>
          <w:rFonts w:ascii="Marianne" w:hAnsi="Marianne" w:cs="Arial"/>
          <w:sz w:val="20"/>
          <w:szCs w:val="20"/>
        </w:rPr>
        <w:lastRenderedPageBreak/>
        <w:t>d’</w:t>
      </w:r>
      <w:r w:rsidRPr="008519BD">
        <w:rPr>
          <w:rFonts w:ascii="Marianne" w:hAnsi="Marianne" w:cs="Arial"/>
          <w:sz w:val="20"/>
          <w:szCs w:val="20"/>
        </w:rPr>
        <w:t>EUR</w:t>
      </w:r>
      <w:r>
        <w:rPr>
          <w:rFonts w:ascii="Marianne" w:hAnsi="Marianne" w:cs="Arial"/>
          <w:sz w:val="20"/>
          <w:szCs w:val="20"/>
        </w:rPr>
        <w:t>, -15,1%</w:t>
      </w:r>
      <w:r w:rsidRPr="008519BD">
        <w:rPr>
          <w:rFonts w:ascii="Marianne" w:hAnsi="Marianne" w:cs="Arial"/>
          <w:sz w:val="20"/>
          <w:szCs w:val="20"/>
        </w:rPr>
        <w:t>)</w:t>
      </w:r>
      <w:r>
        <w:rPr>
          <w:rFonts w:ascii="Marianne" w:hAnsi="Marianne" w:cs="Arial"/>
          <w:sz w:val="20"/>
          <w:szCs w:val="20"/>
        </w:rPr>
        <w:t>,</w:t>
      </w:r>
      <w:r w:rsidRPr="008519BD">
        <w:rPr>
          <w:rFonts w:ascii="Marianne" w:hAnsi="Marianne" w:cs="Arial"/>
          <w:sz w:val="20"/>
          <w:szCs w:val="20"/>
        </w:rPr>
        <w:t xml:space="preserve"> des fèves de soja (</w:t>
      </w:r>
      <w:r>
        <w:rPr>
          <w:rFonts w:ascii="Marianne" w:hAnsi="Marianne" w:cs="Arial"/>
          <w:sz w:val="20"/>
          <w:szCs w:val="20"/>
        </w:rPr>
        <w:t>12</w:t>
      </w:r>
      <w:r w:rsidRPr="008519BD">
        <w:rPr>
          <w:rFonts w:ascii="Marianne" w:hAnsi="Marianne" w:cs="Arial"/>
          <w:sz w:val="20"/>
          <w:szCs w:val="20"/>
        </w:rPr>
        <w:t xml:space="preserve"> M </w:t>
      </w:r>
      <w:r>
        <w:rPr>
          <w:rFonts w:ascii="Marianne" w:hAnsi="Marianne" w:cs="Arial"/>
          <w:sz w:val="20"/>
          <w:szCs w:val="20"/>
        </w:rPr>
        <w:t>d’</w:t>
      </w:r>
      <w:r w:rsidRPr="008519BD">
        <w:rPr>
          <w:rFonts w:ascii="Marianne" w:hAnsi="Marianne" w:cs="Arial"/>
          <w:sz w:val="20"/>
          <w:szCs w:val="20"/>
        </w:rPr>
        <w:t>EUR</w:t>
      </w:r>
      <w:r>
        <w:rPr>
          <w:rFonts w:ascii="Marianne" w:hAnsi="Marianne" w:cs="Arial"/>
          <w:sz w:val="20"/>
          <w:szCs w:val="20"/>
        </w:rPr>
        <w:t>, -61,1%</w:t>
      </w:r>
      <w:r w:rsidRPr="008519BD">
        <w:rPr>
          <w:rFonts w:ascii="Marianne" w:hAnsi="Marianne" w:cs="Arial"/>
          <w:sz w:val="20"/>
          <w:szCs w:val="20"/>
        </w:rPr>
        <w:t>).</w:t>
      </w:r>
      <w:r>
        <w:rPr>
          <w:rFonts w:ascii="Marianne" w:hAnsi="Marianne" w:cs="Arial"/>
          <w:sz w:val="20"/>
          <w:szCs w:val="20"/>
        </w:rPr>
        <w:t xml:space="preserve"> Hors produits agricoles et agroalimentaires, il est à noter que le Togo exporte </w:t>
      </w:r>
      <w:r w:rsidRPr="00E558E3">
        <w:rPr>
          <w:rFonts w:ascii="Marianne" w:hAnsi="Marianne" w:cs="Arial"/>
          <w:sz w:val="20"/>
          <w:szCs w:val="20"/>
        </w:rPr>
        <w:t>du coton non-cardé (</w:t>
      </w:r>
      <w:r>
        <w:rPr>
          <w:rFonts w:ascii="Marianne" w:hAnsi="Marianne" w:cs="Arial"/>
          <w:sz w:val="20"/>
          <w:szCs w:val="20"/>
        </w:rPr>
        <w:t>48</w:t>
      </w:r>
      <w:r w:rsidRPr="00E558E3">
        <w:rPr>
          <w:rFonts w:ascii="Marianne" w:hAnsi="Marianne" w:cs="Arial"/>
          <w:sz w:val="20"/>
          <w:szCs w:val="20"/>
        </w:rPr>
        <w:t xml:space="preserve"> M </w:t>
      </w:r>
      <w:r>
        <w:rPr>
          <w:rFonts w:ascii="Marianne" w:hAnsi="Marianne" w:cs="Arial"/>
          <w:sz w:val="20"/>
          <w:szCs w:val="20"/>
        </w:rPr>
        <w:t>d’</w:t>
      </w:r>
      <w:r w:rsidRPr="00E558E3">
        <w:rPr>
          <w:rFonts w:ascii="Marianne" w:hAnsi="Marianne" w:cs="Arial"/>
          <w:sz w:val="20"/>
          <w:szCs w:val="20"/>
        </w:rPr>
        <w:t>EUR</w:t>
      </w:r>
      <w:r>
        <w:rPr>
          <w:rFonts w:ascii="Marianne" w:hAnsi="Marianne" w:cs="Arial"/>
          <w:sz w:val="20"/>
          <w:szCs w:val="20"/>
        </w:rPr>
        <w:t>, +64,12%</w:t>
      </w:r>
      <w:r w:rsidRPr="00E558E3">
        <w:rPr>
          <w:rFonts w:ascii="Marianne" w:hAnsi="Marianne" w:cs="Arial"/>
          <w:sz w:val="20"/>
          <w:szCs w:val="20"/>
        </w:rPr>
        <w:t>)</w:t>
      </w:r>
      <w:r>
        <w:rPr>
          <w:rFonts w:ascii="Marianne" w:hAnsi="Marianne" w:cs="Arial"/>
          <w:sz w:val="20"/>
          <w:szCs w:val="20"/>
        </w:rPr>
        <w:t xml:space="preserve"> et un peu de bois brut (2,5 M d’EUR, +87,3%).</w:t>
      </w:r>
    </w:p>
    <w:p w14:paraId="55E9C6DA" w14:textId="77777777" w:rsidR="000E42AF" w:rsidRDefault="000E42AF" w:rsidP="000E42AF">
      <w:pPr>
        <w:spacing w:after="0"/>
        <w:jc w:val="both"/>
        <w:rPr>
          <w:rFonts w:ascii="Marianne" w:hAnsi="Marianne" w:cs="Arial"/>
          <w:sz w:val="20"/>
          <w:szCs w:val="20"/>
        </w:rPr>
      </w:pPr>
    </w:p>
    <w:p w14:paraId="047E8984" w14:textId="77777777" w:rsidR="000E42AF" w:rsidRPr="008519BD" w:rsidRDefault="000E42AF" w:rsidP="000E42AF">
      <w:pPr>
        <w:spacing w:after="0"/>
        <w:jc w:val="both"/>
        <w:rPr>
          <w:rFonts w:ascii="Marianne" w:hAnsi="Marianne" w:cs="Arial"/>
          <w:sz w:val="20"/>
          <w:szCs w:val="20"/>
        </w:rPr>
      </w:pPr>
      <w:r w:rsidRPr="00E558E3">
        <w:rPr>
          <w:rFonts w:ascii="Marianne" w:hAnsi="Marianne" w:cs="Arial"/>
          <w:sz w:val="20"/>
          <w:szCs w:val="20"/>
        </w:rPr>
        <w:t xml:space="preserve">La plupart des produits agricoles togolais sont peu compétitifs sur les marchés internationaux. </w:t>
      </w:r>
      <w:r>
        <w:rPr>
          <w:rFonts w:ascii="Marianne" w:hAnsi="Marianne" w:cs="Arial"/>
          <w:sz w:val="20"/>
          <w:szCs w:val="20"/>
        </w:rPr>
        <w:t>Une</w:t>
      </w:r>
      <w:r w:rsidRPr="00E558E3">
        <w:rPr>
          <w:rFonts w:ascii="Marianne" w:hAnsi="Marianne" w:cs="Arial"/>
          <w:sz w:val="20"/>
          <w:szCs w:val="20"/>
        </w:rPr>
        <w:t xml:space="preserve"> production togolaise à forte valeur ajoutée f</w:t>
      </w:r>
      <w:r>
        <w:rPr>
          <w:rFonts w:ascii="Marianne" w:hAnsi="Marianne" w:cs="Arial"/>
          <w:sz w:val="20"/>
          <w:szCs w:val="20"/>
        </w:rPr>
        <w:t>ait</w:t>
      </w:r>
      <w:r w:rsidRPr="00E558E3">
        <w:rPr>
          <w:rFonts w:ascii="Marianne" w:hAnsi="Marianne" w:cs="Arial"/>
          <w:sz w:val="20"/>
          <w:szCs w:val="20"/>
        </w:rPr>
        <w:t xml:space="preserve"> cependant exception : le soja</w:t>
      </w:r>
      <w:r>
        <w:rPr>
          <w:rFonts w:ascii="Marianne" w:hAnsi="Marianne" w:cs="Arial"/>
          <w:sz w:val="20"/>
          <w:szCs w:val="20"/>
        </w:rPr>
        <w:t>.</w:t>
      </w:r>
      <w:r w:rsidRPr="00E558E3">
        <w:rPr>
          <w:rFonts w:ascii="Marianne" w:hAnsi="Marianne" w:cs="Arial"/>
          <w:sz w:val="20"/>
          <w:szCs w:val="20"/>
        </w:rPr>
        <w:t xml:space="preserve"> </w:t>
      </w:r>
      <w:r w:rsidRPr="008519BD">
        <w:rPr>
          <w:rFonts w:ascii="Marianne" w:hAnsi="Marianne" w:cs="Arial"/>
          <w:sz w:val="20"/>
          <w:szCs w:val="20"/>
        </w:rPr>
        <w:t xml:space="preserve">En 2020, le pays était le deuxième exportateur africain après l’Égypte et le premier au sein de la CEDEAO de </w:t>
      </w:r>
      <w:r w:rsidRPr="008519BD">
        <w:rPr>
          <w:rFonts w:ascii="Marianne" w:hAnsi="Marianne" w:cs="Arial"/>
          <w:b/>
          <w:bCs/>
          <w:sz w:val="20"/>
          <w:szCs w:val="20"/>
        </w:rPr>
        <w:t>produits biologiques vers l’Union européenne</w:t>
      </w:r>
      <w:r w:rsidRPr="008519BD">
        <w:rPr>
          <w:rFonts w:ascii="Marianne" w:hAnsi="Marianne" w:cs="Arial"/>
          <w:sz w:val="20"/>
          <w:szCs w:val="20"/>
        </w:rPr>
        <w:t>. En 2022, le Togo était le premier fournisseur de l’U</w:t>
      </w:r>
      <w:r>
        <w:rPr>
          <w:rFonts w:ascii="Marianne" w:hAnsi="Marianne" w:cs="Arial"/>
          <w:sz w:val="20"/>
          <w:szCs w:val="20"/>
        </w:rPr>
        <w:t xml:space="preserve">nion européenne </w:t>
      </w:r>
      <w:r w:rsidRPr="008519BD">
        <w:rPr>
          <w:rFonts w:ascii="Marianne" w:hAnsi="Marianne" w:cs="Arial"/>
          <w:sz w:val="20"/>
          <w:szCs w:val="20"/>
        </w:rPr>
        <w:t>en soja bio, représentant 63% des fèves de soja bio importées dans l’Union</w:t>
      </w:r>
      <w:r>
        <w:rPr>
          <w:rFonts w:ascii="Marianne" w:hAnsi="Marianne" w:cs="Arial"/>
          <w:sz w:val="20"/>
          <w:szCs w:val="20"/>
        </w:rPr>
        <w:t xml:space="preserve"> européenne</w:t>
      </w:r>
      <w:r w:rsidRPr="008519BD">
        <w:rPr>
          <w:rStyle w:val="Appelnotedebasdep"/>
          <w:rFonts w:ascii="Marianne" w:hAnsi="Marianne" w:cs="Arial"/>
          <w:sz w:val="20"/>
          <w:szCs w:val="20"/>
        </w:rPr>
        <w:footnoteReference w:id="18"/>
      </w:r>
      <w:r w:rsidRPr="008519BD">
        <w:rPr>
          <w:rFonts w:ascii="Marianne" w:hAnsi="Marianne" w:cs="Arial"/>
          <w:sz w:val="20"/>
          <w:szCs w:val="20"/>
        </w:rPr>
        <w:t xml:space="preserve">. </w:t>
      </w:r>
    </w:p>
    <w:p w14:paraId="056E4B26" w14:textId="77777777" w:rsidR="000E42AF" w:rsidRDefault="000E42AF" w:rsidP="000E42AF">
      <w:pPr>
        <w:spacing w:after="0"/>
        <w:jc w:val="both"/>
        <w:rPr>
          <w:rFonts w:ascii="Marianne" w:hAnsi="Marianne" w:cs="Arial"/>
          <w:b/>
          <w:bCs/>
          <w:sz w:val="20"/>
          <w:szCs w:val="20"/>
        </w:rPr>
      </w:pPr>
    </w:p>
    <w:p w14:paraId="73459B23" w14:textId="77777777" w:rsidR="000E42AF" w:rsidRPr="005A24B8" w:rsidRDefault="000E42AF" w:rsidP="000E42AF">
      <w:pPr>
        <w:spacing w:after="0"/>
        <w:jc w:val="both"/>
        <w:rPr>
          <w:rFonts w:ascii="Marianne" w:hAnsi="Marianne" w:cs="Arial"/>
          <w:sz w:val="20"/>
          <w:szCs w:val="20"/>
        </w:rPr>
      </w:pPr>
      <w:r>
        <w:rPr>
          <w:rFonts w:ascii="Marianne" w:hAnsi="Marianne" w:cs="Arial"/>
          <w:sz w:val="20"/>
          <w:szCs w:val="20"/>
        </w:rPr>
        <w:t>En 2024, l</w:t>
      </w:r>
      <w:r w:rsidRPr="00D15A4D">
        <w:rPr>
          <w:rFonts w:ascii="Marianne" w:hAnsi="Marianne" w:cs="Arial"/>
          <w:sz w:val="20"/>
          <w:szCs w:val="20"/>
        </w:rPr>
        <w:t xml:space="preserve">es principaux clients du Togo sont </w:t>
      </w:r>
      <w:r>
        <w:rPr>
          <w:rFonts w:ascii="Marianne" w:hAnsi="Marianne" w:cs="Arial"/>
          <w:sz w:val="20"/>
          <w:szCs w:val="20"/>
        </w:rPr>
        <w:t xml:space="preserve">l’Union européenne (22,3% des importations), </w:t>
      </w:r>
      <w:r w:rsidRPr="00D15A4D">
        <w:rPr>
          <w:rFonts w:ascii="Marianne" w:hAnsi="Marianne" w:cs="Arial"/>
          <w:sz w:val="20"/>
          <w:szCs w:val="20"/>
        </w:rPr>
        <w:t>le Niger (1</w:t>
      </w:r>
      <w:r>
        <w:rPr>
          <w:rFonts w:ascii="Marianne" w:hAnsi="Marianne" w:cs="Arial"/>
          <w:sz w:val="20"/>
          <w:szCs w:val="20"/>
        </w:rPr>
        <w:t>4</w:t>
      </w:r>
      <w:r w:rsidRPr="00D15A4D">
        <w:rPr>
          <w:rFonts w:ascii="Marianne" w:hAnsi="Marianne" w:cs="Arial"/>
          <w:sz w:val="20"/>
          <w:szCs w:val="20"/>
        </w:rPr>
        <w:t>,</w:t>
      </w:r>
      <w:r>
        <w:rPr>
          <w:rFonts w:ascii="Marianne" w:hAnsi="Marianne" w:cs="Arial"/>
          <w:sz w:val="20"/>
          <w:szCs w:val="20"/>
        </w:rPr>
        <w:t>3</w:t>
      </w:r>
      <w:r w:rsidRPr="00D15A4D">
        <w:rPr>
          <w:rFonts w:ascii="Marianne" w:hAnsi="Marianne" w:cs="Arial"/>
          <w:sz w:val="20"/>
          <w:szCs w:val="20"/>
        </w:rPr>
        <w:t xml:space="preserve">%), </w:t>
      </w:r>
      <w:r>
        <w:rPr>
          <w:rFonts w:ascii="Marianne" w:hAnsi="Marianne" w:cs="Arial"/>
          <w:sz w:val="20"/>
          <w:szCs w:val="20"/>
        </w:rPr>
        <w:t xml:space="preserve">les Etats-Unis (11,2%), </w:t>
      </w:r>
      <w:r w:rsidRPr="00D15A4D">
        <w:rPr>
          <w:rFonts w:ascii="Marianne" w:hAnsi="Marianne" w:cs="Arial"/>
          <w:sz w:val="20"/>
          <w:szCs w:val="20"/>
        </w:rPr>
        <w:t>le Burkina Faso (</w:t>
      </w:r>
      <w:r>
        <w:rPr>
          <w:rFonts w:ascii="Marianne" w:hAnsi="Marianne" w:cs="Arial"/>
          <w:sz w:val="20"/>
          <w:szCs w:val="20"/>
        </w:rPr>
        <w:t>7,4</w:t>
      </w:r>
      <w:r w:rsidRPr="00D15A4D">
        <w:rPr>
          <w:rFonts w:ascii="Marianne" w:hAnsi="Marianne" w:cs="Arial"/>
          <w:sz w:val="20"/>
          <w:szCs w:val="20"/>
        </w:rPr>
        <w:t xml:space="preserve">%), </w:t>
      </w:r>
      <w:r w:rsidRPr="007D149D">
        <w:rPr>
          <w:rFonts w:ascii="Marianne" w:hAnsi="Marianne" w:cs="Arial"/>
          <w:sz w:val="20"/>
          <w:szCs w:val="20"/>
        </w:rPr>
        <w:t>l’Inde (7,</w:t>
      </w:r>
      <w:r>
        <w:rPr>
          <w:rFonts w:ascii="Marianne" w:hAnsi="Marianne" w:cs="Arial"/>
          <w:sz w:val="20"/>
          <w:szCs w:val="20"/>
        </w:rPr>
        <w:t>3</w:t>
      </w:r>
      <w:r w:rsidRPr="007D149D">
        <w:rPr>
          <w:rFonts w:ascii="Marianne" w:hAnsi="Marianne" w:cs="Arial"/>
          <w:sz w:val="20"/>
          <w:szCs w:val="20"/>
        </w:rPr>
        <w:t xml:space="preserve"> %)</w:t>
      </w:r>
      <w:r>
        <w:rPr>
          <w:rFonts w:ascii="Marianne" w:hAnsi="Marianne" w:cs="Arial"/>
          <w:sz w:val="20"/>
          <w:szCs w:val="20"/>
        </w:rPr>
        <w:t>,</w:t>
      </w:r>
      <w:r w:rsidRPr="007D149D">
        <w:rPr>
          <w:rFonts w:ascii="Marianne" w:hAnsi="Marianne" w:cs="Arial"/>
          <w:sz w:val="20"/>
          <w:szCs w:val="20"/>
        </w:rPr>
        <w:t xml:space="preserve"> le Mali (</w:t>
      </w:r>
      <w:r>
        <w:rPr>
          <w:rFonts w:ascii="Marianne" w:hAnsi="Marianne" w:cs="Arial"/>
          <w:sz w:val="20"/>
          <w:szCs w:val="20"/>
        </w:rPr>
        <w:t>6,6</w:t>
      </w:r>
      <w:r w:rsidRPr="007D149D">
        <w:rPr>
          <w:rFonts w:ascii="Marianne" w:hAnsi="Marianne" w:cs="Arial"/>
          <w:sz w:val="20"/>
          <w:szCs w:val="20"/>
        </w:rPr>
        <w:t xml:space="preserve">%), </w:t>
      </w:r>
      <w:r w:rsidRPr="00D15A4D">
        <w:rPr>
          <w:rFonts w:ascii="Marianne" w:hAnsi="Marianne" w:cs="Arial"/>
          <w:sz w:val="20"/>
          <w:szCs w:val="20"/>
        </w:rPr>
        <w:t>le Ghana (</w:t>
      </w:r>
      <w:r>
        <w:rPr>
          <w:rFonts w:ascii="Marianne" w:hAnsi="Marianne" w:cs="Arial"/>
          <w:sz w:val="20"/>
          <w:szCs w:val="20"/>
        </w:rPr>
        <w:t>5,9</w:t>
      </w:r>
      <w:r w:rsidRPr="00D15A4D">
        <w:rPr>
          <w:rFonts w:ascii="Marianne" w:hAnsi="Marianne" w:cs="Arial"/>
          <w:sz w:val="20"/>
          <w:szCs w:val="20"/>
        </w:rPr>
        <w:t>%), la Côte d’Ivoire (</w:t>
      </w:r>
      <w:r>
        <w:rPr>
          <w:rFonts w:ascii="Marianne" w:hAnsi="Marianne" w:cs="Arial"/>
          <w:sz w:val="20"/>
          <w:szCs w:val="20"/>
        </w:rPr>
        <w:t>5</w:t>
      </w:r>
      <w:r w:rsidRPr="00D15A4D">
        <w:rPr>
          <w:rFonts w:ascii="Marianne" w:hAnsi="Marianne" w:cs="Arial"/>
          <w:sz w:val="20"/>
          <w:szCs w:val="20"/>
        </w:rPr>
        <w:t>,8 %)</w:t>
      </w:r>
      <w:r>
        <w:rPr>
          <w:rFonts w:ascii="Marianne" w:hAnsi="Marianne" w:cs="Arial"/>
          <w:sz w:val="20"/>
          <w:szCs w:val="20"/>
        </w:rPr>
        <w:t>. L</w:t>
      </w:r>
      <w:r w:rsidRPr="005A24B8">
        <w:rPr>
          <w:rFonts w:ascii="Marianne" w:hAnsi="Marianne" w:cs="Arial"/>
          <w:sz w:val="20"/>
          <w:szCs w:val="20"/>
        </w:rPr>
        <w:t>’Italie (7,8%)</w:t>
      </w:r>
      <w:r>
        <w:rPr>
          <w:rFonts w:ascii="Marianne" w:hAnsi="Marianne" w:cs="Arial"/>
          <w:sz w:val="20"/>
          <w:szCs w:val="20"/>
        </w:rPr>
        <w:t xml:space="preserve"> </w:t>
      </w:r>
      <w:r w:rsidRPr="00D15A4D">
        <w:rPr>
          <w:rFonts w:ascii="Marianne" w:hAnsi="Marianne" w:cs="Arial"/>
          <w:sz w:val="20"/>
          <w:szCs w:val="20"/>
        </w:rPr>
        <w:t>et les Pays-Bas (</w:t>
      </w:r>
      <w:r>
        <w:rPr>
          <w:rFonts w:ascii="Marianne" w:hAnsi="Marianne" w:cs="Arial"/>
          <w:sz w:val="20"/>
          <w:szCs w:val="20"/>
        </w:rPr>
        <w:t>4,3</w:t>
      </w:r>
      <w:r w:rsidRPr="00D15A4D">
        <w:rPr>
          <w:rFonts w:ascii="Marianne" w:hAnsi="Marianne" w:cs="Arial"/>
          <w:sz w:val="20"/>
          <w:szCs w:val="20"/>
        </w:rPr>
        <w:t>%)</w:t>
      </w:r>
      <w:r>
        <w:rPr>
          <w:rFonts w:ascii="Marianne" w:hAnsi="Marianne" w:cs="Arial"/>
          <w:sz w:val="20"/>
          <w:szCs w:val="20"/>
        </w:rPr>
        <w:t xml:space="preserve"> et la France (3,8%) sont les principaux clients européens du Togo se classant respectivement au 3</w:t>
      </w:r>
      <w:r w:rsidRPr="005A24B8">
        <w:rPr>
          <w:rFonts w:ascii="Marianne" w:hAnsi="Marianne" w:cs="Arial"/>
          <w:sz w:val="20"/>
          <w:szCs w:val="20"/>
          <w:vertAlign w:val="superscript"/>
        </w:rPr>
        <w:t>ème</w:t>
      </w:r>
      <w:r>
        <w:rPr>
          <w:rFonts w:ascii="Marianne" w:hAnsi="Marianne" w:cs="Arial"/>
          <w:sz w:val="20"/>
          <w:szCs w:val="20"/>
        </w:rPr>
        <w:t>, 9</w:t>
      </w:r>
      <w:r w:rsidRPr="005A24B8">
        <w:rPr>
          <w:rFonts w:ascii="Marianne" w:hAnsi="Marianne" w:cs="Arial"/>
          <w:sz w:val="20"/>
          <w:szCs w:val="20"/>
          <w:vertAlign w:val="superscript"/>
        </w:rPr>
        <w:t>ème</w:t>
      </w:r>
      <w:r>
        <w:rPr>
          <w:rFonts w:ascii="Marianne" w:hAnsi="Marianne" w:cs="Arial"/>
          <w:sz w:val="20"/>
          <w:szCs w:val="20"/>
        </w:rPr>
        <w:t xml:space="preserve"> et 11</w:t>
      </w:r>
      <w:r w:rsidRPr="005A24B8">
        <w:rPr>
          <w:rFonts w:ascii="Marianne" w:hAnsi="Marianne" w:cs="Arial"/>
          <w:sz w:val="20"/>
          <w:szCs w:val="20"/>
          <w:vertAlign w:val="superscript"/>
        </w:rPr>
        <w:t>ème</w:t>
      </w:r>
      <w:r>
        <w:rPr>
          <w:rFonts w:ascii="Marianne" w:hAnsi="Marianne" w:cs="Arial"/>
          <w:sz w:val="20"/>
          <w:szCs w:val="20"/>
        </w:rPr>
        <w:t xml:space="preserve"> rang.</w:t>
      </w:r>
    </w:p>
    <w:p w14:paraId="505D7F9B" w14:textId="77777777" w:rsidR="000E42AF" w:rsidRDefault="000E42AF" w:rsidP="000E42AF">
      <w:pPr>
        <w:spacing w:after="0"/>
        <w:jc w:val="both"/>
        <w:rPr>
          <w:rFonts w:ascii="Marianne" w:hAnsi="Marianne" w:cs="Arial"/>
          <w:b/>
          <w:bCs/>
          <w:sz w:val="20"/>
          <w:szCs w:val="20"/>
        </w:rPr>
      </w:pPr>
    </w:p>
    <w:p w14:paraId="2DF53ABF" w14:textId="77777777" w:rsidR="000E42AF" w:rsidRPr="00652531" w:rsidRDefault="000E42AF" w:rsidP="000E42AF">
      <w:pPr>
        <w:spacing w:after="0"/>
        <w:jc w:val="both"/>
        <w:rPr>
          <w:rFonts w:ascii="Marianne" w:hAnsi="Marianne" w:cs="Arial"/>
          <w:sz w:val="20"/>
          <w:szCs w:val="20"/>
        </w:rPr>
      </w:pPr>
      <w:r w:rsidRPr="00652531">
        <w:rPr>
          <w:rFonts w:ascii="Marianne" w:hAnsi="Marianne" w:cs="Arial"/>
          <w:sz w:val="20"/>
          <w:szCs w:val="20"/>
        </w:rPr>
        <w:t>Pour soutenir l’exportation de denrées agroalimentaires produits au Togo, un Laboratoire d’innovation et d’analyse de produits agroindustriels a été mis en place. L’ONUDI et le PNUD appuient aussi le Togo dans l’élaboration d’un système de traçabilité des produits agroindustriels pour favoriser leur</w:t>
      </w:r>
      <w:r>
        <w:rPr>
          <w:rFonts w:ascii="Marianne" w:hAnsi="Marianne" w:cs="Arial"/>
          <w:sz w:val="20"/>
          <w:szCs w:val="20"/>
        </w:rPr>
        <w:t>s</w:t>
      </w:r>
      <w:r w:rsidRPr="00652531">
        <w:rPr>
          <w:rFonts w:ascii="Marianne" w:hAnsi="Marianne" w:cs="Arial"/>
          <w:sz w:val="20"/>
          <w:szCs w:val="20"/>
        </w:rPr>
        <w:t xml:space="preserve"> vente</w:t>
      </w:r>
      <w:r>
        <w:rPr>
          <w:rFonts w:ascii="Marianne" w:hAnsi="Marianne" w:cs="Arial"/>
          <w:sz w:val="20"/>
          <w:szCs w:val="20"/>
        </w:rPr>
        <w:t>s</w:t>
      </w:r>
      <w:r w:rsidRPr="00652531">
        <w:rPr>
          <w:rFonts w:ascii="Marianne" w:hAnsi="Marianne" w:cs="Arial"/>
          <w:sz w:val="20"/>
          <w:szCs w:val="20"/>
        </w:rPr>
        <w:t xml:space="preserve"> sur les marchés régionaux et internationaux.</w:t>
      </w:r>
    </w:p>
    <w:p w14:paraId="33DB7845" w14:textId="77777777" w:rsidR="000E42AF" w:rsidRPr="00652531" w:rsidRDefault="000E42AF" w:rsidP="000E42AF">
      <w:pPr>
        <w:spacing w:after="0"/>
        <w:jc w:val="both"/>
        <w:rPr>
          <w:rFonts w:ascii="Marianne" w:hAnsi="Marianne" w:cs="Arial"/>
          <w:sz w:val="20"/>
          <w:szCs w:val="20"/>
        </w:rPr>
      </w:pPr>
    </w:p>
    <w:p w14:paraId="05A1C277" w14:textId="77777777" w:rsidR="000E42AF" w:rsidRDefault="000E42AF" w:rsidP="000E42AF">
      <w:pPr>
        <w:spacing w:after="0"/>
        <w:jc w:val="both"/>
        <w:rPr>
          <w:rFonts w:ascii="Marianne" w:hAnsi="Marianne" w:cs="Arial"/>
          <w:sz w:val="20"/>
          <w:szCs w:val="20"/>
        </w:rPr>
      </w:pPr>
      <w:r w:rsidRPr="00652531">
        <w:rPr>
          <w:rFonts w:ascii="Marianne" w:hAnsi="Marianne" w:cs="Arial"/>
          <w:sz w:val="20"/>
          <w:szCs w:val="20"/>
        </w:rPr>
        <w:t>Enfin, le Togo peut s’appuyer sur la performance du Port autonome de Lomé, premier port d’Afrique de l’Ouest, pour l’approvisionnement en intrants et l’exportation de ses produits agricoles (80% du commerce extérieur du pays transite par le port de Lomé).</w:t>
      </w:r>
      <w:r>
        <w:rPr>
          <w:rFonts w:ascii="Marianne" w:hAnsi="Marianne" w:cs="Arial"/>
          <w:sz w:val="20"/>
          <w:szCs w:val="20"/>
        </w:rPr>
        <w:t xml:space="preserve"> Le Togo est également plateforme de réexportation de produits agricoles ou agroalimentaires, éventuellement après transformation locale, à destination des pays de la sous-région (réexportations de riz et de laits concentrés, exportations de farines, pâtes, semoules à partir du blé importé, de bières à partir du malt importé, de vins à partir de mout de raisins importés, etc.).  </w:t>
      </w:r>
    </w:p>
    <w:p w14:paraId="29AE0914" w14:textId="77777777" w:rsidR="000E42AF" w:rsidRDefault="000E42AF" w:rsidP="000E42AF">
      <w:pPr>
        <w:spacing w:after="0"/>
        <w:jc w:val="both"/>
        <w:rPr>
          <w:rFonts w:ascii="Marianne" w:hAnsi="Marianne" w:cs="Arial"/>
          <w:b/>
          <w:bCs/>
          <w:sz w:val="20"/>
          <w:szCs w:val="20"/>
        </w:rPr>
      </w:pPr>
    </w:p>
    <w:p w14:paraId="149F0070" w14:textId="77777777" w:rsidR="000E42AF" w:rsidRPr="00DD48F2" w:rsidRDefault="000E42AF" w:rsidP="000E42AF">
      <w:pPr>
        <w:keepNext/>
        <w:keepLines/>
        <w:pBdr>
          <w:top w:val="nil"/>
          <w:left w:val="nil"/>
          <w:bottom w:val="nil"/>
          <w:right w:val="nil"/>
          <w:between w:val="nil"/>
          <w:bar w:val="nil"/>
        </w:pBdr>
        <w:spacing w:after="0" w:line="240" w:lineRule="auto"/>
        <w:ind w:left="720" w:hanging="720"/>
        <w:contextualSpacing/>
        <w:outlineLvl w:val="1"/>
        <w:rPr>
          <w:rFonts w:ascii="Marianne" w:eastAsia="Segoe UI" w:hAnsi="Marianne" w:cs="Segoe UI"/>
          <w:b/>
          <w:bCs/>
          <w:color w:val="FFC000"/>
          <w:sz w:val="26"/>
          <w:szCs w:val="26"/>
          <w:bdr w:val="nil"/>
        </w:rPr>
      </w:pPr>
      <w:r w:rsidRPr="00DD48F2">
        <w:rPr>
          <w:rFonts w:ascii="Marianne" w:eastAsia="Segoe UI" w:hAnsi="Marianne" w:cs="Segoe UI"/>
          <w:color w:val="FFC000"/>
          <w:sz w:val="26"/>
          <w:szCs w:val="26"/>
          <w:bdr w:val="nil"/>
        </w:rPr>
        <w:t>3.2 Echanges commerciaux entre la France et le Togo</w:t>
      </w:r>
    </w:p>
    <w:p w14:paraId="32E076B2" w14:textId="77777777" w:rsidR="000E42AF" w:rsidRDefault="000E42AF" w:rsidP="000E42AF">
      <w:pPr>
        <w:spacing w:after="0"/>
        <w:jc w:val="both"/>
        <w:rPr>
          <w:rFonts w:ascii="Marianne" w:hAnsi="Marianne" w:cs="Arial"/>
          <w:b/>
          <w:bCs/>
          <w:sz w:val="20"/>
          <w:szCs w:val="20"/>
        </w:rPr>
      </w:pPr>
    </w:p>
    <w:p w14:paraId="6836525E" w14:textId="77777777" w:rsidR="000E42AF" w:rsidRDefault="000E42AF" w:rsidP="000E42AF">
      <w:pPr>
        <w:spacing w:after="0"/>
        <w:jc w:val="both"/>
        <w:rPr>
          <w:rFonts w:ascii="Marianne" w:hAnsi="Marianne" w:cs="Arial"/>
          <w:sz w:val="20"/>
          <w:szCs w:val="20"/>
        </w:rPr>
      </w:pPr>
      <w:r w:rsidRPr="008519BD">
        <w:rPr>
          <w:rFonts w:ascii="Marianne" w:hAnsi="Marianne" w:cs="Arial"/>
          <w:b/>
          <w:bCs/>
          <w:sz w:val="20"/>
          <w:szCs w:val="20"/>
        </w:rPr>
        <w:t>Le commerce agricole et agroalimentaire bilatéral est relativement modeste</w:t>
      </w:r>
      <w:r w:rsidRPr="008519BD">
        <w:rPr>
          <w:rFonts w:ascii="Marianne" w:hAnsi="Marianne" w:cs="Arial"/>
          <w:sz w:val="20"/>
          <w:szCs w:val="20"/>
        </w:rPr>
        <w:t xml:space="preserve">, </w:t>
      </w:r>
      <w:r>
        <w:rPr>
          <w:rFonts w:ascii="Marianne" w:hAnsi="Marianne" w:cs="Arial"/>
          <w:sz w:val="20"/>
          <w:szCs w:val="20"/>
        </w:rPr>
        <w:t xml:space="preserve">le Togo étant le </w:t>
      </w:r>
      <w:r w:rsidRPr="0091526D">
        <w:rPr>
          <w:rFonts w:ascii="Marianne" w:hAnsi="Marianne" w:cs="Arial"/>
          <w:sz w:val="20"/>
          <w:szCs w:val="20"/>
        </w:rPr>
        <w:t>95</w:t>
      </w:r>
      <w:r w:rsidRPr="0091526D">
        <w:rPr>
          <w:rFonts w:ascii="Marianne" w:hAnsi="Marianne" w:cs="Arial"/>
          <w:sz w:val="20"/>
          <w:szCs w:val="20"/>
          <w:vertAlign w:val="superscript"/>
        </w:rPr>
        <w:t>ème</w:t>
      </w:r>
      <w:r w:rsidRPr="0091526D">
        <w:rPr>
          <w:rFonts w:ascii="Marianne" w:hAnsi="Marianne" w:cs="Arial"/>
          <w:sz w:val="20"/>
          <w:szCs w:val="20"/>
        </w:rPr>
        <w:t xml:space="preserve"> fournisseur de la </w:t>
      </w:r>
      <w:r>
        <w:rPr>
          <w:rFonts w:ascii="Marianne" w:hAnsi="Marianne" w:cs="Arial"/>
          <w:sz w:val="20"/>
          <w:szCs w:val="20"/>
        </w:rPr>
        <w:t>France (</w:t>
      </w:r>
      <w:r w:rsidRPr="0091526D">
        <w:rPr>
          <w:rFonts w:ascii="Marianne" w:hAnsi="Marianne" w:cs="Arial"/>
          <w:sz w:val="20"/>
          <w:szCs w:val="20"/>
        </w:rPr>
        <w:t>0,05% des importations françaises</w:t>
      </w:r>
      <w:r>
        <w:rPr>
          <w:rFonts w:ascii="Marianne" w:hAnsi="Marianne" w:cs="Arial"/>
          <w:sz w:val="20"/>
          <w:szCs w:val="20"/>
        </w:rPr>
        <w:t xml:space="preserve">) et le </w:t>
      </w:r>
      <w:r w:rsidRPr="0091526D">
        <w:rPr>
          <w:rFonts w:ascii="Marianne" w:hAnsi="Marianne" w:cs="Arial"/>
          <w:sz w:val="20"/>
          <w:szCs w:val="20"/>
        </w:rPr>
        <w:t>89</w:t>
      </w:r>
      <w:r w:rsidRPr="0091526D">
        <w:rPr>
          <w:rFonts w:ascii="Marianne" w:hAnsi="Marianne" w:cs="Arial"/>
          <w:sz w:val="20"/>
          <w:szCs w:val="20"/>
          <w:vertAlign w:val="superscript"/>
        </w:rPr>
        <w:t>ème</w:t>
      </w:r>
      <w:r w:rsidRPr="0091526D">
        <w:rPr>
          <w:rFonts w:ascii="Marianne" w:hAnsi="Marianne" w:cs="Arial"/>
          <w:sz w:val="20"/>
          <w:szCs w:val="20"/>
        </w:rPr>
        <w:t xml:space="preserve"> client de la </w:t>
      </w:r>
      <w:r>
        <w:rPr>
          <w:rFonts w:ascii="Marianne" w:hAnsi="Marianne" w:cs="Arial"/>
          <w:sz w:val="20"/>
          <w:szCs w:val="20"/>
        </w:rPr>
        <w:t>France (</w:t>
      </w:r>
      <w:r w:rsidRPr="0091526D">
        <w:rPr>
          <w:rFonts w:ascii="Marianne" w:hAnsi="Marianne" w:cs="Arial"/>
          <w:sz w:val="20"/>
          <w:szCs w:val="20"/>
        </w:rPr>
        <w:t>0,07% des exportations françaises</w:t>
      </w:r>
      <w:r>
        <w:rPr>
          <w:rFonts w:ascii="Marianne" w:hAnsi="Marianne" w:cs="Arial"/>
          <w:sz w:val="20"/>
          <w:szCs w:val="20"/>
        </w:rPr>
        <w:t xml:space="preserve">). Le commerce bilatéral entre la France et le Togo </w:t>
      </w:r>
      <w:r w:rsidRPr="008519BD">
        <w:rPr>
          <w:rFonts w:ascii="Marianne" w:hAnsi="Marianne" w:cs="Arial"/>
          <w:sz w:val="20"/>
          <w:szCs w:val="20"/>
        </w:rPr>
        <w:t xml:space="preserve">se caractérise par un excédent commercial d’environ </w:t>
      </w:r>
      <w:r>
        <w:rPr>
          <w:rFonts w:ascii="Marianne" w:hAnsi="Marianne" w:cs="Arial"/>
          <w:sz w:val="20"/>
          <w:szCs w:val="20"/>
        </w:rPr>
        <w:t>32</w:t>
      </w:r>
      <w:r w:rsidRPr="008519BD">
        <w:rPr>
          <w:rFonts w:ascii="Marianne" w:hAnsi="Marianne" w:cs="Arial"/>
          <w:sz w:val="20"/>
          <w:szCs w:val="20"/>
        </w:rPr>
        <w:t xml:space="preserve"> M </w:t>
      </w:r>
      <w:r>
        <w:rPr>
          <w:rFonts w:ascii="Marianne" w:hAnsi="Marianne" w:cs="Arial"/>
          <w:sz w:val="20"/>
          <w:szCs w:val="20"/>
        </w:rPr>
        <w:t>d’</w:t>
      </w:r>
      <w:r w:rsidRPr="008519BD">
        <w:rPr>
          <w:rFonts w:ascii="Marianne" w:hAnsi="Marianne" w:cs="Arial"/>
          <w:sz w:val="20"/>
          <w:szCs w:val="20"/>
        </w:rPr>
        <w:t xml:space="preserve">EUR en faveur de la France en 2024, contre </w:t>
      </w:r>
      <w:r>
        <w:rPr>
          <w:rFonts w:ascii="Marianne" w:hAnsi="Marianne" w:cs="Arial"/>
          <w:sz w:val="20"/>
          <w:szCs w:val="20"/>
        </w:rPr>
        <w:t>11</w:t>
      </w:r>
      <w:r w:rsidRPr="008519BD">
        <w:rPr>
          <w:rFonts w:ascii="Marianne" w:hAnsi="Marianne" w:cs="Arial"/>
          <w:sz w:val="20"/>
          <w:szCs w:val="20"/>
        </w:rPr>
        <w:t xml:space="preserve"> M EUR en 2023. </w:t>
      </w:r>
      <w:r w:rsidRPr="000F370E">
        <w:rPr>
          <w:rFonts w:ascii="Marianne" w:hAnsi="Marianne" w:cs="Arial"/>
          <w:sz w:val="20"/>
          <w:szCs w:val="20"/>
        </w:rPr>
        <w:t>L</w:t>
      </w:r>
      <w:r>
        <w:rPr>
          <w:rFonts w:ascii="Marianne" w:hAnsi="Marianne" w:cs="Arial"/>
          <w:sz w:val="20"/>
          <w:szCs w:val="20"/>
        </w:rPr>
        <w:t>a France a exporté pour 54</w:t>
      </w:r>
      <w:r w:rsidRPr="000F370E">
        <w:rPr>
          <w:rFonts w:ascii="Marianne" w:hAnsi="Marianne" w:cs="Arial"/>
          <w:sz w:val="20"/>
          <w:szCs w:val="20"/>
        </w:rPr>
        <w:t xml:space="preserve"> M </w:t>
      </w:r>
      <w:r>
        <w:rPr>
          <w:rFonts w:ascii="Marianne" w:hAnsi="Marianne" w:cs="Arial"/>
          <w:sz w:val="20"/>
          <w:szCs w:val="20"/>
        </w:rPr>
        <w:t>d’</w:t>
      </w:r>
      <w:r w:rsidRPr="000F370E">
        <w:rPr>
          <w:rFonts w:ascii="Marianne" w:hAnsi="Marianne" w:cs="Arial"/>
          <w:sz w:val="20"/>
          <w:szCs w:val="20"/>
        </w:rPr>
        <w:t xml:space="preserve">EUR de produits agricoles et agroalimentaire en 2024, en </w:t>
      </w:r>
      <w:r>
        <w:rPr>
          <w:rFonts w:ascii="Marianne" w:hAnsi="Marianne" w:cs="Arial"/>
          <w:sz w:val="20"/>
          <w:szCs w:val="20"/>
        </w:rPr>
        <w:t>hau</w:t>
      </w:r>
      <w:r w:rsidRPr="000F370E">
        <w:rPr>
          <w:rFonts w:ascii="Marianne" w:hAnsi="Marianne" w:cs="Arial"/>
          <w:sz w:val="20"/>
          <w:szCs w:val="20"/>
        </w:rPr>
        <w:t xml:space="preserve">sse de </w:t>
      </w:r>
      <w:r>
        <w:rPr>
          <w:rFonts w:ascii="Marianne" w:hAnsi="Marianne" w:cs="Arial"/>
          <w:sz w:val="20"/>
          <w:szCs w:val="20"/>
        </w:rPr>
        <w:t>+4</w:t>
      </w:r>
      <w:r w:rsidRPr="000F370E">
        <w:rPr>
          <w:rFonts w:ascii="Marianne" w:hAnsi="Marianne" w:cs="Arial"/>
          <w:sz w:val="20"/>
          <w:szCs w:val="20"/>
        </w:rPr>
        <w:t xml:space="preserve">,2% par rapport à 2023, et en a </w:t>
      </w:r>
      <w:r>
        <w:rPr>
          <w:rFonts w:ascii="Marianne" w:hAnsi="Marianne" w:cs="Arial"/>
          <w:sz w:val="20"/>
          <w:szCs w:val="20"/>
        </w:rPr>
        <w:t>im</w:t>
      </w:r>
      <w:r w:rsidRPr="000F370E">
        <w:rPr>
          <w:rFonts w:ascii="Marianne" w:hAnsi="Marianne" w:cs="Arial"/>
          <w:sz w:val="20"/>
          <w:szCs w:val="20"/>
        </w:rPr>
        <w:t xml:space="preserve">porté pour </w:t>
      </w:r>
      <w:r>
        <w:rPr>
          <w:rFonts w:ascii="Marianne" w:hAnsi="Marianne" w:cs="Arial"/>
          <w:sz w:val="20"/>
          <w:szCs w:val="20"/>
        </w:rPr>
        <w:t>22</w:t>
      </w:r>
      <w:r w:rsidRPr="000F370E">
        <w:rPr>
          <w:rFonts w:ascii="Marianne" w:hAnsi="Marianne" w:cs="Arial"/>
          <w:sz w:val="20"/>
          <w:szCs w:val="20"/>
        </w:rPr>
        <w:t xml:space="preserve"> M EUR, en baisse de -4</w:t>
      </w:r>
      <w:r>
        <w:rPr>
          <w:rFonts w:ascii="Marianne" w:hAnsi="Marianne" w:cs="Arial"/>
          <w:sz w:val="20"/>
          <w:szCs w:val="20"/>
        </w:rPr>
        <w:t>5</w:t>
      </w:r>
      <w:r w:rsidRPr="000F370E">
        <w:rPr>
          <w:rFonts w:ascii="Marianne" w:hAnsi="Marianne" w:cs="Arial"/>
          <w:sz w:val="20"/>
          <w:szCs w:val="20"/>
        </w:rPr>
        <w:t>,</w:t>
      </w:r>
      <w:r>
        <w:rPr>
          <w:rFonts w:ascii="Marianne" w:hAnsi="Marianne" w:cs="Arial"/>
          <w:sz w:val="20"/>
          <w:szCs w:val="20"/>
        </w:rPr>
        <w:t>0</w:t>
      </w:r>
      <w:r w:rsidRPr="000F370E">
        <w:rPr>
          <w:rFonts w:ascii="Marianne" w:hAnsi="Marianne" w:cs="Arial"/>
          <w:sz w:val="20"/>
          <w:szCs w:val="20"/>
        </w:rPr>
        <w:t>%.</w:t>
      </w:r>
    </w:p>
    <w:p w14:paraId="0702D9D6" w14:textId="77777777" w:rsidR="000E42AF" w:rsidRDefault="000E42AF" w:rsidP="000E42AF">
      <w:pPr>
        <w:spacing w:after="0"/>
        <w:jc w:val="both"/>
        <w:rPr>
          <w:rFonts w:ascii="Marianne" w:hAnsi="Marianne" w:cs="Arial"/>
          <w:sz w:val="20"/>
          <w:szCs w:val="20"/>
        </w:rPr>
      </w:pPr>
    </w:p>
    <w:p w14:paraId="136B999F"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En 2024, les principaux produits agricoles togolais </w:t>
      </w:r>
      <w:r>
        <w:rPr>
          <w:rFonts w:ascii="Marianne" w:hAnsi="Marianne" w:cs="Arial"/>
          <w:sz w:val="20"/>
          <w:szCs w:val="20"/>
        </w:rPr>
        <w:t>im</w:t>
      </w:r>
      <w:r w:rsidRPr="008519BD">
        <w:rPr>
          <w:rFonts w:ascii="Marianne" w:hAnsi="Marianne" w:cs="Arial"/>
          <w:sz w:val="20"/>
          <w:szCs w:val="20"/>
        </w:rPr>
        <w:t xml:space="preserve">portés </w:t>
      </w:r>
      <w:r>
        <w:rPr>
          <w:rFonts w:ascii="Marianne" w:hAnsi="Marianne" w:cs="Arial"/>
          <w:sz w:val="20"/>
          <w:szCs w:val="20"/>
        </w:rPr>
        <w:t>par</w:t>
      </w:r>
      <w:r w:rsidRPr="008519BD">
        <w:rPr>
          <w:rFonts w:ascii="Marianne" w:hAnsi="Marianne" w:cs="Arial"/>
          <w:sz w:val="20"/>
          <w:szCs w:val="20"/>
        </w:rPr>
        <w:t xml:space="preserve"> la France sont les oléagineux (</w:t>
      </w:r>
      <w:r>
        <w:rPr>
          <w:rFonts w:ascii="Marianne" w:hAnsi="Marianne" w:cs="Arial"/>
          <w:sz w:val="20"/>
          <w:szCs w:val="20"/>
        </w:rPr>
        <w:t>16</w:t>
      </w:r>
      <w:r w:rsidRPr="008519BD">
        <w:rPr>
          <w:rFonts w:ascii="Marianne" w:hAnsi="Marianne" w:cs="Arial"/>
          <w:sz w:val="20"/>
          <w:szCs w:val="20"/>
        </w:rPr>
        <w:t xml:space="preserve"> M EUR</w:t>
      </w:r>
      <w:r>
        <w:rPr>
          <w:rFonts w:ascii="Marianne" w:hAnsi="Marianne" w:cs="Arial"/>
          <w:sz w:val="20"/>
          <w:szCs w:val="20"/>
        </w:rPr>
        <w:t>, en baisse de -53,4%</w:t>
      </w:r>
      <w:r w:rsidRPr="008519BD">
        <w:rPr>
          <w:rFonts w:ascii="Marianne" w:hAnsi="Marianne" w:cs="Arial"/>
          <w:sz w:val="20"/>
          <w:szCs w:val="20"/>
        </w:rPr>
        <w:t xml:space="preserve">) dont </w:t>
      </w:r>
      <w:r>
        <w:rPr>
          <w:rFonts w:ascii="Marianne" w:hAnsi="Marianne" w:cs="Arial"/>
          <w:sz w:val="20"/>
          <w:szCs w:val="20"/>
        </w:rPr>
        <w:t>8</w:t>
      </w:r>
      <w:r w:rsidRPr="008519BD">
        <w:rPr>
          <w:rFonts w:ascii="Marianne" w:hAnsi="Marianne" w:cs="Arial"/>
          <w:sz w:val="20"/>
          <w:szCs w:val="20"/>
        </w:rPr>
        <w:t xml:space="preserve"> M EUR de fèves de soja</w:t>
      </w:r>
      <w:r>
        <w:rPr>
          <w:rFonts w:ascii="Marianne" w:hAnsi="Marianne" w:cs="Arial"/>
          <w:sz w:val="20"/>
          <w:szCs w:val="20"/>
        </w:rPr>
        <w:t xml:space="preserve"> et 4 M de tourteaux de soja</w:t>
      </w:r>
      <w:r w:rsidRPr="008519BD">
        <w:rPr>
          <w:rFonts w:ascii="Marianne" w:hAnsi="Marianne" w:cs="Arial"/>
          <w:sz w:val="20"/>
          <w:szCs w:val="20"/>
        </w:rPr>
        <w:t>.</w:t>
      </w:r>
      <w:r>
        <w:rPr>
          <w:rFonts w:ascii="Marianne" w:hAnsi="Marianne" w:cs="Arial"/>
          <w:sz w:val="20"/>
          <w:szCs w:val="20"/>
        </w:rPr>
        <w:t xml:space="preserve"> Le</w:t>
      </w:r>
      <w:r w:rsidRPr="008519BD">
        <w:rPr>
          <w:rFonts w:ascii="Marianne" w:hAnsi="Marianne" w:cs="Arial"/>
          <w:sz w:val="20"/>
          <w:szCs w:val="20"/>
        </w:rPr>
        <w:t xml:space="preserve">s exportations </w:t>
      </w:r>
      <w:r>
        <w:rPr>
          <w:rFonts w:ascii="Marianne" w:hAnsi="Marianne" w:cs="Arial"/>
          <w:sz w:val="20"/>
          <w:szCs w:val="20"/>
        </w:rPr>
        <w:t xml:space="preserve">françaises </w:t>
      </w:r>
      <w:r w:rsidRPr="008519BD">
        <w:rPr>
          <w:rFonts w:ascii="Marianne" w:hAnsi="Marianne" w:cs="Arial"/>
          <w:sz w:val="20"/>
          <w:szCs w:val="20"/>
        </w:rPr>
        <w:t>vers le Togo sont composées principalement de vins et spiritueux (1</w:t>
      </w:r>
      <w:r>
        <w:rPr>
          <w:rFonts w:ascii="Marianne" w:hAnsi="Marianne" w:cs="Arial"/>
          <w:sz w:val="20"/>
          <w:szCs w:val="20"/>
        </w:rPr>
        <w:t>7</w:t>
      </w:r>
      <w:r w:rsidRPr="008519BD">
        <w:rPr>
          <w:rFonts w:ascii="Marianne" w:hAnsi="Marianne" w:cs="Arial"/>
          <w:sz w:val="20"/>
          <w:szCs w:val="20"/>
        </w:rPr>
        <w:t xml:space="preserve"> M EUR</w:t>
      </w:r>
      <w:r>
        <w:rPr>
          <w:rFonts w:ascii="Marianne" w:hAnsi="Marianne" w:cs="Arial"/>
          <w:sz w:val="20"/>
          <w:szCs w:val="20"/>
        </w:rPr>
        <w:t>, en baisse de -11,3%</w:t>
      </w:r>
      <w:r w:rsidRPr="008519BD">
        <w:rPr>
          <w:rFonts w:ascii="Marianne" w:hAnsi="Marianne" w:cs="Arial"/>
          <w:sz w:val="20"/>
          <w:szCs w:val="20"/>
        </w:rPr>
        <w:t xml:space="preserve">), </w:t>
      </w:r>
      <w:r>
        <w:rPr>
          <w:rFonts w:ascii="Marianne" w:hAnsi="Marianne" w:cs="Arial"/>
          <w:sz w:val="20"/>
          <w:szCs w:val="20"/>
        </w:rPr>
        <w:t xml:space="preserve">de sucre (8 M d’EUR, en hausse de +85,8%), </w:t>
      </w:r>
      <w:r w:rsidRPr="008519BD">
        <w:rPr>
          <w:rFonts w:ascii="Marianne" w:hAnsi="Marianne" w:cs="Arial"/>
          <w:sz w:val="20"/>
          <w:szCs w:val="20"/>
        </w:rPr>
        <w:t>de viande</w:t>
      </w:r>
      <w:r>
        <w:rPr>
          <w:rFonts w:ascii="Marianne" w:hAnsi="Marianne" w:cs="Arial"/>
          <w:sz w:val="20"/>
          <w:szCs w:val="20"/>
        </w:rPr>
        <w:t>s</w:t>
      </w:r>
      <w:r w:rsidRPr="008519BD">
        <w:rPr>
          <w:rFonts w:ascii="Marianne" w:hAnsi="Marianne" w:cs="Arial"/>
          <w:sz w:val="20"/>
          <w:szCs w:val="20"/>
        </w:rPr>
        <w:t xml:space="preserve"> et produits carnés (</w:t>
      </w:r>
      <w:r>
        <w:rPr>
          <w:rFonts w:ascii="Marianne" w:hAnsi="Marianne" w:cs="Arial"/>
          <w:sz w:val="20"/>
          <w:szCs w:val="20"/>
        </w:rPr>
        <w:t>6</w:t>
      </w:r>
      <w:r w:rsidRPr="008519BD">
        <w:rPr>
          <w:rFonts w:ascii="Marianne" w:hAnsi="Marianne" w:cs="Arial"/>
          <w:sz w:val="20"/>
          <w:szCs w:val="20"/>
        </w:rPr>
        <w:t xml:space="preserve"> M EUR</w:t>
      </w:r>
      <w:r>
        <w:rPr>
          <w:rFonts w:ascii="Marianne" w:hAnsi="Marianne" w:cs="Arial"/>
          <w:sz w:val="20"/>
          <w:szCs w:val="20"/>
        </w:rPr>
        <w:t>, en hausse de +12,2%</w:t>
      </w:r>
      <w:r w:rsidRPr="008519BD">
        <w:rPr>
          <w:rFonts w:ascii="Marianne" w:hAnsi="Marianne" w:cs="Arial"/>
          <w:sz w:val="20"/>
          <w:szCs w:val="20"/>
        </w:rPr>
        <w:t>) et d</w:t>
      </w:r>
      <w:r>
        <w:rPr>
          <w:rFonts w:ascii="Marianne" w:hAnsi="Marianne" w:cs="Arial"/>
          <w:sz w:val="20"/>
          <w:szCs w:val="20"/>
        </w:rPr>
        <w:t>e</w:t>
      </w:r>
      <w:r w:rsidRPr="008519BD">
        <w:rPr>
          <w:rFonts w:ascii="Marianne" w:hAnsi="Marianne" w:cs="Arial"/>
          <w:sz w:val="20"/>
          <w:szCs w:val="20"/>
        </w:rPr>
        <w:t xml:space="preserve"> lait et produits laitiers (</w:t>
      </w:r>
      <w:r>
        <w:rPr>
          <w:rFonts w:ascii="Marianne" w:hAnsi="Marianne" w:cs="Arial"/>
          <w:sz w:val="20"/>
          <w:szCs w:val="20"/>
        </w:rPr>
        <w:t>4</w:t>
      </w:r>
      <w:r w:rsidRPr="008519BD">
        <w:rPr>
          <w:rFonts w:ascii="Marianne" w:hAnsi="Marianne" w:cs="Arial"/>
          <w:sz w:val="20"/>
          <w:szCs w:val="20"/>
        </w:rPr>
        <w:t xml:space="preserve"> M EUR</w:t>
      </w:r>
      <w:r>
        <w:rPr>
          <w:rFonts w:ascii="Marianne" w:hAnsi="Marianne" w:cs="Arial"/>
          <w:sz w:val="20"/>
          <w:szCs w:val="20"/>
        </w:rPr>
        <w:t>, en hausse +33,1%</w:t>
      </w:r>
      <w:r w:rsidRPr="008519BD">
        <w:rPr>
          <w:rFonts w:ascii="Marianne" w:hAnsi="Marianne" w:cs="Arial"/>
          <w:sz w:val="20"/>
          <w:szCs w:val="20"/>
        </w:rPr>
        <w:t>).</w:t>
      </w:r>
    </w:p>
    <w:p w14:paraId="21F1290D" w14:textId="77777777" w:rsidR="000E42AF" w:rsidRDefault="000E42AF" w:rsidP="000E42AF">
      <w:pPr>
        <w:spacing w:after="0"/>
        <w:jc w:val="both"/>
        <w:rPr>
          <w:rFonts w:ascii="Marianne" w:hAnsi="Marianne" w:cs="Arial"/>
          <w:b/>
          <w:bCs/>
          <w:sz w:val="20"/>
          <w:szCs w:val="20"/>
        </w:rPr>
      </w:pPr>
    </w:p>
    <w:p w14:paraId="3BC0ABB8" w14:textId="77777777" w:rsidR="000E42AF" w:rsidRDefault="000E42AF" w:rsidP="000E42AF">
      <w:pPr>
        <w:spacing w:after="0"/>
        <w:jc w:val="both"/>
        <w:rPr>
          <w:rFonts w:ascii="Marianne" w:hAnsi="Marianne" w:cs="Arial"/>
          <w:sz w:val="20"/>
          <w:szCs w:val="20"/>
        </w:rPr>
      </w:pPr>
      <w:r w:rsidRPr="008519BD">
        <w:rPr>
          <w:rFonts w:ascii="Marianne" w:hAnsi="Marianne" w:cs="Arial"/>
          <w:b/>
          <w:bCs/>
          <w:sz w:val="20"/>
          <w:szCs w:val="20"/>
        </w:rPr>
        <w:t>La présence des entreprises françaises dans le secteur agricole et agroalimentaire du Togo</w:t>
      </w:r>
      <w:r w:rsidRPr="008519BD">
        <w:rPr>
          <w:rFonts w:ascii="Marianne" w:hAnsi="Marianne" w:cs="Arial"/>
          <w:sz w:val="20"/>
          <w:szCs w:val="20"/>
        </w:rPr>
        <w:t xml:space="preserve"> </w:t>
      </w:r>
      <w:r w:rsidRPr="008519BD">
        <w:rPr>
          <w:rFonts w:ascii="Marianne" w:hAnsi="Marianne" w:cs="Arial"/>
          <w:b/>
          <w:bCs/>
          <w:sz w:val="20"/>
          <w:szCs w:val="20"/>
        </w:rPr>
        <w:t>est historique et</w:t>
      </w:r>
      <w:r w:rsidRPr="008519BD">
        <w:rPr>
          <w:rFonts w:ascii="Marianne" w:hAnsi="Marianne" w:cs="Arial"/>
          <w:sz w:val="20"/>
          <w:szCs w:val="20"/>
        </w:rPr>
        <w:t xml:space="preserve"> </w:t>
      </w:r>
      <w:r w:rsidRPr="008519BD">
        <w:rPr>
          <w:rFonts w:ascii="Marianne" w:hAnsi="Marianne" w:cs="Arial"/>
          <w:b/>
          <w:bCs/>
          <w:sz w:val="20"/>
          <w:szCs w:val="20"/>
        </w:rPr>
        <w:t>importante dans l’économie du pays</w:t>
      </w:r>
      <w:r w:rsidRPr="008519BD">
        <w:rPr>
          <w:rFonts w:ascii="Marianne" w:hAnsi="Marianne" w:cs="Arial"/>
          <w:sz w:val="20"/>
          <w:szCs w:val="20"/>
        </w:rPr>
        <w:t xml:space="preserve">, en termes d’emplois et de recettes fiscales. A ces </w:t>
      </w:r>
      <w:r w:rsidRPr="008519BD">
        <w:rPr>
          <w:rFonts w:ascii="Marianne" w:hAnsi="Marianne" w:cs="Arial"/>
          <w:sz w:val="20"/>
          <w:szCs w:val="20"/>
        </w:rPr>
        <w:lastRenderedPageBreak/>
        <w:t>filiales s’ajoutent des sociétés de droit togolais créées et dirigées par des ressortissants français. Les investissements directs français se renforcent dans les filières togolaises à haut potentiel, telles que les oléagineux (soja), les fruits, les semences, l’aviculture, la filière bovine</w:t>
      </w:r>
      <w:bookmarkEnd w:id="9"/>
      <w:r w:rsidRPr="008519BD">
        <w:rPr>
          <w:rFonts w:ascii="Marianne" w:hAnsi="Marianne" w:cs="Arial"/>
          <w:sz w:val="20"/>
          <w:szCs w:val="20"/>
        </w:rPr>
        <w:t>.</w:t>
      </w:r>
    </w:p>
    <w:p w14:paraId="12F03955" w14:textId="77777777" w:rsidR="00DD48F2" w:rsidRDefault="00DD48F2" w:rsidP="000E42AF">
      <w:pPr>
        <w:spacing w:after="0"/>
        <w:jc w:val="both"/>
        <w:rPr>
          <w:rFonts w:ascii="Marianne" w:hAnsi="Marianne" w:cs="Arial"/>
          <w:sz w:val="20"/>
          <w:szCs w:val="20"/>
        </w:rPr>
      </w:pPr>
    </w:p>
    <w:p w14:paraId="34330377" w14:textId="77777777" w:rsidR="000E42AF" w:rsidRPr="00DD48F2" w:rsidRDefault="000E42AF" w:rsidP="000E42AF">
      <w:pPr>
        <w:spacing w:after="0" w:line="240" w:lineRule="auto"/>
        <w:rPr>
          <w:rFonts w:ascii="Segoe UI" w:eastAsia="Segoe UI" w:hAnsi="Segoe UI" w:cs="Segoe UI"/>
          <w:b/>
          <w:color w:val="FFC000"/>
          <w:sz w:val="20"/>
          <w:szCs w:val="20"/>
        </w:rPr>
      </w:pPr>
      <w:r w:rsidRPr="00DD48F2">
        <w:rPr>
          <w:rFonts w:ascii="Segoe UI" w:eastAsia="Segoe UI" w:hAnsi="Segoe UI" w:cs="Segoe UI"/>
          <w:b/>
          <w:color w:val="FFC000"/>
          <w:sz w:val="26"/>
          <w:szCs w:val="26"/>
          <w:lang w:eastAsia="fr-FR"/>
        </w:rPr>
        <w:t>4. Accords</w:t>
      </w:r>
      <w:r w:rsidRPr="00DD48F2">
        <w:rPr>
          <w:rFonts w:ascii="Segoe UI" w:eastAsia="Segoe UI" w:hAnsi="Segoe UI" w:cs="Segoe UI"/>
          <w:b/>
          <w:color w:val="FFC000"/>
          <w:sz w:val="26"/>
          <w:szCs w:val="26"/>
        </w:rPr>
        <w:t xml:space="preserve"> internationaux</w:t>
      </w:r>
    </w:p>
    <w:p w14:paraId="2418C399" w14:textId="77777777" w:rsidR="000E42AF" w:rsidRDefault="000E42AF" w:rsidP="000E42AF">
      <w:pPr>
        <w:spacing w:after="0"/>
        <w:jc w:val="both"/>
        <w:rPr>
          <w:rFonts w:ascii="Marianne" w:hAnsi="Marianne" w:cs="Arial"/>
          <w:sz w:val="20"/>
          <w:szCs w:val="20"/>
        </w:rPr>
      </w:pPr>
      <w:bookmarkStart w:id="14" w:name="_Hlk173934001"/>
    </w:p>
    <w:p w14:paraId="6514967A"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Le Togo fait partie de l’</w:t>
      </w:r>
      <w:r w:rsidRPr="008519BD">
        <w:rPr>
          <w:rFonts w:ascii="Marianne" w:hAnsi="Marianne" w:cs="Arial"/>
          <w:b/>
          <w:bCs/>
          <w:sz w:val="20"/>
          <w:szCs w:val="20"/>
        </w:rPr>
        <w:t xml:space="preserve">Organisation des Nations Unies pour l’alimentation et l’agriculture (FAO) </w:t>
      </w:r>
      <w:r w:rsidRPr="008519BD">
        <w:rPr>
          <w:rFonts w:ascii="Marianne" w:hAnsi="Marianne" w:cs="Arial"/>
          <w:sz w:val="20"/>
          <w:szCs w:val="20"/>
        </w:rPr>
        <w:t>depuis le 23 mai 1960, et de l’Organisation Mondiale du Commerce (OMC) depuis le 31 mai 1995.</w:t>
      </w:r>
    </w:p>
    <w:p w14:paraId="61DDB49D" w14:textId="77777777" w:rsidR="000E42AF" w:rsidRDefault="000E42AF" w:rsidP="000E42AF">
      <w:pPr>
        <w:spacing w:after="0"/>
        <w:jc w:val="both"/>
        <w:rPr>
          <w:rFonts w:ascii="Marianne" w:hAnsi="Marianne" w:cs="Arial"/>
          <w:sz w:val="20"/>
          <w:szCs w:val="20"/>
        </w:rPr>
      </w:pPr>
    </w:p>
    <w:p w14:paraId="1166D343"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Au niveau régional, le Togo est membre de la </w:t>
      </w:r>
      <w:r w:rsidRPr="008519BD">
        <w:rPr>
          <w:rFonts w:ascii="Marianne" w:hAnsi="Marianne" w:cs="Arial"/>
          <w:b/>
          <w:bCs/>
          <w:sz w:val="20"/>
          <w:szCs w:val="20"/>
        </w:rPr>
        <w:t>Communauté Économique des États de l’Afrique de l’Ouest (CEDEAO)</w:t>
      </w:r>
      <w:r w:rsidRPr="008519BD">
        <w:rPr>
          <w:rFonts w:ascii="Marianne" w:hAnsi="Marianne" w:cs="Arial"/>
          <w:sz w:val="20"/>
          <w:szCs w:val="20"/>
        </w:rPr>
        <w:t>, de l’</w:t>
      </w:r>
      <w:r w:rsidRPr="008519BD">
        <w:rPr>
          <w:rFonts w:ascii="Marianne" w:hAnsi="Marianne" w:cs="Arial"/>
          <w:b/>
          <w:bCs/>
          <w:sz w:val="20"/>
          <w:szCs w:val="20"/>
        </w:rPr>
        <w:t xml:space="preserve">Union Économique et Monétaire Ouest-Africaine (UEMOA), </w:t>
      </w:r>
      <w:r w:rsidRPr="008519BD">
        <w:rPr>
          <w:rFonts w:ascii="Marianne" w:hAnsi="Marianne" w:cs="Arial"/>
          <w:sz w:val="20"/>
          <w:szCs w:val="20"/>
        </w:rPr>
        <w:t xml:space="preserve">mais aussi du </w:t>
      </w:r>
      <w:r w:rsidRPr="008519BD">
        <w:rPr>
          <w:rFonts w:ascii="Marianne" w:hAnsi="Marianne" w:cs="Arial"/>
          <w:b/>
          <w:bCs/>
          <w:sz w:val="20"/>
          <w:szCs w:val="20"/>
        </w:rPr>
        <w:t>Commonwealth</w:t>
      </w:r>
      <w:r w:rsidRPr="008519BD">
        <w:rPr>
          <w:rFonts w:ascii="Marianne" w:hAnsi="Marianne" w:cs="Arial"/>
          <w:sz w:val="20"/>
          <w:szCs w:val="20"/>
        </w:rPr>
        <w:t xml:space="preserve"> depuis 2022 et de l’</w:t>
      </w:r>
      <w:r w:rsidRPr="008519BD">
        <w:rPr>
          <w:rFonts w:ascii="Marianne" w:hAnsi="Marianne" w:cs="Arial"/>
          <w:b/>
          <w:bCs/>
          <w:sz w:val="20"/>
          <w:szCs w:val="20"/>
        </w:rPr>
        <w:t>Organisation de la coopération islamique</w:t>
      </w:r>
      <w:r w:rsidRPr="008519BD">
        <w:rPr>
          <w:rFonts w:ascii="Marianne" w:hAnsi="Marianne" w:cs="Arial"/>
          <w:sz w:val="20"/>
          <w:szCs w:val="20"/>
        </w:rPr>
        <w:t xml:space="preserve">. Le Togo a par ailleurs ratifié l’accord sur la </w:t>
      </w:r>
      <w:r w:rsidRPr="008519BD">
        <w:rPr>
          <w:rFonts w:ascii="Marianne" w:hAnsi="Marianne" w:cs="Arial"/>
          <w:b/>
          <w:bCs/>
          <w:sz w:val="20"/>
          <w:szCs w:val="20"/>
        </w:rPr>
        <w:t>Zone de Libre-Échange Continentale Africaine (ZLECAf)</w:t>
      </w:r>
      <w:r w:rsidRPr="008519BD">
        <w:rPr>
          <w:rFonts w:ascii="Marianne" w:hAnsi="Marianne" w:cs="Arial"/>
          <w:sz w:val="20"/>
          <w:szCs w:val="20"/>
        </w:rPr>
        <w:t>.</w:t>
      </w:r>
    </w:p>
    <w:p w14:paraId="30C37E38" w14:textId="77777777" w:rsidR="000E42AF" w:rsidRDefault="000E42AF" w:rsidP="000E42AF">
      <w:pPr>
        <w:spacing w:after="0"/>
        <w:jc w:val="both"/>
        <w:rPr>
          <w:rFonts w:ascii="Marianne" w:hAnsi="Marianne" w:cs="Arial"/>
          <w:sz w:val="20"/>
          <w:szCs w:val="20"/>
        </w:rPr>
      </w:pPr>
    </w:p>
    <w:p w14:paraId="56CDEBC1"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Dans le secteur du café, le pays est membre de l’</w:t>
      </w:r>
      <w:r w:rsidRPr="008519BD">
        <w:rPr>
          <w:rFonts w:ascii="Marianne" w:hAnsi="Marianne" w:cs="Arial"/>
          <w:b/>
          <w:bCs/>
          <w:sz w:val="20"/>
          <w:szCs w:val="20"/>
        </w:rPr>
        <w:t>Organisation Internationale du Café</w:t>
      </w:r>
      <w:r w:rsidRPr="008519BD">
        <w:rPr>
          <w:rFonts w:ascii="Marianne" w:hAnsi="Marianne" w:cs="Arial"/>
          <w:sz w:val="20"/>
          <w:szCs w:val="20"/>
        </w:rPr>
        <w:t>, dont le Président du Conseil International pour la période 2023-2024, Enselme Gouthon, est togolais.</w:t>
      </w:r>
    </w:p>
    <w:p w14:paraId="34DA3AE8" w14:textId="77777777" w:rsidR="000E42AF" w:rsidRDefault="000E42AF" w:rsidP="000E42AF">
      <w:pPr>
        <w:spacing w:after="0"/>
        <w:jc w:val="both"/>
        <w:rPr>
          <w:rFonts w:ascii="Marianne" w:hAnsi="Marianne" w:cs="Arial"/>
          <w:sz w:val="20"/>
          <w:szCs w:val="20"/>
        </w:rPr>
      </w:pPr>
    </w:p>
    <w:p w14:paraId="3312B06C"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Le Togo fait aussi partie du </w:t>
      </w:r>
      <w:r w:rsidRPr="008519BD">
        <w:rPr>
          <w:rFonts w:ascii="Marianne" w:hAnsi="Marianne" w:cs="Arial"/>
          <w:b/>
          <w:bCs/>
          <w:sz w:val="20"/>
          <w:szCs w:val="20"/>
        </w:rPr>
        <w:t>Comité consultatif international du coton</w:t>
      </w:r>
      <w:r w:rsidRPr="008519BD">
        <w:rPr>
          <w:rFonts w:ascii="Marianne" w:hAnsi="Marianne" w:cs="Arial"/>
          <w:sz w:val="20"/>
          <w:szCs w:val="20"/>
        </w:rPr>
        <w:t xml:space="preserve"> (International Cotton Advisor Committee - ICAC) et de l’</w:t>
      </w:r>
      <w:r w:rsidRPr="008519BD">
        <w:rPr>
          <w:rFonts w:ascii="Marianne" w:hAnsi="Marianne" w:cs="Arial"/>
          <w:b/>
          <w:bCs/>
          <w:sz w:val="20"/>
          <w:szCs w:val="20"/>
        </w:rPr>
        <w:t xml:space="preserve">Accord international sur le cacao </w:t>
      </w:r>
      <w:r w:rsidRPr="008519BD">
        <w:rPr>
          <w:rFonts w:ascii="Marianne" w:hAnsi="Marianne" w:cs="Arial"/>
          <w:sz w:val="20"/>
          <w:szCs w:val="20"/>
        </w:rPr>
        <w:t>(International Cocoa Agreement - ICCO) depuis 2012</w:t>
      </w:r>
      <w:bookmarkEnd w:id="14"/>
      <w:r w:rsidRPr="008519BD">
        <w:rPr>
          <w:rFonts w:ascii="Marianne" w:hAnsi="Marianne" w:cs="Arial"/>
          <w:sz w:val="20"/>
          <w:szCs w:val="20"/>
        </w:rPr>
        <w:t>.</w:t>
      </w:r>
    </w:p>
    <w:p w14:paraId="6F06E66A" w14:textId="77777777" w:rsidR="000E42AF" w:rsidRDefault="000E42AF" w:rsidP="000E42AF">
      <w:pPr>
        <w:spacing w:after="0" w:line="240" w:lineRule="auto"/>
        <w:jc w:val="both"/>
        <w:rPr>
          <w:rFonts w:ascii="Marianne" w:eastAsia="Marianne" w:hAnsi="Marianne" w:cs="Arial"/>
          <w:b/>
          <w:bCs/>
          <w:sz w:val="20"/>
          <w:szCs w:val="20"/>
        </w:rPr>
      </w:pPr>
    </w:p>
    <w:p w14:paraId="76C25FC6" w14:textId="77777777" w:rsidR="000E42AF" w:rsidRPr="00DD48F2" w:rsidRDefault="000E42AF" w:rsidP="000E42AF">
      <w:pPr>
        <w:spacing w:after="0" w:line="240" w:lineRule="auto"/>
        <w:jc w:val="both"/>
        <w:rPr>
          <w:rFonts w:ascii="Marianne" w:eastAsia="Marianne" w:hAnsi="Marianne" w:cs="Arial"/>
          <w:b/>
          <w:bCs/>
          <w:color w:val="FFC000"/>
          <w:sz w:val="20"/>
          <w:szCs w:val="20"/>
        </w:rPr>
      </w:pPr>
      <w:r w:rsidRPr="00DD48F2">
        <w:rPr>
          <w:rFonts w:ascii="Segoe UI" w:eastAsia="Segoe UI" w:hAnsi="Segoe UI" w:cs="Segoe UI"/>
          <w:b/>
          <w:color w:val="FFC000"/>
          <w:sz w:val="26"/>
          <w:szCs w:val="26"/>
        </w:rPr>
        <w:t>5. Relations bilatérales</w:t>
      </w:r>
    </w:p>
    <w:p w14:paraId="19E12518" w14:textId="77777777" w:rsidR="000E42AF" w:rsidRDefault="000E42AF" w:rsidP="000E42AF">
      <w:pPr>
        <w:spacing w:after="0"/>
        <w:jc w:val="both"/>
        <w:rPr>
          <w:rFonts w:ascii="Marianne" w:hAnsi="Marianne" w:cs="Arial"/>
          <w:sz w:val="20"/>
          <w:szCs w:val="20"/>
        </w:rPr>
      </w:pPr>
      <w:bookmarkStart w:id="15" w:name="_Hlk173934039"/>
    </w:p>
    <w:p w14:paraId="6D58CE6D"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L’</w:t>
      </w:r>
      <w:r w:rsidRPr="008519BD">
        <w:rPr>
          <w:rFonts w:ascii="Marianne" w:hAnsi="Marianne" w:cs="Arial"/>
          <w:b/>
          <w:bCs/>
          <w:sz w:val="20"/>
          <w:szCs w:val="20"/>
        </w:rPr>
        <w:t>A</w:t>
      </w:r>
      <w:r>
        <w:rPr>
          <w:rFonts w:ascii="Marianne" w:hAnsi="Marianne" w:cs="Arial"/>
          <w:b/>
          <w:bCs/>
          <w:sz w:val="20"/>
          <w:szCs w:val="20"/>
        </w:rPr>
        <w:t>gence française de développement</w:t>
      </w:r>
      <w:r w:rsidRPr="008519BD">
        <w:rPr>
          <w:rFonts w:ascii="Marianne" w:hAnsi="Marianne" w:cs="Arial"/>
          <w:sz w:val="20"/>
          <w:szCs w:val="20"/>
        </w:rPr>
        <w:t xml:space="preserve"> </w:t>
      </w:r>
      <w:r>
        <w:rPr>
          <w:rFonts w:ascii="Marianne" w:hAnsi="Marianne" w:cs="Arial"/>
          <w:sz w:val="20"/>
          <w:szCs w:val="20"/>
        </w:rPr>
        <w:t xml:space="preserve">(AFD) </w:t>
      </w:r>
      <w:r w:rsidRPr="008519BD">
        <w:rPr>
          <w:rFonts w:ascii="Marianne" w:hAnsi="Marianne" w:cs="Arial"/>
          <w:sz w:val="20"/>
          <w:szCs w:val="20"/>
        </w:rPr>
        <w:t>accompagne le Togo dans le développement solidaire et durable de son agriculture en finançant de nombreux projets, tels que l’aménagement de pistes pour désenclaver les zones rurales (PAPR), le soutien de l’entreprenariat féminin en agriculture (PRODEF Agripreneuses), ou l’aménagement de retenues d’eau collinaires (PARC).</w:t>
      </w:r>
    </w:p>
    <w:p w14:paraId="02F41B18" w14:textId="77777777" w:rsidR="000E42AF" w:rsidRDefault="000E42AF" w:rsidP="000E42AF">
      <w:pPr>
        <w:spacing w:after="0"/>
        <w:jc w:val="both"/>
        <w:rPr>
          <w:rFonts w:ascii="Marianne" w:hAnsi="Marianne" w:cs="Arial"/>
          <w:sz w:val="20"/>
          <w:szCs w:val="20"/>
        </w:rPr>
      </w:pPr>
    </w:p>
    <w:p w14:paraId="69C025FB"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La </w:t>
      </w:r>
      <w:r w:rsidRPr="008519BD">
        <w:rPr>
          <w:rFonts w:ascii="Marianne" w:hAnsi="Marianne" w:cs="Arial"/>
          <w:b/>
          <w:bCs/>
          <w:sz w:val="20"/>
          <w:szCs w:val="20"/>
        </w:rPr>
        <w:t>Direction générale du Trésor</w:t>
      </w:r>
      <w:r w:rsidRPr="008519BD">
        <w:rPr>
          <w:rFonts w:ascii="Marianne" w:hAnsi="Marianne" w:cs="Arial"/>
          <w:sz w:val="20"/>
          <w:szCs w:val="20"/>
        </w:rPr>
        <w:t xml:space="preserve"> soutient, sur le Fonds d’étude et d’aide au secteur privé (FASEP), plusieurs projets pilotes innovants et à forte valeur ajoutée française dans le domaine agricole et agroalimentaire au Togo (bornes météo connectées pour l’agriculture, maison des services agricoles, etc.).</w:t>
      </w:r>
    </w:p>
    <w:p w14:paraId="0B7E0C38" w14:textId="77777777" w:rsidR="000E42AF" w:rsidRDefault="000E42AF" w:rsidP="000E42AF">
      <w:pPr>
        <w:spacing w:after="0"/>
        <w:jc w:val="both"/>
        <w:rPr>
          <w:rFonts w:ascii="Marianne" w:hAnsi="Marianne" w:cs="Arial"/>
          <w:sz w:val="20"/>
          <w:szCs w:val="20"/>
        </w:rPr>
      </w:pPr>
    </w:p>
    <w:p w14:paraId="7DA77863"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 xml:space="preserve">En matière de </w:t>
      </w:r>
      <w:r w:rsidRPr="008519BD">
        <w:rPr>
          <w:rFonts w:ascii="Marianne" w:hAnsi="Marianne" w:cs="Arial"/>
          <w:b/>
          <w:bCs/>
          <w:sz w:val="20"/>
          <w:szCs w:val="20"/>
        </w:rPr>
        <w:t>recherche agronomique, le CIRAD</w:t>
      </w:r>
      <w:r w:rsidRPr="008519BD">
        <w:rPr>
          <w:rFonts w:ascii="Marianne" w:hAnsi="Marianne" w:cs="Arial"/>
          <w:sz w:val="20"/>
          <w:szCs w:val="20"/>
        </w:rPr>
        <w:t xml:space="preserve"> et l’ITRA préparent un programme de relance de la coopération scientifique et technique bilatérale, visant notamment à moderniser les schémas de sélection variétale.</w:t>
      </w:r>
    </w:p>
    <w:p w14:paraId="1CC26913" w14:textId="77777777" w:rsidR="000E42AF" w:rsidRDefault="000E42AF" w:rsidP="000E42AF">
      <w:pPr>
        <w:spacing w:after="0"/>
        <w:jc w:val="both"/>
        <w:rPr>
          <w:rFonts w:ascii="Marianne" w:hAnsi="Marianne" w:cs="Arial"/>
          <w:sz w:val="20"/>
          <w:szCs w:val="20"/>
        </w:rPr>
      </w:pPr>
    </w:p>
    <w:p w14:paraId="6945C229" w14:textId="77777777" w:rsidR="000E42AF" w:rsidRPr="008519BD" w:rsidRDefault="000E42AF" w:rsidP="000E42AF">
      <w:pPr>
        <w:spacing w:after="0"/>
        <w:jc w:val="both"/>
        <w:rPr>
          <w:rFonts w:ascii="Marianne" w:hAnsi="Marianne" w:cs="Arial"/>
          <w:sz w:val="20"/>
          <w:szCs w:val="20"/>
        </w:rPr>
      </w:pPr>
      <w:r w:rsidRPr="008519BD">
        <w:rPr>
          <w:rFonts w:ascii="Marianne" w:hAnsi="Marianne" w:cs="Arial"/>
          <w:sz w:val="20"/>
          <w:szCs w:val="20"/>
        </w:rPr>
        <w:t>Enfin, depuis plusieurs décennies, de nombreux acteurs français – publics et privés – développent une multitude de partenariats au Togo, dans le domaine de l’</w:t>
      </w:r>
      <w:r w:rsidRPr="008519BD">
        <w:rPr>
          <w:rFonts w:ascii="Marianne" w:hAnsi="Marianne" w:cs="Arial"/>
          <w:b/>
          <w:bCs/>
          <w:sz w:val="20"/>
          <w:szCs w:val="20"/>
        </w:rPr>
        <w:t xml:space="preserve">enseignement agricole </w:t>
      </w:r>
      <w:r w:rsidRPr="008519BD">
        <w:rPr>
          <w:rFonts w:ascii="Marianne" w:hAnsi="Marianne" w:cs="Arial"/>
          <w:sz w:val="20"/>
          <w:szCs w:val="20"/>
        </w:rPr>
        <w:t>(lycées agricoles du réseau du MASA, du CNEAP et des MFR, Volontaires de Solidarité International</w:t>
      </w:r>
      <w:r>
        <w:rPr>
          <w:rFonts w:ascii="Marianne" w:hAnsi="Marianne" w:cs="Arial"/>
          <w:sz w:val="20"/>
          <w:szCs w:val="20"/>
        </w:rPr>
        <w:t>e</w:t>
      </w:r>
      <w:r w:rsidRPr="008519BD">
        <w:rPr>
          <w:rFonts w:ascii="Marianne" w:hAnsi="Marianne" w:cs="Arial"/>
          <w:sz w:val="20"/>
          <w:szCs w:val="20"/>
        </w:rPr>
        <w:t xml:space="preserve">, Expertise France, etc.), de la </w:t>
      </w:r>
      <w:r w:rsidRPr="008519BD">
        <w:rPr>
          <w:rFonts w:ascii="Marianne" w:hAnsi="Marianne" w:cs="Arial"/>
          <w:b/>
          <w:bCs/>
          <w:sz w:val="20"/>
          <w:szCs w:val="20"/>
        </w:rPr>
        <w:t>formation professionnelle,</w:t>
      </w:r>
      <w:r w:rsidRPr="008519BD">
        <w:rPr>
          <w:rFonts w:ascii="Marianne" w:hAnsi="Marianne" w:cs="Arial"/>
          <w:sz w:val="20"/>
          <w:szCs w:val="20"/>
        </w:rPr>
        <w:t xml:space="preserve"> de la </w:t>
      </w:r>
      <w:r w:rsidRPr="008519BD">
        <w:rPr>
          <w:rFonts w:ascii="Marianne" w:hAnsi="Marianne" w:cs="Arial"/>
          <w:b/>
          <w:bCs/>
          <w:sz w:val="20"/>
          <w:szCs w:val="20"/>
        </w:rPr>
        <w:t>structuration des filières</w:t>
      </w:r>
      <w:r w:rsidRPr="008519BD">
        <w:rPr>
          <w:rFonts w:ascii="Marianne" w:hAnsi="Marianne" w:cs="Arial"/>
          <w:sz w:val="20"/>
          <w:szCs w:val="20"/>
        </w:rPr>
        <w:t xml:space="preserve"> et du</w:t>
      </w:r>
      <w:r w:rsidRPr="008519BD">
        <w:rPr>
          <w:rFonts w:ascii="Marianne" w:hAnsi="Marianne" w:cs="Arial"/>
          <w:b/>
          <w:bCs/>
          <w:sz w:val="20"/>
          <w:szCs w:val="20"/>
        </w:rPr>
        <w:t xml:space="preserve"> partage d’expériences entre agriculteurs</w:t>
      </w:r>
      <w:r w:rsidRPr="008519BD">
        <w:rPr>
          <w:rFonts w:ascii="Marianne" w:hAnsi="Marianne" w:cs="Arial"/>
          <w:sz w:val="20"/>
          <w:szCs w:val="20"/>
        </w:rPr>
        <w:t xml:space="preserve"> togolais et français (SEMAE, Fondation Avril, AFDI, etc.).</w:t>
      </w:r>
      <w:bookmarkEnd w:id="15"/>
    </w:p>
    <w:p w14:paraId="34368AF1" w14:textId="77777777" w:rsidR="000E42AF" w:rsidRDefault="000E42AF" w:rsidP="000E42AF">
      <w:pPr>
        <w:spacing w:after="0"/>
        <w:jc w:val="both"/>
        <w:rPr>
          <w:rFonts w:ascii="Marianne" w:hAnsi="Marianne" w:cs="Arial"/>
          <w:sz w:val="20"/>
          <w:szCs w:val="20"/>
        </w:rPr>
      </w:pPr>
    </w:p>
    <w:p w14:paraId="2B7D168B" w14:textId="77777777" w:rsidR="000E42AF" w:rsidRPr="00B04193" w:rsidRDefault="000E42AF" w:rsidP="000E42AF">
      <w:pPr>
        <w:spacing w:after="0"/>
        <w:jc w:val="both"/>
        <w:rPr>
          <w:rFonts w:ascii="Marianne" w:hAnsi="Marianne" w:cs="Arial"/>
          <w:sz w:val="20"/>
          <w:szCs w:val="20"/>
        </w:rPr>
      </w:pPr>
      <w:r w:rsidRPr="008519BD">
        <w:rPr>
          <w:rFonts w:ascii="Marianne" w:hAnsi="Marianne" w:cs="Arial"/>
          <w:sz w:val="20"/>
          <w:szCs w:val="20"/>
        </w:rPr>
        <w:t>Ainsi,</w:t>
      </w:r>
      <w:r w:rsidRPr="008519BD">
        <w:rPr>
          <w:rFonts w:ascii="Marianne" w:hAnsi="Marianne" w:cs="Arial"/>
          <w:b/>
          <w:bCs/>
          <w:sz w:val="20"/>
          <w:szCs w:val="20"/>
        </w:rPr>
        <w:t xml:space="preserve"> le secteur agricole et agroalimentaire togolais constitue un levier de croissance pour développer de nouveaux partenariats entre les entreprises françaises et togolaises</w:t>
      </w:r>
      <w:r w:rsidRPr="008519BD">
        <w:rPr>
          <w:rFonts w:ascii="Marianne" w:hAnsi="Marianne" w:cs="Arial"/>
          <w:sz w:val="20"/>
          <w:szCs w:val="20"/>
        </w:rPr>
        <w:t>, et des investissements croisés, sur le long terme, entre les deux pays.</w:t>
      </w:r>
      <w:r>
        <w:rPr>
          <w:rFonts w:ascii="Marianne" w:hAnsi="Marianne" w:cs="Arial"/>
          <w:sz w:val="20"/>
          <w:szCs w:val="20"/>
        </w:rPr>
        <w:t xml:space="preserve"> Les o</w:t>
      </w:r>
      <w:r w:rsidRPr="00B04193">
        <w:rPr>
          <w:rFonts w:ascii="Marianne" w:hAnsi="Marianne" w:cs="Arial"/>
          <w:sz w:val="20"/>
          <w:szCs w:val="20"/>
        </w:rPr>
        <w:t>pportunités en matière d’investissement dans le secteur agricole et agroalimentaire</w:t>
      </w:r>
      <w:r>
        <w:rPr>
          <w:rFonts w:ascii="Marianne" w:hAnsi="Marianne" w:cs="Arial"/>
          <w:sz w:val="20"/>
          <w:szCs w:val="20"/>
        </w:rPr>
        <w:t xml:space="preserve"> concernent principalement :</w:t>
      </w:r>
    </w:p>
    <w:p w14:paraId="78D6A7E9" w14:textId="77777777" w:rsidR="000E42AF" w:rsidRPr="00B04193" w:rsidRDefault="000E42AF" w:rsidP="000E42AF">
      <w:pPr>
        <w:pStyle w:val="Paragraphedeliste"/>
        <w:numPr>
          <w:ilvl w:val="0"/>
          <w:numId w:val="26"/>
        </w:numPr>
        <w:spacing w:after="0"/>
        <w:jc w:val="both"/>
        <w:rPr>
          <w:rFonts w:ascii="Marianne" w:hAnsi="Marianne" w:cs="Arial"/>
          <w:sz w:val="20"/>
          <w:szCs w:val="20"/>
        </w:rPr>
      </w:pPr>
      <w:r w:rsidRPr="00B04193">
        <w:rPr>
          <w:rFonts w:ascii="Marianne" w:hAnsi="Marianne" w:cs="Arial"/>
          <w:sz w:val="20"/>
          <w:szCs w:val="20"/>
        </w:rPr>
        <w:t>Développement de zones de production : agropoles, périmètres irrigués.</w:t>
      </w:r>
    </w:p>
    <w:p w14:paraId="5DF4988B" w14:textId="77777777" w:rsidR="000E42AF" w:rsidRPr="00B04193" w:rsidRDefault="000E42AF" w:rsidP="000E42AF">
      <w:pPr>
        <w:pStyle w:val="Paragraphedeliste"/>
        <w:numPr>
          <w:ilvl w:val="0"/>
          <w:numId w:val="26"/>
        </w:numPr>
        <w:spacing w:after="0"/>
        <w:jc w:val="both"/>
        <w:rPr>
          <w:rFonts w:ascii="Marianne" w:hAnsi="Marianne" w:cs="Arial"/>
          <w:sz w:val="20"/>
          <w:szCs w:val="20"/>
        </w:rPr>
      </w:pPr>
      <w:r w:rsidRPr="00B04193">
        <w:rPr>
          <w:rFonts w:ascii="Marianne" w:hAnsi="Marianne" w:cs="Arial"/>
          <w:sz w:val="20"/>
          <w:szCs w:val="20"/>
        </w:rPr>
        <w:lastRenderedPageBreak/>
        <w:t>Intrants agricoles : production en masse de semences certifiées à fort rendement, engrais chimiques et organiques en lien avec la carte de fertilité des sols et les recommandations associées.</w:t>
      </w:r>
    </w:p>
    <w:p w14:paraId="0B8CF2ED" w14:textId="77777777" w:rsidR="000E42AF" w:rsidRPr="00B04193" w:rsidRDefault="000E42AF" w:rsidP="000E42AF">
      <w:pPr>
        <w:pStyle w:val="Paragraphedeliste"/>
        <w:numPr>
          <w:ilvl w:val="0"/>
          <w:numId w:val="26"/>
        </w:numPr>
        <w:spacing w:after="0"/>
        <w:jc w:val="both"/>
        <w:rPr>
          <w:rFonts w:ascii="Marianne" w:hAnsi="Marianne" w:cs="Arial"/>
          <w:sz w:val="20"/>
          <w:szCs w:val="20"/>
        </w:rPr>
      </w:pPr>
      <w:r w:rsidRPr="00B04193">
        <w:rPr>
          <w:rFonts w:ascii="Marianne" w:hAnsi="Marianne" w:cs="Arial"/>
          <w:sz w:val="20"/>
          <w:szCs w:val="20"/>
        </w:rPr>
        <w:t>Mécanisation agricole : fabrication, assemblage, distribution, centres de mécanisation agricole, location de matériels agricoles.</w:t>
      </w:r>
    </w:p>
    <w:p w14:paraId="39502D30" w14:textId="77777777" w:rsidR="000E42AF" w:rsidRPr="00B04193" w:rsidRDefault="000E42AF" w:rsidP="000E42AF">
      <w:pPr>
        <w:pStyle w:val="Paragraphedeliste"/>
        <w:numPr>
          <w:ilvl w:val="0"/>
          <w:numId w:val="26"/>
        </w:numPr>
        <w:spacing w:after="0"/>
        <w:jc w:val="both"/>
        <w:rPr>
          <w:rFonts w:ascii="Marianne" w:hAnsi="Marianne" w:cs="Arial"/>
          <w:sz w:val="20"/>
          <w:szCs w:val="20"/>
        </w:rPr>
      </w:pPr>
      <w:r w:rsidRPr="00B04193">
        <w:rPr>
          <w:rFonts w:ascii="Marianne" w:hAnsi="Marianne" w:cs="Arial"/>
          <w:sz w:val="20"/>
          <w:szCs w:val="20"/>
        </w:rPr>
        <w:t>Irrigation : mise en place de retenues d’eau, de barrages hydroagricoles, forages, matériels et équipements d’irrigation.</w:t>
      </w:r>
    </w:p>
    <w:p w14:paraId="53E26207" w14:textId="77777777" w:rsidR="000E42AF" w:rsidRPr="00B04193" w:rsidRDefault="000E42AF" w:rsidP="000E42AF">
      <w:pPr>
        <w:pStyle w:val="Paragraphedeliste"/>
        <w:numPr>
          <w:ilvl w:val="0"/>
          <w:numId w:val="26"/>
        </w:numPr>
        <w:spacing w:after="0"/>
        <w:jc w:val="both"/>
        <w:rPr>
          <w:rFonts w:ascii="Marianne" w:hAnsi="Marianne" w:cs="Arial"/>
          <w:sz w:val="20"/>
          <w:szCs w:val="20"/>
        </w:rPr>
      </w:pPr>
      <w:r w:rsidRPr="00B04193">
        <w:rPr>
          <w:rFonts w:ascii="Marianne" w:hAnsi="Marianne" w:cs="Arial"/>
          <w:sz w:val="20"/>
          <w:szCs w:val="20"/>
        </w:rPr>
        <w:t>Infrastructures de soutien à la production : pistes de desserte, de désenclavement, magasins et entrepôts de stockage.</w:t>
      </w:r>
    </w:p>
    <w:p w14:paraId="2ED78D59" w14:textId="77777777" w:rsidR="000E42AF" w:rsidRPr="00B04193" w:rsidRDefault="000E42AF" w:rsidP="000E42AF">
      <w:pPr>
        <w:pStyle w:val="Paragraphedeliste"/>
        <w:numPr>
          <w:ilvl w:val="0"/>
          <w:numId w:val="26"/>
        </w:numPr>
        <w:spacing w:after="0"/>
        <w:jc w:val="both"/>
        <w:rPr>
          <w:rFonts w:ascii="Marianne" w:hAnsi="Marianne" w:cs="Arial"/>
          <w:sz w:val="20"/>
          <w:szCs w:val="20"/>
        </w:rPr>
      </w:pPr>
      <w:r w:rsidRPr="00B04193">
        <w:rPr>
          <w:rFonts w:ascii="Marianne" w:hAnsi="Marianne" w:cs="Arial"/>
          <w:sz w:val="20"/>
          <w:szCs w:val="20"/>
        </w:rPr>
        <w:t>Production bovine (viande et lait).</w:t>
      </w:r>
    </w:p>
    <w:p w14:paraId="1E564AE7" w14:textId="77777777" w:rsidR="000E42AF" w:rsidRPr="00B04193" w:rsidRDefault="000E42AF" w:rsidP="000E42AF">
      <w:pPr>
        <w:pStyle w:val="Paragraphedeliste"/>
        <w:numPr>
          <w:ilvl w:val="0"/>
          <w:numId w:val="26"/>
        </w:numPr>
        <w:spacing w:after="0"/>
        <w:jc w:val="both"/>
        <w:rPr>
          <w:rFonts w:ascii="Marianne" w:hAnsi="Marianne" w:cs="Arial"/>
          <w:sz w:val="20"/>
          <w:szCs w:val="20"/>
        </w:rPr>
      </w:pPr>
      <w:r w:rsidRPr="00B04193">
        <w:rPr>
          <w:rFonts w:ascii="Marianne" w:hAnsi="Marianne" w:cs="Arial"/>
          <w:sz w:val="20"/>
          <w:szCs w:val="20"/>
        </w:rPr>
        <w:t>Fermes avicoles intégrées.</w:t>
      </w:r>
    </w:p>
    <w:p w14:paraId="6F8442E7" w14:textId="77777777" w:rsidR="000E42AF" w:rsidRPr="005B601E" w:rsidRDefault="000E42AF" w:rsidP="000E42AF">
      <w:pPr>
        <w:pStyle w:val="Paragraphedeliste"/>
        <w:numPr>
          <w:ilvl w:val="0"/>
          <w:numId w:val="26"/>
        </w:numPr>
        <w:spacing w:after="0"/>
        <w:jc w:val="both"/>
        <w:rPr>
          <w:rFonts w:ascii="Arial" w:hAnsi="Arial" w:cs="Arial"/>
          <w:i/>
          <w:iCs/>
          <w:sz w:val="16"/>
          <w:szCs w:val="16"/>
        </w:rPr>
      </w:pPr>
      <w:r w:rsidRPr="00B04193">
        <w:rPr>
          <w:rFonts w:ascii="Marianne" w:hAnsi="Marianne" w:cs="Arial"/>
          <w:sz w:val="20"/>
          <w:szCs w:val="20"/>
        </w:rPr>
        <w:t>Fermes piscicoles.</w:t>
      </w:r>
      <w:bookmarkEnd w:id="8"/>
    </w:p>
    <w:p w14:paraId="40078098" w14:textId="77777777" w:rsidR="000E42AF" w:rsidRDefault="000E42AF" w:rsidP="000E42AF">
      <w:pPr>
        <w:ind w:left="705"/>
        <w:rPr>
          <w:rFonts w:ascii="Arial" w:hAnsi="Arial" w:cs="Arial"/>
          <w:i/>
          <w:iCs/>
          <w:sz w:val="16"/>
          <w:szCs w:val="16"/>
        </w:rPr>
      </w:pPr>
      <w:r>
        <w:rPr>
          <w:rFonts w:ascii="Arial" w:hAnsi="Arial" w:cs="Arial"/>
          <w:i/>
          <w:iCs/>
          <w:sz w:val="16"/>
          <w:szCs w:val="16"/>
        </w:rPr>
        <w:br w:type="page"/>
      </w:r>
    </w:p>
    <w:p w14:paraId="7ADD179D" w14:textId="77777777" w:rsidR="000E42AF" w:rsidRPr="00DD48F2" w:rsidRDefault="000E42AF" w:rsidP="000E42AF">
      <w:pPr>
        <w:spacing w:after="0" w:line="240" w:lineRule="auto"/>
        <w:jc w:val="center"/>
        <w:rPr>
          <w:rFonts w:ascii="Marianne" w:hAnsi="Marianne" w:cs="Arial"/>
          <w:b/>
          <w:bCs/>
          <w:color w:val="FFC000"/>
          <w:sz w:val="20"/>
          <w:szCs w:val="20"/>
        </w:rPr>
      </w:pPr>
      <w:r w:rsidRPr="00DD48F2">
        <w:rPr>
          <w:rFonts w:ascii="Marianne" w:hAnsi="Marianne" w:cs="Arial"/>
          <w:b/>
          <w:bCs/>
          <w:color w:val="FFC000"/>
          <w:sz w:val="20"/>
          <w:szCs w:val="20"/>
          <w:u w:val="single"/>
        </w:rPr>
        <w:lastRenderedPageBreak/>
        <w:t>Annexe 1</w:t>
      </w:r>
      <w:r w:rsidRPr="00DD48F2">
        <w:rPr>
          <w:rFonts w:ascii="Marianne" w:hAnsi="Marianne" w:cs="Arial"/>
          <w:b/>
          <w:bCs/>
          <w:color w:val="FFC000"/>
          <w:sz w:val="20"/>
          <w:szCs w:val="20"/>
        </w:rPr>
        <w:t xml:space="preserve"> : Montants des produits importés par le Togo en 2024, dans les secteurs de l’agriculture, l’agroalimentaire et la sylviculture (EUR)</w:t>
      </w:r>
    </w:p>
    <w:p w14:paraId="0EDFDE6B" w14:textId="77777777" w:rsidR="000E42AF" w:rsidRPr="00552444" w:rsidRDefault="000E42AF" w:rsidP="000E42AF">
      <w:pPr>
        <w:spacing w:after="0" w:line="240" w:lineRule="auto"/>
        <w:jc w:val="center"/>
        <w:rPr>
          <w:rFonts w:ascii="Marianne" w:hAnsi="Marianne" w:cs="Arial"/>
          <w:b/>
          <w:bCs/>
          <w:color w:val="006CE5"/>
          <w:sz w:val="20"/>
          <w:szCs w:val="20"/>
        </w:rPr>
      </w:pPr>
    </w:p>
    <w:p w14:paraId="3D64766E" w14:textId="77777777" w:rsidR="000E42AF" w:rsidRPr="00552444" w:rsidRDefault="000E42AF" w:rsidP="000E42AF">
      <w:pPr>
        <w:spacing w:after="0" w:line="240" w:lineRule="auto"/>
        <w:jc w:val="center"/>
        <w:rPr>
          <w:rFonts w:ascii="Marianne" w:hAnsi="Marianne" w:cs="Arial"/>
          <w:b/>
          <w:bCs/>
          <w:color w:val="006CE5"/>
          <w:sz w:val="20"/>
          <w:szCs w:val="20"/>
        </w:rPr>
      </w:pPr>
      <w:bookmarkStart w:id="16" w:name="_Hlk193133247"/>
    </w:p>
    <w:tbl>
      <w:tblPr>
        <w:tblStyle w:val="Grilledutableau"/>
        <w:tblW w:w="0" w:type="auto"/>
        <w:tblLook w:val="04A0" w:firstRow="1" w:lastRow="0" w:firstColumn="1" w:lastColumn="0" w:noHBand="0" w:noVBand="1"/>
      </w:tblPr>
      <w:tblGrid>
        <w:gridCol w:w="6799"/>
        <w:gridCol w:w="2835"/>
      </w:tblGrid>
      <w:tr w:rsidR="000E42AF" w:rsidRPr="00EA13C4" w14:paraId="2537A5AF" w14:textId="77777777" w:rsidTr="006D067C">
        <w:trPr>
          <w:trHeight w:val="315"/>
        </w:trPr>
        <w:tc>
          <w:tcPr>
            <w:tcW w:w="6799" w:type="dxa"/>
            <w:noWrap/>
            <w:hideMark/>
          </w:tcPr>
          <w:p w14:paraId="52201F58" w14:textId="77777777" w:rsidR="000E42AF" w:rsidRPr="00EA13C4" w:rsidRDefault="000E42AF" w:rsidP="006D067C">
            <w:pPr>
              <w:rPr>
                <w:rFonts w:ascii="Marianne" w:eastAsia="Times New Roman" w:hAnsi="Marianne" w:cs="Calibri"/>
                <w:b/>
                <w:bCs/>
                <w:color w:val="000000"/>
                <w:sz w:val="20"/>
                <w:szCs w:val="20"/>
                <w:lang w:eastAsia="fr-FR"/>
              </w:rPr>
            </w:pPr>
            <w:r w:rsidRPr="00EA13C4">
              <w:rPr>
                <w:rFonts w:ascii="Marianne" w:eastAsia="Times New Roman" w:hAnsi="Marianne" w:cs="Calibri"/>
                <w:b/>
                <w:bCs/>
                <w:color w:val="000000"/>
                <w:sz w:val="20"/>
                <w:szCs w:val="20"/>
                <w:lang w:eastAsia="fr-FR"/>
              </w:rPr>
              <w:t>Tous produits agricoles et agroalimentaires</w:t>
            </w:r>
          </w:p>
        </w:tc>
        <w:tc>
          <w:tcPr>
            <w:tcW w:w="2835" w:type="dxa"/>
            <w:vAlign w:val="bottom"/>
          </w:tcPr>
          <w:p w14:paraId="355F5474" w14:textId="77777777" w:rsidR="000E42AF" w:rsidRPr="00552444" w:rsidRDefault="000E42AF" w:rsidP="006D067C">
            <w:pPr>
              <w:jc w:val="right"/>
              <w:rPr>
                <w:rFonts w:ascii="Marianne" w:eastAsia="Times New Roman" w:hAnsi="Marianne" w:cs="Times New Roman"/>
                <w:b/>
                <w:bCs/>
                <w:sz w:val="20"/>
                <w:szCs w:val="20"/>
                <w:lang w:eastAsia="fr-FR"/>
              </w:rPr>
            </w:pPr>
            <w:r w:rsidRPr="00552444">
              <w:rPr>
                <w:rFonts w:ascii="Marianne" w:hAnsi="Marianne" w:cs="Calibri"/>
                <w:b/>
                <w:bCs/>
                <w:color w:val="000000"/>
                <w:sz w:val="20"/>
                <w:szCs w:val="20"/>
              </w:rPr>
              <w:t>511 291 469</w:t>
            </w:r>
          </w:p>
        </w:tc>
      </w:tr>
      <w:tr w:rsidR="000E42AF" w:rsidRPr="00EA13C4" w14:paraId="187F1C56" w14:textId="77777777" w:rsidTr="006D067C">
        <w:trPr>
          <w:trHeight w:val="315"/>
        </w:trPr>
        <w:tc>
          <w:tcPr>
            <w:tcW w:w="6799" w:type="dxa"/>
            <w:noWrap/>
            <w:hideMark/>
          </w:tcPr>
          <w:p w14:paraId="62DBDF3F"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Oléagineux</w:t>
            </w:r>
          </w:p>
        </w:tc>
        <w:tc>
          <w:tcPr>
            <w:tcW w:w="2835" w:type="dxa"/>
            <w:vAlign w:val="bottom"/>
          </w:tcPr>
          <w:p w14:paraId="28106854"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126 804 540</w:t>
            </w:r>
          </w:p>
        </w:tc>
      </w:tr>
      <w:tr w:rsidR="000E42AF" w:rsidRPr="00552444" w14:paraId="1A34418C" w14:textId="77777777" w:rsidTr="006D067C">
        <w:trPr>
          <w:trHeight w:val="315"/>
        </w:trPr>
        <w:tc>
          <w:tcPr>
            <w:tcW w:w="6799" w:type="dxa"/>
            <w:noWrap/>
          </w:tcPr>
          <w:p w14:paraId="5F6EBD19"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huile de palme (SH 1511)</w:t>
            </w:r>
          </w:p>
        </w:tc>
        <w:tc>
          <w:tcPr>
            <w:tcW w:w="2835" w:type="dxa"/>
            <w:vAlign w:val="bottom"/>
          </w:tcPr>
          <w:p w14:paraId="36594837"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87 123 019</w:t>
            </w:r>
          </w:p>
        </w:tc>
      </w:tr>
      <w:tr w:rsidR="000E42AF" w:rsidRPr="00552444" w14:paraId="68FFBF5D" w14:textId="77777777" w:rsidTr="006D067C">
        <w:trPr>
          <w:trHeight w:val="315"/>
        </w:trPr>
        <w:tc>
          <w:tcPr>
            <w:tcW w:w="6799" w:type="dxa"/>
            <w:noWrap/>
          </w:tcPr>
          <w:p w14:paraId="61C349FC"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fève de soja (SH 120190)</w:t>
            </w:r>
          </w:p>
        </w:tc>
        <w:tc>
          <w:tcPr>
            <w:tcW w:w="2835" w:type="dxa"/>
            <w:vAlign w:val="bottom"/>
          </w:tcPr>
          <w:p w14:paraId="1BFA363F"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37 169 352</w:t>
            </w:r>
          </w:p>
        </w:tc>
      </w:tr>
      <w:tr w:rsidR="000E42AF" w:rsidRPr="00EA13C4" w14:paraId="3DBF274E" w14:textId="77777777" w:rsidTr="006D067C">
        <w:trPr>
          <w:trHeight w:val="315"/>
        </w:trPr>
        <w:tc>
          <w:tcPr>
            <w:tcW w:w="6799" w:type="dxa"/>
            <w:noWrap/>
            <w:hideMark/>
          </w:tcPr>
          <w:p w14:paraId="365D40A2"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Céréales</w:t>
            </w:r>
          </w:p>
        </w:tc>
        <w:tc>
          <w:tcPr>
            <w:tcW w:w="2835" w:type="dxa"/>
            <w:vAlign w:val="bottom"/>
          </w:tcPr>
          <w:p w14:paraId="32854545"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110 298 775</w:t>
            </w:r>
          </w:p>
        </w:tc>
      </w:tr>
      <w:tr w:rsidR="000E42AF" w:rsidRPr="00552444" w14:paraId="15CB8D27" w14:textId="77777777" w:rsidTr="006D067C">
        <w:trPr>
          <w:trHeight w:val="315"/>
        </w:trPr>
        <w:tc>
          <w:tcPr>
            <w:tcW w:w="6799" w:type="dxa"/>
            <w:noWrap/>
          </w:tcPr>
          <w:p w14:paraId="6953C0DD"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riz (SH 1006)</w:t>
            </w:r>
          </w:p>
        </w:tc>
        <w:tc>
          <w:tcPr>
            <w:tcW w:w="2835" w:type="dxa"/>
            <w:vAlign w:val="bottom"/>
          </w:tcPr>
          <w:p w14:paraId="4D1ABCD8"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71 027 119</w:t>
            </w:r>
          </w:p>
        </w:tc>
      </w:tr>
      <w:tr w:rsidR="000E42AF" w:rsidRPr="00552444" w14:paraId="08CE8113" w14:textId="77777777" w:rsidTr="006D067C">
        <w:trPr>
          <w:trHeight w:val="315"/>
        </w:trPr>
        <w:tc>
          <w:tcPr>
            <w:tcW w:w="6799" w:type="dxa"/>
            <w:noWrap/>
          </w:tcPr>
          <w:p w14:paraId="3CF2CD1C"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blé tendre (SH 100199)</w:t>
            </w:r>
          </w:p>
        </w:tc>
        <w:tc>
          <w:tcPr>
            <w:tcW w:w="2835" w:type="dxa"/>
            <w:vAlign w:val="bottom"/>
          </w:tcPr>
          <w:p w14:paraId="49B39100"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23 996 216</w:t>
            </w:r>
          </w:p>
        </w:tc>
      </w:tr>
      <w:tr w:rsidR="000E42AF" w:rsidRPr="00552444" w14:paraId="14CEB630" w14:textId="77777777" w:rsidTr="006D067C">
        <w:trPr>
          <w:trHeight w:val="315"/>
        </w:trPr>
        <w:tc>
          <w:tcPr>
            <w:tcW w:w="6799" w:type="dxa"/>
            <w:noWrap/>
          </w:tcPr>
          <w:p w14:paraId="753A61BC"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malt (SH 1107)</w:t>
            </w:r>
          </w:p>
        </w:tc>
        <w:tc>
          <w:tcPr>
            <w:tcW w:w="2835" w:type="dxa"/>
            <w:vAlign w:val="bottom"/>
          </w:tcPr>
          <w:p w14:paraId="5BC44D1A"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9 256 513</w:t>
            </w:r>
          </w:p>
        </w:tc>
      </w:tr>
      <w:tr w:rsidR="000E42AF" w:rsidRPr="00EA13C4" w14:paraId="3202175A" w14:textId="77777777" w:rsidTr="006D067C">
        <w:trPr>
          <w:trHeight w:val="315"/>
        </w:trPr>
        <w:tc>
          <w:tcPr>
            <w:tcW w:w="6799" w:type="dxa"/>
            <w:noWrap/>
            <w:hideMark/>
          </w:tcPr>
          <w:p w14:paraId="59301DD0"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Pêche et aquaculture</w:t>
            </w:r>
          </w:p>
        </w:tc>
        <w:tc>
          <w:tcPr>
            <w:tcW w:w="2835" w:type="dxa"/>
            <w:vAlign w:val="bottom"/>
          </w:tcPr>
          <w:p w14:paraId="25F48E41"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54 209 470</w:t>
            </w:r>
          </w:p>
        </w:tc>
      </w:tr>
      <w:tr w:rsidR="000E42AF" w:rsidRPr="00552444" w14:paraId="1D66530D" w14:textId="77777777" w:rsidTr="006D067C">
        <w:trPr>
          <w:trHeight w:val="315"/>
        </w:trPr>
        <w:tc>
          <w:tcPr>
            <w:tcW w:w="6799" w:type="dxa"/>
            <w:noWrap/>
          </w:tcPr>
          <w:p w14:paraId="154692F7"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poissons congelés (SH 0303)</w:t>
            </w:r>
          </w:p>
        </w:tc>
        <w:tc>
          <w:tcPr>
            <w:tcW w:w="2835" w:type="dxa"/>
            <w:vAlign w:val="bottom"/>
          </w:tcPr>
          <w:p w14:paraId="4F80DB35"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49 084 213</w:t>
            </w:r>
          </w:p>
        </w:tc>
      </w:tr>
      <w:tr w:rsidR="000E42AF" w:rsidRPr="00552444" w14:paraId="0B524B16" w14:textId="77777777" w:rsidTr="006D067C">
        <w:trPr>
          <w:trHeight w:val="315"/>
        </w:trPr>
        <w:tc>
          <w:tcPr>
            <w:tcW w:w="6799" w:type="dxa"/>
            <w:noWrap/>
          </w:tcPr>
          <w:p w14:paraId="798CE88B"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conserves de poissons (SH 1604)</w:t>
            </w:r>
          </w:p>
        </w:tc>
        <w:tc>
          <w:tcPr>
            <w:tcW w:w="2835" w:type="dxa"/>
            <w:vAlign w:val="bottom"/>
          </w:tcPr>
          <w:p w14:paraId="2DC21FFF"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2 891 374</w:t>
            </w:r>
          </w:p>
        </w:tc>
      </w:tr>
      <w:tr w:rsidR="000E42AF" w:rsidRPr="00EA13C4" w14:paraId="742B1658" w14:textId="77777777" w:rsidTr="006D067C">
        <w:trPr>
          <w:trHeight w:val="315"/>
        </w:trPr>
        <w:tc>
          <w:tcPr>
            <w:tcW w:w="6799" w:type="dxa"/>
            <w:noWrap/>
            <w:hideMark/>
          </w:tcPr>
          <w:p w14:paraId="6F174F79"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Produits d</w:t>
            </w:r>
            <w:r w:rsidRPr="00552444">
              <w:rPr>
                <w:rFonts w:ascii="Marianne" w:eastAsia="Times New Roman" w:hAnsi="Marianne" w:cs="Calibri"/>
                <w:color w:val="000000"/>
                <w:sz w:val="20"/>
                <w:szCs w:val="20"/>
                <w:lang w:eastAsia="fr-FR"/>
              </w:rPr>
              <w:t>’</w:t>
            </w:r>
            <w:r w:rsidRPr="00EA13C4">
              <w:rPr>
                <w:rFonts w:ascii="Marianne" w:eastAsia="Times New Roman" w:hAnsi="Marianne" w:cs="Calibri"/>
                <w:color w:val="000000"/>
                <w:sz w:val="20"/>
                <w:szCs w:val="20"/>
                <w:lang w:eastAsia="fr-FR"/>
              </w:rPr>
              <w:t>épicerie</w:t>
            </w:r>
          </w:p>
        </w:tc>
        <w:tc>
          <w:tcPr>
            <w:tcW w:w="2835" w:type="dxa"/>
            <w:vAlign w:val="bottom"/>
          </w:tcPr>
          <w:p w14:paraId="6C50D5E8"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51 582 155</w:t>
            </w:r>
          </w:p>
        </w:tc>
      </w:tr>
      <w:tr w:rsidR="000E42AF" w:rsidRPr="00552444" w14:paraId="5993D7D3" w14:textId="77777777" w:rsidTr="006D067C">
        <w:trPr>
          <w:trHeight w:val="315"/>
        </w:trPr>
        <w:tc>
          <w:tcPr>
            <w:tcW w:w="6799" w:type="dxa"/>
            <w:noWrap/>
          </w:tcPr>
          <w:p w14:paraId="340531EB"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pâtes alimentaires (SH 1902)</w:t>
            </w:r>
          </w:p>
        </w:tc>
        <w:tc>
          <w:tcPr>
            <w:tcW w:w="2835" w:type="dxa"/>
            <w:vAlign w:val="bottom"/>
          </w:tcPr>
          <w:p w14:paraId="4658D944"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21 044 530</w:t>
            </w:r>
          </w:p>
        </w:tc>
      </w:tr>
      <w:tr w:rsidR="000E42AF" w:rsidRPr="00552444" w14:paraId="0C91EC6F" w14:textId="77777777" w:rsidTr="006D067C">
        <w:trPr>
          <w:trHeight w:val="315"/>
        </w:trPr>
        <w:tc>
          <w:tcPr>
            <w:tcW w:w="6799" w:type="dxa"/>
            <w:noWrap/>
          </w:tcPr>
          <w:p w14:paraId="17CB967E"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eaux aromatisée (SH 2202)</w:t>
            </w:r>
          </w:p>
        </w:tc>
        <w:tc>
          <w:tcPr>
            <w:tcW w:w="2835" w:type="dxa"/>
            <w:vAlign w:val="bottom"/>
          </w:tcPr>
          <w:p w14:paraId="78591545"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6 321 498</w:t>
            </w:r>
          </w:p>
        </w:tc>
      </w:tr>
      <w:tr w:rsidR="000E42AF" w:rsidRPr="00552444" w14:paraId="6108E6CD" w14:textId="77777777" w:rsidTr="006D067C">
        <w:trPr>
          <w:trHeight w:val="315"/>
        </w:trPr>
        <w:tc>
          <w:tcPr>
            <w:tcW w:w="6799" w:type="dxa"/>
            <w:noWrap/>
          </w:tcPr>
          <w:p w14:paraId="5528153F"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soupes (SH 2104)</w:t>
            </w:r>
          </w:p>
        </w:tc>
        <w:tc>
          <w:tcPr>
            <w:tcW w:w="2835" w:type="dxa"/>
            <w:vAlign w:val="bottom"/>
          </w:tcPr>
          <w:p w14:paraId="7DC3F131"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5 992 266</w:t>
            </w:r>
          </w:p>
        </w:tc>
      </w:tr>
      <w:tr w:rsidR="000E42AF" w:rsidRPr="00552444" w14:paraId="37836B61" w14:textId="77777777" w:rsidTr="006D067C">
        <w:trPr>
          <w:trHeight w:val="315"/>
        </w:trPr>
        <w:tc>
          <w:tcPr>
            <w:tcW w:w="6799" w:type="dxa"/>
            <w:noWrap/>
          </w:tcPr>
          <w:p w14:paraId="2D8B2602"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produits boulangerie, pâtisserie (SH 1905)</w:t>
            </w:r>
          </w:p>
        </w:tc>
        <w:tc>
          <w:tcPr>
            <w:tcW w:w="2835" w:type="dxa"/>
            <w:vAlign w:val="bottom"/>
          </w:tcPr>
          <w:p w14:paraId="4E3DE4E8"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5 462 806</w:t>
            </w:r>
          </w:p>
        </w:tc>
      </w:tr>
      <w:tr w:rsidR="000E42AF" w:rsidRPr="00552444" w14:paraId="779F7BF4" w14:textId="77777777" w:rsidTr="006D067C">
        <w:trPr>
          <w:trHeight w:val="315"/>
        </w:trPr>
        <w:tc>
          <w:tcPr>
            <w:tcW w:w="6799" w:type="dxa"/>
            <w:noWrap/>
          </w:tcPr>
          <w:p w14:paraId="47BB2C93"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préparation à base de café, thé … (SH 2101)</w:t>
            </w:r>
          </w:p>
        </w:tc>
        <w:tc>
          <w:tcPr>
            <w:tcW w:w="2835" w:type="dxa"/>
            <w:vAlign w:val="bottom"/>
          </w:tcPr>
          <w:p w14:paraId="72A9D00D"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3 153 546</w:t>
            </w:r>
          </w:p>
        </w:tc>
      </w:tr>
      <w:tr w:rsidR="000E42AF" w:rsidRPr="00552444" w14:paraId="79C18305" w14:textId="77777777" w:rsidTr="006D067C">
        <w:trPr>
          <w:trHeight w:val="315"/>
        </w:trPr>
        <w:tc>
          <w:tcPr>
            <w:tcW w:w="6799" w:type="dxa"/>
            <w:noWrap/>
          </w:tcPr>
          <w:p w14:paraId="3C633BF2"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café, thé, mate, épices (SH 09)</w:t>
            </w:r>
          </w:p>
        </w:tc>
        <w:tc>
          <w:tcPr>
            <w:tcW w:w="2835" w:type="dxa"/>
            <w:vAlign w:val="bottom"/>
          </w:tcPr>
          <w:p w14:paraId="45FF99F1"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2 537 762</w:t>
            </w:r>
          </w:p>
        </w:tc>
      </w:tr>
      <w:tr w:rsidR="000E42AF" w:rsidRPr="00EA13C4" w14:paraId="36CED014" w14:textId="77777777" w:rsidTr="006D067C">
        <w:trPr>
          <w:trHeight w:val="315"/>
        </w:trPr>
        <w:tc>
          <w:tcPr>
            <w:tcW w:w="6799" w:type="dxa"/>
            <w:noWrap/>
            <w:hideMark/>
          </w:tcPr>
          <w:p w14:paraId="0FCC5A2B"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Sucre</w:t>
            </w:r>
          </w:p>
        </w:tc>
        <w:tc>
          <w:tcPr>
            <w:tcW w:w="2835" w:type="dxa"/>
            <w:vAlign w:val="bottom"/>
          </w:tcPr>
          <w:p w14:paraId="2DABE722"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43 305 632</w:t>
            </w:r>
          </w:p>
        </w:tc>
      </w:tr>
      <w:tr w:rsidR="000E42AF" w:rsidRPr="00552444" w14:paraId="5F3E0212" w14:textId="77777777" w:rsidTr="006D067C">
        <w:trPr>
          <w:trHeight w:val="315"/>
        </w:trPr>
        <w:tc>
          <w:tcPr>
            <w:tcW w:w="6799" w:type="dxa"/>
            <w:noWrap/>
          </w:tcPr>
          <w:p w14:paraId="3711691B"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sucre de canne ou de betterave (SH 1701)</w:t>
            </w:r>
          </w:p>
        </w:tc>
        <w:tc>
          <w:tcPr>
            <w:tcW w:w="2835" w:type="dxa"/>
            <w:vAlign w:val="bottom"/>
          </w:tcPr>
          <w:p w14:paraId="31FA027B"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38 999 903</w:t>
            </w:r>
          </w:p>
        </w:tc>
      </w:tr>
      <w:tr w:rsidR="000E42AF" w:rsidRPr="00552444" w14:paraId="6D041700" w14:textId="77777777" w:rsidTr="006D067C">
        <w:trPr>
          <w:trHeight w:val="315"/>
        </w:trPr>
        <w:tc>
          <w:tcPr>
            <w:tcW w:w="6799" w:type="dxa"/>
            <w:noWrap/>
          </w:tcPr>
          <w:p w14:paraId="68E26120"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sirop de glucose (SH 170230)</w:t>
            </w:r>
          </w:p>
        </w:tc>
        <w:tc>
          <w:tcPr>
            <w:tcW w:w="2835" w:type="dxa"/>
            <w:vAlign w:val="bottom"/>
          </w:tcPr>
          <w:p w14:paraId="4FB4FABD"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4 087 005</w:t>
            </w:r>
          </w:p>
        </w:tc>
      </w:tr>
      <w:tr w:rsidR="000E42AF" w:rsidRPr="00EA13C4" w14:paraId="10128647" w14:textId="77777777" w:rsidTr="006D067C">
        <w:trPr>
          <w:trHeight w:val="315"/>
        </w:trPr>
        <w:tc>
          <w:tcPr>
            <w:tcW w:w="6799" w:type="dxa"/>
            <w:noWrap/>
            <w:hideMark/>
          </w:tcPr>
          <w:p w14:paraId="50F33BE2"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Vins et spiritueux</w:t>
            </w:r>
          </w:p>
        </w:tc>
        <w:tc>
          <w:tcPr>
            <w:tcW w:w="2835" w:type="dxa"/>
            <w:vAlign w:val="bottom"/>
          </w:tcPr>
          <w:p w14:paraId="1E4D21B3"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28 500 050</w:t>
            </w:r>
          </w:p>
        </w:tc>
      </w:tr>
      <w:tr w:rsidR="000E42AF" w:rsidRPr="00552444" w14:paraId="06A12CA0" w14:textId="77777777" w:rsidTr="006D067C">
        <w:trPr>
          <w:trHeight w:val="315"/>
        </w:trPr>
        <w:tc>
          <w:tcPr>
            <w:tcW w:w="6799" w:type="dxa"/>
            <w:noWrap/>
          </w:tcPr>
          <w:p w14:paraId="31B618C0"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vins (SH 2204)</w:t>
            </w:r>
          </w:p>
        </w:tc>
        <w:tc>
          <w:tcPr>
            <w:tcW w:w="2835" w:type="dxa"/>
            <w:vAlign w:val="bottom"/>
          </w:tcPr>
          <w:p w14:paraId="31E0581D"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10 855 589</w:t>
            </w:r>
          </w:p>
        </w:tc>
      </w:tr>
      <w:tr w:rsidR="000E42AF" w:rsidRPr="00552444" w14:paraId="307F75A2" w14:textId="77777777" w:rsidTr="006D067C">
        <w:trPr>
          <w:trHeight w:val="315"/>
        </w:trPr>
        <w:tc>
          <w:tcPr>
            <w:tcW w:w="6799" w:type="dxa"/>
            <w:noWrap/>
          </w:tcPr>
          <w:p w14:paraId="7039B2AA"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spiritueux (SH 220</w:t>
            </w:r>
            <w:r>
              <w:rPr>
                <w:rFonts w:ascii="Marianne" w:eastAsia="Times New Roman" w:hAnsi="Marianne" w:cs="Calibri"/>
                <w:i/>
                <w:iCs/>
                <w:color w:val="000000"/>
                <w:sz w:val="20"/>
                <w:szCs w:val="20"/>
                <w:lang w:eastAsia="fr-FR"/>
              </w:rPr>
              <w:t>8</w:t>
            </w:r>
            <w:r w:rsidRPr="00552444">
              <w:rPr>
                <w:rFonts w:ascii="Marianne" w:eastAsia="Times New Roman" w:hAnsi="Marianne" w:cs="Calibri"/>
                <w:i/>
                <w:iCs/>
                <w:color w:val="000000"/>
                <w:sz w:val="20"/>
                <w:szCs w:val="20"/>
                <w:lang w:eastAsia="fr-FR"/>
              </w:rPr>
              <w:t>)</w:t>
            </w:r>
          </w:p>
        </w:tc>
        <w:tc>
          <w:tcPr>
            <w:tcW w:w="2835" w:type="dxa"/>
            <w:vAlign w:val="bottom"/>
          </w:tcPr>
          <w:p w14:paraId="70881AF7"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7 150 765</w:t>
            </w:r>
          </w:p>
        </w:tc>
      </w:tr>
      <w:tr w:rsidR="000E42AF" w:rsidRPr="00EA13C4" w14:paraId="25DF6A5A" w14:textId="77777777" w:rsidTr="006D067C">
        <w:trPr>
          <w:trHeight w:val="315"/>
        </w:trPr>
        <w:tc>
          <w:tcPr>
            <w:tcW w:w="6799" w:type="dxa"/>
            <w:noWrap/>
            <w:hideMark/>
          </w:tcPr>
          <w:p w14:paraId="24D0A417"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Laits et produits laitiers</w:t>
            </w:r>
          </w:p>
        </w:tc>
        <w:tc>
          <w:tcPr>
            <w:tcW w:w="2835" w:type="dxa"/>
            <w:vAlign w:val="bottom"/>
          </w:tcPr>
          <w:p w14:paraId="7333D0D5"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27 472 275</w:t>
            </w:r>
          </w:p>
        </w:tc>
      </w:tr>
      <w:tr w:rsidR="000E42AF" w:rsidRPr="00552444" w14:paraId="7B9C68C3" w14:textId="77777777" w:rsidTr="006D067C">
        <w:trPr>
          <w:trHeight w:val="315"/>
        </w:trPr>
        <w:tc>
          <w:tcPr>
            <w:tcW w:w="6799" w:type="dxa"/>
            <w:noWrap/>
          </w:tcPr>
          <w:p w14:paraId="06FFB2A0"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lait concentré (SH 0402)</w:t>
            </w:r>
          </w:p>
        </w:tc>
        <w:tc>
          <w:tcPr>
            <w:tcW w:w="2835" w:type="dxa"/>
            <w:vAlign w:val="bottom"/>
          </w:tcPr>
          <w:p w14:paraId="1A7452E2"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20 331 341</w:t>
            </w:r>
          </w:p>
        </w:tc>
      </w:tr>
      <w:tr w:rsidR="000E42AF" w:rsidRPr="00552444" w14:paraId="173F88EC" w14:textId="77777777" w:rsidTr="006D067C">
        <w:trPr>
          <w:trHeight w:val="315"/>
        </w:trPr>
        <w:tc>
          <w:tcPr>
            <w:tcW w:w="6799" w:type="dxa"/>
            <w:noWrap/>
          </w:tcPr>
          <w:p w14:paraId="3A6BF7AD"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yoghourt, babeurre (SH 0403)</w:t>
            </w:r>
          </w:p>
        </w:tc>
        <w:tc>
          <w:tcPr>
            <w:tcW w:w="2835" w:type="dxa"/>
            <w:vAlign w:val="bottom"/>
          </w:tcPr>
          <w:p w14:paraId="5B0984FB"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2 859 360</w:t>
            </w:r>
          </w:p>
        </w:tc>
      </w:tr>
      <w:tr w:rsidR="000E42AF" w:rsidRPr="00EA13C4" w14:paraId="77EA039E" w14:textId="77777777" w:rsidTr="006D067C">
        <w:trPr>
          <w:trHeight w:val="315"/>
        </w:trPr>
        <w:tc>
          <w:tcPr>
            <w:tcW w:w="6799" w:type="dxa"/>
            <w:noWrap/>
            <w:hideMark/>
          </w:tcPr>
          <w:p w14:paraId="7B74833F" w14:textId="77777777" w:rsidR="000E42AF" w:rsidRPr="00EA13C4" w:rsidRDefault="000E42AF" w:rsidP="006D067C">
            <w:pPr>
              <w:rPr>
                <w:rFonts w:ascii="Marianne" w:eastAsia="Times New Roman" w:hAnsi="Marianne" w:cs="Calibri"/>
                <w:color w:val="000000"/>
                <w:sz w:val="20"/>
                <w:szCs w:val="20"/>
                <w:lang w:eastAsia="fr-FR"/>
              </w:rPr>
            </w:pPr>
            <w:bookmarkStart w:id="17" w:name="_Hlk193131930"/>
            <w:r w:rsidRPr="00EA13C4">
              <w:rPr>
                <w:rFonts w:ascii="Marianne" w:eastAsia="Times New Roman" w:hAnsi="Marianne" w:cs="Calibri"/>
                <w:color w:val="000000"/>
                <w:sz w:val="20"/>
                <w:szCs w:val="20"/>
                <w:lang w:eastAsia="fr-FR"/>
              </w:rPr>
              <w:t>Viande et produits carnés</w:t>
            </w:r>
          </w:p>
        </w:tc>
        <w:tc>
          <w:tcPr>
            <w:tcW w:w="2835" w:type="dxa"/>
            <w:vAlign w:val="bottom"/>
          </w:tcPr>
          <w:p w14:paraId="3FDC0CF6"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22 603 938</w:t>
            </w:r>
          </w:p>
        </w:tc>
      </w:tr>
      <w:tr w:rsidR="000E42AF" w:rsidRPr="00552444" w14:paraId="2F749934" w14:textId="77777777" w:rsidTr="006D067C">
        <w:trPr>
          <w:trHeight w:val="315"/>
        </w:trPr>
        <w:tc>
          <w:tcPr>
            <w:tcW w:w="6799" w:type="dxa"/>
            <w:noWrap/>
          </w:tcPr>
          <w:p w14:paraId="6799C4D3"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viande de abats de volailles (SH 0207)</w:t>
            </w:r>
          </w:p>
        </w:tc>
        <w:tc>
          <w:tcPr>
            <w:tcW w:w="2835" w:type="dxa"/>
            <w:vAlign w:val="bottom"/>
          </w:tcPr>
          <w:p w14:paraId="1120B962"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18 223 529</w:t>
            </w:r>
          </w:p>
        </w:tc>
      </w:tr>
      <w:tr w:rsidR="000E42AF" w:rsidRPr="00552444" w14:paraId="54388708" w14:textId="77777777" w:rsidTr="006D067C">
        <w:trPr>
          <w:trHeight w:val="315"/>
        </w:trPr>
        <w:tc>
          <w:tcPr>
            <w:tcW w:w="6799" w:type="dxa"/>
            <w:noWrap/>
          </w:tcPr>
          <w:p w14:paraId="27262700"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saucisses et saucissons (SH 1601)</w:t>
            </w:r>
          </w:p>
        </w:tc>
        <w:tc>
          <w:tcPr>
            <w:tcW w:w="2835" w:type="dxa"/>
            <w:vAlign w:val="bottom"/>
          </w:tcPr>
          <w:p w14:paraId="7DB2ECEF"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3 510 361</w:t>
            </w:r>
          </w:p>
        </w:tc>
      </w:tr>
      <w:tr w:rsidR="000E42AF" w:rsidRPr="00EA13C4" w14:paraId="20A7CE69" w14:textId="77777777" w:rsidTr="006D067C">
        <w:trPr>
          <w:trHeight w:val="315"/>
        </w:trPr>
        <w:tc>
          <w:tcPr>
            <w:tcW w:w="6799" w:type="dxa"/>
            <w:noWrap/>
            <w:hideMark/>
          </w:tcPr>
          <w:p w14:paraId="17A121A3"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Fruits et légumes</w:t>
            </w:r>
          </w:p>
        </w:tc>
        <w:tc>
          <w:tcPr>
            <w:tcW w:w="2835" w:type="dxa"/>
            <w:vAlign w:val="bottom"/>
          </w:tcPr>
          <w:p w14:paraId="1B943AFD"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18 084 573</w:t>
            </w:r>
          </w:p>
        </w:tc>
      </w:tr>
      <w:tr w:rsidR="000E42AF" w:rsidRPr="00552444" w14:paraId="027BB47C" w14:textId="77777777" w:rsidTr="006D067C">
        <w:trPr>
          <w:trHeight w:val="315"/>
        </w:trPr>
        <w:tc>
          <w:tcPr>
            <w:tcW w:w="6799" w:type="dxa"/>
            <w:noWrap/>
          </w:tcPr>
          <w:p w14:paraId="60A64518"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tomates préparées ou conservées (SH 2002)</w:t>
            </w:r>
          </w:p>
        </w:tc>
        <w:tc>
          <w:tcPr>
            <w:tcW w:w="2835" w:type="dxa"/>
            <w:vAlign w:val="bottom"/>
          </w:tcPr>
          <w:p w14:paraId="65B59756"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10 558 578</w:t>
            </w:r>
          </w:p>
        </w:tc>
      </w:tr>
      <w:tr w:rsidR="000E42AF" w:rsidRPr="00EA13C4" w14:paraId="28B16FDD" w14:textId="77777777" w:rsidTr="006D067C">
        <w:trPr>
          <w:trHeight w:val="315"/>
        </w:trPr>
        <w:tc>
          <w:tcPr>
            <w:tcW w:w="6799" w:type="dxa"/>
            <w:noWrap/>
            <w:hideMark/>
          </w:tcPr>
          <w:p w14:paraId="5EC79E49"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Animaux vivants et génétique</w:t>
            </w:r>
          </w:p>
        </w:tc>
        <w:tc>
          <w:tcPr>
            <w:tcW w:w="2835" w:type="dxa"/>
            <w:vAlign w:val="bottom"/>
          </w:tcPr>
          <w:p w14:paraId="2B103AED"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1 246 322</w:t>
            </w:r>
          </w:p>
        </w:tc>
      </w:tr>
      <w:tr w:rsidR="000E42AF" w:rsidRPr="00EA13C4" w14:paraId="409B9B16" w14:textId="77777777" w:rsidTr="006D067C">
        <w:trPr>
          <w:trHeight w:val="315"/>
        </w:trPr>
        <w:tc>
          <w:tcPr>
            <w:tcW w:w="6799" w:type="dxa"/>
            <w:noWrap/>
            <w:hideMark/>
          </w:tcPr>
          <w:p w14:paraId="3A1D3BFD"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Autres</w:t>
            </w:r>
          </w:p>
        </w:tc>
        <w:tc>
          <w:tcPr>
            <w:tcW w:w="2835" w:type="dxa"/>
            <w:vAlign w:val="bottom"/>
          </w:tcPr>
          <w:p w14:paraId="0E93366D" w14:textId="77777777" w:rsidR="000E42AF" w:rsidRPr="00552444" w:rsidRDefault="000E42AF" w:rsidP="006D067C">
            <w:pPr>
              <w:jc w:val="right"/>
              <w:rPr>
                <w:rFonts w:ascii="Marianne" w:eastAsia="Times New Roman" w:hAnsi="Marianne" w:cs="Times New Roman"/>
                <w:sz w:val="20"/>
                <w:szCs w:val="20"/>
                <w:lang w:eastAsia="fr-FR"/>
              </w:rPr>
            </w:pPr>
            <w:r w:rsidRPr="00552444">
              <w:rPr>
                <w:rFonts w:ascii="Marianne" w:hAnsi="Marianne" w:cs="Calibri"/>
                <w:color w:val="000000"/>
                <w:sz w:val="20"/>
                <w:szCs w:val="20"/>
              </w:rPr>
              <w:t>27 183 737</w:t>
            </w:r>
          </w:p>
        </w:tc>
      </w:tr>
      <w:tr w:rsidR="000E42AF" w:rsidRPr="00552444" w14:paraId="3CB53687" w14:textId="77777777" w:rsidTr="006D067C">
        <w:trPr>
          <w:trHeight w:val="315"/>
        </w:trPr>
        <w:tc>
          <w:tcPr>
            <w:tcW w:w="6799" w:type="dxa"/>
            <w:noWrap/>
          </w:tcPr>
          <w:p w14:paraId="2C996A45"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préparation alimentaire (SH 2106)</w:t>
            </w:r>
          </w:p>
        </w:tc>
        <w:tc>
          <w:tcPr>
            <w:tcW w:w="2835" w:type="dxa"/>
            <w:vAlign w:val="bottom"/>
          </w:tcPr>
          <w:p w14:paraId="148E934A"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9 827 849</w:t>
            </w:r>
          </w:p>
        </w:tc>
      </w:tr>
      <w:tr w:rsidR="000E42AF" w:rsidRPr="00552444" w14:paraId="76ACB063" w14:textId="77777777" w:rsidTr="006D067C">
        <w:trPr>
          <w:trHeight w:val="315"/>
        </w:trPr>
        <w:tc>
          <w:tcPr>
            <w:tcW w:w="6799" w:type="dxa"/>
            <w:noWrap/>
          </w:tcPr>
          <w:p w14:paraId="0EF9BF2C"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graine de sésame (SH 120740)</w:t>
            </w:r>
          </w:p>
        </w:tc>
        <w:tc>
          <w:tcPr>
            <w:tcW w:w="2835" w:type="dxa"/>
            <w:vAlign w:val="bottom"/>
          </w:tcPr>
          <w:p w14:paraId="1E27C491"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3 998 385</w:t>
            </w:r>
          </w:p>
        </w:tc>
      </w:tr>
      <w:tr w:rsidR="000E42AF" w:rsidRPr="00552444" w14:paraId="730364E2" w14:textId="77777777" w:rsidTr="006D067C">
        <w:trPr>
          <w:trHeight w:val="315"/>
        </w:trPr>
        <w:tc>
          <w:tcPr>
            <w:tcW w:w="6799" w:type="dxa"/>
            <w:noWrap/>
          </w:tcPr>
          <w:p w14:paraId="59F7AB44"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tabac (SH 24)</w:t>
            </w:r>
          </w:p>
        </w:tc>
        <w:tc>
          <w:tcPr>
            <w:tcW w:w="2835" w:type="dxa"/>
            <w:vAlign w:val="bottom"/>
          </w:tcPr>
          <w:p w14:paraId="0D723FB9"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3 323 711</w:t>
            </w:r>
          </w:p>
        </w:tc>
      </w:tr>
      <w:tr w:rsidR="000E42AF" w:rsidRPr="00552444" w14:paraId="321B0B46" w14:textId="77777777" w:rsidTr="006D067C">
        <w:trPr>
          <w:trHeight w:val="315"/>
        </w:trPr>
        <w:tc>
          <w:tcPr>
            <w:tcW w:w="6799" w:type="dxa"/>
            <w:noWrap/>
          </w:tcPr>
          <w:p w14:paraId="644239A5"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graines à ensemencer (SH 1209)</w:t>
            </w:r>
          </w:p>
        </w:tc>
        <w:tc>
          <w:tcPr>
            <w:tcW w:w="2835" w:type="dxa"/>
            <w:vAlign w:val="bottom"/>
          </w:tcPr>
          <w:p w14:paraId="5BAA5F68"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3 059 100</w:t>
            </w:r>
          </w:p>
        </w:tc>
      </w:tr>
      <w:bookmarkEnd w:id="17"/>
    </w:tbl>
    <w:p w14:paraId="528C44E2" w14:textId="77777777" w:rsidR="000E42AF" w:rsidRPr="00552444" w:rsidRDefault="000E42AF" w:rsidP="000E42AF">
      <w:pPr>
        <w:spacing w:after="0" w:line="240" w:lineRule="auto"/>
        <w:jc w:val="center"/>
        <w:rPr>
          <w:rFonts w:ascii="Marianne" w:hAnsi="Marianne" w:cs="Arial"/>
          <w:b/>
          <w:bCs/>
          <w:color w:val="006CE5"/>
          <w:sz w:val="20"/>
          <w:szCs w:val="20"/>
        </w:rPr>
      </w:pPr>
    </w:p>
    <w:bookmarkEnd w:id="16"/>
    <w:p w14:paraId="6A3B84BD" w14:textId="77777777" w:rsidR="000E42AF" w:rsidRDefault="000E42AF" w:rsidP="000E42AF">
      <w:pPr>
        <w:rPr>
          <w:rFonts w:ascii="Marianne" w:hAnsi="Marianne" w:cs="Arial"/>
          <w:b/>
          <w:bCs/>
          <w:color w:val="006CE5"/>
          <w:sz w:val="20"/>
          <w:szCs w:val="20"/>
          <w:u w:val="single"/>
        </w:rPr>
      </w:pPr>
      <w:r>
        <w:rPr>
          <w:rFonts w:ascii="Marianne" w:hAnsi="Marianne" w:cs="Arial"/>
          <w:b/>
          <w:bCs/>
          <w:color w:val="006CE5"/>
          <w:sz w:val="20"/>
          <w:szCs w:val="20"/>
          <w:u w:val="single"/>
        </w:rPr>
        <w:br w:type="page"/>
      </w:r>
    </w:p>
    <w:p w14:paraId="0860436B" w14:textId="77777777" w:rsidR="000E42AF" w:rsidRPr="00DD48F2" w:rsidRDefault="000E42AF" w:rsidP="000E42AF">
      <w:pPr>
        <w:spacing w:after="0" w:line="240" w:lineRule="auto"/>
        <w:jc w:val="center"/>
        <w:rPr>
          <w:rFonts w:ascii="Marianne" w:hAnsi="Marianne" w:cs="Arial"/>
          <w:b/>
          <w:bCs/>
          <w:color w:val="FFC000"/>
          <w:sz w:val="20"/>
          <w:szCs w:val="20"/>
        </w:rPr>
      </w:pPr>
      <w:r w:rsidRPr="00DD48F2">
        <w:rPr>
          <w:rFonts w:ascii="Marianne" w:hAnsi="Marianne" w:cs="Arial"/>
          <w:b/>
          <w:bCs/>
          <w:color w:val="FFC000"/>
          <w:sz w:val="20"/>
          <w:szCs w:val="20"/>
          <w:u w:val="single"/>
        </w:rPr>
        <w:lastRenderedPageBreak/>
        <w:t>Annexe 2</w:t>
      </w:r>
      <w:r w:rsidRPr="00DD48F2">
        <w:rPr>
          <w:rFonts w:ascii="Marianne" w:hAnsi="Marianne" w:cs="Arial"/>
          <w:b/>
          <w:bCs/>
          <w:color w:val="FFC000"/>
          <w:sz w:val="20"/>
          <w:szCs w:val="20"/>
        </w:rPr>
        <w:t xml:space="preserve"> : Montant des produits exportés par le Togo en 2024, dans les secteurs de l’agriculture, l’agroalimentaire et la sylviculture (EUR)</w:t>
      </w:r>
    </w:p>
    <w:p w14:paraId="700723E7" w14:textId="77777777" w:rsidR="000E42AF" w:rsidRPr="00552444" w:rsidRDefault="000E42AF" w:rsidP="000E42AF">
      <w:pPr>
        <w:spacing w:after="0" w:line="240" w:lineRule="auto"/>
        <w:jc w:val="center"/>
        <w:rPr>
          <w:rFonts w:ascii="Marianne" w:hAnsi="Marianne" w:cs="Arial"/>
          <w:b/>
          <w:bCs/>
          <w:color w:val="006CE5"/>
          <w:sz w:val="20"/>
          <w:szCs w:val="20"/>
        </w:rPr>
      </w:pPr>
    </w:p>
    <w:p w14:paraId="5CF9526C" w14:textId="77777777" w:rsidR="000E42AF" w:rsidRPr="00552444" w:rsidRDefault="000E42AF" w:rsidP="000E42AF">
      <w:pPr>
        <w:spacing w:after="0" w:line="240" w:lineRule="auto"/>
        <w:jc w:val="center"/>
        <w:rPr>
          <w:rFonts w:ascii="Marianne" w:hAnsi="Marianne" w:cs="Arial"/>
          <w:b/>
          <w:bCs/>
          <w:color w:val="006CE5"/>
          <w:sz w:val="20"/>
          <w:szCs w:val="20"/>
        </w:rPr>
      </w:pPr>
    </w:p>
    <w:tbl>
      <w:tblPr>
        <w:tblStyle w:val="Grilledutableau"/>
        <w:tblW w:w="0" w:type="auto"/>
        <w:tblLook w:val="04A0" w:firstRow="1" w:lastRow="0" w:firstColumn="1" w:lastColumn="0" w:noHBand="0" w:noVBand="1"/>
      </w:tblPr>
      <w:tblGrid>
        <w:gridCol w:w="6799"/>
        <w:gridCol w:w="2835"/>
      </w:tblGrid>
      <w:tr w:rsidR="000E42AF" w:rsidRPr="00EA13C4" w14:paraId="05A43FCD" w14:textId="77777777" w:rsidTr="006D067C">
        <w:trPr>
          <w:trHeight w:val="315"/>
        </w:trPr>
        <w:tc>
          <w:tcPr>
            <w:tcW w:w="6799" w:type="dxa"/>
            <w:noWrap/>
            <w:hideMark/>
          </w:tcPr>
          <w:p w14:paraId="63DBDCAA" w14:textId="77777777" w:rsidR="000E42AF" w:rsidRPr="00EA13C4" w:rsidRDefault="000E42AF" w:rsidP="006D067C">
            <w:pPr>
              <w:rPr>
                <w:rFonts w:ascii="Marianne" w:eastAsia="Times New Roman" w:hAnsi="Marianne" w:cs="Calibri"/>
                <w:b/>
                <w:bCs/>
                <w:color w:val="000000"/>
                <w:sz w:val="20"/>
                <w:szCs w:val="20"/>
                <w:lang w:eastAsia="fr-FR"/>
              </w:rPr>
            </w:pPr>
            <w:bookmarkStart w:id="18" w:name="_Hlk193135279"/>
            <w:r w:rsidRPr="00EA13C4">
              <w:rPr>
                <w:rFonts w:ascii="Marianne" w:eastAsia="Times New Roman" w:hAnsi="Marianne" w:cs="Calibri"/>
                <w:b/>
                <w:bCs/>
                <w:color w:val="000000"/>
                <w:sz w:val="20"/>
                <w:szCs w:val="20"/>
                <w:lang w:eastAsia="fr-FR"/>
              </w:rPr>
              <w:t>Tous produits agricoles et agroalimentaires</w:t>
            </w:r>
          </w:p>
        </w:tc>
        <w:tc>
          <w:tcPr>
            <w:tcW w:w="2835" w:type="dxa"/>
            <w:vAlign w:val="bottom"/>
          </w:tcPr>
          <w:p w14:paraId="04AD4106" w14:textId="77777777" w:rsidR="000E42AF" w:rsidRPr="00552444" w:rsidRDefault="000E42AF" w:rsidP="006D067C">
            <w:pPr>
              <w:jc w:val="right"/>
              <w:rPr>
                <w:rFonts w:ascii="Marianne" w:eastAsia="Times New Roman" w:hAnsi="Marianne" w:cs="Times New Roman"/>
                <w:b/>
                <w:bCs/>
                <w:sz w:val="20"/>
                <w:szCs w:val="20"/>
                <w:lang w:eastAsia="fr-FR"/>
              </w:rPr>
            </w:pPr>
            <w:r w:rsidRPr="00552444">
              <w:rPr>
                <w:rFonts w:ascii="Marianne" w:eastAsia="Times New Roman" w:hAnsi="Marianne" w:cs="Times New Roman"/>
                <w:b/>
                <w:bCs/>
                <w:sz w:val="20"/>
                <w:szCs w:val="20"/>
                <w:lang w:eastAsia="fr-FR"/>
              </w:rPr>
              <w:t>354 095</w:t>
            </w:r>
            <w:r>
              <w:rPr>
                <w:rFonts w:ascii="Marianne" w:eastAsia="Times New Roman" w:hAnsi="Marianne" w:cs="Times New Roman"/>
                <w:b/>
                <w:bCs/>
                <w:sz w:val="20"/>
                <w:szCs w:val="20"/>
                <w:lang w:eastAsia="fr-FR"/>
              </w:rPr>
              <w:t xml:space="preserve"> 389</w:t>
            </w:r>
          </w:p>
        </w:tc>
      </w:tr>
      <w:tr w:rsidR="000E42AF" w:rsidRPr="00EA13C4" w14:paraId="3BEBC59F" w14:textId="77777777" w:rsidTr="006D067C">
        <w:trPr>
          <w:trHeight w:val="315"/>
        </w:trPr>
        <w:tc>
          <w:tcPr>
            <w:tcW w:w="6799" w:type="dxa"/>
            <w:noWrap/>
            <w:hideMark/>
          </w:tcPr>
          <w:p w14:paraId="09304CEE"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Oléagineux</w:t>
            </w:r>
          </w:p>
        </w:tc>
        <w:tc>
          <w:tcPr>
            <w:tcW w:w="2835" w:type="dxa"/>
            <w:vAlign w:val="bottom"/>
          </w:tcPr>
          <w:p w14:paraId="1D03F572"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150 046 202</w:t>
            </w:r>
          </w:p>
        </w:tc>
      </w:tr>
      <w:tr w:rsidR="000E42AF" w:rsidRPr="00552444" w14:paraId="12707180" w14:textId="77777777" w:rsidTr="006D067C">
        <w:trPr>
          <w:trHeight w:val="315"/>
        </w:trPr>
        <w:tc>
          <w:tcPr>
            <w:tcW w:w="6799" w:type="dxa"/>
            <w:noWrap/>
          </w:tcPr>
          <w:p w14:paraId="5F0928DF" w14:textId="77777777" w:rsidR="000E42AF" w:rsidRPr="00552444" w:rsidRDefault="000E42AF" w:rsidP="006D067C">
            <w:pPr>
              <w:ind w:left="708"/>
              <w:rPr>
                <w:rFonts w:ascii="Marianne" w:eastAsia="Times New Roman" w:hAnsi="Marianne" w:cs="Calibri"/>
                <w:i/>
                <w:iCs/>
                <w:color w:val="000000"/>
                <w:sz w:val="20"/>
                <w:szCs w:val="20"/>
                <w:lang w:eastAsia="fr-FR"/>
              </w:rPr>
            </w:pPr>
            <w:r>
              <w:rPr>
                <w:rFonts w:ascii="Marianne" w:eastAsia="Times New Roman" w:hAnsi="Marianne" w:cs="Calibri"/>
                <w:i/>
                <w:iCs/>
                <w:color w:val="000000"/>
                <w:sz w:val="20"/>
                <w:szCs w:val="20"/>
                <w:lang w:eastAsia="fr-FR"/>
              </w:rPr>
              <w:t>Dont tourteaux de soja (SH 2304)</w:t>
            </w:r>
          </w:p>
        </w:tc>
        <w:tc>
          <w:tcPr>
            <w:tcW w:w="2835" w:type="dxa"/>
            <w:vAlign w:val="bottom"/>
          </w:tcPr>
          <w:p w14:paraId="7D71D11E"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64 245 868</w:t>
            </w:r>
          </w:p>
        </w:tc>
      </w:tr>
      <w:bookmarkEnd w:id="18"/>
      <w:tr w:rsidR="000E42AF" w:rsidRPr="00552444" w14:paraId="33FEA0C0" w14:textId="77777777" w:rsidTr="006D067C">
        <w:trPr>
          <w:trHeight w:val="315"/>
        </w:trPr>
        <w:tc>
          <w:tcPr>
            <w:tcW w:w="6799" w:type="dxa"/>
            <w:noWrap/>
          </w:tcPr>
          <w:p w14:paraId="7EBEE9E1"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huile de palme (SH 1511)</w:t>
            </w:r>
          </w:p>
        </w:tc>
        <w:tc>
          <w:tcPr>
            <w:tcW w:w="2835" w:type="dxa"/>
          </w:tcPr>
          <w:p w14:paraId="7D1F4748"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49 758 745</w:t>
            </w:r>
          </w:p>
        </w:tc>
      </w:tr>
      <w:tr w:rsidR="000E42AF" w:rsidRPr="00552444" w14:paraId="0D400F1D" w14:textId="77777777" w:rsidTr="006D067C">
        <w:trPr>
          <w:trHeight w:val="315"/>
        </w:trPr>
        <w:tc>
          <w:tcPr>
            <w:tcW w:w="6799" w:type="dxa"/>
            <w:noWrap/>
          </w:tcPr>
          <w:p w14:paraId="4A69A883"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fève de soja (SH 120190)</w:t>
            </w:r>
          </w:p>
        </w:tc>
        <w:tc>
          <w:tcPr>
            <w:tcW w:w="2835" w:type="dxa"/>
            <w:vAlign w:val="bottom"/>
          </w:tcPr>
          <w:p w14:paraId="52727D5C"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1</w:t>
            </w:r>
            <w:r w:rsidRPr="00552444">
              <w:rPr>
                <w:rFonts w:ascii="Marianne" w:hAnsi="Marianne" w:cs="Calibri"/>
                <w:i/>
                <w:iCs/>
                <w:color w:val="000000"/>
                <w:sz w:val="20"/>
                <w:szCs w:val="20"/>
              </w:rPr>
              <w:t xml:space="preserve">7 </w:t>
            </w:r>
            <w:r>
              <w:rPr>
                <w:rFonts w:ascii="Marianne" w:hAnsi="Marianne" w:cs="Calibri"/>
                <w:i/>
                <w:iCs/>
                <w:color w:val="000000"/>
                <w:sz w:val="20"/>
                <w:szCs w:val="20"/>
              </w:rPr>
              <w:t>859 771</w:t>
            </w:r>
          </w:p>
        </w:tc>
      </w:tr>
      <w:tr w:rsidR="000E42AF" w:rsidRPr="00552444" w14:paraId="5E8EB8B0" w14:textId="77777777" w:rsidTr="006D067C">
        <w:trPr>
          <w:trHeight w:val="315"/>
        </w:trPr>
        <w:tc>
          <w:tcPr>
            <w:tcW w:w="6799" w:type="dxa"/>
            <w:noWrap/>
          </w:tcPr>
          <w:p w14:paraId="6D907318" w14:textId="77777777" w:rsidR="000E42AF" w:rsidRPr="00552444" w:rsidRDefault="000E42AF" w:rsidP="006D067C">
            <w:pPr>
              <w:ind w:left="708"/>
              <w:rPr>
                <w:rFonts w:ascii="Marianne" w:eastAsia="Times New Roman" w:hAnsi="Marianne" w:cs="Calibri"/>
                <w:i/>
                <w:iCs/>
                <w:color w:val="000000"/>
                <w:sz w:val="20"/>
                <w:szCs w:val="20"/>
                <w:lang w:eastAsia="fr-FR"/>
              </w:rPr>
            </w:pPr>
            <w:r>
              <w:rPr>
                <w:rFonts w:ascii="Marianne" w:eastAsia="Times New Roman" w:hAnsi="Marianne" w:cs="Calibri"/>
                <w:i/>
                <w:iCs/>
                <w:color w:val="000000"/>
                <w:sz w:val="20"/>
                <w:szCs w:val="20"/>
                <w:lang w:eastAsia="fr-FR"/>
              </w:rPr>
              <w:t>Dont huile de soja (SH 1507)</w:t>
            </w:r>
          </w:p>
        </w:tc>
        <w:tc>
          <w:tcPr>
            <w:tcW w:w="2835" w:type="dxa"/>
            <w:vAlign w:val="bottom"/>
          </w:tcPr>
          <w:p w14:paraId="599C5C53" w14:textId="77777777" w:rsidR="000E42AF"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16 609 169</w:t>
            </w:r>
          </w:p>
        </w:tc>
      </w:tr>
      <w:tr w:rsidR="000E42AF" w:rsidRPr="00552444" w14:paraId="0C3A80DD" w14:textId="77777777" w:rsidTr="006D067C">
        <w:trPr>
          <w:trHeight w:val="315"/>
        </w:trPr>
        <w:tc>
          <w:tcPr>
            <w:tcW w:w="6799" w:type="dxa"/>
            <w:noWrap/>
          </w:tcPr>
          <w:p w14:paraId="24501E4B" w14:textId="77777777" w:rsidR="000E42AF" w:rsidRDefault="000E42AF" w:rsidP="006D067C">
            <w:pPr>
              <w:ind w:left="708"/>
              <w:rPr>
                <w:rFonts w:ascii="Marianne" w:eastAsia="Times New Roman" w:hAnsi="Marianne" w:cs="Calibri"/>
                <w:i/>
                <w:iCs/>
                <w:color w:val="000000"/>
                <w:sz w:val="20"/>
                <w:szCs w:val="20"/>
                <w:lang w:eastAsia="fr-FR"/>
              </w:rPr>
            </w:pPr>
            <w:r>
              <w:rPr>
                <w:rFonts w:ascii="Marianne" w:eastAsia="Times New Roman" w:hAnsi="Marianne" w:cs="Calibri"/>
                <w:i/>
                <w:iCs/>
                <w:color w:val="000000"/>
                <w:sz w:val="20"/>
                <w:szCs w:val="20"/>
                <w:lang w:eastAsia="fr-FR"/>
              </w:rPr>
              <w:t>Dont farines d’oléagineux (SH 1208)</w:t>
            </w:r>
          </w:p>
        </w:tc>
        <w:tc>
          <w:tcPr>
            <w:tcW w:w="2835" w:type="dxa"/>
            <w:vAlign w:val="bottom"/>
          </w:tcPr>
          <w:p w14:paraId="30A6DB5E" w14:textId="77777777" w:rsidR="000E42AF"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1 054 512</w:t>
            </w:r>
          </w:p>
        </w:tc>
      </w:tr>
      <w:tr w:rsidR="000E42AF" w:rsidRPr="00EA13C4" w14:paraId="1F82339D" w14:textId="77777777" w:rsidTr="006D067C">
        <w:trPr>
          <w:trHeight w:val="315"/>
        </w:trPr>
        <w:tc>
          <w:tcPr>
            <w:tcW w:w="6799" w:type="dxa"/>
            <w:noWrap/>
            <w:hideMark/>
          </w:tcPr>
          <w:p w14:paraId="3B6E5E59"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Produits d</w:t>
            </w:r>
            <w:r w:rsidRPr="00552444">
              <w:rPr>
                <w:rFonts w:ascii="Marianne" w:eastAsia="Times New Roman" w:hAnsi="Marianne" w:cs="Calibri"/>
                <w:color w:val="000000"/>
                <w:sz w:val="20"/>
                <w:szCs w:val="20"/>
                <w:lang w:eastAsia="fr-FR"/>
              </w:rPr>
              <w:t>’</w:t>
            </w:r>
            <w:r w:rsidRPr="00EA13C4">
              <w:rPr>
                <w:rFonts w:ascii="Marianne" w:eastAsia="Times New Roman" w:hAnsi="Marianne" w:cs="Calibri"/>
                <w:color w:val="000000"/>
                <w:sz w:val="20"/>
                <w:szCs w:val="20"/>
                <w:lang w:eastAsia="fr-FR"/>
              </w:rPr>
              <w:t>épicerie</w:t>
            </w:r>
          </w:p>
        </w:tc>
        <w:tc>
          <w:tcPr>
            <w:tcW w:w="2835" w:type="dxa"/>
          </w:tcPr>
          <w:p w14:paraId="142661CA"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44 333 146</w:t>
            </w:r>
          </w:p>
        </w:tc>
      </w:tr>
      <w:tr w:rsidR="000E42AF" w:rsidRPr="00552444" w14:paraId="7F2EC2CF" w14:textId="77777777" w:rsidTr="006D067C">
        <w:trPr>
          <w:trHeight w:val="315"/>
        </w:trPr>
        <w:tc>
          <w:tcPr>
            <w:tcW w:w="6799" w:type="dxa"/>
            <w:noWrap/>
          </w:tcPr>
          <w:p w14:paraId="6102CE79"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 xml:space="preserve">Dont </w:t>
            </w:r>
            <w:r>
              <w:rPr>
                <w:rFonts w:ascii="Marianne" w:eastAsia="Times New Roman" w:hAnsi="Marianne" w:cs="Calibri"/>
                <w:i/>
                <w:iCs/>
                <w:color w:val="000000"/>
                <w:sz w:val="20"/>
                <w:szCs w:val="20"/>
                <w:lang w:eastAsia="fr-FR"/>
              </w:rPr>
              <w:t xml:space="preserve">sucreries sans cacao </w:t>
            </w:r>
            <w:r w:rsidRPr="00552444">
              <w:rPr>
                <w:rFonts w:ascii="Marianne" w:eastAsia="Times New Roman" w:hAnsi="Marianne" w:cs="Calibri"/>
                <w:i/>
                <w:iCs/>
                <w:color w:val="000000"/>
                <w:sz w:val="20"/>
                <w:szCs w:val="20"/>
                <w:lang w:eastAsia="fr-FR"/>
              </w:rPr>
              <w:t>(SH 1</w:t>
            </w:r>
            <w:r>
              <w:rPr>
                <w:rFonts w:ascii="Marianne" w:eastAsia="Times New Roman" w:hAnsi="Marianne" w:cs="Calibri"/>
                <w:i/>
                <w:iCs/>
                <w:color w:val="000000"/>
                <w:sz w:val="20"/>
                <w:szCs w:val="20"/>
                <w:lang w:eastAsia="fr-FR"/>
              </w:rPr>
              <w:t>704</w:t>
            </w:r>
            <w:r w:rsidRPr="00552444">
              <w:rPr>
                <w:rFonts w:ascii="Marianne" w:eastAsia="Times New Roman" w:hAnsi="Marianne" w:cs="Calibri"/>
                <w:i/>
                <w:iCs/>
                <w:color w:val="000000"/>
                <w:sz w:val="20"/>
                <w:szCs w:val="20"/>
                <w:lang w:eastAsia="fr-FR"/>
              </w:rPr>
              <w:t>)</w:t>
            </w:r>
          </w:p>
        </w:tc>
        <w:tc>
          <w:tcPr>
            <w:tcW w:w="2835" w:type="dxa"/>
          </w:tcPr>
          <w:p w14:paraId="43B7D9E3"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 xml:space="preserve">21 </w:t>
            </w:r>
            <w:r>
              <w:rPr>
                <w:rFonts w:ascii="Marianne" w:hAnsi="Marianne" w:cs="Calibri"/>
                <w:i/>
                <w:iCs/>
                <w:color w:val="000000"/>
                <w:sz w:val="20"/>
                <w:szCs w:val="20"/>
              </w:rPr>
              <w:t>201 595</w:t>
            </w:r>
          </w:p>
        </w:tc>
      </w:tr>
      <w:tr w:rsidR="000E42AF" w:rsidRPr="00552444" w14:paraId="6A2D65F7" w14:textId="77777777" w:rsidTr="006D067C">
        <w:trPr>
          <w:trHeight w:val="315"/>
        </w:trPr>
        <w:tc>
          <w:tcPr>
            <w:tcW w:w="6799" w:type="dxa"/>
            <w:noWrap/>
          </w:tcPr>
          <w:p w14:paraId="3FF48E3D"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eaux aromatisée (SH 2202)</w:t>
            </w:r>
          </w:p>
        </w:tc>
        <w:tc>
          <w:tcPr>
            <w:tcW w:w="2835" w:type="dxa"/>
          </w:tcPr>
          <w:p w14:paraId="24018A8F"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 xml:space="preserve">6 </w:t>
            </w:r>
            <w:r>
              <w:rPr>
                <w:rFonts w:ascii="Marianne" w:hAnsi="Marianne" w:cs="Calibri"/>
                <w:i/>
                <w:iCs/>
                <w:color w:val="000000"/>
                <w:sz w:val="20"/>
                <w:szCs w:val="20"/>
              </w:rPr>
              <w:t>53</w:t>
            </w:r>
            <w:r w:rsidRPr="00552444">
              <w:rPr>
                <w:rFonts w:ascii="Marianne" w:hAnsi="Marianne" w:cs="Calibri"/>
                <w:i/>
                <w:iCs/>
                <w:color w:val="000000"/>
                <w:sz w:val="20"/>
                <w:szCs w:val="20"/>
              </w:rPr>
              <w:t xml:space="preserve">1 </w:t>
            </w:r>
            <w:r>
              <w:rPr>
                <w:rFonts w:ascii="Marianne" w:hAnsi="Marianne" w:cs="Calibri"/>
                <w:i/>
                <w:iCs/>
                <w:color w:val="000000"/>
                <w:sz w:val="20"/>
                <w:szCs w:val="20"/>
              </w:rPr>
              <w:t>666</w:t>
            </w:r>
          </w:p>
        </w:tc>
      </w:tr>
      <w:tr w:rsidR="000E42AF" w:rsidRPr="00552444" w14:paraId="65002234" w14:textId="77777777" w:rsidTr="006D067C">
        <w:trPr>
          <w:trHeight w:val="315"/>
        </w:trPr>
        <w:tc>
          <w:tcPr>
            <w:tcW w:w="6799" w:type="dxa"/>
            <w:noWrap/>
          </w:tcPr>
          <w:p w14:paraId="6AADA2A6" w14:textId="77777777" w:rsidR="000E42AF" w:rsidRPr="00552444" w:rsidRDefault="000E42AF" w:rsidP="006D067C">
            <w:pPr>
              <w:ind w:left="708"/>
              <w:rPr>
                <w:rFonts w:ascii="Marianne" w:eastAsia="Times New Roman" w:hAnsi="Marianne" w:cs="Calibri"/>
                <w:i/>
                <w:iCs/>
                <w:color w:val="000000"/>
                <w:sz w:val="20"/>
                <w:szCs w:val="20"/>
                <w:lang w:eastAsia="fr-FR"/>
              </w:rPr>
            </w:pPr>
            <w:r>
              <w:rPr>
                <w:rFonts w:ascii="Marianne" w:eastAsia="Times New Roman" w:hAnsi="Marianne" w:cs="Calibri"/>
                <w:i/>
                <w:iCs/>
                <w:color w:val="000000"/>
                <w:sz w:val="20"/>
                <w:szCs w:val="20"/>
                <w:lang w:eastAsia="fr-FR"/>
              </w:rPr>
              <w:t>Dont jus de fruits (SH 2009)</w:t>
            </w:r>
          </w:p>
        </w:tc>
        <w:tc>
          <w:tcPr>
            <w:tcW w:w="2835" w:type="dxa"/>
          </w:tcPr>
          <w:p w14:paraId="2245A60E"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4 847 863</w:t>
            </w:r>
          </w:p>
        </w:tc>
      </w:tr>
      <w:tr w:rsidR="000E42AF" w:rsidRPr="00552444" w14:paraId="59063518" w14:textId="77777777" w:rsidTr="006D067C">
        <w:trPr>
          <w:trHeight w:val="315"/>
        </w:trPr>
        <w:tc>
          <w:tcPr>
            <w:tcW w:w="6799" w:type="dxa"/>
            <w:noWrap/>
          </w:tcPr>
          <w:p w14:paraId="512D0ACB"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café, thé, mate, épices (SH 09)</w:t>
            </w:r>
          </w:p>
        </w:tc>
        <w:tc>
          <w:tcPr>
            <w:tcW w:w="2835" w:type="dxa"/>
          </w:tcPr>
          <w:p w14:paraId="4803E8C9"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4 552 251</w:t>
            </w:r>
          </w:p>
        </w:tc>
      </w:tr>
      <w:tr w:rsidR="000E42AF" w:rsidRPr="00552444" w14:paraId="357F3010" w14:textId="77777777" w:rsidTr="006D067C">
        <w:trPr>
          <w:trHeight w:val="315"/>
        </w:trPr>
        <w:tc>
          <w:tcPr>
            <w:tcW w:w="6799" w:type="dxa"/>
            <w:noWrap/>
          </w:tcPr>
          <w:p w14:paraId="5E2FBDE5" w14:textId="77777777" w:rsidR="000E42AF" w:rsidRPr="00552444" w:rsidRDefault="000E42AF" w:rsidP="006D067C">
            <w:pPr>
              <w:ind w:left="708"/>
              <w:rPr>
                <w:rFonts w:ascii="Marianne" w:eastAsia="Times New Roman" w:hAnsi="Marianne" w:cs="Calibri"/>
                <w:i/>
                <w:iCs/>
                <w:color w:val="000000"/>
                <w:sz w:val="20"/>
                <w:szCs w:val="20"/>
                <w:lang w:eastAsia="fr-FR"/>
              </w:rPr>
            </w:pPr>
            <w:r>
              <w:rPr>
                <w:rFonts w:ascii="Marianne" w:eastAsia="Times New Roman" w:hAnsi="Marianne" w:cs="Calibri"/>
                <w:i/>
                <w:iCs/>
                <w:color w:val="000000"/>
                <w:sz w:val="20"/>
                <w:szCs w:val="20"/>
                <w:lang w:eastAsia="fr-FR"/>
              </w:rPr>
              <w:t>Dont préparation pour sauce (SH 2103)</w:t>
            </w:r>
          </w:p>
        </w:tc>
        <w:tc>
          <w:tcPr>
            <w:tcW w:w="2835" w:type="dxa"/>
          </w:tcPr>
          <w:p w14:paraId="6894F4C6" w14:textId="77777777" w:rsidR="000E42AF"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2 980 667</w:t>
            </w:r>
          </w:p>
        </w:tc>
      </w:tr>
      <w:tr w:rsidR="000E42AF" w:rsidRPr="00552444" w14:paraId="78B4458D" w14:textId="77777777" w:rsidTr="006D067C">
        <w:trPr>
          <w:trHeight w:val="315"/>
        </w:trPr>
        <w:tc>
          <w:tcPr>
            <w:tcW w:w="6799" w:type="dxa"/>
            <w:noWrap/>
          </w:tcPr>
          <w:p w14:paraId="6B63B15F" w14:textId="77777777" w:rsidR="000E42AF" w:rsidRDefault="000E42AF" w:rsidP="006D067C">
            <w:pPr>
              <w:ind w:left="708"/>
              <w:rPr>
                <w:rFonts w:ascii="Marianne" w:eastAsia="Times New Roman" w:hAnsi="Marianne" w:cs="Calibri"/>
                <w:i/>
                <w:iCs/>
                <w:color w:val="000000"/>
                <w:sz w:val="20"/>
                <w:szCs w:val="20"/>
                <w:lang w:eastAsia="fr-FR"/>
              </w:rPr>
            </w:pPr>
            <w:r>
              <w:rPr>
                <w:rFonts w:ascii="Marianne" w:eastAsia="Times New Roman" w:hAnsi="Marianne" w:cs="Calibri"/>
                <w:i/>
                <w:iCs/>
                <w:color w:val="000000"/>
                <w:sz w:val="20"/>
                <w:szCs w:val="20"/>
                <w:lang w:eastAsia="fr-FR"/>
              </w:rPr>
              <w:t>Dont pâtes alimentaires (SH 1902)</w:t>
            </w:r>
          </w:p>
        </w:tc>
        <w:tc>
          <w:tcPr>
            <w:tcW w:w="2835" w:type="dxa"/>
          </w:tcPr>
          <w:p w14:paraId="6A98885D" w14:textId="77777777" w:rsidR="000E42AF"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1 805 260</w:t>
            </w:r>
          </w:p>
        </w:tc>
      </w:tr>
      <w:tr w:rsidR="000E42AF" w:rsidRPr="00EA13C4" w14:paraId="4CA289A9" w14:textId="77777777" w:rsidTr="006D067C">
        <w:trPr>
          <w:trHeight w:val="315"/>
        </w:trPr>
        <w:tc>
          <w:tcPr>
            <w:tcW w:w="6799" w:type="dxa"/>
            <w:noWrap/>
            <w:hideMark/>
          </w:tcPr>
          <w:p w14:paraId="36DD3666"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Vins et spiritueux</w:t>
            </w:r>
          </w:p>
        </w:tc>
        <w:tc>
          <w:tcPr>
            <w:tcW w:w="2835" w:type="dxa"/>
          </w:tcPr>
          <w:p w14:paraId="5F7CAA6A"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39 626 989</w:t>
            </w:r>
          </w:p>
        </w:tc>
      </w:tr>
      <w:tr w:rsidR="000E42AF" w:rsidRPr="00552444" w14:paraId="096D89F6" w14:textId="77777777" w:rsidTr="006D067C">
        <w:trPr>
          <w:trHeight w:val="315"/>
        </w:trPr>
        <w:tc>
          <w:tcPr>
            <w:tcW w:w="6799" w:type="dxa"/>
            <w:noWrap/>
          </w:tcPr>
          <w:p w14:paraId="1287FA7B"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vins (SH 2204)</w:t>
            </w:r>
          </w:p>
        </w:tc>
        <w:tc>
          <w:tcPr>
            <w:tcW w:w="2835" w:type="dxa"/>
          </w:tcPr>
          <w:p w14:paraId="05A0EB3F"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23 123 974</w:t>
            </w:r>
          </w:p>
        </w:tc>
      </w:tr>
      <w:tr w:rsidR="000E42AF" w:rsidRPr="00552444" w14:paraId="57D40642" w14:textId="77777777" w:rsidTr="006D067C">
        <w:trPr>
          <w:trHeight w:val="315"/>
        </w:trPr>
        <w:tc>
          <w:tcPr>
            <w:tcW w:w="6799" w:type="dxa"/>
            <w:noWrap/>
          </w:tcPr>
          <w:p w14:paraId="4A524D13" w14:textId="77777777" w:rsidR="000E42AF" w:rsidRPr="00552444" w:rsidRDefault="000E42AF" w:rsidP="006D067C">
            <w:pPr>
              <w:ind w:left="708"/>
              <w:rPr>
                <w:rFonts w:ascii="Marianne" w:eastAsia="Times New Roman" w:hAnsi="Marianne" w:cs="Calibri"/>
                <w:i/>
                <w:iCs/>
                <w:color w:val="000000"/>
                <w:sz w:val="20"/>
                <w:szCs w:val="20"/>
                <w:lang w:eastAsia="fr-FR"/>
              </w:rPr>
            </w:pPr>
            <w:r>
              <w:rPr>
                <w:rFonts w:ascii="Marianne" w:eastAsia="Times New Roman" w:hAnsi="Marianne" w:cs="Calibri"/>
                <w:i/>
                <w:iCs/>
                <w:color w:val="000000"/>
                <w:sz w:val="20"/>
                <w:szCs w:val="20"/>
                <w:lang w:eastAsia="fr-FR"/>
              </w:rPr>
              <w:t>Dont bières (SH 2203)</w:t>
            </w:r>
          </w:p>
        </w:tc>
        <w:tc>
          <w:tcPr>
            <w:tcW w:w="2835" w:type="dxa"/>
          </w:tcPr>
          <w:p w14:paraId="5263C045" w14:textId="77777777" w:rsidR="000E42AF"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13 999 397</w:t>
            </w:r>
          </w:p>
        </w:tc>
      </w:tr>
      <w:tr w:rsidR="000E42AF" w:rsidRPr="00552444" w14:paraId="3CB37A12" w14:textId="77777777" w:rsidTr="006D067C">
        <w:trPr>
          <w:trHeight w:val="315"/>
        </w:trPr>
        <w:tc>
          <w:tcPr>
            <w:tcW w:w="6799" w:type="dxa"/>
            <w:noWrap/>
          </w:tcPr>
          <w:p w14:paraId="7C010118"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spiritueux (SH 220</w:t>
            </w:r>
            <w:r>
              <w:rPr>
                <w:rFonts w:ascii="Marianne" w:eastAsia="Times New Roman" w:hAnsi="Marianne" w:cs="Calibri"/>
                <w:i/>
                <w:iCs/>
                <w:color w:val="000000"/>
                <w:sz w:val="20"/>
                <w:szCs w:val="20"/>
                <w:lang w:eastAsia="fr-FR"/>
              </w:rPr>
              <w:t>8</w:t>
            </w:r>
            <w:r w:rsidRPr="00552444">
              <w:rPr>
                <w:rFonts w:ascii="Marianne" w:eastAsia="Times New Roman" w:hAnsi="Marianne" w:cs="Calibri"/>
                <w:i/>
                <w:iCs/>
                <w:color w:val="000000"/>
                <w:sz w:val="20"/>
                <w:szCs w:val="20"/>
                <w:lang w:eastAsia="fr-FR"/>
              </w:rPr>
              <w:t>)</w:t>
            </w:r>
          </w:p>
        </w:tc>
        <w:tc>
          <w:tcPr>
            <w:tcW w:w="2835" w:type="dxa"/>
          </w:tcPr>
          <w:p w14:paraId="4D93DDDE"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2 468 951</w:t>
            </w:r>
          </w:p>
        </w:tc>
      </w:tr>
      <w:tr w:rsidR="000E42AF" w:rsidRPr="00EA13C4" w14:paraId="087C9B55" w14:textId="77777777" w:rsidTr="006D067C">
        <w:trPr>
          <w:trHeight w:val="315"/>
        </w:trPr>
        <w:tc>
          <w:tcPr>
            <w:tcW w:w="6799" w:type="dxa"/>
            <w:noWrap/>
            <w:hideMark/>
          </w:tcPr>
          <w:p w14:paraId="4C5ED802"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Laits et produits laitiers</w:t>
            </w:r>
          </w:p>
        </w:tc>
        <w:tc>
          <w:tcPr>
            <w:tcW w:w="2835" w:type="dxa"/>
          </w:tcPr>
          <w:p w14:paraId="6D91ABE6"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20 771 515</w:t>
            </w:r>
          </w:p>
        </w:tc>
      </w:tr>
      <w:tr w:rsidR="000E42AF" w:rsidRPr="00552444" w14:paraId="7978D9C1" w14:textId="77777777" w:rsidTr="006D067C">
        <w:trPr>
          <w:trHeight w:val="315"/>
        </w:trPr>
        <w:tc>
          <w:tcPr>
            <w:tcW w:w="6799" w:type="dxa"/>
            <w:noWrap/>
          </w:tcPr>
          <w:p w14:paraId="2F5FBA43"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lait concentré (SH 0402)</w:t>
            </w:r>
          </w:p>
        </w:tc>
        <w:tc>
          <w:tcPr>
            <w:tcW w:w="2835" w:type="dxa"/>
          </w:tcPr>
          <w:p w14:paraId="06796087" w14:textId="77777777" w:rsidR="000E42AF" w:rsidRPr="00552444" w:rsidRDefault="000E42AF" w:rsidP="006D067C">
            <w:pPr>
              <w:jc w:val="right"/>
              <w:rPr>
                <w:rFonts w:ascii="Marianne" w:hAnsi="Marianne" w:cs="Calibri"/>
                <w:i/>
                <w:iCs/>
                <w:color w:val="000000"/>
                <w:sz w:val="20"/>
                <w:szCs w:val="20"/>
              </w:rPr>
            </w:pPr>
            <w:r w:rsidRPr="00552444">
              <w:rPr>
                <w:rFonts w:ascii="Marianne" w:hAnsi="Marianne" w:cs="Calibri"/>
                <w:i/>
                <w:iCs/>
                <w:color w:val="000000"/>
                <w:sz w:val="20"/>
                <w:szCs w:val="20"/>
              </w:rPr>
              <w:t xml:space="preserve">20 </w:t>
            </w:r>
            <w:r>
              <w:rPr>
                <w:rFonts w:ascii="Marianne" w:hAnsi="Marianne" w:cs="Calibri"/>
                <w:i/>
                <w:iCs/>
                <w:color w:val="000000"/>
                <w:sz w:val="20"/>
                <w:szCs w:val="20"/>
              </w:rPr>
              <w:t>60</w:t>
            </w:r>
            <w:r w:rsidRPr="00552444">
              <w:rPr>
                <w:rFonts w:ascii="Marianne" w:hAnsi="Marianne" w:cs="Calibri"/>
                <w:i/>
                <w:iCs/>
                <w:color w:val="000000"/>
                <w:sz w:val="20"/>
                <w:szCs w:val="20"/>
              </w:rPr>
              <w:t xml:space="preserve">1 </w:t>
            </w:r>
            <w:r>
              <w:rPr>
                <w:rFonts w:ascii="Marianne" w:hAnsi="Marianne" w:cs="Calibri"/>
                <w:i/>
                <w:iCs/>
                <w:color w:val="000000"/>
                <w:sz w:val="20"/>
                <w:szCs w:val="20"/>
              </w:rPr>
              <w:t>990</w:t>
            </w:r>
          </w:p>
        </w:tc>
      </w:tr>
      <w:tr w:rsidR="000E42AF" w:rsidRPr="00EA13C4" w14:paraId="79372A9C" w14:textId="77777777" w:rsidTr="006D067C">
        <w:trPr>
          <w:trHeight w:val="315"/>
        </w:trPr>
        <w:tc>
          <w:tcPr>
            <w:tcW w:w="6799" w:type="dxa"/>
            <w:noWrap/>
            <w:hideMark/>
          </w:tcPr>
          <w:p w14:paraId="2C46C297"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Céréales</w:t>
            </w:r>
          </w:p>
        </w:tc>
        <w:tc>
          <w:tcPr>
            <w:tcW w:w="2835" w:type="dxa"/>
            <w:vAlign w:val="bottom"/>
          </w:tcPr>
          <w:p w14:paraId="31A3EFE6"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9 993 041</w:t>
            </w:r>
          </w:p>
        </w:tc>
      </w:tr>
      <w:tr w:rsidR="000E42AF" w:rsidRPr="00552444" w14:paraId="15AFBA47" w14:textId="77777777" w:rsidTr="006D067C">
        <w:trPr>
          <w:trHeight w:val="315"/>
        </w:trPr>
        <w:tc>
          <w:tcPr>
            <w:tcW w:w="6799" w:type="dxa"/>
            <w:noWrap/>
          </w:tcPr>
          <w:p w14:paraId="546A9DA1"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 xml:space="preserve">Dont </w:t>
            </w:r>
            <w:r>
              <w:rPr>
                <w:rFonts w:ascii="Marianne" w:eastAsia="Times New Roman" w:hAnsi="Marianne" w:cs="Calibri"/>
                <w:i/>
                <w:iCs/>
                <w:color w:val="000000"/>
                <w:sz w:val="20"/>
                <w:szCs w:val="20"/>
                <w:lang w:eastAsia="fr-FR"/>
              </w:rPr>
              <w:t xml:space="preserve">farine de froment </w:t>
            </w:r>
            <w:r w:rsidRPr="00552444">
              <w:rPr>
                <w:rFonts w:ascii="Marianne" w:eastAsia="Times New Roman" w:hAnsi="Marianne" w:cs="Calibri"/>
                <w:i/>
                <w:iCs/>
                <w:color w:val="000000"/>
                <w:sz w:val="20"/>
                <w:szCs w:val="20"/>
                <w:lang w:eastAsia="fr-FR"/>
              </w:rPr>
              <w:t>(SH 1</w:t>
            </w:r>
            <w:r>
              <w:rPr>
                <w:rFonts w:ascii="Marianne" w:eastAsia="Times New Roman" w:hAnsi="Marianne" w:cs="Calibri"/>
                <w:i/>
                <w:iCs/>
                <w:color w:val="000000"/>
                <w:sz w:val="20"/>
                <w:szCs w:val="20"/>
                <w:lang w:eastAsia="fr-FR"/>
              </w:rPr>
              <w:t>101</w:t>
            </w:r>
            <w:r w:rsidRPr="00552444">
              <w:rPr>
                <w:rFonts w:ascii="Marianne" w:eastAsia="Times New Roman" w:hAnsi="Marianne" w:cs="Calibri"/>
                <w:i/>
                <w:iCs/>
                <w:color w:val="000000"/>
                <w:sz w:val="20"/>
                <w:szCs w:val="20"/>
                <w:lang w:eastAsia="fr-FR"/>
              </w:rPr>
              <w:t>)</w:t>
            </w:r>
          </w:p>
        </w:tc>
        <w:tc>
          <w:tcPr>
            <w:tcW w:w="2835" w:type="dxa"/>
            <w:vAlign w:val="bottom"/>
          </w:tcPr>
          <w:p w14:paraId="192E062D"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2 776 779</w:t>
            </w:r>
          </w:p>
        </w:tc>
      </w:tr>
      <w:tr w:rsidR="000E42AF" w:rsidRPr="00552444" w14:paraId="229BCA4D" w14:textId="77777777" w:rsidTr="006D067C">
        <w:trPr>
          <w:trHeight w:val="315"/>
        </w:trPr>
        <w:tc>
          <w:tcPr>
            <w:tcW w:w="6799" w:type="dxa"/>
            <w:noWrap/>
          </w:tcPr>
          <w:p w14:paraId="1189E5AD"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riz (SH 1006)</w:t>
            </w:r>
          </w:p>
        </w:tc>
        <w:tc>
          <w:tcPr>
            <w:tcW w:w="2835" w:type="dxa"/>
          </w:tcPr>
          <w:p w14:paraId="723CD3F1"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2 505 300</w:t>
            </w:r>
          </w:p>
        </w:tc>
      </w:tr>
      <w:tr w:rsidR="000E42AF" w:rsidRPr="00552444" w14:paraId="4E577444" w14:textId="77777777" w:rsidTr="006D067C">
        <w:trPr>
          <w:trHeight w:val="315"/>
        </w:trPr>
        <w:tc>
          <w:tcPr>
            <w:tcW w:w="6799" w:type="dxa"/>
            <w:noWrap/>
          </w:tcPr>
          <w:p w14:paraId="4DACA84A"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 xml:space="preserve">Dont </w:t>
            </w:r>
            <w:r>
              <w:rPr>
                <w:rFonts w:ascii="Marianne" w:eastAsia="Times New Roman" w:hAnsi="Marianne" w:cs="Calibri"/>
                <w:i/>
                <w:iCs/>
                <w:color w:val="000000"/>
                <w:sz w:val="20"/>
                <w:szCs w:val="20"/>
                <w:lang w:eastAsia="fr-FR"/>
              </w:rPr>
              <w:t xml:space="preserve">semoules et gruaux </w:t>
            </w:r>
            <w:r w:rsidRPr="00552444">
              <w:rPr>
                <w:rFonts w:ascii="Marianne" w:eastAsia="Times New Roman" w:hAnsi="Marianne" w:cs="Calibri"/>
                <w:i/>
                <w:iCs/>
                <w:color w:val="000000"/>
                <w:sz w:val="20"/>
                <w:szCs w:val="20"/>
                <w:lang w:eastAsia="fr-FR"/>
              </w:rPr>
              <w:t>(SH 110</w:t>
            </w:r>
            <w:r>
              <w:rPr>
                <w:rFonts w:ascii="Marianne" w:eastAsia="Times New Roman" w:hAnsi="Marianne" w:cs="Calibri"/>
                <w:i/>
                <w:iCs/>
                <w:color w:val="000000"/>
                <w:sz w:val="20"/>
                <w:szCs w:val="20"/>
                <w:lang w:eastAsia="fr-FR"/>
              </w:rPr>
              <w:t>3</w:t>
            </w:r>
            <w:r w:rsidRPr="00552444">
              <w:rPr>
                <w:rFonts w:ascii="Marianne" w:eastAsia="Times New Roman" w:hAnsi="Marianne" w:cs="Calibri"/>
                <w:i/>
                <w:iCs/>
                <w:color w:val="000000"/>
                <w:sz w:val="20"/>
                <w:szCs w:val="20"/>
                <w:lang w:eastAsia="fr-FR"/>
              </w:rPr>
              <w:t>)</w:t>
            </w:r>
          </w:p>
        </w:tc>
        <w:tc>
          <w:tcPr>
            <w:tcW w:w="2835" w:type="dxa"/>
            <w:vAlign w:val="bottom"/>
          </w:tcPr>
          <w:p w14:paraId="73C10130"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2 247 556</w:t>
            </w:r>
          </w:p>
        </w:tc>
      </w:tr>
      <w:tr w:rsidR="000E42AF" w:rsidRPr="00EA13C4" w14:paraId="6BD74751" w14:textId="77777777" w:rsidTr="006D067C">
        <w:trPr>
          <w:trHeight w:val="315"/>
        </w:trPr>
        <w:tc>
          <w:tcPr>
            <w:tcW w:w="6799" w:type="dxa"/>
            <w:noWrap/>
            <w:hideMark/>
          </w:tcPr>
          <w:p w14:paraId="0C1428DA"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Sucre</w:t>
            </w:r>
          </w:p>
        </w:tc>
        <w:tc>
          <w:tcPr>
            <w:tcW w:w="2835" w:type="dxa"/>
          </w:tcPr>
          <w:p w14:paraId="7C6FE5FE"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6 907 839</w:t>
            </w:r>
          </w:p>
        </w:tc>
      </w:tr>
      <w:tr w:rsidR="000E42AF" w:rsidRPr="00552444" w14:paraId="3BA08C90" w14:textId="77777777" w:rsidTr="006D067C">
        <w:trPr>
          <w:trHeight w:val="315"/>
        </w:trPr>
        <w:tc>
          <w:tcPr>
            <w:tcW w:w="6799" w:type="dxa"/>
            <w:noWrap/>
          </w:tcPr>
          <w:p w14:paraId="3CD7ECFB"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sucre de canne ou de betterave (SH 1701)</w:t>
            </w:r>
          </w:p>
        </w:tc>
        <w:tc>
          <w:tcPr>
            <w:tcW w:w="2835" w:type="dxa"/>
          </w:tcPr>
          <w:p w14:paraId="42AB2B15"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6 890 835</w:t>
            </w:r>
          </w:p>
        </w:tc>
      </w:tr>
      <w:tr w:rsidR="000E42AF" w:rsidRPr="00EA13C4" w14:paraId="24C7337C" w14:textId="77777777" w:rsidTr="006D067C">
        <w:trPr>
          <w:trHeight w:val="315"/>
        </w:trPr>
        <w:tc>
          <w:tcPr>
            <w:tcW w:w="6799" w:type="dxa"/>
            <w:noWrap/>
            <w:hideMark/>
          </w:tcPr>
          <w:p w14:paraId="193D322D"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Fruits et légumes</w:t>
            </w:r>
          </w:p>
        </w:tc>
        <w:tc>
          <w:tcPr>
            <w:tcW w:w="2835" w:type="dxa"/>
          </w:tcPr>
          <w:p w14:paraId="5BBAB539"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5 577 665</w:t>
            </w:r>
          </w:p>
        </w:tc>
      </w:tr>
      <w:tr w:rsidR="000E42AF" w:rsidRPr="00EA13C4" w14:paraId="0B3C9D0D" w14:textId="77777777" w:rsidTr="006D067C">
        <w:trPr>
          <w:trHeight w:val="315"/>
        </w:trPr>
        <w:tc>
          <w:tcPr>
            <w:tcW w:w="6799" w:type="dxa"/>
            <w:noWrap/>
          </w:tcPr>
          <w:p w14:paraId="090EE57B" w14:textId="77777777" w:rsidR="000E42AF" w:rsidRPr="00D22A9C" w:rsidRDefault="000E42AF" w:rsidP="006D067C">
            <w:pPr>
              <w:ind w:left="708"/>
              <w:rPr>
                <w:rFonts w:ascii="Marianne" w:eastAsia="Times New Roman" w:hAnsi="Marianne" w:cs="Calibri"/>
                <w:i/>
                <w:iCs/>
                <w:color w:val="000000"/>
                <w:sz w:val="20"/>
                <w:szCs w:val="20"/>
                <w:lang w:eastAsia="fr-FR"/>
              </w:rPr>
            </w:pPr>
            <w:r w:rsidRPr="00D22A9C">
              <w:rPr>
                <w:rFonts w:ascii="Marianne" w:eastAsia="Times New Roman" w:hAnsi="Marianne" w:cs="Calibri"/>
                <w:i/>
                <w:iCs/>
                <w:color w:val="000000"/>
                <w:sz w:val="20"/>
                <w:szCs w:val="20"/>
                <w:lang w:eastAsia="fr-FR"/>
              </w:rPr>
              <w:t>Dont noix de coco (SH 0801)</w:t>
            </w:r>
          </w:p>
        </w:tc>
        <w:tc>
          <w:tcPr>
            <w:tcW w:w="2835" w:type="dxa"/>
          </w:tcPr>
          <w:p w14:paraId="1B865376" w14:textId="77777777" w:rsidR="000E42AF" w:rsidRDefault="000E42AF" w:rsidP="006D067C">
            <w:pPr>
              <w:jc w:val="right"/>
              <w:rPr>
                <w:rFonts w:ascii="Marianne" w:hAnsi="Marianne" w:cs="Calibri"/>
                <w:color w:val="000000"/>
                <w:sz w:val="20"/>
                <w:szCs w:val="20"/>
              </w:rPr>
            </w:pPr>
            <w:r>
              <w:rPr>
                <w:rFonts w:ascii="Marianne" w:hAnsi="Marianne" w:cs="Calibri"/>
                <w:color w:val="000000"/>
                <w:sz w:val="20"/>
                <w:szCs w:val="20"/>
              </w:rPr>
              <w:t>2 248 082</w:t>
            </w:r>
          </w:p>
        </w:tc>
      </w:tr>
      <w:tr w:rsidR="000E42AF" w:rsidRPr="00552444" w14:paraId="10970FA6" w14:textId="77777777" w:rsidTr="006D067C">
        <w:trPr>
          <w:trHeight w:val="315"/>
        </w:trPr>
        <w:tc>
          <w:tcPr>
            <w:tcW w:w="6799" w:type="dxa"/>
            <w:noWrap/>
          </w:tcPr>
          <w:p w14:paraId="2F61C4A1"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tomates préparées ou conservées (SH 2002)</w:t>
            </w:r>
          </w:p>
        </w:tc>
        <w:tc>
          <w:tcPr>
            <w:tcW w:w="2835" w:type="dxa"/>
          </w:tcPr>
          <w:p w14:paraId="54C12436"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1 001 050</w:t>
            </w:r>
          </w:p>
        </w:tc>
      </w:tr>
      <w:tr w:rsidR="000E42AF" w:rsidRPr="00EA13C4" w14:paraId="615D5A76" w14:textId="77777777" w:rsidTr="006D067C">
        <w:trPr>
          <w:trHeight w:val="315"/>
        </w:trPr>
        <w:tc>
          <w:tcPr>
            <w:tcW w:w="6799" w:type="dxa"/>
            <w:noWrap/>
            <w:hideMark/>
          </w:tcPr>
          <w:p w14:paraId="0E401997"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Pêche et aquaculture</w:t>
            </w:r>
          </w:p>
        </w:tc>
        <w:tc>
          <w:tcPr>
            <w:tcW w:w="2835" w:type="dxa"/>
            <w:vAlign w:val="bottom"/>
          </w:tcPr>
          <w:p w14:paraId="4C2277DE"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1 747 855</w:t>
            </w:r>
          </w:p>
        </w:tc>
      </w:tr>
      <w:tr w:rsidR="000E42AF" w:rsidRPr="00552444" w14:paraId="73D0B5AD" w14:textId="77777777" w:rsidTr="006D067C">
        <w:trPr>
          <w:trHeight w:val="315"/>
        </w:trPr>
        <w:tc>
          <w:tcPr>
            <w:tcW w:w="6799" w:type="dxa"/>
            <w:noWrap/>
          </w:tcPr>
          <w:p w14:paraId="55644066"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 xml:space="preserve">Dont </w:t>
            </w:r>
            <w:r>
              <w:rPr>
                <w:rFonts w:ascii="Marianne" w:eastAsia="Times New Roman" w:hAnsi="Marianne" w:cs="Calibri"/>
                <w:i/>
                <w:iCs/>
                <w:color w:val="000000"/>
                <w:sz w:val="20"/>
                <w:szCs w:val="20"/>
                <w:lang w:eastAsia="fr-FR"/>
              </w:rPr>
              <w:t xml:space="preserve">filet de poisson </w:t>
            </w:r>
            <w:r w:rsidRPr="00552444">
              <w:rPr>
                <w:rFonts w:ascii="Marianne" w:eastAsia="Times New Roman" w:hAnsi="Marianne" w:cs="Calibri"/>
                <w:i/>
                <w:iCs/>
                <w:color w:val="000000"/>
                <w:sz w:val="20"/>
                <w:szCs w:val="20"/>
                <w:lang w:eastAsia="fr-FR"/>
              </w:rPr>
              <w:t>(SH 030</w:t>
            </w:r>
            <w:r>
              <w:rPr>
                <w:rFonts w:ascii="Marianne" w:eastAsia="Times New Roman" w:hAnsi="Marianne" w:cs="Calibri"/>
                <w:i/>
                <w:iCs/>
                <w:color w:val="000000"/>
                <w:sz w:val="20"/>
                <w:szCs w:val="20"/>
                <w:lang w:eastAsia="fr-FR"/>
              </w:rPr>
              <w:t>4</w:t>
            </w:r>
            <w:r w:rsidRPr="00552444">
              <w:rPr>
                <w:rFonts w:ascii="Marianne" w:eastAsia="Times New Roman" w:hAnsi="Marianne" w:cs="Calibri"/>
                <w:i/>
                <w:iCs/>
                <w:color w:val="000000"/>
                <w:sz w:val="20"/>
                <w:szCs w:val="20"/>
                <w:lang w:eastAsia="fr-FR"/>
              </w:rPr>
              <w:t>)</w:t>
            </w:r>
          </w:p>
        </w:tc>
        <w:tc>
          <w:tcPr>
            <w:tcW w:w="2835" w:type="dxa"/>
            <w:vAlign w:val="bottom"/>
          </w:tcPr>
          <w:p w14:paraId="0207799A"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1 390 916</w:t>
            </w:r>
          </w:p>
        </w:tc>
      </w:tr>
      <w:tr w:rsidR="000E42AF" w:rsidRPr="00EA13C4" w14:paraId="641A6FA0" w14:textId="77777777" w:rsidTr="006D067C">
        <w:trPr>
          <w:trHeight w:val="315"/>
        </w:trPr>
        <w:tc>
          <w:tcPr>
            <w:tcW w:w="6799" w:type="dxa"/>
            <w:noWrap/>
            <w:hideMark/>
          </w:tcPr>
          <w:p w14:paraId="28D6988D"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Viande et produits carnés</w:t>
            </w:r>
          </w:p>
        </w:tc>
        <w:tc>
          <w:tcPr>
            <w:tcW w:w="2835" w:type="dxa"/>
            <w:vAlign w:val="bottom"/>
          </w:tcPr>
          <w:p w14:paraId="4BA71697"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1 540 954</w:t>
            </w:r>
          </w:p>
        </w:tc>
      </w:tr>
      <w:tr w:rsidR="000E42AF" w:rsidRPr="00EA13C4" w14:paraId="3CA0BE8B" w14:textId="77777777" w:rsidTr="006D067C">
        <w:trPr>
          <w:trHeight w:val="315"/>
        </w:trPr>
        <w:tc>
          <w:tcPr>
            <w:tcW w:w="6799" w:type="dxa"/>
            <w:noWrap/>
            <w:hideMark/>
          </w:tcPr>
          <w:p w14:paraId="653945FB"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Animaux vivants et génétique</w:t>
            </w:r>
          </w:p>
        </w:tc>
        <w:tc>
          <w:tcPr>
            <w:tcW w:w="2835" w:type="dxa"/>
            <w:vAlign w:val="bottom"/>
          </w:tcPr>
          <w:p w14:paraId="613EADDC"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3 812</w:t>
            </w:r>
          </w:p>
        </w:tc>
      </w:tr>
      <w:tr w:rsidR="000E42AF" w:rsidRPr="00EA13C4" w14:paraId="54249F03" w14:textId="77777777" w:rsidTr="006D067C">
        <w:trPr>
          <w:trHeight w:val="315"/>
        </w:trPr>
        <w:tc>
          <w:tcPr>
            <w:tcW w:w="6799" w:type="dxa"/>
            <w:noWrap/>
            <w:hideMark/>
          </w:tcPr>
          <w:p w14:paraId="7DBAAA5E" w14:textId="77777777" w:rsidR="000E42AF" w:rsidRPr="00EA13C4" w:rsidRDefault="000E42AF" w:rsidP="006D067C">
            <w:pPr>
              <w:rPr>
                <w:rFonts w:ascii="Marianne" w:eastAsia="Times New Roman" w:hAnsi="Marianne" w:cs="Calibri"/>
                <w:color w:val="000000"/>
                <w:sz w:val="20"/>
                <w:szCs w:val="20"/>
                <w:lang w:eastAsia="fr-FR"/>
              </w:rPr>
            </w:pPr>
            <w:r w:rsidRPr="00EA13C4">
              <w:rPr>
                <w:rFonts w:ascii="Marianne" w:eastAsia="Times New Roman" w:hAnsi="Marianne" w:cs="Calibri"/>
                <w:color w:val="000000"/>
                <w:sz w:val="20"/>
                <w:szCs w:val="20"/>
                <w:lang w:eastAsia="fr-FR"/>
              </w:rPr>
              <w:t>Autres</w:t>
            </w:r>
          </w:p>
        </w:tc>
        <w:tc>
          <w:tcPr>
            <w:tcW w:w="2835" w:type="dxa"/>
            <w:vAlign w:val="bottom"/>
          </w:tcPr>
          <w:p w14:paraId="7D26CA1C" w14:textId="77777777" w:rsidR="000E42AF" w:rsidRPr="00552444" w:rsidRDefault="000E42AF" w:rsidP="006D067C">
            <w:pPr>
              <w:jc w:val="right"/>
              <w:rPr>
                <w:rFonts w:ascii="Marianne" w:eastAsia="Times New Roman" w:hAnsi="Marianne" w:cs="Times New Roman"/>
                <w:sz w:val="20"/>
                <w:szCs w:val="20"/>
                <w:lang w:eastAsia="fr-FR"/>
              </w:rPr>
            </w:pPr>
            <w:r>
              <w:rPr>
                <w:rFonts w:ascii="Marianne" w:hAnsi="Marianne" w:cs="Calibri"/>
                <w:color w:val="000000"/>
                <w:sz w:val="20"/>
                <w:szCs w:val="20"/>
              </w:rPr>
              <w:t>73 546 372</w:t>
            </w:r>
          </w:p>
        </w:tc>
      </w:tr>
      <w:tr w:rsidR="000E42AF" w:rsidRPr="00552444" w14:paraId="1C8A0829" w14:textId="77777777" w:rsidTr="006D067C">
        <w:trPr>
          <w:trHeight w:val="315"/>
        </w:trPr>
        <w:tc>
          <w:tcPr>
            <w:tcW w:w="6799" w:type="dxa"/>
            <w:noWrap/>
          </w:tcPr>
          <w:p w14:paraId="1BF52643"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 xml:space="preserve">Dont </w:t>
            </w:r>
            <w:r>
              <w:rPr>
                <w:rFonts w:ascii="Marianne" w:eastAsia="Times New Roman" w:hAnsi="Marianne" w:cs="Calibri"/>
                <w:i/>
                <w:iCs/>
                <w:color w:val="000000"/>
                <w:sz w:val="20"/>
                <w:szCs w:val="20"/>
                <w:lang w:eastAsia="fr-FR"/>
              </w:rPr>
              <w:t xml:space="preserve">cacao en fèves </w:t>
            </w:r>
            <w:r w:rsidRPr="00552444">
              <w:rPr>
                <w:rFonts w:ascii="Marianne" w:eastAsia="Times New Roman" w:hAnsi="Marianne" w:cs="Calibri"/>
                <w:i/>
                <w:iCs/>
                <w:color w:val="000000"/>
                <w:sz w:val="20"/>
                <w:szCs w:val="20"/>
                <w:lang w:eastAsia="fr-FR"/>
              </w:rPr>
              <w:t xml:space="preserve">(SH </w:t>
            </w:r>
            <w:r>
              <w:rPr>
                <w:rFonts w:ascii="Marianne" w:eastAsia="Times New Roman" w:hAnsi="Marianne" w:cs="Calibri"/>
                <w:i/>
                <w:iCs/>
                <w:color w:val="000000"/>
                <w:sz w:val="20"/>
                <w:szCs w:val="20"/>
                <w:lang w:eastAsia="fr-FR"/>
              </w:rPr>
              <w:t>1801</w:t>
            </w:r>
            <w:r w:rsidRPr="00552444">
              <w:rPr>
                <w:rFonts w:ascii="Marianne" w:eastAsia="Times New Roman" w:hAnsi="Marianne" w:cs="Calibri"/>
                <w:i/>
                <w:iCs/>
                <w:color w:val="000000"/>
                <w:sz w:val="20"/>
                <w:szCs w:val="20"/>
                <w:lang w:eastAsia="fr-FR"/>
              </w:rPr>
              <w:t>)</w:t>
            </w:r>
          </w:p>
        </w:tc>
        <w:tc>
          <w:tcPr>
            <w:tcW w:w="2835" w:type="dxa"/>
            <w:vAlign w:val="bottom"/>
          </w:tcPr>
          <w:p w14:paraId="26C98898"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44 742 641</w:t>
            </w:r>
          </w:p>
        </w:tc>
      </w:tr>
      <w:tr w:rsidR="000E42AF" w:rsidRPr="00552444" w14:paraId="3FBC5E89" w14:textId="77777777" w:rsidTr="006D067C">
        <w:trPr>
          <w:trHeight w:val="315"/>
        </w:trPr>
        <w:tc>
          <w:tcPr>
            <w:tcW w:w="6799" w:type="dxa"/>
            <w:noWrap/>
          </w:tcPr>
          <w:p w14:paraId="7667D7AC"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Dont graine</w:t>
            </w:r>
            <w:r>
              <w:rPr>
                <w:rFonts w:ascii="Marianne" w:eastAsia="Times New Roman" w:hAnsi="Marianne" w:cs="Calibri"/>
                <w:i/>
                <w:iCs/>
                <w:color w:val="000000"/>
                <w:sz w:val="20"/>
                <w:szCs w:val="20"/>
                <w:lang w:eastAsia="fr-FR"/>
              </w:rPr>
              <w:t>s</w:t>
            </w:r>
            <w:r w:rsidRPr="00552444">
              <w:rPr>
                <w:rFonts w:ascii="Marianne" w:eastAsia="Times New Roman" w:hAnsi="Marianne" w:cs="Calibri"/>
                <w:i/>
                <w:iCs/>
                <w:color w:val="000000"/>
                <w:sz w:val="20"/>
                <w:szCs w:val="20"/>
                <w:lang w:eastAsia="fr-FR"/>
              </w:rPr>
              <w:t xml:space="preserve"> de sésame (SH 120740)</w:t>
            </w:r>
          </w:p>
        </w:tc>
        <w:tc>
          <w:tcPr>
            <w:tcW w:w="2835" w:type="dxa"/>
            <w:vAlign w:val="bottom"/>
          </w:tcPr>
          <w:p w14:paraId="08C9C5F8"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9 858 576</w:t>
            </w:r>
          </w:p>
        </w:tc>
      </w:tr>
      <w:tr w:rsidR="000E42AF" w:rsidRPr="00552444" w14:paraId="03C86910" w14:textId="77777777" w:rsidTr="006D067C">
        <w:trPr>
          <w:trHeight w:val="315"/>
        </w:trPr>
        <w:tc>
          <w:tcPr>
            <w:tcW w:w="6799" w:type="dxa"/>
            <w:noWrap/>
          </w:tcPr>
          <w:p w14:paraId="38838463"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 xml:space="preserve">Dont </w:t>
            </w:r>
            <w:r>
              <w:rPr>
                <w:rFonts w:ascii="Marianne" w:eastAsia="Times New Roman" w:hAnsi="Marianne" w:cs="Calibri"/>
                <w:i/>
                <w:iCs/>
                <w:color w:val="000000"/>
                <w:sz w:val="20"/>
                <w:szCs w:val="20"/>
                <w:lang w:eastAsia="fr-FR"/>
              </w:rPr>
              <w:t xml:space="preserve">semences de soja </w:t>
            </w:r>
            <w:r w:rsidRPr="00552444">
              <w:rPr>
                <w:rFonts w:ascii="Marianne" w:eastAsia="Times New Roman" w:hAnsi="Marianne" w:cs="Calibri"/>
                <w:i/>
                <w:iCs/>
                <w:color w:val="000000"/>
                <w:sz w:val="20"/>
                <w:szCs w:val="20"/>
                <w:lang w:eastAsia="fr-FR"/>
              </w:rPr>
              <w:t xml:space="preserve">(SH </w:t>
            </w:r>
            <w:r>
              <w:rPr>
                <w:rFonts w:ascii="Marianne" w:eastAsia="Times New Roman" w:hAnsi="Marianne" w:cs="Calibri"/>
                <w:i/>
                <w:iCs/>
                <w:color w:val="000000"/>
                <w:sz w:val="20"/>
                <w:szCs w:val="20"/>
                <w:lang w:eastAsia="fr-FR"/>
              </w:rPr>
              <w:t>120110</w:t>
            </w:r>
            <w:r w:rsidRPr="00552444">
              <w:rPr>
                <w:rFonts w:ascii="Marianne" w:eastAsia="Times New Roman" w:hAnsi="Marianne" w:cs="Calibri"/>
                <w:i/>
                <w:iCs/>
                <w:color w:val="000000"/>
                <w:sz w:val="20"/>
                <w:szCs w:val="20"/>
                <w:lang w:eastAsia="fr-FR"/>
              </w:rPr>
              <w:t>)</w:t>
            </w:r>
          </w:p>
        </w:tc>
        <w:tc>
          <w:tcPr>
            <w:tcW w:w="2835" w:type="dxa"/>
            <w:vAlign w:val="bottom"/>
          </w:tcPr>
          <w:p w14:paraId="287AA2E8"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4 292 066</w:t>
            </w:r>
          </w:p>
        </w:tc>
      </w:tr>
      <w:tr w:rsidR="000E42AF" w:rsidRPr="00552444" w14:paraId="6591D373" w14:textId="77777777" w:rsidTr="006D067C">
        <w:trPr>
          <w:trHeight w:val="315"/>
        </w:trPr>
        <w:tc>
          <w:tcPr>
            <w:tcW w:w="6799" w:type="dxa"/>
            <w:noWrap/>
          </w:tcPr>
          <w:p w14:paraId="3A7348EE" w14:textId="77777777" w:rsidR="000E42AF" w:rsidRPr="00552444" w:rsidRDefault="000E42AF" w:rsidP="006D067C">
            <w:pPr>
              <w:ind w:left="708"/>
              <w:rPr>
                <w:rFonts w:ascii="Marianne" w:eastAsia="Times New Roman" w:hAnsi="Marianne" w:cs="Calibri"/>
                <w:i/>
                <w:iCs/>
                <w:color w:val="000000"/>
                <w:sz w:val="20"/>
                <w:szCs w:val="20"/>
                <w:lang w:eastAsia="fr-FR"/>
              </w:rPr>
            </w:pPr>
            <w:r w:rsidRPr="00552444">
              <w:rPr>
                <w:rFonts w:ascii="Marianne" w:eastAsia="Times New Roman" w:hAnsi="Marianne" w:cs="Calibri"/>
                <w:i/>
                <w:iCs/>
                <w:color w:val="000000"/>
                <w:sz w:val="20"/>
                <w:szCs w:val="20"/>
                <w:lang w:eastAsia="fr-FR"/>
              </w:rPr>
              <w:t xml:space="preserve">Dont graines </w:t>
            </w:r>
            <w:r>
              <w:rPr>
                <w:rFonts w:ascii="Marianne" w:eastAsia="Times New Roman" w:hAnsi="Marianne" w:cs="Calibri"/>
                <w:i/>
                <w:iCs/>
                <w:color w:val="000000"/>
                <w:sz w:val="20"/>
                <w:szCs w:val="20"/>
                <w:lang w:eastAsia="fr-FR"/>
              </w:rPr>
              <w:t xml:space="preserve">de coton </w:t>
            </w:r>
            <w:r w:rsidRPr="00552444">
              <w:rPr>
                <w:rFonts w:ascii="Marianne" w:eastAsia="Times New Roman" w:hAnsi="Marianne" w:cs="Calibri"/>
                <w:i/>
                <w:iCs/>
                <w:color w:val="000000"/>
                <w:sz w:val="20"/>
                <w:szCs w:val="20"/>
                <w:lang w:eastAsia="fr-FR"/>
              </w:rPr>
              <w:t>(SH 120</w:t>
            </w:r>
            <w:r>
              <w:rPr>
                <w:rFonts w:ascii="Marianne" w:eastAsia="Times New Roman" w:hAnsi="Marianne" w:cs="Calibri"/>
                <w:i/>
                <w:iCs/>
                <w:color w:val="000000"/>
                <w:sz w:val="20"/>
                <w:szCs w:val="20"/>
                <w:lang w:eastAsia="fr-FR"/>
              </w:rPr>
              <w:t>729</w:t>
            </w:r>
            <w:r w:rsidRPr="00552444">
              <w:rPr>
                <w:rFonts w:ascii="Marianne" w:eastAsia="Times New Roman" w:hAnsi="Marianne" w:cs="Calibri"/>
                <w:i/>
                <w:iCs/>
                <w:color w:val="000000"/>
                <w:sz w:val="20"/>
                <w:szCs w:val="20"/>
                <w:lang w:eastAsia="fr-FR"/>
              </w:rPr>
              <w:t>)</w:t>
            </w:r>
          </w:p>
        </w:tc>
        <w:tc>
          <w:tcPr>
            <w:tcW w:w="2835" w:type="dxa"/>
            <w:vAlign w:val="bottom"/>
          </w:tcPr>
          <w:p w14:paraId="73C19C30" w14:textId="77777777" w:rsidR="000E42AF" w:rsidRPr="00552444" w:rsidRDefault="000E42AF" w:rsidP="006D067C">
            <w:pPr>
              <w:jc w:val="right"/>
              <w:rPr>
                <w:rFonts w:ascii="Marianne" w:hAnsi="Marianne" w:cs="Calibri"/>
                <w:i/>
                <w:iCs/>
                <w:color w:val="000000"/>
                <w:sz w:val="20"/>
                <w:szCs w:val="20"/>
              </w:rPr>
            </w:pPr>
            <w:r>
              <w:rPr>
                <w:rFonts w:ascii="Marianne" w:hAnsi="Marianne" w:cs="Calibri"/>
                <w:i/>
                <w:iCs/>
                <w:color w:val="000000"/>
                <w:sz w:val="20"/>
                <w:szCs w:val="20"/>
              </w:rPr>
              <w:t>2 288 797</w:t>
            </w:r>
          </w:p>
        </w:tc>
      </w:tr>
    </w:tbl>
    <w:p w14:paraId="2669BFEA" w14:textId="77777777" w:rsidR="000E42AF" w:rsidRPr="00552444" w:rsidRDefault="000E42AF" w:rsidP="000E42AF">
      <w:pPr>
        <w:spacing w:after="0" w:line="240" w:lineRule="auto"/>
        <w:jc w:val="center"/>
        <w:rPr>
          <w:rFonts w:ascii="Marianne" w:hAnsi="Marianne" w:cs="Arial"/>
          <w:b/>
          <w:bCs/>
          <w:color w:val="006CE5"/>
          <w:sz w:val="20"/>
          <w:szCs w:val="20"/>
        </w:rPr>
      </w:pPr>
      <w:bookmarkStart w:id="19" w:name="_Hlk193135454"/>
    </w:p>
    <w:tbl>
      <w:tblPr>
        <w:tblStyle w:val="Grilledutableau"/>
        <w:tblW w:w="0" w:type="auto"/>
        <w:tblLook w:val="04A0" w:firstRow="1" w:lastRow="0" w:firstColumn="1" w:lastColumn="0" w:noHBand="0" w:noVBand="1"/>
      </w:tblPr>
      <w:tblGrid>
        <w:gridCol w:w="6799"/>
        <w:gridCol w:w="2835"/>
      </w:tblGrid>
      <w:tr w:rsidR="000E42AF" w:rsidRPr="00EA13C4" w14:paraId="20F1239C" w14:textId="77777777" w:rsidTr="006D067C">
        <w:trPr>
          <w:trHeight w:val="315"/>
        </w:trPr>
        <w:tc>
          <w:tcPr>
            <w:tcW w:w="6799" w:type="dxa"/>
            <w:noWrap/>
          </w:tcPr>
          <w:p w14:paraId="41F44561" w14:textId="77777777" w:rsidR="000E42AF" w:rsidRPr="00F97D8E" w:rsidRDefault="000E42AF" w:rsidP="006D067C">
            <w:pPr>
              <w:rPr>
                <w:rFonts w:ascii="Marianne" w:eastAsia="Times New Roman" w:hAnsi="Marianne" w:cs="Calibri"/>
                <w:color w:val="000000"/>
                <w:sz w:val="20"/>
                <w:szCs w:val="20"/>
                <w:lang w:eastAsia="fr-FR"/>
              </w:rPr>
            </w:pPr>
            <w:r>
              <w:rPr>
                <w:rFonts w:ascii="Marianne" w:eastAsia="Times New Roman" w:hAnsi="Marianne" w:cs="Calibri"/>
                <w:color w:val="000000"/>
                <w:sz w:val="20"/>
                <w:szCs w:val="20"/>
                <w:lang w:eastAsia="fr-FR"/>
              </w:rPr>
              <w:t>Coton non cardé ni peigné (SH 5201)</w:t>
            </w:r>
          </w:p>
        </w:tc>
        <w:tc>
          <w:tcPr>
            <w:tcW w:w="2835" w:type="dxa"/>
            <w:vAlign w:val="bottom"/>
          </w:tcPr>
          <w:p w14:paraId="53167E1E" w14:textId="77777777" w:rsidR="000E42AF" w:rsidRPr="00F97D8E" w:rsidRDefault="000E42AF" w:rsidP="006D067C">
            <w:pPr>
              <w:jc w:val="right"/>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47 931 828</w:t>
            </w:r>
          </w:p>
        </w:tc>
      </w:tr>
      <w:tr w:rsidR="000E42AF" w:rsidRPr="00EA13C4" w14:paraId="630DDA78" w14:textId="77777777" w:rsidTr="006D067C">
        <w:trPr>
          <w:trHeight w:val="315"/>
        </w:trPr>
        <w:tc>
          <w:tcPr>
            <w:tcW w:w="6799" w:type="dxa"/>
            <w:noWrap/>
            <w:hideMark/>
          </w:tcPr>
          <w:p w14:paraId="5DEFE1ED" w14:textId="77777777" w:rsidR="000E42AF" w:rsidRPr="00EA13C4" w:rsidRDefault="000E42AF" w:rsidP="006D067C">
            <w:pPr>
              <w:rPr>
                <w:rFonts w:ascii="Marianne" w:eastAsia="Times New Roman" w:hAnsi="Marianne" w:cs="Calibri"/>
                <w:color w:val="000000"/>
                <w:sz w:val="20"/>
                <w:szCs w:val="20"/>
                <w:lang w:eastAsia="fr-FR"/>
              </w:rPr>
            </w:pPr>
            <w:r w:rsidRPr="00F97D8E">
              <w:rPr>
                <w:rFonts w:ascii="Marianne" w:eastAsia="Times New Roman" w:hAnsi="Marianne" w:cs="Calibri"/>
                <w:color w:val="000000"/>
                <w:sz w:val="20"/>
                <w:szCs w:val="20"/>
                <w:lang w:eastAsia="fr-FR"/>
              </w:rPr>
              <w:t>Bois brut (SH 4403)</w:t>
            </w:r>
          </w:p>
        </w:tc>
        <w:tc>
          <w:tcPr>
            <w:tcW w:w="2835" w:type="dxa"/>
            <w:vAlign w:val="bottom"/>
          </w:tcPr>
          <w:p w14:paraId="56BB1B29" w14:textId="77777777" w:rsidR="000E42AF" w:rsidRPr="00F97D8E" w:rsidRDefault="000E42AF" w:rsidP="006D067C">
            <w:pPr>
              <w:jc w:val="right"/>
              <w:rPr>
                <w:rFonts w:ascii="Marianne" w:eastAsia="Times New Roman" w:hAnsi="Marianne" w:cs="Times New Roman"/>
                <w:sz w:val="20"/>
                <w:szCs w:val="20"/>
                <w:lang w:eastAsia="fr-FR"/>
              </w:rPr>
            </w:pPr>
            <w:r w:rsidRPr="00F97D8E">
              <w:rPr>
                <w:rFonts w:ascii="Marianne" w:eastAsia="Times New Roman" w:hAnsi="Marianne" w:cs="Times New Roman"/>
                <w:sz w:val="20"/>
                <w:szCs w:val="20"/>
                <w:lang w:eastAsia="fr-FR"/>
              </w:rPr>
              <w:t>2 496 584</w:t>
            </w:r>
          </w:p>
        </w:tc>
      </w:tr>
      <w:bookmarkEnd w:id="19"/>
    </w:tbl>
    <w:p w14:paraId="258320FC" w14:textId="77777777" w:rsidR="000E42AF" w:rsidRPr="005B601E" w:rsidRDefault="000E42AF" w:rsidP="000E42AF">
      <w:pPr>
        <w:spacing w:after="0"/>
        <w:jc w:val="both"/>
        <w:rPr>
          <w:rFonts w:ascii="Arial" w:hAnsi="Arial" w:cs="Arial"/>
          <w:sz w:val="16"/>
          <w:szCs w:val="16"/>
        </w:rPr>
      </w:pPr>
    </w:p>
    <w:sectPr w:rsidR="000E42AF" w:rsidRPr="005B601E" w:rsidSect="00257838">
      <w:headerReference w:type="default" r:id="rId13"/>
      <w:footerReference w:type="default" r:id="rId14"/>
      <w:footerReference w:type="first" r:id="rId15"/>
      <w:pgSz w:w="11906" w:h="16838"/>
      <w:pgMar w:top="1247" w:right="991" w:bottom="142" w:left="1247" w:header="227"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9A39" w14:textId="77777777" w:rsidR="004626A6" w:rsidRDefault="004626A6" w:rsidP="004432FE">
      <w:pPr>
        <w:spacing w:after="0" w:line="240" w:lineRule="auto"/>
      </w:pPr>
      <w:r>
        <w:separator/>
      </w:r>
    </w:p>
    <w:p w14:paraId="34FC5786" w14:textId="77777777" w:rsidR="004626A6" w:rsidRDefault="004626A6"/>
  </w:endnote>
  <w:endnote w:type="continuationSeparator" w:id="0">
    <w:p w14:paraId="2753B5AC" w14:textId="77777777" w:rsidR="004626A6" w:rsidRDefault="004626A6" w:rsidP="004432FE">
      <w:pPr>
        <w:spacing w:after="0" w:line="240" w:lineRule="auto"/>
      </w:pPr>
      <w:r>
        <w:continuationSeparator/>
      </w:r>
    </w:p>
    <w:p w14:paraId="516D5B67" w14:textId="77777777" w:rsidR="004626A6" w:rsidRDefault="0046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CorporateS-RegularItalic">
    <w:charset w:val="00"/>
    <w:family w:val="script"/>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17E7" w14:textId="77777777" w:rsidR="007C38E6" w:rsidRPr="007C38E6" w:rsidRDefault="007C38E6" w:rsidP="007C38E6">
    <w:pPr>
      <w:pStyle w:val="Pieddepage"/>
      <w:jc w:val="right"/>
      <w:rPr>
        <w:rFonts w:ascii="Marianne" w:hAnsi="Marianne"/>
        <w:caps/>
        <w:sz w:val="20"/>
        <w:szCs w:val="20"/>
      </w:rPr>
    </w:pPr>
    <w:r w:rsidRPr="007C38E6">
      <w:rPr>
        <w:rFonts w:ascii="Marianne" w:hAnsi="Marianne"/>
        <w:caps/>
        <w:sz w:val="20"/>
        <w:szCs w:val="20"/>
      </w:rPr>
      <w:fldChar w:fldCharType="begin"/>
    </w:r>
    <w:r w:rsidRPr="007C38E6">
      <w:rPr>
        <w:rFonts w:ascii="Marianne" w:hAnsi="Marianne"/>
        <w:caps/>
        <w:sz w:val="20"/>
        <w:szCs w:val="20"/>
      </w:rPr>
      <w:instrText>PAGE   \* MERGEFORMAT</w:instrText>
    </w:r>
    <w:r w:rsidRPr="007C38E6">
      <w:rPr>
        <w:rFonts w:ascii="Marianne" w:hAnsi="Marianne"/>
        <w:caps/>
        <w:sz w:val="20"/>
        <w:szCs w:val="20"/>
      </w:rPr>
      <w:fldChar w:fldCharType="separate"/>
    </w:r>
    <w:r w:rsidRPr="007C38E6">
      <w:rPr>
        <w:rFonts w:ascii="Marianne" w:hAnsi="Marianne"/>
        <w:caps/>
        <w:sz w:val="20"/>
        <w:szCs w:val="20"/>
      </w:rPr>
      <w:t>2</w:t>
    </w:r>
    <w:r w:rsidRPr="007C38E6">
      <w:rPr>
        <w:rFonts w:ascii="Marianne" w:hAnsi="Marianne"/>
        <w:caps/>
        <w:sz w:val="20"/>
        <w:szCs w:val="20"/>
      </w:rPr>
      <w:fldChar w:fldCharType="end"/>
    </w:r>
  </w:p>
  <w:p w14:paraId="25816ABE" w14:textId="0104BF00" w:rsidR="00F025C1" w:rsidRPr="00FF3E81" w:rsidRDefault="00F025C1">
    <w:pPr>
      <w:pStyle w:val="Pieddepage"/>
      <w:jc w:val="right"/>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010A"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9808" w14:textId="77777777" w:rsidR="004626A6" w:rsidRDefault="004626A6" w:rsidP="004432FE">
      <w:pPr>
        <w:spacing w:after="0" w:line="240" w:lineRule="auto"/>
      </w:pPr>
      <w:r>
        <w:separator/>
      </w:r>
    </w:p>
    <w:p w14:paraId="4CF35873" w14:textId="77777777" w:rsidR="004626A6" w:rsidRDefault="004626A6"/>
  </w:footnote>
  <w:footnote w:type="continuationSeparator" w:id="0">
    <w:p w14:paraId="2A6E5316" w14:textId="77777777" w:rsidR="004626A6" w:rsidRDefault="004626A6" w:rsidP="004432FE">
      <w:pPr>
        <w:spacing w:after="0" w:line="240" w:lineRule="auto"/>
      </w:pPr>
      <w:r>
        <w:continuationSeparator/>
      </w:r>
    </w:p>
    <w:p w14:paraId="657630A8" w14:textId="77777777" w:rsidR="004626A6" w:rsidRDefault="004626A6"/>
  </w:footnote>
  <w:footnote w:id="1">
    <w:p w14:paraId="329532E6" w14:textId="77777777" w:rsidR="000E42AF" w:rsidRPr="00B55B68" w:rsidRDefault="000E42AF" w:rsidP="000E42AF">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Banque mondiale</w:t>
      </w:r>
    </w:p>
  </w:footnote>
  <w:footnote w:id="2">
    <w:p w14:paraId="20CE62BF" w14:textId="77777777" w:rsidR="000E42AF" w:rsidRPr="00B55B68" w:rsidRDefault="000E42AF" w:rsidP="000E42AF">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543 965 km² pour la métropole ; la surface Outre-mer est de 89 242 km² pour les seuls DROM (Source IGN 2016) et monte à environ 113 000 km² au total</w:t>
      </w:r>
    </w:p>
  </w:footnote>
  <w:footnote w:id="3">
    <w:p w14:paraId="28AEEDEA" w14:textId="28F42344" w:rsidR="000E42AF" w:rsidRPr="00B55B68" w:rsidRDefault="000E42AF" w:rsidP="000E42AF">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Rapport sur le développement humain </w:t>
      </w:r>
      <w:r w:rsidR="003453FB">
        <w:rPr>
          <w:rFonts w:ascii="Helvetica" w:hAnsi="Helvetica" w:cs="Helvetica"/>
          <w:sz w:val="16"/>
          <w:szCs w:val="16"/>
        </w:rPr>
        <w:t>2025</w:t>
      </w:r>
    </w:p>
  </w:footnote>
  <w:footnote w:id="4">
    <w:p w14:paraId="59E9EA25" w14:textId="77777777" w:rsidR="000E42AF" w:rsidRPr="00B55B68" w:rsidRDefault="000E42AF" w:rsidP="000E42AF">
      <w:pPr>
        <w:pStyle w:val="Notedebasdepage"/>
        <w:jc w:val="both"/>
        <w:rPr>
          <w:rFonts w:ascii="Helvetica" w:hAnsi="Helvetica" w:cs="Helvetica"/>
          <w:sz w:val="16"/>
          <w:szCs w:val="16"/>
        </w:rPr>
      </w:pPr>
      <w:r w:rsidRPr="00DA7BCD">
        <w:rPr>
          <w:vertAlign w:val="superscript"/>
        </w:rPr>
        <w:footnoteRef/>
      </w:r>
      <w:r>
        <w:rPr>
          <w:rFonts w:ascii="Helvetica" w:hAnsi="Helvetica" w:cs="Helvetica"/>
          <w:sz w:val="16"/>
          <w:szCs w:val="16"/>
        </w:rPr>
        <w:t xml:space="preserve"> </w:t>
      </w:r>
      <w:r w:rsidRPr="00B55B68">
        <w:rPr>
          <w:rFonts w:ascii="Helvetica" w:hAnsi="Helvetica" w:cs="Helvetica"/>
          <w:sz w:val="16"/>
          <w:szCs w:val="16"/>
        </w:rPr>
        <w:t>La surface agricole utilisée (SAU) comprend les terres arables (y compris pâturages temporaires, jachères, cultures sous abri, jardins familiaux...), les surfaces toujours en herbe et les cultures permanentes (vignes, vergers...).</w:t>
      </w:r>
    </w:p>
  </w:footnote>
  <w:footnote w:id="5">
    <w:p w14:paraId="7DC879DC" w14:textId="77777777" w:rsidR="000E42AF" w:rsidRPr="00B55B68" w:rsidRDefault="000E42AF" w:rsidP="000E42AF">
      <w:pPr>
        <w:pStyle w:val="Notedebasdepage"/>
        <w:jc w:val="both"/>
        <w:rPr>
          <w:rFonts w:ascii="Helvetica" w:hAnsi="Helvetica" w:cs="Helvetica"/>
          <w:sz w:val="16"/>
          <w:szCs w:val="16"/>
        </w:rPr>
      </w:pPr>
      <w:r w:rsidRPr="00DA7BCD">
        <w:rPr>
          <w:rFonts w:ascii="Helvetica" w:hAnsi="Helvetica" w:cs="Helvetica"/>
          <w:sz w:val="16"/>
          <w:szCs w:val="16"/>
          <w:vertAlign w:val="superscript"/>
        </w:rPr>
        <w:footnoteRef/>
      </w:r>
      <w:r w:rsidRPr="00DA7BCD">
        <w:rPr>
          <w:rFonts w:ascii="Helvetica" w:hAnsi="Helvetica" w:cs="Helvetica"/>
          <w:sz w:val="16"/>
          <w:szCs w:val="16"/>
          <w:vertAlign w:val="superscript"/>
        </w:rPr>
        <w:t xml:space="preserve"> </w:t>
      </w:r>
      <w:r w:rsidRPr="00B55B68">
        <w:rPr>
          <w:rFonts w:ascii="Helvetica" w:hAnsi="Helvetica" w:cs="Helvetica"/>
          <w:sz w:val="16"/>
          <w:szCs w:val="16"/>
        </w:rPr>
        <w:t>FAO</w:t>
      </w:r>
    </w:p>
  </w:footnote>
  <w:footnote w:id="6">
    <w:p w14:paraId="0EF7E6C2" w14:textId="77777777" w:rsidR="000E42AF" w:rsidRPr="00B55B68" w:rsidRDefault="000E42AF" w:rsidP="000E42AF">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 françaises, Trade Data Monitor</w:t>
      </w:r>
    </w:p>
  </w:footnote>
  <w:footnote w:id="7">
    <w:p w14:paraId="575C6170" w14:textId="77777777" w:rsidR="000E42AF" w:rsidRPr="00B55B68" w:rsidRDefault="000E42AF" w:rsidP="000E42AF">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Douanes</w:t>
      </w:r>
      <w:r>
        <w:rPr>
          <w:rFonts w:ascii="Helvetica" w:hAnsi="Helvetica" w:cs="Helvetica"/>
          <w:sz w:val="16"/>
          <w:szCs w:val="16"/>
        </w:rPr>
        <w:t xml:space="preserve"> togolaises</w:t>
      </w:r>
      <w:r w:rsidRPr="00B55B68">
        <w:rPr>
          <w:rFonts w:ascii="Helvetica" w:hAnsi="Helvetica" w:cs="Helvetica"/>
          <w:sz w:val="16"/>
          <w:szCs w:val="16"/>
        </w:rPr>
        <w:t>, Trade Data Monitor</w:t>
      </w:r>
    </w:p>
  </w:footnote>
  <w:footnote w:id="8">
    <w:p w14:paraId="0E12F20A" w14:textId="77777777" w:rsidR="000E42AF" w:rsidRDefault="000E42AF" w:rsidP="000E42AF">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N’incluant pas le machinisme agricole et agroalimentaire, le bois et dérivés, les engrais et produits phytosanitaires, le biodiesel</w:t>
      </w:r>
    </w:p>
    <w:p w14:paraId="07DC0FC6" w14:textId="77777777" w:rsidR="000E42AF" w:rsidRPr="00B55B68" w:rsidRDefault="000E42AF" w:rsidP="000E42AF">
      <w:pPr>
        <w:pStyle w:val="Notedebasdepage"/>
        <w:jc w:val="both"/>
        <w:rPr>
          <w:rFonts w:ascii="Helvetica" w:hAnsi="Helvetica" w:cs="Helvetica"/>
          <w:sz w:val="16"/>
          <w:szCs w:val="16"/>
        </w:rPr>
      </w:pPr>
      <w:r w:rsidRPr="000D1155">
        <w:rPr>
          <w:rFonts w:ascii="Helvetica" w:hAnsi="Helvetica" w:cs="Helvetica"/>
          <w:sz w:val="16"/>
          <w:szCs w:val="16"/>
          <w:vertAlign w:val="superscript"/>
        </w:rPr>
        <w:t>9</w:t>
      </w:r>
      <w:r w:rsidRPr="000D1155">
        <w:rPr>
          <w:rFonts w:ascii="Helvetica" w:hAnsi="Helvetica" w:cs="Helvetica"/>
          <w:sz w:val="16"/>
          <w:szCs w:val="16"/>
        </w:rPr>
        <w:t xml:space="preserve"> International Finance Corporation. Diagnostic du secteur privé (CPSD), Créer des marchés pour le Togo. Avril 2023</w:t>
      </w:r>
    </w:p>
  </w:footnote>
  <w:footnote w:id="9">
    <w:p w14:paraId="2055E3DE" w14:textId="77777777" w:rsidR="000E42AF" w:rsidRPr="00DA7BCD" w:rsidRDefault="000E42AF" w:rsidP="000E42AF">
      <w:pPr>
        <w:pStyle w:val="Notedebasdepage"/>
        <w:rPr>
          <w:rFonts w:ascii="Helvetica" w:hAnsi="Helvetica" w:cs="Helvetica"/>
          <w:sz w:val="16"/>
          <w:szCs w:val="16"/>
        </w:rPr>
      </w:pPr>
      <w:r w:rsidRPr="00DA7BCD">
        <w:rPr>
          <w:rFonts w:ascii="Helvetica" w:hAnsi="Helvetica" w:cs="Helvetica"/>
          <w:sz w:val="16"/>
          <w:szCs w:val="16"/>
          <w:vertAlign w:val="superscript"/>
        </w:rPr>
        <w:footnoteRef/>
      </w:r>
      <w:r w:rsidRPr="00DA7BCD">
        <w:rPr>
          <w:rFonts w:ascii="Helvetica" w:hAnsi="Helvetica" w:cs="Helvetica"/>
          <w:sz w:val="16"/>
          <w:szCs w:val="16"/>
        </w:rPr>
        <w:t xml:space="preserve"> International Finance Corporation. Diagnostic du secteur privé (CPSD), Créer des marchés pour le Togo. Avril 2023.</w:t>
      </w:r>
    </w:p>
  </w:footnote>
  <w:footnote w:id="10">
    <w:p w14:paraId="1A137353" w14:textId="77777777" w:rsidR="000E42AF" w:rsidRPr="00DA7BCD" w:rsidRDefault="000E42AF" w:rsidP="000E42AF">
      <w:pPr>
        <w:pStyle w:val="Notedebasdepage"/>
        <w:rPr>
          <w:rFonts w:ascii="Helvetica" w:hAnsi="Helvetica" w:cs="Helvetica"/>
          <w:sz w:val="16"/>
          <w:szCs w:val="16"/>
        </w:rPr>
      </w:pPr>
      <w:r w:rsidRPr="00DA7BCD">
        <w:rPr>
          <w:rFonts w:ascii="Helvetica" w:hAnsi="Helvetica" w:cs="Helvetica"/>
          <w:sz w:val="16"/>
          <w:szCs w:val="16"/>
          <w:vertAlign w:val="superscript"/>
        </w:rPr>
        <w:footnoteRef/>
      </w:r>
      <w:r w:rsidRPr="00DA7BCD">
        <w:rPr>
          <w:rFonts w:ascii="Helvetica" w:hAnsi="Helvetica" w:cs="Helvetica"/>
          <w:sz w:val="16"/>
          <w:szCs w:val="16"/>
          <w:vertAlign w:val="superscript"/>
        </w:rPr>
        <w:t xml:space="preserve"> </w:t>
      </w:r>
      <w:r w:rsidRPr="00DA7BCD">
        <w:rPr>
          <w:rFonts w:ascii="Helvetica" w:hAnsi="Helvetica" w:cs="Helvetica"/>
          <w:sz w:val="16"/>
          <w:szCs w:val="16"/>
        </w:rPr>
        <w:t>Banque mondiale : Libérer le potentiel de croissance du pays, Octobre 2023.</w:t>
      </w:r>
    </w:p>
  </w:footnote>
  <w:footnote w:id="11">
    <w:p w14:paraId="773BE90D" w14:textId="77777777" w:rsidR="000E42AF" w:rsidRPr="00DA7BCD" w:rsidRDefault="000E42AF" w:rsidP="000E42AF">
      <w:pPr>
        <w:pStyle w:val="Notedebasdepage"/>
        <w:rPr>
          <w:rFonts w:ascii="Helvetica" w:hAnsi="Helvetica" w:cs="Helvetica"/>
          <w:sz w:val="16"/>
          <w:szCs w:val="16"/>
        </w:rPr>
      </w:pPr>
      <w:r w:rsidRPr="00DA7BCD">
        <w:rPr>
          <w:rFonts w:ascii="Helvetica" w:hAnsi="Helvetica" w:cs="Helvetica"/>
          <w:sz w:val="16"/>
          <w:szCs w:val="16"/>
          <w:vertAlign w:val="superscript"/>
        </w:rPr>
        <w:footnoteRef/>
      </w:r>
      <w:r w:rsidRPr="00DA7BCD">
        <w:rPr>
          <w:rFonts w:ascii="Helvetica" w:hAnsi="Helvetica" w:cs="Helvetica"/>
          <w:sz w:val="16"/>
          <w:szCs w:val="16"/>
        </w:rPr>
        <w:t xml:space="preserve"> Kolani Lardja, Yaovi Mawuena. Analyse des déterminants de la productivité agricole au Togo. 2022.</w:t>
      </w:r>
    </w:p>
  </w:footnote>
  <w:footnote w:id="12">
    <w:p w14:paraId="506896E0" w14:textId="77777777" w:rsidR="000E42AF" w:rsidRDefault="000E42AF" w:rsidP="000E42AF">
      <w:pPr>
        <w:pStyle w:val="Notedebasdepage"/>
      </w:pPr>
      <w:r w:rsidRPr="00DA7BCD">
        <w:rPr>
          <w:rFonts w:ascii="Helvetica" w:hAnsi="Helvetica" w:cs="Helvetica"/>
          <w:sz w:val="16"/>
          <w:szCs w:val="16"/>
          <w:vertAlign w:val="superscript"/>
        </w:rPr>
        <w:footnoteRef/>
      </w:r>
      <w:r w:rsidRPr="00DA7BCD">
        <w:rPr>
          <w:rFonts w:ascii="Helvetica" w:hAnsi="Helvetica" w:cs="Helvetica"/>
          <w:sz w:val="16"/>
          <w:szCs w:val="16"/>
          <w:vertAlign w:val="superscript"/>
        </w:rPr>
        <w:t xml:space="preserve"> </w:t>
      </w:r>
      <w:r w:rsidRPr="00DA7BCD">
        <w:rPr>
          <w:rFonts w:ascii="Helvetica" w:hAnsi="Helvetica" w:cs="Helvetica"/>
          <w:sz w:val="16"/>
          <w:szCs w:val="16"/>
        </w:rPr>
        <w:t>Association des grandes entreprises du Togo (AGET). Livre Blanc de l’économie togolaise. Innovations, investissements et politiques publiques. 2024</w:t>
      </w:r>
    </w:p>
  </w:footnote>
  <w:footnote w:id="13">
    <w:p w14:paraId="5770F2A7" w14:textId="77777777" w:rsidR="000E42AF" w:rsidRPr="00DA7BCD" w:rsidRDefault="000E42AF" w:rsidP="000E42AF">
      <w:pPr>
        <w:pStyle w:val="Notedebasdepage"/>
        <w:rPr>
          <w:rFonts w:ascii="Helvetica" w:hAnsi="Helvetica" w:cs="Helvetica"/>
          <w:sz w:val="16"/>
          <w:szCs w:val="16"/>
        </w:rPr>
      </w:pPr>
      <w:r w:rsidRPr="00DA7BCD">
        <w:rPr>
          <w:rFonts w:ascii="Helvetica" w:hAnsi="Helvetica" w:cs="Helvetica"/>
          <w:sz w:val="16"/>
          <w:szCs w:val="16"/>
          <w:vertAlign w:val="superscript"/>
        </w:rPr>
        <w:footnoteRef/>
      </w:r>
      <w:r w:rsidRPr="00DA7BCD">
        <w:rPr>
          <w:rFonts w:ascii="Helvetica" w:hAnsi="Helvetica" w:cs="Helvetica"/>
          <w:sz w:val="16"/>
          <w:szCs w:val="16"/>
        </w:rPr>
        <w:t xml:space="preserve"> Livre Blanc de l’AGET, 2020.</w:t>
      </w:r>
    </w:p>
  </w:footnote>
  <w:footnote w:id="14">
    <w:p w14:paraId="2319E45C" w14:textId="77777777" w:rsidR="000E42AF" w:rsidRPr="00DA7BCD" w:rsidRDefault="000E42AF" w:rsidP="000E42AF">
      <w:pPr>
        <w:pStyle w:val="Notedebasdepage"/>
        <w:rPr>
          <w:rFonts w:ascii="Helvetica" w:hAnsi="Helvetica" w:cs="Helvetica"/>
          <w:sz w:val="16"/>
          <w:szCs w:val="16"/>
        </w:rPr>
      </w:pPr>
      <w:r w:rsidRPr="00DA7BCD">
        <w:rPr>
          <w:rFonts w:ascii="Helvetica" w:hAnsi="Helvetica" w:cs="Helvetica"/>
          <w:sz w:val="16"/>
          <w:szCs w:val="16"/>
          <w:vertAlign w:val="superscript"/>
        </w:rPr>
        <w:footnoteRef/>
      </w:r>
      <w:r w:rsidRPr="00DA7BCD">
        <w:rPr>
          <w:rFonts w:ascii="Helvetica" w:hAnsi="Helvetica" w:cs="Helvetica"/>
          <w:sz w:val="16"/>
          <w:szCs w:val="16"/>
          <w:vertAlign w:val="superscript"/>
        </w:rPr>
        <w:t xml:space="preserve"> </w:t>
      </w:r>
      <w:r w:rsidRPr="00DA7BCD">
        <w:rPr>
          <w:rFonts w:ascii="Helvetica" w:hAnsi="Helvetica" w:cs="Helvetica"/>
          <w:sz w:val="16"/>
          <w:szCs w:val="16"/>
        </w:rPr>
        <w:t>Ministère de la Promotion et de l’Investissement, Guide pratique des affaires au Togo, Edition 2021.</w:t>
      </w:r>
    </w:p>
  </w:footnote>
  <w:footnote w:id="15">
    <w:p w14:paraId="335A6248" w14:textId="77777777" w:rsidR="000E42AF" w:rsidRDefault="000E42AF" w:rsidP="000E42AF">
      <w:pPr>
        <w:pStyle w:val="Notedebasdepage"/>
      </w:pPr>
      <w:r w:rsidRPr="00DA7BCD">
        <w:rPr>
          <w:rFonts w:ascii="Helvetica" w:hAnsi="Helvetica" w:cs="Helvetica"/>
          <w:sz w:val="16"/>
          <w:szCs w:val="16"/>
          <w:vertAlign w:val="superscript"/>
        </w:rPr>
        <w:footnoteRef/>
      </w:r>
      <w:r w:rsidRPr="00DA7BCD">
        <w:rPr>
          <w:rFonts w:ascii="Helvetica" w:hAnsi="Helvetica" w:cs="Helvetica"/>
          <w:sz w:val="16"/>
          <w:szCs w:val="16"/>
        </w:rPr>
        <w:t xml:space="preserve"> Yearbook, Rapport économique, Togo 2024-2025, Vision 2030, Ministère de la Promotion de l’Investissement du Togo.</w:t>
      </w:r>
    </w:p>
  </w:footnote>
  <w:footnote w:id="16">
    <w:p w14:paraId="2D793B39" w14:textId="77777777" w:rsidR="000E42AF" w:rsidRDefault="000E42AF" w:rsidP="000E42AF">
      <w:pPr>
        <w:pStyle w:val="Notedebasdepage"/>
      </w:pPr>
      <w:r>
        <w:rPr>
          <w:rStyle w:val="Appelnotedebasdep"/>
        </w:rPr>
        <w:footnoteRef/>
      </w:r>
      <w:r>
        <w:t xml:space="preserve"> </w:t>
      </w:r>
      <w:hyperlink r:id="rId1" w:history="1">
        <w:r w:rsidRPr="00700F9E">
          <w:rPr>
            <w:rStyle w:val="Lienhypertexte"/>
          </w:rPr>
          <w:t>FertiTogo</w:t>
        </w:r>
      </w:hyperlink>
    </w:p>
  </w:footnote>
  <w:footnote w:id="17">
    <w:p w14:paraId="1EE1D619" w14:textId="77777777" w:rsidR="000E42AF" w:rsidRDefault="000E42AF" w:rsidP="000E42AF">
      <w:pPr>
        <w:pStyle w:val="Notedebasdepage"/>
      </w:pPr>
      <w:r>
        <w:rPr>
          <w:rStyle w:val="Appelnotedebasdep"/>
        </w:rPr>
        <w:footnoteRef/>
      </w:r>
      <w:r>
        <w:t xml:space="preserve"> </w:t>
      </w:r>
      <w:hyperlink r:id="rId2" w:history="1">
        <w:r w:rsidRPr="00157BB6">
          <w:rPr>
            <w:rStyle w:val="Lienhypertexte"/>
          </w:rPr>
          <w:t>Ministre de l’agriculture, de l’hydraulique villageoise et du développement rural</w:t>
        </w:r>
      </w:hyperlink>
    </w:p>
  </w:footnote>
  <w:footnote w:id="18">
    <w:p w14:paraId="58DF2F22" w14:textId="77777777" w:rsidR="000E42AF" w:rsidRDefault="000E42AF" w:rsidP="000E42AF">
      <w:pPr>
        <w:pStyle w:val="Notedebasdepage"/>
      </w:pPr>
      <w:r>
        <w:rPr>
          <w:rStyle w:val="Appelnotedebasdep"/>
        </w:rPr>
        <w:footnoteRef/>
      </w:r>
      <w:r>
        <w:t xml:space="preserve"> </w:t>
      </w:r>
      <w:hyperlink r:id="rId3" w:history="1">
        <w:r w:rsidRPr="00F20246">
          <w:rPr>
            <w:rStyle w:val="Lienhypertexte"/>
          </w:rPr>
          <w:t>Etude sur les filières de soja bio en UE et dans les principaux pays tiers</w:t>
        </w:r>
      </w:hyperlink>
      <w:r>
        <w:t>, Agence bio, Juin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6A8" w14:textId="77777777" w:rsidR="004432FE" w:rsidRDefault="004432FE" w:rsidP="004432FE">
    <w:pPr>
      <w:pStyle w:val="En-tte"/>
    </w:pPr>
  </w:p>
  <w:p w14:paraId="63108C52" w14:textId="77777777" w:rsidR="004432FE" w:rsidRDefault="004432FE" w:rsidP="004432FE">
    <w:pPr>
      <w:pStyle w:val="En-tte"/>
      <w:jc w:val="center"/>
    </w:pPr>
  </w:p>
  <w:p w14:paraId="71708415" w14:textId="77777777" w:rsidR="00F06384" w:rsidRDefault="00F06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549"/>
    <w:multiLevelType w:val="hybridMultilevel"/>
    <w:tmpl w:val="EF6CA500"/>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08B06B47"/>
    <w:multiLevelType w:val="hybridMultilevel"/>
    <w:tmpl w:val="DAC2ECD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C82B86"/>
    <w:multiLevelType w:val="hybridMultilevel"/>
    <w:tmpl w:val="CADA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D66CE"/>
    <w:multiLevelType w:val="hybridMultilevel"/>
    <w:tmpl w:val="78D862D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36F4BA3"/>
    <w:multiLevelType w:val="hybridMultilevel"/>
    <w:tmpl w:val="A46677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787572"/>
    <w:multiLevelType w:val="hybridMultilevel"/>
    <w:tmpl w:val="0584F2A6"/>
    <w:lvl w:ilvl="0" w:tplc="95DA655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004C5"/>
    <w:multiLevelType w:val="hybridMultilevel"/>
    <w:tmpl w:val="52283190"/>
    <w:lvl w:ilvl="0" w:tplc="94004AD4">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8C2DD5"/>
    <w:multiLevelType w:val="hybridMultilevel"/>
    <w:tmpl w:val="FD80A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3C0A5C"/>
    <w:multiLevelType w:val="hybridMultilevel"/>
    <w:tmpl w:val="54046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DC1EA1"/>
    <w:multiLevelType w:val="hybridMultilevel"/>
    <w:tmpl w:val="87506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AB6C42"/>
    <w:multiLevelType w:val="hybridMultilevel"/>
    <w:tmpl w:val="1A9C1ACE"/>
    <w:lvl w:ilvl="0" w:tplc="31FAA68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30672701"/>
    <w:multiLevelType w:val="hybridMultilevel"/>
    <w:tmpl w:val="CFE8756E"/>
    <w:lvl w:ilvl="0" w:tplc="373C60B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4A6CD4"/>
    <w:multiLevelType w:val="hybridMultilevel"/>
    <w:tmpl w:val="80305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9B5DA3"/>
    <w:multiLevelType w:val="hybridMultilevel"/>
    <w:tmpl w:val="E7A6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5C214E"/>
    <w:multiLevelType w:val="hybridMultilevel"/>
    <w:tmpl w:val="A4D87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402FAD"/>
    <w:multiLevelType w:val="hybridMultilevel"/>
    <w:tmpl w:val="6E926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D5584E"/>
    <w:multiLevelType w:val="hybridMultilevel"/>
    <w:tmpl w:val="F1749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0F4669"/>
    <w:multiLevelType w:val="hybridMultilevel"/>
    <w:tmpl w:val="EAA2D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FC2942"/>
    <w:multiLevelType w:val="hybridMultilevel"/>
    <w:tmpl w:val="14B60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2C3704"/>
    <w:multiLevelType w:val="hybridMultilevel"/>
    <w:tmpl w:val="9070800E"/>
    <w:lvl w:ilvl="0" w:tplc="D4EC064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287D89"/>
    <w:multiLevelType w:val="hybridMultilevel"/>
    <w:tmpl w:val="ED3473EC"/>
    <w:lvl w:ilvl="0" w:tplc="1264FB6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8C6961"/>
    <w:multiLevelType w:val="hybridMultilevel"/>
    <w:tmpl w:val="E26E45B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EB2AAC"/>
    <w:multiLevelType w:val="hybridMultilevel"/>
    <w:tmpl w:val="AA54D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5259A5"/>
    <w:multiLevelType w:val="hybridMultilevel"/>
    <w:tmpl w:val="3110A97E"/>
    <w:lvl w:ilvl="0" w:tplc="40A4284C">
      <w:numFmt w:val="bullet"/>
      <w:lvlText w:val="•"/>
      <w:lvlJc w:val="left"/>
      <w:pPr>
        <w:ind w:left="705" w:hanging="705"/>
      </w:pPr>
      <w:rPr>
        <w:rFonts w:ascii="Marianne" w:eastAsiaTheme="minorHAnsi" w:hAnsi="Marianne"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6B462C7"/>
    <w:multiLevelType w:val="hybridMultilevel"/>
    <w:tmpl w:val="574ECB30"/>
    <w:lvl w:ilvl="0" w:tplc="95E885BE">
      <w:start w:val="1"/>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
  </w:num>
  <w:num w:numId="4">
    <w:abstractNumId w:val="2"/>
  </w:num>
  <w:num w:numId="5">
    <w:abstractNumId w:val="19"/>
  </w:num>
  <w:num w:numId="6">
    <w:abstractNumId w:val="15"/>
  </w:num>
  <w:num w:numId="7">
    <w:abstractNumId w:val="17"/>
  </w:num>
  <w:num w:numId="8">
    <w:abstractNumId w:val="10"/>
  </w:num>
  <w:num w:numId="9">
    <w:abstractNumId w:val="18"/>
  </w:num>
  <w:num w:numId="10">
    <w:abstractNumId w:val="14"/>
  </w:num>
  <w:num w:numId="11">
    <w:abstractNumId w:val="13"/>
  </w:num>
  <w:num w:numId="12">
    <w:abstractNumId w:val="23"/>
  </w:num>
  <w:num w:numId="13">
    <w:abstractNumId w:val="12"/>
  </w:num>
  <w:num w:numId="14">
    <w:abstractNumId w:val="21"/>
  </w:num>
  <w:num w:numId="15">
    <w:abstractNumId w:val="25"/>
  </w:num>
  <w:num w:numId="16">
    <w:abstractNumId w:val="20"/>
  </w:num>
  <w:num w:numId="17">
    <w:abstractNumId w:val="5"/>
  </w:num>
  <w:num w:numId="18">
    <w:abstractNumId w:val="7"/>
  </w:num>
  <w:num w:numId="19">
    <w:abstractNumId w:val="11"/>
  </w:num>
  <w:num w:numId="20">
    <w:abstractNumId w:val="4"/>
  </w:num>
  <w:num w:numId="21">
    <w:abstractNumId w:val="0"/>
  </w:num>
  <w:num w:numId="22">
    <w:abstractNumId w:val="9"/>
  </w:num>
  <w:num w:numId="23">
    <w:abstractNumId w:val="16"/>
  </w:num>
  <w:num w:numId="24">
    <w:abstractNumId w:val="3"/>
  </w:num>
  <w:num w:numId="25">
    <w:abstractNumId w:val="8"/>
  </w:num>
  <w:num w:numId="2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43"/>
    <w:rsid w:val="000004FB"/>
    <w:rsid w:val="00000B9F"/>
    <w:rsid w:val="00000F6E"/>
    <w:rsid w:val="000017BD"/>
    <w:rsid w:val="00002901"/>
    <w:rsid w:val="00002EC1"/>
    <w:rsid w:val="00003413"/>
    <w:rsid w:val="00003958"/>
    <w:rsid w:val="00003B44"/>
    <w:rsid w:val="00003C2C"/>
    <w:rsid w:val="00004C85"/>
    <w:rsid w:val="000054DF"/>
    <w:rsid w:val="00006D1B"/>
    <w:rsid w:val="00007B46"/>
    <w:rsid w:val="000105ED"/>
    <w:rsid w:val="00010663"/>
    <w:rsid w:val="00010A72"/>
    <w:rsid w:val="00010E5B"/>
    <w:rsid w:val="00011EC1"/>
    <w:rsid w:val="00012BCA"/>
    <w:rsid w:val="00013073"/>
    <w:rsid w:val="00013CEA"/>
    <w:rsid w:val="0001444A"/>
    <w:rsid w:val="00014653"/>
    <w:rsid w:val="000155BC"/>
    <w:rsid w:val="000158D1"/>
    <w:rsid w:val="00015F0D"/>
    <w:rsid w:val="0001611E"/>
    <w:rsid w:val="000163A1"/>
    <w:rsid w:val="000167BB"/>
    <w:rsid w:val="00016987"/>
    <w:rsid w:val="00017983"/>
    <w:rsid w:val="00022179"/>
    <w:rsid w:val="000239DC"/>
    <w:rsid w:val="000241B8"/>
    <w:rsid w:val="00024F6B"/>
    <w:rsid w:val="0002661E"/>
    <w:rsid w:val="000279BD"/>
    <w:rsid w:val="0003028D"/>
    <w:rsid w:val="00030531"/>
    <w:rsid w:val="00030A5E"/>
    <w:rsid w:val="000337EB"/>
    <w:rsid w:val="00033E1A"/>
    <w:rsid w:val="00033F07"/>
    <w:rsid w:val="000343BD"/>
    <w:rsid w:val="00035850"/>
    <w:rsid w:val="000360F7"/>
    <w:rsid w:val="0003651A"/>
    <w:rsid w:val="00036E44"/>
    <w:rsid w:val="00037430"/>
    <w:rsid w:val="000374B6"/>
    <w:rsid w:val="000419B7"/>
    <w:rsid w:val="000424B5"/>
    <w:rsid w:val="00043397"/>
    <w:rsid w:val="00045140"/>
    <w:rsid w:val="00045505"/>
    <w:rsid w:val="0004598B"/>
    <w:rsid w:val="00046619"/>
    <w:rsid w:val="0004673A"/>
    <w:rsid w:val="00052804"/>
    <w:rsid w:val="0005306C"/>
    <w:rsid w:val="00053D2D"/>
    <w:rsid w:val="00054B6E"/>
    <w:rsid w:val="000563CB"/>
    <w:rsid w:val="00056FAD"/>
    <w:rsid w:val="0005758B"/>
    <w:rsid w:val="000610B8"/>
    <w:rsid w:val="00061E4D"/>
    <w:rsid w:val="0006237E"/>
    <w:rsid w:val="00063536"/>
    <w:rsid w:val="00063CEA"/>
    <w:rsid w:val="00064A82"/>
    <w:rsid w:val="0006638E"/>
    <w:rsid w:val="0006639F"/>
    <w:rsid w:val="00067E03"/>
    <w:rsid w:val="00072826"/>
    <w:rsid w:val="00072E3C"/>
    <w:rsid w:val="00072E97"/>
    <w:rsid w:val="00072EEF"/>
    <w:rsid w:val="00074C8B"/>
    <w:rsid w:val="00074FBD"/>
    <w:rsid w:val="0007718F"/>
    <w:rsid w:val="0007750D"/>
    <w:rsid w:val="00077EEA"/>
    <w:rsid w:val="000804EF"/>
    <w:rsid w:val="00080C3C"/>
    <w:rsid w:val="00081090"/>
    <w:rsid w:val="0008116B"/>
    <w:rsid w:val="00082155"/>
    <w:rsid w:val="00082406"/>
    <w:rsid w:val="000824F9"/>
    <w:rsid w:val="00085375"/>
    <w:rsid w:val="00085FF2"/>
    <w:rsid w:val="00086132"/>
    <w:rsid w:val="00087037"/>
    <w:rsid w:val="0008713F"/>
    <w:rsid w:val="00087C82"/>
    <w:rsid w:val="00090284"/>
    <w:rsid w:val="000902FF"/>
    <w:rsid w:val="0009061F"/>
    <w:rsid w:val="00090F4E"/>
    <w:rsid w:val="00091B4F"/>
    <w:rsid w:val="00091C30"/>
    <w:rsid w:val="00093000"/>
    <w:rsid w:val="000930B8"/>
    <w:rsid w:val="000939E5"/>
    <w:rsid w:val="000944FE"/>
    <w:rsid w:val="00095272"/>
    <w:rsid w:val="00095358"/>
    <w:rsid w:val="00095F3F"/>
    <w:rsid w:val="00097D3F"/>
    <w:rsid w:val="000A10FC"/>
    <w:rsid w:val="000A1F88"/>
    <w:rsid w:val="000A2029"/>
    <w:rsid w:val="000A2747"/>
    <w:rsid w:val="000A2E50"/>
    <w:rsid w:val="000A3FEB"/>
    <w:rsid w:val="000A416A"/>
    <w:rsid w:val="000A6109"/>
    <w:rsid w:val="000A61A2"/>
    <w:rsid w:val="000A636C"/>
    <w:rsid w:val="000A7822"/>
    <w:rsid w:val="000B0536"/>
    <w:rsid w:val="000B08CB"/>
    <w:rsid w:val="000B111D"/>
    <w:rsid w:val="000B1971"/>
    <w:rsid w:val="000B1F92"/>
    <w:rsid w:val="000B2A85"/>
    <w:rsid w:val="000B337F"/>
    <w:rsid w:val="000B3CE9"/>
    <w:rsid w:val="000B4B80"/>
    <w:rsid w:val="000B51D1"/>
    <w:rsid w:val="000B5CE7"/>
    <w:rsid w:val="000B6A72"/>
    <w:rsid w:val="000B6ACC"/>
    <w:rsid w:val="000B7CFC"/>
    <w:rsid w:val="000C0028"/>
    <w:rsid w:val="000C006E"/>
    <w:rsid w:val="000C1C74"/>
    <w:rsid w:val="000C220E"/>
    <w:rsid w:val="000C2314"/>
    <w:rsid w:val="000C3D6D"/>
    <w:rsid w:val="000C3E50"/>
    <w:rsid w:val="000C5613"/>
    <w:rsid w:val="000C5DBC"/>
    <w:rsid w:val="000C668C"/>
    <w:rsid w:val="000C762C"/>
    <w:rsid w:val="000D1BD7"/>
    <w:rsid w:val="000D1E72"/>
    <w:rsid w:val="000D2B20"/>
    <w:rsid w:val="000D2E7E"/>
    <w:rsid w:val="000D3D89"/>
    <w:rsid w:val="000D4867"/>
    <w:rsid w:val="000D5784"/>
    <w:rsid w:val="000D5EDC"/>
    <w:rsid w:val="000D6596"/>
    <w:rsid w:val="000D6935"/>
    <w:rsid w:val="000D6FA8"/>
    <w:rsid w:val="000D7876"/>
    <w:rsid w:val="000E015A"/>
    <w:rsid w:val="000E1C77"/>
    <w:rsid w:val="000E2175"/>
    <w:rsid w:val="000E2F4B"/>
    <w:rsid w:val="000E366B"/>
    <w:rsid w:val="000E3BB5"/>
    <w:rsid w:val="000E3BD7"/>
    <w:rsid w:val="000E42AF"/>
    <w:rsid w:val="000E4462"/>
    <w:rsid w:val="000E5F17"/>
    <w:rsid w:val="000E61A6"/>
    <w:rsid w:val="000F00F3"/>
    <w:rsid w:val="000F0400"/>
    <w:rsid w:val="000F16C9"/>
    <w:rsid w:val="000F1EEC"/>
    <w:rsid w:val="000F2540"/>
    <w:rsid w:val="000F2A08"/>
    <w:rsid w:val="000F3700"/>
    <w:rsid w:val="000F370E"/>
    <w:rsid w:val="000F592F"/>
    <w:rsid w:val="000F7185"/>
    <w:rsid w:val="000F7BDB"/>
    <w:rsid w:val="000F7C60"/>
    <w:rsid w:val="000F7F96"/>
    <w:rsid w:val="00100082"/>
    <w:rsid w:val="001003AA"/>
    <w:rsid w:val="001019B3"/>
    <w:rsid w:val="0010210E"/>
    <w:rsid w:val="001022B6"/>
    <w:rsid w:val="001026E0"/>
    <w:rsid w:val="001034C8"/>
    <w:rsid w:val="00105CA7"/>
    <w:rsid w:val="00105D43"/>
    <w:rsid w:val="00106140"/>
    <w:rsid w:val="00106C24"/>
    <w:rsid w:val="0010769A"/>
    <w:rsid w:val="0011156E"/>
    <w:rsid w:val="00111579"/>
    <w:rsid w:val="0011186E"/>
    <w:rsid w:val="00111F09"/>
    <w:rsid w:val="001122C4"/>
    <w:rsid w:val="00112885"/>
    <w:rsid w:val="001132DF"/>
    <w:rsid w:val="0011330C"/>
    <w:rsid w:val="0011375C"/>
    <w:rsid w:val="00113B3A"/>
    <w:rsid w:val="00113E9E"/>
    <w:rsid w:val="00113F24"/>
    <w:rsid w:val="001149E6"/>
    <w:rsid w:val="001151EE"/>
    <w:rsid w:val="00115554"/>
    <w:rsid w:val="00116087"/>
    <w:rsid w:val="00116B48"/>
    <w:rsid w:val="00121379"/>
    <w:rsid w:val="00121795"/>
    <w:rsid w:val="00123C3A"/>
    <w:rsid w:val="00124738"/>
    <w:rsid w:val="00125B29"/>
    <w:rsid w:val="00126342"/>
    <w:rsid w:val="001267DA"/>
    <w:rsid w:val="00126A87"/>
    <w:rsid w:val="00127628"/>
    <w:rsid w:val="0013037A"/>
    <w:rsid w:val="0013077F"/>
    <w:rsid w:val="00130807"/>
    <w:rsid w:val="00130818"/>
    <w:rsid w:val="001308DE"/>
    <w:rsid w:val="00132575"/>
    <w:rsid w:val="001329F7"/>
    <w:rsid w:val="00132B2C"/>
    <w:rsid w:val="00132BE4"/>
    <w:rsid w:val="001335B5"/>
    <w:rsid w:val="001361FF"/>
    <w:rsid w:val="001379F4"/>
    <w:rsid w:val="00137E86"/>
    <w:rsid w:val="00140142"/>
    <w:rsid w:val="00141625"/>
    <w:rsid w:val="00142E1B"/>
    <w:rsid w:val="001458A9"/>
    <w:rsid w:val="00146139"/>
    <w:rsid w:val="00147452"/>
    <w:rsid w:val="00147C23"/>
    <w:rsid w:val="0015190E"/>
    <w:rsid w:val="00152486"/>
    <w:rsid w:val="00154A39"/>
    <w:rsid w:val="00155496"/>
    <w:rsid w:val="00155747"/>
    <w:rsid w:val="0015590C"/>
    <w:rsid w:val="001559EC"/>
    <w:rsid w:val="0015614E"/>
    <w:rsid w:val="0015633D"/>
    <w:rsid w:val="00156C59"/>
    <w:rsid w:val="00157BB6"/>
    <w:rsid w:val="0016049F"/>
    <w:rsid w:val="0016102D"/>
    <w:rsid w:val="0016283D"/>
    <w:rsid w:val="001630ED"/>
    <w:rsid w:val="001634E8"/>
    <w:rsid w:val="00163686"/>
    <w:rsid w:val="00163B48"/>
    <w:rsid w:val="00164CDB"/>
    <w:rsid w:val="001654F2"/>
    <w:rsid w:val="00165DF4"/>
    <w:rsid w:val="00165FE3"/>
    <w:rsid w:val="001674E0"/>
    <w:rsid w:val="00167AC0"/>
    <w:rsid w:val="0017197D"/>
    <w:rsid w:val="00172601"/>
    <w:rsid w:val="001759C2"/>
    <w:rsid w:val="001766D8"/>
    <w:rsid w:val="00177EA5"/>
    <w:rsid w:val="00180101"/>
    <w:rsid w:val="00180D84"/>
    <w:rsid w:val="0018268D"/>
    <w:rsid w:val="00183936"/>
    <w:rsid w:val="00184911"/>
    <w:rsid w:val="00184D3C"/>
    <w:rsid w:val="0018549E"/>
    <w:rsid w:val="001855B0"/>
    <w:rsid w:val="00185E3A"/>
    <w:rsid w:val="0018666F"/>
    <w:rsid w:val="00187A0E"/>
    <w:rsid w:val="00191803"/>
    <w:rsid w:val="001919CD"/>
    <w:rsid w:val="001927CA"/>
    <w:rsid w:val="00192B53"/>
    <w:rsid w:val="0019349C"/>
    <w:rsid w:val="00193EDC"/>
    <w:rsid w:val="00194304"/>
    <w:rsid w:val="00194AE2"/>
    <w:rsid w:val="00194E7B"/>
    <w:rsid w:val="001954AE"/>
    <w:rsid w:val="001964CF"/>
    <w:rsid w:val="0019697F"/>
    <w:rsid w:val="00197A64"/>
    <w:rsid w:val="00197EA9"/>
    <w:rsid w:val="001A0F8F"/>
    <w:rsid w:val="001A0FF3"/>
    <w:rsid w:val="001A1380"/>
    <w:rsid w:val="001A2CA3"/>
    <w:rsid w:val="001A46D3"/>
    <w:rsid w:val="001A4765"/>
    <w:rsid w:val="001A4C0A"/>
    <w:rsid w:val="001A4EAD"/>
    <w:rsid w:val="001A5BAA"/>
    <w:rsid w:val="001A5FBE"/>
    <w:rsid w:val="001A6CA7"/>
    <w:rsid w:val="001A6CC4"/>
    <w:rsid w:val="001A6DBB"/>
    <w:rsid w:val="001A7432"/>
    <w:rsid w:val="001B01FF"/>
    <w:rsid w:val="001B06B0"/>
    <w:rsid w:val="001B0E1F"/>
    <w:rsid w:val="001B1116"/>
    <w:rsid w:val="001B222E"/>
    <w:rsid w:val="001B2747"/>
    <w:rsid w:val="001B38A5"/>
    <w:rsid w:val="001B3B4E"/>
    <w:rsid w:val="001B407A"/>
    <w:rsid w:val="001B67CD"/>
    <w:rsid w:val="001B7110"/>
    <w:rsid w:val="001B7115"/>
    <w:rsid w:val="001B7B15"/>
    <w:rsid w:val="001C08BA"/>
    <w:rsid w:val="001C0CB4"/>
    <w:rsid w:val="001C22D2"/>
    <w:rsid w:val="001C2C0F"/>
    <w:rsid w:val="001C35A7"/>
    <w:rsid w:val="001C3D32"/>
    <w:rsid w:val="001C4904"/>
    <w:rsid w:val="001C7693"/>
    <w:rsid w:val="001D1007"/>
    <w:rsid w:val="001D10EB"/>
    <w:rsid w:val="001D1A27"/>
    <w:rsid w:val="001D1B36"/>
    <w:rsid w:val="001D1E7A"/>
    <w:rsid w:val="001D1F24"/>
    <w:rsid w:val="001D2CD5"/>
    <w:rsid w:val="001D3625"/>
    <w:rsid w:val="001D387D"/>
    <w:rsid w:val="001D443D"/>
    <w:rsid w:val="001D5864"/>
    <w:rsid w:val="001D5B31"/>
    <w:rsid w:val="001D6E2A"/>
    <w:rsid w:val="001D7C2A"/>
    <w:rsid w:val="001E2661"/>
    <w:rsid w:val="001E30E5"/>
    <w:rsid w:val="001E3364"/>
    <w:rsid w:val="001E3B60"/>
    <w:rsid w:val="001E45ED"/>
    <w:rsid w:val="001E64D4"/>
    <w:rsid w:val="001E78DC"/>
    <w:rsid w:val="001E7C51"/>
    <w:rsid w:val="001E7D24"/>
    <w:rsid w:val="001F08AB"/>
    <w:rsid w:val="001F14EE"/>
    <w:rsid w:val="001F366B"/>
    <w:rsid w:val="001F3AFE"/>
    <w:rsid w:val="001F411F"/>
    <w:rsid w:val="001F4F0C"/>
    <w:rsid w:val="001F5EB4"/>
    <w:rsid w:val="001F6DE5"/>
    <w:rsid w:val="001F7434"/>
    <w:rsid w:val="001F748A"/>
    <w:rsid w:val="001F773C"/>
    <w:rsid w:val="002002FE"/>
    <w:rsid w:val="00200396"/>
    <w:rsid w:val="002006D8"/>
    <w:rsid w:val="00201968"/>
    <w:rsid w:val="00202870"/>
    <w:rsid w:val="0020456B"/>
    <w:rsid w:val="00204756"/>
    <w:rsid w:val="00204953"/>
    <w:rsid w:val="00204D61"/>
    <w:rsid w:val="00205D8F"/>
    <w:rsid w:val="00207BA8"/>
    <w:rsid w:val="00207EDC"/>
    <w:rsid w:val="00210053"/>
    <w:rsid w:val="00210F0A"/>
    <w:rsid w:val="002110BE"/>
    <w:rsid w:val="002113EC"/>
    <w:rsid w:val="00211842"/>
    <w:rsid w:val="00211A3A"/>
    <w:rsid w:val="00211C61"/>
    <w:rsid w:val="00212E13"/>
    <w:rsid w:val="002132A3"/>
    <w:rsid w:val="002146B6"/>
    <w:rsid w:val="002146CA"/>
    <w:rsid w:val="00215648"/>
    <w:rsid w:val="0021631E"/>
    <w:rsid w:val="00216594"/>
    <w:rsid w:val="00217713"/>
    <w:rsid w:val="00217F03"/>
    <w:rsid w:val="002215E1"/>
    <w:rsid w:val="0022243E"/>
    <w:rsid w:val="0022257A"/>
    <w:rsid w:val="00222DE7"/>
    <w:rsid w:val="002237B5"/>
    <w:rsid w:val="00223F42"/>
    <w:rsid w:val="0022593E"/>
    <w:rsid w:val="00226946"/>
    <w:rsid w:val="002269B8"/>
    <w:rsid w:val="00230788"/>
    <w:rsid w:val="00230BC1"/>
    <w:rsid w:val="00231A6B"/>
    <w:rsid w:val="00234BC8"/>
    <w:rsid w:val="00236793"/>
    <w:rsid w:val="00236FAD"/>
    <w:rsid w:val="002422F4"/>
    <w:rsid w:val="00244110"/>
    <w:rsid w:val="00244E37"/>
    <w:rsid w:val="00246A91"/>
    <w:rsid w:val="00247D36"/>
    <w:rsid w:val="00250E62"/>
    <w:rsid w:val="00250EC7"/>
    <w:rsid w:val="00252317"/>
    <w:rsid w:val="002532A8"/>
    <w:rsid w:val="00253FD0"/>
    <w:rsid w:val="00254227"/>
    <w:rsid w:val="00254443"/>
    <w:rsid w:val="00254EF1"/>
    <w:rsid w:val="00255193"/>
    <w:rsid w:val="00256358"/>
    <w:rsid w:val="00256DC1"/>
    <w:rsid w:val="00257838"/>
    <w:rsid w:val="002600C7"/>
    <w:rsid w:val="00260C0E"/>
    <w:rsid w:val="00261453"/>
    <w:rsid w:val="00261804"/>
    <w:rsid w:val="002619A4"/>
    <w:rsid w:val="0026216C"/>
    <w:rsid w:val="0026355F"/>
    <w:rsid w:val="00263FD8"/>
    <w:rsid w:val="00264410"/>
    <w:rsid w:val="0026446F"/>
    <w:rsid w:val="002658F7"/>
    <w:rsid w:val="00265A26"/>
    <w:rsid w:val="00265CA8"/>
    <w:rsid w:val="002668DB"/>
    <w:rsid w:val="00266B4D"/>
    <w:rsid w:val="00266E6B"/>
    <w:rsid w:val="0026754B"/>
    <w:rsid w:val="00271D06"/>
    <w:rsid w:val="00272444"/>
    <w:rsid w:val="00272944"/>
    <w:rsid w:val="0027308C"/>
    <w:rsid w:val="00273896"/>
    <w:rsid w:val="0027436A"/>
    <w:rsid w:val="0027491A"/>
    <w:rsid w:val="00274F28"/>
    <w:rsid w:val="00275251"/>
    <w:rsid w:val="00275BF5"/>
    <w:rsid w:val="00276A3C"/>
    <w:rsid w:val="00276F6A"/>
    <w:rsid w:val="00277128"/>
    <w:rsid w:val="00280D18"/>
    <w:rsid w:val="0028255F"/>
    <w:rsid w:val="002827AE"/>
    <w:rsid w:val="00282E11"/>
    <w:rsid w:val="0028340E"/>
    <w:rsid w:val="0028457C"/>
    <w:rsid w:val="00285752"/>
    <w:rsid w:val="0028693A"/>
    <w:rsid w:val="00290133"/>
    <w:rsid w:val="00291761"/>
    <w:rsid w:val="00292E65"/>
    <w:rsid w:val="00292FD8"/>
    <w:rsid w:val="00294011"/>
    <w:rsid w:val="00294848"/>
    <w:rsid w:val="00294972"/>
    <w:rsid w:val="00294A0E"/>
    <w:rsid w:val="00294FBC"/>
    <w:rsid w:val="002965DE"/>
    <w:rsid w:val="00296657"/>
    <w:rsid w:val="00297690"/>
    <w:rsid w:val="002A101D"/>
    <w:rsid w:val="002A1396"/>
    <w:rsid w:val="002A34B5"/>
    <w:rsid w:val="002A36CA"/>
    <w:rsid w:val="002A3C62"/>
    <w:rsid w:val="002A3C89"/>
    <w:rsid w:val="002A5520"/>
    <w:rsid w:val="002A5DAE"/>
    <w:rsid w:val="002A63DE"/>
    <w:rsid w:val="002A6DD1"/>
    <w:rsid w:val="002A758F"/>
    <w:rsid w:val="002B04B7"/>
    <w:rsid w:val="002B09F2"/>
    <w:rsid w:val="002B2D95"/>
    <w:rsid w:val="002B3DC5"/>
    <w:rsid w:val="002B3F5B"/>
    <w:rsid w:val="002B5DEE"/>
    <w:rsid w:val="002B65E6"/>
    <w:rsid w:val="002B6F4F"/>
    <w:rsid w:val="002C0510"/>
    <w:rsid w:val="002C0830"/>
    <w:rsid w:val="002C0E29"/>
    <w:rsid w:val="002C29D6"/>
    <w:rsid w:val="002C3C2C"/>
    <w:rsid w:val="002C51B7"/>
    <w:rsid w:val="002C5FAC"/>
    <w:rsid w:val="002C627D"/>
    <w:rsid w:val="002C7B7C"/>
    <w:rsid w:val="002D03E9"/>
    <w:rsid w:val="002D0921"/>
    <w:rsid w:val="002D19D3"/>
    <w:rsid w:val="002D3C55"/>
    <w:rsid w:val="002D3C7B"/>
    <w:rsid w:val="002D4751"/>
    <w:rsid w:val="002D5109"/>
    <w:rsid w:val="002D5A56"/>
    <w:rsid w:val="002D7BF2"/>
    <w:rsid w:val="002D7C2B"/>
    <w:rsid w:val="002D7D4A"/>
    <w:rsid w:val="002E0B0F"/>
    <w:rsid w:val="002E240C"/>
    <w:rsid w:val="002E2555"/>
    <w:rsid w:val="002E28CB"/>
    <w:rsid w:val="002E3ECC"/>
    <w:rsid w:val="002E405D"/>
    <w:rsid w:val="002E4F06"/>
    <w:rsid w:val="002E6EFE"/>
    <w:rsid w:val="002E7E97"/>
    <w:rsid w:val="002E7F27"/>
    <w:rsid w:val="002F21DF"/>
    <w:rsid w:val="002F273C"/>
    <w:rsid w:val="002F2B30"/>
    <w:rsid w:val="002F2CC9"/>
    <w:rsid w:val="002F5362"/>
    <w:rsid w:val="002F5AB4"/>
    <w:rsid w:val="002F66DD"/>
    <w:rsid w:val="002F7AF3"/>
    <w:rsid w:val="003000E1"/>
    <w:rsid w:val="00300518"/>
    <w:rsid w:val="00300918"/>
    <w:rsid w:val="0030137F"/>
    <w:rsid w:val="00302255"/>
    <w:rsid w:val="00302277"/>
    <w:rsid w:val="0030252B"/>
    <w:rsid w:val="00303472"/>
    <w:rsid w:val="003040AF"/>
    <w:rsid w:val="00304ECC"/>
    <w:rsid w:val="003051A9"/>
    <w:rsid w:val="00306874"/>
    <w:rsid w:val="00306F44"/>
    <w:rsid w:val="0030705B"/>
    <w:rsid w:val="00307227"/>
    <w:rsid w:val="0030733E"/>
    <w:rsid w:val="00310093"/>
    <w:rsid w:val="00310627"/>
    <w:rsid w:val="003106C2"/>
    <w:rsid w:val="00310CC0"/>
    <w:rsid w:val="00311374"/>
    <w:rsid w:val="00311F85"/>
    <w:rsid w:val="003123A2"/>
    <w:rsid w:val="00312961"/>
    <w:rsid w:val="00313951"/>
    <w:rsid w:val="00313AFB"/>
    <w:rsid w:val="00313FFE"/>
    <w:rsid w:val="00314F60"/>
    <w:rsid w:val="00315348"/>
    <w:rsid w:val="0031694C"/>
    <w:rsid w:val="00316E53"/>
    <w:rsid w:val="00317B77"/>
    <w:rsid w:val="00320ED6"/>
    <w:rsid w:val="00321169"/>
    <w:rsid w:val="003221D0"/>
    <w:rsid w:val="003236BE"/>
    <w:rsid w:val="00323E5F"/>
    <w:rsid w:val="00326932"/>
    <w:rsid w:val="00326FBE"/>
    <w:rsid w:val="003270D9"/>
    <w:rsid w:val="00330CAD"/>
    <w:rsid w:val="00331570"/>
    <w:rsid w:val="003320F6"/>
    <w:rsid w:val="00332E34"/>
    <w:rsid w:val="00332F23"/>
    <w:rsid w:val="0033419F"/>
    <w:rsid w:val="00334675"/>
    <w:rsid w:val="00334A22"/>
    <w:rsid w:val="00334DE7"/>
    <w:rsid w:val="003350FF"/>
    <w:rsid w:val="00336C57"/>
    <w:rsid w:val="003376FB"/>
    <w:rsid w:val="00337DAA"/>
    <w:rsid w:val="00337E58"/>
    <w:rsid w:val="00341755"/>
    <w:rsid w:val="00341791"/>
    <w:rsid w:val="00343869"/>
    <w:rsid w:val="00344EE7"/>
    <w:rsid w:val="003453FB"/>
    <w:rsid w:val="0034540A"/>
    <w:rsid w:val="00350639"/>
    <w:rsid w:val="00352657"/>
    <w:rsid w:val="00352B18"/>
    <w:rsid w:val="00354150"/>
    <w:rsid w:val="003546F2"/>
    <w:rsid w:val="0035673B"/>
    <w:rsid w:val="003568BE"/>
    <w:rsid w:val="00357A0E"/>
    <w:rsid w:val="0036185E"/>
    <w:rsid w:val="00361E57"/>
    <w:rsid w:val="00362217"/>
    <w:rsid w:val="0036358F"/>
    <w:rsid w:val="00364890"/>
    <w:rsid w:val="00364BA8"/>
    <w:rsid w:val="00365C00"/>
    <w:rsid w:val="00365F76"/>
    <w:rsid w:val="003664DC"/>
    <w:rsid w:val="00366510"/>
    <w:rsid w:val="00367563"/>
    <w:rsid w:val="003728C0"/>
    <w:rsid w:val="00373142"/>
    <w:rsid w:val="00374055"/>
    <w:rsid w:val="00374E33"/>
    <w:rsid w:val="00375A53"/>
    <w:rsid w:val="00375AF7"/>
    <w:rsid w:val="00375B76"/>
    <w:rsid w:val="00377D3A"/>
    <w:rsid w:val="003800EE"/>
    <w:rsid w:val="00380FE9"/>
    <w:rsid w:val="00381CA1"/>
    <w:rsid w:val="00381EE9"/>
    <w:rsid w:val="00382580"/>
    <w:rsid w:val="00383497"/>
    <w:rsid w:val="00383994"/>
    <w:rsid w:val="003853D2"/>
    <w:rsid w:val="0038583F"/>
    <w:rsid w:val="00386564"/>
    <w:rsid w:val="00387011"/>
    <w:rsid w:val="0039048D"/>
    <w:rsid w:val="00390663"/>
    <w:rsid w:val="00390EF3"/>
    <w:rsid w:val="00391BB4"/>
    <w:rsid w:val="0039326E"/>
    <w:rsid w:val="00393E85"/>
    <w:rsid w:val="003944F6"/>
    <w:rsid w:val="00396791"/>
    <w:rsid w:val="00397FA1"/>
    <w:rsid w:val="003A1282"/>
    <w:rsid w:val="003A1310"/>
    <w:rsid w:val="003A1F59"/>
    <w:rsid w:val="003A229B"/>
    <w:rsid w:val="003A23D2"/>
    <w:rsid w:val="003A3B60"/>
    <w:rsid w:val="003A4425"/>
    <w:rsid w:val="003A5068"/>
    <w:rsid w:val="003A5546"/>
    <w:rsid w:val="003A635C"/>
    <w:rsid w:val="003A7969"/>
    <w:rsid w:val="003B110A"/>
    <w:rsid w:val="003B1A5F"/>
    <w:rsid w:val="003B37C3"/>
    <w:rsid w:val="003B42A9"/>
    <w:rsid w:val="003B52EB"/>
    <w:rsid w:val="003B5EE4"/>
    <w:rsid w:val="003B6926"/>
    <w:rsid w:val="003B6A8F"/>
    <w:rsid w:val="003B6C9F"/>
    <w:rsid w:val="003B6D5E"/>
    <w:rsid w:val="003B788F"/>
    <w:rsid w:val="003B7CEE"/>
    <w:rsid w:val="003C1760"/>
    <w:rsid w:val="003C1A19"/>
    <w:rsid w:val="003C1BC9"/>
    <w:rsid w:val="003C1C63"/>
    <w:rsid w:val="003C222A"/>
    <w:rsid w:val="003C2E54"/>
    <w:rsid w:val="003C3F4A"/>
    <w:rsid w:val="003C4BC4"/>
    <w:rsid w:val="003C5FE4"/>
    <w:rsid w:val="003C6668"/>
    <w:rsid w:val="003C67FB"/>
    <w:rsid w:val="003C6850"/>
    <w:rsid w:val="003C6B71"/>
    <w:rsid w:val="003C75EF"/>
    <w:rsid w:val="003C771D"/>
    <w:rsid w:val="003C7DDB"/>
    <w:rsid w:val="003D0D87"/>
    <w:rsid w:val="003D1171"/>
    <w:rsid w:val="003D17C0"/>
    <w:rsid w:val="003D27BE"/>
    <w:rsid w:val="003D4192"/>
    <w:rsid w:val="003D4605"/>
    <w:rsid w:val="003D480D"/>
    <w:rsid w:val="003D567E"/>
    <w:rsid w:val="003D5F86"/>
    <w:rsid w:val="003D5FBA"/>
    <w:rsid w:val="003E010B"/>
    <w:rsid w:val="003E0CA0"/>
    <w:rsid w:val="003E14F6"/>
    <w:rsid w:val="003E1A61"/>
    <w:rsid w:val="003E255B"/>
    <w:rsid w:val="003E2C69"/>
    <w:rsid w:val="003E3490"/>
    <w:rsid w:val="003E34ED"/>
    <w:rsid w:val="003E4EE1"/>
    <w:rsid w:val="003E6515"/>
    <w:rsid w:val="003E687B"/>
    <w:rsid w:val="003E70C1"/>
    <w:rsid w:val="003E7452"/>
    <w:rsid w:val="003F0156"/>
    <w:rsid w:val="003F064B"/>
    <w:rsid w:val="003F0923"/>
    <w:rsid w:val="003F2089"/>
    <w:rsid w:val="003F20B4"/>
    <w:rsid w:val="003F3271"/>
    <w:rsid w:val="003F3C7F"/>
    <w:rsid w:val="003F41E6"/>
    <w:rsid w:val="003F44C7"/>
    <w:rsid w:val="003F452A"/>
    <w:rsid w:val="003F458B"/>
    <w:rsid w:val="003F4666"/>
    <w:rsid w:val="003F6FB3"/>
    <w:rsid w:val="003F780F"/>
    <w:rsid w:val="00402178"/>
    <w:rsid w:val="00403FAE"/>
    <w:rsid w:val="004054D2"/>
    <w:rsid w:val="0040660B"/>
    <w:rsid w:val="00406787"/>
    <w:rsid w:val="00406FA3"/>
    <w:rsid w:val="00407F4A"/>
    <w:rsid w:val="004108F6"/>
    <w:rsid w:val="0041234A"/>
    <w:rsid w:val="00412923"/>
    <w:rsid w:val="00414074"/>
    <w:rsid w:val="004153C9"/>
    <w:rsid w:val="004161BC"/>
    <w:rsid w:val="004164A5"/>
    <w:rsid w:val="004171BD"/>
    <w:rsid w:val="0041732B"/>
    <w:rsid w:val="004176F3"/>
    <w:rsid w:val="00417C5F"/>
    <w:rsid w:val="00417C91"/>
    <w:rsid w:val="00420AA7"/>
    <w:rsid w:val="00420CAD"/>
    <w:rsid w:val="00421C89"/>
    <w:rsid w:val="004221B5"/>
    <w:rsid w:val="00422E33"/>
    <w:rsid w:val="00424FE0"/>
    <w:rsid w:val="00425E0B"/>
    <w:rsid w:val="00426661"/>
    <w:rsid w:val="00426950"/>
    <w:rsid w:val="00427CE3"/>
    <w:rsid w:val="00427E28"/>
    <w:rsid w:val="00430167"/>
    <w:rsid w:val="0043102E"/>
    <w:rsid w:val="00431BA8"/>
    <w:rsid w:val="00432234"/>
    <w:rsid w:val="00434604"/>
    <w:rsid w:val="00436F64"/>
    <w:rsid w:val="00437018"/>
    <w:rsid w:val="00437BE5"/>
    <w:rsid w:val="00437C0C"/>
    <w:rsid w:val="00437CD5"/>
    <w:rsid w:val="00437DA6"/>
    <w:rsid w:val="0044058C"/>
    <w:rsid w:val="00441D60"/>
    <w:rsid w:val="004432FE"/>
    <w:rsid w:val="00443C55"/>
    <w:rsid w:val="0044403E"/>
    <w:rsid w:val="00446232"/>
    <w:rsid w:val="00446A26"/>
    <w:rsid w:val="00446EB6"/>
    <w:rsid w:val="00447CFC"/>
    <w:rsid w:val="004549C4"/>
    <w:rsid w:val="00454E7B"/>
    <w:rsid w:val="004553E5"/>
    <w:rsid w:val="004556E3"/>
    <w:rsid w:val="0045573C"/>
    <w:rsid w:val="00455E4C"/>
    <w:rsid w:val="004567FE"/>
    <w:rsid w:val="00456CED"/>
    <w:rsid w:val="00457E4E"/>
    <w:rsid w:val="0046065C"/>
    <w:rsid w:val="00461889"/>
    <w:rsid w:val="004619B2"/>
    <w:rsid w:val="004619FD"/>
    <w:rsid w:val="0046207A"/>
    <w:rsid w:val="004626A6"/>
    <w:rsid w:val="004632C9"/>
    <w:rsid w:val="00463788"/>
    <w:rsid w:val="00463B6E"/>
    <w:rsid w:val="004660CD"/>
    <w:rsid w:val="0046679F"/>
    <w:rsid w:val="00466954"/>
    <w:rsid w:val="00466BB0"/>
    <w:rsid w:val="00467283"/>
    <w:rsid w:val="0046790B"/>
    <w:rsid w:val="00467B6A"/>
    <w:rsid w:val="00470C81"/>
    <w:rsid w:val="00471188"/>
    <w:rsid w:val="0047157B"/>
    <w:rsid w:val="004727A7"/>
    <w:rsid w:val="00472A2A"/>
    <w:rsid w:val="00472C71"/>
    <w:rsid w:val="00472C8B"/>
    <w:rsid w:val="00472D56"/>
    <w:rsid w:val="00473C67"/>
    <w:rsid w:val="00474119"/>
    <w:rsid w:val="00477DB9"/>
    <w:rsid w:val="00480717"/>
    <w:rsid w:val="004807E2"/>
    <w:rsid w:val="00480D75"/>
    <w:rsid w:val="00481604"/>
    <w:rsid w:val="00481BD6"/>
    <w:rsid w:val="00482789"/>
    <w:rsid w:val="00485CFE"/>
    <w:rsid w:val="00486802"/>
    <w:rsid w:val="00490298"/>
    <w:rsid w:val="004903FD"/>
    <w:rsid w:val="00490F63"/>
    <w:rsid w:val="00491669"/>
    <w:rsid w:val="00491ABD"/>
    <w:rsid w:val="00491DAB"/>
    <w:rsid w:val="0049298D"/>
    <w:rsid w:val="00493884"/>
    <w:rsid w:val="00493BF2"/>
    <w:rsid w:val="00493E03"/>
    <w:rsid w:val="00494076"/>
    <w:rsid w:val="00494C28"/>
    <w:rsid w:val="00495240"/>
    <w:rsid w:val="00495D7D"/>
    <w:rsid w:val="004963B5"/>
    <w:rsid w:val="00496E5D"/>
    <w:rsid w:val="004A0C66"/>
    <w:rsid w:val="004A1C71"/>
    <w:rsid w:val="004A1CD1"/>
    <w:rsid w:val="004A2226"/>
    <w:rsid w:val="004A278D"/>
    <w:rsid w:val="004A48C2"/>
    <w:rsid w:val="004A4DBC"/>
    <w:rsid w:val="004A50EA"/>
    <w:rsid w:val="004A62CD"/>
    <w:rsid w:val="004A648E"/>
    <w:rsid w:val="004B0441"/>
    <w:rsid w:val="004B0FCA"/>
    <w:rsid w:val="004B12E1"/>
    <w:rsid w:val="004B16AC"/>
    <w:rsid w:val="004B19C7"/>
    <w:rsid w:val="004B2A8D"/>
    <w:rsid w:val="004B2D4E"/>
    <w:rsid w:val="004B324B"/>
    <w:rsid w:val="004B36BD"/>
    <w:rsid w:val="004B3934"/>
    <w:rsid w:val="004B3969"/>
    <w:rsid w:val="004B3ADE"/>
    <w:rsid w:val="004B4B2E"/>
    <w:rsid w:val="004B5050"/>
    <w:rsid w:val="004B5249"/>
    <w:rsid w:val="004B5D13"/>
    <w:rsid w:val="004B727D"/>
    <w:rsid w:val="004C0915"/>
    <w:rsid w:val="004C103F"/>
    <w:rsid w:val="004C2007"/>
    <w:rsid w:val="004C2193"/>
    <w:rsid w:val="004C5BAE"/>
    <w:rsid w:val="004C6426"/>
    <w:rsid w:val="004C65D4"/>
    <w:rsid w:val="004C6698"/>
    <w:rsid w:val="004D0184"/>
    <w:rsid w:val="004D044D"/>
    <w:rsid w:val="004D078F"/>
    <w:rsid w:val="004D1273"/>
    <w:rsid w:val="004D1426"/>
    <w:rsid w:val="004D1D2A"/>
    <w:rsid w:val="004D1F5F"/>
    <w:rsid w:val="004D244E"/>
    <w:rsid w:val="004D2AB1"/>
    <w:rsid w:val="004D4F09"/>
    <w:rsid w:val="004D518D"/>
    <w:rsid w:val="004D5428"/>
    <w:rsid w:val="004D55EF"/>
    <w:rsid w:val="004D66A3"/>
    <w:rsid w:val="004D67FB"/>
    <w:rsid w:val="004D6D85"/>
    <w:rsid w:val="004D73EC"/>
    <w:rsid w:val="004D74BB"/>
    <w:rsid w:val="004D75F6"/>
    <w:rsid w:val="004D764F"/>
    <w:rsid w:val="004E0B45"/>
    <w:rsid w:val="004E116A"/>
    <w:rsid w:val="004E1D72"/>
    <w:rsid w:val="004E22CE"/>
    <w:rsid w:val="004E24EC"/>
    <w:rsid w:val="004E277A"/>
    <w:rsid w:val="004E4CCC"/>
    <w:rsid w:val="004E6EEB"/>
    <w:rsid w:val="004E7021"/>
    <w:rsid w:val="004E77CC"/>
    <w:rsid w:val="004E79AB"/>
    <w:rsid w:val="004E7DCC"/>
    <w:rsid w:val="004F263F"/>
    <w:rsid w:val="004F2D8C"/>
    <w:rsid w:val="004F30A3"/>
    <w:rsid w:val="004F3F8B"/>
    <w:rsid w:val="004F4100"/>
    <w:rsid w:val="004F4A8D"/>
    <w:rsid w:val="004F54AE"/>
    <w:rsid w:val="004F5BBF"/>
    <w:rsid w:val="004F649A"/>
    <w:rsid w:val="004F6F24"/>
    <w:rsid w:val="004F7241"/>
    <w:rsid w:val="004F7673"/>
    <w:rsid w:val="004F77C7"/>
    <w:rsid w:val="004F77CE"/>
    <w:rsid w:val="005000BD"/>
    <w:rsid w:val="00500342"/>
    <w:rsid w:val="005004D0"/>
    <w:rsid w:val="00503DD7"/>
    <w:rsid w:val="00503EE0"/>
    <w:rsid w:val="00503FFB"/>
    <w:rsid w:val="00504232"/>
    <w:rsid w:val="00505163"/>
    <w:rsid w:val="00505C73"/>
    <w:rsid w:val="0050629D"/>
    <w:rsid w:val="00507858"/>
    <w:rsid w:val="00510402"/>
    <w:rsid w:val="0051057F"/>
    <w:rsid w:val="0051169E"/>
    <w:rsid w:val="00511C09"/>
    <w:rsid w:val="0051237A"/>
    <w:rsid w:val="005129FF"/>
    <w:rsid w:val="00512E8A"/>
    <w:rsid w:val="00513406"/>
    <w:rsid w:val="00514A6C"/>
    <w:rsid w:val="00514F71"/>
    <w:rsid w:val="005159E8"/>
    <w:rsid w:val="00516157"/>
    <w:rsid w:val="00517FAD"/>
    <w:rsid w:val="005207E5"/>
    <w:rsid w:val="00520D1D"/>
    <w:rsid w:val="00521865"/>
    <w:rsid w:val="00521D21"/>
    <w:rsid w:val="005222EA"/>
    <w:rsid w:val="005223D4"/>
    <w:rsid w:val="00523035"/>
    <w:rsid w:val="00523F20"/>
    <w:rsid w:val="00524473"/>
    <w:rsid w:val="00525737"/>
    <w:rsid w:val="00525C90"/>
    <w:rsid w:val="00525FC4"/>
    <w:rsid w:val="00526707"/>
    <w:rsid w:val="0052723A"/>
    <w:rsid w:val="005277FE"/>
    <w:rsid w:val="00530E4A"/>
    <w:rsid w:val="00532190"/>
    <w:rsid w:val="00532636"/>
    <w:rsid w:val="00532952"/>
    <w:rsid w:val="00532C99"/>
    <w:rsid w:val="00533286"/>
    <w:rsid w:val="00534CBB"/>
    <w:rsid w:val="00535D1B"/>
    <w:rsid w:val="00535FB6"/>
    <w:rsid w:val="00536D5F"/>
    <w:rsid w:val="00537558"/>
    <w:rsid w:val="00540A7F"/>
    <w:rsid w:val="0054170E"/>
    <w:rsid w:val="005424F9"/>
    <w:rsid w:val="00543D6F"/>
    <w:rsid w:val="005443F1"/>
    <w:rsid w:val="005445D4"/>
    <w:rsid w:val="00545D03"/>
    <w:rsid w:val="00546041"/>
    <w:rsid w:val="00546091"/>
    <w:rsid w:val="0054610F"/>
    <w:rsid w:val="0054617A"/>
    <w:rsid w:val="005466B8"/>
    <w:rsid w:val="00546D9E"/>
    <w:rsid w:val="0055015F"/>
    <w:rsid w:val="00552257"/>
    <w:rsid w:val="00552444"/>
    <w:rsid w:val="00552778"/>
    <w:rsid w:val="00552AB8"/>
    <w:rsid w:val="00552D18"/>
    <w:rsid w:val="00552FD3"/>
    <w:rsid w:val="0055309E"/>
    <w:rsid w:val="00553170"/>
    <w:rsid w:val="005558CB"/>
    <w:rsid w:val="00555ACB"/>
    <w:rsid w:val="0055691E"/>
    <w:rsid w:val="0055716E"/>
    <w:rsid w:val="00557A7B"/>
    <w:rsid w:val="00560194"/>
    <w:rsid w:val="00561A0D"/>
    <w:rsid w:val="00561AEC"/>
    <w:rsid w:val="00561BB6"/>
    <w:rsid w:val="005621C8"/>
    <w:rsid w:val="0056258B"/>
    <w:rsid w:val="005646CC"/>
    <w:rsid w:val="0056611E"/>
    <w:rsid w:val="0057050E"/>
    <w:rsid w:val="00570C96"/>
    <w:rsid w:val="00570E5C"/>
    <w:rsid w:val="00571883"/>
    <w:rsid w:val="00571DA6"/>
    <w:rsid w:val="005722E0"/>
    <w:rsid w:val="0057291F"/>
    <w:rsid w:val="0057352B"/>
    <w:rsid w:val="005736AD"/>
    <w:rsid w:val="00574F5D"/>
    <w:rsid w:val="005753AE"/>
    <w:rsid w:val="00575EB3"/>
    <w:rsid w:val="00576DCD"/>
    <w:rsid w:val="0057707C"/>
    <w:rsid w:val="00577997"/>
    <w:rsid w:val="0058104C"/>
    <w:rsid w:val="00581485"/>
    <w:rsid w:val="0058235A"/>
    <w:rsid w:val="005825D0"/>
    <w:rsid w:val="00585C7B"/>
    <w:rsid w:val="00585E01"/>
    <w:rsid w:val="0059041A"/>
    <w:rsid w:val="0059186C"/>
    <w:rsid w:val="00592826"/>
    <w:rsid w:val="005933B9"/>
    <w:rsid w:val="00593567"/>
    <w:rsid w:val="00594C6F"/>
    <w:rsid w:val="0059511E"/>
    <w:rsid w:val="005A00E5"/>
    <w:rsid w:val="005A03DE"/>
    <w:rsid w:val="005A0615"/>
    <w:rsid w:val="005A0912"/>
    <w:rsid w:val="005A0ACA"/>
    <w:rsid w:val="005A0DA9"/>
    <w:rsid w:val="005A1FF0"/>
    <w:rsid w:val="005A24B8"/>
    <w:rsid w:val="005A2AE6"/>
    <w:rsid w:val="005A36FF"/>
    <w:rsid w:val="005A5B12"/>
    <w:rsid w:val="005A67ED"/>
    <w:rsid w:val="005A6EC9"/>
    <w:rsid w:val="005B13CA"/>
    <w:rsid w:val="005B13FE"/>
    <w:rsid w:val="005B1DD9"/>
    <w:rsid w:val="005B2748"/>
    <w:rsid w:val="005B2B21"/>
    <w:rsid w:val="005B32A4"/>
    <w:rsid w:val="005B3343"/>
    <w:rsid w:val="005B393A"/>
    <w:rsid w:val="005B3CF7"/>
    <w:rsid w:val="005B416E"/>
    <w:rsid w:val="005B4C1B"/>
    <w:rsid w:val="005B531B"/>
    <w:rsid w:val="005B601E"/>
    <w:rsid w:val="005B665C"/>
    <w:rsid w:val="005B71CC"/>
    <w:rsid w:val="005B739B"/>
    <w:rsid w:val="005B76D0"/>
    <w:rsid w:val="005B78D4"/>
    <w:rsid w:val="005B7EB0"/>
    <w:rsid w:val="005C0533"/>
    <w:rsid w:val="005C0D07"/>
    <w:rsid w:val="005C1385"/>
    <w:rsid w:val="005C1834"/>
    <w:rsid w:val="005C30DD"/>
    <w:rsid w:val="005C49A0"/>
    <w:rsid w:val="005C5173"/>
    <w:rsid w:val="005C5B55"/>
    <w:rsid w:val="005C5BC6"/>
    <w:rsid w:val="005C741B"/>
    <w:rsid w:val="005D0DDD"/>
    <w:rsid w:val="005D3583"/>
    <w:rsid w:val="005D35FF"/>
    <w:rsid w:val="005D380B"/>
    <w:rsid w:val="005D47A0"/>
    <w:rsid w:val="005D5744"/>
    <w:rsid w:val="005D5AB2"/>
    <w:rsid w:val="005D631D"/>
    <w:rsid w:val="005D638F"/>
    <w:rsid w:val="005D71EF"/>
    <w:rsid w:val="005D72C5"/>
    <w:rsid w:val="005D7D70"/>
    <w:rsid w:val="005E00F5"/>
    <w:rsid w:val="005E0B88"/>
    <w:rsid w:val="005E1539"/>
    <w:rsid w:val="005E2506"/>
    <w:rsid w:val="005E25D9"/>
    <w:rsid w:val="005E2F23"/>
    <w:rsid w:val="005E43C7"/>
    <w:rsid w:val="005E5105"/>
    <w:rsid w:val="005E6A1B"/>
    <w:rsid w:val="005E6C59"/>
    <w:rsid w:val="005E7BC0"/>
    <w:rsid w:val="005F0AED"/>
    <w:rsid w:val="005F0F06"/>
    <w:rsid w:val="005F1CAC"/>
    <w:rsid w:val="005F2019"/>
    <w:rsid w:val="005F24D5"/>
    <w:rsid w:val="005F26F6"/>
    <w:rsid w:val="005F3554"/>
    <w:rsid w:val="005F3E8F"/>
    <w:rsid w:val="005F48A8"/>
    <w:rsid w:val="005F617B"/>
    <w:rsid w:val="005F666F"/>
    <w:rsid w:val="005F73D9"/>
    <w:rsid w:val="005F7C53"/>
    <w:rsid w:val="00601773"/>
    <w:rsid w:val="006023CD"/>
    <w:rsid w:val="006028CA"/>
    <w:rsid w:val="0060315D"/>
    <w:rsid w:val="006040C3"/>
    <w:rsid w:val="006044DF"/>
    <w:rsid w:val="006050D7"/>
    <w:rsid w:val="006056F0"/>
    <w:rsid w:val="00605FA7"/>
    <w:rsid w:val="0060658B"/>
    <w:rsid w:val="00606B3C"/>
    <w:rsid w:val="006070A1"/>
    <w:rsid w:val="00611C90"/>
    <w:rsid w:val="00612245"/>
    <w:rsid w:val="00612989"/>
    <w:rsid w:val="00612A22"/>
    <w:rsid w:val="00613B47"/>
    <w:rsid w:val="00614AE1"/>
    <w:rsid w:val="00614FC1"/>
    <w:rsid w:val="0061505C"/>
    <w:rsid w:val="00615C47"/>
    <w:rsid w:val="006163D7"/>
    <w:rsid w:val="00617FB7"/>
    <w:rsid w:val="00620800"/>
    <w:rsid w:val="00620F18"/>
    <w:rsid w:val="0062169A"/>
    <w:rsid w:val="0062231F"/>
    <w:rsid w:val="00622B65"/>
    <w:rsid w:val="00624946"/>
    <w:rsid w:val="00625BF0"/>
    <w:rsid w:val="006260E1"/>
    <w:rsid w:val="00626B4E"/>
    <w:rsid w:val="006309C1"/>
    <w:rsid w:val="00631A05"/>
    <w:rsid w:val="00631B28"/>
    <w:rsid w:val="0063232D"/>
    <w:rsid w:val="006329A9"/>
    <w:rsid w:val="006330E9"/>
    <w:rsid w:val="0063439C"/>
    <w:rsid w:val="00634947"/>
    <w:rsid w:val="006349DD"/>
    <w:rsid w:val="00634C43"/>
    <w:rsid w:val="00636431"/>
    <w:rsid w:val="00636F92"/>
    <w:rsid w:val="006377B0"/>
    <w:rsid w:val="006416BE"/>
    <w:rsid w:val="00641E02"/>
    <w:rsid w:val="00641F99"/>
    <w:rsid w:val="00643BAD"/>
    <w:rsid w:val="00644082"/>
    <w:rsid w:val="0064423C"/>
    <w:rsid w:val="00644ACB"/>
    <w:rsid w:val="00645AA4"/>
    <w:rsid w:val="0064655B"/>
    <w:rsid w:val="0064691C"/>
    <w:rsid w:val="00650517"/>
    <w:rsid w:val="00652092"/>
    <w:rsid w:val="00652531"/>
    <w:rsid w:val="00652BCC"/>
    <w:rsid w:val="00652BDE"/>
    <w:rsid w:val="00652CE2"/>
    <w:rsid w:val="006533EB"/>
    <w:rsid w:val="006534A2"/>
    <w:rsid w:val="006551FD"/>
    <w:rsid w:val="00655BE1"/>
    <w:rsid w:val="00656171"/>
    <w:rsid w:val="006562A7"/>
    <w:rsid w:val="006600EE"/>
    <w:rsid w:val="00660ABE"/>
    <w:rsid w:val="00661051"/>
    <w:rsid w:val="006620F4"/>
    <w:rsid w:val="00662F68"/>
    <w:rsid w:val="0066392E"/>
    <w:rsid w:val="006640CB"/>
    <w:rsid w:val="00666637"/>
    <w:rsid w:val="00666DD1"/>
    <w:rsid w:val="00667A09"/>
    <w:rsid w:val="00667BBD"/>
    <w:rsid w:val="006704E8"/>
    <w:rsid w:val="006716C8"/>
    <w:rsid w:val="00672781"/>
    <w:rsid w:val="0067434D"/>
    <w:rsid w:val="00674EA4"/>
    <w:rsid w:val="00675158"/>
    <w:rsid w:val="0068055A"/>
    <w:rsid w:val="006807CE"/>
    <w:rsid w:val="00680ECD"/>
    <w:rsid w:val="00681B26"/>
    <w:rsid w:val="00681E7B"/>
    <w:rsid w:val="00682A64"/>
    <w:rsid w:val="00682ABC"/>
    <w:rsid w:val="0068468D"/>
    <w:rsid w:val="00684765"/>
    <w:rsid w:val="00684B9E"/>
    <w:rsid w:val="00685ECA"/>
    <w:rsid w:val="00686811"/>
    <w:rsid w:val="00687744"/>
    <w:rsid w:val="00690CBC"/>
    <w:rsid w:val="006915A8"/>
    <w:rsid w:val="006921E5"/>
    <w:rsid w:val="00692A99"/>
    <w:rsid w:val="00694023"/>
    <w:rsid w:val="00694C37"/>
    <w:rsid w:val="00695591"/>
    <w:rsid w:val="0069651C"/>
    <w:rsid w:val="006978D3"/>
    <w:rsid w:val="006A0DD4"/>
    <w:rsid w:val="006A246E"/>
    <w:rsid w:val="006A29B3"/>
    <w:rsid w:val="006A2EA8"/>
    <w:rsid w:val="006A3368"/>
    <w:rsid w:val="006A341A"/>
    <w:rsid w:val="006A4788"/>
    <w:rsid w:val="006A6000"/>
    <w:rsid w:val="006A6814"/>
    <w:rsid w:val="006A7493"/>
    <w:rsid w:val="006B0117"/>
    <w:rsid w:val="006B0145"/>
    <w:rsid w:val="006B0B1B"/>
    <w:rsid w:val="006B1263"/>
    <w:rsid w:val="006B173D"/>
    <w:rsid w:val="006B2E12"/>
    <w:rsid w:val="006B3777"/>
    <w:rsid w:val="006B5B60"/>
    <w:rsid w:val="006B6ACD"/>
    <w:rsid w:val="006C04E7"/>
    <w:rsid w:val="006C09EF"/>
    <w:rsid w:val="006C13A3"/>
    <w:rsid w:val="006C23AB"/>
    <w:rsid w:val="006C3381"/>
    <w:rsid w:val="006C3670"/>
    <w:rsid w:val="006C36CC"/>
    <w:rsid w:val="006C3CA1"/>
    <w:rsid w:val="006C4C78"/>
    <w:rsid w:val="006C5F44"/>
    <w:rsid w:val="006C7162"/>
    <w:rsid w:val="006C7CC9"/>
    <w:rsid w:val="006D06A8"/>
    <w:rsid w:val="006D06D8"/>
    <w:rsid w:val="006D077C"/>
    <w:rsid w:val="006D0B12"/>
    <w:rsid w:val="006D0D14"/>
    <w:rsid w:val="006D112A"/>
    <w:rsid w:val="006D1781"/>
    <w:rsid w:val="006D27B9"/>
    <w:rsid w:val="006D2BF4"/>
    <w:rsid w:val="006D41C3"/>
    <w:rsid w:val="006D42CE"/>
    <w:rsid w:val="006D4499"/>
    <w:rsid w:val="006D44E8"/>
    <w:rsid w:val="006D5412"/>
    <w:rsid w:val="006D66FB"/>
    <w:rsid w:val="006D6CB7"/>
    <w:rsid w:val="006D6FF8"/>
    <w:rsid w:val="006D7953"/>
    <w:rsid w:val="006D7957"/>
    <w:rsid w:val="006E0C7F"/>
    <w:rsid w:val="006E0FBD"/>
    <w:rsid w:val="006E0FD8"/>
    <w:rsid w:val="006E1655"/>
    <w:rsid w:val="006E3555"/>
    <w:rsid w:val="006E3639"/>
    <w:rsid w:val="006E453B"/>
    <w:rsid w:val="006E46CD"/>
    <w:rsid w:val="006E4C7E"/>
    <w:rsid w:val="006E588A"/>
    <w:rsid w:val="006E58F3"/>
    <w:rsid w:val="006E6222"/>
    <w:rsid w:val="006E68D4"/>
    <w:rsid w:val="006E6C70"/>
    <w:rsid w:val="006F011A"/>
    <w:rsid w:val="006F031A"/>
    <w:rsid w:val="006F03B2"/>
    <w:rsid w:val="006F1891"/>
    <w:rsid w:val="006F19C0"/>
    <w:rsid w:val="006F1ADE"/>
    <w:rsid w:val="006F2906"/>
    <w:rsid w:val="006F2F2C"/>
    <w:rsid w:val="006F2F92"/>
    <w:rsid w:val="006F31E9"/>
    <w:rsid w:val="006F38BD"/>
    <w:rsid w:val="006F4641"/>
    <w:rsid w:val="006F7152"/>
    <w:rsid w:val="006F730B"/>
    <w:rsid w:val="006F75A3"/>
    <w:rsid w:val="00700555"/>
    <w:rsid w:val="00700F9E"/>
    <w:rsid w:val="00702E3D"/>
    <w:rsid w:val="007032BC"/>
    <w:rsid w:val="007040BA"/>
    <w:rsid w:val="0070546D"/>
    <w:rsid w:val="00705A24"/>
    <w:rsid w:val="00705B87"/>
    <w:rsid w:val="00705D76"/>
    <w:rsid w:val="00706D55"/>
    <w:rsid w:val="00707111"/>
    <w:rsid w:val="007077CD"/>
    <w:rsid w:val="00710EC9"/>
    <w:rsid w:val="00711510"/>
    <w:rsid w:val="00711791"/>
    <w:rsid w:val="00711829"/>
    <w:rsid w:val="00711EC6"/>
    <w:rsid w:val="00712ABD"/>
    <w:rsid w:val="00712EF8"/>
    <w:rsid w:val="0071473F"/>
    <w:rsid w:val="00714FC3"/>
    <w:rsid w:val="00715388"/>
    <w:rsid w:val="007168FE"/>
    <w:rsid w:val="00716D64"/>
    <w:rsid w:val="00717A58"/>
    <w:rsid w:val="007202D1"/>
    <w:rsid w:val="007210A1"/>
    <w:rsid w:val="00721A42"/>
    <w:rsid w:val="00721FDB"/>
    <w:rsid w:val="007224CD"/>
    <w:rsid w:val="007236BD"/>
    <w:rsid w:val="00723913"/>
    <w:rsid w:val="00723AFD"/>
    <w:rsid w:val="0072404C"/>
    <w:rsid w:val="00724898"/>
    <w:rsid w:val="007250F6"/>
    <w:rsid w:val="00725B68"/>
    <w:rsid w:val="00725C8A"/>
    <w:rsid w:val="00726A13"/>
    <w:rsid w:val="00731EB5"/>
    <w:rsid w:val="00732A35"/>
    <w:rsid w:val="0073313D"/>
    <w:rsid w:val="00733917"/>
    <w:rsid w:val="007339A2"/>
    <w:rsid w:val="007345C0"/>
    <w:rsid w:val="0073499E"/>
    <w:rsid w:val="00735A2B"/>
    <w:rsid w:val="00735FFD"/>
    <w:rsid w:val="00736B8E"/>
    <w:rsid w:val="007416BA"/>
    <w:rsid w:val="007420A6"/>
    <w:rsid w:val="007448D8"/>
    <w:rsid w:val="00744FA2"/>
    <w:rsid w:val="00745699"/>
    <w:rsid w:val="00745C3C"/>
    <w:rsid w:val="00745D3F"/>
    <w:rsid w:val="00746193"/>
    <w:rsid w:val="00746746"/>
    <w:rsid w:val="00747B23"/>
    <w:rsid w:val="007505A7"/>
    <w:rsid w:val="00750841"/>
    <w:rsid w:val="00750905"/>
    <w:rsid w:val="00751975"/>
    <w:rsid w:val="00751CA6"/>
    <w:rsid w:val="00751F07"/>
    <w:rsid w:val="00752BCD"/>
    <w:rsid w:val="00752D2A"/>
    <w:rsid w:val="0075392E"/>
    <w:rsid w:val="00757985"/>
    <w:rsid w:val="0076097A"/>
    <w:rsid w:val="00761C77"/>
    <w:rsid w:val="007626B6"/>
    <w:rsid w:val="00762FB7"/>
    <w:rsid w:val="007631D5"/>
    <w:rsid w:val="00763224"/>
    <w:rsid w:val="00763E89"/>
    <w:rsid w:val="0076413C"/>
    <w:rsid w:val="00766168"/>
    <w:rsid w:val="007671D4"/>
    <w:rsid w:val="00771142"/>
    <w:rsid w:val="007713E3"/>
    <w:rsid w:val="007724BE"/>
    <w:rsid w:val="007725E9"/>
    <w:rsid w:val="0077312E"/>
    <w:rsid w:val="007737F6"/>
    <w:rsid w:val="00773C9D"/>
    <w:rsid w:val="00773DDD"/>
    <w:rsid w:val="007743EF"/>
    <w:rsid w:val="00775834"/>
    <w:rsid w:val="007763EE"/>
    <w:rsid w:val="007800E8"/>
    <w:rsid w:val="00781119"/>
    <w:rsid w:val="007812E9"/>
    <w:rsid w:val="00781918"/>
    <w:rsid w:val="00781FC3"/>
    <w:rsid w:val="00782600"/>
    <w:rsid w:val="007836F0"/>
    <w:rsid w:val="00783CA4"/>
    <w:rsid w:val="00783F85"/>
    <w:rsid w:val="0078557C"/>
    <w:rsid w:val="00785B73"/>
    <w:rsid w:val="0078684B"/>
    <w:rsid w:val="0078798F"/>
    <w:rsid w:val="00792123"/>
    <w:rsid w:val="007926B0"/>
    <w:rsid w:val="00792A98"/>
    <w:rsid w:val="00792ACD"/>
    <w:rsid w:val="00792CFF"/>
    <w:rsid w:val="007951D8"/>
    <w:rsid w:val="00795359"/>
    <w:rsid w:val="007953C5"/>
    <w:rsid w:val="0079642B"/>
    <w:rsid w:val="00796C7A"/>
    <w:rsid w:val="00796D8E"/>
    <w:rsid w:val="007A0D93"/>
    <w:rsid w:val="007A1EFF"/>
    <w:rsid w:val="007A24B5"/>
    <w:rsid w:val="007A61E3"/>
    <w:rsid w:val="007B010D"/>
    <w:rsid w:val="007B063C"/>
    <w:rsid w:val="007B089A"/>
    <w:rsid w:val="007B09CF"/>
    <w:rsid w:val="007B18D8"/>
    <w:rsid w:val="007B39BD"/>
    <w:rsid w:val="007B4647"/>
    <w:rsid w:val="007B4BC9"/>
    <w:rsid w:val="007B4DE4"/>
    <w:rsid w:val="007B4EA7"/>
    <w:rsid w:val="007B5630"/>
    <w:rsid w:val="007B5E54"/>
    <w:rsid w:val="007B6CCB"/>
    <w:rsid w:val="007B6DCF"/>
    <w:rsid w:val="007B7783"/>
    <w:rsid w:val="007B77C8"/>
    <w:rsid w:val="007B78AB"/>
    <w:rsid w:val="007C17B9"/>
    <w:rsid w:val="007C2A04"/>
    <w:rsid w:val="007C38E6"/>
    <w:rsid w:val="007C4EAB"/>
    <w:rsid w:val="007C4EE5"/>
    <w:rsid w:val="007C5D17"/>
    <w:rsid w:val="007C616C"/>
    <w:rsid w:val="007C678D"/>
    <w:rsid w:val="007C6BA0"/>
    <w:rsid w:val="007C6DBF"/>
    <w:rsid w:val="007C6F54"/>
    <w:rsid w:val="007D01A7"/>
    <w:rsid w:val="007D1053"/>
    <w:rsid w:val="007D149D"/>
    <w:rsid w:val="007D29B9"/>
    <w:rsid w:val="007D52D6"/>
    <w:rsid w:val="007D5B28"/>
    <w:rsid w:val="007D5CC7"/>
    <w:rsid w:val="007E0350"/>
    <w:rsid w:val="007E20E8"/>
    <w:rsid w:val="007E2CA2"/>
    <w:rsid w:val="007E2E30"/>
    <w:rsid w:val="007E3302"/>
    <w:rsid w:val="007E364C"/>
    <w:rsid w:val="007E3F91"/>
    <w:rsid w:val="007E42DF"/>
    <w:rsid w:val="007E4B03"/>
    <w:rsid w:val="007E5516"/>
    <w:rsid w:val="007E593C"/>
    <w:rsid w:val="007E5B5C"/>
    <w:rsid w:val="007E6B29"/>
    <w:rsid w:val="007F0827"/>
    <w:rsid w:val="007F19FB"/>
    <w:rsid w:val="007F1F76"/>
    <w:rsid w:val="007F284C"/>
    <w:rsid w:val="007F343E"/>
    <w:rsid w:val="007F3CB4"/>
    <w:rsid w:val="007F443D"/>
    <w:rsid w:val="007F47A9"/>
    <w:rsid w:val="007F5015"/>
    <w:rsid w:val="007F52C6"/>
    <w:rsid w:val="007F67CC"/>
    <w:rsid w:val="007F76A7"/>
    <w:rsid w:val="007F7B38"/>
    <w:rsid w:val="007F7FE2"/>
    <w:rsid w:val="0080064D"/>
    <w:rsid w:val="008010D9"/>
    <w:rsid w:val="00801227"/>
    <w:rsid w:val="008014BC"/>
    <w:rsid w:val="00801D16"/>
    <w:rsid w:val="00803989"/>
    <w:rsid w:val="008058E2"/>
    <w:rsid w:val="00806A6C"/>
    <w:rsid w:val="00806F06"/>
    <w:rsid w:val="008077ED"/>
    <w:rsid w:val="00807B4C"/>
    <w:rsid w:val="00807D91"/>
    <w:rsid w:val="00810212"/>
    <w:rsid w:val="008113CA"/>
    <w:rsid w:val="0081175D"/>
    <w:rsid w:val="00811C55"/>
    <w:rsid w:val="00813554"/>
    <w:rsid w:val="00814712"/>
    <w:rsid w:val="00815180"/>
    <w:rsid w:val="00816C9D"/>
    <w:rsid w:val="00817D85"/>
    <w:rsid w:val="00820C9A"/>
    <w:rsid w:val="00822667"/>
    <w:rsid w:val="0082322C"/>
    <w:rsid w:val="008235AE"/>
    <w:rsid w:val="00823AAA"/>
    <w:rsid w:val="0082440F"/>
    <w:rsid w:val="00824E4B"/>
    <w:rsid w:val="00825141"/>
    <w:rsid w:val="00825157"/>
    <w:rsid w:val="0082535F"/>
    <w:rsid w:val="00826848"/>
    <w:rsid w:val="0082686F"/>
    <w:rsid w:val="0082771F"/>
    <w:rsid w:val="00827AFC"/>
    <w:rsid w:val="00830302"/>
    <w:rsid w:val="00830648"/>
    <w:rsid w:val="00830D91"/>
    <w:rsid w:val="0083236D"/>
    <w:rsid w:val="008339A5"/>
    <w:rsid w:val="00834BB9"/>
    <w:rsid w:val="0083674B"/>
    <w:rsid w:val="00836DF2"/>
    <w:rsid w:val="00837641"/>
    <w:rsid w:val="0083783F"/>
    <w:rsid w:val="00837A27"/>
    <w:rsid w:val="00842699"/>
    <w:rsid w:val="008429D4"/>
    <w:rsid w:val="00843505"/>
    <w:rsid w:val="00845B96"/>
    <w:rsid w:val="00846BCF"/>
    <w:rsid w:val="008475B9"/>
    <w:rsid w:val="00850C62"/>
    <w:rsid w:val="00851744"/>
    <w:rsid w:val="008519BD"/>
    <w:rsid w:val="00852015"/>
    <w:rsid w:val="0085232E"/>
    <w:rsid w:val="008526CC"/>
    <w:rsid w:val="00852DF8"/>
    <w:rsid w:val="008554D3"/>
    <w:rsid w:val="0085598E"/>
    <w:rsid w:val="00855D78"/>
    <w:rsid w:val="00855D9A"/>
    <w:rsid w:val="008570CF"/>
    <w:rsid w:val="0086071A"/>
    <w:rsid w:val="00860A69"/>
    <w:rsid w:val="00861E43"/>
    <w:rsid w:val="00862CC1"/>
    <w:rsid w:val="00863D4C"/>
    <w:rsid w:val="00863D8A"/>
    <w:rsid w:val="0086496A"/>
    <w:rsid w:val="00864AF9"/>
    <w:rsid w:val="00865BD4"/>
    <w:rsid w:val="00866793"/>
    <w:rsid w:val="00866B87"/>
    <w:rsid w:val="00867374"/>
    <w:rsid w:val="00870612"/>
    <w:rsid w:val="00870840"/>
    <w:rsid w:val="008713AB"/>
    <w:rsid w:val="00872073"/>
    <w:rsid w:val="00872386"/>
    <w:rsid w:val="008731F1"/>
    <w:rsid w:val="00873BBE"/>
    <w:rsid w:val="00874B1C"/>
    <w:rsid w:val="00876863"/>
    <w:rsid w:val="008775B0"/>
    <w:rsid w:val="008778C9"/>
    <w:rsid w:val="00880659"/>
    <w:rsid w:val="00880774"/>
    <w:rsid w:val="00882AFE"/>
    <w:rsid w:val="008850D1"/>
    <w:rsid w:val="00885DD7"/>
    <w:rsid w:val="00890712"/>
    <w:rsid w:val="00891094"/>
    <w:rsid w:val="00892C03"/>
    <w:rsid w:val="00893D4F"/>
    <w:rsid w:val="0089413C"/>
    <w:rsid w:val="00894496"/>
    <w:rsid w:val="008952AA"/>
    <w:rsid w:val="00896A79"/>
    <w:rsid w:val="0089763C"/>
    <w:rsid w:val="008977DF"/>
    <w:rsid w:val="008A0207"/>
    <w:rsid w:val="008A1B66"/>
    <w:rsid w:val="008A1CE9"/>
    <w:rsid w:val="008A1DA6"/>
    <w:rsid w:val="008A34E7"/>
    <w:rsid w:val="008A37C0"/>
    <w:rsid w:val="008A386F"/>
    <w:rsid w:val="008A414F"/>
    <w:rsid w:val="008A41FE"/>
    <w:rsid w:val="008A45A0"/>
    <w:rsid w:val="008A4AD6"/>
    <w:rsid w:val="008A4B71"/>
    <w:rsid w:val="008A5409"/>
    <w:rsid w:val="008A5BCE"/>
    <w:rsid w:val="008A7EFC"/>
    <w:rsid w:val="008B02ED"/>
    <w:rsid w:val="008B16F9"/>
    <w:rsid w:val="008B5172"/>
    <w:rsid w:val="008B5C17"/>
    <w:rsid w:val="008B6A1E"/>
    <w:rsid w:val="008B6DA5"/>
    <w:rsid w:val="008C0697"/>
    <w:rsid w:val="008C141D"/>
    <w:rsid w:val="008C15CE"/>
    <w:rsid w:val="008C1EB1"/>
    <w:rsid w:val="008C24D8"/>
    <w:rsid w:val="008C2729"/>
    <w:rsid w:val="008C4BE3"/>
    <w:rsid w:val="008C4C2B"/>
    <w:rsid w:val="008C5A61"/>
    <w:rsid w:val="008C5FF6"/>
    <w:rsid w:val="008C6172"/>
    <w:rsid w:val="008C64B7"/>
    <w:rsid w:val="008C7B24"/>
    <w:rsid w:val="008D2012"/>
    <w:rsid w:val="008D21BC"/>
    <w:rsid w:val="008D3132"/>
    <w:rsid w:val="008D31D0"/>
    <w:rsid w:val="008D34E3"/>
    <w:rsid w:val="008D369E"/>
    <w:rsid w:val="008D3AED"/>
    <w:rsid w:val="008D4FEC"/>
    <w:rsid w:val="008D5DA9"/>
    <w:rsid w:val="008D7F1A"/>
    <w:rsid w:val="008E2F6A"/>
    <w:rsid w:val="008E2F8E"/>
    <w:rsid w:val="008E3AA9"/>
    <w:rsid w:val="008E632F"/>
    <w:rsid w:val="008E6742"/>
    <w:rsid w:val="008E6F15"/>
    <w:rsid w:val="008E70A0"/>
    <w:rsid w:val="008E77F8"/>
    <w:rsid w:val="008E7FEB"/>
    <w:rsid w:val="008F0DD5"/>
    <w:rsid w:val="008F2FF6"/>
    <w:rsid w:val="008F337E"/>
    <w:rsid w:val="008F3468"/>
    <w:rsid w:val="008F4F58"/>
    <w:rsid w:val="008F530E"/>
    <w:rsid w:val="008F5E08"/>
    <w:rsid w:val="008F6065"/>
    <w:rsid w:val="008F63AC"/>
    <w:rsid w:val="008F78BC"/>
    <w:rsid w:val="009008F6"/>
    <w:rsid w:val="00900D6B"/>
    <w:rsid w:val="00900D95"/>
    <w:rsid w:val="00904EBC"/>
    <w:rsid w:val="00905228"/>
    <w:rsid w:val="00906C61"/>
    <w:rsid w:val="00906FA6"/>
    <w:rsid w:val="009071F3"/>
    <w:rsid w:val="0091083F"/>
    <w:rsid w:val="00910958"/>
    <w:rsid w:val="00910ED5"/>
    <w:rsid w:val="009128B2"/>
    <w:rsid w:val="00913140"/>
    <w:rsid w:val="00913C43"/>
    <w:rsid w:val="0091526D"/>
    <w:rsid w:val="00916933"/>
    <w:rsid w:val="00916C8E"/>
    <w:rsid w:val="00916FE1"/>
    <w:rsid w:val="0091756F"/>
    <w:rsid w:val="009176CA"/>
    <w:rsid w:val="00917985"/>
    <w:rsid w:val="00917B53"/>
    <w:rsid w:val="00920593"/>
    <w:rsid w:val="00921F87"/>
    <w:rsid w:val="0092373C"/>
    <w:rsid w:val="00923A22"/>
    <w:rsid w:val="00923BFB"/>
    <w:rsid w:val="00925236"/>
    <w:rsid w:val="009252CD"/>
    <w:rsid w:val="0092627A"/>
    <w:rsid w:val="009265B0"/>
    <w:rsid w:val="00926C6E"/>
    <w:rsid w:val="00930B70"/>
    <w:rsid w:val="0093134F"/>
    <w:rsid w:val="009326A6"/>
    <w:rsid w:val="00932708"/>
    <w:rsid w:val="0093439A"/>
    <w:rsid w:val="0093573E"/>
    <w:rsid w:val="009357AD"/>
    <w:rsid w:val="0093664A"/>
    <w:rsid w:val="00936678"/>
    <w:rsid w:val="00937CF9"/>
    <w:rsid w:val="0094039C"/>
    <w:rsid w:val="00940FAD"/>
    <w:rsid w:val="00941AFD"/>
    <w:rsid w:val="00941C92"/>
    <w:rsid w:val="00942898"/>
    <w:rsid w:val="00943B2E"/>
    <w:rsid w:val="009447FC"/>
    <w:rsid w:val="00945854"/>
    <w:rsid w:val="009458E4"/>
    <w:rsid w:val="0094635A"/>
    <w:rsid w:val="0094658A"/>
    <w:rsid w:val="00950DA6"/>
    <w:rsid w:val="00951610"/>
    <w:rsid w:val="00951AE0"/>
    <w:rsid w:val="00952417"/>
    <w:rsid w:val="00952FCA"/>
    <w:rsid w:val="00953A5D"/>
    <w:rsid w:val="00953ED5"/>
    <w:rsid w:val="00956A41"/>
    <w:rsid w:val="00956B52"/>
    <w:rsid w:val="00956D38"/>
    <w:rsid w:val="0095700F"/>
    <w:rsid w:val="0095750A"/>
    <w:rsid w:val="00957C31"/>
    <w:rsid w:val="00957D27"/>
    <w:rsid w:val="00957F73"/>
    <w:rsid w:val="0096054F"/>
    <w:rsid w:val="00963557"/>
    <w:rsid w:val="00963B41"/>
    <w:rsid w:val="00965448"/>
    <w:rsid w:val="00965E54"/>
    <w:rsid w:val="00965E9D"/>
    <w:rsid w:val="009665BD"/>
    <w:rsid w:val="009668AF"/>
    <w:rsid w:val="009673D5"/>
    <w:rsid w:val="00967D65"/>
    <w:rsid w:val="00967E98"/>
    <w:rsid w:val="009715A4"/>
    <w:rsid w:val="0097296E"/>
    <w:rsid w:val="00972B93"/>
    <w:rsid w:val="009731C2"/>
    <w:rsid w:val="00974180"/>
    <w:rsid w:val="00975151"/>
    <w:rsid w:val="00975253"/>
    <w:rsid w:val="009768BE"/>
    <w:rsid w:val="009772DC"/>
    <w:rsid w:val="00980BA5"/>
    <w:rsid w:val="00980D27"/>
    <w:rsid w:val="00980D2E"/>
    <w:rsid w:val="00980E69"/>
    <w:rsid w:val="00981508"/>
    <w:rsid w:val="009826DC"/>
    <w:rsid w:val="00982D6F"/>
    <w:rsid w:val="009834F9"/>
    <w:rsid w:val="0098423B"/>
    <w:rsid w:val="00984A17"/>
    <w:rsid w:val="00984F9F"/>
    <w:rsid w:val="0098503F"/>
    <w:rsid w:val="0098526E"/>
    <w:rsid w:val="009856DB"/>
    <w:rsid w:val="00986C14"/>
    <w:rsid w:val="00987C4B"/>
    <w:rsid w:val="00987C4D"/>
    <w:rsid w:val="00987E1E"/>
    <w:rsid w:val="009905C0"/>
    <w:rsid w:val="0099063B"/>
    <w:rsid w:val="00991389"/>
    <w:rsid w:val="0099343C"/>
    <w:rsid w:val="00993E6B"/>
    <w:rsid w:val="00996864"/>
    <w:rsid w:val="00997FCA"/>
    <w:rsid w:val="009A1B70"/>
    <w:rsid w:val="009A2FA1"/>
    <w:rsid w:val="009A3EC6"/>
    <w:rsid w:val="009A6AAA"/>
    <w:rsid w:val="009A7637"/>
    <w:rsid w:val="009A7C5F"/>
    <w:rsid w:val="009A7D07"/>
    <w:rsid w:val="009B0C97"/>
    <w:rsid w:val="009B0D65"/>
    <w:rsid w:val="009B24A8"/>
    <w:rsid w:val="009B2D38"/>
    <w:rsid w:val="009B313D"/>
    <w:rsid w:val="009B3A49"/>
    <w:rsid w:val="009B4A6C"/>
    <w:rsid w:val="009B7119"/>
    <w:rsid w:val="009C0D07"/>
    <w:rsid w:val="009C13B1"/>
    <w:rsid w:val="009C2276"/>
    <w:rsid w:val="009C2882"/>
    <w:rsid w:val="009C2C15"/>
    <w:rsid w:val="009C385A"/>
    <w:rsid w:val="009C3FC6"/>
    <w:rsid w:val="009C79C9"/>
    <w:rsid w:val="009D1450"/>
    <w:rsid w:val="009D1488"/>
    <w:rsid w:val="009D1613"/>
    <w:rsid w:val="009D3174"/>
    <w:rsid w:val="009D31AD"/>
    <w:rsid w:val="009D3457"/>
    <w:rsid w:val="009D3691"/>
    <w:rsid w:val="009D378B"/>
    <w:rsid w:val="009D41BB"/>
    <w:rsid w:val="009D4BFA"/>
    <w:rsid w:val="009D4C93"/>
    <w:rsid w:val="009D599B"/>
    <w:rsid w:val="009D6149"/>
    <w:rsid w:val="009D6772"/>
    <w:rsid w:val="009D6EE5"/>
    <w:rsid w:val="009D74D3"/>
    <w:rsid w:val="009D75BF"/>
    <w:rsid w:val="009E09DD"/>
    <w:rsid w:val="009E127C"/>
    <w:rsid w:val="009E2719"/>
    <w:rsid w:val="009E2E43"/>
    <w:rsid w:val="009E3491"/>
    <w:rsid w:val="009E43C9"/>
    <w:rsid w:val="009E49C7"/>
    <w:rsid w:val="009E5C43"/>
    <w:rsid w:val="009E6FBC"/>
    <w:rsid w:val="009F0524"/>
    <w:rsid w:val="009F13FD"/>
    <w:rsid w:val="009F161B"/>
    <w:rsid w:val="009F1BAA"/>
    <w:rsid w:val="009F24AB"/>
    <w:rsid w:val="009F27D0"/>
    <w:rsid w:val="009F29A2"/>
    <w:rsid w:val="009F4446"/>
    <w:rsid w:val="009F46BF"/>
    <w:rsid w:val="009F51FF"/>
    <w:rsid w:val="009F52BF"/>
    <w:rsid w:val="009F5613"/>
    <w:rsid w:val="009F59DA"/>
    <w:rsid w:val="009F5A1C"/>
    <w:rsid w:val="009F645B"/>
    <w:rsid w:val="00A0024C"/>
    <w:rsid w:val="00A00E2B"/>
    <w:rsid w:val="00A01221"/>
    <w:rsid w:val="00A029A3"/>
    <w:rsid w:val="00A03234"/>
    <w:rsid w:val="00A03334"/>
    <w:rsid w:val="00A03DE5"/>
    <w:rsid w:val="00A05E76"/>
    <w:rsid w:val="00A06499"/>
    <w:rsid w:val="00A11824"/>
    <w:rsid w:val="00A121A9"/>
    <w:rsid w:val="00A121C2"/>
    <w:rsid w:val="00A1232A"/>
    <w:rsid w:val="00A12351"/>
    <w:rsid w:val="00A137DB"/>
    <w:rsid w:val="00A140F7"/>
    <w:rsid w:val="00A14A24"/>
    <w:rsid w:val="00A14B9F"/>
    <w:rsid w:val="00A15430"/>
    <w:rsid w:val="00A154A4"/>
    <w:rsid w:val="00A155FD"/>
    <w:rsid w:val="00A1619E"/>
    <w:rsid w:val="00A22209"/>
    <w:rsid w:val="00A22BE6"/>
    <w:rsid w:val="00A2480D"/>
    <w:rsid w:val="00A24904"/>
    <w:rsid w:val="00A24BE1"/>
    <w:rsid w:val="00A25157"/>
    <w:rsid w:val="00A26115"/>
    <w:rsid w:val="00A26B8F"/>
    <w:rsid w:val="00A26DA7"/>
    <w:rsid w:val="00A27252"/>
    <w:rsid w:val="00A2788C"/>
    <w:rsid w:val="00A3069B"/>
    <w:rsid w:val="00A30DC7"/>
    <w:rsid w:val="00A313CC"/>
    <w:rsid w:val="00A3195E"/>
    <w:rsid w:val="00A332BC"/>
    <w:rsid w:val="00A33F07"/>
    <w:rsid w:val="00A341FE"/>
    <w:rsid w:val="00A34A5F"/>
    <w:rsid w:val="00A35399"/>
    <w:rsid w:val="00A37794"/>
    <w:rsid w:val="00A40D2E"/>
    <w:rsid w:val="00A41240"/>
    <w:rsid w:val="00A419AE"/>
    <w:rsid w:val="00A4331D"/>
    <w:rsid w:val="00A43C33"/>
    <w:rsid w:val="00A43D6E"/>
    <w:rsid w:val="00A448C7"/>
    <w:rsid w:val="00A4657F"/>
    <w:rsid w:val="00A46A31"/>
    <w:rsid w:val="00A46B6B"/>
    <w:rsid w:val="00A525F2"/>
    <w:rsid w:val="00A536F2"/>
    <w:rsid w:val="00A5757C"/>
    <w:rsid w:val="00A57B21"/>
    <w:rsid w:val="00A57EDE"/>
    <w:rsid w:val="00A63512"/>
    <w:rsid w:val="00A63C33"/>
    <w:rsid w:val="00A63D7C"/>
    <w:rsid w:val="00A63F38"/>
    <w:rsid w:val="00A647D6"/>
    <w:rsid w:val="00A66086"/>
    <w:rsid w:val="00A66645"/>
    <w:rsid w:val="00A66B25"/>
    <w:rsid w:val="00A67002"/>
    <w:rsid w:val="00A67A60"/>
    <w:rsid w:val="00A67BB0"/>
    <w:rsid w:val="00A70BFA"/>
    <w:rsid w:val="00A7121B"/>
    <w:rsid w:val="00A7161E"/>
    <w:rsid w:val="00A720A2"/>
    <w:rsid w:val="00A7252E"/>
    <w:rsid w:val="00A73D68"/>
    <w:rsid w:val="00A73D87"/>
    <w:rsid w:val="00A74120"/>
    <w:rsid w:val="00A74A31"/>
    <w:rsid w:val="00A74F6F"/>
    <w:rsid w:val="00A76A06"/>
    <w:rsid w:val="00A7796A"/>
    <w:rsid w:val="00A77B36"/>
    <w:rsid w:val="00A77EC6"/>
    <w:rsid w:val="00A810AF"/>
    <w:rsid w:val="00A81A1B"/>
    <w:rsid w:val="00A83422"/>
    <w:rsid w:val="00A844AA"/>
    <w:rsid w:val="00A8505E"/>
    <w:rsid w:val="00A87678"/>
    <w:rsid w:val="00A87BBB"/>
    <w:rsid w:val="00A92679"/>
    <w:rsid w:val="00A9272D"/>
    <w:rsid w:val="00A92AE1"/>
    <w:rsid w:val="00A93E4C"/>
    <w:rsid w:val="00A93F29"/>
    <w:rsid w:val="00A93F41"/>
    <w:rsid w:val="00A946CC"/>
    <w:rsid w:val="00A97151"/>
    <w:rsid w:val="00A97691"/>
    <w:rsid w:val="00AA1144"/>
    <w:rsid w:val="00AA11E3"/>
    <w:rsid w:val="00AA13FA"/>
    <w:rsid w:val="00AA169B"/>
    <w:rsid w:val="00AA17D8"/>
    <w:rsid w:val="00AA1DB9"/>
    <w:rsid w:val="00AA2A5E"/>
    <w:rsid w:val="00AA33AF"/>
    <w:rsid w:val="00AA38E5"/>
    <w:rsid w:val="00AA3C25"/>
    <w:rsid w:val="00AA457C"/>
    <w:rsid w:val="00AA62AB"/>
    <w:rsid w:val="00AB0ACC"/>
    <w:rsid w:val="00AB2CA7"/>
    <w:rsid w:val="00AB2D41"/>
    <w:rsid w:val="00AB3D36"/>
    <w:rsid w:val="00AB3E09"/>
    <w:rsid w:val="00AB42F9"/>
    <w:rsid w:val="00AB55E4"/>
    <w:rsid w:val="00AB7422"/>
    <w:rsid w:val="00AB7D2D"/>
    <w:rsid w:val="00AC00C8"/>
    <w:rsid w:val="00AC1213"/>
    <w:rsid w:val="00AC2F83"/>
    <w:rsid w:val="00AC323F"/>
    <w:rsid w:val="00AC349A"/>
    <w:rsid w:val="00AC479A"/>
    <w:rsid w:val="00AC562B"/>
    <w:rsid w:val="00AC6999"/>
    <w:rsid w:val="00AC7BD3"/>
    <w:rsid w:val="00AD161F"/>
    <w:rsid w:val="00AD2546"/>
    <w:rsid w:val="00AD4B3B"/>
    <w:rsid w:val="00AD590D"/>
    <w:rsid w:val="00AD75B9"/>
    <w:rsid w:val="00AD7C9D"/>
    <w:rsid w:val="00AD7C9E"/>
    <w:rsid w:val="00AD7CCD"/>
    <w:rsid w:val="00AE0AC0"/>
    <w:rsid w:val="00AE0C4C"/>
    <w:rsid w:val="00AE0FFF"/>
    <w:rsid w:val="00AE13ED"/>
    <w:rsid w:val="00AE2A0A"/>
    <w:rsid w:val="00AE3457"/>
    <w:rsid w:val="00AE3B18"/>
    <w:rsid w:val="00AE4253"/>
    <w:rsid w:val="00AE466C"/>
    <w:rsid w:val="00AE523E"/>
    <w:rsid w:val="00AE54EB"/>
    <w:rsid w:val="00AE74F6"/>
    <w:rsid w:val="00AE7553"/>
    <w:rsid w:val="00AE7909"/>
    <w:rsid w:val="00AE7A66"/>
    <w:rsid w:val="00AE7E4B"/>
    <w:rsid w:val="00AF0353"/>
    <w:rsid w:val="00AF06DE"/>
    <w:rsid w:val="00AF0F56"/>
    <w:rsid w:val="00AF0F94"/>
    <w:rsid w:val="00AF0FE8"/>
    <w:rsid w:val="00AF109C"/>
    <w:rsid w:val="00AF1414"/>
    <w:rsid w:val="00AF1E61"/>
    <w:rsid w:val="00AF371D"/>
    <w:rsid w:val="00AF3A1A"/>
    <w:rsid w:val="00AF3E63"/>
    <w:rsid w:val="00AF51EE"/>
    <w:rsid w:val="00AF59A6"/>
    <w:rsid w:val="00AF6B51"/>
    <w:rsid w:val="00AF6CBA"/>
    <w:rsid w:val="00AF7B2C"/>
    <w:rsid w:val="00B004CF"/>
    <w:rsid w:val="00B02F4E"/>
    <w:rsid w:val="00B0305C"/>
    <w:rsid w:val="00B03ACD"/>
    <w:rsid w:val="00B04193"/>
    <w:rsid w:val="00B0435E"/>
    <w:rsid w:val="00B049D8"/>
    <w:rsid w:val="00B04E5E"/>
    <w:rsid w:val="00B05934"/>
    <w:rsid w:val="00B076E5"/>
    <w:rsid w:val="00B101B1"/>
    <w:rsid w:val="00B1067B"/>
    <w:rsid w:val="00B10A9A"/>
    <w:rsid w:val="00B10EB1"/>
    <w:rsid w:val="00B10FA2"/>
    <w:rsid w:val="00B1247A"/>
    <w:rsid w:val="00B130A2"/>
    <w:rsid w:val="00B13ECB"/>
    <w:rsid w:val="00B1483B"/>
    <w:rsid w:val="00B1798E"/>
    <w:rsid w:val="00B218E4"/>
    <w:rsid w:val="00B22128"/>
    <w:rsid w:val="00B224F5"/>
    <w:rsid w:val="00B2271D"/>
    <w:rsid w:val="00B22F13"/>
    <w:rsid w:val="00B23007"/>
    <w:rsid w:val="00B2370D"/>
    <w:rsid w:val="00B23FC6"/>
    <w:rsid w:val="00B248D7"/>
    <w:rsid w:val="00B249F3"/>
    <w:rsid w:val="00B255A9"/>
    <w:rsid w:val="00B25B40"/>
    <w:rsid w:val="00B25DBE"/>
    <w:rsid w:val="00B2643E"/>
    <w:rsid w:val="00B27A8D"/>
    <w:rsid w:val="00B301E4"/>
    <w:rsid w:val="00B303D3"/>
    <w:rsid w:val="00B30E9C"/>
    <w:rsid w:val="00B31366"/>
    <w:rsid w:val="00B31E58"/>
    <w:rsid w:val="00B32DEB"/>
    <w:rsid w:val="00B33C6F"/>
    <w:rsid w:val="00B35183"/>
    <w:rsid w:val="00B35C58"/>
    <w:rsid w:val="00B36907"/>
    <w:rsid w:val="00B36964"/>
    <w:rsid w:val="00B400B6"/>
    <w:rsid w:val="00B40BD3"/>
    <w:rsid w:val="00B42E00"/>
    <w:rsid w:val="00B4322B"/>
    <w:rsid w:val="00B43BF1"/>
    <w:rsid w:val="00B4449E"/>
    <w:rsid w:val="00B44658"/>
    <w:rsid w:val="00B451D4"/>
    <w:rsid w:val="00B4539E"/>
    <w:rsid w:val="00B46013"/>
    <w:rsid w:val="00B50A7C"/>
    <w:rsid w:val="00B50BE5"/>
    <w:rsid w:val="00B54490"/>
    <w:rsid w:val="00B55FA6"/>
    <w:rsid w:val="00B574F9"/>
    <w:rsid w:val="00B579C0"/>
    <w:rsid w:val="00B57CC5"/>
    <w:rsid w:val="00B57D37"/>
    <w:rsid w:val="00B60181"/>
    <w:rsid w:val="00B62A28"/>
    <w:rsid w:val="00B62DAD"/>
    <w:rsid w:val="00B637E3"/>
    <w:rsid w:val="00B63AF1"/>
    <w:rsid w:val="00B63BCE"/>
    <w:rsid w:val="00B63FA5"/>
    <w:rsid w:val="00B649D5"/>
    <w:rsid w:val="00B663AE"/>
    <w:rsid w:val="00B6654D"/>
    <w:rsid w:val="00B66772"/>
    <w:rsid w:val="00B70296"/>
    <w:rsid w:val="00B70841"/>
    <w:rsid w:val="00B71E66"/>
    <w:rsid w:val="00B72B03"/>
    <w:rsid w:val="00B75273"/>
    <w:rsid w:val="00B75C97"/>
    <w:rsid w:val="00B76A5F"/>
    <w:rsid w:val="00B773BC"/>
    <w:rsid w:val="00B7755B"/>
    <w:rsid w:val="00B77D4F"/>
    <w:rsid w:val="00B77EF1"/>
    <w:rsid w:val="00B80152"/>
    <w:rsid w:val="00B80F0C"/>
    <w:rsid w:val="00B81987"/>
    <w:rsid w:val="00B82081"/>
    <w:rsid w:val="00B8230C"/>
    <w:rsid w:val="00B824AC"/>
    <w:rsid w:val="00B83DCB"/>
    <w:rsid w:val="00B85F2B"/>
    <w:rsid w:val="00B86923"/>
    <w:rsid w:val="00B86BA2"/>
    <w:rsid w:val="00B87320"/>
    <w:rsid w:val="00B87B92"/>
    <w:rsid w:val="00B90CE1"/>
    <w:rsid w:val="00B91ABE"/>
    <w:rsid w:val="00B91DA4"/>
    <w:rsid w:val="00B934E2"/>
    <w:rsid w:val="00B94B93"/>
    <w:rsid w:val="00B95074"/>
    <w:rsid w:val="00B9516F"/>
    <w:rsid w:val="00B95410"/>
    <w:rsid w:val="00B95965"/>
    <w:rsid w:val="00B95FA8"/>
    <w:rsid w:val="00B9640A"/>
    <w:rsid w:val="00BA0631"/>
    <w:rsid w:val="00BA16A1"/>
    <w:rsid w:val="00BA178D"/>
    <w:rsid w:val="00BA1880"/>
    <w:rsid w:val="00BA2DC6"/>
    <w:rsid w:val="00BA2F34"/>
    <w:rsid w:val="00BA2F43"/>
    <w:rsid w:val="00BA36A5"/>
    <w:rsid w:val="00BA44F4"/>
    <w:rsid w:val="00BA452D"/>
    <w:rsid w:val="00BA4920"/>
    <w:rsid w:val="00BA61E4"/>
    <w:rsid w:val="00BA6817"/>
    <w:rsid w:val="00BB010F"/>
    <w:rsid w:val="00BB07FB"/>
    <w:rsid w:val="00BB1B03"/>
    <w:rsid w:val="00BB22A7"/>
    <w:rsid w:val="00BB25CF"/>
    <w:rsid w:val="00BB2F43"/>
    <w:rsid w:val="00BB310A"/>
    <w:rsid w:val="00BB354D"/>
    <w:rsid w:val="00BB36D4"/>
    <w:rsid w:val="00BB546C"/>
    <w:rsid w:val="00BB5F8C"/>
    <w:rsid w:val="00BC0485"/>
    <w:rsid w:val="00BC0CA1"/>
    <w:rsid w:val="00BC1FAA"/>
    <w:rsid w:val="00BC28A8"/>
    <w:rsid w:val="00BC509A"/>
    <w:rsid w:val="00BC601E"/>
    <w:rsid w:val="00BC639E"/>
    <w:rsid w:val="00BC6A16"/>
    <w:rsid w:val="00BC7759"/>
    <w:rsid w:val="00BD054E"/>
    <w:rsid w:val="00BD0CF9"/>
    <w:rsid w:val="00BD1BBD"/>
    <w:rsid w:val="00BD1DE0"/>
    <w:rsid w:val="00BD4373"/>
    <w:rsid w:val="00BD4BC4"/>
    <w:rsid w:val="00BD4BE8"/>
    <w:rsid w:val="00BD4EFC"/>
    <w:rsid w:val="00BD6D79"/>
    <w:rsid w:val="00BD75B3"/>
    <w:rsid w:val="00BD7E02"/>
    <w:rsid w:val="00BE02AF"/>
    <w:rsid w:val="00BE0589"/>
    <w:rsid w:val="00BE1254"/>
    <w:rsid w:val="00BE144F"/>
    <w:rsid w:val="00BE3D10"/>
    <w:rsid w:val="00BE52A9"/>
    <w:rsid w:val="00BF0446"/>
    <w:rsid w:val="00BF1542"/>
    <w:rsid w:val="00BF1CE0"/>
    <w:rsid w:val="00BF361E"/>
    <w:rsid w:val="00BF4CEF"/>
    <w:rsid w:val="00BF5375"/>
    <w:rsid w:val="00BF597B"/>
    <w:rsid w:val="00BF5C89"/>
    <w:rsid w:val="00BF6928"/>
    <w:rsid w:val="00BF79EE"/>
    <w:rsid w:val="00BF7B3A"/>
    <w:rsid w:val="00C03E8B"/>
    <w:rsid w:val="00C05642"/>
    <w:rsid w:val="00C05B6D"/>
    <w:rsid w:val="00C063E3"/>
    <w:rsid w:val="00C0721F"/>
    <w:rsid w:val="00C07784"/>
    <w:rsid w:val="00C0796D"/>
    <w:rsid w:val="00C07D9E"/>
    <w:rsid w:val="00C10587"/>
    <w:rsid w:val="00C11340"/>
    <w:rsid w:val="00C11AA9"/>
    <w:rsid w:val="00C11CD4"/>
    <w:rsid w:val="00C11F03"/>
    <w:rsid w:val="00C12A13"/>
    <w:rsid w:val="00C12B0A"/>
    <w:rsid w:val="00C12F9F"/>
    <w:rsid w:val="00C138D9"/>
    <w:rsid w:val="00C14602"/>
    <w:rsid w:val="00C1464C"/>
    <w:rsid w:val="00C14865"/>
    <w:rsid w:val="00C14B50"/>
    <w:rsid w:val="00C1584A"/>
    <w:rsid w:val="00C15C73"/>
    <w:rsid w:val="00C1756B"/>
    <w:rsid w:val="00C17B0A"/>
    <w:rsid w:val="00C20203"/>
    <w:rsid w:val="00C209B2"/>
    <w:rsid w:val="00C20D35"/>
    <w:rsid w:val="00C21310"/>
    <w:rsid w:val="00C226E3"/>
    <w:rsid w:val="00C2318A"/>
    <w:rsid w:val="00C23E88"/>
    <w:rsid w:val="00C24C3D"/>
    <w:rsid w:val="00C26718"/>
    <w:rsid w:val="00C26734"/>
    <w:rsid w:val="00C26909"/>
    <w:rsid w:val="00C27355"/>
    <w:rsid w:val="00C27DB4"/>
    <w:rsid w:val="00C27F2B"/>
    <w:rsid w:val="00C302CB"/>
    <w:rsid w:val="00C30545"/>
    <w:rsid w:val="00C31392"/>
    <w:rsid w:val="00C31787"/>
    <w:rsid w:val="00C3186B"/>
    <w:rsid w:val="00C31B07"/>
    <w:rsid w:val="00C31C1D"/>
    <w:rsid w:val="00C33A30"/>
    <w:rsid w:val="00C33C9F"/>
    <w:rsid w:val="00C34209"/>
    <w:rsid w:val="00C342DD"/>
    <w:rsid w:val="00C34D63"/>
    <w:rsid w:val="00C35772"/>
    <w:rsid w:val="00C3738C"/>
    <w:rsid w:val="00C37FD5"/>
    <w:rsid w:val="00C4023F"/>
    <w:rsid w:val="00C4028A"/>
    <w:rsid w:val="00C402F2"/>
    <w:rsid w:val="00C423F8"/>
    <w:rsid w:val="00C44862"/>
    <w:rsid w:val="00C45536"/>
    <w:rsid w:val="00C45ACE"/>
    <w:rsid w:val="00C45BA8"/>
    <w:rsid w:val="00C4687C"/>
    <w:rsid w:val="00C47325"/>
    <w:rsid w:val="00C47569"/>
    <w:rsid w:val="00C4759D"/>
    <w:rsid w:val="00C47A64"/>
    <w:rsid w:val="00C47AA0"/>
    <w:rsid w:val="00C47AD1"/>
    <w:rsid w:val="00C503A7"/>
    <w:rsid w:val="00C503CE"/>
    <w:rsid w:val="00C51AD1"/>
    <w:rsid w:val="00C52B3C"/>
    <w:rsid w:val="00C5338E"/>
    <w:rsid w:val="00C533AF"/>
    <w:rsid w:val="00C53F03"/>
    <w:rsid w:val="00C54331"/>
    <w:rsid w:val="00C56C3B"/>
    <w:rsid w:val="00C57382"/>
    <w:rsid w:val="00C61230"/>
    <w:rsid w:val="00C61CF4"/>
    <w:rsid w:val="00C627B3"/>
    <w:rsid w:val="00C64840"/>
    <w:rsid w:val="00C64EFC"/>
    <w:rsid w:val="00C665AB"/>
    <w:rsid w:val="00C66C7B"/>
    <w:rsid w:val="00C677EA"/>
    <w:rsid w:val="00C67AD8"/>
    <w:rsid w:val="00C67B85"/>
    <w:rsid w:val="00C67DAB"/>
    <w:rsid w:val="00C707B7"/>
    <w:rsid w:val="00C734DB"/>
    <w:rsid w:val="00C73EB0"/>
    <w:rsid w:val="00C74D1A"/>
    <w:rsid w:val="00C76109"/>
    <w:rsid w:val="00C7632C"/>
    <w:rsid w:val="00C7676B"/>
    <w:rsid w:val="00C77353"/>
    <w:rsid w:val="00C77C06"/>
    <w:rsid w:val="00C81D0E"/>
    <w:rsid w:val="00C824B6"/>
    <w:rsid w:val="00C8287E"/>
    <w:rsid w:val="00C83BE1"/>
    <w:rsid w:val="00C83BEE"/>
    <w:rsid w:val="00C83F0F"/>
    <w:rsid w:val="00C85197"/>
    <w:rsid w:val="00C85A7B"/>
    <w:rsid w:val="00C8648C"/>
    <w:rsid w:val="00C87395"/>
    <w:rsid w:val="00C91618"/>
    <w:rsid w:val="00C923B9"/>
    <w:rsid w:val="00C938B7"/>
    <w:rsid w:val="00C9623A"/>
    <w:rsid w:val="00C96DEE"/>
    <w:rsid w:val="00CA03AE"/>
    <w:rsid w:val="00CA090D"/>
    <w:rsid w:val="00CA0D25"/>
    <w:rsid w:val="00CA147C"/>
    <w:rsid w:val="00CA1BB3"/>
    <w:rsid w:val="00CA2331"/>
    <w:rsid w:val="00CA24E4"/>
    <w:rsid w:val="00CA31B2"/>
    <w:rsid w:val="00CA3E6D"/>
    <w:rsid w:val="00CA4F5D"/>
    <w:rsid w:val="00CA592F"/>
    <w:rsid w:val="00CA5DC6"/>
    <w:rsid w:val="00CA6E26"/>
    <w:rsid w:val="00CA7689"/>
    <w:rsid w:val="00CB0109"/>
    <w:rsid w:val="00CB15BA"/>
    <w:rsid w:val="00CB2408"/>
    <w:rsid w:val="00CB2700"/>
    <w:rsid w:val="00CB2D02"/>
    <w:rsid w:val="00CB2EF3"/>
    <w:rsid w:val="00CB326B"/>
    <w:rsid w:val="00CB463C"/>
    <w:rsid w:val="00CB56DF"/>
    <w:rsid w:val="00CB5DCA"/>
    <w:rsid w:val="00CB688B"/>
    <w:rsid w:val="00CB750E"/>
    <w:rsid w:val="00CB7543"/>
    <w:rsid w:val="00CB7715"/>
    <w:rsid w:val="00CB7A76"/>
    <w:rsid w:val="00CB7AF2"/>
    <w:rsid w:val="00CB7D23"/>
    <w:rsid w:val="00CC0937"/>
    <w:rsid w:val="00CC0F42"/>
    <w:rsid w:val="00CC19CA"/>
    <w:rsid w:val="00CC1E12"/>
    <w:rsid w:val="00CC2581"/>
    <w:rsid w:val="00CC284A"/>
    <w:rsid w:val="00CC3161"/>
    <w:rsid w:val="00CC3C18"/>
    <w:rsid w:val="00CC3C99"/>
    <w:rsid w:val="00CC440C"/>
    <w:rsid w:val="00CC6BB5"/>
    <w:rsid w:val="00CC6FEF"/>
    <w:rsid w:val="00CC769C"/>
    <w:rsid w:val="00CD1DD2"/>
    <w:rsid w:val="00CD1FE6"/>
    <w:rsid w:val="00CD2FF4"/>
    <w:rsid w:val="00CD31FE"/>
    <w:rsid w:val="00CD3D67"/>
    <w:rsid w:val="00CD4C1E"/>
    <w:rsid w:val="00CD62E7"/>
    <w:rsid w:val="00CD6BE0"/>
    <w:rsid w:val="00CD7747"/>
    <w:rsid w:val="00CE01A0"/>
    <w:rsid w:val="00CE059A"/>
    <w:rsid w:val="00CE0A49"/>
    <w:rsid w:val="00CE1B9C"/>
    <w:rsid w:val="00CE239A"/>
    <w:rsid w:val="00CE2CBF"/>
    <w:rsid w:val="00CE4C91"/>
    <w:rsid w:val="00CE74D5"/>
    <w:rsid w:val="00CF09DC"/>
    <w:rsid w:val="00CF0D3B"/>
    <w:rsid w:val="00CF22FC"/>
    <w:rsid w:val="00CF252E"/>
    <w:rsid w:val="00CF3690"/>
    <w:rsid w:val="00CF3AC8"/>
    <w:rsid w:val="00CF42C3"/>
    <w:rsid w:val="00CF4764"/>
    <w:rsid w:val="00CF4972"/>
    <w:rsid w:val="00CF49BB"/>
    <w:rsid w:val="00CF5F2F"/>
    <w:rsid w:val="00CF616A"/>
    <w:rsid w:val="00CF6613"/>
    <w:rsid w:val="00CF68B0"/>
    <w:rsid w:val="00CF74F4"/>
    <w:rsid w:val="00CF7A25"/>
    <w:rsid w:val="00D00221"/>
    <w:rsid w:val="00D004E7"/>
    <w:rsid w:val="00D00E76"/>
    <w:rsid w:val="00D0187B"/>
    <w:rsid w:val="00D01B42"/>
    <w:rsid w:val="00D01FA0"/>
    <w:rsid w:val="00D02082"/>
    <w:rsid w:val="00D0263A"/>
    <w:rsid w:val="00D02655"/>
    <w:rsid w:val="00D027CC"/>
    <w:rsid w:val="00D03784"/>
    <w:rsid w:val="00D037D0"/>
    <w:rsid w:val="00D0424A"/>
    <w:rsid w:val="00D043CD"/>
    <w:rsid w:val="00D044B6"/>
    <w:rsid w:val="00D04558"/>
    <w:rsid w:val="00D05990"/>
    <w:rsid w:val="00D05B6B"/>
    <w:rsid w:val="00D05D8F"/>
    <w:rsid w:val="00D06546"/>
    <w:rsid w:val="00D07D51"/>
    <w:rsid w:val="00D11275"/>
    <w:rsid w:val="00D11483"/>
    <w:rsid w:val="00D1180E"/>
    <w:rsid w:val="00D1253D"/>
    <w:rsid w:val="00D12721"/>
    <w:rsid w:val="00D128D0"/>
    <w:rsid w:val="00D1339F"/>
    <w:rsid w:val="00D134AA"/>
    <w:rsid w:val="00D1398C"/>
    <w:rsid w:val="00D15A4D"/>
    <w:rsid w:val="00D16117"/>
    <w:rsid w:val="00D166AA"/>
    <w:rsid w:val="00D172A6"/>
    <w:rsid w:val="00D17CEA"/>
    <w:rsid w:val="00D211E4"/>
    <w:rsid w:val="00D21CE1"/>
    <w:rsid w:val="00D2200C"/>
    <w:rsid w:val="00D2218F"/>
    <w:rsid w:val="00D22A9C"/>
    <w:rsid w:val="00D230EE"/>
    <w:rsid w:val="00D23A70"/>
    <w:rsid w:val="00D247AE"/>
    <w:rsid w:val="00D2653E"/>
    <w:rsid w:val="00D27637"/>
    <w:rsid w:val="00D30330"/>
    <w:rsid w:val="00D309FF"/>
    <w:rsid w:val="00D30C92"/>
    <w:rsid w:val="00D30D46"/>
    <w:rsid w:val="00D314AB"/>
    <w:rsid w:val="00D317EA"/>
    <w:rsid w:val="00D31FB9"/>
    <w:rsid w:val="00D32CFA"/>
    <w:rsid w:val="00D33383"/>
    <w:rsid w:val="00D33ACF"/>
    <w:rsid w:val="00D34DF7"/>
    <w:rsid w:val="00D3502F"/>
    <w:rsid w:val="00D35409"/>
    <w:rsid w:val="00D358E2"/>
    <w:rsid w:val="00D3637A"/>
    <w:rsid w:val="00D364B0"/>
    <w:rsid w:val="00D36B22"/>
    <w:rsid w:val="00D37144"/>
    <w:rsid w:val="00D410FA"/>
    <w:rsid w:val="00D428BD"/>
    <w:rsid w:val="00D43C14"/>
    <w:rsid w:val="00D442E2"/>
    <w:rsid w:val="00D4480C"/>
    <w:rsid w:val="00D449D2"/>
    <w:rsid w:val="00D4765D"/>
    <w:rsid w:val="00D51EEB"/>
    <w:rsid w:val="00D5222A"/>
    <w:rsid w:val="00D52B4F"/>
    <w:rsid w:val="00D53598"/>
    <w:rsid w:val="00D53A20"/>
    <w:rsid w:val="00D54848"/>
    <w:rsid w:val="00D54C21"/>
    <w:rsid w:val="00D559AB"/>
    <w:rsid w:val="00D56EED"/>
    <w:rsid w:val="00D60720"/>
    <w:rsid w:val="00D61D46"/>
    <w:rsid w:val="00D62090"/>
    <w:rsid w:val="00D62692"/>
    <w:rsid w:val="00D641BF"/>
    <w:rsid w:val="00D64282"/>
    <w:rsid w:val="00D64BB8"/>
    <w:rsid w:val="00D64F48"/>
    <w:rsid w:val="00D66393"/>
    <w:rsid w:val="00D66758"/>
    <w:rsid w:val="00D708DB"/>
    <w:rsid w:val="00D70DE3"/>
    <w:rsid w:val="00D732B3"/>
    <w:rsid w:val="00D74178"/>
    <w:rsid w:val="00D810FC"/>
    <w:rsid w:val="00D81101"/>
    <w:rsid w:val="00D813E3"/>
    <w:rsid w:val="00D81F27"/>
    <w:rsid w:val="00D84187"/>
    <w:rsid w:val="00D84E30"/>
    <w:rsid w:val="00D85203"/>
    <w:rsid w:val="00D85239"/>
    <w:rsid w:val="00D8561D"/>
    <w:rsid w:val="00D85921"/>
    <w:rsid w:val="00D86685"/>
    <w:rsid w:val="00D86786"/>
    <w:rsid w:val="00D91496"/>
    <w:rsid w:val="00D91D00"/>
    <w:rsid w:val="00D9222E"/>
    <w:rsid w:val="00D932E6"/>
    <w:rsid w:val="00D933E0"/>
    <w:rsid w:val="00D93AB7"/>
    <w:rsid w:val="00D94379"/>
    <w:rsid w:val="00D94BED"/>
    <w:rsid w:val="00D9763E"/>
    <w:rsid w:val="00D97D81"/>
    <w:rsid w:val="00DA35D8"/>
    <w:rsid w:val="00DA527E"/>
    <w:rsid w:val="00DA6ECF"/>
    <w:rsid w:val="00DA7951"/>
    <w:rsid w:val="00DA7DA0"/>
    <w:rsid w:val="00DB0076"/>
    <w:rsid w:val="00DB08C2"/>
    <w:rsid w:val="00DB2358"/>
    <w:rsid w:val="00DB23C9"/>
    <w:rsid w:val="00DB321D"/>
    <w:rsid w:val="00DB4024"/>
    <w:rsid w:val="00DB4345"/>
    <w:rsid w:val="00DB4FA3"/>
    <w:rsid w:val="00DB594A"/>
    <w:rsid w:val="00DB6FE9"/>
    <w:rsid w:val="00DB710F"/>
    <w:rsid w:val="00DC02CB"/>
    <w:rsid w:val="00DC03A5"/>
    <w:rsid w:val="00DC1013"/>
    <w:rsid w:val="00DC1501"/>
    <w:rsid w:val="00DC225C"/>
    <w:rsid w:val="00DC2320"/>
    <w:rsid w:val="00DC3DE9"/>
    <w:rsid w:val="00DC3DF8"/>
    <w:rsid w:val="00DC4123"/>
    <w:rsid w:val="00DC41A7"/>
    <w:rsid w:val="00DC4C60"/>
    <w:rsid w:val="00DC6231"/>
    <w:rsid w:val="00DC6A74"/>
    <w:rsid w:val="00DC708D"/>
    <w:rsid w:val="00DD07A0"/>
    <w:rsid w:val="00DD0918"/>
    <w:rsid w:val="00DD1FD8"/>
    <w:rsid w:val="00DD247A"/>
    <w:rsid w:val="00DD46DE"/>
    <w:rsid w:val="00DD48F2"/>
    <w:rsid w:val="00DD51CD"/>
    <w:rsid w:val="00DD5580"/>
    <w:rsid w:val="00DD607C"/>
    <w:rsid w:val="00DD7C32"/>
    <w:rsid w:val="00DE1C22"/>
    <w:rsid w:val="00DE24C2"/>
    <w:rsid w:val="00DE2970"/>
    <w:rsid w:val="00DE39EA"/>
    <w:rsid w:val="00DE4185"/>
    <w:rsid w:val="00DE7BCE"/>
    <w:rsid w:val="00DE7EDD"/>
    <w:rsid w:val="00DF07C4"/>
    <w:rsid w:val="00DF0CEF"/>
    <w:rsid w:val="00DF1FA0"/>
    <w:rsid w:val="00DF20A9"/>
    <w:rsid w:val="00DF273A"/>
    <w:rsid w:val="00DF2764"/>
    <w:rsid w:val="00DF2C7F"/>
    <w:rsid w:val="00DF2E3E"/>
    <w:rsid w:val="00DF2F7B"/>
    <w:rsid w:val="00DF3A5E"/>
    <w:rsid w:val="00DF40C4"/>
    <w:rsid w:val="00DF43E2"/>
    <w:rsid w:val="00DF4412"/>
    <w:rsid w:val="00DF5F9A"/>
    <w:rsid w:val="00E0237F"/>
    <w:rsid w:val="00E02BC3"/>
    <w:rsid w:val="00E0303E"/>
    <w:rsid w:val="00E03392"/>
    <w:rsid w:val="00E03E5A"/>
    <w:rsid w:val="00E04B12"/>
    <w:rsid w:val="00E0516B"/>
    <w:rsid w:val="00E057D6"/>
    <w:rsid w:val="00E065A2"/>
    <w:rsid w:val="00E077D8"/>
    <w:rsid w:val="00E10965"/>
    <w:rsid w:val="00E122A5"/>
    <w:rsid w:val="00E124D6"/>
    <w:rsid w:val="00E1264C"/>
    <w:rsid w:val="00E137AB"/>
    <w:rsid w:val="00E141C8"/>
    <w:rsid w:val="00E143CE"/>
    <w:rsid w:val="00E149D6"/>
    <w:rsid w:val="00E155AA"/>
    <w:rsid w:val="00E15E54"/>
    <w:rsid w:val="00E165A3"/>
    <w:rsid w:val="00E17014"/>
    <w:rsid w:val="00E2027E"/>
    <w:rsid w:val="00E218A7"/>
    <w:rsid w:val="00E22F9A"/>
    <w:rsid w:val="00E2420C"/>
    <w:rsid w:val="00E24C31"/>
    <w:rsid w:val="00E24E83"/>
    <w:rsid w:val="00E25DD6"/>
    <w:rsid w:val="00E27730"/>
    <w:rsid w:val="00E327BF"/>
    <w:rsid w:val="00E33837"/>
    <w:rsid w:val="00E33C2C"/>
    <w:rsid w:val="00E33D10"/>
    <w:rsid w:val="00E3440B"/>
    <w:rsid w:val="00E346B8"/>
    <w:rsid w:val="00E357B8"/>
    <w:rsid w:val="00E35B5D"/>
    <w:rsid w:val="00E36D65"/>
    <w:rsid w:val="00E41F48"/>
    <w:rsid w:val="00E441E9"/>
    <w:rsid w:val="00E45655"/>
    <w:rsid w:val="00E466B3"/>
    <w:rsid w:val="00E46807"/>
    <w:rsid w:val="00E50569"/>
    <w:rsid w:val="00E52233"/>
    <w:rsid w:val="00E53D3F"/>
    <w:rsid w:val="00E5475B"/>
    <w:rsid w:val="00E558E3"/>
    <w:rsid w:val="00E5717E"/>
    <w:rsid w:val="00E57C33"/>
    <w:rsid w:val="00E6070C"/>
    <w:rsid w:val="00E607FE"/>
    <w:rsid w:val="00E610DC"/>
    <w:rsid w:val="00E616F3"/>
    <w:rsid w:val="00E61C2D"/>
    <w:rsid w:val="00E62E1E"/>
    <w:rsid w:val="00E62EA0"/>
    <w:rsid w:val="00E63042"/>
    <w:rsid w:val="00E65027"/>
    <w:rsid w:val="00E6588E"/>
    <w:rsid w:val="00E65E99"/>
    <w:rsid w:val="00E66261"/>
    <w:rsid w:val="00E66582"/>
    <w:rsid w:val="00E667EF"/>
    <w:rsid w:val="00E66F4B"/>
    <w:rsid w:val="00E673E1"/>
    <w:rsid w:val="00E70E4F"/>
    <w:rsid w:val="00E718FF"/>
    <w:rsid w:val="00E71B56"/>
    <w:rsid w:val="00E723A2"/>
    <w:rsid w:val="00E72A80"/>
    <w:rsid w:val="00E7604C"/>
    <w:rsid w:val="00E776BE"/>
    <w:rsid w:val="00E801DA"/>
    <w:rsid w:val="00E8029B"/>
    <w:rsid w:val="00E813FE"/>
    <w:rsid w:val="00E82A92"/>
    <w:rsid w:val="00E82DD4"/>
    <w:rsid w:val="00E83D57"/>
    <w:rsid w:val="00E85425"/>
    <w:rsid w:val="00E8556F"/>
    <w:rsid w:val="00E85B3D"/>
    <w:rsid w:val="00E85D51"/>
    <w:rsid w:val="00E865BB"/>
    <w:rsid w:val="00E87C34"/>
    <w:rsid w:val="00E87FFA"/>
    <w:rsid w:val="00E910D2"/>
    <w:rsid w:val="00E91720"/>
    <w:rsid w:val="00E937F4"/>
    <w:rsid w:val="00E93D67"/>
    <w:rsid w:val="00E942C4"/>
    <w:rsid w:val="00E94C19"/>
    <w:rsid w:val="00E9659F"/>
    <w:rsid w:val="00E96DAD"/>
    <w:rsid w:val="00E96F13"/>
    <w:rsid w:val="00E97688"/>
    <w:rsid w:val="00EA02F7"/>
    <w:rsid w:val="00EA071E"/>
    <w:rsid w:val="00EA0D02"/>
    <w:rsid w:val="00EA13C4"/>
    <w:rsid w:val="00EA1C12"/>
    <w:rsid w:val="00EA2F9C"/>
    <w:rsid w:val="00EA3147"/>
    <w:rsid w:val="00EA31E5"/>
    <w:rsid w:val="00EA3713"/>
    <w:rsid w:val="00EA68CC"/>
    <w:rsid w:val="00EA7818"/>
    <w:rsid w:val="00EB01EA"/>
    <w:rsid w:val="00EB0515"/>
    <w:rsid w:val="00EB083E"/>
    <w:rsid w:val="00EB10E2"/>
    <w:rsid w:val="00EB152E"/>
    <w:rsid w:val="00EB1CB0"/>
    <w:rsid w:val="00EB2ABB"/>
    <w:rsid w:val="00EB2DE5"/>
    <w:rsid w:val="00EB35FF"/>
    <w:rsid w:val="00EB4D9D"/>
    <w:rsid w:val="00EB507A"/>
    <w:rsid w:val="00EB63AE"/>
    <w:rsid w:val="00EB6604"/>
    <w:rsid w:val="00EB6843"/>
    <w:rsid w:val="00EB6C71"/>
    <w:rsid w:val="00EB7B70"/>
    <w:rsid w:val="00EB7DE6"/>
    <w:rsid w:val="00EC0110"/>
    <w:rsid w:val="00EC01F3"/>
    <w:rsid w:val="00EC12BB"/>
    <w:rsid w:val="00EC3316"/>
    <w:rsid w:val="00EC3E05"/>
    <w:rsid w:val="00EC4FA8"/>
    <w:rsid w:val="00EC51A6"/>
    <w:rsid w:val="00EC533D"/>
    <w:rsid w:val="00EC56C8"/>
    <w:rsid w:val="00EC5CF3"/>
    <w:rsid w:val="00EC7A58"/>
    <w:rsid w:val="00ED00EE"/>
    <w:rsid w:val="00ED0B41"/>
    <w:rsid w:val="00ED108C"/>
    <w:rsid w:val="00ED3285"/>
    <w:rsid w:val="00ED387C"/>
    <w:rsid w:val="00ED3E19"/>
    <w:rsid w:val="00ED3F30"/>
    <w:rsid w:val="00ED4215"/>
    <w:rsid w:val="00ED473B"/>
    <w:rsid w:val="00ED50E9"/>
    <w:rsid w:val="00ED5A78"/>
    <w:rsid w:val="00ED60A1"/>
    <w:rsid w:val="00ED6767"/>
    <w:rsid w:val="00ED6E59"/>
    <w:rsid w:val="00ED75AC"/>
    <w:rsid w:val="00ED7BE9"/>
    <w:rsid w:val="00EE0BAF"/>
    <w:rsid w:val="00EE0D57"/>
    <w:rsid w:val="00EE123C"/>
    <w:rsid w:val="00EE24EB"/>
    <w:rsid w:val="00EE25C8"/>
    <w:rsid w:val="00EE29D8"/>
    <w:rsid w:val="00EE2A43"/>
    <w:rsid w:val="00EE64AC"/>
    <w:rsid w:val="00EE6614"/>
    <w:rsid w:val="00EF094A"/>
    <w:rsid w:val="00EF12EF"/>
    <w:rsid w:val="00EF1483"/>
    <w:rsid w:val="00EF1D94"/>
    <w:rsid w:val="00EF37F2"/>
    <w:rsid w:val="00EF4E64"/>
    <w:rsid w:val="00EF542E"/>
    <w:rsid w:val="00EF55D6"/>
    <w:rsid w:val="00EF58F5"/>
    <w:rsid w:val="00EF6287"/>
    <w:rsid w:val="00EF635F"/>
    <w:rsid w:val="00EF6998"/>
    <w:rsid w:val="00EF7470"/>
    <w:rsid w:val="00EF763F"/>
    <w:rsid w:val="00EF7AF2"/>
    <w:rsid w:val="00F00704"/>
    <w:rsid w:val="00F009AC"/>
    <w:rsid w:val="00F01142"/>
    <w:rsid w:val="00F01364"/>
    <w:rsid w:val="00F0193F"/>
    <w:rsid w:val="00F022A0"/>
    <w:rsid w:val="00F025C1"/>
    <w:rsid w:val="00F02880"/>
    <w:rsid w:val="00F028CA"/>
    <w:rsid w:val="00F03904"/>
    <w:rsid w:val="00F03EB8"/>
    <w:rsid w:val="00F04E5F"/>
    <w:rsid w:val="00F05825"/>
    <w:rsid w:val="00F05E41"/>
    <w:rsid w:val="00F06384"/>
    <w:rsid w:val="00F10651"/>
    <w:rsid w:val="00F10B88"/>
    <w:rsid w:val="00F11BE0"/>
    <w:rsid w:val="00F14F4A"/>
    <w:rsid w:val="00F15121"/>
    <w:rsid w:val="00F15C9D"/>
    <w:rsid w:val="00F15F1A"/>
    <w:rsid w:val="00F177CA"/>
    <w:rsid w:val="00F17C39"/>
    <w:rsid w:val="00F20246"/>
    <w:rsid w:val="00F205E1"/>
    <w:rsid w:val="00F2070E"/>
    <w:rsid w:val="00F210F4"/>
    <w:rsid w:val="00F2184F"/>
    <w:rsid w:val="00F22467"/>
    <w:rsid w:val="00F22DB2"/>
    <w:rsid w:val="00F24131"/>
    <w:rsid w:val="00F249EE"/>
    <w:rsid w:val="00F25E65"/>
    <w:rsid w:val="00F26287"/>
    <w:rsid w:val="00F264CF"/>
    <w:rsid w:val="00F27BB5"/>
    <w:rsid w:val="00F305A3"/>
    <w:rsid w:val="00F30E63"/>
    <w:rsid w:val="00F30F87"/>
    <w:rsid w:val="00F33568"/>
    <w:rsid w:val="00F341E5"/>
    <w:rsid w:val="00F354E6"/>
    <w:rsid w:val="00F37E56"/>
    <w:rsid w:val="00F40F36"/>
    <w:rsid w:val="00F4192A"/>
    <w:rsid w:val="00F4198B"/>
    <w:rsid w:val="00F4348B"/>
    <w:rsid w:val="00F447DC"/>
    <w:rsid w:val="00F44844"/>
    <w:rsid w:val="00F45432"/>
    <w:rsid w:val="00F45EAB"/>
    <w:rsid w:val="00F46383"/>
    <w:rsid w:val="00F466F3"/>
    <w:rsid w:val="00F46CF4"/>
    <w:rsid w:val="00F47110"/>
    <w:rsid w:val="00F47396"/>
    <w:rsid w:val="00F4760F"/>
    <w:rsid w:val="00F52504"/>
    <w:rsid w:val="00F527F0"/>
    <w:rsid w:val="00F53AB2"/>
    <w:rsid w:val="00F542D4"/>
    <w:rsid w:val="00F54D9E"/>
    <w:rsid w:val="00F54E8F"/>
    <w:rsid w:val="00F5502D"/>
    <w:rsid w:val="00F568D2"/>
    <w:rsid w:val="00F577C5"/>
    <w:rsid w:val="00F57D69"/>
    <w:rsid w:val="00F60FBF"/>
    <w:rsid w:val="00F6205E"/>
    <w:rsid w:val="00F62B2D"/>
    <w:rsid w:val="00F633D7"/>
    <w:rsid w:val="00F63871"/>
    <w:rsid w:val="00F648F3"/>
    <w:rsid w:val="00F66399"/>
    <w:rsid w:val="00F66A5E"/>
    <w:rsid w:val="00F67063"/>
    <w:rsid w:val="00F67169"/>
    <w:rsid w:val="00F70036"/>
    <w:rsid w:val="00F7058F"/>
    <w:rsid w:val="00F70B45"/>
    <w:rsid w:val="00F70C87"/>
    <w:rsid w:val="00F710E7"/>
    <w:rsid w:val="00F71CE4"/>
    <w:rsid w:val="00F733DB"/>
    <w:rsid w:val="00F749BF"/>
    <w:rsid w:val="00F749FD"/>
    <w:rsid w:val="00F74A89"/>
    <w:rsid w:val="00F74FDE"/>
    <w:rsid w:val="00F75BC1"/>
    <w:rsid w:val="00F764F3"/>
    <w:rsid w:val="00F766CC"/>
    <w:rsid w:val="00F7706E"/>
    <w:rsid w:val="00F8108D"/>
    <w:rsid w:val="00F819EC"/>
    <w:rsid w:val="00F821CF"/>
    <w:rsid w:val="00F82484"/>
    <w:rsid w:val="00F8416C"/>
    <w:rsid w:val="00F8443E"/>
    <w:rsid w:val="00F846E4"/>
    <w:rsid w:val="00F85221"/>
    <w:rsid w:val="00F855F7"/>
    <w:rsid w:val="00F85CED"/>
    <w:rsid w:val="00F9050E"/>
    <w:rsid w:val="00F90F36"/>
    <w:rsid w:val="00F91FFD"/>
    <w:rsid w:val="00F921C1"/>
    <w:rsid w:val="00F9354D"/>
    <w:rsid w:val="00F9475E"/>
    <w:rsid w:val="00F94A22"/>
    <w:rsid w:val="00F953F7"/>
    <w:rsid w:val="00F975E5"/>
    <w:rsid w:val="00F97D8E"/>
    <w:rsid w:val="00FA0AF2"/>
    <w:rsid w:val="00FA0C27"/>
    <w:rsid w:val="00FA1488"/>
    <w:rsid w:val="00FA201D"/>
    <w:rsid w:val="00FA2A59"/>
    <w:rsid w:val="00FA2B2A"/>
    <w:rsid w:val="00FA477E"/>
    <w:rsid w:val="00FA5C2F"/>
    <w:rsid w:val="00FA5DFD"/>
    <w:rsid w:val="00FA5E06"/>
    <w:rsid w:val="00FA640B"/>
    <w:rsid w:val="00FA71D3"/>
    <w:rsid w:val="00FB094A"/>
    <w:rsid w:val="00FB1896"/>
    <w:rsid w:val="00FB2578"/>
    <w:rsid w:val="00FB2DF8"/>
    <w:rsid w:val="00FB370B"/>
    <w:rsid w:val="00FB3F69"/>
    <w:rsid w:val="00FB4D19"/>
    <w:rsid w:val="00FB53AE"/>
    <w:rsid w:val="00FB6BCC"/>
    <w:rsid w:val="00FC00E5"/>
    <w:rsid w:val="00FC00EB"/>
    <w:rsid w:val="00FC1B0E"/>
    <w:rsid w:val="00FC220E"/>
    <w:rsid w:val="00FC283F"/>
    <w:rsid w:val="00FC3090"/>
    <w:rsid w:val="00FC3F6A"/>
    <w:rsid w:val="00FC401F"/>
    <w:rsid w:val="00FD049B"/>
    <w:rsid w:val="00FD17AD"/>
    <w:rsid w:val="00FD1AF0"/>
    <w:rsid w:val="00FD3609"/>
    <w:rsid w:val="00FD4142"/>
    <w:rsid w:val="00FD4CDE"/>
    <w:rsid w:val="00FD5499"/>
    <w:rsid w:val="00FD67CA"/>
    <w:rsid w:val="00FD6E58"/>
    <w:rsid w:val="00FD7691"/>
    <w:rsid w:val="00FE0F81"/>
    <w:rsid w:val="00FE15C4"/>
    <w:rsid w:val="00FE2871"/>
    <w:rsid w:val="00FE28AA"/>
    <w:rsid w:val="00FE2C0E"/>
    <w:rsid w:val="00FE3F62"/>
    <w:rsid w:val="00FE6444"/>
    <w:rsid w:val="00FE7F57"/>
    <w:rsid w:val="00FF072F"/>
    <w:rsid w:val="00FF0DF2"/>
    <w:rsid w:val="00FF0EEB"/>
    <w:rsid w:val="00FF1BBA"/>
    <w:rsid w:val="00FF227C"/>
    <w:rsid w:val="00FF2D31"/>
    <w:rsid w:val="00FF30C6"/>
    <w:rsid w:val="00FF32DE"/>
    <w:rsid w:val="00FF3E81"/>
    <w:rsid w:val="00FF5608"/>
    <w:rsid w:val="00FF70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EFC480"/>
  <w15:chartTrackingRefBased/>
  <w15:docId w15:val="{7A174B64-3EBC-44E9-9ED3-080F04AA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3788"/>
    <w:pPr>
      <w:shd w:val="clear" w:color="auto" w:fill="006CE5"/>
      <w:jc w:val="both"/>
      <w:outlineLvl w:val="0"/>
    </w:pPr>
    <w:rPr>
      <w:rFonts w:ascii="Segoe UI" w:hAnsi="Segoe UI" w:cs="Segoe UI"/>
      <w:noProof/>
      <w:color w:val="FFFFFF" w:themeColor="background1"/>
      <w:sz w:val="24"/>
      <w:szCs w:val="24"/>
      <w:lang w:eastAsia="fr-FR"/>
    </w:rPr>
  </w:style>
  <w:style w:type="paragraph" w:styleId="Titre2">
    <w:name w:val="heading 2"/>
    <w:basedOn w:val="Normal"/>
    <w:next w:val="Normal"/>
    <w:link w:val="Titre2Car"/>
    <w:uiPriority w:val="9"/>
    <w:unhideWhenUsed/>
    <w:qFormat/>
    <w:rsid w:val="00463788"/>
    <w:pPr>
      <w:jc w:val="both"/>
      <w:outlineLvl w:val="1"/>
    </w:pPr>
    <w:rPr>
      <w:rFonts w:ascii="Segoe UI" w:eastAsia="SimSun" w:hAnsi="Segoe UI" w:cs="Segoe UI"/>
      <w:bCs/>
      <w:color w:val="006CE5"/>
      <w:szCs w:val="24"/>
      <w:lang w:eastAsia="ja-JP"/>
    </w:rPr>
  </w:style>
  <w:style w:type="paragraph" w:styleId="Titre3">
    <w:name w:val="heading 3"/>
    <w:basedOn w:val="Normal"/>
    <w:link w:val="Titre3Car"/>
    <w:uiPriority w:val="9"/>
    <w:qFormat/>
    <w:rsid w:val="0052573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unhideWhenUsed/>
    <w:qFormat/>
    <w:rsid w:val="005E1539"/>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qFormat/>
    <w:rsid w:val="005E1539"/>
    <w:rPr>
      <w:sz w:val="20"/>
      <w:szCs w:val="20"/>
    </w:rPr>
  </w:style>
  <w:style w:type="character" w:styleId="Lienhypertexte">
    <w:name w:val="Hyperlink"/>
    <w:basedOn w:val="Policepardfaut"/>
    <w:uiPriority w:val="99"/>
    <w:unhideWhenUsed/>
    <w:rsid w:val="005E1539"/>
    <w:rPr>
      <w:color w:val="0563C1" w:themeColor="hyperlink"/>
      <w:u w:val="single"/>
    </w:rPr>
  </w:style>
  <w:style w:type="character" w:styleId="Appelnotedebasdep">
    <w:name w:val="footnote reference"/>
    <w:aliases w:val="ftref,16 Point,Superscript 6 Point,(NECG) Footnote Reference,Footnote number,BVI fnr,Comment Text Char1,Footnote Reference1,ftref Char,BVI fnr Char,BVI fnr Car Char,Char Char Car Char,16 Point Char, BVI fnr, BVI fnr Car Car,FC"/>
    <w:basedOn w:val="Policepardfaut"/>
    <w:link w:val="CharChar"/>
    <w:uiPriority w:val="99"/>
    <w:unhideWhenUsed/>
    <w:qFormat/>
    <w:rsid w:val="005E1539"/>
    <w:rPr>
      <w:vertAlign w:val="superscript"/>
    </w:rPr>
  </w:style>
  <w:style w:type="character" w:customStyle="1" w:styleId="Mentionnonrsolue1">
    <w:name w:val="Mention non résolue1"/>
    <w:basedOn w:val="Policepardfaut"/>
    <w:uiPriority w:val="99"/>
    <w:semiHidden/>
    <w:unhideWhenUsed/>
    <w:rsid w:val="005A5B12"/>
    <w:rPr>
      <w:color w:val="605E5C"/>
      <w:shd w:val="clear" w:color="auto" w:fill="E1DFDD"/>
    </w:rPr>
  </w:style>
  <w:style w:type="character" w:styleId="Lienhypertextesuivivisit">
    <w:name w:val="FollowedHyperlink"/>
    <w:basedOn w:val="Policepardfaut"/>
    <w:uiPriority w:val="99"/>
    <w:semiHidden/>
    <w:unhideWhenUsed/>
    <w:rsid w:val="00A03334"/>
    <w:rPr>
      <w:color w:val="954F72" w:themeColor="followedHyperlink"/>
      <w:u w:val="single"/>
    </w:rPr>
  </w:style>
  <w:style w:type="character" w:customStyle="1" w:styleId="Titre3Car">
    <w:name w:val="Titre 3 Car"/>
    <w:basedOn w:val="Policepardfaut"/>
    <w:link w:val="Titre3"/>
    <w:uiPriority w:val="9"/>
    <w:rsid w:val="0052573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257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5737"/>
    <w:rPr>
      <w:i/>
      <w:iCs/>
    </w:rPr>
  </w:style>
  <w:style w:type="character" w:styleId="Marquedecommentaire">
    <w:name w:val="annotation reference"/>
    <w:basedOn w:val="Policepardfaut"/>
    <w:uiPriority w:val="99"/>
    <w:semiHidden/>
    <w:unhideWhenUsed/>
    <w:rsid w:val="008A4AD6"/>
    <w:rPr>
      <w:sz w:val="16"/>
      <w:szCs w:val="16"/>
    </w:rPr>
  </w:style>
  <w:style w:type="paragraph" w:styleId="Commentaire">
    <w:name w:val="annotation text"/>
    <w:basedOn w:val="Normal"/>
    <w:link w:val="CommentaireCar"/>
    <w:uiPriority w:val="99"/>
    <w:semiHidden/>
    <w:unhideWhenUsed/>
    <w:rsid w:val="008A4AD6"/>
    <w:pPr>
      <w:spacing w:line="240" w:lineRule="auto"/>
    </w:pPr>
    <w:rPr>
      <w:sz w:val="20"/>
      <w:szCs w:val="20"/>
    </w:rPr>
  </w:style>
  <w:style w:type="character" w:customStyle="1" w:styleId="CommentaireCar">
    <w:name w:val="Commentaire Car"/>
    <w:basedOn w:val="Policepardfaut"/>
    <w:link w:val="Commentaire"/>
    <w:uiPriority w:val="99"/>
    <w:semiHidden/>
    <w:rsid w:val="008A4AD6"/>
    <w:rPr>
      <w:sz w:val="20"/>
      <w:szCs w:val="20"/>
    </w:rPr>
  </w:style>
  <w:style w:type="paragraph" w:styleId="Objetducommentaire">
    <w:name w:val="annotation subject"/>
    <w:basedOn w:val="Commentaire"/>
    <w:next w:val="Commentaire"/>
    <w:link w:val="ObjetducommentaireCar"/>
    <w:uiPriority w:val="99"/>
    <w:semiHidden/>
    <w:unhideWhenUsed/>
    <w:rsid w:val="008A4AD6"/>
    <w:rPr>
      <w:b/>
      <w:bCs/>
    </w:rPr>
  </w:style>
  <w:style w:type="character" w:customStyle="1" w:styleId="ObjetducommentaireCar">
    <w:name w:val="Objet du commentaire Car"/>
    <w:basedOn w:val="CommentaireCar"/>
    <w:link w:val="Objetducommentaire"/>
    <w:uiPriority w:val="99"/>
    <w:semiHidden/>
    <w:rsid w:val="008A4AD6"/>
    <w:rPr>
      <w:b/>
      <w:bCs/>
      <w:sz w:val="20"/>
      <w:szCs w:val="20"/>
    </w:rPr>
  </w:style>
  <w:style w:type="character" w:customStyle="1" w:styleId="Titre1Car">
    <w:name w:val="Titre 1 Car"/>
    <w:basedOn w:val="Policepardfaut"/>
    <w:link w:val="Titre1"/>
    <w:uiPriority w:val="9"/>
    <w:rsid w:val="00463788"/>
    <w:rPr>
      <w:rFonts w:ascii="Segoe UI" w:hAnsi="Segoe UI" w:cs="Segoe UI"/>
      <w:noProof/>
      <w:color w:val="FFFFFF" w:themeColor="background1"/>
      <w:sz w:val="24"/>
      <w:szCs w:val="24"/>
      <w:shd w:val="clear" w:color="auto" w:fill="006CE5"/>
      <w:lang w:eastAsia="fr-FR"/>
    </w:rPr>
  </w:style>
  <w:style w:type="character" w:customStyle="1" w:styleId="Titre2Car">
    <w:name w:val="Titre 2 Car"/>
    <w:basedOn w:val="Policepardfaut"/>
    <w:link w:val="Titre2"/>
    <w:uiPriority w:val="9"/>
    <w:rsid w:val="00463788"/>
    <w:rPr>
      <w:rFonts w:ascii="Segoe UI" w:eastAsia="SimSun" w:hAnsi="Segoe UI" w:cs="Segoe UI"/>
      <w:bCs/>
      <w:color w:val="006CE5"/>
      <w:szCs w:val="24"/>
      <w:lang w:eastAsia="ja-JP"/>
    </w:rPr>
  </w:style>
  <w:style w:type="paragraph" w:styleId="Notedefin">
    <w:name w:val="endnote text"/>
    <w:basedOn w:val="Normal"/>
    <w:link w:val="NotedefinCar"/>
    <w:uiPriority w:val="99"/>
    <w:unhideWhenUsed/>
    <w:rsid w:val="0092373C"/>
    <w:pPr>
      <w:spacing w:after="0" w:line="240" w:lineRule="auto"/>
    </w:pPr>
    <w:rPr>
      <w:sz w:val="20"/>
      <w:szCs w:val="20"/>
    </w:rPr>
  </w:style>
  <w:style w:type="character" w:customStyle="1" w:styleId="NotedefinCar">
    <w:name w:val="Note de fin Car"/>
    <w:basedOn w:val="Policepardfaut"/>
    <w:link w:val="Notedefin"/>
    <w:uiPriority w:val="99"/>
    <w:rsid w:val="0092373C"/>
    <w:rPr>
      <w:sz w:val="20"/>
      <w:szCs w:val="20"/>
    </w:rPr>
  </w:style>
  <w:style w:type="character" w:styleId="Appeldenotedefin">
    <w:name w:val="endnote reference"/>
    <w:basedOn w:val="Policepardfaut"/>
    <w:uiPriority w:val="99"/>
    <w:semiHidden/>
    <w:unhideWhenUsed/>
    <w:rsid w:val="0092373C"/>
    <w:rPr>
      <w:vertAlign w:val="superscript"/>
    </w:rPr>
  </w:style>
  <w:style w:type="character" w:customStyle="1" w:styleId="Mentionnonrsolue2">
    <w:name w:val="Mention non résolue2"/>
    <w:basedOn w:val="Policepardfaut"/>
    <w:uiPriority w:val="99"/>
    <w:semiHidden/>
    <w:unhideWhenUsed/>
    <w:rsid w:val="00682A64"/>
    <w:rPr>
      <w:color w:val="605E5C"/>
      <w:shd w:val="clear" w:color="auto" w:fill="E1DFDD"/>
    </w:rPr>
  </w:style>
  <w:style w:type="character" w:styleId="Mentionnonrsolue">
    <w:name w:val="Unresolved Mention"/>
    <w:basedOn w:val="Policepardfaut"/>
    <w:uiPriority w:val="99"/>
    <w:semiHidden/>
    <w:unhideWhenUsed/>
    <w:rsid w:val="00332F23"/>
    <w:rPr>
      <w:color w:val="605E5C"/>
      <w:shd w:val="clear" w:color="auto" w:fill="E1DFDD"/>
    </w:rPr>
  </w:style>
  <w:style w:type="paragraph" w:customStyle="1" w:styleId="CharChar">
    <w:name w:val="Char Char"/>
    <w:basedOn w:val="Normal"/>
    <w:next w:val="Normal"/>
    <w:link w:val="Appelnotedebasdep"/>
    <w:rsid w:val="001E64D4"/>
    <w:pPr>
      <w:spacing w:line="240" w:lineRule="exact"/>
    </w:pPr>
    <w:rPr>
      <w:vertAlign w:val="superscript"/>
    </w:rPr>
  </w:style>
  <w:style w:type="paragraph" w:customStyle="1" w:styleId="Intituldeladirection">
    <w:name w:val="Intitulé de la direction"/>
    <w:basedOn w:val="Normal"/>
    <w:qFormat/>
    <w:rsid w:val="008C64B7"/>
    <w:pPr>
      <w:spacing w:after="0" w:line="336" w:lineRule="atLeast"/>
      <w:jc w:val="right"/>
    </w:pPr>
    <w:rPr>
      <w:rFonts w:ascii="Arial" w:hAnsi="Arial"/>
      <w:b/>
      <w:sz w:val="28"/>
      <w:szCs w:val="20"/>
    </w:rPr>
  </w:style>
  <w:style w:type="table" w:styleId="TableauGrille5Fonc-Accentuation5">
    <w:name w:val="Grid Table 5 Dark Accent 5"/>
    <w:basedOn w:val="TableauNormal"/>
    <w:uiPriority w:val="50"/>
    <w:rsid w:val="001325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1">
    <w:name w:val="Grid Table 4 Accent 1"/>
    <w:basedOn w:val="TableauNormal"/>
    <w:uiPriority w:val="49"/>
    <w:rsid w:val="009C79C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rps">
    <w:name w:val="Corps"/>
    <w:rsid w:val="00EC3E0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customStyle="1" w:styleId="Contenudetableau">
    <w:name w:val="Contenu de tableau"/>
    <w:basedOn w:val="Normal"/>
    <w:rsid w:val="00504232"/>
    <w:pPr>
      <w:suppressLineNumbers/>
      <w:suppressAutoHyphens/>
      <w:overflowPunct w:val="0"/>
      <w:autoSpaceDE w:val="0"/>
      <w:spacing w:after="0" w:line="240" w:lineRule="auto"/>
      <w:textAlignment w:val="baseline"/>
    </w:pPr>
    <w:rPr>
      <w:rFonts w:ascii="Univers" w:eastAsia="Times New Roman" w:hAnsi="Univers" w:cs="Arial"/>
      <w:kern w:val="1"/>
      <w:sz w:val="20"/>
      <w:szCs w:val="20"/>
      <w:lang w:eastAsia="ar-SA"/>
    </w:rPr>
  </w:style>
  <w:style w:type="numbering" w:customStyle="1" w:styleId="Aucuneliste1">
    <w:name w:val="Aucune liste1"/>
    <w:next w:val="Aucuneliste"/>
    <w:uiPriority w:val="99"/>
    <w:semiHidden/>
    <w:unhideWhenUsed/>
    <w:rsid w:val="00A24BE1"/>
  </w:style>
  <w:style w:type="table" w:customStyle="1" w:styleId="TableNormal">
    <w:name w:val="Table Normal"/>
    <w:rsid w:val="00A24BE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A">
    <w:name w:val="Corps A"/>
    <w:rsid w:val="00A24BE1"/>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customStyle="1" w:styleId="Corps0">
    <w:name w:val="Corps.0"/>
    <w:rsid w:val="00A24BE1"/>
    <w:rPr>
      <w:rFonts w:ascii="Segoe UI" w:eastAsia="Segoe UI" w:hAnsi="Segoe UI" w:cs="Segoe UI"/>
      <w:b w:val="0"/>
      <w:bCs w:val="0"/>
      <w:i w:val="0"/>
      <w:iCs w:val="0"/>
      <w:sz w:val="20"/>
      <w:szCs w:val="20"/>
      <w:lang w:val="fr-FR"/>
    </w:rPr>
  </w:style>
  <w:style w:type="character" w:customStyle="1" w:styleId="Hyperlink0">
    <w:name w:val="Hyperlink.0"/>
    <w:basedOn w:val="Lienhypertexte"/>
    <w:rsid w:val="00A24BE1"/>
    <w:rPr>
      <w:color w:val="0563C1" w:themeColor="hyperlink"/>
      <w:u w:val="single"/>
    </w:rPr>
  </w:style>
  <w:style w:type="paragraph" w:customStyle="1" w:styleId="Pardfaut">
    <w:name w:val="Par défaut"/>
    <w:rsid w:val="00A24BE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fr-FR"/>
    </w:rPr>
  </w:style>
  <w:style w:type="paragraph" w:customStyle="1" w:styleId="Styledetableau1">
    <w:name w:val="Style de tableau 1"/>
    <w:rsid w:val="00A24BE1"/>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fr-FR"/>
    </w:rPr>
  </w:style>
  <w:style w:type="paragraph" w:customStyle="1" w:styleId="Default">
    <w:name w:val="Default"/>
    <w:rsid w:val="00A24BE1"/>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fr-FR"/>
    </w:rPr>
  </w:style>
  <w:style w:type="table" w:customStyle="1" w:styleId="Listemoyenne2-Accent11">
    <w:name w:val="Liste moyenne 2 - Accent 11"/>
    <w:basedOn w:val="TableauNormal"/>
    <w:next w:val="Listemoyenne2-Accent1"/>
    <w:uiPriority w:val="66"/>
    <w:rsid w:val="00A24BE1"/>
    <w:pPr>
      <w:spacing w:after="0" w:line="240" w:lineRule="auto"/>
    </w:pPr>
    <w:rPr>
      <w:rFonts w:ascii="Helvetica" w:eastAsia="Times New Roman" w:hAnsi="Helvetica" w:cs="Times New Roman"/>
      <w:color w:val="000000"/>
      <w:lang w:eastAsia="fr-FR"/>
    </w:rPr>
    <w:tblPr>
      <w:tblStyleRowBandSize w:val="1"/>
      <w:tblStyleColBandSize w:val="1"/>
      <w:tblBorders>
        <w:top w:val="single" w:sz="8" w:space="0" w:color="499BC9"/>
        <w:left w:val="single" w:sz="8" w:space="0" w:color="499BC9"/>
        <w:bottom w:val="single" w:sz="8" w:space="0" w:color="499BC9"/>
        <w:right w:val="single" w:sz="8" w:space="0" w:color="499BC9"/>
      </w:tblBorders>
    </w:tblPr>
    <w:tblStylePr w:type="firstRow">
      <w:rPr>
        <w:sz w:val="24"/>
        <w:szCs w:val="24"/>
      </w:rPr>
      <w:tblPr/>
      <w:tcPr>
        <w:tcBorders>
          <w:top w:val="nil"/>
          <w:left w:val="nil"/>
          <w:bottom w:val="single" w:sz="24" w:space="0" w:color="499BC9"/>
          <w:right w:val="nil"/>
          <w:insideH w:val="nil"/>
          <w:insideV w:val="nil"/>
        </w:tcBorders>
        <w:shd w:val="clear" w:color="auto" w:fill="FFFFFF"/>
      </w:tcPr>
    </w:tblStylePr>
    <w:tblStylePr w:type="lastRow">
      <w:tblPr/>
      <w:tcPr>
        <w:tcBorders>
          <w:top w:val="single" w:sz="8" w:space="0" w:color="499BC9"/>
          <w:left w:val="nil"/>
          <w:bottom w:val="nil"/>
          <w:right w:val="nil"/>
          <w:insideH w:val="nil"/>
          <w:insideV w:val="nil"/>
        </w:tcBorders>
        <w:shd w:val="clear" w:color="auto" w:fill="FFFFFF"/>
      </w:tcPr>
    </w:tblStylePr>
    <w:tblStylePr w:type="firstCol">
      <w:tblPr/>
      <w:tcPr>
        <w:tcBorders>
          <w:top w:val="nil"/>
          <w:left w:val="nil"/>
          <w:bottom w:val="nil"/>
          <w:right w:val="single" w:sz="8" w:space="0" w:color="499BC9"/>
          <w:insideH w:val="nil"/>
          <w:insideV w:val="nil"/>
        </w:tcBorders>
        <w:shd w:val="clear" w:color="auto" w:fill="FFFFFF"/>
      </w:tcPr>
    </w:tblStylePr>
    <w:tblStylePr w:type="lastCol">
      <w:tblPr/>
      <w:tcPr>
        <w:tcBorders>
          <w:top w:val="nil"/>
          <w:left w:val="single" w:sz="8" w:space="0" w:color="499BC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6F1"/>
      </w:tcPr>
    </w:tblStylePr>
    <w:tblStylePr w:type="band1Horz">
      <w:tblPr/>
      <w:tcPr>
        <w:tcBorders>
          <w:top w:val="nil"/>
          <w:bottom w:val="nil"/>
          <w:insideH w:val="nil"/>
          <w:insideV w:val="nil"/>
        </w:tcBorders>
        <w:shd w:val="clear" w:color="auto" w:fill="D2E6F1"/>
      </w:tcPr>
    </w:tblStylePr>
    <w:tblStylePr w:type="nwCell">
      <w:tblPr/>
      <w:tcPr>
        <w:shd w:val="clear" w:color="auto" w:fill="FFFFFF"/>
      </w:tcPr>
    </w:tblStylePr>
    <w:tblStylePr w:type="swCell">
      <w:tblPr/>
      <w:tcPr>
        <w:tcBorders>
          <w:top w:val="nil"/>
        </w:tcBorders>
      </w:tcPr>
    </w:tblStylePr>
  </w:style>
  <w:style w:type="paragraph" w:styleId="Rvision">
    <w:name w:val="Revision"/>
    <w:hidden/>
    <w:uiPriority w:val="99"/>
    <w:semiHidden/>
    <w:rsid w:val="00A24BE1"/>
    <w:pPr>
      <w:spacing w:after="0" w:line="240" w:lineRule="auto"/>
    </w:pPr>
    <w:rPr>
      <w:rFonts w:ascii="Times New Roman" w:eastAsia="Arial Unicode MS" w:hAnsi="Times New Roman" w:cs="Times New Roman"/>
      <w:sz w:val="24"/>
      <w:szCs w:val="24"/>
      <w:bdr w:val="nil"/>
      <w:lang w:val="en-US"/>
    </w:rPr>
  </w:style>
  <w:style w:type="table" w:customStyle="1" w:styleId="TableauGrille6Couleur1">
    <w:name w:val="Tableau Grille 6 Couleur1"/>
    <w:basedOn w:val="TableauNormal"/>
    <w:next w:val="TableauGrille6Couleur"/>
    <w:uiPriority w:val="51"/>
    <w:rsid w:val="00A24BE1"/>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orpsdetexte23">
    <w:name w:val="corpsdetexte23"/>
    <w:basedOn w:val="Normal"/>
    <w:rsid w:val="00A24BE1"/>
    <w:pPr>
      <w:spacing w:before="100" w:beforeAutospacing="1" w:after="100" w:afterAutospacing="1" w:line="240" w:lineRule="auto"/>
    </w:pPr>
    <w:rPr>
      <w:rFonts w:ascii="Times New Roman" w:hAnsi="Times New Roman" w:cs="Times New Roman"/>
      <w:sz w:val="24"/>
      <w:szCs w:val="24"/>
      <w:lang w:eastAsia="fr-FR"/>
    </w:rPr>
  </w:style>
  <w:style w:type="table" w:styleId="Listemoyenne2-Accent1">
    <w:name w:val="Medium List 2 Accent 1"/>
    <w:basedOn w:val="TableauNormal"/>
    <w:uiPriority w:val="66"/>
    <w:semiHidden/>
    <w:unhideWhenUsed/>
    <w:rsid w:val="00A2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auGrille6Couleur">
    <w:name w:val="Grid Table 6 Colorful"/>
    <w:basedOn w:val="TableauNormal"/>
    <w:uiPriority w:val="51"/>
    <w:rsid w:val="00A24BE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3742">
      <w:bodyDiv w:val="1"/>
      <w:marLeft w:val="0"/>
      <w:marRight w:val="0"/>
      <w:marTop w:val="0"/>
      <w:marBottom w:val="0"/>
      <w:divBdr>
        <w:top w:val="none" w:sz="0" w:space="0" w:color="auto"/>
        <w:left w:val="none" w:sz="0" w:space="0" w:color="auto"/>
        <w:bottom w:val="none" w:sz="0" w:space="0" w:color="auto"/>
        <w:right w:val="none" w:sz="0" w:space="0" w:color="auto"/>
      </w:divBdr>
    </w:div>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 w:id="876895161">
      <w:bodyDiv w:val="1"/>
      <w:marLeft w:val="0"/>
      <w:marRight w:val="0"/>
      <w:marTop w:val="0"/>
      <w:marBottom w:val="0"/>
      <w:divBdr>
        <w:top w:val="none" w:sz="0" w:space="0" w:color="auto"/>
        <w:left w:val="none" w:sz="0" w:space="0" w:color="auto"/>
        <w:bottom w:val="none" w:sz="0" w:space="0" w:color="auto"/>
        <w:right w:val="none" w:sz="0" w:space="0" w:color="auto"/>
      </w:divBdr>
    </w:div>
    <w:div w:id="904027433">
      <w:bodyDiv w:val="1"/>
      <w:marLeft w:val="0"/>
      <w:marRight w:val="0"/>
      <w:marTop w:val="0"/>
      <w:marBottom w:val="0"/>
      <w:divBdr>
        <w:top w:val="none" w:sz="0" w:space="0" w:color="auto"/>
        <w:left w:val="none" w:sz="0" w:space="0" w:color="auto"/>
        <w:bottom w:val="none" w:sz="0" w:space="0" w:color="auto"/>
        <w:right w:val="none" w:sz="0" w:space="0" w:color="auto"/>
      </w:divBdr>
    </w:div>
    <w:div w:id="1325401490">
      <w:bodyDiv w:val="1"/>
      <w:marLeft w:val="0"/>
      <w:marRight w:val="0"/>
      <w:marTop w:val="0"/>
      <w:marBottom w:val="0"/>
      <w:divBdr>
        <w:top w:val="none" w:sz="0" w:space="0" w:color="auto"/>
        <w:left w:val="none" w:sz="0" w:space="0" w:color="auto"/>
        <w:bottom w:val="none" w:sz="0" w:space="0" w:color="auto"/>
        <w:right w:val="none" w:sz="0" w:space="0" w:color="auto"/>
      </w:divBdr>
    </w:div>
    <w:div w:id="1420057974">
      <w:bodyDiv w:val="1"/>
      <w:marLeft w:val="0"/>
      <w:marRight w:val="0"/>
      <w:marTop w:val="0"/>
      <w:marBottom w:val="0"/>
      <w:divBdr>
        <w:top w:val="none" w:sz="0" w:space="0" w:color="auto"/>
        <w:left w:val="none" w:sz="0" w:space="0" w:color="auto"/>
        <w:bottom w:val="none" w:sz="0" w:space="0" w:color="auto"/>
        <w:right w:val="none" w:sz="0" w:space="0" w:color="auto"/>
      </w:divBdr>
    </w:div>
    <w:div w:id="1553270467">
      <w:bodyDiv w:val="1"/>
      <w:marLeft w:val="0"/>
      <w:marRight w:val="0"/>
      <w:marTop w:val="0"/>
      <w:marBottom w:val="0"/>
      <w:divBdr>
        <w:top w:val="none" w:sz="0" w:space="0" w:color="auto"/>
        <w:left w:val="none" w:sz="0" w:space="0" w:color="auto"/>
        <w:bottom w:val="none" w:sz="0" w:space="0" w:color="auto"/>
        <w:right w:val="none" w:sz="0" w:space="0" w:color="auto"/>
      </w:divBdr>
    </w:div>
    <w:div w:id="1678581364">
      <w:bodyDiv w:val="1"/>
      <w:marLeft w:val="0"/>
      <w:marRight w:val="0"/>
      <w:marTop w:val="0"/>
      <w:marBottom w:val="0"/>
      <w:divBdr>
        <w:top w:val="none" w:sz="0" w:space="0" w:color="auto"/>
        <w:left w:val="none" w:sz="0" w:space="0" w:color="auto"/>
        <w:bottom w:val="none" w:sz="0" w:space="0" w:color="auto"/>
        <w:right w:val="none" w:sz="0" w:space="0" w:color="auto"/>
      </w:divBdr>
    </w:div>
    <w:div w:id="1806846442">
      <w:bodyDiv w:val="1"/>
      <w:marLeft w:val="0"/>
      <w:marRight w:val="0"/>
      <w:marTop w:val="0"/>
      <w:marBottom w:val="0"/>
      <w:divBdr>
        <w:top w:val="none" w:sz="0" w:space="0" w:color="auto"/>
        <w:left w:val="none" w:sz="0" w:space="0" w:color="auto"/>
        <w:bottom w:val="none" w:sz="0" w:space="0" w:color="auto"/>
        <w:right w:val="none" w:sz="0" w:space="0" w:color="auto"/>
      </w:divBdr>
    </w:div>
    <w:div w:id="18736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gencebio.org/wp-content/uploads/2024/12/Soja-bio_synthese-resultats-FR.pdf" TargetMode="External"/><Relationship Id="rId2" Type="http://schemas.openxmlformats.org/officeDocument/2006/relationships/hyperlink" Target="https://agriculture.gouv.tg/togo-transformer-lagriculture-pluviale-en-agriculture-irriguee-pour-un-monde-agricole-prospere-et-une-securite-alimentaire-durable-%ef%bf%bc/" TargetMode="External"/><Relationship Id="rId1" Type="http://schemas.openxmlformats.org/officeDocument/2006/relationships/hyperlink" Target="https://fertitogo.t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1726DE-ED30-4332-9A30-C21358C986A5}">
  <ds:schemaRefs>
    <ds:schemaRef ds:uri="http://schemas.openxmlformats.org/officeDocument/2006/bibliography"/>
  </ds:schemaRefs>
</ds:datastoreItem>
</file>

<file path=customXml/itemProps3.xml><?xml version="1.0" encoding="utf-8"?>
<ds:datastoreItem xmlns:ds="http://schemas.openxmlformats.org/officeDocument/2006/customXml" ds:itemID="{A2AED7BF-F8DC-45B9-BFE6-9023147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9D934-B2D2-4B4E-A779-F24A898AE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3860</Words>
  <Characters>21235</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 Pierre</dc:creator>
  <cp:keywords/>
  <dc:description/>
  <cp:lastModifiedBy>RAFFIN Régis</cp:lastModifiedBy>
  <cp:revision>5</cp:revision>
  <cp:lastPrinted>2024-12-06T20:46:00Z</cp:lastPrinted>
  <dcterms:created xsi:type="dcterms:W3CDTF">2025-05-16T11:38:00Z</dcterms:created>
  <dcterms:modified xsi:type="dcterms:W3CDTF">2025-05-18T16:45:00Z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