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9C514" w14:textId="44361AFF" w:rsidR="00B507A0" w:rsidRPr="00B95F59" w:rsidRDefault="005E2629" w:rsidP="00B507A0">
      <w:pPr>
        <w:spacing w:before="80" w:after="80"/>
        <w:ind w:right="1"/>
        <w:rPr>
          <w:rFonts w:ascii="Segoe UI" w:hAnsi="Segoe UI" w:cs="Segoe UI"/>
          <w:color w:val="000091" w:themeColor="text1"/>
          <w:sz w:val="44"/>
          <w:szCs w:val="28"/>
        </w:rPr>
      </w:pPr>
      <w:r w:rsidRPr="00B95F59">
        <w:rPr>
          <w:rFonts w:ascii="Segoe UI" w:hAnsi="Segoe UI" w:cs="Segoe UI"/>
          <w:noProof/>
          <w:color w:val="000091" w:themeColor="text1"/>
        </w:rPr>
        <mc:AlternateContent>
          <mc:Choice Requires="wps">
            <w:drawing>
              <wp:anchor distT="0" distB="0" distL="114300" distR="114300" simplePos="0" relativeHeight="251665408" behindDoc="1" locked="0" layoutInCell="1" allowOverlap="1" wp14:anchorId="16D250F6" wp14:editId="6AB690DC">
                <wp:simplePos x="0" y="0"/>
                <wp:positionH relativeFrom="margin">
                  <wp:align>right</wp:align>
                </wp:positionH>
                <wp:positionV relativeFrom="paragraph">
                  <wp:posOffset>1300259</wp:posOffset>
                </wp:positionV>
                <wp:extent cx="6641662" cy="331075"/>
                <wp:effectExtent l="0" t="0" r="6985" b="0"/>
                <wp:wrapNone/>
                <wp:docPr id="4" name="Rectangle 4"/>
                <wp:cNvGraphicFramePr/>
                <a:graphic xmlns:a="http://schemas.openxmlformats.org/drawingml/2006/main">
                  <a:graphicData uri="http://schemas.microsoft.com/office/word/2010/wordprocessingShape">
                    <wps:wsp>
                      <wps:cNvSpPr/>
                      <wps:spPr>
                        <a:xfrm>
                          <a:off x="0" y="0"/>
                          <a:ext cx="6641662" cy="331075"/>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682AFD28" w:rsidR="00532CE3" w:rsidRDefault="00897B5F" w:rsidP="00532CE3">
                            <w:pPr>
                              <w:jc w:val="center"/>
                            </w:pPr>
                            <w:r>
                              <w:rPr>
                                <w:rFonts w:ascii="Segoe UI" w:hAnsi="Segoe UI" w:cs="Segoe UI"/>
                                <w:b/>
                                <w:bCs/>
                                <w:color w:val="000091" w:themeColor="text1"/>
                                <w:sz w:val="32"/>
                                <w:szCs w:val="20"/>
                              </w:rPr>
                              <w:t>A</w:t>
                            </w:r>
                            <w:r w:rsidR="00197C34">
                              <w:rPr>
                                <w:rFonts w:ascii="Segoe UI" w:hAnsi="Segoe UI" w:cs="Segoe UI"/>
                                <w:b/>
                                <w:bCs/>
                                <w:color w:val="000091" w:themeColor="text1"/>
                                <w:sz w:val="32"/>
                                <w:szCs w:val="20"/>
                              </w:rPr>
                              <w:t>RABIE SAOUDITE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D250F6" id="Rectangle 4" o:spid="_x0000_s1026" style="position:absolute;margin-left:471.75pt;margin-top:102.4pt;width:522.95pt;height:26.0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" fillcolor="#fcc63a" stroked="f" strokeweight="1pt">
                <v:textbox>
                  <w:txbxContent>
                    <w:p w14:paraId="2ED3FE0E" w14:textId="682AFD28" w:rsidR="00532CE3" w:rsidRDefault="00897B5F" w:rsidP="00532CE3">
                      <w:pPr>
                        <w:jc w:val="center"/>
                      </w:pPr>
                      <w:r>
                        <w:rPr>
                          <w:rFonts w:ascii="Segoe UI" w:hAnsi="Segoe UI" w:cs="Segoe UI"/>
                          <w:b/>
                          <w:bCs/>
                          <w:color w:val="000091" w:themeColor="text1"/>
                          <w:sz w:val="32"/>
                          <w:szCs w:val="20"/>
                        </w:rPr>
                        <w:t>A</w:t>
                      </w:r>
                      <w:r w:rsidR="00197C34">
                        <w:rPr>
                          <w:rFonts w:ascii="Segoe UI" w:hAnsi="Segoe UI" w:cs="Segoe UI"/>
                          <w:b/>
                          <w:bCs/>
                          <w:color w:val="000091" w:themeColor="text1"/>
                          <w:sz w:val="32"/>
                          <w:szCs w:val="20"/>
                        </w:rPr>
                        <w:t>RABIE SAOUDITE</w:t>
                      </w:r>
                    </w:p>
                  </w:txbxContent>
                </v:textbox>
                <w10:wrap anchorx="margin"/>
              </v:rect>
            </w:pict>
          </mc:Fallback>
        </mc:AlternateContent>
      </w:r>
      <w:r w:rsidR="00F8224A" w:rsidRPr="00B95F59">
        <w:rPr>
          <w:rFonts w:ascii="Segoe UI" w:hAnsi="Segoe UI" w:cs="Segoe UI"/>
          <w:noProof/>
          <w:color w:val="000091" w:themeColor="text1"/>
        </w:rPr>
        <mc:AlternateContent>
          <mc:Choice Requires="wps">
            <w:drawing>
              <wp:anchor distT="45720" distB="45720" distL="114300" distR="114300" simplePos="0" relativeHeight="251658240" behindDoc="0" locked="0" layoutInCell="1" allowOverlap="1" wp14:anchorId="5987A5E4" wp14:editId="455402F4">
                <wp:simplePos x="0" y="0"/>
                <wp:positionH relativeFrom="margin">
                  <wp:align>right</wp:align>
                </wp:positionH>
                <wp:positionV relativeFrom="paragraph">
                  <wp:posOffset>561639</wp:posOffset>
                </wp:positionV>
                <wp:extent cx="18383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52425"/>
                        </a:xfrm>
                        <a:prstGeom prst="rect">
                          <a:avLst/>
                        </a:prstGeom>
                        <a:noFill/>
                        <a:ln w="9525">
                          <a:noFill/>
                          <a:miter lim="800000"/>
                          <a:headEnd/>
                          <a:tailEnd/>
                        </a:ln>
                      </wps:spPr>
                      <wps:txbx>
                        <w:txbxContent>
                          <w:p w14:paraId="44111769" w14:textId="0FE5095C" w:rsidR="00490B3C" w:rsidRPr="00532CE3" w:rsidRDefault="00E1776F" w:rsidP="00530EDA">
                            <w:pPr>
                              <w:spacing w:before="120" w:after="120"/>
                              <w:jc w:val="right"/>
                              <w:rPr>
                                <w:color w:val="986E02" w:themeColor="accent2" w:themeShade="80"/>
                                <w:sz w:val="17"/>
                                <w:szCs w:val="17"/>
                              </w:rPr>
                            </w:pPr>
                            <w:r>
                              <w:rPr>
                                <w:rFonts w:ascii="Segoe UI" w:hAnsi="Segoe UI" w:cs="Segoe UI"/>
                                <w:color w:val="986E02" w:themeColor="accent2" w:themeShade="80"/>
                                <w:sz w:val="17"/>
                                <w:szCs w:val="17"/>
                                <w:lang w:eastAsia="ja-JP"/>
                              </w:rPr>
                              <w:t xml:space="preserve">Riyad, le </w:t>
                            </w:r>
                            <w:r w:rsidR="004839D4">
                              <w:rPr>
                                <w:rFonts w:ascii="Segoe UI" w:hAnsi="Segoe UI" w:cs="Segoe UI"/>
                                <w:color w:val="986E02" w:themeColor="accent2" w:themeShade="80"/>
                                <w:sz w:val="17"/>
                                <w:szCs w:val="17"/>
                                <w:lang w:eastAsia="ja-JP"/>
                              </w:rPr>
                              <w:t>15 mai</w:t>
                            </w:r>
                            <w:r>
                              <w:rPr>
                                <w:rFonts w:ascii="Segoe UI" w:hAnsi="Segoe UI" w:cs="Segoe UI"/>
                                <w:color w:val="986E02" w:themeColor="accent2" w:themeShade="80"/>
                                <w:sz w:val="17"/>
                                <w:szCs w:val="17"/>
                                <w:lang w:eastAsia="ja-JP"/>
                              </w:rPr>
                              <w:t xml:space="preserve"> 202</w:t>
                            </w:r>
                            <w:r w:rsidR="00247739">
                              <w:rPr>
                                <w:rFonts w:ascii="Segoe UI" w:hAnsi="Segoe UI" w:cs="Segoe UI"/>
                                <w:color w:val="986E02" w:themeColor="accent2" w:themeShade="80"/>
                                <w:sz w:val="17"/>
                                <w:szCs w:val="17"/>
                                <w:lang w:eastAsia="ja-JP"/>
                              </w:rPr>
                              <w:t>6</w:t>
                            </w:r>
                          </w:p>
                          <w:p w14:paraId="36A3B918" w14:textId="266F4991" w:rsidR="00490B3C" w:rsidRPr="00490B3C" w:rsidRDefault="00490B3C" w:rsidP="00530ED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7A5E4" id="_x0000_t202" coordsize="21600,21600" o:spt="202" path="m,l,21600r21600,l21600,xe">
                <v:stroke joinstyle="miter"/>
                <v:path gradientshapeok="t" o:connecttype="rect"/>
              </v:shapetype>
              <v:shape id="Zone de texte 2" o:spid="_x0000_s1027" type="#_x0000_t202" style="position:absolute;margin-left:93.55pt;margin-top:44.2pt;width:144.75pt;height:27.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" filled="f" stroked="f">
                <v:textbox>
                  <w:txbxContent>
                    <w:p w14:paraId="44111769" w14:textId="0FE5095C" w:rsidR="00490B3C" w:rsidRPr="00532CE3" w:rsidRDefault="00E1776F" w:rsidP="00530EDA">
                      <w:pPr>
                        <w:spacing w:before="120" w:after="120"/>
                        <w:jc w:val="right"/>
                        <w:rPr>
                          <w:color w:val="986E02" w:themeColor="accent2" w:themeShade="80"/>
                          <w:sz w:val="17"/>
                          <w:szCs w:val="17"/>
                        </w:rPr>
                      </w:pPr>
                      <w:r>
                        <w:rPr>
                          <w:rFonts w:ascii="Segoe UI" w:hAnsi="Segoe UI" w:cs="Segoe UI"/>
                          <w:color w:val="986E02" w:themeColor="accent2" w:themeShade="80"/>
                          <w:sz w:val="17"/>
                          <w:szCs w:val="17"/>
                          <w:lang w:eastAsia="ja-JP"/>
                        </w:rPr>
                        <w:t xml:space="preserve">Riyad, le </w:t>
                      </w:r>
                      <w:r w:rsidR="004839D4">
                        <w:rPr>
                          <w:rFonts w:ascii="Segoe UI" w:hAnsi="Segoe UI" w:cs="Segoe UI"/>
                          <w:color w:val="986E02" w:themeColor="accent2" w:themeShade="80"/>
                          <w:sz w:val="17"/>
                          <w:szCs w:val="17"/>
                          <w:lang w:eastAsia="ja-JP"/>
                        </w:rPr>
                        <w:t>15 mai</w:t>
                      </w:r>
                      <w:r>
                        <w:rPr>
                          <w:rFonts w:ascii="Segoe UI" w:hAnsi="Segoe UI" w:cs="Segoe UI"/>
                          <w:color w:val="986E02" w:themeColor="accent2" w:themeShade="80"/>
                          <w:sz w:val="17"/>
                          <w:szCs w:val="17"/>
                          <w:lang w:eastAsia="ja-JP"/>
                        </w:rPr>
                        <w:t xml:space="preserve"> 202</w:t>
                      </w:r>
                      <w:r w:rsidR="00247739">
                        <w:rPr>
                          <w:rFonts w:ascii="Segoe UI" w:hAnsi="Segoe UI" w:cs="Segoe UI"/>
                          <w:color w:val="986E02" w:themeColor="accent2" w:themeShade="80"/>
                          <w:sz w:val="17"/>
                          <w:szCs w:val="17"/>
                          <w:lang w:eastAsia="ja-JP"/>
                        </w:rPr>
                        <w:t>6</w:t>
                      </w:r>
                    </w:p>
                    <w:p w14:paraId="36A3B918" w14:textId="266F4991" w:rsidR="00490B3C" w:rsidRPr="00490B3C" w:rsidRDefault="00490B3C" w:rsidP="00530EDA">
                      <w:pPr>
                        <w:rPr>
                          <w:sz w:val="28"/>
                          <w:szCs w:val="28"/>
                        </w:rPr>
                      </w:pPr>
                    </w:p>
                  </w:txbxContent>
                </v:textbox>
                <w10:wrap type="square" anchorx="margin"/>
              </v:shape>
            </w:pict>
          </mc:Fallback>
        </mc:AlternateContent>
      </w:r>
      <w:r w:rsidR="00F8224A" w:rsidRPr="00B95F59">
        <w:rPr>
          <w:rFonts w:ascii="Segoe UI" w:hAnsi="Segoe UI" w:cs="Segoe UI"/>
          <w:noProof/>
          <w:color w:val="000091" w:themeColor="text1"/>
        </w:rPr>
        <mc:AlternateContent>
          <mc:Choice Requires="wps">
            <w:drawing>
              <wp:anchor distT="0" distB="0" distL="114300" distR="114300" simplePos="0" relativeHeight="251656192" behindDoc="0" locked="0" layoutInCell="1" allowOverlap="1" wp14:anchorId="585DE714" wp14:editId="7C0D1517">
                <wp:simplePos x="0" y="0"/>
                <wp:positionH relativeFrom="margin">
                  <wp:align>right</wp:align>
                </wp:positionH>
                <wp:positionV relativeFrom="paragraph">
                  <wp:posOffset>905809</wp:posOffset>
                </wp:positionV>
                <wp:extent cx="2257425" cy="4000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2257425" cy="400050"/>
                        </a:xfrm>
                        <a:prstGeom prst="rect">
                          <a:avLst/>
                        </a:prstGeom>
                        <a:noFill/>
                        <a:ln w="6350">
                          <a:noFill/>
                        </a:ln>
                      </wps:spPr>
                      <wps:txbx>
                        <w:txbxContent>
                          <w:p w14:paraId="1931003E" w14:textId="088A9325" w:rsidR="00490B3C"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 </w:t>
                            </w:r>
                            <w:r w:rsidR="00247739">
                              <w:rPr>
                                <w:rFonts w:ascii="Segoe UI" w:hAnsi="Segoe UI" w:cs="Segoe UI"/>
                                <w:color w:val="000091" w:themeColor="text1"/>
                                <w:sz w:val="17"/>
                                <w:szCs w:val="17"/>
                                <w:lang w:eastAsia="ja-JP"/>
                              </w:rPr>
                              <w:t xml:space="preserve">Rihem </w:t>
                            </w:r>
                            <w:proofErr w:type="spellStart"/>
                            <w:r w:rsidR="00247739">
                              <w:rPr>
                                <w:rFonts w:ascii="Segoe UI" w:hAnsi="Segoe UI" w:cs="Segoe UI"/>
                                <w:color w:val="000091" w:themeColor="text1"/>
                                <w:sz w:val="17"/>
                                <w:szCs w:val="17"/>
                                <w:lang w:eastAsia="ja-JP"/>
                              </w:rPr>
                              <w:t>Essediri</w:t>
                            </w:r>
                            <w:proofErr w:type="spellEnd"/>
                          </w:p>
                          <w:p w14:paraId="473BA026" w14:textId="631C0A4A" w:rsidR="008E5C34" w:rsidRPr="00A7004D" w:rsidRDefault="008E5C34" w:rsidP="00490B3C">
                            <w:pPr>
                              <w:tabs>
                                <w:tab w:val="left" w:pos="3969"/>
                              </w:tabs>
                              <w:spacing w:after="0"/>
                              <w:jc w:val="right"/>
                              <w:rPr>
                                <w:rFonts w:ascii="Segoe UI" w:hAnsi="Segoe UI" w:cs="Segoe UI"/>
                                <w:color w:val="000091" w:themeColor="text1"/>
                                <w:sz w:val="17"/>
                                <w:szCs w:val="17"/>
                                <w:lang w:eastAsia="ja-JP"/>
                              </w:rPr>
                            </w:pPr>
                            <w:r>
                              <w:rPr>
                                <w:rFonts w:ascii="Segoe UI" w:hAnsi="Segoe UI" w:cs="Segoe UI"/>
                                <w:color w:val="000091" w:themeColor="text1"/>
                                <w:sz w:val="17"/>
                                <w:szCs w:val="17"/>
                                <w:lang w:eastAsia="ja-JP"/>
                              </w:rPr>
                              <w:t xml:space="preserve">Visa : </w:t>
                            </w:r>
                            <w:r w:rsidR="008F4DB3">
                              <w:rPr>
                                <w:rFonts w:ascii="Segoe UI" w:hAnsi="Segoe UI" w:cs="Segoe UI"/>
                                <w:color w:val="000091" w:themeColor="text1"/>
                                <w:sz w:val="17"/>
                                <w:szCs w:val="17"/>
                                <w:lang w:eastAsia="ja-JP"/>
                              </w:rPr>
                              <w:t xml:space="preserve">Esma </w:t>
                            </w:r>
                            <w:proofErr w:type="spellStart"/>
                            <w:r w:rsidR="008F4DB3">
                              <w:rPr>
                                <w:rFonts w:ascii="Segoe UI" w:hAnsi="Segoe UI" w:cs="Segoe UI"/>
                                <w:color w:val="000091" w:themeColor="text1"/>
                                <w:sz w:val="17"/>
                                <w:szCs w:val="17"/>
                                <w:lang w:eastAsia="ja-JP"/>
                              </w:rPr>
                              <w:t>Laouadi</w:t>
                            </w:r>
                            <w:proofErr w:type="spellEnd"/>
                            <w:r w:rsidR="008F4DB3">
                              <w:rPr>
                                <w:rFonts w:ascii="Segoe UI" w:hAnsi="Segoe UI" w:cs="Segoe UI"/>
                                <w:color w:val="000091" w:themeColor="text1"/>
                                <w:sz w:val="17"/>
                                <w:szCs w:val="17"/>
                                <w:lang w:eastAsia="ja-JP"/>
                              </w:rPr>
                              <w:t xml:space="preserve">, </w:t>
                            </w:r>
                            <w:r>
                              <w:rPr>
                                <w:rFonts w:ascii="Segoe UI" w:hAnsi="Segoe UI" w:cs="Segoe UI"/>
                                <w:color w:val="000091" w:themeColor="text1"/>
                                <w:sz w:val="17"/>
                                <w:szCs w:val="17"/>
                                <w:lang w:eastAsia="ja-JP"/>
                              </w:rPr>
                              <w:t>Samuel M</w:t>
                            </w:r>
                            <w:r w:rsidR="000451BF">
                              <w:rPr>
                                <w:rFonts w:ascii="Segoe UI" w:hAnsi="Segoe UI" w:cs="Segoe UI"/>
                                <w:color w:val="000091" w:themeColor="text1"/>
                                <w:sz w:val="17"/>
                                <w:szCs w:val="17"/>
                                <w:lang w:eastAsia="ja-JP"/>
                              </w:rPr>
                              <w:t>é</w:t>
                            </w:r>
                            <w:r>
                              <w:rPr>
                                <w:rFonts w:ascii="Segoe UI" w:hAnsi="Segoe UI" w:cs="Segoe UI"/>
                                <w:color w:val="000091" w:themeColor="text1"/>
                                <w:sz w:val="17"/>
                                <w:szCs w:val="17"/>
                                <w:lang w:eastAsia="ja-JP"/>
                              </w:rPr>
                              <w:t>nard</w:t>
                            </w:r>
                            <w:r w:rsidR="008F4DB3">
                              <w:rPr>
                                <w:rFonts w:ascii="Segoe UI" w:hAnsi="Segoe UI" w:cs="Segoe UI"/>
                                <w:color w:val="000091" w:themeColor="text1"/>
                                <w:sz w:val="17"/>
                                <w:szCs w:val="17"/>
                                <w:lang w:eastAsia="ja-JP"/>
                              </w:rPr>
                              <w:t xml:space="preserve"> </w:t>
                            </w:r>
                          </w:p>
                          <w:p w14:paraId="07E31681" w14:textId="1014B118"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DE714" id="Zone de texte 3" o:spid="_x0000_s1028" type="#_x0000_t202" style="position:absolute;margin-left:126.55pt;margin-top:71.3pt;width:177.75pt;height:31.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" filled="f" stroked="f" strokeweight=".5pt">
                <v:textbox>
                  <w:txbxContent>
                    <w:p w14:paraId="1931003E" w14:textId="088A9325" w:rsidR="00490B3C"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 </w:t>
                      </w:r>
                      <w:r w:rsidR="00247739">
                        <w:rPr>
                          <w:rFonts w:ascii="Segoe UI" w:hAnsi="Segoe UI" w:cs="Segoe UI"/>
                          <w:color w:val="000091" w:themeColor="text1"/>
                          <w:sz w:val="17"/>
                          <w:szCs w:val="17"/>
                          <w:lang w:eastAsia="ja-JP"/>
                        </w:rPr>
                        <w:t xml:space="preserve">Rihem </w:t>
                      </w:r>
                      <w:proofErr w:type="spellStart"/>
                      <w:r w:rsidR="00247739">
                        <w:rPr>
                          <w:rFonts w:ascii="Segoe UI" w:hAnsi="Segoe UI" w:cs="Segoe UI"/>
                          <w:color w:val="000091" w:themeColor="text1"/>
                          <w:sz w:val="17"/>
                          <w:szCs w:val="17"/>
                          <w:lang w:eastAsia="ja-JP"/>
                        </w:rPr>
                        <w:t>Essediri</w:t>
                      </w:r>
                      <w:proofErr w:type="spellEnd"/>
                    </w:p>
                    <w:p w14:paraId="473BA026" w14:textId="631C0A4A" w:rsidR="008E5C34" w:rsidRPr="00A7004D" w:rsidRDefault="008E5C34" w:rsidP="00490B3C">
                      <w:pPr>
                        <w:tabs>
                          <w:tab w:val="left" w:pos="3969"/>
                        </w:tabs>
                        <w:spacing w:after="0"/>
                        <w:jc w:val="right"/>
                        <w:rPr>
                          <w:rFonts w:ascii="Segoe UI" w:hAnsi="Segoe UI" w:cs="Segoe UI"/>
                          <w:color w:val="000091" w:themeColor="text1"/>
                          <w:sz w:val="17"/>
                          <w:szCs w:val="17"/>
                          <w:lang w:eastAsia="ja-JP"/>
                        </w:rPr>
                      </w:pPr>
                      <w:r>
                        <w:rPr>
                          <w:rFonts w:ascii="Segoe UI" w:hAnsi="Segoe UI" w:cs="Segoe UI"/>
                          <w:color w:val="000091" w:themeColor="text1"/>
                          <w:sz w:val="17"/>
                          <w:szCs w:val="17"/>
                          <w:lang w:eastAsia="ja-JP"/>
                        </w:rPr>
                        <w:t xml:space="preserve">Visa : </w:t>
                      </w:r>
                      <w:r w:rsidR="008F4DB3">
                        <w:rPr>
                          <w:rFonts w:ascii="Segoe UI" w:hAnsi="Segoe UI" w:cs="Segoe UI"/>
                          <w:color w:val="000091" w:themeColor="text1"/>
                          <w:sz w:val="17"/>
                          <w:szCs w:val="17"/>
                          <w:lang w:eastAsia="ja-JP"/>
                        </w:rPr>
                        <w:t xml:space="preserve">Esma </w:t>
                      </w:r>
                      <w:proofErr w:type="spellStart"/>
                      <w:r w:rsidR="008F4DB3">
                        <w:rPr>
                          <w:rFonts w:ascii="Segoe UI" w:hAnsi="Segoe UI" w:cs="Segoe UI"/>
                          <w:color w:val="000091" w:themeColor="text1"/>
                          <w:sz w:val="17"/>
                          <w:szCs w:val="17"/>
                          <w:lang w:eastAsia="ja-JP"/>
                        </w:rPr>
                        <w:t>Laouadi</w:t>
                      </w:r>
                      <w:proofErr w:type="spellEnd"/>
                      <w:r w:rsidR="008F4DB3">
                        <w:rPr>
                          <w:rFonts w:ascii="Segoe UI" w:hAnsi="Segoe UI" w:cs="Segoe UI"/>
                          <w:color w:val="000091" w:themeColor="text1"/>
                          <w:sz w:val="17"/>
                          <w:szCs w:val="17"/>
                          <w:lang w:eastAsia="ja-JP"/>
                        </w:rPr>
                        <w:t xml:space="preserve">, </w:t>
                      </w:r>
                      <w:r>
                        <w:rPr>
                          <w:rFonts w:ascii="Segoe UI" w:hAnsi="Segoe UI" w:cs="Segoe UI"/>
                          <w:color w:val="000091" w:themeColor="text1"/>
                          <w:sz w:val="17"/>
                          <w:szCs w:val="17"/>
                          <w:lang w:eastAsia="ja-JP"/>
                        </w:rPr>
                        <w:t>Samuel M</w:t>
                      </w:r>
                      <w:r w:rsidR="000451BF">
                        <w:rPr>
                          <w:rFonts w:ascii="Segoe UI" w:hAnsi="Segoe UI" w:cs="Segoe UI"/>
                          <w:color w:val="000091" w:themeColor="text1"/>
                          <w:sz w:val="17"/>
                          <w:szCs w:val="17"/>
                          <w:lang w:eastAsia="ja-JP"/>
                        </w:rPr>
                        <w:t>é</w:t>
                      </w:r>
                      <w:r>
                        <w:rPr>
                          <w:rFonts w:ascii="Segoe UI" w:hAnsi="Segoe UI" w:cs="Segoe UI"/>
                          <w:color w:val="000091" w:themeColor="text1"/>
                          <w:sz w:val="17"/>
                          <w:szCs w:val="17"/>
                          <w:lang w:eastAsia="ja-JP"/>
                        </w:rPr>
                        <w:t>nard</w:t>
                      </w:r>
                      <w:r w:rsidR="008F4DB3">
                        <w:rPr>
                          <w:rFonts w:ascii="Segoe UI" w:hAnsi="Segoe UI" w:cs="Segoe UI"/>
                          <w:color w:val="000091" w:themeColor="text1"/>
                          <w:sz w:val="17"/>
                          <w:szCs w:val="17"/>
                          <w:lang w:eastAsia="ja-JP"/>
                        </w:rPr>
                        <w:t xml:space="preserve"> </w:t>
                      </w:r>
                    </w:p>
                    <w:p w14:paraId="07E31681" w14:textId="1014B118"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type="square" anchorx="margin"/>
              </v:shape>
            </w:pict>
          </mc:Fallback>
        </mc:AlternateContent>
      </w:r>
      <w:r w:rsidR="00741929" w:rsidRPr="00B95F59">
        <w:rPr>
          <w:rFonts w:ascii="Segoe UI" w:hAnsi="Segoe UI" w:cs="Segoe UI"/>
          <w:noProof/>
          <w:color w:val="000091" w:themeColor="text1"/>
        </w:rPr>
        <mc:AlternateContent>
          <mc:Choice Requires="wps">
            <w:drawing>
              <wp:anchor distT="0" distB="0" distL="114300" distR="114300" simplePos="0" relativeHeight="251666432" behindDoc="1" locked="0" layoutInCell="1" allowOverlap="1" wp14:anchorId="71112931" wp14:editId="2112BE51">
                <wp:simplePos x="0" y="0"/>
                <wp:positionH relativeFrom="margin">
                  <wp:align>right</wp:align>
                </wp:positionH>
                <wp:positionV relativeFrom="paragraph">
                  <wp:posOffset>851338</wp:posOffset>
                </wp:positionV>
                <wp:extent cx="6641465" cy="476250"/>
                <wp:effectExtent l="0" t="0" r="6985" b="0"/>
                <wp:wrapNone/>
                <wp:docPr id="2" name="Rectangle 2"/>
                <wp:cNvGraphicFramePr/>
                <a:graphic xmlns:a="http://schemas.openxmlformats.org/drawingml/2006/main">
                  <a:graphicData uri="http://schemas.microsoft.com/office/word/2010/wordprocessingShape">
                    <wps:wsp>
                      <wps:cNvSpPr/>
                      <wps:spPr>
                        <a:xfrm>
                          <a:off x="0" y="0"/>
                          <a:ext cx="6641465" cy="4762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3AD268ED"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E1776F">
                              <w:rPr>
                                <w:rFonts w:ascii="Segoe UI" w:hAnsi="Segoe UI" w:cs="Segoe UI"/>
                                <w:bCs/>
                                <w:color w:val="000091" w:themeColor="text1"/>
                                <w:sz w:val="18"/>
                                <w:szCs w:val="18"/>
                                <w:lang w:eastAsia="ja-JP"/>
                              </w:rPr>
                              <w:t>France en Arabie saoudite</w:t>
                            </w:r>
                          </w:p>
                          <w:p w14:paraId="3D62CBBB" w14:textId="5E7A5F52"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 xml:space="preserve">Service économique </w:t>
                            </w:r>
                            <w:r w:rsidR="00E1776F">
                              <w:rPr>
                                <w:rFonts w:ascii="Segoe UI" w:hAnsi="Segoe UI" w:cs="Segoe UI"/>
                                <w:bCs/>
                                <w:color w:val="000091" w:themeColor="text1"/>
                                <w:sz w:val="18"/>
                                <w:szCs w:val="18"/>
                                <w:lang w:eastAsia="ja-JP"/>
                              </w:rPr>
                              <w:t>de Riyad</w:t>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112931" id="Rectangle 2" o:spid="_x0000_s1029" style="position:absolute;margin-left:471.75pt;margin-top:67.05pt;width:522.95pt;height:37.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" fillcolor="#fde8b0 [1301]" stroked="f" strokeweight="1pt">
                <v:textbox>
                  <w:txbxContent>
                    <w:p w14:paraId="7465B737" w14:textId="3AD268ED"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E1776F">
                        <w:rPr>
                          <w:rFonts w:ascii="Segoe UI" w:hAnsi="Segoe UI" w:cs="Segoe UI"/>
                          <w:bCs/>
                          <w:color w:val="000091" w:themeColor="text1"/>
                          <w:sz w:val="18"/>
                          <w:szCs w:val="18"/>
                          <w:lang w:eastAsia="ja-JP"/>
                        </w:rPr>
                        <w:t>France en Arabie saoudite</w:t>
                      </w:r>
                    </w:p>
                    <w:p w14:paraId="3D62CBBB" w14:textId="5E7A5F52"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 xml:space="preserve">Service économique </w:t>
                      </w:r>
                      <w:r w:rsidR="00E1776F">
                        <w:rPr>
                          <w:rFonts w:ascii="Segoe UI" w:hAnsi="Segoe UI" w:cs="Segoe UI"/>
                          <w:bCs/>
                          <w:color w:val="000091" w:themeColor="text1"/>
                          <w:sz w:val="18"/>
                          <w:szCs w:val="18"/>
                          <w:lang w:eastAsia="ja-JP"/>
                        </w:rPr>
                        <w:t>de Riyad</w:t>
                      </w:r>
                      <w:r w:rsidR="008A3AD5" w:rsidRPr="00A0743B">
                        <w:rPr>
                          <w:rFonts w:ascii="Arial" w:hAnsi="Arial" w:cs="Arial"/>
                          <w:b/>
                          <w:bCs/>
                          <w:sz w:val="20"/>
                          <w:szCs w:val="20"/>
                        </w:rPr>
                        <w:t xml:space="preserve"> </w:t>
                      </w:r>
                    </w:p>
                  </w:txbxContent>
                </v:textbox>
                <w10:wrap anchorx="margin"/>
              </v:rect>
            </w:pict>
          </mc:Fallback>
        </mc:AlternateContent>
      </w:r>
      <w:r w:rsidR="00C43876" w:rsidRPr="00B95F59">
        <w:rPr>
          <w:rFonts w:ascii="Segoe UI" w:hAnsi="Segoe UI" w:cs="Segoe UI"/>
          <w:noProof/>
          <w:color w:val="000091" w:themeColor="text1"/>
        </w:rPr>
        <w:drawing>
          <wp:anchor distT="0" distB="0" distL="114300" distR="114300" simplePos="0" relativeHeight="251655168" behindDoc="1" locked="0" layoutInCell="1" allowOverlap="1" wp14:anchorId="56177B8F" wp14:editId="74888521">
            <wp:simplePos x="0" y="0"/>
            <wp:positionH relativeFrom="column">
              <wp:posOffset>14605</wp:posOffset>
            </wp:positionH>
            <wp:positionV relativeFrom="page">
              <wp:posOffset>168910</wp:posOffset>
            </wp:positionV>
            <wp:extent cx="3124200" cy="1092835"/>
            <wp:effectExtent l="0" t="0" r="0" b="0"/>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124200" cy="1092835"/>
                    </a:xfrm>
                    <a:prstGeom prst="rect">
                      <a:avLst/>
                    </a:prstGeom>
                  </pic:spPr>
                </pic:pic>
              </a:graphicData>
            </a:graphic>
            <wp14:sizeRelH relativeFrom="margin">
              <wp14:pctWidth>0</wp14:pctWidth>
            </wp14:sizeRelH>
            <wp14:sizeRelV relativeFrom="margin">
              <wp14:pctHeight>0</wp14:pctHeight>
            </wp14:sizeRelV>
          </wp:anchor>
        </w:drawing>
      </w:r>
    </w:p>
    <w:p w14:paraId="39154EED" w14:textId="16332C45" w:rsidR="00B507A0" w:rsidRPr="00B95F59" w:rsidRDefault="00B507A0" w:rsidP="00B507A0">
      <w:pPr>
        <w:spacing w:before="80" w:after="80"/>
        <w:ind w:right="1"/>
        <w:rPr>
          <w:rFonts w:ascii="Segoe UI" w:hAnsi="Segoe UI" w:cs="Segoe UI"/>
          <w:color w:val="000091" w:themeColor="text1"/>
          <w:sz w:val="44"/>
          <w:szCs w:val="28"/>
        </w:rPr>
      </w:pPr>
    </w:p>
    <w:p w14:paraId="570E7FB4" w14:textId="461AC88F" w:rsidR="00301021" w:rsidRPr="00B95F59" w:rsidRDefault="00197C34" w:rsidP="00B507A0">
      <w:pPr>
        <w:spacing w:before="240" w:after="80"/>
        <w:jc w:val="center"/>
        <w:rPr>
          <w:rFonts w:ascii="Segoe UI" w:hAnsi="Segoe UI" w:cs="Segoe UI"/>
          <w:color w:val="000091" w:themeColor="text1"/>
          <w:sz w:val="44"/>
          <w:szCs w:val="28"/>
        </w:rPr>
      </w:pPr>
      <w:r w:rsidRPr="00B95F59">
        <w:rPr>
          <w:rFonts w:ascii="Segoe UI" w:hAnsi="Segoe UI" w:cs="Segoe UI"/>
          <w:color w:val="000091" w:themeColor="text1"/>
          <w:sz w:val="30"/>
          <w:szCs w:val="30"/>
          <w:lang w:eastAsia="fr-FR"/>
        </w:rPr>
        <w:t>Giga-projets saoudiens</w:t>
      </w:r>
      <w:r w:rsidR="003D53EB">
        <w:rPr>
          <w:rFonts w:ascii="Segoe UI" w:hAnsi="Segoe UI" w:cs="Segoe UI"/>
          <w:color w:val="000091" w:themeColor="text1"/>
          <w:sz w:val="30"/>
          <w:szCs w:val="30"/>
          <w:lang w:eastAsia="fr-FR"/>
        </w:rPr>
        <w:t xml:space="preserve">, </w:t>
      </w:r>
      <w:r w:rsidR="00B95F59" w:rsidRPr="00B95F59">
        <w:rPr>
          <w:rFonts w:ascii="Segoe UI" w:hAnsi="Segoe UI" w:cs="Segoe UI"/>
          <w:color w:val="000091" w:themeColor="text1"/>
          <w:sz w:val="30"/>
          <w:szCs w:val="30"/>
          <w:lang w:eastAsia="fr-FR"/>
        </w:rPr>
        <w:t>l’heure des arbitrages</w:t>
      </w:r>
    </w:p>
    <w:p w14:paraId="57DA647B" w14:textId="60A4B6E2" w:rsidR="00E112DF" w:rsidRPr="00EC006E" w:rsidRDefault="00B95F59" w:rsidP="007668AF">
      <w:pPr>
        <w:spacing w:after="120"/>
        <w:jc w:val="both"/>
        <w:rPr>
          <w:rFonts w:ascii="Segoe UI" w:hAnsi="Segoe UI" w:cs="Segoe UI"/>
          <w:noProof/>
          <w:color w:val="000091" w:themeColor="text1"/>
          <w:sz w:val="20"/>
          <w:szCs w:val="20"/>
          <w:lang w:eastAsia="fr-FR"/>
        </w:rPr>
      </w:pPr>
      <w:bookmarkStart w:id="0" w:name="_Hlk227081786"/>
      <w:r>
        <w:rPr>
          <w:rFonts w:ascii="Segoe UI" w:hAnsi="Segoe UI" w:cs="Segoe UI"/>
          <w:noProof/>
          <w:color w:val="000091" w:themeColor="text1"/>
          <w:sz w:val="20"/>
          <w:szCs w:val="20"/>
          <w:lang w:eastAsia="fr-FR"/>
        </w:rPr>
        <w:br/>
      </w:r>
      <w:r w:rsidR="007668AF" w:rsidRPr="00EC006E">
        <w:rPr>
          <w:rFonts w:ascii="Segoe UI" w:hAnsi="Segoe UI" w:cs="Segoe UI"/>
          <w:noProof/>
          <w:color w:val="000091" w:themeColor="text1"/>
          <w:sz w:val="20"/>
          <w:szCs w:val="20"/>
          <w:lang w:eastAsia="fr-FR"/>
        </w:rPr>
        <w:t>La valeur cumulée des contrats attribués sur les giga-projets saoudiens atteint 120,4 Md USD à fin janvier 2026, dont 91,1</w:t>
      </w:r>
      <w:r w:rsidR="0083359E" w:rsidRPr="00EC006E">
        <w:rPr>
          <w:rFonts w:ascii="Segoe UI" w:hAnsi="Segoe UI" w:cs="Segoe UI"/>
          <w:noProof/>
          <w:color w:val="000091" w:themeColor="text1"/>
          <w:sz w:val="20"/>
          <w:szCs w:val="20"/>
          <w:lang w:eastAsia="fr-FR"/>
        </w:rPr>
        <w:t> </w:t>
      </w:r>
      <w:r w:rsidR="007668AF" w:rsidRPr="00EC006E">
        <w:rPr>
          <w:rFonts w:ascii="Segoe UI" w:hAnsi="Segoe UI" w:cs="Segoe UI"/>
          <w:noProof/>
          <w:color w:val="000091" w:themeColor="text1"/>
          <w:sz w:val="20"/>
          <w:szCs w:val="20"/>
          <w:lang w:eastAsia="fr-FR"/>
        </w:rPr>
        <w:t xml:space="preserve">Md USD </w:t>
      </w:r>
      <w:r w:rsidR="008F4DB3" w:rsidRPr="00EC006E">
        <w:rPr>
          <w:rFonts w:ascii="Segoe UI" w:hAnsi="Segoe UI" w:cs="Segoe UI"/>
          <w:noProof/>
          <w:color w:val="000091" w:themeColor="text1"/>
          <w:sz w:val="20"/>
          <w:szCs w:val="20"/>
          <w:lang w:eastAsia="fr-FR"/>
        </w:rPr>
        <w:t>dédiés aux</w:t>
      </w:r>
      <w:r w:rsidR="007668AF" w:rsidRPr="00EC006E">
        <w:rPr>
          <w:rFonts w:ascii="Segoe UI" w:hAnsi="Segoe UI" w:cs="Segoe UI"/>
          <w:noProof/>
          <w:color w:val="000091" w:themeColor="text1"/>
          <w:sz w:val="20"/>
          <w:szCs w:val="20"/>
          <w:lang w:eastAsia="fr-FR"/>
        </w:rPr>
        <w:t xml:space="preserve"> cinq giga-projets officiels (NEOM, Diriyah, Qiddiya, ROSHN, Red Sea Global). </w:t>
      </w:r>
      <w:r w:rsidR="00E112DF" w:rsidRPr="00EC006E">
        <w:rPr>
          <w:rFonts w:ascii="Segoe UI" w:hAnsi="Segoe UI" w:cs="Segoe UI"/>
          <w:noProof/>
          <w:color w:val="000091" w:themeColor="text1"/>
          <w:sz w:val="20"/>
          <w:szCs w:val="20"/>
          <w:lang w:eastAsia="fr-FR"/>
        </w:rPr>
        <w:t>Si ce montant confirme la poursuite de la phase d’exécution des principaux projets structurants du Royaume, le rythme des nouvelles attributions ralentit sensiblement, les montants attribués ayant reculé de 35,1 Md USD en 2023 à 29,6 Md USD en 2024, puis à 13,0 Md USD en 2025</w:t>
      </w:r>
      <w:r w:rsidR="008F4DB3" w:rsidRPr="00EC006E">
        <w:t xml:space="preserve">. </w:t>
      </w:r>
      <w:r w:rsidR="00E112DF" w:rsidRPr="00EC006E">
        <w:rPr>
          <w:rFonts w:ascii="Segoe UI" w:hAnsi="Segoe UI" w:cs="Segoe UI"/>
          <w:noProof/>
          <w:color w:val="000091" w:themeColor="text1"/>
          <w:sz w:val="20"/>
          <w:szCs w:val="20"/>
          <w:lang w:eastAsia="fr-FR"/>
        </w:rPr>
        <w:t xml:space="preserve">Dans un environnement marqué par des coûts de construction élevés, des tensions géopolitiques persistantes et des besoins de financement publics importants, les autorités </w:t>
      </w:r>
      <w:r w:rsidR="008F4DB3" w:rsidRPr="00EC006E">
        <w:rPr>
          <w:rFonts w:ascii="Segoe UI" w:hAnsi="Segoe UI" w:cs="Segoe UI"/>
          <w:noProof/>
          <w:color w:val="000091" w:themeColor="text1"/>
          <w:sz w:val="20"/>
          <w:szCs w:val="20"/>
          <w:lang w:eastAsia="fr-FR"/>
        </w:rPr>
        <w:t>opèrent un recentrage assumé sur</w:t>
      </w:r>
      <w:r w:rsidR="00E112DF" w:rsidRPr="00EC006E">
        <w:rPr>
          <w:rFonts w:ascii="Segoe UI" w:hAnsi="Segoe UI" w:cs="Segoe UI"/>
          <w:noProof/>
          <w:color w:val="000091" w:themeColor="text1"/>
          <w:sz w:val="20"/>
          <w:szCs w:val="20"/>
          <w:lang w:eastAsia="fr-FR"/>
        </w:rPr>
        <w:t xml:space="preserve"> les projets les plus directement liés aux objectifs urbains, économiques et événementiels de Vision 2030, </w:t>
      </w:r>
      <w:r w:rsidR="008F4DB3" w:rsidRPr="00EC006E">
        <w:rPr>
          <w:rFonts w:ascii="Segoe UI" w:hAnsi="Segoe UI" w:cs="Segoe UI"/>
          <w:noProof/>
          <w:color w:val="000091" w:themeColor="text1"/>
          <w:sz w:val="20"/>
          <w:szCs w:val="20"/>
          <w:lang w:eastAsia="fr-FR"/>
        </w:rPr>
        <w:t>au bénéfice principal de Riyad</w:t>
      </w:r>
      <w:r w:rsidR="00E112DF" w:rsidRPr="00EC006E">
        <w:rPr>
          <w:rFonts w:ascii="Segoe UI" w:hAnsi="Segoe UI" w:cs="Segoe UI"/>
          <w:noProof/>
          <w:color w:val="000091" w:themeColor="text1"/>
          <w:sz w:val="20"/>
          <w:szCs w:val="20"/>
          <w:lang w:eastAsia="fr-FR"/>
        </w:rPr>
        <w:t>, tandis que certaines composantes de NEOM font l’objet d’un phasage plus sélectif</w:t>
      </w:r>
      <w:r w:rsidR="008F4DB3" w:rsidRPr="00EC006E">
        <w:rPr>
          <w:rFonts w:ascii="Segoe UI" w:hAnsi="Segoe UI" w:cs="Segoe UI"/>
          <w:noProof/>
          <w:color w:val="000091" w:themeColor="text1"/>
          <w:sz w:val="20"/>
          <w:szCs w:val="20"/>
          <w:lang w:eastAsia="fr-FR"/>
        </w:rPr>
        <w:t>,</w:t>
      </w:r>
      <w:r w:rsidR="008F4DB3" w:rsidRPr="00EC006E">
        <w:t xml:space="preserve"> </w:t>
      </w:r>
      <w:r w:rsidR="008F4DB3" w:rsidRPr="00EC006E">
        <w:rPr>
          <w:rFonts w:ascii="Segoe UI" w:hAnsi="Segoe UI" w:cs="Segoe UI"/>
          <w:noProof/>
          <w:color w:val="000091" w:themeColor="text1"/>
          <w:sz w:val="20"/>
          <w:szCs w:val="20"/>
          <w:lang w:eastAsia="fr-FR"/>
        </w:rPr>
        <w:t>voire de résiliations</w:t>
      </w:r>
      <w:r w:rsidR="00E112DF" w:rsidRPr="00EC006E">
        <w:rPr>
          <w:rFonts w:ascii="Segoe UI" w:hAnsi="Segoe UI" w:cs="Segoe UI"/>
          <w:noProof/>
          <w:color w:val="000091" w:themeColor="text1"/>
          <w:sz w:val="20"/>
          <w:szCs w:val="20"/>
          <w:lang w:eastAsia="fr-FR"/>
        </w:rPr>
        <w:t xml:space="preserve">. </w:t>
      </w:r>
      <w:r w:rsidR="007668AF" w:rsidRPr="00EC006E">
        <w:rPr>
          <w:rFonts w:ascii="Segoe UI" w:hAnsi="Segoe UI" w:cs="Segoe UI"/>
          <w:noProof/>
          <w:color w:val="000091" w:themeColor="text1"/>
          <w:sz w:val="20"/>
          <w:szCs w:val="20"/>
          <w:lang w:eastAsia="fr-FR"/>
        </w:rPr>
        <w:t>Le financement des giga-projets demeure principalement porté par les entités publiques, en particulier le PIF et les</w:t>
      </w:r>
      <w:r w:rsidR="008F4DB3" w:rsidRPr="00EC006E">
        <w:rPr>
          <w:rFonts w:ascii="Segoe UI" w:hAnsi="Segoe UI" w:cs="Segoe UI"/>
          <w:noProof/>
          <w:color w:val="000091" w:themeColor="text1"/>
          <w:sz w:val="20"/>
          <w:szCs w:val="20"/>
          <w:lang w:eastAsia="fr-FR"/>
        </w:rPr>
        <w:t xml:space="preserve"> </w:t>
      </w:r>
      <w:r w:rsidR="007668AF" w:rsidRPr="00EC006E">
        <w:rPr>
          <w:rFonts w:ascii="Segoe UI" w:hAnsi="Segoe UI" w:cs="Segoe UI"/>
          <w:noProof/>
          <w:color w:val="000091" w:themeColor="text1"/>
          <w:sz w:val="20"/>
          <w:szCs w:val="20"/>
          <w:lang w:eastAsia="fr-FR"/>
        </w:rPr>
        <w:t>commissions royales</w:t>
      </w:r>
      <w:r w:rsidR="008E518B" w:rsidRPr="00EC006E">
        <w:rPr>
          <w:rFonts w:ascii="Segoe UI" w:hAnsi="Segoe UI" w:cs="Segoe UI"/>
          <w:noProof/>
          <w:color w:val="000091" w:themeColor="text1"/>
          <w:sz w:val="20"/>
          <w:szCs w:val="20"/>
          <w:lang w:eastAsia="fr-FR"/>
        </w:rPr>
        <w:t>,</w:t>
      </w:r>
      <w:r w:rsidR="007668AF" w:rsidRPr="00EC006E">
        <w:rPr>
          <w:rFonts w:ascii="Segoe UI" w:hAnsi="Segoe UI" w:cs="Segoe UI"/>
          <w:noProof/>
          <w:color w:val="000091" w:themeColor="text1"/>
          <w:sz w:val="20"/>
          <w:szCs w:val="20"/>
          <w:lang w:eastAsia="fr-FR"/>
        </w:rPr>
        <w:t xml:space="preserve"> </w:t>
      </w:r>
      <w:r w:rsidR="008E518B" w:rsidRPr="00EC006E">
        <w:rPr>
          <w:rFonts w:ascii="Segoe UI" w:hAnsi="Segoe UI" w:cs="Segoe UI"/>
          <w:noProof/>
          <w:color w:val="000091" w:themeColor="text1"/>
          <w:sz w:val="20"/>
          <w:szCs w:val="20"/>
          <w:lang w:eastAsia="fr-FR"/>
        </w:rPr>
        <w:t>tandis</w:t>
      </w:r>
      <w:r w:rsidR="007668AF" w:rsidRPr="00EC006E">
        <w:rPr>
          <w:rFonts w:ascii="Segoe UI" w:hAnsi="Segoe UI" w:cs="Segoe UI"/>
          <w:noProof/>
          <w:color w:val="000091" w:themeColor="text1"/>
          <w:sz w:val="20"/>
          <w:szCs w:val="20"/>
          <w:lang w:eastAsia="fr-FR"/>
        </w:rPr>
        <w:t xml:space="preserve"> que l’exposition directe des banques saoudiennes reste limitée (5</w:t>
      </w:r>
      <w:r w:rsidR="008E518B" w:rsidRPr="00EC006E">
        <w:rPr>
          <w:rFonts w:ascii="Segoe UI" w:hAnsi="Segoe UI" w:cs="Segoe UI"/>
          <w:noProof/>
          <w:color w:val="000091" w:themeColor="text1"/>
          <w:sz w:val="20"/>
          <w:szCs w:val="20"/>
          <w:lang w:eastAsia="fr-FR"/>
        </w:rPr>
        <w:t xml:space="preserve"> à </w:t>
      </w:r>
      <w:r w:rsidR="007668AF" w:rsidRPr="00EC006E">
        <w:rPr>
          <w:rFonts w:ascii="Segoe UI" w:hAnsi="Segoe UI" w:cs="Segoe UI"/>
          <w:noProof/>
          <w:color w:val="000091" w:themeColor="text1"/>
          <w:sz w:val="20"/>
          <w:szCs w:val="20"/>
          <w:lang w:eastAsia="fr-FR"/>
        </w:rPr>
        <w:t>7 % des prêts à fin 2025)</w:t>
      </w:r>
      <w:r w:rsidR="004839D4" w:rsidRPr="00EC006E">
        <w:rPr>
          <w:rFonts w:ascii="Segoe UI" w:hAnsi="Segoe UI" w:cs="Segoe UI"/>
          <w:noProof/>
          <w:color w:val="000091" w:themeColor="text1"/>
          <w:sz w:val="20"/>
          <w:szCs w:val="20"/>
          <w:lang w:eastAsia="fr-FR"/>
        </w:rPr>
        <w:t>,</w:t>
      </w:r>
      <w:r w:rsidR="007668AF" w:rsidRPr="00EC006E">
        <w:rPr>
          <w:rFonts w:ascii="Segoe UI" w:hAnsi="Segoe UI" w:cs="Segoe UI"/>
          <w:noProof/>
          <w:color w:val="000091" w:themeColor="text1"/>
          <w:sz w:val="20"/>
          <w:szCs w:val="20"/>
          <w:lang w:eastAsia="fr-FR"/>
        </w:rPr>
        <w:t xml:space="preserve"> </w:t>
      </w:r>
      <w:r w:rsidR="008F4DB3" w:rsidRPr="00EC006E">
        <w:rPr>
          <w:rFonts w:ascii="Segoe UI" w:hAnsi="Segoe UI" w:cs="Segoe UI"/>
          <w:noProof/>
          <w:color w:val="000091" w:themeColor="text1"/>
          <w:sz w:val="20"/>
          <w:szCs w:val="20"/>
          <w:lang w:eastAsia="fr-FR"/>
        </w:rPr>
        <w:t>traduisant une montée en puissance encore lente des relais privés et bancaires que les autorités cherchent à activer.</w:t>
      </w:r>
    </w:p>
    <w:p w14:paraId="583CA51F" w14:textId="6F6DED0D" w:rsidR="00776D96" w:rsidRPr="004839D4" w:rsidRDefault="008B5858" w:rsidP="00F468E8">
      <w:pPr>
        <w:pStyle w:val="Paragraphedeliste"/>
        <w:numPr>
          <w:ilvl w:val="0"/>
          <w:numId w:val="17"/>
        </w:numPr>
        <w:spacing w:before="240" w:after="80"/>
        <w:ind w:left="300" w:hanging="357"/>
        <w:jc w:val="both"/>
        <w:rPr>
          <w:rFonts w:ascii="Segoe UI" w:hAnsi="Segoe UI" w:cs="Segoe UI"/>
          <w:b/>
          <w:sz w:val="20"/>
          <w:szCs w:val="20"/>
        </w:rPr>
      </w:pPr>
      <w:bookmarkStart w:id="1" w:name="_Hlk203902533"/>
      <w:bookmarkStart w:id="2" w:name="_Hlk160010298"/>
      <w:bookmarkStart w:id="3" w:name="_Hlk166416264"/>
      <w:bookmarkEnd w:id="0"/>
      <w:r w:rsidRPr="0064478F">
        <w:rPr>
          <w:rFonts w:ascii="Segoe UI" w:hAnsi="Segoe UI" w:cs="Segoe UI"/>
          <w:b/>
          <w:color w:val="000091" w:themeColor="text1"/>
          <w:sz w:val="20"/>
          <w:szCs w:val="20"/>
        </w:rPr>
        <w:t xml:space="preserve">L’exécution </w:t>
      </w:r>
      <w:r w:rsidR="008F4DB3" w:rsidRPr="0064478F">
        <w:rPr>
          <w:rFonts w:ascii="Segoe UI" w:hAnsi="Segoe UI" w:cs="Segoe UI"/>
          <w:b/>
          <w:color w:val="000091" w:themeColor="text1"/>
          <w:sz w:val="20"/>
          <w:szCs w:val="20"/>
        </w:rPr>
        <w:t>de plusieurs</w:t>
      </w:r>
      <w:r w:rsidRPr="0064478F">
        <w:rPr>
          <w:rFonts w:ascii="Segoe UI" w:hAnsi="Segoe UI" w:cs="Segoe UI"/>
          <w:b/>
          <w:color w:val="000091" w:themeColor="text1"/>
          <w:sz w:val="20"/>
          <w:szCs w:val="20"/>
        </w:rPr>
        <w:t xml:space="preserve"> giga-projets s’accélère, </w:t>
      </w:r>
      <w:r w:rsidR="00190445" w:rsidRPr="0064478F">
        <w:rPr>
          <w:rFonts w:ascii="Segoe UI" w:hAnsi="Segoe UI" w:cs="Segoe UI"/>
          <w:b/>
          <w:color w:val="000091" w:themeColor="text1"/>
          <w:sz w:val="20"/>
          <w:szCs w:val="20"/>
        </w:rPr>
        <w:t xml:space="preserve">notamment à Riyad, </w:t>
      </w:r>
      <w:r w:rsidRPr="0064478F">
        <w:rPr>
          <w:rFonts w:ascii="Segoe UI" w:hAnsi="Segoe UI" w:cs="Segoe UI"/>
          <w:b/>
          <w:color w:val="000091" w:themeColor="text1"/>
          <w:sz w:val="20"/>
          <w:szCs w:val="20"/>
        </w:rPr>
        <w:t xml:space="preserve">portée par les échéances </w:t>
      </w:r>
      <w:r w:rsidR="0083359E" w:rsidRPr="0064478F">
        <w:rPr>
          <w:rFonts w:ascii="Segoe UI" w:hAnsi="Segoe UI" w:cs="Segoe UI"/>
          <w:b/>
          <w:color w:val="000091" w:themeColor="text1"/>
          <w:sz w:val="20"/>
          <w:szCs w:val="20"/>
        </w:rPr>
        <w:t xml:space="preserve">incompressibles </w:t>
      </w:r>
      <w:r w:rsidRPr="0064478F">
        <w:rPr>
          <w:rFonts w:ascii="Segoe UI" w:hAnsi="Segoe UI" w:cs="Segoe UI"/>
          <w:b/>
          <w:color w:val="000091" w:themeColor="text1"/>
          <w:sz w:val="20"/>
          <w:szCs w:val="20"/>
        </w:rPr>
        <w:t>(Expo 2030, Coupe du Monde 2034)</w:t>
      </w:r>
    </w:p>
    <w:bookmarkEnd w:id="1"/>
    <w:p w14:paraId="47DCC9E8" w14:textId="1C967A18" w:rsidR="00F95667" w:rsidRPr="0064478F" w:rsidRDefault="00F95667" w:rsidP="00202214">
      <w:pPr>
        <w:spacing w:after="120"/>
        <w:jc w:val="both"/>
        <w:rPr>
          <w:rFonts w:ascii="Segoe UI" w:hAnsi="Segoe UI" w:cs="Segoe UI"/>
          <w:sz w:val="20"/>
          <w:szCs w:val="20"/>
        </w:rPr>
      </w:pPr>
      <w:r w:rsidRPr="0064478F">
        <w:rPr>
          <w:rFonts w:ascii="Segoe UI" w:hAnsi="Segoe UI" w:cs="Segoe UI"/>
          <w:b/>
          <w:bCs/>
          <w:sz w:val="20"/>
          <w:szCs w:val="20"/>
        </w:rPr>
        <w:t xml:space="preserve">Selon les dernières données de </w:t>
      </w:r>
      <w:r w:rsidRPr="0064478F">
        <w:rPr>
          <w:rFonts w:ascii="Segoe UI" w:hAnsi="Segoe UI" w:cs="Segoe UI"/>
          <w:b/>
          <w:bCs/>
          <w:i/>
          <w:iCs/>
          <w:sz w:val="20"/>
          <w:szCs w:val="20"/>
        </w:rPr>
        <w:t xml:space="preserve">MEED </w:t>
      </w:r>
      <w:proofErr w:type="spellStart"/>
      <w:r w:rsidRPr="0064478F">
        <w:rPr>
          <w:rFonts w:ascii="Segoe UI" w:hAnsi="Segoe UI" w:cs="Segoe UI"/>
          <w:b/>
          <w:bCs/>
          <w:i/>
          <w:iCs/>
          <w:sz w:val="20"/>
          <w:szCs w:val="20"/>
        </w:rPr>
        <w:t>Projects</w:t>
      </w:r>
      <w:proofErr w:type="spellEnd"/>
      <w:r w:rsidRPr="0064478F">
        <w:rPr>
          <w:rFonts w:ascii="Segoe UI" w:hAnsi="Segoe UI" w:cs="Segoe UI"/>
          <w:b/>
          <w:bCs/>
          <w:sz w:val="20"/>
          <w:szCs w:val="20"/>
        </w:rPr>
        <w:t xml:space="preserve">, le portefeuille total des giga-projets saoudiens atteint environ 940 Md USD au début de 2026, dont 120,4 Md USD de contrats déjà attribués. </w:t>
      </w:r>
      <w:r w:rsidRPr="0064478F">
        <w:rPr>
          <w:rFonts w:ascii="Segoe UI" w:hAnsi="Segoe UI" w:cs="Segoe UI"/>
          <w:sz w:val="20"/>
          <w:szCs w:val="20"/>
        </w:rPr>
        <w:t xml:space="preserve">Au sein de cet ensemble, les cinq giga-projets officiels de Vision 2030 </w:t>
      </w:r>
      <w:r w:rsidR="004A5916" w:rsidRPr="0064478F">
        <w:rPr>
          <w:rFonts w:ascii="Segoe UI" w:hAnsi="Segoe UI" w:cs="Segoe UI"/>
          <w:sz w:val="20"/>
          <w:szCs w:val="20"/>
        </w:rPr>
        <w:t>(</w:t>
      </w:r>
      <w:r w:rsidRPr="0064478F">
        <w:rPr>
          <w:rFonts w:ascii="Segoe UI" w:hAnsi="Segoe UI" w:cs="Segoe UI"/>
          <w:i/>
          <w:iCs/>
          <w:sz w:val="20"/>
          <w:szCs w:val="20"/>
        </w:rPr>
        <w:t xml:space="preserve">NEOM, </w:t>
      </w:r>
      <w:proofErr w:type="spellStart"/>
      <w:r w:rsidRPr="0064478F">
        <w:rPr>
          <w:rFonts w:ascii="Segoe UI" w:hAnsi="Segoe UI" w:cs="Segoe UI"/>
          <w:i/>
          <w:iCs/>
          <w:sz w:val="20"/>
          <w:szCs w:val="20"/>
        </w:rPr>
        <w:t>Diriyah</w:t>
      </w:r>
      <w:proofErr w:type="spellEnd"/>
      <w:r w:rsidRPr="0064478F">
        <w:rPr>
          <w:rFonts w:ascii="Segoe UI" w:hAnsi="Segoe UI" w:cs="Segoe UI"/>
          <w:i/>
          <w:iCs/>
          <w:sz w:val="20"/>
          <w:szCs w:val="20"/>
        </w:rPr>
        <w:t xml:space="preserve">, </w:t>
      </w:r>
      <w:proofErr w:type="spellStart"/>
      <w:r w:rsidRPr="0064478F">
        <w:rPr>
          <w:rFonts w:ascii="Segoe UI" w:hAnsi="Segoe UI" w:cs="Segoe UI"/>
          <w:i/>
          <w:iCs/>
          <w:sz w:val="20"/>
          <w:szCs w:val="20"/>
        </w:rPr>
        <w:t>Qiddiya</w:t>
      </w:r>
      <w:proofErr w:type="spellEnd"/>
      <w:r w:rsidRPr="0064478F">
        <w:rPr>
          <w:rFonts w:ascii="Segoe UI" w:hAnsi="Segoe UI" w:cs="Segoe UI"/>
          <w:i/>
          <w:iCs/>
          <w:sz w:val="20"/>
          <w:szCs w:val="20"/>
        </w:rPr>
        <w:t>, ROSHN</w:t>
      </w:r>
      <w:r w:rsidRPr="0064478F">
        <w:rPr>
          <w:rFonts w:ascii="Segoe UI" w:hAnsi="Segoe UI" w:cs="Segoe UI"/>
          <w:sz w:val="20"/>
          <w:szCs w:val="20"/>
        </w:rPr>
        <w:t xml:space="preserve"> et </w:t>
      </w:r>
      <w:r w:rsidRPr="0064478F">
        <w:rPr>
          <w:rFonts w:ascii="Segoe UI" w:hAnsi="Segoe UI" w:cs="Segoe UI"/>
          <w:i/>
          <w:iCs/>
          <w:sz w:val="20"/>
          <w:szCs w:val="20"/>
        </w:rPr>
        <w:t xml:space="preserve">Red </w:t>
      </w:r>
      <w:proofErr w:type="spellStart"/>
      <w:r w:rsidRPr="0064478F">
        <w:rPr>
          <w:rFonts w:ascii="Segoe UI" w:hAnsi="Segoe UI" w:cs="Segoe UI"/>
          <w:i/>
          <w:iCs/>
          <w:sz w:val="20"/>
          <w:szCs w:val="20"/>
        </w:rPr>
        <w:t>Sea</w:t>
      </w:r>
      <w:proofErr w:type="spellEnd"/>
      <w:r w:rsidRPr="0064478F">
        <w:rPr>
          <w:rFonts w:ascii="Segoe UI" w:hAnsi="Segoe UI" w:cs="Segoe UI"/>
          <w:i/>
          <w:iCs/>
          <w:sz w:val="20"/>
          <w:szCs w:val="20"/>
        </w:rPr>
        <w:t xml:space="preserve"> Global</w:t>
      </w:r>
      <w:r w:rsidR="004A5916" w:rsidRPr="0064478F">
        <w:rPr>
          <w:rFonts w:ascii="Segoe UI" w:hAnsi="Segoe UI" w:cs="Segoe UI"/>
          <w:sz w:val="20"/>
          <w:szCs w:val="20"/>
        </w:rPr>
        <w:t xml:space="preserve">) </w:t>
      </w:r>
      <w:r w:rsidRPr="0064478F">
        <w:rPr>
          <w:rFonts w:ascii="Segoe UI" w:hAnsi="Segoe UI" w:cs="Segoe UI"/>
          <w:sz w:val="20"/>
          <w:szCs w:val="20"/>
        </w:rPr>
        <w:t>concentrent à eux seuls 91,1</w:t>
      </w:r>
      <w:r w:rsidR="008F4DB3" w:rsidRPr="0064478F">
        <w:rPr>
          <w:rFonts w:ascii="Segoe UI" w:hAnsi="Segoe UI" w:cs="Segoe UI"/>
          <w:sz w:val="20"/>
          <w:szCs w:val="20"/>
        </w:rPr>
        <w:t> </w:t>
      </w:r>
      <w:r w:rsidRPr="0064478F">
        <w:rPr>
          <w:rFonts w:ascii="Segoe UI" w:hAnsi="Segoe UI" w:cs="Segoe UI"/>
          <w:sz w:val="20"/>
          <w:szCs w:val="20"/>
        </w:rPr>
        <w:t>Md</w:t>
      </w:r>
      <w:r w:rsidR="008F4DB3" w:rsidRPr="0064478F">
        <w:rPr>
          <w:rFonts w:ascii="Segoe UI" w:hAnsi="Segoe UI" w:cs="Segoe UI"/>
          <w:sz w:val="20"/>
          <w:szCs w:val="20"/>
        </w:rPr>
        <w:t> </w:t>
      </w:r>
      <w:r w:rsidRPr="0064478F">
        <w:rPr>
          <w:rFonts w:ascii="Segoe UI" w:hAnsi="Segoe UI" w:cs="Segoe UI"/>
          <w:sz w:val="20"/>
          <w:szCs w:val="20"/>
        </w:rPr>
        <w:t>USD de contrats attribués à fin janvier 2026, soit près des trois quarts du total.</w:t>
      </w:r>
      <w:r w:rsidR="004A5916" w:rsidRPr="0064478F">
        <w:rPr>
          <w:rFonts w:ascii="Segoe UI" w:hAnsi="Segoe UI" w:cs="Segoe UI"/>
          <w:sz w:val="20"/>
          <w:szCs w:val="20"/>
        </w:rPr>
        <w:t xml:space="preserve"> Si ce montant confirme la poursuite de </w:t>
      </w:r>
      <w:r w:rsidR="00F11731" w:rsidRPr="0064478F">
        <w:rPr>
          <w:rFonts w:ascii="Segoe UI" w:hAnsi="Segoe UI" w:cs="Segoe UI"/>
          <w:sz w:val="20"/>
          <w:szCs w:val="20"/>
        </w:rPr>
        <w:t xml:space="preserve">la </w:t>
      </w:r>
      <w:r w:rsidR="004A5916" w:rsidRPr="0064478F">
        <w:rPr>
          <w:rFonts w:ascii="Segoe UI" w:hAnsi="Segoe UI" w:cs="Segoe UI"/>
          <w:sz w:val="20"/>
          <w:szCs w:val="20"/>
        </w:rPr>
        <w:t xml:space="preserve">phase d’exécution de plusieurs projets majeurs, le flux des nouvelles attributions marque un net ralentissement depuis 2023. </w:t>
      </w:r>
      <w:r w:rsidR="00F31AB0" w:rsidRPr="0064478F">
        <w:rPr>
          <w:rFonts w:ascii="Segoe UI" w:hAnsi="Segoe UI" w:cs="Segoe UI"/>
          <w:sz w:val="20"/>
          <w:szCs w:val="20"/>
        </w:rPr>
        <w:t>L</w:t>
      </w:r>
      <w:r w:rsidR="004A5916" w:rsidRPr="0064478F">
        <w:rPr>
          <w:rFonts w:ascii="Segoe UI" w:hAnsi="Segoe UI" w:cs="Segoe UI"/>
          <w:sz w:val="20"/>
          <w:szCs w:val="20"/>
        </w:rPr>
        <w:t>es montants attribués sont passés de 35,1 Md USD en 2023 à 29,6 Md USD en 2024, puis à 13,0 Md USD en 2025, soit une baisse de 56 % en glissement annuel</w:t>
      </w:r>
      <w:r w:rsidR="00B95F59" w:rsidRPr="0064478F">
        <w:rPr>
          <w:rFonts w:ascii="Segoe UI" w:hAnsi="Segoe UI" w:cs="Segoe UI"/>
          <w:sz w:val="20"/>
          <w:szCs w:val="20"/>
        </w:rPr>
        <w:t xml:space="preserve"> (</w:t>
      </w:r>
      <w:proofErr w:type="spellStart"/>
      <w:r w:rsidR="00B95F59" w:rsidRPr="0064478F">
        <w:rPr>
          <w:rFonts w:ascii="Segoe UI" w:hAnsi="Segoe UI" w:cs="Segoe UI"/>
          <w:sz w:val="20"/>
          <w:szCs w:val="20"/>
        </w:rPr>
        <w:t>g.a</w:t>
      </w:r>
      <w:proofErr w:type="spellEnd"/>
      <w:r w:rsidR="00B95F59" w:rsidRPr="0064478F">
        <w:rPr>
          <w:rFonts w:ascii="Segoe UI" w:hAnsi="Segoe UI" w:cs="Segoe UI"/>
          <w:sz w:val="20"/>
          <w:szCs w:val="20"/>
        </w:rPr>
        <w:t>.)</w:t>
      </w:r>
      <w:r w:rsidR="004A5916" w:rsidRPr="0064478F">
        <w:rPr>
          <w:rFonts w:ascii="Segoe UI" w:hAnsi="Segoe UI" w:cs="Segoe UI"/>
          <w:sz w:val="20"/>
          <w:szCs w:val="20"/>
        </w:rPr>
        <w:t>. Cette inflexion traduit une sélection plus stricte des nouveaux contrats, désormais concentrés sur les projets les plus avancés et ceux dont les effets économiques et urbains sont les plus immédiats.</w:t>
      </w:r>
    </w:p>
    <w:p w14:paraId="7A5ADEB8" w14:textId="3082CA89" w:rsidR="00F95667" w:rsidRPr="0064478F" w:rsidRDefault="00F95667" w:rsidP="00202214">
      <w:pPr>
        <w:spacing w:after="120"/>
        <w:jc w:val="both"/>
        <w:rPr>
          <w:rFonts w:ascii="Segoe UI" w:hAnsi="Segoe UI" w:cs="Segoe UI"/>
          <w:sz w:val="20"/>
          <w:szCs w:val="20"/>
        </w:rPr>
      </w:pPr>
      <w:r w:rsidRPr="0064478F">
        <w:rPr>
          <w:rFonts w:ascii="Segoe UI" w:hAnsi="Segoe UI" w:cs="Segoe UI"/>
          <w:b/>
          <w:bCs/>
          <w:sz w:val="20"/>
          <w:szCs w:val="20"/>
        </w:rPr>
        <w:t xml:space="preserve">La façade ouest et la mer Rouge demeurent le premier pôle du portefeuille, avec près de 60 Md USD de contrats attribués, soit environ la moitié du total. </w:t>
      </w:r>
      <w:r w:rsidRPr="0064478F">
        <w:rPr>
          <w:rFonts w:ascii="Segoe UI" w:hAnsi="Segoe UI" w:cs="Segoe UI"/>
          <w:sz w:val="20"/>
          <w:szCs w:val="20"/>
        </w:rPr>
        <w:t xml:space="preserve">Cette concentration reflète le poids toujours prépondérant de </w:t>
      </w:r>
      <w:r w:rsidRPr="0064478F">
        <w:rPr>
          <w:rFonts w:ascii="Segoe UI" w:hAnsi="Segoe UI" w:cs="Segoe UI"/>
          <w:i/>
          <w:iCs/>
          <w:sz w:val="20"/>
          <w:szCs w:val="20"/>
        </w:rPr>
        <w:t>NEOM</w:t>
      </w:r>
      <w:r w:rsidRPr="0064478F">
        <w:rPr>
          <w:rFonts w:ascii="Segoe UI" w:hAnsi="Segoe UI" w:cs="Segoe UI"/>
          <w:sz w:val="20"/>
          <w:szCs w:val="20"/>
        </w:rPr>
        <w:t xml:space="preserve"> (41,2 Md USD)</w:t>
      </w:r>
      <w:r w:rsidR="004839D4">
        <w:rPr>
          <w:rFonts w:ascii="Segoe UI" w:hAnsi="Segoe UI" w:cs="Segoe UI"/>
          <w:sz w:val="20"/>
          <w:szCs w:val="20"/>
        </w:rPr>
        <w:t>,</w:t>
      </w:r>
      <w:r w:rsidRPr="0064478F">
        <w:rPr>
          <w:rFonts w:ascii="Segoe UI" w:hAnsi="Segoe UI" w:cs="Segoe UI"/>
          <w:sz w:val="20"/>
          <w:szCs w:val="20"/>
        </w:rPr>
        <w:t xml:space="preserve"> et de </w:t>
      </w:r>
      <w:r w:rsidRPr="0064478F">
        <w:rPr>
          <w:rFonts w:ascii="Segoe UI" w:hAnsi="Segoe UI" w:cs="Segoe UI"/>
          <w:i/>
          <w:iCs/>
          <w:sz w:val="20"/>
          <w:szCs w:val="20"/>
        </w:rPr>
        <w:t xml:space="preserve">Red </w:t>
      </w:r>
      <w:proofErr w:type="spellStart"/>
      <w:r w:rsidRPr="0064478F">
        <w:rPr>
          <w:rFonts w:ascii="Segoe UI" w:hAnsi="Segoe UI" w:cs="Segoe UI"/>
          <w:i/>
          <w:iCs/>
          <w:sz w:val="20"/>
          <w:szCs w:val="20"/>
        </w:rPr>
        <w:t>Sea</w:t>
      </w:r>
      <w:proofErr w:type="spellEnd"/>
      <w:r w:rsidRPr="0064478F">
        <w:rPr>
          <w:rFonts w:ascii="Segoe UI" w:hAnsi="Segoe UI" w:cs="Segoe UI"/>
          <w:i/>
          <w:iCs/>
          <w:sz w:val="20"/>
          <w:szCs w:val="20"/>
        </w:rPr>
        <w:t xml:space="preserve"> Global</w:t>
      </w:r>
      <w:r w:rsidRPr="0064478F">
        <w:rPr>
          <w:rFonts w:ascii="Segoe UI" w:hAnsi="Segoe UI" w:cs="Segoe UI"/>
          <w:sz w:val="20"/>
          <w:szCs w:val="20"/>
        </w:rPr>
        <w:t xml:space="preserve"> (11,5 Md USD), auxquels s’ajoutent </w:t>
      </w:r>
      <w:proofErr w:type="spellStart"/>
      <w:r w:rsidRPr="0064478F">
        <w:rPr>
          <w:rFonts w:ascii="Segoe UI" w:hAnsi="Segoe UI" w:cs="Segoe UI"/>
          <w:i/>
          <w:iCs/>
          <w:sz w:val="20"/>
          <w:szCs w:val="20"/>
        </w:rPr>
        <w:t>Jeddah</w:t>
      </w:r>
      <w:proofErr w:type="spellEnd"/>
      <w:r w:rsidRPr="0064478F">
        <w:rPr>
          <w:rFonts w:ascii="Segoe UI" w:hAnsi="Segoe UI" w:cs="Segoe UI"/>
          <w:i/>
          <w:iCs/>
          <w:sz w:val="20"/>
          <w:szCs w:val="20"/>
        </w:rPr>
        <w:t xml:space="preserve"> Central</w:t>
      </w:r>
      <w:r w:rsidRPr="0064478F">
        <w:rPr>
          <w:rFonts w:ascii="Segoe UI" w:hAnsi="Segoe UI" w:cs="Segoe UI"/>
          <w:sz w:val="20"/>
          <w:szCs w:val="20"/>
        </w:rPr>
        <w:t xml:space="preserve">, </w:t>
      </w:r>
      <w:proofErr w:type="spellStart"/>
      <w:r w:rsidRPr="0064478F">
        <w:rPr>
          <w:rFonts w:ascii="Segoe UI" w:hAnsi="Segoe UI" w:cs="Segoe UI"/>
          <w:i/>
          <w:iCs/>
          <w:sz w:val="20"/>
          <w:szCs w:val="20"/>
        </w:rPr>
        <w:t>AlUla</w:t>
      </w:r>
      <w:proofErr w:type="spellEnd"/>
      <w:r w:rsidRPr="0064478F">
        <w:rPr>
          <w:rFonts w:ascii="Segoe UI" w:hAnsi="Segoe UI" w:cs="Segoe UI"/>
          <w:i/>
          <w:iCs/>
          <w:sz w:val="20"/>
          <w:szCs w:val="20"/>
        </w:rPr>
        <w:t xml:space="preserve">, Rua Al </w:t>
      </w:r>
      <w:proofErr w:type="spellStart"/>
      <w:r w:rsidRPr="0064478F">
        <w:rPr>
          <w:rFonts w:ascii="Segoe UI" w:hAnsi="Segoe UI" w:cs="Segoe UI"/>
          <w:i/>
          <w:iCs/>
          <w:sz w:val="20"/>
          <w:szCs w:val="20"/>
        </w:rPr>
        <w:t>Madinah</w:t>
      </w:r>
      <w:proofErr w:type="spellEnd"/>
      <w:r w:rsidRPr="0064478F">
        <w:rPr>
          <w:rFonts w:ascii="Segoe UI" w:hAnsi="Segoe UI" w:cs="Segoe UI"/>
          <w:sz w:val="20"/>
          <w:szCs w:val="20"/>
        </w:rPr>
        <w:t xml:space="preserve"> et plusieurs projets touristiques et résidentiels sur le littoral. Ce positionnement confirme le rôle central de la façade ouest dans la stratégie saoudienne de diversification par le tourisme, l’hospitalité et les grands développements côtiers, même si plusieurs composantes les plus capitalistiques de NEOM continuent d’être recalibrées. Ainsi, </w:t>
      </w:r>
      <w:r w:rsidRPr="0064478F">
        <w:rPr>
          <w:rFonts w:ascii="Segoe UI" w:hAnsi="Segoe UI" w:cs="Segoe UI"/>
          <w:i/>
          <w:iCs/>
          <w:sz w:val="20"/>
          <w:szCs w:val="20"/>
        </w:rPr>
        <w:t>The Line</w:t>
      </w:r>
      <w:r w:rsidRPr="0064478F">
        <w:rPr>
          <w:rFonts w:ascii="Segoe UI" w:hAnsi="Segoe UI" w:cs="Segoe UI"/>
          <w:sz w:val="20"/>
          <w:szCs w:val="20"/>
        </w:rPr>
        <w:t xml:space="preserve"> a été ramenée à une première séquence de 2,4 km, tandis que plusieurs contrats liés à </w:t>
      </w:r>
      <w:proofErr w:type="spellStart"/>
      <w:r w:rsidRPr="0064478F">
        <w:rPr>
          <w:rFonts w:ascii="Segoe UI" w:hAnsi="Segoe UI" w:cs="Segoe UI"/>
          <w:i/>
          <w:iCs/>
          <w:sz w:val="20"/>
          <w:szCs w:val="20"/>
        </w:rPr>
        <w:t>Trojena</w:t>
      </w:r>
      <w:proofErr w:type="spellEnd"/>
      <w:r w:rsidRPr="0064478F">
        <w:rPr>
          <w:rFonts w:ascii="Segoe UI" w:hAnsi="Segoe UI" w:cs="Segoe UI"/>
          <w:sz w:val="20"/>
          <w:szCs w:val="20"/>
        </w:rPr>
        <w:t xml:space="preserve"> et à certaines sections de </w:t>
      </w:r>
      <w:r w:rsidRPr="004839D4">
        <w:rPr>
          <w:rFonts w:ascii="Segoe UI" w:hAnsi="Segoe UI" w:cs="Segoe UI"/>
          <w:i/>
          <w:iCs/>
          <w:sz w:val="20"/>
          <w:szCs w:val="20"/>
        </w:rPr>
        <w:t>The Line</w:t>
      </w:r>
      <w:r w:rsidRPr="0064478F">
        <w:rPr>
          <w:rFonts w:ascii="Segoe UI" w:hAnsi="Segoe UI" w:cs="Segoe UI"/>
          <w:sz w:val="20"/>
          <w:szCs w:val="20"/>
        </w:rPr>
        <w:t xml:space="preserve"> ont été résiliés. Le transfert </w:t>
      </w:r>
      <w:r w:rsidR="009D2C6C" w:rsidRPr="0064478F">
        <w:rPr>
          <w:rFonts w:ascii="Segoe UI" w:hAnsi="Segoe UI" w:cs="Segoe UI"/>
          <w:sz w:val="20"/>
          <w:szCs w:val="20"/>
        </w:rPr>
        <w:t xml:space="preserve">à </w:t>
      </w:r>
      <w:r w:rsidR="009D2C6C" w:rsidRPr="0064478F">
        <w:rPr>
          <w:rFonts w:ascii="Segoe UI" w:hAnsi="Segoe UI" w:cs="Segoe UI"/>
          <w:i/>
          <w:iCs/>
          <w:sz w:val="20"/>
          <w:szCs w:val="20"/>
        </w:rPr>
        <w:t>Almaty (</w:t>
      </w:r>
      <w:r w:rsidR="009D2C6C" w:rsidRPr="004839D4">
        <w:rPr>
          <w:rFonts w:ascii="Segoe UI" w:hAnsi="Segoe UI" w:cs="Segoe UI"/>
          <w:sz w:val="20"/>
          <w:szCs w:val="20"/>
        </w:rPr>
        <w:t>Kazakhstan)</w:t>
      </w:r>
      <w:r w:rsidR="009D2C6C" w:rsidRPr="0064478F">
        <w:rPr>
          <w:rFonts w:ascii="Segoe UI" w:hAnsi="Segoe UI" w:cs="Segoe UI"/>
          <w:sz w:val="20"/>
          <w:szCs w:val="20"/>
        </w:rPr>
        <w:t xml:space="preserve"> </w:t>
      </w:r>
      <w:r w:rsidRPr="0064478F">
        <w:rPr>
          <w:rFonts w:ascii="Segoe UI" w:hAnsi="Segoe UI" w:cs="Segoe UI"/>
          <w:sz w:val="20"/>
          <w:szCs w:val="20"/>
        </w:rPr>
        <w:t xml:space="preserve">des Jeux asiatiques d’hiver 2029, initialement prévus à </w:t>
      </w:r>
      <w:proofErr w:type="spellStart"/>
      <w:r w:rsidRPr="0064478F">
        <w:rPr>
          <w:rFonts w:ascii="Segoe UI" w:hAnsi="Segoe UI" w:cs="Segoe UI"/>
          <w:i/>
          <w:iCs/>
          <w:sz w:val="20"/>
          <w:szCs w:val="20"/>
        </w:rPr>
        <w:t>Trojena</w:t>
      </w:r>
      <w:proofErr w:type="spellEnd"/>
      <w:r w:rsidRPr="0064478F">
        <w:rPr>
          <w:rFonts w:ascii="Segoe UI" w:hAnsi="Segoe UI" w:cs="Segoe UI"/>
          <w:sz w:val="20"/>
          <w:szCs w:val="20"/>
        </w:rPr>
        <w:t>,</w:t>
      </w:r>
      <w:r w:rsidR="009D2C6C" w:rsidRPr="0064478F">
        <w:rPr>
          <w:rFonts w:ascii="Segoe UI" w:hAnsi="Segoe UI" w:cs="Segoe UI"/>
          <w:sz w:val="20"/>
          <w:szCs w:val="20"/>
        </w:rPr>
        <w:t xml:space="preserve"> </w:t>
      </w:r>
      <w:r w:rsidRPr="0064478F">
        <w:rPr>
          <w:rFonts w:ascii="Segoe UI" w:hAnsi="Segoe UI" w:cs="Segoe UI"/>
          <w:sz w:val="20"/>
          <w:szCs w:val="20"/>
        </w:rPr>
        <w:t>illustre également cette logique de phasage plus sélectif.</w:t>
      </w:r>
    </w:p>
    <w:p w14:paraId="1B846E41" w14:textId="3AC330C0" w:rsidR="00F95667" w:rsidRPr="0064478F" w:rsidRDefault="00EB5D88" w:rsidP="00202214">
      <w:pPr>
        <w:spacing w:after="120"/>
        <w:jc w:val="both"/>
        <w:rPr>
          <w:rFonts w:ascii="Segoe UI" w:hAnsi="Segoe UI" w:cs="Segoe UI"/>
          <w:b/>
          <w:bCs/>
          <w:sz w:val="20"/>
          <w:szCs w:val="20"/>
        </w:rPr>
      </w:pPr>
      <w:r w:rsidRPr="0064478F">
        <w:rPr>
          <w:rFonts w:ascii="Segoe UI" w:hAnsi="Segoe UI" w:cs="Segoe UI"/>
          <w:b/>
          <w:bCs/>
          <w:sz w:val="20"/>
          <w:szCs w:val="20"/>
        </w:rPr>
        <w:t xml:space="preserve">Riyad constitue le second grand pôle du portefeuille, avec près de 47 Md USD de contrats attribués, soit environ 39 % du total, et s’impose comme le principal foyer des projets </w:t>
      </w:r>
      <w:r w:rsidR="009D2C6C" w:rsidRPr="0064478F">
        <w:rPr>
          <w:rFonts w:ascii="Segoe UI" w:hAnsi="Segoe UI" w:cs="Segoe UI"/>
          <w:b/>
          <w:bCs/>
          <w:sz w:val="20"/>
          <w:szCs w:val="20"/>
        </w:rPr>
        <w:t>à</w:t>
      </w:r>
      <w:r w:rsidRPr="0064478F">
        <w:rPr>
          <w:rFonts w:ascii="Segoe UI" w:hAnsi="Segoe UI" w:cs="Segoe UI"/>
          <w:b/>
          <w:bCs/>
          <w:sz w:val="20"/>
          <w:szCs w:val="20"/>
        </w:rPr>
        <w:t xml:space="preserve"> forte visibilité économique</w:t>
      </w:r>
      <w:r w:rsidRPr="0064478F">
        <w:rPr>
          <w:rFonts w:ascii="Segoe UI" w:hAnsi="Segoe UI" w:cs="Segoe UI"/>
          <w:sz w:val="20"/>
          <w:szCs w:val="20"/>
        </w:rPr>
        <w:t xml:space="preserve">. </w:t>
      </w:r>
      <w:r w:rsidR="0056696C" w:rsidRPr="0064478F">
        <w:rPr>
          <w:rFonts w:ascii="Segoe UI" w:hAnsi="Segoe UI" w:cs="Segoe UI"/>
          <w:sz w:val="20"/>
          <w:szCs w:val="20"/>
        </w:rPr>
        <w:t>Selon MEED, c</w:t>
      </w:r>
      <w:r w:rsidRPr="0064478F">
        <w:rPr>
          <w:rFonts w:ascii="Segoe UI" w:hAnsi="Segoe UI" w:cs="Segoe UI"/>
          <w:sz w:val="20"/>
          <w:szCs w:val="20"/>
        </w:rPr>
        <w:t xml:space="preserve">ette dynamique repose notamment sur </w:t>
      </w:r>
      <w:proofErr w:type="spellStart"/>
      <w:r w:rsidRPr="0064478F">
        <w:rPr>
          <w:rFonts w:ascii="Segoe UI" w:hAnsi="Segoe UI" w:cs="Segoe UI"/>
          <w:i/>
          <w:iCs/>
          <w:sz w:val="20"/>
          <w:szCs w:val="20"/>
        </w:rPr>
        <w:t>Diriyah</w:t>
      </w:r>
      <w:proofErr w:type="spellEnd"/>
      <w:r w:rsidRPr="0064478F">
        <w:rPr>
          <w:rFonts w:ascii="Segoe UI" w:hAnsi="Segoe UI" w:cs="Segoe UI"/>
          <w:sz w:val="20"/>
          <w:szCs w:val="20"/>
        </w:rPr>
        <w:t xml:space="preserve"> (19,5 Md USD de contrats attribués sur un</w:t>
      </w:r>
      <w:r w:rsidR="0056696C" w:rsidRPr="0064478F">
        <w:rPr>
          <w:rFonts w:ascii="Segoe UI" w:hAnsi="Segoe UI" w:cs="Segoe UI"/>
          <w:sz w:val="20"/>
          <w:szCs w:val="20"/>
        </w:rPr>
        <w:t>e taille de projet</w:t>
      </w:r>
      <w:r w:rsidRPr="0064478F">
        <w:rPr>
          <w:rFonts w:ascii="Segoe UI" w:hAnsi="Segoe UI" w:cs="Segoe UI"/>
          <w:sz w:val="20"/>
          <w:szCs w:val="20"/>
        </w:rPr>
        <w:t xml:space="preserve"> total</w:t>
      </w:r>
      <w:r w:rsidR="0056696C" w:rsidRPr="0064478F">
        <w:rPr>
          <w:rFonts w:ascii="Segoe UI" w:hAnsi="Segoe UI" w:cs="Segoe UI"/>
          <w:sz w:val="20"/>
          <w:szCs w:val="20"/>
        </w:rPr>
        <w:t>e</w:t>
      </w:r>
      <w:r w:rsidRPr="0064478F">
        <w:rPr>
          <w:rFonts w:ascii="Segoe UI" w:hAnsi="Segoe UI" w:cs="Segoe UI"/>
          <w:sz w:val="20"/>
          <w:szCs w:val="20"/>
        </w:rPr>
        <w:t xml:space="preserve"> de 63,2</w:t>
      </w:r>
      <w:r w:rsidR="00D31E33" w:rsidRPr="0064478F">
        <w:rPr>
          <w:rFonts w:ascii="Segoe UI" w:hAnsi="Segoe UI" w:cs="Segoe UI"/>
          <w:sz w:val="20"/>
          <w:szCs w:val="20"/>
        </w:rPr>
        <w:t> </w:t>
      </w:r>
      <w:r w:rsidRPr="0064478F">
        <w:rPr>
          <w:rFonts w:ascii="Segoe UI" w:hAnsi="Segoe UI" w:cs="Segoe UI"/>
          <w:sz w:val="20"/>
          <w:szCs w:val="20"/>
        </w:rPr>
        <w:t>Md</w:t>
      </w:r>
      <w:r w:rsidR="00D31E33" w:rsidRPr="0064478F">
        <w:rPr>
          <w:rFonts w:ascii="Segoe UI" w:hAnsi="Segoe UI" w:cs="Segoe UI"/>
          <w:sz w:val="20"/>
          <w:szCs w:val="20"/>
        </w:rPr>
        <w:t> </w:t>
      </w:r>
      <w:r w:rsidRPr="0064478F">
        <w:rPr>
          <w:rFonts w:ascii="Segoe UI" w:hAnsi="Segoe UI" w:cs="Segoe UI"/>
          <w:sz w:val="20"/>
          <w:szCs w:val="20"/>
        </w:rPr>
        <w:t xml:space="preserve">USD), </w:t>
      </w:r>
      <w:proofErr w:type="spellStart"/>
      <w:r w:rsidRPr="0064478F">
        <w:rPr>
          <w:rFonts w:ascii="Segoe UI" w:hAnsi="Segoe UI" w:cs="Segoe UI"/>
          <w:i/>
          <w:iCs/>
          <w:sz w:val="20"/>
          <w:szCs w:val="20"/>
        </w:rPr>
        <w:t>Qiddiya</w:t>
      </w:r>
      <w:proofErr w:type="spellEnd"/>
      <w:r w:rsidRPr="0064478F">
        <w:rPr>
          <w:rFonts w:ascii="Segoe UI" w:hAnsi="Segoe UI" w:cs="Segoe UI"/>
          <w:sz w:val="20"/>
          <w:szCs w:val="20"/>
        </w:rPr>
        <w:t xml:space="preserve"> (10,7 Md USD sur 32,2 Md USD), </w:t>
      </w:r>
      <w:r w:rsidRPr="0064478F">
        <w:rPr>
          <w:rFonts w:ascii="Segoe UI" w:hAnsi="Segoe UI" w:cs="Segoe UI"/>
          <w:i/>
          <w:iCs/>
          <w:sz w:val="20"/>
          <w:szCs w:val="20"/>
        </w:rPr>
        <w:t xml:space="preserve">King Salman Park </w:t>
      </w:r>
      <w:r w:rsidRPr="0064478F">
        <w:rPr>
          <w:rFonts w:ascii="Segoe UI" w:hAnsi="Segoe UI" w:cs="Segoe UI"/>
          <w:sz w:val="20"/>
          <w:szCs w:val="20"/>
        </w:rPr>
        <w:t xml:space="preserve">(7,5 Md USD sur 11,7 Md USD), </w:t>
      </w:r>
      <w:r w:rsidRPr="0064478F">
        <w:rPr>
          <w:rFonts w:ascii="Segoe UI" w:hAnsi="Segoe UI" w:cs="Segoe UI"/>
          <w:i/>
          <w:iCs/>
          <w:sz w:val="20"/>
          <w:szCs w:val="20"/>
        </w:rPr>
        <w:t>Sports Boulevard</w:t>
      </w:r>
      <w:r w:rsidRPr="0064478F">
        <w:rPr>
          <w:rFonts w:ascii="Segoe UI" w:hAnsi="Segoe UI" w:cs="Segoe UI"/>
          <w:sz w:val="20"/>
          <w:szCs w:val="20"/>
        </w:rPr>
        <w:t xml:space="preserve"> (4,5 Md USD sur 8,5 Md USD), </w:t>
      </w:r>
      <w:r w:rsidRPr="0064478F">
        <w:rPr>
          <w:rFonts w:ascii="Segoe UI" w:hAnsi="Segoe UI" w:cs="Segoe UI"/>
          <w:i/>
          <w:iCs/>
          <w:sz w:val="20"/>
          <w:szCs w:val="20"/>
        </w:rPr>
        <w:t>Green Riyadh</w:t>
      </w:r>
      <w:r w:rsidRPr="0064478F">
        <w:rPr>
          <w:rFonts w:ascii="Segoe UI" w:hAnsi="Segoe UI" w:cs="Segoe UI"/>
          <w:sz w:val="20"/>
          <w:szCs w:val="20"/>
        </w:rPr>
        <w:t xml:space="preserve"> (3,3 Md USD sur 23 Md USD)</w:t>
      </w:r>
      <w:r w:rsidR="004839D4">
        <w:rPr>
          <w:rFonts w:ascii="Segoe UI" w:hAnsi="Segoe UI" w:cs="Segoe UI"/>
          <w:sz w:val="20"/>
          <w:szCs w:val="20"/>
        </w:rPr>
        <w:t>,</w:t>
      </w:r>
      <w:r w:rsidR="001A3417" w:rsidRPr="0064478F">
        <w:rPr>
          <w:rFonts w:ascii="Segoe UI" w:hAnsi="Segoe UI" w:cs="Segoe UI"/>
          <w:sz w:val="20"/>
          <w:szCs w:val="20"/>
        </w:rPr>
        <w:t xml:space="preserve"> </w:t>
      </w:r>
      <w:r w:rsidRPr="0064478F">
        <w:rPr>
          <w:rFonts w:ascii="Segoe UI" w:hAnsi="Segoe UI" w:cs="Segoe UI"/>
          <w:sz w:val="20"/>
          <w:szCs w:val="20"/>
        </w:rPr>
        <w:t xml:space="preserve">ainsi que l’aéroport </w:t>
      </w:r>
      <w:r w:rsidRPr="0064478F">
        <w:rPr>
          <w:rFonts w:ascii="Segoe UI" w:hAnsi="Segoe UI" w:cs="Segoe UI"/>
          <w:i/>
          <w:iCs/>
          <w:sz w:val="20"/>
          <w:szCs w:val="20"/>
        </w:rPr>
        <w:t>King Salman</w:t>
      </w:r>
      <w:r w:rsidRPr="0064478F">
        <w:rPr>
          <w:rFonts w:ascii="Segoe UI" w:hAnsi="Segoe UI" w:cs="Segoe UI"/>
          <w:sz w:val="20"/>
          <w:szCs w:val="20"/>
        </w:rPr>
        <w:t xml:space="preserve"> (1,05 Md USD sur un coût total estimé à 30 Md USD). La concentration des attributions dans la capitale reflète l’ampleur </w:t>
      </w:r>
      <w:r w:rsidRPr="0064478F">
        <w:rPr>
          <w:rFonts w:ascii="Segoe UI" w:hAnsi="Segoe UI" w:cs="Segoe UI"/>
          <w:sz w:val="20"/>
          <w:szCs w:val="20"/>
        </w:rPr>
        <w:lastRenderedPageBreak/>
        <w:t xml:space="preserve">des besoins de transformation urbaine à horizon 2030 : renforcement de l’offre résidentielle, développement de nouvelles capacités hôtelières, montée en gamme des infrastructures de loisirs et de transport, et adaptation de la ville à l’accueil des grands événements internationaux. </w:t>
      </w:r>
    </w:p>
    <w:p w14:paraId="1FBC8696" w14:textId="0F8BC2AF" w:rsidR="00D50EEB" w:rsidRPr="0064478F" w:rsidRDefault="00571D0B" w:rsidP="00D50EEB">
      <w:pPr>
        <w:pStyle w:val="Paragraphedeliste"/>
        <w:numPr>
          <w:ilvl w:val="0"/>
          <w:numId w:val="17"/>
        </w:numPr>
        <w:spacing w:before="240" w:after="80"/>
        <w:ind w:left="300" w:hanging="357"/>
        <w:jc w:val="both"/>
        <w:rPr>
          <w:rFonts w:ascii="Segoe UI" w:hAnsi="Segoe UI" w:cs="Segoe UI"/>
          <w:b/>
          <w:color w:val="000091" w:themeColor="text1"/>
          <w:sz w:val="20"/>
          <w:szCs w:val="20"/>
        </w:rPr>
      </w:pPr>
      <w:r w:rsidRPr="0064478F">
        <w:rPr>
          <w:rFonts w:ascii="Segoe UI" w:hAnsi="Segoe UI" w:cs="Segoe UI"/>
          <w:b/>
          <w:color w:val="000091" w:themeColor="text1"/>
          <w:sz w:val="20"/>
          <w:szCs w:val="20"/>
        </w:rPr>
        <w:t xml:space="preserve">Le pilotage des giga-projets demeure très largement public, </w:t>
      </w:r>
      <w:r w:rsidR="009D2C6C" w:rsidRPr="0064478F">
        <w:rPr>
          <w:rFonts w:ascii="Segoe UI" w:hAnsi="Segoe UI" w:cs="Segoe UI"/>
          <w:b/>
          <w:color w:val="000091" w:themeColor="text1"/>
          <w:sz w:val="20"/>
          <w:szCs w:val="20"/>
        </w:rPr>
        <w:t xml:space="preserve">ce qui </w:t>
      </w:r>
      <w:r w:rsidR="00505A02" w:rsidRPr="0064478F">
        <w:rPr>
          <w:rFonts w:ascii="Segoe UI" w:hAnsi="Segoe UI" w:cs="Segoe UI"/>
          <w:b/>
          <w:color w:val="000091" w:themeColor="text1"/>
          <w:sz w:val="20"/>
          <w:szCs w:val="20"/>
        </w:rPr>
        <w:t xml:space="preserve">limite la mobilisation du secteur privé et </w:t>
      </w:r>
      <w:r w:rsidR="009D2C6C" w:rsidRPr="0064478F">
        <w:rPr>
          <w:rFonts w:ascii="Segoe UI" w:hAnsi="Segoe UI" w:cs="Segoe UI"/>
          <w:b/>
          <w:color w:val="000091" w:themeColor="text1"/>
          <w:sz w:val="20"/>
          <w:szCs w:val="20"/>
        </w:rPr>
        <w:t xml:space="preserve">interroge </w:t>
      </w:r>
      <w:r w:rsidR="00190445" w:rsidRPr="0064478F">
        <w:rPr>
          <w:rFonts w:ascii="Segoe UI" w:hAnsi="Segoe UI" w:cs="Segoe UI"/>
          <w:b/>
          <w:color w:val="000091" w:themeColor="text1"/>
          <w:sz w:val="20"/>
          <w:szCs w:val="20"/>
        </w:rPr>
        <w:t>la soutenabilité financière du modèle à moyen terme</w:t>
      </w:r>
    </w:p>
    <w:p w14:paraId="53F781D8" w14:textId="65032A81" w:rsidR="002566FB" w:rsidRPr="0064478F" w:rsidRDefault="000B4CE9" w:rsidP="002566FB">
      <w:pPr>
        <w:spacing w:after="120"/>
        <w:jc w:val="both"/>
        <w:rPr>
          <w:rFonts w:ascii="Segoe UI" w:hAnsi="Segoe UI" w:cs="Segoe UI"/>
          <w:b/>
          <w:bCs/>
          <w:sz w:val="20"/>
          <w:szCs w:val="20"/>
        </w:rPr>
      </w:pPr>
      <w:r w:rsidRPr="0064478F">
        <w:rPr>
          <w:rFonts w:ascii="Segoe UI" w:hAnsi="Segoe UI" w:cs="Segoe UI"/>
          <w:b/>
          <w:bCs/>
          <w:sz w:val="20"/>
          <w:szCs w:val="20"/>
        </w:rPr>
        <w:t xml:space="preserve">La gouvernance des principaux giga-projets reste assurée par des entités publiques ou parapubliques, </w:t>
      </w:r>
      <w:r w:rsidR="002566FB" w:rsidRPr="0064478F">
        <w:rPr>
          <w:rFonts w:ascii="Segoe UI" w:hAnsi="Segoe UI" w:cs="Segoe UI"/>
          <w:b/>
          <w:bCs/>
          <w:sz w:val="20"/>
          <w:szCs w:val="20"/>
        </w:rPr>
        <w:t xml:space="preserve">au premier rang desquelles le </w:t>
      </w:r>
      <w:r w:rsidR="002566FB" w:rsidRPr="0064478F">
        <w:rPr>
          <w:rFonts w:ascii="Segoe UI" w:hAnsi="Segoe UI" w:cs="Segoe UI"/>
          <w:b/>
          <w:bCs/>
          <w:i/>
          <w:iCs/>
          <w:sz w:val="20"/>
          <w:szCs w:val="20"/>
        </w:rPr>
        <w:t xml:space="preserve">Public Investment </w:t>
      </w:r>
      <w:proofErr w:type="spellStart"/>
      <w:r w:rsidR="002566FB" w:rsidRPr="0064478F">
        <w:rPr>
          <w:rFonts w:ascii="Segoe UI" w:hAnsi="Segoe UI" w:cs="Segoe UI"/>
          <w:b/>
          <w:bCs/>
          <w:i/>
          <w:iCs/>
          <w:sz w:val="20"/>
          <w:szCs w:val="20"/>
        </w:rPr>
        <w:t>Fund</w:t>
      </w:r>
      <w:proofErr w:type="spellEnd"/>
      <w:r w:rsidR="002566FB" w:rsidRPr="0064478F">
        <w:rPr>
          <w:rFonts w:ascii="Segoe UI" w:hAnsi="Segoe UI" w:cs="Segoe UI"/>
          <w:b/>
          <w:bCs/>
          <w:sz w:val="20"/>
          <w:szCs w:val="20"/>
        </w:rPr>
        <w:t xml:space="preserve"> (PIF), le </w:t>
      </w:r>
      <w:r w:rsidR="002566FB" w:rsidRPr="0064478F">
        <w:rPr>
          <w:rFonts w:ascii="Segoe UI" w:hAnsi="Segoe UI" w:cs="Segoe UI"/>
          <w:b/>
          <w:bCs/>
          <w:i/>
          <w:iCs/>
          <w:sz w:val="20"/>
          <w:szCs w:val="20"/>
        </w:rPr>
        <w:t xml:space="preserve">National </w:t>
      </w:r>
      <w:proofErr w:type="spellStart"/>
      <w:r w:rsidR="002566FB" w:rsidRPr="0064478F">
        <w:rPr>
          <w:rFonts w:ascii="Segoe UI" w:hAnsi="Segoe UI" w:cs="Segoe UI"/>
          <w:b/>
          <w:bCs/>
          <w:i/>
          <w:iCs/>
          <w:sz w:val="20"/>
          <w:szCs w:val="20"/>
        </w:rPr>
        <w:t>Development</w:t>
      </w:r>
      <w:proofErr w:type="spellEnd"/>
      <w:r w:rsidR="002566FB" w:rsidRPr="0064478F">
        <w:rPr>
          <w:rFonts w:ascii="Segoe UI" w:hAnsi="Segoe UI" w:cs="Segoe UI"/>
          <w:b/>
          <w:bCs/>
          <w:i/>
          <w:iCs/>
          <w:sz w:val="20"/>
          <w:szCs w:val="20"/>
        </w:rPr>
        <w:t xml:space="preserve"> </w:t>
      </w:r>
      <w:proofErr w:type="spellStart"/>
      <w:r w:rsidR="002566FB" w:rsidRPr="0064478F">
        <w:rPr>
          <w:rFonts w:ascii="Segoe UI" w:hAnsi="Segoe UI" w:cs="Segoe UI"/>
          <w:b/>
          <w:bCs/>
          <w:i/>
          <w:iCs/>
          <w:sz w:val="20"/>
          <w:szCs w:val="20"/>
        </w:rPr>
        <w:t>Fund</w:t>
      </w:r>
      <w:proofErr w:type="spellEnd"/>
      <w:r w:rsidR="002566FB" w:rsidRPr="0064478F">
        <w:rPr>
          <w:rFonts w:ascii="Segoe UI" w:hAnsi="Segoe UI" w:cs="Segoe UI"/>
          <w:b/>
          <w:bCs/>
          <w:sz w:val="20"/>
          <w:szCs w:val="20"/>
        </w:rPr>
        <w:t xml:space="preserve"> (NDF) et les principales commissions royales.</w:t>
      </w:r>
      <w:r w:rsidR="002566FB" w:rsidRPr="0064478F">
        <w:rPr>
          <w:rFonts w:ascii="Segoe UI" w:hAnsi="Segoe UI" w:cs="Segoe UI"/>
          <w:sz w:val="20"/>
          <w:szCs w:val="20"/>
        </w:rPr>
        <w:t xml:space="preserve"> Le PIF demeure au cœur du dispositif pour les projets emblématiques comme </w:t>
      </w:r>
      <w:r w:rsidR="002566FB" w:rsidRPr="0064478F">
        <w:rPr>
          <w:rFonts w:ascii="Segoe UI" w:hAnsi="Segoe UI" w:cs="Segoe UI"/>
          <w:i/>
          <w:iCs/>
          <w:sz w:val="20"/>
          <w:szCs w:val="20"/>
        </w:rPr>
        <w:t xml:space="preserve">NEOM, </w:t>
      </w:r>
      <w:proofErr w:type="spellStart"/>
      <w:r w:rsidR="002566FB" w:rsidRPr="0064478F">
        <w:rPr>
          <w:rFonts w:ascii="Segoe UI" w:hAnsi="Segoe UI" w:cs="Segoe UI"/>
          <w:i/>
          <w:iCs/>
          <w:sz w:val="20"/>
          <w:szCs w:val="20"/>
        </w:rPr>
        <w:t>Diriyah</w:t>
      </w:r>
      <w:proofErr w:type="spellEnd"/>
      <w:r w:rsidR="002566FB" w:rsidRPr="0064478F">
        <w:rPr>
          <w:rFonts w:ascii="Segoe UI" w:hAnsi="Segoe UI" w:cs="Segoe UI"/>
          <w:i/>
          <w:iCs/>
          <w:sz w:val="20"/>
          <w:szCs w:val="20"/>
        </w:rPr>
        <w:t xml:space="preserve">, </w:t>
      </w:r>
      <w:proofErr w:type="spellStart"/>
      <w:r w:rsidR="002566FB" w:rsidRPr="0064478F">
        <w:rPr>
          <w:rFonts w:ascii="Segoe UI" w:hAnsi="Segoe UI" w:cs="Segoe UI"/>
          <w:i/>
          <w:iCs/>
          <w:sz w:val="20"/>
          <w:szCs w:val="20"/>
        </w:rPr>
        <w:t>Qiddiya</w:t>
      </w:r>
      <w:proofErr w:type="spellEnd"/>
      <w:r w:rsidR="002566FB" w:rsidRPr="0064478F">
        <w:rPr>
          <w:rFonts w:ascii="Segoe UI" w:hAnsi="Segoe UI" w:cs="Segoe UI"/>
          <w:i/>
          <w:iCs/>
          <w:sz w:val="20"/>
          <w:szCs w:val="20"/>
        </w:rPr>
        <w:t xml:space="preserve">, Red </w:t>
      </w:r>
      <w:proofErr w:type="spellStart"/>
      <w:r w:rsidR="002566FB" w:rsidRPr="0064478F">
        <w:rPr>
          <w:rFonts w:ascii="Segoe UI" w:hAnsi="Segoe UI" w:cs="Segoe UI"/>
          <w:i/>
          <w:iCs/>
          <w:sz w:val="20"/>
          <w:szCs w:val="20"/>
        </w:rPr>
        <w:t>Sea</w:t>
      </w:r>
      <w:proofErr w:type="spellEnd"/>
      <w:r w:rsidR="002566FB" w:rsidRPr="0064478F">
        <w:rPr>
          <w:rFonts w:ascii="Segoe UI" w:hAnsi="Segoe UI" w:cs="Segoe UI"/>
          <w:i/>
          <w:iCs/>
          <w:sz w:val="20"/>
          <w:szCs w:val="20"/>
        </w:rPr>
        <w:t xml:space="preserve"> Global </w:t>
      </w:r>
      <w:r w:rsidR="002566FB" w:rsidRPr="0064478F">
        <w:rPr>
          <w:rFonts w:ascii="Segoe UI" w:hAnsi="Segoe UI" w:cs="Segoe UI"/>
          <w:sz w:val="20"/>
          <w:szCs w:val="20"/>
        </w:rPr>
        <w:t>ou</w:t>
      </w:r>
      <w:r w:rsidR="002566FB" w:rsidRPr="0064478F">
        <w:rPr>
          <w:rFonts w:ascii="Segoe UI" w:hAnsi="Segoe UI" w:cs="Segoe UI"/>
          <w:i/>
          <w:iCs/>
          <w:sz w:val="20"/>
          <w:szCs w:val="20"/>
        </w:rPr>
        <w:t xml:space="preserve"> New </w:t>
      </w:r>
      <w:proofErr w:type="spellStart"/>
      <w:r w:rsidR="002566FB" w:rsidRPr="0064478F">
        <w:rPr>
          <w:rFonts w:ascii="Segoe UI" w:hAnsi="Segoe UI" w:cs="Segoe UI"/>
          <w:i/>
          <w:iCs/>
          <w:sz w:val="20"/>
          <w:szCs w:val="20"/>
        </w:rPr>
        <w:t>Murabba</w:t>
      </w:r>
      <w:proofErr w:type="spellEnd"/>
      <w:r w:rsidR="003602DC" w:rsidRPr="0064478F">
        <w:rPr>
          <w:rFonts w:ascii="Segoe UI" w:hAnsi="Segoe UI" w:cs="Segoe UI"/>
          <w:sz w:val="20"/>
          <w:szCs w:val="20"/>
        </w:rPr>
        <w:t xml:space="preserve">. Sa stratégie 2026-2030, approuvée en avril 2026, redéfinit toutefois le contenu de NEOM : </w:t>
      </w:r>
      <w:proofErr w:type="spellStart"/>
      <w:r w:rsidR="003602DC" w:rsidRPr="004839D4">
        <w:rPr>
          <w:rFonts w:ascii="Segoe UI" w:hAnsi="Segoe UI" w:cs="Segoe UI"/>
          <w:i/>
          <w:iCs/>
          <w:sz w:val="20"/>
          <w:szCs w:val="20"/>
        </w:rPr>
        <w:t>Oxagon</w:t>
      </w:r>
      <w:proofErr w:type="spellEnd"/>
      <w:r w:rsidR="003602DC" w:rsidRPr="0064478F">
        <w:rPr>
          <w:rFonts w:ascii="Segoe UI" w:hAnsi="Segoe UI" w:cs="Segoe UI"/>
          <w:sz w:val="20"/>
          <w:szCs w:val="20"/>
        </w:rPr>
        <w:t xml:space="preserve">, </w:t>
      </w:r>
      <w:r w:rsidR="0064478F" w:rsidRPr="0064478F">
        <w:rPr>
          <w:rFonts w:ascii="Segoe UI" w:hAnsi="Segoe UI" w:cs="Segoe UI"/>
          <w:sz w:val="20"/>
          <w:szCs w:val="20"/>
        </w:rPr>
        <w:t>le hub industriel et logistique de NEOM</w:t>
      </w:r>
      <w:r w:rsidR="003602DC" w:rsidRPr="0064478F">
        <w:rPr>
          <w:rFonts w:ascii="Segoe UI" w:hAnsi="Segoe UI" w:cs="Segoe UI"/>
          <w:sz w:val="20"/>
          <w:szCs w:val="20"/>
        </w:rPr>
        <w:t xml:space="preserve">, devient la composante prioritaire, tandis que </w:t>
      </w:r>
      <w:r w:rsidR="003602DC" w:rsidRPr="004839D4">
        <w:rPr>
          <w:rFonts w:ascii="Segoe UI" w:hAnsi="Segoe UI" w:cs="Segoe UI"/>
          <w:i/>
          <w:iCs/>
          <w:sz w:val="20"/>
          <w:szCs w:val="20"/>
        </w:rPr>
        <w:t>The Line</w:t>
      </w:r>
      <w:r w:rsidR="003602DC" w:rsidRPr="0064478F">
        <w:rPr>
          <w:rFonts w:ascii="Segoe UI" w:hAnsi="Segoe UI" w:cs="Segoe UI"/>
          <w:sz w:val="20"/>
          <w:szCs w:val="20"/>
        </w:rPr>
        <w:t xml:space="preserve"> est officiellement </w:t>
      </w:r>
      <w:proofErr w:type="spellStart"/>
      <w:r w:rsidR="003602DC" w:rsidRPr="0064478F">
        <w:rPr>
          <w:rFonts w:ascii="Segoe UI" w:hAnsi="Segoe UI" w:cs="Segoe UI"/>
          <w:sz w:val="20"/>
          <w:szCs w:val="20"/>
        </w:rPr>
        <w:t>déprioritisée</w:t>
      </w:r>
      <w:proofErr w:type="spellEnd"/>
      <w:r w:rsidR="003602DC" w:rsidRPr="0064478F">
        <w:rPr>
          <w:rFonts w:ascii="Segoe UI" w:hAnsi="Segoe UI" w:cs="Segoe UI"/>
          <w:sz w:val="20"/>
          <w:szCs w:val="20"/>
        </w:rPr>
        <w:t xml:space="preserve"> et qu'une part croissante des capitaux est réorientée vers les infrastructures d'IA et de data centers</w:t>
      </w:r>
      <w:r w:rsidR="003602DC" w:rsidRPr="0064478F">
        <w:rPr>
          <w:rStyle w:val="Appeldenotedefin"/>
          <w:rFonts w:ascii="Segoe UI" w:hAnsi="Segoe UI" w:cs="Segoe UI"/>
          <w:sz w:val="20"/>
          <w:szCs w:val="20"/>
        </w:rPr>
        <w:endnoteReference w:id="1"/>
      </w:r>
      <w:r w:rsidR="003602DC" w:rsidRPr="0064478F">
        <w:rPr>
          <w:rFonts w:ascii="Segoe UI" w:hAnsi="Segoe UI" w:cs="Segoe UI"/>
          <w:sz w:val="20"/>
          <w:szCs w:val="20"/>
        </w:rPr>
        <w:t>.</w:t>
      </w:r>
      <w:r w:rsidR="006D0F40" w:rsidRPr="004839D4">
        <w:rPr>
          <w:rFonts w:ascii="Segoe UI" w:hAnsi="Segoe UI" w:cs="Segoe UI"/>
          <w:sz w:val="20"/>
          <w:szCs w:val="20"/>
        </w:rPr>
        <w:t xml:space="preserve"> </w:t>
      </w:r>
      <w:r w:rsidR="001E51EF" w:rsidRPr="0064478F">
        <w:rPr>
          <w:rFonts w:ascii="Segoe UI" w:hAnsi="Segoe UI" w:cs="Segoe UI"/>
          <w:sz w:val="20"/>
          <w:szCs w:val="20"/>
        </w:rPr>
        <w:t>L</w:t>
      </w:r>
      <w:r w:rsidR="002566FB" w:rsidRPr="0064478F">
        <w:rPr>
          <w:rFonts w:ascii="Segoe UI" w:hAnsi="Segoe UI" w:cs="Segoe UI"/>
          <w:sz w:val="20"/>
          <w:szCs w:val="20"/>
        </w:rPr>
        <w:t>e NDF chapeaute</w:t>
      </w:r>
      <w:r w:rsidR="006D0F40" w:rsidRPr="0064478F">
        <w:rPr>
          <w:rFonts w:ascii="Segoe UI" w:hAnsi="Segoe UI" w:cs="Segoe UI"/>
          <w:sz w:val="20"/>
          <w:szCs w:val="20"/>
        </w:rPr>
        <w:t xml:space="preserve"> quant à lui</w:t>
      </w:r>
      <w:r w:rsidR="002566FB" w:rsidRPr="0064478F">
        <w:rPr>
          <w:rFonts w:ascii="Segoe UI" w:hAnsi="Segoe UI" w:cs="Segoe UI"/>
          <w:sz w:val="20"/>
          <w:szCs w:val="20"/>
        </w:rPr>
        <w:t xml:space="preserve"> plusieurs fonds sectoriels intervenant dans le tourisme, le logement, l’industrie et d’autres priorités de diversification. Les commissions royales, notamment la </w:t>
      </w:r>
      <w:r w:rsidR="002566FB" w:rsidRPr="0064478F">
        <w:rPr>
          <w:rFonts w:ascii="Segoe UI" w:hAnsi="Segoe UI" w:cs="Segoe UI"/>
          <w:i/>
          <w:iCs/>
          <w:sz w:val="20"/>
          <w:szCs w:val="20"/>
        </w:rPr>
        <w:t>Royal Commission for Riyadh City</w:t>
      </w:r>
      <w:r w:rsidR="002566FB" w:rsidRPr="0064478F">
        <w:rPr>
          <w:rFonts w:ascii="Segoe UI" w:hAnsi="Segoe UI" w:cs="Segoe UI"/>
          <w:sz w:val="20"/>
          <w:szCs w:val="20"/>
        </w:rPr>
        <w:t xml:space="preserve"> (RCRC), la </w:t>
      </w:r>
      <w:r w:rsidR="002566FB" w:rsidRPr="0064478F">
        <w:rPr>
          <w:rFonts w:ascii="Segoe UI" w:hAnsi="Segoe UI" w:cs="Segoe UI"/>
          <w:i/>
          <w:iCs/>
          <w:sz w:val="20"/>
          <w:szCs w:val="20"/>
        </w:rPr>
        <w:t>Royal Commission for AlUla</w:t>
      </w:r>
      <w:r w:rsidR="002566FB" w:rsidRPr="0064478F">
        <w:rPr>
          <w:rFonts w:ascii="Segoe UI" w:hAnsi="Segoe UI" w:cs="Segoe UI"/>
          <w:sz w:val="20"/>
          <w:szCs w:val="20"/>
        </w:rPr>
        <w:t xml:space="preserve"> (RCU) et la </w:t>
      </w:r>
      <w:r w:rsidR="002566FB" w:rsidRPr="0064478F">
        <w:rPr>
          <w:rFonts w:ascii="Segoe UI" w:hAnsi="Segoe UI" w:cs="Segoe UI"/>
          <w:i/>
          <w:iCs/>
          <w:sz w:val="20"/>
          <w:szCs w:val="20"/>
        </w:rPr>
        <w:t xml:space="preserve">Royal Commission for </w:t>
      </w:r>
      <w:proofErr w:type="spellStart"/>
      <w:r w:rsidR="002566FB" w:rsidRPr="0064478F">
        <w:rPr>
          <w:rFonts w:ascii="Segoe UI" w:hAnsi="Segoe UI" w:cs="Segoe UI"/>
          <w:i/>
          <w:iCs/>
          <w:sz w:val="20"/>
          <w:szCs w:val="20"/>
        </w:rPr>
        <w:t>Makkah</w:t>
      </w:r>
      <w:proofErr w:type="spellEnd"/>
      <w:r w:rsidR="002566FB" w:rsidRPr="0064478F">
        <w:rPr>
          <w:rFonts w:ascii="Segoe UI" w:hAnsi="Segoe UI" w:cs="Segoe UI"/>
          <w:i/>
          <w:iCs/>
          <w:sz w:val="20"/>
          <w:szCs w:val="20"/>
        </w:rPr>
        <w:t xml:space="preserve"> City and Holy Sites</w:t>
      </w:r>
      <w:r w:rsidR="002566FB" w:rsidRPr="0064478F">
        <w:rPr>
          <w:rFonts w:ascii="Segoe UI" w:hAnsi="Segoe UI" w:cs="Segoe UI"/>
          <w:sz w:val="20"/>
          <w:szCs w:val="20"/>
        </w:rPr>
        <w:t xml:space="preserve"> (RCMC) assurent</w:t>
      </w:r>
      <w:r w:rsidR="00F11731" w:rsidRPr="0064478F">
        <w:rPr>
          <w:rFonts w:ascii="Segoe UI" w:hAnsi="Segoe UI" w:cs="Segoe UI"/>
          <w:sz w:val="20"/>
          <w:szCs w:val="20"/>
        </w:rPr>
        <w:t xml:space="preserve"> </w:t>
      </w:r>
      <w:r w:rsidR="002566FB" w:rsidRPr="0064478F">
        <w:rPr>
          <w:rFonts w:ascii="Segoe UI" w:hAnsi="Segoe UI" w:cs="Segoe UI"/>
          <w:sz w:val="20"/>
          <w:szCs w:val="20"/>
        </w:rPr>
        <w:t xml:space="preserve">la gouvernance opérationnelle et l’aménagement de leurs zones respectives. </w:t>
      </w:r>
    </w:p>
    <w:p w14:paraId="0A99E9B9" w14:textId="48967B66" w:rsidR="00C958A9" w:rsidRPr="0064478F" w:rsidRDefault="00C958A9" w:rsidP="00202214">
      <w:pPr>
        <w:spacing w:after="120"/>
        <w:jc w:val="both"/>
        <w:rPr>
          <w:rFonts w:ascii="Segoe UI" w:hAnsi="Segoe UI" w:cs="Segoe UI"/>
          <w:sz w:val="20"/>
          <w:szCs w:val="20"/>
        </w:rPr>
      </w:pPr>
      <w:r w:rsidRPr="0064478F">
        <w:rPr>
          <w:rFonts w:ascii="Segoe UI" w:hAnsi="Segoe UI" w:cs="Segoe UI"/>
          <w:b/>
          <w:bCs/>
          <w:sz w:val="20"/>
          <w:szCs w:val="20"/>
        </w:rPr>
        <w:t xml:space="preserve">Le relais du financement privé et bancaire progresse, mais </w:t>
      </w:r>
      <w:r w:rsidR="009D2C6C" w:rsidRPr="0064478F">
        <w:rPr>
          <w:rFonts w:ascii="Segoe UI" w:hAnsi="Segoe UI" w:cs="Segoe UI"/>
          <w:b/>
          <w:bCs/>
          <w:sz w:val="20"/>
          <w:szCs w:val="20"/>
        </w:rPr>
        <w:t>reste</w:t>
      </w:r>
      <w:r w:rsidRPr="0064478F">
        <w:rPr>
          <w:rFonts w:ascii="Segoe UI" w:hAnsi="Segoe UI" w:cs="Segoe UI"/>
          <w:b/>
          <w:bCs/>
          <w:sz w:val="20"/>
          <w:szCs w:val="20"/>
        </w:rPr>
        <w:t xml:space="preserve"> limité. Selon </w:t>
      </w:r>
      <w:r w:rsidRPr="0064478F">
        <w:rPr>
          <w:rFonts w:ascii="Segoe UI" w:hAnsi="Segoe UI" w:cs="Segoe UI"/>
          <w:b/>
          <w:bCs/>
          <w:i/>
          <w:iCs/>
          <w:sz w:val="20"/>
          <w:szCs w:val="20"/>
        </w:rPr>
        <w:t>Fitch</w:t>
      </w:r>
      <w:r w:rsidR="007C702F" w:rsidRPr="0064478F">
        <w:rPr>
          <w:rStyle w:val="Appeldenotedefin"/>
          <w:rFonts w:ascii="Segoe UI" w:hAnsi="Segoe UI" w:cs="Segoe UI"/>
          <w:b/>
          <w:bCs/>
          <w:i/>
          <w:iCs/>
          <w:sz w:val="20"/>
          <w:szCs w:val="20"/>
        </w:rPr>
        <w:endnoteReference w:id="2"/>
      </w:r>
      <w:r w:rsidRPr="0064478F">
        <w:rPr>
          <w:rFonts w:ascii="Segoe UI" w:hAnsi="Segoe UI" w:cs="Segoe UI"/>
          <w:b/>
          <w:bCs/>
          <w:sz w:val="20"/>
          <w:szCs w:val="20"/>
        </w:rPr>
        <w:t>, l’exposition directe des banques saoudiennes aux giga-projets représentait à fin 2025 5 % à 7 % de l’encours moyen de prêts du secteur</w:t>
      </w:r>
      <w:r w:rsidRPr="0064478F">
        <w:rPr>
          <w:rFonts w:ascii="Segoe UI" w:hAnsi="Segoe UI" w:cs="Segoe UI"/>
          <w:sz w:val="20"/>
          <w:szCs w:val="20"/>
        </w:rPr>
        <w:t xml:space="preserve">, et moins de 10 % en incluant les garanties et engagements </w:t>
      </w:r>
      <w:r w:rsidR="002566FB" w:rsidRPr="0064478F">
        <w:rPr>
          <w:rFonts w:ascii="Segoe UI" w:hAnsi="Segoe UI" w:cs="Segoe UI"/>
          <w:sz w:val="20"/>
          <w:szCs w:val="20"/>
        </w:rPr>
        <w:t>hors bilan</w:t>
      </w:r>
      <w:r w:rsidRPr="0064478F">
        <w:rPr>
          <w:rFonts w:ascii="Segoe UI" w:hAnsi="Segoe UI" w:cs="Segoe UI"/>
          <w:sz w:val="20"/>
          <w:szCs w:val="20"/>
        </w:rPr>
        <w:t xml:space="preserve">. Cette faible exposition confirme que le </w:t>
      </w:r>
      <w:r w:rsidR="009D2C6C" w:rsidRPr="0064478F">
        <w:rPr>
          <w:rFonts w:ascii="Segoe UI" w:hAnsi="Segoe UI" w:cs="Segoe UI"/>
          <w:sz w:val="20"/>
          <w:szCs w:val="20"/>
        </w:rPr>
        <w:t>relais privé n'est pas encore pris</w:t>
      </w:r>
      <w:r w:rsidRPr="0064478F">
        <w:rPr>
          <w:rFonts w:ascii="Segoe UI" w:hAnsi="Segoe UI" w:cs="Segoe UI"/>
          <w:sz w:val="20"/>
          <w:szCs w:val="20"/>
        </w:rPr>
        <w:t xml:space="preserve">, même si </w:t>
      </w:r>
      <w:r w:rsidRPr="0064478F">
        <w:rPr>
          <w:rFonts w:ascii="Segoe UI" w:hAnsi="Segoe UI" w:cs="Segoe UI"/>
          <w:i/>
          <w:iCs/>
          <w:sz w:val="20"/>
          <w:szCs w:val="20"/>
        </w:rPr>
        <w:t>Fitch</w:t>
      </w:r>
      <w:r w:rsidRPr="0064478F">
        <w:rPr>
          <w:rFonts w:ascii="Segoe UI" w:hAnsi="Segoe UI" w:cs="Segoe UI"/>
          <w:sz w:val="20"/>
          <w:szCs w:val="20"/>
        </w:rPr>
        <w:t xml:space="preserve"> estime qu’elle limite à ce stade le risque d’une détérioration sensible de la qualité d’actifs du système bancaire en 2026-2027, y compris en cas de retard ou de recalibrage de certains projets. </w:t>
      </w:r>
      <w:r w:rsidR="00DA40AA" w:rsidRPr="0064478F">
        <w:rPr>
          <w:rFonts w:ascii="Segoe UI" w:hAnsi="Segoe UI" w:cs="Segoe UI"/>
          <w:sz w:val="20"/>
          <w:szCs w:val="20"/>
        </w:rPr>
        <w:t>En parallèle</w:t>
      </w:r>
      <w:r w:rsidRPr="0064478F">
        <w:rPr>
          <w:rFonts w:ascii="Segoe UI" w:hAnsi="Segoe UI" w:cs="Segoe UI"/>
          <w:sz w:val="20"/>
          <w:szCs w:val="20"/>
        </w:rPr>
        <w:t>, les entrées d’IDE progressent sans encore modifier profondément l’équilibre d’ensemble du financement : selon les données préliminaires de GASTAT, elles ont atteint 35,5 Md USD en 2025, contre 31,7</w:t>
      </w:r>
      <w:r w:rsidR="00375455" w:rsidRPr="0064478F">
        <w:rPr>
          <w:rFonts w:ascii="Segoe UI" w:hAnsi="Segoe UI" w:cs="Segoe UI"/>
          <w:sz w:val="20"/>
          <w:szCs w:val="20"/>
        </w:rPr>
        <w:t> </w:t>
      </w:r>
      <w:r w:rsidRPr="0064478F">
        <w:rPr>
          <w:rFonts w:ascii="Segoe UI" w:hAnsi="Segoe UI" w:cs="Segoe UI"/>
          <w:sz w:val="20"/>
          <w:szCs w:val="20"/>
        </w:rPr>
        <w:t>Md</w:t>
      </w:r>
      <w:r w:rsidR="00375455" w:rsidRPr="0064478F">
        <w:rPr>
          <w:rFonts w:ascii="Segoe UI" w:hAnsi="Segoe UI" w:cs="Segoe UI"/>
          <w:sz w:val="20"/>
          <w:szCs w:val="20"/>
        </w:rPr>
        <w:t> </w:t>
      </w:r>
      <w:r w:rsidRPr="0064478F">
        <w:rPr>
          <w:rFonts w:ascii="Segoe UI" w:hAnsi="Segoe UI" w:cs="Segoe UI"/>
          <w:sz w:val="20"/>
          <w:szCs w:val="20"/>
        </w:rPr>
        <w:t>USD en 2024 (+12</w:t>
      </w:r>
      <w:r w:rsidR="009D2C6C" w:rsidRPr="0064478F">
        <w:rPr>
          <w:rFonts w:ascii="Segoe UI" w:hAnsi="Segoe UI" w:cs="Segoe UI"/>
          <w:sz w:val="20"/>
          <w:szCs w:val="20"/>
        </w:rPr>
        <w:t> </w:t>
      </w:r>
      <w:r w:rsidRPr="0064478F">
        <w:rPr>
          <w:rFonts w:ascii="Segoe UI" w:hAnsi="Segoe UI" w:cs="Segoe UI"/>
          <w:sz w:val="20"/>
          <w:szCs w:val="20"/>
        </w:rPr>
        <w:t>%),</w:t>
      </w:r>
      <w:r w:rsidR="009D2C6C" w:rsidRPr="0064478F">
        <w:rPr>
          <w:rFonts w:ascii="Segoe UI" w:hAnsi="Segoe UI" w:cs="Segoe UI"/>
          <w:sz w:val="20"/>
          <w:szCs w:val="20"/>
        </w:rPr>
        <w:t xml:space="preserve"> soit environ un tiers de </w:t>
      </w:r>
      <w:r w:rsidRPr="0064478F">
        <w:rPr>
          <w:rFonts w:ascii="Segoe UI" w:hAnsi="Segoe UI" w:cs="Segoe UI"/>
          <w:sz w:val="20"/>
          <w:szCs w:val="20"/>
        </w:rPr>
        <w:t>l’objectif de 100 Md USD par an fixé à horizon 2030.</w:t>
      </w:r>
    </w:p>
    <w:p w14:paraId="201E86FA" w14:textId="3EB4F342" w:rsidR="00B95F59" w:rsidRPr="004839D4" w:rsidRDefault="00B95F59" w:rsidP="000451BF">
      <w:pPr>
        <w:spacing w:after="120"/>
        <w:jc w:val="both"/>
        <w:rPr>
          <w:rFonts w:ascii="Segoe UI" w:hAnsi="Segoe UI" w:cs="Segoe UI"/>
          <w:color w:val="000091"/>
          <w:sz w:val="20"/>
          <w:szCs w:val="20"/>
        </w:rPr>
      </w:pPr>
      <w:r w:rsidRPr="0064478F">
        <w:rPr>
          <w:rFonts w:ascii="Segoe UI" w:hAnsi="Segoe UI" w:cs="Segoe UI"/>
          <w:b/>
          <w:bCs/>
          <w:sz w:val="20"/>
          <w:szCs w:val="20"/>
        </w:rPr>
        <w:t>Le cadre budgétaire et d’endettement demeure</w:t>
      </w:r>
      <w:r w:rsidR="00F11731" w:rsidRPr="0064478F">
        <w:rPr>
          <w:rFonts w:ascii="Segoe UI" w:hAnsi="Segoe UI" w:cs="Segoe UI"/>
          <w:b/>
          <w:bCs/>
          <w:sz w:val="20"/>
          <w:szCs w:val="20"/>
        </w:rPr>
        <w:t xml:space="preserve"> </w:t>
      </w:r>
      <w:r w:rsidRPr="0064478F">
        <w:rPr>
          <w:rFonts w:ascii="Segoe UI" w:hAnsi="Segoe UI" w:cs="Segoe UI"/>
          <w:b/>
          <w:bCs/>
          <w:sz w:val="20"/>
          <w:szCs w:val="20"/>
        </w:rPr>
        <w:t xml:space="preserve">soutenable, mais devient plus contraint. </w:t>
      </w:r>
      <w:r w:rsidRPr="0064478F">
        <w:rPr>
          <w:rFonts w:ascii="Segoe UI" w:hAnsi="Segoe UI" w:cs="Segoe UI"/>
          <w:sz w:val="20"/>
          <w:szCs w:val="20"/>
        </w:rPr>
        <w:t xml:space="preserve">D’après le </w:t>
      </w:r>
      <w:r w:rsidRPr="0064478F">
        <w:rPr>
          <w:rFonts w:ascii="Segoe UI" w:hAnsi="Segoe UI" w:cs="Segoe UI"/>
          <w:i/>
          <w:iCs/>
          <w:sz w:val="20"/>
          <w:szCs w:val="20"/>
        </w:rPr>
        <w:t xml:space="preserve">National </w:t>
      </w:r>
      <w:proofErr w:type="spellStart"/>
      <w:r w:rsidRPr="0064478F">
        <w:rPr>
          <w:rFonts w:ascii="Segoe UI" w:hAnsi="Segoe UI" w:cs="Segoe UI"/>
          <w:i/>
          <w:iCs/>
          <w:sz w:val="20"/>
          <w:szCs w:val="20"/>
        </w:rPr>
        <w:t>Debt</w:t>
      </w:r>
      <w:proofErr w:type="spellEnd"/>
      <w:r w:rsidRPr="0064478F">
        <w:rPr>
          <w:rFonts w:ascii="Segoe UI" w:hAnsi="Segoe UI" w:cs="Segoe UI"/>
          <w:i/>
          <w:iCs/>
          <w:sz w:val="20"/>
          <w:szCs w:val="20"/>
        </w:rPr>
        <w:t xml:space="preserve"> Management Center</w:t>
      </w:r>
      <w:r w:rsidRPr="0064478F">
        <w:rPr>
          <w:rFonts w:ascii="Segoe UI" w:hAnsi="Segoe UI" w:cs="Segoe UI"/>
          <w:sz w:val="20"/>
          <w:szCs w:val="20"/>
        </w:rPr>
        <w:t xml:space="preserve">, la dette publique directe de l’État a atteint 405 Md USD à fin 2025, contre 324 Md USD fin 2024, soit une hausse de 25,0 % en </w:t>
      </w:r>
      <w:proofErr w:type="spellStart"/>
      <w:r w:rsidRPr="0064478F">
        <w:rPr>
          <w:rFonts w:ascii="Segoe UI" w:hAnsi="Segoe UI" w:cs="Segoe UI"/>
          <w:sz w:val="20"/>
          <w:szCs w:val="20"/>
        </w:rPr>
        <w:t>g.a</w:t>
      </w:r>
      <w:proofErr w:type="spellEnd"/>
      <w:r w:rsidRPr="0064478F">
        <w:rPr>
          <w:rFonts w:ascii="Segoe UI" w:hAnsi="Segoe UI" w:cs="Segoe UI"/>
          <w:sz w:val="20"/>
          <w:szCs w:val="20"/>
        </w:rPr>
        <w:t xml:space="preserve">. ; le ratio dette/PIB s’élève ainsi à 33,0 % en 2025, contre 25,9 % un an plus tôt. </w:t>
      </w:r>
      <w:r w:rsidR="002566FB" w:rsidRPr="0064478F">
        <w:rPr>
          <w:rFonts w:ascii="Segoe UI" w:hAnsi="Segoe UI" w:cs="Segoe UI"/>
          <w:sz w:val="20"/>
          <w:szCs w:val="20"/>
        </w:rPr>
        <w:t xml:space="preserve">Dans ce contexte, la capacité des autorités à hiérarchiser les projets et à ajuster leur phasage demeure un élément central de soutenabilité. </w:t>
      </w:r>
      <w:r w:rsidR="002566FB" w:rsidRPr="0064478F">
        <w:rPr>
          <w:rStyle w:val="lev"/>
          <w:rFonts w:ascii="Segoe UI" w:hAnsi="Segoe UI" w:cs="Segoe UI"/>
          <w:b w:val="0"/>
          <w:bCs w:val="0"/>
          <w:i/>
          <w:iCs/>
          <w:sz w:val="20"/>
          <w:szCs w:val="20"/>
        </w:rPr>
        <w:t>S&amp;P Global Ratin</w:t>
      </w:r>
      <w:r w:rsidR="007C702F" w:rsidRPr="0064478F">
        <w:rPr>
          <w:rStyle w:val="lev"/>
          <w:rFonts w:ascii="Segoe UI" w:hAnsi="Segoe UI" w:cs="Segoe UI"/>
          <w:b w:val="0"/>
          <w:bCs w:val="0"/>
          <w:i/>
          <w:iCs/>
          <w:sz w:val="20"/>
          <w:szCs w:val="20"/>
        </w:rPr>
        <w:t>gs</w:t>
      </w:r>
      <w:r w:rsidR="007C702F" w:rsidRPr="0064478F">
        <w:rPr>
          <w:rStyle w:val="Appeldenotedefin"/>
          <w:rFonts w:ascii="Segoe UI" w:hAnsi="Segoe UI" w:cs="Segoe UI"/>
          <w:i/>
          <w:iCs/>
          <w:sz w:val="20"/>
          <w:szCs w:val="20"/>
        </w:rPr>
        <w:endnoteReference w:id="3"/>
      </w:r>
      <w:r w:rsidR="002566FB" w:rsidRPr="0064478F">
        <w:rPr>
          <w:rFonts w:ascii="Segoe UI" w:hAnsi="Segoe UI" w:cs="Segoe UI"/>
          <w:sz w:val="20"/>
          <w:szCs w:val="20"/>
        </w:rPr>
        <w:t xml:space="preserve"> souligne, dans sa revue de mars 2026, que les autorités saoudiennes conservent la capacité d’adapter le rythme des projets de diversification en fonction des ressources disponibles, ce qui contribue au maintien d’une trajectoire souveraine jugée solide</w:t>
      </w:r>
      <w:r w:rsidR="000B4CE9" w:rsidRPr="0064478F">
        <w:rPr>
          <w:rFonts w:ascii="Segoe UI" w:hAnsi="Segoe UI" w:cs="Segoe UI"/>
          <w:sz w:val="20"/>
          <w:szCs w:val="20"/>
        </w:rPr>
        <w:t xml:space="preserve">. </w:t>
      </w:r>
      <w:r w:rsidR="00F11731" w:rsidRPr="0064478F">
        <w:rPr>
          <w:rFonts w:ascii="Segoe UI" w:hAnsi="Segoe UI" w:cs="Segoe UI"/>
          <w:sz w:val="20"/>
          <w:szCs w:val="20"/>
        </w:rPr>
        <w:t xml:space="preserve">Le ralentissement des attributions en 2025 s'inscrit précisément dans cet exercice de flexibilité. </w:t>
      </w:r>
      <w:r w:rsidR="002566FB" w:rsidRPr="0064478F">
        <w:rPr>
          <w:rFonts w:ascii="Segoe UI" w:hAnsi="Segoe UI" w:cs="Segoe UI"/>
          <w:sz w:val="20"/>
          <w:szCs w:val="20"/>
        </w:rPr>
        <w:t>Le conflit régional conduit toutefois déjà certains organismes à réviser leur appréciation de l’environnement macroéconomique : l</w:t>
      </w:r>
      <w:r w:rsidR="00012069" w:rsidRPr="0064478F">
        <w:rPr>
          <w:rFonts w:ascii="Segoe UI" w:hAnsi="Segoe UI" w:cs="Segoe UI"/>
          <w:sz w:val="20"/>
          <w:szCs w:val="20"/>
        </w:rPr>
        <w:t>e FMI</w:t>
      </w:r>
      <w:r w:rsidR="002566FB" w:rsidRPr="0064478F">
        <w:rPr>
          <w:rFonts w:ascii="Segoe UI" w:hAnsi="Segoe UI" w:cs="Segoe UI"/>
          <w:sz w:val="20"/>
          <w:szCs w:val="20"/>
        </w:rPr>
        <w:t xml:space="preserve"> a abaissé le 14 avril sa prévision de croissance pour l’Arabie saoudite à 3,1</w:t>
      </w:r>
      <w:r w:rsidR="00D31E33" w:rsidRPr="0064478F">
        <w:rPr>
          <w:rFonts w:ascii="Segoe UI" w:hAnsi="Segoe UI" w:cs="Segoe UI"/>
          <w:sz w:val="20"/>
          <w:szCs w:val="20"/>
        </w:rPr>
        <w:t> </w:t>
      </w:r>
      <w:r w:rsidR="002566FB" w:rsidRPr="0064478F">
        <w:rPr>
          <w:rFonts w:ascii="Segoe UI" w:hAnsi="Segoe UI" w:cs="Segoe UI"/>
          <w:sz w:val="20"/>
          <w:szCs w:val="20"/>
        </w:rPr>
        <w:t>% en 2026, contre 4,5 % dans ses projections de janvier</w:t>
      </w:r>
      <w:r w:rsidR="008E5C34" w:rsidRPr="0064478F">
        <w:rPr>
          <w:rFonts w:ascii="Segoe UI" w:hAnsi="Segoe UI" w:cs="Segoe UI"/>
          <w:sz w:val="20"/>
          <w:szCs w:val="20"/>
        </w:rPr>
        <w:t xml:space="preserve">. La hausse des prix du pétrole soutient néanmoins les recettes publiques, le déficit budgétaire projeté pour 2026 ayant été légèrement revu à la baisse dans le WEO d’avril 2026, à </w:t>
      </w:r>
      <w:r w:rsidR="001A3417" w:rsidRPr="0064478F">
        <w:rPr>
          <w:rFonts w:ascii="Segoe UI" w:hAnsi="Segoe UI" w:cs="Segoe UI"/>
          <w:sz w:val="20"/>
          <w:szCs w:val="20"/>
        </w:rPr>
        <w:t>- </w:t>
      </w:r>
      <w:r w:rsidR="008E5C34" w:rsidRPr="0064478F">
        <w:rPr>
          <w:rFonts w:ascii="Segoe UI" w:hAnsi="Segoe UI" w:cs="Segoe UI"/>
          <w:sz w:val="20"/>
          <w:szCs w:val="20"/>
        </w:rPr>
        <w:t>3,5</w:t>
      </w:r>
      <w:r w:rsidR="00D31E33" w:rsidRPr="0064478F">
        <w:rPr>
          <w:rFonts w:ascii="Segoe UI" w:hAnsi="Segoe UI" w:cs="Segoe UI"/>
          <w:sz w:val="20"/>
          <w:szCs w:val="20"/>
        </w:rPr>
        <w:t> </w:t>
      </w:r>
      <w:r w:rsidR="008E5C34" w:rsidRPr="0064478F">
        <w:rPr>
          <w:rFonts w:ascii="Segoe UI" w:hAnsi="Segoe UI" w:cs="Segoe UI"/>
          <w:sz w:val="20"/>
          <w:szCs w:val="20"/>
        </w:rPr>
        <w:t>% du PIB, contre -</w:t>
      </w:r>
      <w:r w:rsidR="001A3417" w:rsidRPr="0064478F">
        <w:rPr>
          <w:rFonts w:ascii="Segoe UI" w:hAnsi="Segoe UI" w:cs="Segoe UI"/>
          <w:sz w:val="20"/>
          <w:szCs w:val="20"/>
        </w:rPr>
        <w:t> </w:t>
      </w:r>
      <w:r w:rsidR="008E5C34" w:rsidRPr="0064478F">
        <w:rPr>
          <w:rFonts w:ascii="Segoe UI" w:hAnsi="Segoe UI" w:cs="Segoe UI"/>
          <w:sz w:val="20"/>
          <w:szCs w:val="20"/>
        </w:rPr>
        <w:t>3,7 % dans l’édition d’octobre 2025</w:t>
      </w:r>
      <w:r w:rsidR="006D0F40" w:rsidRPr="0064478F">
        <w:rPr>
          <w:rFonts w:ascii="Segoe UI" w:hAnsi="Segoe UI" w:cs="Segoe UI"/>
          <w:sz w:val="20"/>
          <w:szCs w:val="20"/>
        </w:rPr>
        <w:t>.</w:t>
      </w:r>
    </w:p>
    <w:p w14:paraId="11C38A24" w14:textId="77777777" w:rsidR="00741929" w:rsidRPr="000451BF" w:rsidRDefault="005675C0" w:rsidP="005675C0">
      <w:pPr>
        <w:spacing w:after="0" w:line="240" w:lineRule="auto"/>
        <w:jc w:val="center"/>
        <w:rPr>
          <w:rFonts w:ascii="Arial" w:hAnsi="Arial" w:cs="Arial"/>
          <w:b/>
          <w:bCs/>
          <w:color w:val="E4A503" w:themeColor="accent2" w:themeShade="BF"/>
          <w:sz w:val="10"/>
          <w:szCs w:val="10"/>
        </w:rPr>
      </w:pPr>
      <w:r w:rsidRPr="000451BF">
        <w:rPr>
          <w:rFonts w:ascii="Arial" w:hAnsi="Arial" w:cs="Arial"/>
          <w:b/>
          <w:bCs/>
          <w:color w:val="E4A503" w:themeColor="accent2" w:themeShade="BF"/>
          <w:sz w:val="10"/>
          <w:szCs w:val="10"/>
        </w:rPr>
        <w:br/>
      </w:r>
    </w:p>
    <w:p w14:paraId="01E98ED2" w14:textId="6D320625" w:rsidR="007C702F" w:rsidRDefault="007C702F">
      <w:pPr>
        <w:tabs>
          <w:tab w:val="left" w:pos="1216"/>
        </w:tabs>
        <w:spacing w:after="120"/>
        <w:jc w:val="center"/>
        <w:rPr>
          <w:rFonts w:ascii="Arial" w:hAnsi="Arial" w:cs="Arial"/>
          <w:b/>
          <w:bCs/>
          <w:color w:val="E4A503" w:themeColor="accent2" w:themeShade="BF"/>
          <w:sz w:val="28"/>
          <w:szCs w:val="28"/>
        </w:rPr>
      </w:pPr>
    </w:p>
    <w:p w14:paraId="3322B5D3" w14:textId="55A62735" w:rsidR="002259CB" w:rsidRDefault="002259CB">
      <w:pPr>
        <w:tabs>
          <w:tab w:val="left" w:pos="1216"/>
        </w:tabs>
        <w:spacing w:after="120"/>
        <w:jc w:val="center"/>
        <w:rPr>
          <w:rFonts w:ascii="Arial" w:hAnsi="Arial" w:cs="Arial"/>
          <w:b/>
          <w:bCs/>
          <w:color w:val="E4A503" w:themeColor="accent2" w:themeShade="BF"/>
          <w:sz w:val="28"/>
          <w:szCs w:val="28"/>
        </w:rPr>
      </w:pPr>
    </w:p>
    <w:p w14:paraId="623B0800" w14:textId="0DAEC97C" w:rsidR="002259CB" w:rsidRDefault="002259CB">
      <w:pPr>
        <w:tabs>
          <w:tab w:val="left" w:pos="1216"/>
        </w:tabs>
        <w:spacing w:after="120"/>
        <w:jc w:val="center"/>
        <w:rPr>
          <w:rFonts w:ascii="Arial" w:hAnsi="Arial" w:cs="Arial"/>
          <w:b/>
          <w:bCs/>
          <w:color w:val="E4A503" w:themeColor="accent2" w:themeShade="BF"/>
          <w:sz w:val="28"/>
          <w:szCs w:val="28"/>
        </w:rPr>
      </w:pPr>
    </w:p>
    <w:p w14:paraId="05745997" w14:textId="5B9DAA87" w:rsidR="002259CB" w:rsidRDefault="002259CB">
      <w:pPr>
        <w:tabs>
          <w:tab w:val="left" w:pos="1216"/>
        </w:tabs>
        <w:spacing w:after="120"/>
        <w:jc w:val="center"/>
        <w:rPr>
          <w:rFonts w:ascii="Arial" w:hAnsi="Arial" w:cs="Arial"/>
          <w:b/>
          <w:bCs/>
          <w:color w:val="E4A503" w:themeColor="accent2" w:themeShade="BF"/>
          <w:sz w:val="28"/>
          <w:szCs w:val="28"/>
        </w:rPr>
      </w:pPr>
    </w:p>
    <w:p w14:paraId="4AA3F17B" w14:textId="0E73DFDE" w:rsidR="002259CB" w:rsidRDefault="002259CB">
      <w:pPr>
        <w:tabs>
          <w:tab w:val="left" w:pos="1216"/>
        </w:tabs>
        <w:spacing w:after="120"/>
        <w:jc w:val="center"/>
        <w:rPr>
          <w:rFonts w:ascii="Arial" w:hAnsi="Arial" w:cs="Arial"/>
          <w:b/>
          <w:bCs/>
          <w:color w:val="E4A503" w:themeColor="accent2" w:themeShade="BF"/>
          <w:sz w:val="28"/>
          <w:szCs w:val="28"/>
        </w:rPr>
      </w:pPr>
    </w:p>
    <w:p w14:paraId="0E5FF582" w14:textId="125A3600" w:rsidR="002259CB" w:rsidRDefault="002259CB">
      <w:pPr>
        <w:tabs>
          <w:tab w:val="left" w:pos="1216"/>
        </w:tabs>
        <w:spacing w:after="120"/>
        <w:jc w:val="center"/>
        <w:rPr>
          <w:rFonts w:ascii="Arial" w:hAnsi="Arial" w:cs="Arial"/>
          <w:b/>
          <w:bCs/>
          <w:color w:val="E4A503" w:themeColor="accent2" w:themeShade="BF"/>
          <w:sz w:val="28"/>
          <w:szCs w:val="28"/>
        </w:rPr>
      </w:pPr>
    </w:p>
    <w:p w14:paraId="29D65333" w14:textId="1E42A405" w:rsidR="002259CB" w:rsidRDefault="002259CB">
      <w:pPr>
        <w:tabs>
          <w:tab w:val="left" w:pos="1216"/>
        </w:tabs>
        <w:spacing w:after="120"/>
        <w:jc w:val="center"/>
        <w:rPr>
          <w:rFonts w:ascii="Arial" w:hAnsi="Arial" w:cs="Arial"/>
          <w:b/>
          <w:bCs/>
          <w:color w:val="E4A503" w:themeColor="accent2" w:themeShade="BF"/>
          <w:sz w:val="28"/>
          <w:szCs w:val="28"/>
        </w:rPr>
      </w:pPr>
    </w:p>
    <w:p w14:paraId="7D9B1B25" w14:textId="426D57A6" w:rsidR="002259CB" w:rsidRDefault="002259CB">
      <w:pPr>
        <w:tabs>
          <w:tab w:val="left" w:pos="1216"/>
        </w:tabs>
        <w:spacing w:after="120"/>
        <w:jc w:val="center"/>
        <w:rPr>
          <w:rFonts w:ascii="Arial" w:hAnsi="Arial" w:cs="Arial"/>
          <w:b/>
          <w:bCs/>
          <w:color w:val="E4A503" w:themeColor="accent2" w:themeShade="BF"/>
          <w:sz w:val="28"/>
          <w:szCs w:val="28"/>
        </w:rPr>
      </w:pPr>
    </w:p>
    <w:p w14:paraId="6D79CAC0" w14:textId="77777777" w:rsidR="002259CB" w:rsidRDefault="002259CB">
      <w:pPr>
        <w:tabs>
          <w:tab w:val="left" w:pos="1216"/>
        </w:tabs>
        <w:spacing w:after="120"/>
        <w:jc w:val="center"/>
        <w:rPr>
          <w:rFonts w:ascii="Segoe UI" w:hAnsi="Segoe UI" w:cs="Segoe UI"/>
          <w:color w:val="000091"/>
          <w:sz w:val="24"/>
          <w:szCs w:val="24"/>
        </w:rPr>
      </w:pPr>
    </w:p>
    <w:p w14:paraId="68DE84AB" w14:textId="314FD347" w:rsidR="007C702F" w:rsidRDefault="0064478F">
      <w:pPr>
        <w:tabs>
          <w:tab w:val="left" w:pos="1216"/>
        </w:tabs>
        <w:spacing w:after="120"/>
        <w:jc w:val="center"/>
        <w:rPr>
          <w:rFonts w:ascii="Segoe UI" w:hAnsi="Segoe UI" w:cs="Segoe UI"/>
          <w:color w:val="000091"/>
          <w:sz w:val="24"/>
          <w:szCs w:val="24"/>
        </w:rPr>
      </w:pPr>
      <w:r w:rsidRPr="008A72AC">
        <w:rPr>
          <w:rFonts w:ascii="Segoe UI" w:hAnsi="Segoe UI" w:cs="Segoe UI"/>
          <w:i/>
          <w:iCs/>
          <w:noProof/>
          <w:color w:val="000091" w:themeColor="text1"/>
          <w:sz w:val="24"/>
          <w:szCs w:val="28"/>
        </w:rPr>
        <w:lastRenderedPageBreak/>
        <mc:AlternateContent>
          <mc:Choice Requires="wps">
            <w:drawing>
              <wp:anchor distT="0" distB="0" distL="114300" distR="114300" simplePos="0" relativeHeight="251670528" behindDoc="1" locked="0" layoutInCell="1" allowOverlap="1" wp14:anchorId="48A5F91F" wp14:editId="5EC11BAE">
                <wp:simplePos x="0" y="0"/>
                <wp:positionH relativeFrom="page">
                  <wp:align>left</wp:align>
                </wp:positionH>
                <wp:positionV relativeFrom="paragraph">
                  <wp:posOffset>-457937</wp:posOffset>
                </wp:positionV>
                <wp:extent cx="7570382" cy="10753725"/>
                <wp:effectExtent l="0" t="0" r="0" b="9525"/>
                <wp:wrapNone/>
                <wp:docPr id="11" name="Rectangle 11"/>
                <wp:cNvGraphicFramePr/>
                <a:graphic xmlns:a="http://schemas.openxmlformats.org/drawingml/2006/main">
                  <a:graphicData uri="http://schemas.microsoft.com/office/word/2010/wordprocessingShape">
                    <wps:wsp>
                      <wps:cNvSpPr/>
                      <wps:spPr>
                        <a:xfrm>
                          <a:off x="0" y="0"/>
                          <a:ext cx="7570382" cy="107537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3EFA9" id="Rectangle 11" o:spid="_x0000_s1026" style="position:absolute;margin-left:0;margin-top:-36.05pt;width:596.1pt;height:846.75pt;z-index:-2516459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" fillcolor="#fef8e8" stroked="f" strokeweight="1pt">
                <w10:wrap anchorx="page"/>
              </v:rect>
            </w:pict>
          </mc:Fallback>
        </mc:AlternateContent>
      </w:r>
    </w:p>
    <w:p w14:paraId="17D87FF0" w14:textId="475B0F0F" w:rsidR="00AC23B0" w:rsidRPr="00B95F59" w:rsidRDefault="00DD53E7">
      <w:pPr>
        <w:tabs>
          <w:tab w:val="left" w:pos="1216"/>
        </w:tabs>
        <w:spacing w:after="120"/>
        <w:jc w:val="center"/>
        <w:rPr>
          <w:rFonts w:ascii="Segoe UI" w:hAnsi="Segoe UI" w:cs="Segoe UI"/>
          <w:color w:val="000091"/>
          <w:sz w:val="24"/>
          <w:szCs w:val="24"/>
        </w:rPr>
      </w:pPr>
      <w:r w:rsidRPr="00B95F59">
        <w:rPr>
          <w:rFonts w:ascii="Segoe UI" w:hAnsi="Segoe UI" w:cs="Segoe UI"/>
          <w:color w:val="000091"/>
          <w:sz w:val="24"/>
          <w:szCs w:val="24"/>
        </w:rPr>
        <w:t>ANNEX</w:t>
      </w:r>
      <w:r w:rsidR="005B74A2">
        <w:rPr>
          <w:rFonts w:ascii="Segoe UI" w:hAnsi="Segoe UI" w:cs="Segoe UI"/>
          <w:color w:val="000091"/>
          <w:sz w:val="24"/>
          <w:szCs w:val="24"/>
        </w:rPr>
        <w:t>E</w:t>
      </w:r>
      <w:r w:rsidR="00F11731">
        <w:rPr>
          <w:rFonts w:ascii="Segoe UI" w:hAnsi="Segoe UI" w:cs="Segoe UI"/>
          <w:color w:val="000091"/>
          <w:sz w:val="24"/>
          <w:szCs w:val="24"/>
        </w:rPr>
        <w:t>S</w:t>
      </w:r>
    </w:p>
    <w:p w14:paraId="380E483E" w14:textId="50B68AE6" w:rsidR="00AC23B0" w:rsidRPr="008A72AC" w:rsidRDefault="005B74A2" w:rsidP="008A72AC">
      <w:pPr>
        <w:spacing w:after="120" w:line="240" w:lineRule="auto"/>
        <w:jc w:val="center"/>
        <w:rPr>
          <w:rFonts w:ascii="Segoe UI" w:eastAsia="Arial" w:hAnsi="Segoe UI" w:cs="Segoe UI"/>
          <w:i/>
          <w:iCs/>
          <w:color w:val="000091" w:themeColor="text1"/>
          <w:sz w:val="20"/>
          <w:szCs w:val="20"/>
        </w:rPr>
      </w:pPr>
      <w:r>
        <w:rPr>
          <w:rFonts w:ascii="Segoe UI" w:eastAsia="Arial" w:hAnsi="Segoe UI" w:cs="Segoe UI"/>
          <w:i/>
          <w:iCs/>
          <w:color w:val="000091" w:themeColor="text1"/>
          <w:sz w:val="20"/>
          <w:szCs w:val="20"/>
        </w:rPr>
        <w:br/>
      </w:r>
      <w:r w:rsidR="00AC23B0" w:rsidRPr="008A72AC">
        <w:rPr>
          <w:rFonts w:ascii="Segoe UI" w:eastAsia="Arial" w:hAnsi="Segoe UI" w:cs="Segoe UI"/>
          <w:i/>
          <w:iCs/>
          <w:color w:val="000091" w:themeColor="text1"/>
          <w:sz w:val="20"/>
          <w:szCs w:val="20"/>
        </w:rPr>
        <w:t>Graphi</w:t>
      </w:r>
      <w:r w:rsidR="00532611" w:rsidRPr="008A72AC">
        <w:rPr>
          <w:rFonts w:ascii="Segoe UI" w:eastAsia="Arial" w:hAnsi="Segoe UI" w:cs="Segoe UI"/>
          <w:i/>
          <w:iCs/>
          <w:color w:val="000091" w:themeColor="text1"/>
          <w:sz w:val="20"/>
          <w:szCs w:val="20"/>
        </w:rPr>
        <w:t>qu</w:t>
      </w:r>
      <w:r w:rsidR="00AC23B0" w:rsidRPr="008A72AC">
        <w:rPr>
          <w:rFonts w:ascii="Segoe UI" w:eastAsia="Arial" w:hAnsi="Segoe UI" w:cs="Segoe UI"/>
          <w:i/>
          <w:iCs/>
          <w:color w:val="000091" w:themeColor="text1"/>
          <w:sz w:val="20"/>
          <w:szCs w:val="20"/>
        </w:rPr>
        <w:t>e 1 : État d’avancement des giga-projets saoudiens (Md USD)</w:t>
      </w:r>
    </w:p>
    <w:bookmarkEnd w:id="2"/>
    <w:bookmarkEnd w:id="3"/>
    <w:p w14:paraId="05DB982C" w14:textId="3B355B22" w:rsidR="008B67F6" w:rsidRDefault="00752C86" w:rsidP="00AC23B0">
      <w:pPr>
        <w:spacing w:after="0" w:line="240" w:lineRule="auto"/>
        <w:jc w:val="center"/>
        <w:rPr>
          <w:rFonts w:ascii="Segoe UI" w:hAnsi="Segoe UI" w:cs="Segoe UI"/>
          <w:i/>
          <w:iCs/>
        </w:rPr>
      </w:pPr>
      <w:r>
        <w:rPr>
          <w:noProof/>
        </w:rPr>
        <w:drawing>
          <wp:anchor distT="0" distB="0" distL="114300" distR="114300" simplePos="0" relativeHeight="251671552" behindDoc="0" locked="0" layoutInCell="1" allowOverlap="1" wp14:anchorId="0B8E47F0" wp14:editId="708194FC">
            <wp:simplePos x="0" y="0"/>
            <wp:positionH relativeFrom="column">
              <wp:posOffset>4831528</wp:posOffset>
            </wp:positionH>
            <wp:positionV relativeFrom="paragraph">
              <wp:posOffset>886348</wp:posOffset>
            </wp:positionV>
            <wp:extent cx="1064895" cy="1597660"/>
            <wp:effectExtent l="0" t="0" r="1905" b="2540"/>
            <wp:wrapNone/>
            <wp:docPr id="16" name="Graphique 16">
              <a:extLst xmlns:a="http://schemas.openxmlformats.org/drawingml/2006/main">
                <a:ext uri="{FF2B5EF4-FFF2-40B4-BE49-F238E27FC236}">
                  <a16:creationId xmlns:a16="http://schemas.microsoft.com/office/drawing/2014/main" id="{E4433788-F6CC-4C3E-9A00-BC882283CB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8A72AC" w:rsidRPr="000451BF">
        <w:rPr>
          <w:noProof/>
          <w:shd w:val="clear" w:color="auto" w:fill="000091" w:themeFill="text1"/>
        </w:rPr>
        <w:drawing>
          <wp:inline distT="0" distB="0" distL="0" distR="0" wp14:anchorId="5049C8E6" wp14:editId="4D2D8350">
            <wp:extent cx="5621572" cy="2957885"/>
            <wp:effectExtent l="0" t="0" r="17780" b="13970"/>
            <wp:docPr id="13" name="Graphique 13">
              <a:extLst xmlns:a="http://schemas.openxmlformats.org/drawingml/2006/main">
                <a:ext uri="{FF2B5EF4-FFF2-40B4-BE49-F238E27FC236}">
                  <a16:creationId xmlns:a16="http://schemas.microsoft.com/office/drawing/2014/main" id="{6FD1AAF4-0409-4677-A6C7-73CBB3D1EB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C66565" w:rsidRPr="00B95F59">
        <w:rPr>
          <w:rFonts w:ascii="Segoe UI" w:hAnsi="Segoe UI" w:cs="Segoe UI"/>
          <w:i/>
          <w:iCs/>
        </w:rPr>
        <w:t xml:space="preserve"> </w:t>
      </w:r>
    </w:p>
    <w:p w14:paraId="7651AC83" w14:textId="5E20E2A9" w:rsidR="00AC23B0" w:rsidRDefault="00AC23B0" w:rsidP="00AC23B0">
      <w:pPr>
        <w:spacing w:after="0" w:line="240" w:lineRule="auto"/>
        <w:jc w:val="center"/>
        <w:rPr>
          <w:rFonts w:ascii="Segoe UI" w:eastAsia="Aptos" w:hAnsi="Segoe UI" w:cs="Segoe UI"/>
          <w:i/>
          <w:iCs/>
          <w:kern w:val="2"/>
          <w:sz w:val="20"/>
          <w:szCs w:val="20"/>
          <w14:ligatures w14:val="standardContextual"/>
        </w:rPr>
      </w:pPr>
      <w:r w:rsidRPr="00B95F59">
        <w:rPr>
          <w:rFonts w:ascii="Segoe UI" w:eastAsia="Aptos" w:hAnsi="Segoe UI" w:cs="Segoe UI"/>
          <w:i/>
          <w:iCs/>
          <w:kern w:val="2"/>
          <w:sz w:val="20"/>
          <w:szCs w:val="20"/>
          <w14:ligatures w14:val="standardContextual"/>
        </w:rPr>
        <w:t xml:space="preserve">Source : </w:t>
      </w:r>
      <w:r w:rsidR="008B67F6">
        <w:rPr>
          <w:rFonts w:ascii="Segoe UI" w:eastAsia="Aptos" w:hAnsi="Segoe UI" w:cs="Segoe UI"/>
          <w:i/>
          <w:iCs/>
          <w:kern w:val="2"/>
          <w:sz w:val="20"/>
          <w:szCs w:val="20"/>
          <w14:ligatures w14:val="standardContextual"/>
        </w:rPr>
        <w:t>MEED</w:t>
      </w:r>
      <w:r w:rsidR="002E406E">
        <w:rPr>
          <w:rFonts w:ascii="Segoe UI" w:eastAsia="Aptos" w:hAnsi="Segoe UI" w:cs="Segoe UI"/>
          <w:i/>
          <w:iCs/>
          <w:kern w:val="2"/>
          <w:sz w:val="20"/>
          <w:szCs w:val="20"/>
          <w14:ligatures w14:val="standardContextual"/>
        </w:rPr>
        <w:t xml:space="preserve"> </w:t>
      </w:r>
      <w:proofErr w:type="spellStart"/>
      <w:r w:rsidR="002E406E">
        <w:rPr>
          <w:rFonts w:ascii="Segoe UI" w:eastAsia="Aptos" w:hAnsi="Segoe UI" w:cs="Segoe UI"/>
          <w:i/>
          <w:iCs/>
          <w:kern w:val="2"/>
          <w:sz w:val="20"/>
          <w:szCs w:val="20"/>
          <w14:ligatures w14:val="standardContextual"/>
        </w:rPr>
        <w:t>Projects</w:t>
      </w:r>
      <w:proofErr w:type="spellEnd"/>
    </w:p>
    <w:p w14:paraId="7FE427E9" w14:textId="6EDC10E6" w:rsidR="00560DC6" w:rsidRDefault="00560DC6" w:rsidP="00AC23B0">
      <w:pPr>
        <w:spacing w:after="0" w:line="240" w:lineRule="auto"/>
        <w:jc w:val="center"/>
        <w:rPr>
          <w:rFonts w:ascii="Segoe UI" w:eastAsia="Aptos" w:hAnsi="Segoe UI" w:cs="Segoe UI"/>
          <w:i/>
          <w:iCs/>
          <w:kern w:val="2"/>
          <w:sz w:val="20"/>
          <w:szCs w:val="20"/>
          <w14:ligatures w14:val="standardContextual"/>
        </w:rPr>
      </w:pPr>
    </w:p>
    <w:p w14:paraId="78857C69" w14:textId="248EA7EE" w:rsidR="00560DC6" w:rsidRPr="008A72AC" w:rsidRDefault="00560DC6" w:rsidP="00560DC6">
      <w:pPr>
        <w:spacing w:after="120" w:line="240" w:lineRule="auto"/>
        <w:jc w:val="center"/>
        <w:rPr>
          <w:rFonts w:ascii="Segoe UI" w:eastAsia="Arial" w:hAnsi="Segoe UI" w:cs="Segoe UI"/>
          <w:i/>
          <w:iCs/>
          <w:color w:val="000091" w:themeColor="text1"/>
          <w:sz w:val="20"/>
          <w:szCs w:val="20"/>
        </w:rPr>
      </w:pPr>
      <w:r w:rsidRPr="008A72AC">
        <w:rPr>
          <w:rFonts w:ascii="Segoe UI" w:eastAsia="Arial" w:hAnsi="Segoe UI" w:cs="Segoe UI"/>
          <w:i/>
          <w:iCs/>
          <w:color w:val="000091" w:themeColor="text1"/>
          <w:sz w:val="20"/>
          <w:szCs w:val="20"/>
        </w:rPr>
        <w:t xml:space="preserve">Graphique </w:t>
      </w:r>
      <w:r>
        <w:rPr>
          <w:rFonts w:ascii="Segoe UI" w:eastAsia="Arial" w:hAnsi="Segoe UI" w:cs="Segoe UI"/>
          <w:i/>
          <w:iCs/>
          <w:color w:val="000091" w:themeColor="text1"/>
          <w:sz w:val="20"/>
          <w:szCs w:val="20"/>
        </w:rPr>
        <w:t>2</w:t>
      </w:r>
      <w:r w:rsidRPr="008A72AC">
        <w:rPr>
          <w:rFonts w:ascii="Segoe UI" w:eastAsia="Arial" w:hAnsi="Segoe UI" w:cs="Segoe UI"/>
          <w:i/>
          <w:iCs/>
          <w:color w:val="000091" w:themeColor="text1"/>
          <w:sz w:val="20"/>
          <w:szCs w:val="20"/>
        </w:rPr>
        <w:t xml:space="preserve"> : </w:t>
      </w:r>
      <w:r w:rsidRPr="00560DC6">
        <w:rPr>
          <w:rFonts w:ascii="Segoe UI" w:eastAsia="Arial" w:hAnsi="Segoe UI" w:cs="Segoe UI"/>
          <w:i/>
          <w:iCs/>
          <w:color w:val="000091" w:themeColor="text1"/>
          <w:sz w:val="20"/>
          <w:szCs w:val="20"/>
        </w:rPr>
        <w:t>Montants annuels de contrats attribués (Md USD)</w:t>
      </w:r>
    </w:p>
    <w:p w14:paraId="3402CD38" w14:textId="0C26F4DE" w:rsidR="00560DC6" w:rsidRDefault="00EA717A" w:rsidP="00560DC6">
      <w:pPr>
        <w:spacing w:after="0" w:line="240" w:lineRule="auto"/>
        <w:jc w:val="center"/>
        <w:rPr>
          <w:rFonts w:ascii="Segoe UI" w:hAnsi="Segoe UI" w:cs="Segoe UI"/>
          <w:i/>
          <w:iCs/>
        </w:rPr>
      </w:pPr>
      <w:r>
        <w:rPr>
          <w:noProof/>
        </w:rPr>
        <w:drawing>
          <wp:inline distT="0" distB="0" distL="0" distR="0" wp14:anchorId="4D8C9BD3" wp14:editId="2009FA79">
            <wp:extent cx="5619115" cy="2178424"/>
            <wp:effectExtent l="0" t="0" r="635" b="12700"/>
            <wp:docPr id="8" name="Graphique 8">
              <a:extLst xmlns:a="http://schemas.openxmlformats.org/drawingml/2006/main">
                <a:ext uri="{FF2B5EF4-FFF2-40B4-BE49-F238E27FC236}">
                  <a16:creationId xmlns:a16="http://schemas.microsoft.com/office/drawing/2014/main" id="{36FD17A8-01FB-489C-9D33-E212656779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EA717A">
        <w:rPr>
          <w:noProof/>
        </w:rPr>
        <w:t xml:space="preserve"> </w:t>
      </w:r>
      <w:r w:rsidR="00560DC6" w:rsidRPr="00B95F59">
        <w:rPr>
          <w:rFonts w:ascii="Segoe UI" w:hAnsi="Segoe UI" w:cs="Segoe UI"/>
          <w:i/>
          <w:iCs/>
        </w:rPr>
        <w:t xml:space="preserve"> </w:t>
      </w:r>
    </w:p>
    <w:p w14:paraId="6A87A798" w14:textId="2EA45206" w:rsidR="00560DC6" w:rsidRDefault="00560DC6" w:rsidP="00560DC6">
      <w:pPr>
        <w:spacing w:after="0" w:line="240" w:lineRule="auto"/>
        <w:jc w:val="center"/>
        <w:rPr>
          <w:rFonts w:ascii="Segoe UI" w:eastAsia="Aptos" w:hAnsi="Segoe UI" w:cs="Segoe UI"/>
          <w:i/>
          <w:iCs/>
          <w:kern w:val="2"/>
          <w:sz w:val="20"/>
          <w:szCs w:val="20"/>
          <w14:ligatures w14:val="standardContextual"/>
        </w:rPr>
      </w:pPr>
      <w:r w:rsidRPr="00B95F59">
        <w:rPr>
          <w:rFonts w:ascii="Segoe UI" w:eastAsia="Aptos" w:hAnsi="Segoe UI" w:cs="Segoe UI"/>
          <w:i/>
          <w:iCs/>
          <w:kern w:val="2"/>
          <w:sz w:val="20"/>
          <w:szCs w:val="20"/>
          <w14:ligatures w14:val="standardContextual"/>
        </w:rPr>
        <w:t xml:space="preserve">Source : </w:t>
      </w:r>
      <w:r>
        <w:rPr>
          <w:rFonts w:ascii="Segoe UI" w:eastAsia="Aptos" w:hAnsi="Segoe UI" w:cs="Segoe UI"/>
          <w:i/>
          <w:iCs/>
          <w:kern w:val="2"/>
          <w:sz w:val="20"/>
          <w:szCs w:val="20"/>
          <w14:ligatures w14:val="standardContextual"/>
        </w:rPr>
        <w:t>MEED</w:t>
      </w:r>
      <w:r w:rsidR="002E406E">
        <w:rPr>
          <w:rFonts w:ascii="Segoe UI" w:eastAsia="Aptos" w:hAnsi="Segoe UI" w:cs="Segoe UI"/>
          <w:i/>
          <w:iCs/>
          <w:kern w:val="2"/>
          <w:sz w:val="20"/>
          <w:szCs w:val="20"/>
          <w14:ligatures w14:val="standardContextual"/>
        </w:rPr>
        <w:t xml:space="preserve"> </w:t>
      </w:r>
      <w:proofErr w:type="spellStart"/>
      <w:r w:rsidR="002E406E">
        <w:rPr>
          <w:rFonts w:ascii="Segoe UI" w:eastAsia="Aptos" w:hAnsi="Segoe UI" w:cs="Segoe UI"/>
          <w:i/>
          <w:iCs/>
          <w:kern w:val="2"/>
          <w:sz w:val="20"/>
          <w:szCs w:val="20"/>
          <w14:ligatures w14:val="standardContextual"/>
        </w:rPr>
        <w:t>Projects</w:t>
      </w:r>
      <w:proofErr w:type="spellEnd"/>
    </w:p>
    <w:p w14:paraId="70EB87D8" w14:textId="16C7573E" w:rsidR="002E406E" w:rsidRDefault="002E406E" w:rsidP="00560DC6">
      <w:pPr>
        <w:spacing w:after="0" w:line="240" w:lineRule="auto"/>
        <w:jc w:val="center"/>
        <w:rPr>
          <w:rFonts w:ascii="Segoe UI" w:eastAsia="Aptos" w:hAnsi="Segoe UI" w:cs="Segoe UI"/>
          <w:i/>
          <w:iCs/>
          <w:kern w:val="2"/>
          <w:sz w:val="20"/>
          <w:szCs w:val="20"/>
          <w14:ligatures w14:val="standardContextual"/>
        </w:rPr>
      </w:pPr>
    </w:p>
    <w:p w14:paraId="6E4A8000" w14:textId="3B1D6AED" w:rsidR="00BC5C86" w:rsidRDefault="00BC5C86" w:rsidP="002E406E">
      <w:pPr>
        <w:spacing w:after="0" w:line="240" w:lineRule="auto"/>
        <w:jc w:val="center"/>
        <w:rPr>
          <w:rFonts w:ascii="Segoe UI" w:eastAsia="Aptos" w:hAnsi="Segoe UI" w:cs="Segoe UI"/>
          <w:i/>
          <w:iCs/>
          <w:kern w:val="2"/>
          <w:sz w:val="20"/>
          <w:szCs w:val="20"/>
          <w14:ligatures w14:val="standardContextual"/>
        </w:rPr>
      </w:pPr>
    </w:p>
    <w:p w14:paraId="729BD84B" w14:textId="4A04DF70" w:rsidR="00BC5C86" w:rsidRDefault="00CC5DD4" w:rsidP="002E406E">
      <w:pPr>
        <w:spacing w:after="0" w:line="240" w:lineRule="auto"/>
        <w:jc w:val="center"/>
        <w:rPr>
          <w:rFonts w:ascii="Segoe UI" w:eastAsia="Aptos" w:hAnsi="Segoe UI" w:cs="Segoe UI"/>
          <w:i/>
          <w:iCs/>
          <w:kern w:val="2"/>
          <w:sz w:val="20"/>
          <w:szCs w:val="20"/>
          <w14:ligatures w14:val="standardContextual"/>
        </w:rPr>
      </w:pPr>
      <w:r w:rsidRPr="008A72AC">
        <w:rPr>
          <w:rFonts w:ascii="Segoe UI" w:hAnsi="Segoe UI" w:cs="Segoe UI"/>
          <w:i/>
          <w:iCs/>
          <w:noProof/>
          <w:color w:val="000091" w:themeColor="text1"/>
          <w:sz w:val="24"/>
          <w:szCs w:val="28"/>
        </w:rPr>
        <mc:AlternateContent>
          <mc:Choice Requires="wps">
            <w:drawing>
              <wp:anchor distT="0" distB="0" distL="114300" distR="114300" simplePos="0" relativeHeight="251674624" behindDoc="1" locked="0" layoutInCell="1" allowOverlap="1" wp14:anchorId="55627BE0" wp14:editId="37FCB1D1">
                <wp:simplePos x="0" y="0"/>
                <wp:positionH relativeFrom="page">
                  <wp:align>left</wp:align>
                </wp:positionH>
                <wp:positionV relativeFrom="paragraph">
                  <wp:posOffset>-439431</wp:posOffset>
                </wp:positionV>
                <wp:extent cx="7570382" cy="10753725"/>
                <wp:effectExtent l="0" t="0" r="0" b="9525"/>
                <wp:wrapNone/>
                <wp:docPr id="12" name="Rectangle 12"/>
                <wp:cNvGraphicFramePr/>
                <a:graphic xmlns:a="http://schemas.openxmlformats.org/drawingml/2006/main">
                  <a:graphicData uri="http://schemas.microsoft.com/office/word/2010/wordprocessingShape">
                    <wps:wsp>
                      <wps:cNvSpPr/>
                      <wps:spPr>
                        <a:xfrm>
                          <a:off x="0" y="0"/>
                          <a:ext cx="7570382" cy="107537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03BE5" id="Rectangle 12" o:spid="_x0000_s1026" style="position:absolute;margin-left:0;margin-top:-34.6pt;width:596.1pt;height:846.75pt;z-index:-2516418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" fillcolor="#fef8e8" stroked="f" strokeweight="1pt">
                <w10:wrap anchorx="page"/>
              </v:rect>
            </w:pict>
          </mc:Fallback>
        </mc:AlternateContent>
      </w:r>
    </w:p>
    <w:p w14:paraId="68D9C4E7" w14:textId="733B6E56" w:rsidR="00BC5C86" w:rsidRDefault="00BC5C86" w:rsidP="00BC5C86">
      <w:pPr>
        <w:spacing w:after="120" w:line="240" w:lineRule="auto"/>
        <w:jc w:val="center"/>
        <w:rPr>
          <w:rFonts w:ascii="Segoe UI" w:eastAsia="Arial" w:hAnsi="Segoe UI" w:cs="Segoe UI"/>
          <w:i/>
          <w:iCs/>
          <w:color w:val="000091" w:themeColor="text1"/>
          <w:sz w:val="20"/>
          <w:szCs w:val="20"/>
        </w:rPr>
      </w:pPr>
      <w:r>
        <w:rPr>
          <w:rFonts w:ascii="Segoe UI" w:eastAsia="Arial" w:hAnsi="Segoe UI" w:cs="Segoe UI"/>
          <w:i/>
          <w:iCs/>
          <w:color w:val="000091" w:themeColor="text1"/>
          <w:sz w:val="20"/>
          <w:szCs w:val="20"/>
        </w:rPr>
        <w:t>Tableau</w:t>
      </w:r>
      <w:r w:rsidRPr="008A72AC">
        <w:rPr>
          <w:rFonts w:ascii="Segoe UI" w:eastAsia="Arial" w:hAnsi="Segoe UI" w:cs="Segoe UI"/>
          <w:i/>
          <w:iCs/>
          <w:color w:val="000091" w:themeColor="text1"/>
          <w:sz w:val="20"/>
          <w:szCs w:val="20"/>
        </w:rPr>
        <w:t xml:space="preserve"> </w:t>
      </w:r>
      <w:r>
        <w:rPr>
          <w:rFonts w:ascii="Segoe UI" w:eastAsia="Arial" w:hAnsi="Segoe UI" w:cs="Segoe UI"/>
          <w:i/>
          <w:iCs/>
          <w:color w:val="000091" w:themeColor="text1"/>
          <w:sz w:val="20"/>
          <w:szCs w:val="20"/>
        </w:rPr>
        <w:t>1</w:t>
      </w:r>
      <w:r w:rsidRPr="008A72AC">
        <w:rPr>
          <w:rFonts w:ascii="Segoe UI" w:eastAsia="Arial" w:hAnsi="Segoe UI" w:cs="Segoe UI"/>
          <w:i/>
          <w:iCs/>
          <w:color w:val="000091" w:themeColor="text1"/>
          <w:sz w:val="20"/>
          <w:szCs w:val="20"/>
        </w:rPr>
        <w:t xml:space="preserve"> : </w:t>
      </w:r>
      <w:r w:rsidRPr="00BC5C86">
        <w:rPr>
          <w:rFonts w:ascii="Segoe UI" w:eastAsia="Arial" w:hAnsi="Segoe UI" w:cs="Segoe UI"/>
          <w:i/>
          <w:iCs/>
          <w:color w:val="000091" w:themeColor="text1"/>
          <w:sz w:val="20"/>
          <w:szCs w:val="20"/>
        </w:rPr>
        <w:t xml:space="preserve">Révision des projections macroéconomiques pour 2026 </w:t>
      </w:r>
    </w:p>
    <w:p w14:paraId="5A0C46C6" w14:textId="77777777" w:rsidR="00BC5C86" w:rsidRDefault="00BC5C86" w:rsidP="00BC5C86">
      <w:pPr>
        <w:spacing w:after="120" w:line="240" w:lineRule="auto"/>
        <w:jc w:val="center"/>
        <w:rPr>
          <w:rFonts w:ascii="Segoe UI" w:eastAsia="Arial" w:hAnsi="Segoe UI" w:cs="Segoe UI"/>
          <w:i/>
          <w:iCs/>
          <w:color w:val="000091" w:themeColor="text1"/>
          <w:sz w:val="20"/>
          <w:szCs w:val="20"/>
        </w:rPr>
      </w:pPr>
    </w:p>
    <w:tbl>
      <w:tblPr>
        <w:tblW w:w="9205" w:type="dxa"/>
        <w:jc w:val="center"/>
        <w:shd w:val="clear" w:color="auto" w:fill="FFFFFF" w:themeFill="background1"/>
        <w:tblLayout w:type="fixed"/>
        <w:tblCellMar>
          <w:left w:w="70" w:type="dxa"/>
          <w:right w:w="70" w:type="dxa"/>
        </w:tblCellMar>
        <w:tblLook w:val="04A0" w:firstRow="1" w:lastRow="0" w:firstColumn="1" w:lastColumn="0" w:noHBand="0" w:noVBand="1"/>
      </w:tblPr>
      <w:tblGrid>
        <w:gridCol w:w="1701"/>
        <w:gridCol w:w="1876"/>
        <w:gridCol w:w="1876"/>
        <w:gridCol w:w="1876"/>
        <w:gridCol w:w="1876"/>
      </w:tblGrid>
      <w:tr w:rsidR="00BC5C86" w:rsidRPr="000F59D1" w14:paraId="302A9314" w14:textId="77777777" w:rsidTr="000451BF">
        <w:trPr>
          <w:trHeight w:val="265"/>
          <w:jc w:val="center"/>
        </w:trPr>
        <w:tc>
          <w:tcPr>
            <w:tcW w:w="1701" w:type="dxa"/>
            <w:tcBorders>
              <w:top w:val="nil"/>
              <w:left w:val="nil"/>
              <w:bottom w:val="single" w:sz="4" w:space="0" w:color="auto"/>
              <w:right w:val="nil"/>
            </w:tcBorders>
            <w:shd w:val="clear" w:color="auto" w:fill="auto"/>
            <w:noWrap/>
            <w:vAlign w:val="bottom"/>
            <w:hideMark/>
          </w:tcPr>
          <w:p w14:paraId="1E31ED60" w14:textId="77777777" w:rsidR="00BC5C86" w:rsidRPr="000F59D1" w:rsidRDefault="00BC5C86" w:rsidP="002D4E67">
            <w:pPr>
              <w:spacing w:after="0" w:line="240" w:lineRule="auto"/>
              <w:jc w:val="center"/>
              <w:rPr>
                <w:rFonts w:ascii="Segoe UI" w:eastAsia="Times New Roman" w:hAnsi="Segoe UI" w:cs="Segoe UI"/>
                <w:color w:val="000000"/>
                <w:sz w:val="18"/>
                <w:szCs w:val="18"/>
                <w:lang w:eastAsia="fr-FR"/>
              </w:rPr>
            </w:pPr>
          </w:p>
        </w:tc>
        <w:tc>
          <w:tcPr>
            <w:tcW w:w="1876" w:type="dxa"/>
            <w:tcBorders>
              <w:top w:val="nil"/>
              <w:left w:val="nil"/>
              <w:bottom w:val="single" w:sz="4" w:space="0" w:color="auto"/>
              <w:right w:val="nil"/>
            </w:tcBorders>
            <w:shd w:val="clear" w:color="auto" w:fill="auto"/>
            <w:noWrap/>
            <w:vAlign w:val="center"/>
            <w:hideMark/>
          </w:tcPr>
          <w:p w14:paraId="7C6C30C5" w14:textId="5151308E" w:rsidR="00BC5C86" w:rsidRPr="000F59D1" w:rsidRDefault="00BC5C86" w:rsidP="000451BF">
            <w:pPr>
              <w:spacing w:after="0" w:line="240" w:lineRule="auto"/>
              <w:jc w:val="center"/>
              <w:rPr>
                <w:rFonts w:ascii="Segoe UI" w:eastAsia="Times New Roman" w:hAnsi="Segoe UI" w:cs="Segoe UI"/>
                <w:b/>
                <w:bCs/>
                <w:color w:val="000000"/>
                <w:sz w:val="18"/>
                <w:szCs w:val="18"/>
                <w:lang w:eastAsia="fr-FR"/>
              </w:rPr>
            </w:pPr>
            <w:r>
              <w:rPr>
                <w:rFonts w:ascii="Segoe UI" w:eastAsia="Times New Roman" w:hAnsi="Segoe UI" w:cs="Segoe UI"/>
                <w:b/>
                <w:bCs/>
                <w:color w:val="000000"/>
                <w:sz w:val="18"/>
                <w:szCs w:val="18"/>
                <w:lang w:eastAsia="fr-FR"/>
              </w:rPr>
              <w:t>Croissance (%)</w:t>
            </w:r>
          </w:p>
        </w:tc>
        <w:tc>
          <w:tcPr>
            <w:tcW w:w="1876" w:type="dxa"/>
            <w:tcBorders>
              <w:top w:val="nil"/>
              <w:left w:val="nil"/>
              <w:bottom w:val="single" w:sz="4" w:space="0" w:color="auto"/>
              <w:right w:val="nil"/>
            </w:tcBorders>
            <w:shd w:val="clear" w:color="auto" w:fill="auto"/>
            <w:noWrap/>
            <w:vAlign w:val="center"/>
            <w:hideMark/>
          </w:tcPr>
          <w:p w14:paraId="5D97FEE9" w14:textId="544D201E" w:rsidR="00BC5C86" w:rsidRPr="000F59D1" w:rsidRDefault="00BC5C86" w:rsidP="000451BF">
            <w:pPr>
              <w:spacing w:after="0" w:line="240" w:lineRule="auto"/>
              <w:jc w:val="center"/>
              <w:rPr>
                <w:rFonts w:ascii="Segoe UI" w:eastAsia="Times New Roman" w:hAnsi="Segoe UI" w:cs="Segoe UI"/>
                <w:b/>
                <w:bCs/>
                <w:color w:val="000000"/>
                <w:sz w:val="18"/>
                <w:szCs w:val="18"/>
                <w:lang w:eastAsia="fr-FR"/>
              </w:rPr>
            </w:pPr>
            <w:r>
              <w:rPr>
                <w:rFonts w:ascii="Segoe UI" w:eastAsia="Times New Roman" w:hAnsi="Segoe UI" w:cs="Segoe UI"/>
                <w:b/>
                <w:bCs/>
                <w:color w:val="000000"/>
                <w:sz w:val="18"/>
                <w:szCs w:val="18"/>
                <w:lang w:eastAsia="fr-FR"/>
              </w:rPr>
              <w:t>Solde budgétaire (% du PIB)</w:t>
            </w:r>
          </w:p>
        </w:tc>
        <w:tc>
          <w:tcPr>
            <w:tcW w:w="1876" w:type="dxa"/>
            <w:tcBorders>
              <w:top w:val="nil"/>
              <w:left w:val="nil"/>
              <w:bottom w:val="single" w:sz="4" w:space="0" w:color="auto"/>
              <w:right w:val="nil"/>
            </w:tcBorders>
            <w:shd w:val="clear" w:color="auto" w:fill="auto"/>
            <w:noWrap/>
            <w:vAlign w:val="center"/>
            <w:hideMark/>
          </w:tcPr>
          <w:p w14:paraId="2B1B0889" w14:textId="5DE3DE7D" w:rsidR="00BC5C86" w:rsidRPr="000F59D1" w:rsidRDefault="00BC5C86" w:rsidP="000451BF">
            <w:pPr>
              <w:spacing w:after="0" w:line="240" w:lineRule="auto"/>
              <w:jc w:val="center"/>
              <w:rPr>
                <w:rFonts w:ascii="Segoe UI" w:eastAsia="Times New Roman" w:hAnsi="Segoe UI" w:cs="Segoe UI"/>
                <w:b/>
                <w:bCs/>
                <w:color w:val="000000"/>
                <w:sz w:val="18"/>
                <w:szCs w:val="18"/>
                <w:lang w:eastAsia="fr-FR"/>
              </w:rPr>
            </w:pPr>
            <w:r>
              <w:rPr>
                <w:rFonts w:ascii="Segoe UI" w:eastAsia="Times New Roman" w:hAnsi="Segoe UI" w:cs="Segoe UI"/>
                <w:b/>
                <w:bCs/>
                <w:color w:val="000000"/>
                <w:sz w:val="18"/>
                <w:szCs w:val="18"/>
                <w:lang w:eastAsia="fr-FR"/>
              </w:rPr>
              <w:t>Dette (% du PIB)</w:t>
            </w:r>
          </w:p>
        </w:tc>
        <w:tc>
          <w:tcPr>
            <w:tcW w:w="1876" w:type="dxa"/>
            <w:tcBorders>
              <w:top w:val="nil"/>
              <w:left w:val="nil"/>
              <w:bottom w:val="single" w:sz="4" w:space="0" w:color="auto"/>
              <w:right w:val="nil"/>
            </w:tcBorders>
            <w:shd w:val="clear" w:color="auto" w:fill="auto"/>
            <w:noWrap/>
            <w:vAlign w:val="center"/>
            <w:hideMark/>
          </w:tcPr>
          <w:p w14:paraId="47234C15" w14:textId="3C42DADB" w:rsidR="00BC5C86" w:rsidRPr="000F59D1" w:rsidRDefault="00BC5C86" w:rsidP="000451BF">
            <w:pPr>
              <w:spacing w:after="0" w:line="240" w:lineRule="auto"/>
              <w:jc w:val="center"/>
              <w:rPr>
                <w:rFonts w:ascii="Segoe UI" w:eastAsia="Times New Roman" w:hAnsi="Segoe UI" w:cs="Segoe UI"/>
                <w:b/>
                <w:bCs/>
                <w:color w:val="000000"/>
                <w:sz w:val="18"/>
                <w:szCs w:val="18"/>
                <w:lang w:eastAsia="fr-FR"/>
              </w:rPr>
            </w:pPr>
            <w:r>
              <w:rPr>
                <w:rFonts w:ascii="Segoe UI" w:eastAsia="Times New Roman" w:hAnsi="Segoe UI" w:cs="Segoe UI"/>
                <w:b/>
                <w:bCs/>
                <w:color w:val="000000"/>
                <w:sz w:val="18"/>
                <w:szCs w:val="18"/>
                <w:lang w:eastAsia="fr-FR"/>
              </w:rPr>
              <w:t xml:space="preserve">Compte courant </w:t>
            </w:r>
            <w:proofErr w:type="gramStart"/>
            <w:r>
              <w:rPr>
                <w:rFonts w:ascii="Segoe UI" w:eastAsia="Times New Roman" w:hAnsi="Segoe UI" w:cs="Segoe UI"/>
                <w:b/>
                <w:bCs/>
                <w:color w:val="000000"/>
                <w:sz w:val="18"/>
                <w:szCs w:val="18"/>
                <w:lang w:eastAsia="fr-FR"/>
              </w:rPr>
              <w:t xml:space="preserve">   (</w:t>
            </w:r>
            <w:proofErr w:type="gramEnd"/>
            <w:r>
              <w:rPr>
                <w:rFonts w:ascii="Segoe UI" w:eastAsia="Times New Roman" w:hAnsi="Segoe UI" w:cs="Segoe UI"/>
                <w:b/>
                <w:bCs/>
                <w:color w:val="000000"/>
                <w:sz w:val="18"/>
                <w:szCs w:val="18"/>
                <w:lang w:eastAsia="fr-FR"/>
              </w:rPr>
              <w:t>% du PIB)</w:t>
            </w:r>
          </w:p>
        </w:tc>
      </w:tr>
      <w:tr w:rsidR="00BC5C86" w:rsidRPr="000F59D1" w14:paraId="0DDDF5DF" w14:textId="77777777" w:rsidTr="000451BF">
        <w:trPr>
          <w:trHeight w:val="265"/>
          <w:jc w:val="center"/>
        </w:trPr>
        <w:tc>
          <w:tcPr>
            <w:tcW w:w="1701" w:type="dxa"/>
            <w:tcBorders>
              <w:top w:val="single" w:sz="4" w:space="0" w:color="auto"/>
              <w:left w:val="nil"/>
              <w:bottom w:val="single" w:sz="4" w:space="0" w:color="auto"/>
              <w:right w:val="nil"/>
            </w:tcBorders>
            <w:shd w:val="clear" w:color="auto" w:fill="F2F2F2" w:themeFill="background1" w:themeFillShade="F2"/>
            <w:noWrap/>
            <w:vAlign w:val="center"/>
            <w:hideMark/>
          </w:tcPr>
          <w:p w14:paraId="6C592ABF" w14:textId="506352CC" w:rsidR="00BC5C86" w:rsidRPr="000F59D1" w:rsidRDefault="00BC5C86" w:rsidP="002D4E67">
            <w:pPr>
              <w:spacing w:after="0" w:line="240" w:lineRule="auto"/>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WEO Octobre 2025</w:t>
            </w:r>
          </w:p>
        </w:tc>
        <w:tc>
          <w:tcPr>
            <w:tcW w:w="1876" w:type="dxa"/>
            <w:tcBorders>
              <w:top w:val="single" w:sz="4" w:space="0" w:color="auto"/>
              <w:left w:val="nil"/>
              <w:bottom w:val="single" w:sz="4" w:space="0" w:color="auto"/>
              <w:right w:val="nil"/>
            </w:tcBorders>
            <w:shd w:val="clear" w:color="auto" w:fill="F2F2F2" w:themeFill="background1" w:themeFillShade="F2"/>
            <w:noWrap/>
            <w:vAlign w:val="center"/>
          </w:tcPr>
          <w:p w14:paraId="33C9E257" w14:textId="17C7FB4C" w:rsidR="00BC5C86" w:rsidRPr="000F59D1" w:rsidRDefault="00BC5C86" w:rsidP="000451BF">
            <w:pPr>
              <w:spacing w:after="0" w:line="240" w:lineRule="auto"/>
              <w:jc w:val="center"/>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4,5</w:t>
            </w:r>
          </w:p>
        </w:tc>
        <w:tc>
          <w:tcPr>
            <w:tcW w:w="1876" w:type="dxa"/>
            <w:tcBorders>
              <w:top w:val="single" w:sz="4" w:space="0" w:color="auto"/>
              <w:left w:val="nil"/>
              <w:bottom w:val="single" w:sz="4" w:space="0" w:color="auto"/>
              <w:right w:val="nil"/>
            </w:tcBorders>
            <w:shd w:val="clear" w:color="auto" w:fill="F2F2F2" w:themeFill="background1" w:themeFillShade="F2"/>
            <w:noWrap/>
            <w:vAlign w:val="center"/>
          </w:tcPr>
          <w:p w14:paraId="62FCEE4F" w14:textId="2B35BCC0" w:rsidR="00BC5C86" w:rsidRPr="000F59D1" w:rsidRDefault="00BC5C86" w:rsidP="000451BF">
            <w:pPr>
              <w:spacing w:after="0" w:line="240" w:lineRule="auto"/>
              <w:jc w:val="center"/>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-3,7</w:t>
            </w:r>
          </w:p>
        </w:tc>
        <w:tc>
          <w:tcPr>
            <w:tcW w:w="1876" w:type="dxa"/>
            <w:tcBorders>
              <w:top w:val="single" w:sz="4" w:space="0" w:color="auto"/>
              <w:left w:val="nil"/>
              <w:bottom w:val="single" w:sz="4" w:space="0" w:color="auto"/>
              <w:right w:val="nil"/>
            </w:tcBorders>
            <w:shd w:val="clear" w:color="auto" w:fill="F2F2F2" w:themeFill="background1" w:themeFillShade="F2"/>
            <w:noWrap/>
            <w:vAlign w:val="center"/>
          </w:tcPr>
          <w:p w14:paraId="1C4F2A36" w14:textId="2DB1AC21" w:rsidR="00BC5C86" w:rsidRPr="000F59D1" w:rsidRDefault="00BC5C86" w:rsidP="000451BF">
            <w:pPr>
              <w:spacing w:after="0" w:line="240" w:lineRule="auto"/>
              <w:jc w:val="center"/>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31,8</w:t>
            </w:r>
          </w:p>
        </w:tc>
        <w:tc>
          <w:tcPr>
            <w:tcW w:w="1876" w:type="dxa"/>
            <w:tcBorders>
              <w:top w:val="single" w:sz="4" w:space="0" w:color="auto"/>
              <w:left w:val="nil"/>
              <w:bottom w:val="single" w:sz="4" w:space="0" w:color="auto"/>
              <w:right w:val="nil"/>
            </w:tcBorders>
            <w:shd w:val="clear" w:color="auto" w:fill="F2F2F2" w:themeFill="background1" w:themeFillShade="F2"/>
            <w:noWrap/>
            <w:vAlign w:val="center"/>
          </w:tcPr>
          <w:p w14:paraId="24132778" w14:textId="13F0B2F0" w:rsidR="00BC5C86" w:rsidRPr="000F59D1" w:rsidRDefault="00BC5C86" w:rsidP="000451BF">
            <w:pPr>
              <w:spacing w:after="0" w:line="240" w:lineRule="auto"/>
              <w:jc w:val="center"/>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-2,5</w:t>
            </w:r>
          </w:p>
        </w:tc>
      </w:tr>
      <w:tr w:rsidR="00BC5C86" w:rsidRPr="000F59D1" w14:paraId="4A186D4F" w14:textId="77777777" w:rsidTr="000451BF">
        <w:trPr>
          <w:trHeight w:val="265"/>
          <w:jc w:val="center"/>
        </w:trPr>
        <w:tc>
          <w:tcPr>
            <w:tcW w:w="1701" w:type="dxa"/>
            <w:tcBorders>
              <w:top w:val="single" w:sz="4" w:space="0" w:color="auto"/>
              <w:left w:val="nil"/>
              <w:bottom w:val="single" w:sz="4" w:space="0" w:color="auto"/>
              <w:right w:val="nil"/>
            </w:tcBorders>
            <w:shd w:val="clear" w:color="auto" w:fill="auto"/>
            <w:noWrap/>
            <w:vAlign w:val="center"/>
            <w:hideMark/>
          </w:tcPr>
          <w:p w14:paraId="172E263C" w14:textId="7556ECFA" w:rsidR="00BC5C86" w:rsidRPr="000F59D1" w:rsidRDefault="00BC5C86" w:rsidP="002D4E67">
            <w:pPr>
              <w:spacing w:after="0" w:line="240" w:lineRule="auto"/>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WEO Avril 2026</w:t>
            </w:r>
          </w:p>
        </w:tc>
        <w:tc>
          <w:tcPr>
            <w:tcW w:w="1876" w:type="dxa"/>
            <w:tcBorders>
              <w:top w:val="single" w:sz="4" w:space="0" w:color="auto"/>
              <w:left w:val="nil"/>
              <w:bottom w:val="single" w:sz="4" w:space="0" w:color="auto"/>
              <w:right w:val="nil"/>
            </w:tcBorders>
            <w:shd w:val="clear" w:color="auto" w:fill="auto"/>
            <w:noWrap/>
            <w:vAlign w:val="center"/>
          </w:tcPr>
          <w:p w14:paraId="607D8471" w14:textId="70C38361" w:rsidR="00BC5C86" w:rsidRPr="000F59D1" w:rsidRDefault="00BC5C86" w:rsidP="000451BF">
            <w:pPr>
              <w:spacing w:after="0" w:line="240" w:lineRule="auto"/>
              <w:jc w:val="center"/>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3,1</w:t>
            </w:r>
          </w:p>
        </w:tc>
        <w:tc>
          <w:tcPr>
            <w:tcW w:w="1876" w:type="dxa"/>
            <w:tcBorders>
              <w:top w:val="single" w:sz="4" w:space="0" w:color="auto"/>
              <w:left w:val="nil"/>
              <w:bottom w:val="single" w:sz="4" w:space="0" w:color="auto"/>
              <w:right w:val="nil"/>
            </w:tcBorders>
            <w:shd w:val="clear" w:color="auto" w:fill="auto"/>
            <w:noWrap/>
            <w:vAlign w:val="center"/>
          </w:tcPr>
          <w:p w14:paraId="4A4EC92E" w14:textId="29D02AA8" w:rsidR="00BC5C86" w:rsidRPr="000F59D1" w:rsidRDefault="00BC5C86" w:rsidP="000451BF">
            <w:pPr>
              <w:spacing w:after="0" w:line="240" w:lineRule="auto"/>
              <w:jc w:val="center"/>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-3,5</w:t>
            </w:r>
          </w:p>
        </w:tc>
        <w:tc>
          <w:tcPr>
            <w:tcW w:w="1876" w:type="dxa"/>
            <w:tcBorders>
              <w:top w:val="single" w:sz="4" w:space="0" w:color="auto"/>
              <w:left w:val="nil"/>
              <w:bottom w:val="single" w:sz="4" w:space="0" w:color="auto"/>
              <w:right w:val="nil"/>
            </w:tcBorders>
            <w:shd w:val="clear" w:color="auto" w:fill="auto"/>
            <w:noWrap/>
            <w:vAlign w:val="center"/>
          </w:tcPr>
          <w:p w14:paraId="4B88B34A" w14:textId="34F1EE8A" w:rsidR="00BC5C86" w:rsidRPr="000F59D1" w:rsidRDefault="00BC5C86" w:rsidP="000451BF">
            <w:pPr>
              <w:spacing w:after="0" w:line="240" w:lineRule="auto"/>
              <w:jc w:val="center"/>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32,1</w:t>
            </w:r>
          </w:p>
        </w:tc>
        <w:tc>
          <w:tcPr>
            <w:tcW w:w="1876" w:type="dxa"/>
            <w:tcBorders>
              <w:top w:val="single" w:sz="4" w:space="0" w:color="auto"/>
              <w:left w:val="nil"/>
              <w:bottom w:val="single" w:sz="4" w:space="0" w:color="auto"/>
              <w:right w:val="nil"/>
            </w:tcBorders>
            <w:shd w:val="clear" w:color="auto" w:fill="auto"/>
            <w:noWrap/>
            <w:vAlign w:val="center"/>
          </w:tcPr>
          <w:p w14:paraId="565305F5" w14:textId="5641024B" w:rsidR="00BC5C86" w:rsidRPr="000F59D1" w:rsidRDefault="00BC5C86" w:rsidP="000451BF">
            <w:pPr>
              <w:spacing w:after="0" w:line="240" w:lineRule="auto"/>
              <w:jc w:val="center"/>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-1,6</w:t>
            </w:r>
          </w:p>
        </w:tc>
      </w:tr>
      <w:tr w:rsidR="00BC5C86" w:rsidRPr="000F59D1" w14:paraId="3C52EDF9" w14:textId="77777777" w:rsidTr="000451BF">
        <w:trPr>
          <w:trHeight w:val="265"/>
          <w:jc w:val="center"/>
        </w:trPr>
        <w:tc>
          <w:tcPr>
            <w:tcW w:w="1701" w:type="dxa"/>
            <w:tcBorders>
              <w:top w:val="single" w:sz="4" w:space="0" w:color="auto"/>
              <w:left w:val="nil"/>
              <w:bottom w:val="nil"/>
              <w:right w:val="nil"/>
            </w:tcBorders>
            <w:shd w:val="clear" w:color="auto" w:fill="F2F2F2" w:themeFill="background1" w:themeFillShade="F2"/>
            <w:noWrap/>
            <w:vAlign w:val="center"/>
            <w:hideMark/>
          </w:tcPr>
          <w:p w14:paraId="2626395B" w14:textId="0EB15E02" w:rsidR="00BC5C86" w:rsidRPr="000F59D1" w:rsidRDefault="00BC5C86" w:rsidP="002D4E67">
            <w:pPr>
              <w:spacing w:after="0" w:line="240" w:lineRule="auto"/>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Révision</w:t>
            </w:r>
          </w:p>
        </w:tc>
        <w:tc>
          <w:tcPr>
            <w:tcW w:w="1876" w:type="dxa"/>
            <w:tcBorders>
              <w:top w:val="single" w:sz="4" w:space="0" w:color="auto"/>
              <w:left w:val="nil"/>
              <w:bottom w:val="nil"/>
              <w:right w:val="nil"/>
            </w:tcBorders>
            <w:shd w:val="clear" w:color="auto" w:fill="F2F2F2" w:themeFill="background1" w:themeFillShade="F2"/>
            <w:noWrap/>
            <w:vAlign w:val="center"/>
          </w:tcPr>
          <w:p w14:paraId="237320BE" w14:textId="46FDC005" w:rsidR="00BC5C86" w:rsidRPr="000F59D1" w:rsidRDefault="00BC5C86" w:rsidP="000451BF">
            <w:pPr>
              <w:spacing w:after="0" w:line="240" w:lineRule="auto"/>
              <w:jc w:val="center"/>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-1,4</w:t>
            </w:r>
          </w:p>
        </w:tc>
        <w:tc>
          <w:tcPr>
            <w:tcW w:w="1876" w:type="dxa"/>
            <w:tcBorders>
              <w:top w:val="single" w:sz="4" w:space="0" w:color="auto"/>
              <w:left w:val="nil"/>
              <w:bottom w:val="nil"/>
              <w:right w:val="nil"/>
            </w:tcBorders>
            <w:shd w:val="clear" w:color="auto" w:fill="F2F2F2" w:themeFill="background1" w:themeFillShade="F2"/>
            <w:noWrap/>
            <w:vAlign w:val="center"/>
          </w:tcPr>
          <w:p w14:paraId="12BBD3D8" w14:textId="6868A541" w:rsidR="00BC5C86" w:rsidRPr="000F59D1" w:rsidRDefault="00BC5C86" w:rsidP="000451BF">
            <w:pPr>
              <w:spacing w:after="0" w:line="240" w:lineRule="auto"/>
              <w:jc w:val="center"/>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+0,2</w:t>
            </w:r>
          </w:p>
        </w:tc>
        <w:tc>
          <w:tcPr>
            <w:tcW w:w="1876" w:type="dxa"/>
            <w:tcBorders>
              <w:top w:val="single" w:sz="4" w:space="0" w:color="auto"/>
              <w:left w:val="nil"/>
              <w:bottom w:val="nil"/>
              <w:right w:val="nil"/>
            </w:tcBorders>
            <w:shd w:val="clear" w:color="auto" w:fill="F2F2F2" w:themeFill="background1" w:themeFillShade="F2"/>
            <w:noWrap/>
            <w:vAlign w:val="center"/>
          </w:tcPr>
          <w:p w14:paraId="4ABACF7F" w14:textId="14AAC8DC" w:rsidR="00BC5C86" w:rsidRPr="000F59D1" w:rsidRDefault="00BC5C86" w:rsidP="000451BF">
            <w:pPr>
              <w:spacing w:after="0" w:line="240" w:lineRule="auto"/>
              <w:jc w:val="center"/>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+0,3</w:t>
            </w:r>
          </w:p>
        </w:tc>
        <w:tc>
          <w:tcPr>
            <w:tcW w:w="1876" w:type="dxa"/>
            <w:tcBorders>
              <w:top w:val="single" w:sz="4" w:space="0" w:color="auto"/>
              <w:left w:val="nil"/>
              <w:bottom w:val="nil"/>
              <w:right w:val="nil"/>
            </w:tcBorders>
            <w:shd w:val="clear" w:color="auto" w:fill="F2F2F2" w:themeFill="background1" w:themeFillShade="F2"/>
            <w:noWrap/>
            <w:vAlign w:val="center"/>
          </w:tcPr>
          <w:p w14:paraId="7BB726A8" w14:textId="202331A9" w:rsidR="00BC5C86" w:rsidRPr="000F59D1" w:rsidRDefault="00BC5C86" w:rsidP="000451BF">
            <w:pPr>
              <w:spacing w:after="0" w:line="240" w:lineRule="auto"/>
              <w:jc w:val="center"/>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+0,9</w:t>
            </w:r>
          </w:p>
        </w:tc>
      </w:tr>
    </w:tbl>
    <w:p w14:paraId="4B3375B6" w14:textId="03CCEEF9" w:rsidR="00BC5C86" w:rsidRDefault="00BC5C86">
      <w:pPr>
        <w:spacing w:after="0" w:line="240" w:lineRule="auto"/>
        <w:jc w:val="center"/>
        <w:rPr>
          <w:rFonts w:ascii="Segoe UI" w:eastAsia="Aptos" w:hAnsi="Segoe UI" w:cs="Segoe UI"/>
          <w:i/>
          <w:iCs/>
          <w:kern w:val="2"/>
          <w:sz w:val="20"/>
          <w:szCs w:val="20"/>
          <w14:ligatures w14:val="standardContextual"/>
        </w:rPr>
      </w:pPr>
      <w:r>
        <w:rPr>
          <w:noProof/>
        </w:rPr>
        <w:br/>
      </w:r>
      <w:r w:rsidRPr="00B95F59">
        <w:rPr>
          <w:rFonts w:ascii="Segoe UI" w:eastAsia="Aptos" w:hAnsi="Segoe UI" w:cs="Segoe UI"/>
          <w:i/>
          <w:iCs/>
          <w:kern w:val="2"/>
          <w:sz w:val="20"/>
          <w:szCs w:val="20"/>
          <w14:ligatures w14:val="standardContextual"/>
        </w:rPr>
        <w:t xml:space="preserve">Source : </w:t>
      </w:r>
      <w:r>
        <w:rPr>
          <w:rFonts w:ascii="Segoe UI" w:eastAsia="Aptos" w:hAnsi="Segoe UI" w:cs="Segoe UI"/>
          <w:i/>
          <w:iCs/>
          <w:kern w:val="2"/>
          <w:sz w:val="20"/>
          <w:szCs w:val="20"/>
          <w14:ligatures w14:val="standardContextual"/>
        </w:rPr>
        <w:t>FMI, WEO Octobre 2025, WEO Avril 2026</w:t>
      </w:r>
    </w:p>
    <w:p w14:paraId="67F8798E" w14:textId="425C3825" w:rsidR="007C702F" w:rsidRDefault="007C702F">
      <w:pPr>
        <w:spacing w:after="0" w:line="240" w:lineRule="auto"/>
        <w:jc w:val="center"/>
        <w:rPr>
          <w:rFonts w:ascii="Segoe UI" w:eastAsia="Aptos" w:hAnsi="Segoe UI" w:cs="Segoe UI"/>
          <w:i/>
          <w:iCs/>
          <w:kern w:val="2"/>
          <w:sz w:val="20"/>
          <w:szCs w:val="20"/>
          <w14:ligatures w14:val="standardContextual"/>
        </w:rPr>
      </w:pPr>
    </w:p>
    <w:p w14:paraId="66E2AB12" w14:textId="20C9C442" w:rsidR="007C702F" w:rsidRDefault="007C702F">
      <w:pPr>
        <w:spacing w:after="0" w:line="240" w:lineRule="auto"/>
        <w:jc w:val="center"/>
        <w:rPr>
          <w:rFonts w:ascii="Segoe UI" w:eastAsia="Aptos" w:hAnsi="Segoe UI" w:cs="Segoe UI"/>
          <w:i/>
          <w:iCs/>
          <w:kern w:val="2"/>
          <w:sz w:val="20"/>
          <w:szCs w:val="20"/>
          <w14:ligatures w14:val="standardContextual"/>
        </w:rPr>
      </w:pPr>
    </w:p>
    <w:p w14:paraId="777ACEF9" w14:textId="3D630CBC" w:rsidR="007C702F" w:rsidRDefault="007C702F">
      <w:pPr>
        <w:spacing w:after="0" w:line="240" w:lineRule="auto"/>
        <w:jc w:val="center"/>
        <w:rPr>
          <w:rFonts w:ascii="Segoe UI" w:eastAsia="Aptos" w:hAnsi="Segoe UI" w:cs="Segoe UI"/>
          <w:i/>
          <w:iCs/>
          <w:kern w:val="2"/>
          <w:sz w:val="20"/>
          <w:szCs w:val="20"/>
          <w14:ligatures w14:val="standardContextual"/>
        </w:rPr>
      </w:pPr>
    </w:p>
    <w:p w14:paraId="1BEC5FE4" w14:textId="56276E44" w:rsidR="007C702F" w:rsidRDefault="007C702F">
      <w:pPr>
        <w:spacing w:after="0" w:line="240" w:lineRule="auto"/>
        <w:jc w:val="center"/>
        <w:rPr>
          <w:rFonts w:ascii="Segoe UI" w:eastAsia="Aptos" w:hAnsi="Segoe UI" w:cs="Segoe UI"/>
          <w:i/>
          <w:iCs/>
          <w:kern w:val="2"/>
          <w:sz w:val="20"/>
          <w:szCs w:val="20"/>
          <w14:ligatures w14:val="standardContextual"/>
        </w:rPr>
      </w:pPr>
    </w:p>
    <w:p w14:paraId="41BE08A2" w14:textId="325E1834" w:rsidR="007C702F" w:rsidRDefault="007C702F">
      <w:pPr>
        <w:spacing w:after="0" w:line="240" w:lineRule="auto"/>
        <w:jc w:val="center"/>
        <w:rPr>
          <w:rFonts w:ascii="Segoe UI" w:eastAsia="Aptos" w:hAnsi="Segoe UI" w:cs="Segoe UI"/>
          <w:i/>
          <w:iCs/>
          <w:kern w:val="2"/>
          <w:sz w:val="20"/>
          <w:szCs w:val="20"/>
          <w14:ligatures w14:val="standardContextual"/>
        </w:rPr>
      </w:pPr>
    </w:p>
    <w:p w14:paraId="4B471D80" w14:textId="74641B96" w:rsidR="00342BDE" w:rsidRPr="002259CB" w:rsidRDefault="007C702F" w:rsidP="002259CB">
      <w:pPr>
        <w:jc w:val="center"/>
        <w:rPr>
          <w:rFonts w:ascii="Segoe UI" w:hAnsi="Segoe UI" w:cs="Segoe UI"/>
          <w:bCs/>
          <w:color w:val="002060"/>
          <w:sz w:val="24"/>
          <w:szCs w:val="28"/>
        </w:rPr>
      </w:pPr>
      <w:r w:rsidRPr="00103857">
        <w:rPr>
          <w:rFonts w:ascii="Segoe UI" w:hAnsi="Segoe UI" w:cs="Segoe UI"/>
          <w:bCs/>
          <w:color w:val="002060"/>
          <w:sz w:val="24"/>
          <w:szCs w:val="28"/>
        </w:rPr>
        <w:t>NOTES</w:t>
      </w:r>
      <w:r>
        <w:rPr>
          <w:rFonts w:ascii="Segoe UI" w:hAnsi="Segoe UI" w:cs="Segoe UI"/>
          <w:bCs/>
          <w:color w:val="002060"/>
          <w:sz w:val="24"/>
          <w:szCs w:val="28"/>
        </w:rPr>
        <w:t xml:space="preserve"> DE FIN</w:t>
      </w:r>
    </w:p>
    <w:sectPr w:rsidR="00342BDE" w:rsidRPr="002259CB" w:rsidSect="000451BF">
      <w:endnotePr>
        <w:numFmt w:val="decimal"/>
      </w:endnotePr>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893F6" w14:textId="77777777" w:rsidR="00D30E8D" w:rsidRDefault="00D30E8D" w:rsidP="001C2361">
      <w:pPr>
        <w:spacing w:after="0" w:line="240" w:lineRule="auto"/>
      </w:pPr>
      <w:r>
        <w:separator/>
      </w:r>
    </w:p>
  </w:endnote>
  <w:endnote w:type="continuationSeparator" w:id="0">
    <w:p w14:paraId="424B4034" w14:textId="77777777" w:rsidR="00D30E8D" w:rsidRDefault="00D30E8D" w:rsidP="001C2361">
      <w:pPr>
        <w:spacing w:after="0" w:line="240" w:lineRule="auto"/>
      </w:pPr>
      <w:r>
        <w:continuationSeparator/>
      </w:r>
    </w:p>
  </w:endnote>
  <w:endnote w:id="1">
    <w:p w14:paraId="4AE6F528" w14:textId="00E24EB3" w:rsidR="003602DC" w:rsidRDefault="003602DC">
      <w:pPr>
        <w:pStyle w:val="Notedefin"/>
      </w:pPr>
      <w:r>
        <w:rPr>
          <w:rStyle w:val="Appeldenotedefin"/>
        </w:rPr>
        <w:endnoteRef/>
      </w:r>
      <w:r>
        <w:t xml:space="preserve"> </w:t>
      </w:r>
      <w:r w:rsidRPr="004839D4">
        <w:rPr>
          <w:rFonts w:ascii="Segoe UI" w:hAnsi="Segoe UI" w:cs="Segoe UI"/>
          <w:sz w:val="18"/>
          <w:szCs w:val="18"/>
        </w:rPr>
        <w:t>1 800 MW visés à horizon 2030</w:t>
      </w:r>
    </w:p>
  </w:endnote>
  <w:endnote w:id="2">
    <w:p w14:paraId="5FB483AD" w14:textId="3F6574C8" w:rsidR="007C702F" w:rsidRDefault="007C702F">
      <w:pPr>
        <w:pStyle w:val="Notedefin"/>
      </w:pPr>
      <w:r>
        <w:rPr>
          <w:rStyle w:val="Appeldenotedefin"/>
        </w:rPr>
        <w:endnoteRef/>
      </w:r>
      <w:r>
        <w:t xml:space="preserve"> </w:t>
      </w:r>
      <w:r w:rsidRPr="000451BF">
        <w:rPr>
          <w:rFonts w:ascii="Segoe UI" w:hAnsi="Segoe UI" w:cs="Segoe UI"/>
          <w:i/>
          <w:iCs/>
          <w:sz w:val="18"/>
          <w:szCs w:val="18"/>
        </w:rPr>
        <w:t>Fitch Ratings, « Saudi Banks’ Vision 2030 Giga-Project Exposure Limited but Growing », février 2026</w:t>
      </w:r>
    </w:p>
  </w:endnote>
  <w:endnote w:id="3">
    <w:p w14:paraId="48BA89E0" w14:textId="0B251A50" w:rsidR="007C702F" w:rsidRDefault="007C702F">
      <w:pPr>
        <w:pStyle w:val="Notedefin"/>
      </w:pPr>
      <w:r>
        <w:rPr>
          <w:rStyle w:val="Appeldenotedefin"/>
        </w:rPr>
        <w:endnoteRef/>
      </w:r>
      <w:r>
        <w:t xml:space="preserve"> </w:t>
      </w:r>
      <w:r w:rsidRPr="000451BF">
        <w:rPr>
          <w:rFonts w:ascii="Segoe UI" w:hAnsi="Segoe UI" w:cs="Segoe UI"/>
          <w:sz w:val="18"/>
          <w:szCs w:val="18"/>
        </w:rPr>
        <w:t>S&amp;P Global Ratings, revue de notation souveraine de l’Arabie saoudite, mars 2026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rianne Light">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Times New Roman (Corps CS)">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F9CC" w14:textId="77777777" w:rsidR="00D30E8D" w:rsidRDefault="00D30E8D" w:rsidP="001C2361">
      <w:pPr>
        <w:spacing w:after="0" w:line="240" w:lineRule="auto"/>
      </w:pPr>
      <w:r>
        <w:separator/>
      </w:r>
    </w:p>
  </w:footnote>
  <w:footnote w:type="continuationSeparator" w:id="0">
    <w:p w14:paraId="0B9BB5EE" w14:textId="77777777" w:rsidR="00D30E8D" w:rsidRDefault="00D30E8D"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20945E0"/>
    <w:multiLevelType w:val="hybridMultilevel"/>
    <w:tmpl w:val="2E3062B8"/>
    <w:lvl w:ilvl="0" w:tplc="BCBCF3C6">
      <w:start w:val="1"/>
      <w:numFmt w:val="decimal"/>
      <w:lvlText w:val="%1."/>
      <w:lvlJc w:val="left"/>
      <w:pPr>
        <w:ind w:left="360" w:hanging="360"/>
      </w:pPr>
      <w:rPr>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3C024A54"/>
    <w:multiLevelType w:val="hybridMultilevel"/>
    <w:tmpl w:val="E228AC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391E7E"/>
    <w:multiLevelType w:val="hybridMultilevel"/>
    <w:tmpl w:val="2A3A7FEE"/>
    <w:lvl w:ilvl="0" w:tplc="53E83E56">
      <w:start w:val="1"/>
      <w:numFmt w:val="decimal"/>
      <w:lvlText w:val="%1."/>
      <w:lvlJc w:val="left"/>
      <w:pPr>
        <w:ind w:left="720" w:hanging="360"/>
      </w:pPr>
      <w:rPr>
        <w:rFonts w:asciiTheme="minorHAnsi" w:eastAsia="Times New Roman" w:hAnsiTheme="minorHAnsi" w:cstheme="minorHAnsi"/>
        <w:b/>
        <w:i w:val="0"/>
        <w:iCs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8B4264"/>
    <w:multiLevelType w:val="hybridMultilevel"/>
    <w:tmpl w:val="376807C6"/>
    <w:lvl w:ilvl="0" w:tplc="0BA07E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F9931C8"/>
    <w:multiLevelType w:val="hybridMultilevel"/>
    <w:tmpl w:val="B8948794"/>
    <w:lvl w:ilvl="0" w:tplc="9EF48F5A">
      <w:start w:val="1"/>
      <w:numFmt w:val="decimal"/>
      <w:pStyle w:val="Titre02"/>
      <w:lvlText w:val="%1."/>
      <w:lvlJc w:val="left"/>
      <w:pPr>
        <w:ind w:left="433" w:hanging="360"/>
      </w:pPr>
      <w:rPr>
        <w:rFonts w:ascii="Segoe UI" w:hAnsi="Segoe UI" w:cs="Segoe UI" w:hint="default"/>
        <w:b/>
        <w:color w:val="000091"/>
        <w:sz w:val="20"/>
        <w:szCs w:val="20"/>
      </w:rPr>
    </w:lvl>
    <w:lvl w:ilvl="1" w:tplc="040C0019" w:tentative="1">
      <w:start w:val="1"/>
      <w:numFmt w:val="lowerLetter"/>
      <w:lvlText w:val="%2."/>
      <w:lvlJc w:val="left"/>
      <w:pPr>
        <w:ind w:left="1153" w:hanging="360"/>
      </w:pPr>
    </w:lvl>
    <w:lvl w:ilvl="2" w:tplc="040C001B" w:tentative="1">
      <w:start w:val="1"/>
      <w:numFmt w:val="lowerRoman"/>
      <w:lvlText w:val="%3."/>
      <w:lvlJc w:val="right"/>
      <w:pPr>
        <w:ind w:left="1873" w:hanging="180"/>
      </w:pPr>
    </w:lvl>
    <w:lvl w:ilvl="3" w:tplc="040C000F" w:tentative="1">
      <w:start w:val="1"/>
      <w:numFmt w:val="decimal"/>
      <w:lvlText w:val="%4."/>
      <w:lvlJc w:val="left"/>
      <w:pPr>
        <w:ind w:left="2593" w:hanging="360"/>
      </w:pPr>
    </w:lvl>
    <w:lvl w:ilvl="4" w:tplc="040C0019" w:tentative="1">
      <w:start w:val="1"/>
      <w:numFmt w:val="lowerLetter"/>
      <w:lvlText w:val="%5."/>
      <w:lvlJc w:val="left"/>
      <w:pPr>
        <w:ind w:left="3313" w:hanging="360"/>
      </w:pPr>
    </w:lvl>
    <w:lvl w:ilvl="5" w:tplc="040C001B" w:tentative="1">
      <w:start w:val="1"/>
      <w:numFmt w:val="lowerRoman"/>
      <w:lvlText w:val="%6."/>
      <w:lvlJc w:val="right"/>
      <w:pPr>
        <w:ind w:left="4033" w:hanging="180"/>
      </w:pPr>
    </w:lvl>
    <w:lvl w:ilvl="6" w:tplc="040C000F" w:tentative="1">
      <w:start w:val="1"/>
      <w:numFmt w:val="decimal"/>
      <w:lvlText w:val="%7."/>
      <w:lvlJc w:val="left"/>
      <w:pPr>
        <w:ind w:left="4753" w:hanging="360"/>
      </w:pPr>
    </w:lvl>
    <w:lvl w:ilvl="7" w:tplc="040C0019" w:tentative="1">
      <w:start w:val="1"/>
      <w:numFmt w:val="lowerLetter"/>
      <w:lvlText w:val="%8."/>
      <w:lvlJc w:val="left"/>
      <w:pPr>
        <w:ind w:left="5473" w:hanging="360"/>
      </w:pPr>
    </w:lvl>
    <w:lvl w:ilvl="8" w:tplc="040C001B" w:tentative="1">
      <w:start w:val="1"/>
      <w:numFmt w:val="lowerRoman"/>
      <w:lvlText w:val="%9."/>
      <w:lvlJc w:val="right"/>
      <w:pPr>
        <w:ind w:left="6193" w:hanging="180"/>
      </w:pPr>
    </w:lvl>
  </w:abstractNum>
  <w:abstractNum w:abstractNumId="15"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9"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9"/>
  </w:num>
  <w:num w:numId="6">
    <w:abstractNumId w:val="17"/>
  </w:num>
  <w:num w:numId="7">
    <w:abstractNumId w:val="4"/>
  </w:num>
  <w:num w:numId="8">
    <w:abstractNumId w:val="3"/>
  </w:num>
  <w:num w:numId="9">
    <w:abstractNumId w:val="1"/>
  </w:num>
  <w:num w:numId="10">
    <w:abstractNumId w:val="10"/>
  </w:num>
  <w:num w:numId="11">
    <w:abstractNumId w:val="6"/>
  </w:num>
  <w:num w:numId="12">
    <w:abstractNumId w:val="0"/>
  </w:num>
  <w:num w:numId="13">
    <w:abstractNumId w:val="2"/>
  </w:num>
  <w:num w:numId="14">
    <w:abstractNumId w:val="15"/>
  </w:num>
  <w:num w:numId="15">
    <w:abstractNumId w:val="7"/>
  </w:num>
  <w:num w:numId="16">
    <w:abstractNumId w:val="5"/>
  </w:num>
  <w:num w:numId="17">
    <w:abstractNumId w:val="14"/>
  </w:num>
  <w:num w:numId="18">
    <w:abstractNumId w:val="12"/>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210E"/>
    <w:rsid w:val="000036D8"/>
    <w:rsid w:val="00005A36"/>
    <w:rsid w:val="000064C1"/>
    <w:rsid w:val="00006D9E"/>
    <w:rsid w:val="00006E50"/>
    <w:rsid w:val="000072F5"/>
    <w:rsid w:val="0000787E"/>
    <w:rsid w:val="00007A8E"/>
    <w:rsid w:val="00012069"/>
    <w:rsid w:val="00014CA5"/>
    <w:rsid w:val="00016336"/>
    <w:rsid w:val="00020EE2"/>
    <w:rsid w:val="00022220"/>
    <w:rsid w:val="00022880"/>
    <w:rsid w:val="00022F44"/>
    <w:rsid w:val="00022FF0"/>
    <w:rsid w:val="000259FC"/>
    <w:rsid w:val="00031533"/>
    <w:rsid w:val="00032720"/>
    <w:rsid w:val="000451BF"/>
    <w:rsid w:val="00045CF8"/>
    <w:rsid w:val="00050225"/>
    <w:rsid w:val="000534EC"/>
    <w:rsid w:val="00061053"/>
    <w:rsid w:val="00064115"/>
    <w:rsid w:val="00065B2D"/>
    <w:rsid w:val="000676F2"/>
    <w:rsid w:val="00071946"/>
    <w:rsid w:val="00071F97"/>
    <w:rsid w:val="000763B3"/>
    <w:rsid w:val="000769F6"/>
    <w:rsid w:val="00080037"/>
    <w:rsid w:val="00080733"/>
    <w:rsid w:val="000835E6"/>
    <w:rsid w:val="000954E8"/>
    <w:rsid w:val="00097777"/>
    <w:rsid w:val="000A1918"/>
    <w:rsid w:val="000A26B5"/>
    <w:rsid w:val="000B4CE9"/>
    <w:rsid w:val="000C5048"/>
    <w:rsid w:val="000E1E2F"/>
    <w:rsid w:val="000E28FD"/>
    <w:rsid w:val="000E7793"/>
    <w:rsid w:val="000F2C4E"/>
    <w:rsid w:val="00100569"/>
    <w:rsid w:val="00100C95"/>
    <w:rsid w:val="001105E1"/>
    <w:rsid w:val="001109EF"/>
    <w:rsid w:val="00111C32"/>
    <w:rsid w:val="00112DFF"/>
    <w:rsid w:val="001142D0"/>
    <w:rsid w:val="00115C70"/>
    <w:rsid w:val="00117E89"/>
    <w:rsid w:val="0012430D"/>
    <w:rsid w:val="00134DE8"/>
    <w:rsid w:val="001360A8"/>
    <w:rsid w:val="0014594A"/>
    <w:rsid w:val="001469D9"/>
    <w:rsid w:val="00147754"/>
    <w:rsid w:val="001505C0"/>
    <w:rsid w:val="00152C27"/>
    <w:rsid w:val="001632B5"/>
    <w:rsid w:val="00166C57"/>
    <w:rsid w:val="00175E92"/>
    <w:rsid w:val="00184135"/>
    <w:rsid w:val="00190445"/>
    <w:rsid w:val="0019173B"/>
    <w:rsid w:val="0019280B"/>
    <w:rsid w:val="00197C34"/>
    <w:rsid w:val="001A1A43"/>
    <w:rsid w:val="001A1CD5"/>
    <w:rsid w:val="001A3417"/>
    <w:rsid w:val="001A5439"/>
    <w:rsid w:val="001A5A37"/>
    <w:rsid w:val="001A6AA7"/>
    <w:rsid w:val="001B17F6"/>
    <w:rsid w:val="001B1CF0"/>
    <w:rsid w:val="001B4C8A"/>
    <w:rsid w:val="001C100F"/>
    <w:rsid w:val="001C1994"/>
    <w:rsid w:val="001C2361"/>
    <w:rsid w:val="001E4D67"/>
    <w:rsid w:val="001E51EF"/>
    <w:rsid w:val="001E5566"/>
    <w:rsid w:val="001F114D"/>
    <w:rsid w:val="001F235A"/>
    <w:rsid w:val="001F2D7C"/>
    <w:rsid w:val="001F5115"/>
    <w:rsid w:val="00201833"/>
    <w:rsid w:val="00202214"/>
    <w:rsid w:val="00223554"/>
    <w:rsid w:val="00225798"/>
    <w:rsid w:val="002259CB"/>
    <w:rsid w:val="00227FB8"/>
    <w:rsid w:val="002368FD"/>
    <w:rsid w:val="00246C65"/>
    <w:rsid w:val="00247739"/>
    <w:rsid w:val="00250F27"/>
    <w:rsid w:val="002550BB"/>
    <w:rsid w:val="00255F30"/>
    <w:rsid w:val="002566FB"/>
    <w:rsid w:val="00257E48"/>
    <w:rsid w:val="00260F31"/>
    <w:rsid w:val="002639B4"/>
    <w:rsid w:val="002723A6"/>
    <w:rsid w:val="002762C9"/>
    <w:rsid w:val="00277486"/>
    <w:rsid w:val="00281BCD"/>
    <w:rsid w:val="00291A4D"/>
    <w:rsid w:val="002C5150"/>
    <w:rsid w:val="002D13A2"/>
    <w:rsid w:val="002D4C04"/>
    <w:rsid w:val="002E406E"/>
    <w:rsid w:val="002E6890"/>
    <w:rsid w:val="002E7383"/>
    <w:rsid w:val="002F210F"/>
    <w:rsid w:val="0030017B"/>
    <w:rsid w:val="00301021"/>
    <w:rsid w:val="0030148A"/>
    <w:rsid w:val="00303BF3"/>
    <w:rsid w:val="003076B8"/>
    <w:rsid w:val="00313C65"/>
    <w:rsid w:val="00317870"/>
    <w:rsid w:val="00323A4A"/>
    <w:rsid w:val="003257BD"/>
    <w:rsid w:val="0033036F"/>
    <w:rsid w:val="00330428"/>
    <w:rsid w:val="00332310"/>
    <w:rsid w:val="003339CE"/>
    <w:rsid w:val="003407BF"/>
    <w:rsid w:val="00341E94"/>
    <w:rsid w:val="00341EC1"/>
    <w:rsid w:val="00342BDE"/>
    <w:rsid w:val="00343135"/>
    <w:rsid w:val="00344131"/>
    <w:rsid w:val="00347F9E"/>
    <w:rsid w:val="00351E1C"/>
    <w:rsid w:val="00357A1D"/>
    <w:rsid w:val="003602DC"/>
    <w:rsid w:val="003637D4"/>
    <w:rsid w:val="00363AD8"/>
    <w:rsid w:val="003659B3"/>
    <w:rsid w:val="00373666"/>
    <w:rsid w:val="00375455"/>
    <w:rsid w:val="00377143"/>
    <w:rsid w:val="00377431"/>
    <w:rsid w:val="003847EC"/>
    <w:rsid w:val="003A1D94"/>
    <w:rsid w:val="003A7EB8"/>
    <w:rsid w:val="003B080B"/>
    <w:rsid w:val="003B1A22"/>
    <w:rsid w:val="003B33D3"/>
    <w:rsid w:val="003B70C0"/>
    <w:rsid w:val="003C5734"/>
    <w:rsid w:val="003C5D73"/>
    <w:rsid w:val="003D2AD3"/>
    <w:rsid w:val="003D53EB"/>
    <w:rsid w:val="003D5550"/>
    <w:rsid w:val="003D5AA0"/>
    <w:rsid w:val="003D6537"/>
    <w:rsid w:val="003E005B"/>
    <w:rsid w:val="003E28FD"/>
    <w:rsid w:val="003E4F4C"/>
    <w:rsid w:val="003F1CBE"/>
    <w:rsid w:val="0040330E"/>
    <w:rsid w:val="00406D60"/>
    <w:rsid w:val="0040784A"/>
    <w:rsid w:val="00415F39"/>
    <w:rsid w:val="00421586"/>
    <w:rsid w:val="00426D96"/>
    <w:rsid w:val="0042774D"/>
    <w:rsid w:val="004311AF"/>
    <w:rsid w:val="004372C1"/>
    <w:rsid w:val="00444D96"/>
    <w:rsid w:val="004460A1"/>
    <w:rsid w:val="00450D25"/>
    <w:rsid w:val="00450D73"/>
    <w:rsid w:val="00452C51"/>
    <w:rsid w:val="00457B18"/>
    <w:rsid w:val="00463378"/>
    <w:rsid w:val="004636D2"/>
    <w:rsid w:val="004700CD"/>
    <w:rsid w:val="0047020A"/>
    <w:rsid w:val="004716CD"/>
    <w:rsid w:val="00471702"/>
    <w:rsid w:val="00472C6F"/>
    <w:rsid w:val="004839D4"/>
    <w:rsid w:val="004908E5"/>
    <w:rsid w:val="00490B3C"/>
    <w:rsid w:val="0049414C"/>
    <w:rsid w:val="00496D10"/>
    <w:rsid w:val="004A28DB"/>
    <w:rsid w:val="004A5916"/>
    <w:rsid w:val="004C3273"/>
    <w:rsid w:val="004C413C"/>
    <w:rsid w:val="004D37BE"/>
    <w:rsid w:val="004D444C"/>
    <w:rsid w:val="004D5D1B"/>
    <w:rsid w:val="004D7C76"/>
    <w:rsid w:val="004E6C1A"/>
    <w:rsid w:val="004E6DB3"/>
    <w:rsid w:val="004E7972"/>
    <w:rsid w:val="004F211B"/>
    <w:rsid w:val="00505A02"/>
    <w:rsid w:val="005077FB"/>
    <w:rsid w:val="00516FA7"/>
    <w:rsid w:val="0051711E"/>
    <w:rsid w:val="00530EDA"/>
    <w:rsid w:val="00532611"/>
    <w:rsid w:val="00532CDF"/>
    <w:rsid w:val="00532CE3"/>
    <w:rsid w:val="00533C10"/>
    <w:rsid w:val="005344AE"/>
    <w:rsid w:val="0054127E"/>
    <w:rsid w:val="00541AB4"/>
    <w:rsid w:val="00543CA9"/>
    <w:rsid w:val="00545FE6"/>
    <w:rsid w:val="00557E89"/>
    <w:rsid w:val="00560DC6"/>
    <w:rsid w:val="00561CC4"/>
    <w:rsid w:val="005633DE"/>
    <w:rsid w:val="00564B65"/>
    <w:rsid w:val="0056696C"/>
    <w:rsid w:val="005675C0"/>
    <w:rsid w:val="00570D3F"/>
    <w:rsid w:val="00571D0B"/>
    <w:rsid w:val="00575F99"/>
    <w:rsid w:val="005806A2"/>
    <w:rsid w:val="00584799"/>
    <w:rsid w:val="00590894"/>
    <w:rsid w:val="00591EEF"/>
    <w:rsid w:val="0059242E"/>
    <w:rsid w:val="00594F70"/>
    <w:rsid w:val="00595003"/>
    <w:rsid w:val="005A1ECF"/>
    <w:rsid w:val="005A3956"/>
    <w:rsid w:val="005A5D69"/>
    <w:rsid w:val="005B01E6"/>
    <w:rsid w:val="005B28D9"/>
    <w:rsid w:val="005B3D40"/>
    <w:rsid w:val="005B74A2"/>
    <w:rsid w:val="005C4347"/>
    <w:rsid w:val="005C54FA"/>
    <w:rsid w:val="005D4527"/>
    <w:rsid w:val="005E2629"/>
    <w:rsid w:val="005E6FED"/>
    <w:rsid w:val="005F0294"/>
    <w:rsid w:val="005F0F10"/>
    <w:rsid w:val="005F3966"/>
    <w:rsid w:val="005F3A8F"/>
    <w:rsid w:val="005F6235"/>
    <w:rsid w:val="00610942"/>
    <w:rsid w:val="00616EE2"/>
    <w:rsid w:val="00627753"/>
    <w:rsid w:val="00632692"/>
    <w:rsid w:val="00641868"/>
    <w:rsid w:val="00643C1C"/>
    <w:rsid w:val="0064478F"/>
    <w:rsid w:val="006477A2"/>
    <w:rsid w:val="006600F3"/>
    <w:rsid w:val="00670A5D"/>
    <w:rsid w:val="00673BBF"/>
    <w:rsid w:val="00691B84"/>
    <w:rsid w:val="00691F55"/>
    <w:rsid w:val="00694337"/>
    <w:rsid w:val="006A0293"/>
    <w:rsid w:val="006A19DE"/>
    <w:rsid w:val="006A3795"/>
    <w:rsid w:val="006B2270"/>
    <w:rsid w:val="006B4AE0"/>
    <w:rsid w:val="006B5511"/>
    <w:rsid w:val="006C5703"/>
    <w:rsid w:val="006C77FC"/>
    <w:rsid w:val="006D02AE"/>
    <w:rsid w:val="006D0F40"/>
    <w:rsid w:val="006D209E"/>
    <w:rsid w:val="006D280B"/>
    <w:rsid w:val="006D4B79"/>
    <w:rsid w:val="006D4D83"/>
    <w:rsid w:val="006E40BB"/>
    <w:rsid w:val="006E6805"/>
    <w:rsid w:val="006E6FA7"/>
    <w:rsid w:val="006F2E9C"/>
    <w:rsid w:val="006F4CCE"/>
    <w:rsid w:val="006F6043"/>
    <w:rsid w:val="007063B2"/>
    <w:rsid w:val="00706D2B"/>
    <w:rsid w:val="00713D95"/>
    <w:rsid w:val="00714894"/>
    <w:rsid w:val="007209E2"/>
    <w:rsid w:val="007241D4"/>
    <w:rsid w:val="00727D83"/>
    <w:rsid w:val="00731885"/>
    <w:rsid w:val="007320E3"/>
    <w:rsid w:val="0073377D"/>
    <w:rsid w:val="00733B08"/>
    <w:rsid w:val="00733CCE"/>
    <w:rsid w:val="007355E0"/>
    <w:rsid w:val="00741929"/>
    <w:rsid w:val="00743DD2"/>
    <w:rsid w:val="00745853"/>
    <w:rsid w:val="00752C86"/>
    <w:rsid w:val="00754E7E"/>
    <w:rsid w:val="00756314"/>
    <w:rsid w:val="00756A18"/>
    <w:rsid w:val="00763C77"/>
    <w:rsid w:val="007668AF"/>
    <w:rsid w:val="00774858"/>
    <w:rsid w:val="0077520D"/>
    <w:rsid w:val="00776C9A"/>
    <w:rsid w:val="00776D96"/>
    <w:rsid w:val="00777884"/>
    <w:rsid w:val="00781BFC"/>
    <w:rsid w:val="0078229D"/>
    <w:rsid w:val="007855F6"/>
    <w:rsid w:val="00786241"/>
    <w:rsid w:val="00787921"/>
    <w:rsid w:val="00791423"/>
    <w:rsid w:val="007952D4"/>
    <w:rsid w:val="00797604"/>
    <w:rsid w:val="00797B4A"/>
    <w:rsid w:val="007A352F"/>
    <w:rsid w:val="007A7252"/>
    <w:rsid w:val="007B0159"/>
    <w:rsid w:val="007B4BC5"/>
    <w:rsid w:val="007B74A6"/>
    <w:rsid w:val="007C3111"/>
    <w:rsid w:val="007C49EC"/>
    <w:rsid w:val="007C702F"/>
    <w:rsid w:val="007D315E"/>
    <w:rsid w:val="007E1E33"/>
    <w:rsid w:val="007E456F"/>
    <w:rsid w:val="007E6282"/>
    <w:rsid w:val="007E69E5"/>
    <w:rsid w:val="007E6D56"/>
    <w:rsid w:val="007F4001"/>
    <w:rsid w:val="007F55EB"/>
    <w:rsid w:val="007F6278"/>
    <w:rsid w:val="007F632E"/>
    <w:rsid w:val="008029D3"/>
    <w:rsid w:val="00816CD2"/>
    <w:rsid w:val="0083359E"/>
    <w:rsid w:val="00836623"/>
    <w:rsid w:val="0084238C"/>
    <w:rsid w:val="00847CE8"/>
    <w:rsid w:val="0086512A"/>
    <w:rsid w:val="00867BAB"/>
    <w:rsid w:val="0087198F"/>
    <w:rsid w:val="00872358"/>
    <w:rsid w:val="00872D78"/>
    <w:rsid w:val="0088232B"/>
    <w:rsid w:val="00890E59"/>
    <w:rsid w:val="008918AF"/>
    <w:rsid w:val="008924BF"/>
    <w:rsid w:val="00897891"/>
    <w:rsid w:val="00897B5F"/>
    <w:rsid w:val="008A299F"/>
    <w:rsid w:val="008A3AD5"/>
    <w:rsid w:val="008A72AC"/>
    <w:rsid w:val="008B3E48"/>
    <w:rsid w:val="008B5858"/>
    <w:rsid w:val="008B67F6"/>
    <w:rsid w:val="008B697B"/>
    <w:rsid w:val="008E048F"/>
    <w:rsid w:val="008E1707"/>
    <w:rsid w:val="008E3942"/>
    <w:rsid w:val="008E518B"/>
    <w:rsid w:val="008E5C34"/>
    <w:rsid w:val="008E62D4"/>
    <w:rsid w:val="008E7FA6"/>
    <w:rsid w:val="008F1B00"/>
    <w:rsid w:val="008F4DB3"/>
    <w:rsid w:val="008F7A1E"/>
    <w:rsid w:val="00906A50"/>
    <w:rsid w:val="00912B2F"/>
    <w:rsid w:val="0091468F"/>
    <w:rsid w:val="00920915"/>
    <w:rsid w:val="009210BC"/>
    <w:rsid w:val="009233E1"/>
    <w:rsid w:val="00924359"/>
    <w:rsid w:val="00924ECB"/>
    <w:rsid w:val="0092634F"/>
    <w:rsid w:val="00940326"/>
    <w:rsid w:val="00940999"/>
    <w:rsid w:val="00952A36"/>
    <w:rsid w:val="00956031"/>
    <w:rsid w:val="00957E6E"/>
    <w:rsid w:val="00965841"/>
    <w:rsid w:val="0096625D"/>
    <w:rsid w:val="0097135D"/>
    <w:rsid w:val="00971B84"/>
    <w:rsid w:val="009770F2"/>
    <w:rsid w:val="00981726"/>
    <w:rsid w:val="00985384"/>
    <w:rsid w:val="009854A7"/>
    <w:rsid w:val="00985A53"/>
    <w:rsid w:val="00985B96"/>
    <w:rsid w:val="00987304"/>
    <w:rsid w:val="0099544A"/>
    <w:rsid w:val="009A1D33"/>
    <w:rsid w:val="009A5CB7"/>
    <w:rsid w:val="009B7B40"/>
    <w:rsid w:val="009B7F35"/>
    <w:rsid w:val="009C0891"/>
    <w:rsid w:val="009C47FD"/>
    <w:rsid w:val="009C7BD3"/>
    <w:rsid w:val="009D2C6C"/>
    <w:rsid w:val="009D65B6"/>
    <w:rsid w:val="009E54A7"/>
    <w:rsid w:val="009E6E82"/>
    <w:rsid w:val="009F118B"/>
    <w:rsid w:val="00A0197D"/>
    <w:rsid w:val="00A023D6"/>
    <w:rsid w:val="00A073CB"/>
    <w:rsid w:val="00A0743B"/>
    <w:rsid w:val="00A113D3"/>
    <w:rsid w:val="00A164E0"/>
    <w:rsid w:val="00A16E6F"/>
    <w:rsid w:val="00A2007D"/>
    <w:rsid w:val="00A233D7"/>
    <w:rsid w:val="00A23535"/>
    <w:rsid w:val="00A27EA0"/>
    <w:rsid w:val="00A35142"/>
    <w:rsid w:val="00A413F3"/>
    <w:rsid w:val="00A43FCB"/>
    <w:rsid w:val="00A53FBD"/>
    <w:rsid w:val="00A66270"/>
    <w:rsid w:val="00A869B5"/>
    <w:rsid w:val="00A92617"/>
    <w:rsid w:val="00A929C2"/>
    <w:rsid w:val="00A97B22"/>
    <w:rsid w:val="00AA020A"/>
    <w:rsid w:val="00AA4A8C"/>
    <w:rsid w:val="00AA5DA2"/>
    <w:rsid w:val="00AA684E"/>
    <w:rsid w:val="00AB0D30"/>
    <w:rsid w:val="00AB3252"/>
    <w:rsid w:val="00AB3358"/>
    <w:rsid w:val="00AB48A8"/>
    <w:rsid w:val="00AC17E1"/>
    <w:rsid w:val="00AC1BCE"/>
    <w:rsid w:val="00AC23B0"/>
    <w:rsid w:val="00AC398F"/>
    <w:rsid w:val="00AD0B62"/>
    <w:rsid w:val="00AD10B4"/>
    <w:rsid w:val="00AD79C8"/>
    <w:rsid w:val="00AE00C8"/>
    <w:rsid w:val="00AE21E3"/>
    <w:rsid w:val="00AE6338"/>
    <w:rsid w:val="00AE784D"/>
    <w:rsid w:val="00B02AE3"/>
    <w:rsid w:val="00B0452E"/>
    <w:rsid w:val="00B13955"/>
    <w:rsid w:val="00B16C2B"/>
    <w:rsid w:val="00B173D7"/>
    <w:rsid w:val="00B30489"/>
    <w:rsid w:val="00B343C4"/>
    <w:rsid w:val="00B36994"/>
    <w:rsid w:val="00B454D0"/>
    <w:rsid w:val="00B507A0"/>
    <w:rsid w:val="00B574B8"/>
    <w:rsid w:val="00B6555F"/>
    <w:rsid w:val="00B7049E"/>
    <w:rsid w:val="00B75F9A"/>
    <w:rsid w:val="00B80EBB"/>
    <w:rsid w:val="00B83253"/>
    <w:rsid w:val="00B86629"/>
    <w:rsid w:val="00B86A64"/>
    <w:rsid w:val="00B91BA9"/>
    <w:rsid w:val="00B93979"/>
    <w:rsid w:val="00B95CDB"/>
    <w:rsid w:val="00B95F59"/>
    <w:rsid w:val="00BA5EF8"/>
    <w:rsid w:val="00BA6FFA"/>
    <w:rsid w:val="00BA7283"/>
    <w:rsid w:val="00BB069D"/>
    <w:rsid w:val="00BB12C7"/>
    <w:rsid w:val="00BC5C86"/>
    <w:rsid w:val="00BD7C99"/>
    <w:rsid w:val="00BE3B13"/>
    <w:rsid w:val="00BE6911"/>
    <w:rsid w:val="00BE7CCA"/>
    <w:rsid w:val="00BF1EC0"/>
    <w:rsid w:val="00BF4E9B"/>
    <w:rsid w:val="00C055DD"/>
    <w:rsid w:val="00C10609"/>
    <w:rsid w:val="00C17508"/>
    <w:rsid w:val="00C179AD"/>
    <w:rsid w:val="00C208AA"/>
    <w:rsid w:val="00C264C8"/>
    <w:rsid w:val="00C26A1B"/>
    <w:rsid w:val="00C339B8"/>
    <w:rsid w:val="00C343A2"/>
    <w:rsid w:val="00C34A5E"/>
    <w:rsid w:val="00C3555F"/>
    <w:rsid w:val="00C41E6D"/>
    <w:rsid w:val="00C42AD3"/>
    <w:rsid w:val="00C43876"/>
    <w:rsid w:val="00C505A6"/>
    <w:rsid w:val="00C61DF8"/>
    <w:rsid w:val="00C63DC2"/>
    <w:rsid w:val="00C64E1B"/>
    <w:rsid w:val="00C66565"/>
    <w:rsid w:val="00C77142"/>
    <w:rsid w:val="00C84581"/>
    <w:rsid w:val="00C9503E"/>
    <w:rsid w:val="00C9531E"/>
    <w:rsid w:val="00C958A9"/>
    <w:rsid w:val="00C96ADF"/>
    <w:rsid w:val="00CA0084"/>
    <w:rsid w:val="00CA0BF9"/>
    <w:rsid w:val="00CA50BD"/>
    <w:rsid w:val="00CA5F26"/>
    <w:rsid w:val="00CB269A"/>
    <w:rsid w:val="00CB51F4"/>
    <w:rsid w:val="00CC1270"/>
    <w:rsid w:val="00CC3768"/>
    <w:rsid w:val="00CC37AF"/>
    <w:rsid w:val="00CC5DD4"/>
    <w:rsid w:val="00CC7302"/>
    <w:rsid w:val="00CD1F5E"/>
    <w:rsid w:val="00CD6975"/>
    <w:rsid w:val="00CF2A11"/>
    <w:rsid w:val="00CF2CD9"/>
    <w:rsid w:val="00CF49B9"/>
    <w:rsid w:val="00CF5027"/>
    <w:rsid w:val="00D001FE"/>
    <w:rsid w:val="00D03D97"/>
    <w:rsid w:val="00D047A7"/>
    <w:rsid w:val="00D068A9"/>
    <w:rsid w:val="00D11E72"/>
    <w:rsid w:val="00D13547"/>
    <w:rsid w:val="00D17858"/>
    <w:rsid w:val="00D207D0"/>
    <w:rsid w:val="00D21565"/>
    <w:rsid w:val="00D22208"/>
    <w:rsid w:val="00D309B8"/>
    <w:rsid w:val="00D30E8D"/>
    <w:rsid w:val="00D31E33"/>
    <w:rsid w:val="00D4591B"/>
    <w:rsid w:val="00D50EEB"/>
    <w:rsid w:val="00D51969"/>
    <w:rsid w:val="00D54265"/>
    <w:rsid w:val="00D6187C"/>
    <w:rsid w:val="00D647F8"/>
    <w:rsid w:val="00D75547"/>
    <w:rsid w:val="00D7794E"/>
    <w:rsid w:val="00D82E2E"/>
    <w:rsid w:val="00D84EB6"/>
    <w:rsid w:val="00D8590D"/>
    <w:rsid w:val="00D87853"/>
    <w:rsid w:val="00D91814"/>
    <w:rsid w:val="00D9438C"/>
    <w:rsid w:val="00DA218D"/>
    <w:rsid w:val="00DA40AA"/>
    <w:rsid w:val="00DB3A59"/>
    <w:rsid w:val="00DB3E4A"/>
    <w:rsid w:val="00DB3EA8"/>
    <w:rsid w:val="00DB4ABC"/>
    <w:rsid w:val="00DB4B5B"/>
    <w:rsid w:val="00DC35D3"/>
    <w:rsid w:val="00DC7BCE"/>
    <w:rsid w:val="00DD53E7"/>
    <w:rsid w:val="00DE35DA"/>
    <w:rsid w:val="00DE461F"/>
    <w:rsid w:val="00DE5AE7"/>
    <w:rsid w:val="00DF11DE"/>
    <w:rsid w:val="00E01524"/>
    <w:rsid w:val="00E02199"/>
    <w:rsid w:val="00E07DE5"/>
    <w:rsid w:val="00E10D6E"/>
    <w:rsid w:val="00E112DF"/>
    <w:rsid w:val="00E122AE"/>
    <w:rsid w:val="00E12D9E"/>
    <w:rsid w:val="00E1381D"/>
    <w:rsid w:val="00E1776F"/>
    <w:rsid w:val="00E17D80"/>
    <w:rsid w:val="00E2222E"/>
    <w:rsid w:val="00E23C6C"/>
    <w:rsid w:val="00E273AF"/>
    <w:rsid w:val="00E40931"/>
    <w:rsid w:val="00E41F11"/>
    <w:rsid w:val="00E44BEE"/>
    <w:rsid w:val="00E52FB2"/>
    <w:rsid w:val="00E54B00"/>
    <w:rsid w:val="00E55039"/>
    <w:rsid w:val="00E66406"/>
    <w:rsid w:val="00E707E0"/>
    <w:rsid w:val="00E73D15"/>
    <w:rsid w:val="00E769C2"/>
    <w:rsid w:val="00E81403"/>
    <w:rsid w:val="00E86253"/>
    <w:rsid w:val="00E909BE"/>
    <w:rsid w:val="00E94014"/>
    <w:rsid w:val="00E95F3D"/>
    <w:rsid w:val="00EA259A"/>
    <w:rsid w:val="00EA31C5"/>
    <w:rsid w:val="00EA5EAA"/>
    <w:rsid w:val="00EA5F0E"/>
    <w:rsid w:val="00EA717A"/>
    <w:rsid w:val="00EB0678"/>
    <w:rsid w:val="00EB1A81"/>
    <w:rsid w:val="00EB1FBA"/>
    <w:rsid w:val="00EB312A"/>
    <w:rsid w:val="00EB5D88"/>
    <w:rsid w:val="00EC006E"/>
    <w:rsid w:val="00EC3104"/>
    <w:rsid w:val="00EC6882"/>
    <w:rsid w:val="00EC769F"/>
    <w:rsid w:val="00EC7C6B"/>
    <w:rsid w:val="00ED31D5"/>
    <w:rsid w:val="00ED6BA1"/>
    <w:rsid w:val="00ED7BA8"/>
    <w:rsid w:val="00EF3D2F"/>
    <w:rsid w:val="00EF694D"/>
    <w:rsid w:val="00F01D05"/>
    <w:rsid w:val="00F03BA8"/>
    <w:rsid w:val="00F05AE8"/>
    <w:rsid w:val="00F063F5"/>
    <w:rsid w:val="00F11731"/>
    <w:rsid w:val="00F15ADF"/>
    <w:rsid w:val="00F26F9A"/>
    <w:rsid w:val="00F27924"/>
    <w:rsid w:val="00F31AB0"/>
    <w:rsid w:val="00F32FC3"/>
    <w:rsid w:val="00F4255E"/>
    <w:rsid w:val="00F43D4E"/>
    <w:rsid w:val="00F44858"/>
    <w:rsid w:val="00F4660D"/>
    <w:rsid w:val="00F468E8"/>
    <w:rsid w:val="00F47537"/>
    <w:rsid w:val="00F61170"/>
    <w:rsid w:val="00F6125D"/>
    <w:rsid w:val="00F676DD"/>
    <w:rsid w:val="00F8224A"/>
    <w:rsid w:val="00F84939"/>
    <w:rsid w:val="00F84DAB"/>
    <w:rsid w:val="00F90A47"/>
    <w:rsid w:val="00F93864"/>
    <w:rsid w:val="00F9473B"/>
    <w:rsid w:val="00F94E26"/>
    <w:rsid w:val="00F95667"/>
    <w:rsid w:val="00FA0B2E"/>
    <w:rsid w:val="00FB3378"/>
    <w:rsid w:val="00FC667E"/>
    <w:rsid w:val="00FC7EB0"/>
    <w:rsid w:val="00FD06D8"/>
    <w:rsid w:val="00FD6573"/>
    <w:rsid w:val="00FD6870"/>
    <w:rsid w:val="00FD7798"/>
    <w:rsid w:val="00FE0055"/>
    <w:rsid w:val="00FE0C91"/>
    <w:rsid w:val="00FE0F12"/>
    <w:rsid w:val="00FF680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qFormat/>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unhideWhenUsed/>
    <w:rsid w:val="00981726"/>
    <w:pPr>
      <w:spacing w:line="240" w:lineRule="auto"/>
    </w:pPr>
    <w:rPr>
      <w:sz w:val="20"/>
      <w:szCs w:val="20"/>
    </w:rPr>
  </w:style>
  <w:style w:type="character" w:customStyle="1" w:styleId="CommentaireCar">
    <w:name w:val="Commentaire Car"/>
    <w:basedOn w:val="Policepardfaut"/>
    <w:link w:val="Commentaire"/>
    <w:uiPriority w:val="99"/>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ED6BA1"/>
    <w:pPr>
      <w:numPr>
        <w:numId w:val="17"/>
      </w:numPr>
      <w:spacing w:before="240" w:after="80" w:line="240" w:lineRule="auto"/>
      <w:ind w:left="300" w:hanging="357"/>
      <w:jc w:val="both"/>
    </w:pPr>
    <w:rPr>
      <w:rFonts w:ascii="Segoe UI" w:hAnsi="Segoe UI" w:cs="Segoe UI"/>
      <w:b/>
      <w:color w:val="000091" w:themeColor="text1"/>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ED6BA1"/>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311AF"/>
    <w:pPr>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table" w:customStyle="1" w:styleId="TableauGrille5Fonc-Accentuation11">
    <w:name w:val="Tableau Grille 5 Foncé - Accentuation 11"/>
    <w:basedOn w:val="TableauNormal"/>
    <w:next w:val="TableauGrille5Fonc-Accentuation1"/>
    <w:uiPriority w:val="50"/>
    <w:rsid w:val="00D2220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styleId="TableauGrille5Fonc-Accentuation1">
    <w:name w:val="Grid Table 5 Dark Accent 1"/>
    <w:basedOn w:val="TableauNormal"/>
    <w:uiPriority w:val="50"/>
    <w:rsid w:val="00D222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0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0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0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081" w:themeFill="accent1"/>
      </w:tcPr>
    </w:tblStylePr>
    <w:tblStylePr w:type="band1Vert">
      <w:tblPr/>
      <w:tcPr>
        <w:shd w:val="clear" w:color="auto" w:fill="6CFFEF" w:themeFill="accent1" w:themeFillTint="66"/>
      </w:tcPr>
    </w:tblStylePr>
    <w:tblStylePr w:type="band1Horz">
      <w:tblPr/>
      <w:tcPr>
        <w:shd w:val="clear" w:color="auto" w:fill="6CFFEF" w:themeFill="accent1" w:themeFillTint="66"/>
      </w:tcPr>
    </w:tblStylePr>
  </w:style>
  <w:style w:type="table" w:styleId="Tableausimple1">
    <w:name w:val="Plain Table 1"/>
    <w:basedOn w:val="TableauNormal"/>
    <w:uiPriority w:val="41"/>
    <w:rsid w:val="00EB1A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next w:val="Tableausimple3"/>
    <w:uiPriority w:val="43"/>
    <w:rsid w:val="0083662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ausimple3">
    <w:name w:val="Plain Table 3"/>
    <w:basedOn w:val="TableauNormal"/>
    <w:uiPriority w:val="43"/>
    <w:rsid w:val="00836623"/>
    <w:pPr>
      <w:spacing w:after="0" w:line="240" w:lineRule="auto"/>
    </w:pPr>
    <w:tblPr>
      <w:tblStyleRowBandSize w:val="1"/>
      <w:tblStyleColBandSize w:val="1"/>
    </w:tblPr>
    <w:tblStylePr w:type="firstRow">
      <w:rPr>
        <w:b/>
        <w:bCs/>
        <w:caps/>
      </w:rPr>
      <w:tblPr/>
      <w:tcPr>
        <w:tcBorders>
          <w:bottom w:val="single" w:sz="4" w:space="0" w:color="4747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747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tedebasdepageCar1">
    <w:name w:val="Note de bas de page Car1"/>
    <w:basedOn w:val="Policepardfaut"/>
    <w:uiPriority w:val="99"/>
    <w:semiHidden/>
    <w:rsid w:val="00924359"/>
    <w:rPr>
      <w:sz w:val="20"/>
      <w:szCs w:val="20"/>
    </w:rPr>
  </w:style>
  <w:style w:type="paragraph" w:customStyle="1" w:styleId="Default">
    <w:name w:val="Default"/>
    <w:rsid w:val="00D001FE"/>
    <w:pPr>
      <w:autoSpaceDE w:val="0"/>
      <w:autoSpaceDN w:val="0"/>
      <w:adjustRightInd w:val="0"/>
      <w:spacing w:after="0" w:line="240" w:lineRule="auto"/>
    </w:pPr>
    <w:rPr>
      <w:rFonts w:ascii="Segoe UI" w:hAnsi="Segoe UI" w:cs="Segoe UI"/>
      <w:color w:val="000000"/>
      <w:sz w:val="24"/>
      <w:szCs w:val="24"/>
    </w:rPr>
  </w:style>
  <w:style w:type="table" w:styleId="Tableausimple2">
    <w:name w:val="Plain Table 2"/>
    <w:basedOn w:val="TableauNormal"/>
    <w:uiPriority w:val="42"/>
    <w:rsid w:val="00342BDE"/>
    <w:pPr>
      <w:spacing w:after="0" w:line="240" w:lineRule="auto"/>
    </w:pPr>
    <w:tblPr>
      <w:tblStyleRowBandSize w:val="1"/>
      <w:tblStyleColBandSize w:val="1"/>
      <w:tblBorders>
        <w:top w:val="single" w:sz="4" w:space="0" w:color="4747FF" w:themeColor="text1" w:themeTint="80"/>
        <w:bottom w:val="single" w:sz="4" w:space="0" w:color="4747FF" w:themeColor="text1" w:themeTint="80"/>
      </w:tblBorders>
    </w:tblPr>
    <w:tblStylePr w:type="firstRow">
      <w:rPr>
        <w:b/>
        <w:bCs/>
      </w:rPr>
      <w:tblPr/>
      <w:tcPr>
        <w:tcBorders>
          <w:bottom w:val="single" w:sz="4" w:space="0" w:color="4747FF" w:themeColor="text1" w:themeTint="80"/>
        </w:tcBorders>
      </w:tcPr>
    </w:tblStylePr>
    <w:tblStylePr w:type="lastRow">
      <w:rPr>
        <w:b/>
        <w:bCs/>
      </w:rPr>
      <w:tblPr/>
      <w:tcPr>
        <w:tcBorders>
          <w:top w:val="single" w:sz="4" w:space="0" w:color="4747FF" w:themeColor="text1" w:themeTint="80"/>
        </w:tcBorders>
      </w:tcPr>
    </w:tblStylePr>
    <w:tblStylePr w:type="firstCol">
      <w:rPr>
        <w:b/>
        <w:bCs/>
      </w:rPr>
    </w:tblStylePr>
    <w:tblStylePr w:type="lastCol">
      <w:rPr>
        <w:b/>
        <w:bCs/>
      </w:rPr>
    </w:tblStylePr>
    <w:tblStylePr w:type="band1Vert">
      <w:tblPr/>
      <w:tcPr>
        <w:tcBorders>
          <w:left w:val="single" w:sz="4" w:space="0" w:color="4747FF" w:themeColor="text1" w:themeTint="80"/>
          <w:right w:val="single" w:sz="4" w:space="0" w:color="4747FF" w:themeColor="text1" w:themeTint="80"/>
        </w:tcBorders>
      </w:tcPr>
    </w:tblStylePr>
    <w:tblStylePr w:type="band2Vert">
      <w:tblPr/>
      <w:tcPr>
        <w:tcBorders>
          <w:left w:val="single" w:sz="4" w:space="0" w:color="4747FF" w:themeColor="text1" w:themeTint="80"/>
          <w:right w:val="single" w:sz="4" w:space="0" w:color="4747FF" w:themeColor="text1" w:themeTint="80"/>
        </w:tcBorders>
      </w:tcPr>
    </w:tblStylePr>
    <w:tblStylePr w:type="band1Horz">
      <w:tblPr/>
      <w:tcPr>
        <w:tcBorders>
          <w:top w:val="single" w:sz="4" w:space="0" w:color="4747FF" w:themeColor="text1" w:themeTint="80"/>
          <w:bottom w:val="single" w:sz="4" w:space="0" w:color="4747FF" w:themeColor="text1" w:themeTint="80"/>
        </w:tcBorders>
      </w:tcPr>
    </w:tblStylePr>
  </w:style>
  <w:style w:type="paragraph" w:styleId="Rvision">
    <w:name w:val="Revision"/>
    <w:hidden/>
    <w:uiPriority w:val="99"/>
    <w:semiHidden/>
    <w:rsid w:val="00197C34"/>
    <w:pPr>
      <w:spacing w:after="0" w:line="240" w:lineRule="auto"/>
    </w:pPr>
  </w:style>
  <w:style w:type="character" w:styleId="Mentionnonrsolue">
    <w:name w:val="Unresolved Mention"/>
    <w:basedOn w:val="Policepardfaut"/>
    <w:uiPriority w:val="99"/>
    <w:semiHidden/>
    <w:unhideWhenUsed/>
    <w:rsid w:val="00202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388">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30149680">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624890893">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36823609">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343583810">
      <w:bodyDiv w:val="1"/>
      <w:marLeft w:val="0"/>
      <w:marRight w:val="0"/>
      <w:marTop w:val="0"/>
      <w:marBottom w:val="0"/>
      <w:divBdr>
        <w:top w:val="none" w:sz="0" w:space="0" w:color="auto"/>
        <w:left w:val="none" w:sz="0" w:space="0" w:color="auto"/>
        <w:bottom w:val="none" w:sz="0" w:space="0" w:color="auto"/>
        <w:right w:val="none" w:sz="0" w:space="0" w:color="auto"/>
      </w:divBdr>
    </w:div>
    <w:div w:id="1416781508">
      <w:bodyDiv w:val="1"/>
      <w:marLeft w:val="0"/>
      <w:marRight w:val="0"/>
      <w:marTop w:val="0"/>
      <w:marBottom w:val="0"/>
      <w:divBdr>
        <w:top w:val="none" w:sz="0" w:space="0" w:color="auto"/>
        <w:left w:val="none" w:sz="0" w:space="0" w:color="auto"/>
        <w:bottom w:val="none" w:sz="0" w:space="0" w:color="auto"/>
        <w:right w:val="none" w:sz="0" w:space="0" w:color="auto"/>
      </w:divBdr>
    </w:div>
    <w:div w:id="1517648380">
      <w:bodyDiv w:val="1"/>
      <w:marLeft w:val="0"/>
      <w:marRight w:val="0"/>
      <w:marTop w:val="0"/>
      <w:marBottom w:val="0"/>
      <w:divBdr>
        <w:top w:val="none" w:sz="0" w:space="0" w:color="auto"/>
        <w:left w:val="none" w:sz="0" w:space="0" w:color="auto"/>
        <w:bottom w:val="none" w:sz="0" w:space="0" w:color="auto"/>
        <w:right w:val="none" w:sz="0" w:space="0" w:color="auto"/>
      </w:divBdr>
    </w:div>
    <w:div w:id="1644195827">
      <w:bodyDiv w:val="1"/>
      <w:marLeft w:val="0"/>
      <w:marRight w:val="0"/>
      <w:marTop w:val="0"/>
      <w:marBottom w:val="0"/>
      <w:divBdr>
        <w:top w:val="none" w:sz="0" w:space="0" w:color="auto"/>
        <w:left w:val="none" w:sz="0" w:space="0" w:color="auto"/>
        <w:bottom w:val="none" w:sz="0" w:space="0" w:color="auto"/>
        <w:right w:val="none" w:sz="0" w:space="0" w:color="auto"/>
      </w:divBdr>
    </w:div>
    <w:div w:id="1684282612">
      <w:bodyDiv w:val="1"/>
      <w:marLeft w:val="0"/>
      <w:marRight w:val="0"/>
      <w:marTop w:val="0"/>
      <w:marBottom w:val="0"/>
      <w:divBdr>
        <w:top w:val="none" w:sz="0" w:space="0" w:color="auto"/>
        <w:left w:val="none" w:sz="0" w:space="0" w:color="auto"/>
        <w:bottom w:val="none" w:sz="0" w:space="0" w:color="auto"/>
        <w:right w:val="none" w:sz="0" w:space="0" w:color="auto"/>
      </w:divBdr>
    </w:div>
    <w:div w:id="1745911218">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 w:id="213262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Feuil2!$D$3</c:f>
              <c:strCache>
                <c:ptCount val="1"/>
                <c:pt idx="0">
                  <c:v>Montant attribué (Md USD)</c:v>
                </c:pt>
              </c:strCache>
            </c:strRef>
          </c:tx>
          <c:spPr>
            <a:solidFill>
              <a:srgbClr val="00009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Feuil2!$C$16</c:f>
              <c:strCache>
                <c:ptCount val="1"/>
                <c:pt idx="0">
                  <c:v>NEOM</c:v>
                </c:pt>
              </c:strCache>
            </c:strRef>
          </c:cat>
          <c:val>
            <c:numRef>
              <c:f>Feuil2!$D$16</c:f>
              <c:numCache>
                <c:formatCode>0</c:formatCode>
                <c:ptCount val="1"/>
                <c:pt idx="0">
                  <c:v>41.23</c:v>
                </c:pt>
              </c:numCache>
            </c:numRef>
          </c:val>
          <c:extLst>
            <c:ext xmlns:c16="http://schemas.microsoft.com/office/drawing/2014/chart" uri="{C3380CC4-5D6E-409C-BE32-E72D297353CC}">
              <c16:uniqueId val="{00000000-AE45-4A8A-8CE7-BCA93837D3D3}"/>
            </c:ext>
          </c:extLst>
        </c:ser>
        <c:ser>
          <c:idx val="1"/>
          <c:order val="1"/>
          <c:tx>
            <c:strRef>
              <c:f>Feuil2!$E$3</c:f>
              <c:strCache>
                <c:ptCount val="1"/>
                <c:pt idx="0">
                  <c:v>Montant restant (Md USD)</c:v>
                </c:pt>
              </c:strCache>
            </c:strRef>
          </c:tx>
          <c:spPr>
            <a:solidFill>
              <a:srgbClr val="FFFFFF">
                <a:lumMod val="8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Feuil2!$C$16</c:f>
              <c:strCache>
                <c:ptCount val="1"/>
                <c:pt idx="0">
                  <c:v>NEOM</c:v>
                </c:pt>
              </c:strCache>
            </c:strRef>
          </c:cat>
          <c:val>
            <c:numRef>
              <c:f>Feuil2!$E$16</c:f>
              <c:numCache>
                <c:formatCode>0</c:formatCode>
                <c:ptCount val="1"/>
                <c:pt idx="0">
                  <c:v>458.77</c:v>
                </c:pt>
              </c:numCache>
            </c:numRef>
          </c:val>
          <c:extLst>
            <c:ext xmlns:c16="http://schemas.microsoft.com/office/drawing/2014/chart" uri="{C3380CC4-5D6E-409C-BE32-E72D297353CC}">
              <c16:uniqueId val="{00000001-AE45-4A8A-8CE7-BCA93837D3D3}"/>
            </c:ext>
          </c:extLst>
        </c:ser>
        <c:dLbls>
          <c:showLegendKey val="0"/>
          <c:showVal val="0"/>
          <c:showCatName val="0"/>
          <c:showSerName val="0"/>
          <c:showPercent val="0"/>
          <c:showBubbleSize val="0"/>
        </c:dLbls>
        <c:gapWidth val="150"/>
        <c:overlap val="100"/>
        <c:axId val="592076768"/>
        <c:axId val="592073856"/>
      </c:barChart>
      <c:catAx>
        <c:axId val="59207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592073856"/>
        <c:crosses val="autoZero"/>
        <c:auto val="1"/>
        <c:lblAlgn val="ctr"/>
        <c:lblOffset val="100"/>
        <c:noMultiLvlLbl val="0"/>
      </c:catAx>
      <c:valAx>
        <c:axId val="592073856"/>
        <c:scaling>
          <c:orientation val="minMax"/>
          <c:max val="500"/>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fr-FR"/>
          </a:p>
        </c:txPr>
        <c:crossAx val="592076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 lastClr="FFFFFF">
          <a:lumMod val="95000"/>
        </a:sysClr>
      </a:solidFill>
      <a:round/>
    </a:ln>
    <a:effectLst/>
  </c:spPr>
  <c:txPr>
    <a:bodyPr/>
    <a:lstStyle/>
    <a:p>
      <a:pPr>
        <a:defRP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Feuil2!$D$3</c:f>
              <c:strCache>
                <c:ptCount val="1"/>
                <c:pt idx="0">
                  <c:v>Montant attribué (Md USD)</c:v>
                </c:pt>
              </c:strCache>
            </c:strRef>
          </c:tx>
          <c:spPr>
            <a:solidFill>
              <a:srgbClr val="00009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B347-48BF-9F51-F4890D3BD803}"/>
                </c:ext>
              </c:extLst>
            </c:dLbl>
            <c:dLbl>
              <c:idx val="1"/>
              <c:delete val="1"/>
              <c:extLst>
                <c:ext xmlns:c15="http://schemas.microsoft.com/office/drawing/2012/chart" uri="{CE6537A1-D6FC-4f65-9D91-7224C49458BB}"/>
                <c:ext xmlns:c16="http://schemas.microsoft.com/office/drawing/2014/chart" uri="{C3380CC4-5D6E-409C-BE32-E72D297353CC}">
                  <c16:uniqueId val="{00000001-B347-48BF-9F51-F4890D3BD803}"/>
                </c:ext>
              </c:extLst>
            </c:dLbl>
            <c:dLbl>
              <c:idx val="2"/>
              <c:delete val="1"/>
              <c:extLst>
                <c:ext xmlns:c15="http://schemas.microsoft.com/office/drawing/2012/chart" uri="{CE6537A1-D6FC-4f65-9D91-7224C49458BB}"/>
                <c:ext xmlns:c16="http://schemas.microsoft.com/office/drawing/2014/chart" uri="{C3380CC4-5D6E-409C-BE32-E72D297353CC}">
                  <c16:uniqueId val="{00000002-B347-48BF-9F51-F4890D3BD803}"/>
                </c:ext>
              </c:extLst>
            </c:dLbl>
            <c:dLbl>
              <c:idx val="3"/>
              <c:delete val="1"/>
              <c:extLst>
                <c:ext xmlns:c15="http://schemas.microsoft.com/office/drawing/2012/chart" uri="{CE6537A1-D6FC-4f65-9D91-7224C49458BB}"/>
                <c:ext xmlns:c16="http://schemas.microsoft.com/office/drawing/2014/chart" uri="{C3380CC4-5D6E-409C-BE32-E72D297353CC}">
                  <c16:uniqueId val="{00000003-B347-48BF-9F51-F4890D3BD803}"/>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Feuil2!$C$4:$C$15</c:f>
              <c:strCache>
                <c:ptCount val="12"/>
                <c:pt idx="0">
                  <c:v>New Murabba</c:v>
                </c:pt>
                <c:pt idx="1">
                  <c:v>Al Balad Historic District</c:v>
                </c:pt>
                <c:pt idx="2">
                  <c:v>King Salman International Airport</c:v>
                </c:pt>
                <c:pt idx="3">
                  <c:v>RUA Al Madinah</c:v>
                </c:pt>
                <c:pt idx="4">
                  <c:v>Al Ula</c:v>
                </c:pt>
                <c:pt idx="5">
                  <c:v>Green Riyadh</c:v>
                </c:pt>
                <c:pt idx="6">
                  <c:v>Sports Boulevard</c:v>
                </c:pt>
                <c:pt idx="7">
                  <c:v>King Salman Park</c:v>
                </c:pt>
                <c:pt idx="8">
                  <c:v>ROSHN</c:v>
                </c:pt>
                <c:pt idx="9">
                  <c:v>Qiddiya</c:v>
                </c:pt>
                <c:pt idx="10">
                  <c:v>Red Sea Global</c:v>
                </c:pt>
                <c:pt idx="11">
                  <c:v>Diriyah Gate</c:v>
                </c:pt>
              </c:strCache>
            </c:strRef>
          </c:cat>
          <c:val>
            <c:numRef>
              <c:f>Feuil2!$D$4:$D$15</c:f>
              <c:numCache>
                <c:formatCode>0</c:formatCode>
                <c:ptCount val="12"/>
                <c:pt idx="0">
                  <c:v>0.19</c:v>
                </c:pt>
                <c:pt idx="1">
                  <c:v>0.55000000000000004</c:v>
                </c:pt>
                <c:pt idx="2">
                  <c:v>1.05</c:v>
                </c:pt>
                <c:pt idx="3">
                  <c:v>1.2</c:v>
                </c:pt>
                <c:pt idx="4">
                  <c:v>2.7</c:v>
                </c:pt>
                <c:pt idx="5">
                  <c:v>3.3</c:v>
                </c:pt>
                <c:pt idx="6">
                  <c:v>4.5</c:v>
                </c:pt>
                <c:pt idx="7">
                  <c:v>7.55</c:v>
                </c:pt>
                <c:pt idx="8">
                  <c:v>8.5299999999999994</c:v>
                </c:pt>
                <c:pt idx="9">
                  <c:v>10.7</c:v>
                </c:pt>
                <c:pt idx="10">
                  <c:v>11.5</c:v>
                </c:pt>
                <c:pt idx="11">
                  <c:v>19.5</c:v>
                </c:pt>
              </c:numCache>
            </c:numRef>
          </c:val>
          <c:extLst>
            <c:ext xmlns:c16="http://schemas.microsoft.com/office/drawing/2014/chart" uri="{C3380CC4-5D6E-409C-BE32-E72D297353CC}">
              <c16:uniqueId val="{00000004-B347-48BF-9F51-F4890D3BD803}"/>
            </c:ext>
          </c:extLst>
        </c:ser>
        <c:ser>
          <c:idx val="1"/>
          <c:order val="1"/>
          <c:tx>
            <c:strRef>
              <c:f>Feuil2!$E$3</c:f>
              <c:strCache>
                <c:ptCount val="1"/>
                <c:pt idx="0">
                  <c:v>Montant restant (Md USD)</c:v>
                </c:pt>
              </c:strCache>
            </c:strRef>
          </c:tx>
          <c:spPr>
            <a:solidFill>
              <a:srgbClr val="FFFFFF">
                <a:lumMod val="8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Feuil2!$C$4:$C$15</c:f>
              <c:strCache>
                <c:ptCount val="12"/>
                <c:pt idx="0">
                  <c:v>New Murabba</c:v>
                </c:pt>
                <c:pt idx="1">
                  <c:v>Al Balad Historic District</c:v>
                </c:pt>
                <c:pt idx="2">
                  <c:v>King Salman International Airport</c:v>
                </c:pt>
                <c:pt idx="3">
                  <c:v>RUA Al Madinah</c:v>
                </c:pt>
                <c:pt idx="4">
                  <c:v>Al Ula</c:v>
                </c:pt>
                <c:pt idx="5">
                  <c:v>Green Riyadh</c:v>
                </c:pt>
                <c:pt idx="6">
                  <c:v>Sports Boulevard</c:v>
                </c:pt>
                <c:pt idx="7">
                  <c:v>King Salman Park</c:v>
                </c:pt>
                <c:pt idx="8">
                  <c:v>ROSHN</c:v>
                </c:pt>
                <c:pt idx="9">
                  <c:v>Qiddiya</c:v>
                </c:pt>
                <c:pt idx="10">
                  <c:v>Red Sea Global</c:v>
                </c:pt>
                <c:pt idx="11">
                  <c:v>Diriyah Gate</c:v>
                </c:pt>
              </c:strCache>
            </c:strRef>
          </c:cat>
          <c:val>
            <c:numRef>
              <c:f>Feuil2!$E$4:$E$15</c:f>
              <c:numCache>
                <c:formatCode>0</c:formatCode>
                <c:ptCount val="12"/>
                <c:pt idx="0">
                  <c:v>49.71</c:v>
                </c:pt>
                <c:pt idx="1">
                  <c:v>4.45</c:v>
                </c:pt>
                <c:pt idx="2">
                  <c:v>28.95</c:v>
                </c:pt>
                <c:pt idx="3">
                  <c:v>35.799999999999997</c:v>
                </c:pt>
                <c:pt idx="4">
                  <c:v>12.8</c:v>
                </c:pt>
                <c:pt idx="5">
                  <c:v>19.7</c:v>
                </c:pt>
                <c:pt idx="6">
                  <c:v>4</c:v>
                </c:pt>
                <c:pt idx="7">
                  <c:v>4.1499999999999995</c:v>
                </c:pt>
                <c:pt idx="8">
                  <c:v>39.269999999999996</c:v>
                </c:pt>
                <c:pt idx="9">
                  <c:v>21.500000000000004</c:v>
                </c:pt>
                <c:pt idx="10">
                  <c:v>16.079999999999998</c:v>
                </c:pt>
                <c:pt idx="11">
                  <c:v>43.7</c:v>
                </c:pt>
              </c:numCache>
            </c:numRef>
          </c:val>
          <c:extLst>
            <c:ext xmlns:c16="http://schemas.microsoft.com/office/drawing/2014/chart" uri="{C3380CC4-5D6E-409C-BE32-E72D297353CC}">
              <c16:uniqueId val="{00000005-B347-48BF-9F51-F4890D3BD803}"/>
            </c:ext>
          </c:extLst>
        </c:ser>
        <c:dLbls>
          <c:showLegendKey val="0"/>
          <c:showVal val="0"/>
          <c:showCatName val="0"/>
          <c:showSerName val="0"/>
          <c:showPercent val="0"/>
          <c:showBubbleSize val="0"/>
        </c:dLbls>
        <c:gapWidth val="100"/>
        <c:overlap val="100"/>
        <c:axId val="581439648"/>
        <c:axId val="581437984"/>
      </c:barChart>
      <c:catAx>
        <c:axId val="581439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mn-lt"/>
                <a:ea typeface="+mn-ea"/>
                <a:cs typeface="+mn-cs"/>
              </a:defRPr>
            </a:pPr>
            <a:endParaRPr lang="fr-FR"/>
          </a:p>
        </c:txPr>
        <c:crossAx val="581437984"/>
        <c:crosses val="autoZero"/>
        <c:auto val="1"/>
        <c:lblAlgn val="ctr"/>
        <c:lblOffset val="100"/>
        <c:noMultiLvlLbl val="0"/>
      </c:catAx>
      <c:valAx>
        <c:axId val="581437984"/>
        <c:scaling>
          <c:orientation val="minMax"/>
          <c:max val="70"/>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81439648"/>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rgbClr val="000091"/>
      </a:solidFill>
      <a:round/>
    </a:ln>
    <a:effectLst/>
  </c:spPr>
  <c:txPr>
    <a:bodyPr/>
    <a:lstStyle/>
    <a:p>
      <a:pPr>
        <a:defRPr/>
      </a:pPr>
      <a:endParaRPr lang="fr-F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Feuil2!$K$16</c:f>
              <c:strCache>
                <c:ptCount val="1"/>
                <c:pt idx="0">
                  <c:v>Montant</c:v>
                </c:pt>
              </c:strCache>
            </c:strRef>
          </c:tx>
          <c:spPr>
            <a:solidFill>
              <a:srgbClr val="00009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Feuil2!$J$17:$J$19</c:f>
              <c:numCache>
                <c:formatCode>General</c:formatCode>
                <c:ptCount val="3"/>
                <c:pt idx="0">
                  <c:v>2023</c:v>
                </c:pt>
                <c:pt idx="1">
                  <c:v>2024</c:v>
                </c:pt>
                <c:pt idx="2">
                  <c:v>2025</c:v>
                </c:pt>
              </c:numCache>
            </c:numRef>
          </c:cat>
          <c:val>
            <c:numRef>
              <c:f>Feuil2!$K$17:$K$19</c:f>
              <c:numCache>
                <c:formatCode>General</c:formatCode>
                <c:ptCount val="3"/>
                <c:pt idx="0">
                  <c:v>35.1</c:v>
                </c:pt>
                <c:pt idx="1">
                  <c:v>29.6</c:v>
                </c:pt>
                <c:pt idx="2" formatCode="0.0">
                  <c:v>13</c:v>
                </c:pt>
              </c:numCache>
            </c:numRef>
          </c:val>
          <c:extLst>
            <c:ext xmlns:c16="http://schemas.microsoft.com/office/drawing/2014/chart" uri="{C3380CC4-5D6E-409C-BE32-E72D297353CC}">
              <c16:uniqueId val="{00000000-4D7D-4268-B1E6-AA02ACA1DAFA}"/>
            </c:ext>
          </c:extLst>
        </c:ser>
        <c:dLbls>
          <c:showLegendKey val="0"/>
          <c:showVal val="0"/>
          <c:showCatName val="0"/>
          <c:showSerName val="0"/>
          <c:showPercent val="0"/>
          <c:showBubbleSize val="0"/>
        </c:dLbls>
        <c:gapWidth val="300"/>
        <c:overlap val="-27"/>
        <c:axId val="272527535"/>
        <c:axId val="272521295"/>
      </c:barChart>
      <c:catAx>
        <c:axId val="272527535"/>
        <c:scaling>
          <c:orientation val="minMax"/>
        </c:scaling>
        <c:delete val="0"/>
        <c:axPos val="b"/>
        <c:numFmt formatCode="General" sourceLinked="1"/>
        <c:majorTickMark val="none"/>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272521295"/>
        <c:crosses val="autoZero"/>
        <c:auto val="1"/>
        <c:lblAlgn val="ctr"/>
        <c:lblOffset val="100"/>
        <c:noMultiLvlLbl val="0"/>
      </c:catAx>
      <c:valAx>
        <c:axId val="272521295"/>
        <c:scaling>
          <c:orientation val="minMax"/>
        </c:scaling>
        <c:delete val="1"/>
        <c:axPos val="l"/>
        <c:numFmt formatCode="General" sourceLinked="1"/>
        <c:majorTickMark val="none"/>
        <c:minorTickMark val="none"/>
        <c:tickLblPos val="nextTo"/>
        <c:crossAx val="2725275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89C39-B73A-4C06-BD6A-F911CC7058AB}">
  <ds:schemaRefs>
    <ds:schemaRef ds:uri="http://schemas.microsoft.com/sharepoint/v3/contenttype/forms"/>
  </ds:schemaRefs>
</ds:datastoreItem>
</file>

<file path=customXml/itemProps2.xml><?xml version="1.0" encoding="utf-8"?>
<ds:datastoreItem xmlns:ds="http://schemas.openxmlformats.org/officeDocument/2006/customXml" ds:itemID="{984E70A4-4068-4A2A-B461-0F496D4F37F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4.xml><?xml version="1.0" encoding="utf-8"?>
<ds:datastoreItem xmlns:ds="http://schemas.openxmlformats.org/officeDocument/2006/customXml" ds:itemID="{EB247683-4EEA-48B5-BAEB-ED72EA5D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1305</Words>
  <Characters>7180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JLAIDI NABIL</cp:lastModifiedBy>
  <cp:revision>6</cp:revision>
  <dcterms:created xsi:type="dcterms:W3CDTF">2026-05-11T14:23:00Z</dcterms:created>
  <dcterms:modified xsi:type="dcterms:W3CDTF">2026-05-24T13:22:00Z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