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7C589" w14:textId="77777777" w:rsidR="00064AB6" w:rsidRDefault="006D6AAB" w:rsidP="00064AB6">
      <w:pPr>
        <w:spacing w:line="240" w:lineRule="auto"/>
        <w:ind w:right="1"/>
        <w:rPr>
          <w:rFonts w:ascii="Segoe UI" w:hAnsi="Segoe UI" w:cs="Segoe UI"/>
          <w:color w:val="000099"/>
          <w:sz w:val="20"/>
          <w:szCs w:val="20"/>
        </w:rPr>
      </w:pPr>
      <w:r w:rsidRPr="000C3D96">
        <w:rPr>
          <w:rFonts w:ascii="Segoe UI" w:eastAsia="Calibri" w:hAnsi="Segoe UI" w:cs="Segoe UI"/>
          <w:noProof/>
          <w:color w:val="000091"/>
        </w:rPr>
        <mc:AlternateContent>
          <mc:Choice Requires="wps">
            <w:drawing>
              <wp:anchor distT="0" distB="0" distL="114300" distR="114300" simplePos="0" relativeHeight="251659264" behindDoc="0" locked="0" layoutInCell="1" allowOverlap="1" wp14:anchorId="1D87D3DE" wp14:editId="7ED79F1F">
                <wp:simplePos x="0" y="0"/>
                <wp:positionH relativeFrom="margin">
                  <wp:posOffset>-400685</wp:posOffset>
                </wp:positionH>
                <wp:positionV relativeFrom="paragraph">
                  <wp:posOffset>1435736</wp:posOffset>
                </wp:positionV>
                <wp:extent cx="6800850" cy="361950"/>
                <wp:effectExtent l="0" t="0" r="0" b="0"/>
                <wp:wrapNone/>
                <wp:docPr id="4" name="Rectangle 4"/>
                <wp:cNvGraphicFramePr/>
                <a:graphic xmlns:a="http://schemas.openxmlformats.org/drawingml/2006/main">
                  <a:graphicData uri="http://schemas.microsoft.com/office/word/2010/wordprocessingShape">
                    <wps:wsp>
                      <wps:cNvSpPr/>
                      <wps:spPr>
                        <a:xfrm>
                          <a:off x="0" y="0"/>
                          <a:ext cx="6800850" cy="361950"/>
                        </a:xfrm>
                        <a:prstGeom prst="rect">
                          <a:avLst/>
                        </a:prstGeom>
                        <a:solidFill>
                          <a:srgbClr val="FCC63A"/>
                        </a:solidFill>
                        <a:ln w="12700" cap="flat" cmpd="sng" algn="ctr">
                          <a:noFill/>
                          <a:prstDash val="solid"/>
                          <a:miter lim="800000"/>
                        </a:ln>
                        <a:effectLst/>
                      </wps:spPr>
                      <wps:txbx>
                        <w:txbxContent>
                          <w:p w14:paraId="32C37B02" w14:textId="77777777" w:rsidR="000C3D96" w:rsidRPr="00891074" w:rsidRDefault="00891074" w:rsidP="000C3D96">
                            <w:pPr>
                              <w:jc w:val="center"/>
                              <w:rPr>
                                <w:lang w:val="en-US"/>
                              </w:rPr>
                            </w:pPr>
                            <w:r>
                              <w:rPr>
                                <w:rFonts w:ascii="Segoe UI" w:hAnsi="Segoe UI" w:cs="Segoe UI"/>
                                <w:b/>
                                <w:bCs/>
                                <w:color w:val="000091"/>
                                <w:sz w:val="32"/>
                                <w:szCs w:val="20"/>
                                <w:lang w:val="en-US"/>
                              </w:rPr>
                              <w:t>SRI LANKA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87D3DE" id="Rectangle 4" o:spid="_x0000_s1026" style="position:absolute;margin-left:-31.55pt;margin-top:113.05pt;width:535.5pt;height:2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" fillcolor="#fcc63a" stroked="f" strokeweight="1pt">
                <v:textbox>
                  <w:txbxContent>
                    <w:p w14:paraId="32C37B02" w14:textId="77777777" w:rsidR="000C3D96" w:rsidRPr="00891074" w:rsidRDefault="00891074" w:rsidP="000C3D96">
                      <w:pPr>
                        <w:jc w:val="center"/>
                        <w:rPr>
                          <w:lang w:val="en-US"/>
                        </w:rPr>
                      </w:pPr>
                      <w:r>
                        <w:rPr>
                          <w:rFonts w:ascii="Segoe UI" w:hAnsi="Segoe UI" w:cs="Segoe UI"/>
                          <w:b/>
                          <w:bCs/>
                          <w:color w:val="000091"/>
                          <w:sz w:val="32"/>
                          <w:szCs w:val="20"/>
                          <w:lang w:val="en-US"/>
                        </w:rPr>
                        <w:t>SRI LANKA</w:t>
                      </w:r>
                    </w:p>
                  </w:txbxContent>
                </v:textbox>
                <w10:wrap anchorx="margin"/>
              </v:rect>
            </w:pict>
          </mc:Fallback>
        </mc:AlternateContent>
      </w:r>
      <w:r w:rsidRPr="000C3D96">
        <w:rPr>
          <w:rFonts w:ascii="Segoe UI" w:eastAsia="Calibri" w:hAnsi="Segoe UI" w:cs="Segoe UI"/>
          <w:noProof/>
          <w:color w:val="000091"/>
        </w:rPr>
        <mc:AlternateContent>
          <mc:Choice Requires="wps">
            <w:drawing>
              <wp:anchor distT="0" distB="0" distL="114300" distR="114300" simplePos="0" relativeHeight="251660288" behindDoc="0" locked="0" layoutInCell="1" allowOverlap="1" wp14:anchorId="3100604C" wp14:editId="767B1D25">
                <wp:simplePos x="0" y="0"/>
                <wp:positionH relativeFrom="margin">
                  <wp:posOffset>-410210</wp:posOffset>
                </wp:positionH>
                <wp:positionV relativeFrom="paragraph">
                  <wp:posOffset>988060</wp:posOffset>
                </wp:positionV>
                <wp:extent cx="6800850" cy="438150"/>
                <wp:effectExtent l="0" t="0" r="0" b="0"/>
                <wp:wrapTopAndBottom/>
                <wp:docPr id="2" name="Rectangle 2"/>
                <wp:cNvGraphicFramePr/>
                <a:graphic xmlns:a="http://schemas.openxmlformats.org/drawingml/2006/main">
                  <a:graphicData uri="http://schemas.microsoft.com/office/word/2010/wordprocessingShape">
                    <wps:wsp>
                      <wps:cNvSpPr/>
                      <wps:spPr>
                        <a:xfrm>
                          <a:off x="0" y="0"/>
                          <a:ext cx="6800850" cy="438150"/>
                        </a:xfrm>
                        <a:prstGeom prst="rect">
                          <a:avLst/>
                        </a:prstGeom>
                        <a:solidFill>
                          <a:srgbClr val="FCC63A">
                            <a:lumMod val="40000"/>
                            <a:lumOff val="60000"/>
                          </a:srgbClr>
                        </a:solidFill>
                        <a:ln w="12700" cap="flat" cmpd="sng" algn="ctr">
                          <a:noFill/>
                          <a:prstDash val="solid"/>
                          <a:miter lim="800000"/>
                        </a:ln>
                        <a:effectLst/>
                      </wps:spPr>
                      <wps:txbx>
                        <w:txbxContent>
                          <w:p w14:paraId="517C7404" w14:textId="77777777" w:rsidR="000C3D96" w:rsidRPr="000C3D96" w:rsidRDefault="000C3D96" w:rsidP="000C3D96">
                            <w:pPr>
                              <w:tabs>
                                <w:tab w:val="left" w:pos="3969"/>
                              </w:tabs>
                              <w:spacing w:after="0"/>
                              <w:ind w:left="57"/>
                              <w:rPr>
                                <w:rFonts w:ascii="Segoe UI" w:hAnsi="Segoe UI" w:cs="Segoe UI"/>
                                <w:bCs/>
                                <w:color w:val="000091"/>
                                <w:sz w:val="18"/>
                                <w:szCs w:val="18"/>
                                <w:lang w:eastAsia="ja-JP"/>
                              </w:rPr>
                            </w:pPr>
                            <w:r w:rsidRPr="000C3D96">
                              <w:rPr>
                                <w:rFonts w:ascii="Segoe UI" w:hAnsi="Segoe UI" w:cs="Segoe UI"/>
                                <w:bCs/>
                                <w:color w:val="000091"/>
                                <w:sz w:val="18"/>
                                <w:szCs w:val="18"/>
                                <w:lang w:eastAsia="ja-JP"/>
                              </w:rPr>
                              <w:t>Ambassade de France au Sri Lanka et aux Maldives</w:t>
                            </w:r>
                          </w:p>
                          <w:p w14:paraId="2E7B9B6A" w14:textId="77777777" w:rsidR="000C3D96" w:rsidRPr="00A0743B" w:rsidRDefault="000C3D96" w:rsidP="000C3D96">
                            <w:pPr>
                              <w:spacing w:after="0"/>
                              <w:ind w:left="57" w:right="614"/>
                              <w:jc w:val="both"/>
                              <w:rPr>
                                <w:rFonts w:ascii="Arial" w:hAnsi="Arial" w:cs="Arial"/>
                                <w:b/>
                                <w:bCs/>
                                <w:sz w:val="20"/>
                                <w:szCs w:val="20"/>
                              </w:rPr>
                            </w:pPr>
                            <w:r w:rsidRPr="000C3D96">
                              <w:rPr>
                                <w:rFonts w:ascii="Segoe UI" w:hAnsi="Segoe UI" w:cs="Segoe UI"/>
                                <w:bCs/>
                                <w:color w:val="000091"/>
                                <w:sz w:val="18"/>
                                <w:szCs w:val="18"/>
                                <w:lang w:eastAsia="ja-JP"/>
                              </w:rPr>
                              <w:t>Service économique de Colombo</w:t>
                            </w:r>
                            <w:r w:rsidRPr="00A0743B">
                              <w:rPr>
                                <w:rFonts w:ascii="Arial" w:hAnsi="Arial" w:cs="Arial"/>
                                <w:b/>
                                <w:bCs/>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100604C" id="Rectangle 2" o:spid="_x0000_s1027" style="position:absolute;margin-left:-32.3pt;margin-top:77.8pt;width:535.5pt;height:34.5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" fillcolor="#fee8b0" stroked="f" strokeweight="1pt">
                <v:textbox>
                  <w:txbxContent>
                    <w:p w14:paraId="517C7404" w14:textId="77777777" w:rsidR="000C3D96" w:rsidRPr="000C3D96" w:rsidRDefault="000C3D96" w:rsidP="000C3D96">
                      <w:pPr>
                        <w:tabs>
                          <w:tab w:val="left" w:pos="3969"/>
                        </w:tabs>
                        <w:spacing w:after="0"/>
                        <w:ind w:left="57"/>
                        <w:rPr>
                          <w:rFonts w:ascii="Segoe UI" w:hAnsi="Segoe UI" w:cs="Segoe UI"/>
                          <w:bCs/>
                          <w:color w:val="000091"/>
                          <w:sz w:val="18"/>
                          <w:szCs w:val="18"/>
                          <w:lang w:eastAsia="ja-JP"/>
                        </w:rPr>
                      </w:pPr>
                      <w:r w:rsidRPr="000C3D96">
                        <w:rPr>
                          <w:rFonts w:ascii="Segoe UI" w:hAnsi="Segoe UI" w:cs="Segoe UI"/>
                          <w:bCs/>
                          <w:color w:val="000091"/>
                          <w:sz w:val="18"/>
                          <w:szCs w:val="18"/>
                          <w:lang w:eastAsia="ja-JP"/>
                        </w:rPr>
                        <w:t>Ambassade de France au Sri Lanka et aux Maldives</w:t>
                      </w:r>
                    </w:p>
                    <w:p w14:paraId="2E7B9B6A" w14:textId="77777777" w:rsidR="000C3D96" w:rsidRPr="00A0743B" w:rsidRDefault="000C3D96" w:rsidP="000C3D96">
                      <w:pPr>
                        <w:spacing w:after="0"/>
                        <w:ind w:left="57" w:right="614"/>
                        <w:jc w:val="both"/>
                        <w:rPr>
                          <w:rFonts w:ascii="Arial" w:hAnsi="Arial" w:cs="Arial"/>
                          <w:b/>
                          <w:bCs/>
                          <w:sz w:val="20"/>
                          <w:szCs w:val="20"/>
                        </w:rPr>
                      </w:pPr>
                      <w:r w:rsidRPr="000C3D96">
                        <w:rPr>
                          <w:rFonts w:ascii="Segoe UI" w:hAnsi="Segoe UI" w:cs="Segoe UI"/>
                          <w:bCs/>
                          <w:color w:val="000091"/>
                          <w:sz w:val="18"/>
                          <w:szCs w:val="18"/>
                          <w:lang w:eastAsia="ja-JP"/>
                        </w:rPr>
                        <w:t>Service économique de Colombo</w:t>
                      </w:r>
                      <w:r w:rsidRPr="00A0743B">
                        <w:rPr>
                          <w:rFonts w:ascii="Arial" w:hAnsi="Arial" w:cs="Arial"/>
                          <w:b/>
                          <w:bCs/>
                          <w:sz w:val="20"/>
                          <w:szCs w:val="20"/>
                        </w:rPr>
                        <w:t xml:space="preserve"> </w:t>
                      </w:r>
                    </w:p>
                  </w:txbxContent>
                </v:textbox>
                <w10:wrap type="topAndBottom" anchorx="margin"/>
              </v:rect>
            </w:pict>
          </mc:Fallback>
        </mc:AlternateContent>
      </w:r>
      <w:bookmarkStart w:id="0" w:name="_Hlk216338221"/>
      <w:bookmarkEnd w:id="0"/>
      <w:r w:rsidR="00F00756" w:rsidRPr="000C3D96">
        <w:rPr>
          <w:rFonts w:ascii="Segoe UI" w:eastAsia="Calibri" w:hAnsi="Segoe UI" w:cs="Segoe UI"/>
          <w:noProof/>
          <w:color w:val="000091"/>
        </w:rPr>
        <mc:AlternateContent>
          <mc:Choice Requires="wps">
            <w:drawing>
              <wp:anchor distT="0" distB="0" distL="114300" distR="114300" simplePos="0" relativeHeight="251662336" behindDoc="0" locked="0" layoutInCell="1" allowOverlap="1" wp14:anchorId="6C1A16F7" wp14:editId="3FEFEBC1">
                <wp:simplePos x="0" y="0"/>
                <wp:positionH relativeFrom="margin">
                  <wp:posOffset>3695065</wp:posOffset>
                </wp:positionH>
                <wp:positionV relativeFrom="paragraph">
                  <wp:posOffset>988060</wp:posOffset>
                </wp:positionV>
                <wp:extent cx="2508250" cy="647700"/>
                <wp:effectExtent l="0" t="0" r="0" b="0"/>
                <wp:wrapNone/>
                <wp:docPr id="3" name="Zone de texte 3"/>
                <wp:cNvGraphicFramePr/>
                <a:graphic xmlns:a="http://schemas.openxmlformats.org/drawingml/2006/main">
                  <a:graphicData uri="http://schemas.microsoft.com/office/word/2010/wordprocessingShape">
                    <wps:wsp>
                      <wps:cNvSpPr txBox="1"/>
                      <wps:spPr>
                        <a:xfrm>
                          <a:off x="0" y="0"/>
                          <a:ext cx="2508250" cy="647700"/>
                        </a:xfrm>
                        <a:prstGeom prst="rect">
                          <a:avLst/>
                        </a:prstGeom>
                        <a:noFill/>
                        <a:ln w="6350">
                          <a:noFill/>
                        </a:ln>
                      </wps:spPr>
                      <wps:txbx>
                        <w:txbxContent>
                          <w:p w14:paraId="1CA675C0" w14:textId="77777777" w:rsidR="000C3D96" w:rsidRPr="002657A1" w:rsidRDefault="000C3D96" w:rsidP="000C3D96">
                            <w:pPr>
                              <w:tabs>
                                <w:tab w:val="left" w:pos="3969"/>
                              </w:tabs>
                              <w:spacing w:after="0"/>
                              <w:jc w:val="right"/>
                              <w:rPr>
                                <w:rFonts w:ascii="Segoe UI" w:hAnsi="Segoe UI" w:cs="Segoe UI"/>
                                <w:color w:val="000091"/>
                                <w:sz w:val="17"/>
                                <w:szCs w:val="17"/>
                                <w:lang w:eastAsia="ja-JP"/>
                              </w:rPr>
                            </w:pPr>
                            <w:r w:rsidRPr="000C3D96">
                              <w:rPr>
                                <w:rFonts w:ascii="Segoe UI" w:hAnsi="Segoe UI" w:cs="Segoe UI"/>
                                <w:color w:val="000091"/>
                                <w:sz w:val="17"/>
                                <w:szCs w:val="17"/>
                                <w:lang w:eastAsia="ja-JP"/>
                              </w:rPr>
                              <w:t xml:space="preserve">Affaire suivie par </w:t>
                            </w:r>
                            <w:r w:rsidR="002657A1" w:rsidRPr="002657A1">
                              <w:rPr>
                                <w:rFonts w:ascii="Segoe UI" w:hAnsi="Segoe UI" w:cs="Segoe UI"/>
                                <w:color w:val="000091"/>
                                <w:sz w:val="17"/>
                                <w:szCs w:val="17"/>
                                <w:lang w:eastAsia="ja-JP"/>
                              </w:rPr>
                              <w:t>Matheo VANHUYSE</w:t>
                            </w:r>
                          </w:p>
                          <w:p w14:paraId="39000338" w14:textId="77777777" w:rsidR="00F00756" w:rsidRDefault="00F00756" w:rsidP="000C3D96">
                            <w:pPr>
                              <w:tabs>
                                <w:tab w:val="left" w:pos="3969"/>
                              </w:tabs>
                              <w:spacing w:after="0"/>
                              <w:jc w:val="right"/>
                              <w:rPr>
                                <w:rFonts w:ascii="Segoe UI" w:hAnsi="Segoe UI" w:cs="Segoe UI"/>
                                <w:color w:val="000091"/>
                                <w:sz w:val="17"/>
                                <w:szCs w:val="17"/>
                                <w:lang w:eastAsia="ja-JP"/>
                              </w:rPr>
                            </w:pPr>
                            <w:r w:rsidRPr="002657A1">
                              <w:rPr>
                                <w:rFonts w:ascii="Segoe UI" w:hAnsi="Segoe UI" w:cs="Segoe UI"/>
                                <w:color w:val="000091"/>
                                <w:sz w:val="17"/>
                                <w:szCs w:val="17"/>
                                <w:lang w:eastAsia="ja-JP"/>
                              </w:rPr>
                              <w:t>Visa : Philippe FOUET</w:t>
                            </w:r>
                          </w:p>
                          <w:p w14:paraId="50884539" w14:textId="77777777" w:rsidR="00F00756" w:rsidRDefault="00F00756" w:rsidP="000C3D96">
                            <w:pPr>
                              <w:tabs>
                                <w:tab w:val="left" w:pos="3969"/>
                              </w:tabs>
                              <w:spacing w:after="0"/>
                              <w:jc w:val="right"/>
                              <w:rPr>
                                <w:rFonts w:ascii="Segoe UI" w:hAnsi="Segoe UI" w:cs="Segoe UI"/>
                                <w:color w:val="000091"/>
                                <w:sz w:val="17"/>
                                <w:szCs w:val="17"/>
                                <w:lang w:eastAsia="ja-JP"/>
                              </w:rPr>
                            </w:pPr>
                          </w:p>
                          <w:p w14:paraId="16D4794C" w14:textId="77777777" w:rsidR="000C3D96" w:rsidRPr="000C3D96" w:rsidRDefault="000C3D96" w:rsidP="0022687E">
                            <w:pPr>
                              <w:spacing w:after="0"/>
                              <w:ind w:left="142" w:right="-88"/>
                              <w:jc w:val="center"/>
                              <w:rPr>
                                <w:rFonts w:ascii="Arial" w:hAnsi="Arial" w:cs="Arial"/>
                                <w:color w:val="00009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1A16F7" id="_x0000_t202" coordsize="21600,21600" o:spt="202" path="m,l,21600r21600,l21600,xe">
                <v:stroke joinstyle="miter"/>
                <v:path gradientshapeok="t" o:connecttype="rect"/>
              </v:shapetype>
              <v:shape id="Zone de texte 3" o:spid="_x0000_s1028" type="#_x0000_t202" style="position:absolute;margin-left:290.95pt;margin-top:77.8pt;width:197.5pt;height:51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" filled="f" stroked="f" strokeweight=".5pt">
                <v:textbox>
                  <w:txbxContent>
                    <w:p w14:paraId="1CA675C0" w14:textId="77777777" w:rsidR="000C3D96" w:rsidRPr="002657A1" w:rsidRDefault="000C3D96" w:rsidP="000C3D96">
                      <w:pPr>
                        <w:tabs>
                          <w:tab w:val="left" w:pos="3969"/>
                        </w:tabs>
                        <w:spacing w:after="0"/>
                        <w:jc w:val="right"/>
                        <w:rPr>
                          <w:rFonts w:ascii="Segoe UI" w:hAnsi="Segoe UI" w:cs="Segoe UI"/>
                          <w:color w:val="000091"/>
                          <w:sz w:val="17"/>
                          <w:szCs w:val="17"/>
                          <w:lang w:eastAsia="ja-JP"/>
                        </w:rPr>
                      </w:pPr>
                      <w:r w:rsidRPr="000C3D96">
                        <w:rPr>
                          <w:rFonts w:ascii="Segoe UI" w:hAnsi="Segoe UI" w:cs="Segoe UI"/>
                          <w:color w:val="000091"/>
                          <w:sz w:val="17"/>
                          <w:szCs w:val="17"/>
                          <w:lang w:eastAsia="ja-JP"/>
                        </w:rPr>
                        <w:t xml:space="preserve">Affaire suivie par </w:t>
                      </w:r>
                      <w:r w:rsidR="002657A1" w:rsidRPr="002657A1">
                        <w:rPr>
                          <w:rFonts w:ascii="Segoe UI" w:hAnsi="Segoe UI" w:cs="Segoe UI"/>
                          <w:color w:val="000091"/>
                          <w:sz w:val="17"/>
                          <w:szCs w:val="17"/>
                          <w:lang w:eastAsia="ja-JP"/>
                        </w:rPr>
                        <w:t>Matheo VANHUYSE</w:t>
                      </w:r>
                    </w:p>
                    <w:p w14:paraId="39000338" w14:textId="77777777" w:rsidR="00F00756" w:rsidRDefault="00F00756" w:rsidP="000C3D96">
                      <w:pPr>
                        <w:tabs>
                          <w:tab w:val="left" w:pos="3969"/>
                        </w:tabs>
                        <w:spacing w:after="0"/>
                        <w:jc w:val="right"/>
                        <w:rPr>
                          <w:rFonts w:ascii="Segoe UI" w:hAnsi="Segoe UI" w:cs="Segoe UI"/>
                          <w:color w:val="000091"/>
                          <w:sz w:val="17"/>
                          <w:szCs w:val="17"/>
                          <w:lang w:eastAsia="ja-JP"/>
                        </w:rPr>
                      </w:pPr>
                      <w:r w:rsidRPr="002657A1">
                        <w:rPr>
                          <w:rFonts w:ascii="Segoe UI" w:hAnsi="Segoe UI" w:cs="Segoe UI"/>
                          <w:color w:val="000091"/>
                          <w:sz w:val="17"/>
                          <w:szCs w:val="17"/>
                          <w:lang w:eastAsia="ja-JP"/>
                        </w:rPr>
                        <w:t>Visa : Philippe FOUET</w:t>
                      </w:r>
                    </w:p>
                    <w:p w14:paraId="50884539" w14:textId="77777777" w:rsidR="00F00756" w:rsidRDefault="00F00756" w:rsidP="000C3D96">
                      <w:pPr>
                        <w:tabs>
                          <w:tab w:val="left" w:pos="3969"/>
                        </w:tabs>
                        <w:spacing w:after="0"/>
                        <w:jc w:val="right"/>
                        <w:rPr>
                          <w:rFonts w:ascii="Segoe UI" w:hAnsi="Segoe UI" w:cs="Segoe UI"/>
                          <w:color w:val="000091"/>
                          <w:sz w:val="17"/>
                          <w:szCs w:val="17"/>
                          <w:lang w:eastAsia="ja-JP"/>
                        </w:rPr>
                      </w:pPr>
                    </w:p>
                    <w:p w14:paraId="16D4794C" w14:textId="77777777" w:rsidR="000C3D96" w:rsidRPr="000C3D96" w:rsidRDefault="000C3D96" w:rsidP="0022687E">
                      <w:pPr>
                        <w:spacing w:after="0"/>
                        <w:ind w:left="142" w:right="-88"/>
                        <w:jc w:val="center"/>
                        <w:rPr>
                          <w:rFonts w:ascii="Arial" w:hAnsi="Arial" w:cs="Arial"/>
                          <w:color w:val="000091"/>
                          <w:sz w:val="18"/>
                          <w:szCs w:val="18"/>
                        </w:rPr>
                      </w:pPr>
                    </w:p>
                  </w:txbxContent>
                </v:textbox>
                <w10:wrap anchorx="margin"/>
              </v:shape>
            </w:pict>
          </mc:Fallback>
        </mc:AlternateContent>
      </w:r>
      <w:r w:rsidR="007157EF" w:rsidRPr="000C3D96">
        <w:rPr>
          <w:rFonts w:ascii="Segoe UI" w:eastAsia="Calibri" w:hAnsi="Segoe UI" w:cs="Segoe UI"/>
          <w:noProof/>
          <w:color w:val="000091"/>
        </w:rPr>
        <w:drawing>
          <wp:anchor distT="0" distB="0" distL="114300" distR="114300" simplePos="0" relativeHeight="251661312" behindDoc="1" locked="0" layoutInCell="1" allowOverlap="1" wp14:anchorId="723425D9" wp14:editId="559CF4C2">
            <wp:simplePos x="0" y="0"/>
            <wp:positionH relativeFrom="column">
              <wp:posOffset>-261620</wp:posOffset>
            </wp:positionH>
            <wp:positionV relativeFrom="margin">
              <wp:align>top</wp:align>
            </wp:positionV>
            <wp:extent cx="2638425" cy="1003935"/>
            <wp:effectExtent l="0" t="0" r="9525" b="5715"/>
            <wp:wrapTopAndBottom/>
            <wp:docPr id="1"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38425" cy="1003935"/>
                    </a:xfrm>
                    <a:prstGeom prst="rect">
                      <a:avLst/>
                    </a:prstGeom>
                  </pic:spPr>
                </pic:pic>
              </a:graphicData>
            </a:graphic>
            <wp14:sizeRelH relativeFrom="margin">
              <wp14:pctWidth>0</wp14:pctWidth>
            </wp14:sizeRelH>
            <wp14:sizeRelV relativeFrom="margin">
              <wp14:pctHeight>0</wp14:pctHeight>
            </wp14:sizeRelV>
          </wp:anchor>
        </w:drawing>
      </w:r>
      <w:r w:rsidR="000C3D96" w:rsidRPr="000C3D96">
        <w:rPr>
          <w:rFonts w:ascii="Segoe UI" w:eastAsia="Calibri" w:hAnsi="Segoe UI" w:cs="Segoe UI"/>
          <w:noProof/>
          <w:color w:val="000091"/>
        </w:rPr>
        <mc:AlternateContent>
          <mc:Choice Requires="wps">
            <w:drawing>
              <wp:anchor distT="45720" distB="45720" distL="114300" distR="114300" simplePos="0" relativeHeight="251663360" behindDoc="0" locked="0" layoutInCell="1" allowOverlap="1" wp14:anchorId="0166AB4B" wp14:editId="5AC6168A">
                <wp:simplePos x="0" y="0"/>
                <wp:positionH relativeFrom="margin">
                  <wp:posOffset>3844290</wp:posOffset>
                </wp:positionH>
                <wp:positionV relativeFrom="paragraph">
                  <wp:posOffset>605155</wp:posOffset>
                </wp:positionV>
                <wp:extent cx="2524125" cy="352425"/>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352425"/>
                        </a:xfrm>
                        <a:prstGeom prst="rect">
                          <a:avLst/>
                        </a:prstGeom>
                        <a:noFill/>
                        <a:ln w="9525">
                          <a:noFill/>
                          <a:miter lim="800000"/>
                          <a:headEnd/>
                          <a:tailEnd/>
                        </a:ln>
                      </wps:spPr>
                      <wps:txbx>
                        <w:txbxContent>
                          <w:p w14:paraId="16A1E255" w14:textId="11B0D98F" w:rsidR="000C3D96" w:rsidRPr="000C3D96" w:rsidRDefault="000C3D96" w:rsidP="000C3D96">
                            <w:pPr>
                              <w:spacing w:before="120" w:after="120"/>
                              <w:ind w:right="284"/>
                              <w:jc w:val="right"/>
                              <w:rPr>
                                <w:color w:val="986E02"/>
                                <w:sz w:val="17"/>
                                <w:szCs w:val="17"/>
                              </w:rPr>
                            </w:pPr>
                            <w:r w:rsidRPr="000C3D96">
                              <w:rPr>
                                <w:rFonts w:ascii="Segoe UI" w:hAnsi="Segoe UI" w:cs="Segoe UI"/>
                                <w:color w:val="986E02"/>
                                <w:sz w:val="17"/>
                                <w:szCs w:val="17"/>
                                <w:lang w:eastAsia="ja-JP"/>
                              </w:rPr>
                              <w:t xml:space="preserve">Colombo, </w:t>
                            </w:r>
                            <w:r w:rsidR="00447E36">
                              <w:rPr>
                                <w:rFonts w:ascii="Segoe UI" w:hAnsi="Segoe UI" w:cs="Segoe UI"/>
                                <w:color w:val="986E02"/>
                                <w:sz w:val="17"/>
                                <w:szCs w:val="17"/>
                                <w:lang w:eastAsia="ja-JP"/>
                              </w:rPr>
                              <w:t xml:space="preserve">le </w:t>
                            </w:r>
                            <w:r w:rsidR="006F0237">
                              <w:rPr>
                                <w:rFonts w:ascii="Segoe UI" w:hAnsi="Segoe UI" w:cs="Segoe UI"/>
                                <w:color w:val="986E02"/>
                                <w:sz w:val="17"/>
                                <w:szCs w:val="17"/>
                                <w:lang w:eastAsia="ja-JP"/>
                              </w:rPr>
                              <w:t>01</w:t>
                            </w:r>
                            <w:r w:rsidR="00483FC6">
                              <w:rPr>
                                <w:rFonts w:ascii="Segoe UI" w:hAnsi="Segoe UI" w:cs="Segoe UI"/>
                                <w:color w:val="986E02"/>
                                <w:sz w:val="17"/>
                                <w:szCs w:val="17"/>
                                <w:lang w:eastAsia="ja-JP"/>
                              </w:rPr>
                              <w:t xml:space="preserve"> </w:t>
                            </w:r>
                            <w:r w:rsidR="006F0237">
                              <w:rPr>
                                <w:rFonts w:ascii="Segoe UI" w:hAnsi="Segoe UI" w:cs="Segoe UI"/>
                                <w:color w:val="986E02"/>
                                <w:sz w:val="17"/>
                                <w:szCs w:val="17"/>
                                <w:lang w:eastAsia="ja-JP"/>
                              </w:rPr>
                              <w:t>juin</w:t>
                            </w:r>
                            <w:r w:rsidR="00447E36">
                              <w:rPr>
                                <w:rFonts w:ascii="Segoe UI" w:hAnsi="Segoe UI" w:cs="Segoe UI"/>
                                <w:color w:val="986E02"/>
                                <w:sz w:val="17"/>
                                <w:szCs w:val="17"/>
                                <w:lang w:eastAsia="ja-JP"/>
                              </w:rPr>
                              <w:t xml:space="preserve"> 202</w:t>
                            </w:r>
                            <w:r w:rsidR="00127A10">
                              <w:rPr>
                                <w:rFonts w:ascii="Segoe UI" w:hAnsi="Segoe UI" w:cs="Segoe UI"/>
                                <w:color w:val="986E02"/>
                                <w:sz w:val="17"/>
                                <w:szCs w:val="17"/>
                                <w:lang w:eastAsia="ja-JP"/>
                              </w:rPr>
                              <w:t>6</w:t>
                            </w:r>
                          </w:p>
                          <w:p w14:paraId="5B74918C" w14:textId="77777777" w:rsidR="000C3D96" w:rsidRPr="00490B3C" w:rsidRDefault="000C3D96" w:rsidP="000C3D96">
                            <w:pP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66AB4B" id="Zone de texte 2" o:spid="_x0000_s1029" type="#_x0000_t202" style="position:absolute;margin-left:302.7pt;margin-top:47.65pt;width:198.75pt;height:27.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" filled="f" stroked="f">
                <v:textbox>
                  <w:txbxContent>
                    <w:p w14:paraId="16A1E255" w14:textId="11B0D98F" w:rsidR="000C3D96" w:rsidRPr="000C3D96" w:rsidRDefault="000C3D96" w:rsidP="000C3D96">
                      <w:pPr>
                        <w:spacing w:before="120" w:after="120"/>
                        <w:ind w:right="284"/>
                        <w:jc w:val="right"/>
                        <w:rPr>
                          <w:color w:val="986E02"/>
                          <w:sz w:val="17"/>
                          <w:szCs w:val="17"/>
                        </w:rPr>
                      </w:pPr>
                      <w:r w:rsidRPr="000C3D96">
                        <w:rPr>
                          <w:rFonts w:ascii="Segoe UI" w:hAnsi="Segoe UI" w:cs="Segoe UI"/>
                          <w:color w:val="986E02"/>
                          <w:sz w:val="17"/>
                          <w:szCs w:val="17"/>
                          <w:lang w:eastAsia="ja-JP"/>
                        </w:rPr>
                        <w:t xml:space="preserve">Colombo, </w:t>
                      </w:r>
                      <w:r w:rsidR="00447E36">
                        <w:rPr>
                          <w:rFonts w:ascii="Segoe UI" w:hAnsi="Segoe UI" w:cs="Segoe UI"/>
                          <w:color w:val="986E02"/>
                          <w:sz w:val="17"/>
                          <w:szCs w:val="17"/>
                          <w:lang w:eastAsia="ja-JP"/>
                        </w:rPr>
                        <w:t xml:space="preserve">le </w:t>
                      </w:r>
                      <w:r w:rsidR="006F0237">
                        <w:rPr>
                          <w:rFonts w:ascii="Segoe UI" w:hAnsi="Segoe UI" w:cs="Segoe UI"/>
                          <w:color w:val="986E02"/>
                          <w:sz w:val="17"/>
                          <w:szCs w:val="17"/>
                          <w:lang w:eastAsia="ja-JP"/>
                        </w:rPr>
                        <w:t>01</w:t>
                      </w:r>
                      <w:r w:rsidR="00483FC6">
                        <w:rPr>
                          <w:rFonts w:ascii="Segoe UI" w:hAnsi="Segoe UI" w:cs="Segoe UI"/>
                          <w:color w:val="986E02"/>
                          <w:sz w:val="17"/>
                          <w:szCs w:val="17"/>
                          <w:lang w:eastAsia="ja-JP"/>
                        </w:rPr>
                        <w:t xml:space="preserve"> </w:t>
                      </w:r>
                      <w:r w:rsidR="006F0237">
                        <w:rPr>
                          <w:rFonts w:ascii="Segoe UI" w:hAnsi="Segoe UI" w:cs="Segoe UI"/>
                          <w:color w:val="986E02"/>
                          <w:sz w:val="17"/>
                          <w:szCs w:val="17"/>
                          <w:lang w:eastAsia="ja-JP"/>
                        </w:rPr>
                        <w:t>juin</w:t>
                      </w:r>
                      <w:r w:rsidR="00447E36">
                        <w:rPr>
                          <w:rFonts w:ascii="Segoe UI" w:hAnsi="Segoe UI" w:cs="Segoe UI"/>
                          <w:color w:val="986E02"/>
                          <w:sz w:val="17"/>
                          <w:szCs w:val="17"/>
                          <w:lang w:eastAsia="ja-JP"/>
                        </w:rPr>
                        <w:t xml:space="preserve"> 202</w:t>
                      </w:r>
                      <w:r w:rsidR="00127A10">
                        <w:rPr>
                          <w:rFonts w:ascii="Segoe UI" w:hAnsi="Segoe UI" w:cs="Segoe UI"/>
                          <w:color w:val="986E02"/>
                          <w:sz w:val="17"/>
                          <w:szCs w:val="17"/>
                          <w:lang w:eastAsia="ja-JP"/>
                        </w:rPr>
                        <w:t>6</w:t>
                      </w:r>
                    </w:p>
                    <w:p w14:paraId="5B74918C" w14:textId="77777777" w:rsidR="000C3D96" w:rsidRPr="00490B3C" w:rsidRDefault="000C3D96" w:rsidP="000C3D96">
                      <w:pPr>
                        <w:rPr>
                          <w:sz w:val="28"/>
                          <w:szCs w:val="28"/>
                        </w:rPr>
                      </w:pPr>
                    </w:p>
                  </w:txbxContent>
                </v:textbox>
                <w10:wrap type="square" anchorx="margin"/>
              </v:shape>
            </w:pict>
          </mc:Fallback>
        </mc:AlternateContent>
      </w:r>
    </w:p>
    <w:p w14:paraId="69BC2778" w14:textId="7338AD9C" w:rsidR="00F94299" w:rsidRPr="00F94299" w:rsidRDefault="00B71F60" w:rsidP="001A52BB">
      <w:pPr>
        <w:spacing w:before="360" w:line="240" w:lineRule="auto"/>
        <w:ind w:right="1"/>
        <w:jc w:val="center"/>
        <w:rPr>
          <w:rFonts w:ascii="Segoe UI" w:hAnsi="Segoe UI" w:cs="Segoe UI"/>
          <w:color w:val="000099"/>
          <w:sz w:val="32"/>
          <w:szCs w:val="32"/>
        </w:rPr>
      </w:pPr>
      <w:bookmarkStart w:id="1" w:name="_Hlk222820580"/>
      <w:bookmarkStart w:id="2" w:name="_Hlk222820738"/>
      <w:r>
        <w:rPr>
          <w:rFonts w:ascii="Segoe UI" w:hAnsi="Segoe UI" w:cs="Segoe UI"/>
          <w:color w:val="000099"/>
          <w:sz w:val="32"/>
          <w:szCs w:val="32"/>
        </w:rPr>
        <w:t xml:space="preserve">Le système portuaire du Sri Lanka  </w:t>
      </w:r>
    </w:p>
    <w:p w14:paraId="0BDAC938" w14:textId="5BFAC6D8" w:rsidR="00DB5327" w:rsidRPr="00E9444A" w:rsidRDefault="002E48A6" w:rsidP="00E9444A">
      <w:pPr>
        <w:spacing w:before="120" w:line="240" w:lineRule="auto"/>
        <w:ind w:left="-283" w:right="-283"/>
        <w:jc w:val="both"/>
        <w:rPr>
          <w:rFonts w:ascii="Segoe UI" w:hAnsi="Segoe UI" w:cs="Segoe UI"/>
          <w:color w:val="000099"/>
          <w:sz w:val="20"/>
          <w:szCs w:val="20"/>
        </w:rPr>
      </w:pPr>
      <w:r w:rsidRPr="00E9444A">
        <w:rPr>
          <w:rFonts w:ascii="Segoe UI" w:hAnsi="Segoe UI" w:cs="Segoe UI"/>
          <w:color w:val="000099"/>
          <w:sz w:val="20"/>
          <w:szCs w:val="20"/>
        </w:rPr>
        <w:t>L’activité portuaire et logistique constitue l’un des secteurs les plus stratégiques et prometteurs de l’économie sri-lankaise</w:t>
      </w:r>
      <w:r w:rsidR="001A52BB">
        <w:rPr>
          <w:rFonts w:ascii="Segoe UI" w:hAnsi="Segoe UI" w:cs="Segoe UI"/>
          <w:color w:val="000099"/>
          <w:sz w:val="20"/>
          <w:szCs w:val="20"/>
        </w:rPr>
        <w:t xml:space="preserve">, le pays </w:t>
      </w:r>
      <w:r w:rsidR="00870E19">
        <w:rPr>
          <w:rFonts w:ascii="Segoe UI" w:hAnsi="Segoe UI" w:cs="Segoe UI"/>
          <w:color w:val="000099"/>
          <w:sz w:val="20"/>
          <w:szCs w:val="20"/>
        </w:rPr>
        <w:t>bénéfici</w:t>
      </w:r>
      <w:r w:rsidR="001A52BB">
        <w:rPr>
          <w:rFonts w:ascii="Segoe UI" w:hAnsi="Segoe UI" w:cs="Segoe UI"/>
          <w:color w:val="000099"/>
          <w:sz w:val="20"/>
          <w:szCs w:val="20"/>
        </w:rPr>
        <w:t>ant</w:t>
      </w:r>
      <w:r w:rsidR="00870E19">
        <w:rPr>
          <w:rFonts w:ascii="Segoe UI" w:hAnsi="Segoe UI" w:cs="Segoe UI"/>
          <w:color w:val="000099"/>
          <w:sz w:val="20"/>
          <w:szCs w:val="20"/>
        </w:rPr>
        <w:t xml:space="preserve"> d’un positionnement privilégié</w:t>
      </w:r>
      <w:r w:rsidR="001C22A1" w:rsidRPr="001C22A1">
        <w:rPr>
          <w:rFonts w:ascii="Segoe UI" w:hAnsi="Segoe UI" w:cs="Segoe UI"/>
          <w:color w:val="000099"/>
          <w:sz w:val="20"/>
          <w:szCs w:val="20"/>
        </w:rPr>
        <w:t xml:space="preserve"> sur les grandes routes maritimes Est-Ouest de l’océan Indien</w:t>
      </w:r>
      <w:r w:rsidR="001A52BB">
        <w:rPr>
          <w:rFonts w:ascii="Segoe UI" w:hAnsi="Segoe UI" w:cs="Segoe UI"/>
          <w:color w:val="000099"/>
          <w:sz w:val="20"/>
          <w:szCs w:val="20"/>
        </w:rPr>
        <w:t xml:space="preserve">. </w:t>
      </w:r>
      <w:r w:rsidR="00CF0D83">
        <w:rPr>
          <w:rFonts w:ascii="Segoe UI" w:hAnsi="Segoe UI" w:cs="Segoe UI"/>
          <w:color w:val="000099"/>
          <w:sz w:val="20"/>
          <w:szCs w:val="20"/>
        </w:rPr>
        <w:t>Le</w:t>
      </w:r>
      <w:r w:rsidR="001C22A1" w:rsidRPr="001C22A1">
        <w:rPr>
          <w:rFonts w:ascii="Segoe UI" w:hAnsi="Segoe UI" w:cs="Segoe UI"/>
          <w:color w:val="000099"/>
          <w:sz w:val="20"/>
          <w:szCs w:val="20"/>
        </w:rPr>
        <w:t xml:space="preserve"> système portuaire demeure largement structuré autour du port de Colombo. Principal hub de transbordement d’Asie du Sud, Colombo a enregistré un trafic record de 8,29 M TEU en 2025, soutenu par la montée en capacité de ses terminaux en eau profonde. Cette dynamique repose sur un modèle hybride, associant terminaux publics et infrastructures concédées à des opérateurs privés</w:t>
      </w:r>
      <w:r w:rsidR="00A101C1">
        <w:rPr>
          <w:rFonts w:ascii="Segoe UI" w:hAnsi="Segoe UI" w:cs="Segoe UI"/>
          <w:color w:val="000099"/>
          <w:sz w:val="20"/>
          <w:szCs w:val="20"/>
        </w:rPr>
        <w:t>, souvent</w:t>
      </w:r>
      <w:r w:rsidR="001C22A1" w:rsidRPr="001C22A1">
        <w:rPr>
          <w:rFonts w:ascii="Segoe UI" w:hAnsi="Segoe UI" w:cs="Segoe UI"/>
          <w:color w:val="000099"/>
          <w:sz w:val="20"/>
          <w:szCs w:val="20"/>
        </w:rPr>
        <w:t xml:space="preserve"> étrangers.</w:t>
      </w:r>
      <w:r w:rsidR="00063B61">
        <w:rPr>
          <w:rFonts w:ascii="Segoe UI" w:hAnsi="Segoe UI" w:cs="Segoe UI"/>
          <w:color w:val="000099"/>
          <w:sz w:val="20"/>
          <w:szCs w:val="20"/>
        </w:rPr>
        <w:t xml:space="preserve"> </w:t>
      </w:r>
      <w:r w:rsidR="00DB5327" w:rsidRPr="00E9444A">
        <w:rPr>
          <w:rFonts w:ascii="Segoe UI" w:hAnsi="Segoe UI" w:cs="Segoe UI"/>
          <w:color w:val="000099"/>
          <w:sz w:val="20"/>
          <w:szCs w:val="20"/>
        </w:rPr>
        <w:t xml:space="preserve">L’expansion portuaire sri-lankaise s’inscrit dans une recomposition régionale marquée par </w:t>
      </w:r>
      <w:r w:rsidR="00BD356B">
        <w:rPr>
          <w:rFonts w:ascii="Segoe UI" w:hAnsi="Segoe UI" w:cs="Segoe UI"/>
          <w:color w:val="000099"/>
          <w:sz w:val="20"/>
          <w:szCs w:val="20"/>
        </w:rPr>
        <w:t xml:space="preserve">une forte </w:t>
      </w:r>
      <w:r w:rsidR="00DB5327" w:rsidRPr="00E9444A">
        <w:rPr>
          <w:rFonts w:ascii="Segoe UI" w:hAnsi="Segoe UI" w:cs="Segoe UI"/>
          <w:color w:val="000099"/>
          <w:sz w:val="20"/>
          <w:szCs w:val="20"/>
        </w:rPr>
        <w:t>présence chinoise et par la montée en puissance indienne.</w:t>
      </w:r>
    </w:p>
    <w:p w14:paraId="7B11FE9E" w14:textId="634246C2" w:rsidR="001C22A1" w:rsidRDefault="001C22A1" w:rsidP="001C22A1">
      <w:pPr>
        <w:spacing w:before="120" w:line="240" w:lineRule="auto"/>
        <w:ind w:left="-283" w:right="-283"/>
        <w:jc w:val="both"/>
        <w:rPr>
          <w:rFonts w:ascii="Segoe UI" w:hAnsi="Segoe UI" w:cs="Segoe UI"/>
          <w:b/>
          <w:bCs/>
          <w:color w:val="000099"/>
        </w:rPr>
      </w:pPr>
      <w:r w:rsidRPr="001C22A1">
        <w:rPr>
          <w:rFonts w:ascii="Segoe UI" w:hAnsi="Segoe UI" w:cs="Segoe UI"/>
          <w:b/>
          <w:bCs/>
          <w:color w:val="000099"/>
        </w:rPr>
        <w:t>Un système portuaire dominé par Colombo, dont la compétitivité dépend désormais de la montée en capacité et de la performance opérationnelle</w:t>
      </w:r>
      <w:bookmarkEnd w:id="1"/>
      <w:bookmarkEnd w:id="2"/>
    </w:p>
    <w:p w14:paraId="26F5A4A2" w14:textId="77777777" w:rsidR="001C22A1" w:rsidRPr="001C22A1" w:rsidRDefault="001C22A1" w:rsidP="001C22A1">
      <w:pPr>
        <w:spacing w:before="120" w:line="240" w:lineRule="auto"/>
        <w:ind w:left="-283" w:right="-283"/>
        <w:jc w:val="both"/>
        <w:rPr>
          <w:rFonts w:ascii="Segoe UI" w:hAnsi="Segoe UI" w:cs="Segoe UI"/>
          <w:sz w:val="20"/>
          <w:szCs w:val="20"/>
        </w:rPr>
      </w:pPr>
      <w:r w:rsidRPr="00B43CE3">
        <w:rPr>
          <w:rFonts w:ascii="Segoe UI" w:hAnsi="Segoe UI" w:cs="Segoe UI"/>
          <w:b/>
          <w:bCs/>
          <w:sz w:val="20"/>
          <w:szCs w:val="20"/>
        </w:rPr>
        <w:t>Le port de Colombo constitue le principal actif portuaire du Sri Lanka et l’un des principaux hubs de transbordement d’Asie du Sud.</w:t>
      </w:r>
      <w:r w:rsidRPr="001C22A1">
        <w:rPr>
          <w:rFonts w:ascii="Segoe UI" w:hAnsi="Segoe UI" w:cs="Segoe UI"/>
          <w:sz w:val="20"/>
          <w:szCs w:val="20"/>
        </w:rPr>
        <w:t xml:space="preserve"> Son rôle dépasse largement le marché domestique : il repose principalement sur la captation de flux régionaux, en particulier indiens, redistribués ensuite vers les grandes lignes maritimes Est-Ouest. Le port a atteint un trafic record de 8,29 M TEU en 2025, avec une activité très majoritairement orientée vers le transbordement, qui représente plus de 80 % des volumes traités.</w:t>
      </w:r>
    </w:p>
    <w:p w14:paraId="38B99DEA" w14:textId="6B89C733" w:rsidR="001C22A1" w:rsidRPr="001C22A1" w:rsidRDefault="001C22A1" w:rsidP="001C22A1">
      <w:pPr>
        <w:spacing w:before="120" w:line="240" w:lineRule="auto"/>
        <w:ind w:left="-283" w:right="-283"/>
        <w:jc w:val="both"/>
        <w:rPr>
          <w:rFonts w:ascii="Segoe UI" w:hAnsi="Segoe UI" w:cs="Segoe UI"/>
          <w:sz w:val="20"/>
          <w:szCs w:val="20"/>
        </w:rPr>
      </w:pPr>
      <w:r w:rsidRPr="00B43CE3">
        <w:rPr>
          <w:rFonts w:ascii="Segoe UI" w:hAnsi="Segoe UI" w:cs="Segoe UI"/>
          <w:b/>
          <w:bCs/>
          <w:sz w:val="20"/>
          <w:szCs w:val="20"/>
        </w:rPr>
        <w:t>Colombo repose sur un modèle mixte associant terminaux publics exploités par la SLPA</w:t>
      </w:r>
      <w:r w:rsidR="00312944">
        <w:rPr>
          <w:rStyle w:val="Appeldenotedefin"/>
          <w:rFonts w:ascii="Segoe UI" w:hAnsi="Segoe UI" w:cs="Segoe UI"/>
          <w:b/>
          <w:bCs/>
          <w:sz w:val="20"/>
          <w:szCs w:val="20"/>
        </w:rPr>
        <w:endnoteReference w:id="1"/>
      </w:r>
      <w:r w:rsidRPr="00B43CE3">
        <w:rPr>
          <w:rFonts w:ascii="Segoe UI" w:hAnsi="Segoe UI" w:cs="Segoe UI"/>
          <w:b/>
          <w:bCs/>
          <w:sz w:val="20"/>
          <w:szCs w:val="20"/>
        </w:rPr>
        <w:t>,</w:t>
      </w:r>
      <w:r w:rsidRPr="001C22A1">
        <w:rPr>
          <w:rFonts w:ascii="Segoe UI" w:hAnsi="Segoe UI" w:cs="Segoe UI"/>
          <w:sz w:val="20"/>
          <w:szCs w:val="20"/>
        </w:rPr>
        <w:t xml:space="preserve"> notamment JCT et UCT</w:t>
      </w:r>
      <w:r w:rsidR="00BD356B">
        <w:rPr>
          <w:rFonts w:ascii="Segoe UI" w:hAnsi="Segoe UI" w:cs="Segoe UI"/>
          <w:sz w:val="20"/>
          <w:szCs w:val="20"/>
        </w:rPr>
        <w:t xml:space="preserve"> (cf. annexe)</w:t>
      </w:r>
      <w:r w:rsidRPr="001C22A1">
        <w:rPr>
          <w:rFonts w:ascii="Segoe UI" w:hAnsi="Segoe UI" w:cs="Segoe UI"/>
          <w:sz w:val="20"/>
          <w:szCs w:val="20"/>
        </w:rPr>
        <w:t>, et terminaux concédés à des opérateurs privés ou étrangers, comme SAGT, CICT et WCT/CWIT. Ce modèle a permis d’accroître les capacités portuaires sans faire porter l’ensemble de l’investissement sur l’État sri-lankais, mais il rend la gouvernance plus complexe, la SLPA cumulant des fonctions d’autorité portuaire, d’actionnaire et d’opérateur</w:t>
      </w:r>
      <w:r w:rsidR="00A101C1">
        <w:rPr>
          <w:rFonts w:ascii="Segoe UI" w:hAnsi="Segoe UI" w:cs="Segoe UI"/>
          <w:sz w:val="20"/>
          <w:szCs w:val="20"/>
        </w:rPr>
        <w:t xml:space="preserve"> qui diffèrent selon les terminaux.</w:t>
      </w:r>
      <w:r w:rsidR="00724CA4">
        <w:rPr>
          <w:rFonts w:ascii="Segoe UI" w:hAnsi="Segoe UI" w:cs="Segoe UI"/>
          <w:sz w:val="20"/>
          <w:szCs w:val="20"/>
        </w:rPr>
        <w:t xml:space="preserve"> </w:t>
      </w:r>
      <w:r w:rsidR="00724CA4" w:rsidRPr="00E9444A">
        <w:rPr>
          <w:rFonts w:ascii="Segoe UI" w:hAnsi="Segoe UI" w:cs="Segoe UI"/>
          <w:sz w:val="20"/>
          <w:szCs w:val="20"/>
        </w:rPr>
        <w:t>Le cadre sri-lankais limite par ailleurs à 40 % la participation étrangère dans les activités d</w:t>
      </w:r>
      <w:r w:rsidR="00BD356B">
        <w:rPr>
          <w:rFonts w:ascii="Segoe UI" w:hAnsi="Segoe UI" w:cs="Segoe UI"/>
          <w:sz w:val="20"/>
          <w:szCs w:val="20"/>
        </w:rPr>
        <w:t>’agence maritime</w:t>
      </w:r>
      <w:r w:rsidR="00063B61">
        <w:rPr>
          <w:rFonts w:ascii="Segoe UI" w:hAnsi="Segoe UI" w:cs="Segoe UI"/>
          <w:sz w:val="20"/>
          <w:szCs w:val="20"/>
        </w:rPr>
        <w:t xml:space="preserve"> </w:t>
      </w:r>
      <w:r w:rsidR="00724CA4" w:rsidRPr="00E9444A">
        <w:rPr>
          <w:rFonts w:ascii="Segoe UI" w:hAnsi="Segoe UI" w:cs="Segoe UI"/>
          <w:sz w:val="20"/>
          <w:szCs w:val="20"/>
        </w:rPr>
        <w:t xml:space="preserve">et de </w:t>
      </w:r>
      <w:r w:rsidR="00BD356B">
        <w:rPr>
          <w:rFonts w:ascii="Segoe UI" w:hAnsi="Segoe UI" w:cs="Segoe UI"/>
          <w:sz w:val="20"/>
          <w:szCs w:val="20"/>
        </w:rPr>
        <w:t>transitaire,</w:t>
      </w:r>
      <w:r w:rsidR="00724CA4" w:rsidRPr="00E9444A">
        <w:rPr>
          <w:rFonts w:ascii="Segoe UI" w:hAnsi="Segoe UI" w:cs="Segoe UI"/>
          <w:sz w:val="20"/>
          <w:szCs w:val="20"/>
        </w:rPr>
        <w:t xml:space="preserve"> sauf autorisation spécifique, ce qui favorise le recours à des </w:t>
      </w:r>
      <w:r w:rsidR="00BD356B">
        <w:rPr>
          <w:rFonts w:ascii="Segoe UI" w:hAnsi="Segoe UI" w:cs="Segoe UI"/>
          <w:sz w:val="20"/>
          <w:szCs w:val="20"/>
        </w:rPr>
        <w:t>coentreprises</w:t>
      </w:r>
      <w:r w:rsidR="00724CA4" w:rsidRPr="00E9444A">
        <w:rPr>
          <w:rFonts w:ascii="Segoe UI" w:hAnsi="Segoe UI" w:cs="Segoe UI"/>
          <w:sz w:val="20"/>
          <w:szCs w:val="20"/>
        </w:rPr>
        <w:t xml:space="preserve"> avec des partenaires locaux majoritaires.</w:t>
      </w:r>
    </w:p>
    <w:p w14:paraId="32CBBA98" w14:textId="5FD318DD" w:rsidR="00070B01" w:rsidRPr="001C22A1" w:rsidRDefault="00070B01" w:rsidP="00B43CE3">
      <w:pPr>
        <w:spacing w:before="120" w:line="240" w:lineRule="auto"/>
        <w:ind w:left="-283" w:right="-283"/>
        <w:jc w:val="both"/>
        <w:rPr>
          <w:rFonts w:ascii="Segoe UI" w:hAnsi="Segoe UI" w:cs="Segoe UI"/>
          <w:sz w:val="20"/>
          <w:szCs w:val="20"/>
        </w:rPr>
      </w:pPr>
      <w:r w:rsidRPr="00E9444A">
        <w:rPr>
          <w:rFonts w:ascii="Segoe UI" w:hAnsi="Segoe UI" w:cs="Segoe UI"/>
          <w:b/>
          <w:bCs/>
          <w:sz w:val="20"/>
          <w:szCs w:val="20"/>
        </w:rPr>
        <w:t>La compétitivité de Colombo dépend de moins en moins de son seul avantage géographique, pourtant important.</w:t>
      </w:r>
      <w:r w:rsidRPr="00E9444A">
        <w:rPr>
          <w:rFonts w:ascii="Segoe UI" w:hAnsi="Segoe UI" w:cs="Segoe UI"/>
          <w:sz w:val="20"/>
          <w:szCs w:val="20"/>
        </w:rPr>
        <w:t xml:space="preserve"> Elle repose désormais davantage sur des critères opérationnels : profondeur des quais, productivité, coûts d’escale, fiabilité des opérations, disponibilité des équipements et fluidité administrative. Or, les épisodes récents de congestion ont mis en évidence les fragilités du port, avec des retards d’accostage, des immobilisations de navires et des omissions d’escales par certaines lignes maritimes. Dans ce contexte, l’expansion du South Harbour</w:t>
      </w:r>
      <w:r>
        <w:rPr>
          <w:rStyle w:val="Appeldenotedefin"/>
          <w:rFonts w:ascii="Segoe UI" w:hAnsi="Segoe UI" w:cs="Segoe UI"/>
          <w:sz w:val="20"/>
          <w:szCs w:val="20"/>
        </w:rPr>
        <w:endnoteReference w:id="2"/>
      </w:r>
      <w:r w:rsidRPr="00E9444A">
        <w:rPr>
          <w:rFonts w:ascii="Segoe UI" w:hAnsi="Segoe UI" w:cs="Segoe UI"/>
          <w:sz w:val="20"/>
          <w:szCs w:val="20"/>
        </w:rPr>
        <w:t xml:space="preserve"> constitue un changement d’échelle nécessaire : les capacités en eau profonde du CICT, de l’ECT et du WCT/CWIT doivent permettre de limiter les risques de saturation et de maintenir l’attractivité de Colombo face aux hubs concurrents du sous-continent. Le WCT, développé par </w:t>
      </w:r>
      <w:proofErr w:type="spellStart"/>
      <w:r w:rsidRPr="00E9444A">
        <w:rPr>
          <w:rFonts w:ascii="Segoe UI" w:hAnsi="Segoe UI" w:cs="Segoe UI"/>
          <w:sz w:val="20"/>
          <w:szCs w:val="20"/>
        </w:rPr>
        <w:t>Adani</w:t>
      </w:r>
      <w:proofErr w:type="spellEnd"/>
      <w:r w:rsidRPr="00E9444A">
        <w:rPr>
          <w:rFonts w:ascii="Segoe UI" w:hAnsi="Segoe UI" w:cs="Segoe UI"/>
          <w:sz w:val="20"/>
          <w:szCs w:val="20"/>
        </w:rPr>
        <w:t xml:space="preserve"> Ports, John </w:t>
      </w:r>
      <w:proofErr w:type="spellStart"/>
      <w:r w:rsidRPr="00E9444A">
        <w:rPr>
          <w:rFonts w:ascii="Segoe UI" w:hAnsi="Segoe UI" w:cs="Segoe UI"/>
          <w:sz w:val="20"/>
          <w:szCs w:val="20"/>
        </w:rPr>
        <w:t>Keells</w:t>
      </w:r>
      <w:proofErr w:type="spellEnd"/>
      <w:r w:rsidRPr="00E9444A">
        <w:rPr>
          <w:rFonts w:ascii="Segoe UI" w:hAnsi="Segoe UI" w:cs="Segoe UI"/>
          <w:sz w:val="20"/>
          <w:szCs w:val="20"/>
        </w:rPr>
        <w:t xml:space="preserve"> Holdings et la SLPA, doit atteindre une capacité cible de 3,2 M TEU en 2027.</w:t>
      </w:r>
    </w:p>
    <w:p w14:paraId="4F444A07" w14:textId="4FB95898" w:rsidR="001C22A1" w:rsidRPr="008D2834" w:rsidRDefault="001C22A1" w:rsidP="001C22A1">
      <w:pPr>
        <w:spacing w:before="120" w:line="240" w:lineRule="auto"/>
        <w:ind w:left="-283" w:right="-283"/>
        <w:jc w:val="both"/>
        <w:rPr>
          <w:rFonts w:ascii="Segoe UI" w:hAnsi="Segoe UI" w:cs="Segoe UI"/>
          <w:sz w:val="20"/>
          <w:szCs w:val="20"/>
        </w:rPr>
      </w:pPr>
      <w:r w:rsidRPr="00B43CE3">
        <w:rPr>
          <w:rFonts w:ascii="Segoe UI" w:hAnsi="Segoe UI" w:cs="Segoe UI"/>
          <w:b/>
          <w:bCs/>
          <w:sz w:val="20"/>
          <w:szCs w:val="20"/>
        </w:rPr>
        <w:t>La concurrence régionale, renforce cette exigence</w:t>
      </w:r>
      <w:r w:rsidR="0045407E">
        <w:rPr>
          <w:rFonts w:ascii="Segoe UI" w:hAnsi="Segoe UI" w:cs="Segoe UI"/>
          <w:b/>
          <w:bCs/>
          <w:sz w:val="20"/>
          <w:szCs w:val="20"/>
        </w:rPr>
        <w:t>, avec le</w:t>
      </w:r>
      <w:r w:rsidR="006F33B8">
        <w:rPr>
          <w:rFonts w:ascii="Segoe UI" w:hAnsi="Segoe UI" w:cs="Segoe UI"/>
          <w:b/>
          <w:bCs/>
          <w:sz w:val="20"/>
          <w:szCs w:val="20"/>
        </w:rPr>
        <w:t xml:space="preserve"> risque </w:t>
      </w:r>
      <w:r w:rsidR="0045407E">
        <w:rPr>
          <w:rFonts w:ascii="Segoe UI" w:hAnsi="Segoe UI" w:cs="Segoe UI"/>
          <w:b/>
          <w:bCs/>
          <w:sz w:val="20"/>
          <w:szCs w:val="20"/>
        </w:rPr>
        <w:t>d</w:t>
      </w:r>
      <w:r w:rsidR="006F33B8">
        <w:rPr>
          <w:rFonts w:ascii="Segoe UI" w:hAnsi="Segoe UI" w:cs="Segoe UI"/>
          <w:b/>
          <w:bCs/>
          <w:sz w:val="20"/>
          <w:szCs w:val="20"/>
        </w:rPr>
        <w:t xml:space="preserve">e déclassement du Port de Colombo </w:t>
      </w:r>
      <w:r w:rsidR="0045407E">
        <w:rPr>
          <w:rFonts w:ascii="Segoe UI" w:hAnsi="Segoe UI" w:cs="Segoe UI"/>
          <w:b/>
          <w:bCs/>
          <w:sz w:val="20"/>
          <w:szCs w:val="20"/>
        </w:rPr>
        <w:t xml:space="preserve">face à </w:t>
      </w:r>
      <w:r w:rsidR="006F33B8">
        <w:rPr>
          <w:rFonts w:ascii="Segoe UI" w:hAnsi="Segoe UI" w:cs="Segoe UI"/>
          <w:b/>
          <w:bCs/>
          <w:sz w:val="20"/>
          <w:szCs w:val="20"/>
        </w:rPr>
        <w:t>ses concurrents indiens</w:t>
      </w:r>
      <w:r w:rsidRPr="00B43CE3">
        <w:rPr>
          <w:rFonts w:ascii="Segoe UI" w:hAnsi="Segoe UI" w:cs="Segoe UI"/>
          <w:b/>
          <w:bCs/>
          <w:sz w:val="20"/>
          <w:szCs w:val="20"/>
        </w:rPr>
        <w:t>.</w:t>
      </w:r>
      <w:r w:rsidRPr="001C22A1">
        <w:rPr>
          <w:rFonts w:ascii="Segoe UI" w:hAnsi="Segoe UI" w:cs="Segoe UI"/>
          <w:sz w:val="20"/>
          <w:szCs w:val="20"/>
        </w:rPr>
        <w:t xml:space="preserve"> Les grands ports indiens comme </w:t>
      </w:r>
      <w:proofErr w:type="spellStart"/>
      <w:r w:rsidRPr="001C22A1">
        <w:rPr>
          <w:rFonts w:ascii="Segoe UI" w:hAnsi="Segoe UI" w:cs="Segoe UI"/>
          <w:sz w:val="20"/>
          <w:szCs w:val="20"/>
        </w:rPr>
        <w:t>Mundra</w:t>
      </w:r>
      <w:proofErr w:type="spellEnd"/>
      <w:r w:rsidR="00966CE1">
        <w:rPr>
          <w:rFonts w:ascii="Segoe UI" w:hAnsi="Segoe UI" w:cs="Segoe UI"/>
          <w:sz w:val="20"/>
          <w:szCs w:val="20"/>
        </w:rPr>
        <w:t xml:space="preserve">, qui a dépassé Colombo comme premier port d’Asie du Sud </w:t>
      </w:r>
      <w:r w:rsidR="006F33B8">
        <w:rPr>
          <w:rFonts w:ascii="Segoe UI" w:hAnsi="Segoe UI" w:cs="Segoe UI"/>
          <w:sz w:val="20"/>
          <w:szCs w:val="20"/>
        </w:rPr>
        <w:t>en 2023,</w:t>
      </w:r>
      <w:r w:rsidRPr="001C22A1">
        <w:rPr>
          <w:rFonts w:ascii="Segoe UI" w:hAnsi="Segoe UI" w:cs="Segoe UI"/>
          <w:sz w:val="20"/>
          <w:szCs w:val="20"/>
        </w:rPr>
        <w:t xml:space="preserve"> ou JNPA/</w:t>
      </w:r>
      <w:proofErr w:type="spellStart"/>
      <w:r w:rsidRPr="001C22A1">
        <w:rPr>
          <w:rFonts w:ascii="Segoe UI" w:hAnsi="Segoe UI" w:cs="Segoe UI"/>
          <w:sz w:val="20"/>
          <w:szCs w:val="20"/>
        </w:rPr>
        <w:t>Nhava</w:t>
      </w:r>
      <w:proofErr w:type="spellEnd"/>
      <w:r w:rsidRPr="001C22A1">
        <w:rPr>
          <w:rFonts w:ascii="Segoe UI" w:hAnsi="Segoe UI" w:cs="Segoe UI"/>
          <w:sz w:val="20"/>
          <w:szCs w:val="20"/>
        </w:rPr>
        <w:t xml:space="preserve"> </w:t>
      </w:r>
      <w:proofErr w:type="spellStart"/>
      <w:r w:rsidRPr="001C22A1">
        <w:rPr>
          <w:rFonts w:ascii="Segoe UI" w:hAnsi="Segoe UI" w:cs="Segoe UI"/>
          <w:sz w:val="20"/>
          <w:szCs w:val="20"/>
        </w:rPr>
        <w:t>Sheva</w:t>
      </w:r>
      <w:proofErr w:type="spellEnd"/>
      <w:r w:rsidRPr="001C22A1">
        <w:rPr>
          <w:rFonts w:ascii="Segoe UI" w:hAnsi="Segoe UI" w:cs="Segoe UI"/>
          <w:sz w:val="20"/>
          <w:szCs w:val="20"/>
        </w:rPr>
        <w:t xml:space="preserve"> restent principalement des ports </w:t>
      </w:r>
      <w:r w:rsidR="0079035B">
        <w:rPr>
          <w:rFonts w:ascii="Segoe UI" w:hAnsi="Segoe UI" w:cs="Segoe UI"/>
          <w:sz w:val="20"/>
          <w:szCs w:val="20"/>
        </w:rPr>
        <w:t xml:space="preserve">d’entrée </w:t>
      </w:r>
      <w:r w:rsidRPr="001C22A1">
        <w:rPr>
          <w:rFonts w:ascii="Segoe UI" w:hAnsi="Segoe UI" w:cs="Segoe UI"/>
          <w:sz w:val="20"/>
          <w:szCs w:val="20"/>
        </w:rPr>
        <w:t xml:space="preserve">pour le commerce extérieur indien, mais </w:t>
      </w:r>
      <w:proofErr w:type="spellStart"/>
      <w:r w:rsidRPr="001C22A1">
        <w:rPr>
          <w:rFonts w:ascii="Segoe UI" w:hAnsi="Segoe UI" w:cs="Segoe UI"/>
          <w:sz w:val="20"/>
          <w:szCs w:val="20"/>
        </w:rPr>
        <w:t>Vizhinjam</w:t>
      </w:r>
      <w:proofErr w:type="spellEnd"/>
      <w:r w:rsidRPr="001C22A1">
        <w:rPr>
          <w:rFonts w:ascii="Segoe UI" w:hAnsi="Segoe UI" w:cs="Segoe UI"/>
          <w:sz w:val="20"/>
          <w:szCs w:val="20"/>
        </w:rPr>
        <w:t xml:space="preserve">, port en eau profonde situé au Kerala et opéré par </w:t>
      </w:r>
      <w:proofErr w:type="spellStart"/>
      <w:r w:rsidRPr="001C22A1">
        <w:rPr>
          <w:rFonts w:ascii="Segoe UI" w:hAnsi="Segoe UI" w:cs="Segoe UI"/>
          <w:sz w:val="20"/>
          <w:szCs w:val="20"/>
        </w:rPr>
        <w:t>Adani</w:t>
      </w:r>
      <w:proofErr w:type="spellEnd"/>
      <w:r w:rsidRPr="001C22A1">
        <w:rPr>
          <w:rFonts w:ascii="Segoe UI" w:hAnsi="Segoe UI" w:cs="Segoe UI"/>
          <w:sz w:val="20"/>
          <w:szCs w:val="20"/>
        </w:rPr>
        <w:t xml:space="preserve">, vise plus directement une partie du transbordement indien aujourd’hui traité à Colombo. Colombo conserve des atouts en matière de connectivité, d’expérience opérationnelle et de réseau d’armateurs, mais l’augmentation des capacités ne suffira pas si elle ne s’accompagne pas d’une amélioration de la productivité, de la coordination entre terminaux, de la </w:t>
      </w:r>
      <w:r w:rsidR="0079035B">
        <w:rPr>
          <w:rFonts w:ascii="Segoe UI" w:hAnsi="Segoe UI" w:cs="Segoe UI"/>
          <w:sz w:val="20"/>
          <w:szCs w:val="20"/>
        </w:rPr>
        <w:t xml:space="preserve">numérisation </w:t>
      </w:r>
      <w:r w:rsidRPr="001C22A1">
        <w:rPr>
          <w:rFonts w:ascii="Segoe UI" w:hAnsi="Segoe UI" w:cs="Segoe UI"/>
          <w:sz w:val="20"/>
          <w:szCs w:val="20"/>
        </w:rPr>
        <w:t xml:space="preserve">portuaire et </w:t>
      </w:r>
      <w:proofErr w:type="spellStart"/>
      <w:proofErr w:type="gramStart"/>
      <w:r w:rsidRPr="001C22A1">
        <w:rPr>
          <w:rFonts w:ascii="Segoe UI" w:hAnsi="Segoe UI" w:cs="Segoe UI"/>
          <w:sz w:val="20"/>
          <w:szCs w:val="20"/>
        </w:rPr>
        <w:t>douanière</w:t>
      </w:r>
      <w:r w:rsidR="00357F73">
        <w:rPr>
          <w:rFonts w:ascii="Segoe UI" w:hAnsi="Segoe UI" w:cs="Segoe UI"/>
          <w:sz w:val="20"/>
          <w:szCs w:val="20"/>
        </w:rPr>
        <w:t>,</w:t>
      </w:r>
      <w:r w:rsidRPr="001C22A1">
        <w:rPr>
          <w:rFonts w:ascii="Segoe UI" w:hAnsi="Segoe UI" w:cs="Segoe UI"/>
          <w:sz w:val="20"/>
          <w:szCs w:val="20"/>
        </w:rPr>
        <w:t>de</w:t>
      </w:r>
      <w:proofErr w:type="spellEnd"/>
      <w:proofErr w:type="gramEnd"/>
      <w:r w:rsidRPr="001C22A1">
        <w:rPr>
          <w:rFonts w:ascii="Segoe UI" w:hAnsi="Segoe UI" w:cs="Segoe UI"/>
          <w:sz w:val="20"/>
          <w:szCs w:val="20"/>
        </w:rPr>
        <w:t xml:space="preserve"> la stabilité du cadre tarifaire</w:t>
      </w:r>
      <w:r w:rsidR="00357F73">
        <w:rPr>
          <w:rFonts w:ascii="Segoe UI" w:hAnsi="Segoe UI" w:cs="Segoe UI"/>
          <w:sz w:val="20"/>
          <w:szCs w:val="20"/>
        </w:rPr>
        <w:t xml:space="preserve"> et de la réduction de la corruption</w:t>
      </w:r>
      <w:r w:rsidRPr="001C22A1">
        <w:rPr>
          <w:rFonts w:ascii="Segoe UI" w:hAnsi="Segoe UI" w:cs="Segoe UI"/>
          <w:sz w:val="20"/>
          <w:szCs w:val="20"/>
        </w:rPr>
        <w:t>.</w:t>
      </w:r>
      <w:r w:rsidR="001149AD">
        <w:rPr>
          <w:rFonts w:ascii="Segoe UI" w:hAnsi="Segoe UI" w:cs="Segoe UI"/>
          <w:sz w:val="20"/>
          <w:szCs w:val="20"/>
        </w:rPr>
        <w:t xml:space="preserve"> </w:t>
      </w:r>
      <w:r w:rsidR="00705709" w:rsidRPr="00E9444A">
        <w:rPr>
          <w:rFonts w:ascii="Segoe UI" w:hAnsi="Segoe UI" w:cs="Segoe UI"/>
          <w:b/>
          <w:bCs/>
          <w:sz w:val="20"/>
          <w:szCs w:val="20"/>
        </w:rPr>
        <w:t xml:space="preserve">Cette </w:t>
      </w:r>
      <w:r w:rsidR="00705709" w:rsidRPr="00E9444A">
        <w:rPr>
          <w:rFonts w:ascii="Segoe UI" w:hAnsi="Segoe UI" w:cs="Segoe UI"/>
          <w:b/>
          <w:bCs/>
          <w:sz w:val="20"/>
          <w:szCs w:val="20"/>
        </w:rPr>
        <w:lastRenderedPageBreak/>
        <w:t>concurrence ne devrait toutefois pas se traduire par une substitution immédiate entre les deux ports.</w:t>
      </w:r>
      <w:r w:rsidR="00705709" w:rsidRPr="00E9444A">
        <w:rPr>
          <w:rFonts w:ascii="Segoe UI" w:hAnsi="Segoe UI" w:cs="Segoe UI"/>
          <w:sz w:val="20"/>
          <w:szCs w:val="20"/>
        </w:rPr>
        <w:t xml:space="preserve"> </w:t>
      </w:r>
      <w:proofErr w:type="spellStart"/>
      <w:r w:rsidR="00705709" w:rsidRPr="00E9444A">
        <w:rPr>
          <w:rFonts w:ascii="Segoe UI" w:hAnsi="Segoe UI" w:cs="Segoe UI"/>
          <w:sz w:val="20"/>
          <w:szCs w:val="20"/>
        </w:rPr>
        <w:t>Vizhinjam</w:t>
      </w:r>
      <w:proofErr w:type="spellEnd"/>
      <w:r w:rsidR="00705709" w:rsidRPr="00E9444A">
        <w:rPr>
          <w:rFonts w:ascii="Segoe UI" w:hAnsi="Segoe UI" w:cs="Segoe UI"/>
          <w:sz w:val="20"/>
          <w:szCs w:val="20"/>
        </w:rPr>
        <w:t xml:space="preserve"> pourrait capter une partie des flux de transbordement indiens, notamment ceux du sud du sous-continent, tandis que Colombo pourrait conserver un rôle de hub régional plus diversifié, appuyé sur sa connectivité internationale, son expérience opérationnelle et la présence établie des grands armateurs.</w:t>
      </w:r>
    </w:p>
    <w:p w14:paraId="51FDCCC2" w14:textId="1A68A511" w:rsidR="004B3B97" w:rsidRPr="00E9444A" w:rsidRDefault="001C22A1" w:rsidP="00E9444A">
      <w:pPr>
        <w:spacing w:before="120" w:line="240" w:lineRule="auto"/>
        <w:ind w:left="-283" w:right="-283"/>
        <w:jc w:val="both"/>
        <w:rPr>
          <w:rFonts w:ascii="Segoe UI" w:hAnsi="Segoe UI" w:cs="Segoe UI"/>
          <w:sz w:val="20"/>
          <w:szCs w:val="20"/>
        </w:rPr>
      </w:pPr>
      <w:r w:rsidRPr="00705709">
        <w:rPr>
          <w:rFonts w:ascii="Segoe UI" w:hAnsi="Segoe UI" w:cs="Segoe UI"/>
          <w:b/>
          <w:bCs/>
          <w:sz w:val="20"/>
          <w:szCs w:val="20"/>
        </w:rPr>
        <w:t>Le système portuaire sri-lankais demeure fortement polarisé autour de Colombo. Les autres ports ne constituent pas aujourd’hui des concurrents directs, mais des actifs compl</w:t>
      </w:r>
      <w:r w:rsidRPr="0077233D">
        <w:rPr>
          <w:rFonts w:ascii="Segoe UI" w:hAnsi="Segoe UI" w:cs="Segoe UI"/>
          <w:b/>
          <w:bCs/>
          <w:sz w:val="20"/>
          <w:szCs w:val="20"/>
        </w:rPr>
        <w:t>émentaires à vocation spécialisée.</w:t>
      </w:r>
      <w:r w:rsidRPr="001C22A1">
        <w:rPr>
          <w:rFonts w:ascii="Segoe UI" w:hAnsi="Segoe UI" w:cs="Segoe UI"/>
          <w:sz w:val="20"/>
          <w:szCs w:val="20"/>
        </w:rPr>
        <w:t xml:space="preserve"> </w:t>
      </w:r>
      <w:proofErr w:type="spellStart"/>
      <w:r w:rsidR="00D05FAA" w:rsidRPr="00D05FAA">
        <w:rPr>
          <w:rFonts w:ascii="Segoe UI" w:hAnsi="Segoe UI" w:cs="Segoe UI"/>
          <w:sz w:val="20"/>
          <w:szCs w:val="20"/>
        </w:rPr>
        <w:t>Hambantota</w:t>
      </w:r>
      <w:proofErr w:type="spellEnd"/>
      <w:r w:rsidR="00D05FAA" w:rsidRPr="00D05FAA">
        <w:rPr>
          <w:rFonts w:ascii="Segoe UI" w:hAnsi="Segoe UI" w:cs="Segoe UI"/>
          <w:sz w:val="20"/>
          <w:szCs w:val="20"/>
        </w:rPr>
        <w:t xml:space="preserve"> constitue le principal actif portuaire secondaire du pays : opéré par HIPG, ce port en eau profonde a traité 8,24 Mt</w:t>
      </w:r>
      <w:r w:rsidR="00D05FAA">
        <w:rPr>
          <w:rStyle w:val="Appeldenotedefin"/>
          <w:rFonts w:ascii="Segoe UI" w:hAnsi="Segoe UI" w:cs="Segoe UI"/>
          <w:sz w:val="20"/>
          <w:szCs w:val="20"/>
        </w:rPr>
        <w:endnoteReference w:id="3"/>
      </w:r>
      <w:r w:rsidR="00D05FAA" w:rsidRPr="00D05FAA">
        <w:rPr>
          <w:rFonts w:ascii="Segoe UI" w:hAnsi="Segoe UI" w:cs="Segoe UI"/>
          <w:sz w:val="20"/>
          <w:szCs w:val="20"/>
        </w:rPr>
        <w:t xml:space="preserve"> de fret en 2025, contre 3 Mt en 2024, porté par la progression du vrac, du fret roulier et des conteneurs. Les volumes conteneurisés ont fortement augmenté, de 53 170 TEU en 2024 à 428 036 TEU en 2025, mais le port conserve un positionnement plus diversifié que Colombo, autour des trafics spécialisés, des services aux navires et des activités industrialo-portuaires</w:t>
      </w:r>
      <w:r w:rsidR="004B3B97" w:rsidRPr="00E9444A">
        <w:rPr>
          <w:rFonts w:ascii="Segoe UI" w:hAnsi="Segoe UI" w:cs="Segoe UI"/>
          <w:sz w:val="20"/>
          <w:szCs w:val="20"/>
        </w:rPr>
        <w:t>.</w:t>
      </w:r>
      <w:r w:rsidR="00D05FAA">
        <w:rPr>
          <w:rFonts w:ascii="Segoe UI" w:hAnsi="Segoe UI" w:cs="Segoe UI"/>
          <w:sz w:val="20"/>
          <w:szCs w:val="20"/>
        </w:rPr>
        <w:t xml:space="preserve"> </w:t>
      </w:r>
      <w:r w:rsidR="004B3B97" w:rsidRPr="00E9444A">
        <w:rPr>
          <w:rFonts w:ascii="Segoe UI" w:hAnsi="Segoe UI" w:cs="Segoe UI"/>
          <w:sz w:val="20"/>
          <w:szCs w:val="20"/>
        </w:rPr>
        <w:t>Trincomalee conserve un rôle significatif, mais plus limité, avec 2,6 Mt traitées en 2024 et 116 escales</w:t>
      </w:r>
      <w:r w:rsidR="008C28E5">
        <w:rPr>
          <w:rFonts w:ascii="Segoe UI" w:hAnsi="Segoe UI" w:cs="Segoe UI"/>
          <w:sz w:val="20"/>
          <w:szCs w:val="20"/>
        </w:rPr>
        <w:t>. S</w:t>
      </w:r>
      <w:r w:rsidR="004B3B97" w:rsidRPr="00E9444A">
        <w:rPr>
          <w:rFonts w:ascii="Segoe UI" w:hAnsi="Segoe UI" w:cs="Segoe UI"/>
          <w:sz w:val="20"/>
          <w:szCs w:val="20"/>
        </w:rPr>
        <w:t>es atouts liés à sa profondeur naturelle et à son potentiel énergétique et industriel demeurent toutefois sous-exploités, notamment en raison d’une connectivité terrestre insuffisante.</w:t>
      </w:r>
      <w:r w:rsidR="000D4D95">
        <w:rPr>
          <w:rFonts w:ascii="Segoe UI" w:hAnsi="Segoe UI" w:cs="Segoe UI"/>
          <w:sz w:val="20"/>
          <w:szCs w:val="20"/>
        </w:rPr>
        <w:t xml:space="preserve"> </w:t>
      </w:r>
      <w:r w:rsidR="000D4D95" w:rsidRPr="00357F73">
        <w:rPr>
          <w:rFonts w:ascii="Segoe UI" w:hAnsi="Segoe UI" w:cs="Segoe UI"/>
          <w:sz w:val="20"/>
          <w:szCs w:val="20"/>
        </w:rPr>
        <w:t xml:space="preserve">Le projet de réhabilitation du China Bay </w:t>
      </w:r>
      <w:proofErr w:type="spellStart"/>
      <w:r w:rsidR="000D4D95" w:rsidRPr="00357F73">
        <w:rPr>
          <w:rFonts w:ascii="Segoe UI" w:hAnsi="Segoe UI" w:cs="Segoe UI"/>
          <w:sz w:val="20"/>
          <w:szCs w:val="20"/>
        </w:rPr>
        <w:t>Oil</w:t>
      </w:r>
      <w:proofErr w:type="spellEnd"/>
      <w:r w:rsidR="000D4D95" w:rsidRPr="00357F73">
        <w:rPr>
          <w:rFonts w:ascii="Segoe UI" w:hAnsi="Segoe UI" w:cs="Segoe UI"/>
          <w:sz w:val="20"/>
          <w:szCs w:val="20"/>
        </w:rPr>
        <w:t xml:space="preserve"> Tank </w:t>
      </w:r>
      <w:proofErr w:type="spellStart"/>
      <w:r w:rsidR="000D4D95" w:rsidRPr="00357F73">
        <w:rPr>
          <w:rFonts w:ascii="Segoe UI" w:hAnsi="Segoe UI" w:cs="Segoe UI"/>
          <w:sz w:val="20"/>
          <w:szCs w:val="20"/>
        </w:rPr>
        <w:t>Farm</w:t>
      </w:r>
      <w:proofErr w:type="spellEnd"/>
      <w:r w:rsidR="000D4D95" w:rsidRPr="00357F73">
        <w:rPr>
          <w:rFonts w:ascii="Segoe UI" w:hAnsi="Segoe UI" w:cs="Segoe UI"/>
          <w:sz w:val="20"/>
          <w:szCs w:val="20"/>
        </w:rPr>
        <w:t>, ancien parc de réservoirs pétroliers situé à proximité du port, vise à faire de Trincomalee une plateforme régionale de stockage, de soutage maritime et de redistribution de produits pétroliers, avec l’appui de l’Inde et des Émirats arabes unis.</w:t>
      </w:r>
      <w:r w:rsidR="004B3B97" w:rsidRPr="00E9444A">
        <w:rPr>
          <w:rFonts w:ascii="Segoe UI" w:hAnsi="Segoe UI" w:cs="Segoe UI"/>
          <w:sz w:val="20"/>
          <w:szCs w:val="20"/>
        </w:rPr>
        <w:t xml:space="preserve"> Galle et </w:t>
      </w:r>
      <w:proofErr w:type="spellStart"/>
      <w:r w:rsidR="004B3B97" w:rsidRPr="00E9444A">
        <w:rPr>
          <w:rFonts w:ascii="Segoe UI" w:hAnsi="Segoe UI" w:cs="Segoe UI"/>
          <w:sz w:val="20"/>
          <w:szCs w:val="20"/>
        </w:rPr>
        <w:t>Kankesanthurai</w:t>
      </w:r>
      <w:proofErr w:type="spellEnd"/>
      <w:r w:rsidR="004B3B97" w:rsidRPr="00E9444A">
        <w:rPr>
          <w:rFonts w:ascii="Segoe UI" w:hAnsi="Segoe UI" w:cs="Segoe UI"/>
          <w:sz w:val="20"/>
          <w:szCs w:val="20"/>
        </w:rPr>
        <w:t xml:space="preserve"> remplissent des fonctions plus ciblées : Galle ne représente plus qu’un trafic résiduel (environ 200 tonnes en 2024), tandis que </w:t>
      </w:r>
      <w:proofErr w:type="spellStart"/>
      <w:r w:rsidR="0079035B">
        <w:rPr>
          <w:rFonts w:ascii="Segoe UI" w:hAnsi="Segoe UI" w:cs="Segoe UI"/>
          <w:sz w:val="20"/>
          <w:szCs w:val="20"/>
        </w:rPr>
        <w:t>Kankesanthurai</w:t>
      </w:r>
      <w:proofErr w:type="spellEnd"/>
      <w:r w:rsidR="0079035B">
        <w:rPr>
          <w:rFonts w:ascii="Segoe UI" w:hAnsi="Segoe UI" w:cs="Segoe UI"/>
          <w:sz w:val="20"/>
          <w:szCs w:val="20"/>
        </w:rPr>
        <w:t xml:space="preserve"> (</w:t>
      </w:r>
      <w:r w:rsidR="004B3B97" w:rsidRPr="00E9444A">
        <w:rPr>
          <w:rFonts w:ascii="Segoe UI" w:hAnsi="Segoe UI" w:cs="Segoe UI"/>
          <w:sz w:val="20"/>
          <w:szCs w:val="20"/>
        </w:rPr>
        <w:t>KKS</w:t>
      </w:r>
      <w:r w:rsidR="0079035B">
        <w:rPr>
          <w:rFonts w:ascii="Segoe UI" w:hAnsi="Segoe UI" w:cs="Segoe UI"/>
          <w:sz w:val="20"/>
          <w:szCs w:val="20"/>
        </w:rPr>
        <w:t>), situé au Nord près de Jaffna,</w:t>
      </w:r>
      <w:r w:rsidR="004B3B97" w:rsidRPr="00E9444A">
        <w:rPr>
          <w:rFonts w:ascii="Segoe UI" w:hAnsi="Segoe UI" w:cs="Segoe UI"/>
          <w:sz w:val="20"/>
          <w:szCs w:val="20"/>
        </w:rPr>
        <w:t xml:space="preserve"> n</w:t>
      </w:r>
      <w:r w:rsidR="008C28E5">
        <w:rPr>
          <w:rFonts w:ascii="Segoe UI" w:hAnsi="Segoe UI" w:cs="Segoe UI"/>
          <w:sz w:val="20"/>
          <w:szCs w:val="20"/>
        </w:rPr>
        <w:t xml:space="preserve">’est pas un port de fret autonome, </w:t>
      </w:r>
      <w:r w:rsidR="004B3B97" w:rsidRPr="00E9444A">
        <w:rPr>
          <w:rFonts w:ascii="Segoe UI" w:hAnsi="Segoe UI" w:cs="Segoe UI"/>
          <w:sz w:val="20"/>
          <w:szCs w:val="20"/>
        </w:rPr>
        <w:t>la SLPA recensant seulement 43 escales en 2024 pour l’ensemble KKS-</w:t>
      </w:r>
      <w:proofErr w:type="spellStart"/>
      <w:r w:rsidR="004B3B97" w:rsidRPr="00E9444A">
        <w:rPr>
          <w:rFonts w:ascii="Segoe UI" w:hAnsi="Segoe UI" w:cs="Segoe UI"/>
          <w:sz w:val="20"/>
          <w:szCs w:val="20"/>
        </w:rPr>
        <w:t>Myliddy</w:t>
      </w:r>
      <w:proofErr w:type="spellEnd"/>
      <w:r w:rsidR="004B3B97" w:rsidRPr="00E9444A">
        <w:rPr>
          <w:rFonts w:ascii="Segoe UI" w:hAnsi="Segoe UI" w:cs="Segoe UI"/>
          <w:sz w:val="20"/>
          <w:szCs w:val="20"/>
        </w:rPr>
        <w:t>-Point Pedro-</w:t>
      </w:r>
      <w:proofErr w:type="spellStart"/>
      <w:r w:rsidR="004B3B97" w:rsidRPr="00E9444A">
        <w:rPr>
          <w:rFonts w:ascii="Segoe UI" w:hAnsi="Segoe UI" w:cs="Segoe UI"/>
          <w:sz w:val="20"/>
          <w:szCs w:val="20"/>
        </w:rPr>
        <w:t>Karainagar</w:t>
      </w:r>
      <w:proofErr w:type="spellEnd"/>
      <w:r w:rsidR="004B3B97" w:rsidRPr="00E9444A">
        <w:rPr>
          <w:rFonts w:ascii="Segoe UI" w:hAnsi="Segoe UI" w:cs="Segoe UI"/>
          <w:sz w:val="20"/>
          <w:szCs w:val="20"/>
        </w:rPr>
        <w:t>.</w:t>
      </w:r>
    </w:p>
    <w:p w14:paraId="6F8EE1AB" w14:textId="2E603D51" w:rsidR="006F455A" w:rsidRPr="00B43CE3" w:rsidRDefault="00B43CE3" w:rsidP="00705709">
      <w:pPr>
        <w:spacing w:before="120" w:line="240" w:lineRule="auto"/>
        <w:ind w:left="-283" w:right="-283"/>
        <w:jc w:val="both"/>
        <w:rPr>
          <w:rFonts w:ascii="Segoe UI" w:hAnsi="Segoe UI" w:cs="Segoe UI"/>
          <w:b/>
          <w:bCs/>
          <w:color w:val="000099"/>
        </w:rPr>
      </w:pPr>
      <w:r w:rsidRPr="00B43CE3">
        <w:rPr>
          <w:rFonts w:ascii="Segoe UI" w:hAnsi="Segoe UI" w:cs="Segoe UI"/>
          <w:b/>
          <w:bCs/>
          <w:color w:val="000099"/>
        </w:rPr>
        <w:t>Des infrastructures stratégiques au croisement des capitaux étrangers, des équilibres géopolitiques et des intérêts français</w:t>
      </w:r>
    </w:p>
    <w:p w14:paraId="2AB0CABE" w14:textId="6C308CB0" w:rsidR="00B43CE3" w:rsidRPr="00B43CE3" w:rsidRDefault="00B43CE3">
      <w:pPr>
        <w:spacing w:before="120" w:line="240" w:lineRule="auto"/>
        <w:ind w:left="-283" w:right="-283"/>
        <w:jc w:val="both"/>
        <w:rPr>
          <w:rFonts w:ascii="Segoe UI" w:hAnsi="Segoe UI" w:cs="Segoe UI"/>
          <w:sz w:val="20"/>
          <w:szCs w:val="20"/>
        </w:rPr>
      </w:pPr>
      <w:r w:rsidRPr="00B43CE3">
        <w:rPr>
          <w:rFonts w:ascii="Segoe UI" w:hAnsi="Segoe UI" w:cs="Segoe UI"/>
          <w:b/>
          <w:bCs/>
          <w:sz w:val="20"/>
          <w:szCs w:val="20"/>
        </w:rPr>
        <w:t xml:space="preserve">La Chine occupe une place structurante dans les actifs portuaires sri-lankais, notamment via China </w:t>
      </w:r>
      <w:proofErr w:type="spellStart"/>
      <w:r w:rsidRPr="00B43CE3">
        <w:rPr>
          <w:rFonts w:ascii="Segoe UI" w:hAnsi="Segoe UI" w:cs="Segoe UI"/>
          <w:b/>
          <w:bCs/>
          <w:sz w:val="20"/>
          <w:szCs w:val="20"/>
        </w:rPr>
        <w:t>Merchants</w:t>
      </w:r>
      <w:proofErr w:type="spellEnd"/>
      <w:r w:rsidRPr="00B43CE3">
        <w:rPr>
          <w:rFonts w:ascii="Segoe UI" w:hAnsi="Segoe UI" w:cs="Segoe UI"/>
          <w:b/>
          <w:bCs/>
          <w:sz w:val="20"/>
          <w:szCs w:val="20"/>
        </w:rPr>
        <w:t xml:space="preserve"> Port Holdings</w:t>
      </w:r>
      <w:r w:rsidR="000F5272">
        <w:rPr>
          <w:rFonts w:ascii="Segoe UI" w:hAnsi="Segoe UI" w:cs="Segoe UI"/>
          <w:b/>
          <w:bCs/>
          <w:sz w:val="20"/>
          <w:szCs w:val="20"/>
        </w:rPr>
        <w:t xml:space="preserve"> (</w:t>
      </w:r>
      <w:proofErr w:type="spellStart"/>
      <w:r w:rsidR="000F5272">
        <w:rPr>
          <w:rFonts w:ascii="Segoe UI" w:hAnsi="Segoe UI" w:cs="Segoe UI"/>
          <w:b/>
          <w:bCs/>
          <w:sz w:val="20"/>
          <w:szCs w:val="20"/>
        </w:rPr>
        <w:t>CMPort</w:t>
      </w:r>
      <w:proofErr w:type="spellEnd"/>
      <w:r w:rsidR="000F5272">
        <w:rPr>
          <w:rFonts w:ascii="Segoe UI" w:hAnsi="Segoe UI" w:cs="Segoe UI"/>
          <w:b/>
          <w:bCs/>
          <w:sz w:val="20"/>
          <w:szCs w:val="20"/>
        </w:rPr>
        <w:t>)</w:t>
      </w:r>
      <w:r w:rsidRPr="00B43CE3">
        <w:rPr>
          <w:rFonts w:ascii="Segoe UI" w:hAnsi="Segoe UI" w:cs="Segoe UI"/>
          <w:b/>
          <w:bCs/>
          <w:sz w:val="20"/>
          <w:szCs w:val="20"/>
        </w:rPr>
        <w:t xml:space="preserve"> au CICT de Colombo et HIPG à </w:t>
      </w:r>
      <w:proofErr w:type="spellStart"/>
      <w:r w:rsidRPr="00B43CE3">
        <w:rPr>
          <w:rFonts w:ascii="Segoe UI" w:hAnsi="Segoe UI" w:cs="Segoe UI"/>
          <w:b/>
          <w:bCs/>
          <w:sz w:val="20"/>
          <w:szCs w:val="20"/>
        </w:rPr>
        <w:t>Hambantota</w:t>
      </w:r>
      <w:proofErr w:type="spellEnd"/>
      <w:r w:rsidRPr="000F5272">
        <w:rPr>
          <w:rFonts w:ascii="Segoe UI" w:hAnsi="Segoe UI" w:cs="Segoe UI"/>
          <w:sz w:val="20"/>
          <w:szCs w:val="20"/>
        </w:rPr>
        <w:t>.</w:t>
      </w:r>
      <w:r w:rsidRPr="00B43CE3">
        <w:rPr>
          <w:rFonts w:ascii="Segoe UI" w:hAnsi="Segoe UI" w:cs="Segoe UI"/>
          <w:sz w:val="20"/>
          <w:szCs w:val="20"/>
        </w:rPr>
        <w:t xml:space="preserve"> </w:t>
      </w:r>
      <w:r w:rsidR="000F5272" w:rsidRPr="000F5272">
        <w:rPr>
          <w:rFonts w:ascii="Segoe UI" w:hAnsi="Segoe UI" w:cs="Segoe UI"/>
          <w:sz w:val="20"/>
          <w:szCs w:val="20"/>
        </w:rPr>
        <w:t>Le port d’</w:t>
      </w:r>
      <w:proofErr w:type="spellStart"/>
      <w:r w:rsidR="000F5272" w:rsidRPr="000F5272">
        <w:rPr>
          <w:rFonts w:ascii="Segoe UI" w:hAnsi="Segoe UI" w:cs="Segoe UI"/>
          <w:sz w:val="20"/>
          <w:szCs w:val="20"/>
        </w:rPr>
        <w:t>Hambantota</w:t>
      </w:r>
      <w:proofErr w:type="spellEnd"/>
      <w:r w:rsidR="000F5272" w:rsidRPr="000F5272">
        <w:rPr>
          <w:rFonts w:ascii="Segoe UI" w:hAnsi="Segoe UI" w:cs="Segoe UI"/>
          <w:sz w:val="20"/>
          <w:szCs w:val="20"/>
        </w:rPr>
        <w:t xml:space="preserve"> est exploité depuis 2017 dans le cadre d’un partenariat public-privé entre </w:t>
      </w:r>
      <w:proofErr w:type="spellStart"/>
      <w:r w:rsidR="00095AAC">
        <w:rPr>
          <w:rFonts w:ascii="Segoe UI" w:hAnsi="Segoe UI" w:cs="Segoe UI"/>
          <w:sz w:val="20"/>
          <w:szCs w:val="20"/>
        </w:rPr>
        <w:t>CMPort</w:t>
      </w:r>
      <w:proofErr w:type="spellEnd"/>
      <w:r w:rsidR="00095AAC">
        <w:rPr>
          <w:rFonts w:ascii="Segoe UI" w:hAnsi="Segoe UI" w:cs="Segoe UI"/>
          <w:sz w:val="20"/>
          <w:szCs w:val="20"/>
        </w:rPr>
        <w:t xml:space="preserve"> et la SLPA</w:t>
      </w:r>
      <w:r w:rsidR="000F5272" w:rsidRPr="000F5272">
        <w:rPr>
          <w:rFonts w:ascii="Segoe UI" w:hAnsi="Segoe UI" w:cs="Segoe UI"/>
          <w:sz w:val="20"/>
          <w:szCs w:val="20"/>
        </w:rPr>
        <w:t xml:space="preserve">, adossé à une concession de 99 ans. La société d’exploitation principale, HIPG, est détenue à 85 % par </w:t>
      </w:r>
      <w:proofErr w:type="spellStart"/>
      <w:r w:rsidR="000F5272" w:rsidRPr="000F5272">
        <w:rPr>
          <w:rFonts w:ascii="Segoe UI" w:hAnsi="Segoe UI" w:cs="Segoe UI"/>
          <w:sz w:val="20"/>
          <w:szCs w:val="20"/>
        </w:rPr>
        <w:t>CMPort</w:t>
      </w:r>
      <w:proofErr w:type="spellEnd"/>
      <w:r w:rsidR="000F5272" w:rsidRPr="000F5272">
        <w:rPr>
          <w:rFonts w:ascii="Segoe UI" w:hAnsi="Segoe UI" w:cs="Segoe UI"/>
          <w:sz w:val="20"/>
          <w:szCs w:val="20"/>
        </w:rPr>
        <w:t xml:space="preserve"> et à 15 % par la SLPA</w:t>
      </w:r>
      <w:r w:rsidR="000F5272">
        <w:rPr>
          <w:rFonts w:ascii="Segoe UI" w:hAnsi="Segoe UI" w:cs="Segoe UI"/>
          <w:sz w:val="20"/>
          <w:szCs w:val="20"/>
        </w:rPr>
        <w:t xml:space="preserve">. </w:t>
      </w:r>
      <w:r w:rsidR="000F5272" w:rsidRPr="000F5272">
        <w:rPr>
          <w:rFonts w:ascii="Segoe UI" w:hAnsi="Segoe UI" w:cs="Segoe UI"/>
          <w:sz w:val="20"/>
          <w:szCs w:val="20"/>
        </w:rPr>
        <w:t>Cette structure confère à l’opérateur chinois le contrôle opérationnel du port, tout en maintenant une participation minoritaire de l’autorité portuaire sri-lankaise.</w:t>
      </w:r>
      <w:r w:rsidR="000F5272" w:rsidRPr="00B43CE3">
        <w:rPr>
          <w:rFonts w:ascii="Segoe UI" w:hAnsi="Segoe UI" w:cs="Segoe UI"/>
          <w:sz w:val="20"/>
          <w:szCs w:val="20"/>
        </w:rPr>
        <w:t xml:space="preserve"> </w:t>
      </w:r>
      <w:r w:rsidRPr="00B43CE3">
        <w:rPr>
          <w:rFonts w:ascii="Segoe UI" w:hAnsi="Segoe UI" w:cs="Segoe UI"/>
          <w:sz w:val="20"/>
          <w:szCs w:val="20"/>
        </w:rPr>
        <w:t>Cette présence a permis de financer et d’opérer des infrastructures de grande ampleur, mais elle alimente aussi les interrogations sur la dépendance du Sri Lanka à des capitaux chinois dans des actifs stratégiques</w:t>
      </w:r>
      <w:r w:rsidR="008C28E5">
        <w:rPr>
          <w:rFonts w:ascii="Segoe UI" w:hAnsi="Segoe UI" w:cs="Segoe UI"/>
          <w:sz w:val="20"/>
          <w:szCs w:val="20"/>
        </w:rPr>
        <w:t xml:space="preserve"> et sur une potentielle utilisation</w:t>
      </w:r>
      <w:r w:rsidR="008C28E5" w:rsidRPr="00B43CE3" w:rsidDel="008C28E5">
        <w:rPr>
          <w:rFonts w:ascii="Segoe UI" w:hAnsi="Segoe UI" w:cs="Segoe UI"/>
          <w:sz w:val="20"/>
          <w:szCs w:val="20"/>
        </w:rPr>
        <w:t xml:space="preserve"> </w:t>
      </w:r>
      <w:r w:rsidR="008C28E5">
        <w:rPr>
          <w:rFonts w:ascii="Segoe UI" w:hAnsi="Segoe UI" w:cs="Segoe UI"/>
          <w:sz w:val="20"/>
          <w:szCs w:val="20"/>
        </w:rPr>
        <w:t>du port</w:t>
      </w:r>
      <w:r w:rsidR="00095AAC">
        <w:rPr>
          <w:rFonts w:ascii="Segoe UI" w:hAnsi="Segoe UI" w:cs="Segoe UI"/>
          <w:sz w:val="20"/>
          <w:szCs w:val="20"/>
        </w:rPr>
        <w:t xml:space="preserve"> </w:t>
      </w:r>
      <w:r w:rsidR="008C28E5">
        <w:rPr>
          <w:rFonts w:ascii="Segoe UI" w:hAnsi="Segoe UI" w:cs="Segoe UI"/>
          <w:sz w:val="20"/>
          <w:szCs w:val="20"/>
        </w:rPr>
        <w:t xml:space="preserve">à des fins militaires. </w:t>
      </w:r>
      <w:r w:rsidRPr="00B43CE3">
        <w:rPr>
          <w:rFonts w:ascii="Segoe UI" w:hAnsi="Segoe UI" w:cs="Segoe UI"/>
          <w:b/>
          <w:bCs/>
          <w:sz w:val="20"/>
          <w:szCs w:val="20"/>
        </w:rPr>
        <w:t xml:space="preserve">L’Inde renforce parallèlement sa présence, principalement à travers </w:t>
      </w:r>
      <w:proofErr w:type="spellStart"/>
      <w:r w:rsidRPr="00B43CE3">
        <w:rPr>
          <w:rFonts w:ascii="Segoe UI" w:hAnsi="Segoe UI" w:cs="Segoe UI"/>
          <w:b/>
          <w:bCs/>
          <w:sz w:val="20"/>
          <w:szCs w:val="20"/>
        </w:rPr>
        <w:t>Adani</w:t>
      </w:r>
      <w:proofErr w:type="spellEnd"/>
      <w:r w:rsidRPr="00B43CE3">
        <w:rPr>
          <w:rFonts w:ascii="Segoe UI" w:hAnsi="Segoe UI" w:cs="Segoe UI"/>
          <w:b/>
          <w:bCs/>
          <w:sz w:val="20"/>
          <w:szCs w:val="20"/>
        </w:rPr>
        <w:t xml:space="preserve"> Ports au </w:t>
      </w:r>
      <w:proofErr w:type="gramStart"/>
      <w:r w:rsidRPr="00B43CE3">
        <w:rPr>
          <w:rFonts w:ascii="Segoe UI" w:hAnsi="Segoe UI" w:cs="Segoe UI"/>
          <w:b/>
          <w:bCs/>
          <w:sz w:val="20"/>
          <w:szCs w:val="20"/>
        </w:rPr>
        <w:t>WCT</w:t>
      </w:r>
      <w:r w:rsidR="00D05FAA">
        <w:rPr>
          <w:rFonts w:ascii="Segoe UI" w:hAnsi="Segoe UI" w:cs="Segoe UI"/>
          <w:b/>
          <w:bCs/>
          <w:sz w:val="20"/>
          <w:szCs w:val="20"/>
        </w:rPr>
        <w:t xml:space="preserve"> </w:t>
      </w:r>
      <w:r w:rsidR="00D05FAA">
        <w:t>,</w:t>
      </w:r>
      <w:r w:rsidR="00D05FAA" w:rsidRPr="00D05FAA">
        <w:rPr>
          <w:rFonts w:ascii="Segoe UI" w:hAnsi="Segoe UI" w:cs="Segoe UI"/>
          <w:b/>
          <w:bCs/>
          <w:sz w:val="20"/>
          <w:szCs w:val="20"/>
        </w:rPr>
        <w:t>mais</w:t>
      </w:r>
      <w:proofErr w:type="gramEnd"/>
      <w:r w:rsidR="00D05FAA" w:rsidRPr="00D05FAA">
        <w:rPr>
          <w:rFonts w:ascii="Segoe UI" w:hAnsi="Segoe UI" w:cs="Segoe UI"/>
          <w:b/>
          <w:bCs/>
          <w:sz w:val="20"/>
          <w:szCs w:val="20"/>
        </w:rPr>
        <w:t xml:space="preserve"> aussi dans le développement du pôle énergétique de Trincomalee.</w:t>
      </w:r>
      <w:r w:rsidRPr="00B43CE3">
        <w:rPr>
          <w:rFonts w:ascii="Segoe UI" w:hAnsi="Segoe UI" w:cs="Segoe UI"/>
          <w:sz w:val="20"/>
          <w:szCs w:val="20"/>
        </w:rPr>
        <w:t xml:space="preserve"> Cette montée en puissance répond à un double objectif : sécuriser une position dans le principal hub régional utilisé par les flux indiens et contrebalancer l’ancrage chinois dans les infrastructures sri-lankaises. La présence d’</w:t>
      </w:r>
      <w:proofErr w:type="spellStart"/>
      <w:r w:rsidRPr="00B43CE3">
        <w:rPr>
          <w:rFonts w:ascii="Segoe UI" w:hAnsi="Segoe UI" w:cs="Segoe UI"/>
          <w:sz w:val="20"/>
          <w:szCs w:val="20"/>
        </w:rPr>
        <w:t>Adani</w:t>
      </w:r>
      <w:proofErr w:type="spellEnd"/>
      <w:r w:rsidRPr="00B43CE3">
        <w:rPr>
          <w:rFonts w:ascii="Segoe UI" w:hAnsi="Segoe UI" w:cs="Segoe UI"/>
          <w:sz w:val="20"/>
          <w:szCs w:val="20"/>
        </w:rPr>
        <w:t xml:space="preserve"> au WCT illustre cette ambiguïté : elle accroît l’empreinte indienne à Colombo, mais peut aussi contribuer à y maintenir une partie des flux indiens face à la montée en puissance d</w:t>
      </w:r>
      <w:r w:rsidR="000F5272">
        <w:rPr>
          <w:rFonts w:ascii="Segoe UI" w:hAnsi="Segoe UI" w:cs="Segoe UI"/>
          <w:sz w:val="20"/>
          <w:szCs w:val="20"/>
        </w:rPr>
        <w:t>u port de</w:t>
      </w:r>
      <w:r w:rsidRPr="00B43CE3">
        <w:rPr>
          <w:rFonts w:ascii="Segoe UI" w:hAnsi="Segoe UI" w:cs="Segoe UI"/>
          <w:sz w:val="20"/>
          <w:szCs w:val="20"/>
        </w:rPr>
        <w:t xml:space="preserve"> </w:t>
      </w:r>
      <w:proofErr w:type="spellStart"/>
      <w:r w:rsidRPr="00B43CE3">
        <w:rPr>
          <w:rFonts w:ascii="Segoe UI" w:hAnsi="Segoe UI" w:cs="Segoe UI"/>
          <w:sz w:val="20"/>
          <w:szCs w:val="20"/>
        </w:rPr>
        <w:t>Vizhinjam</w:t>
      </w:r>
      <w:proofErr w:type="spellEnd"/>
      <w:r w:rsidRPr="00B43CE3">
        <w:rPr>
          <w:rFonts w:ascii="Segoe UI" w:hAnsi="Segoe UI" w:cs="Segoe UI"/>
          <w:sz w:val="20"/>
          <w:szCs w:val="20"/>
        </w:rPr>
        <w:t>.</w:t>
      </w:r>
    </w:p>
    <w:p w14:paraId="0D6210C9" w14:textId="77777777" w:rsidR="00B43CE3" w:rsidRDefault="00B43CE3" w:rsidP="00B43CE3">
      <w:pPr>
        <w:spacing w:before="120" w:line="240" w:lineRule="auto"/>
        <w:ind w:left="-283" w:right="-283"/>
        <w:jc w:val="both"/>
        <w:rPr>
          <w:rFonts w:ascii="Segoe UI" w:hAnsi="Segoe UI" w:cs="Segoe UI"/>
          <w:sz w:val="20"/>
          <w:szCs w:val="20"/>
        </w:rPr>
      </w:pPr>
      <w:r w:rsidRPr="00B43CE3">
        <w:rPr>
          <w:rFonts w:ascii="Segoe UI" w:hAnsi="Segoe UI" w:cs="Segoe UI"/>
          <w:b/>
          <w:bCs/>
          <w:sz w:val="20"/>
          <w:szCs w:val="20"/>
        </w:rPr>
        <w:t>La SLPA conserve un rôle central comme autorité portuaire, actionnaire minoritaire dans plusieurs terminaux et opérateur public via JCT, UCT et ECT.</w:t>
      </w:r>
      <w:r w:rsidRPr="00B43CE3">
        <w:rPr>
          <w:rFonts w:ascii="Segoe UI" w:hAnsi="Segoe UI" w:cs="Segoe UI"/>
          <w:sz w:val="20"/>
          <w:szCs w:val="20"/>
        </w:rPr>
        <w:t xml:space="preserve"> Le maintien de l’ECT sous contrôle public répond à une logique de souveraineté économique, afin d’éviter que l’ensemble des capacités modernes en eau profonde ne soit exploité par des opérateurs étrangers. Cette stratégie ne sera toutefois crédible que si les terminaux publics atteignent des standards comparables aux terminaux privés en matière de productivité, d’équipement, de fiabilité et de qualité de service.</w:t>
      </w:r>
    </w:p>
    <w:p w14:paraId="749B444C" w14:textId="51B0FCA5" w:rsidR="00B43CE3" w:rsidRDefault="00B43CE3" w:rsidP="00B43CE3">
      <w:pPr>
        <w:spacing w:before="120" w:line="240" w:lineRule="auto"/>
        <w:ind w:left="-283" w:right="-283"/>
        <w:jc w:val="both"/>
        <w:rPr>
          <w:rFonts w:ascii="Segoe UI" w:hAnsi="Segoe UI" w:cs="Segoe UI"/>
          <w:sz w:val="20"/>
          <w:szCs w:val="20"/>
        </w:rPr>
      </w:pPr>
      <w:r w:rsidRPr="00B43CE3">
        <w:rPr>
          <w:rFonts w:ascii="Segoe UI" w:hAnsi="Segoe UI" w:cs="Segoe UI"/>
          <w:b/>
          <w:bCs/>
          <w:sz w:val="20"/>
          <w:szCs w:val="20"/>
        </w:rPr>
        <w:t>Les intérêts français dans le secteur portuaire sri-lankais sont aujourd’hui principalement portés par CMA CGM.</w:t>
      </w:r>
      <w:r w:rsidRPr="00B43CE3">
        <w:rPr>
          <w:rFonts w:ascii="Segoe UI" w:hAnsi="Segoe UI" w:cs="Segoe UI"/>
          <w:sz w:val="20"/>
          <w:szCs w:val="20"/>
        </w:rPr>
        <w:t xml:space="preserve"> Le groupe n’est pas, à ce stade, actionnaire d’un terminal au Sri Lanka, mais</w:t>
      </w:r>
      <w:r w:rsidR="002E1DC2">
        <w:rPr>
          <w:rFonts w:ascii="Segoe UI" w:hAnsi="Segoe UI" w:cs="Segoe UI"/>
          <w:sz w:val="20"/>
          <w:szCs w:val="20"/>
        </w:rPr>
        <w:t xml:space="preserve"> constitue déjà le troisième opérateur du </w:t>
      </w:r>
      <w:r w:rsidR="00D276A4">
        <w:rPr>
          <w:rFonts w:ascii="Segoe UI" w:hAnsi="Segoe UI" w:cs="Segoe UI"/>
          <w:sz w:val="20"/>
          <w:szCs w:val="20"/>
        </w:rPr>
        <w:t>p</w:t>
      </w:r>
      <w:r w:rsidR="002E1DC2">
        <w:rPr>
          <w:rFonts w:ascii="Segoe UI" w:hAnsi="Segoe UI" w:cs="Segoe UI"/>
          <w:sz w:val="20"/>
          <w:szCs w:val="20"/>
        </w:rPr>
        <w:t>ort de Colombo</w:t>
      </w:r>
      <w:r w:rsidR="00095AAC">
        <w:rPr>
          <w:rStyle w:val="Appeldenotedefin"/>
          <w:rFonts w:ascii="Segoe UI" w:hAnsi="Segoe UI" w:cs="Segoe UI"/>
          <w:sz w:val="20"/>
          <w:szCs w:val="20"/>
        </w:rPr>
        <w:endnoteReference w:id="4"/>
      </w:r>
      <w:r w:rsidRPr="00B43CE3">
        <w:rPr>
          <w:rFonts w:ascii="Segoe UI" w:hAnsi="Segoe UI" w:cs="Segoe UI"/>
          <w:sz w:val="20"/>
          <w:szCs w:val="20"/>
        </w:rPr>
        <w:t xml:space="preserve">. La signature d’un accord de services avec SLPA </w:t>
      </w:r>
      <w:proofErr w:type="spellStart"/>
      <w:r w:rsidRPr="00B43CE3">
        <w:rPr>
          <w:rFonts w:ascii="Segoe UI" w:hAnsi="Segoe UI" w:cs="Segoe UI"/>
          <w:sz w:val="20"/>
          <w:szCs w:val="20"/>
        </w:rPr>
        <w:t>Terminals</w:t>
      </w:r>
      <w:proofErr w:type="spellEnd"/>
      <w:r w:rsidRPr="00B43CE3">
        <w:rPr>
          <w:rFonts w:ascii="Segoe UI" w:hAnsi="Segoe UI" w:cs="Segoe UI"/>
          <w:sz w:val="20"/>
          <w:szCs w:val="20"/>
        </w:rPr>
        <w:t xml:space="preserve"> début 2026 confirme </w:t>
      </w:r>
      <w:r w:rsidR="00845B38">
        <w:rPr>
          <w:rFonts w:ascii="Segoe UI" w:hAnsi="Segoe UI" w:cs="Segoe UI"/>
          <w:sz w:val="20"/>
          <w:szCs w:val="20"/>
        </w:rPr>
        <w:t xml:space="preserve">les ambitions </w:t>
      </w:r>
      <w:r w:rsidRPr="00B43CE3">
        <w:rPr>
          <w:rFonts w:ascii="Segoe UI" w:hAnsi="Segoe UI" w:cs="Segoe UI"/>
          <w:sz w:val="20"/>
          <w:szCs w:val="20"/>
        </w:rPr>
        <w:t xml:space="preserve">de CMA CGM </w:t>
      </w:r>
      <w:r w:rsidR="00845B38">
        <w:rPr>
          <w:rFonts w:ascii="Segoe UI" w:hAnsi="Segoe UI" w:cs="Segoe UI"/>
          <w:sz w:val="20"/>
          <w:szCs w:val="20"/>
        </w:rPr>
        <w:t xml:space="preserve">à </w:t>
      </w:r>
      <w:r w:rsidRPr="00B43CE3">
        <w:rPr>
          <w:rFonts w:ascii="Segoe UI" w:hAnsi="Segoe UI" w:cs="Segoe UI"/>
          <w:sz w:val="20"/>
          <w:szCs w:val="20"/>
        </w:rPr>
        <w:t xml:space="preserve">Colombo </w:t>
      </w:r>
      <w:r w:rsidR="00845B38">
        <w:rPr>
          <w:rFonts w:ascii="Segoe UI" w:hAnsi="Segoe UI" w:cs="Segoe UI"/>
          <w:sz w:val="20"/>
          <w:szCs w:val="20"/>
        </w:rPr>
        <w:t xml:space="preserve">et son intérêt à participer au développement de cette </w:t>
      </w:r>
      <w:r w:rsidRPr="00B43CE3">
        <w:rPr>
          <w:rFonts w:ascii="Segoe UI" w:hAnsi="Segoe UI" w:cs="Segoe UI"/>
          <w:sz w:val="20"/>
          <w:szCs w:val="20"/>
        </w:rPr>
        <w:t xml:space="preserve">plateforme régionale. </w:t>
      </w:r>
    </w:p>
    <w:p w14:paraId="0288EAFB" w14:textId="55E02D16" w:rsidR="001149AD" w:rsidRDefault="00F06234" w:rsidP="00E9444A">
      <w:pPr>
        <w:spacing w:before="120" w:line="240" w:lineRule="auto"/>
        <w:ind w:left="-283" w:right="-283"/>
        <w:jc w:val="both"/>
        <w:rPr>
          <w:rFonts w:ascii="Segoe UI" w:hAnsi="Segoe UI" w:cs="Segoe UI"/>
          <w:color w:val="0000CC"/>
          <w:sz w:val="20"/>
          <w:szCs w:val="20"/>
        </w:rPr>
      </w:pPr>
      <w:r w:rsidRPr="00E9444A">
        <w:rPr>
          <w:rFonts w:ascii="Segoe UI" w:hAnsi="Segoe UI" w:cs="Segoe UI"/>
          <w:color w:val="000099"/>
          <w:sz w:val="20"/>
          <w:szCs w:val="20"/>
        </w:rPr>
        <w:t xml:space="preserve">À moyen terme, la consolidation du rôle régional de Colombo dépendra de la capacité des autorités à traduire les investissements annoncés en gains opérationnels. Le </w:t>
      </w:r>
      <w:r w:rsidR="00845B38">
        <w:rPr>
          <w:rFonts w:ascii="Segoe UI" w:hAnsi="Segoe UI" w:cs="Segoe UI"/>
          <w:color w:val="000099"/>
          <w:sz w:val="20"/>
          <w:szCs w:val="20"/>
        </w:rPr>
        <w:t xml:space="preserve">portefeuille </w:t>
      </w:r>
      <w:r>
        <w:rPr>
          <w:rFonts w:ascii="Segoe UI" w:hAnsi="Segoe UI" w:cs="Segoe UI"/>
          <w:color w:val="000099"/>
          <w:sz w:val="20"/>
          <w:szCs w:val="20"/>
        </w:rPr>
        <w:t>d’investissement annoncé par la</w:t>
      </w:r>
      <w:r w:rsidRPr="00E9444A">
        <w:rPr>
          <w:rFonts w:ascii="Segoe UI" w:hAnsi="Segoe UI" w:cs="Segoe UI"/>
          <w:color w:val="000099"/>
          <w:sz w:val="20"/>
          <w:szCs w:val="20"/>
        </w:rPr>
        <w:t xml:space="preserve"> SLPA, proche de 2 Mds USD sur les trois prochaines années, doit notamment porter la capacité du port à 14 M </w:t>
      </w:r>
      <w:r>
        <w:rPr>
          <w:rFonts w:ascii="Segoe UI" w:hAnsi="Segoe UI" w:cs="Segoe UI"/>
          <w:color w:val="000099"/>
          <w:sz w:val="20"/>
          <w:szCs w:val="20"/>
        </w:rPr>
        <w:t>TEU</w:t>
      </w:r>
      <w:r w:rsidRPr="00E9444A">
        <w:rPr>
          <w:rFonts w:ascii="Segoe UI" w:hAnsi="Segoe UI" w:cs="Segoe UI"/>
          <w:color w:val="000099"/>
          <w:sz w:val="20"/>
          <w:szCs w:val="20"/>
        </w:rPr>
        <w:t xml:space="preserve">, avec </w:t>
      </w:r>
      <w:r w:rsidR="004E7222">
        <w:rPr>
          <w:rFonts w:ascii="Segoe UI" w:hAnsi="Segoe UI" w:cs="Segoe UI"/>
          <w:color w:val="000099"/>
          <w:sz w:val="20"/>
          <w:szCs w:val="20"/>
        </w:rPr>
        <w:t xml:space="preserve">la mise en service de </w:t>
      </w:r>
      <w:r w:rsidRPr="00E9444A">
        <w:rPr>
          <w:rFonts w:ascii="Segoe UI" w:hAnsi="Segoe UI" w:cs="Segoe UI"/>
          <w:color w:val="000099"/>
          <w:sz w:val="20"/>
          <w:szCs w:val="20"/>
        </w:rPr>
        <w:t>l’ECT, l</w:t>
      </w:r>
      <w:r w:rsidR="004E7222">
        <w:rPr>
          <w:rFonts w:ascii="Segoe UI" w:hAnsi="Segoe UI" w:cs="Segoe UI"/>
          <w:color w:val="000099"/>
          <w:sz w:val="20"/>
          <w:szCs w:val="20"/>
        </w:rPr>
        <w:t>’extension du</w:t>
      </w:r>
      <w:r w:rsidRPr="00E9444A">
        <w:rPr>
          <w:rFonts w:ascii="Segoe UI" w:hAnsi="Segoe UI" w:cs="Segoe UI"/>
          <w:color w:val="000099"/>
          <w:sz w:val="20"/>
          <w:szCs w:val="20"/>
        </w:rPr>
        <w:t xml:space="preserve"> WCT2</w:t>
      </w:r>
      <w:r w:rsidR="00312944">
        <w:rPr>
          <w:rFonts w:ascii="Segoe UI" w:hAnsi="Segoe UI" w:cs="Segoe UI"/>
          <w:color w:val="000099"/>
          <w:sz w:val="20"/>
          <w:szCs w:val="20"/>
        </w:rPr>
        <w:t xml:space="preserve">. A plus long terme, </w:t>
      </w:r>
      <w:r w:rsidR="004E7222">
        <w:rPr>
          <w:rFonts w:ascii="Segoe UI" w:hAnsi="Segoe UI" w:cs="Segoe UI"/>
          <w:color w:val="000099"/>
          <w:sz w:val="20"/>
          <w:szCs w:val="20"/>
        </w:rPr>
        <w:t xml:space="preserve">le projet du </w:t>
      </w:r>
      <w:r w:rsidRPr="00E9444A">
        <w:rPr>
          <w:rFonts w:ascii="Segoe UI" w:hAnsi="Segoe UI" w:cs="Segoe UI"/>
          <w:color w:val="000099"/>
          <w:sz w:val="20"/>
          <w:szCs w:val="20"/>
        </w:rPr>
        <w:t>Colombo North Por</w:t>
      </w:r>
      <w:r w:rsidR="00312944">
        <w:rPr>
          <w:rFonts w:ascii="Segoe UI" w:hAnsi="Segoe UI" w:cs="Segoe UI"/>
          <w:color w:val="000099"/>
          <w:sz w:val="20"/>
          <w:szCs w:val="20"/>
        </w:rPr>
        <w:t xml:space="preserve">t </w:t>
      </w:r>
      <w:r w:rsidR="00312944" w:rsidRPr="00312944">
        <w:rPr>
          <w:rFonts w:ascii="Segoe UI" w:hAnsi="Segoe UI" w:cs="Segoe UI"/>
          <w:color w:val="000099"/>
          <w:sz w:val="20"/>
          <w:szCs w:val="20"/>
        </w:rPr>
        <w:t xml:space="preserve">pourrait ouvrir une nouvelle phase d’expansion capacitaire au-delà du South Harbour. </w:t>
      </w:r>
      <w:r w:rsidRPr="00E9444A">
        <w:rPr>
          <w:rFonts w:ascii="Segoe UI" w:hAnsi="Segoe UI" w:cs="Segoe UI"/>
          <w:color w:val="000099"/>
          <w:sz w:val="20"/>
          <w:szCs w:val="20"/>
        </w:rPr>
        <w:t>Son impact restera toutefois conditionné à l’amélioration de la productivité, de la connectivité et de la lisibilité du cadre d’investissement, dans un contexte de concurrence accrue des hubs du sous-continent.</w:t>
      </w:r>
    </w:p>
    <w:sectPr w:rsidR="001149AD" w:rsidSect="00544FB7">
      <w:footerReference w:type="default" r:id="rId9"/>
      <w:endnotePr>
        <w:numFmt w:val="decimal"/>
      </w:endnotePr>
      <w:pgSz w:w="11906" w:h="16838"/>
      <w:pgMar w:top="709" w:right="1276" w:bottom="70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6ACEF" w14:textId="77777777" w:rsidR="00E27F3B" w:rsidRDefault="00E27F3B" w:rsidP="0044549D">
      <w:pPr>
        <w:spacing w:after="0" w:line="240" w:lineRule="auto"/>
      </w:pPr>
      <w:r>
        <w:separator/>
      </w:r>
    </w:p>
  </w:endnote>
  <w:endnote w:type="continuationSeparator" w:id="0">
    <w:p w14:paraId="3E92FA2A" w14:textId="77777777" w:rsidR="00E27F3B" w:rsidRDefault="00E27F3B" w:rsidP="0044549D">
      <w:pPr>
        <w:spacing w:after="0" w:line="240" w:lineRule="auto"/>
      </w:pPr>
      <w:r>
        <w:continuationSeparator/>
      </w:r>
    </w:p>
  </w:endnote>
  <w:endnote w:id="1">
    <w:p w14:paraId="1FABEEC2" w14:textId="50FD6DF1" w:rsidR="00312944" w:rsidRPr="00D660B9" w:rsidRDefault="00312944">
      <w:pPr>
        <w:pStyle w:val="Notedefin"/>
      </w:pPr>
      <w:r>
        <w:rPr>
          <w:rStyle w:val="Appeldenotedefin"/>
        </w:rPr>
        <w:endnoteRef/>
      </w:r>
      <w:r w:rsidRPr="00D660B9">
        <w:t xml:space="preserve"> SLPA : Sri Lanka Ports Authority</w:t>
      </w:r>
    </w:p>
  </w:endnote>
  <w:endnote w:id="2">
    <w:p w14:paraId="7F003345" w14:textId="3D12369A" w:rsidR="00070B01" w:rsidRPr="00070B01" w:rsidRDefault="00070B01">
      <w:pPr>
        <w:pStyle w:val="Notedefin"/>
      </w:pPr>
      <w:r>
        <w:rPr>
          <w:rStyle w:val="Appeldenotedefin"/>
        </w:rPr>
        <w:endnoteRef/>
      </w:r>
      <w:r>
        <w:t xml:space="preserve"> Le South Harbour désigne l’extension en eau profonde du port de Colombo, au sud du port historique, où sont concentrés les principaux terminaux modernes à conteneurs, notamment le CICT, l’ECT et le WCT/CWIT.</w:t>
      </w:r>
    </w:p>
  </w:endnote>
  <w:endnote w:id="3">
    <w:p w14:paraId="3B912C28" w14:textId="15FBB046" w:rsidR="00D05FAA" w:rsidRPr="00D05FAA" w:rsidRDefault="00D05FAA">
      <w:pPr>
        <w:pStyle w:val="Notedefin"/>
      </w:pPr>
      <w:r>
        <w:rPr>
          <w:rStyle w:val="Appeldenotedefin"/>
        </w:rPr>
        <w:endnoteRef/>
      </w:r>
      <w:r>
        <w:t xml:space="preserve"> Le trafic des ports secondaires est exprimé en tonnes et en nombre d’escales, plutôt qu’en TEU, leur activité étant majoritairement composée de </w:t>
      </w:r>
      <w:r w:rsidR="00F70466">
        <w:t>fret roulier</w:t>
      </w:r>
      <w:r>
        <w:t>, vrac, hydrocarbures et services portuaires. Le TEU constitue en revanche l’indicateur de référence pour le trafic conteneurisé du port de Colombo.</w:t>
      </w:r>
    </w:p>
  </w:endnote>
  <w:endnote w:id="4">
    <w:p w14:paraId="511249CA" w14:textId="77D7F7D1" w:rsidR="00095AAC" w:rsidRDefault="00095AAC">
      <w:pPr>
        <w:pStyle w:val="Notedefin"/>
      </w:pPr>
      <w:r>
        <w:rPr>
          <w:rStyle w:val="Appeldenotedefin"/>
        </w:rPr>
        <w:endnoteRef/>
      </w:r>
      <w:r>
        <w:t xml:space="preserve"> Les trois principaux opérateurs du port de Colombo sont MSC, Maersk et CMA-CGM avec respectivement 30%, 23% et 12% de parts de marché.</w:t>
      </w:r>
    </w:p>
    <w:p w14:paraId="5E6F1D53" w14:textId="77777777" w:rsidR="00095AAC" w:rsidRDefault="00095AAC" w:rsidP="00095AAC">
      <w:pPr>
        <w:spacing w:before="120" w:line="240" w:lineRule="auto"/>
        <w:ind w:left="-283" w:right="-283"/>
        <w:jc w:val="center"/>
        <w:rPr>
          <w:rFonts w:ascii="Arial" w:eastAsia="Arial" w:hAnsi="Arial" w:cs="Segoe UI"/>
          <w:color w:val="002060"/>
          <w:sz w:val="20"/>
          <w:szCs w:val="20"/>
        </w:rPr>
      </w:pPr>
    </w:p>
    <w:p w14:paraId="67C4DC35" w14:textId="77777777" w:rsidR="00095AAC" w:rsidRDefault="00095AAC" w:rsidP="00095AAC">
      <w:pPr>
        <w:spacing w:before="120" w:line="240" w:lineRule="auto"/>
        <w:ind w:left="-283" w:right="-283"/>
        <w:jc w:val="center"/>
        <w:rPr>
          <w:rFonts w:ascii="Arial" w:eastAsia="Arial" w:hAnsi="Arial" w:cs="Segoe UI"/>
          <w:color w:val="002060"/>
          <w:sz w:val="20"/>
          <w:szCs w:val="20"/>
        </w:rPr>
      </w:pPr>
      <w:r w:rsidRPr="00FE4EF6">
        <w:rPr>
          <w:rFonts w:ascii="Arial" w:eastAsia="Arial" w:hAnsi="Arial" w:cs="Segoe UI"/>
          <w:color w:val="002060"/>
          <w:sz w:val="20"/>
          <w:szCs w:val="20"/>
        </w:rPr>
        <w:t>ANNEXE</w:t>
      </w:r>
      <w:r>
        <w:rPr>
          <w:rFonts w:ascii="Arial" w:eastAsia="Arial" w:hAnsi="Arial" w:cs="Segoe UI"/>
          <w:color w:val="002060"/>
          <w:sz w:val="20"/>
          <w:szCs w:val="20"/>
        </w:rPr>
        <w:t>S</w:t>
      </w:r>
    </w:p>
    <w:p w14:paraId="0640BC0B" w14:textId="77777777" w:rsidR="00095AAC" w:rsidRPr="006F0237" w:rsidRDefault="00095AAC" w:rsidP="00095AAC">
      <w:pPr>
        <w:rPr>
          <w:rFonts w:ascii="Times New Roman" w:hAnsi="Times New Roman" w:cs="Times New Roman"/>
          <w:b/>
          <w:u w:val="single"/>
        </w:rPr>
      </w:pPr>
      <w:r w:rsidRPr="006F0237">
        <w:rPr>
          <w:rFonts w:ascii="Times New Roman" w:hAnsi="Times New Roman" w:cs="Times New Roman"/>
          <w:b/>
          <w:u w:val="single"/>
        </w:rPr>
        <w:t xml:space="preserve">Carte du port de Colombo et de ses projets de développement : </w:t>
      </w:r>
    </w:p>
    <w:p w14:paraId="7C7A9CDA" w14:textId="5E2ABCDD" w:rsidR="00095AAC" w:rsidRPr="003D3627" w:rsidRDefault="006B2877" w:rsidP="00095AAC">
      <w:pPr>
        <w:rPr>
          <w:rFonts w:ascii="Times New Roman" w:hAnsi="Times New Roman" w:cs="Times New Roman"/>
          <w:b/>
          <w:u w:val="single"/>
        </w:rPr>
      </w:pPr>
      <w:r>
        <w:rPr>
          <w:rFonts w:ascii="Times New Roman" w:hAnsi="Times New Roman" w:cs="Times New Roman"/>
          <w:b/>
          <w:noProof/>
          <w:u w:val="single"/>
        </w:rPr>
        <w:drawing>
          <wp:inline distT="0" distB="0" distL="0" distR="0" wp14:anchorId="289C5D4D" wp14:editId="6E6B78CE">
            <wp:extent cx="5939790" cy="3342640"/>
            <wp:effectExtent l="0" t="0" r="381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
                      <a:extLst>
                        <a:ext uri="{28A0092B-C50C-407E-A947-70E740481C1C}">
                          <a14:useLocalDpi xmlns:a14="http://schemas.microsoft.com/office/drawing/2010/main" val="0"/>
                        </a:ext>
                      </a:extLst>
                    </a:blip>
                    <a:stretch>
                      <a:fillRect/>
                    </a:stretch>
                  </pic:blipFill>
                  <pic:spPr>
                    <a:xfrm>
                      <a:off x="0" y="0"/>
                      <a:ext cx="5939790" cy="3342640"/>
                    </a:xfrm>
                    <a:prstGeom prst="rect">
                      <a:avLst/>
                    </a:prstGeom>
                  </pic:spPr>
                </pic:pic>
              </a:graphicData>
            </a:graphic>
          </wp:inline>
        </w:drawing>
      </w:r>
    </w:p>
    <w:p w14:paraId="06E05381" w14:textId="77777777" w:rsidR="00095AAC" w:rsidRPr="003D3627" w:rsidRDefault="00095AAC" w:rsidP="00095AAC">
      <w:pPr>
        <w:rPr>
          <w:rFonts w:ascii="Times New Roman" w:hAnsi="Times New Roman" w:cs="Times New Roman"/>
          <w:b/>
          <w:u w:val="single"/>
        </w:rPr>
      </w:pPr>
      <w:r>
        <w:rPr>
          <w:rFonts w:ascii="Times New Roman" w:hAnsi="Times New Roman" w:cs="Times New Roman"/>
          <w:b/>
          <w:u w:val="single"/>
        </w:rPr>
        <w:t>Participation et gestion</w:t>
      </w:r>
      <w:r w:rsidRPr="003D3627">
        <w:rPr>
          <w:rFonts w:ascii="Times New Roman" w:hAnsi="Times New Roman" w:cs="Times New Roman"/>
          <w:b/>
          <w:u w:val="single"/>
        </w:rPr>
        <w:t xml:space="preserve"> des terminaux du port de Colombo :</w:t>
      </w:r>
    </w:p>
    <w:p w14:paraId="66F03C86" w14:textId="77777777" w:rsidR="00095AAC" w:rsidRPr="00E9444A" w:rsidRDefault="00095AAC" w:rsidP="00095AAC">
      <w:pPr>
        <w:numPr>
          <w:ilvl w:val="0"/>
          <w:numId w:val="21"/>
        </w:numPr>
        <w:spacing w:before="100" w:beforeAutospacing="1" w:after="100" w:afterAutospacing="1" w:line="240" w:lineRule="auto"/>
        <w:rPr>
          <w:rFonts w:ascii="Times New Roman" w:eastAsia="Times New Roman" w:hAnsi="Times New Roman" w:cs="Times New Roman"/>
          <w:sz w:val="24"/>
          <w:szCs w:val="24"/>
          <w:lang w:eastAsia="fr-FR"/>
        </w:rPr>
      </w:pPr>
      <w:r w:rsidRPr="00E9444A">
        <w:rPr>
          <w:rFonts w:ascii="Times New Roman" w:eastAsia="Times New Roman" w:hAnsi="Times New Roman" w:cs="Times New Roman"/>
          <w:b/>
          <w:bCs/>
          <w:sz w:val="24"/>
          <w:szCs w:val="24"/>
          <w:lang w:eastAsia="fr-FR"/>
        </w:rPr>
        <w:t>Jaya Container Terminal (JCT)</w:t>
      </w:r>
      <w:r w:rsidRPr="00E9444A">
        <w:rPr>
          <w:rFonts w:ascii="Times New Roman" w:eastAsia="Times New Roman" w:hAnsi="Times New Roman" w:cs="Times New Roman"/>
          <w:sz w:val="24"/>
          <w:szCs w:val="24"/>
          <w:lang w:eastAsia="fr-FR"/>
        </w:rPr>
        <w:t xml:space="preserve"> : terminal historique exploité par la SLPA </w:t>
      </w:r>
    </w:p>
    <w:p w14:paraId="294ED785" w14:textId="77777777" w:rsidR="00095AAC" w:rsidRPr="00E9444A" w:rsidRDefault="00095AAC" w:rsidP="00095AAC">
      <w:pPr>
        <w:numPr>
          <w:ilvl w:val="0"/>
          <w:numId w:val="21"/>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E9444A">
        <w:rPr>
          <w:rFonts w:ascii="Times New Roman" w:eastAsia="Times New Roman" w:hAnsi="Times New Roman" w:cs="Times New Roman"/>
          <w:b/>
          <w:bCs/>
          <w:sz w:val="24"/>
          <w:szCs w:val="24"/>
          <w:lang w:eastAsia="fr-FR"/>
        </w:rPr>
        <w:t>Unity</w:t>
      </w:r>
      <w:proofErr w:type="spellEnd"/>
      <w:r w:rsidRPr="00E9444A">
        <w:rPr>
          <w:rFonts w:ascii="Times New Roman" w:eastAsia="Times New Roman" w:hAnsi="Times New Roman" w:cs="Times New Roman"/>
          <w:b/>
          <w:bCs/>
          <w:sz w:val="24"/>
          <w:szCs w:val="24"/>
          <w:lang w:eastAsia="fr-FR"/>
        </w:rPr>
        <w:t xml:space="preserve"> Container Terminal (UCT)</w:t>
      </w:r>
      <w:r w:rsidRPr="00E9444A">
        <w:rPr>
          <w:rFonts w:ascii="Times New Roman" w:eastAsia="Times New Roman" w:hAnsi="Times New Roman" w:cs="Times New Roman"/>
          <w:sz w:val="24"/>
          <w:szCs w:val="24"/>
          <w:lang w:eastAsia="fr-FR"/>
        </w:rPr>
        <w:t xml:space="preserve"> : exploité par la SLPA </w:t>
      </w:r>
    </w:p>
    <w:p w14:paraId="50AEBFF0" w14:textId="77777777" w:rsidR="00095AAC" w:rsidRPr="00E9444A" w:rsidRDefault="00095AAC" w:rsidP="00095AAC">
      <w:pPr>
        <w:numPr>
          <w:ilvl w:val="0"/>
          <w:numId w:val="21"/>
        </w:numPr>
        <w:spacing w:before="100" w:beforeAutospacing="1" w:after="100" w:afterAutospacing="1" w:line="240" w:lineRule="auto"/>
        <w:rPr>
          <w:rFonts w:ascii="Times New Roman" w:eastAsia="Times New Roman" w:hAnsi="Times New Roman" w:cs="Times New Roman"/>
          <w:sz w:val="24"/>
          <w:szCs w:val="24"/>
          <w:lang w:val="en-US" w:eastAsia="fr-FR"/>
        </w:rPr>
      </w:pPr>
      <w:r w:rsidRPr="00E9444A">
        <w:rPr>
          <w:rFonts w:ascii="Times New Roman" w:eastAsia="Times New Roman" w:hAnsi="Times New Roman" w:cs="Times New Roman"/>
          <w:b/>
          <w:bCs/>
          <w:sz w:val="24"/>
          <w:szCs w:val="24"/>
          <w:lang w:val="en-US" w:eastAsia="fr-FR"/>
        </w:rPr>
        <w:t>South Asia Gateway Terminal (SAGT</w:t>
      </w:r>
      <w:proofErr w:type="gramStart"/>
      <w:r w:rsidRPr="00E9444A">
        <w:rPr>
          <w:rFonts w:ascii="Times New Roman" w:eastAsia="Times New Roman" w:hAnsi="Times New Roman" w:cs="Times New Roman"/>
          <w:b/>
          <w:bCs/>
          <w:sz w:val="24"/>
          <w:szCs w:val="24"/>
          <w:lang w:val="en-US" w:eastAsia="fr-FR"/>
        </w:rPr>
        <w:t>)</w:t>
      </w:r>
      <w:r w:rsidRPr="00E9444A">
        <w:rPr>
          <w:rFonts w:ascii="Times New Roman" w:eastAsia="Times New Roman" w:hAnsi="Times New Roman" w:cs="Times New Roman"/>
          <w:sz w:val="24"/>
          <w:szCs w:val="24"/>
          <w:lang w:val="en-US" w:eastAsia="fr-FR"/>
        </w:rPr>
        <w:t xml:space="preserve"> :</w:t>
      </w:r>
      <w:proofErr w:type="gramEnd"/>
      <w:r w:rsidRPr="00E9444A">
        <w:rPr>
          <w:rFonts w:ascii="Times New Roman" w:eastAsia="Times New Roman" w:hAnsi="Times New Roman" w:cs="Times New Roman"/>
          <w:sz w:val="24"/>
          <w:szCs w:val="24"/>
          <w:lang w:val="en-US" w:eastAsia="fr-FR"/>
        </w:rPr>
        <w:t xml:space="preserve"> concession BOT (build, operate and transfer). John </w:t>
      </w:r>
      <w:proofErr w:type="spellStart"/>
      <w:r w:rsidRPr="00E9444A">
        <w:rPr>
          <w:rFonts w:ascii="Times New Roman" w:eastAsia="Times New Roman" w:hAnsi="Times New Roman" w:cs="Times New Roman"/>
          <w:sz w:val="24"/>
          <w:szCs w:val="24"/>
          <w:lang w:val="en-US" w:eastAsia="fr-FR"/>
        </w:rPr>
        <w:t>Keells</w:t>
      </w:r>
      <w:proofErr w:type="spellEnd"/>
      <w:r w:rsidRPr="00E9444A">
        <w:rPr>
          <w:rFonts w:ascii="Times New Roman" w:eastAsia="Times New Roman" w:hAnsi="Times New Roman" w:cs="Times New Roman"/>
          <w:sz w:val="24"/>
          <w:szCs w:val="24"/>
          <w:lang w:val="en-US" w:eastAsia="fr-FR"/>
        </w:rPr>
        <w:t xml:space="preserve"> Holdings (environ 42 %), APM Terminals/Maersk (environ 33 %), SLPA (15 %) et Peony Investments/Evergreen (10 %)</w:t>
      </w:r>
    </w:p>
    <w:p w14:paraId="5B0643FC" w14:textId="77777777" w:rsidR="00095AAC" w:rsidRPr="00E9444A" w:rsidRDefault="00095AAC" w:rsidP="00095AAC">
      <w:pPr>
        <w:numPr>
          <w:ilvl w:val="0"/>
          <w:numId w:val="21"/>
        </w:numPr>
        <w:spacing w:before="100" w:beforeAutospacing="1" w:after="100" w:afterAutospacing="1" w:line="240" w:lineRule="auto"/>
        <w:rPr>
          <w:rFonts w:ascii="Times New Roman" w:eastAsia="Times New Roman" w:hAnsi="Times New Roman" w:cs="Times New Roman"/>
          <w:sz w:val="24"/>
          <w:szCs w:val="24"/>
          <w:lang w:eastAsia="fr-FR"/>
        </w:rPr>
      </w:pPr>
      <w:r w:rsidRPr="00E9444A">
        <w:rPr>
          <w:rFonts w:ascii="Times New Roman" w:eastAsia="Times New Roman" w:hAnsi="Times New Roman" w:cs="Times New Roman"/>
          <w:b/>
          <w:bCs/>
          <w:sz w:val="24"/>
          <w:szCs w:val="24"/>
          <w:lang w:eastAsia="fr-FR"/>
        </w:rPr>
        <w:t>Colombo International Container Terminal (CICT)</w:t>
      </w:r>
      <w:r w:rsidRPr="00E9444A">
        <w:rPr>
          <w:rFonts w:ascii="Times New Roman" w:eastAsia="Times New Roman" w:hAnsi="Times New Roman" w:cs="Times New Roman"/>
          <w:sz w:val="24"/>
          <w:szCs w:val="24"/>
          <w:lang w:eastAsia="fr-FR"/>
        </w:rPr>
        <w:t xml:space="preserve"> : détenu à 85 % par China </w:t>
      </w:r>
      <w:proofErr w:type="spellStart"/>
      <w:r w:rsidRPr="00E9444A">
        <w:rPr>
          <w:rFonts w:ascii="Times New Roman" w:eastAsia="Times New Roman" w:hAnsi="Times New Roman" w:cs="Times New Roman"/>
          <w:sz w:val="24"/>
          <w:szCs w:val="24"/>
          <w:lang w:eastAsia="fr-FR"/>
        </w:rPr>
        <w:t>Merchants</w:t>
      </w:r>
      <w:proofErr w:type="spellEnd"/>
      <w:r w:rsidRPr="00E9444A">
        <w:rPr>
          <w:rFonts w:ascii="Times New Roman" w:eastAsia="Times New Roman" w:hAnsi="Times New Roman" w:cs="Times New Roman"/>
          <w:sz w:val="24"/>
          <w:szCs w:val="24"/>
          <w:lang w:eastAsia="fr-FR"/>
        </w:rPr>
        <w:t xml:space="preserve"> Port Holdings et à 15 % par la SLPA, dans le cadre d’une concession de 35 ans</w:t>
      </w:r>
    </w:p>
    <w:p w14:paraId="1A6B06AC" w14:textId="77777777" w:rsidR="00095AAC" w:rsidRPr="00E9444A" w:rsidRDefault="00095AAC" w:rsidP="00095AAC">
      <w:pPr>
        <w:numPr>
          <w:ilvl w:val="0"/>
          <w:numId w:val="21"/>
        </w:numPr>
        <w:spacing w:before="100" w:beforeAutospacing="1" w:after="100" w:afterAutospacing="1" w:line="240" w:lineRule="auto"/>
        <w:rPr>
          <w:rFonts w:ascii="Times New Roman" w:eastAsia="Times New Roman" w:hAnsi="Times New Roman" w:cs="Times New Roman"/>
          <w:sz w:val="24"/>
          <w:szCs w:val="24"/>
          <w:lang w:eastAsia="fr-FR"/>
        </w:rPr>
      </w:pPr>
      <w:r w:rsidRPr="00E9444A">
        <w:rPr>
          <w:rFonts w:ascii="Times New Roman" w:eastAsia="Times New Roman" w:hAnsi="Times New Roman" w:cs="Times New Roman"/>
          <w:b/>
          <w:bCs/>
          <w:sz w:val="24"/>
          <w:szCs w:val="24"/>
          <w:lang w:eastAsia="fr-FR"/>
        </w:rPr>
        <w:t>East Container Terminal (ECT)</w:t>
      </w:r>
      <w:r w:rsidRPr="00E9444A">
        <w:rPr>
          <w:rFonts w:ascii="Times New Roman" w:eastAsia="Times New Roman" w:hAnsi="Times New Roman" w:cs="Times New Roman"/>
          <w:sz w:val="24"/>
          <w:szCs w:val="24"/>
          <w:lang w:eastAsia="fr-FR"/>
        </w:rPr>
        <w:t xml:space="preserve"> : détenu et exploité par la SLPA </w:t>
      </w:r>
    </w:p>
    <w:p w14:paraId="16EBAC16" w14:textId="7FD7C2E5" w:rsidR="00095AAC" w:rsidRPr="00E9444A" w:rsidRDefault="00095AAC" w:rsidP="00095AAC">
      <w:pPr>
        <w:numPr>
          <w:ilvl w:val="0"/>
          <w:numId w:val="21"/>
        </w:numPr>
        <w:spacing w:before="100" w:beforeAutospacing="1" w:after="100" w:afterAutospacing="1" w:line="240" w:lineRule="auto"/>
        <w:rPr>
          <w:rFonts w:ascii="Times New Roman" w:eastAsia="Times New Roman" w:hAnsi="Times New Roman" w:cs="Times New Roman"/>
          <w:sz w:val="24"/>
          <w:szCs w:val="24"/>
          <w:lang w:eastAsia="fr-FR"/>
        </w:rPr>
      </w:pPr>
      <w:r w:rsidRPr="00E9444A">
        <w:rPr>
          <w:rFonts w:ascii="Times New Roman" w:eastAsia="Times New Roman" w:hAnsi="Times New Roman" w:cs="Times New Roman"/>
          <w:b/>
          <w:bCs/>
          <w:sz w:val="24"/>
          <w:szCs w:val="24"/>
          <w:lang w:eastAsia="fr-FR"/>
        </w:rPr>
        <w:t>West Container Terminal / Colombo West International Terminal (WCT/CWIT)</w:t>
      </w:r>
      <w:r w:rsidRPr="00E9444A">
        <w:rPr>
          <w:rFonts w:ascii="Times New Roman" w:eastAsia="Times New Roman" w:hAnsi="Times New Roman" w:cs="Times New Roman"/>
          <w:sz w:val="24"/>
          <w:szCs w:val="24"/>
          <w:lang w:eastAsia="fr-FR"/>
        </w:rPr>
        <w:t xml:space="preserve"> : concession de 35 ans par un consortium réunissant </w:t>
      </w:r>
      <w:proofErr w:type="spellStart"/>
      <w:r w:rsidRPr="00E9444A">
        <w:rPr>
          <w:rFonts w:ascii="Times New Roman" w:eastAsia="Times New Roman" w:hAnsi="Times New Roman" w:cs="Times New Roman"/>
          <w:sz w:val="24"/>
          <w:szCs w:val="24"/>
          <w:lang w:eastAsia="fr-FR"/>
        </w:rPr>
        <w:t>Adani</w:t>
      </w:r>
      <w:proofErr w:type="spellEnd"/>
      <w:r w:rsidRPr="00E9444A">
        <w:rPr>
          <w:rFonts w:ascii="Times New Roman" w:eastAsia="Times New Roman" w:hAnsi="Times New Roman" w:cs="Times New Roman"/>
          <w:sz w:val="24"/>
          <w:szCs w:val="24"/>
          <w:lang w:eastAsia="fr-FR"/>
        </w:rPr>
        <w:t xml:space="preserve"> Ports &amp; SEZ (51 %), John </w:t>
      </w:r>
      <w:proofErr w:type="spellStart"/>
      <w:r w:rsidRPr="00E9444A">
        <w:rPr>
          <w:rFonts w:ascii="Times New Roman" w:eastAsia="Times New Roman" w:hAnsi="Times New Roman" w:cs="Times New Roman"/>
          <w:sz w:val="24"/>
          <w:szCs w:val="24"/>
          <w:lang w:eastAsia="fr-FR"/>
        </w:rPr>
        <w:t>Keells</w:t>
      </w:r>
      <w:proofErr w:type="spellEnd"/>
      <w:r w:rsidRPr="00E9444A">
        <w:rPr>
          <w:rFonts w:ascii="Times New Roman" w:eastAsia="Times New Roman" w:hAnsi="Times New Roman" w:cs="Times New Roman"/>
          <w:sz w:val="24"/>
          <w:szCs w:val="24"/>
          <w:lang w:eastAsia="fr-FR"/>
        </w:rPr>
        <w:t xml:space="preserve"> Holdings (34 %) et la SLPA (15 %). </w:t>
      </w:r>
    </w:p>
    <w:p w14:paraId="42F65488" w14:textId="46D31D6B" w:rsidR="00082479" w:rsidRPr="000F5B7B" w:rsidRDefault="00082479" w:rsidP="00E9444A">
      <w:pPr>
        <w:spacing w:before="100" w:beforeAutospacing="1" w:after="100" w:afterAutospacing="1" w:line="240" w:lineRule="auto"/>
        <w:rPr>
          <w:rFonts w:ascii="Times New Roman" w:eastAsia="Times New Roman" w:hAnsi="Times New Roman" w:cs="Times New Roman"/>
          <w:i/>
          <w:iCs/>
          <w:sz w:val="24"/>
          <w:szCs w:val="24"/>
          <w:lang w:eastAsia="fr-FR"/>
        </w:rPr>
      </w:pPr>
    </w:p>
    <w:p w14:paraId="334AFA3F" w14:textId="77777777" w:rsidR="00095AAC" w:rsidRPr="00AE47C3" w:rsidRDefault="00095AAC">
      <w:pPr>
        <w:pStyle w:val="Notedefin"/>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rianne">
    <w:panose1 w:val="02000000000000000000"/>
    <w:charset w:val="00"/>
    <w:family w:val="auto"/>
    <w:pitch w:val="variable"/>
    <w:sig w:usb0="0000000F" w:usb1="00000000" w:usb2="00000000" w:usb3="00000000" w:csb0="00000003" w:csb1="00000000"/>
  </w:font>
  <w:font w:name="Times New Roman (Corps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3689567"/>
      <w:docPartObj>
        <w:docPartGallery w:val="Page Numbers (Bottom of Page)"/>
        <w:docPartUnique/>
      </w:docPartObj>
    </w:sdtPr>
    <w:sdtEndPr/>
    <w:sdtContent>
      <w:p w14:paraId="36FFBD0B" w14:textId="77777777" w:rsidR="00271AE9" w:rsidRDefault="00271AE9">
        <w:pPr>
          <w:pStyle w:val="Pieddepage"/>
          <w:jc w:val="right"/>
        </w:pPr>
        <w:r>
          <w:fldChar w:fldCharType="begin"/>
        </w:r>
        <w:r>
          <w:instrText>PAGE   \* MERGEFORMAT</w:instrText>
        </w:r>
        <w:r>
          <w:fldChar w:fldCharType="separate"/>
        </w:r>
        <w:r>
          <w:t>2</w:t>
        </w:r>
        <w:r>
          <w:fldChar w:fldCharType="end"/>
        </w:r>
      </w:p>
    </w:sdtContent>
  </w:sdt>
  <w:p w14:paraId="0C04241E" w14:textId="77777777" w:rsidR="00271AE9" w:rsidRDefault="00271AE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BDFB4" w14:textId="77777777" w:rsidR="00E27F3B" w:rsidRDefault="00E27F3B" w:rsidP="0044549D">
      <w:pPr>
        <w:spacing w:after="0" w:line="240" w:lineRule="auto"/>
      </w:pPr>
      <w:r>
        <w:separator/>
      </w:r>
    </w:p>
  </w:footnote>
  <w:footnote w:type="continuationSeparator" w:id="0">
    <w:p w14:paraId="3FDA4C35" w14:textId="77777777" w:rsidR="00E27F3B" w:rsidRDefault="00E27F3B" w:rsidP="004454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DE0F9F8"/>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08B793D"/>
    <w:multiLevelType w:val="hybridMultilevel"/>
    <w:tmpl w:val="C6A64B46"/>
    <w:lvl w:ilvl="0" w:tplc="040C0001">
      <w:start w:val="1"/>
      <w:numFmt w:val="bullet"/>
      <w:lvlText w:val=""/>
      <w:lvlJc w:val="left"/>
      <w:pPr>
        <w:ind w:left="437" w:hanging="360"/>
      </w:pPr>
      <w:rPr>
        <w:rFonts w:ascii="Symbol" w:hAnsi="Symbol" w:hint="default"/>
      </w:rPr>
    </w:lvl>
    <w:lvl w:ilvl="1" w:tplc="040C0003" w:tentative="1">
      <w:start w:val="1"/>
      <w:numFmt w:val="bullet"/>
      <w:lvlText w:val="o"/>
      <w:lvlJc w:val="left"/>
      <w:pPr>
        <w:ind w:left="1157" w:hanging="360"/>
      </w:pPr>
      <w:rPr>
        <w:rFonts w:ascii="Courier New" w:hAnsi="Courier New" w:cs="Courier New" w:hint="default"/>
      </w:rPr>
    </w:lvl>
    <w:lvl w:ilvl="2" w:tplc="040C0005" w:tentative="1">
      <w:start w:val="1"/>
      <w:numFmt w:val="bullet"/>
      <w:lvlText w:val=""/>
      <w:lvlJc w:val="left"/>
      <w:pPr>
        <w:ind w:left="1877" w:hanging="360"/>
      </w:pPr>
      <w:rPr>
        <w:rFonts w:ascii="Wingdings" w:hAnsi="Wingdings" w:hint="default"/>
      </w:rPr>
    </w:lvl>
    <w:lvl w:ilvl="3" w:tplc="040C0001" w:tentative="1">
      <w:start w:val="1"/>
      <w:numFmt w:val="bullet"/>
      <w:lvlText w:val=""/>
      <w:lvlJc w:val="left"/>
      <w:pPr>
        <w:ind w:left="2597" w:hanging="360"/>
      </w:pPr>
      <w:rPr>
        <w:rFonts w:ascii="Symbol" w:hAnsi="Symbol" w:hint="default"/>
      </w:rPr>
    </w:lvl>
    <w:lvl w:ilvl="4" w:tplc="040C0003" w:tentative="1">
      <w:start w:val="1"/>
      <w:numFmt w:val="bullet"/>
      <w:lvlText w:val="o"/>
      <w:lvlJc w:val="left"/>
      <w:pPr>
        <w:ind w:left="3317" w:hanging="360"/>
      </w:pPr>
      <w:rPr>
        <w:rFonts w:ascii="Courier New" w:hAnsi="Courier New" w:cs="Courier New" w:hint="default"/>
      </w:rPr>
    </w:lvl>
    <w:lvl w:ilvl="5" w:tplc="040C0005" w:tentative="1">
      <w:start w:val="1"/>
      <w:numFmt w:val="bullet"/>
      <w:lvlText w:val=""/>
      <w:lvlJc w:val="left"/>
      <w:pPr>
        <w:ind w:left="4037" w:hanging="360"/>
      </w:pPr>
      <w:rPr>
        <w:rFonts w:ascii="Wingdings" w:hAnsi="Wingdings" w:hint="default"/>
      </w:rPr>
    </w:lvl>
    <w:lvl w:ilvl="6" w:tplc="040C0001" w:tentative="1">
      <w:start w:val="1"/>
      <w:numFmt w:val="bullet"/>
      <w:lvlText w:val=""/>
      <w:lvlJc w:val="left"/>
      <w:pPr>
        <w:ind w:left="4757" w:hanging="360"/>
      </w:pPr>
      <w:rPr>
        <w:rFonts w:ascii="Symbol" w:hAnsi="Symbol" w:hint="default"/>
      </w:rPr>
    </w:lvl>
    <w:lvl w:ilvl="7" w:tplc="040C0003" w:tentative="1">
      <w:start w:val="1"/>
      <w:numFmt w:val="bullet"/>
      <w:lvlText w:val="o"/>
      <w:lvlJc w:val="left"/>
      <w:pPr>
        <w:ind w:left="5477" w:hanging="360"/>
      </w:pPr>
      <w:rPr>
        <w:rFonts w:ascii="Courier New" w:hAnsi="Courier New" w:cs="Courier New" w:hint="default"/>
      </w:rPr>
    </w:lvl>
    <w:lvl w:ilvl="8" w:tplc="040C0005" w:tentative="1">
      <w:start w:val="1"/>
      <w:numFmt w:val="bullet"/>
      <w:lvlText w:val=""/>
      <w:lvlJc w:val="left"/>
      <w:pPr>
        <w:ind w:left="6197" w:hanging="360"/>
      </w:pPr>
      <w:rPr>
        <w:rFonts w:ascii="Wingdings" w:hAnsi="Wingdings" w:hint="default"/>
      </w:rPr>
    </w:lvl>
  </w:abstractNum>
  <w:abstractNum w:abstractNumId="2" w15:restartNumberingAfterBreak="0">
    <w:nsid w:val="12C36F2D"/>
    <w:multiLevelType w:val="hybridMultilevel"/>
    <w:tmpl w:val="C6B00A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35D7A9E"/>
    <w:multiLevelType w:val="hybridMultilevel"/>
    <w:tmpl w:val="8BB8A7DC"/>
    <w:lvl w:ilvl="0" w:tplc="FD9A9102">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6EA3AB0"/>
    <w:multiLevelType w:val="hybridMultilevel"/>
    <w:tmpl w:val="3D3466F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4243624"/>
    <w:multiLevelType w:val="hybridMultilevel"/>
    <w:tmpl w:val="7FC403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1B12060"/>
    <w:multiLevelType w:val="multilevel"/>
    <w:tmpl w:val="67FCBCCA"/>
    <w:lvl w:ilvl="0">
      <w:start w:val="1"/>
      <w:numFmt w:val="bullet"/>
      <w:lvlText w:val=""/>
      <w:lvlJc w:val="left"/>
      <w:pPr>
        <w:tabs>
          <w:tab w:val="num" w:pos="1776"/>
        </w:tabs>
        <w:ind w:left="1776" w:hanging="360"/>
      </w:pPr>
      <w:rPr>
        <w:rFonts w:ascii="Symbol" w:hAnsi="Symbol" w:hint="default"/>
        <w:sz w:val="20"/>
      </w:rPr>
    </w:lvl>
    <w:lvl w:ilvl="1" w:tentative="1">
      <w:start w:val="1"/>
      <w:numFmt w:val="bullet"/>
      <w:lvlText w:val="o"/>
      <w:lvlJc w:val="left"/>
      <w:pPr>
        <w:tabs>
          <w:tab w:val="num" w:pos="2496"/>
        </w:tabs>
        <w:ind w:left="2496" w:hanging="360"/>
      </w:pPr>
      <w:rPr>
        <w:rFonts w:ascii="Courier New" w:hAnsi="Courier New" w:hint="default"/>
        <w:sz w:val="20"/>
      </w:r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7" w15:restartNumberingAfterBreak="0">
    <w:nsid w:val="39867D08"/>
    <w:multiLevelType w:val="hybridMultilevel"/>
    <w:tmpl w:val="DB56FD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9EA151F"/>
    <w:multiLevelType w:val="multilevel"/>
    <w:tmpl w:val="09E85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581D60"/>
    <w:multiLevelType w:val="multilevel"/>
    <w:tmpl w:val="260C2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9A07A1"/>
    <w:multiLevelType w:val="hybridMultilevel"/>
    <w:tmpl w:val="DE5AB7EC"/>
    <w:lvl w:ilvl="0" w:tplc="9DC287B0">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3136E72"/>
    <w:multiLevelType w:val="hybridMultilevel"/>
    <w:tmpl w:val="D0B2D3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8D72EA1"/>
    <w:multiLevelType w:val="hybridMultilevel"/>
    <w:tmpl w:val="AE662ED0"/>
    <w:lvl w:ilvl="0" w:tplc="DAB60A48">
      <w:numFmt w:val="bullet"/>
      <w:lvlText w:val="-"/>
      <w:lvlJc w:val="left"/>
      <w:pPr>
        <w:ind w:left="77" w:hanging="360"/>
      </w:pPr>
      <w:rPr>
        <w:rFonts w:ascii="Segoe UI" w:eastAsiaTheme="minorHAnsi" w:hAnsi="Segoe UI" w:cs="Segoe UI" w:hint="default"/>
      </w:rPr>
    </w:lvl>
    <w:lvl w:ilvl="1" w:tplc="040C0003" w:tentative="1">
      <w:start w:val="1"/>
      <w:numFmt w:val="bullet"/>
      <w:lvlText w:val="o"/>
      <w:lvlJc w:val="left"/>
      <w:pPr>
        <w:ind w:left="797" w:hanging="360"/>
      </w:pPr>
      <w:rPr>
        <w:rFonts w:ascii="Courier New" w:hAnsi="Courier New" w:cs="Courier New" w:hint="default"/>
      </w:rPr>
    </w:lvl>
    <w:lvl w:ilvl="2" w:tplc="040C0005" w:tentative="1">
      <w:start w:val="1"/>
      <w:numFmt w:val="bullet"/>
      <w:lvlText w:val=""/>
      <w:lvlJc w:val="left"/>
      <w:pPr>
        <w:ind w:left="1517" w:hanging="360"/>
      </w:pPr>
      <w:rPr>
        <w:rFonts w:ascii="Wingdings" w:hAnsi="Wingdings" w:hint="default"/>
      </w:rPr>
    </w:lvl>
    <w:lvl w:ilvl="3" w:tplc="040C0001" w:tentative="1">
      <w:start w:val="1"/>
      <w:numFmt w:val="bullet"/>
      <w:lvlText w:val=""/>
      <w:lvlJc w:val="left"/>
      <w:pPr>
        <w:ind w:left="2237" w:hanging="360"/>
      </w:pPr>
      <w:rPr>
        <w:rFonts w:ascii="Symbol" w:hAnsi="Symbol" w:hint="default"/>
      </w:rPr>
    </w:lvl>
    <w:lvl w:ilvl="4" w:tplc="040C0003" w:tentative="1">
      <w:start w:val="1"/>
      <w:numFmt w:val="bullet"/>
      <w:lvlText w:val="o"/>
      <w:lvlJc w:val="left"/>
      <w:pPr>
        <w:ind w:left="2957" w:hanging="360"/>
      </w:pPr>
      <w:rPr>
        <w:rFonts w:ascii="Courier New" w:hAnsi="Courier New" w:cs="Courier New" w:hint="default"/>
      </w:rPr>
    </w:lvl>
    <w:lvl w:ilvl="5" w:tplc="040C0005" w:tentative="1">
      <w:start w:val="1"/>
      <w:numFmt w:val="bullet"/>
      <w:lvlText w:val=""/>
      <w:lvlJc w:val="left"/>
      <w:pPr>
        <w:ind w:left="3677" w:hanging="360"/>
      </w:pPr>
      <w:rPr>
        <w:rFonts w:ascii="Wingdings" w:hAnsi="Wingdings" w:hint="default"/>
      </w:rPr>
    </w:lvl>
    <w:lvl w:ilvl="6" w:tplc="040C0001" w:tentative="1">
      <w:start w:val="1"/>
      <w:numFmt w:val="bullet"/>
      <w:lvlText w:val=""/>
      <w:lvlJc w:val="left"/>
      <w:pPr>
        <w:ind w:left="4397" w:hanging="360"/>
      </w:pPr>
      <w:rPr>
        <w:rFonts w:ascii="Symbol" w:hAnsi="Symbol" w:hint="default"/>
      </w:rPr>
    </w:lvl>
    <w:lvl w:ilvl="7" w:tplc="040C0003" w:tentative="1">
      <w:start w:val="1"/>
      <w:numFmt w:val="bullet"/>
      <w:lvlText w:val="o"/>
      <w:lvlJc w:val="left"/>
      <w:pPr>
        <w:ind w:left="5117" w:hanging="360"/>
      </w:pPr>
      <w:rPr>
        <w:rFonts w:ascii="Courier New" w:hAnsi="Courier New" w:cs="Courier New" w:hint="default"/>
      </w:rPr>
    </w:lvl>
    <w:lvl w:ilvl="8" w:tplc="040C0005" w:tentative="1">
      <w:start w:val="1"/>
      <w:numFmt w:val="bullet"/>
      <w:lvlText w:val=""/>
      <w:lvlJc w:val="left"/>
      <w:pPr>
        <w:ind w:left="5837" w:hanging="360"/>
      </w:pPr>
      <w:rPr>
        <w:rFonts w:ascii="Wingdings" w:hAnsi="Wingdings" w:hint="default"/>
      </w:rPr>
    </w:lvl>
  </w:abstractNum>
  <w:abstractNum w:abstractNumId="13" w15:restartNumberingAfterBreak="0">
    <w:nsid w:val="54D37D1E"/>
    <w:multiLevelType w:val="hybridMultilevel"/>
    <w:tmpl w:val="9E2A602E"/>
    <w:lvl w:ilvl="0" w:tplc="2648EE60">
      <w:numFmt w:val="bullet"/>
      <w:lvlText w:val=""/>
      <w:lvlJc w:val="left"/>
      <w:pPr>
        <w:ind w:left="720" w:hanging="360"/>
      </w:pPr>
      <w:rPr>
        <w:rFonts w:ascii="Symbol" w:eastAsiaTheme="minorHAnsi" w:hAnsi="Symbol"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B591F49"/>
    <w:multiLevelType w:val="hybridMultilevel"/>
    <w:tmpl w:val="46ACC3AC"/>
    <w:lvl w:ilvl="0" w:tplc="C21C6312">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C340F34"/>
    <w:multiLevelType w:val="hybridMultilevel"/>
    <w:tmpl w:val="3FEA62E0"/>
    <w:lvl w:ilvl="0" w:tplc="EC68F6B0">
      <w:numFmt w:val="bullet"/>
      <w:lvlText w:val=""/>
      <w:lvlJc w:val="left"/>
      <w:pPr>
        <w:ind w:left="77" w:hanging="360"/>
      </w:pPr>
      <w:rPr>
        <w:rFonts w:ascii="Symbol" w:eastAsiaTheme="minorHAnsi" w:hAnsi="Symbol" w:cs="Segoe UI" w:hint="default"/>
      </w:rPr>
    </w:lvl>
    <w:lvl w:ilvl="1" w:tplc="040C0003" w:tentative="1">
      <w:start w:val="1"/>
      <w:numFmt w:val="bullet"/>
      <w:lvlText w:val="o"/>
      <w:lvlJc w:val="left"/>
      <w:pPr>
        <w:ind w:left="797" w:hanging="360"/>
      </w:pPr>
      <w:rPr>
        <w:rFonts w:ascii="Courier New" w:hAnsi="Courier New" w:cs="Courier New" w:hint="default"/>
      </w:rPr>
    </w:lvl>
    <w:lvl w:ilvl="2" w:tplc="040C0005" w:tentative="1">
      <w:start w:val="1"/>
      <w:numFmt w:val="bullet"/>
      <w:lvlText w:val=""/>
      <w:lvlJc w:val="left"/>
      <w:pPr>
        <w:ind w:left="1517" w:hanging="360"/>
      </w:pPr>
      <w:rPr>
        <w:rFonts w:ascii="Wingdings" w:hAnsi="Wingdings" w:hint="default"/>
      </w:rPr>
    </w:lvl>
    <w:lvl w:ilvl="3" w:tplc="040C0001" w:tentative="1">
      <w:start w:val="1"/>
      <w:numFmt w:val="bullet"/>
      <w:lvlText w:val=""/>
      <w:lvlJc w:val="left"/>
      <w:pPr>
        <w:ind w:left="2237" w:hanging="360"/>
      </w:pPr>
      <w:rPr>
        <w:rFonts w:ascii="Symbol" w:hAnsi="Symbol" w:hint="default"/>
      </w:rPr>
    </w:lvl>
    <w:lvl w:ilvl="4" w:tplc="040C0003" w:tentative="1">
      <w:start w:val="1"/>
      <w:numFmt w:val="bullet"/>
      <w:lvlText w:val="o"/>
      <w:lvlJc w:val="left"/>
      <w:pPr>
        <w:ind w:left="2957" w:hanging="360"/>
      </w:pPr>
      <w:rPr>
        <w:rFonts w:ascii="Courier New" w:hAnsi="Courier New" w:cs="Courier New" w:hint="default"/>
      </w:rPr>
    </w:lvl>
    <w:lvl w:ilvl="5" w:tplc="040C0005" w:tentative="1">
      <w:start w:val="1"/>
      <w:numFmt w:val="bullet"/>
      <w:lvlText w:val=""/>
      <w:lvlJc w:val="left"/>
      <w:pPr>
        <w:ind w:left="3677" w:hanging="360"/>
      </w:pPr>
      <w:rPr>
        <w:rFonts w:ascii="Wingdings" w:hAnsi="Wingdings" w:hint="default"/>
      </w:rPr>
    </w:lvl>
    <w:lvl w:ilvl="6" w:tplc="040C0001" w:tentative="1">
      <w:start w:val="1"/>
      <w:numFmt w:val="bullet"/>
      <w:lvlText w:val=""/>
      <w:lvlJc w:val="left"/>
      <w:pPr>
        <w:ind w:left="4397" w:hanging="360"/>
      </w:pPr>
      <w:rPr>
        <w:rFonts w:ascii="Symbol" w:hAnsi="Symbol" w:hint="default"/>
      </w:rPr>
    </w:lvl>
    <w:lvl w:ilvl="7" w:tplc="040C0003" w:tentative="1">
      <w:start w:val="1"/>
      <w:numFmt w:val="bullet"/>
      <w:lvlText w:val="o"/>
      <w:lvlJc w:val="left"/>
      <w:pPr>
        <w:ind w:left="5117" w:hanging="360"/>
      </w:pPr>
      <w:rPr>
        <w:rFonts w:ascii="Courier New" w:hAnsi="Courier New" w:cs="Courier New" w:hint="default"/>
      </w:rPr>
    </w:lvl>
    <w:lvl w:ilvl="8" w:tplc="040C0005" w:tentative="1">
      <w:start w:val="1"/>
      <w:numFmt w:val="bullet"/>
      <w:lvlText w:val=""/>
      <w:lvlJc w:val="left"/>
      <w:pPr>
        <w:ind w:left="5837" w:hanging="360"/>
      </w:pPr>
      <w:rPr>
        <w:rFonts w:ascii="Wingdings" w:hAnsi="Wingdings" w:hint="default"/>
      </w:rPr>
    </w:lvl>
  </w:abstractNum>
  <w:abstractNum w:abstractNumId="16" w15:restartNumberingAfterBreak="0">
    <w:nsid w:val="641A187F"/>
    <w:multiLevelType w:val="hybridMultilevel"/>
    <w:tmpl w:val="918403C6"/>
    <w:lvl w:ilvl="0" w:tplc="472830D4">
      <w:numFmt w:val="bullet"/>
      <w:lvlText w:val=""/>
      <w:lvlJc w:val="left"/>
      <w:pPr>
        <w:ind w:left="720" w:hanging="360"/>
      </w:pPr>
      <w:rPr>
        <w:rFonts w:ascii="Symbol" w:eastAsiaTheme="minorHAnsi" w:hAnsi="Symbol"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6E47CD2"/>
    <w:multiLevelType w:val="hybridMultilevel"/>
    <w:tmpl w:val="AECAE5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B062645"/>
    <w:multiLevelType w:val="hybridMultilevel"/>
    <w:tmpl w:val="584E08C0"/>
    <w:lvl w:ilvl="0" w:tplc="D77677AA">
      <w:start w:val="1"/>
      <w:numFmt w:val="upperRoman"/>
      <w:lvlText w:val="%1."/>
      <w:lvlJc w:val="left"/>
      <w:pPr>
        <w:ind w:left="437" w:hanging="720"/>
      </w:pPr>
      <w:rPr>
        <w:rFonts w:hint="default"/>
      </w:rPr>
    </w:lvl>
    <w:lvl w:ilvl="1" w:tplc="040C0019" w:tentative="1">
      <w:start w:val="1"/>
      <w:numFmt w:val="lowerLetter"/>
      <w:lvlText w:val="%2."/>
      <w:lvlJc w:val="left"/>
      <w:pPr>
        <w:ind w:left="797" w:hanging="360"/>
      </w:pPr>
    </w:lvl>
    <w:lvl w:ilvl="2" w:tplc="040C001B" w:tentative="1">
      <w:start w:val="1"/>
      <w:numFmt w:val="lowerRoman"/>
      <w:lvlText w:val="%3."/>
      <w:lvlJc w:val="right"/>
      <w:pPr>
        <w:ind w:left="1517" w:hanging="180"/>
      </w:pPr>
    </w:lvl>
    <w:lvl w:ilvl="3" w:tplc="040C000F" w:tentative="1">
      <w:start w:val="1"/>
      <w:numFmt w:val="decimal"/>
      <w:lvlText w:val="%4."/>
      <w:lvlJc w:val="left"/>
      <w:pPr>
        <w:ind w:left="2237" w:hanging="360"/>
      </w:pPr>
    </w:lvl>
    <w:lvl w:ilvl="4" w:tplc="040C0019" w:tentative="1">
      <w:start w:val="1"/>
      <w:numFmt w:val="lowerLetter"/>
      <w:lvlText w:val="%5."/>
      <w:lvlJc w:val="left"/>
      <w:pPr>
        <w:ind w:left="2957" w:hanging="360"/>
      </w:pPr>
    </w:lvl>
    <w:lvl w:ilvl="5" w:tplc="040C001B" w:tentative="1">
      <w:start w:val="1"/>
      <w:numFmt w:val="lowerRoman"/>
      <w:lvlText w:val="%6."/>
      <w:lvlJc w:val="right"/>
      <w:pPr>
        <w:ind w:left="3677" w:hanging="180"/>
      </w:pPr>
    </w:lvl>
    <w:lvl w:ilvl="6" w:tplc="040C000F" w:tentative="1">
      <w:start w:val="1"/>
      <w:numFmt w:val="decimal"/>
      <w:lvlText w:val="%7."/>
      <w:lvlJc w:val="left"/>
      <w:pPr>
        <w:ind w:left="4397" w:hanging="360"/>
      </w:pPr>
    </w:lvl>
    <w:lvl w:ilvl="7" w:tplc="040C0019" w:tentative="1">
      <w:start w:val="1"/>
      <w:numFmt w:val="lowerLetter"/>
      <w:lvlText w:val="%8."/>
      <w:lvlJc w:val="left"/>
      <w:pPr>
        <w:ind w:left="5117" w:hanging="360"/>
      </w:pPr>
    </w:lvl>
    <w:lvl w:ilvl="8" w:tplc="040C001B" w:tentative="1">
      <w:start w:val="1"/>
      <w:numFmt w:val="lowerRoman"/>
      <w:lvlText w:val="%9."/>
      <w:lvlJc w:val="right"/>
      <w:pPr>
        <w:ind w:left="5837" w:hanging="180"/>
      </w:pPr>
    </w:lvl>
  </w:abstractNum>
  <w:abstractNum w:abstractNumId="19" w15:restartNumberingAfterBreak="0">
    <w:nsid w:val="6BC2355F"/>
    <w:multiLevelType w:val="hybridMultilevel"/>
    <w:tmpl w:val="D388A1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1382FB0"/>
    <w:multiLevelType w:val="hybridMultilevel"/>
    <w:tmpl w:val="7242E8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3"/>
  </w:num>
  <w:num w:numId="4">
    <w:abstractNumId w:val="4"/>
  </w:num>
  <w:num w:numId="5">
    <w:abstractNumId w:val="16"/>
  </w:num>
  <w:num w:numId="6">
    <w:abstractNumId w:val="13"/>
  </w:num>
  <w:num w:numId="7">
    <w:abstractNumId w:val="15"/>
  </w:num>
  <w:num w:numId="8">
    <w:abstractNumId w:val="9"/>
  </w:num>
  <w:num w:numId="9">
    <w:abstractNumId w:val="6"/>
  </w:num>
  <w:num w:numId="10">
    <w:abstractNumId w:val="12"/>
  </w:num>
  <w:num w:numId="11">
    <w:abstractNumId w:val="18"/>
  </w:num>
  <w:num w:numId="12">
    <w:abstractNumId w:val="1"/>
  </w:num>
  <w:num w:numId="13">
    <w:abstractNumId w:val="0"/>
  </w:num>
  <w:num w:numId="14">
    <w:abstractNumId w:val="17"/>
  </w:num>
  <w:num w:numId="15">
    <w:abstractNumId w:val="19"/>
  </w:num>
  <w:num w:numId="16">
    <w:abstractNumId w:val="7"/>
  </w:num>
  <w:num w:numId="17">
    <w:abstractNumId w:val="20"/>
  </w:num>
  <w:num w:numId="18">
    <w:abstractNumId w:val="5"/>
  </w:num>
  <w:num w:numId="19">
    <w:abstractNumId w:val="11"/>
  </w:num>
  <w:num w:numId="20">
    <w:abstractNumId w:val="2"/>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9CD"/>
    <w:rsid w:val="000008D1"/>
    <w:rsid w:val="00003DBC"/>
    <w:rsid w:val="00003E53"/>
    <w:rsid w:val="000047D8"/>
    <w:rsid w:val="00004802"/>
    <w:rsid w:val="000054C8"/>
    <w:rsid w:val="0000603E"/>
    <w:rsid w:val="00006F4D"/>
    <w:rsid w:val="00007380"/>
    <w:rsid w:val="00007CCA"/>
    <w:rsid w:val="00007FB3"/>
    <w:rsid w:val="0001094A"/>
    <w:rsid w:val="0001137A"/>
    <w:rsid w:val="00011A27"/>
    <w:rsid w:val="0001387D"/>
    <w:rsid w:val="00013BB4"/>
    <w:rsid w:val="00015AB8"/>
    <w:rsid w:val="00017933"/>
    <w:rsid w:val="00020E5A"/>
    <w:rsid w:val="00025944"/>
    <w:rsid w:val="00026F8E"/>
    <w:rsid w:val="000270D1"/>
    <w:rsid w:val="00027537"/>
    <w:rsid w:val="000279FB"/>
    <w:rsid w:val="00031ABD"/>
    <w:rsid w:val="00032BC4"/>
    <w:rsid w:val="00032D70"/>
    <w:rsid w:val="000332BB"/>
    <w:rsid w:val="00034A54"/>
    <w:rsid w:val="0003591D"/>
    <w:rsid w:val="000370D1"/>
    <w:rsid w:val="000373B1"/>
    <w:rsid w:val="00037601"/>
    <w:rsid w:val="00040031"/>
    <w:rsid w:val="00041703"/>
    <w:rsid w:val="00041F07"/>
    <w:rsid w:val="00043862"/>
    <w:rsid w:val="0004481C"/>
    <w:rsid w:val="00045525"/>
    <w:rsid w:val="000457D4"/>
    <w:rsid w:val="0004694B"/>
    <w:rsid w:val="0005016F"/>
    <w:rsid w:val="000509B4"/>
    <w:rsid w:val="00051DA5"/>
    <w:rsid w:val="00053847"/>
    <w:rsid w:val="000551E6"/>
    <w:rsid w:val="00056160"/>
    <w:rsid w:val="00057B68"/>
    <w:rsid w:val="000606E0"/>
    <w:rsid w:val="00061DD3"/>
    <w:rsid w:val="00062050"/>
    <w:rsid w:val="00062211"/>
    <w:rsid w:val="00063B0F"/>
    <w:rsid w:val="00063B61"/>
    <w:rsid w:val="00063B95"/>
    <w:rsid w:val="00064AB6"/>
    <w:rsid w:val="00064C11"/>
    <w:rsid w:val="00065CCD"/>
    <w:rsid w:val="00066AE1"/>
    <w:rsid w:val="000675C5"/>
    <w:rsid w:val="00067D03"/>
    <w:rsid w:val="000703FB"/>
    <w:rsid w:val="000708C4"/>
    <w:rsid w:val="00070B01"/>
    <w:rsid w:val="00070E5D"/>
    <w:rsid w:val="00070FEE"/>
    <w:rsid w:val="00072111"/>
    <w:rsid w:val="00072FA4"/>
    <w:rsid w:val="000806AB"/>
    <w:rsid w:val="00080DCC"/>
    <w:rsid w:val="0008198A"/>
    <w:rsid w:val="00082479"/>
    <w:rsid w:val="00083F79"/>
    <w:rsid w:val="0008404D"/>
    <w:rsid w:val="0008457C"/>
    <w:rsid w:val="00086C93"/>
    <w:rsid w:val="000873D5"/>
    <w:rsid w:val="00087688"/>
    <w:rsid w:val="0009098C"/>
    <w:rsid w:val="00091A42"/>
    <w:rsid w:val="00093F04"/>
    <w:rsid w:val="00094A32"/>
    <w:rsid w:val="000956AA"/>
    <w:rsid w:val="00095AAC"/>
    <w:rsid w:val="00096278"/>
    <w:rsid w:val="000972B0"/>
    <w:rsid w:val="000A3449"/>
    <w:rsid w:val="000A3FDB"/>
    <w:rsid w:val="000A4E0C"/>
    <w:rsid w:val="000A561E"/>
    <w:rsid w:val="000A5869"/>
    <w:rsid w:val="000A59DB"/>
    <w:rsid w:val="000A62E2"/>
    <w:rsid w:val="000A6FE9"/>
    <w:rsid w:val="000B02A7"/>
    <w:rsid w:val="000B0329"/>
    <w:rsid w:val="000B0B32"/>
    <w:rsid w:val="000B1AF9"/>
    <w:rsid w:val="000B2C6C"/>
    <w:rsid w:val="000B34E3"/>
    <w:rsid w:val="000B3CA1"/>
    <w:rsid w:val="000B6591"/>
    <w:rsid w:val="000B6ED8"/>
    <w:rsid w:val="000C1664"/>
    <w:rsid w:val="000C19B0"/>
    <w:rsid w:val="000C3D96"/>
    <w:rsid w:val="000C41C2"/>
    <w:rsid w:val="000C701D"/>
    <w:rsid w:val="000D25E9"/>
    <w:rsid w:val="000D2DDF"/>
    <w:rsid w:val="000D2FC5"/>
    <w:rsid w:val="000D316D"/>
    <w:rsid w:val="000D368F"/>
    <w:rsid w:val="000D4414"/>
    <w:rsid w:val="000D4D95"/>
    <w:rsid w:val="000D4D9F"/>
    <w:rsid w:val="000D5476"/>
    <w:rsid w:val="000E0EE3"/>
    <w:rsid w:val="000E1AB8"/>
    <w:rsid w:val="000E2F56"/>
    <w:rsid w:val="000E3282"/>
    <w:rsid w:val="000E32E1"/>
    <w:rsid w:val="000E39FD"/>
    <w:rsid w:val="000E4264"/>
    <w:rsid w:val="000E6699"/>
    <w:rsid w:val="000E6EBC"/>
    <w:rsid w:val="000F00A7"/>
    <w:rsid w:val="000F078E"/>
    <w:rsid w:val="000F0E03"/>
    <w:rsid w:val="000F0F31"/>
    <w:rsid w:val="000F2088"/>
    <w:rsid w:val="000F3020"/>
    <w:rsid w:val="000F5272"/>
    <w:rsid w:val="000F5DA8"/>
    <w:rsid w:val="000F695D"/>
    <w:rsid w:val="000F6A54"/>
    <w:rsid w:val="001003B5"/>
    <w:rsid w:val="001030F4"/>
    <w:rsid w:val="001038EF"/>
    <w:rsid w:val="00103F51"/>
    <w:rsid w:val="001043FC"/>
    <w:rsid w:val="001058C9"/>
    <w:rsid w:val="00106A21"/>
    <w:rsid w:val="001073D9"/>
    <w:rsid w:val="00110762"/>
    <w:rsid w:val="0011087C"/>
    <w:rsid w:val="00111ED8"/>
    <w:rsid w:val="00113904"/>
    <w:rsid w:val="00113F0E"/>
    <w:rsid w:val="00114465"/>
    <w:rsid w:val="00114993"/>
    <w:rsid w:val="001149AD"/>
    <w:rsid w:val="00114AA9"/>
    <w:rsid w:val="00115B88"/>
    <w:rsid w:val="00116252"/>
    <w:rsid w:val="001168C9"/>
    <w:rsid w:val="001178E4"/>
    <w:rsid w:val="001178FE"/>
    <w:rsid w:val="00117E00"/>
    <w:rsid w:val="001204C6"/>
    <w:rsid w:val="0012106A"/>
    <w:rsid w:val="001210E9"/>
    <w:rsid w:val="00122B2D"/>
    <w:rsid w:val="00123C1E"/>
    <w:rsid w:val="00127A10"/>
    <w:rsid w:val="00127B70"/>
    <w:rsid w:val="00131CA0"/>
    <w:rsid w:val="001330E1"/>
    <w:rsid w:val="00133520"/>
    <w:rsid w:val="001363B2"/>
    <w:rsid w:val="00137290"/>
    <w:rsid w:val="00137837"/>
    <w:rsid w:val="00137892"/>
    <w:rsid w:val="00137DFB"/>
    <w:rsid w:val="0014267D"/>
    <w:rsid w:val="00142C9C"/>
    <w:rsid w:val="00142FC4"/>
    <w:rsid w:val="00144AA3"/>
    <w:rsid w:val="001452E4"/>
    <w:rsid w:val="00146922"/>
    <w:rsid w:val="00150786"/>
    <w:rsid w:val="00151694"/>
    <w:rsid w:val="00152574"/>
    <w:rsid w:val="00153C46"/>
    <w:rsid w:val="00157439"/>
    <w:rsid w:val="00157C81"/>
    <w:rsid w:val="00157E30"/>
    <w:rsid w:val="00157E33"/>
    <w:rsid w:val="00160A29"/>
    <w:rsid w:val="00162D53"/>
    <w:rsid w:val="00164220"/>
    <w:rsid w:val="00164A77"/>
    <w:rsid w:val="0016542A"/>
    <w:rsid w:val="00166543"/>
    <w:rsid w:val="0016713E"/>
    <w:rsid w:val="001705C2"/>
    <w:rsid w:val="00172F1B"/>
    <w:rsid w:val="00173FD2"/>
    <w:rsid w:val="00175286"/>
    <w:rsid w:val="0017559B"/>
    <w:rsid w:val="001759C2"/>
    <w:rsid w:val="00175C21"/>
    <w:rsid w:val="00175DBA"/>
    <w:rsid w:val="001761C1"/>
    <w:rsid w:val="001763C5"/>
    <w:rsid w:val="0018012F"/>
    <w:rsid w:val="00180385"/>
    <w:rsid w:val="00180998"/>
    <w:rsid w:val="00180EE6"/>
    <w:rsid w:val="0018193D"/>
    <w:rsid w:val="00181996"/>
    <w:rsid w:val="00182D73"/>
    <w:rsid w:val="001832FE"/>
    <w:rsid w:val="00185205"/>
    <w:rsid w:val="0018628F"/>
    <w:rsid w:val="00186370"/>
    <w:rsid w:val="00186468"/>
    <w:rsid w:val="001873EF"/>
    <w:rsid w:val="00190ABA"/>
    <w:rsid w:val="00191679"/>
    <w:rsid w:val="001928B3"/>
    <w:rsid w:val="001939E5"/>
    <w:rsid w:val="00193E4A"/>
    <w:rsid w:val="00194B35"/>
    <w:rsid w:val="001977BE"/>
    <w:rsid w:val="001A213D"/>
    <w:rsid w:val="001A27F2"/>
    <w:rsid w:val="001A4BE3"/>
    <w:rsid w:val="001A52BB"/>
    <w:rsid w:val="001A5BAA"/>
    <w:rsid w:val="001A6841"/>
    <w:rsid w:val="001A68C7"/>
    <w:rsid w:val="001A6CF1"/>
    <w:rsid w:val="001A7588"/>
    <w:rsid w:val="001B1E35"/>
    <w:rsid w:val="001B3674"/>
    <w:rsid w:val="001B4BA1"/>
    <w:rsid w:val="001B4BC8"/>
    <w:rsid w:val="001B4F74"/>
    <w:rsid w:val="001B58A7"/>
    <w:rsid w:val="001C22A1"/>
    <w:rsid w:val="001C2942"/>
    <w:rsid w:val="001C2E15"/>
    <w:rsid w:val="001C394A"/>
    <w:rsid w:val="001C45AD"/>
    <w:rsid w:val="001C485C"/>
    <w:rsid w:val="001C583B"/>
    <w:rsid w:val="001C63DB"/>
    <w:rsid w:val="001C7E5B"/>
    <w:rsid w:val="001C7E8B"/>
    <w:rsid w:val="001D3593"/>
    <w:rsid w:val="001D3801"/>
    <w:rsid w:val="001D4C2F"/>
    <w:rsid w:val="001D5195"/>
    <w:rsid w:val="001D54B5"/>
    <w:rsid w:val="001D67AD"/>
    <w:rsid w:val="001D7439"/>
    <w:rsid w:val="001D7F68"/>
    <w:rsid w:val="001E001B"/>
    <w:rsid w:val="001E0189"/>
    <w:rsid w:val="001E0E57"/>
    <w:rsid w:val="001E1260"/>
    <w:rsid w:val="001E2E0D"/>
    <w:rsid w:val="001E3694"/>
    <w:rsid w:val="001E398F"/>
    <w:rsid w:val="001E3F89"/>
    <w:rsid w:val="001E48E9"/>
    <w:rsid w:val="001E4C09"/>
    <w:rsid w:val="001E7B30"/>
    <w:rsid w:val="001F0CA0"/>
    <w:rsid w:val="001F1378"/>
    <w:rsid w:val="001F319D"/>
    <w:rsid w:val="001F320C"/>
    <w:rsid w:val="001F3328"/>
    <w:rsid w:val="001F361A"/>
    <w:rsid w:val="001F3D9D"/>
    <w:rsid w:val="001F4D8E"/>
    <w:rsid w:val="001F6EDA"/>
    <w:rsid w:val="001F75C0"/>
    <w:rsid w:val="00200D10"/>
    <w:rsid w:val="00203D27"/>
    <w:rsid w:val="00203F45"/>
    <w:rsid w:val="002043D4"/>
    <w:rsid w:val="00206746"/>
    <w:rsid w:val="0021089C"/>
    <w:rsid w:val="00210A24"/>
    <w:rsid w:val="00210A2E"/>
    <w:rsid w:val="00213585"/>
    <w:rsid w:val="00214573"/>
    <w:rsid w:val="00215BBD"/>
    <w:rsid w:val="00216A36"/>
    <w:rsid w:val="0022279B"/>
    <w:rsid w:val="00223628"/>
    <w:rsid w:val="0022633B"/>
    <w:rsid w:val="002263DC"/>
    <w:rsid w:val="0022687E"/>
    <w:rsid w:val="0023073F"/>
    <w:rsid w:val="002308E6"/>
    <w:rsid w:val="0023124F"/>
    <w:rsid w:val="00231A41"/>
    <w:rsid w:val="0023268F"/>
    <w:rsid w:val="002335C5"/>
    <w:rsid w:val="0023604C"/>
    <w:rsid w:val="00236181"/>
    <w:rsid w:val="0023797F"/>
    <w:rsid w:val="002409F6"/>
    <w:rsid w:val="00243516"/>
    <w:rsid w:val="00244BA1"/>
    <w:rsid w:val="00245A6D"/>
    <w:rsid w:val="00245F2C"/>
    <w:rsid w:val="00247803"/>
    <w:rsid w:val="00251C2C"/>
    <w:rsid w:val="0025225D"/>
    <w:rsid w:val="002529CA"/>
    <w:rsid w:val="0025429C"/>
    <w:rsid w:val="00254D5A"/>
    <w:rsid w:val="00262375"/>
    <w:rsid w:val="00263098"/>
    <w:rsid w:val="00263B38"/>
    <w:rsid w:val="0026420F"/>
    <w:rsid w:val="002643AC"/>
    <w:rsid w:val="002657A1"/>
    <w:rsid w:val="00265A03"/>
    <w:rsid w:val="002665E6"/>
    <w:rsid w:val="002666AA"/>
    <w:rsid w:val="00267615"/>
    <w:rsid w:val="00271AE9"/>
    <w:rsid w:val="002738D4"/>
    <w:rsid w:val="0027391E"/>
    <w:rsid w:val="002775D7"/>
    <w:rsid w:val="00277BE2"/>
    <w:rsid w:val="00281031"/>
    <w:rsid w:val="0028162E"/>
    <w:rsid w:val="0028696E"/>
    <w:rsid w:val="00286E64"/>
    <w:rsid w:val="00287720"/>
    <w:rsid w:val="0028774C"/>
    <w:rsid w:val="00287C9C"/>
    <w:rsid w:val="00290D7E"/>
    <w:rsid w:val="00292698"/>
    <w:rsid w:val="00294088"/>
    <w:rsid w:val="002943B4"/>
    <w:rsid w:val="002953FE"/>
    <w:rsid w:val="00296511"/>
    <w:rsid w:val="002A0777"/>
    <w:rsid w:val="002A33AB"/>
    <w:rsid w:val="002A5715"/>
    <w:rsid w:val="002A5DA6"/>
    <w:rsid w:val="002A6213"/>
    <w:rsid w:val="002A6561"/>
    <w:rsid w:val="002B11A8"/>
    <w:rsid w:val="002B1E05"/>
    <w:rsid w:val="002B42CC"/>
    <w:rsid w:val="002B48EB"/>
    <w:rsid w:val="002B6AA6"/>
    <w:rsid w:val="002B7394"/>
    <w:rsid w:val="002B7685"/>
    <w:rsid w:val="002B7B79"/>
    <w:rsid w:val="002B7E2D"/>
    <w:rsid w:val="002C1353"/>
    <w:rsid w:val="002C1CBA"/>
    <w:rsid w:val="002C54E7"/>
    <w:rsid w:val="002D0397"/>
    <w:rsid w:val="002D2356"/>
    <w:rsid w:val="002D2773"/>
    <w:rsid w:val="002D3B4E"/>
    <w:rsid w:val="002D529D"/>
    <w:rsid w:val="002D576F"/>
    <w:rsid w:val="002D6CEB"/>
    <w:rsid w:val="002D6DF4"/>
    <w:rsid w:val="002D793B"/>
    <w:rsid w:val="002E0711"/>
    <w:rsid w:val="002E1165"/>
    <w:rsid w:val="002E130E"/>
    <w:rsid w:val="002E1DC2"/>
    <w:rsid w:val="002E2660"/>
    <w:rsid w:val="002E2935"/>
    <w:rsid w:val="002E3C80"/>
    <w:rsid w:val="002E48A6"/>
    <w:rsid w:val="002E50FD"/>
    <w:rsid w:val="002E6CE2"/>
    <w:rsid w:val="002E6DE6"/>
    <w:rsid w:val="002E7882"/>
    <w:rsid w:val="002E7908"/>
    <w:rsid w:val="002F0311"/>
    <w:rsid w:val="002F067B"/>
    <w:rsid w:val="002F16FE"/>
    <w:rsid w:val="002F1FBE"/>
    <w:rsid w:val="002F3685"/>
    <w:rsid w:val="002F4BD5"/>
    <w:rsid w:val="002F4D6B"/>
    <w:rsid w:val="002F4E9F"/>
    <w:rsid w:val="002F53F6"/>
    <w:rsid w:val="002F5507"/>
    <w:rsid w:val="002F6084"/>
    <w:rsid w:val="002F640C"/>
    <w:rsid w:val="002F6D4A"/>
    <w:rsid w:val="0030096B"/>
    <w:rsid w:val="0030124B"/>
    <w:rsid w:val="003015B9"/>
    <w:rsid w:val="00302272"/>
    <w:rsid w:val="0030329B"/>
    <w:rsid w:val="00303A0A"/>
    <w:rsid w:val="00304CA0"/>
    <w:rsid w:val="003069C9"/>
    <w:rsid w:val="003106C3"/>
    <w:rsid w:val="00310F4B"/>
    <w:rsid w:val="00311841"/>
    <w:rsid w:val="00311BE7"/>
    <w:rsid w:val="0031216F"/>
    <w:rsid w:val="00312565"/>
    <w:rsid w:val="003126CF"/>
    <w:rsid w:val="00312944"/>
    <w:rsid w:val="0031364F"/>
    <w:rsid w:val="003139CD"/>
    <w:rsid w:val="00313E72"/>
    <w:rsid w:val="00316E49"/>
    <w:rsid w:val="003172A4"/>
    <w:rsid w:val="0032142F"/>
    <w:rsid w:val="00323FFF"/>
    <w:rsid w:val="00325C0E"/>
    <w:rsid w:val="00327C4C"/>
    <w:rsid w:val="00327F54"/>
    <w:rsid w:val="00330C33"/>
    <w:rsid w:val="0033158E"/>
    <w:rsid w:val="00331EC2"/>
    <w:rsid w:val="00332DF2"/>
    <w:rsid w:val="003347B0"/>
    <w:rsid w:val="0033713C"/>
    <w:rsid w:val="003379CD"/>
    <w:rsid w:val="003415A8"/>
    <w:rsid w:val="0034190C"/>
    <w:rsid w:val="003436D7"/>
    <w:rsid w:val="00344409"/>
    <w:rsid w:val="003449CD"/>
    <w:rsid w:val="003463CA"/>
    <w:rsid w:val="00347984"/>
    <w:rsid w:val="003508FB"/>
    <w:rsid w:val="003531AF"/>
    <w:rsid w:val="003545B0"/>
    <w:rsid w:val="00357F73"/>
    <w:rsid w:val="00360498"/>
    <w:rsid w:val="00363306"/>
    <w:rsid w:val="00363943"/>
    <w:rsid w:val="00366B77"/>
    <w:rsid w:val="00367D5A"/>
    <w:rsid w:val="00370E10"/>
    <w:rsid w:val="0037193E"/>
    <w:rsid w:val="003730A9"/>
    <w:rsid w:val="00374B1E"/>
    <w:rsid w:val="0037564C"/>
    <w:rsid w:val="00376E6C"/>
    <w:rsid w:val="00376EEF"/>
    <w:rsid w:val="003775AC"/>
    <w:rsid w:val="003777C3"/>
    <w:rsid w:val="003803B5"/>
    <w:rsid w:val="00383FD4"/>
    <w:rsid w:val="00391535"/>
    <w:rsid w:val="0039259D"/>
    <w:rsid w:val="00392D79"/>
    <w:rsid w:val="0039375B"/>
    <w:rsid w:val="00394829"/>
    <w:rsid w:val="00396C80"/>
    <w:rsid w:val="003A477A"/>
    <w:rsid w:val="003A49B7"/>
    <w:rsid w:val="003A4AC4"/>
    <w:rsid w:val="003A5B06"/>
    <w:rsid w:val="003A67AF"/>
    <w:rsid w:val="003A6D84"/>
    <w:rsid w:val="003A6EC7"/>
    <w:rsid w:val="003B0013"/>
    <w:rsid w:val="003B2763"/>
    <w:rsid w:val="003B717A"/>
    <w:rsid w:val="003B73F2"/>
    <w:rsid w:val="003B789B"/>
    <w:rsid w:val="003C00B5"/>
    <w:rsid w:val="003C00E6"/>
    <w:rsid w:val="003C0555"/>
    <w:rsid w:val="003C0A3D"/>
    <w:rsid w:val="003C2704"/>
    <w:rsid w:val="003C2CE9"/>
    <w:rsid w:val="003C30BD"/>
    <w:rsid w:val="003C45A3"/>
    <w:rsid w:val="003C49BF"/>
    <w:rsid w:val="003C72DF"/>
    <w:rsid w:val="003C7AB5"/>
    <w:rsid w:val="003D0523"/>
    <w:rsid w:val="003D2C76"/>
    <w:rsid w:val="003D6392"/>
    <w:rsid w:val="003D6407"/>
    <w:rsid w:val="003D7A68"/>
    <w:rsid w:val="003D7C94"/>
    <w:rsid w:val="003E0161"/>
    <w:rsid w:val="003E07AE"/>
    <w:rsid w:val="003E0B81"/>
    <w:rsid w:val="003E1C86"/>
    <w:rsid w:val="003E2D3A"/>
    <w:rsid w:val="003E4421"/>
    <w:rsid w:val="003E4C6F"/>
    <w:rsid w:val="003E58BE"/>
    <w:rsid w:val="003E723E"/>
    <w:rsid w:val="003E7313"/>
    <w:rsid w:val="003E7CA0"/>
    <w:rsid w:val="003F1F1A"/>
    <w:rsid w:val="003F2DAF"/>
    <w:rsid w:val="003F5DE1"/>
    <w:rsid w:val="003F7820"/>
    <w:rsid w:val="0040052D"/>
    <w:rsid w:val="00400F37"/>
    <w:rsid w:val="00401008"/>
    <w:rsid w:val="0040125B"/>
    <w:rsid w:val="00401799"/>
    <w:rsid w:val="00406A11"/>
    <w:rsid w:val="00406B26"/>
    <w:rsid w:val="00407895"/>
    <w:rsid w:val="0041022F"/>
    <w:rsid w:val="00411E45"/>
    <w:rsid w:val="00412C92"/>
    <w:rsid w:val="00412E52"/>
    <w:rsid w:val="0041391B"/>
    <w:rsid w:val="00413A5D"/>
    <w:rsid w:val="0041409C"/>
    <w:rsid w:val="00414F4F"/>
    <w:rsid w:val="004151B5"/>
    <w:rsid w:val="004168ED"/>
    <w:rsid w:val="00420BE1"/>
    <w:rsid w:val="004211D6"/>
    <w:rsid w:val="00421392"/>
    <w:rsid w:val="00422BD6"/>
    <w:rsid w:val="00422C8E"/>
    <w:rsid w:val="00423D25"/>
    <w:rsid w:val="004246FC"/>
    <w:rsid w:val="00426077"/>
    <w:rsid w:val="00427C6C"/>
    <w:rsid w:val="00430023"/>
    <w:rsid w:val="00432073"/>
    <w:rsid w:val="00433DB7"/>
    <w:rsid w:val="0043430B"/>
    <w:rsid w:val="00437BAD"/>
    <w:rsid w:val="0044222F"/>
    <w:rsid w:val="004433F4"/>
    <w:rsid w:val="00444992"/>
    <w:rsid w:val="0044549D"/>
    <w:rsid w:val="0044598E"/>
    <w:rsid w:val="00446898"/>
    <w:rsid w:val="00446AB7"/>
    <w:rsid w:val="00447E36"/>
    <w:rsid w:val="0045018B"/>
    <w:rsid w:val="00450272"/>
    <w:rsid w:val="0045325E"/>
    <w:rsid w:val="0045407E"/>
    <w:rsid w:val="004542C8"/>
    <w:rsid w:val="00456599"/>
    <w:rsid w:val="004606F7"/>
    <w:rsid w:val="0046098E"/>
    <w:rsid w:val="0046164A"/>
    <w:rsid w:val="004617A5"/>
    <w:rsid w:val="004623C4"/>
    <w:rsid w:val="00462AB2"/>
    <w:rsid w:val="00463C8A"/>
    <w:rsid w:val="00464856"/>
    <w:rsid w:val="00464CCE"/>
    <w:rsid w:val="00464DA2"/>
    <w:rsid w:val="00470087"/>
    <w:rsid w:val="0047213F"/>
    <w:rsid w:val="00474A6B"/>
    <w:rsid w:val="0047577B"/>
    <w:rsid w:val="00475F52"/>
    <w:rsid w:val="004765AC"/>
    <w:rsid w:val="00476D1F"/>
    <w:rsid w:val="00476E53"/>
    <w:rsid w:val="004774A6"/>
    <w:rsid w:val="004800A9"/>
    <w:rsid w:val="00482C24"/>
    <w:rsid w:val="00483FC6"/>
    <w:rsid w:val="004853F7"/>
    <w:rsid w:val="00485C80"/>
    <w:rsid w:val="004860BD"/>
    <w:rsid w:val="0049041A"/>
    <w:rsid w:val="00490604"/>
    <w:rsid w:val="004941F0"/>
    <w:rsid w:val="004954B9"/>
    <w:rsid w:val="00495505"/>
    <w:rsid w:val="00495F8A"/>
    <w:rsid w:val="0049601E"/>
    <w:rsid w:val="00496229"/>
    <w:rsid w:val="00496DBE"/>
    <w:rsid w:val="004976AF"/>
    <w:rsid w:val="004A0C21"/>
    <w:rsid w:val="004A12F9"/>
    <w:rsid w:val="004A3B36"/>
    <w:rsid w:val="004A51BE"/>
    <w:rsid w:val="004A5227"/>
    <w:rsid w:val="004A6B9F"/>
    <w:rsid w:val="004B134E"/>
    <w:rsid w:val="004B35D1"/>
    <w:rsid w:val="004B3763"/>
    <w:rsid w:val="004B38B7"/>
    <w:rsid w:val="004B3B97"/>
    <w:rsid w:val="004B4A9C"/>
    <w:rsid w:val="004B4FE1"/>
    <w:rsid w:val="004B53B6"/>
    <w:rsid w:val="004B606D"/>
    <w:rsid w:val="004B6E5C"/>
    <w:rsid w:val="004C109D"/>
    <w:rsid w:val="004C1D3E"/>
    <w:rsid w:val="004C2759"/>
    <w:rsid w:val="004C2CBE"/>
    <w:rsid w:val="004C3161"/>
    <w:rsid w:val="004C39C5"/>
    <w:rsid w:val="004C5955"/>
    <w:rsid w:val="004C7591"/>
    <w:rsid w:val="004D0EC9"/>
    <w:rsid w:val="004D3526"/>
    <w:rsid w:val="004D378E"/>
    <w:rsid w:val="004D4C46"/>
    <w:rsid w:val="004D5349"/>
    <w:rsid w:val="004D61AD"/>
    <w:rsid w:val="004D6B92"/>
    <w:rsid w:val="004D702C"/>
    <w:rsid w:val="004D70CC"/>
    <w:rsid w:val="004D7939"/>
    <w:rsid w:val="004E319B"/>
    <w:rsid w:val="004E3A0A"/>
    <w:rsid w:val="004E3DD3"/>
    <w:rsid w:val="004E52CC"/>
    <w:rsid w:val="004E65C8"/>
    <w:rsid w:val="004E715F"/>
    <w:rsid w:val="004E7222"/>
    <w:rsid w:val="004E78FD"/>
    <w:rsid w:val="004E7FE7"/>
    <w:rsid w:val="004F03A1"/>
    <w:rsid w:val="004F4FDB"/>
    <w:rsid w:val="004F7632"/>
    <w:rsid w:val="00500E99"/>
    <w:rsid w:val="00502933"/>
    <w:rsid w:val="00502C45"/>
    <w:rsid w:val="00505692"/>
    <w:rsid w:val="005059C9"/>
    <w:rsid w:val="005069A2"/>
    <w:rsid w:val="005143F2"/>
    <w:rsid w:val="005144AA"/>
    <w:rsid w:val="00515990"/>
    <w:rsid w:val="00515DA6"/>
    <w:rsid w:val="00515F4F"/>
    <w:rsid w:val="005169BF"/>
    <w:rsid w:val="00516B82"/>
    <w:rsid w:val="00516C5C"/>
    <w:rsid w:val="00517A26"/>
    <w:rsid w:val="00520226"/>
    <w:rsid w:val="00520D6D"/>
    <w:rsid w:val="00520E92"/>
    <w:rsid w:val="00525CBD"/>
    <w:rsid w:val="0052622D"/>
    <w:rsid w:val="005304F8"/>
    <w:rsid w:val="00530707"/>
    <w:rsid w:val="00531181"/>
    <w:rsid w:val="00532B81"/>
    <w:rsid w:val="00533AE8"/>
    <w:rsid w:val="00534F9B"/>
    <w:rsid w:val="0053532D"/>
    <w:rsid w:val="005379F4"/>
    <w:rsid w:val="00541143"/>
    <w:rsid w:val="0054257D"/>
    <w:rsid w:val="00543114"/>
    <w:rsid w:val="00543313"/>
    <w:rsid w:val="00544FB7"/>
    <w:rsid w:val="005451E4"/>
    <w:rsid w:val="00545830"/>
    <w:rsid w:val="00545A1C"/>
    <w:rsid w:val="00546141"/>
    <w:rsid w:val="0054731A"/>
    <w:rsid w:val="00547C65"/>
    <w:rsid w:val="00550619"/>
    <w:rsid w:val="00551357"/>
    <w:rsid w:val="005527C3"/>
    <w:rsid w:val="00552D0A"/>
    <w:rsid w:val="005535E8"/>
    <w:rsid w:val="00553F63"/>
    <w:rsid w:val="00554458"/>
    <w:rsid w:val="00554620"/>
    <w:rsid w:val="00555B01"/>
    <w:rsid w:val="0055699B"/>
    <w:rsid w:val="00563975"/>
    <w:rsid w:val="00563C9B"/>
    <w:rsid w:val="00566D70"/>
    <w:rsid w:val="00567965"/>
    <w:rsid w:val="00570CFA"/>
    <w:rsid w:val="00570F42"/>
    <w:rsid w:val="00570F86"/>
    <w:rsid w:val="00571279"/>
    <w:rsid w:val="00572EED"/>
    <w:rsid w:val="00573137"/>
    <w:rsid w:val="00573449"/>
    <w:rsid w:val="0057476A"/>
    <w:rsid w:val="00574A49"/>
    <w:rsid w:val="00575512"/>
    <w:rsid w:val="00576312"/>
    <w:rsid w:val="00576E0C"/>
    <w:rsid w:val="005777D2"/>
    <w:rsid w:val="005804AD"/>
    <w:rsid w:val="00582EEB"/>
    <w:rsid w:val="00583A8D"/>
    <w:rsid w:val="005857B8"/>
    <w:rsid w:val="00590039"/>
    <w:rsid w:val="00591966"/>
    <w:rsid w:val="00594A4E"/>
    <w:rsid w:val="00596028"/>
    <w:rsid w:val="00596D92"/>
    <w:rsid w:val="005A102C"/>
    <w:rsid w:val="005A2826"/>
    <w:rsid w:val="005A28FC"/>
    <w:rsid w:val="005A3789"/>
    <w:rsid w:val="005A3901"/>
    <w:rsid w:val="005A5830"/>
    <w:rsid w:val="005A5F4E"/>
    <w:rsid w:val="005A5F96"/>
    <w:rsid w:val="005A5F99"/>
    <w:rsid w:val="005A6E08"/>
    <w:rsid w:val="005A70DA"/>
    <w:rsid w:val="005B2563"/>
    <w:rsid w:val="005B2EDF"/>
    <w:rsid w:val="005B3596"/>
    <w:rsid w:val="005B3E73"/>
    <w:rsid w:val="005B3F38"/>
    <w:rsid w:val="005B7E1C"/>
    <w:rsid w:val="005C2E71"/>
    <w:rsid w:val="005C553D"/>
    <w:rsid w:val="005C5650"/>
    <w:rsid w:val="005C7308"/>
    <w:rsid w:val="005D0716"/>
    <w:rsid w:val="005D0833"/>
    <w:rsid w:val="005D0CA0"/>
    <w:rsid w:val="005D120D"/>
    <w:rsid w:val="005D2610"/>
    <w:rsid w:val="005D4B3A"/>
    <w:rsid w:val="005D4FE0"/>
    <w:rsid w:val="005D5C6E"/>
    <w:rsid w:val="005D6FFA"/>
    <w:rsid w:val="005D7D0D"/>
    <w:rsid w:val="005E0140"/>
    <w:rsid w:val="005E1BF7"/>
    <w:rsid w:val="005E4074"/>
    <w:rsid w:val="005E685A"/>
    <w:rsid w:val="005E6DD8"/>
    <w:rsid w:val="005E7238"/>
    <w:rsid w:val="005F000B"/>
    <w:rsid w:val="005F0DEE"/>
    <w:rsid w:val="005F158D"/>
    <w:rsid w:val="005F16C4"/>
    <w:rsid w:val="005F230F"/>
    <w:rsid w:val="005F6080"/>
    <w:rsid w:val="005F6933"/>
    <w:rsid w:val="005F6C03"/>
    <w:rsid w:val="005F71B6"/>
    <w:rsid w:val="00602572"/>
    <w:rsid w:val="00602E7F"/>
    <w:rsid w:val="00604989"/>
    <w:rsid w:val="00606140"/>
    <w:rsid w:val="00606CDD"/>
    <w:rsid w:val="0061226C"/>
    <w:rsid w:val="0061349F"/>
    <w:rsid w:val="0061381E"/>
    <w:rsid w:val="00613A00"/>
    <w:rsid w:val="00613B06"/>
    <w:rsid w:val="00613CEB"/>
    <w:rsid w:val="006140CB"/>
    <w:rsid w:val="00614169"/>
    <w:rsid w:val="006155F3"/>
    <w:rsid w:val="00616A5F"/>
    <w:rsid w:val="006171CE"/>
    <w:rsid w:val="006203A7"/>
    <w:rsid w:val="00621752"/>
    <w:rsid w:val="006233AA"/>
    <w:rsid w:val="00623F04"/>
    <w:rsid w:val="0062458B"/>
    <w:rsid w:val="006275E9"/>
    <w:rsid w:val="00630895"/>
    <w:rsid w:val="00631CC5"/>
    <w:rsid w:val="00633F85"/>
    <w:rsid w:val="0063416E"/>
    <w:rsid w:val="0063641C"/>
    <w:rsid w:val="006379FA"/>
    <w:rsid w:val="00637B01"/>
    <w:rsid w:val="00641DB3"/>
    <w:rsid w:val="006424F8"/>
    <w:rsid w:val="00642601"/>
    <w:rsid w:val="006426A1"/>
    <w:rsid w:val="006451C1"/>
    <w:rsid w:val="006451C6"/>
    <w:rsid w:val="006474A3"/>
    <w:rsid w:val="00651205"/>
    <w:rsid w:val="00651765"/>
    <w:rsid w:val="00653978"/>
    <w:rsid w:val="006543DD"/>
    <w:rsid w:val="00654E14"/>
    <w:rsid w:val="006553C4"/>
    <w:rsid w:val="00655713"/>
    <w:rsid w:val="006560C8"/>
    <w:rsid w:val="00657403"/>
    <w:rsid w:val="006574CE"/>
    <w:rsid w:val="006575E2"/>
    <w:rsid w:val="006602BE"/>
    <w:rsid w:val="0066040C"/>
    <w:rsid w:val="0066379A"/>
    <w:rsid w:val="006641E2"/>
    <w:rsid w:val="00666B4B"/>
    <w:rsid w:val="006672FA"/>
    <w:rsid w:val="006702B9"/>
    <w:rsid w:val="00671893"/>
    <w:rsid w:val="00672C49"/>
    <w:rsid w:val="006739F6"/>
    <w:rsid w:val="006742D5"/>
    <w:rsid w:val="006768D6"/>
    <w:rsid w:val="00676F15"/>
    <w:rsid w:val="00677807"/>
    <w:rsid w:val="00680755"/>
    <w:rsid w:val="00680A3D"/>
    <w:rsid w:val="00680D57"/>
    <w:rsid w:val="00681045"/>
    <w:rsid w:val="006812D4"/>
    <w:rsid w:val="006834E3"/>
    <w:rsid w:val="0068409F"/>
    <w:rsid w:val="00684A5F"/>
    <w:rsid w:val="00686C80"/>
    <w:rsid w:val="00690A3E"/>
    <w:rsid w:val="00692150"/>
    <w:rsid w:val="00694888"/>
    <w:rsid w:val="006948C8"/>
    <w:rsid w:val="00694D05"/>
    <w:rsid w:val="00695147"/>
    <w:rsid w:val="006977F7"/>
    <w:rsid w:val="00697B1B"/>
    <w:rsid w:val="006A0201"/>
    <w:rsid w:val="006A0877"/>
    <w:rsid w:val="006A119A"/>
    <w:rsid w:val="006A2A68"/>
    <w:rsid w:val="006A45D2"/>
    <w:rsid w:val="006A5DE7"/>
    <w:rsid w:val="006A612D"/>
    <w:rsid w:val="006A7425"/>
    <w:rsid w:val="006A7EBC"/>
    <w:rsid w:val="006B1CF1"/>
    <w:rsid w:val="006B23FA"/>
    <w:rsid w:val="006B2877"/>
    <w:rsid w:val="006B313B"/>
    <w:rsid w:val="006B316A"/>
    <w:rsid w:val="006B326F"/>
    <w:rsid w:val="006B402D"/>
    <w:rsid w:val="006B42ED"/>
    <w:rsid w:val="006B45C4"/>
    <w:rsid w:val="006B54E1"/>
    <w:rsid w:val="006B55A0"/>
    <w:rsid w:val="006B782D"/>
    <w:rsid w:val="006B7A5E"/>
    <w:rsid w:val="006C0D06"/>
    <w:rsid w:val="006C2B6B"/>
    <w:rsid w:val="006C313E"/>
    <w:rsid w:val="006C48C1"/>
    <w:rsid w:val="006C496F"/>
    <w:rsid w:val="006C54E4"/>
    <w:rsid w:val="006C6EA6"/>
    <w:rsid w:val="006D108A"/>
    <w:rsid w:val="006D1177"/>
    <w:rsid w:val="006D1257"/>
    <w:rsid w:val="006D4E96"/>
    <w:rsid w:val="006D543E"/>
    <w:rsid w:val="006D6AAB"/>
    <w:rsid w:val="006D6BE3"/>
    <w:rsid w:val="006D7CF2"/>
    <w:rsid w:val="006D7D27"/>
    <w:rsid w:val="006E0089"/>
    <w:rsid w:val="006E2225"/>
    <w:rsid w:val="006E26A2"/>
    <w:rsid w:val="006E34FE"/>
    <w:rsid w:val="006E355E"/>
    <w:rsid w:val="006E3A0C"/>
    <w:rsid w:val="006E4F05"/>
    <w:rsid w:val="006E5BC5"/>
    <w:rsid w:val="006E66D9"/>
    <w:rsid w:val="006E731B"/>
    <w:rsid w:val="006F0237"/>
    <w:rsid w:val="006F02D3"/>
    <w:rsid w:val="006F2B35"/>
    <w:rsid w:val="006F33B8"/>
    <w:rsid w:val="006F455A"/>
    <w:rsid w:val="006F464A"/>
    <w:rsid w:val="006F4B36"/>
    <w:rsid w:val="006F5320"/>
    <w:rsid w:val="006F7C10"/>
    <w:rsid w:val="006F7D1C"/>
    <w:rsid w:val="0070033A"/>
    <w:rsid w:val="00700AFE"/>
    <w:rsid w:val="00705485"/>
    <w:rsid w:val="00705709"/>
    <w:rsid w:val="007063EE"/>
    <w:rsid w:val="00707355"/>
    <w:rsid w:val="00707445"/>
    <w:rsid w:val="00710EEF"/>
    <w:rsid w:val="00712E68"/>
    <w:rsid w:val="00714B52"/>
    <w:rsid w:val="007157EF"/>
    <w:rsid w:val="00715855"/>
    <w:rsid w:val="00715B67"/>
    <w:rsid w:val="00715C31"/>
    <w:rsid w:val="00715F60"/>
    <w:rsid w:val="00717987"/>
    <w:rsid w:val="007200CD"/>
    <w:rsid w:val="007203E5"/>
    <w:rsid w:val="00721DDE"/>
    <w:rsid w:val="00721FF2"/>
    <w:rsid w:val="007229BB"/>
    <w:rsid w:val="00723D4E"/>
    <w:rsid w:val="0072468D"/>
    <w:rsid w:val="00724B99"/>
    <w:rsid w:val="00724CA4"/>
    <w:rsid w:val="00724DDD"/>
    <w:rsid w:val="00725E77"/>
    <w:rsid w:val="00726320"/>
    <w:rsid w:val="00732BFA"/>
    <w:rsid w:val="00733204"/>
    <w:rsid w:val="0073320E"/>
    <w:rsid w:val="007339EE"/>
    <w:rsid w:val="007340D9"/>
    <w:rsid w:val="007341E8"/>
    <w:rsid w:val="00734F3E"/>
    <w:rsid w:val="00735F58"/>
    <w:rsid w:val="00740E4A"/>
    <w:rsid w:val="007414AF"/>
    <w:rsid w:val="00744207"/>
    <w:rsid w:val="007445A4"/>
    <w:rsid w:val="0074461E"/>
    <w:rsid w:val="00745224"/>
    <w:rsid w:val="00745520"/>
    <w:rsid w:val="0074572E"/>
    <w:rsid w:val="007467AB"/>
    <w:rsid w:val="00747C7A"/>
    <w:rsid w:val="00753E35"/>
    <w:rsid w:val="0075541E"/>
    <w:rsid w:val="00755F73"/>
    <w:rsid w:val="00756033"/>
    <w:rsid w:val="007564A3"/>
    <w:rsid w:val="00756553"/>
    <w:rsid w:val="00761B8D"/>
    <w:rsid w:val="007625D2"/>
    <w:rsid w:val="00762754"/>
    <w:rsid w:val="00762EFC"/>
    <w:rsid w:val="00762F62"/>
    <w:rsid w:val="00763B3A"/>
    <w:rsid w:val="0076555B"/>
    <w:rsid w:val="007655E1"/>
    <w:rsid w:val="007666E6"/>
    <w:rsid w:val="00766E7C"/>
    <w:rsid w:val="00767D75"/>
    <w:rsid w:val="007705E7"/>
    <w:rsid w:val="0077233D"/>
    <w:rsid w:val="007724BA"/>
    <w:rsid w:val="0077275E"/>
    <w:rsid w:val="007729E2"/>
    <w:rsid w:val="007738AA"/>
    <w:rsid w:val="00773DFD"/>
    <w:rsid w:val="007752C3"/>
    <w:rsid w:val="00776B68"/>
    <w:rsid w:val="00780005"/>
    <w:rsid w:val="007807FA"/>
    <w:rsid w:val="00780B68"/>
    <w:rsid w:val="007820F6"/>
    <w:rsid w:val="00782E73"/>
    <w:rsid w:val="007845F0"/>
    <w:rsid w:val="0078516A"/>
    <w:rsid w:val="0078545E"/>
    <w:rsid w:val="00785665"/>
    <w:rsid w:val="0078655F"/>
    <w:rsid w:val="0079035B"/>
    <w:rsid w:val="00790E97"/>
    <w:rsid w:val="00791B2A"/>
    <w:rsid w:val="007923FC"/>
    <w:rsid w:val="00793D62"/>
    <w:rsid w:val="007958E7"/>
    <w:rsid w:val="00796FE3"/>
    <w:rsid w:val="0079784D"/>
    <w:rsid w:val="007A0A14"/>
    <w:rsid w:val="007A1096"/>
    <w:rsid w:val="007A2194"/>
    <w:rsid w:val="007A2C31"/>
    <w:rsid w:val="007A36B1"/>
    <w:rsid w:val="007A3C77"/>
    <w:rsid w:val="007A5EE9"/>
    <w:rsid w:val="007A67FF"/>
    <w:rsid w:val="007A6B79"/>
    <w:rsid w:val="007A7C1E"/>
    <w:rsid w:val="007A7E86"/>
    <w:rsid w:val="007B0D48"/>
    <w:rsid w:val="007B147E"/>
    <w:rsid w:val="007B3EC8"/>
    <w:rsid w:val="007B45D9"/>
    <w:rsid w:val="007B4D07"/>
    <w:rsid w:val="007B5786"/>
    <w:rsid w:val="007B58AB"/>
    <w:rsid w:val="007B5982"/>
    <w:rsid w:val="007B6689"/>
    <w:rsid w:val="007B78CF"/>
    <w:rsid w:val="007C0AEE"/>
    <w:rsid w:val="007C0C6B"/>
    <w:rsid w:val="007C1AE8"/>
    <w:rsid w:val="007C3717"/>
    <w:rsid w:val="007C4CEF"/>
    <w:rsid w:val="007C6A75"/>
    <w:rsid w:val="007C6B93"/>
    <w:rsid w:val="007C6D71"/>
    <w:rsid w:val="007C7FDD"/>
    <w:rsid w:val="007D172E"/>
    <w:rsid w:val="007D1F8D"/>
    <w:rsid w:val="007D2368"/>
    <w:rsid w:val="007D329A"/>
    <w:rsid w:val="007D353C"/>
    <w:rsid w:val="007D3936"/>
    <w:rsid w:val="007D4604"/>
    <w:rsid w:val="007D48DC"/>
    <w:rsid w:val="007D507D"/>
    <w:rsid w:val="007E2170"/>
    <w:rsid w:val="007E2C56"/>
    <w:rsid w:val="007E36ED"/>
    <w:rsid w:val="007E4020"/>
    <w:rsid w:val="007E5A57"/>
    <w:rsid w:val="007E7D1E"/>
    <w:rsid w:val="007F31EB"/>
    <w:rsid w:val="007F35BF"/>
    <w:rsid w:val="007F38A6"/>
    <w:rsid w:val="007F46DC"/>
    <w:rsid w:val="007F54B5"/>
    <w:rsid w:val="007F59A2"/>
    <w:rsid w:val="007F6E61"/>
    <w:rsid w:val="007F7758"/>
    <w:rsid w:val="007F7EB3"/>
    <w:rsid w:val="00801CAD"/>
    <w:rsid w:val="008043FA"/>
    <w:rsid w:val="00804EC5"/>
    <w:rsid w:val="00807406"/>
    <w:rsid w:val="00807B14"/>
    <w:rsid w:val="0081089F"/>
    <w:rsid w:val="00811638"/>
    <w:rsid w:val="0081257E"/>
    <w:rsid w:val="00812A67"/>
    <w:rsid w:val="00812EF0"/>
    <w:rsid w:val="00812FC7"/>
    <w:rsid w:val="00814636"/>
    <w:rsid w:val="00814D6D"/>
    <w:rsid w:val="008157DF"/>
    <w:rsid w:val="00815922"/>
    <w:rsid w:val="008206AE"/>
    <w:rsid w:val="00820DA0"/>
    <w:rsid w:val="00821138"/>
    <w:rsid w:val="00821C6D"/>
    <w:rsid w:val="00822AD5"/>
    <w:rsid w:val="00822CE5"/>
    <w:rsid w:val="008268A5"/>
    <w:rsid w:val="008306C4"/>
    <w:rsid w:val="008326E2"/>
    <w:rsid w:val="00833850"/>
    <w:rsid w:val="008358ED"/>
    <w:rsid w:val="00835E74"/>
    <w:rsid w:val="00836856"/>
    <w:rsid w:val="0084357C"/>
    <w:rsid w:val="00843BB2"/>
    <w:rsid w:val="00845400"/>
    <w:rsid w:val="00845B38"/>
    <w:rsid w:val="00846DD9"/>
    <w:rsid w:val="008479C3"/>
    <w:rsid w:val="00850067"/>
    <w:rsid w:val="008511CD"/>
    <w:rsid w:val="00851CE8"/>
    <w:rsid w:val="0085208E"/>
    <w:rsid w:val="00853652"/>
    <w:rsid w:val="00854025"/>
    <w:rsid w:val="0085424D"/>
    <w:rsid w:val="00855248"/>
    <w:rsid w:val="00856541"/>
    <w:rsid w:val="00856C64"/>
    <w:rsid w:val="0085764A"/>
    <w:rsid w:val="00861B5D"/>
    <w:rsid w:val="00862F40"/>
    <w:rsid w:val="008640FA"/>
    <w:rsid w:val="00864EFD"/>
    <w:rsid w:val="0086662B"/>
    <w:rsid w:val="0087048A"/>
    <w:rsid w:val="00870E19"/>
    <w:rsid w:val="00870FB0"/>
    <w:rsid w:val="008718CC"/>
    <w:rsid w:val="0087262F"/>
    <w:rsid w:val="00873293"/>
    <w:rsid w:val="00873BA1"/>
    <w:rsid w:val="00873F3D"/>
    <w:rsid w:val="00874DFB"/>
    <w:rsid w:val="00875872"/>
    <w:rsid w:val="00876646"/>
    <w:rsid w:val="0087754F"/>
    <w:rsid w:val="00877BE1"/>
    <w:rsid w:val="00881954"/>
    <w:rsid w:val="008838C4"/>
    <w:rsid w:val="00884AD1"/>
    <w:rsid w:val="00885D39"/>
    <w:rsid w:val="00885E41"/>
    <w:rsid w:val="00885F36"/>
    <w:rsid w:val="0088699A"/>
    <w:rsid w:val="0088731C"/>
    <w:rsid w:val="00891074"/>
    <w:rsid w:val="008921E0"/>
    <w:rsid w:val="00892718"/>
    <w:rsid w:val="008927EC"/>
    <w:rsid w:val="00892A6A"/>
    <w:rsid w:val="00893C0E"/>
    <w:rsid w:val="00894E90"/>
    <w:rsid w:val="008951EC"/>
    <w:rsid w:val="00895506"/>
    <w:rsid w:val="008955BA"/>
    <w:rsid w:val="008959DD"/>
    <w:rsid w:val="00896159"/>
    <w:rsid w:val="00896F85"/>
    <w:rsid w:val="00897600"/>
    <w:rsid w:val="008976DE"/>
    <w:rsid w:val="008A0CB8"/>
    <w:rsid w:val="008A1FA7"/>
    <w:rsid w:val="008A66E4"/>
    <w:rsid w:val="008B0D42"/>
    <w:rsid w:val="008B1D1E"/>
    <w:rsid w:val="008B2C7D"/>
    <w:rsid w:val="008C1317"/>
    <w:rsid w:val="008C1B4C"/>
    <w:rsid w:val="008C1FD3"/>
    <w:rsid w:val="008C28E5"/>
    <w:rsid w:val="008C329A"/>
    <w:rsid w:val="008C3901"/>
    <w:rsid w:val="008C3A88"/>
    <w:rsid w:val="008C3B4E"/>
    <w:rsid w:val="008C4028"/>
    <w:rsid w:val="008C46A0"/>
    <w:rsid w:val="008C4CD5"/>
    <w:rsid w:val="008C71B7"/>
    <w:rsid w:val="008C737B"/>
    <w:rsid w:val="008C7B10"/>
    <w:rsid w:val="008D0005"/>
    <w:rsid w:val="008D2834"/>
    <w:rsid w:val="008D286C"/>
    <w:rsid w:val="008D353C"/>
    <w:rsid w:val="008D419C"/>
    <w:rsid w:val="008D6972"/>
    <w:rsid w:val="008D7242"/>
    <w:rsid w:val="008E0070"/>
    <w:rsid w:val="008E2A03"/>
    <w:rsid w:val="008E3539"/>
    <w:rsid w:val="008E4BC8"/>
    <w:rsid w:val="008E4EAF"/>
    <w:rsid w:val="008E5DE3"/>
    <w:rsid w:val="008E6B6C"/>
    <w:rsid w:val="008F1130"/>
    <w:rsid w:val="008F1551"/>
    <w:rsid w:val="008F1E73"/>
    <w:rsid w:val="008F2C2D"/>
    <w:rsid w:val="008F2DCE"/>
    <w:rsid w:val="008F385A"/>
    <w:rsid w:val="008F3E7B"/>
    <w:rsid w:val="008F4FCA"/>
    <w:rsid w:val="008F56DA"/>
    <w:rsid w:val="008F6C10"/>
    <w:rsid w:val="009025A1"/>
    <w:rsid w:val="00903D9D"/>
    <w:rsid w:val="00911737"/>
    <w:rsid w:val="009142D7"/>
    <w:rsid w:val="00914D2A"/>
    <w:rsid w:val="00914E1C"/>
    <w:rsid w:val="00914EAD"/>
    <w:rsid w:val="0091574A"/>
    <w:rsid w:val="00915AB9"/>
    <w:rsid w:val="00917077"/>
    <w:rsid w:val="00920AC6"/>
    <w:rsid w:val="00920D92"/>
    <w:rsid w:val="0092138F"/>
    <w:rsid w:val="00922B1B"/>
    <w:rsid w:val="00922BCD"/>
    <w:rsid w:val="009231A4"/>
    <w:rsid w:val="00924D9D"/>
    <w:rsid w:val="00926248"/>
    <w:rsid w:val="009266F2"/>
    <w:rsid w:val="009303B1"/>
    <w:rsid w:val="0093054C"/>
    <w:rsid w:val="00930571"/>
    <w:rsid w:val="00931612"/>
    <w:rsid w:val="00931B00"/>
    <w:rsid w:val="00931C0E"/>
    <w:rsid w:val="00932153"/>
    <w:rsid w:val="00932D60"/>
    <w:rsid w:val="009340B7"/>
    <w:rsid w:val="009359F9"/>
    <w:rsid w:val="009366D8"/>
    <w:rsid w:val="009402D7"/>
    <w:rsid w:val="00942134"/>
    <w:rsid w:val="009424B5"/>
    <w:rsid w:val="00942583"/>
    <w:rsid w:val="0094329E"/>
    <w:rsid w:val="009462DE"/>
    <w:rsid w:val="00950D06"/>
    <w:rsid w:val="009512D3"/>
    <w:rsid w:val="0095190F"/>
    <w:rsid w:val="00952387"/>
    <w:rsid w:val="00953166"/>
    <w:rsid w:val="00953DAB"/>
    <w:rsid w:val="00953F0C"/>
    <w:rsid w:val="00955436"/>
    <w:rsid w:val="00956BF2"/>
    <w:rsid w:val="00956F9A"/>
    <w:rsid w:val="00956FB8"/>
    <w:rsid w:val="00957854"/>
    <w:rsid w:val="00961654"/>
    <w:rsid w:val="0096220F"/>
    <w:rsid w:val="00963067"/>
    <w:rsid w:val="00964D3A"/>
    <w:rsid w:val="00965D1C"/>
    <w:rsid w:val="00966A2C"/>
    <w:rsid w:val="00966CE1"/>
    <w:rsid w:val="00970BC2"/>
    <w:rsid w:val="00970D5D"/>
    <w:rsid w:val="00970FF0"/>
    <w:rsid w:val="00971146"/>
    <w:rsid w:val="0097121C"/>
    <w:rsid w:val="00971261"/>
    <w:rsid w:val="009712A5"/>
    <w:rsid w:val="0097210E"/>
    <w:rsid w:val="00974BF0"/>
    <w:rsid w:val="00975164"/>
    <w:rsid w:val="00976415"/>
    <w:rsid w:val="00976FC7"/>
    <w:rsid w:val="0097727E"/>
    <w:rsid w:val="0097758E"/>
    <w:rsid w:val="00981FC0"/>
    <w:rsid w:val="009827BA"/>
    <w:rsid w:val="00982AE1"/>
    <w:rsid w:val="0098366C"/>
    <w:rsid w:val="00984764"/>
    <w:rsid w:val="00985C98"/>
    <w:rsid w:val="00985DB9"/>
    <w:rsid w:val="009862F2"/>
    <w:rsid w:val="00991811"/>
    <w:rsid w:val="0099669B"/>
    <w:rsid w:val="00996955"/>
    <w:rsid w:val="009A031D"/>
    <w:rsid w:val="009A24C3"/>
    <w:rsid w:val="009A276B"/>
    <w:rsid w:val="009A2D2A"/>
    <w:rsid w:val="009A325A"/>
    <w:rsid w:val="009A32A3"/>
    <w:rsid w:val="009A477D"/>
    <w:rsid w:val="009A56EF"/>
    <w:rsid w:val="009A61B2"/>
    <w:rsid w:val="009A65A8"/>
    <w:rsid w:val="009A69F4"/>
    <w:rsid w:val="009A6BD1"/>
    <w:rsid w:val="009B05FF"/>
    <w:rsid w:val="009B0C48"/>
    <w:rsid w:val="009B163B"/>
    <w:rsid w:val="009B257A"/>
    <w:rsid w:val="009B37E1"/>
    <w:rsid w:val="009B4AE3"/>
    <w:rsid w:val="009B589C"/>
    <w:rsid w:val="009B5F57"/>
    <w:rsid w:val="009B7D39"/>
    <w:rsid w:val="009C09BC"/>
    <w:rsid w:val="009C125B"/>
    <w:rsid w:val="009C168C"/>
    <w:rsid w:val="009C2C5B"/>
    <w:rsid w:val="009C2CC6"/>
    <w:rsid w:val="009C3254"/>
    <w:rsid w:val="009C3B1D"/>
    <w:rsid w:val="009C495F"/>
    <w:rsid w:val="009C5288"/>
    <w:rsid w:val="009C5EB2"/>
    <w:rsid w:val="009C61CB"/>
    <w:rsid w:val="009C6984"/>
    <w:rsid w:val="009D0EFC"/>
    <w:rsid w:val="009D0FE5"/>
    <w:rsid w:val="009D2578"/>
    <w:rsid w:val="009D2E9D"/>
    <w:rsid w:val="009D5E46"/>
    <w:rsid w:val="009D6F37"/>
    <w:rsid w:val="009E27DF"/>
    <w:rsid w:val="009E354C"/>
    <w:rsid w:val="009E59EC"/>
    <w:rsid w:val="009E5D21"/>
    <w:rsid w:val="009E615A"/>
    <w:rsid w:val="009E6E0D"/>
    <w:rsid w:val="009F09E3"/>
    <w:rsid w:val="009F0EE4"/>
    <w:rsid w:val="009F0F79"/>
    <w:rsid w:val="009F1416"/>
    <w:rsid w:val="009F15E9"/>
    <w:rsid w:val="009F2A57"/>
    <w:rsid w:val="009F319A"/>
    <w:rsid w:val="009F32FD"/>
    <w:rsid w:val="009F34A8"/>
    <w:rsid w:val="009F5280"/>
    <w:rsid w:val="009F6900"/>
    <w:rsid w:val="009F72C4"/>
    <w:rsid w:val="009F7586"/>
    <w:rsid w:val="00A008F1"/>
    <w:rsid w:val="00A0179D"/>
    <w:rsid w:val="00A02BB9"/>
    <w:rsid w:val="00A0418D"/>
    <w:rsid w:val="00A04508"/>
    <w:rsid w:val="00A046EF"/>
    <w:rsid w:val="00A052C3"/>
    <w:rsid w:val="00A0584B"/>
    <w:rsid w:val="00A101C1"/>
    <w:rsid w:val="00A10D7C"/>
    <w:rsid w:val="00A11767"/>
    <w:rsid w:val="00A131A0"/>
    <w:rsid w:val="00A13444"/>
    <w:rsid w:val="00A15DCD"/>
    <w:rsid w:val="00A162F9"/>
    <w:rsid w:val="00A16547"/>
    <w:rsid w:val="00A17E92"/>
    <w:rsid w:val="00A17F2D"/>
    <w:rsid w:val="00A2153D"/>
    <w:rsid w:val="00A22518"/>
    <w:rsid w:val="00A2305B"/>
    <w:rsid w:val="00A24204"/>
    <w:rsid w:val="00A255C3"/>
    <w:rsid w:val="00A26A48"/>
    <w:rsid w:val="00A30069"/>
    <w:rsid w:val="00A30D17"/>
    <w:rsid w:val="00A30F9E"/>
    <w:rsid w:val="00A31374"/>
    <w:rsid w:val="00A3195C"/>
    <w:rsid w:val="00A346D4"/>
    <w:rsid w:val="00A35E69"/>
    <w:rsid w:val="00A362F1"/>
    <w:rsid w:val="00A36BF9"/>
    <w:rsid w:val="00A37B75"/>
    <w:rsid w:val="00A4060A"/>
    <w:rsid w:val="00A407F7"/>
    <w:rsid w:val="00A428A7"/>
    <w:rsid w:val="00A42911"/>
    <w:rsid w:val="00A44B8A"/>
    <w:rsid w:val="00A44C87"/>
    <w:rsid w:val="00A45761"/>
    <w:rsid w:val="00A4676F"/>
    <w:rsid w:val="00A467A4"/>
    <w:rsid w:val="00A46B47"/>
    <w:rsid w:val="00A5113A"/>
    <w:rsid w:val="00A51531"/>
    <w:rsid w:val="00A536FE"/>
    <w:rsid w:val="00A5396C"/>
    <w:rsid w:val="00A53AC6"/>
    <w:rsid w:val="00A5485E"/>
    <w:rsid w:val="00A55F1D"/>
    <w:rsid w:val="00A56D86"/>
    <w:rsid w:val="00A57A1C"/>
    <w:rsid w:val="00A60CB7"/>
    <w:rsid w:val="00A614F8"/>
    <w:rsid w:val="00A62B1B"/>
    <w:rsid w:val="00A6441C"/>
    <w:rsid w:val="00A6506B"/>
    <w:rsid w:val="00A653B5"/>
    <w:rsid w:val="00A65B61"/>
    <w:rsid w:val="00A66290"/>
    <w:rsid w:val="00A67058"/>
    <w:rsid w:val="00A7031F"/>
    <w:rsid w:val="00A71BBB"/>
    <w:rsid w:val="00A72958"/>
    <w:rsid w:val="00A72A28"/>
    <w:rsid w:val="00A73BE7"/>
    <w:rsid w:val="00A749A4"/>
    <w:rsid w:val="00A74F30"/>
    <w:rsid w:val="00A75097"/>
    <w:rsid w:val="00A767BC"/>
    <w:rsid w:val="00A770F1"/>
    <w:rsid w:val="00A772B4"/>
    <w:rsid w:val="00A77B78"/>
    <w:rsid w:val="00A77D94"/>
    <w:rsid w:val="00A80AEE"/>
    <w:rsid w:val="00A81492"/>
    <w:rsid w:val="00A81A5B"/>
    <w:rsid w:val="00A82465"/>
    <w:rsid w:val="00A8279C"/>
    <w:rsid w:val="00A827E7"/>
    <w:rsid w:val="00A83176"/>
    <w:rsid w:val="00A83678"/>
    <w:rsid w:val="00A84EBF"/>
    <w:rsid w:val="00A85C1D"/>
    <w:rsid w:val="00A85C84"/>
    <w:rsid w:val="00A87E56"/>
    <w:rsid w:val="00A87F68"/>
    <w:rsid w:val="00A9098D"/>
    <w:rsid w:val="00A9120E"/>
    <w:rsid w:val="00A9121B"/>
    <w:rsid w:val="00A915FC"/>
    <w:rsid w:val="00A918AD"/>
    <w:rsid w:val="00A91E76"/>
    <w:rsid w:val="00A92991"/>
    <w:rsid w:val="00A9359B"/>
    <w:rsid w:val="00A943FF"/>
    <w:rsid w:val="00A951B8"/>
    <w:rsid w:val="00A9659D"/>
    <w:rsid w:val="00A965C0"/>
    <w:rsid w:val="00AA00AD"/>
    <w:rsid w:val="00AA05A7"/>
    <w:rsid w:val="00AA1CFC"/>
    <w:rsid w:val="00AA1D90"/>
    <w:rsid w:val="00AA4132"/>
    <w:rsid w:val="00AA41D2"/>
    <w:rsid w:val="00AA41F4"/>
    <w:rsid w:val="00AA5474"/>
    <w:rsid w:val="00AA5B22"/>
    <w:rsid w:val="00AA6D91"/>
    <w:rsid w:val="00AA700F"/>
    <w:rsid w:val="00AA7CF0"/>
    <w:rsid w:val="00AB0C8C"/>
    <w:rsid w:val="00AB14B6"/>
    <w:rsid w:val="00AB16AA"/>
    <w:rsid w:val="00AB356A"/>
    <w:rsid w:val="00AB3EF5"/>
    <w:rsid w:val="00AB46DE"/>
    <w:rsid w:val="00AB472B"/>
    <w:rsid w:val="00AB5D08"/>
    <w:rsid w:val="00AB742B"/>
    <w:rsid w:val="00AC08BA"/>
    <w:rsid w:val="00AC1818"/>
    <w:rsid w:val="00AC24D6"/>
    <w:rsid w:val="00AC36D7"/>
    <w:rsid w:val="00AC5D20"/>
    <w:rsid w:val="00AC677B"/>
    <w:rsid w:val="00AC7A58"/>
    <w:rsid w:val="00AD0022"/>
    <w:rsid w:val="00AD1225"/>
    <w:rsid w:val="00AD41F2"/>
    <w:rsid w:val="00AD46DC"/>
    <w:rsid w:val="00AD55F9"/>
    <w:rsid w:val="00AD6024"/>
    <w:rsid w:val="00AD7768"/>
    <w:rsid w:val="00AD7DAE"/>
    <w:rsid w:val="00AD7ECE"/>
    <w:rsid w:val="00AE0DD8"/>
    <w:rsid w:val="00AE15CB"/>
    <w:rsid w:val="00AE1802"/>
    <w:rsid w:val="00AE23BA"/>
    <w:rsid w:val="00AE2D42"/>
    <w:rsid w:val="00AE375D"/>
    <w:rsid w:val="00AE47C3"/>
    <w:rsid w:val="00AE4DEA"/>
    <w:rsid w:val="00AE548F"/>
    <w:rsid w:val="00AE5EBE"/>
    <w:rsid w:val="00AF069E"/>
    <w:rsid w:val="00AF400C"/>
    <w:rsid w:val="00AF446E"/>
    <w:rsid w:val="00AF449E"/>
    <w:rsid w:val="00AF4850"/>
    <w:rsid w:val="00AF582B"/>
    <w:rsid w:val="00AF5F61"/>
    <w:rsid w:val="00AF63D8"/>
    <w:rsid w:val="00AF6A9E"/>
    <w:rsid w:val="00AF707F"/>
    <w:rsid w:val="00B0036E"/>
    <w:rsid w:val="00B017F6"/>
    <w:rsid w:val="00B01F46"/>
    <w:rsid w:val="00B042E6"/>
    <w:rsid w:val="00B049AA"/>
    <w:rsid w:val="00B04A3E"/>
    <w:rsid w:val="00B05AD0"/>
    <w:rsid w:val="00B05CC5"/>
    <w:rsid w:val="00B05DC4"/>
    <w:rsid w:val="00B0631F"/>
    <w:rsid w:val="00B06A48"/>
    <w:rsid w:val="00B07487"/>
    <w:rsid w:val="00B07A90"/>
    <w:rsid w:val="00B07DEC"/>
    <w:rsid w:val="00B10288"/>
    <w:rsid w:val="00B13787"/>
    <w:rsid w:val="00B13C3A"/>
    <w:rsid w:val="00B163C4"/>
    <w:rsid w:val="00B16749"/>
    <w:rsid w:val="00B16A07"/>
    <w:rsid w:val="00B20892"/>
    <w:rsid w:val="00B20C47"/>
    <w:rsid w:val="00B21575"/>
    <w:rsid w:val="00B24B30"/>
    <w:rsid w:val="00B2609A"/>
    <w:rsid w:val="00B27180"/>
    <w:rsid w:val="00B278A3"/>
    <w:rsid w:val="00B27CDA"/>
    <w:rsid w:val="00B311DD"/>
    <w:rsid w:val="00B31844"/>
    <w:rsid w:val="00B31B1F"/>
    <w:rsid w:val="00B322A0"/>
    <w:rsid w:val="00B322B7"/>
    <w:rsid w:val="00B33A88"/>
    <w:rsid w:val="00B3533B"/>
    <w:rsid w:val="00B35BD0"/>
    <w:rsid w:val="00B36718"/>
    <w:rsid w:val="00B36E9C"/>
    <w:rsid w:val="00B400C8"/>
    <w:rsid w:val="00B4381C"/>
    <w:rsid w:val="00B43840"/>
    <w:rsid w:val="00B43CE3"/>
    <w:rsid w:val="00B44DDC"/>
    <w:rsid w:val="00B45832"/>
    <w:rsid w:val="00B46555"/>
    <w:rsid w:val="00B46C46"/>
    <w:rsid w:val="00B474CD"/>
    <w:rsid w:val="00B52C13"/>
    <w:rsid w:val="00B53088"/>
    <w:rsid w:val="00B531FC"/>
    <w:rsid w:val="00B54EE8"/>
    <w:rsid w:val="00B5526C"/>
    <w:rsid w:val="00B571B7"/>
    <w:rsid w:val="00B6030A"/>
    <w:rsid w:val="00B60601"/>
    <w:rsid w:val="00B630D4"/>
    <w:rsid w:val="00B6328B"/>
    <w:rsid w:val="00B64E53"/>
    <w:rsid w:val="00B70567"/>
    <w:rsid w:val="00B7081C"/>
    <w:rsid w:val="00B70A50"/>
    <w:rsid w:val="00B70C87"/>
    <w:rsid w:val="00B710E3"/>
    <w:rsid w:val="00B71EE9"/>
    <w:rsid w:val="00B71F60"/>
    <w:rsid w:val="00B721B0"/>
    <w:rsid w:val="00B7497F"/>
    <w:rsid w:val="00B772E1"/>
    <w:rsid w:val="00B77307"/>
    <w:rsid w:val="00B8035B"/>
    <w:rsid w:val="00B80671"/>
    <w:rsid w:val="00B81E08"/>
    <w:rsid w:val="00B81E49"/>
    <w:rsid w:val="00B82A06"/>
    <w:rsid w:val="00B82CFB"/>
    <w:rsid w:val="00B83AF3"/>
    <w:rsid w:val="00B84828"/>
    <w:rsid w:val="00B85F2E"/>
    <w:rsid w:val="00B91C39"/>
    <w:rsid w:val="00B92CF1"/>
    <w:rsid w:val="00B94C4F"/>
    <w:rsid w:val="00BA05E9"/>
    <w:rsid w:val="00BA0F79"/>
    <w:rsid w:val="00BA121D"/>
    <w:rsid w:val="00BA3DBC"/>
    <w:rsid w:val="00BA4D4E"/>
    <w:rsid w:val="00BA5FCF"/>
    <w:rsid w:val="00BA7622"/>
    <w:rsid w:val="00BA7825"/>
    <w:rsid w:val="00BB1C38"/>
    <w:rsid w:val="00BB20F8"/>
    <w:rsid w:val="00BB2B28"/>
    <w:rsid w:val="00BB2CC6"/>
    <w:rsid w:val="00BB30B1"/>
    <w:rsid w:val="00BB608A"/>
    <w:rsid w:val="00BB6975"/>
    <w:rsid w:val="00BB6D8A"/>
    <w:rsid w:val="00BB70AB"/>
    <w:rsid w:val="00BC1CDF"/>
    <w:rsid w:val="00BC28F3"/>
    <w:rsid w:val="00BC3C6A"/>
    <w:rsid w:val="00BC4048"/>
    <w:rsid w:val="00BC4A3F"/>
    <w:rsid w:val="00BC528E"/>
    <w:rsid w:val="00BC7598"/>
    <w:rsid w:val="00BD183E"/>
    <w:rsid w:val="00BD198F"/>
    <w:rsid w:val="00BD2086"/>
    <w:rsid w:val="00BD2AEC"/>
    <w:rsid w:val="00BD356B"/>
    <w:rsid w:val="00BD6896"/>
    <w:rsid w:val="00BD6BC8"/>
    <w:rsid w:val="00BE055A"/>
    <w:rsid w:val="00BE10B7"/>
    <w:rsid w:val="00BE1697"/>
    <w:rsid w:val="00BE57B1"/>
    <w:rsid w:val="00BE5936"/>
    <w:rsid w:val="00BE5A0C"/>
    <w:rsid w:val="00BE689E"/>
    <w:rsid w:val="00BE7166"/>
    <w:rsid w:val="00BF0589"/>
    <w:rsid w:val="00BF0A37"/>
    <w:rsid w:val="00BF1D81"/>
    <w:rsid w:val="00BF2B63"/>
    <w:rsid w:val="00BF384B"/>
    <w:rsid w:val="00BF4843"/>
    <w:rsid w:val="00BF484D"/>
    <w:rsid w:val="00BF4A7E"/>
    <w:rsid w:val="00BF6FDA"/>
    <w:rsid w:val="00BF7B70"/>
    <w:rsid w:val="00C00BD2"/>
    <w:rsid w:val="00C0226A"/>
    <w:rsid w:val="00C0269A"/>
    <w:rsid w:val="00C02E11"/>
    <w:rsid w:val="00C03A31"/>
    <w:rsid w:val="00C0480F"/>
    <w:rsid w:val="00C0543F"/>
    <w:rsid w:val="00C05562"/>
    <w:rsid w:val="00C07CD7"/>
    <w:rsid w:val="00C07D18"/>
    <w:rsid w:val="00C07E9F"/>
    <w:rsid w:val="00C10F46"/>
    <w:rsid w:val="00C11114"/>
    <w:rsid w:val="00C11D2A"/>
    <w:rsid w:val="00C1237B"/>
    <w:rsid w:val="00C12625"/>
    <w:rsid w:val="00C126CC"/>
    <w:rsid w:val="00C12737"/>
    <w:rsid w:val="00C137C1"/>
    <w:rsid w:val="00C15BF8"/>
    <w:rsid w:val="00C160C2"/>
    <w:rsid w:val="00C16158"/>
    <w:rsid w:val="00C178BB"/>
    <w:rsid w:val="00C17928"/>
    <w:rsid w:val="00C20FFE"/>
    <w:rsid w:val="00C21B75"/>
    <w:rsid w:val="00C21CD0"/>
    <w:rsid w:val="00C2260B"/>
    <w:rsid w:val="00C23249"/>
    <w:rsid w:val="00C26712"/>
    <w:rsid w:val="00C2673E"/>
    <w:rsid w:val="00C273AE"/>
    <w:rsid w:val="00C27B87"/>
    <w:rsid w:val="00C306F7"/>
    <w:rsid w:val="00C32D8B"/>
    <w:rsid w:val="00C333B8"/>
    <w:rsid w:val="00C33BF2"/>
    <w:rsid w:val="00C341A4"/>
    <w:rsid w:val="00C3452D"/>
    <w:rsid w:val="00C34B09"/>
    <w:rsid w:val="00C3644B"/>
    <w:rsid w:val="00C36617"/>
    <w:rsid w:val="00C37652"/>
    <w:rsid w:val="00C40129"/>
    <w:rsid w:val="00C40684"/>
    <w:rsid w:val="00C436E8"/>
    <w:rsid w:val="00C437E2"/>
    <w:rsid w:val="00C444BA"/>
    <w:rsid w:val="00C45542"/>
    <w:rsid w:val="00C46FF3"/>
    <w:rsid w:val="00C4793B"/>
    <w:rsid w:val="00C47DEE"/>
    <w:rsid w:val="00C47F76"/>
    <w:rsid w:val="00C518E8"/>
    <w:rsid w:val="00C52555"/>
    <w:rsid w:val="00C52B0F"/>
    <w:rsid w:val="00C53CD2"/>
    <w:rsid w:val="00C54330"/>
    <w:rsid w:val="00C5737B"/>
    <w:rsid w:val="00C60DC1"/>
    <w:rsid w:val="00C61AEA"/>
    <w:rsid w:val="00C61DDB"/>
    <w:rsid w:val="00C64A31"/>
    <w:rsid w:val="00C67149"/>
    <w:rsid w:val="00C70A0A"/>
    <w:rsid w:val="00C750BA"/>
    <w:rsid w:val="00C755F4"/>
    <w:rsid w:val="00C75A87"/>
    <w:rsid w:val="00C76870"/>
    <w:rsid w:val="00C7703E"/>
    <w:rsid w:val="00C77DB9"/>
    <w:rsid w:val="00C808DC"/>
    <w:rsid w:val="00C820A2"/>
    <w:rsid w:val="00C82CC0"/>
    <w:rsid w:val="00C83AF3"/>
    <w:rsid w:val="00C846A1"/>
    <w:rsid w:val="00C84C30"/>
    <w:rsid w:val="00C85150"/>
    <w:rsid w:val="00C86932"/>
    <w:rsid w:val="00C87069"/>
    <w:rsid w:val="00C9144B"/>
    <w:rsid w:val="00C92084"/>
    <w:rsid w:val="00C9245E"/>
    <w:rsid w:val="00C93242"/>
    <w:rsid w:val="00C936D8"/>
    <w:rsid w:val="00C9437B"/>
    <w:rsid w:val="00C95557"/>
    <w:rsid w:val="00C97672"/>
    <w:rsid w:val="00CA2A15"/>
    <w:rsid w:val="00CA2FCF"/>
    <w:rsid w:val="00CA2FFC"/>
    <w:rsid w:val="00CA3612"/>
    <w:rsid w:val="00CA3B8B"/>
    <w:rsid w:val="00CA4296"/>
    <w:rsid w:val="00CA5652"/>
    <w:rsid w:val="00CA6BBB"/>
    <w:rsid w:val="00CA7F6A"/>
    <w:rsid w:val="00CB03E6"/>
    <w:rsid w:val="00CB0644"/>
    <w:rsid w:val="00CB1F2C"/>
    <w:rsid w:val="00CB20D8"/>
    <w:rsid w:val="00CB24C6"/>
    <w:rsid w:val="00CB254A"/>
    <w:rsid w:val="00CB26BD"/>
    <w:rsid w:val="00CB394E"/>
    <w:rsid w:val="00CB4103"/>
    <w:rsid w:val="00CB5EF5"/>
    <w:rsid w:val="00CB6ABE"/>
    <w:rsid w:val="00CC1328"/>
    <w:rsid w:val="00CC19A3"/>
    <w:rsid w:val="00CC4523"/>
    <w:rsid w:val="00CC535F"/>
    <w:rsid w:val="00CC7E61"/>
    <w:rsid w:val="00CD033C"/>
    <w:rsid w:val="00CD038B"/>
    <w:rsid w:val="00CD1967"/>
    <w:rsid w:val="00CD2F62"/>
    <w:rsid w:val="00CD35E8"/>
    <w:rsid w:val="00CD3733"/>
    <w:rsid w:val="00CD4F15"/>
    <w:rsid w:val="00CD5CCB"/>
    <w:rsid w:val="00CE03EC"/>
    <w:rsid w:val="00CE0C8C"/>
    <w:rsid w:val="00CE194E"/>
    <w:rsid w:val="00CE3392"/>
    <w:rsid w:val="00CE3650"/>
    <w:rsid w:val="00CE4C61"/>
    <w:rsid w:val="00CE4E7A"/>
    <w:rsid w:val="00CE7326"/>
    <w:rsid w:val="00CF0256"/>
    <w:rsid w:val="00CF095E"/>
    <w:rsid w:val="00CF0D83"/>
    <w:rsid w:val="00CF1205"/>
    <w:rsid w:val="00CF12BB"/>
    <w:rsid w:val="00CF31F9"/>
    <w:rsid w:val="00CF5759"/>
    <w:rsid w:val="00CF7BDC"/>
    <w:rsid w:val="00D0048B"/>
    <w:rsid w:val="00D01262"/>
    <w:rsid w:val="00D01702"/>
    <w:rsid w:val="00D01871"/>
    <w:rsid w:val="00D01B88"/>
    <w:rsid w:val="00D02A0C"/>
    <w:rsid w:val="00D056C1"/>
    <w:rsid w:val="00D05E2A"/>
    <w:rsid w:val="00D05FAA"/>
    <w:rsid w:val="00D06B65"/>
    <w:rsid w:val="00D07322"/>
    <w:rsid w:val="00D10584"/>
    <w:rsid w:val="00D11332"/>
    <w:rsid w:val="00D11495"/>
    <w:rsid w:val="00D119BE"/>
    <w:rsid w:val="00D14A4C"/>
    <w:rsid w:val="00D162B9"/>
    <w:rsid w:val="00D16EC5"/>
    <w:rsid w:val="00D1731A"/>
    <w:rsid w:val="00D20890"/>
    <w:rsid w:val="00D21562"/>
    <w:rsid w:val="00D231F0"/>
    <w:rsid w:val="00D241A6"/>
    <w:rsid w:val="00D24C54"/>
    <w:rsid w:val="00D24DDA"/>
    <w:rsid w:val="00D24F57"/>
    <w:rsid w:val="00D25854"/>
    <w:rsid w:val="00D26387"/>
    <w:rsid w:val="00D263D4"/>
    <w:rsid w:val="00D276A4"/>
    <w:rsid w:val="00D31A68"/>
    <w:rsid w:val="00D32257"/>
    <w:rsid w:val="00D327E2"/>
    <w:rsid w:val="00D33237"/>
    <w:rsid w:val="00D334E6"/>
    <w:rsid w:val="00D33E72"/>
    <w:rsid w:val="00D34CF3"/>
    <w:rsid w:val="00D368A3"/>
    <w:rsid w:val="00D36EF1"/>
    <w:rsid w:val="00D37432"/>
    <w:rsid w:val="00D40CDE"/>
    <w:rsid w:val="00D42814"/>
    <w:rsid w:val="00D438C9"/>
    <w:rsid w:val="00D44251"/>
    <w:rsid w:val="00D45C17"/>
    <w:rsid w:val="00D46C79"/>
    <w:rsid w:val="00D500DD"/>
    <w:rsid w:val="00D50EF7"/>
    <w:rsid w:val="00D53339"/>
    <w:rsid w:val="00D54D93"/>
    <w:rsid w:val="00D55EFF"/>
    <w:rsid w:val="00D56FFC"/>
    <w:rsid w:val="00D57CE0"/>
    <w:rsid w:val="00D60D3C"/>
    <w:rsid w:val="00D612B3"/>
    <w:rsid w:val="00D62850"/>
    <w:rsid w:val="00D643FD"/>
    <w:rsid w:val="00D654CA"/>
    <w:rsid w:val="00D65743"/>
    <w:rsid w:val="00D65BB4"/>
    <w:rsid w:val="00D660B9"/>
    <w:rsid w:val="00D660F3"/>
    <w:rsid w:val="00D67D75"/>
    <w:rsid w:val="00D70032"/>
    <w:rsid w:val="00D70819"/>
    <w:rsid w:val="00D7148C"/>
    <w:rsid w:val="00D71DE0"/>
    <w:rsid w:val="00D722B0"/>
    <w:rsid w:val="00D73F1B"/>
    <w:rsid w:val="00D74F78"/>
    <w:rsid w:val="00D75B7E"/>
    <w:rsid w:val="00D76296"/>
    <w:rsid w:val="00D7629A"/>
    <w:rsid w:val="00D776C4"/>
    <w:rsid w:val="00D776FF"/>
    <w:rsid w:val="00D7796B"/>
    <w:rsid w:val="00D77AA4"/>
    <w:rsid w:val="00D80BA8"/>
    <w:rsid w:val="00D813C0"/>
    <w:rsid w:val="00D8165C"/>
    <w:rsid w:val="00D836E2"/>
    <w:rsid w:val="00D83DAE"/>
    <w:rsid w:val="00D848A9"/>
    <w:rsid w:val="00D84D0F"/>
    <w:rsid w:val="00D85626"/>
    <w:rsid w:val="00D85656"/>
    <w:rsid w:val="00D8610C"/>
    <w:rsid w:val="00D920F6"/>
    <w:rsid w:val="00D93A4E"/>
    <w:rsid w:val="00D93A9D"/>
    <w:rsid w:val="00D949D7"/>
    <w:rsid w:val="00D951AD"/>
    <w:rsid w:val="00DA0CC2"/>
    <w:rsid w:val="00DA1398"/>
    <w:rsid w:val="00DA251A"/>
    <w:rsid w:val="00DA3400"/>
    <w:rsid w:val="00DA41B1"/>
    <w:rsid w:val="00DA4E67"/>
    <w:rsid w:val="00DA5FBF"/>
    <w:rsid w:val="00DA635F"/>
    <w:rsid w:val="00DA7C58"/>
    <w:rsid w:val="00DB2D08"/>
    <w:rsid w:val="00DB2FF4"/>
    <w:rsid w:val="00DB34C8"/>
    <w:rsid w:val="00DB3CC4"/>
    <w:rsid w:val="00DB5327"/>
    <w:rsid w:val="00DB65D3"/>
    <w:rsid w:val="00DC12C7"/>
    <w:rsid w:val="00DC1B17"/>
    <w:rsid w:val="00DC1B96"/>
    <w:rsid w:val="00DC23A3"/>
    <w:rsid w:val="00DC4F3B"/>
    <w:rsid w:val="00DC5BE8"/>
    <w:rsid w:val="00DC5E32"/>
    <w:rsid w:val="00DC626F"/>
    <w:rsid w:val="00DC7927"/>
    <w:rsid w:val="00DC7DD0"/>
    <w:rsid w:val="00DD0215"/>
    <w:rsid w:val="00DD0F09"/>
    <w:rsid w:val="00DD2D81"/>
    <w:rsid w:val="00DD40DD"/>
    <w:rsid w:val="00DD47DF"/>
    <w:rsid w:val="00DD6711"/>
    <w:rsid w:val="00DD7BF5"/>
    <w:rsid w:val="00DE1061"/>
    <w:rsid w:val="00DE132E"/>
    <w:rsid w:val="00DE28CC"/>
    <w:rsid w:val="00DE5FBA"/>
    <w:rsid w:val="00DE6028"/>
    <w:rsid w:val="00DE655E"/>
    <w:rsid w:val="00DE6C87"/>
    <w:rsid w:val="00DE78C1"/>
    <w:rsid w:val="00DF155D"/>
    <w:rsid w:val="00DF2857"/>
    <w:rsid w:val="00DF3E0F"/>
    <w:rsid w:val="00DF444F"/>
    <w:rsid w:val="00DF5450"/>
    <w:rsid w:val="00DF5A98"/>
    <w:rsid w:val="00DF680C"/>
    <w:rsid w:val="00DF742F"/>
    <w:rsid w:val="00E03588"/>
    <w:rsid w:val="00E04F80"/>
    <w:rsid w:val="00E068F5"/>
    <w:rsid w:val="00E07F10"/>
    <w:rsid w:val="00E10930"/>
    <w:rsid w:val="00E10E2A"/>
    <w:rsid w:val="00E136BB"/>
    <w:rsid w:val="00E15109"/>
    <w:rsid w:val="00E15D18"/>
    <w:rsid w:val="00E16308"/>
    <w:rsid w:val="00E1738C"/>
    <w:rsid w:val="00E17E8D"/>
    <w:rsid w:val="00E17F55"/>
    <w:rsid w:val="00E20188"/>
    <w:rsid w:val="00E20B7C"/>
    <w:rsid w:val="00E20ECB"/>
    <w:rsid w:val="00E211B5"/>
    <w:rsid w:val="00E21D99"/>
    <w:rsid w:val="00E229CD"/>
    <w:rsid w:val="00E240C8"/>
    <w:rsid w:val="00E24584"/>
    <w:rsid w:val="00E24A56"/>
    <w:rsid w:val="00E250ED"/>
    <w:rsid w:val="00E25728"/>
    <w:rsid w:val="00E27A5B"/>
    <w:rsid w:val="00E27F3B"/>
    <w:rsid w:val="00E27FFC"/>
    <w:rsid w:val="00E30096"/>
    <w:rsid w:val="00E30CE1"/>
    <w:rsid w:val="00E343F3"/>
    <w:rsid w:val="00E34BC3"/>
    <w:rsid w:val="00E35B83"/>
    <w:rsid w:val="00E35C7C"/>
    <w:rsid w:val="00E363A8"/>
    <w:rsid w:val="00E40EAA"/>
    <w:rsid w:val="00E41B3B"/>
    <w:rsid w:val="00E42C83"/>
    <w:rsid w:val="00E42D35"/>
    <w:rsid w:val="00E443DC"/>
    <w:rsid w:val="00E44820"/>
    <w:rsid w:val="00E472B0"/>
    <w:rsid w:val="00E502EA"/>
    <w:rsid w:val="00E517D1"/>
    <w:rsid w:val="00E528B3"/>
    <w:rsid w:val="00E5449E"/>
    <w:rsid w:val="00E544F3"/>
    <w:rsid w:val="00E54656"/>
    <w:rsid w:val="00E54869"/>
    <w:rsid w:val="00E5532B"/>
    <w:rsid w:val="00E55C65"/>
    <w:rsid w:val="00E55FC5"/>
    <w:rsid w:val="00E562BC"/>
    <w:rsid w:val="00E56955"/>
    <w:rsid w:val="00E60990"/>
    <w:rsid w:val="00E61848"/>
    <w:rsid w:val="00E62197"/>
    <w:rsid w:val="00E6239E"/>
    <w:rsid w:val="00E643A2"/>
    <w:rsid w:val="00E64E3F"/>
    <w:rsid w:val="00E66F70"/>
    <w:rsid w:val="00E67163"/>
    <w:rsid w:val="00E67E8A"/>
    <w:rsid w:val="00E71AD1"/>
    <w:rsid w:val="00E721C1"/>
    <w:rsid w:val="00E730D0"/>
    <w:rsid w:val="00E73747"/>
    <w:rsid w:val="00E74296"/>
    <w:rsid w:val="00E743E4"/>
    <w:rsid w:val="00E74A0D"/>
    <w:rsid w:val="00E753C6"/>
    <w:rsid w:val="00E75D74"/>
    <w:rsid w:val="00E76834"/>
    <w:rsid w:val="00E80309"/>
    <w:rsid w:val="00E82B30"/>
    <w:rsid w:val="00E83AE5"/>
    <w:rsid w:val="00E851D1"/>
    <w:rsid w:val="00E858F1"/>
    <w:rsid w:val="00E87EF1"/>
    <w:rsid w:val="00E92091"/>
    <w:rsid w:val="00E9239B"/>
    <w:rsid w:val="00E92A77"/>
    <w:rsid w:val="00E94208"/>
    <w:rsid w:val="00E9444A"/>
    <w:rsid w:val="00E9476F"/>
    <w:rsid w:val="00E95CA7"/>
    <w:rsid w:val="00E96278"/>
    <w:rsid w:val="00E97029"/>
    <w:rsid w:val="00E97388"/>
    <w:rsid w:val="00E9771C"/>
    <w:rsid w:val="00E97C5B"/>
    <w:rsid w:val="00EA072A"/>
    <w:rsid w:val="00EA1C83"/>
    <w:rsid w:val="00EA7EA8"/>
    <w:rsid w:val="00EB202E"/>
    <w:rsid w:val="00EB26AE"/>
    <w:rsid w:val="00EB33FC"/>
    <w:rsid w:val="00EB3FA9"/>
    <w:rsid w:val="00EB4677"/>
    <w:rsid w:val="00EB54C4"/>
    <w:rsid w:val="00EB5FF1"/>
    <w:rsid w:val="00EB6692"/>
    <w:rsid w:val="00EB6A23"/>
    <w:rsid w:val="00EB7873"/>
    <w:rsid w:val="00EC1F8A"/>
    <w:rsid w:val="00EC2006"/>
    <w:rsid w:val="00EC23A3"/>
    <w:rsid w:val="00EC2A22"/>
    <w:rsid w:val="00EC2B4D"/>
    <w:rsid w:val="00EC39CD"/>
    <w:rsid w:val="00EC413E"/>
    <w:rsid w:val="00EC61DE"/>
    <w:rsid w:val="00EC68EB"/>
    <w:rsid w:val="00EC6B65"/>
    <w:rsid w:val="00EC75EC"/>
    <w:rsid w:val="00EC7DF6"/>
    <w:rsid w:val="00ED0F97"/>
    <w:rsid w:val="00ED236A"/>
    <w:rsid w:val="00ED4B2B"/>
    <w:rsid w:val="00ED4E26"/>
    <w:rsid w:val="00ED5324"/>
    <w:rsid w:val="00ED68D9"/>
    <w:rsid w:val="00ED6F51"/>
    <w:rsid w:val="00ED7A14"/>
    <w:rsid w:val="00ED7BFB"/>
    <w:rsid w:val="00EE0AA6"/>
    <w:rsid w:val="00EE0AF8"/>
    <w:rsid w:val="00EE0CD2"/>
    <w:rsid w:val="00EE162E"/>
    <w:rsid w:val="00EE2BD7"/>
    <w:rsid w:val="00EE3446"/>
    <w:rsid w:val="00EE45C3"/>
    <w:rsid w:val="00EE5E2B"/>
    <w:rsid w:val="00EE751F"/>
    <w:rsid w:val="00EE7A2C"/>
    <w:rsid w:val="00EF1576"/>
    <w:rsid w:val="00EF1D00"/>
    <w:rsid w:val="00EF21D4"/>
    <w:rsid w:val="00EF3AEF"/>
    <w:rsid w:val="00EF5B33"/>
    <w:rsid w:val="00EF6747"/>
    <w:rsid w:val="00EF7C89"/>
    <w:rsid w:val="00F00280"/>
    <w:rsid w:val="00F00756"/>
    <w:rsid w:val="00F01593"/>
    <w:rsid w:val="00F019D6"/>
    <w:rsid w:val="00F021D5"/>
    <w:rsid w:val="00F02925"/>
    <w:rsid w:val="00F02A0D"/>
    <w:rsid w:val="00F03A1F"/>
    <w:rsid w:val="00F06234"/>
    <w:rsid w:val="00F0655C"/>
    <w:rsid w:val="00F07A2A"/>
    <w:rsid w:val="00F1133C"/>
    <w:rsid w:val="00F153DE"/>
    <w:rsid w:val="00F15BC4"/>
    <w:rsid w:val="00F2256A"/>
    <w:rsid w:val="00F254EE"/>
    <w:rsid w:val="00F255A2"/>
    <w:rsid w:val="00F32567"/>
    <w:rsid w:val="00F33BE2"/>
    <w:rsid w:val="00F33F48"/>
    <w:rsid w:val="00F34611"/>
    <w:rsid w:val="00F35B15"/>
    <w:rsid w:val="00F35C2B"/>
    <w:rsid w:val="00F3675D"/>
    <w:rsid w:val="00F36E13"/>
    <w:rsid w:val="00F36E95"/>
    <w:rsid w:val="00F370A7"/>
    <w:rsid w:val="00F3722B"/>
    <w:rsid w:val="00F410F5"/>
    <w:rsid w:val="00F4313C"/>
    <w:rsid w:val="00F437EE"/>
    <w:rsid w:val="00F45CFA"/>
    <w:rsid w:val="00F45E56"/>
    <w:rsid w:val="00F4613D"/>
    <w:rsid w:val="00F462AE"/>
    <w:rsid w:val="00F50548"/>
    <w:rsid w:val="00F51AEE"/>
    <w:rsid w:val="00F542A6"/>
    <w:rsid w:val="00F54A2C"/>
    <w:rsid w:val="00F561AA"/>
    <w:rsid w:val="00F60309"/>
    <w:rsid w:val="00F6062A"/>
    <w:rsid w:val="00F62B0F"/>
    <w:rsid w:val="00F638B9"/>
    <w:rsid w:val="00F64324"/>
    <w:rsid w:val="00F64FDC"/>
    <w:rsid w:val="00F6640D"/>
    <w:rsid w:val="00F66411"/>
    <w:rsid w:val="00F668C3"/>
    <w:rsid w:val="00F66CEF"/>
    <w:rsid w:val="00F67042"/>
    <w:rsid w:val="00F672C6"/>
    <w:rsid w:val="00F67B7A"/>
    <w:rsid w:val="00F70447"/>
    <w:rsid w:val="00F70466"/>
    <w:rsid w:val="00F71D59"/>
    <w:rsid w:val="00F71F5F"/>
    <w:rsid w:val="00F74D0E"/>
    <w:rsid w:val="00F750C6"/>
    <w:rsid w:val="00F750DC"/>
    <w:rsid w:val="00F75575"/>
    <w:rsid w:val="00F75F22"/>
    <w:rsid w:val="00F7656A"/>
    <w:rsid w:val="00F76D45"/>
    <w:rsid w:val="00F76FE0"/>
    <w:rsid w:val="00F77CE9"/>
    <w:rsid w:val="00F8180B"/>
    <w:rsid w:val="00F81812"/>
    <w:rsid w:val="00F81ACF"/>
    <w:rsid w:val="00F82ED3"/>
    <w:rsid w:val="00F83050"/>
    <w:rsid w:val="00F84351"/>
    <w:rsid w:val="00F848E5"/>
    <w:rsid w:val="00F86185"/>
    <w:rsid w:val="00F86976"/>
    <w:rsid w:val="00F87F3E"/>
    <w:rsid w:val="00F905B3"/>
    <w:rsid w:val="00F91083"/>
    <w:rsid w:val="00F91683"/>
    <w:rsid w:val="00F92A1F"/>
    <w:rsid w:val="00F93B4E"/>
    <w:rsid w:val="00F94299"/>
    <w:rsid w:val="00F95010"/>
    <w:rsid w:val="00F95D29"/>
    <w:rsid w:val="00F96B4A"/>
    <w:rsid w:val="00F96C9B"/>
    <w:rsid w:val="00FA1814"/>
    <w:rsid w:val="00FA1827"/>
    <w:rsid w:val="00FA298E"/>
    <w:rsid w:val="00FA3445"/>
    <w:rsid w:val="00FA3782"/>
    <w:rsid w:val="00FA3A1B"/>
    <w:rsid w:val="00FA49A5"/>
    <w:rsid w:val="00FA6083"/>
    <w:rsid w:val="00FA721A"/>
    <w:rsid w:val="00FA7BD6"/>
    <w:rsid w:val="00FB036E"/>
    <w:rsid w:val="00FB0664"/>
    <w:rsid w:val="00FB0734"/>
    <w:rsid w:val="00FB2620"/>
    <w:rsid w:val="00FB33BA"/>
    <w:rsid w:val="00FB37E2"/>
    <w:rsid w:val="00FB469C"/>
    <w:rsid w:val="00FB4A6D"/>
    <w:rsid w:val="00FB5753"/>
    <w:rsid w:val="00FB5A99"/>
    <w:rsid w:val="00FB7169"/>
    <w:rsid w:val="00FB7243"/>
    <w:rsid w:val="00FC1328"/>
    <w:rsid w:val="00FC2DEE"/>
    <w:rsid w:val="00FC3930"/>
    <w:rsid w:val="00FC3BE5"/>
    <w:rsid w:val="00FC4079"/>
    <w:rsid w:val="00FC49F9"/>
    <w:rsid w:val="00FC6BAB"/>
    <w:rsid w:val="00FC74ED"/>
    <w:rsid w:val="00FC7AF3"/>
    <w:rsid w:val="00FD031D"/>
    <w:rsid w:val="00FD0E95"/>
    <w:rsid w:val="00FD1FED"/>
    <w:rsid w:val="00FD2310"/>
    <w:rsid w:val="00FD23C6"/>
    <w:rsid w:val="00FD3989"/>
    <w:rsid w:val="00FD417B"/>
    <w:rsid w:val="00FD4B1A"/>
    <w:rsid w:val="00FD551F"/>
    <w:rsid w:val="00FD63A3"/>
    <w:rsid w:val="00FD7876"/>
    <w:rsid w:val="00FD7E69"/>
    <w:rsid w:val="00FE0227"/>
    <w:rsid w:val="00FE05B8"/>
    <w:rsid w:val="00FE0C70"/>
    <w:rsid w:val="00FE16BE"/>
    <w:rsid w:val="00FE32F6"/>
    <w:rsid w:val="00FE3E94"/>
    <w:rsid w:val="00FE4EF6"/>
    <w:rsid w:val="00FE6BEE"/>
    <w:rsid w:val="00FF005B"/>
    <w:rsid w:val="00FF0396"/>
    <w:rsid w:val="00FF087F"/>
    <w:rsid w:val="00FF0A3B"/>
    <w:rsid w:val="00FF21F7"/>
    <w:rsid w:val="00FF35C8"/>
    <w:rsid w:val="00FF4AC1"/>
    <w:rsid w:val="00FF61E5"/>
    <w:rsid w:val="00FF70F6"/>
    <w:rsid w:val="00FF757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4A36A"/>
  <w15:chartTrackingRefBased/>
  <w15:docId w15:val="{2CABE28E-F171-44BF-985F-CC6F97B4E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157E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unhideWhenUsed/>
    <w:qFormat/>
    <w:rsid w:val="00483FC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44549D"/>
    <w:pPr>
      <w:spacing w:after="0" w:line="240" w:lineRule="auto"/>
    </w:pPr>
    <w:rPr>
      <w:sz w:val="20"/>
      <w:szCs w:val="20"/>
    </w:rPr>
  </w:style>
  <w:style w:type="character" w:customStyle="1" w:styleId="NotedebasdepageCar">
    <w:name w:val="Note de bas de page Car"/>
    <w:basedOn w:val="Policepardfaut"/>
    <w:link w:val="Notedebasdepage"/>
    <w:uiPriority w:val="99"/>
    <w:rsid w:val="0044549D"/>
    <w:rPr>
      <w:sz w:val="20"/>
      <w:szCs w:val="20"/>
    </w:rPr>
  </w:style>
  <w:style w:type="character" w:styleId="Appelnotedebasdep">
    <w:name w:val="footnote reference"/>
    <w:basedOn w:val="Policepardfaut"/>
    <w:uiPriority w:val="99"/>
    <w:semiHidden/>
    <w:unhideWhenUsed/>
    <w:rsid w:val="0044549D"/>
    <w:rPr>
      <w:vertAlign w:val="superscript"/>
    </w:rPr>
  </w:style>
  <w:style w:type="paragraph" w:styleId="En-tte">
    <w:name w:val="header"/>
    <w:basedOn w:val="Normal"/>
    <w:link w:val="En-tteCar"/>
    <w:uiPriority w:val="99"/>
    <w:unhideWhenUsed/>
    <w:rsid w:val="003A67AF"/>
    <w:pPr>
      <w:tabs>
        <w:tab w:val="center" w:pos="4536"/>
        <w:tab w:val="right" w:pos="9072"/>
      </w:tabs>
      <w:spacing w:after="0" w:line="240" w:lineRule="auto"/>
    </w:pPr>
  </w:style>
  <w:style w:type="character" w:customStyle="1" w:styleId="En-tteCar">
    <w:name w:val="En-tête Car"/>
    <w:basedOn w:val="Policepardfaut"/>
    <w:link w:val="En-tte"/>
    <w:uiPriority w:val="99"/>
    <w:rsid w:val="003A67AF"/>
  </w:style>
  <w:style w:type="paragraph" w:styleId="Pieddepage">
    <w:name w:val="footer"/>
    <w:basedOn w:val="Normal"/>
    <w:link w:val="PieddepageCar"/>
    <w:uiPriority w:val="99"/>
    <w:unhideWhenUsed/>
    <w:rsid w:val="003A67A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A67AF"/>
  </w:style>
  <w:style w:type="paragraph" w:styleId="Paragraphedeliste">
    <w:name w:val="List Paragraph"/>
    <w:basedOn w:val="Normal"/>
    <w:uiPriority w:val="34"/>
    <w:qFormat/>
    <w:rsid w:val="00723D4E"/>
    <w:pPr>
      <w:ind w:left="720"/>
      <w:contextualSpacing/>
    </w:pPr>
  </w:style>
  <w:style w:type="paragraph" w:customStyle="1" w:styleId="Default">
    <w:name w:val="Default"/>
    <w:rsid w:val="003B789B"/>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6543DD"/>
    <w:rPr>
      <w:rFonts w:ascii="Times New Roman" w:hAnsi="Times New Roman" w:cs="Times New Roman"/>
      <w:sz w:val="24"/>
      <w:szCs w:val="24"/>
    </w:rPr>
  </w:style>
  <w:style w:type="character" w:styleId="Lienhypertexte">
    <w:name w:val="Hyperlink"/>
    <w:basedOn w:val="Policepardfaut"/>
    <w:uiPriority w:val="99"/>
    <w:unhideWhenUsed/>
    <w:rsid w:val="00C9437B"/>
    <w:rPr>
      <w:color w:val="0563C1" w:themeColor="hyperlink"/>
      <w:u w:val="single"/>
    </w:rPr>
  </w:style>
  <w:style w:type="character" w:styleId="Mentionnonrsolue">
    <w:name w:val="Unresolved Mention"/>
    <w:basedOn w:val="Policepardfaut"/>
    <w:uiPriority w:val="99"/>
    <w:semiHidden/>
    <w:unhideWhenUsed/>
    <w:rsid w:val="00C9437B"/>
    <w:rPr>
      <w:color w:val="605E5C"/>
      <w:shd w:val="clear" w:color="auto" w:fill="E1DFDD"/>
    </w:rPr>
  </w:style>
  <w:style w:type="character" w:styleId="Lienhypertextesuivivisit">
    <w:name w:val="FollowedHyperlink"/>
    <w:basedOn w:val="Policepardfaut"/>
    <w:uiPriority w:val="99"/>
    <w:semiHidden/>
    <w:unhideWhenUsed/>
    <w:rsid w:val="00FA7BD6"/>
    <w:rPr>
      <w:color w:val="954F72" w:themeColor="followedHyperlink"/>
      <w:u w:val="single"/>
    </w:rPr>
  </w:style>
  <w:style w:type="table" w:styleId="Grilledutableau">
    <w:name w:val="Table Grid"/>
    <w:basedOn w:val="TableauNormal"/>
    <w:uiPriority w:val="39"/>
    <w:rsid w:val="009F14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fin">
    <w:name w:val="endnote text"/>
    <w:basedOn w:val="Normal"/>
    <w:link w:val="NotedefinCar"/>
    <w:uiPriority w:val="99"/>
    <w:semiHidden/>
    <w:unhideWhenUsed/>
    <w:rsid w:val="00BF0589"/>
    <w:pPr>
      <w:spacing w:after="0" w:line="240" w:lineRule="auto"/>
    </w:pPr>
    <w:rPr>
      <w:sz w:val="20"/>
      <w:szCs w:val="20"/>
    </w:rPr>
  </w:style>
  <w:style w:type="character" w:customStyle="1" w:styleId="NotedefinCar">
    <w:name w:val="Note de fin Car"/>
    <w:basedOn w:val="Policepardfaut"/>
    <w:link w:val="Notedefin"/>
    <w:uiPriority w:val="99"/>
    <w:semiHidden/>
    <w:rsid w:val="00BF0589"/>
    <w:rPr>
      <w:sz w:val="20"/>
      <w:szCs w:val="20"/>
    </w:rPr>
  </w:style>
  <w:style w:type="character" w:styleId="Appeldenotedefin">
    <w:name w:val="endnote reference"/>
    <w:basedOn w:val="Policepardfaut"/>
    <w:uiPriority w:val="99"/>
    <w:semiHidden/>
    <w:unhideWhenUsed/>
    <w:rsid w:val="00BF0589"/>
    <w:rPr>
      <w:vertAlign w:val="superscript"/>
    </w:rPr>
  </w:style>
  <w:style w:type="character" w:styleId="Marquedecommentaire">
    <w:name w:val="annotation reference"/>
    <w:basedOn w:val="Policepardfaut"/>
    <w:uiPriority w:val="99"/>
    <w:semiHidden/>
    <w:unhideWhenUsed/>
    <w:rsid w:val="00D7148C"/>
    <w:rPr>
      <w:sz w:val="16"/>
      <w:szCs w:val="16"/>
    </w:rPr>
  </w:style>
  <w:style w:type="paragraph" w:styleId="Commentaire">
    <w:name w:val="annotation text"/>
    <w:basedOn w:val="Normal"/>
    <w:link w:val="CommentaireCar"/>
    <w:uiPriority w:val="99"/>
    <w:semiHidden/>
    <w:unhideWhenUsed/>
    <w:rsid w:val="00D7148C"/>
    <w:pPr>
      <w:spacing w:line="240" w:lineRule="auto"/>
    </w:pPr>
    <w:rPr>
      <w:sz w:val="20"/>
      <w:szCs w:val="20"/>
    </w:rPr>
  </w:style>
  <w:style w:type="character" w:customStyle="1" w:styleId="CommentaireCar">
    <w:name w:val="Commentaire Car"/>
    <w:basedOn w:val="Policepardfaut"/>
    <w:link w:val="Commentaire"/>
    <w:uiPriority w:val="99"/>
    <w:semiHidden/>
    <w:rsid w:val="00D7148C"/>
    <w:rPr>
      <w:sz w:val="20"/>
      <w:szCs w:val="20"/>
    </w:rPr>
  </w:style>
  <w:style w:type="paragraph" w:styleId="Objetducommentaire">
    <w:name w:val="annotation subject"/>
    <w:basedOn w:val="Commentaire"/>
    <w:next w:val="Commentaire"/>
    <w:link w:val="ObjetducommentaireCar"/>
    <w:uiPriority w:val="99"/>
    <w:semiHidden/>
    <w:unhideWhenUsed/>
    <w:rsid w:val="00D7148C"/>
    <w:rPr>
      <w:b/>
      <w:bCs/>
    </w:rPr>
  </w:style>
  <w:style w:type="character" w:customStyle="1" w:styleId="ObjetducommentaireCar">
    <w:name w:val="Objet du commentaire Car"/>
    <w:basedOn w:val="CommentaireCar"/>
    <w:link w:val="Objetducommentaire"/>
    <w:uiPriority w:val="99"/>
    <w:semiHidden/>
    <w:rsid w:val="00D7148C"/>
    <w:rPr>
      <w:b/>
      <w:bCs/>
      <w:sz w:val="20"/>
      <w:szCs w:val="20"/>
    </w:rPr>
  </w:style>
  <w:style w:type="character" w:customStyle="1" w:styleId="Titre1Car">
    <w:name w:val="Titre 1 Car"/>
    <w:basedOn w:val="Policepardfaut"/>
    <w:link w:val="Titre1"/>
    <w:uiPriority w:val="9"/>
    <w:rsid w:val="00157E30"/>
    <w:rPr>
      <w:rFonts w:asciiTheme="majorHAnsi" w:eastAsiaTheme="majorEastAsia" w:hAnsiTheme="majorHAnsi" w:cstheme="majorBidi"/>
      <w:color w:val="2F5496" w:themeColor="accent1" w:themeShade="BF"/>
      <w:sz w:val="32"/>
      <w:szCs w:val="32"/>
    </w:rPr>
  </w:style>
  <w:style w:type="character" w:customStyle="1" w:styleId="hgkelc">
    <w:name w:val="hgkelc"/>
    <w:basedOn w:val="Policepardfaut"/>
    <w:rsid w:val="00E76834"/>
  </w:style>
  <w:style w:type="paragraph" w:styleId="Rvision">
    <w:name w:val="Revision"/>
    <w:hidden/>
    <w:uiPriority w:val="99"/>
    <w:semiHidden/>
    <w:rsid w:val="00956FB8"/>
    <w:pPr>
      <w:spacing w:after="0" w:line="240" w:lineRule="auto"/>
    </w:pPr>
  </w:style>
  <w:style w:type="paragraph" w:styleId="Listepuces">
    <w:name w:val="List Bullet"/>
    <w:basedOn w:val="Normal"/>
    <w:uiPriority w:val="99"/>
    <w:unhideWhenUsed/>
    <w:rsid w:val="009F09E3"/>
    <w:pPr>
      <w:numPr>
        <w:numId w:val="13"/>
      </w:numPr>
      <w:contextualSpacing/>
    </w:pPr>
  </w:style>
  <w:style w:type="character" w:customStyle="1" w:styleId="Titre3Car">
    <w:name w:val="Titre 3 Car"/>
    <w:basedOn w:val="Policepardfaut"/>
    <w:link w:val="Titre3"/>
    <w:uiPriority w:val="9"/>
    <w:rsid w:val="00483FC6"/>
    <w:rPr>
      <w:rFonts w:asciiTheme="majorHAnsi" w:eastAsiaTheme="majorEastAsia" w:hAnsiTheme="majorHAnsi" w:cstheme="majorBidi"/>
      <w:color w:val="1F3763" w:themeColor="accent1" w:themeShade="7F"/>
      <w:sz w:val="24"/>
      <w:szCs w:val="24"/>
    </w:rPr>
  </w:style>
  <w:style w:type="paragraph" w:customStyle="1" w:styleId="Brvesco-Normal">
    <w:name w:val="BrèvesÉco - Normal"/>
    <w:basedOn w:val="Normal"/>
    <w:uiPriority w:val="99"/>
    <w:rsid w:val="00483FC6"/>
    <w:pPr>
      <w:spacing w:after="0" w:line="260" w:lineRule="exact"/>
      <w:jc w:val="both"/>
    </w:pPr>
    <w:rPr>
      <w:rFonts w:ascii="Marianne" w:hAnsi="Marianne" w:cs="Times New Roman (Corps CS)"/>
      <w:color w:val="1A171B"/>
      <w:sz w:val="20"/>
      <w:szCs w:val="24"/>
    </w:rPr>
  </w:style>
  <w:style w:type="character" w:customStyle="1" w:styleId="whitespace-normal">
    <w:name w:val="whitespace-normal"/>
    <w:basedOn w:val="Policepardfaut"/>
    <w:rsid w:val="001204C6"/>
  </w:style>
  <w:style w:type="character" w:styleId="Accentuation">
    <w:name w:val="Emphasis"/>
    <w:basedOn w:val="Policepardfaut"/>
    <w:uiPriority w:val="20"/>
    <w:qFormat/>
    <w:rsid w:val="00724CA4"/>
    <w:rPr>
      <w:i/>
      <w:iCs/>
    </w:rPr>
  </w:style>
  <w:style w:type="character" w:styleId="lev">
    <w:name w:val="Strong"/>
    <w:basedOn w:val="Policepardfaut"/>
    <w:uiPriority w:val="22"/>
    <w:qFormat/>
    <w:rsid w:val="004B3B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50744">
      <w:bodyDiv w:val="1"/>
      <w:marLeft w:val="0"/>
      <w:marRight w:val="0"/>
      <w:marTop w:val="0"/>
      <w:marBottom w:val="0"/>
      <w:divBdr>
        <w:top w:val="none" w:sz="0" w:space="0" w:color="auto"/>
        <w:left w:val="none" w:sz="0" w:space="0" w:color="auto"/>
        <w:bottom w:val="none" w:sz="0" w:space="0" w:color="auto"/>
        <w:right w:val="none" w:sz="0" w:space="0" w:color="auto"/>
      </w:divBdr>
    </w:div>
    <w:div w:id="144322924">
      <w:bodyDiv w:val="1"/>
      <w:marLeft w:val="0"/>
      <w:marRight w:val="0"/>
      <w:marTop w:val="0"/>
      <w:marBottom w:val="0"/>
      <w:divBdr>
        <w:top w:val="none" w:sz="0" w:space="0" w:color="auto"/>
        <w:left w:val="none" w:sz="0" w:space="0" w:color="auto"/>
        <w:bottom w:val="none" w:sz="0" w:space="0" w:color="auto"/>
        <w:right w:val="none" w:sz="0" w:space="0" w:color="auto"/>
      </w:divBdr>
    </w:div>
    <w:div w:id="178547415">
      <w:bodyDiv w:val="1"/>
      <w:marLeft w:val="0"/>
      <w:marRight w:val="0"/>
      <w:marTop w:val="0"/>
      <w:marBottom w:val="0"/>
      <w:divBdr>
        <w:top w:val="none" w:sz="0" w:space="0" w:color="auto"/>
        <w:left w:val="none" w:sz="0" w:space="0" w:color="auto"/>
        <w:bottom w:val="none" w:sz="0" w:space="0" w:color="auto"/>
        <w:right w:val="none" w:sz="0" w:space="0" w:color="auto"/>
      </w:divBdr>
    </w:div>
    <w:div w:id="248656269">
      <w:bodyDiv w:val="1"/>
      <w:marLeft w:val="0"/>
      <w:marRight w:val="0"/>
      <w:marTop w:val="0"/>
      <w:marBottom w:val="0"/>
      <w:divBdr>
        <w:top w:val="none" w:sz="0" w:space="0" w:color="auto"/>
        <w:left w:val="none" w:sz="0" w:space="0" w:color="auto"/>
        <w:bottom w:val="none" w:sz="0" w:space="0" w:color="auto"/>
        <w:right w:val="none" w:sz="0" w:space="0" w:color="auto"/>
      </w:divBdr>
    </w:div>
    <w:div w:id="253587818">
      <w:bodyDiv w:val="1"/>
      <w:marLeft w:val="0"/>
      <w:marRight w:val="0"/>
      <w:marTop w:val="0"/>
      <w:marBottom w:val="0"/>
      <w:divBdr>
        <w:top w:val="none" w:sz="0" w:space="0" w:color="auto"/>
        <w:left w:val="none" w:sz="0" w:space="0" w:color="auto"/>
        <w:bottom w:val="none" w:sz="0" w:space="0" w:color="auto"/>
        <w:right w:val="none" w:sz="0" w:space="0" w:color="auto"/>
      </w:divBdr>
    </w:div>
    <w:div w:id="261838834">
      <w:bodyDiv w:val="1"/>
      <w:marLeft w:val="0"/>
      <w:marRight w:val="0"/>
      <w:marTop w:val="0"/>
      <w:marBottom w:val="0"/>
      <w:divBdr>
        <w:top w:val="none" w:sz="0" w:space="0" w:color="auto"/>
        <w:left w:val="none" w:sz="0" w:space="0" w:color="auto"/>
        <w:bottom w:val="none" w:sz="0" w:space="0" w:color="auto"/>
        <w:right w:val="none" w:sz="0" w:space="0" w:color="auto"/>
      </w:divBdr>
    </w:div>
    <w:div w:id="274754424">
      <w:bodyDiv w:val="1"/>
      <w:marLeft w:val="0"/>
      <w:marRight w:val="0"/>
      <w:marTop w:val="0"/>
      <w:marBottom w:val="0"/>
      <w:divBdr>
        <w:top w:val="none" w:sz="0" w:space="0" w:color="auto"/>
        <w:left w:val="none" w:sz="0" w:space="0" w:color="auto"/>
        <w:bottom w:val="none" w:sz="0" w:space="0" w:color="auto"/>
        <w:right w:val="none" w:sz="0" w:space="0" w:color="auto"/>
      </w:divBdr>
    </w:div>
    <w:div w:id="354815014">
      <w:bodyDiv w:val="1"/>
      <w:marLeft w:val="0"/>
      <w:marRight w:val="0"/>
      <w:marTop w:val="0"/>
      <w:marBottom w:val="0"/>
      <w:divBdr>
        <w:top w:val="none" w:sz="0" w:space="0" w:color="auto"/>
        <w:left w:val="none" w:sz="0" w:space="0" w:color="auto"/>
        <w:bottom w:val="none" w:sz="0" w:space="0" w:color="auto"/>
        <w:right w:val="none" w:sz="0" w:space="0" w:color="auto"/>
      </w:divBdr>
    </w:div>
    <w:div w:id="379676228">
      <w:bodyDiv w:val="1"/>
      <w:marLeft w:val="0"/>
      <w:marRight w:val="0"/>
      <w:marTop w:val="0"/>
      <w:marBottom w:val="0"/>
      <w:divBdr>
        <w:top w:val="none" w:sz="0" w:space="0" w:color="auto"/>
        <w:left w:val="none" w:sz="0" w:space="0" w:color="auto"/>
        <w:bottom w:val="none" w:sz="0" w:space="0" w:color="auto"/>
        <w:right w:val="none" w:sz="0" w:space="0" w:color="auto"/>
      </w:divBdr>
    </w:div>
    <w:div w:id="405760346">
      <w:bodyDiv w:val="1"/>
      <w:marLeft w:val="0"/>
      <w:marRight w:val="0"/>
      <w:marTop w:val="0"/>
      <w:marBottom w:val="0"/>
      <w:divBdr>
        <w:top w:val="none" w:sz="0" w:space="0" w:color="auto"/>
        <w:left w:val="none" w:sz="0" w:space="0" w:color="auto"/>
        <w:bottom w:val="none" w:sz="0" w:space="0" w:color="auto"/>
        <w:right w:val="none" w:sz="0" w:space="0" w:color="auto"/>
      </w:divBdr>
    </w:div>
    <w:div w:id="482355206">
      <w:bodyDiv w:val="1"/>
      <w:marLeft w:val="0"/>
      <w:marRight w:val="0"/>
      <w:marTop w:val="0"/>
      <w:marBottom w:val="0"/>
      <w:divBdr>
        <w:top w:val="none" w:sz="0" w:space="0" w:color="auto"/>
        <w:left w:val="none" w:sz="0" w:space="0" w:color="auto"/>
        <w:bottom w:val="none" w:sz="0" w:space="0" w:color="auto"/>
        <w:right w:val="none" w:sz="0" w:space="0" w:color="auto"/>
      </w:divBdr>
      <w:divsChild>
        <w:div w:id="1520779281">
          <w:marLeft w:val="0"/>
          <w:marRight w:val="0"/>
          <w:marTop w:val="0"/>
          <w:marBottom w:val="0"/>
          <w:divBdr>
            <w:top w:val="single" w:sz="2" w:space="0" w:color="auto"/>
            <w:left w:val="single" w:sz="2" w:space="0" w:color="auto"/>
            <w:bottom w:val="single" w:sz="2" w:space="0" w:color="auto"/>
            <w:right w:val="single" w:sz="2" w:space="0" w:color="auto"/>
          </w:divBdr>
          <w:divsChild>
            <w:div w:id="261108412">
              <w:marLeft w:val="0"/>
              <w:marRight w:val="0"/>
              <w:marTop w:val="0"/>
              <w:marBottom w:val="0"/>
              <w:divBdr>
                <w:top w:val="single" w:sz="2" w:space="0" w:color="auto"/>
                <w:left w:val="single" w:sz="2" w:space="0" w:color="auto"/>
                <w:bottom w:val="single" w:sz="2" w:space="0" w:color="auto"/>
                <w:right w:val="single" w:sz="2" w:space="0" w:color="auto"/>
              </w:divBdr>
              <w:divsChild>
                <w:div w:id="1145046554">
                  <w:marLeft w:val="0"/>
                  <w:marRight w:val="0"/>
                  <w:marTop w:val="0"/>
                  <w:marBottom w:val="0"/>
                  <w:divBdr>
                    <w:top w:val="single" w:sz="2" w:space="18" w:color="auto"/>
                    <w:left w:val="single" w:sz="2" w:space="18" w:color="auto"/>
                    <w:bottom w:val="single" w:sz="2" w:space="18" w:color="auto"/>
                    <w:right w:val="single" w:sz="2" w:space="18" w:color="auto"/>
                  </w:divBdr>
                  <w:divsChild>
                    <w:div w:id="1466700539">
                      <w:marLeft w:val="0"/>
                      <w:marRight w:val="0"/>
                      <w:marTop w:val="0"/>
                      <w:marBottom w:val="0"/>
                      <w:divBdr>
                        <w:top w:val="single" w:sz="2" w:space="0" w:color="auto"/>
                        <w:left w:val="single" w:sz="2" w:space="0" w:color="auto"/>
                        <w:bottom w:val="single" w:sz="2" w:space="0" w:color="auto"/>
                        <w:right w:val="single" w:sz="2" w:space="0" w:color="auto"/>
                      </w:divBdr>
                      <w:divsChild>
                        <w:div w:id="125397081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973829005">
          <w:marLeft w:val="0"/>
          <w:marRight w:val="0"/>
          <w:marTop w:val="0"/>
          <w:marBottom w:val="0"/>
          <w:divBdr>
            <w:top w:val="single" w:sz="2" w:space="0" w:color="auto"/>
            <w:left w:val="single" w:sz="2" w:space="0" w:color="auto"/>
            <w:bottom w:val="single" w:sz="2" w:space="0" w:color="auto"/>
            <w:right w:val="single" w:sz="2" w:space="0" w:color="auto"/>
          </w:divBdr>
          <w:divsChild>
            <w:div w:id="485825392">
              <w:marLeft w:val="0"/>
              <w:marRight w:val="0"/>
              <w:marTop w:val="0"/>
              <w:marBottom w:val="0"/>
              <w:divBdr>
                <w:top w:val="single" w:sz="2" w:space="0" w:color="auto"/>
                <w:left w:val="single" w:sz="2" w:space="0" w:color="auto"/>
                <w:bottom w:val="single" w:sz="2" w:space="0" w:color="auto"/>
                <w:right w:val="single" w:sz="2" w:space="0" w:color="auto"/>
              </w:divBdr>
              <w:divsChild>
                <w:div w:id="1648322451">
                  <w:marLeft w:val="0"/>
                  <w:marRight w:val="0"/>
                  <w:marTop w:val="0"/>
                  <w:marBottom w:val="0"/>
                  <w:divBdr>
                    <w:top w:val="single" w:sz="2" w:space="18" w:color="auto"/>
                    <w:left w:val="single" w:sz="2" w:space="18" w:color="auto"/>
                    <w:bottom w:val="single" w:sz="2" w:space="18" w:color="auto"/>
                    <w:right w:val="single" w:sz="2" w:space="18" w:color="auto"/>
                  </w:divBdr>
                  <w:divsChild>
                    <w:div w:id="15097097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546337038">
      <w:bodyDiv w:val="1"/>
      <w:marLeft w:val="0"/>
      <w:marRight w:val="0"/>
      <w:marTop w:val="0"/>
      <w:marBottom w:val="0"/>
      <w:divBdr>
        <w:top w:val="none" w:sz="0" w:space="0" w:color="auto"/>
        <w:left w:val="none" w:sz="0" w:space="0" w:color="auto"/>
        <w:bottom w:val="none" w:sz="0" w:space="0" w:color="auto"/>
        <w:right w:val="none" w:sz="0" w:space="0" w:color="auto"/>
      </w:divBdr>
      <w:divsChild>
        <w:div w:id="1179150511">
          <w:marLeft w:val="0"/>
          <w:marRight w:val="0"/>
          <w:marTop w:val="0"/>
          <w:marBottom w:val="0"/>
          <w:divBdr>
            <w:top w:val="none" w:sz="0" w:space="0" w:color="auto"/>
            <w:left w:val="none" w:sz="0" w:space="0" w:color="auto"/>
            <w:bottom w:val="none" w:sz="0" w:space="0" w:color="auto"/>
            <w:right w:val="none" w:sz="0" w:space="0" w:color="auto"/>
          </w:divBdr>
          <w:divsChild>
            <w:div w:id="1711145422">
              <w:marLeft w:val="0"/>
              <w:marRight w:val="0"/>
              <w:marTop w:val="0"/>
              <w:marBottom w:val="0"/>
              <w:divBdr>
                <w:top w:val="none" w:sz="0" w:space="0" w:color="auto"/>
                <w:left w:val="none" w:sz="0" w:space="0" w:color="auto"/>
                <w:bottom w:val="none" w:sz="0" w:space="0" w:color="auto"/>
                <w:right w:val="none" w:sz="0" w:space="0" w:color="auto"/>
              </w:divBdr>
              <w:divsChild>
                <w:div w:id="2002463016">
                  <w:marLeft w:val="0"/>
                  <w:marRight w:val="0"/>
                  <w:marTop w:val="0"/>
                  <w:marBottom w:val="0"/>
                  <w:divBdr>
                    <w:top w:val="none" w:sz="0" w:space="0" w:color="auto"/>
                    <w:left w:val="none" w:sz="0" w:space="0" w:color="auto"/>
                    <w:bottom w:val="none" w:sz="0" w:space="0" w:color="auto"/>
                    <w:right w:val="none" w:sz="0" w:space="0" w:color="auto"/>
                  </w:divBdr>
                  <w:divsChild>
                    <w:div w:id="1032389598">
                      <w:marLeft w:val="0"/>
                      <w:marRight w:val="0"/>
                      <w:marTop w:val="0"/>
                      <w:marBottom w:val="0"/>
                      <w:divBdr>
                        <w:top w:val="none" w:sz="0" w:space="0" w:color="auto"/>
                        <w:left w:val="none" w:sz="0" w:space="0" w:color="auto"/>
                        <w:bottom w:val="none" w:sz="0" w:space="0" w:color="auto"/>
                        <w:right w:val="none" w:sz="0" w:space="0" w:color="auto"/>
                      </w:divBdr>
                      <w:divsChild>
                        <w:div w:id="1725519706">
                          <w:marLeft w:val="0"/>
                          <w:marRight w:val="0"/>
                          <w:marTop w:val="0"/>
                          <w:marBottom w:val="0"/>
                          <w:divBdr>
                            <w:top w:val="none" w:sz="0" w:space="0" w:color="auto"/>
                            <w:left w:val="none" w:sz="0" w:space="0" w:color="auto"/>
                            <w:bottom w:val="none" w:sz="0" w:space="0" w:color="auto"/>
                            <w:right w:val="none" w:sz="0" w:space="0" w:color="auto"/>
                          </w:divBdr>
                          <w:divsChild>
                            <w:div w:id="244799947">
                              <w:marLeft w:val="0"/>
                              <w:marRight w:val="0"/>
                              <w:marTop w:val="0"/>
                              <w:marBottom w:val="0"/>
                              <w:divBdr>
                                <w:top w:val="none" w:sz="0" w:space="0" w:color="auto"/>
                                <w:left w:val="none" w:sz="0" w:space="0" w:color="auto"/>
                                <w:bottom w:val="none" w:sz="0" w:space="0" w:color="auto"/>
                                <w:right w:val="none" w:sz="0" w:space="0" w:color="auto"/>
                              </w:divBdr>
                              <w:divsChild>
                                <w:div w:id="959266590">
                                  <w:marLeft w:val="0"/>
                                  <w:marRight w:val="0"/>
                                  <w:marTop w:val="0"/>
                                  <w:marBottom w:val="0"/>
                                  <w:divBdr>
                                    <w:top w:val="none" w:sz="0" w:space="0" w:color="auto"/>
                                    <w:left w:val="none" w:sz="0" w:space="0" w:color="auto"/>
                                    <w:bottom w:val="none" w:sz="0" w:space="0" w:color="auto"/>
                                    <w:right w:val="none" w:sz="0" w:space="0" w:color="auto"/>
                                  </w:divBdr>
                                  <w:divsChild>
                                    <w:div w:id="36991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7569382">
      <w:bodyDiv w:val="1"/>
      <w:marLeft w:val="0"/>
      <w:marRight w:val="0"/>
      <w:marTop w:val="0"/>
      <w:marBottom w:val="0"/>
      <w:divBdr>
        <w:top w:val="none" w:sz="0" w:space="0" w:color="auto"/>
        <w:left w:val="none" w:sz="0" w:space="0" w:color="auto"/>
        <w:bottom w:val="none" w:sz="0" w:space="0" w:color="auto"/>
        <w:right w:val="none" w:sz="0" w:space="0" w:color="auto"/>
      </w:divBdr>
      <w:divsChild>
        <w:div w:id="697849319">
          <w:marLeft w:val="0"/>
          <w:marRight w:val="0"/>
          <w:marTop w:val="0"/>
          <w:marBottom w:val="0"/>
          <w:divBdr>
            <w:top w:val="none" w:sz="0" w:space="0" w:color="auto"/>
            <w:left w:val="none" w:sz="0" w:space="0" w:color="auto"/>
            <w:bottom w:val="none" w:sz="0" w:space="0" w:color="auto"/>
            <w:right w:val="none" w:sz="0" w:space="0" w:color="auto"/>
          </w:divBdr>
          <w:divsChild>
            <w:div w:id="799225898">
              <w:marLeft w:val="0"/>
              <w:marRight w:val="0"/>
              <w:marTop w:val="0"/>
              <w:marBottom w:val="0"/>
              <w:divBdr>
                <w:top w:val="none" w:sz="0" w:space="0" w:color="auto"/>
                <w:left w:val="none" w:sz="0" w:space="0" w:color="auto"/>
                <w:bottom w:val="none" w:sz="0" w:space="0" w:color="auto"/>
                <w:right w:val="none" w:sz="0" w:space="0" w:color="auto"/>
              </w:divBdr>
              <w:divsChild>
                <w:div w:id="142403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22568">
      <w:bodyDiv w:val="1"/>
      <w:marLeft w:val="0"/>
      <w:marRight w:val="0"/>
      <w:marTop w:val="0"/>
      <w:marBottom w:val="0"/>
      <w:divBdr>
        <w:top w:val="none" w:sz="0" w:space="0" w:color="auto"/>
        <w:left w:val="none" w:sz="0" w:space="0" w:color="auto"/>
        <w:bottom w:val="none" w:sz="0" w:space="0" w:color="auto"/>
        <w:right w:val="none" w:sz="0" w:space="0" w:color="auto"/>
      </w:divBdr>
    </w:div>
    <w:div w:id="669715004">
      <w:bodyDiv w:val="1"/>
      <w:marLeft w:val="0"/>
      <w:marRight w:val="0"/>
      <w:marTop w:val="0"/>
      <w:marBottom w:val="0"/>
      <w:divBdr>
        <w:top w:val="none" w:sz="0" w:space="0" w:color="auto"/>
        <w:left w:val="none" w:sz="0" w:space="0" w:color="auto"/>
        <w:bottom w:val="none" w:sz="0" w:space="0" w:color="auto"/>
        <w:right w:val="none" w:sz="0" w:space="0" w:color="auto"/>
      </w:divBdr>
    </w:div>
    <w:div w:id="873469654">
      <w:bodyDiv w:val="1"/>
      <w:marLeft w:val="0"/>
      <w:marRight w:val="0"/>
      <w:marTop w:val="0"/>
      <w:marBottom w:val="0"/>
      <w:divBdr>
        <w:top w:val="none" w:sz="0" w:space="0" w:color="auto"/>
        <w:left w:val="none" w:sz="0" w:space="0" w:color="auto"/>
        <w:bottom w:val="none" w:sz="0" w:space="0" w:color="auto"/>
        <w:right w:val="none" w:sz="0" w:space="0" w:color="auto"/>
      </w:divBdr>
    </w:div>
    <w:div w:id="988023225">
      <w:bodyDiv w:val="1"/>
      <w:marLeft w:val="0"/>
      <w:marRight w:val="0"/>
      <w:marTop w:val="0"/>
      <w:marBottom w:val="0"/>
      <w:divBdr>
        <w:top w:val="none" w:sz="0" w:space="0" w:color="auto"/>
        <w:left w:val="none" w:sz="0" w:space="0" w:color="auto"/>
        <w:bottom w:val="none" w:sz="0" w:space="0" w:color="auto"/>
        <w:right w:val="none" w:sz="0" w:space="0" w:color="auto"/>
      </w:divBdr>
    </w:div>
    <w:div w:id="1034188556">
      <w:bodyDiv w:val="1"/>
      <w:marLeft w:val="0"/>
      <w:marRight w:val="0"/>
      <w:marTop w:val="0"/>
      <w:marBottom w:val="0"/>
      <w:divBdr>
        <w:top w:val="none" w:sz="0" w:space="0" w:color="auto"/>
        <w:left w:val="none" w:sz="0" w:space="0" w:color="auto"/>
        <w:bottom w:val="none" w:sz="0" w:space="0" w:color="auto"/>
        <w:right w:val="none" w:sz="0" w:space="0" w:color="auto"/>
      </w:divBdr>
      <w:divsChild>
        <w:div w:id="338434552">
          <w:marLeft w:val="0"/>
          <w:marRight w:val="0"/>
          <w:marTop w:val="0"/>
          <w:marBottom w:val="0"/>
          <w:divBdr>
            <w:top w:val="none" w:sz="0" w:space="0" w:color="auto"/>
            <w:left w:val="none" w:sz="0" w:space="0" w:color="auto"/>
            <w:bottom w:val="none" w:sz="0" w:space="0" w:color="auto"/>
            <w:right w:val="none" w:sz="0" w:space="0" w:color="auto"/>
          </w:divBdr>
          <w:divsChild>
            <w:div w:id="1376781630">
              <w:marLeft w:val="0"/>
              <w:marRight w:val="0"/>
              <w:marTop w:val="0"/>
              <w:marBottom w:val="0"/>
              <w:divBdr>
                <w:top w:val="none" w:sz="0" w:space="0" w:color="auto"/>
                <w:left w:val="none" w:sz="0" w:space="0" w:color="auto"/>
                <w:bottom w:val="none" w:sz="0" w:space="0" w:color="auto"/>
                <w:right w:val="none" w:sz="0" w:space="0" w:color="auto"/>
              </w:divBdr>
              <w:divsChild>
                <w:div w:id="1568220945">
                  <w:marLeft w:val="0"/>
                  <w:marRight w:val="0"/>
                  <w:marTop w:val="0"/>
                  <w:marBottom w:val="0"/>
                  <w:divBdr>
                    <w:top w:val="none" w:sz="0" w:space="0" w:color="auto"/>
                    <w:left w:val="none" w:sz="0" w:space="0" w:color="auto"/>
                    <w:bottom w:val="none" w:sz="0" w:space="0" w:color="auto"/>
                    <w:right w:val="none" w:sz="0" w:space="0" w:color="auto"/>
                  </w:divBdr>
                  <w:divsChild>
                    <w:div w:id="917401143">
                      <w:marLeft w:val="0"/>
                      <w:marRight w:val="0"/>
                      <w:marTop w:val="0"/>
                      <w:marBottom w:val="0"/>
                      <w:divBdr>
                        <w:top w:val="none" w:sz="0" w:space="0" w:color="auto"/>
                        <w:left w:val="none" w:sz="0" w:space="0" w:color="auto"/>
                        <w:bottom w:val="none" w:sz="0" w:space="0" w:color="auto"/>
                        <w:right w:val="none" w:sz="0" w:space="0" w:color="auto"/>
                      </w:divBdr>
                      <w:divsChild>
                        <w:div w:id="1218665697">
                          <w:marLeft w:val="0"/>
                          <w:marRight w:val="0"/>
                          <w:marTop w:val="0"/>
                          <w:marBottom w:val="0"/>
                          <w:divBdr>
                            <w:top w:val="none" w:sz="0" w:space="0" w:color="auto"/>
                            <w:left w:val="none" w:sz="0" w:space="0" w:color="auto"/>
                            <w:bottom w:val="none" w:sz="0" w:space="0" w:color="auto"/>
                            <w:right w:val="none" w:sz="0" w:space="0" w:color="auto"/>
                          </w:divBdr>
                          <w:divsChild>
                            <w:div w:id="575241603">
                              <w:marLeft w:val="0"/>
                              <w:marRight w:val="0"/>
                              <w:marTop w:val="0"/>
                              <w:marBottom w:val="0"/>
                              <w:divBdr>
                                <w:top w:val="none" w:sz="0" w:space="0" w:color="auto"/>
                                <w:left w:val="none" w:sz="0" w:space="0" w:color="auto"/>
                                <w:bottom w:val="none" w:sz="0" w:space="0" w:color="auto"/>
                                <w:right w:val="none" w:sz="0" w:space="0" w:color="auto"/>
                              </w:divBdr>
                              <w:divsChild>
                                <w:div w:id="1686664031">
                                  <w:marLeft w:val="0"/>
                                  <w:marRight w:val="0"/>
                                  <w:marTop w:val="0"/>
                                  <w:marBottom w:val="0"/>
                                  <w:divBdr>
                                    <w:top w:val="none" w:sz="0" w:space="0" w:color="auto"/>
                                    <w:left w:val="none" w:sz="0" w:space="0" w:color="auto"/>
                                    <w:bottom w:val="none" w:sz="0" w:space="0" w:color="auto"/>
                                    <w:right w:val="none" w:sz="0" w:space="0" w:color="auto"/>
                                  </w:divBdr>
                                  <w:divsChild>
                                    <w:div w:id="24222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8139731">
      <w:bodyDiv w:val="1"/>
      <w:marLeft w:val="0"/>
      <w:marRight w:val="0"/>
      <w:marTop w:val="0"/>
      <w:marBottom w:val="0"/>
      <w:divBdr>
        <w:top w:val="none" w:sz="0" w:space="0" w:color="auto"/>
        <w:left w:val="none" w:sz="0" w:space="0" w:color="auto"/>
        <w:bottom w:val="none" w:sz="0" w:space="0" w:color="auto"/>
        <w:right w:val="none" w:sz="0" w:space="0" w:color="auto"/>
      </w:divBdr>
    </w:div>
    <w:div w:id="1194229028">
      <w:bodyDiv w:val="1"/>
      <w:marLeft w:val="0"/>
      <w:marRight w:val="0"/>
      <w:marTop w:val="0"/>
      <w:marBottom w:val="0"/>
      <w:divBdr>
        <w:top w:val="none" w:sz="0" w:space="0" w:color="auto"/>
        <w:left w:val="none" w:sz="0" w:space="0" w:color="auto"/>
        <w:bottom w:val="none" w:sz="0" w:space="0" w:color="auto"/>
        <w:right w:val="none" w:sz="0" w:space="0" w:color="auto"/>
      </w:divBdr>
    </w:div>
    <w:div w:id="1255162057">
      <w:bodyDiv w:val="1"/>
      <w:marLeft w:val="0"/>
      <w:marRight w:val="0"/>
      <w:marTop w:val="0"/>
      <w:marBottom w:val="0"/>
      <w:divBdr>
        <w:top w:val="none" w:sz="0" w:space="0" w:color="auto"/>
        <w:left w:val="none" w:sz="0" w:space="0" w:color="auto"/>
        <w:bottom w:val="none" w:sz="0" w:space="0" w:color="auto"/>
        <w:right w:val="none" w:sz="0" w:space="0" w:color="auto"/>
      </w:divBdr>
      <w:divsChild>
        <w:div w:id="1806072502">
          <w:marLeft w:val="0"/>
          <w:marRight w:val="0"/>
          <w:marTop w:val="0"/>
          <w:marBottom w:val="0"/>
          <w:divBdr>
            <w:top w:val="none" w:sz="0" w:space="0" w:color="auto"/>
            <w:left w:val="none" w:sz="0" w:space="0" w:color="auto"/>
            <w:bottom w:val="none" w:sz="0" w:space="0" w:color="auto"/>
            <w:right w:val="none" w:sz="0" w:space="0" w:color="auto"/>
          </w:divBdr>
          <w:divsChild>
            <w:div w:id="193008774">
              <w:marLeft w:val="0"/>
              <w:marRight w:val="0"/>
              <w:marTop w:val="0"/>
              <w:marBottom w:val="0"/>
              <w:divBdr>
                <w:top w:val="none" w:sz="0" w:space="0" w:color="auto"/>
                <w:left w:val="none" w:sz="0" w:space="0" w:color="auto"/>
                <w:bottom w:val="none" w:sz="0" w:space="0" w:color="auto"/>
                <w:right w:val="none" w:sz="0" w:space="0" w:color="auto"/>
              </w:divBdr>
              <w:divsChild>
                <w:div w:id="1304122284">
                  <w:marLeft w:val="0"/>
                  <w:marRight w:val="0"/>
                  <w:marTop w:val="0"/>
                  <w:marBottom w:val="0"/>
                  <w:divBdr>
                    <w:top w:val="none" w:sz="0" w:space="0" w:color="auto"/>
                    <w:left w:val="none" w:sz="0" w:space="0" w:color="auto"/>
                    <w:bottom w:val="none" w:sz="0" w:space="0" w:color="auto"/>
                    <w:right w:val="none" w:sz="0" w:space="0" w:color="auto"/>
                  </w:divBdr>
                  <w:divsChild>
                    <w:div w:id="849098791">
                      <w:marLeft w:val="0"/>
                      <w:marRight w:val="0"/>
                      <w:marTop w:val="0"/>
                      <w:marBottom w:val="0"/>
                      <w:divBdr>
                        <w:top w:val="none" w:sz="0" w:space="0" w:color="auto"/>
                        <w:left w:val="none" w:sz="0" w:space="0" w:color="auto"/>
                        <w:bottom w:val="none" w:sz="0" w:space="0" w:color="auto"/>
                        <w:right w:val="none" w:sz="0" w:space="0" w:color="auto"/>
                      </w:divBdr>
                      <w:divsChild>
                        <w:div w:id="1586456324">
                          <w:marLeft w:val="0"/>
                          <w:marRight w:val="0"/>
                          <w:marTop w:val="0"/>
                          <w:marBottom w:val="0"/>
                          <w:divBdr>
                            <w:top w:val="none" w:sz="0" w:space="0" w:color="auto"/>
                            <w:left w:val="none" w:sz="0" w:space="0" w:color="auto"/>
                            <w:bottom w:val="none" w:sz="0" w:space="0" w:color="auto"/>
                            <w:right w:val="none" w:sz="0" w:space="0" w:color="auto"/>
                          </w:divBdr>
                          <w:divsChild>
                            <w:div w:id="1562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7597463">
      <w:bodyDiv w:val="1"/>
      <w:marLeft w:val="0"/>
      <w:marRight w:val="0"/>
      <w:marTop w:val="0"/>
      <w:marBottom w:val="0"/>
      <w:divBdr>
        <w:top w:val="none" w:sz="0" w:space="0" w:color="auto"/>
        <w:left w:val="none" w:sz="0" w:space="0" w:color="auto"/>
        <w:bottom w:val="none" w:sz="0" w:space="0" w:color="auto"/>
        <w:right w:val="none" w:sz="0" w:space="0" w:color="auto"/>
      </w:divBdr>
    </w:div>
    <w:div w:id="1302923335">
      <w:bodyDiv w:val="1"/>
      <w:marLeft w:val="0"/>
      <w:marRight w:val="0"/>
      <w:marTop w:val="0"/>
      <w:marBottom w:val="0"/>
      <w:divBdr>
        <w:top w:val="none" w:sz="0" w:space="0" w:color="auto"/>
        <w:left w:val="none" w:sz="0" w:space="0" w:color="auto"/>
        <w:bottom w:val="none" w:sz="0" w:space="0" w:color="auto"/>
        <w:right w:val="none" w:sz="0" w:space="0" w:color="auto"/>
      </w:divBdr>
    </w:div>
    <w:div w:id="1338460701">
      <w:bodyDiv w:val="1"/>
      <w:marLeft w:val="0"/>
      <w:marRight w:val="0"/>
      <w:marTop w:val="0"/>
      <w:marBottom w:val="0"/>
      <w:divBdr>
        <w:top w:val="none" w:sz="0" w:space="0" w:color="auto"/>
        <w:left w:val="none" w:sz="0" w:space="0" w:color="auto"/>
        <w:bottom w:val="none" w:sz="0" w:space="0" w:color="auto"/>
        <w:right w:val="none" w:sz="0" w:space="0" w:color="auto"/>
      </w:divBdr>
    </w:div>
    <w:div w:id="1358658515">
      <w:bodyDiv w:val="1"/>
      <w:marLeft w:val="0"/>
      <w:marRight w:val="0"/>
      <w:marTop w:val="0"/>
      <w:marBottom w:val="0"/>
      <w:divBdr>
        <w:top w:val="none" w:sz="0" w:space="0" w:color="auto"/>
        <w:left w:val="none" w:sz="0" w:space="0" w:color="auto"/>
        <w:bottom w:val="none" w:sz="0" w:space="0" w:color="auto"/>
        <w:right w:val="none" w:sz="0" w:space="0" w:color="auto"/>
      </w:divBdr>
    </w:div>
    <w:div w:id="1364016271">
      <w:bodyDiv w:val="1"/>
      <w:marLeft w:val="0"/>
      <w:marRight w:val="0"/>
      <w:marTop w:val="0"/>
      <w:marBottom w:val="0"/>
      <w:divBdr>
        <w:top w:val="none" w:sz="0" w:space="0" w:color="auto"/>
        <w:left w:val="none" w:sz="0" w:space="0" w:color="auto"/>
        <w:bottom w:val="none" w:sz="0" w:space="0" w:color="auto"/>
        <w:right w:val="none" w:sz="0" w:space="0" w:color="auto"/>
      </w:divBdr>
    </w:div>
    <w:div w:id="1367871503">
      <w:bodyDiv w:val="1"/>
      <w:marLeft w:val="0"/>
      <w:marRight w:val="0"/>
      <w:marTop w:val="0"/>
      <w:marBottom w:val="0"/>
      <w:divBdr>
        <w:top w:val="none" w:sz="0" w:space="0" w:color="auto"/>
        <w:left w:val="none" w:sz="0" w:space="0" w:color="auto"/>
        <w:bottom w:val="none" w:sz="0" w:space="0" w:color="auto"/>
        <w:right w:val="none" w:sz="0" w:space="0" w:color="auto"/>
      </w:divBdr>
    </w:div>
    <w:div w:id="1430613674">
      <w:bodyDiv w:val="1"/>
      <w:marLeft w:val="0"/>
      <w:marRight w:val="0"/>
      <w:marTop w:val="0"/>
      <w:marBottom w:val="0"/>
      <w:divBdr>
        <w:top w:val="none" w:sz="0" w:space="0" w:color="auto"/>
        <w:left w:val="none" w:sz="0" w:space="0" w:color="auto"/>
        <w:bottom w:val="none" w:sz="0" w:space="0" w:color="auto"/>
        <w:right w:val="none" w:sz="0" w:space="0" w:color="auto"/>
      </w:divBdr>
      <w:divsChild>
        <w:div w:id="866064388">
          <w:marLeft w:val="0"/>
          <w:marRight w:val="0"/>
          <w:marTop w:val="0"/>
          <w:marBottom w:val="0"/>
          <w:divBdr>
            <w:top w:val="none" w:sz="0" w:space="0" w:color="auto"/>
            <w:left w:val="none" w:sz="0" w:space="0" w:color="auto"/>
            <w:bottom w:val="none" w:sz="0" w:space="0" w:color="auto"/>
            <w:right w:val="none" w:sz="0" w:space="0" w:color="auto"/>
          </w:divBdr>
          <w:divsChild>
            <w:div w:id="445466580">
              <w:marLeft w:val="0"/>
              <w:marRight w:val="0"/>
              <w:marTop w:val="0"/>
              <w:marBottom w:val="0"/>
              <w:divBdr>
                <w:top w:val="none" w:sz="0" w:space="0" w:color="auto"/>
                <w:left w:val="none" w:sz="0" w:space="0" w:color="auto"/>
                <w:bottom w:val="none" w:sz="0" w:space="0" w:color="auto"/>
                <w:right w:val="none" w:sz="0" w:space="0" w:color="auto"/>
              </w:divBdr>
              <w:divsChild>
                <w:div w:id="210922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420170">
      <w:bodyDiv w:val="1"/>
      <w:marLeft w:val="0"/>
      <w:marRight w:val="0"/>
      <w:marTop w:val="0"/>
      <w:marBottom w:val="0"/>
      <w:divBdr>
        <w:top w:val="none" w:sz="0" w:space="0" w:color="auto"/>
        <w:left w:val="none" w:sz="0" w:space="0" w:color="auto"/>
        <w:bottom w:val="none" w:sz="0" w:space="0" w:color="auto"/>
        <w:right w:val="none" w:sz="0" w:space="0" w:color="auto"/>
      </w:divBdr>
    </w:div>
    <w:div w:id="1710255936">
      <w:bodyDiv w:val="1"/>
      <w:marLeft w:val="0"/>
      <w:marRight w:val="0"/>
      <w:marTop w:val="0"/>
      <w:marBottom w:val="0"/>
      <w:divBdr>
        <w:top w:val="none" w:sz="0" w:space="0" w:color="auto"/>
        <w:left w:val="none" w:sz="0" w:space="0" w:color="auto"/>
        <w:bottom w:val="none" w:sz="0" w:space="0" w:color="auto"/>
        <w:right w:val="none" w:sz="0" w:space="0" w:color="auto"/>
      </w:divBdr>
    </w:div>
    <w:div w:id="1740714633">
      <w:bodyDiv w:val="1"/>
      <w:marLeft w:val="0"/>
      <w:marRight w:val="0"/>
      <w:marTop w:val="0"/>
      <w:marBottom w:val="0"/>
      <w:divBdr>
        <w:top w:val="none" w:sz="0" w:space="0" w:color="auto"/>
        <w:left w:val="none" w:sz="0" w:space="0" w:color="auto"/>
        <w:bottom w:val="none" w:sz="0" w:space="0" w:color="auto"/>
        <w:right w:val="none" w:sz="0" w:space="0" w:color="auto"/>
      </w:divBdr>
    </w:div>
    <w:div w:id="1753356225">
      <w:bodyDiv w:val="1"/>
      <w:marLeft w:val="0"/>
      <w:marRight w:val="0"/>
      <w:marTop w:val="0"/>
      <w:marBottom w:val="0"/>
      <w:divBdr>
        <w:top w:val="none" w:sz="0" w:space="0" w:color="auto"/>
        <w:left w:val="none" w:sz="0" w:space="0" w:color="auto"/>
        <w:bottom w:val="none" w:sz="0" w:space="0" w:color="auto"/>
        <w:right w:val="none" w:sz="0" w:space="0" w:color="auto"/>
      </w:divBdr>
    </w:div>
    <w:div w:id="1829396229">
      <w:bodyDiv w:val="1"/>
      <w:marLeft w:val="0"/>
      <w:marRight w:val="0"/>
      <w:marTop w:val="0"/>
      <w:marBottom w:val="0"/>
      <w:divBdr>
        <w:top w:val="none" w:sz="0" w:space="0" w:color="auto"/>
        <w:left w:val="none" w:sz="0" w:space="0" w:color="auto"/>
        <w:bottom w:val="none" w:sz="0" w:space="0" w:color="auto"/>
        <w:right w:val="none" w:sz="0" w:space="0" w:color="auto"/>
      </w:divBdr>
    </w:div>
    <w:div w:id="1864243574">
      <w:bodyDiv w:val="1"/>
      <w:marLeft w:val="0"/>
      <w:marRight w:val="0"/>
      <w:marTop w:val="0"/>
      <w:marBottom w:val="0"/>
      <w:divBdr>
        <w:top w:val="none" w:sz="0" w:space="0" w:color="auto"/>
        <w:left w:val="none" w:sz="0" w:space="0" w:color="auto"/>
        <w:bottom w:val="none" w:sz="0" w:space="0" w:color="auto"/>
        <w:right w:val="none" w:sz="0" w:space="0" w:color="auto"/>
      </w:divBdr>
    </w:div>
    <w:div w:id="1894999033">
      <w:bodyDiv w:val="1"/>
      <w:marLeft w:val="0"/>
      <w:marRight w:val="0"/>
      <w:marTop w:val="0"/>
      <w:marBottom w:val="0"/>
      <w:divBdr>
        <w:top w:val="none" w:sz="0" w:space="0" w:color="auto"/>
        <w:left w:val="none" w:sz="0" w:space="0" w:color="auto"/>
        <w:bottom w:val="none" w:sz="0" w:space="0" w:color="auto"/>
        <w:right w:val="none" w:sz="0" w:space="0" w:color="auto"/>
      </w:divBdr>
    </w:div>
    <w:div w:id="1952470163">
      <w:bodyDiv w:val="1"/>
      <w:marLeft w:val="0"/>
      <w:marRight w:val="0"/>
      <w:marTop w:val="0"/>
      <w:marBottom w:val="0"/>
      <w:divBdr>
        <w:top w:val="none" w:sz="0" w:space="0" w:color="auto"/>
        <w:left w:val="none" w:sz="0" w:space="0" w:color="auto"/>
        <w:bottom w:val="none" w:sz="0" w:space="0" w:color="auto"/>
        <w:right w:val="none" w:sz="0" w:space="0" w:color="auto"/>
      </w:divBdr>
      <w:divsChild>
        <w:div w:id="2117217029">
          <w:marLeft w:val="0"/>
          <w:marRight w:val="0"/>
          <w:marTop w:val="0"/>
          <w:marBottom w:val="0"/>
          <w:divBdr>
            <w:top w:val="none" w:sz="0" w:space="0" w:color="auto"/>
            <w:left w:val="none" w:sz="0" w:space="0" w:color="auto"/>
            <w:bottom w:val="none" w:sz="0" w:space="0" w:color="auto"/>
            <w:right w:val="none" w:sz="0" w:space="0" w:color="auto"/>
          </w:divBdr>
          <w:divsChild>
            <w:div w:id="46884421">
              <w:marLeft w:val="0"/>
              <w:marRight w:val="0"/>
              <w:marTop w:val="0"/>
              <w:marBottom w:val="0"/>
              <w:divBdr>
                <w:top w:val="none" w:sz="0" w:space="0" w:color="auto"/>
                <w:left w:val="none" w:sz="0" w:space="0" w:color="auto"/>
                <w:bottom w:val="none" w:sz="0" w:space="0" w:color="auto"/>
                <w:right w:val="none" w:sz="0" w:space="0" w:color="auto"/>
              </w:divBdr>
              <w:divsChild>
                <w:div w:id="1457408555">
                  <w:marLeft w:val="0"/>
                  <w:marRight w:val="0"/>
                  <w:marTop w:val="0"/>
                  <w:marBottom w:val="0"/>
                  <w:divBdr>
                    <w:top w:val="none" w:sz="0" w:space="0" w:color="auto"/>
                    <w:left w:val="none" w:sz="0" w:space="0" w:color="auto"/>
                    <w:bottom w:val="none" w:sz="0" w:space="0" w:color="auto"/>
                    <w:right w:val="none" w:sz="0" w:space="0" w:color="auto"/>
                  </w:divBdr>
                  <w:divsChild>
                    <w:div w:id="1782991903">
                      <w:marLeft w:val="0"/>
                      <w:marRight w:val="0"/>
                      <w:marTop w:val="0"/>
                      <w:marBottom w:val="0"/>
                      <w:divBdr>
                        <w:top w:val="none" w:sz="0" w:space="0" w:color="auto"/>
                        <w:left w:val="none" w:sz="0" w:space="0" w:color="auto"/>
                        <w:bottom w:val="none" w:sz="0" w:space="0" w:color="auto"/>
                        <w:right w:val="none" w:sz="0" w:space="0" w:color="auto"/>
                      </w:divBdr>
                      <w:divsChild>
                        <w:div w:id="504785236">
                          <w:marLeft w:val="0"/>
                          <w:marRight w:val="0"/>
                          <w:marTop w:val="0"/>
                          <w:marBottom w:val="0"/>
                          <w:divBdr>
                            <w:top w:val="none" w:sz="0" w:space="0" w:color="auto"/>
                            <w:left w:val="none" w:sz="0" w:space="0" w:color="auto"/>
                            <w:bottom w:val="none" w:sz="0" w:space="0" w:color="auto"/>
                            <w:right w:val="none" w:sz="0" w:space="0" w:color="auto"/>
                          </w:divBdr>
                          <w:divsChild>
                            <w:div w:id="555119678">
                              <w:marLeft w:val="0"/>
                              <w:marRight w:val="0"/>
                              <w:marTop w:val="0"/>
                              <w:marBottom w:val="0"/>
                              <w:divBdr>
                                <w:top w:val="none" w:sz="0" w:space="0" w:color="auto"/>
                                <w:left w:val="none" w:sz="0" w:space="0" w:color="auto"/>
                                <w:bottom w:val="none" w:sz="0" w:space="0" w:color="auto"/>
                                <w:right w:val="none" w:sz="0" w:space="0" w:color="auto"/>
                              </w:divBdr>
                              <w:divsChild>
                                <w:div w:id="1628464336">
                                  <w:marLeft w:val="0"/>
                                  <w:marRight w:val="0"/>
                                  <w:marTop w:val="0"/>
                                  <w:marBottom w:val="0"/>
                                  <w:divBdr>
                                    <w:top w:val="none" w:sz="0" w:space="0" w:color="auto"/>
                                    <w:left w:val="none" w:sz="0" w:space="0" w:color="auto"/>
                                    <w:bottom w:val="none" w:sz="0" w:space="0" w:color="auto"/>
                                    <w:right w:val="none" w:sz="0" w:space="0" w:color="auto"/>
                                  </w:divBdr>
                                  <w:divsChild>
                                    <w:div w:id="1162086733">
                                      <w:marLeft w:val="0"/>
                                      <w:marRight w:val="0"/>
                                      <w:marTop w:val="0"/>
                                      <w:marBottom w:val="0"/>
                                      <w:divBdr>
                                        <w:top w:val="none" w:sz="0" w:space="0" w:color="auto"/>
                                        <w:left w:val="none" w:sz="0" w:space="0" w:color="auto"/>
                                        <w:bottom w:val="none" w:sz="0" w:space="0" w:color="auto"/>
                                        <w:right w:val="none" w:sz="0" w:space="0" w:color="auto"/>
                                      </w:divBdr>
                                      <w:divsChild>
                                        <w:div w:id="13095563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2737771">
      <w:bodyDiv w:val="1"/>
      <w:marLeft w:val="0"/>
      <w:marRight w:val="0"/>
      <w:marTop w:val="0"/>
      <w:marBottom w:val="0"/>
      <w:divBdr>
        <w:top w:val="none" w:sz="0" w:space="0" w:color="auto"/>
        <w:left w:val="none" w:sz="0" w:space="0" w:color="auto"/>
        <w:bottom w:val="none" w:sz="0" w:space="0" w:color="auto"/>
        <w:right w:val="none" w:sz="0" w:space="0" w:color="auto"/>
      </w:divBdr>
    </w:div>
    <w:div w:id="201294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endnotes.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816563-ADD0-466D-A2D9-DAEC57D53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1449</Words>
  <Characters>7973</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DESCAMPS Grégoire</dc:creator>
  <cp:keywords/>
  <dc:description/>
  <cp:lastModifiedBy>VANHUYSE Matheo</cp:lastModifiedBy>
  <cp:revision>3</cp:revision>
  <cp:lastPrinted>2026-03-05T10:47:00Z</cp:lastPrinted>
  <dcterms:created xsi:type="dcterms:W3CDTF">2026-06-03T09:22:00Z</dcterms:created>
  <dcterms:modified xsi:type="dcterms:W3CDTF">2026-06-03T10:48:00Z</dcterms:modified>
</cp:coreProperties>
</file>