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4CA2" w14:textId="77777777" w:rsidR="007E4EA0" w:rsidRPr="00057705" w:rsidRDefault="007E4EA0" w:rsidP="00EC7BFF">
      <w:pPr>
        <w:jc w:val="both"/>
        <w:rPr>
          <w:rFonts w:asciiTheme="minorHAnsi" w:hAnsiTheme="minorHAnsi" w:cstheme="minorHAnsi"/>
          <w:lang w:val="fr-FR"/>
        </w:rPr>
        <w:sectPr w:rsidR="007E4EA0" w:rsidRPr="00057705" w:rsidSect="007E4EA0">
          <w:headerReference w:type="default" r:id="rId11"/>
          <w:footerReference w:type="even" r:id="rId12"/>
          <w:pgSz w:w="11910" w:h="16840"/>
          <w:pgMar w:top="961" w:right="964" w:bottom="964" w:left="964" w:header="720" w:footer="720" w:gutter="0"/>
          <w:cols w:space="720"/>
        </w:sectPr>
      </w:pPr>
      <w:r w:rsidRPr="00057705">
        <w:rPr>
          <w:rFonts w:asciiTheme="minorHAnsi" w:hAnsiTheme="minorHAnsi" w:cstheme="minorHAnsi"/>
          <w:b/>
          <w:bCs/>
          <w:noProof/>
          <w:lang w:val="fr-FR" w:eastAsia="fr-FR"/>
        </w:rPr>
        <w:drawing>
          <wp:anchor distT="0" distB="0" distL="114300" distR="114300" simplePos="0" relativeHeight="251659264" behindDoc="0" locked="0" layoutInCell="1" allowOverlap="1" wp14:anchorId="36AC3151" wp14:editId="06ECBC55">
            <wp:simplePos x="0" y="0"/>
            <wp:positionH relativeFrom="page">
              <wp:posOffset>610606</wp:posOffset>
            </wp:positionH>
            <wp:positionV relativeFrom="page">
              <wp:posOffset>491790</wp:posOffset>
            </wp:positionV>
            <wp:extent cx="1426829" cy="1142665"/>
            <wp:effectExtent l="0" t="0" r="254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p>
    <w:p w14:paraId="36F5CD1A" w14:textId="77777777" w:rsidR="007E4EA0" w:rsidRPr="00057705" w:rsidRDefault="007E4EA0" w:rsidP="00EC7BFF">
      <w:pPr>
        <w:pStyle w:val="Corpsdetexte"/>
        <w:jc w:val="both"/>
        <w:rPr>
          <w:rFonts w:asciiTheme="minorHAnsi" w:hAnsiTheme="minorHAnsi" w:cstheme="minorHAnsi"/>
          <w:noProof/>
          <w:sz w:val="22"/>
          <w:szCs w:val="22"/>
        </w:rPr>
      </w:pPr>
    </w:p>
    <w:p w14:paraId="0ECA27A7" w14:textId="77777777" w:rsidR="007E4EA0" w:rsidRPr="00057705" w:rsidRDefault="007E4EA0" w:rsidP="00EC7BFF">
      <w:pPr>
        <w:pStyle w:val="Corpsdetexte"/>
        <w:jc w:val="both"/>
        <w:rPr>
          <w:rFonts w:asciiTheme="minorHAnsi" w:hAnsiTheme="minorHAnsi" w:cstheme="minorHAnsi"/>
          <w:noProof/>
          <w:sz w:val="22"/>
          <w:szCs w:val="22"/>
        </w:rPr>
      </w:pPr>
    </w:p>
    <w:p w14:paraId="55455A4E" w14:textId="77777777" w:rsidR="00E10DA0" w:rsidRPr="00E10DA0" w:rsidRDefault="00E10DA0" w:rsidP="00E10DA0">
      <w:pPr>
        <w:pStyle w:val="Corpsdetexte"/>
        <w:jc w:val="center"/>
        <w:rPr>
          <w:rFonts w:asciiTheme="minorHAnsi" w:hAnsiTheme="minorHAnsi" w:cstheme="minorBidi"/>
          <w:b/>
          <w:bCs/>
          <w:sz w:val="22"/>
          <w:szCs w:val="22"/>
        </w:rPr>
      </w:pPr>
      <w:bookmarkStart w:id="0" w:name="_Toc99548833"/>
    </w:p>
    <w:p w14:paraId="57D44DD6" w14:textId="0328F4D6" w:rsidR="00E10DA0" w:rsidRPr="00546E05" w:rsidRDefault="00E10DA0" w:rsidP="00E10DA0">
      <w:pPr>
        <w:pStyle w:val="Corpsdetexte"/>
        <w:jc w:val="center"/>
        <w:rPr>
          <w:rFonts w:ascii="Marianne" w:hAnsi="Marianne" w:cstheme="minorBidi"/>
          <w:b/>
          <w:bCs/>
          <w:sz w:val="32"/>
          <w:szCs w:val="32"/>
        </w:rPr>
      </w:pPr>
      <w:r w:rsidRPr="00546E05">
        <w:rPr>
          <w:rFonts w:ascii="Marianne" w:hAnsi="Marianne" w:cstheme="minorBidi"/>
          <w:b/>
          <w:bCs/>
          <w:sz w:val="32"/>
          <w:szCs w:val="32"/>
        </w:rPr>
        <w:t>FOIRE AUX QUESTIONS (FAQ)</w:t>
      </w:r>
    </w:p>
    <w:p w14:paraId="06BADE97" w14:textId="5B77EF78" w:rsidR="00E10DA0" w:rsidRPr="00546E05" w:rsidRDefault="00E10DA0" w:rsidP="009D451C">
      <w:pPr>
        <w:pStyle w:val="Intituldirection"/>
        <w:numPr>
          <w:ilvl w:val="0"/>
          <w:numId w:val="11"/>
        </w:numPr>
        <w:jc w:val="center"/>
        <w:rPr>
          <w:rFonts w:ascii="Marianne" w:hAnsi="Marianne" w:cstheme="minorBidi"/>
          <w:color w:val="000091"/>
          <w:sz w:val="32"/>
          <w:szCs w:val="32"/>
          <w:lang w:val="fr-FR"/>
        </w:rPr>
      </w:pPr>
      <w:r w:rsidRPr="00546E05">
        <w:rPr>
          <w:rFonts w:ascii="Marianne" w:hAnsi="Marianne" w:cstheme="minorBidi"/>
          <w:color w:val="000091"/>
          <w:sz w:val="32"/>
          <w:szCs w:val="32"/>
          <w:lang w:val="fr-FR"/>
        </w:rPr>
        <w:t>QUESTIONS FINANCE et SECTEUR BANCAIRE</w:t>
      </w:r>
    </w:p>
    <w:p w14:paraId="5639BD40" w14:textId="77777777" w:rsidR="00973825" w:rsidRPr="00546E05" w:rsidRDefault="00973825" w:rsidP="00EC7BFF">
      <w:pPr>
        <w:pStyle w:val="Intituldirection"/>
        <w:jc w:val="center"/>
        <w:rPr>
          <w:rFonts w:ascii="Marianne" w:hAnsi="Marianne" w:cstheme="minorHAnsi"/>
          <w:sz w:val="22"/>
          <w:szCs w:val="22"/>
          <w:lang w:val="fr-FR"/>
        </w:rPr>
      </w:pPr>
    </w:p>
    <w:p w14:paraId="001E1140" w14:textId="77777777" w:rsidR="007E4EA0" w:rsidRPr="00546E05" w:rsidRDefault="1813DC81" w:rsidP="1813DC81">
      <w:pPr>
        <w:pStyle w:val="Intituldirection"/>
        <w:jc w:val="center"/>
        <w:rPr>
          <w:rFonts w:ascii="Marianne" w:hAnsi="Marianne" w:cstheme="minorBidi"/>
          <w:sz w:val="22"/>
          <w:szCs w:val="22"/>
          <w:lang w:val="fr-FR"/>
        </w:rPr>
      </w:pPr>
      <w:r w:rsidRPr="00546E05">
        <w:rPr>
          <w:rFonts w:ascii="Marianne" w:hAnsi="Marianne" w:cstheme="minorBidi"/>
          <w:sz w:val="22"/>
          <w:szCs w:val="22"/>
          <w:lang w:val="fr-FR"/>
        </w:rPr>
        <w:t xml:space="preserve">Questions fréquemment posées dans le cadre des sanctions </w:t>
      </w:r>
      <w:r w:rsidR="00C14A20" w:rsidRPr="00546E05">
        <w:rPr>
          <w:rFonts w:ascii="Marianne" w:hAnsi="Marianne" w:cstheme="minorBidi"/>
          <w:sz w:val="22"/>
          <w:szCs w:val="22"/>
          <w:lang w:val="fr-FR"/>
        </w:rPr>
        <w:t xml:space="preserve">européennes </w:t>
      </w:r>
      <w:r w:rsidRPr="00546E05">
        <w:rPr>
          <w:rFonts w:ascii="Marianne" w:hAnsi="Marianne" w:cstheme="minorBidi"/>
          <w:sz w:val="22"/>
          <w:szCs w:val="22"/>
          <w:lang w:val="fr-FR"/>
        </w:rPr>
        <w:t>contre la Russie</w:t>
      </w:r>
      <w:bookmarkEnd w:id="0"/>
    </w:p>
    <w:p w14:paraId="1C88854A" w14:textId="77777777" w:rsidR="00786D4A" w:rsidRPr="00546E05" w:rsidRDefault="1813DC81" w:rsidP="1813DC81">
      <w:pPr>
        <w:pStyle w:val="Corpsdetexte"/>
        <w:jc w:val="center"/>
        <w:rPr>
          <w:rFonts w:ascii="Marianne" w:hAnsi="Marianne" w:cstheme="minorBidi"/>
          <w:b/>
          <w:bCs/>
          <w:sz w:val="22"/>
          <w:szCs w:val="22"/>
        </w:rPr>
      </w:pPr>
      <w:r w:rsidRPr="00546E05">
        <w:rPr>
          <w:rFonts w:ascii="Marianne" w:hAnsi="Marianne" w:cstheme="minorBidi"/>
          <w:b/>
          <w:bCs/>
          <w:sz w:val="22"/>
          <w:szCs w:val="22"/>
        </w:rPr>
        <w:t xml:space="preserve">Mesures </w:t>
      </w:r>
      <w:r w:rsidR="00C14A20" w:rsidRPr="00546E05">
        <w:rPr>
          <w:rFonts w:ascii="Marianne" w:hAnsi="Marianne" w:cstheme="minorBidi"/>
          <w:b/>
          <w:bCs/>
          <w:sz w:val="22"/>
          <w:szCs w:val="22"/>
        </w:rPr>
        <w:t xml:space="preserve">financières (Règlement UE 269/2014) et </w:t>
      </w:r>
      <w:r w:rsidRPr="00546E05">
        <w:rPr>
          <w:rFonts w:ascii="Marianne" w:hAnsi="Marianne" w:cstheme="minorBidi"/>
          <w:b/>
          <w:bCs/>
          <w:sz w:val="22"/>
          <w:szCs w:val="22"/>
        </w:rPr>
        <w:t>sectorielles</w:t>
      </w:r>
      <w:r w:rsidR="00C14A20" w:rsidRPr="00546E05">
        <w:rPr>
          <w:rFonts w:ascii="Marianne" w:hAnsi="Marianne" w:cstheme="minorBidi"/>
          <w:b/>
          <w:bCs/>
          <w:sz w:val="22"/>
          <w:szCs w:val="22"/>
        </w:rPr>
        <w:t xml:space="preserve"> (Règlement UE 833/2014)</w:t>
      </w:r>
    </w:p>
    <w:p w14:paraId="3C6E34D6" w14:textId="296F153A" w:rsidR="007E4EA0" w:rsidRPr="00546E05" w:rsidRDefault="1813DC81" w:rsidP="1813DC81">
      <w:pPr>
        <w:pStyle w:val="Sous-titre2"/>
        <w:rPr>
          <w:rFonts w:ascii="Marianne" w:hAnsi="Marianne" w:cstheme="minorBidi"/>
          <w:i/>
          <w:iCs/>
          <w:sz w:val="22"/>
          <w:szCs w:val="22"/>
        </w:rPr>
      </w:pPr>
      <w:r w:rsidRPr="00546E05">
        <w:rPr>
          <w:rFonts w:ascii="Marianne" w:hAnsi="Marianne" w:cstheme="minorBidi"/>
          <w:i/>
          <w:iCs/>
          <w:sz w:val="22"/>
          <w:szCs w:val="22"/>
        </w:rPr>
        <w:t>Dernière mise à jour</w:t>
      </w:r>
      <w:r w:rsidRPr="00546E05">
        <w:rPr>
          <w:rFonts w:ascii="Calibri" w:hAnsi="Calibri" w:cs="Calibri"/>
          <w:i/>
          <w:iCs/>
          <w:sz w:val="22"/>
          <w:szCs w:val="22"/>
        </w:rPr>
        <w:t> </w:t>
      </w:r>
      <w:r w:rsidRPr="00546E05">
        <w:rPr>
          <w:rFonts w:ascii="Marianne" w:hAnsi="Marianne" w:cstheme="minorBidi"/>
          <w:i/>
          <w:iCs/>
          <w:sz w:val="22"/>
          <w:szCs w:val="22"/>
        </w:rPr>
        <w:t xml:space="preserve">: </w:t>
      </w:r>
      <w:r w:rsidR="00CC3615" w:rsidRPr="00546E05">
        <w:rPr>
          <w:rFonts w:ascii="Marianne" w:hAnsi="Marianne" w:cstheme="minorBidi"/>
          <w:i/>
          <w:iCs/>
          <w:sz w:val="22"/>
          <w:szCs w:val="22"/>
        </w:rPr>
        <w:t>0</w:t>
      </w:r>
      <w:r w:rsidR="00F755FD">
        <w:rPr>
          <w:rFonts w:ascii="Marianne" w:hAnsi="Marianne" w:cstheme="minorBidi"/>
          <w:i/>
          <w:iCs/>
          <w:sz w:val="22"/>
          <w:szCs w:val="22"/>
        </w:rPr>
        <w:t>8</w:t>
      </w:r>
      <w:r w:rsidR="00CC3615" w:rsidRPr="00546E05">
        <w:rPr>
          <w:rFonts w:ascii="Marianne" w:hAnsi="Marianne" w:cstheme="minorBidi"/>
          <w:i/>
          <w:iCs/>
          <w:sz w:val="22"/>
          <w:szCs w:val="22"/>
        </w:rPr>
        <w:t>/0</w:t>
      </w:r>
      <w:r w:rsidR="00F755FD">
        <w:rPr>
          <w:rFonts w:ascii="Marianne" w:hAnsi="Marianne" w:cstheme="minorBidi"/>
          <w:i/>
          <w:iCs/>
          <w:sz w:val="22"/>
          <w:szCs w:val="22"/>
        </w:rPr>
        <w:t>2</w:t>
      </w:r>
      <w:r w:rsidRPr="00546E05">
        <w:rPr>
          <w:rFonts w:ascii="Marianne" w:hAnsi="Marianne" w:cstheme="minorBidi"/>
          <w:i/>
          <w:iCs/>
          <w:sz w:val="22"/>
          <w:szCs w:val="22"/>
        </w:rPr>
        <w:t>/202</w:t>
      </w:r>
      <w:r w:rsidR="00F755FD">
        <w:rPr>
          <w:rFonts w:ascii="Marianne" w:hAnsi="Marianne" w:cstheme="minorBidi"/>
          <w:i/>
          <w:iCs/>
          <w:sz w:val="22"/>
          <w:szCs w:val="22"/>
        </w:rPr>
        <w:t>3</w:t>
      </w:r>
    </w:p>
    <w:p w14:paraId="6AEDCC82" w14:textId="77777777" w:rsidR="00EC7BFF" w:rsidRPr="00017B3C" w:rsidRDefault="00EC7BFF" w:rsidP="00EC7BFF">
      <w:pPr>
        <w:pStyle w:val="Corpsdetexte"/>
        <w:rPr>
          <w:rFonts w:asciiTheme="minorHAnsi" w:hAnsiTheme="minorHAnsi" w:cstheme="minorHAnsi"/>
        </w:rPr>
      </w:pPr>
    </w:p>
    <w:p w14:paraId="4DCDBB72" w14:textId="77777777" w:rsidR="00D6557E" w:rsidRDefault="00D6557E" w:rsidP="00D6557E">
      <w:pPr>
        <w:pStyle w:val="Textbody"/>
        <w:spacing w:after="0"/>
        <w:jc w:val="both"/>
        <w:rPr>
          <w:rFonts w:asciiTheme="minorHAnsi" w:hAnsiTheme="minorHAnsi" w:cstheme="minorBidi"/>
          <w:b/>
          <w:bCs/>
          <w:i/>
          <w:iCs/>
          <w:sz w:val="22"/>
          <w:szCs w:val="22"/>
          <w:u w:val="single"/>
        </w:rPr>
      </w:pPr>
    </w:p>
    <w:p w14:paraId="689CDAA8" w14:textId="77777777" w:rsidR="00D6557E" w:rsidRPr="003838D0" w:rsidRDefault="00D6557E" w:rsidP="00D6557E">
      <w:pPr>
        <w:pStyle w:val="Textbody"/>
        <w:jc w:val="both"/>
        <w:rPr>
          <w:rFonts w:asciiTheme="minorHAnsi" w:hAnsiTheme="minorHAnsi" w:cstheme="minorBidi"/>
          <w:b/>
          <w:bCs/>
          <w:i/>
          <w:iCs/>
          <w:sz w:val="22"/>
          <w:szCs w:val="22"/>
          <w:u w:val="single"/>
        </w:rPr>
      </w:pPr>
      <w:r w:rsidRPr="003838D0">
        <w:rPr>
          <w:rFonts w:asciiTheme="minorHAnsi" w:hAnsiTheme="minorHAnsi" w:cstheme="minorBidi"/>
          <w:b/>
          <w:bCs/>
          <w:i/>
          <w:iCs/>
          <w:sz w:val="22"/>
          <w:szCs w:val="22"/>
          <w:u w:val="single"/>
        </w:rPr>
        <w:t xml:space="preserve">Nota Bene : </w:t>
      </w:r>
    </w:p>
    <w:p w14:paraId="647D46F4" w14:textId="77777777" w:rsidR="00D6557E" w:rsidRDefault="00D6557E" w:rsidP="00D6557E">
      <w:pPr>
        <w:pStyle w:val="Textbody"/>
        <w:jc w:val="both"/>
        <w:rPr>
          <w:rFonts w:asciiTheme="minorHAnsi" w:hAnsiTheme="minorHAnsi" w:cstheme="minorBidi"/>
          <w:i/>
          <w:iCs/>
          <w:sz w:val="22"/>
          <w:szCs w:val="22"/>
        </w:rPr>
      </w:pPr>
      <w:r>
        <w:rPr>
          <w:rFonts w:asciiTheme="minorHAnsi" w:hAnsiTheme="minorHAnsi" w:cstheme="minorBidi"/>
          <w:i/>
          <w:iCs/>
          <w:sz w:val="22"/>
          <w:szCs w:val="22"/>
        </w:rPr>
        <w:t>Cette FAQ est préparée par</w:t>
      </w:r>
      <w:r w:rsidRPr="00423DFC">
        <w:rPr>
          <w:rFonts w:asciiTheme="minorHAnsi" w:hAnsiTheme="minorHAnsi" w:cstheme="minorBidi"/>
          <w:i/>
          <w:iCs/>
          <w:sz w:val="22"/>
          <w:szCs w:val="22"/>
        </w:rPr>
        <w:t xml:space="preserve"> la direction générale du Trésor en sa qualité </w:t>
      </w:r>
      <w:hyperlink r:id="rId14" w:history="1">
        <w:r w:rsidRPr="00907970">
          <w:rPr>
            <w:rStyle w:val="Lienhypertexte"/>
            <w:rFonts w:asciiTheme="minorHAnsi" w:hAnsiTheme="minorHAnsi" w:cstheme="minorBidi"/>
            <w:i/>
            <w:iCs/>
            <w:sz w:val="22"/>
            <w:szCs w:val="22"/>
          </w:rPr>
          <w:t>d’autorité nationale compétente</w:t>
        </w:r>
      </w:hyperlink>
      <w:r w:rsidRPr="00423DFC">
        <w:rPr>
          <w:rFonts w:asciiTheme="minorHAnsi" w:hAnsiTheme="minorHAnsi" w:cstheme="minorBidi"/>
          <w:i/>
          <w:iCs/>
          <w:sz w:val="22"/>
          <w:szCs w:val="22"/>
        </w:rPr>
        <w:t xml:space="preserve"> pour l’application des règlements européens en matière de sanctions financières internationales. Le</w:t>
      </w:r>
      <w:r>
        <w:rPr>
          <w:rFonts w:asciiTheme="minorHAnsi" w:hAnsiTheme="minorHAnsi" w:cstheme="minorBidi"/>
          <w:i/>
          <w:iCs/>
          <w:sz w:val="22"/>
          <w:szCs w:val="22"/>
        </w:rPr>
        <w:t>s</w:t>
      </w:r>
      <w:r w:rsidRPr="00423DFC">
        <w:rPr>
          <w:rFonts w:asciiTheme="minorHAnsi" w:hAnsiTheme="minorHAnsi" w:cstheme="minorBidi"/>
          <w:i/>
          <w:iCs/>
          <w:sz w:val="22"/>
          <w:szCs w:val="22"/>
        </w:rPr>
        <w:t xml:space="preserve"> </w:t>
      </w:r>
      <w:r>
        <w:rPr>
          <w:rFonts w:asciiTheme="minorHAnsi" w:hAnsiTheme="minorHAnsi" w:cstheme="minorBidi"/>
          <w:i/>
          <w:iCs/>
          <w:sz w:val="22"/>
          <w:szCs w:val="22"/>
        </w:rPr>
        <w:t>opé</w:t>
      </w:r>
      <w:r w:rsidRPr="00423DFC">
        <w:rPr>
          <w:rFonts w:asciiTheme="minorHAnsi" w:hAnsiTheme="minorHAnsi" w:cstheme="minorBidi"/>
          <w:i/>
          <w:iCs/>
          <w:sz w:val="22"/>
          <w:szCs w:val="22"/>
        </w:rPr>
        <w:t>r</w:t>
      </w:r>
      <w:r>
        <w:rPr>
          <w:rFonts w:asciiTheme="minorHAnsi" w:hAnsiTheme="minorHAnsi" w:cstheme="minorBidi"/>
          <w:i/>
          <w:iCs/>
          <w:sz w:val="22"/>
          <w:szCs w:val="22"/>
        </w:rPr>
        <w:t>ateurs</w:t>
      </w:r>
      <w:r w:rsidRPr="00423DFC">
        <w:rPr>
          <w:rFonts w:asciiTheme="minorHAnsi" w:hAnsiTheme="minorHAnsi" w:cstheme="minorBidi"/>
          <w:i/>
          <w:iCs/>
          <w:sz w:val="22"/>
          <w:szCs w:val="22"/>
        </w:rPr>
        <w:t xml:space="preserve"> reste</w:t>
      </w:r>
      <w:r>
        <w:rPr>
          <w:rFonts w:asciiTheme="minorHAnsi" w:hAnsiTheme="minorHAnsi" w:cstheme="minorBidi"/>
          <w:i/>
          <w:iCs/>
          <w:sz w:val="22"/>
          <w:szCs w:val="22"/>
        </w:rPr>
        <w:t>nt</w:t>
      </w:r>
      <w:r w:rsidRPr="00423DFC">
        <w:rPr>
          <w:rFonts w:asciiTheme="minorHAnsi" w:hAnsiTheme="minorHAnsi" w:cstheme="minorBidi"/>
          <w:i/>
          <w:iCs/>
          <w:sz w:val="22"/>
          <w:szCs w:val="22"/>
        </w:rPr>
        <w:t xml:space="preserve"> seul</w:t>
      </w:r>
      <w:r>
        <w:rPr>
          <w:rFonts w:asciiTheme="minorHAnsi" w:hAnsiTheme="minorHAnsi" w:cstheme="minorBidi"/>
          <w:i/>
          <w:iCs/>
          <w:sz w:val="22"/>
          <w:szCs w:val="22"/>
        </w:rPr>
        <w:t>s</w:t>
      </w:r>
      <w:r w:rsidRPr="00423DFC">
        <w:rPr>
          <w:rFonts w:asciiTheme="minorHAnsi" w:hAnsiTheme="minorHAnsi" w:cstheme="minorBidi"/>
          <w:i/>
          <w:iCs/>
          <w:sz w:val="22"/>
          <w:szCs w:val="22"/>
        </w:rPr>
        <w:t xml:space="preserve"> responsable</w:t>
      </w:r>
      <w:r>
        <w:rPr>
          <w:rFonts w:asciiTheme="minorHAnsi" w:hAnsiTheme="minorHAnsi" w:cstheme="minorBidi"/>
          <w:i/>
          <w:iCs/>
          <w:sz w:val="22"/>
          <w:szCs w:val="22"/>
        </w:rPr>
        <w:t xml:space="preserve">s de la conformité de leurs </w:t>
      </w:r>
      <w:r w:rsidRPr="00423DFC">
        <w:rPr>
          <w:rFonts w:asciiTheme="minorHAnsi" w:hAnsiTheme="minorHAnsi" w:cstheme="minorBidi"/>
          <w:i/>
          <w:iCs/>
          <w:sz w:val="22"/>
          <w:szCs w:val="22"/>
        </w:rPr>
        <w:t>opération</w:t>
      </w:r>
      <w:r>
        <w:rPr>
          <w:rFonts w:asciiTheme="minorHAnsi" w:hAnsiTheme="minorHAnsi" w:cstheme="minorBidi"/>
          <w:i/>
          <w:iCs/>
          <w:sz w:val="22"/>
          <w:szCs w:val="22"/>
        </w:rPr>
        <w:t>s</w:t>
      </w:r>
      <w:r w:rsidRPr="00423DFC">
        <w:rPr>
          <w:rFonts w:asciiTheme="minorHAnsi" w:hAnsiTheme="minorHAnsi" w:cstheme="minorBidi"/>
          <w:i/>
          <w:iCs/>
          <w:sz w:val="22"/>
          <w:szCs w:val="22"/>
        </w:rPr>
        <w:t xml:space="preserve"> avec la réglementation en vigueur. Le présent </w:t>
      </w:r>
      <w:r>
        <w:rPr>
          <w:rFonts w:asciiTheme="minorHAnsi" w:hAnsiTheme="minorHAnsi" w:cstheme="minorBidi"/>
          <w:i/>
          <w:iCs/>
          <w:sz w:val="22"/>
          <w:szCs w:val="22"/>
        </w:rPr>
        <w:t xml:space="preserve">document </w:t>
      </w:r>
      <w:r w:rsidRPr="00423DFC">
        <w:rPr>
          <w:rFonts w:asciiTheme="minorHAnsi" w:hAnsiTheme="minorHAnsi" w:cstheme="minorBidi"/>
          <w:i/>
          <w:iCs/>
          <w:sz w:val="22"/>
          <w:szCs w:val="22"/>
        </w:rPr>
        <w:t>ne saurait préjuger de l’interprétation de la réglementation en vigueur par la juridiction compétente.</w:t>
      </w:r>
    </w:p>
    <w:p w14:paraId="3517FC5F" w14:textId="77777777" w:rsidR="00D6557E" w:rsidRDefault="00D6557E" w:rsidP="00D6557E">
      <w:pPr>
        <w:pStyle w:val="Textbody"/>
        <w:jc w:val="both"/>
        <w:rPr>
          <w:rFonts w:asciiTheme="minorHAnsi" w:hAnsiTheme="minorHAnsi" w:cstheme="minorBidi"/>
          <w:i/>
          <w:iCs/>
          <w:sz w:val="22"/>
          <w:szCs w:val="22"/>
        </w:rPr>
      </w:pPr>
      <w:r>
        <w:rPr>
          <w:rFonts w:asciiTheme="minorHAnsi" w:hAnsiTheme="minorHAnsi" w:cstheme="minorBidi"/>
          <w:i/>
          <w:iCs/>
          <w:sz w:val="22"/>
          <w:szCs w:val="22"/>
        </w:rPr>
        <w:t>De plus, c</w:t>
      </w:r>
      <w:r w:rsidRPr="1813DC81">
        <w:rPr>
          <w:rFonts w:asciiTheme="minorHAnsi" w:hAnsiTheme="minorHAnsi" w:cstheme="minorBidi"/>
          <w:i/>
          <w:iCs/>
          <w:sz w:val="22"/>
          <w:szCs w:val="22"/>
        </w:rPr>
        <w:t>ompte tenu de l’obligation d’appliquer les règlements européens</w:t>
      </w:r>
      <w:r w:rsidRPr="1813DC81">
        <w:rPr>
          <w:rStyle w:val="Appelnotedebasdep"/>
          <w:rFonts w:asciiTheme="minorHAnsi" w:hAnsiTheme="minorHAnsi" w:cstheme="minorBidi"/>
          <w:i/>
          <w:iCs/>
          <w:sz w:val="22"/>
          <w:szCs w:val="22"/>
        </w:rPr>
        <w:footnoteReference w:id="1"/>
      </w:r>
      <w:r w:rsidRPr="1813DC81">
        <w:rPr>
          <w:rFonts w:asciiTheme="minorHAnsi" w:hAnsiTheme="minorHAnsi" w:cstheme="minorBidi"/>
          <w:i/>
          <w:iCs/>
          <w:sz w:val="22"/>
          <w:szCs w:val="22"/>
        </w:rPr>
        <w:t xml:space="preserve"> de manière uniforme au sein de l’Union européenne, les réponses données ci-dessous pourront varier au fur et à mesure de l’adoption, de la modification ou de l’abrogation des règlements européens sans préavis. Néanmoins les nouvelles réponses auront une date d’entrée en vigueur et les anciennes réponses seront maintenues en ligne avec une date de caducité. Ainsi les personnes qui auront agi en mettant en œuvre des directives, rendues caduques ultérieurement, auront agi de bonne foi et en toute conformité avec la réglementation et seront à même de le démontrer.</w:t>
      </w:r>
    </w:p>
    <w:p w14:paraId="74399A68" w14:textId="77777777" w:rsidR="00D6557E" w:rsidRDefault="00D6557E" w:rsidP="00D6557E">
      <w:pPr>
        <w:pStyle w:val="Textbody"/>
        <w:spacing w:after="0"/>
        <w:jc w:val="both"/>
        <w:rPr>
          <w:rFonts w:asciiTheme="minorHAnsi" w:hAnsiTheme="minorHAnsi" w:cstheme="minorBidi"/>
          <w:i/>
          <w:iCs/>
          <w:sz w:val="22"/>
          <w:szCs w:val="22"/>
        </w:rPr>
      </w:pPr>
      <w:r>
        <w:rPr>
          <w:rFonts w:asciiTheme="minorHAnsi" w:hAnsiTheme="minorHAnsi" w:cstheme="minorBidi"/>
          <w:i/>
          <w:iCs/>
          <w:sz w:val="22"/>
          <w:szCs w:val="22"/>
        </w:rPr>
        <w:t xml:space="preserve">Il vient en complément de la FAQ de la Commission européenne et disponible sur </w:t>
      </w:r>
      <w:hyperlink r:id="rId15" w:anchor="faq" w:history="1">
        <w:r w:rsidRPr="00680B24">
          <w:rPr>
            <w:rStyle w:val="Lienhypertexte"/>
            <w:rFonts w:asciiTheme="minorHAnsi" w:hAnsiTheme="minorHAnsi" w:cstheme="minorBidi"/>
            <w:i/>
            <w:iCs/>
            <w:sz w:val="22"/>
            <w:szCs w:val="22"/>
          </w:rPr>
          <w:t>son site dédié</w:t>
        </w:r>
      </w:hyperlink>
      <w:r>
        <w:rPr>
          <w:rFonts w:asciiTheme="minorHAnsi" w:hAnsiTheme="minorHAnsi" w:cstheme="minorBidi"/>
          <w:i/>
          <w:iCs/>
          <w:sz w:val="22"/>
          <w:szCs w:val="22"/>
        </w:rPr>
        <w:t>.</w:t>
      </w:r>
    </w:p>
    <w:p w14:paraId="60E57613" w14:textId="77777777" w:rsidR="00D6557E" w:rsidRDefault="00D6557E" w:rsidP="00D6557E">
      <w:pPr>
        <w:pStyle w:val="Textbody"/>
        <w:spacing w:after="0"/>
        <w:jc w:val="both"/>
        <w:rPr>
          <w:rFonts w:asciiTheme="minorHAnsi" w:hAnsiTheme="minorHAnsi" w:cstheme="minorBidi"/>
          <w:b/>
          <w:bCs/>
          <w:i/>
          <w:iCs/>
          <w:sz w:val="22"/>
          <w:szCs w:val="22"/>
          <w:u w:val="single"/>
        </w:rPr>
      </w:pPr>
    </w:p>
    <w:p w14:paraId="5DEF9F20" w14:textId="77777777" w:rsidR="00D6557E" w:rsidRPr="003838D0" w:rsidRDefault="00D6557E" w:rsidP="00D6557E">
      <w:pPr>
        <w:pStyle w:val="Textbody"/>
        <w:jc w:val="both"/>
        <w:rPr>
          <w:rFonts w:asciiTheme="minorHAnsi" w:hAnsiTheme="minorHAnsi" w:cstheme="minorBidi"/>
          <w:b/>
          <w:bCs/>
          <w:i/>
          <w:iCs/>
          <w:sz w:val="22"/>
          <w:szCs w:val="22"/>
          <w:u w:val="single"/>
        </w:rPr>
      </w:pPr>
      <w:r w:rsidRPr="003838D0">
        <w:rPr>
          <w:rFonts w:asciiTheme="minorHAnsi" w:hAnsiTheme="minorHAnsi" w:cstheme="minorBidi"/>
          <w:b/>
          <w:bCs/>
          <w:i/>
          <w:iCs/>
          <w:sz w:val="22"/>
          <w:szCs w:val="22"/>
          <w:u w:val="single"/>
        </w:rPr>
        <w:t>Pour information</w:t>
      </w:r>
    </w:p>
    <w:p w14:paraId="4CB881DD" w14:textId="77777777" w:rsidR="00D6557E" w:rsidRPr="003838D0" w:rsidRDefault="00D6557E" w:rsidP="00D6557E">
      <w:pPr>
        <w:pStyle w:val="Titre4"/>
        <w:jc w:val="both"/>
        <w:rPr>
          <w:rFonts w:asciiTheme="minorHAnsi" w:hAnsiTheme="minorHAnsi" w:cstheme="minorBidi"/>
          <w:b/>
          <w:bCs/>
          <w:color w:val="auto"/>
          <w:lang w:val="fr-FR"/>
        </w:rPr>
      </w:pPr>
      <w:r w:rsidRPr="003838D0">
        <w:rPr>
          <w:rFonts w:asciiTheme="minorHAnsi" w:hAnsiTheme="minorHAnsi" w:cstheme="minorBidi"/>
          <w:b/>
          <w:bCs/>
          <w:color w:val="auto"/>
          <w:lang w:val="fr-FR"/>
        </w:rPr>
        <w:t xml:space="preserve">Il est possible d’envoyer directement vos questions aux boîtes fonctionnelles prévues à cet effet : </w:t>
      </w:r>
    </w:p>
    <w:p w14:paraId="6C5C86A7" w14:textId="77777777" w:rsidR="009A621C" w:rsidRDefault="009A621C" w:rsidP="009D451C">
      <w:pPr>
        <w:pStyle w:val="Titre4"/>
        <w:numPr>
          <w:ilvl w:val="0"/>
          <w:numId w:val="9"/>
        </w:numPr>
        <w:jc w:val="both"/>
        <w:rPr>
          <w:rFonts w:asciiTheme="minorHAnsi" w:hAnsiTheme="minorHAnsi" w:cstheme="minorBidi"/>
          <w:color w:val="auto"/>
          <w:lang w:val="fr-FR"/>
        </w:rPr>
      </w:pPr>
      <w:r>
        <w:rPr>
          <w:rFonts w:asciiTheme="minorHAnsi" w:hAnsiTheme="minorHAnsi" w:cstheme="minorBidi"/>
          <w:color w:val="auto"/>
          <w:lang w:val="fr-FR"/>
        </w:rPr>
        <w:t>Po</w:t>
      </w:r>
      <w:r w:rsidRPr="005314CF">
        <w:rPr>
          <w:rFonts w:asciiTheme="minorHAnsi" w:hAnsiTheme="minorHAnsi" w:cstheme="minorBidi"/>
          <w:color w:val="auto"/>
          <w:lang w:val="fr-FR"/>
        </w:rPr>
        <w:t xml:space="preserve">ur toute question relative </w:t>
      </w:r>
      <w:r>
        <w:rPr>
          <w:rFonts w:asciiTheme="minorHAnsi" w:hAnsiTheme="minorHAnsi" w:cstheme="minorBidi"/>
          <w:color w:val="auto"/>
          <w:lang w:val="fr-FR"/>
        </w:rPr>
        <w:t xml:space="preserve">aux </w:t>
      </w:r>
      <w:r w:rsidRPr="005314CF">
        <w:rPr>
          <w:rFonts w:asciiTheme="minorHAnsi" w:hAnsiTheme="minorHAnsi" w:cstheme="minorBidi"/>
          <w:color w:val="auto"/>
          <w:lang w:val="fr-FR"/>
        </w:rPr>
        <w:t>sanctions</w:t>
      </w:r>
      <w:r>
        <w:rPr>
          <w:rFonts w:asciiTheme="minorHAnsi" w:hAnsiTheme="minorHAnsi" w:cstheme="minorBidi"/>
          <w:color w:val="auto"/>
          <w:lang w:val="fr-FR"/>
        </w:rPr>
        <w:t xml:space="preserve"> russes : </w:t>
      </w:r>
      <w:hyperlink r:id="rId16" w:history="1">
        <w:r w:rsidRPr="00E2380C">
          <w:rPr>
            <w:rStyle w:val="Lienhypertexte"/>
            <w:rFonts w:asciiTheme="minorHAnsi" w:hAnsiTheme="minorHAnsi" w:cstheme="minorBidi"/>
            <w:lang w:val="fr-FR"/>
          </w:rPr>
          <w:t>sanctions-russie@dgtresor.gouv.fr</w:t>
        </w:r>
      </w:hyperlink>
      <w:r>
        <w:rPr>
          <w:rFonts w:asciiTheme="minorHAnsi" w:hAnsiTheme="minorHAnsi" w:cstheme="minorBidi"/>
          <w:color w:val="auto"/>
          <w:lang w:val="fr-FR"/>
        </w:rPr>
        <w:t xml:space="preserve"> </w:t>
      </w:r>
    </w:p>
    <w:p w14:paraId="34A693E7" w14:textId="77777777" w:rsidR="009A621C" w:rsidRPr="00903402" w:rsidRDefault="009A621C" w:rsidP="009D451C">
      <w:pPr>
        <w:pStyle w:val="Titre4"/>
        <w:numPr>
          <w:ilvl w:val="0"/>
          <w:numId w:val="9"/>
        </w:numPr>
        <w:jc w:val="both"/>
        <w:rPr>
          <w:rFonts w:asciiTheme="minorHAnsi" w:hAnsiTheme="minorHAnsi" w:cstheme="minorBidi"/>
          <w:color w:val="auto"/>
          <w:lang w:val="fr-FR"/>
        </w:rPr>
      </w:pPr>
      <w:r w:rsidRPr="00103BD8">
        <w:rPr>
          <w:rFonts w:asciiTheme="minorHAnsi" w:hAnsiTheme="minorHAnsi" w:cstheme="minorBidi"/>
          <w:color w:val="auto"/>
          <w:lang w:val="fr-FR"/>
        </w:rPr>
        <w:t>Pour</w:t>
      </w:r>
      <w:r>
        <w:rPr>
          <w:rFonts w:asciiTheme="minorHAnsi" w:hAnsiTheme="minorHAnsi" w:cstheme="minorBidi"/>
          <w:color w:val="auto"/>
          <w:lang w:val="fr-FR"/>
        </w:rPr>
        <w:t xml:space="preserve"> les demandes concernant les gels</w:t>
      </w:r>
      <w:r w:rsidRPr="00103BD8">
        <w:rPr>
          <w:rFonts w:asciiTheme="minorHAnsi" w:hAnsiTheme="minorHAnsi" w:cstheme="minorBidi"/>
          <w:color w:val="auto"/>
          <w:lang w:val="fr-FR"/>
        </w:rPr>
        <w:t xml:space="preserve"> d’</w:t>
      </w:r>
      <w:proofErr w:type="spellStart"/>
      <w:r w:rsidRPr="00103BD8">
        <w:rPr>
          <w:rFonts w:asciiTheme="minorHAnsi" w:hAnsiTheme="minorHAnsi" w:cstheme="minorBidi"/>
          <w:color w:val="auto"/>
          <w:lang w:val="fr-FR"/>
        </w:rPr>
        <w:t>avoirs</w:t>
      </w:r>
      <w:proofErr w:type="spellEnd"/>
      <w:r>
        <w:rPr>
          <w:rFonts w:asciiTheme="minorHAnsi" w:hAnsiTheme="minorHAnsi" w:cstheme="minorBidi"/>
          <w:color w:val="auto"/>
          <w:lang w:val="fr-FR"/>
        </w:rPr>
        <w:t>, notamment les autorisations de transaction et la transmission de formulaires </w:t>
      </w:r>
      <w:r w:rsidRPr="00103BD8">
        <w:rPr>
          <w:rFonts w:asciiTheme="minorHAnsi" w:hAnsiTheme="minorHAnsi" w:cstheme="minorBidi"/>
          <w:color w:val="auto"/>
          <w:lang w:val="fr-FR"/>
        </w:rPr>
        <w:t>:</w:t>
      </w:r>
      <w:r w:rsidRPr="004E458C">
        <w:rPr>
          <w:lang w:val="fr-FR"/>
        </w:rPr>
        <w:t xml:space="preserve"> </w:t>
      </w:r>
      <w:hyperlink r:id="rId17" w:history="1">
        <w:r w:rsidRPr="00103BD8">
          <w:rPr>
            <w:rStyle w:val="Lienhypertexte"/>
            <w:rFonts w:asciiTheme="minorHAnsi" w:hAnsiTheme="minorHAnsi" w:cstheme="minorBidi"/>
            <w:lang w:val="fr-FR"/>
          </w:rPr>
          <w:t>sanctions-gel-avoirs@dgtresor.gouv.fr</w:t>
        </w:r>
      </w:hyperlink>
    </w:p>
    <w:p w14:paraId="738772A9" w14:textId="77777777" w:rsidR="00D6557E" w:rsidRDefault="00D6557E" w:rsidP="00D6557E">
      <w:pPr>
        <w:pStyle w:val="Corpsdetexte"/>
        <w:jc w:val="both"/>
        <w:rPr>
          <w:rFonts w:asciiTheme="minorHAnsi" w:hAnsiTheme="minorHAnsi" w:cstheme="minorBidi"/>
          <w:i/>
          <w:iCs/>
          <w:sz w:val="22"/>
          <w:szCs w:val="22"/>
        </w:rPr>
      </w:pPr>
    </w:p>
    <w:p w14:paraId="2E46AAF2" w14:textId="77777777" w:rsidR="00D6557E" w:rsidRDefault="00D6557E" w:rsidP="00D6557E">
      <w:pPr>
        <w:pStyle w:val="Corpsdetexte"/>
        <w:jc w:val="both"/>
        <w:rPr>
          <w:rFonts w:asciiTheme="minorHAnsi" w:hAnsiTheme="minorHAnsi" w:cstheme="minorBidi"/>
          <w:i/>
          <w:iCs/>
          <w:sz w:val="22"/>
          <w:szCs w:val="22"/>
        </w:rPr>
      </w:pPr>
      <w:r>
        <w:rPr>
          <w:rFonts w:asciiTheme="minorHAnsi" w:hAnsiTheme="minorHAnsi" w:cstheme="minorBidi"/>
          <w:i/>
          <w:iCs/>
          <w:sz w:val="22"/>
          <w:szCs w:val="22"/>
        </w:rPr>
        <w:t>C</w:t>
      </w:r>
      <w:r w:rsidRPr="003838D0">
        <w:rPr>
          <w:rFonts w:asciiTheme="minorHAnsi" w:hAnsiTheme="minorHAnsi" w:cstheme="minorBidi"/>
          <w:i/>
          <w:iCs/>
          <w:sz w:val="22"/>
          <w:szCs w:val="22"/>
        </w:rPr>
        <w:t xml:space="preserve">haque question posée fait l’objet d’une étude particulière, qui peut conduire le cas échéant à une prise de contact et à des échanges téléphoniques. Lorsque les demandes des entreprises nécessitent l’appui d’une autre </w:t>
      </w:r>
      <w:proofErr w:type="gramStart"/>
      <w:r w:rsidRPr="003838D0">
        <w:rPr>
          <w:rFonts w:asciiTheme="minorHAnsi" w:hAnsiTheme="minorHAnsi" w:cstheme="minorBidi"/>
          <w:i/>
          <w:iCs/>
          <w:sz w:val="22"/>
          <w:szCs w:val="22"/>
        </w:rPr>
        <w:t>administration</w:t>
      </w:r>
      <w:proofErr w:type="gramEnd"/>
      <w:r w:rsidRPr="003838D0">
        <w:rPr>
          <w:rFonts w:asciiTheme="minorHAnsi" w:hAnsiTheme="minorHAnsi" w:cstheme="minorBidi"/>
          <w:i/>
          <w:iCs/>
          <w:sz w:val="22"/>
          <w:szCs w:val="22"/>
        </w:rPr>
        <w:t>, elles sont également transférées aux administrations partenaires de la DG Trésor compétentes (DG</w:t>
      </w:r>
      <w:r>
        <w:rPr>
          <w:rFonts w:asciiTheme="minorHAnsi" w:hAnsiTheme="minorHAnsi" w:cstheme="minorBidi"/>
          <w:i/>
          <w:iCs/>
          <w:sz w:val="22"/>
          <w:szCs w:val="22"/>
        </w:rPr>
        <w:t> </w:t>
      </w:r>
      <w:r w:rsidRPr="003838D0">
        <w:rPr>
          <w:rFonts w:asciiTheme="minorHAnsi" w:hAnsiTheme="minorHAnsi" w:cstheme="minorBidi"/>
          <w:i/>
          <w:iCs/>
          <w:sz w:val="22"/>
          <w:szCs w:val="22"/>
        </w:rPr>
        <w:t>E</w:t>
      </w:r>
      <w:r>
        <w:rPr>
          <w:rFonts w:asciiTheme="minorHAnsi" w:hAnsiTheme="minorHAnsi" w:cstheme="minorBidi"/>
          <w:i/>
          <w:iCs/>
          <w:sz w:val="22"/>
          <w:szCs w:val="22"/>
        </w:rPr>
        <w:t>ntreprises et</w:t>
      </w:r>
      <w:r w:rsidRPr="003838D0">
        <w:rPr>
          <w:rFonts w:asciiTheme="minorHAnsi" w:hAnsiTheme="minorHAnsi" w:cstheme="minorBidi"/>
          <w:i/>
          <w:iCs/>
          <w:sz w:val="22"/>
          <w:szCs w:val="22"/>
        </w:rPr>
        <w:t xml:space="preserve"> </w:t>
      </w:r>
      <w:r>
        <w:rPr>
          <w:rFonts w:asciiTheme="minorHAnsi" w:hAnsiTheme="minorHAnsi" w:cstheme="minorBidi"/>
          <w:i/>
          <w:iCs/>
          <w:sz w:val="22"/>
          <w:szCs w:val="22"/>
        </w:rPr>
        <w:t>DG Douanes</w:t>
      </w:r>
      <w:r w:rsidRPr="003838D0">
        <w:rPr>
          <w:rFonts w:asciiTheme="minorHAnsi" w:hAnsiTheme="minorHAnsi" w:cstheme="minorBidi"/>
          <w:i/>
          <w:iCs/>
          <w:sz w:val="22"/>
          <w:szCs w:val="22"/>
        </w:rPr>
        <w:t xml:space="preserve"> notamment).</w:t>
      </w:r>
      <w:r>
        <w:rPr>
          <w:rFonts w:asciiTheme="minorHAnsi" w:hAnsiTheme="minorHAnsi" w:cstheme="minorBidi"/>
          <w:i/>
          <w:iCs/>
          <w:sz w:val="22"/>
          <w:szCs w:val="22"/>
        </w:rPr>
        <w:t xml:space="preserve"> C</w:t>
      </w:r>
      <w:r w:rsidRPr="003838D0">
        <w:rPr>
          <w:rFonts w:asciiTheme="minorHAnsi" w:hAnsiTheme="minorHAnsi" w:cstheme="minorBidi"/>
          <w:i/>
          <w:iCs/>
          <w:sz w:val="22"/>
          <w:szCs w:val="22"/>
        </w:rPr>
        <w:t>ompte tenu du nombre important de demandes déposées, </w:t>
      </w:r>
      <w:r>
        <w:rPr>
          <w:rFonts w:asciiTheme="minorHAnsi" w:hAnsiTheme="minorHAnsi" w:cstheme="minorBidi"/>
          <w:i/>
          <w:iCs/>
          <w:sz w:val="22"/>
          <w:szCs w:val="22"/>
        </w:rPr>
        <w:t xml:space="preserve">la Direction générale du Trésor n’est pas en mesure d’indiquer un </w:t>
      </w:r>
      <w:r w:rsidRPr="003838D0">
        <w:rPr>
          <w:rFonts w:asciiTheme="minorHAnsi" w:hAnsiTheme="minorHAnsi" w:cstheme="minorBidi"/>
          <w:i/>
          <w:iCs/>
          <w:sz w:val="22"/>
          <w:szCs w:val="22"/>
        </w:rPr>
        <w:t>délai moyen de réponse.</w:t>
      </w:r>
    </w:p>
    <w:p w14:paraId="6818BF88" w14:textId="77777777" w:rsidR="00D6557E" w:rsidRDefault="00D6557E" w:rsidP="00D6557E">
      <w:pPr>
        <w:jc w:val="both"/>
        <w:rPr>
          <w:rFonts w:asciiTheme="minorHAnsi" w:hAnsiTheme="minorHAnsi" w:cstheme="minorBidi"/>
          <w:lang w:val="fr-FR"/>
        </w:rPr>
      </w:pPr>
    </w:p>
    <w:p w14:paraId="1878B866" w14:textId="77777777" w:rsidR="00D6557E" w:rsidRPr="003838D0" w:rsidRDefault="00D6557E" w:rsidP="00D6557E">
      <w:pPr>
        <w:jc w:val="both"/>
        <w:rPr>
          <w:rFonts w:asciiTheme="minorHAnsi" w:hAnsiTheme="minorHAnsi" w:cstheme="minorBidi"/>
          <w:i/>
          <w:iCs/>
          <w:lang w:val="fr-FR"/>
        </w:rPr>
      </w:pPr>
      <w:r w:rsidRPr="003838D0">
        <w:rPr>
          <w:rFonts w:asciiTheme="minorHAnsi" w:hAnsiTheme="minorHAnsi" w:cstheme="minorBidi"/>
          <w:b/>
          <w:bCs/>
          <w:i/>
          <w:iCs/>
          <w:lang w:val="fr-FR"/>
        </w:rPr>
        <w:t>Concernant les nouvelles sanctions en cours de discussions</w:t>
      </w:r>
      <w:r w:rsidRPr="003838D0">
        <w:rPr>
          <w:rFonts w:asciiTheme="minorHAnsi" w:hAnsiTheme="minorHAnsi" w:cstheme="minorBidi"/>
          <w:i/>
          <w:iCs/>
          <w:lang w:val="fr-FR"/>
        </w:rPr>
        <w:t xml:space="preserve">, la DG Trésor est mobilisée sur l’étude d’impact des sanctions en vigueur, et est associée à la réflexion sur la mise en œuvre de </w:t>
      </w:r>
      <w:r>
        <w:rPr>
          <w:rFonts w:asciiTheme="minorHAnsi" w:hAnsiTheme="minorHAnsi" w:cstheme="minorBidi"/>
          <w:i/>
          <w:iCs/>
          <w:lang w:val="fr-FR"/>
        </w:rPr>
        <w:t xml:space="preserve">ces </w:t>
      </w:r>
      <w:r w:rsidRPr="003838D0">
        <w:rPr>
          <w:rFonts w:asciiTheme="minorHAnsi" w:hAnsiTheme="minorHAnsi" w:cstheme="minorBidi"/>
          <w:i/>
          <w:iCs/>
          <w:lang w:val="fr-FR"/>
        </w:rPr>
        <w:t xml:space="preserve">nouvelles mesures. Elle ne peut néanmoins </w:t>
      </w:r>
      <w:r>
        <w:rPr>
          <w:rFonts w:asciiTheme="minorHAnsi" w:hAnsiTheme="minorHAnsi" w:cstheme="minorBidi"/>
          <w:i/>
          <w:iCs/>
          <w:lang w:val="fr-FR"/>
        </w:rPr>
        <w:t xml:space="preserve">pas </w:t>
      </w:r>
      <w:r w:rsidRPr="003838D0">
        <w:rPr>
          <w:rFonts w:asciiTheme="minorHAnsi" w:hAnsiTheme="minorHAnsi" w:cstheme="minorBidi"/>
          <w:i/>
          <w:iCs/>
          <w:lang w:val="fr-FR"/>
        </w:rPr>
        <w:t>se prononcer ou communiquer sur des mesures tant que leur entrée en vigueur n’est pas effective, et tient régulièrement informées les entreprises lorsque leur adoption intervient.</w:t>
      </w:r>
    </w:p>
    <w:p w14:paraId="6A46DB6C" w14:textId="77777777" w:rsidR="00D6557E" w:rsidRPr="008F11A5" w:rsidRDefault="00D6557E" w:rsidP="00D6557E">
      <w:pPr>
        <w:jc w:val="both"/>
        <w:rPr>
          <w:rFonts w:asciiTheme="minorHAnsi" w:hAnsiTheme="minorHAnsi" w:cstheme="minorBidi"/>
          <w:i/>
          <w:iCs/>
          <w:lang w:val="fr-FR"/>
        </w:rPr>
      </w:pPr>
    </w:p>
    <w:p w14:paraId="260D900B" w14:textId="4A69B2EF" w:rsidR="00F73A34" w:rsidRPr="003838D0" w:rsidRDefault="00D6557E" w:rsidP="003838D0">
      <w:pPr>
        <w:pStyle w:val="Corpsdetexte"/>
        <w:jc w:val="both"/>
        <w:rPr>
          <w:rFonts w:asciiTheme="minorHAnsi" w:eastAsia="NSimSun" w:hAnsiTheme="minorHAnsi" w:cstheme="minorBidi"/>
          <w:b/>
          <w:bCs/>
          <w:i/>
          <w:iCs/>
          <w:kern w:val="3"/>
          <w:lang w:eastAsia="zh-CN" w:bidi="hi-IN"/>
        </w:rPr>
      </w:pPr>
      <w:r w:rsidRPr="003838D0">
        <w:rPr>
          <w:rFonts w:asciiTheme="minorHAnsi" w:hAnsiTheme="minorHAnsi" w:cstheme="minorBidi"/>
          <w:b/>
          <w:bCs/>
          <w:i/>
          <w:iCs/>
          <w:sz w:val="22"/>
          <w:szCs w:val="22"/>
        </w:rPr>
        <w:t>L’ensemble des équipes de la DG Trésor sont mobilisées pour répondre au plus vite à l’ensemble des interrogations qui sont déposées sur les boîtes électroniques fonctionnelles dédiées aux sanctions.</w:t>
      </w:r>
      <w:r w:rsidR="00F73A34" w:rsidRPr="003838D0">
        <w:rPr>
          <w:rFonts w:asciiTheme="minorHAnsi" w:hAnsiTheme="minorHAnsi" w:cstheme="minorBidi"/>
          <w:b/>
          <w:bCs/>
          <w:i/>
          <w:iCs/>
          <w:sz w:val="22"/>
          <w:szCs w:val="22"/>
        </w:rPr>
        <w:br w:type="page"/>
      </w:r>
    </w:p>
    <w:sdt>
      <w:sdtPr>
        <w:rPr>
          <w:rFonts w:asciiTheme="minorHAnsi" w:eastAsiaTheme="minorHAnsi" w:hAnsiTheme="minorHAnsi" w:cstheme="minorHAnsi"/>
          <w:color w:val="auto"/>
          <w:sz w:val="22"/>
          <w:szCs w:val="22"/>
          <w:lang w:val="en-US" w:eastAsia="en-US"/>
        </w:rPr>
        <w:id w:val="-566875425"/>
        <w:docPartObj>
          <w:docPartGallery w:val="Table of Contents"/>
          <w:docPartUnique/>
        </w:docPartObj>
      </w:sdtPr>
      <w:sdtEndPr>
        <w:rPr>
          <w:b/>
          <w:bCs/>
        </w:rPr>
      </w:sdtEndPr>
      <w:sdtContent>
        <w:p w14:paraId="2EA3A61B" w14:textId="77777777" w:rsidR="002E1255" w:rsidRPr="00057705" w:rsidRDefault="002E1255" w:rsidP="00EC7BFF">
          <w:pPr>
            <w:pStyle w:val="En-ttedetabledesmatires"/>
            <w:spacing w:line="240" w:lineRule="auto"/>
            <w:jc w:val="both"/>
            <w:rPr>
              <w:rFonts w:asciiTheme="minorHAnsi" w:hAnsiTheme="minorHAnsi" w:cstheme="minorHAnsi"/>
              <w:color w:val="auto"/>
              <w:sz w:val="22"/>
              <w:szCs w:val="22"/>
            </w:rPr>
          </w:pPr>
        </w:p>
        <w:p w14:paraId="66AADF78" w14:textId="4F6FE919" w:rsidR="00C812F1" w:rsidRDefault="002E1255">
          <w:pPr>
            <w:pStyle w:val="TM2"/>
            <w:tabs>
              <w:tab w:val="right" w:leader="dot" w:pos="9972"/>
            </w:tabs>
            <w:rPr>
              <w:rFonts w:cstheme="minorBidi"/>
              <w:noProof/>
            </w:rPr>
          </w:pPr>
          <w:r w:rsidRPr="00057705">
            <w:rPr>
              <w:rFonts w:cstheme="minorHAnsi"/>
              <w:b/>
              <w:bCs/>
            </w:rPr>
            <w:fldChar w:fldCharType="begin"/>
          </w:r>
          <w:r w:rsidRPr="00057705">
            <w:rPr>
              <w:rFonts w:cstheme="minorHAnsi"/>
              <w:b/>
              <w:bCs/>
            </w:rPr>
            <w:instrText xml:space="preserve"> TOC \o "1-3" \h \z \u </w:instrText>
          </w:r>
          <w:r w:rsidRPr="00057705">
            <w:rPr>
              <w:rFonts w:cstheme="minorHAnsi"/>
              <w:b/>
              <w:bCs/>
            </w:rPr>
            <w:fldChar w:fldCharType="separate"/>
          </w:r>
          <w:hyperlink w:anchor="_Toc117868027" w:history="1">
            <w:r w:rsidR="00C812F1" w:rsidRPr="00496EB5">
              <w:rPr>
                <w:rStyle w:val="Lienhypertexte"/>
                <w:rFonts w:ascii="Marianne" w:hAnsi="Marianne" w:cstheme="minorHAnsi"/>
                <w:b/>
                <w:noProof/>
              </w:rPr>
              <w:t>C – FINANCE ET SECTEUR BANCAIRE (REGLEMENT 833/2014)</w:t>
            </w:r>
            <w:r w:rsidR="00C812F1">
              <w:rPr>
                <w:noProof/>
                <w:webHidden/>
              </w:rPr>
              <w:tab/>
            </w:r>
            <w:r w:rsidR="00C812F1">
              <w:rPr>
                <w:noProof/>
                <w:webHidden/>
              </w:rPr>
              <w:fldChar w:fldCharType="begin"/>
            </w:r>
            <w:r w:rsidR="00C812F1">
              <w:rPr>
                <w:noProof/>
                <w:webHidden/>
              </w:rPr>
              <w:instrText xml:space="preserve"> PAGEREF _Toc117868027 \h </w:instrText>
            </w:r>
            <w:r w:rsidR="00C812F1">
              <w:rPr>
                <w:noProof/>
                <w:webHidden/>
              </w:rPr>
            </w:r>
            <w:r w:rsidR="00C812F1">
              <w:rPr>
                <w:noProof/>
                <w:webHidden/>
              </w:rPr>
              <w:fldChar w:fldCharType="separate"/>
            </w:r>
            <w:r w:rsidR="00C812F1">
              <w:rPr>
                <w:noProof/>
                <w:webHidden/>
              </w:rPr>
              <w:t>3</w:t>
            </w:r>
            <w:r w:rsidR="00C812F1">
              <w:rPr>
                <w:noProof/>
                <w:webHidden/>
              </w:rPr>
              <w:fldChar w:fldCharType="end"/>
            </w:r>
          </w:hyperlink>
        </w:p>
        <w:p w14:paraId="444BEE63" w14:textId="0F9904CD" w:rsidR="00C812F1" w:rsidRPr="00C812F1" w:rsidRDefault="007709B3">
          <w:pPr>
            <w:pStyle w:val="TM3"/>
            <w:tabs>
              <w:tab w:val="left" w:pos="880"/>
              <w:tab w:val="right" w:leader="dot" w:pos="9972"/>
            </w:tabs>
            <w:rPr>
              <w:rFonts w:cstheme="minorHAnsi"/>
              <w:noProof/>
            </w:rPr>
          </w:pPr>
          <w:hyperlink w:anchor="_Toc117868028" w:history="1">
            <w:r w:rsidR="00C812F1" w:rsidRPr="00C812F1">
              <w:rPr>
                <w:rStyle w:val="Lienhypertexte"/>
                <w:rFonts w:cstheme="minorHAnsi"/>
                <w:noProof/>
              </w:rPr>
              <w:t>a.</w:t>
            </w:r>
            <w:r w:rsidR="00C812F1" w:rsidRPr="00C812F1">
              <w:rPr>
                <w:rFonts w:cstheme="minorHAnsi"/>
                <w:noProof/>
              </w:rPr>
              <w:tab/>
            </w:r>
            <w:r w:rsidR="00C812F1" w:rsidRPr="00C812F1">
              <w:rPr>
                <w:rStyle w:val="Lienhypertexte"/>
                <w:rFonts w:cstheme="minorHAnsi"/>
                <w:noProof/>
              </w:rPr>
              <w:t>Mesures relatives à la Banque centrale de Russie et fonds souverain</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_Toc117868028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3</w:t>
            </w:r>
            <w:r w:rsidR="00C812F1" w:rsidRPr="00C812F1">
              <w:rPr>
                <w:rFonts w:cstheme="minorHAnsi"/>
                <w:noProof/>
                <w:webHidden/>
              </w:rPr>
              <w:fldChar w:fldCharType="end"/>
            </w:r>
          </w:hyperlink>
        </w:p>
        <w:p w14:paraId="3005261B" w14:textId="7A03B82E" w:rsidR="00C812F1" w:rsidRPr="00C812F1" w:rsidRDefault="007709B3">
          <w:pPr>
            <w:pStyle w:val="TM3"/>
            <w:tabs>
              <w:tab w:val="left" w:pos="880"/>
              <w:tab w:val="right" w:leader="dot" w:pos="9972"/>
            </w:tabs>
            <w:rPr>
              <w:rFonts w:cstheme="minorHAnsi"/>
              <w:noProof/>
            </w:rPr>
          </w:pPr>
          <w:hyperlink w:anchor="_Toc117868029" w:history="1">
            <w:r w:rsidR="00C812F1" w:rsidRPr="00C812F1">
              <w:rPr>
                <w:rStyle w:val="Lienhypertexte"/>
                <w:rFonts w:cstheme="minorHAnsi"/>
                <w:noProof/>
              </w:rPr>
              <w:t>b.</w:t>
            </w:r>
            <w:r w:rsidR="00C812F1" w:rsidRPr="00C812F1">
              <w:rPr>
                <w:rFonts w:cstheme="minorHAnsi"/>
                <w:noProof/>
              </w:rPr>
              <w:tab/>
            </w:r>
            <w:r w:rsidR="00C812F1" w:rsidRPr="00C812F1">
              <w:rPr>
                <w:rStyle w:val="Lienhypertexte"/>
                <w:rFonts w:cstheme="minorHAnsi"/>
                <w:noProof/>
              </w:rPr>
              <w:t>Valeurs mobilières</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_Toc117868029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3</w:t>
            </w:r>
            <w:r w:rsidR="00C812F1" w:rsidRPr="00C812F1">
              <w:rPr>
                <w:rFonts w:cstheme="minorHAnsi"/>
                <w:noProof/>
                <w:webHidden/>
              </w:rPr>
              <w:fldChar w:fldCharType="end"/>
            </w:r>
          </w:hyperlink>
        </w:p>
        <w:p w14:paraId="5093A0FD" w14:textId="1D50336F" w:rsidR="00C812F1" w:rsidRPr="00C812F1" w:rsidRDefault="007709B3">
          <w:pPr>
            <w:pStyle w:val="TM3"/>
            <w:tabs>
              <w:tab w:val="left" w:pos="880"/>
              <w:tab w:val="right" w:leader="dot" w:pos="9972"/>
            </w:tabs>
            <w:rPr>
              <w:rFonts w:cstheme="minorHAnsi"/>
              <w:noProof/>
            </w:rPr>
          </w:pPr>
          <w:hyperlink w:anchor="_Toc117868030" w:history="1">
            <w:r w:rsidR="00C812F1" w:rsidRPr="00C812F1">
              <w:rPr>
                <w:rStyle w:val="Lienhypertexte"/>
                <w:rFonts w:cstheme="minorHAnsi"/>
                <w:noProof/>
              </w:rPr>
              <w:t>c.</w:t>
            </w:r>
            <w:r w:rsidR="00C812F1" w:rsidRPr="00C812F1">
              <w:rPr>
                <w:rFonts w:cstheme="minorHAnsi"/>
                <w:noProof/>
              </w:rPr>
              <w:tab/>
            </w:r>
            <w:r w:rsidR="00C812F1" w:rsidRPr="00C812F1">
              <w:rPr>
                <w:rStyle w:val="Lienhypertexte"/>
                <w:rFonts w:cstheme="minorHAnsi"/>
                <w:noProof/>
              </w:rPr>
              <w:t>Banques commerciales</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_Toc117868030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5</w:t>
            </w:r>
            <w:r w:rsidR="00C812F1" w:rsidRPr="00C812F1">
              <w:rPr>
                <w:rFonts w:cstheme="minorHAnsi"/>
                <w:noProof/>
                <w:webHidden/>
              </w:rPr>
              <w:fldChar w:fldCharType="end"/>
            </w:r>
          </w:hyperlink>
        </w:p>
        <w:p w14:paraId="4A93F92E" w14:textId="1383F221" w:rsidR="00C812F1" w:rsidRPr="00C812F1" w:rsidRDefault="007709B3">
          <w:pPr>
            <w:pStyle w:val="TM3"/>
            <w:tabs>
              <w:tab w:val="left" w:pos="880"/>
              <w:tab w:val="right" w:leader="dot" w:pos="9972"/>
            </w:tabs>
            <w:rPr>
              <w:rFonts w:cstheme="minorHAnsi"/>
              <w:noProof/>
            </w:rPr>
          </w:pPr>
          <w:hyperlink w:anchor="_Toc117868031" w:history="1">
            <w:r w:rsidR="00C812F1" w:rsidRPr="00C812F1">
              <w:rPr>
                <w:rStyle w:val="Lienhypertexte"/>
                <w:rFonts w:cstheme="minorHAnsi"/>
                <w:noProof/>
              </w:rPr>
              <w:t>d.</w:t>
            </w:r>
            <w:r w:rsidR="00C812F1" w:rsidRPr="00C812F1">
              <w:rPr>
                <w:rFonts w:cstheme="minorHAnsi"/>
                <w:noProof/>
              </w:rPr>
              <w:tab/>
            </w:r>
            <w:r w:rsidR="00C812F1" w:rsidRPr="00C812F1">
              <w:rPr>
                <w:rStyle w:val="Lienhypertexte"/>
                <w:rFonts w:cstheme="minorHAnsi"/>
                <w:noProof/>
              </w:rPr>
              <w:t>Crypto-actifs</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_Toc117868031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6</w:t>
            </w:r>
            <w:r w:rsidR="00C812F1" w:rsidRPr="00C812F1">
              <w:rPr>
                <w:rFonts w:cstheme="minorHAnsi"/>
                <w:noProof/>
                <w:webHidden/>
              </w:rPr>
              <w:fldChar w:fldCharType="end"/>
            </w:r>
          </w:hyperlink>
        </w:p>
        <w:p w14:paraId="29CB2970" w14:textId="60CE5FCE" w:rsidR="00C812F1" w:rsidRPr="00C812F1" w:rsidRDefault="007709B3">
          <w:pPr>
            <w:pStyle w:val="TM3"/>
            <w:tabs>
              <w:tab w:val="left" w:pos="880"/>
              <w:tab w:val="right" w:leader="dot" w:pos="9972"/>
            </w:tabs>
            <w:rPr>
              <w:rFonts w:cstheme="minorHAnsi"/>
              <w:noProof/>
            </w:rPr>
          </w:pPr>
          <w:hyperlink w:anchor="_Toc117868032" w:history="1">
            <w:r w:rsidR="00C812F1" w:rsidRPr="00C812F1">
              <w:rPr>
                <w:rStyle w:val="Lienhypertexte"/>
                <w:rFonts w:cstheme="minorHAnsi"/>
                <w:noProof/>
              </w:rPr>
              <w:t>e.</w:t>
            </w:r>
            <w:r w:rsidR="00C812F1" w:rsidRPr="00C812F1">
              <w:rPr>
                <w:rFonts w:cstheme="minorHAnsi"/>
                <w:noProof/>
              </w:rPr>
              <w:tab/>
            </w:r>
            <w:r w:rsidR="00C812F1" w:rsidRPr="00C812F1">
              <w:rPr>
                <w:rStyle w:val="Lienhypertexte"/>
                <w:rFonts w:cstheme="minorHAnsi"/>
                <w:noProof/>
              </w:rPr>
              <w:t>Dépôts</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_Toc117868032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6</w:t>
            </w:r>
            <w:r w:rsidR="00C812F1" w:rsidRPr="00C812F1">
              <w:rPr>
                <w:rFonts w:cstheme="minorHAnsi"/>
                <w:noProof/>
                <w:webHidden/>
              </w:rPr>
              <w:fldChar w:fldCharType="end"/>
            </w:r>
          </w:hyperlink>
        </w:p>
        <w:p w14:paraId="72016B5A" w14:textId="5EEB55A6" w:rsidR="00C812F1" w:rsidRPr="00C812F1" w:rsidRDefault="007709B3">
          <w:pPr>
            <w:pStyle w:val="TM3"/>
            <w:tabs>
              <w:tab w:val="left" w:pos="880"/>
              <w:tab w:val="right" w:leader="dot" w:pos="9972"/>
            </w:tabs>
            <w:rPr>
              <w:rFonts w:cstheme="minorHAnsi"/>
              <w:noProof/>
            </w:rPr>
          </w:pPr>
          <w:hyperlink w:anchor="_Toc117868033" w:history="1">
            <w:r w:rsidR="00C812F1" w:rsidRPr="00C812F1">
              <w:rPr>
                <w:rStyle w:val="Lienhypertexte"/>
                <w:rFonts w:cstheme="minorHAnsi"/>
                <w:noProof/>
              </w:rPr>
              <w:t>f.</w:t>
            </w:r>
            <w:r w:rsidR="00C812F1" w:rsidRPr="00C812F1">
              <w:rPr>
                <w:rFonts w:cstheme="minorHAnsi"/>
                <w:noProof/>
              </w:rPr>
              <w:tab/>
            </w:r>
            <w:r w:rsidR="00C812F1" w:rsidRPr="00C812F1">
              <w:rPr>
                <w:rStyle w:val="Lienhypertexte"/>
                <w:rFonts w:cstheme="minorHAnsi"/>
                <w:noProof/>
              </w:rPr>
              <w:t>Monnaies fiduciaires et métalliques</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_Toc117868033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9</w:t>
            </w:r>
            <w:r w:rsidR="00C812F1" w:rsidRPr="00C812F1">
              <w:rPr>
                <w:rFonts w:cstheme="minorHAnsi"/>
                <w:noProof/>
                <w:webHidden/>
              </w:rPr>
              <w:fldChar w:fldCharType="end"/>
            </w:r>
          </w:hyperlink>
        </w:p>
        <w:p w14:paraId="3B804858" w14:textId="49E3E3DF" w:rsidR="00C812F1" w:rsidRPr="00C812F1" w:rsidRDefault="007709B3">
          <w:pPr>
            <w:pStyle w:val="TM3"/>
            <w:tabs>
              <w:tab w:val="left" w:pos="880"/>
              <w:tab w:val="right" w:leader="dot" w:pos="9972"/>
            </w:tabs>
            <w:rPr>
              <w:rFonts w:cstheme="minorHAnsi"/>
              <w:noProof/>
            </w:rPr>
          </w:pPr>
          <w:hyperlink w:anchor="_Toc117868034" w:history="1">
            <w:r w:rsidR="00C812F1" w:rsidRPr="00C812F1">
              <w:rPr>
                <w:rStyle w:val="Lienhypertexte"/>
                <w:rFonts w:cstheme="minorHAnsi"/>
                <w:noProof/>
              </w:rPr>
              <w:t>g.</w:t>
            </w:r>
            <w:r w:rsidR="00C812F1" w:rsidRPr="00C812F1">
              <w:rPr>
                <w:rFonts w:cstheme="minorHAnsi"/>
                <w:noProof/>
              </w:rPr>
              <w:tab/>
            </w:r>
            <w:r w:rsidR="00C812F1" w:rsidRPr="00C812F1">
              <w:rPr>
                <w:rStyle w:val="Lienhypertexte"/>
                <w:rFonts w:cstheme="minorHAnsi"/>
                <w:noProof/>
              </w:rPr>
              <w:t>Mesures relatives au National Settlement Depositary (NSD)</w:t>
            </w:r>
            <w:r w:rsidR="00C812F1" w:rsidRPr="00C812F1">
              <w:rPr>
                <w:rFonts w:cstheme="minorHAnsi"/>
                <w:noProof/>
                <w:webHidden/>
              </w:rPr>
              <w:tab/>
            </w:r>
            <w:r w:rsidR="00C812F1" w:rsidRPr="00C812F1">
              <w:rPr>
                <w:rFonts w:cstheme="minorHAnsi"/>
                <w:noProof/>
                <w:webHidden/>
              </w:rPr>
              <w:fldChar w:fldCharType="begin"/>
            </w:r>
            <w:r w:rsidR="00C812F1" w:rsidRPr="00C812F1">
              <w:rPr>
                <w:rFonts w:cstheme="minorHAnsi"/>
                <w:noProof/>
                <w:webHidden/>
              </w:rPr>
              <w:instrText xml:space="preserve"> PAGEREF _Toc117868034 \h </w:instrText>
            </w:r>
            <w:r w:rsidR="00C812F1" w:rsidRPr="00C812F1">
              <w:rPr>
                <w:rFonts w:cstheme="minorHAnsi"/>
                <w:noProof/>
                <w:webHidden/>
              </w:rPr>
            </w:r>
            <w:r w:rsidR="00C812F1" w:rsidRPr="00C812F1">
              <w:rPr>
                <w:rFonts w:cstheme="minorHAnsi"/>
                <w:noProof/>
                <w:webHidden/>
              </w:rPr>
              <w:fldChar w:fldCharType="separate"/>
            </w:r>
            <w:r w:rsidR="00C812F1" w:rsidRPr="00C812F1">
              <w:rPr>
                <w:rFonts w:cstheme="minorHAnsi"/>
                <w:noProof/>
                <w:webHidden/>
              </w:rPr>
              <w:t>10</w:t>
            </w:r>
            <w:r w:rsidR="00C812F1" w:rsidRPr="00C812F1">
              <w:rPr>
                <w:rFonts w:cstheme="minorHAnsi"/>
                <w:noProof/>
                <w:webHidden/>
              </w:rPr>
              <w:fldChar w:fldCharType="end"/>
            </w:r>
          </w:hyperlink>
        </w:p>
        <w:p w14:paraId="07C87EFB" w14:textId="43641A21" w:rsidR="007A2E2F" w:rsidRPr="007121C1" w:rsidRDefault="002E1255" w:rsidP="007121C1">
          <w:pPr>
            <w:jc w:val="both"/>
            <w:rPr>
              <w:rFonts w:asciiTheme="minorHAnsi" w:hAnsiTheme="minorHAnsi" w:cstheme="minorHAnsi"/>
              <w:lang w:val="fr-FR"/>
            </w:rPr>
          </w:pPr>
          <w:r w:rsidRPr="00057705">
            <w:rPr>
              <w:rFonts w:asciiTheme="minorHAnsi" w:hAnsiTheme="minorHAnsi" w:cstheme="minorHAnsi"/>
              <w:b/>
              <w:bCs/>
              <w:lang w:val="fr-FR"/>
            </w:rPr>
            <w:fldChar w:fldCharType="end"/>
          </w:r>
        </w:p>
      </w:sdtContent>
    </w:sdt>
    <w:p w14:paraId="31BC24F9" w14:textId="77777777" w:rsidR="002B1977" w:rsidRDefault="002B1977" w:rsidP="00F4646B">
      <w:pPr>
        <w:pStyle w:val="Titre1"/>
        <w:rPr>
          <w:rFonts w:asciiTheme="minorHAnsi" w:hAnsiTheme="minorHAnsi" w:cstheme="minorHAnsi"/>
          <w:sz w:val="22"/>
          <w:szCs w:val="22"/>
        </w:rPr>
      </w:pPr>
    </w:p>
    <w:p w14:paraId="19E32A5E" w14:textId="77777777" w:rsidR="00AC3570" w:rsidRDefault="00AC3570">
      <w:pPr>
        <w:widowControl/>
        <w:autoSpaceDE/>
        <w:autoSpaceDN/>
        <w:spacing w:after="160" w:line="259" w:lineRule="auto"/>
        <w:rPr>
          <w:rFonts w:asciiTheme="minorHAnsi" w:hAnsiTheme="minorHAnsi" w:cstheme="minorBidi"/>
          <w:b/>
          <w:bCs/>
          <w:lang w:val="fr-FR"/>
        </w:rPr>
      </w:pPr>
      <w:r>
        <w:rPr>
          <w:rFonts w:asciiTheme="minorHAnsi" w:hAnsiTheme="minorHAnsi" w:cstheme="minorBidi"/>
        </w:rPr>
        <w:br w:type="page"/>
      </w:r>
    </w:p>
    <w:p w14:paraId="34665244" w14:textId="72110A92" w:rsidR="00475358" w:rsidRPr="00CF08BE" w:rsidRDefault="00453A86" w:rsidP="00475358">
      <w:pPr>
        <w:pStyle w:val="Titre2"/>
        <w:rPr>
          <w:rFonts w:ascii="Marianne" w:hAnsi="Marianne" w:cstheme="minorHAnsi"/>
          <w:b/>
          <w:color w:val="000091"/>
          <w:sz w:val="24"/>
          <w:szCs w:val="24"/>
          <w:lang w:val="fr-FR"/>
        </w:rPr>
      </w:pPr>
      <w:bookmarkStart w:id="1" w:name="_Toc117868027"/>
      <w:r w:rsidRPr="00CF08BE">
        <w:rPr>
          <w:rFonts w:ascii="Marianne" w:hAnsi="Marianne" w:cstheme="minorHAnsi"/>
          <w:b/>
          <w:color w:val="000091"/>
          <w:sz w:val="24"/>
          <w:szCs w:val="24"/>
          <w:lang w:val="fr-FR"/>
        </w:rPr>
        <w:lastRenderedPageBreak/>
        <w:t>C</w:t>
      </w:r>
      <w:r w:rsidR="00572F03" w:rsidRPr="00CF08BE">
        <w:rPr>
          <w:rFonts w:ascii="Marianne" w:hAnsi="Marianne" w:cstheme="minorHAnsi"/>
          <w:b/>
          <w:color w:val="000091"/>
          <w:sz w:val="24"/>
          <w:szCs w:val="24"/>
          <w:lang w:val="fr-FR"/>
        </w:rPr>
        <w:t xml:space="preserve"> – FINANCE ET SECTEUR BANCAIRE (REGLEMENT 833/2014)</w:t>
      </w:r>
      <w:bookmarkEnd w:id="1"/>
    </w:p>
    <w:p w14:paraId="546EBF1D" w14:textId="77777777" w:rsidR="00475358" w:rsidRPr="00057705" w:rsidRDefault="00475358" w:rsidP="00475358">
      <w:pPr>
        <w:rPr>
          <w:rFonts w:asciiTheme="minorHAnsi" w:hAnsiTheme="minorHAnsi" w:cstheme="minorHAnsi"/>
          <w:caps/>
          <w:lang w:val="fr-FR"/>
        </w:rPr>
      </w:pPr>
    </w:p>
    <w:p w14:paraId="37A68F28" w14:textId="77777777" w:rsidR="007232A8" w:rsidRPr="00546E05" w:rsidRDefault="005919E2" w:rsidP="009D451C">
      <w:pPr>
        <w:pStyle w:val="Titre3"/>
        <w:numPr>
          <w:ilvl w:val="0"/>
          <w:numId w:val="8"/>
        </w:numPr>
        <w:rPr>
          <w:rFonts w:ascii="Marianne" w:hAnsi="Marianne" w:cstheme="minorHAnsi"/>
          <w:b/>
          <w:bCs/>
          <w:color w:val="465F9D"/>
          <w:sz w:val="22"/>
          <w:szCs w:val="22"/>
          <w:lang w:val="fr-FR"/>
        </w:rPr>
      </w:pPr>
      <w:bookmarkStart w:id="2" w:name="_Toc117868028"/>
      <w:r w:rsidRPr="00546E05">
        <w:rPr>
          <w:rFonts w:ascii="Marianne" w:hAnsi="Marianne" w:cstheme="minorHAnsi"/>
          <w:b/>
          <w:bCs/>
          <w:color w:val="465F9D"/>
          <w:sz w:val="22"/>
          <w:szCs w:val="22"/>
          <w:lang w:val="fr-FR"/>
        </w:rPr>
        <w:t xml:space="preserve">Mesures relatives à la </w:t>
      </w:r>
      <w:r w:rsidR="00475358" w:rsidRPr="00546E05">
        <w:rPr>
          <w:rFonts w:ascii="Marianne" w:hAnsi="Marianne" w:cstheme="minorHAnsi"/>
          <w:b/>
          <w:bCs/>
          <w:color w:val="465F9D"/>
          <w:sz w:val="22"/>
          <w:szCs w:val="22"/>
          <w:lang w:val="fr-FR"/>
        </w:rPr>
        <w:t>Banque centrale</w:t>
      </w:r>
      <w:r w:rsidR="00FF471C" w:rsidRPr="00546E05">
        <w:rPr>
          <w:rFonts w:ascii="Marianne" w:hAnsi="Marianne" w:cstheme="minorHAnsi"/>
          <w:b/>
          <w:bCs/>
          <w:color w:val="465F9D"/>
          <w:sz w:val="22"/>
          <w:szCs w:val="22"/>
          <w:lang w:val="fr-FR"/>
        </w:rPr>
        <w:t xml:space="preserve"> </w:t>
      </w:r>
      <w:r w:rsidRPr="00546E05">
        <w:rPr>
          <w:rFonts w:ascii="Marianne" w:hAnsi="Marianne" w:cstheme="minorHAnsi"/>
          <w:b/>
          <w:bCs/>
          <w:color w:val="465F9D"/>
          <w:sz w:val="22"/>
          <w:szCs w:val="22"/>
          <w:lang w:val="fr-FR"/>
        </w:rPr>
        <w:t xml:space="preserve">de Russie </w:t>
      </w:r>
      <w:r w:rsidR="00FF471C" w:rsidRPr="00546E05">
        <w:rPr>
          <w:rFonts w:ascii="Marianne" w:hAnsi="Marianne" w:cstheme="minorHAnsi"/>
          <w:b/>
          <w:bCs/>
          <w:color w:val="465F9D"/>
          <w:sz w:val="22"/>
          <w:szCs w:val="22"/>
          <w:lang w:val="fr-FR"/>
        </w:rPr>
        <w:t>et fond</w:t>
      </w:r>
      <w:r w:rsidR="0012006A" w:rsidRPr="00546E05">
        <w:rPr>
          <w:rFonts w:ascii="Marianne" w:hAnsi="Marianne" w:cstheme="minorHAnsi"/>
          <w:b/>
          <w:bCs/>
          <w:color w:val="465F9D"/>
          <w:sz w:val="22"/>
          <w:szCs w:val="22"/>
          <w:lang w:val="fr-FR"/>
        </w:rPr>
        <w:t>s</w:t>
      </w:r>
      <w:r w:rsidR="00FF471C" w:rsidRPr="00546E05">
        <w:rPr>
          <w:rFonts w:ascii="Marianne" w:hAnsi="Marianne" w:cstheme="minorHAnsi"/>
          <w:b/>
          <w:bCs/>
          <w:color w:val="465F9D"/>
          <w:sz w:val="22"/>
          <w:szCs w:val="22"/>
          <w:lang w:val="fr-FR"/>
        </w:rPr>
        <w:t xml:space="preserve"> souverain</w:t>
      </w:r>
      <w:bookmarkEnd w:id="2"/>
      <w:r w:rsidR="00FF471C" w:rsidRPr="00546E05">
        <w:rPr>
          <w:rFonts w:ascii="Marianne" w:hAnsi="Marianne" w:cstheme="minorHAnsi"/>
          <w:b/>
          <w:bCs/>
          <w:color w:val="465F9D"/>
          <w:sz w:val="22"/>
          <w:szCs w:val="22"/>
          <w:lang w:val="fr-FR"/>
        </w:rPr>
        <w:t xml:space="preserve"> </w:t>
      </w:r>
    </w:p>
    <w:p w14:paraId="0BCEC049" w14:textId="77777777" w:rsidR="00B23A7C" w:rsidRPr="00057705" w:rsidRDefault="00B23A7C" w:rsidP="00B23A7C">
      <w:pPr>
        <w:rPr>
          <w:rFonts w:asciiTheme="minorHAnsi" w:hAnsiTheme="minorHAnsi" w:cstheme="minorHAnsi"/>
          <w:lang w:val="fr-FR"/>
        </w:rPr>
      </w:pPr>
    </w:p>
    <w:p w14:paraId="279B51CD" w14:textId="0559772D" w:rsidR="0096792A" w:rsidRDefault="0096792A" w:rsidP="0096792A">
      <w:pPr>
        <w:pStyle w:val="Titre4"/>
        <w:numPr>
          <w:ilvl w:val="1"/>
          <w:numId w:val="1"/>
        </w:numPr>
        <w:rPr>
          <w:rFonts w:asciiTheme="minorHAnsi" w:hAnsiTheme="minorHAnsi" w:cstheme="minorHAnsi"/>
          <w:color w:val="auto"/>
          <w:lang w:val="fr-FR"/>
        </w:rPr>
      </w:pPr>
      <w:r>
        <w:rPr>
          <w:rFonts w:asciiTheme="minorHAnsi" w:hAnsiTheme="minorHAnsi" w:cstheme="minorHAnsi"/>
          <w:color w:val="auto"/>
          <w:lang w:val="fr-FR"/>
        </w:rPr>
        <w:t>L’</w:t>
      </w:r>
      <w:r w:rsidR="00DD2B98">
        <w:rPr>
          <w:rFonts w:asciiTheme="minorHAnsi" w:hAnsiTheme="minorHAnsi" w:cstheme="minorHAnsi"/>
          <w:color w:val="auto"/>
          <w:lang w:val="fr-FR"/>
        </w:rPr>
        <w:t>interdiction de l’</w:t>
      </w:r>
      <w:r>
        <w:rPr>
          <w:rFonts w:asciiTheme="minorHAnsi" w:hAnsiTheme="minorHAnsi" w:cstheme="minorHAnsi"/>
          <w:color w:val="auto"/>
          <w:lang w:val="fr-FR"/>
        </w:rPr>
        <w:t xml:space="preserve">article </w:t>
      </w:r>
      <w:r w:rsidR="006247C6">
        <w:rPr>
          <w:rFonts w:asciiTheme="minorHAnsi" w:hAnsiTheme="minorHAnsi" w:cstheme="minorHAnsi"/>
          <w:color w:val="auto"/>
          <w:lang w:val="fr-FR"/>
        </w:rPr>
        <w:t>5 </w:t>
      </w:r>
      <w:r>
        <w:rPr>
          <w:rFonts w:asciiTheme="minorHAnsi" w:hAnsiTheme="minorHAnsi" w:cstheme="minorHAnsi"/>
          <w:color w:val="auto"/>
          <w:lang w:val="fr-FR"/>
        </w:rPr>
        <w:t xml:space="preserve">bis </w:t>
      </w:r>
      <w:r w:rsidR="006247C6">
        <w:rPr>
          <w:rFonts w:asciiTheme="minorHAnsi" w:hAnsiTheme="minorHAnsi" w:cstheme="minorHAnsi"/>
          <w:color w:val="auto"/>
          <w:lang w:val="fr-FR"/>
        </w:rPr>
        <w:t>paragraphe </w:t>
      </w:r>
      <w:r>
        <w:rPr>
          <w:rFonts w:asciiTheme="minorHAnsi" w:hAnsiTheme="minorHAnsi" w:cstheme="minorHAnsi"/>
          <w:color w:val="auto"/>
          <w:lang w:val="fr-FR"/>
        </w:rPr>
        <w:t>4 du règlement s’applique-t-</w:t>
      </w:r>
      <w:r w:rsidR="00DD2B98">
        <w:rPr>
          <w:rFonts w:asciiTheme="minorHAnsi" w:hAnsiTheme="minorHAnsi" w:cstheme="minorHAnsi"/>
          <w:color w:val="auto"/>
          <w:lang w:val="fr-FR"/>
        </w:rPr>
        <w:t>elle également</w:t>
      </w:r>
      <w:r>
        <w:rPr>
          <w:rFonts w:asciiTheme="minorHAnsi" w:hAnsiTheme="minorHAnsi" w:cstheme="minorHAnsi"/>
          <w:color w:val="auto"/>
          <w:lang w:val="fr-FR"/>
        </w:rPr>
        <w:t xml:space="preserve"> aux remboursements d</w:t>
      </w:r>
      <w:r w:rsidR="00DD2B98">
        <w:rPr>
          <w:rFonts w:asciiTheme="minorHAnsi" w:hAnsiTheme="minorHAnsi" w:cstheme="minorHAnsi"/>
          <w:color w:val="auto"/>
          <w:lang w:val="fr-FR"/>
        </w:rPr>
        <w:t>’</w:t>
      </w:r>
      <w:r>
        <w:rPr>
          <w:rFonts w:asciiTheme="minorHAnsi" w:hAnsiTheme="minorHAnsi" w:cstheme="minorHAnsi"/>
          <w:color w:val="auto"/>
          <w:lang w:val="fr-FR"/>
        </w:rPr>
        <w:t>obligations souveraines </w:t>
      </w:r>
      <w:r w:rsidR="00DD2B98">
        <w:rPr>
          <w:rFonts w:asciiTheme="minorHAnsi" w:hAnsiTheme="minorHAnsi" w:cstheme="minorHAnsi"/>
          <w:color w:val="auto"/>
          <w:lang w:val="fr-FR"/>
        </w:rPr>
        <w:t xml:space="preserve">au bénéfice d’entités européennes </w:t>
      </w:r>
      <w:r>
        <w:rPr>
          <w:rFonts w:asciiTheme="minorHAnsi" w:hAnsiTheme="minorHAnsi" w:cstheme="minorHAnsi"/>
          <w:color w:val="auto"/>
          <w:lang w:val="fr-FR"/>
        </w:rPr>
        <w:t>?</w:t>
      </w:r>
    </w:p>
    <w:p w14:paraId="0C9DFDAB" w14:textId="77777777" w:rsidR="0096792A" w:rsidRDefault="0096792A" w:rsidP="0096792A">
      <w:pPr>
        <w:pStyle w:val="Titre4"/>
        <w:rPr>
          <w:rFonts w:asciiTheme="minorHAnsi" w:hAnsiTheme="minorHAnsi" w:cstheme="minorHAnsi"/>
          <w:color w:val="auto"/>
          <w:lang w:val="fr-FR"/>
        </w:rPr>
      </w:pPr>
    </w:p>
    <w:p w14:paraId="24193495" w14:textId="0C652DFE" w:rsidR="00345694" w:rsidRDefault="0096792A" w:rsidP="004D5E4E">
      <w:pPr>
        <w:pStyle w:val="Titre4"/>
        <w:jc w:val="both"/>
        <w:rPr>
          <w:rFonts w:asciiTheme="minorHAnsi" w:hAnsiTheme="minorHAnsi" w:cstheme="minorHAnsi"/>
          <w:i w:val="0"/>
          <w:color w:val="auto"/>
          <w:lang w:val="fr-FR"/>
        </w:rPr>
      </w:pPr>
      <w:r>
        <w:rPr>
          <w:rFonts w:asciiTheme="minorHAnsi" w:hAnsiTheme="minorHAnsi" w:cstheme="minorHAnsi"/>
          <w:i w:val="0"/>
          <w:color w:val="auto"/>
          <w:lang w:val="fr-FR"/>
        </w:rPr>
        <w:t>L</w:t>
      </w:r>
      <w:r w:rsidRPr="0096792A">
        <w:rPr>
          <w:rFonts w:asciiTheme="minorHAnsi" w:hAnsiTheme="minorHAnsi" w:cstheme="minorHAnsi"/>
          <w:i w:val="0"/>
          <w:color w:val="auto"/>
          <w:lang w:val="fr-FR"/>
        </w:rPr>
        <w:t>'article 5 bis, paragraphe 4, du règlement</w:t>
      </w:r>
      <w:r w:rsidR="006247C6">
        <w:rPr>
          <w:rFonts w:asciiTheme="minorHAnsi" w:hAnsiTheme="minorHAnsi" w:cstheme="minorHAnsi"/>
          <w:i w:val="0"/>
          <w:color w:val="auto"/>
          <w:lang w:val="fr-FR"/>
        </w:rPr>
        <w:t> (UE) 833/2014</w:t>
      </w:r>
      <w:r w:rsidRPr="0096792A">
        <w:rPr>
          <w:rFonts w:asciiTheme="minorHAnsi" w:hAnsiTheme="minorHAnsi" w:cstheme="minorHAnsi"/>
          <w:i w:val="0"/>
          <w:color w:val="auto"/>
          <w:lang w:val="fr-FR"/>
        </w:rPr>
        <w:t xml:space="preserve"> </w:t>
      </w:r>
      <w:r w:rsidR="00345694">
        <w:rPr>
          <w:rFonts w:asciiTheme="minorHAnsi" w:hAnsiTheme="minorHAnsi" w:cstheme="minorHAnsi"/>
          <w:i w:val="0"/>
          <w:color w:val="auto"/>
          <w:lang w:val="fr-FR"/>
        </w:rPr>
        <w:t xml:space="preserve">interdit toute </w:t>
      </w:r>
      <w:r w:rsidR="00345694" w:rsidRPr="00345694">
        <w:rPr>
          <w:rFonts w:asciiTheme="minorHAnsi" w:hAnsiTheme="minorHAnsi" w:cstheme="minorHAnsi"/>
          <w:i w:val="0"/>
          <w:color w:val="auto"/>
          <w:lang w:val="fr-FR"/>
        </w:rPr>
        <w:t xml:space="preserve">transaction liée à la gestion des réserves et des avoirs de la Banque centrale de Russie, y compris les transactions avec toute personne morale, toute entité ou tout organisme agissant pour le compte ou sur les instructions de la Banque centrale de Russie, tel </w:t>
      </w:r>
      <w:r w:rsidR="00A6054A" w:rsidRPr="00345694">
        <w:rPr>
          <w:rFonts w:asciiTheme="minorHAnsi" w:hAnsiTheme="minorHAnsi" w:cstheme="minorHAnsi"/>
          <w:i w:val="0"/>
          <w:color w:val="auto"/>
          <w:lang w:val="fr-FR"/>
        </w:rPr>
        <w:t>le</w:t>
      </w:r>
      <w:r w:rsidR="00A6054A">
        <w:rPr>
          <w:rFonts w:asciiTheme="minorHAnsi" w:hAnsiTheme="minorHAnsi" w:cstheme="minorHAnsi"/>
          <w:i w:val="0"/>
          <w:color w:val="auto"/>
          <w:lang w:val="fr-FR"/>
        </w:rPr>
        <w:t> </w:t>
      </w:r>
      <w:r w:rsidR="00A6054A" w:rsidRPr="00345694">
        <w:rPr>
          <w:rFonts w:asciiTheme="minorHAnsi" w:hAnsiTheme="minorHAnsi" w:cstheme="minorHAnsi"/>
          <w:i w:val="0"/>
          <w:color w:val="auto"/>
          <w:lang w:val="fr-FR"/>
        </w:rPr>
        <w:t>National</w:t>
      </w:r>
      <w:r w:rsidR="00A6054A">
        <w:rPr>
          <w:rFonts w:asciiTheme="minorHAnsi" w:hAnsiTheme="minorHAnsi" w:cstheme="minorHAnsi"/>
          <w:i w:val="0"/>
          <w:color w:val="auto"/>
          <w:lang w:val="fr-FR"/>
        </w:rPr>
        <w:t> </w:t>
      </w:r>
      <w:proofErr w:type="spellStart"/>
      <w:r w:rsidR="00A6054A" w:rsidRPr="00345694">
        <w:rPr>
          <w:rFonts w:asciiTheme="minorHAnsi" w:hAnsiTheme="minorHAnsi" w:cstheme="minorHAnsi"/>
          <w:i w:val="0"/>
          <w:color w:val="auto"/>
          <w:lang w:val="fr-FR"/>
        </w:rPr>
        <w:t>Wealth</w:t>
      </w:r>
      <w:proofErr w:type="spellEnd"/>
      <w:r w:rsidR="00A6054A">
        <w:rPr>
          <w:rFonts w:asciiTheme="minorHAnsi" w:hAnsiTheme="minorHAnsi" w:cstheme="minorHAnsi"/>
          <w:i w:val="0"/>
          <w:color w:val="auto"/>
          <w:lang w:val="fr-FR"/>
        </w:rPr>
        <w:t> </w:t>
      </w:r>
      <w:proofErr w:type="spellStart"/>
      <w:r w:rsidR="00345694" w:rsidRPr="00345694">
        <w:rPr>
          <w:rFonts w:asciiTheme="minorHAnsi" w:hAnsiTheme="minorHAnsi" w:cstheme="minorHAnsi"/>
          <w:i w:val="0"/>
          <w:color w:val="auto"/>
          <w:lang w:val="fr-FR"/>
        </w:rPr>
        <w:t>Fun</w:t>
      </w:r>
      <w:r w:rsidR="00345694">
        <w:rPr>
          <w:rFonts w:asciiTheme="minorHAnsi" w:hAnsiTheme="minorHAnsi" w:cstheme="minorHAnsi"/>
          <w:i w:val="0"/>
          <w:color w:val="auto"/>
          <w:lang w:val="fr-FR"/>
        </w:rPr>
        <w:t>d</w:t>
      </w:r>
      <w:proofErr w:type="spellEnd"/>
      <w:r w:rsidR="00345694">
        <w:rPr>
          <w:rFonts w:asciiTheme="minorHAnsi" w:hAnsiTheme="minorHAnsi" w:cstheme="minorHAnsi"/>
          <w:i w:val="0"/>
          <w:color w:val="auto"/>
          <w:lang w:val="fr-FR"/>
        </w:rPr>
        <w:t xml:space="preserve"> russe (fonds souverain russe), y compris pour le paiement de coupons ou pour le remboursement du principal d’obligations souveraines détenues par des investisseurs européens. </w:t>
      </w:r>
    </w:p>
    <w:p w14:paraId="7602F917" w14:textId="77777777" w:rsidR="00CE020C" w:rsidRDefault="00CE020C" w:rsidP="004D5E4E">
      <w:pPr>
        <w:jc w:val="both"/>
        <w:rPr>
          <w:lang w:val="fr-FR"/>
        </w:rPr>
      </w:pPr>
    </w:p>
    <w:p w14:paraId="6B1AD3B3" w14:textId="32B7F314" w:rsidR="00CE020C" w:rsidRDefault="001701E6" w:rsidP="004D5E4E">
      <w:pPr>
        <w:jc w:val="both"/>
        <w:rPr>
          <w:rFonts w:asciiTheme="minorHAnsi" w:eastAsiaTheme="majorEastAsia" w:hAnsiTheme="minorHAnsi" w:cstheme="minorHAnsi"/>
          <w:iCs/>
          <w:lang w:val="fr-FR"/>
        </w:rPr>
      </w:pPr>
      <w:r w:rsidRPr="004D5E4E">
        <w:rPr>
          <w:rFonts w:asciiTheme="minorHAnsi" w:eastAsiaTheme="majorEastAsia" w:hAnsiTheme="minorHAnsi" w:cstheme="minorHAnsi"/>
          <w:iCs/>
          <w:lang w:val="fr-FR"/>
        </w:rPr>
        <w:t>L’article</w:t>
      </w:r>
      <w:r>
        <w:rPr>
          <w:rFonts w:asciiTheme="minorHAnsi" w:eastAsiaTheme="majorEastAsia" w:hAnsiTheme="minorHAnsi" w:cstheme="minorHAnsi"/>
          <w:iCs/>
          <w:lang w:val="fr-FR"/>
        </w:rPr>
        <w:t> </w:t>
      </w:r>
      <w:r w:rsidRPr="004D5E4E">
        <w:rPr>
          <w:rFonts w:asciiTheme="minorHAnsi" w:eastAsiaTheme="majorEastAsia" w:hAnsiTheme="minorHAnsi" w:cstheme="minorHAnsi"/>
          <w:iCs/>
          <w:lang w:val="fr-FR"/>
        </w:rPr>
        <w:t>5</w:t>
      </w:r>
      <w:r>
        <w:rPr>
          <w:rFonts w:asciiTheme="minorHAnsi" w:eastAsiaTheme="majorEastAsia" w:hAnsiTheme="minorHAnsi" w:cstheme="minorHAnsi"/>
          <w:iCs/>
          <w:lang w:val="fr-FR"/>
        </w:rPr>
        <w:t> </w:t>
      </w:r>
      <w:r w:rsidR="00CE020C" w:rsidRPr="004D5E4E">
        <w:rPr>
          <w:rFonts w:asciiTheme="minorHAnsi" w:eastAsiaTheme="majorEastAsia" w:hAnsiTheme="minorHAnsi" w:cstheme="minorHAnsi"/>
          <w:iCs/>
          <w:lang w:val="fr-FR"/>
        </w:rPr>
        <w:t xml:space="preserve">bis, </w:t>
      </w:r>
      <w:r w:rsidRPr="004D5E4E">
        <w:rPr>
          <w:rFonts w:asciiTheme="minorHAnsi" w:eastAsiaTheme="majorEastAsia" w:hAnsiTheme="minorHAnsi" w:cstheme="minorHAnsi"/>
          <w:iCs/>
          <w:lang w:val="fr-FR"/>
        </w:rPr>
        <w:t>paragraphe</w:t>
      </w:r>
      <w:r>
        <w:rPr>
          <w:rFonts w:asciiTheme="minorHAnsi" w:eastAsiaTheme="majorEastAsia" w:hAnsiTheme="minorHAnsi" w:cstheme="minorHAnsi"/>
          <w:iCs/>
          <w:lang w:val="fr-FR"/>
        </w:rPr>
        <w:t> </w:t>
      </w:r>
      <w:r w:rsidR="00CE020C" w:rsidRPr="004D5E4E">
        <w:rPr>
          <w:rFonts w:asciiTheme="minorHAnsi" w:eastAsiaTheme="majorEastAsia" w:hAnsiTheme="minorHAnsi" w:cstheme="minorHAnsi"/>
          <w:iCs/>
          <w:lang w:val="fr-FR"/>
        </w:rPr>
        <w:t>1, du règlement précité, interdit par ailleurs toute transaction portant sur des valeurs mobilières ou des instruments du marché monétaire émis par l’Etat russe, son gouvernement, la banque centrale de Russie</w:t>
      </w:r>
      <w:r w:rsidR="00A6054A">
        <w:rPr>
          <w:rFonts w:asciiTheme="minorHAnsi" w:eastAsiaTheme="majorEastAsia" w:hAnsiTheme="minorHAnsi" w:cstheme="minorHAnsi"/>
          <w:iCs/>
          <w:lang w:val="fr-FR"/>
        </w:rPr>
        <w:t xml:space="preserve">, ou encore </w:t>
      </w:r>
      <w:r w:rsidR="00A6054A" w:rsidRPr="00A6054A">
        <w:rPr>
          <w:rFonts w:asciiTheme="minorHAnsi" w:eastAsiaTheme="majorEastAsia" w:hAnsiTheme="minorHAnsi" w:cstheme="minorHAnsi"/>
          <w:iCs/>
          <w:lang w:val="fr-FR"/>
        </w:rPr>
        <w:t>toute personne morale, entité ou organisme agissant pour leur compte ou selon leurs instructions</w:t>
      </w:r>
      <w:r w:rsidR="00A6054A">
        <w:rPr>
          <w:rFonts w:asciiTheme="minorHAnsi" w:eastAsiaTheme="majorEastAsia" w:hAnsiTheme="minorHAnsi" w:cstheme="minorHAnsi"/>
          <w:iCs/>
          <w:lang w:val="fr-FR"/>
        </w:rPr>
        <w:t>,</w:t>
      </w:r>
      <w:r w:rsidR="00CE020C" w:rsidRPr="004D5E4E">
        <w:rPr>
          <w:rFonts w:asciiTheme="minorHAnsi" w:eastAsiaTheme="majorEastAsia" w:hAnsiTheme="minorHAnsi" w:cstheme="minorHAnsi"/>
          <w:iCs/>
          <w:lang w:val="fr-FR"/>
        </w:rPr>
        <w:t xml:space="preserve"> après le 9</w:t>
      </w:r>
      <w:r>
        <w:rPr>
          <w:rFonts w:asciiTheme="minorHAnsi" w:eastAsiaTheme="majorEastAsia" w:hAnsiTheme="minorHAnsi" w:cstheme="minorHAnsi"/>
          <w:iCs/>
          <w:lang w:val="fr-FR"/>
        </w:rPr>
        <w:t> m</w:t>
      </w:r>
      <w:r w:rsidRPr="004D5E4E">
        <w:rPr>
          <w:rFonts w:asciiTheme="minorHAnsi" w:eastAsiaTheme="majorEastAsia" w:hAnsiTheme="minorHAnsi" w:cstheme="minorHAnsi"/>
          <w:iCs/>
          <w:lang w:val="fr-FR"/>
        </w:rPr>
        <w:t>ars</w:t>
      </w:r>
      <w:r>
        <w:rPr>
          <w:rFonts w:asciiTheme="minorHAnsi" w:eastAsiaTheme="majorEastAsia" w:hAnsiTheme="minorHAnsi" w:cstheme="minorHAnsi"/>
          <w:iCs/>
          <w:lang w:val="fr-FR"/>
        </w:rPr>
        <w:t> </w:t>
      </w:r>
      <w:r w:rsidR="00CE020C" w:rsidRPr="004D5E4E">
        <w:rPr>
          <w:rFonts w:asciiTheme="minorHAnsi" w:eastAsiaTheme="majorEastAsia" w:hAnsiTheme="minorHAnsi" w:cstheme="minorHAnsi"/>
          <w:iCs/>
          <w:lang w:val="fr-FR"/>
        </w:rPr>
        <w:t xml:space="preserve">2022. </w:t>
      </w:r>
    </w:p>
    <w:p w14:paraId="44C47866" w14:textId="77777777" w:rsidR="0074182D" w:rsidRDefault="0074182D" w:rsidP="004D5E4E">
      <w:pPr>
        <w:jc w:val="both"/>
        <w:rPr>
          <w:rFonts w:asciiTheme="minorHAnsi" w:hAnsiTheme="minorHAnsi" w:cstheme="minorHAnsi"/>
          <w:lang w:val="fr-FR"/>
        </w:rPr>
      </w:pPr>
    </w:p>
    <w:p w14:paraId="7F386D0A" w14:textId="6B2643EB" w:rsidR="00CE020C" w:rsidRDefault="00CE020C" w:rsidP="004D5E4E">
      <w:pPr>
        <w:jc w:val="both"/>
        <w:rPr>
          <w:rFonts w:asciiTheme="minorHAnsi" w:hAnsiTheme="minorHAnsi" w:cstheme="minorHAnsi"/>
          <w:lang w:val="fr-FR"/>
        </w:rPr>
      </w:pPr>
      <w:r>
        <w:rPr>
          <w:rFonts w:asciiTheme="minorHAnsi" w:eastAsiaTheme="majorEastAsia" w:hAnsiTheme="minorHAnsi" w:cstheme="minorHAnsi"/>
          <w:iCs/>
          <w:lang w:val="fr-FR"/>
        </w:rPr>
        <w:t xml:space="preserve">En outre, </w:t>
      </w:r>
      <w:r w:rsidR="001701E6">
        <w:rPr>
          <w:rFonts w:asciiTheme="minorHAnsi" w:eastAsiaTheme="majorEastAsia" w:hAnsiTheme="minorHAnsi" w:cstheme="minorHAnsi"/>
          <w:iCs/>
          <w:lang w:val="fr-FR"/>
        </w:rPr>
        <w:t>l’article 5 </w:t>
      </w:r>
      <w:r>
        <w:rPr>
          <w:rFonts w:asciiTheme="minorHAnsi" w:eastAsiaTheme="majorEastAsia" w:hAnsiTheme="minorHAnsi" w:cstheme="minorHAnsi"/>
          <w:iCs/>
          <w:lang w:val="fr-FR"/>
        </w:rPr>
        <w:t>sexies du même règlement interdit</w:t>
      </w:r>
      <w:r w:rsidRPr="004D5E4E">
        <w:rPr>
          <w:lang w:val="fr-FR"/>
        </w:rPr>
        <w:t xml:space="preserve"> </w:t>
      </w:r>
      <w:r>
        <w:rPr>
          <w:rFonts w:asciiTheme="minorHAnsi" w:eastAsiaTheme="majorEastAsia" w:hAnsiTheme="minorHAnsi" w:cstheme="minorHAnsi"/>
          <w:iCs/>
          <w:lang w:val="fr-FR"/>
        </w:rPr>
        <w:t>aux dép</w:t>
      </w:r>
      <w:r w:rsidRPr="00CE020C">
        <w:rPr>
          <w:rFonts w:asciiTheme="minorHAnsi" w:eastAsiaTheme="majorEastAsia" w:hAnsiTheme="minorHAnsi" w:cstheme="minorHAnsi"/>
          <w:iCs/>
          <w:lang w:val="fr-FR"/>
        </w:rPr>
        <w:t xml:space="preserve">ositaires centraux de titres de l'Union de fournir tout service </w:t>
      </w:r>
      <w:r w:rsidR="00A6054A" w:rsidRPr="00A6054A">
        <w:rPr>
          <w:rFonts w:asciiTheme="minorHAnsi" w:eastAsiaTheme="majorEastAsia" w:hAnsiTheme="minorHAnsi" w:cstheme="minorHAnsi"/>
          <w:iCs/>
          <w:lang w:val="fr-FR"/>
        </w:rPr>
        <w:t>défini à l'annexe du règlement</w:t>
      </w:r>
      <w:r w:rsidR="00A6054A">
        <w:rPr>
          <w:rFonts w:asciiTheme="minorHAnsi" w:eastAsiaTheme="majorEastAsia" w:hAnsiTheme="minorHAnsi" w:cstheme="minorHAnsi"/>
          <w:iCs/>
          <w:lang w:val="fr-FR"/>
        </w:rPr>
        <w:t> </w:t>
      </w:r>
      <w:r w:rsidR="00A6054A" w:rsidRPr="00A6054A">
        <w:rPr>
          <w:rFonts w:asciiTheme="minorHAnsi" w:eastAsiaTheme="majorEastAsia" w:hAnsiTheme="minorHAnsi" w:cstheme="minorHAnsi"/>
          <w:iCs/>
          <w:lang w:val="fr-FR"/>
        </w:rPr>
        <w:t>(UE)</w:t>
      </w:r>
      <w:r w:rsidR="00A6054A">
        <w:rPr>
          <w:rFonts w:asciiTheme="minorHAnsi" w:eastAsiaTheme="majorEastAsia" w:hAnsiTheme="minorHAnsi" w:cstheme="minorHAnsi"/>
          <w:iCs/>
          <w:lang w:val="fr-FR"/>
        </w:rPr>
        <w:t> </w:t>
      </w:r>
      <w:r w:rsidR="00A6054A" w:rsidRPr="00A6054A">
        <w:rPr>
          <w:rFonts w:asciiTheme="minorHAnsi" w:eastAsiaTheme="majorEastAsia" w:hAnsiTheme="minorHAnsi" w:cstheme="minorHAnsi"/>
          <w:iCs/>
          <w:lang w:val="fr-FR"/>
        </w:rPr>
        <w:t>909/2014</w:t>
      </w:r>
      <w:r w:rsidR="00A6054A">
        <w:rPr>
          <w:rFonts w:asciiTheme="minorHAnsi" w:eastAsiaTheme="majorEastAsia" w:hAnsiTheme="minorHAnsi" w:cstheme="minorHAnsi"/>
          <w:iCs/>
          <w:lang w:val="fr-FR"/>
        </w:rPr>
        <w:t xml:space="preserve"> </w:t>
      </w:r>
      <w:r w:rsidRPr="00CE020C">
        <w:rPr>
          <w:rFonts w:asciiTheme="minorHAnsi" w:eastAsiaTheme="majorEastAsia" w:hAnsiTheme="minorHAnsi" w:cstheme="minorHAnsi"/>
          <w:iCs/>
          <w:lang w:val="fr-FR"/>
        </w:rPr>
        <w:t>tel</w:t>
      </w:r>
      <w:r w:rsidR="00CA32B9">
        <w:rPr>
          <w:rFonts w:asciiTheme="minorHAnsi" w:eastAsiaTheme="majorEastAsia" w:hAnsiTheme="minorHAnsi" w:cstheme="minorHAnsi"/>
          <w:iCs/>
          <w:lang w:val="fr-FR"/>
        </w:rPr>
        <w:t>s</w:t>
      </w:r>
      <w:r w:rsidRPr="00CE020C">
        <w:rPr>
          <w:rFonts w:asciiTheme="minorHAnsi" w:eastAsiaTheme="majorEastAsia" w:hAnsiTheme="minorHAnsi" w:cstheme="minorHAnsi"/>
          <w:iCs/>
          <w:lang w:val="fr-FR"/>
        </w:rPr>
        <w:t xml:space="preserve"> </w:t>
      </w:r>
      <w:r w:rsidR="00CA32B9">
        <w:rPr>
          <w:rFonts w:asciiTheme="minorHAnsi" w:eastAsiaTheme="majorEastAsia" w:hAnsiTheme="minorHAnsi" w:cstheme="minorHAnsi"/>
          <w:iCs/>
          <w:lang w:val="fr-FR"/>
        </w:rPr>
        <w:t xml:space="preserve">que </w:t>
      </w:r>
      <w:r w:rsidRPr="00CE020C">
        <w:rPr>
          <w:rFonts w:asciiTheme="minorHAnsi" w:eastAsiaTheme="majorEastAsia" w:hAnsiTheme="minorHAnsi" w:cstheme="minorHAnsi"/>
          <w:iCs/>
          <w:lang w:val="fr-FR"/>
        </w:rPr>
        <w:t>des valeurs mobilières émises après le</w:t>
      </w:r>
      <w:r>
        <w:rPr>
          <w:rFonts w:asciiTheme="minorHAnsi" w:eastAsiaTheme="majorEastAsia" w:hAnsiTheme="minorHAnsi" w:cstheme="minorHAnsi"/>
          <w:iCs/>
          <w:lang w:val="fr-FR"/>
        </w:rPr>
        <w:t xml:space="preserve"> </w:t>
      </w:r>
      <w:r w:rsidR="00A6054A" w:rsidRPr="00CE020C">
        <w:rPr>
          <w:rFonts w:asciiTheme="minorHAnsi" w:eastAsiaTheme="majorEastAsia" w:hAnsiTheme="minorHAnsi" w:cstheme="minorHAnsi"/>
          <w:iCs/>
          <w:lang w:val="fr-FR"/>
        </w:rPr>
        <w:t>12</w:t>
      </w:r>
      <w:r w:rsidR="00A6054A">
        <w:rPr>
          <w:rFonts w:asciiTheme="minorHAnsi" w:eastAsiaTheme="majorEastAsia" w:hAnsiTheme="minorHAnsi" w:cstheme="minorHAnsi"/>
          <w:iCs/>
          <w:lang w:val="fr-FR"/>
        </w:rPr>
        <w:t> </w:t>
      </w:r>
      <w:r w:rsidR="00A6054A" w:rsidRPr="00CE020C">
        <w:rPr>
          <w:rFonts w:asciiTheme="minorHAnsi" w:eastAsiaTheme="majorEastAsia" w:hAnsiTheme="minorHAnsi" w:cstheme="minorHAnsi"/>
          <w:iCs/>
          <w:lang w:val="fr-FR"/>
        </w:rPr>
        <w:t>avril</w:t>
      </w:r>
      <w:r w:rsidR="00A6054A">
        <w:rPr>
          <w:rFonts w:asciiTheme="minorHAnsi" w:eastAsiaTheme="majorEastAsia" w:hAnsiTheme="minorHAnsi" w:cstheme="minorHAnsi"/>
          <w:iCs/>
          <w:lang w:val="fr-FR"/>
        </w:rPr>
        <w:t> </w:t>
      </w:r>
      <w:r w:rsidRPr="00CE020C">
        <w:rPr>
          <w:rFonts w:asciiTheme="minorHAnsi" w:eastAsiaTheme="majorEastAsia" w:hAnsiTheme="minorHAnsi" w:cstheme="minorHAnsi"/>
          <w:iCs/>
          <w:lang w:val="fr-FR"/>
        </w:rPr>
        <w:t>2022 à tout ressortissant russe, à toute personne physique résidant en Russie ou à toute personne morale, toute entité ou tout organisme établi en Russie.</w:t>
      </w:r>
    </w:p>
    <w:p w14:paraId="32BC11F1" w14:textId="77777777" w:rsidR="00CE020C" w:rsidRDefault="00CE020C" w:rsidP="004D5E4E">
      <w:pPr>
        <w:jc w:val="both"/>
        <w:rPr>
          <w:rFonts w:asciiTheme="minorHAnsi" w:hAnsiTheme="minorHAnsi" w:cstheme="minorHAnsi"/>
          <w:lang w:val="fr-FR"/>
        </w:rPr>
      </w:pPr>
    </w:p>
    <w:p w14:paraId="74092762" w14:textId="36086BA8" w:rsidR="00CE020C" w:rsidRPr="004D5E4E" w:rsidRDefault="00CE020C" w:rsidP="003838D0">
      <w:pPr>
        <w:keepNext/>
        <w:keepLines/>
        <w:jc w:val="both"/>
        <w:rPr>
          <w:rFonts w:asciiTheme="minorHAnsi" w:hAnsiTheme="minorHAnsi" w:cstheme="minorHAnsi"/>
          <w:lang w:val="fr-FR"/>
        </w:rPr>
      </w:pPr>
      <w:r>
        <w:rPr>
          <w:rFonts w:asciiTheme="minorHAnsi" w:eastAsiaTheme="majorEastAsia" w:hAnsiTheme="minorHAnsi" w:cstheme="minorHAnsi"/>
          <w:iCs/>
          <w:lang w:val="fr-FR"/>
        </w:rPr>
        <w:t xml:space="preserve">Nonobstant ces dispositions, certains remboursements demeurent néanmoins permis, étant entendu qu’ils </w:t>
      </w:r>
      <w:r w:rsidR="00DD2B98" w:rsidRPr="004D5E4E">
        <w:rPr>
          <w:rFonts w:asciiTheme="minorHAnsi" w:hAnsiTheme="minorHAnsi" w:cstheme="minorHAnsi"/>
          <w:lang w:val="fr-FR"/>
        </w:rPr>
        <w:t>s</w:t>
      </w:r>
      <w:r w:rsidR="00DD2B98">
        <w:rPr>
          <w:rFonts w:asciiTheme="minorHAnsi" w:hAnsiTheme="minorHAnsi" w:cstheme="minorHAnsi"/>
          <w:lang w:val="fr-FR"/>
        </w:rPr>
        <w:t>ont liés à des s</w:t>
      </w:r>
      <w:r w:rsidR="00DD2B98" w:rsidRPr="004D5E4E">
        <w:rPr>
          <w:rFonts w:asciiTheme="minorHAnsi" w:hAnsiTheme="minorHAnsi" w:cstheme="minorHAnsi"/>
          <w:lang w:val="fr-FR"/>
        </w:rPr>
        <w:t>ouches d'obligations souveraines émises par l'Etat russe avant le 9 mars 2022</w:t>
      </w:r>
      <w:r w:rsidR="00DD2B98">
        <w:rPr>
          <w:rFonts w:asciiTheme="minorHAnsi" w:hAnsiTheme="minorHAnsi" w:cstheme="minorHAnsi"/>
          <w:lang w:val="fr-FR"/>
        </w:rPr>
        <w:t xml:space="preserve">, qu’ils </w:t>
      </w:r>
      <w:r>
        <w:rPr>
          <w:rFonts w:asciiTheme="minorHAnsi" w:eastAsiaTheme="majorEastAsia" w:hAnsiTheme="minorHAnsi" w:cstheme="minorHAnsi"/>
          <w:iCs/>
          <w:lang w:val="fr-FR"/>
        </w:rPr>
        <w:t xml:space="preserve">ne sont pas effectués au titre de valeurs mobilières ou d’instruments de marché monétaire </w:t>
      </w:r>
      <w:r w:rsidR="00023FC1">
        <w:rPr>
          <w:rFonts w:asciiTheme="minorHAnsi" w:eastAsiaTheme="majorEastAsia" w:hAnsiTheme="minorHAnsi" w:cstheme="minorHAnsi"/>
          <w:iCs/>
          <w:lang w:val="fr-FR"/>
        </w:rPr>
        <w:t xml:space="preserve">libellés dans une devise officielle de l’Union européenne et </w:t>
      </w:r>
      <w:r>
        <w:rPr>
          <w:rFonts w:asciiTheme="minorHAnsi" w:eastAsiaTheme="majorEastAsia" w:hAnsiTheme="minorHAnsi" w:cstheme="minorHAnsi"/>
          <w:iCs/>
          <w:lang w:val="fr-FR"/>
        </w:rPr>
        <w:t xml:space="preserve">émis après le 9 avril, et qu’ils ne sont pas réalisés </w:t>
      </w:r>
      <w:r w:rsidR="00CB25E8">
        <w:rPr>
          <w:rFonts w:asciiTheme="minorHAnsi" w:eastAsiaTheme="majorEastAsia" w:hAnsiTheme="minorHAnsi" w:cstheme="minorHAnsi"/>
          <w:iCs/>
          <w:lang w:val="fr-FR"/>
        </w:rPr>
        <w:t xml:space="preserve">grâce à des actifs ou des réserves de la Banque centrale de Russie. Il appartient aux opérateurs concernés de </w:t>
      </w:r>
      <w:r w:rsidR="0077686D">
        <w:rPr>
          <w:rFonts w:asciiTheme="minorHAnsi" w:eastAsiaTheme="majorEastAsia" w:hAnsiTheme="minorHAnsi" w:cstheme="minorHAnsi"/>
          <w:iCs/>
          <w:lang w:val="fr-FR"/>
        </w:rPr>
        <w:t xml:space="preserve">solliciter un accord auprès de </w:t>
      </w:r>
      <w:r w:rsidR="00CB25E8">
        <w:rPr>
          <w:rFonts w:asciiTheme="minorHAnsi" w:eastAsiaTheme="majorEastAsia" w:hAnsiTheme="minorHAnsi" w:cstheme="minorHAnsi"/>
          <w:iCs/>
          <w:lang w:val="fr-FR"/>
        </w:rPr>
        <w:t>la Direction générale du Trésor</w:t>
      </w:r>
      <w:r w:rsidR="0077686D">
        <w:rPr>
          <w:rFonts w:asciiTheme="minorHAnsi" w:eastAsiaTheme="majorEastAsia" w:hAnsiTheme="minorHAnsi" w:cstheme="minorHAnsi"/>
          <w:iCs/>
          <w:lang w:val="fr-FR"/>
        </w:rPr>
        <w:t xml:space="preserve"> en démontrant</w:t>
      </w:r>
      <w:r w:rsidR="00CB25E8">
        <w:rPr>
          <w:rFonts w:asciiTheme="minorHAnsi" w:eastAsiaTheme="majorEastAsia" w:hAnsiTheme="minorHAnsi" w:cstheme="minorHAnsi"/>
          <w:iCs/>
          <w:lang w:val="fr-FR"/>
        </w:rPr>
        <w:t xml:space="preserve"> que la transaction envisagée respecte ces principes. </w:t>
      </w:r>
    </w:p>
    <w:p w14:paraId="2070FA3D" w14:textId="31094B0E" w:rsidR="00B93DF1" w:rsidRPr="00B93DF1" w:rsidRDefault="00B93DF1" w:rsidP="00B93DF1">
      <w:pPr>
        <w:rPr>
          <w:lang w:val="fr-FR"/>
        </w:rPr>
      </w:pPr>
    </w:p>
    <w:p w14:paraId="34B9CE4F" w14:textId="77777777" w:rsidR="00F95D83" w:rsidRPr="005E0485" w:rsidRDefault="00F95D83" w:rsidP="005E0485">
      <w:pPr>
        <w:pStyle w:val="Corpsdetexte"/>
        <w:jc w:val="both"/>
        <w:rPr>
          <w:rFonts w:asciiTheme="minorHAnsi" w:hAnsiTheme="minorHAnsi" w:cstheme="minorHAnsi"/>
          <w:sz w:val="22"/>
          <w:szCs w:val="22"/>
        </w:rPr>
      </w:pPr>
    </w:p>
    <w:p w14:paraId="572C76BA" w14:textId="51EF317F" w:rsidR="0030263E" w:rsidRPr="00546E05" w:rsidRDefault="005C5760" w:rsidP="009D451C">
      <w:pPr>
        <w:pStyle w:val="Titre3"/>
        <w:numPr>
          <w:ilvl w:val="0"/>
          <w:numId w:val="8"/>
        </w:numPr>
        <w:rPr>
          <w:rFonts w:ascii="Marianne" w:hAnsi="Marianne" w:cstheme="minorHAnsi"/>
          <w:b/>
          <w:bCs/>
          <w:color w:val="465F9D"/>
          <w:sz w:val="22"/>
          <w:szCs w:val="22"/>
          <w:u w:val="single"/>
          <w:lang w:val="fr-FR"/>
        </w:rPr>
      </w:pPr>
      <w:bookmarkStart w:id="3" w:name="_Toc117868029"/>
      <w:r w:rsidRPr="00546E05">
        <w:rPr>
          <w:rFonts w:ascii="Marianne" w:hAnsi="Marianne" w:cstheme="minorHAnsi"/>
          <w:b/>
          <w:bCs/>
          <w:color w:val="465F9D"/>
          <w:sz w:val="22"/>
          <w:szCs w:val="22"/>
          <w:u w:val="single"/>
          <w:lang w:val="fr-FR"/>
        </w:rPr>
        <w:t>Valeurs mobilières</w:t>
      </w:r>
      <w:bookmarkEnd w:id="3"/>
      <w:r w:rsidRPr="00546E05">
        <w:rPr>
          <w:rFonts w:ascii="Marianne" w:hAnsi="Marianne" w:cstheme="minorHAnsi"/>
          <w:b/>
          <w:bCs/>
          <w:color w:val="465F9D"/>
          <w:sz w:val="22"/>
          <w:szCs w:val="22"/>
          <w:u w:val="single"/>
          <w:lang w:val="fr-FR"/>
        </w:rPr>
        <w:t xml:space="preserve"> </w:t>
      </w:r>
    </w:p>
    <w:p w14:paraId="5FD3A917" w14:textId="77777777" w:rsidR="005E0485" w:rsidRDefault="005E0485" w:rsidP="005E0485">
      <w:pPr>
        <w:pStyle w:val="Titre4"/>
        <w:jc w:val="both"/>
        <w:rPr>
          <w:rFonts w:asciiTheme="minorHAnsi" w:hAnsiTheme="minorHAnsi" w:cstheme="minorHAnsi"/>
          <w:color w:val="auto"/>
          <w:lang w:val="fr-FR"/>
        </w:rPr>
      </w:pPr>
    </w:p>
    <w:p w14:paraId="39F869DF" w14:textId="44C7DBAF" w:rsidR="0030263E" w:rsidRPr="0030263E" w:rsidRDefault="0030263E" w:rsidP="009D451C">
      <w:pPr>
        <w:pStyle w:val="Titre4"/>
        <w:numPr>
          <w:ilvl w:val="0"/>
          <w:numId w:val="3"/>
        </w:numPr>
        <w:jc w:val="both"/>
        <w:rPr>
          <w:rFonts w:asciiTheme="minorHAnsi" w:hAnsiTheme="minorHAnsi" w:cstheme="minorHAnsi"/>
          <w:color w:val="auto"/>
          <w:lang w:val="fr-FR"/>
        </w:rPr>
      </w:pPr>
      <w:r w:rsidRPr="0030263E">
        <w:rPr>
          <w:rFonts w:asciiTheme="minorHAnsi" w:hAnsiTheme="minorHAnsi" w:cstheme="minorHAnsi"/>
          <w:color w:val="auto"/>
          <w:lang w:val="fr-FR"/>
        </w:rPr>
        <w:t xml:space="preserve">Le membre d’un marché </w:t>
      </w:r>
      <w:r w:rsidR="005C5760">
        <w:rPr>
          <w:rFonts w:asciiTheme="minorHAnsi" w:hAnsiTheme="minorHAnsi" w:cstheme="minorHAnsi"/>
          <w:color w:val="auto"/>
          <w:lang w:val="fr-FR"/>
        </w:rPr>
        <w:t>sur lequel</w:t>
      </w:r>
      <w:r w:rsidR="005C5760" w:rsidRPr="0030263E">
        <w:rPr>
          <w:rFonts w:asciiTheme="minorHAnsi" w:hAnsiTheme="minorHAnsi" w:cstheme="minorHAnsi"/>
          <w:color w:val="auto"/>
          <w:lang w:val="fr-FR"/>
        </w:rPr>
        <w:t xml:space="preserve"> </w:t>
      </w:r>
      <w:r w:rsidRPr="0030263E">
        <w:rPr>
          <w:rFonts w:asciiTheme="minorHAnsi" w:hAnsiTheme="minorHAnsi" w:cstheme="minorHAnsi"/>
          <w:color w:val="auto"/>
          <w:lang w:val="fr-FR"/>
        </w:rPr>
        <w:t>sont cot</w:t>
      </w:r>
      <w:r w:rsidR="00AC6217">
        <w:rPr>
          <w:rFonts w:asciiTheme="minorHAnsi" w:hAnsiTheme="minorHAnsi" w:cstheme="minorHAnsi"/>
          <w:color w:val="auto"/>
          <w:lang w:val="fr-FR"/>
        </w:rPr>
        <w:t>é</w:t>
      </w:r>
      <w:r w:rsidRPr="0030263E">
        <w:rPr>
          <w:rFonts w:asciiTheme="minorHAnsi" w:hAnsiTheme="minorHAnsi" w:cstheme="minorHAnsi"/>
          <w:color w:val="auto"/>
          <w:lang w:val="fr-FR"/>
        </w:rPr>
        <w:t xml:space="preserve">s des </w:t>
      </w:r>
      <w:proofErr w:type="spellStart"/>
      <w:r w:rsidRPr="0030263E">
        <w:rPr>
          <w:rFonts w:asciiTheme="minorHAnsi" w:hAnsiTheme="minorHAnsi" w:cstheme="minorHAnsi"/>
          <w:color w:val="auto"/>
          <w:lang w:val="fr-FR"/>
        </w:rPr>
        <w:t>ETFs</w:t>
      </w:r>
      <w:proofErr w:type="spellEnd"/>
      <w:r w:rsidRPr="0030263E">
        <w:rPr>
          <w:rFonts w:asciiTheme="minorHAnsi" w:hAnsiTheme="minorHAnsi" w:cstheme="minorHAnsi"/>
          <w:color w:val="auto"/>
          <w:lang w:val="fr-FR"/>
        </w:rPr>
        <w:t xml:space="preserve"> qui investissent dans </w:t>
      </w:r>
      <w:r w:rsidR="005C5760">
        <w:rPr>
          <w:rFonts w:asciiTheme="minorHAnsi" w:hAnsiTheme="minorHAnsi" w:cstheme="minorHAnsi"/>
          <w:color w:val="auto"/>
          <w:lang w:val="fr-FR"/>
        </w:rPr>
        <w:t xml:space="preserve">valeurs mobilières </w:t>
      </w:r>
      <w:r w:rsidRPr="0030263E">
        <w:rPr>
          <w:rFonts w:asciiTheme="minorHAnsi" w:hAnsiTheme="minorHAnsi" w:cstheme="minorHAnsi"/>
          <w:color w:val="auto"/>
          <w:lang w:val="fr-FR"/>
        </w:rPr>
        <w:t xml:space="preserve">russes est-il en faute en négociant ces </w:t>
      </w:r>
      <w:proofErr w:type="spellStart"/>
      <w:r w:rsidRPr="0030263E">
        <w:rPr>
          <w:rFonts w:asciiTheme="minorHAnsi" w:hAnsiTheme="minorHAnsi" w:cstheme="minorHAnsi"/>
          <w:color w:val="auto"/>
          <w:lang w:val="fr-FR"/>
        </w:rPr>
        <w:t>ETFs</w:t>
      </w:r>
      <w:proofErr w:type="spellEnd"/>
      <w:r w:rsidRPr="0030263E">
        <w:rPr>
          <w:rFonts w:asciiTheme="minorHAnsi" w:hAnsiTheme="minorHAnsi" w:cstheme="minorHAnsi"/>
          <w:color w:val="auto"/>
          <w:lang w:val="fr-FR"/>
        </w:rPr>
        <w:t xml:space="preserve"> qui sont investis en </w:t>
      </w:r>
      <w:r w:rsidR="005C5760">
        <w:rPr>
          <w:rFonts w:asciiTheme="minorHAnsi" w:hAnsiTheme="minorHAnsi" w:cstheme="minorHAnsi"/>
          <w:color w:val="auto"/>
          <w:lang w:val="fr-FR"/>
        </w:rPr>
        <w:t>actifs</w:t>
      </w:r>
      <w:r w:rsidR="005C5760" w:rsidRPr="0030263E">
        <w:rPr>
          <w:rFonts w:asciiTheme="minorHAnsi" w:hAnsiTheme="minorHAnsi" w:cstheme="minorHAnsi"/>
          <w:color w:val="auto"/>
          <w:lang w:val="fr-FR"/>
        </w:rPr>
        <w:t xml:space="preserve"> </w:t>
      </w:r>
      <w:r w:rsidRPr="0030263E">
        <w:rPr>
          <w:rFonts w:asciiTheme="minorHAnsi" w:hAnsiTheme="minorHAnsi" w:cstheme="minorHAnsi"/>
          <w:color w:val="auto"/>
          <w:lang w:val="fr-FR"/>
        </w:rPr>
        <w:t>russes ?</w:t>
      </w:r>
    </w:p>
    <w:p w14:paraId="0A026DC0" w14:textId="77777777" w:rsidR="0030263E" w:rsidRDefault="0030263E" w:rsidP="0030263E">
      <w:pPr>
        <w:jc w:val="both"/>
        <w:rPr>
          <w:rFonts w:asciiTheme="minorHAnsi" w:hAnsiTheme="minorHAnsi" w:cstheme="minorHAnsi"/>
          <w:lang w:val="fr-FR"/>
        </w:rPr>
      </w:pPr>
    </w:p>
    <w:p w14:paraId="1A391B25" w14:textId="77777777" w:rsidR="00F15EFB" w:rsidRPr="00F15EFB" w:rsidRDefault="00F15EFB" w:rsidP="003838D0">
      <w:pPr>
        <w:pStyle w:val="Commentaire"/>
        <w:jc w:val="both"/>
        <w:rPr>
          <w:rFonts w:asciiTheme="minorHAnsi" w:hAnsiTheme="minorHAnsi" w:cstheme="minorHAnsi"/>
          <w:sz w:val="22"/>
          <w:szCs w:val="22"/>
          <w:lang w:val="fr-FR"/>
        </w:rPr>
      </w:pPr>
      <w:r w:rsidRPr="00F15EFB">
        <w:rPr>
          <w:rFonts w:asciiTheme="minorHAnsi" w:hAnsiTheme="minorHAnsi" w:cstheme="minorHAnsi"/>
          <w:sz w:val="22"/>
          <w:szCs w:val="22"/>
          <w:lang w:val="fr-FR"/>
        </w:rPr>
        <w:t>Le régime de sanctions ne met en œuvre aucune interdiction générale pour un ETF d’être exposé à des actifs russes.</w:t>
      </w:r>
    </w:p>
    <w:p w14:paraId="1BD31D5B" w14:textId="77777777" w:rsidR="00F15EFB" w:rsidRPr="00F15EFB" w:rsidRDefault="00F15EFB" w:rsidP="003838D0">
      <w:pPr>
        <w:pStyle w:val="Commentaire"/>
        <w:jc w:val="both"/>
        <w:rPr>
          <w:rFonts w:asciiTheme="minorHAnsi" w:hAnsiTheme="minorHAnsi" w:cstheme="minorHAnsi"/>
          <w:sz w:val="22"/>
          <w:szCs w:val="22"/>
          <w:lang w:val="fr-FR"/>
        </w:rPr>
      </w:pPr>
    </w:p>
    <w:p w14:paraId="0D19E768" w14:textId="77777777" w:rsidR="00F15EFB" w:rsidRPr="00F15EFB" w:rsidRDefault="00F15EFB" w:rsidP="003838D0">
      <w:pPr>
        <w:pStyle w:val="Commentaire"/>
        <w:jc w:val="both"/>
        <w:rPr>
          <w:rFonts w:asciiTheme="minorHAnsi" w:hAnsiTheme="minorHAnsi" w:cstheme="minorHAnsi"/>
          <w:sz w:val="22"/>
          <w:szCs w:val="22"/>
          <w:lang w:val="fr-FR"/>
        </w:rPr>
      </w:pPr>
      <w:r w:rsidRPr="00F15EFB">
        <w:rPr>
          <w:rFonts w:asciiTheme="minorHAnsi" w:hAnsiTheme="minorHAnsi" w:cstheme="minorHAnsi"/>
          <w:sz w:val="22"/>
          <w:szCs w:val="22"/>
          <w:lang w:val="fr-FR"/>
        </w:rPr>
        <w:t xml:space="preserve">En revanche, l'article 5, paragraphes 1 à 4, et l'article 5 bis, paragraphe 1, du règlement (UE) n° 833/2014 du Conseil interdisent d'acheter ou de vendre, directement ou indirectement, des valeurs mobilières et des instruments du marché monétaire d'un certain nombre de personnes morales, d'entités et d'organismes, de leur fournir des services d'investissement, de les aider à émettre ou de les traiter de toute autre manière. </w:t>
      </w:r>
    </w:p>
    <w:p w14:paraId="35CF2EDD" w14:textId="77777777" w:rsidR="00F15EFB" w:rsidRPr="00F15EFB" w:rsidRDefault="00F15EFB" w:rsidP="003838D0">
      <w:pPr>
        <w:pStyle w:val="Commentaire"/>
        <w:jc w:val="both"/>
        <w:rPr>
          <w:rFonts w:asciiTheme="minorHAnsi" w:hAnsiTheme="minorHAnsi" w:cstheme="minorHAnsi"/>
          <w:sz w:val="22"/>
          <w:szCs w:val="22"/>
          <w:lang w:val="fr-FR"/>
        </w:rPr>
      </w:pPr>
    </w:p>
    <w:p w14:paraId="6845A2F5" w14:textId="77777777" w:rsidR="00F15EFB" w:rsidRPr="00F15EFB" w:rsidRDefault="00F15EFB" w:rsidP="003838D0">
      <w:pPr>
        <w:pStyle w:val="Commentaire"/>
        <w:jc w:val="both"/>
        <w:rPr>
          <w:rFonts w:asciiTheme="minorHAnsi" w:hAnsiTheme="minorHAnsi" w:cstheme="minorHAnsi"/>
          <w:sz w:val="22"/>
          <w:szCs w:val="22"/>
          <w:lang w:val="fr-FR"/>
        </w:rPr>
      </w:pPr>
      <w:r w:rsidRPr="00F15EFB">
        <w:rPr>
          <w:rFonts w:asciiTheme="minorHAnsi" w:hAnsiTheme="minorHAnsi" w:cstheme="minorHAnsi"/>
          <w:sz w:val="22"/>
          <w:szCs w:val="22"/>
          <w:lang w:val="fr-FR"/>
        </w:rPr>
        <w:t>Les produits multi-actifs (par exemple, les ETF) ne doivent pas être exposés à ces valeurs mobilières et instruments du marché monétaire sanctionnés</w:t>
      </w:r>
      <w:r w:rsidR="00220FE9">
        <w:rPr>
          <w:rFonts w:asciiTheme="minorHAnsi" w:hAnsiTheme="minorHAnsi" w:cstheme="minorHAnsi"/>
          <w:sz w:val="22"/>
          <w:szCs w:val="22"/>
          <w:lang w:val="fr-FR"/>
        </w:rPr>
        <w:t>.</w:t>
      </w:r>
      <w:r w:rsidRPr="00F15EFB">
        <w:rPr>
          <w:rFonts w:asciiTheme="minorHAnsi" w:hAnsiTheme="minorHAnsi" w:cstheme="minorHAnsi"/>
          <w:sz w:val="22"/>
          <w:szCs w:val="22"/>
          <w:lang w:val="fr-FR"/>
        </w:rPr>
        <w:t xml:space="preserve"> </w:t>
      </w:r>
    </w:p>
    <w:p w14:paraId="52898691" w14:textId="77777777" w:rsidR="00F15EFB" w:rsidRPr="00F15EFB" w:rsidRDefault="00F15EFB" w:rsidP="003838D0">
      <w:pPr>
        <w:pStyle w:val="Commentaire"/>
        <w:jc w:val="both"/>
        <w:rPr>
          <w:rFonts w:asciiTheme="minorHAnsi" w:hAnsiTheme="minorHAnsi" w:cstheme="minorHAnsi"/>
          <w:sz w:val="22"/>
          <w:szCs w:val="22"/>
          <w:lang w:val="fr-FR"/>
        </w:rPr>
      </w:pPr>
    </w:p>
    <w:p w14:paraId="00FC424B" w14:textId="12EAEE31" w:rsidR="0016772F" w:rsidRDefault="00F15EFB" w:rsidP="00E14666">
      <w:pPr>
        <w:jc w:val="both"/>
        <w:rPr>
          <w:rFonts w:asciiTheme="minorHAnsi" w:hAnsiTheme="minorHAnsi" w:cstheme="minorHAnsi"/>
          <w:lang w:val="fr-FR"/>
        </w:rPr>
      </w:pPr>
      <w:r w:rsidRPr="00F15EFB">
        <w:rPr>
          <w:rFonts w:asciiTheme="minorHAnsi" w:hAnsiTheme="minorHAnsi" w:cstheme="minorHAnsi"/>
          <w:lang w:val="fr-FR"/>
        </w:rPr>
        <w:t xml:space="preserve">En d'autres termes, </w:t>
      </w:r>
      <w:r w:rsidR="00220FE9">
        <w:rPr>
          <w:rFonts w:asciiTheme="minorHAnsi" w:hAnsiTheme="minorHAnsi" w:cstheme="minorHAnsi"/>
          <w:lang w:val="fr-FR"/>
        </w:rPr>
        <w:t>les ETF sont soumis à l’interdiction de négocier le</w:t>
      </w:r>
      <w:r w:rsidRPr="00F15EFB">
        <w:rPr>
          <w:rFonts w:asciiTheme="minorHAnsi" w:hAnsiTheme="minorHAnsi" w:cstheme="minorHAnsi"/>
          <w:lang w:val="fr-FR"/>
        </w:rPr>
        <w:t>s instruments financiers concernés (émis après le 9 mars pour les entités sanctionnées par l'article 5</w:t>
      </w:r>
      <w:proofErr w:type="gramStart"/>
      <w:r w:rsidRPr="00F15EFB">
        <w:rPr>
          <w:rFonts w:asciiTheme="minorHAnsi" w:hAnsiTheme="minorHAnsi" w:cstheme="minorHAnsi"/>
          <w:lang w:val="fr-FR"/>
        </w:rPr>
        <w:t>a(</w:t>
      </w:r>
      <w:proofErr w:type="gramEnd"/>
      <w:r w:rsidRPr="00F15EFB">
        <w:rPr>
          <w:rFonts w:asciiTheme="minorHAnsi" w:hAnsiTheme="minorHAnsi" w:cstheme="minorHAnsi"/>
          <w:lang w:val="fr-FR"/>
        </w:rPr>
        <w:t>1)), ou le 12 avril pour les entités sanctionnées par les articles</w:t>
      </w:r>
      <w:r w:rsidR="00220FE9">
        <w:rPr>
          <w:rFonts w:asciiTheme="minorHAnsi" w:hAnsiTheme="minorHAnsi" w:cstheme="minorHAnsi"/>
          <w:lang w:val="fr-FR"/>
        </w:rPr>
        <w:t xml:space="preserve"> 5(1) à 5(4), et ce quel que soit le pourcentage qu’ils pourraient représenter dans leur portefeuille</w:t>
      </w:r>
      <w:r w:rsidRPr="00F15EFB">
        <w:rPr>
          <w:rFonts w:asciiTheme="minorHAnsi" w:hAnsiTheme="minorHAnsi" w:cstheme="minorHAnsi"/>
          <w:lang w:val="fr-FR"/>
        </w:rPr>
        <w:t>.</w:t>
      </w:r>
    </w:p>
    <w:p w14:paraId="42A8FCD8" w14:textId="59C08625" w:rsidR="000C10AE" w:rsidRDefault="000C10AE" w:rsidP="000C10AE">
      <w:pPr>
        <w:jc w:val="both"/>
        <w:rPr>
          <w:rFonts w:asciiTheme="minorHAnsi" w:hAnsiTheme="minorHAnsi" w:cstheme="minorHAnsi"/>
          <w:lang w:val="fr-FR"/>
        </w:rPr>
      </w:pPr>
    </w:p>
    <w:p w14:paraId="67F8C308" w14:textId="3C5DE950" w:rsidR="0030263E" w:rsidRPr="003838D0" w:rsidRDefault="005C5760" w:rsidP="009D451C">
      <w:pPr>
        <w:pStyle w:val="Titre4"/>
        <w:numPr>
          <w:ilvl w:val="0"/>
          <w:numId w:val="3"/>
        </w:numPr>
        <w:jc w:val="both"/>
        <w:rPr>
          <w:rFonts w:asciiTheme="minorHAnsi" w:hAnsiTheme="minorHAnsi" w:cstheme="minorHAnsi"/>
          <w:i w:val="0"/>
          <w:iCs w:val="0"/>
          <w:color w:val="auto"/>
          <w:lang w:val="fr-FR"/>
        </w:rPr>
      </w:pPr>
      <w:r>
        <w:rPr>
          <w:rFonts w:asciiTheme="minorHAnsi" w:hAnsiTheme="minorHAnsi" w:cstheme="minorHAnsi"/>
          <w:color w:val="auto"/>
          <w:lang w:val="fr-FR"/>
        </w:rPr>
        <w:lastRenderedPageBreak/>
        <w:t>L</w:t>
      </w:r>
      <w:r w:rsidR="0030263E" w:rsidRPr="004D5E4E">
        <w:rPr>
          <w:rFonts w:asciiTheme="minorHAnsi" w:hAnsiTheme="minorHAnsi" w:cstheme="minorHAnsi"/>
          <w:color w:val="auto"/>
          <w:lang w:val="fr-FR"/>
        </w:rPr>
        <w:t xml:space="preserve">es remboursements de </w:t>
      </w:r>
      <w:r>
        <w:rPr>
          <w:rFonts w:asciiTheme="minorHAnsi" w:hAnsiTheme="minorHAnsi" w:cstheme="minorHAnsi"/>
          <w:color w:val="auto"/>
          <w:lang w:val="fr-FR"/>
        </w:rPr>
        <w:t>t</w:t>
      </w:r>
      <w:r w:rsidR="0030263E" w:rsidRPr="004D5E4E">
        <w:rPr>
          <w:rFonts w:asciiTheme="minorHAnsi" w:hAnsiTheme="minorHAnsi" w:cstheme="minorHAnsi"/>
          <w:color w:val="auto"/>
          <w:lang w:val="fr-FR"/>
        </w:rPr>
        <w:t xml:space="preserve">itres de </w:t>
      </w:r>
      <w:r>
        <w:rPr>
          <w:rFonts w:asciiTheme="minorHAnsi" w:hAnsiTheme="minorHAnsi" w:cstheme="minorHAnsi"/>
          <w:color w:val="auto"/>
          <w:lang w:val="fr-FR"/>
        </w:rPr>
        <w:t>c</w:t>
      </w:r>
      <w:r w:rsidR="0030263E" w:rsidRPr="004D5E4E">
        <w:rPr>
          <w:rFonts w:asciiTheme="minorHAnsi" w:hAnsiTheme="minorHAnsi" w:cstheme="minorHAnsi"/>
          <w:color w:val="auto"/>
          <w:lang w:val="fr-FR"/>
        </w:rPr>
        <w:t xml:space="preserve">réance </w:t>
      </w:r>
      <w:r>
        <w:rPr>
          <w:rFonts w:asciiTheme="minorHAnsi" w:hAnsiTheme="minorHAnsi" w:cstheme="minorHAnsi"/>
          <w:color w:val="auto"/>
          <w:lang w:val="fr-FR"/>
        </w:rPr>
        <w:t>n</w:t>
      </w:r>
      <w:r w:rsidR="0030263E" w:rsidRPr="004D5E4E">
        <w:rPr>
          <w:rFonts w:asciiTheme="minorHAnsi" w:hAnsiTheme="minorHAnsi" w:cstheme="minorHAnsi"/>
          <w:color w:val="auto"/>
          <w:lang w:val="fr-FR"/>
        </w:rPr>
        <w:t xml:space="preserve">égociables (TCN) </w:t>
      </w:r>
      <w:r w:rsidR="0063409C">
        <w:rPr>
          <w:rFonts w:asciiTheme="minorHAnsi" w:hAnsiTheme="minorHAnsi" w:cstheme="minorHAnsi"/>
          <w:color w:val="auto"/>
          <w:lang w:val="fr-FR"/>
        </w:rPr>
        <w:t>dus au bénéfice d’</w:t>
      </w:r>
      <w:r w:rsidR="0030263E" w:rsidRPr="004D5E4E">
        <w:rPr>
          <w:rFonts w:asciiTheme="minorHAnsi" w:hAnsiTheme="minorHAnsi" w:cstheme="minorHAnsi"/>
          <w:color w:val="auto"/>
          <w:lang w:val="fr-FR"/>
        </w:rPr>
        <w:t xml:space="preserve">émetteurs </w:t>
      </w:r>
      <w:r>
        <w:rPr>
          <w:rFonts w:asciiTheme="minorHAnsi" w:hAnsiTheme="minorHAnsi" w:cstheme="minorHAnsi"/>
          <w:color w:val="auto"/>
          <w:lang w:val="fr-FR"/>
        </w:rPr>
        <w:t xml:space="preserve">russes </w:t>
      </w:r>
      <w:r w:rsidR="00212D91" w:rsidRPr="004D5E4E">
        <w:rPr>
          <w:rFonts w:asciiTheme="minorHAnsi" w:hAnsiTheme="minorHAnsi" w:cstheme="minorHAnsi"/>
          <w:color w:val="auto"/>
          <w:lang w:val="fr-FR"/>
        </w:rPr>
        <w:t xml:space="preserve">sanctionnés </w:t>
      </w:r>
      <w:r w:rsidR="0047681E">
        <w:rPr>
          <w:rFonts w:asciiTheme="minorHAnsi" w:hAnsiTheme="minorHAnsi" w:cstheme="minorHAnsi"/>
          <w:color w:val="auto"/>
          <w:lang w:val="fr-FR"/>
        </w:rPr>
        <w:t xml:space="preserve">à titre individuel </w:t>
      </w:r>
      <w:r w:rsidRPr="005C5760">
        <w:rPr>
          <w:rFonts w:asciiTheme="minorHAnsi" w:hAnsiTheme="minorHAnsi" w:cstheme="minorHAnsi"/>
          <w:color w:val="auto"/>
          <w:lang w:val="fr-FR"/>
        </w:rPr>
        <w:t>doivent-</w:t>
      </w:r>
      <w:r>
        <w:rPr>
          <w:rFonts w:asciiTheme="minorHAnsi" w:hAnsiTheme="minorHAnsi" w:cstheme="minorHAnsi"/>
          <w:color w:val="auto"/>
          <w:lang w:val="fr-FR"/>
        </w:rPr>
        <w:t xml:space="preserve">ils </w:t>
      </w:r>
      <w:r w:rsidR="0030263E" w:rsidRPr="004D5E4E">
        <w:rPr>
          <w:rFonts w:asciiTheme="minorHAnsi" w:hAnsiTheme="minorHAnsi" w:cstheme="minorHAnsi"/>
          <w:color w:val="auto"/>
          <w:lang w:val="fr-FR"/>
        </w:rPr>
        <w:t xml:space="preserve">être </w:t>
      </w:r>
      <w:r w:rsidR="0063409C">
        <w:rPr>
          <w:rFonts w:asciiTheme="minorHAnsi" w:hAnsiTheme="minorHAnsi" w:cstheme="minorHAnsi"/>
          <w:color w:val="auto"/>
          <w:lang w:val="fr-FR"/>
        </w:rPr>
        <w:t>bloqués</w:t>
      </w:r>
      <w:r w:rsidR="0047681E">
        <w:rPr>
          <w:rFonts w:asciiTheme="minorHAnsi" w:hAnsiTheme="minorHAnsi" w:cstheme="minorHAnsi"/>
          <w:color w:val="auto"/>
          <w:lang w:val="fr-FR"/>
        </w:rPr>
        <w:t xml:space="preserve"> par les dépositaires centraux européens</w:t>
      </w:r>
      <w:r w:rsidR="0030263E" w:rsidRPr="004D5E4E">
        <w:rPr>
          <w:rFonts w:asciiTheme="minorHAnsi" w:hAnsiTheme="minorHAnsi" w:cstheme="minorHAnsi"/>
          <w:color w:val="auto"/>
          <w:lang w:val="fr-FR"/>
        </w:rPr>
        <w:t xml:space="preserve"> ? </w:t>
      </w:r>
    </w:p>
    <w:p w14:paraId="4D5EFE92" w14:textId="77777777" w:rsidR="0030263E" w:rsidRPr="0030263E" w:rsidRDefault="0030263E" w:rsidP="00CC3615">
      <w:pPr>
        <w:keepNext/>
        <w:keepLines/>
        <w:rPr>
          <w:lang w:val="fr-FR"/>
        </w:rPr>
      </w:pPr>
    </w:p>
    <w:p w14:paraId="5058F9C2" w14:textId="73F7E37F" w:rsidR="0030263E" w:rsidRPr="0030263E" w:rsidRDefault="0030263E" w:rsidP="00CC3615">
      <w:pPr>
        <w:keepNext/>
        <w:keepLines/>
        <w:jc w:val="both"/>
        <w:rPr>
          <w:rFonts w:asciiTheme="minorHAnsi" w:hAnsiTheme="minorHAnsi" w:cstheme="minorHAnsi"/>
          <w:lang w:val="fr-FR"/>
        </w:rPr>
      </w:pPr>
      <w:r w:rsidRPr="0030263E">
        <w:rPr>
          <w:rFonts w:asciiTheme="minorHAnsi" w:hAnsiTheme="minorHAnsi" w:cstheme="minorHAnsi"/>
          <w:lang w:val="fr-FR"/>
        </w:rPr>
        <w:t xml:space="preserve">En l’espèce, le premier opérateur </w:t>
      </w:r>
      <w:r w:rsidR="0063409C">
        <w:rPr>
          <w:rFonts w:asciiTheme="minorHAnsi" w:hAnsiTheme="minorHAnsi" w:cstheme="minorHAnsi"/>
          <w:lang w:val="fr-FR"/>
        </w:rPr>
        <w:t xml:space="preserve">soumis au respect </w:t>
      </w:r>
      <w:r w:rsidR="0011222C">
        <w:rPr>
          <w:rFonts w:asciiTheme="minorHAnsi" w:hAnsiTheme="minorHAnsi" w:cstheme="minorHAnsi"/>
          <w:lang w:val="fr-FR"/>
        </w:rPr>
        <w:t>d</w:t>
      </w:r>
      <w:r w:rsidR="0063409C">
        <w:rPr>
          <w:rFonts w:asciiTheme="minorHAnsi" w:hAnsiTheme="minorHAnsi" w:cstheme="minorHAnsi"/>
          <w:lang w:val="fr-FR"/>
        </w:rPr>
        <w:t>u régi</w:t>
      </w:r>
      <w:r w:rsidR="0011222C">
        <w:rPr>
          <w:rFonts w:asciiTheme="minorHAnsi" w:hAnsiTheme="minorHAnsi" w:cstheme="minorHAnsi"/>
          <w:lang w:val="fr-FR"/>
        </w:rPr>
        <w:t xml:space="preserve">me de sanctions européen </w:t>
      </w:r>
      <w:r w:rsidRPr="0030263E">
        <w:rPr>
          <w:rFonts w:asciiTheme="minorHAnsi" w:hAnsiTheme="minorHAnsi" w:cstheme="minorHAnsi"/>
          <w:lang w:val="fr-FR"/>
        </w:rPr>
        <w:t xml:space="preserve">ayant connaissance qu’une partie des remboursements </w:t>
      </w:r>
      <w:r w:rsidR="0011222C">
        <w:rPr>
          <w:rFonts w:asciiTheme="minorHAnsi" w:hAnsiTheme="minorHAnsi" w:cstheme="minorHAnsi"/>
          <w:lang w:val="fr-FR"/>
        </w:rPr>
        <w:t>est</w:t>
      </w:r>
      <w:r w:rsidR="0011222C" w:rsidRPr="0030263E">
        <w:rPr>
          <w:rFonts w:asciiTheme="minorHAnsi" w:hAnsiTheme="minorHAnsi" w:cstheme="minorHAnsi"/>
          <w:lang w:val="fr-FR"/>
        </w:rPr>
        <w:t xml:space="preserve"> </w:t>
      </w:r>
      <w:r w:rsidRPr="0030263E">
        <w:rPr>
          <w:rFonts w:asciiTheme="minorHAnsi" w:hAnsiTheme="minorHAnsi" w:cstheme="minorHAnsi"/>
          <w:lang w:val="fr-FR"/>
        </w:rPr>
        <w:t>destiné</w:t>
      </w:r>
      <w:r w:rsidR="0011222C">
        <w:rPr>
          <w:rFonts w:asciiTheme="minorHAnsi" w:hAnsiTheme="minorHAnsi" w:cstheme="minorHAnsi"/>
          <w:lang w:val="fr-FR"/>
        </w:rPr>
        <w:t>e</w:t>
      </w:r>
      <w:r w:rsidRPr="0030263E">
        <w:rPr>
          <w:rFonts w:asciiTheme="minorHAnsi" w:hAnsiTheme="minorHAnsi" w:cstheme="minorHAnsi"/>
          <w:lang w:val="fr-FR"/>
        </w:rPr>
        <w:t xml:space="preserve"> à une entité </w:t>
      </w:r>
      <w:r w:rsidR="0011222C">
        <w:rPr>
          <w:rFonts w:asciiTheme="minorHAnsi" w:hAnsiTheme="minorHAnsi" w:cstheme="minorHAnsi"/>
          <w:lang w:val="fr-FR"/>
        </w:rPr>
        <w:t>sanctionn</w:t>
      </w:r>
      <w:r w:rsidR="0047681E">
        <w:rPr>
          <w:rFonts w:asciiTheme="minorHAnsi" w:hAnsiTheme="minorHAnsi" w:cstheme="minorHAnsi"/>
          <w:lang w:val="fr-FR"/>
        </w:rPr>
        <w:t>ée</w:t>
      </w:r>
      <w:r w:rsidR="0011222C">
        <w:rPr>
          <w:rFonts w:asciiTheme="minorHAnsi" w:hAnsiTheme="minorHAnsi" w:cstheme="minorHAnsi"/>
          <w:lang w:val="fr-FR"/>
        </w:rPr>
        <w:t xml:space="preserve"> </w:t>
      </w:r>
      <w:r w:rsidRPr="0030263E">
        <w:rPr>
          <w:rFonts w:asciiTheme="minorHAnsi" w:hAnsiTheme="minorHAnsi" w:cstheme="minorHAnsi"/>
          <w:lang w:val="fr-FR"/>
        </w:rPr>
        <w:t xml:space="preserve">doit procéder au </w:t>
      </w:r>
      <w:r w:rsidR="0011222C">
        <w:rPr>
          <w:rFonts w:asciiTheme="minorHAnsi" w:hAnsiTheme="minorHAnsi" w:cstheme="minorHAnsi"/>
          <w:lang w:val="fr-FR"/>
        </w:rPr>
        <w:t>blocage</w:t>
      </w:r>
      <w:r w:rsidR="00881154">
        <w:rPr>
          <w:rFonts w:asciiTheme="minorHAnsi" w:hAnsiTheme="minorHAnsi" w:cstheme="minorHAnsi"/>
          <w:lang w:val="fr-FR"/>
        </w:rPr>
        <w:t xml:space="preserve"> </w:t>
      </w:r>
      <w:r w:rsidR="00700AA0">
        <w:rPr>
          <w:rFonts w:asciiTheme="minorHAnsi" w:hAnsiTheme="minorHAnsi" w:cstheme="minorHAnsi"/>
          <w:lang w:val="fr-FR"/>
        </w:rPr>
        <w:t>des</w:t>
      </w:r>
      <w:r w:rsidRPr="0030263E">
        <w:rPr>
          <w:rFonts w:asciiTheme="minorHAnsi" w:hAnsiTheme="minorHAnsi" w:cstheme="minorHAnsi"/>
          <w:lang w:val="fr-FR"/>
        </w:rPr>
        <w:t xml:space="preserve"> transaction</w:t>
      </w:r>
      <w:r w:rsidR="00700AA0">
        <w:rPr>
          <w:rFonts w:asciiTheme="minorHAnsi" w:hAnsiTheme="minorHAnsi" w:cstheme="minorHAnsi"/>
          <w:lang w:val="fr-FR"/>
        </w:rPr>
        <w:t>s destinées à l’entité sanctionnée</w:t>
      </w:r>
      <w:r w:rsidRPr="0030263E">
        <w:rPr>
          <w:rFonts w:asciiTheme="minorHAnsi" w:hAnsiTheme="minorHAnsi" w:cstheme="minorHAnsi"/>
          <w:lang w:val="fr-FR"/>
        </w:rPr>
        <w:t xml:space="preserve">. Les paiements peuvent </w:t>
      </w:r>
      <w:r w:rsidR="0011222C">
        <w:rPr>
          <w:rFonts w:asciiTheme="minorHAnsi" w:hAnsiTheme="minorHAnsi" w:cstheme="minorHAnsi"/>
          <w:lang w:val="fr-FR"/>
        </w:rPr>
        <w:t xml:space="preserve">ainsi </w:t>
      </w:r>
      <w:r w:rsidRPr="0030263E">
        <w:rPr>
          <w:rFonts w:asciiTheme="minorHAnsi" w:hAnsiTheme="minorHAnsi" w:cstheme="minorHAnsi"/>
          <w:lang w:val="fr-FR"/>
        </w:rPr>
        <w:t xml:space="preserve">être bloqués </w:t>
      </w:r>
      <w:r w:rsidR="0047681E">
        <w:rPr>
          <w:rFonts w:asciiTheme="minorHAnsi" w:hAnsiTheme="minorHAnsi" w:cstheme="minorHAnsi"/>
          <w:lang w:val="fr-FR"/>
        </w:rPr>
        <w:t xml:space="preserve">en </w:t>
      </w:r>
      <w:r w:rsidRPr="0030263E">
        <w:rPr>
          <w:rFonts w:asciiTheme="minorHAnsi" w:hAnsiTheme="minorHAnsi" w:cstheme="minorHAnsi"/>
          <w:lang w:val="fr-FR"/>
        </w:rPr>
        <w:t xml:space="preserve">amont. </w:t>
      </w:r>
    </w:p>
    <w:p w14:paraId="007275B3" w14:textId="77777777" w:rsidR="0030263E" w:rsidRPr="0030263E" w:rsidRDefault="0030263E" w:rsidP="0030263E">
      <w:pPr>
        <w:jc w:val="both"/>
        <w:rPr>
          <w:rFonts w:asciiTheme="minorHAnsi" w:hAnsiTheme="minorHAnsi" w:cstheme="minorHAnsi"/>
          <w:lang w:val="fr-FR"/>
        </w:rPr>
      </w:pPr>
    </w:p>
    <w:p w14:paraId="421A0EEC" w14:textId="64B1B0EA" w:rsidR="0030263E" w:rsidRPr="0030263E" w:rsidRDefault="00EB6EFE" w:rsidP="009D451C">
      <w:pPr>
        <w:pStyle w:val="Titre4"/>
        <w:numPr>
          <w:ilvl w:val="0"/>
          <w:numId w:val="3"/>
        </w:numPr>
        <w:jc w:val="both"/>
        <w:rPr>
          <w:rFonts w:asciiTheme="minorHAnsi" w:hAnsiTheme="minorHAnsi" w:cstheme="minorHAnsi"/>
          <w:color w:val="auto"/>
          <w:lang w:val="fr-FR"/>
        </w:rPr>
      </w:pPr>
      <w:r>
        <w:rPr>
          <w:rFonts w:asciiTheme="minorHAnsi" w:hAnsiTheme="minorHAnsi" w:cstheme="minorHAnsi"/>
          <w:color w:val="auto"/>
          <w:lang w:val="fr-FR"/>
        </w:rPr>
        <w:t xml:space="preserve">Dans le cas d’une transaction entre une partie européenne et une partie russe sanctionnée impliquant un dépositaire central </w:t>
      </w:r>
      <w:r w:rsidR="00600CDA">
        <w:rPr>
          <w:rFonts w:asciiTheme="minorHAnsi" w:hAnsiTheme="minorHAnsi" w:cstheme="minorHAnsi"/>
          <w:color w:val="auto"/>
          <w:lang w:val="fr-FR"/>
        </w:rPr>
        <w:t xml:space="preserve">de titres </w:t>
      </w:r>
      <w:r w:rsidR="0047681E">
        <w:rPr>
          <w:rFonts w:asciiTheme="minorHAnsi" w:hAnsiTheme="minorHAnsi" w:cstheme="minorHAnsi"/>
          <w:color w:val="auto"/>
          <w:lang w:val="fr-FR"/>
        </w:rPr>
        <w:t>européen</w:t>
      </w:r>
      <w:r>
        <w:rPr>
          <w:rFonts w:asciiTheme="minorHAnsi" w:hAnsiTheme="minorHAnsi" w:cstheme="minorHAnsi"/>
          <w:color w:val="auto"/>
          <w:lang w:val="fr-FR"/>
        </w:rPr>
        <w:t xml:space="preserve">, est-il </w:t>
      </w:r>
      <w:r w:rsidR="0030263E" w:rsidRPr="0030263E">
        <w:rPr>
          <w:rFonts w:asciiTheme="minorHAnsi" w:hAnsiTheme="minorHAnsi" w:cstheme="minorHAnsi"/>
          <w:color w:val="auto"/>
          <w:lang w:val="fr-FR"/>
        </w:rPr>
        <w:t xml:space="preserve">de la responsabilité </w:t>
      </w:r>
      <w:r w:rsidR="00212D91">
        <w:rPr>
          <w:rFonts w:asciiTheme="minorHAnsi" w:hAnsiTheme="minorHAnsi" w:cstheme="minorHAnsi"/>
          <w:color w:val="auto"/>
          <w:lang w:val="fr-FR"/>
        </w:rPr>
        <w:t>d</w:t>
      </w:r>
      <w:r>
        <w:rPr>
          <w:rFonts w:asciiTheme="minorHAnsi" w:hAnsiTheme="minorHAnsi" w:cstheme="minorHAnsi"/>
          <w:color w:val="auto"/>
          <w:lang w:val="fr-FR"/>
        </w:rPr>
        <w:t>u</w:t>
      </w:r>
      <w:r w:rsidR="00212D91">
        <w:rPr>
          <w:rFonts w:asciiTheme="minorHAnsi" w:hAnsiTheme="minorHAnsi" w:cstheme="minorHAnsi"/>
          <w:color w:val="auto"/>
          <w:lang w:val="fr-FR"/>
        </w:rPr>
        <w:t xml:space="preserve"> dépositaire centra</w:t>
      </w:r>
      <w:r>
        <w:rPr>
          <w:rFonts w:asciiTheme="minorHAnsi" w:hAnsiTheme="minorHAnsi" w:cstheme="minorHAnsi"/>
          <w:color w:val="auto"/>
          <w:lang w:val="fr-FR"/>
        </w:rPr>
        <w:t>l</w:t>
      </w:r>
      <w:r w:rsidR="00881154">
        <w:rPr>
          <w:rFonts w:asciiTheme="minorHAnsi" w:hAnsiTheme="minorHAnsi" w:cstheme="minorHAnsi"/>
          <w:color w:val="auto"/>
          <w:lang w:val="fr-FR"/>
        </w:rPr>
        <w:t xml:space="preserve"> </w:t>
      </w:r>
      <w:r w:rsidR="0030263E" w:rsidRPr="0030263E">
        <w:rPr>
          <w:rFonts w:asciiTheme="minorHAnsi" w:hAnsiTheme="minorHAnsi" w:cstheme="minorHAnsi"/>
          <w:color w:val="auto"/>
          <w:lang w:val="fr-FR"/>
        </w:rPr>
        <w:t xml:space="preserve">de geler les fonds </w:t>
      </w:r>
      <w:r>
        <w:rPr>
          <w:rFonts w:asciiTheme="minorHAnsi" w:hAnsiTheme="minorHAnsi" w:cstheme="minorHAnsi"/>
          <w:color w:val="auto"/>
          <w:lang w:val="fr-FR"/>
        </w:rPr>
        <w:t xml:space="preserve">concernés </w:t>
      </w:r>
      <w:r w:rsidR="0030263E" w:rsidRPr="0030263E">
        <w:rPr>
          <w:rFonts w:asciiTheme="minorHAnsi" w:hAnsiTheme="minorHAnsi" w:cstheme="minorHAnsi"/>
          <w:color w:val="auto"/>
          <w:lang w:val="fr-FR"/>
        </w:rPr>
        <w:t xml:space="preserve">sur </w:t>
      </w:r>
      <w:r>
        <w:rPr>
          <w:rFonts w:asciiTheme="minorHAnsi" w:hAnsiTheme="minorHAnsi" w:cstheme="minorHAnsi"/>
          <w:color w:val="auto"/>
          <w:lang w:val="fr-FR"/>
        </w:rPr>
        <w:t xml:space="preserve">un </w:t>
      </w:r>
      <w:r w:rsidR="0030263E" w:rsidRPr="0030263E">
        <w:rPr>
          <w:rFonts w:asciiTheme="minorHAnsi" w:hAnsiTheme="minorHAnsi" w:cstheme="minorHAnsi"/>
          <w:color w:val="auto"/>
          <w:lang w:val="fr-FR"/>
        </w:rPr>
        <w:t>compte séquestre ?</w:t>
      </w:r>
    </w:p>
    <w:p w14:paraId="7CBB44BB" w14:textId="77777777" w:rsidR="0030263E" w:rsidRDefault="0030263E" w:rsidP="004D5E4E">
      <w:pPr>
        <w:keepNext/>
        <w:keepLines/>
        <w:jc w:val="both"/>
        <w:rPr>
          <w:rFonts w:asciiTheme="minorHAnsi" w:hAnsiTheme="minorHAnsi" w:cstheme="minorHAnsi"/>
          <w:lang w:val="fr-FR"/>
        </w:rPr>
      </w:pPr>
    </w:p>
    <w:p w14:paraId="3748ACCD" w14:textId="40B83E25" w:rsidR="0030263E" w:rsidRPr="0030263E" w:rsidRDefault="0030263E" w:rsidP="004D5E4E">
      <w:pPr>
        <w:keepNext/>
        <w:keepLines/>
        <w:jc w:val="both"/>
        <w:rPr>
          <w:rFonts w:asciiTheme="minorHAnsi" w:hAnsiTheme="minorHAnsi" w:cstheme="minorHAnsi"/>
          <w:lang w:val="fr-FR"/>
        </w:rPr>
      </w:pPr>
      <w:r w:rsidRPr="0030263E">
        <w:rPr>
          <w:rFonts w:asciiTheme="minorHAnsi" w:hAnsiTheme="minorHAnsi" w:cstheme="minorHAnsi"/>
          <w:lang w:val="fr-FR"/>
        </w:rPr>
        <w:t>Dès lors qu</w:t>
      </w:r>
      <w:r w:rsidR="00C93502">
        <w:rPr>
          <w:rFonts w:asciiTheme="minorHAnsi" w:hAnsiTheme="minorHAnsi" w:cstheme="minorHAnsi"/>
          <w:lang w:val="fr-FR"/>
        </w:rPr>
        <w:t>’un</w:t>
      </w:r>
      <w:r w:rsidR="0047681E">
        <w:rPr>
          <w:rFonts w:asciiTheme="minorHAnsi" w:hAnsiTheme="minorHAnsi" w:cstheme="minorHAnsi"/>
          <w:lang w:val="fr-FR"/>
        </w:rPr>
        <w:t xml:space="preserve"> opérateur soumis au respect du régime de sanctions européen </w:t>
      </w:r>
      <w:proofErr w:type="gramStart"/>
      <w:r w:rsidRPr="0030263E">
        <w:rPr>
          <w:rFonts w:asciiTheme="minorHAnsi" w:hAnsiTheme="minorHAnsi" w:cstheme="minorHAnsi"/>
          <w:lang w:val="fr-FR"/>
        </w:rPr>
        <w:t>a</w:t>
      </w:r>
      <w:proofErr w:type="gramEnd"/>
      <w:r w:rsidRPr="0030263E">
        <w:rPr>
          <w:rFonts w:asciiTheme="minorHAnsi" w:hAnsiTheme="minorHAnsi" w:cstheme="minorHAnsi"/>
          <w:lang w:val="fr-FR"/>
        </w:rPr>
        <w:t xml:space="preserve"> connaissance </w:t>
      </w:r>
      <w:r w:rsidR="00C93502">
        <w:rPr>
          <w:rFonts w:asciiTheme="minorHAnsi" w:hAnsiTheme="minorHAnsi" w:cstheme="minorHAnsi"/>
          <w:lang w:val="fr-FR"/>
        </w:rPr>
        <w:t xml:space="preserve">du fait </w:t>
      </w:r>
      <w:r w:rsidRPr="0030263E">
        <w:rPr>
          <w:rFonts w:asciiTheme="minorHAnsi" w:hAnsiTheme="minorHAnsi" w:cstheme="minorHAnsi"/>
          <w:lang w:val="fr-FR"/>
        </w:rPr>
        <w:t xml:space="preserve">que des fonds sont destinés à une </w:t>
      </w:r>
      <w:r w:rsidR="00D23984">
        <w:rPr>
          <w:rFonts w:asciiTheme="minorHAnsi" w:hAnsiTheme="minorHAnsi" w:cstheme="minorHAnsi"/>
          <w:lang w:val="fr-FR"/>
        </w:rPr>
        <w:t xml:space="preserve">entité russe sanctionnée, </w:t>
      </w:r>
      <w:r w:rsidRPr="0030263E">
        <w:rPr>
          <w:rFonts w:asciiTheme="minorHAnsi" w:hAnsiTheme="minorHAnsi" w:cstheme="minorHAnsi"/>
          <w:lang w:val="fr-FR"/>
        </w:rPr>
        <w:t xml:space="preserve">elle ne procède pas </w:t>
      </w:r>
      <w:r w:rsidR="0047681E">
        <w:rPr>
          <w:rFonts w:asciiTheme="minorHAnsi" w:hAnsiTheme="minorHAnsi" w:cstheme="minorHAnsi"/>
          <w:lang w:val="fr-FR"/>
        </w:rPr>
        <w:t>à la transaction</w:t>
      </w:r>
      <w:r w:rsidRPr="0030263E">
        <w:rPr>
          <w:rFonts w:asciiTheme="minorHAnsi" w:hAnsiTheme="minorHAnsi" w:cstheme="minorHAnsi"/>
          <w:lang w:val="fr-FR"/>
        </w:rPr>
        <w:t xml:space="preserve">. </w:t>
      </w:r>
      <w:r w:rsidR="0047681E">
        <w:rPr>
          <w:rFonts w:asciiTheme="minorHAnsi" w:hAnsiTheme="minorHAnsi" w:cstheme="minorHAnsi"/>
          <w:lang w:val="fr-FR"/>
        </w:rPr>
        <w:t>Dès lors que le dépositaire central de titre</w:t>
      </w:r>
      <w:r w:rsidR="00600CDA">
        <w:rPr>
          <w:rFonts w:asciiTheme="minorHAnsi" w:hAnsiTheme="minorHAnsi" w:cstheme="minorHAnsi"/>
          <w:lang w:val="fr-FR"/>
        </w:rPr>
        <w:t>s</w:t>
      </w:r>
      <w:r w:rsidR="0047681E">
        <w:rPr>
          <w:rFonts w:asciiTheme="minorHAnsi" w:hAnsiTheme="minorHAnsi" w:cstheme="minorHAnsi"/>
          <w:lang w:val="fr-FR"/>
        </w:rPr>
        <w:t xml:space="preserve"> identifie une telle transaction, il lui incombe de la bloquer. </w:t>
      </w:r>
    </w:p>
    <w:p w14:paraId="7A19F97A" w14:textId="77777777" w:rsidR="0030263E" w:rsidRPr="0030263E" w:rsidRDefault="0030263E" w:rsidP="0030263E">
      <w:pPr>
        <w:jc w:val="both"/>
        <w:rPr>
          <w:rFonts w:asciiTheme="minorHAnsi" w:hAnsiTheme="minorHAnsi" w:cstheme="minorHAnsi"/>
          <w:lang w:val="fr-FR"/>
        </w:rPr>
      </w:pPr>
    </w:p>
    <w:p w14:paraId="75570CD1" w14:textId="343CB66D" w:rsidR="0031426E" w:rsidRPr="004D5E4E" w:rsidRDefault="00B33A42" w:rsidP="009D451C">
      <w:pPr>
        <w:pStyle w:val="Titre4"/>
        <w:numPr>
          <w:ilvl w:val="0"/>
          <w:numId w:val="3"/>
        </w:numPr>
        <w:jc w:val="both"/>
        <w:rPr>
          <w:rFonts w:asciiTheme="minorHAnsi" w:hAnsiTheme="minorHAnsi" w:cstheme="minorHAnsi"/>
          <w:color w:val="auto"/>
          <w:lang w:val="fr-FR"/>
        </w:rPr>
      </w:pPr>
      <w:r w:rsidRPr="00F54AA2">
        <w:rPr>
          <w:rFonts w:asciiTheme="minorHAnsi" w:hAnsiTheme="minorHAnsi" w:cstheme="minorHAnsi"/>
          <w:color w:val="auto"/>
          <w:lang w:val="fr-FR"/>
        </w:rPr>
        <w:t>Doit-on</w:t>
      </w:r>
      <w:r w:rsidR="0031426E" w:rsidRPr="00F54AA2">
        <w:rPr>
          <w:rFonts w:asciiTheme="minorHAnsi" w:hAnsiTheme="minorHAnsi" w:cstheme="minorHAnsi"/>
          <w:color w:val="auto"/>
          <w:lang w:val="fr-FR"/>
        </w:rPr>
        <w:t xml:space="preserve"> considérer que le règlement interdit l'achat de valeurs mobilières </w:t>
      </w:r>
      <w:r w:rsidR="00980F0E">
        <w:rPr>
          <w:rFonts w:asciiTheme="minorHAnsi" w:hAnsiTheme="minorHAnsi" w:cstheme="minorHAnsi"/>
          <w:color w:val="auto"/>
          <w:lang w:val="fr-FR"/>
        </w:rPr>
        <w:t xml:space="preserve">émises après le 12 avril et </w:t>
      </w:r>
      <w:r w:rsidR="0031426E" w:rsidRPr="00F54AA2">
        <w:rPr>
          <w:rFonts w:asciiTheme="minorHAnsi" w:hAnsiTheme="minorHAnsi" w:cstheme="minorHAnsi"/>
          <w:color w:val="auto"/>
          <w:lang w:val="fr-FR"/>
        </w:rPr>
        <w:t xml:space="preserve">libellées </w:t>
      </w:r>
      <w:r w:rsidR="00980F0E">
        <w:rPr>
          <w:rFonts w:asciiTheme="minorHAnsi" w:hAnsiTheme="minorHAnsi" w:cstheme="minorHAnsi"/>
          <w:color w:val="auto"/>
          <w:lang w:val="fr-FR"/>
        </w:rPr>
        <w:t xml:space="preserve">dans une devise officielle de l’Union européenne </w:t>
      </w:r>
      <w:r w:rsidR="0031426E" w:rsidRPr="00F54AA2">
        <w:rPr>
          <w:rFonts w:asciiTheme="minorHAnsi" w:hAnsiTheme="minorHAnsi" w:cstheme="minorHAnsi"/>
          <w:color w:val="auto"/>
          <w:lang w:val="fr-FR"/>
        </w:rPr>
        <w:t xml:space="preserve">par des OPC de pays tiers si leurs parts sont commercialisées auprès de ressortissants ou d'entités russes ? </w:t>
      </w:r>
    </w:p>
    <w:p w14:paraId="279396E7" w14:textId="77777777" w:rsidR="0031426E" w:rsidRPr="0031426E" w:rsidRDefault="0031426E" w:rsidP="0031426E">
      <w:pPr>
        <w:rPr>
          <w:lang w:val="fr-FR"/>
        </w:rPr>
      </w:pPr>
    </w:p>
    <w:p w14:paraId="6410E1D3" w14:textId="182F39A9" w:rsidR="0031426E" w:rsidRDefault="0031426E" w:rsidP="0031426E">
      <w:pPr>
        <w:jc w:val="both"/>
        <w:rPr>
          <w:rFonts w:asciiTheme="minorHAnsi" w:eastAsiaTheme="majorEastAsia" w:hAnsiTheme="minorHAnsi" w:cstheme="minorHAnsi"/>
          <w:iCs/>
          <w:lang w:val="fr-FR"/>
        </w:rPr>
      </w:pPr>
      <w:r w:rsidRPr="0031426E">
        <w:rPr>
          <w:rFonts w:asciiTheme="minorHAnsi" w:eastAsiaTheme="majorEastAsia" w:hAnsiTheme="minorHAnsi" w:cstheme="minorHAnsi"/>
          <w:iCs/>
          <w:lang w:val="fr-FR"/>
        </w:rPr>
        <w:t xml:space="preserve">S'il peut être établi ou s'il existe des motifs raisonnables de soupçonner que les parts </w:t>
      </w:r>
      <w:r w:rsidR="0098568C">
        <w:rPr>
          <w:rFonts w:asciiTheme="minorHAnsi" w:eastAsiaTheme="majorEastAsia" w:hAnsiTheme="minorHAnsi" w:cstheme="minorHAnsi"/>
          <w:iCs/>
          <w:lang w:val="fr-FR"/>
        </w:rPr>
        <w:t>d’</w:t>
      </w:r>
      <w:r w:rsidRPr="0031426E">
        <w:rPr>
          <w:rFonts w:asciiTheme="minorHAnsi" w:eastAsiaTheme="majorEastAsia" w:hAnsiTheme="minorHAnsi" w:cstheme="minorHAnsi"/>
          <w:iCs/>
          <w:lang w:val="fr-FR"/>
        </w:rPr>
        <w:t xml:space="preserve">OPC de pays tiers sont effectivement commercialisées auprès de ressortissants ou d'entités russes, l'interdiction </w:t>
      </w:r>
      <w:r w:rsidR="0098568C">
        <w:rPr>
          <w:rFonts w:asciiTheme="minorHAnsi" w:eastAsiaTheme="majorEastAsia" w:hAnsiTheme="minorHAnsi" w:cstheme="minorHAnsi"/>
          <w:iCs/>
          <w:lang w:val="fr-FR"/>
        </w:rPr>
        <w:t xml:space="preserve">prévue à l’article 5 septies </w:t>
      </w:r>
      <w:r w:rsidRPr="0031426E">
        <w:rPr>
          <w:rFonts w:asciiTheme="minorHAnsi" w:eastAsiaTheme="majorEastAsia" w:hAnsiTheme="minorHAnsi" w:cstheme="minorHAnsi"/>
          <w:iCs/>
          <w:lang w:val="fr-FR"/>
        </w:rPr>
        <w:t xml:space="preserve">de vendre des valeurs mobilières libellées en euros </w:t>
      </w:r>
      <w:r w:rsidR="0098568C">
        <w:rPr>
          <w:rFonts w:asciiTheme="minorHAnsi" w:eastAsiaTheme="majorEastAsia" w:hAnsiTheme="minorHAnsi" w:cstheme="minorHAnsi"/>
          <w:iCs/>
          <w:lang w:val="fr-FR"/>
        </w:rPr>
        <w:t xml:space="preserve">émises après le 12 avril 2022 ou des parts ou actions d’OPC investies dans ces mêmes valeurs </w:t>
      </w:r>
      <w:r w:rsidRPr="0031426E">
        <w:rPr>
          <w:rFonts w:asciiTheme="minorHAnsi" w:eastAsiaTheme="majorEastAsia" w:hAnsiTheme="minorHAnsi" w:cstheme="minorHAnsi"/>
          <w:iCs/>
          <w:lang w:val="fr-FR"/>
        </w:rPr>
        <w:t>peut s'étendre à ces OPC de pays tiers lorsque le vendeur est une personne ou une entité de l'UE. Toutefois, les sanctions de l'UE n'ont pas d'effet extraterritorial. Par conséquent, l'interdiction ne peut être appliquée aux OPC de pays tiers en tant qu'acheteurs finaux.</w:t>
      </w:r>
    </w:p>
    <w:p w14:paraId="0B3117E0" w14:textId="77777777" w:rsidR="0030263E" w:rsidRDefault="0030263E" w:rsidP="0030263E">
      <w:pPr>
        <w:jc w:val="both"/>
        <w:rPr>
          <w:rFonts w:asciiTheme="minorHAnsi" w:hAnsiTheme="minorHAnsi" w:cstheme="minorHAnsi"/>
          <w:lang w:val="fr-FR"/>
        </w:rPr>
      </w:pPr>
    </w:p>
    <w:p w14:paraId="49CEAE6C" w14:textId="6E39D281" w:rsidR="00AA0E41" w:rsidRPr="0030263E" w:rsidRDefault="0098568C" w:rsidP="00D67BDC">
      <w:pPr>
        <w:jc w:val="both"/>
        <w:rPr>
          <w:rFonts w:asciiTheme="minorHAnsi" w:hAnsiTheme="minorHAnsi" w:cstheme="minorHAnsi"/>
          <w:lang w:val="fr-FR"/>
        </w:rPr>
      </w:pPr>
      <w:r>
        <w:rPr>
          <w:rFonts w:asciiTheme="minorHAnsi" w:hAnsiTheme="minorHAnsi" w:cstheme="minorHAnsi"/>
          <w:lang w:val="fr-FR"/>
        </w:rPr>
        <w:t>A noter que l</w:t>
      </w:r>
      <w:r w:rsidR="00DF0774" w:rsidRPr="0030263E">
        <w:rPr>
          <w:rFonts w:asciiTheme="minorHAnsi" w:hAnsiTheme="minorHAnsi" w:cstheme="minorHAnsi"/>
          <w:lang w:val="fr-FR"/>
        </w:rPr>
        <w:t>’article</w:t>
      </w:r>
      <w:r w:rsidR="00DF0774">
        <w:rPr>
          <w:rFonts w:asciiTheme="minorHAnsi" w:hAnsiTheme="minorHAnsi" w:cstheme="minorHAnsi"/>
          <w:lang w:val="fr-FR"/>
        </w:rPr>
        <w:t> </w:t>
      </w:r>
      <w:r w:rsidR="00DF0774" w:rsidRPr="0030263E">
        <w:rPr>
          <w:rFonts w:asciiTheme="minorHAnsi" w:hAnsiTheme="minorHAnsi" w:cstheme="minorHAnsi"/>
          <w:lang w:val="fr-FR"/>
        </w:rPr>
        <w:t>5</w:t>
      </w:r>
      <w:r w:rsidR="00DF0774">
        <w:rPr>
          <w:rFonts w:asciiTheme="minorHAnsi" w:hAnsiTheme="minorHAnsi" w:cstheme="minorHAnsi"/>
          <w:lang w:val="fr-FR"/>
        </w:rPr>
        <w:t> </w:t>
      </w:r>
      <w:r w:rsidR="0030263E" w:rsidRPr="0030263E">
        <w:rPr>
          <w:rFonts w:asciiTheme="minorHAnsi" w:hAnsiTheme="minorHAnsi" w:cstheme="minorHAnsi"/>
          <w:lang w:val="fr-FR"/>
        </w:rPr>
        <w:t xml:space="preserve">septies ne fait </w:t>
      </w:r>
      <w:r w:rsidR="00DF0774">
        <w:rPr>
          <w:rFonts w:asciiTheme="minorHAnsi" w:hAnsiTheme="minorHAnsi" w:cstheme="minorHAnsi"/>
          <w:lang w:val="fr-FR"/>
        </w:rPr>
        <w:t xml:space="preserve">pas </w:t>
      </w:r>
      <w:r w:rsidR="0030263E" w:rsidRPr="0030263E">
        <w:rPr>
          <w:rFonts w:asciiTheme="minorHAnsi" w:hAnsiTheme="minorHAnsi" w:cstheme="minorHAnsi"/>
          <w:lang w:val="fr-FR"/>
        </w:rPr>
        <w:t>de distinction entre marché primaire et secondaire</w:t>
      </w:r>
      <w:r w:rsidR="00F64D18">
        <w:rPr>
          <w:rFonts w:asciiTheme="minorHAnsi" w:hAnsiTheme="minorHAnsi" w:cstheme="minorHAnsi"/>
          <w:lang w:val="fr-FR"/>
        </w:rPr>
        <w:t>.</w:t>
      </w:r>
    </w:p>
    <w:p w14:paraId="1906375C" w14:textId="631D37EA" w:rsidR="0030263E" w:rsidRDefault="0030263E" w:rsidP="0030263E">
      <w:pPr>
        <w:rPr>
          <w:lang w:val="fr-FR"/>
        </w:rPr>
      </w:pPr>
    </w:p>
    <w:p w14:paraId="7274CC1E" w14:textId="77777777" w:rsidR="00984A65" w:rsidRPr="0030263E" w:rsidRDefault="00984A65" w:rsidP="009D451C">
      <w:pPr>
        <w:pStyle w:val="Titre4"/>
        <w:numPr>
          <w:ilvl w:val="0"/>
          <w:numId w:val="3"/>
        </w:numPr>
        <w:jc w:val="both"/>
        <w:rPr>
          <w:rFonts w:asciiTheme="minorHAnsi" w:hAnsiTheme="minorHAnsi" w:cstheme="minorHAnsi"/>
          <w:color w:val="auto"/>
          <w:lang w:val="fr-FR"/>
        </w:rPr>
      </w:pPr>
      <w:r>
        <w:rPr>
          <w:rFonts w:asciiTheme="minorHAnsi" w:hAnsiTheme="minorHAnsi" w:cstheme="minorHAnsi"/>
          <w:color w:val="auto"/>
          <w:lang w:val="fr-FR"/>
        </w:rPr>
        <w:t>L’</w:t>
      </w:r>
      <w:r w:rsidRPr="0030263E">
        <w:rPr>
          <w:rFonts w:asciiTheme="minorHAnsi" w:hAnsiTheme="minorHAnsi" w:cstheme="minorHAnsi"/>
          <w:color w:val="auto"/>
          <w:lang w:val="fr-FR"/>
        </w:rPr>
        <w:t>interdiction de ven</w:t>
      </w:r>
      <w:r>
        <w:rPr>
          <w:rFonts w:asciiTheme="minorHAnsi" w:hAnsiTheme="minorHAnsi" w:cstheme="minorHAnsi"/>
          <w:color w:val="auto"/>
          <w:lang w:val="fr-FR"/>
        </w:rPr>
        <w:t>dre</w:t>
      </w:r>
      <w:r w:rsidRPr="0030263E">
        <w:rPr>
          <w:rFonts w:asciiTheme="minorHAnsi" w:hAnsiTheme="minorHAnsi" w:cstheme="minorHAnsi"/>
          <w:color w:val="auto"/>
          <w:lang w:val="fr-FR"/>
        </w:rPr>
        <w:t xml:space="preserve"> de</w:t>
      </w:r>
      <w:r>
        <w:rPr>
          <w:rFonts w:asciiTheme="minorHAnsi" w:hAnsiTheme="minorHAnsi" w:cstheme="minorHAnsi"/>
          <w:color w:val="auto"/>
          <w:lang w:val="fr-FR"/>
        </w:rPr>
        <w:t>s</w:t>
      </w:r>
      <w:r w:rsidRPr="0030263E">
        <w:rPr>
          <w:rFonts w:asciiTheme="minorHAnsi" w:hAnsiTheme="minorHAnsi" w:cstheme="minorHAnsi"/>
          <w:color w:val="auto"/>
          <w:lang w:val="fr-FR"/>
        </w:rPr>
        <w:t xml:space="preserve"> valeurs mobilières libellées </w:t>
      </w:r>
      <w:r>
        <w:rPr>
          <w:rFonts w:asciiTheme="minorHAnsi" w:hAnsiTheme="minorHAnsi" w:cstheme="minorHAnsi"/>
          <w:color w:val="auto"/>
          <w:lang w:val="fr-FR"/>
        </w:rPr>
        <w:t xml:space="preserve">dans une devise officielle de l’Union européenne et </w:t>
      </w:r>
      <w:r w:rsidRPr="0030263E">
        <w:rPr>
          <w:rFonts w:asciiTheme="minorHAnsi" w:hAnsiTheme="minorHAnsi" w:cstheme="minorHAnsi"/>
          <w:color w:val="auto"/>
          <w:lang w:val="fr-FR"/>
        </w:rPr>
        <w:t xml:space="preserve">émise après le 12 avril 2022 </w:t>
      </w:r>
      <w:r>
        <w:rPr>
          <w:rFonts w:asciiTheme="minorHAnsi" w:hAnsiTheme="minorHAnsi" w:cstheme="minorHAnsi"/>
          <w:color w:val="auto"/>
          <w:lang w:val="fr-FR"/>
        </w:rPr>
        <w:t xml:space="preserve">(ou des parts ou actions d’OPC exposées à ces valeurs mobilières) </w:t>
      </w:r>
      <w:r w:rsidRPr="0030263E">
        <w:rPr>
          <w:rFonts w:asciiTheme="minorHAnsi" w:hAnsiTheme="minorHAnsi" w:cstheme="minorHAnsi"/>
          <w:color w:val="auto"/>
          <w:lang w:val="fr-FR"/>
        </w:rPr>
        <w:t xml:space="preserve">s’applique-t-elle uniquement au marché primaire ou également au marché secondaire ? </w:t>
      </w:r>
      <w:r>
        <w:rPr>
          <w:rFonts w:asciiTheme="minorHAnsi" w:hAnsiTheme="minorHAnsi" w:cstheme="minorHAnsi"/>
          <w:color w:val="auto"/>
          <w:lang w:val="fr-FR"/>
        </w:rPr>
        <w:t>C</w:t>
      </w:r>
      <w:r w:rsidRPr="0030263E">
        <w:rPr>
          <w:rFonts w:asciiTheme="minorHAnsi" w:hAnsiTheme="minorHAnsi" w:cstheme="minorHAnsi"/>
          <w:color w:val="auto"/>
          <w:lang w:val="fr-FR"/>
        </w:rPr>
        <w:t xml:space="preserve">ela </w:t>
      </w:r>
      <w:r>
        <w:rPr>
          <w:rFonts w:asciiTheme="minorHAnsi" w:hAnsiTheme="minorHAnsi" w:cstheme="minorHAnsi"/>
          <w:color w:val="auto"/>
          <w:lang w:val="fr-FR"/>
        </w:rPr>
        <w:t xml:space="preserve">signifie </w:t>
      </w:r>
      <w:proofErr w:type="spellStart"/>
      <w:r>
        <w:rPr>
          <w:rFonts w:asciiTheme="minorHAnsi" w:hAnsiTheme="minorHAnsi" w:cstheme="minorHAnsi"/>
          <w:color w:val="auto"/>
          <w:lang w:val="fr-FR"/>
        </w:rPr>
        <w:t>t’il</w:t>
      </w:r>
      <w:proofErr w:type="spellEnd"/>
      <w:r>
        <w:rPr>
          <w:rFonts w:asciiTheme="minorHAnsi" w:hAnsiTheme="minorHAnsi" w:cstheme="minorHAnsi"/>
          <w:color w:val="auto"/>
          <w:lang w:val="fr-FR"/>
        </w:rPr>
        <w:t xml:space="preserve"> </w:t>
      </w:r>
      <w:r w:rsidRPr="0030263E">
        <w:rPr>
          <w:rFonts w:asciiTheme="minorHAnsi" w:hAnsiTheme="minorHAnsi" w:cstheme="minorHAnsi"/>
          <w:color w:val="auto"/>
          <w:lang w:val="fr-FR"/>
        </w:rPr>
        <w:t xml:space="preserve">qu’un établissement bancaire ne peut plus vendre de fonds ou de titres en euros à des Russes résidant en Russie ? Lorsqu’un mandat de gestion </w:t>
      </w:r>
      <w:r>
        <w:rPr>
          <w:rFonts w:asciiTheme="minorHAnsi" w:hAnsiTheme="minorHAnsi" w:cstheme="minorHAnsi"/>
          <w:color w:val="auto"/>
          <w:lang w:val="fr-FR"/>
        </w:rPr>
        <w:t xml:space="preserve">au bénéfice d’un client russe visé par cette interdiction est déjà </w:t>
      </w:r>
      <w:r w:rsidRPr="0030263E">
        <w:rPr>
          <w:rFonts w:asciiTheme="minorHAnsi" w:hAnsiTheme="minorHAnsi" w:cstheme="minorHAnsi"/>
          <w:color w:val="auto"/>
          <w:lang w:val="fr-FR"/>
        </w:rPr>
        <w:t xml:space="preserve">en place, </w:t>
      </w:r>
      <w:r>
        <w:rPr>
          <w:rFonts w:asciiTheme="minorHAnsi" w:hAnsiTheme="minorHAnsi" w:cstheme="minorHAnsi"/>
          <w:color w:val="auto"/>
          <w:lang w:val="fr-FR"/>
        </w:rPr>
        <w:t xml:space="preserve">l’établissement concerné doit-il suspendre sa </w:t>
      </w:r>
      <w:r w:rsidRPr="0030263E">
        <w:rPr>
          <w:rFonts w:asciiTheme="minorHAnsi" w:hAnsiTheme="minorHAnsi" w:cstheme="minorHAnsi"/>
          <w:color w:val="auto"/>
          <w:lang w:val="fr-FR"/>
        </w:rPr>
        <w:t>gestion ? Est-ce qu’après le 12 avril 2022, un Russe résidant en Russie ne pourra plus vendre de valeurs mobilières sur son portefeuille même si les titres ont été achetés avant le 12 avril ?</w:t>
      </w:r>
    </w:p>
    <w:p w14:paraId="05C7812E" w14:textId="77777777" w:rsidR="00984A65" w:rsidRPr="000C10AE" w:rsidRDefault="00984A65" w:rsidP="00984A65">
      <w:pPr>
        <w:rPr>
          <w:lang w:val="fr-FR"/>
        </w:rPr>
      </w:pPr>
    </w:p>
    <w:p w14:paraId="51B372F0" w14:textId="77777777" w:rsidR="00984A65" w:rsidRDefault="00984A65" w:rsidP="00984A65">
      <w:pPr>
        <w:jc w:val="both"/>
        <w:rPr>
          <w:rFonts w:asciiTheme="minorHAnsi" w:hAnsiTheme="minorHAnsi" w:cstheme="minorHAnsi"/>
          <w:lang w:val="fr-FR"/>
        </w:rPr>
      </w:pPr>
      <w:r w:rsidRPr="00447DA9">
        <w:rPr>
          <w:rFonts w:asciiTheme="minorHAnsi" w:hAnsiTheme="minorHAnsi" w:cstheme="minorHAnsi"/>
          <w:lang w:val="fr-FR"/>
        </w:rPr>
        <w:t xml:space="preserve">L’interdiction de vente de valeurs mobilières libellées en euros ou dans une autre monnaie d’un Etat membre, émises après le 12 avril 2022 </w:t>
      </w:r>
      <w:r>
        <w:rPr>
          <w:rFonts w:asciiTheme="minorHAnsi" w:hAnsiTheme="minorHAnsi" w:cstheme="minorHAnsi"/>
          <w:lang w:val="fr-FR"/>
        </w:rPr>
        <w:t xml:space="preserve">(ou des parts ou actions d’OPC exposées à ces valeurs mobilières) </w:t>
      </w:r>
      <w:r w:rsidRPr="00447DA9">
        <w:rPr>
          <w:rFonts w:asciiTheme="minorHAnsi" w:hAnsiTheme="minorHAnsi" w:cstheme="minorHAnsi"/>
          <w:lang w:val="fr-FR"/>
        </w:rPr>
        <w:t>porte tant sur le marché primaire (i.e. lors de l’émission de ces valeurs) que sur le marché secondaire, ce qui signifie qu’il est interdit aux entités de l’UE (y compris les établissements bancaires) de vendre de telles valeurs, ou des parts ou actions d’OPC exposés à ces mêmes valeurs, à des personnes morales Russes (en ce incluses les succursales d’entreprises établies en Russie) ou à des personnes physiques Russes qui ne disposent pas de titres de séjour permanent ou temporaire dans un Etat membre de l’UE.</w:t>
      </w:r>
    </w:p>
    <w:p w14:paraId="6C4D47FD" w14:textId="77777777" w:rsidR="00984A65" w:rsidRPr="00447DA9" w:rsidRDefault="00984A65" w:rsidP="00984A65">
      <w:pPr>
        <w:jc w:val="both"/>
        <w:rPr>
          <w:rFonts w:asciiTheme="minorHAnsi" w:hAnsiTheme="minorHAnsi" w:cstheme="minorHAnsi"/>
          <w:lang w:val="fr-FR"/>
        </w:rPr>
      </w:pPr>
    </w:p>
    <w:p w14:paraId="6BCF96D7" w14:textId="1D4D7F05" w:rsidR="00984A65" w:rsidRDefault="00984A65" w:rsidP="00984A65">
      <w:pPr>
        <w:jc w:val="both"/>
        <w:rPr>
          <w:rFonts w:asciiTheme="minorHAnsi" w:hAnsiTheme="minorHAnsi" w:cstheme="minorHAnsi"/>
          <w:lang w:val="fr-FR"/>
        </w:rPr>
      </w:pPr>
      <w:r>
        <w:rPr>
          <w:rFonts w:asciiTheme="minorHAnsi" w:hAnsiTheme="minorHAnsi" w:cstheme="minorHAnsi"/>
          <w:lang w:val="fr-FR"/>
        </w:rPr>
        <w:t>L</w:t>
      </w:r>
      <w:r w:rsidRPr="00447DA9">
        <w:rPr>
          <w:rFonts w:asciiTheme="minorHAnsi" w:hAnsiTheme="minorHAnsi" w:cstheme="minorHAnsi"/>
          <w:lang w:val="fr-FR"/>
        </w:rPr>
        <w:t>’interdiction de vente d’OPC ne porte juridiquement que sur les OPC exposés à des valeurs mobilières émises après le 12 avril 2022. Pour autant, les sociétés de gestion pourraient juger pertinent, afin de garantir l’application à tout instant du régime de sanctions, de bloquer la commercialisation à des ressortissants russes de tout OPC susceptible d’être exposé à court ou moyen terme à des valeurs mobilières émises après le 12 avril, quand bien même leurs portefeuilles ne contiendraient pas de telles expositions à ce jour.</w:t>
      </w:r>
      <w:r>
        <w:rPr>
          <w:rFonts w:asciiTheme="minorHAnsi" w:hAnsiTheme="minorHAnsi" w:cstheme="minorHAnsi"/>
          <w:lang w:val="fr-FR"/>
        </w:rPr>
        <w:t xml:space="preserve"> Dans ce cas, u</w:t>
      </w:r>
      <w:r w:rsidRPr="00984A65">
        <w:rPr>
          <w:rFonts w:asciiTheme="minorHAnsi" w:hAnsiTheme="minorHAnsi" w:cstheme="minorHAnsi"/>
          <w:lang w:val="fr-FR"/>
        </w:rPr>
        <w:t>ne information des intermédiaires par la SGP et une modification du prospectus est n</w:t>
      </w:r>
      <w:r>
        <w:rPr>
          <w:rFonts w:asciiTheme="minorHAnsi" w:hAnsiTheme="minorHAnsi" w:cstheme="minorHAnsi"/>
          <w:lang w:val="fr-FR"/>
        </w:rPr>
        <w:t>é</w:t>
      </w:r>
      <w:r w:rsidRPr="00984A65">
        <w:rPr>
          <w:rFonts w:asciiTheme="minorHAnsi" w:hAnsiTheme="minorHAnsi" w:cstheme="minorHAnsi"/>
          <w:lang w:val="fr-FR"/>
        </w:rPr>
        <w:t>cessaire</w:t>
      </w:r>
      <w:r>
        <w:rPr>
          <w:rFonts w:asciiTheme="minorHAnsi" w:hAnsiTheme="minorHAnsi" w:cstheme="minorHAnsi"/>
          <w:lang w:val="fr-FR"/>
        </w:rPr>
        <w:t>, c</w:t>
      </w:r>
      <w:r w:rsidRPr="00984A65">
        <w:rPr>
          <w:rFonts w:asciiTheme="minorHAnsi" w:hAnsiTheme="minorHAnsi" w:cstheme="minorHAnsi"/>
          <w:lang w:val="fr-FR"/>
        </w:rPr>
        <w:t>f.</w:t>
      </w:r>
      <w:r>
        <w:rPr>
          <w:rFonts w:asciiTheme="minorHAnsi" w:hAnsiTheme="minorHAnsi" w:cstheme="minorHAnsi"/>
          <w:lang w:val="fr-FR"/>
        </w:rPr>
        <w:t> </w:t>
      </w:r>
      <w:hyperlink r:id="rId18" w:history="1">
        <w:r w:rsidRPr="00984A65">
          <w:rPr>
            <w:rStyle w:val="Lienhypertexte"/>
            <w:rFonts w:asciiTheme="minorHAnsi" w:hAnsiTheme="minorHAnsi" w:cstheme="minorHAnsi"/>
            <w:lang w:val="fr-FR"/>
          </w:rPr>
          <w:t>communiqué</w:t>
        </w:r>
        <w:r>
          <w:rPr>
            <w:rStyle w:val="Lienhypertexte"/>
            <w:rFonts w:asciiTheme="minorHAnsi" w:hAnsiTheme="minorHAnsi" w:cstheme="minorHAnsi"/>
            <w:lang w:val="fr-FR"/>
          </w:rPr>
          <w:t> </w:t>
        </w:r>
        <w:r w:rsidRPr="00984A65">
          <w:rPr>
            <w:rStyle w:val="Lienhypertexte"/>
            <w:rFonts w:asciiTheme="minorHAnsi" w:hAnsiTheme="minorHAnsi" w:cstheme="minorHAnsi"/>
            <w:lang w:val="fr-FR"/>
          </w:rPr>
          <w:t>AMF du 27</w:t>
        </w:r>
        <w:r>
          <w:rPr>
            <w:rStyle w:val="Lienhypertexte"/>
            <w:rFonts w:asciiTheme="minorHAnsi" w:hAnsiTheme="minorHAnsi" w:cstheme="minorHAnsi"/>
            <w:lang w:val="fr-FR"/>
          </w:rPr>
          <w:t> </w:t>
        </w:r>
        <w:r w:rsidRPr="00984A65">
          <w:rPr>
            <w:rStyle w:val="Lienhypertexte"/>
            <w:rFonts w:asciiTheme="minorHAnsi" w:hAnsiTheme="minorHAnsi" w:cstheme="minorHAnsi"/>
            <w:lang w:val="fr-FR"/>
          </w:rPr>
          <w:t>avril</w:t>
        </w:r>
        <w:r>
          <w:rPr>
            <w:rStyle w:val="Lienhypertexte"/>
            <w:rFonts w:asciiTheme="minorHAnsi" w:hAnsiTheme="minorHAnsi" w:cstheme="minorHAnsi"/>
            <w:lang w:val="fr-FR"/>
          </w:rPr>
          <w:t> </w:t>
        </w:r>
        <w:r w:rsidRPr="00984A65">
          <w:rPr>
            <w:rStyle w:val="Lienhypertexte"/>
            <w:rFonts w:asciiTheme="minorHAnsi" w:hAnsiTheme="minorHAnsi" w:cstheme="minorHAnsi"/>
            <w:lang w:val="fr-FR"/>
          </w:rPr>
          <w:t>2022</w:t>
        </w:r>
      </w:hyperlink>
      <w:r>
        <w:rPr>
          <w:rFonts w:asciiTheme="minorHAnsi" w:hAnsiTheme="minorHAnsi" w:cstheme="minorHAnsi"/>
          <w:lang w:val="fr-FR"/>
        </w:rPr>
        <w:t>.</w:t>
      </w:r>
    </w:p>
    <w:p w14:paraId="15DA9F88" w14:textId="77777777" w:rsidR="00984A65" w:rsidRPr="00447DA9" w:rsidRDefault="00984A65" w:rsidP="00984A65">
      <w:pPr>
        <w:jc w:val="both"/>
        <w:rPr>
          <w:rFonts w:asciiTheme="minorHAnsi" w:hAnsiTheme="minorHAnsi" w:cstheme="minorHAnsi"/>
          <w:lang w:val="fr-FR"/>
        </w:rPr>
      </w:pPr>
    </w:p>
    <w:p w14:paraId="7F26EDC2" w14:textId="77777777" w:rsidR="00984A65" w:rsidRDefault="00984A65" w:rsidP="00984A65">
      <w:pPr>
        <w:jc w:val="both"/>
        <w:rPr>
          <w:rFonts w:asciiTheme="minorHAnsi" w:hAnsiTheme="minorHAnsi" w:cstheme="minorHAnsi"/>
          <w:lang w:val="fr-FR"/>
        </w:rPr>
      </w:pPr>
      <w:r w:rsidRPr="00447DA9">
        <w:rPr>
          <w:rFonts w:asciiTheme="minorHAnsi" w:hAnsiTheme="minorHAnsi" w:cstheme="minorHAnsi"/>
          <w:lang w:val="fr-FR"/>
        </w:rPr>
        <w:t xml:space="preserve">Il convient par ailleurs de noter que l’article 12 du règlement interdit de participer à des activités dont l’effet serait de contourner les interdictions définies dans ce texte. Dans ces conditions, et dans l’attente d’une </w:t>
      </w:r>
      <w:r w:rsidRPr="00447DA9">
        <w:rPr>
          <w:rFonts w:asciiTheme="minorHAnsi" w:hAnsiTheme="minorHAnsi" w:cstheme="minorHAnsi"/>
          <w:lang w:val="fr-FR"/>
        </w:rPr>
        <w:lastRenderedPageBreak/>
        <w:t>confirmation de la Commission européenne, il est vivement recommandé de traiter de la même façon les investissements « indirects » dans ces valeurs et OPC que l’acquisition directe de ces instruments par des ressortissants russes. En d’autres termes, la vente directe d’OPC ou de valeurs mobilières</w:t>
      </w:r>
      <w:r>
        <w:rPr>
          <w:rFonts w:asciiTheme="minorHAnsi" w:hAnsiTheme="minorHAnsi" w:cstheme="minorHAnsi"/>
          <w:lang w:val="fr-FR"/>
        </w:rPr>
        <w:t xml:space="preserve"> visés à l’article 5 septies du règlement 833/2014</w:t>
      </w:r>
      <w:r w:rsidRPr="00447DA9">
        <w:rPr>
          <w:rFonts w:asciiTheme="minorHAnsi" w:hAnsiTheme="minorHAnsi" w:cstheme="minorHAnsi"/>
          <w:lang w:val="fr-FR"/>
        </w:rPr>
        <w:t>, la souscription d’unités de compte ou l’investissement dans des fonds euros offrant une exposition à ces mêmes instruments ou l’investissement dans ces mêmes instruments, dans le cadre d’un mandat de gestion ou de plans d’épargne gérés par mandat, devraient être traités à l’identique</w:t>
      </w:r>
      <w:r>
        <w:rPr>
          <w:rFonts w:asciiTheme="minorHAnsi" w:hAnsiTheme="minorHAnsi" w:cstheme="minorHAnsi"/>
          <w:lang w:val="fr-FR"/>
        </w:rPr>
        <w:t>, et ce quand bien même le ressortissant russe ne serait pas juridiquement propriétaire de la part ou de l’action de l’OPC (comme dans le cas de contrats d’assurance-vie)</w:t>
      </w:r>
      <w:r w:rsidRPr="00447DA9">
        <w:rPr>
          <w:rFonts w:asciiTheme="minorHAnsi" w:hAnsiTheme="minorHAnsi" w:cstheme="minorHAnsi"/>
          <w:lang w:val="fr-FR"/>
        </w:rPr>
        <w:t>.</w:t>
      </w:r>
    </w:p>
    <w:p w14:paraId="137C2503" w14:textId="77777777" w:rsidR="00984A65" w:rsidRPr="00447DA9" w:rsidRDefault="00984A65" w:rsidP="00984A65">
      <w:pPr>
        <w:rPr>
          <w:rFonts w:asciiTheme="minorHAnsi" w:hAnsiTheme="minorHAnsi" w:cstheme="minorHAnsi"/>
          <w:lang w:val="fr-FR"/>
        </w:rPr>
      </w:pPr>
    </w:p>
    <w:p w14:paraId="1CA4AF8C" w14:textId="77777777" w:rsidR="00984A65" w:rsidRDefault="00984A65" w:rsidP="00984A65">
      <w:pPr>
        <w:jc w:val="both"/>
        <w:rPr>
          <w:rFonts w:asciiTheme="minorHAnsi" w:hAnsiTheme="minorHAnsi" w:cstheme="minorHAnsi"/>
          <w:lang w:val="fr-FR"/>
        </w:rPr>
      </w:pPr>
      <w:r w:rsidRPr="00447DA9">
        <w:rPr>
          <w:rFonts w:asciiTheme="minorHAnsi" w:hAnsiTheme="minorHAnsi" w:cstheme="minorHAnsi"/>
          <w:lang w:val="fr-FR"/>
        </w:rPr>
        <w:t xml:space="preserve">Dans ces conditions, la DG Trésor recommande de i) ne plus accepter après le 12 avril 2022 les investissements, émanant des clients concernés, dans le fonds général ou sur une UC ayant pour sous-jacent des valeurs mobilières € ou des OPC susceptibles d'être investis, que ce soit au 12 avril ou dans les mois à venir, dans des valeurs mobilières € nouvellement émises. ; ii) de ne pas permettre à un client russe d’arbitrer en faveur d’une UC ayant pour sous-jacent ces mêmes instruments. </w:t>
      </w:r>
    </w:p>
    <w:p w14:paraId="74EF3DF6" w14:textId="77777777" w:rsidR="00984A65" w:rsidRPr="00447DA9" w:rsidRDefault="00984A65" w:rsidP="00984A65">
      <w:pPr>
        <w:rPr>
          <w:rFonts w:asciiTheme="minorHAnsi" w:hAnsiTheme="minorHAnsi" w:cstheme="minorHAnsi"/>
          <w:lang w:val="fr-FR"/>
        </w:rPr>
      </w:pPr>
    </w:p>
    <w:p w14:paraId="1928F7BD" w14:textId="77777777" w:rsidR="00984A65" w:rsidRPr="00447DA9" w:rsidRDefault="00984A65" w:rsidP="00984A65">
      <w:pPr>
        <w:rPr>
          <w:rFonts w:asciiTheme="minorHAnsi" w:hAnsiTheme="minorHAnsi" w:cstheme="minorHAnsi"/>
          <w:lang w:val="fr-FR"/>
        </w:rPr>
      </w:pPr>
      <w:r w:rsidRPr="00447DA9">
        <w:rPr>
          <w:rFonts w:asciiTheme="minorHAnsi" w:hAnsiTheme="minorHAnsi" w:cstheme="minorHAnsi"/>
          <w:lang w:val="fr-FR"/>
        </w:rPr>
        <w:t>Rien en revanche ne parait interdire les arbitrages en faveur d’UC non exposées à ces valeurs ni le maintien de positions existantes dans des contrats d’assurance-vie, des plans d’épargne ou des OPC.</w:t>
      </w:r>
    </w:p>
    <w:p w14:paraId="53B4BA64" w14:textId="77777777" w:rsidR="00984A65" w:rsidRDefault="00984A65" w:rsidP="00984A65">
      <w:pPr>
        <w:rPr>
          <w:lang w:val="fr-FR"/>
        </w:rPr>
      </w:pPr>
    </w:p>
    <w:p w14:paraId="36D321E3" w14:textId="77777777" w:rsidR="00984A65" w:rsidRPr="0030263E" w:rsidRDefault="00984A65" w:rsidP="0030263E">
      <w:pPr>
        <w:rPr>
          <w:lang w:val="fr-FR"/>
        </w:rPr>
      </w:pPr>
    </w:p>
    <w:p w14:paraId="1E867AE6" w14:textId="77777777" w:rsidR="007A2E2F" w:rsidRPr="00546E05" w:rsidRDefault="007232A8" w:rsidP="009D451C">
      <w:pPr>
        <w:pStyle w:val="Titre3"/>
        <w:numPr>
          <w:ilvl w:val="0"/>
          <w:numId w:val="8"/>
        </w:numPr>
        <w:rPr>
          <w:rFonts w:ascii="Marianne" w:hAnsi="Marianne" w:cstheme="minorHAnsi"/>
          <w:b/>
          <w:bCs/>
          <w:color w:val="465F9D"/>
          <w:sz w:val="22"/>
          <w:szCs w:val="22"/>
          <w:u w:val="single"/>
          <w:lang w:val="fr-FR"/>
        </w:rPr>
      </w:pPr>
      <w:bookmarkStart w:id="4" w:name="_Toc117868030"/>
      <w:r w:rsidRPr="00546E05">
        <w:rPr>
          <w:rFonts w:ascii="Marianne" w:hAnsi="Marianne" w:cstheme="minorHAnsi"/>
          <w:b/>
          <w:bCs/>
          <w:color w:val="465F9D"/>
          <w:sz w:val="22"/>
          <w:szCs w:val="22"/>
          <w:u w:val="single"/>
          <w:lang w:val="fr-FR"/>
        </w:rPr>
        <w:t>Banques commerciales</w:t>
      </w:r>
      <w:bookmarkEnd w:id="4"/>
    </w:p>
    <w:p w14:paraId="28257F0E" w14:textId="77777777" w:rsidR="00964CE5" w:rsidRPr="00964CE5" w:rsidRDefault="00964CE5" w:rsidP="003838D0">
      <w:pPr>
        <w:keepNext/>
        <w:keepLines/>
        <w:rPr>
          <w:lang w:val="fr-FR"/>
        </w:rPr>
      </w:pPr>
    </w:p>
    <w:p w14:paraId="6137CDAF" w14:textId="6645964C" w:rsidR="008E0D78" w:rsidRDefault="008E0D78" w:rsidP="009D451C">
      <w:pPr>
        <w:pStyle w:val="Titre4"/>
        <w:numPr>
          <w:ilvl w:val="0"/>
          <w:numId w:val="4"/>
        </w:numPr>
        <w:jc w:val="both"/>
        <w:rPr>
          <w:rFonts w:asciiTheme="minorHAnsi" w:hAnsiTheme="minorHAnsi" w:cstheme="minorHAnsi"/>
          <w:color w:val="auto"/>
          <w:lang w:val="fr-FR"/>
        </w:rPr>
      </w:pPr>
      <w:r>
        <w:rPr>
          <w:rFonts w:asciiTheme="minorHAnsi" w:hAnsiTheme="minorHAnsi" w:cstheme="minorHAnsi"/>
          <w:color w:val="auto"/>
          <w:lang w:val="fr-FR"/>
        </w:rPr>
        <w:t>Où trouver la liste des banques exclues du système SWIFT ?</w:t>
      </w:r>
    </w:p>
    <w:p w14:paraId="59F3551B" w14:textId="77777777" w:rsidR="008E0D78" w:rsidRDefault="008E0D78" w:rsidP="003838D0">
      <w:pPr>
        <w:pStyle w:val="NormalWeb"/>
        <w:keepNext/>
        <w:keepLines/>
        <w:spacing w:before="0" w:beforeAutospacing="0" w:after="0" w:afterAutospacing="0"/>
        <w:rPr>
          <w:rFonts w:ascii="Arial" w:hAnsi="Arial" w:cs="Arial"/>
          <w:sz w:val="22"/>
          <w:szCs w:val="22"/>
          <w:lang w:eastAsia="en-US"/>
        </w:rPr>
      </w:pPr>
    </w:p>
    <w:p w14:paraId="7F5E9BFA" w14:textId="3AC189A4" w:rsidR="00B81E6B" w:rsidRDefault="00B81E6B" w:rsidP="003838D0">
      <w:pPr>
        <w:pStyle w:val="NormalWeb"/>
        <w:keepNext/>
        <w:keepLines/>
        <w:spacing w:before="0" w:beforeAutospacing="0" w:after="120" w:afterAutospacing="0"/>
        <w:rPr>
          <w:rFonts w:asciiTheme="minorHAnsi" w:hAnsiTheme="minorHAnsi" w:cstheme="minorHAnsi"/>
          <w:sz w:val="22"/>
          <w:szCs w:val="22"/>
          <w:lang w:eastAsia="en-US"/>
        </w:rPr>
      </w:pPr>
      <w:r w:rsidRPr="003838D0">
        <w:rPr>
          <w:rFonts w:asciiTheme="minorHAnsi" w:hAnsiTheme="minorHAnsi" w:cstheme="minorHAnsi"/>
          <w:sz w:val="22"/>
          <w:szCs w:val="22"/>
          <w:lang w:eastAsia="en-US"/>
        </w:rPr>
        <w:t xml:space="preserve">La liste </w:t>
      </w:r>
      <w:r>
        <w:rPr>
          <w:rFonts w:asciiTheme="minorHAnsi" w:hAnsiTheme="minorHAnsi" w:cstheme="minorHAnsi"/>
          <w:sz w:val="22"/>
          <w:szCs w:val="22"/>
          <w:lang w:eastAsia="en-US"/>
        </w:rPr>
        <w:t xml:space="preserve">des banques russes exclues de SWIFT est disponible à l’annexe XIV du règlement </w:t>
      </w:r>
      <w:r w:rsidRPr="003838D0">
        <w:rPr>
          <w:rFonts w:asciiTheme="minorHAnsi" w:hAnsiTheme="minorHAnsi" w:cstheme="minorHAnsi"/>
          <w:sz w:val="22"/>
          <w:szCs w:val="22"/>
          <w:lang w:eastAsia="en-US"/>
        </w:rPr>
        <w:t>833/2014</w:t>
      </w:r>
      <w:r>
        <w:rPr>
          <w:rFonts w:asciiTheme="minorHAnsi" w:hAnsiTheme="minorHAnsi" w:cstheme="minorHAnsi"/>
          <w:sz w:val="22"/>
          <w:szCs w:val="22"/>
          <w:lang w:eastAsia="en-US"/>
        </w:rPr>
        <w:t xml:space="preserve">. Seules les entités juridiques établies en Russie de ces banques sont exclues de SWIFT. </w:t>
      </w:r>
    </w:p>
    <w:p w14:paraId="31206925" w14:textId="00D04EC7" w:rsidR="005736CA" w:rsidRPr="003838D0" w:rsidRDefault="005736CA" w:rsidP="003838D0">
      <w:pPr>
        <w:pStyle w:val="NormalWeb"/>
        <w:keepNext/>
        <w:keepLines/>
        <w:spacing w:before="0" w:beforeAutospacing="0" w:after="0" w:afterAutospacing="0"/>
        <w:rPr>
          <w:rFonts w:asciiTheme="minorHAnsi" w:hAnsiTheme="minorHAnsi" w:cstheme="minorHAnsi"/>
          <w:i/>
          <w:iCs/>
          <w:sz w:val="22"/>
          <w:szCs w:val="22"/>
          <w:lang w:eastAsia="en-US"/>
        </w:rPr>
      </w:pPr>
      <w:r w:rsidRPr="005736CA">
        <w:rPr>
          <w:rFonts w:asciiTheme="minorHAnsi" w:hAnsiTheme="minorHAnsi" w:cstheme="minorHAnsi"/>
          <w:sz w:val="22"/>
          <w:szCs w:val="22"/>
          <w:lang w:eastAsia="en-US"/>
        </w:rPr>
        <w:t>Liste des personnes morales, entités et organismes visés à l’article 5 nonies</w:t>
      </w:r>
      <w:r>
        <w:rPr>
          <w:rFonts w:asciiTheme="minorHAnsi" w:hAnsiTheme="minorHAnsi" w:cstheme="minorHAnsi"/>
          <w:sz w:val="22"/>
          <w:szCs w:val="22"/>
          <w:lang w:eastAsia="en-US"/>
        </w:rPr>
        <w:t xml:space="preserve"> - </w:t>
      </w:r>
      <w:r w:rsidRPr="003838D0">
        <w:rPr>
          <w:rFonts w:asciiTheme="minorHAnsi" w:hAnsiTheme="minorHAnsi" w:cstheme="minorHAnsi"/>
          <w:i/>
          <w:iCs/>
          <w:sz w:val="22"/>
          <w:szCs w:val="22"/>
          <w:lang w:eastAsia="en-US"/>
        </w:rPr>
        <w:t>Au 1</w:t>
      </w:r>
      <w:r w:rsidRPr="003838D0">
        <w:rPr>
          <w:rFonts w:asciiTheme="minorHAnsi" w:hAnsiTheme="minorHAnsi" w:cstheme="minorHAnsi"/>
          <w:i/>
          <w:iCs/>
          <w:sz w:val="22"/>
          <w:szCs w:val="22"/>
          <w:vertAlign w:val="superscript"/>
          <w:lang w:eastAsia="en-US"/>
        </w:rPr>
        <w:t>er</w:t>
      </w:r>
      <w:r w:rsidRPr="003838D0">
        <w:rPr>
          <w:rFonts w:asciiTheme="minorHAnsi" w:hAnsiTheme="minorHAnsi" w:cstheme="minorHAnsi"/>
          <w:i/>
          <w:iCs/>
          <w:sz w:val="22"/>
          <w:szCs w:val="22"/>
          <w:lang w:eastAsia="en-US"/>
        </w:rPr>
        <w:t xml:space="preserve"> mai 2022</w:t>
      </w:r>
      <w:r>
        <w:rPr>
          <w:rFonts w:asciiTheme="minorHAnsi" w:hAnsiTheme="minorHAnsi" w:cstheme="minorHAnsi"/>
          <w:i/>
          <w:iCs/>
          <w:sz w:val="22"/>
          <w:szCs w:val="22"/>
          <w:lang w:eastAsia="en-US"/>
        </w:rPr>
        <w:t> :</w:t>
      </w:r>
    </w:p>
    <w:p w14:paraId="436E7C45" w14:textId="77777777" w:rsidR="005736CA" w:rsidRPr="005736CA"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r w:rsidRPr="005736CA">
        <w:rPr>
          <w:rFonts w:asciiTheme="minorHAnsi" w:hAnsiTheme="minorHAnsi" w:cstheme="minorHAnsi"/>
          <w:sz w:val="22"/>
          <w:szCs w:val="22"/>
          <w:lang w:eastAsia="en-US"/>
        </w:rPr>
        <w:t xml:space="preserve">Bank </w:t>
      </w:r>
      <w:proofErr w:type="spellStart"/>
      <w:r w:rsidRPr="005736CA">
        <w:rPr>
          <w:rFonts w:asciiTheme="minorHAnsi" w:hAnsiTheme="minorHAnsi" w:cstheme="minorHAnsi"/>
          <w:sz w:val="22"/>
          <w:szCs w:val="22"/>
          <w:lang w:eastAsia="en-US"/>
        </w:rPr>
        <w:t>Otkritie</w:t>
      </w:r>
      <w:proofErr w:type="spellEnd"/>
    </w:p>
    <w:p w14:paraId="00A23604" w14:textId="77777777" w:rsidR="005736CA" w:rsidRPr="005736CA"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proofErr w:type="spellStart"/>
      <w:r w:rsidRPr="005736CA">
        <w:rPr>
          <w:rFonts w:asciiTheme="minorHAnsi" w:hAnsiTheme="minorHAnsi" w:cstheme="minorHAnsi"/>
          <w:sz w:val="22"/>
          <w:szCs w:val="22"/>
          <w:lang w:eastAsia="en-US"/>
        </w:rPr>
        <w:t>Novikombank</w:t>
      </w:r>
      <w:proofErr w:type="spellEnd"/>
    </w:p>
    <w:p w14:paraId="69FEEDD9" w14:textId="77777777" w:rsidR="005736CA" w:rsidRPr="005736CA"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proofErr w:type="spellStart"/>
      <w:r w:rsidRPr="005736CA">
        <w:rPr>
          <w:rFonts w:asciiTheme="minorHAnsi" w:hAnsiTheme="minorHAnsi" w:cstheme="minorHAnsi"/>
          <w:sz w:val="22"/>
          <w:szCs w:val="22"/>
          <w:lang w:eastAsia="en-US"/>
        </w:rPr>
        <w:t>Promsvyazbank</w:t>
      </w:r>
      <w:proofErr w:type="spellEnd"/>
    </w:p>
    <w:p w14:paraId="73F79916" w14:textId="77777777" w:rsidR="005736CA" w:rsidRPr="005736CA"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r w:rsidRPr="005736CA">
        <w:rPr>
          <w:rFonts w:asciiTheme="minorHAnsi" w:hAnsiTheme="minorHAnsi" w:cstheme="minorHAnsi"/>
          <w:sz w:val="22"/>
          <w:szCs w:val="22"/>
          <w:lang w:eastAsia="en-US"/>
        </w:rPr>
        <w:t xml:space="preserve">Bank </w:t>
      </w:r>
      <w:proofErr w:type="spellStart"/>
      <w:r w:rsidRPr="005736CA">
        <w:rPr>
          <w:rFonts w:asciiTheme="minorHAnsi" w:hAnsiTheme="minorHAnsi" w:cstheme="minorHAnsi"/>
          <w:sz w:val="22"/>
          <w:szCs w:val="22"/>
          <w:lang w:eastAsia="en-US"/>
        </w:rPr>
        <w:t>Rossiya</w:t>
      </w:r>
      <w:proofErr w:type="spellEnd"/>
    </w:p>
    <w:p w14:paraId="7CB8E4F0" w14:textId="77777777" w:rsidR="005736CA" w:rsidRPr="005736CA"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proofErr w:type="spellStart"/>
      <w:r w:rsidRPr="005736CA">
        <w:rPr>
          <w:rFonts w:asciiTheme="minorHAnsi" w:hAnsiTheme="minorHAnsi" w:cstheme="minorHAnsi"/>
          <w:sz w:val="22"/>
          <w:szCs w:val="22"/>
          <w:lang w:eastAsia="en-US"/>
        </w:rPr>
        <w:t>Sovcombank</w:t>
      </w:r>
      <w:proofErr w:type="spellEnd"/>
    </w:p>
    <w:p w14:paraId="5C33C671" w14:textId="77777777" w:rsidR="005736CA" w:rsidRPr="005736CA"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r w:rsidRPr="005736CA">
        <w:rPr>
          <w:rFonts w:asciiTheme="minorHAnsi" w:hAnsiTheme="minorHAnsi" w:cstheme="minorHAnsi"/>
          <w:sz w:val="22"/>
          <w:szCs w:val="22"/>
          <w:lang w:eastAsia="en-US"/>
        </w:rPr>
        <w:t>VNESHECONOMBANK (VEB)</w:t>
      </w:r>
    </w:p>
    <w:p w14:paraId="4D8397E7" w14:textId="4950D59C" w:rsidR="005736CA" w:rsidRPr="003838D0" w:rsidRDefault="005736CA" w:rsidP="009D451C">
      <w:pPr>
        <w:pStyle w:val="NormalWeb"/>
        <w:keepNext/>
        <w:keepLines/>
        <w:numPr>
          <w:ilvl w:val="0"/>
          <w:numId w:val="10"/>
        </w:numPr>
        <w:spacing w:before="0" w:beforeAutospacing="0" w:after="0" w:afterAutospacing="0"/>
        <w:rPr>
          <w:rFonts w:asciiTheme="minorHAnsi" w:hAnsiTheme="minorHAnsi" w:cstheme="minorHAnsi"/>
          <w:sz w:val="22"/>
          <w:szCs w:val="22"/>
          <w:lang w:eastAsia="en-US"/>
        </w:rPr>
      </w:pPr>
      <w:r w:rsidRPr="005736CA">
        <w:rPr>
          <w:rFonts w:asciiTheme="minorHAnsi" w:hAnsiTheme="minorHAnsi" w:cstheme="minorHAnsi"/>
          <w:sz w:val="22"/>
          <w:szCs w:val="22"/>
          <w:lang w:eastAsia="en-US"/>
        </w:rPr>
        <w:t>VTB BANK</w:t>
      </w:r>
    </w:p>
    <w:p w14:paraId="68259175" w14:textId="0F080B1E" w:rsidR="008E0D78" w:rsidRDefault="008E0D78" w:rsidP="008E0D78">
      <w:pPr>
        <w:rPr>
          <w:lang w:val="fr-FR"/>
        </w:rPr>
      </w:pPr>
    </w:p>
    <w:p w14:paraId="41880A16" w14:textId="429F412F" w:rsidR="00964CE5" w:rsidRDefault="00964CE5" w:rsidP="009D451C">
      <w:pPr>
        <w:pStyle w:val="Titre4"/>
        <w:numPr>
          <w:ilvl w:val="0"/>
          <w:numId w:val="4"/>
        </w:numPr>
        <w:jc w:val="both"/>
        <w:rPr>
          <w:rFonts w:asciiTheme="minorHAnsi" w:hAnsiTheme="minorHAnsi" w:cstheme="minorHAnsi"/>
          <w:color w:val="auto"/>
          <w:lang w:val="fr-FR"/>
        </w:rPr>
      </w:pPr>
      <w:r>
        <w:rPr>
          <w:rFonts w:asciiTheme="minorHAnsi" w:hAnsiTheme="minorHAnsi" w:cstheme="minorHAnsi"/>
          <w:color w:val="auto"/>
          <w:lang w:val="fr-FR"/>
        </w:rPr>
        <w:t xml:space="preserve">Le fait de </w:t>
      </w:r>
      <w:r w:rsidR="009869E6">
        <w:rPr>
          <w:rFonts w:asciiTheme="minorHAnsi" w:hAnsiTheme="minorHAnsi" w:cstheme="minorHAnsi"/>
          <w:color w:val="auto"/>
          <w:lang w:val="fr-FR"/>
        </w:rPr>
        <w:t xml:space="preserve">geler </w:t>
      </w:r>
      <w:r>
        <w:rPr>
          <w:rFonts w:asciiTheme="minorHAnsi" w:hAnsiTheme="minorHAnsi" w:cstheme="minorHAnsi"/>
          <w:color w:val="auto"/>
          <w:lang w:val="fr-FR"/>
        </w:rPr>
        <w:t xml:space="preserve">l’actionnaire principal </w:t>
      </w:r>
      <w:r w:rsidR="0052737A">
        <w:rPr>
          <w:rFonts w:asciiTheme="minorHAnsi" w:hAnsiTheme="minorHAnsi" w:cstheme="minorHAnsi"/>
          <w:color w:val="auto"/>
          <w:lang w:val="fr-FR"/>
        </w:rPr>
        <w:t xml:space="preserve">d’une entité </w:t>
      </w:r>
      <w:r>
        <w:rPr>
          <w:rFonts w:asciiTheme="minorHAnsi" w:hAnsiTheme="minorHAnsi" w:cstheme="minorHAnsi"/>
          <w:color w:val="auto"/>
          <w:lang w:val="fr-FR"/>
        </w:rPr>
        <w:t>implique-t-il le gel de l’entité</w:t>
      </w:r>
      <w:r w:rsidR="0052737A">
        <w:rPr>
          <w:rFonts w:asciiTheme="minorHAnsi" w:hAnsiTheme="minorHAnsi" w:cstheme="minorHAnsi"/>
          <w:color w:val="auto"/>
          <w:lang w:val="fr-FR"/>
        </w:rPr>
        <w:t xml:space="preserve"> dans le cas où celui-ci détient moins de 50% des parts de cette entité</w:t>
      </w:r>
      <w:r w:rsidR="0001443C">
        <w:rPr>
          <w:rFonts w:asciiTheme="minorHAnsi" w:hAnsiTheme="minorHAnsi" w:cstheme="minorHAnsi"/>
          <w:color w:val="auto"/>
          <w:lang w:val="fr-FR"/>
        </w:rPr>
        <w:t> </w:t>
      </w:r>
      <w:r>
        <w:rPr>
          <w:rFonts w:asciiTheme="minorHAnsi" w:hAnsiTheme="minorHAnsi" w:cstheme="minorHAnsi"/>
          <w:color w:val="auto"/>
          <w:lang w:val="fr-FR"/>
        </w:rPr>
        <w:t>?</w:t>
      </w:r>
    </w:p>
    <w:p w14:paraId="1AF7CB35" w14:textId="77777777" w:rsidR="00964CE5" w:rsidRDefault="00964CE5" w:rsidP="00964CE5">
      <w:pPr>
        <w:rPr>
          <w:lang w:val="fr-FR"/>
        </w:rPr>
      </w:pPr>
    </w:p>
    <w:p w14:paraId="2F3B623C" w14:textId="38BA97B7" w:rsidR="00964CE5" w:rsidRPr="00964CE5" w:rsidRDefault="00964CE5" w:rsidP="00964CE5">
      <w:pPr>
        <w:jc w:val="both"/>
        <w:rPr>
          <w:rFonts w:asciiTheme="minorHAnsi" w:hAnsiTheme="minorHAnsi" w:cstheme="minorHAnsi"/>
          <w:lang w:val="fr-FR"/>
        </w:rPr>
      </w:pPr>
      <w:r w:rsidRPr="00964CE5">
        <w:rPr>
          <w:rFonts w:asciiTheme="minorHAnsi" w:hAnsiTheme="minorHAnsi" w:cstheme="minorHAnsi"/>
          <w:lang w:val="fr-FR"/>
        </w:rPr>
        <w:t>Une société est considérée comme appartenant à une personne (désignée) si cette dernière est en possession de plus de 50 % des droits de propriété de l</w:t>
      </w:r>
      <w:r w:rsidR="0001443C">
        <w:rPr>
          <w:rFonts w:asciiTheme="minorHAnsi" w:hAnsiTheme="minorHAnsi" w:cstheme="minorHAnsi"/>
          <w:lang w:val="fr-FR"/>
        </w:rPr>
        <w:t>’</w:t>
      </w:r>
      <w:r w:rsidRPr="00964CE5">
        <w:rPr>
          <w:rFonts w:asciiTheme="minorHAnsi" w:hAnsiTheme="minorHAnsi" w:cstheme="minorHAnsi"/>
          <w:lang w:val="fr-FR"/>
        </w:rPr>
        <w:t xml:space="preserve">entité ou détient une participation majoritaire dans celle-ci. Si ces conditions ne sont pas remplies, il faut néanmoins vérifier si la personne (désignée) </w:t>
      </w:r>
      <w:r w:rsidR="0001443C">
        <w:rPr>
          <w:rFonts w:asciiTheme="minorHAnsi" w:hAnsiTheme="minorHAnsi" w:cstheme="minorHAnsi"/>
          <w:lang w:val="fr-FR"/>
        </w:rPr>
        <w:t>« </w:t>
      </w:r>
      <w:r w:rsidRPr="00964CE5">
        <w:rPr>
          <w:rFonts w:asciiTheme="minorHAnsi" w:hAnsiTheme="minorHAnsi" w:cstheme="minorHAnsi"/>
          <w:lang w:val="fr-FR"/>
        </w:rPr>
        <w:t>contrôle</w:t>
      </w:r>
      <w:r w:rsidR="0001443C">
        <w:rPr>
          <w:rFonts w:asciiTheme="minorHAnsi" w:hAnsiTheme="minorHAnsi" w:cstheme="minorHAnsi"/>
          <w:lang w:val="fr-FR"/>
        </w:rPr>
        <w:t> »</w:t>
      </w:r>
      <w:r w:rsidRPr="00964CE5">
        <w:rPr>
          <w:rFonts w:asciiTheme="minorHAnsi" w:hAnsiTheme="minorHAnsi" w:cstheme="minorHAnsi"/>
          <w:lang w:val="fr-FR"/>
        </w:rPr>
        <w:t xml:space="preserve"> l</w:t>
      </w:r>
      <w:r w:rsidR="0001443C">
        <w:rPr>
          <w:rFonts w:asciiTheme="minorHAnsi" w:hAnsiTheme="minorHAnsi" w:cstheme="minorHAnsi"/>
          <w:lang w:val="fr-FR"/>
        </w:rPr>
        <w:t>’</w:t>
      </w:r>
      <w:r w:rsidRPr="00964CE5">
        <w:rPr>
          <w:rFonts w:asciiTheme="minorHAnsi" w:hAnsiTheme="minorHAnsi" w:cstheme="minorHAnsi"/>
          <w:lang w:val="fr-FR"/>
        </w:rPr>
        <w:t xml:space="preserve">entité. </w:t>
      </w:r>
      <w:r w:rsidR="007823CB" w:rsidRPr="00964CE5">
        <w:rPr>
          <w:rFonts w:asciiTheme="minorHAnsi" w:hAnsiTheme="minorHAnsi" w:cstheme="minorHAnsi"/>
          <w:lang w:val="fr-FR"/>
        </w:rPr>
        <w:t xml:space="preserve">Le principe directeur énoncé dans les </w:t>
      </w:r>
      <w:hyperlink r:id="rId19" w:history="1">
        <w:r w:rsidR="007823CB" w:rsidRPr="007823CB">
          <w:rPr>
            <w:rStyle w:val="Lienhypertexte"/>
            <w:rFonts w:asciiTheme="minorHAnsi" w:hAnsiTheme="minorHAnsi" w:cstheme="minorHAnsi"/>
            <w:lang w:val="fr-FR"/>
          </w:rPr>
          <w:t>meilleures pratiques de l</w:t>
        </w:r>
        <w:r w:rsidR="0001443C">
          <w:rPr>
            <w:rStyle w:val="Lienhypertexte"/>
            <w:rFonts w:asciiTheme="minorHAnsi" w:hAnsiTheme="minorHAnsi" w:cstheme="minorHAnsi"/>
            <w:lang w:val="fr-FR"/>
          </w:rPr>
          <w:t>’</w:t>
        </w:r>
        <w:r w:rsidR="007823CB" w:rsidRPr="007823CB">
          <w:rPr>
            <w:rStyle w:val="Lienhypertexte"/>
            <w:rFonts w:asciiTheme="minorHAnsi" w:hAnsiTheme="minorHAnsi" w:cstheme="minorHAnsi"/>
            <w:lang w:val="fr-FR"/>
          </w:rPr>
          <w:t>UE</w:t>
        </w:r>
      </w:hyperlink>
      <w:r w:rsidR="007823CB" w:rsidRPr="00964CE5">
        <w:rPr>
          <w:rFonts w:asciiTheme="minorHAnsi" w:hAnsiTheme="minorHAnsi" w:cstheme="minorHAnsi"/>
          <w:lang w:val="fr-FR"/>
        </w:rPr>
        <w:t xml:space="preserve"> pour la mise en œuvre effective des mesures restrictives (</w:t>
      </w:r>
      <w:r w:rsidR="00DF0774" w:rsidRPr="00964CE5">
        <w:rPr>
          <w:rFonts w:asciiTheme="minorHAnsi" w:hAnsiTheme="minorHAnsi" w:cstheme="minorHAnsi"/>
          <w:lang w:val="fr-FR"/>
        </w:rPr>
        <w:t>paragraphe</w:t>
      </w:r>
      <w:r w:rsidR="00DF0774">
        <w:rPr>
          <w:rFonts w:asciiTheme="minorHAnsi" w:hAnsiTheme="minorHAnsi" w:cstheme="minorHAnsi"/>
          <w:lang w:val="fr-FR"/>
        </w:rPr>
        <w:t> </w:t>
      </w:r>
      <w:r w:rsidR="007823CB" w:rsidRPr="00964CE5">
        <w:rPr>
          <w:rFonts w:asciiTheme="minorHAnsi" w:hAnsiTheme="minorHAnsi" w:cstheme="minorHAnsi"/>
          <w:lang w:val="fr-FR"/>
        </w:rPr>
        <w:t xml:space="preserve">63) et </w:t>
      </w:r>
      <w:hyperlink r:id="rId20" w:history="1">
        <w:r w:rsidR="007823CB" w:rsidRPr="00984A65">
          <w:rPr>
            <w:rStyle w:val="Lienhypertexte"/>
            <w:rFonts w:asciiTheme="minorHAnsi" w:hAnsiTheme="minorHAnsi" w:cstheme="minorHAnsi"/>
            <w:lang w:val="fr-FR"/>
          </w:rPr>
          <w:t>l</w:t>
        </w:r>
        <w:r w:rsidR="0001443C" w:rsidRPr="00984A65">
          <w:rPr>
            <w:rStyle w:val="Lienhypertexte"/>
            <w:rFonts w:asciiTheme="minorHAnsi" w:hAnsiTheme="minorHAnsi" w:cstheme="minorHAnsi"/>
            <w:lang w:val="fr-FR"/>
          </w:rPr>
          <w:t>’</w:t>
        </w:r>
        <w:r w:rsidR="007823CB" w:rsidRPr="00984A65">
          <w:rPr>
            <w:rStyle w:val="Lienhypertexte"/>
            <w:rFonts w:asciiTheme="minorHAnsi" w:hAnsiTheme="minorHAnsi" w:cstheme="minorHAnsi"/>
            <w:lang w:val="fr-FR"/>
          </w:rPr>
          <w:t>avis de la Commission du 19 juin 2020</w:t>
        </w:r>
      </w:hyperlink>
      <w:r w:rsidR="007823CB">
        <w:rPr>
          <w:rFonts w:asciiTheme="minorHAnsi" w:hAnsiTheme="minorHAnsi" w:cstheme="minorHAnsi"/>
          <w:lang w:val="fr-FR"/>
        </w:rPr>
        <w:t xml:space="preserve"> s</w:t>
      </w:r>
      <w:r w:rsidR="0001443C">
        <w:rPr>
          <w:rFonts w:asciiTheme="minorHAnsi" w:hAnsiTheme="minorHAnsi" w:cstheme="minorHAnsi"/>
          <w:lang w:val="fr-FR"/>
        </w:rPr>
        <w:t>’</w:t>
      </w:r>
      <w:r w:rsidR="007823CB">
        <w:rPr>
          <w:rFonts w:asciiTheme="minorHAnsi" w:hAnsiTheme="minorHAnsi" w:cstheme="minorHAnsi"/>
          <w:lang w:val="fr-FR"/>
        </w:rPr>
        <w:t xml:space="preserve">appliquent. La Direction Générale du Trésor peut être sollicitée pour avis par le biais de </w:t>
      </w:r>
      <w:hyperlink r:id="rId21" w:history="1">
        <w:r w:rsidR="007823CB" w:rsidRPr="007823CB">
          <w:rPr>
            <w:rStyle w:val="Lienhypertexte"/>
            <w:rFonts w:asciiTheme="minorHAnsi" w:hAnsiTheme="minorHAnsi" w:cstheme="minorHAnsi"/>
            <w:lang w:val="fr-FR"/>
          </w:rPr>
          <w:t>ce formulaire</w:t>
        </w:r>
      </w:hyperlink>
      <w:r w:rsidR="007823CB">
        <w:rPr>
          <w:rFonts w:asciiTheme="minorHAnsi" w:hAnsiTheme="minorHAnsi" w:cstheme="minorHAnsi"/>
          <w:lang w:val="fr-FR"/>
        </w:rPr>
        <w:t>.</w:t>
      </w:r>
    </w:p>
    <w:p w14:paraId="5D6B0232" w14:textId="77777777" w:rsidR="00276AB2" w:rsidRPr="00276AB2" w:rsidRDefault="00276AB2" w:rsidP="00276AB2">
      <w:pPr>
        <w:rPr>
          <w:lang w:val="fr-FR"/>
        </w:rPr>
      </w:pPr>
    </w:p>
    <w:p w14:paraId="6D4023FC" w14:textId="45085888" w:rsidR="00871E38" w:rsidRPr="00057705" w:rsidRDefault="00871E38" w:rsidP="009D451C">
      <w:pPr>
        <w:pStyle w:val="Titre4"/>
        <w:numPr>
          <w:ilvl w:val="0"/>
          <w:numId w:val="4"/>
        </w:numPr>
        <w:jc w:val="both"/>
        <w:rPr>
          <w:rFonts w:asciiTheme="minorHAnsi" w:hAnsiTheme="minorHAnsi" w:cstheme="minorHAnsi"/>
          <w:color w:val="auto"/>
          <w:lang w:val="fr-FR"/>
        </w:rPr>
      </w:pPr>
      <w:r w:rsidRPr="00057705">
        <w:rPr>
          <w:rFonts w:asciiTheme="minorHAnsi" w:hAnsiTheme="minorHAnsi" w:cstheme="minorHAnsi"/>
          <w:color w:val="auto"/>
          <w:lang w:val="fr-FR"/>
        </w:rPr>
        <w:t xml:space="preserve">L’interdiction de </w:t>
      </w:r>
      <w:r w:rsidR="00F01D87" w:rsidRPr="00F01D87">
        <w:rPr>
          <w:rFonts w:asciiTheme="minorHAnsi" w:hAnsiTheme="minorHAnsi" w:cstheme="minorHAnsi"/>
          <w:color w:val="auto"/>
          <w:lang w:val="fr-FR"/>
        </w:rPr>
        <w:t>vendre, de fournir, de transférer, ou d</w:t>
      </w:r>
      <w:r w:rsidR="0001443C">
        <w:rPr>
          <w:rFonts w:asciiTheme="minorHAnsi" w:hAnsiTheme="minorHAnsi" w:cstheme="minorHAnsi"/>
          <w:color w:val="auto"/>
          <w:lang w:val="fr-FR"/>
        </w:rPr>
        <w:t>’</w:t>
      </w:r>
      <w:r w:rsidR="00F01D87" w:rsidRPr="00F01D87">
        <w:rPr>
          <w:rFonts w:asciiTheme="minorHAnsi" w:hAnsiTheme="minorHAnsi" w:cstheme="minorHAnsi"/>
          <w:color w:val="auto"/>
          <w:lang w:val="fr-FR"/>
        </w:rPr>
        <w:t>exporter</w:t>
      </w:r>
      <w:r w:rsidR="00F01D87">
        <w:rPr>
          <w:rFonts w:asciiTheme="minorHAnsi" w:hAnsiTheme="minorHAnsi" w:cstheme="minorHAnsi"/>
          <w:color w:val="auto"/>
          <w:lang w:val="fr-FR"/>
        </w:rPr>
        <w:t xml:space="preserve"> des</w:t>
      </w:r>
      <w:r w:rsidR="00F01D87" w:rsidRPr="00F01D87">
        <w:rPr>
          <w:rFonts w:asciiTheme="minorHAnsi" w:hAnsiTheme="minorHAnsi" w:cstheme="minorHAnsi"/>
          <w:color w:val="auto"/>
          <w:lang w:val="fr-FR"/>
        </w:rPr>
        <w:t>,</w:t>
      </w:r>
      <w:r w:rsidRPr="00057705">
        <w:rPr>
          <w:rFonts w:asciiTheme="minorHAnsi" w:hAnsiTheme="minorHAnsi" w:cstheme="minorHAnsi"/>
          <w:color w:val="auto"/>
          <w:lang w:val="fr-FR"/>
        </w:rPr>
        <w:t xml:space="preserve"> billets de banques </w:t>
      </w:r>
      <w:proofErr w:type="spellStart"/>
      <w:r w:rsidRPr="00057705">
        <w:rPr>
          <w:rFonts w:asciiTheme="minorHAnsi" w:hAnsiTheme="minorHAnsi" w:cstheme="minorHAnsi"/>
          <w:color w:val="auto"/>
          <w:lang w:val="fr-FR"/>
        </w:rPr>
        <w:t>vaut-elle</w:t>
      </w:r>
      <w:proofErr w:type="spellEnd"/>
      <w:r w:rsidRPr="00057705">
        <w:rPr>
          <w:rFonts w:asciiTheme="minorHAnsi" w:hAnsiTheme="minorHAnsi" w:cstheme="minorHAnsi"/>
          <w:color w:val="auto"/>
          <w:lang w:val="fr-FR"/>
        </w:rPr>
        <w:t xml:space="preserve"> interdiction de virements via les comptes bancaires</w:t>
      </w:r>
      <w:r w:rsidR="0001443C">
        <w:rPr>
          <w:rFonts w:asciiTheme="minorHAnsi" w:hAnsiTheme="minorHAnsi" w:cstheme="minorHAnsi"/>
          <w:color w:val="auto"/>
          <w:lang w:val="fr-FR"/>
        </w:rPr>
        <w:t> </w:t>
      </w:r>
      <w:r w:rsidRPr="00057705">
        <w:rPr>
          <w:rFonts w:asciiTheme="minorHAnsi" w:hAnsiTheme="minorHAnsi" w:cstheme="minorHAnsi"/>
          <w:color w:val="auto"/>
          <w:lang w:val="fr-FR"/>
        </w:rPr>
        <w:t>?</w:t>
      </w:r>
    </w:p>
    <w:p w14:paraId="50B162FF" w14:textId="77777777" w:rsidR="00871E38" w:rsidRPr="00057705" w:rsidRDefault="00871E38" w:rsidP="004D5E4E">
      <w:pPr>
        <w:keepNext/>
        <w:keepLines/>
        <w:jc w:val="both"/>
        <w:rPr>
          <w:rFonts w:asciiTheme="minorHAnsi" w:hAnsiTheme="minorHAnsi" w:cstheme="minorHAnsi"/>
          <w:lang w:val="fr-FR"/>
        </w:rPr>
      </w:pPr>
    </w:p>
    <w:p w14:paraId="402FB291" w14:textId="72948642" w:rsidR="00871E38" w:rsidRPr="00057705" w:rsidRDefault="00871E38" w:rsidP="004D5E4E">
      <w:pPr>
        <w:keepNext/>
        <w:keepLines/>
        <w:jc w:val="both"/>
        <w:rPr>
          <w:rFonts w:asciiTheme="minorHAnsi" w:hAnsiTheme="minorHAnsi" w:cstheme="minorHAnsi"/>
          <w:lang w:val="fr-FR"/>
        </w:rPr>
      </w:pPr>
      <w:r w:rsidRPr="00057705">
        <w:rPr>
          <w:rFonts w:asciiTheme="minorHAnsi" w:hAnsiTheme="minorHAnsi" w:cstheme="minorHAnsi"/>
          <w:lang w:val="fr-FR"/>
        </w:rPr>
        <w:t xml:space="preserve">L’interdiction de </w:t>
      </w:r>
      <w:r w:rsidR="00F01D87" w:rsidRPr="00F01D87">
        <w:rPr>
          <w:rFonts w:asciiTheme="minorHAnsi" w:hAnsiTheme="minorHAnsi" w:cstheme="minorHAnsi"/>
          <w:lang w:val="fr-FR"/>
        </w:rPr>
        <w:t>vendre, de fournir, de transférer, ou d</w:t>
      </w:r>
      <w:r w:rsidR="0001443C">
        <w:rPr>
          <w:rFonts w:asciiTheme="minorHAnsi" w:hAnsiTheme="minorHAnsi" w:cstheme="minorHAnsi"/>
          <w:lang w:val="fr-FR"/>
        </w:rPr>
        <w:t>’</w:t>
      </w:r>
      <w:r w:rsidR="00F01D87" w:rsidRPr="00F01D87">
        <w:rPr>
          <w:rFonts w:asciiTheme="minorHAnsi" w:hAnsiTheme="minorHAnsi" w:cstheme="minorHAnsi"/>
          <w:lang w:val="fr-FR"/>
        </w:rPr>
        <w:t>exporter</w:t>
      </w:r>
      <w:r w:rsidR="00F01D87">
        <w:rPr>
          <w:rFonts w:asciiTheme="minorHAnsi" w:hAnsiTheme="minorHAnsi" w:cstheme="minorHAnsi"/>
          <w:lang w:val="fr-FR"/>
        </w:rPr>
        <w:t xml:space="preserve"> des </w:t>
      </w:r>
      <w:r w:rsidRPr="00057705">
        <w:rPr>
          <w:rFonts w:asciiTheme="minorHAnsi" w:hAnsiTheme="minorHAnsi" w:cstheme="minorHAnsi"/>
          <w:lang w:val="fr-FR"/>
        </w:rPr>
        <w:t xml:space="preserve">billets de banques </w:t>
      </w:r>
      <w:r w:rsidR="00F01D87" w:rsidRPr="00F01D87">
        <w:rPr>
          <w:rFonts w:asciiTheme="minorHAnsi" w:hAnsiTheme="minorHAnsi" w:cstheme="minorHAnsi"/>
          <w:lang w:val="fr-FR"/>
        </w:rPr>
        <w:t>dans n</w:t>
      </w:r>
      <w:r w:rsidR="0001443C">
        <w:rPr>
          <w:rFonts w:asciiTheme="minorHAnsi" w:hAnsiTheme="minorHAnsi" w:cstheme="minorHAnsi"/>
          <w:lang w:val="fr-FR"/>
        </w:rPr>
        <w:t>’</w:t>
      </w:r>
      <w:r w:rsidR="00F01D87" w:rsidRPr="00F01D87">
        <w:rPr>
          <w:rFonts w:asciiTheme="minorHAnsi" w:hAnsiTheme="minorHAnsi" w:cstheme="minorHAnsi"/>
          <w:lang w:val="fr-FR"/>
        </w:rPr>
        <w:t>importe quelle monnaie officielle d</w:t>
      </w:r>
      <w:r w:rsidR="0001443C">
        <w:rPr>
          <w:rFonts w:asciiTheme="minorHAnsi" w:hAnsiTheme="minorHAnsi" w:cstheme="minorHAnsi"/>
          <w:lang w:val="fr-FR"/>
        </w:rPr>
        <w:t>’</w:t>
      </w:r>
      <w:r w:rsidR="00F01D87" w:rsidRPr="00F01D87">
        <w:rPr>
          <w:rFonts w:asciiTheme="minorHAnsi" w:hAnsiTheme="minorHAnsi" w:cstheme="minorHAnsi"/>
          <w:lang w:val="fr-FR"/>
        </w:rPr>
        <w:t>un État membre</w:t>
      </w:r>
      <w:r w:rsidR="00F01D87">
        <w:rPr>
          <w:rFonts w:asciiTheme="minorHAnsi" w:hAnsiTheme="minorHAnsi" w:cstheme="minorHAnsi"/>
          <w:lang w:val="fr-FR"/>
        </w:rPr>
        <w:t xml:space="preserve"> de l’Union européenne</w:t>
      </w:r>
      <w:r w:rsidR="00F01D87" w:rsidRPr="00F01D87">
        <w:rPr>
          <w:rFonts w:asciiTheme="minorHAnsi" w:hAnsiTheme="minorHAnsi" w:cstheme="minorHAnsi"/>
          <w:lang w:val="fr-FR"/>
        </w:rPr>
        <w:t xml:space="preserve"> </w:t>
      </w:r>
      <w:r w:rsidRPr="00057705">
        <w:rPr>
          <w:rFonts w:asciiTheme="minorHAnsi" w:hAnsiTheme="minorHAnsi" w:cstheme="minorHAnsi"/>
          <w:lang w:val="fr-FR"/>
        </w:rPr>
        <w:t xml:space="preserve">vers la Russie ne </w:t>
      </w:r>
      <w:r w:rsidR="00F01D87">
        <w:rPr>
          <w:rFonts w:asciiTheme="minorHAnsi" w:hAnsiTheme="minorHAnsi" w:cstheme="minorHAnsi"/>
          <w:lang w:val="fr-FR"/>
        </w:rPr>
        <w:t xml:space="preserve">signifie pas que les virements d’un Etat membre vers la Russie sont interdits. </w:t>
      </w:r>
    </w:p>
    <w:p w14:paraId="00E24E07" w14:textId="77777777" w:rsidR="009A210F" w:rsidRPr="00057705" w:rsidRDefault="009A210F" w:rsidP="009A210F">
      <w:pPr>
        <w:rPr>
          <w:rFonts w:asciiTheme="minorHAnsi" w:hAnsiTheme="minorHAnsi" w:cstheme="minorHAnsi"/>
          <w:lang w:val="fr-FR"/>
        </w:rPr>
      </w:pPr>
    </w:p>
    <w:p w14:paraId="04D824DC" w14:textId="77777777" w:rsidR="00A671B1" w:rsidRPr="00546E05" w:rsidRDefault="00475358" w:rsidP="009D451C">
      <w:pPr>
        <w:pStyle w:val="Titre3"/>
        <w:numPr>
          <w:ilvl w:val="0"/>
          <w:numId w:val="8"/>
        </w:numPr>
        <w:rPr>
          <w:rFonts w:ascii="Marianne" w:hAnsi="Marianne" w:cstheme="minorHAnsi"/>
          <w:b/>
          <w:bCs/>
          <w:color w:val="465F9D"/>
          <w:sz w:val="22"/>
          <w:szCs w:val="22"/>
          <w:u w:val="single"/>
          <w:lang w:val="fr-FR"/>
        </w:rPr>
      </w:pPr>
      <w:bookmarkStart w:id="5" w:name="_Toc117868031"/>
      <w:proofErr w:type="spellStart"/>
      <w:r w:rsidRPr="00546E05">
        <w:rPr>
          <w:rFonts w:ascii="Marianne" w:hAnsi="Marianne" w:cstheme="minorHAnsi"/>
          <w:b/>
          <w:bCs/>
          <w:color w:val="465F9D"/>
          <w:sz w:val="22"/>
          <w:szCs w:val="22"/>
          <w:u w:val="single"/>
          <w:lang w:val="fr-FR"/>
        </w:rPr>
        <w:lastRenderedPageBreak/>
        <w:t>Crypto</w:t>
      </w:r>
      <w:r w:rsidR="00985093" w:rsidRPr="00546E05">
        <w:rPr>
          <w:rFonts w:ascii="Marianne" w:hAnsi="Marianne" w:cstheme="minorHAnsi"/>
          <w:b/>
          <w:bCs/>
          <w:color w:val="465F9D"/>
          <w:sz w:val="22"/>
          <w:szCs w:val="22"/>
          <w:u w:val="single"/>
          <w:lang w:val="fr-FR"/>
        </w:rPr>
        <w:t>-</w:t>
      </w:r>
      <w:r w:rsidRPr="00546E05">
        <w:rPr>
          <w:rFonts w:ascii="Marianne" w:hAnsi="Marianne" w:cstheme="minorHAnsi"/>
          <w:b/>
          <w:bCs/>
          <w:color w:val="465F9D"/>
          <w:sz w:val="22"/>
          <w:szCs w:val="22"/>
          <w:u w:val="single"/>
          <w:lang w:val="fr-FR"/>
        </w:rPr>
        <w:t>actif</w:t>
      </w:r>
      <w:r w:rsidR="00A671B1" w:rsidRPr="00546E05">
        <w:rPr>
          <w:rFonts w:ascii="Marianne" w:hAnsi="Marianne" w:cstheme="minorHAnsi"/>
          <w:b/>
          <w:bCs/>
          <w:color w:val="465F9D"/>
          <w:sz w:val="22"/>
          <w:szCs w:val="22"/>
          <w:u w:val="single"/>
          <w:lang w:val="fr-FR"/>
        </w:rPr>
        <w:t>s</w:t>
      </w:r>
      <w:bookmarkEnd w:id="5"/>
      <w:proofErr w:type="spellEnd"/>
    </w:p>
    <w:p w14:paraId="730AB5E1" w14:textId="77777777" w:rsidR="009A210F" w:rsidRPr="00057705" w:rsidRDefault="009A210F" w:rsidP="00D6557E">
      <w:pPr>
        <w:keepNext/>
        <w:keepLines/>
        <w:rPr>
          <w:rFonts w:asciiTheme="minorHAnsi" w:hAnsiTheme="minorHAnsi" w:cstheme="minorHAnsi"/>
          <w:lang w:val="fr-FR"/>
        </w:rPr>
      </w:pPr>
    </w:p>
    <w:p w14:paraId="7CF079A5" w14:textId="09DEA202" w:rsidR="009A210F" w:rsidRPr="00057705" w:rsidRDefault="00871E38" w:rsidP="009D451C">
      <w:pPr>
        <w:pStyle w:val="Titre4"/>
        <w:numPr>
          <w:ilvl w:val="0"/>
          <w:numId w:val="2"/>
        </w:numPr>
        <w:rPr>
          <w:rFonts w:asciiTheme="minorHAnsi" w:hAnsiTheme="minorHAnsi" w:cstheme="minorHAnsi"/>
          <w:color w:val="auto"/>
          <w:lang w:val="fr-FR"/>
        </w:rPr>
      </w:pPr>
      <w:r w:rsidRPr="00057705">
        <w:rPr>
          <w:rFonts w:asciiTheme="minorHAnsi" w:hAnsiTheme="minorHAnsi" w:cstheme="minorHAnsi"/>
          <w:color w:val="auto"/>
          <w:lang w:val="fr-FR"/>
        </w:rPr>
        <w:t>Le p</w:t>
      </w:r>
      <w:r w:rsidR="009A210F" w:rsidRPr="00057705">
        <w:rPr>
          <w:rFonts w:asciiTheme="minorHAnsi" w:hAnsiTheme="minorHAnsi" w:cstheme="minorHAnsi"/>
          <w:color w:val="auto"/>
          <w:lang w:val="fr-FR"/>
        </w:rPr>
        <w:t xml:space="preserve">érimètre de la notion de </w:t>
      </w:r>
      <w:r w:rsidR="005F7720">
        <w:rPr>
          <w:rFonts w:asciiTheme="minorHAnsi" w:hAnsiTheme="minorHAnsi" w:cstheme="minorHAnsi"/>
          <w:color w:val="auto"/>
          <w:lang w:val="fr-FR"/>
        </w:rPr>
        <w:t>valeurs mobilières</w:t>
      </w:r>
      <w:r w:rsidRPr="00057705">
        <w:rPr>
          <w:rFonts w:asciiTheme="minorHAnsi" w:hAnsiTheme="minorHAnsi" w:cstheme="minorHAnsi"/>
          <w:color w:val="auto"/>
          <w:lang w:val="fr-FR"/>
        </w:rPr>
        <w:t xml:space="preserve"> comprend-il les cryptoactifs</w:t>
      </w:r>
      <w:r w:rsidR="0001443C">
        <w:rPr>
          <w:rFonts w:asciiTheme="minorHAnsi" w:hAnsiTheme="minorHAnsi" w:cstheme="minorHAnsi"/>
          <w:color w:val="auto"/>
          <w:lang w:val="fr-FR"/>
        </w:rPr>
        <w:t> </w:t>
      </w:r>
      <w:r w:rsidRPr="00057705">
        <w:rPr>
          <w:rFonts w:asciiTheme="minorHAnsi" w:hAnsiTheme="minorHAnsi" w:cstheme="minorHAnsi"/>
          <w:color w:val="auto"/>
          <w:lang w:val="fr-FR"/>
        </w:rPr>
        <w:t>?</w:t>
      </w:r>
    </w:p>
    <w:p w14:paraId="3077A81A" w14:textId="77777777" w:rsidR="009A210F" w:rsidRPr="00057705" w:rsidRDefault="009A210F" w:rsidP="00D6557E">
      <w:pPr>
        <w:keepNext/>
        <w:keepLines/>
        <w:jc w:val="both"/>
        <w:rPr>
          <w:rFonts w:asciiTheme="minorHAnsi" w:hAnsiTheme="minorHAnsi" w:cstheme="minorHAnsi"/>
          <w:lang w:val="fr-FR"/>
        </w:rPr>
      </w:pPr>
    </w:p>
    <w:p w14:paraId="7978BC57" w14:textId="6BE24D42" w:rsidR="009A210F" w:rsidRDefault="005F7720" w:rsidP="00D6557E">
      <w:pPr>
        <w:keepNext/>
        <w:keepLines/>
        <w:jc w:val="both"/>
        <w:rPr>
          <w:rFonts w:asciiTheme="minorHAnsi" w:hAnsiTheme="minorHAnsi" w:cstheme="minorHAnsi"/>
          <w:lang w:val="fr-FR"/>
        </w:rPr>
      </w:pPr>
      <w:r>
        <w:rPr>
          <w:rFonts w:asciiTheme="minorHAnsi" w:hAnsiTheme="minorHAnsi" w:cstheme="minorHAnsi"/>
          <w:lang w:val="fr-FR"/>
        </w:rPr>
        <w:t xml:space="preserve">La définition de la notion de </w:t>
      </w:r>
      <w:r w:rsidRPr="005F7720">
        <w:rPr>
          <w:rFonts w:asciiTheme="minorHAnsi" w:hAnsiTheme="minorHAnsi" w:cstheme="minorHAnsi"/>
          <w:lang w:val="fr-FR"/>
        </w:rPr>
        <w:t>valeurs mobilières</w:t>
      </w:r>
      <w:r>
        <w:rPr>
          <w:rFonts w:asciiTheme="minorHAnsi" w:hAnsiTheme="minorHAnsi" w:cstheme="minorHAnsi"/>
          <w:lang w:val="fr-FR"/>
        </w:rPr>
        <w:t xml:space="preserve"> énoncée à l’article 1</w:t>
      </w:r>
      <w:r w:rsidRPr="004D5E4E">
        <w:rPr>
          <w:rFonts w:asciiTheme="minorHAnsi" w:hAnsiTheme="minorHAnsi" w:cstheme="minorHAnsi"/>
          <w:vertAlign w:val="superscript"/>
          <w:lang w:val="fr-FR"/>
        </w:rPr>
        <w:t>er</w:t>
      </w:r>
      <w:r>
        <w:rPr>
          <w:rFonts w:asciiTheme="minorHAnsi" w:hAnsiTheme="minorHAnsi" w:cstheme="minorHAnsi"/>
          <w:lang w:val="fr-FR"/>
        </w:rPr>
        <w:t xml:space="preserve">, </w:t>
      </w:r>
      <w:r w:rsidR="00984A65">
        <w:rPr>
          <w:rFonts w:asciiTheme="minorHAnsi" w:hAnsiTheme="minorHAnsi" w:cstheme="minorHAnsi"/>
          <w:lang w:val="fr-FR"/>
        </w:rPr>
        <w:t>paragraphe </w:t>
      </w:r>
      <w:r>
        <w:rPr>
          <w:rFonts w:asciiTheme="minorHAnsi" w:hAnsiTheme="minorHAnsi" w:cstheme="minorHAnsi"/>
          <w:lang w:val="fr-FR"/>
        </w:rPr>
        <w:t>f</w:t>
      </w:r>
      <w:r w:rsidR="00984A65">
        <w:rPr>
          <w:rFonts w:asciiTheme="minorHAnsi" w:hAnsiTheme="minorHAnsi" w:cstheme="minorHAnsi"/>
          <w:lang w:val="fr-FR"/>
        </w:rPr>
        <w:t>)</w:t>
      </w:r>
      <w:r>
        <w:rPr>
          <w:rFonts w:asciiTheme="minorHAnsi" w:hAnsiTheme="minorHAnsi" w:cstheme="minorHAnsi"/>
          <w:lang w:val="fr-FR"/>
        </w:rPr>
        <w:t xml:space="preserve">, du </w:t>
      </w:r>
      <w:r w:rsidR="00984A65">
        <w:rPr>
          <w:rFonts w:asciiTheme="minorHAnsi" w:hAnsiTheme="minorHAnsi" w:cstheme="minorHAnsi"/>
          <w:lang w:val="fr-FR"/>
        </w:rPr>
        <w:t>règlement </w:t>
      </w:r>
      <w:r>
        <w:rPr>
          <w:rFonts w:asciiTheme="minorHAnsi" w:hAnsiTheme="minorHAnsi" w:cstheme="minorHAnsi"/>
          <w:lang w:val="fr-FR"/>
        </w:rPr>
        <w:t xml:space="preserve">833/2014 inclut </w:t>
      </w:r>
      <w:r w:rsidR="0001443C">
        <w:rPr>
          <w:rFonts w:asciiTheme="minorHAnsi" w:hAnsiTheme="minorHAnsi" w:cstheme="minorHAnsi"/>
          <w:lang w:val="fr-FR"/>
        </w:rPr>
        <w:t xml:space="preserve">bien les valeurs mobilières caractérisées comme </w:t>
      </w:r>
      <w:proofErr w:type="spellStart"/>
      <w:r w:rsidRPr="005F7720">
        <w:rPr>
          <w:rFonts w:asciiTheme="minorHAnsi" w:hAnsiTheme="minorHAnsi" w:cstheme="minorHAnsi"/>
          <w:lang w:val="fr-FR"/>
        </w:rPr>
        <w:t>crypto</w:t>
      </w:r>
      <w:r>
        <w:rPr>
          <w:rFonts w:asciiTheme="minorHAnsi" w:hAnsiTheme="minorHAnsi" w:cstheme="minorHAnsi"/>
          <w:lang w:val="fr-FR"/>
        </w:rPr>
        <w:t>-actifs</w:t>
      </w:r>
      <w:proofErr w:type="spellEnd"/>
      <w:r>
        <w:rPr>
          <w:rFonts w:asciiTheme="minorHAnsi" w:hAnsiTheme="minorHAnsi" w:cstheme="minorHAnsi"/>
          <w:lang w:val="fr-FR"/>
        </w:rPr>
        <w:t>.</w:t>
      </w:r>
    </w:p>
    <w:p w14:paraId="0FC97859" w14:textId="77777777" w:rsidR="002433B8" w:rsidRPr="00057705" w:rsidRDefault="002433B8" w:rsidP="009A210F">
      <w:pPr>
        <w:jc w:val="both"/>
        <w:rPr>
          <w:rFonts w:asciiTheme="minorHAnsi" w:hAnsiTheme="minorHAnsi" w:cstheme="minorHAnsi"/>
          <w:lang w:val="fr-FR"/>
        </w:rPr>
      </w:pPr>
    </w:p>
    <w:p w14:paraId="19188628" w14:textId="77777777" w:rsidR="00B23A7C" w:rsidRPr="00057705" w:rsidRDefault="00B23A7C" w:rsidP="009D451C">
      <w:pPr>
        <w:pStyle w:val="Titre4"/>
        <w:numPr>
          <w:ilvl w:val="0"/>
          <w:numId w:val="2"/>
        </w:numPr>
        <w:rPr>
          <w:rFonts w:asciiTheme="minorHAnsi" w:hAnsiTheme="minorHAnsi" w:cstheme="minorHAnsi"/>
          <w:color w:val="auto"/>
          <w:lang w:val="fr-FR"/>
        </w:rPr>
      </w:pPr>
      <w:bookmarkStart w:id="6" w:name="_Toc100138102"/>
      <w:r w:rsidRPr="00057705">
        <w:rPr>
          <w:rFonts w:asciiTheme="minorHAnsi" w:hAnsiTheme="minorHAnsi" w:cstheme="minorHAnsi"/>
          <w:color w:val="auto"/>
          <w:lang w:val="fr-FR"/>
        </w:rPr>
        <w:t>L’utilisation de cryptoactifs pour contourner les sanctions est-elle prise en compte ?</w:t>
      </w:r>
      <w:bookmarkEnd w:id="6"/>
    </w:p>
    <w:p w14:paraId="5CDF6A6C" w14:textId="77777777" w:rsidR="00B23A7C" w:rsidRPr="00057705" w:rsidRDefault="00B23A7C" w:rsidP="00B23A7C">
      <w:pPr>
        <w:jc w:val="both"/>
        <w:rPr>
          <w:rFonts w:asciiTheme="minorHAnsi" w:hAnsiTheme="minorHAnsi" w:cstheme="minorHAnsi"/>
          <w:lang w:val="fr-FR"/>
        </w:rPr>
      </w:pPr>
    </w:p>
    <w:p w14:paraId="02028C6D" w14:textId="17E8EDB9" w:rsidR="00A671B1" w:rsidRDefault="00AC5BC5" w:rsidP="00AC5BC5">
      <w:pPr>
        <w:jc w:val="both"/>
        <w:rPr>
          <w:rFonts w:asciiTheme="minorHAnsi" w:hAnsiTheme="minorHAnsi" w:cstheme="minorHAnsi"/>
          <w:lang w:val="fr-FR"/>
        </w:rPr>
      </w:pPr>
      <w:r>
        <w:rPr>
          <w:rFonts w:asciiTheme="minorHAnsi" w:hAnsiTheme="minorHAnsi" w:cstheme="minorHAnsi"/>
          <w:lang w:val="fr-FR"/>
        </w:rPr>
        <w:t xml:space="preserve">Oui. L’article 5 ter, paragraphe 2, interdit ainsi </w:t>
      </w:r>
      <w:r w:rsidRPr="00AC5BC5">
        <w:rPr>
          <w:rFonts w:asciiTheme="minorHAnsi" w:hAnsiTheme="minorHAnsi" w:cstheme="minorHAnsi"/>
          <w:lang w:val="fr-FR"/>
        </w:rPr>
        <w:t xml:space="preserve">de fournir des services de portefeuille de </w:t>
      </w:r>
      <w:proofErr w:type="spellStart"/>
      <w:r w:rsidRPr="00AC5BC5">
        <w:rPr>
          <w:rFonts w:asciiTheme="minorHAnsi" w:hAnsiTheme="minorHAnsi" w:cstheme="minorHAnsi"/>
          <w:lang w:val="fr-FR"/>
        </w:rPr>
        <w:t>cry</w:t>
      </w:r>
      <w:r>
        <w:rPr>
          <w:rFonts w:asciiTheme="minorHAnsi" w:hAnsiTheme="minorHAnsi" w:cstheme="minorHAnsi"/>
          <w:lang w:val="fr-FR"/>
        </w:rPr>
        <w:t>pto-actifs</w:t>
      </w:r>
      <w:proofErr w:type="spellEnd"/>
      <w:r>
        <w:rPr>
          <w:rFonts w:asciiTheme="minorHAnsi" w:hAnsiTheme="minorHAnsi" w:cstheme="minorHAnsi"/>
          <w:lang w:val="fr-FR"/>
        </w:rPr>
        <w:t xml:space="preserve">, de compte en </w:t>
      </w:r>
      <w:proofErr w:type="spellStart"/>
      <w:r>
        <w:rPr>
          <w:rFonts w:asciiTheme="minorHAnsi" w:hAnsiTheme="minorHAnsi" w:cstheme="minorHAnsi"/>
          <w:lang w:val="fr-FR"/>
        </w:rPr>
        <w:t>crypto-</w:t>
      </w:r>
      <w:r w:rsidRPr="00AC5BC5">
        <w:rPr>
          <w:rFonts w:asciiTheme="minorHAnsi" w:hAnsiTheme="minorHAnsi" w:cstheme="minorHAnsi"/>
          <w:lang w:val="fr-FR"/>
        </w:rPr>
        <w:t>actifs</w:t>
      </w:r>
      <w:proofErr w:type="spellEnd"/>
      <w:r w:rsidRPr="00AC5BC5">
        <w:rPr>
          <w:rFonts w:asciiTheme="minorHAnsi" w:hAnsiTheme="minorHAnsi" w:cstheme="minorHAnsi"/>
          <w:lang w:val="fr-FR"/>
        </w:rPr>
        <w:t xml:space="preserve"> et de conservation de </w:t>
      </w:r>
      <w:proofErr w:type="spellStart"/>
      <w:r w:rsidRPr="00AC5BC5">
        <w:rPr>
          <w:rFonts w:asciiTheme="minorHAnsi" w:hAnsiTheme="minorHAnsi" w:cstheme="minorHAnsi"/>
          <w:lang w:val="fr-FR"/>
        </w:rPr>
        <w:t>crypto-actifs</w:t>
      </w:r>
      <w:proofErr w:type="spellEnd"/>
      <w:r w:rsidRPr="00AC5BC5">
        <w:rPr>
          <w:rFonts w:asciiTheme="minorHAnsi" w:hAnsiTheme="minorHAnsi" w:cstheme="minorHAnsi"/>
          <w:lang w:val="fr-FR"/>
        </w:rPr>
        <w:t xml:space="preserve"> à des ressortissants russes ou à des personnes physiques résidant en Russie, ou à des personnes morales, des entités ou des organismes </w:t>
      </w:r>
      <w:r>
        <w:rPr>
          <w:rFonts w:asciiTheme="minorHAnsi" w:hAnsiTheme="minorHAnsi" w:cstheme="minorHAnsi"/>
          <w:lang w:val="fr-FR"/>
        </w:rPr>
        <w:t xml:space="preserve">établis en Russie dès lors que </w:t>
      </w:r>
      <w:r w:rsidRPr="00AC5BC5">
        <w:rPr>
          <w:rFonts w:asciiTheme="minorHAnsi" w:hAnsiTheme="minorHAnsi" w:cstheme="minorHAnsi"/>
          <w:lang w:val="fr-FR"/>
        </w:rPr>
        <w:t xml:space="preserve">la valeur totale des </w:t>
      </w:r>
      <w:proofErr w:type="spellStart"/>
      <w:r w:rsidRPr="00AC5BC5">
        <w:rPr>
          <w:rFonts w:asciiTheme="minorHAnsi" w:hAnsiTheme="minorHAnsi" w:cstheme="minorHAnsi"/>
          <w:lang w:val="fr-FR"/>
        </w:rPr>
        <w:t>crypto-actifs</w:t>
      </w:r>
      <w:proofErr w:type="spellEnd"/>
      <w:r w:rsidRPr="00AC5BC5">
        <w:rPr>
          <w:rFonts w:asciiTheme="minorHAnsi" w:hAnsiTheme="minorHAnsi" w:cstheme="minorHAnsi"/>
          <w:lang w:val="fr-FR"/>
        </w:rPr>
        <w:t xml:space="preserve"> de la personne physique ou morale, de l'entité ou de l'organisme dépasse</w:t>
      </w:r>
      <w:r w:rsidR="00136A1C">
        <w:rPr>
          <w:rFonts w:asciiTheme="minorHAnsi" w:hAnsiTheme="minorHAnsi" w:cstheme="minorHAnsi"/>
          <w:lang w:val="fr-FR"/>
        </w:rPr>
        <w:t> </w:t>
      </w:r>
      <w:r w:rsidRPr="00AC5BC5">
        <w:rPr>
          <w:rFonts w:asciiTheme="minorHAnsi" w:hAnsiTheme="minorHAnsi" w:cstheme="minorHAnsi"/>
          <w:lang w:val="fr-FR"/>
        </w:rPr>
        <w:t>10</w:t>
      </w:r>
      <w:r w:rsidR="00136A1C">
        <w:rPr>
          <w:rFonts w:asciiTheme="minorHAnsi" w:hAnsiTheme="minorHAnsi" w:cstheme="minorHAnsi"/>
          <w:lang w:val="fr-FR"/>
        </w:rPr>
        <w:t> </w:t>
      </w:r>
      <w:r w:rsidRPr="00AC5BC5">
        <w:rPr>
          <w:rFonts w:asciiTheme="minorHAnsi" w:hAnsiTheme="minorHAnsi" w:cstheme="minorHAnsi"/>
          <w:lang w:val="fr-FR"/>
        </w:rPr>
        <w:t>000</w:t>
      </w:r>
      <w:r w:rsidR="00136A1C">
        <w:rPr>
          <w:rFonts w:asciiTheme="minorHAnsi" w:hAnsiTheme="minorHAnsi" w:cstheme="minorHAnsi"/>
          <w:lang w:val="fr-FR"/>
        </w:rPr>
        <w:t xml:space="preserve"> € </w:t>
      </w:r>
      <w:r w:rsidRPr="00AC5BC5">
        <w:rPr>
          <w:rFonts w:asciiTheme="minorHAnsi" w:hAnsiTheme="minorHAnsi" w:cstheme="minorHAnsi"/>
          <w:lang w:val="fr-FR"/>
        </w:rPr>
        <w:t xml:space="preserve">par fournisseur de services de portefeuille, de compte ou de conservation. </w:t>
      </w:r>
    </w:p>
    <w:p w14:paraId="5DF494E4" w14:textId="0B00E1FF" w:rsidR="002B0171" w:rsidRDefault="002B0171" w:rsidP="00AC5BC5">
      <w:pPr>
        <w:jc w:val="both"/>
        <w:rPr>
          <w:rFonts w:asciiTheme="minorHAnsi" w:hAnsiTheme="minorHAnsi" w:cstheme="minorHAnsi"/>
          <w:lang w:val="fr-FR"/>
        </w:rPr>
      </w:pPr>
    </w:p>
    <w:p w14:paraId="3BEAAE15" w14:textId="63BAC0EE" w:rsidR="002B0171" w:rsidRDefault="002B0171" w:rsidP="00AC5BC5">
      <w:pPr>
        <w:jc w:val="both"/>
        <w:rPr>
          <w:rFonts w:asciiTheme="minorHAnsi" w:hAnsiTheme="minorHAnsi" w:cstheme="minorHAnsi"/>
          <w:lang w:val="fr-FR"/>
        </w:rPr>
      </w:pPr>
      <w:r>
        <w:rPr>
          <w:rFonts w:asciiTheme="minorHAnsi" w:hAnsiTheme="minorHAnsi" w:cstheme="minorHAnsi"/>
          <w:lang w:val="fr-FR"/>
        </w:rPr>
        <w:t>Pour rappel, l’article 12</w:t>
      </w:r>
      <w:r w:rsidR="0066573A">
        <w:rPr>
          <w:rFonts w:asciiTheme="minorHAnsi" w:hAnsiTheme="minorHAnsi" w:cstheme="minorHAnsi"/>
          <w:lang w:val="fr-FR"/>
        </w:rPr>
        <w:t xml:space="preserve"> du règlement 833/2014</w:t>
      </w:r>
      <w:r>
        <w:rPr>
          <w:rFonts w:asciiTheme="minorHAnsi" w:hAnsiTheme="minorHAnsi" w:cstheme="minorHAnsi"/>
          <w:lang w:val="fr-FR"/>
        </w:rPr>
        <w:t xml:space="preserve"> </w:t>
      </w:r>
      <w:r w:rsidR="0066573A">
        <w:rPr>
          <w:rFonts w:asciiTheme="minorHAnsi" w:hAnsiTheme="minorHAnsi" w:cstheme="minorHAnsi"/>
          <w:lang w:val="fr-FR"/>
        </w:rPr>
        <w:t>dispose</w:t>
      </w:r>
      <w:r>
        <w:rPr>
          <w:rFonts w:asciiTheme="minorHAnsi" w:hAnsiTheme="minorHAnsi" w:cstheme="minorHAnsi"/>
          <w:lang w:val="fr-FR"/>
        </w:rPr>
        <w:t xml:space="preserve"> qu’il est interdit de participer à des activités de contournement des interdictions</w:t>
      </w:r>
      <w:r w:rsidR="00427694">
        <w:rPr>
          <w:rFonts w:asciiTheme="minorHAnsi" w:hAnsiTheme="minorHAnsi" w:cstheme="minorHAnsi"/>
          <w:lang w:val="fr-FR"/>
        </w:rPr>
        <w:t>.</w:t>
      </w:r>
    </w:p>
    <w:p w14:paraId="2DA137D4" w14:textId="77777777" w:rsidR="00A671B1" w:rsidRPr="00057705" w:rsidRDefault="00A671B1" w:rsidP="00B23A7C">
      <w:pPr>
        <w:jc w:val="both"/>
        <w:rPr>
          <w:rFonts w:asciiTheme="minorHAnsi" w:hAnsiTheme="minorHAnsi" w:cstheme="minorHAnsi"/>
          <w:lang w:val="fr-FR"/>
        </w:rPr>
      </w:pPr>
    </w:p>
    <w:p w14:paraId="1CE785A0" w14:textId="77777777" w:rsidR="00475358" w:rsidRPr="00546E05" w:rsidRDefault="00475358" w:rsidP="009D451C">
      <w:pPr>
        <w:pStyle w:val="Titre3"/>
        <w:numPr>
          <w:ilvl w:val="0"/>
          <w:numId w:val="8"/>
        </w:numPr>
        <w:rPr>
          <w:rFonts w:ascii="Marianne" w:hAnsi="Marianne" w:cstheme="minorHAnsi"/>
          <w:b/>
          <w:bCs/>
          <w:color w:val="465F9D"/>
          <w:sz w:val="22"/>
          <w:szCs w:val="22"/>
          <w:u w:val="single"/>
          <w:lang w:val="fr-FR"/>
        </w:rPr>
      </w:pPr>
      <w:bookmarkStart w:id="7" w:name="_Toc117868032"/>
      <w:r w:rsidRPr="00546E05">
        <w:rPr>
          <w:rFonts w:ascii="Marianne" w:hAnsi="Marianne" w:cstheme="minorHAnsi"/>
          <w:b/>
          <w:bCs/>
          <w:color w:val="465F9D"/>
          <w:sz w:val="22"/>
          <w:szCs w:val="22"/>
          <w:u w:val="single"/>
          <w:lang w:val="fr-FR"/>
        </w:rPr>
        <w:t>Dépôts</w:t>
      </w:r>
      <w:bookmarkEnd w:id="7"/>
    </w:p>
    <w:p w14:paraId="78FE1B25" w14:textId="7B5697A3" w:rsidR="009A210F" w:rsidRDefault="009A210F" w:rsidP="004D5E4E">
      <w:pPr>
        <w:keepNext/>
        <w:keepLines/>
        <w:rPr>
          <w:rFonts w:asciiTheme="minorHAnsi" w:hAnsiTheme="minorHAnsi" w:cstheme="minorHAnsi"/>
          <w:lang w:val="fr-FR"/>
        </w:rPr>
      </w:pPr>
    </w:p>
    <w:p w14:paraId="515A6E75" w14:textId="3BB434D6" w:rsidR="001226ED" w:rsidRPr="00057705" w:rsidRDefault="001226ED" w:rsidP="009D451C">
      <w:pPr>
        <w:pStyle w:val="Titre4"/>
        <w:numPr>
          <w:ilvl w:val="0"/>
          <w:numId w:val="5"/>
        </w:numPr>
        <w:rPr>
          <w:rFonts w:asciiTheme="minorHAnsi" w:hAnsiTheme="minorHAnsi" w:cstheme="minorHAnsi"/>
          <w:color w:val="auto"/>
          <w:lang w:val="fr-FR"/>
        </w:rPr>
      </w:pPr>
      <w:r w:rsidRPr="00057705">
        <w:rPr>
          <w:rFonts w:asciiTheme="minorHAnsi" w:hAnsiTheme="minorHAnsi" w:cstheme="minorHAnsi"/>
          <w:color w:val="auto"/>
          <w:lang w:val="fr-FR"/>
        </w:rPr>
        <w:t xml:space="preserve">Les comptes bancaires </w:t>
      </w:r>
      <w:r>
        <w:rPr>
          <w:rFonts w:asciiTheme="minorHAnsi" w:hAnsiTheme="minorHAnsi" w:cstheme="minorHAnsi"/>
          <w:color w:val="auto"/>
          <w:lang w:val="fr-FR"/>
        </w:rPr>
        <w:t>détenus conjointement entre une personne non sanctionnée et une</w:t>
      </w:r>
      <w:r w:rsidRPr="00057705">
        <w:rPr>
          <w:rFonts w:asciiTheme="minorHAnsi" w:hAnsiTheme="minorHAnsi" w:cstheme="minorHAnsi"/>
          <w:color w:val="auto"/>
          <w:lang w:val="fr-FR"/>
        </w:rPr>
        <w:t xml:space="preserve"> personne sanctionnée</w:t>
      </w:r>
      <w:r>
        <w:rPr>
          <w:rFonts w:asciiTheme="minorHAnsi" w:hAnsiTheme="minorHAnsi" w:cstheme="minorHAnsi"/>
          <w:color w:val="auto"/>
          <w:lang w:val="fr-FR"/>
        </w:rPr>
        <w:t xml:space="preserve"> sont-ils concernés par le régime d’interdiction de l’article</w:t>
      </w:r>
      <w:r w:rsidR="00984A65">
        <w:rPr>
          <w:rFonts w:asciiTheme="minorHAnsi" w:hAnsiTheme="minorHAnsi" w:cstheme="minorHAnsi"/>
          <w:color w:val="auto"/>
          <w:lang w:val="fr-FR"/>
        </w:rPr>
        <w:t> </w:t>
      </w:r>
      <w:r>
        <w:rPr>
          <w:rFonts w:asciiTheme="minorHAnsi" w:hAnsiTheme="minorHAnsi" w:cstheme="minorHAnsi"/>
          <w:color w:val="auto"/>
          <w:lang w:val="fr-FR"/>
        </w:rPr>
        <w:t>5</w:t>
      </w:r>
      <w:r w:rsidR="00984A65">
        <w:rPr>
          <w:rFonts w:asciiTheme="minorHAnsi" w:hAnsiTheme="minorHAnsi" w:cstheme="minorHAnsi"/>
          <w:color w:val="auto"/>
          <w:lang w:val="fr-FR"/>
        </w:rPr>
        <w:t> </w:t>
      </w:r>
      <w:r>
        <w:rPr>
          <w:rFonts w:asciiTheme="minorHAnsi" w:hAnsiTheme="minorHAnsi" w:cstheme="minorHAnsi"/>
          <w:color w:val="auto"/>
          <w:lang w:val="fr-FR"/>
        </w:rPr>
        <w:t>ter du règlement</w:t>
      </w:r>
      <w:r w:rsidR="00984A65">
        <w:rPr>
          <w:rFonts w:asciiTheme="minorHAnsi" w:hAnsiTheme="minorHAnsi" w:cstheme="minorHAnsi"/>
          <w:color w:val="auto"/>
          <w:lang w:val="fr-FR"/>
        </w:rPr>
        <w:t> </w:t>
      </w:r>
      <w:r>
        <w:rPr>
          <w:rFonts w:asciiTheme="minorHAnsi" w:hAnsiTheme="minorHAnsi" w:cstheme="minorHAnsi"/>
          <w:color w:val="auto"/>
          <w:lang w:val="fr-FR"/>
        </w:rPr>
        <w:t>833/</w:t>
      </w:r>
      <w:proofErr w:type="gramStart"/>
      <w:r>
        <w:rPr>
          <w:rFonts w:asciiTheme="minorHAnsi" w:hAnsiTheme="minorHAnsi" w:cstheme="minorHAnsi"/>
          <w:color w:val="auto"/>
          <w:lang w:val="fr-FR"/>
        </w:rPr>
        <w:t>2014?</w:t>
      </w:r>
      <w:proofErr w:type="gramEnd"/>
    </w:p>
    <w:p w14:paraId="154C6F0D" w14:textId="77777777" w:rsidR="001226ED" w:rsidRPr="00057705" w:rsidRDefault="001226ED" w:rsidP="001226ED">
      <w:pPr>
        <w:jc w:val="both"/>
        <w:rPr>
          <w:rFonts w:asciiTheme="minorHAnsi" w:hAnsiTheme="minorHAnsi" w:cstheme="minorHAnsi"/>
          <w:lang w:val="fr-FR"/>
        </w:rPr>
      </w:pPr>
    </w:p>
    <w:p w14:paraId="304CF275" w14:textId="77777777" w:rsidR="001226ED" w:rsidRDefault="001226ED" w:rsidP="001226ED">
      <w:pPr>
        <w:jc w:val="both"/>
        <w:rPr>
          <w:rFonts w:asciiTheme="minorHAnsi" w:hAnsiTheme="minorHAnsi" w:cstheme="minorHAnsi"/>
          <w:lang w:val="fr-FR"/>
        </w:rPr>
      </w:pPr>
      <w:r w:rsidRPr="00057705">
        <w:rPr>
          <w:rFonts w:asciiTheme="minorHAnsi" w:hAnsiTheme="minorHAnsi" w:cstheme="minorHAnsi"/>
          <w:lang w:val="fr-FR"/>
        </w:rPr>
        <w:t xml:space="preserve">Les comptes bancaires </w:t>
      </w:r>
      <w:r>
        <w:rPr>
          <w:rFonts w:asciiTheme="minorHAnsi" w:hAnsiTheme="minorHAnsi" w:cstheme="minorHAnsi"/>
          <w:lang w:val="fr-FR"/>
        </w:rPr>
        <w:t xml:space="preserve">détenus conjointement entre une personne visée par les dispositions de l’article 5 ter du règlement 833/2014 et une personne non soumise à ces restrictions ne sont pas soumis au plafonnement des dépôts de 100 000 € par établissement, sauf à ce que l’établissement d’accueil des dépôts estime que ce </w:t>
      </w:r>
      <w:r w:rsidRPr="00057705">
        <w:rPr>
          <w:rFonts w:asciiTheme="minorHAnsi" w:hAnsiTheme="minorHAnsi" w:cstheme="minorHAnsi"/>
          <w:lang w:val="fr-FR"/>
        </w:rPr>
        <w:t xml:space="preserve">compte est utilisé pour contourner </w:t>
      </w:r>
      <w:r>
        <w:rPr>
          <w:rFonts w:asciiTheme="minorHAnsi" w:hAnsiTheme="minorHAnsi" w:cstheme="minorHAnsi"/>
          <w:lang w:val="fr-FR"/>
        </w:rPr>
        <w:t>certaines mesures de</w:t>
      </w:r>
      <w:r w:rsidRPr="00057705">
        <w:rPr>
          <w:rFonts w:asciiTheme="minorHAnsi" w:hAnsiTheme="minorHAnsi" w:cstheme="minorHAnsi"/>
          <w:lang w:val="fr-FR"/>
        </w:rPr>
        <w:t xml:space="preserve"> sanction</w:t>
      </w:r>
      <w:r>
        <w:rPr>
          <w:rFonts w:asciiTheme="minorHAnsi" w:hAnsiTheme="minorHAnsi" w:cstheme="minorHAnsi"/>
          <w:lang w:val="fr-FR"/>
        </w:rPr>
        <w:t>s</w:t>
      </w:r>
      <w:r w:rsidRPr="00057705">
        <w:rPr>
          <w:rFonts w:asciiTheme="minorHAnsi" w:hAnsiTheme="minorHAnsi" w:cstheme="minorHAnsi"/>
          <w:lang w:val="fr-FR"/>
        </w:rPr>
        <w:t>.</w:t>
      </w:r>
    </w:p>
    <w:p w14:paraId="61E961D1" w14:textId="77777777" w:rsidR="001226ED" w:rsidRPr="00287D38" w:rsidRDefault="001226ED" w:rsidP="004D5E4E">
      <w:pPr>
        <w:keepNext/>
        <w:keepLines/>
        <w:rPr>
          <w:rFonts w:asciiTheme="minorHAnsi" w:hAnsiTheme="minorHAnsi" w:cstheme="minorHAnsi"/>
          <w:lang w:val="fr-FR"/>
        </w:rPr>
      </w:pPr>
    </w:p>
    <w:p w14:paraId="47645A58" w14:textId="237BC4F7" w:rsidR="00B93DF1" w:rsidRPr="00B93DF1" w:rsidRDefault="0007206D" w:rsidP="009D451C">
      <w:pPr>
        <w:pStyle w:val="Titre4"/>
        <w:numPr>
          <w:ilvl w:val="0"/>
          <w:numId w:val="5"/>
        </w:numPr>
        <w:rPr>
          <w:rFonts w:asciiTheme="minorHAnsi" w:hAnsiTheme="minorHAnsi" w:cstheme="minorHAnsi"/>
          <w:color w:val="auto"/>
          <w:lang w:val="fr-FR"/>
        </w:rPr>
      </w:pPr>
      <w:r>
        <w:rPr>
          <w:rFonts w:asciiTheme="minorHAnsi" w:hAnsiTheme="minorHAnsi" w:cstheme="minorHAnsi"/>
          <w:color w:val="auto"/>
          <w:lang w:val="fr-FR"/>
        </w:rPr>
        <w:t>L</w:t>
      </w:r>
      <w:r w:rsidR="00B93DF1" w:rsidRPr="00B93DF1">
        <w:rPr>
          <w:rFonts w:asciiTheme="minorHAnsi" w:hAnsiTheme="minorHAnsi" w:cstheme="minorHAnsi"/>
          <w:color w:val="auto"/>
          <w:lang w:val="fr-FR"/>
        </w:rPr>
        <w:t>es ordres d</w:t>
      </w:r>
      <w:r>
        <w:rPr>
          <w:rFonts w:asciiTheme="minorHAnsi" w:hAnsiTheme="minorHAnsi" w:cstheme="minorHAnsi"/>
          <w:color w:val="auto"/>
          <w:lang w:val="fr-FR"/>
        </w:rPr>
        <w:t xml:space="preserve">e vente </w:t>
      </w:r>
      <w:r w:rsidR="00B93DF1" w:rsidRPr="00B93DF1">
        <w:rPr>
          <w:rFonts w:asciiTheme="minorHAnsi" w:hAnsiTheme="minorHAnsi" w:cstheme="minorHAnsi"/>
          <w:color w:val="auto"/>
          <w:lang w:val="fr-FR"/>
        </w:rPr>
        <w:t xml:space="preserve">de valeurs mobilières ou </w:t>
      </w:r>
      <w:r>
        <w:rPr>
          <w:rFonts w:asciiTheme="minorHAnsi" w:hAnsiTheme="minorHAnsi" w:cstheme="minorHAnsi"/>
          <w:color w:val="auto"/>
          <w:lang w:val="fr-FR"/>
        </w:rPr>
        <w:t>de parts d'</w:t>
      </w:r>
      <w:r w:rsidR="00B93DF1" w:rsidRPr="00B93DF1">
        <w:rPr>
          <w:rFonts w:asciiTheme="minorHAnsi" w:hAnsiTheme="minorHAnsi" w:cstheme="minorHAnsi"/>
          <w:color w:val="auto"/>
          <w:lang w:val="fr-FR"/>
        </w:rPr>
        <w:t xml:space="preserve">OPC émis par les clients </w:t>
      </w:r>
      <w:r>
        <w:rPr>
          <w:rFonts w:asciiTheme="minorHAnsi" w:hAnsiTheme="minorHAnsi" w:cstheme="minorHAnsi"/>
          <w:color w:val="auto"/>
          <w:lang w:val="fr-FR"/>
        </w:rPr>
        <w:t>visés par l’interdiction de l’article 5 sexies</w:t>
      </w:r>
      <w:r w:rsidRPr="00B93DF1">
        <w:rPr>
          <w:rFonts w:asciiTheme="minorHAnsi" w:hAnsiTheme="minorHAnsi" w:cstheme="minorHAnsi"/>
          <w:color w:val="auto"/>
          <w:lang w:val="fr-FR"/>
        </w:rPr>
        <w:t xml:space="preserve"> </w:t>
      </w:r>
      <w:r w:rsidR="00B93DF1" w:rsidRPr="00B93DF1">
        <w:rPr>
          <w:rFonts w:asciiTheme="minorHAnsi" w:hAnsiTheme="minorHAnsi" w:cstheme="minorHAnsi"/>
          <w:color w:val="auto"/>
          <w:lang w:val="fr-FR"/>
        </w:rPr>
        <w:t>s</w:t>
      </w:r>
      <w:r>
        <w:rPr>
          <w:rFonts w:asciiTheme="minorHAnsi" w:hAnsiTheme="minorHAnsi" w:cstheme="minorHAnsi"/>
          <w:color w:val="auto"/>
          <w:lang w:val="fr-FR"/>
        </w:rPr>
        <w:t xml:space="preserve">ont-ils également </w:t>
      </w:r>
      <w:r w:rsidR="00644448" w:rsidRPr="00B93DF1">
        <w:rPr>
          <w:rFonts w:asciiTheme="minorHAnsi" w:hAnsiTheme="minorHAnsi" w:cstheme="minorHAnsi"/>
          <w:color w:val="auto"/>
          <w:lang w:val="fr-FR"/>
        </w:rPr>
        <w:t>interdits</w:t>
      </w:r>
      <w:r w:rsidR="00644448">
        <w:rPr>
          <w:rFonts w:asciiTheme="minorHAnsi" w:hAnsiTheme="minorHAnsi" w:cstheme="minorHAnsi"/>
          <w:color w:val="auto"/>
          <w:lang w:val="fr-FR"/>
        </w:rPr>
        <w:t> </w:t>
      </w:r>
      <w:r w:rsidR="00B93DF1" w:rsidRPr="00B93DF1">
        <w:rPr>
          <w:rFonts w:asciiTheme="minorHAnsi" w:hAnsiTheme="minorHAnsi" w:cstheme="minorHAnsi"/>
          <w:color w:val="auto"/>
          <w:lang w:val="fr-FR"/>
        </w:rPr>
        <w:t>?</w:t>
      </w:r>
    </w:p>
    <w:p w14:paraId="6FEABE34" w14:textId="77777777" w:rsidR="00B93DF1" w:rsidRDefault="00B93DF1" w:rsidP="000D20E1">
      <w:pPr>
        <w:pStyle w:val="Titre4"/>
        <w:jc w:val="both"/>
        <w:rPr>
          <w:rFonts w:asciiTheme="minorHAnsi" w:hAnsiTheme="minorHAnsi" w:cstheme="minorHAnsi"/>
          <w:color w:val="auto"/>
          <w:lang w:val="fr-FR"/>
        </w:rPr>
      </w:pPr>
    </w:p>
    <w:p w14:paraId="1B8FC1BC" w14:textId="1CEB8D53" w:rsidR="0009618B" w:rsidRDefault="00B93DF1" w:rsidP="0012006A">
      <w:pPr>
        <w:pStyle w:val="Titre4"/>
        <w:jc w:val="both"/>
        <w:rPr>
          <w:rFonts w:asciiTheme="minorHAnsi" w:hAnsiTheme="minorHAnsi" w:cstheme="minorHAnsi"/>
          <w:i w:val="0"/>
          <w:iCs w:val="0"/>
          <w:color w:val="auto"/>
          <w:lang w:val="fr-FR"/>
        </w:rPr>
      </w:pPr>
      <w:r w:rsidRPr="004D5E4E">
        <w:rPr>
          <w:rFonts w:asciiTheme="minorHAnsi" w:hAnsiTheme="minorHAnsi" w:cstheme="minorHAnsi"/>
          <w:i w:val="0"/>
          <w:iCs w:val="0"/>
          <w:color w:val="auto"/>
          <w:lang w:val="fr-FR"/>
        </w:rPr>
        <w:t xml:space="preserve">A partir </w:t>
      </w:r>
      <w:r w:rsidR="00644448" w:rsidRPr="004D5E4E">
        <w:rPr>
          <w:rFonts w:asciiTheme="minorHAnsi" w:hAnsiTheme="minorHAnsi" w:cstheme="minorHAnsi"/>
          <w:i w:val="0"/>
          <w:iCs w:val="0"/>
          <w:color w:val="auto"/>
          <w:lang w:val="fr-FR"/>
        </w:rPr>
        <w:t>du 12 avril </w:t>
      </w:r>
      <w:r w:rsidRPr="004D5E4E">
        <w:rPr>
          <w:rFonts w:asciiTheme="minorHAnsi" w:hAnsiTheme="minorHAnsi" w:cstheme="minorHAnsi"/>
          <w:i w:val="0"/>
          <w:iCs w:val="0"/>
          <w:color w:val="auto"/>
          <w:lang w:val="fr-FR"/>
        </w:rPr>
        <w:t xml:space="preserve">2022, </w:t>
      </w:r>
      <w:r w:rsidR="0007206D">
        <w:rPr>
          <w:rFonts w:asciiTheme="minorHAnsi" w:hAnsiTheme="minorHAnsi" w:cstheme="minorHAnsi"/>
          <w:i w:val="0"/>
          <w:iCs w:val="0"/>
          <w:color w:val="auto"/>
          <w:lang w:val="fr-FR"/>
        </w:rPr>
        <w:t xml:space="preserve">la </w:t>
      </w:r>
      <w:r w:rsidR="009869E6">
        <w:rPr>
          <w:rFonts w:asciiTheme="minorHAnsi" w:hAnsiTheme="minorHAnsi" w:cstheme="minorHAnsi"/>
          <w:i w:val="0"/>
          <w:iCs w:val="0"/>
          <w:color w:val="auto"/>
          <w:lang w:val="fr-FR"/>
        </w:rPr>
        <w:t xml:space="preserve">vente </w:t>
      </w:r>
      <w:r w:rsidRPr="004D5E4E">
        <w:rPr>
          <w:rFonts w:asciiTheme="minorHAnsi" w:hAnsiTheme="minorHAnsi" w:cstheme="minorHAnsi"/>
          <w:i w:val="0"/>
          <w:iCs w:val="0"/>
          <w:color w:val="auto"/>
          <w:lang w:val="fr-FR"/>
        </w:rPr>
        <w:t>de valeurs mobilière</w:t>
      </w:r>
      <w:r w:rsidR="00881154">
        <w:rPr>
          <w:rFonts w:asciiTheme="minorHAnsi" w:hAnsiTheme="minorHAnsi" w:cstheme="minorHAnsi"/>
          <w:i w:val="0"/>
          <w:iCs w:val="0"/>
          <w:color w:val="auto"/>
          <w:lang w:val="fr-FR"/>
        </w:rPr>
        <w:t>s</w:t>
      </w:r>
      <w:r w:rsidRPr="004D5E4E">
        <w:rPr>
          <w:rFonts w:asciiTheme="minorHAnsi" w:hAnsiTheme="minorHAnsi" w:cstheme="minorHAnsi"/>
          <w:i w:val="0"/>
          <w:iCs w:val="0"/>
          <w:color w:val="auto"/>
          <w:lang w:val="fr-FR"/>
        </w:rPr>
        <w:t xml:space="preserve"> </w:t>
      </w:r>
      <w:r w:rsidR="0007206D">
        <w:rPr>
          <w:rFonts w:asciiTheme="minorHAnsi" w:hAnsiTheme="minorHAnsi" w:cstheme="minorHAnsi"/>
          <w:i w:val="0"/>
          <w:iCs w:val="0"/>
          <w:color w:val="auto"/>
          <w:lang w:val="fr-FR"/>
        </w:rPr>
        <w:t xml:space="preserve">émises après le </w:t>
      </w:r>
      <w:r w:rsidR="002C15BC">
        <w:rPr>
          <w:rFonts w:asciiTheme="minorHAnsi" w:hAnsiTheme="minorHAnsi" w:cstheme="minorHAnsi"/>
          <w:i w:val="0"/>
          <w:iCs w:val="0"/>
          <w:color w:val="auto"/>
          <w:lang w:val="fr-FR"/>
        </w:rPr>
        <w:t>12 </w:t>
      </w:r>
      <w:r w:rsidR="0007206D">
        <w:rPr>
          <w:rFonts w:asciiTheme="minorHAnsi" w:hAnsiTheme="minorHAnsi" w:cstheme="minorHAnsi"/>
          <w:i w:val="0"/>
          <w:iCs w:val="0"/>
          <w:color w:val="auto"/>
          <w:lang w:val="fr-FR"/>
        </w:rPr>
        <w:t xml:space="preserve">avril et libellées dans une devise officielle d’un Etat membre de l’Union européenne, </w:t>
      </w:r>
      <w:r w:rsidRPr="004D5E4E">
        <w:rPr>
          <w:rFonts w:asciiTheme="minorHAnsi" w:hAnsiTheme="minorHAnsi" w:cstheme="minorHAnsi"/>
          <w:i w:val="0"/>
          <w:iCs w:val="0"/>
          <w:color w:val="auto"/>
          <w:lang w:val="fr-FR"/>
        </w:rPr>
        <w:t>ou d</w:t>
      </w:r>
      <w:r w:rsidR="0007206D">
        <w:rPr>
          <w:rFonts w:asciiTheme="minorHAnsi" w:hAnsiTheme="minorHAnsi" w:cstheme="minorHAnsi"/>
          <w:i w:val="0"/>
          <w:iCs w:val="0"/>
          <w:color w:val="auto"/>
          <w:lang w:val="fr-FR"/>
        </w:rPr>
        <w:t>e parts d</w:t>
      </w:r>
      <w:r w:rsidRPr="004D5E4E">
        <w:rPr>
          <w:rFonts w:asciiTheme="minorHAnsi" w:hAnsiTheme="minorHAnsi" w:cstheme="minorHAnsi"/>
          <w:i w:val="0"/>
          <w:iCs w:val="0"/>
          <w:color w:val="auto"/>
          <w:lang w:val="fr-FR"/>
        </w:rPr>
        <w:t xml:space="preserve">’OPC </w:t>
      </w:r>
      <w:r w:rsidR="0007206D">
        <w:rPr>
          <w:rFonts w:asciiTheme="minorHAnsi" w:hAnsiTheme="minorHAnsi" w:cstheme="minorHAnsi"/>
          <w:i w:val="0"/>
          <w:iCs w:val="0"/>
          <w:color w:val="auto"/>
          <w:lang w:val="fr-FR"/>
        </w:rPr>
        <w:t xml:space="preserve">offrant une exposition à ces valeurs, </w:t>
      </w:r>
      <w:r w:rsidRPr="004D5E4E">
        <w:rPr>
          <w:rFonts w:asciiTheme="minorHAnsi" w:hAnsiTheme="minorHAnsi" w:cstheme="minorHAnsi"/>
          <w:i w:val="0"/>
          <w:iCs w:val="0"/>
          <w:color w:val="auto"/>
          <w:lang w:val="fr-FR"/>
        </w:rPr>
        <w:t>à des ressortissants et personnes morales russe</w:t>
      </w:r>
      <w:r w:rsidR="00EA36BB">
        <w:rPr>
          <w:rFonts w:asciiTheme="minorHAnsi" w:hAnsiTheme="minorHAnsi" w:cstheme="minorHAnsi"/>
          <w:i w:val="0"/>
          <w:iCs w:val="0"/>
          <w:color w:val="auto"/>
          <w:lang w:val="fr-FR"/>
        </w:rPr>
        <w:t>s</w:t>
      </w:r>
      <w:r w:rsidRPr="004D5E4E">
        <w:rPr>
          <w:rFonts w:asciiTheme="minorHAnsi" w:hAnsiTheme="minorHAnsi" w:cstheme="minorHAnsi"/>
          <w:i w:val="0"/>
          <w:iCs w:val="0"/>
          <w:color w:val="auto"/>
          <w:lang w:val="fr-FR"/>
        </w:rPr>
        <w:t xml:space="preserve"> </w:t>
      </w:r>
      <w:r w:rsidR="0007206D">
        <w:rPr>
          <w:rFonts w:asciiTheme="minorHAnsi" w:hAnsiTheme="minorHAnsi" w:cstheme="minorHAnsi"/>
          <w:i w:val="0"/>
          <w:iCs w:val="0"/>
          <w:color w:val="auto"/>
          <w:lang w:val="fr-FR"/>
        </w:rPr>
        <w:t xml:space="preserve">(sauf dérogations prévues à l’article </w:t>
      </w:r>
      <w:r w:rsidR="002C15BC">
        <w:rPr>
          <w:rFonts w:asciiTheme="minorHAnsi" w:hAnsiTheme="minorHAnsi" w:cstheme="minorHAnsi"/>
          <w:i w:val="0"/>
          <w:iCs w:val="0"/>
          <w:color w:val="auto"/>
          <w:lang w:val="fr-FR"/>
        </w:rPr>
        <w:t>5 </w:t>
      </w:r>
      <w:r w:rsidR="0007206D">
        <w:rPr>
          <w:rFonts w:asciiTheme="minorHAnsi" w:hAnsiTheme="minorHAnsi" w:cstheme="minorHAnsi"/>
          <w:i w:val="0"/>
          <w:iCs w:val="0"/>
          <w:color w:val="auto"/>
          <w:lang w:val="fr-FR"/>
        </w:rPr>
        <w:t xml:space="preserve">sexies) </w:t>
      </w:r>
      <w:r w:rsidRPr="004D5E4E">
        <w:rPr>
          <w:rFonts w:asciiTheme="minorHAnsi" w:hAnsiTheme="minorHAnsi" w:cstheme="minorHAnsi"/>
          <w:i w:val="0"/>
          <w:iCs w:val="0"/>
          <w:color w:val="auto"/>
          <w:lang w:val="fr-FR"/>
        </w:rPr>
        <w:t xml:space="preserve">est interdite. </w:t>
      </w:r>
    </w:p>
    <w:p w14:paraId="4355BF40" w14:textId="77777777" w:rsidR="00984A65" w:rsidRPr="003838D0" w:rsidRDefault="00984A65" w:rsidP="003838D0">
      <w:pPr>
        <w:rPr>
          <w:i/>
          <w:iCs/>
          <w:lang w:val="fr-FR"/>
        </w:rPr>
      </w:pPr>
    </w:p>
    <w:p w14:paraId="7508120D" w14:textId="13995C7B" w:rsidR="00B93DF1" w:rsidRPr="004D5E4E" w:rsidRDefault="0007206D" w:rsidP="0012006A">
      <w:pPr>
        <w:pStyle w:val="Titre4"/>
        <w:jc w:val="both"/>
        <w:rPr>
          <w:rFonts w:asciiTheme="minorHAnsi" w:hAnsiTheme="minorHAnsi" w:cstheme="minorHAnsi"/>
          <w:i w:val="0"/>
          <w:iCs w:val="0"/>
          <w:color w:val="auto"/>
          <w:lang w:val="fr-FR"/>
        </w:rPr>
      </w:pPr>
      <w:r>
        <w:rPr>
          <w:rFonts w:asciiTheme="minorHAnsi" w:hAnsiTheme="minorHAnsi" w:cstheme="minorHAnsi"/>
          <w:i w:val="0"/>
          <w:iCs w:val="0"/>
          <w:color w:val="auto"/>
          <w:lang w:val="fr-FR"/>
        </w:rPr>
        <w:t xml:space="preserve">Cette interdiction ne s’applique pas aux ordres de vente des valeurs </w:t>
      </w:r>
      <w:r w:rsidR="00881154">
        <w:rPr>
          <w:rFonts w:asciiTheme="minorHAnsi" w:hAnsiTheme="minorHAnsi" w:cstheme="minorHAnsi"/>
          <w:i w:val="0"/>
          <w:iCs w:val="0"/>
          <w:color w:val="auto"/>
          <w:lang w:val="fr-FR"/>
        </w:rPr>
        <w:t>mobilières</w:t>
      </w:r>
      <w:r>
        <w:rPr>
          <w:rFonts w:asciiTheme="minorHAnsi" w:hAnsiTheme="minorHAnsi" w:cstheme="minorHAnsi"/>
          <w:i w:val="0"/>
          <w:iCs w:val="0"/>
          <w:color w:val="auto"/>
          <w:lang w:val="fr-FR"/>
        </w:rPr>
        <w:t xml:space="preserve"> ou des parts d’OPC susmentionnées. En revanche, le </w:t>
      </w:r>
      <w:r w:rsidRPr="0007206D">
        <w:rPr>
          <w:rFonts w:asciiTheme="minorHAnsi" w:hAnsiTheme="minorHAnsi" w:cstheme="minorHAnsi"/>
          <w:i w:val="0"/>
          <w:iCs w:val="0"/>
          <w:color w:val="auto"/>
          <w:lang w:val="fr-FR"/>
        </w:rPr>
        <w:t xml:space="preserve">produit </w:t>
      </w:r>
      <w:r>
        <w:rPr>
          <w:rFonts w:asciiTheme="minorHAnsi" w:hAnsiTheme="minorHAnsi" w:cstheme="minorHAnsi"/>
          <w:i w:val="0"/>
          <w:iCs w:val="0"/>
          <w:color w:val="auto"/>
          <w:lang w:val="fr-FR"/>
        </w:rPr>
        <w:t xml:space="preserve">de ces ventes </w:t>
      </w:r>
      <w:r w:rsidRPr="0007206D">
        <w:rPr>
          <w:rFonts w:asciiTheme="minorHAnsi" w:hAnsiTheme="minorHAnsi" w:cstheme="minorHAnsi"/>
          <w:i w:val="0"/>
          <w:iCs w:val="0"/>
          <w:color w:val="auto"/>
          <w:lang w:val="fr-FR"/>
        </w:rPr>
        <w:t xml:space="preserve">doit bien être pris en compte dans le calcul du montant </w:t>
      </w:r>
      <w:r>
        <w:rPr>
          <w:rFonts w:asciiTheme="minorHAnsi" w:hAnsiTheme="minorHAnsi" w:cstheme="minorHAnsi"/>
          <w:i w:val="0"/>
          <w:iCs w:val="0"/>
          <w:color w:val="auto"/>
          <w:lang w:val="fr-FR"/>
        </w:rPr>
        <w:t xml:space="preserve">total </w:t>
      </w:r>
      <w:r w:rsidRPr="0007206D">
        <w:rPr>
          <w:rFonts w:asciiTheme="minorHAnsi" w:hAnsiTheme="minorHAnsi" w:cstheme="minorHAnsi"/>
          <w:i w:val="0"/>
          <w:iCs w:val="0"/>
          <w:color w:val="auto"/>
          <w:lang w:val="fr-FR"/>
        </w:rPr>
        <w:t xml:space="preserve">des dépôts </w:t>
      </w:r>
      <w:r>
        <w:rPr>
          <w:rFonts w:asciiTheme="minorHAnsi" w:hAnsiTheme="minorHAnsi" w:cstheme="minorHAnsi"/>
          <w:i w:val="0"/>
          <w:iCs w:val="0"/>
          <w:color w:val="auto"/>
          <w:lang w:val="fr-FR"/>
        </w:rPr>
        <w:t xml:space="preserve">accueillis au sein d’un établissement, </w:t>
      </w:r>
      <w:r w:rsidRPr="0007206D">
        <w:rPr>
          <w:rFonts w:asciiTheme="minorHAnsi" w:hAnsiTheme="minorHAnsi" w:cstheme="minorHAnsi"/>
          <w:i w:val="0"/>
          <w:iCs w:val="0"/>
          <w:color w:val="auto"/>
          <w:lang w:val="fr-FR"/>
        </w:rPr>
        <w:t xml:space="preserve">dès lors qu’il est déposé sur un compte courant classique. </w:t>
      </w:r>
      <w:r>
        <w:rPr>
          <w:rFonts w:asciiTheme="minorHAnsi" w:hAnsiTheme="minorHAnsi" w:cstheme="minorHAnsi"/>
          <w:i w:val="0"/>
          <w:iCs w:val="0"/>
          <w:color w:val="auto"/>
          <w:lang w:val="fr-FR"/>
        </w:rPr>
        <w:t xml:space="preserve">Il en résulte que les ordres de vente sont autorisés </w:t>
      </w:r>
      <w:r w:rsidRPr="0007206D">
        <w:rPr>
          <w:rFonts w:asciiTheme="minorHAnsi" w:hAnsiTheme="minorHAnsi" w:cstheme="minorHAnsi"/>
          <w:i w:val="0"/>
          <w:iCs w:val="0"/>
          <w:color w:val="auto"/>
          <w:lang w:val="fr-FR"/>
        </w:rPr>
        <w:t>dans la limite d</w:t>
      </w:r>
      <w:r>
        <w:rPr>
          <w:rFonts w:asciiTheme="minorHAnsi" w:hAnsiTheme="minorHAnsi" w:cstheme="minorHAnsi"/>
          <w:i w:val="0"/>
          <w:iCs w:val="0"/>
          <w:color w:val="auto"/>
          <w:lang w:val="fr-FR"/>
        </w:rPr>
        <w:t xml:space="preserve">e l’écart </w:t>
      </w:r>
      <w:r w:rsidRPr="0007206D">
        <w:rPr>
          <w:rFonts w:asciiTheme="minorHAnsi" w:hAnsiTheme="minorHAnsi" w:cstheme="minorHAnsi"/>
          <w:i w:val="0"/>
          <w:iCs w:val="0"/>
          <w:color w:val="auto"/>
          <w:lang w:val="fr-FR"/>
        </w:rPr>
        <w:t xml:space="preserve">entre le montant actuel de dépôts </w:t>
      </w:r>
      <w:r>
        <w:rPr>
          <w:rFonts w:asciiTheme="minorHAnsi" w:hAnsiTheme="minorHAnsi" w:cstheme="minorHAnsi"/>
          <w:i w:val="0"/>
          <w:iCs w:val="0"/>
          <w:color w:val="auto"/>
          <w:lang w:val="fr-FR"/>
        </w:rPr>
        <w:t xml:space="preserve">déjà </w:t>
      </w:r>
      <w:r w:rsidRPr="0007206D">
        <w:rPr>
          <w:rFonts w:asciiTheme="minorHAnsi" w:hAnsiTheme="minorHAnsi" w:cstheme="minorHAnsi"/>
          <w:i w:val="0"/>
          <w:iCs w:val="0"/>
          <w:color w:val="auto"/>
          <w:lang w:val="fr-FR"/>
        </w:rPr>
        <w:t xml:space="preserve">en compte et </w:t>
      </w:r>
      <w:r>
        <w:rPr>
          <w:rFonts w:asciiTheme="minorHAnsi" w:hAnsiTheme="minorHAnsi" w:cstheme="minorHAnsi"/>
          <w:i w:val="0"/>
          <w:iCs w:val="0"/>
          <w:color w:val="auto"/>
          <w:lang w:val="fr-FR"/>
        </w:rPr>
        <w:t xml:space="preserve">le plafond de </w:t>
      </w:r>
      <w:r w:rsidRPr="0007206D">
        <w:rPr>
          <w:rFonts w:asciiTheme="minorHAnsi" w:hAnsiTheme="minorHAnsi" w:cstheme="minorHAnsi"/>
          <w:i w:val="0"/>
          <w:iCs w:val="0"/>
          <w:color w:val="auto"/>
          <w:lang w:val="fr-FR"/>
        </w:rPr>
        <w:t>100 000</w:t>
      </w:r>
      <w:r>
        <w:rPr>
          <w:rFonts w:asciiTheme="minorHAnsi" w:hAnsiTheme="minorHAnsi" w:cstheme="minorHAnsi"/>
          <w:i w:val="0"/>
          <w:iCs w:val="0"/>
          <w:color w:val="auto"/>
          <w:lang w:val="fr-FR"/>
        </w:rPr>
        <w:t xml:space="preserve"> </w:t>
      </w:r>
      <w:r w:rsidRPr="0007206D">
        <w:rPr>
          <w:rFonts w:asciiTheme="minorHAnsi" w:hAnsiTheme="minorHAnsi" w:cstheme="minorHAnsi"/>
          <w:i w:val="0"/>
          <w:iCs w:val="0"/>
          <w:color w:val="auto"/>
          <w:lang w:val="fr-FR"/>
        </w:rPr>
        <w:t>€</w:t>
      </w:r>
      <w:r>
        <w:rPr>
          <w:rFonts w:asciiTheme="minorHAnsi" w:hAnsiTheme="minorHAnsi" w:cstheme="minorHAnsi"/>
          <w:i w:val="0"/>
          <w:iCs w:val="0"/>
          <w:color w:val="auto"/>
          <w:lang w:val="fr-FR"/>
        </w:rPr>
        <w:t xml:space="preserve"> par client russe visé par établissement</w:t>
      </w:r>
      <w:r w:rsidRPr="0007206D">
        <w:rPr>
          <w:rFonts w:asciiTheme="minorHAnsi" w:hAnsiTheme="minorHAnsi" w:cstheme="minorHAnsi"/>
          <w:i w:val="0"/>
          <w:iCs w:val="0"/>
          <w:color w:val="auto"/>
          <w:lang w:val="fr-FR"/>
        </w:rPr>
        <w:t>.</w:t>
      </w:r>
      <w:r w:rsidRPr="0007206D" w:rsidDel="0007206D">
        <w:rPr>
          <w:rFonts w:asciiTheme="minorHAnsi" w:hAnsiTheme="minorHAnsi" w:cstheme="minorHAnsi"/>
          <w:i w:val="0"/>
          <w:iCs w:val="0"/>
          <w:color w:val="auto"/>
          <w:lang w:val="fr-FR"/>
        </w:rPr>
        <w:t xml:space="preserve"> </w:t>
      </w:r>
    </w:p>
    <w:p w14:paraId="51A964DF" w14:textId="77777777" w:rsidR="000C10AE" w:rsidRDefault="000C10AE" w:rsidP="004D5E4E">
      <w:pPr>
        <w:pStyle w:val="Titre4"/>
        <w:jc w:val="both"/>
        <w:rPr>
          <w:lang w:val="fr-FR"/>
        </w:rPr>
      </w:pPr>
    </w:p>
    <w:p w14:paraId="24B094CC" w14:textId="1C36EB43" w:rsidR="000C10AE" w:rsidRPr="003838D0" w:rsidRDefault="00106562" w:rsidP="009D451C">
      <w:pPr>
        <w:pStyle w:val="Titre4"/>
        <w:numPr>
          <w:ilvl w:val="0"/>
          <w:numId w:val="5"/>
        </w:numPr>
        <w:rPr>
          <w:rFonts w:asciiTheme="minorHAnsi" w:hAnsiTheme="minorHAnsi" w:cstheme="minorHAnsi"/>
          <w:color w:val="auto"/>
          <w:lang w:val="fr-FR"/>
        </w:rPr>
      </w:pPr>
      <w:r w:rsidRPr="00106562">
        <w:rPr>
          <w:rFonts w:asciiTheme="minorHAnsi" w:hAnsiTheme="minorHAnsi" w:cstheme="minorHAnsi"/>
          <w:color w:val="auto"/>
          <w:lang w:val="fr-FR"/>
        </w:rPr>
        <w:t xml:space="preserve">Les comptes titres et les plans d’épargne en actions (PEA) sont-ils inclus dans le plafond de </w:t>
      </w:r>
      <w:r w:rsidRPr="003838D0">
        <w:rPr>
          <w:rFonts w:asciiTheme="minorHAnsi" w:hAnsiTheme="minorHAnsi" w:cstheme="minorHAnsi"/>
          <w:color w:val="auto"/>
          <w:lang w:val="fr-FR"/>
        </w:rPr>
        <w:t xml:space="preserve">100 000 € de dépôts ? </w:t>
      </w:r>
    </w:p>
    <w:p w14:paraId="65B88DAB" w14:textId="77777777" w:rsidR="00BF2EE1" w:rsidRDefault="00BF2EE1" w:rsidP="000C10AE">
      <w:pPr>
        <w:jc w:val="both"/>
        <w:rPr>
          <w:rFonts w:asciiTheme="minorHAnsi" w:hAnsiTheme="minorHAnsi" w:cstheme="minorHAnsi"/>
          <w:lang w:val="fr-FR"/>
        </w:rPr>
      </w:pPr>
    </w:p>
    <w:p w14:paraId="254916ED" w14:textId="098B9A76" w:rsidR="00777B1E" w:rsidRDefault="00106562" w:rsidP="000C10AE">
      <w:pPr>
        <w:jc w:val="both"/>
        <w:rPr>
          <w:rFonts w:asciiTheme="minorHAnsi" w:hAnsiTheme="minorHAnsi" w:cstheme="minorHAnsi"/>
          <w:lang w:val="fr-FR"/>
        </w:rPr>
      </w:pPr>
      <w:r>
        <w:rPr>
          <w:rFonts w:asciiTheme="minorHAnsi" w:hAnsiTheme="minorHAnsi" w:cstheme="minorHAnsi"/>
          <w:lang w:val="fr-FR"/>
        </w:rPr>
        <w:t xml:space="preserve">La valeur des </w:t>
      </w:r>
      <w:r w:rsidR="00304988">
        <w:rPr>
          <w:rFonts w:asciiTheme="minorHAnsi" w:hAnsiTheme="minorHAnsi" w:cstheme="minorHAnsi"/>
          <w:lang w:val="fr-FR"/>
        </w:rPr>
        <w:t>actifs</w:t>
      </w:r>
      <w:r>
        <w:rPr>
          <w:rFonts w:asciiTheme="minorHAnsi" w:hAnsiTheme="minorHAnsi" w:cstheme="minorHAnsi"/>
          <w:lang w:val="fr-FR"/>
        </w:rPr>
        <w:t xml:space="preserve"> détenu</w:t>
      </w:r>
      <w:r w:rsidR="00304988">
        <w:rPr>
          <w:rFonts w:asciiTheme="minorHAnsi" w:hAnsiTheme="minorHAnsi" w:cstheme="minorHAnsi"/>
          <w:lang w:val="fr-FR"/>
        </w:rPr>
        <w:t>s sur un compte</w:t>
      </w:r>
      <w:r>
        <w:rPr>
          <w:rFonts w:asciiTheme="minorHAnsi" w:hAnsiTheme="minorHAnsi" w:cstheme="minorHAnsi"/>
          <w:lang w:val="fr-FR"/>
        </w:rPr>
        <w:t xml:space="preserve"> titres ou </w:t>
      </w:r>
      <w:r w:rsidR="00304988">
        <w:rPr>
          <w:rFonts w:asciiTheme="minorHAnsi" w:hAnsiTheme="minorHAnsi" w:cstheme="minorHAnsi"/>
          <w:lang w:val="fr-FR"/>
        </w:rPr>
        <w:t xml:space="preserve">un </w:t>
      </w:r>
      <w:r>
        <w:rPr>
          <w:rFonts w:asciiTheme="minorHAnsi" w:hAnsiTheme="minorHAnsi" w:cstheme="minorHAnsi"/>
          <w:lang w:val="fr-FR"/>
        </w:rPr>
        <w:t>PEA n</w:t>
      </w:r>
      <w:r w:rsidR="00304988">
        <w:rPr>
          <w:rFonts w:asciiTheme="minorHAnsi" w:hAnsiTheme="minorHAnsi" w:cstheme="minorHAnsi"/>
          <w:lang w:val="fr-FR"/>
        </w:rPr>
        <w:t xml:space="preserve">e doit </w:t>
      </w:r>
      <w:r>
        <w:rPr>
          <w:rFonts w:asciiTheme="minorHAnsi" w:hAnsiTheme="minorHAnsi" w:cstheme="minorHAnsi"/>
          <w:lang w:val="fr-FR"/>
        </w:rPr>
        <w:t xml:space="preserve">pas </w:t>
      </w:r>
      <w:r w:rsidR="00304988">
        <w:rPr>
          <w:rFonts w:asciiTheme="minorHAnsi" w:hAnsiTheme="minorHAnsi" w:cstheme="minorHAnsi"/>
          <w:lang w:val="fr-FR"/>
        </w:rPr>
        <w:t xml:space="preserve">être </w:t>
      </w:r>
      <w:r>
        <w:rPr>
          <w:rFonts w:asciiTheme="minorHAnsi" w:hAnsiTheme="minorHAnsi" w:cstheme="minorHAnsi"/>
          <w:lang w:val="fr-FR"/>
        </w:rPr>
        <w:t>prise en compte dans le calcul de la valeur totale des dépôts par client par établissement. E</w:t>
      </w:r>
      <w:r w:rsidR="00777B1E">
        <w:rPr>
          <w:rFonts w:asciiTheme="minorHAnsi" w:hAnsiTheme="minorHAnsi" w:cstheme="minorHAnsi"/>
          <w:lang w:val="fr-FR"/>
        </w:rPr>
        <w:t xml:space="preserve">n revanche, les montants détenus sur des comptes espèces liés à des comptes titres </w:t>
      </w:r>
      <w:r w:rsidR="00304988">
        <w:rPr>
          <w:rFonts w:asciiTheme="minorHAnsi" w:hAnsiTheme="minorHAnsi" w:cstheme="minorHAnsi"/>
          <w:lang w:val="fr-FR"/>
        </w:rPr>
        <w:t xml:space="preserve">doivent bien être </w:t>
      </w:r>
      <w:r w:rsidR="00777B1E">
        <w:rPr>
          <w:rFonts w:asciiTheme="minorHAnsi" w:hAnsiTheme="minorHAnsi" w:cstheme="minorHAnsi"/>
          <w:lang w:val="fr-FR"/>
        </w:rPr>
        <w:t xml:space="preserve">pris en compte. </w:t>
      </w:r>
    </w:p>
    <w:p w14:paraId="4BB146EE" w14:textId="77777777" w:rsidR="009A621C" w:rsidRDefault="009A621C" w:rsidP="000C10AE">
      <w:pPr>
        <w:jc w:val="both"/>
        <w:rPr>
          <w:rFonts w:asciiTheme="minorHAnsi" w:hAnsiTheme="minorHAnsi" w:cstheme="minorHAnsi"/>
          <w:lang w:val="fr-FR"/>
        </w:rPr>
      </w:pPr>
    </w:p>
    <w:p w14:paraId="56EF7289" w14:textId="0D7A099A" w:rsidR="000C10AE" w:rsidRDefault="00777B1E">
      <w:pPr>
        <w:jc w:val="both"/>
        <w:rPr>
          <w:rFonts w:asciiTheme="minorHAnsi" w:hAnsiTheme="minorHAnsi" w:cstheme="minorHAnsi"/>
          <w:lang w:val="fr-FR"/>
        </w:rPr>
      </w:pPr>
      <w:r>
        <w:rPr>
          <w:rFonts w:asciiTheme="minorHAnsi" w:hAnsiTheme="minorHAnsi" w:cstheme="minorHAnsi"/>
          <w:lang w:val="fr-FR"/>
        </w:rPr>
        <w:t>En cas de vente de certains titres par une personne soumise à l’interdiction formulée à l’article</w:t>
      </w:r>
      <w:r w:rsidR="00136A1C">
        <w:rPr>
          <w:rFonts w:asciiTheme="minorHAnsi" w:hAnsiTheme="minorHAnsi" w:cstheme="minorHAnsi"/>
          <w:lang w:val="fr-FR"/>
        </w:rPr>
        <w:t> </w:t>
      </w:r>
      <w:r>
        <w:rPr>
          <w:rFonts w:asciiTheme="minorHAnsi" w:hAnsiTheme="minorHAnsi" w:cstheme="minorHAnsi"/>
          <w:lang w:val="fr-FR"/>
        </w:rPr>
        <w:t>5</w:t>
      </w:r>
      <w:r w:rsidR="00136A1C">
        <w:rPr>
          <w:rFonts w:asciiTheme="minorHAnsi" w:hAnsiTheme="minorHAnsi" w:cstheme="minorHAnsi"/>
          <w:lang w:val="fr-FR"/>
        </w:rPr>
        <w:t> </w:t>
      </w:r>
      <w:r>
        <w:rPr>
          <w:rFonts w:asciiTheme="minorHAnsi" w:hAnsiTheme="minorHAnsi" w:cstheme="minorHAnsi"/>
          <w:lang w:val="fr-FR"/>
        </w:rPr>
        <w:t>ter, paragraphe</w:t>
      </w:r>
      <w:r w:rsidR="00136A1C">
        <w:rPr>
          <w:rFonts w:asciiTheme="minorHAnsi" w:hAnsiTheme="minorHAnsi" w:cstheme="minorHAnsi"/>
          <w:lang w:val="fr-FR"/>
        </w:rPr>
        <w:t> </w:t>
      </w:r>
      <w:r>
        <w:rPr>
          <w:rFonts w:asciiTheme="minorHAnsi" w:hAnsiTheme="minorHAnsi" w:cstheme="minorHAnsi"/>
          <w:lang w:val="fr-FR"/>
        </w:rPr>
        <w:t>1, du règlement</w:t>
      </w:r>
      <w:r w:rsidR="009A621C">
        <w:rPr>
          <w:rFonts w:asciiTheme="minorHAnsi" w:hAnsiTheme="minorHAnsi" w:cstheme="minorHAnsi"/>
          <w:lang w:val="fr-FR"/>
        </w:rPr>
        <w:t> </w:t>
      </w:r>
      <w:r>
        <w:rPr>
          <w:rFonts w:asciiTheme="minorHAnsi" w:hAnsiTheme="minorHAnsi" w:cstheme="minorHAnsi"/>
          <w:lang w:val="fr-FR"/>
        </w:rPr>
        <w:t>833/2014,</w:t>
      </w:r>
      <w:r w:rsidR="000C10AE" w:rsidRPr="0030263E">
        <w:rPr>
          <w:rFonts w:asciiTheme="minorHAnsi" w:hAnsiTheme="minorHAnsi" w:cstheme="minorHAnsi"/>
          <w:lang w:val="fr-FR"/>
        </w:rPr>
        <w:t xml:space="preserve"> la banque ne p</w:t>
      </w:r>
      <w:r>
        <w:rPr>
          <w:rFonts w:asciiTheme="minorHAnsi" w:hAnsiTheme="minorHAnsi" w:cstheme="minorHAnsi"/>
          <w:lang w:val="fr-FR"/>
        </w:rPr>
        <w:t xml:space="preserve">ourra pas </w:t>
      </w:r>
      <w:r w:rsidR="000C10AE" w:rsidRPr="0030263E">
        <w:rPr>
          <w:rFonts w:asciiTheme="minorHAnsi" w:hAnsiTheme="minorHAnsi" w:cstheme="minorHAnsi"/>
          <w:lang w:val="fr-FR"/>
        </w:rPr>
        <w:t>accepter un dépôt supérieur à 100</w:t>
      </w:r>
      <w:r w:rsidR="00136A1C">
        <w:rPr>
          <w:rFonts w:asciiTheme="minorHAnsi" w:hAnsiTheme="minorHAnsi" w:cstheme="minorHAnsi"/>
          <w:lang w:val="fr-FR"/>
        </w:rPr>
        <w:t> </w:t>
      </w:r>
      <w:r w:rsidR="00136A1C" w:rsidRPr="0030263E">
        <w:rPr>
          <w:rFonts w:asciiTheme="minorHAnsi" w:hAnsiTheme="minorHAnsi" w:cstheme="minorHAnsi"/>
          <w:lang w:val="fr-FR"/>
        </w:rPr>
        <w:t>000</w:t>
      </w:r>
      <w:r w:rsidR="00136A1C">
        <w:rPr>
          <w:rFonts w:asciiTheme="minorHAnsi" w:hAnsiTheme="minorHAnsi" w:cstheme="minorHAnsi"/>
          <w:lang w:val="fr-FR"/>
        </w:rPr>
        <w:t> €</w:t>
      </w:r>
      <w:r w:rsidR="000C10AE" w:rsidRPr="0030263E">
        <w:rPr>
          <w:rFonts w:asciiTheme="minorHAnsi" w:hAnsiTheme="minorHAnsi" w:cstheme="minorHAnsi"/>
          <w:lang w:val="fr-FR"/>
        </w:rPr>
        <w:t xml:space="preserve">. </w:t>
      </w:r>
      <w:r w:rsidR="00136A1C" w:rsidRPr="0030263E">
        <w:rPr>
          <w:rFonts w:asciiTheme="minorHAnsi" w:hAnsiTheme="minorHAnsi" w:cstheme="minorHAnsi"/>
          <w:lang w:val="fr-FR"/>
        </w:rPr>
        <w:t>La</w:t>
      </w:r>
      <w:r w:rsidR="00136A1C">
        <w:rPr>
          <w:rFonts w:asciiTheme="minorHAnsi" w:hAnsiTheme="minorHAnsi" w:cstheme="minorHAnsi"/>
          <w:lang w:val="fr-FR"/>
        </w:rPr>
        <w:t> </w:t>
      </w:r>
      <w:r w:rsidR="000C10AE" w:rsidRPr="0030263E">
        <w:rPr>
          <w:rFonts w:asciiTheme="minorHAnsi" w:hAnsiTheme="minorHAnsi" w:cstheme="minorHAnsi"/>
          <w:lang w:val="fr-FR"/>
        </w:rPr>
        <w:t>vente d</w:t>
      </w:r>
      <w:r>
        <w:rPr>
          <w:rFonts w:asciiTheme="minorHAnsi" w:hAnsiTheme="minorHAnsi" w:cstheme="minorHAnsi"/>
          <w:lang w:val="fr-FR"/>
        </w:rPr>
        <w:t xml:space="preserve">e </w:t>
      </w:r>
      <w:r w:rsidR="000C10AE" w:rsidRPr="0030263E">
        <w:rPr>
          <w:rFonts w:asciiTheme="minorHAnsi" w:hAnsiTheme="minorHAnsi" w:cstheme="minorHAnsi"/>
          <w:lang w:val="fr-FR"/>
        </w:rPr>
        <w:t xml:space="preserve">titres n’est </w:t>
      </w:r>
      <w:r>
        <w:rPr>
          <w:rFonts w:asciiTheme="minorHAnsi" w:hAnsiTheme="minorHAnsi" w:cstheme="minorHAnsi"/>
          <w:lang w:val="fr-FR"/>
        </w:rPr>
        <w:t xml:space="preserve">cependant </w:t>
      </w:r>
      <w:r w:rsidR="000C10AE" w:rsidRPr="0030263E">
        <w:rPr>
          <w:rFonts w:asciiTheme="minorHAnsi" w:hAnsiTheme="minorHAnsi" w:cstheme="minorHAnsi"/>
          <w:lang w:val="fr-FR"/>
        </w:rPr>
        <w:t>pas interdite</w:t>
      </w:r>
      <w:r>
        <w:rPr>
          <w:rFonts w:asciiTheme="minorHAnsi" w:hAnsiTheme="minorHAnsi" w:cstheme="minorHAnsi"/>
          <w:lang w:val="fr-FR"/>
        </w:rPr>
        <w:t xml:space="preserve">. </w:t>
      </w:r>
    </w:p>
    <w:p w14:paraId="3B09C71D" w14:textId="77777777" w:rsidR="000C10AE" w:rsidRDefault="000C10AE" w:rsidP="000C10AE">
      <w:pPr>
        <w:jc w:val="both"/>
        <w:rPr>
          <w:rFonts w:asciiTheme="minorHAnsi" w:hAnsiTheme="minorHAnsi" w:cstheme="minorHAnsi"/>
          <w:lang w:val="fr-FR"/>
        </w:rPr>
      </w:pPr>
    </w:p>
    <w:p w14:paraId="08BAC4EC" w14:textId="7D7D9E6A" w:rsidR="000C10AE" w:rsidRPr="003838D0" w:rsidRDefault="00B90581" w:rsidP="009D451C">
      <w:pPr>
        <w:pStyle w:val="Titre4"/>
        <w:numPr>
          <w:ilvl w:val="0"/>
          <w:numId w:val="5"/>
        </w:numPr>
        <w:rPr>
          <w:rFonts w:asciiTheme="minorHAnsi" w:hAnsiTheme="minorHAnsi" w:cstheme="minorHAnsi"/>
          <w:color w:val="auto"/>
          <w:lang w:val="fr-FR"/>
        </w:rPr>
      </w:pPr>
      <w:r w:rsidRPr="003838D0">
        <w:rPr>
          <w:rFonts w:asciiTheme="minorHAnsi" w:hAnsiTheme="minorHAnsi" w:cstheme="minorHAnsi"/>
          <w:color w:val="auto"/>
          <w:lang w:val="fr-FR"/>
        </w:rPr>
        <w:lastRenderedPageBreak/>
        <w:t xml:space="preserve">Quel plafond de dépôts appliquer à un </w:t>
      </w:r>
      <w:r w:rsidR="000C10AE" w:rsidRPr="003838D0">
        <w:rPr>
          <w:rFonts w:asciiTheme="minorHAnsi" w:hAnsiTheme="minorHAnsi" w:cstheme="minorHAnsi"/>
          <w:color w:val="auto"/>
          <w:lang w:val="fr-FR"/>
        </w:rPr>
        <w:t xml:space="preserve">compte </w:t>
      </w:r>
      <w:r w:rsidRPr="003838D0">
        <w:rPr>
          <w:rFonts w:asciiTheme="minorHAnsi" w:hAnsiTheme="minorHAnsi" w:cstheme="minorHAnsi"/>
          <w:color w:val="auto"/>
          <w:lang w:val="fr-FR"/>
        </w:rPr>
        <w:t xml:space="preserve">joint dont l’un ou les </w:t>
      </w:r>
      <w:r w:rsidR="00EA36BB" w:rsidRPr="003838D0">
        <w:rPr>
          <w:rFonts w:asciiTheme="minorHAnsi" w:hAnsiTheme="minorHAnsi" w:cstheme="minorHAnsi"/>
          <w:color w:val="auto"/>
          <w:lang w:val="fr-FR"/>
        </w:rPr>
        <w:t>bénéficiaires</w:t>
      </w:r>
      <w:r w:rsidRPr="003838D0">
        <w:rPr>
          <w:rFonts w:asciiTheme="minorHAnsi" w:hAnsiTheme="minorHAnsi" w:cstheme="minorHAnsi"/>
          <w:color w:val="auto"/>
          <w:lang w:val="fr-FR"/>
        </w:rPr>
        <w:t xml:space="preserve"> effectifs sont visés par l’interdiction de l’article 5 ter ? </w:t>
      </w:r>
    </w:p>
    <w:p w14:paraId="18EAC465" w14:textId="77777777" w:rsidR="00BF2EE1" w:rsidRDefault="00BF2EE1" w:rsidP="004D5E4E">
      <w:pPr>
        <w:keepNext/>
        <w:keepLines/>
        <w:jc w:val="both"/>
        <w:rPr>
          <w:rFonts w:asciiTheme="minorHAnsi" w:hAnsiTheme="minorHAnsi" w:cstheme="minorHAnsi"/>
          <w:lang w:val="fr-FR"/>
        </w:rPr>
      </w:pPr>
    </w:p>
    <w:p w14:paraId="0021497D" w14:textId="499C622B" w:rsidR="00B90581" w:rsidRDefault="00B90581" w:rsidP="004D5E4E">
      <w:pPr>
        <w:keepNext/>
        <w:keepLines/>
        <w:jc w:val="both"/>
        <w:rPr>
          <w:rFonts w:asciiTheme="minorHAnsi" w:hAnsiTheme="minorHAnsi" w:cstheme="minorHAnsi"/>
          <w:lang w:val="fr-FR"/>
        </w:rPr>
      </w:pPr>
      <w:r>
        <w:rPr>
          <w:rFonts w:asciiTheme="minorHAnsi" w:hAnsiTheme="minorHAnsi" w:cstheme="minorHAnsi"/>
          <w:lang w:val="fr-FR"/>
        </w:rPr>
        <w:t>Lorsque les</w:t>
      </w:r>
      <w:r w:rsidR="000C10AE" w:rsidRPr="0030263E">
        <w:rPr>
          <w:rFonts w:asciiTheme="minorHAnsi" w:hAnsiTheme="minorHAnsi" w:cstheme="minorHAnsi"/>
          <w:lang w:val="fr-FR"/>
        </w:rPr>
        <w:t xml:space="preserve"> deux bénéficiaires d</w:t>
      </w:r>
      <w:r>
        <w:rPr>
          <w:rFonts w:asciiTheme="minorHAnsi" w:hAnsiTheme="minorHAnsi" w:cstheme="minorHAnsi"/>
          <w:lang w:val="fr-FR"/>
        </w:rPr>
        <w:t>’</w:t>
      </w:r>
      <w:r w:rsidR="000C10AE" w:rsidRPr="0030263E">
        <w:rPr>
          <w:rFonts w:asciiTheme="minorHAnsi" w:hAnsiTheme="minorHAnsi" w:cstheme="minorHAnsi"/>
          <w:lang w:val="fr-FR"/>
        </w:rPr>
        <w:t>u</w:t>
      </w:r>
      <w:r>
        <w:rPr>
          <w:rFonts w:asciiTheme="minorHAnsi" w:hAnsiTheme="minorHAnsi" w:cstheme="minorHAnsi"/>
          <w:lang w:val="fr-FR"/>
        </w:rPr>
        <w:t>n</w:t>
      </w:r>
      <w:r w:rsidR="000C10AE" w:rsidRPr="0030263E">
        <w:rPr>
          <w:rFonts w:asciiTheme="minorHAnsi" w:hAnsiTheme="minorHAnsi" w:cstheme="minorHAnsi"/>
          <w:lang w:val="fr-FR"/>
        </w:rPr>
        <w:t xml:space="preserve"> compte joint tombent sous </w:t>
      </w:r>
      <w:r>
        <w:rPr>
          <w:rFonts w:asciiTheme="minorHAnsi" w:hAnsiTheme="minorHAnsi" w:cstheme="minorHAnsi"/>
          <w:lang w:val="fr-FR"/>
        </w:rPr>
        <w:t xml:space="preserve">le coup de </w:t>
      </w:r>
      <w:r w:rsidR="000C10AE" w:rsidRPr="0030263E">
        <w:rPr>
          <w:rFonts w:asciiTheme="minorHAnsi" w:hAnsiTheme="minorHAnsi" w:cstheme="minorHAnsi"/>
          <w:lang w:val="fr-FR"/>
        </w:rPr>
        <w:t>l’interdiction</w:t>
      </w:r>
      <w:r>
        <w:rPr>
          <w:rFonts w:asciiTheme="minorHAnsi" w:hAnsiTheme="minorHAnsi" w:cstheme="minorHAnsi"/>
          <w:lang w:val="fr-FR"/>
        </w:rPr>
        <w:t xml:space="preserve">, le montant maximum autorisé de dépôts par établissement est </w:t>
      </w:r>
      <w:r w:rsidR="000C10AE" w:rsidRPr="0030263E">
        <w:rPr>
          <w:rFonts w:asciiTheme="minorHAnsi" w:hAnsiTheme="minorHAnsi" w:cstheme="minorHAnsi"/>
          <w:lang w:val="fr-FR"/>
        </w:rPr>
        <w:t>relevé à 200</w:t>
      </w:r>
      <w:r w:rsidR="00136A1C">
        <w:rPr>
          <w:rFonts w:asciiTheme="minorHAnsi" w:hAnsiTheme="minorHAnsi" w:cstheme="minorHAnsi"/>
          <w:lang w:val="fr-FR"/>
        </w:rPr>
        <w:t> </w:t>
      </w:r>
      <w:r w:rsidR="00136A1C" w:rsidRPr="0030263E">
        <w:rPr>
          <w:rFonts w:asciiTheme="minorHAnsi" w:hAnsiTheme="minorHAnsi" w:cstheme="minorHAnsi"/>
          <w:lang w:val="fr-FR"/>
        </w:rPr>
        <w:t>000</w:t>
      </w:r>
      <w:r w:rsidR="00136A1C">
        <w:rPr>
          <w:rFonts w:asciiTheme="minorHAnsi" w:hAnsiTheme="minorHAnsi" w:cstheme="minorHAnsi"/>
          <w:lang w:val="fr-FR"/>
        </w:rPr>
        <w:t> €</w:t>
      </w:r>
      <w:r w:rsidR="000C10AE" w:rsidRPr="0030263E">
        <w:rPr>
          <w:rFonts w:asciiTheme="minorHAnsi" w:hAnsiTheme="minorHAnsi" w:cstheme="minorHAnsi"/>
          <w:lang w:val="fr-FR"/>
        </w:rPr>
        <w:t xml:space="preserve">. </w:t>
      </w:r>
    </w:p>
    <w:p w14:paraId="0F6ED5E1" w14:textId="77777777" w:rsidR="00427694" w:rsidRDefault="00427694" w:rsidP="004D5E4E">
      <w:pPr>
        <w:keepNext/>
        <w:keepLines/>
        <w:jc w:val="both"/>
        <w:rPr>
          <w:rFonts w:asciiTheme="minorHAnsi" w:hAnsiTheme="minorHAnsi" w:cstheme="minorHAnsi"/>
          <w:lang w:val="fr-FR"/>
        </w:rPr>
      </w:pPr>
    </w:p>
    <w:p w14:paraId="180CDE6C" w14:textId="687C1014" w:rsidR="000C10AE" w:rsidRDefault="000C10AE" w:rsidP="004D5E4E">
      <w:pPr>
        <w:keepNext/>
        <w:keepLines/>
        <w:jc w:val="both"/>
        <w:rPr>
          <w:rFonts w:asciiTheme="minorHAnsi" w:hAnsiTheme="minorHAnsi" w:cstheme="minorHAnsi"/>
          <w:lang w:val="fr-FR"/>
        </w:rPr>
      </w:pPr>
      <w:r w:rsidRPr="0030263E">
        <w:rPr>
          <w:rFonts w:asciiTheme="minorHAnsi" w:hAnsiTheme="minorHAnsi" w:cstheme="minorHAnsi"/>
          <w:lang w:val="fr-FR"/>
        </w:rPr>
        <w:t xml:space="preserve">Dans le cas où l’un des titulaires est un binational européen, l’interdiction </w:t>
      </w:r>
      <w:r w:rsidR="00B90581">
        <w:rPr>
          <w:rFonts w:asciiTheme="minorHAnsi" w:hAnsiTheme="minorHAnsi" w:cstheme="minorHAnsi"/>
          <w:lang w:val="fr-FR"/>
        </w:rPr>
        <w:t xml:space="preserve">de plafonnement </w:t>
      </w:r>
      <w:r w:rsidRPr="0030263E">
        <w:rPr>
          <w:rFonts w:asciiTheme="minorHAnsi" w:hAnsiTheme="minorHAnsi" w:cstheme="minorHAnsi"/>
          <w:lang w:val="fr-FR"/>
        </w:rPr>
        <w:t xml:space="preserve">ne </w:t>
      </w:r>
      <w:r w:rsidR="00B90581">
        <w:rPr>
          <w:rFonts w:asciiTheme="minorHAnsi" w:hAnsiTheme="minorHAnsi" w:cstheme="minorHAnsi"/>
          <w:lang w:val="fr-FR"/>
        </w:rPr>
        <w:t xml:space="preserve">trouve pas à </w:t>
      </w:r>
      <w:r w:rsidRPr="0030263E">
        <w:rPr>
          <w:rFonts w:asciiTheme="minorHAnsi" w:hAnsiTheme="minorHAnsi" w:cstheme="minorHAnsi"/>
          <w:lang w:val="fr-FR"/>
        </w:rPr>
        <w:t>s’applique</w:t>
      </w:r>
      <w:r w:rsidR="00B90581">
        <w:rPr>
          <w:rFonts w:asciiTheme="minorHAnsi" w:hAnsiTheme="minorHAnsi" w:cstheme="minorHAnsi"/>
          <w:lang w:val="fr-FR"/>
        </w:rPr>
        <w:t>r au com</w:t>
      </w:r>
      <w:r w:rsidR="009869E6">
        <w:rPr>
          <w:rFonts w:asciiTheme="minorHAnsi" w:hAnsiTheme="minorHAnsi" w:cstheme="minorHAnsi"/>
          <w:lang w:val="fr-FR"/>
        </w:rPr>
        <w:t>p</w:t>
      </w:r>
      <w:r w:rsidR="00B90581">
        <w:rPr>
          <w:rFonts w:asciiTheme="minorHAnsi" w:hAnsiTheme="minorHAnsi" w:cstheme="minorHAnsi"/>
          <w:lang w:val="fr-FR"/>
        </w:rPr>
        <w:t>te concerné</w:t>
      </w:r>
      <w:r w:rsidRPr="0030263E">
        <w:rPr>
          <w:rFonts w:asciiTheme="minorHAnsi" w:hAnsiTheme="minorHAnsi" w:cstheme="minorHAnsi"/>
          <w:lang w:val="fr-FR"/>
        </w:rPr>
        <w:t xml:space="preserve">. </w:t>
      </w:r>
      <w:r w:rsidR="00B90581">
        <w:rPr>
          <w:rFonts w:asciiTheme="minorHAnsi" w:hAnsiTheme="minorHAnsi" w:cstheme="minorHAnsi"/>
          <w:lang w:val="fr-FR"/>
        </w:rPr>
        <w:t>Dans cette hypothèse, l</w:t>
      </w:r>
      <w:r w:rsidRPr="0030263E">
        <w:rPr>
          <w:rFonts w:asciiTheme="minorHAnsi" w:hAnsiTheme="minorHAnsi" w:cstheme="minorHAnsi"/>
          <w:lang w:val="fr-FR"/>
        </w:rPr>
        <w:t xml:space="preserve">es </w:t>
      </w:r>
      <w:r w:rsidR="00B90581">
        <w:rPr>
          <w:rFonts w:asciiTheme="minorHAnsi" w:hAnsiTheme="minorHAnsi" w:cstheme="minorHAnsi"/>
          <w:lang w:val="fr-FR"/>
        </w:rPr>
        <w:t xml:space="preserve">établissements concernés </w:t>
      </w:r>
      <w:r w:rsidRPr="0030263E">
        <w:rPr>
          <w:rFonts w:asciiTheme="minorHAnsi" w:hAnsiTheme="minorHAnsi" w:cstheme="minorHAnsi"/>
          <w:lang w:val="fr-FR"/>
        </w:rPr>
        <w:t xml:space="preserve">conservent </w:t>
      </w:r>
      <w:r w:rsidR="00B90581">
        <w:rPr>
          <w:rFonts w:asciiTheme="minorHAnsi" w:hAnsiTheme="minorHAnsi" w:cstheme="minorHAnsi"/>
          <w:lang w:val="fr-FR"/>
        </w:rPr>
        <w:t xml:space="preserve">néanmoins </w:t>
      </w:r>
      <w:r w:rsidRPr="0030263E">
        <w:rPr>
          <w:rFonts w:asciiTheme="minorHAnsi" w:hAnsiTheme="minorHAnsi" w:cstheme="minorHAnsi"/>
          <w:lang w:val="fr-FR"/>
        </w:rPr>
        <w:t xml:space="preserve">un devoir de vigilance en vertu de </w:t>
      </w:r>
      <w:r w:rsidR="00136A1C" w:rsidRPr="0030263E">
        <w:rPr>
          <w:rFonts w:asciiTheme="minorHAnsi" w:hAnsiTheme="minorHAnsi" w:cstheme="minorHAnsi"/>
          <w:lang w:val="fr-FR"/>
        </w:rPr>
        <w:t>l’article</w:t>
      </w:r>
      <w:r w:rsidR="00136A1C">
        <w:rPr>
          <w:rFonts w:asciiTheme="minorHAnsi" w:hAnsiTheme="minorHAnsi" w:cstheme="minorHAnsi"/>
          <w:lang w:val="fr-FR"/>
        </w:rPr>
        <w:t> </w:t>
      </w:r>
      <w:r w:rsidRPr="0030263E">
        <w:rPr>
          <w:rFonts w:asciiTheme="minorHAnsi" w:hAnsiTheme="minorHAnsi" w:cstheme="minorHAnsi"/>
          <w:lang w:val="fr-FR"/>
        </w:rPr>
        <w:t xml:space="preserve">12 du </w:t>
      </w:r>
      <w:r w:rsidR="00136A1C" w:rsidRPr="0030263E">
        <w:rPr>
          <w:rFonts w:asciiTheme="minorHAnsi" w:hAnsiTheme="minorHAnsi" w:cstheme="minorHAnsi"/>
          <w:lang w:val="fr-FR"/>
        </w:rPr>
        <w:t>règlement</w:t>
      </w:r>
      <w:r w:rsidR="00136A1C">
        <w:rPr>
          <w:rFonts w:asciiTheme="minorHAnsi" w:hAnsiTheme="minorHAnsi" w:cstheme="minorHAnsi"/>
          <w:lang w:val="fr-FR"/>
        </w:rPr>
        <w:t> </w:t>
      </w:r>
      <w:r w:rsidRPr="0030263E">
        <w:rPr>
          <w:rFonts w:asciiTheme="minorHAnsi" w:hAnsiTheme="minorHAnsi" w:cstheme="minorHAnsi"/>
          <w:lang w:val="fr-FR"/>
        </w:rPr>
        <w:t xml:space="preserve">833 </w:t>
      </w:r>
      <w:r w:rsidR="00477D54">
        <w:rPr>
          <w:rFonts w:asciiTheme="minorHAnsi" w:hAnsiTheme="minorHAnsi" w:cstheme="minorHAnsi"/>
          <w:lang w:val="fr-FR"/>
        </w:rPr>
        <w:t xml:space="preserve">afin de garantir </w:t>
      </w:r>
      <w:r w:rsidRPr="0030263E">
        <w:rPr>
          <w:rFonts w:asciiTheme="minorHAnsi" w:hAnsiTheme="minorHAnsi" w:cstheme="minorHAnsi"/>
          <w:lang w:val="fr-FR"/>
        </w:rPr>
        <w:t>que le compte joint ne serve pas à contourner le</w:t>
      </w:r>
      <w:r w:rsidR="00BC4A0C">
        <w:rPr>
          <w:rFonts w:asciiTheme="minorHAnsi" w:hAnsiTheme="minorHAnsi" w:cstheme="minorHAnsi"/>
          <w:lang w:val="fr-FR"/>
        </w:rPr>
        <w:t xml:space="preserve"> régime de</w:t>
      </w:r>
      <w:r w:rsidRPr="0030263E">
        <w:rPr>
          <w:rFonts w:asciiTheme="minorHAnsi" w:hAnsiTheme="minorHAnsi" w:cstheme="minorHAnsi"/>
          <w:lang w:val="fr-FR"/>
        </w:rPr>
        <w:t xml:space="preserve"> sanctions.</w:t>
      </w:r>
    </w:p>
    <w:p w14:paraId="3B22CB44" w14:textId="77777777" w:rsidR="00427694" w:rsidRPr="0030263E" w:rsidRDefault="00427694" w:rsidP="004D5E4E">
      <w:pPr>
        <w:keepNext/>
        <w:keepLines/>
        <w:jc w:val="both"/>
        <w:rPr>
          <w:rFonts w:asciiTheme="minorHAnsi" w:hAnsiTheme="minorHAnsi" w:cstheme="minorHAnsi"/>
          <w:lang w:val="fr-FR"/>
        </w:rPr>
      </w:pPr>
    </w:p>
    <w:p w14:paraId="40BD9231" w14:textId="1CC26172" w:rsidR="000C10AE" w:rsidRDefault="000C10AE" w:rsidP="004D5E4E">
      <w:pPr>
        <w:keepNext/>
        <w:keepLines/>
        <w:jc w:val="both"/>
        <w:rPr>
          <w:rFonts w:asciiTheme="minorHAnsi" w:hAnsiTheme="minorHAnsi" w:cstheme="minorHAnsi"/>
          <w:lang w:val="fr-FR"/>
        </w:rPr>
      </w:pPr>
      <w:r w:rsidRPr="0030263E">
        <w:rPr>
          <w:rFonts w:asciiTheme="minorHAnsi" w:hAnsiTheme="minorHAnsi" w:cstheme="minorHAnsi"/>
          <w:lang w:val="fr-FR"/>
        </w:rPr>
        <w:t>L</w:t>
      </w:r>
      <w:r w:rsidR="00E26100">
        <w:rPr>
          <w:rFonts w:asciiTheme="minorHAnsi" w:hAnsiTheme="minorHAnsi" w:cstheme="minorHAnsi"/>
          <w:lang w:val="fr-FR"/>
        </w:rPr>
        <w:t xml:space="preserve">es dépôts d’une </w:t>
      </w:r>
      <w:r w:rsidRPr="0030263E">
        <w:rPr>
          <w:rFonts w:asciiTheme="minorHAnsi" w:hAnsiTheme="minorHAnsi" w:cstheme="minorHAnsi"/>
          <w:lang w:val="fr-FR"/>
        </w:rPr>
        <w:t xml:space="preserve">personne morale détenue par un bénéficiaire effectif sanctionné </w:t>
      </w:r>
      <w:r w:rsidR="00E26100">
        <w:rPr>
          <w:rFonts w:asciiTheme="minorHAnsi" w:hAnsiTheme="minorHAnsi" w:cstheme="minorHAnsi"/>
          <w:lang w:val="fr-FR"/>
        </w:rPr>
        <w:t>sont</w:t>
      </w:r>
      <w:r w:rsidR="00E26100" w:rsidRPr="0030263E">
        <w:rPr>
          <w:rFonts w:asciiTheme="minorHAnsi" w:hAnsiTheme="minorHAnsi" w:cstheme="minorHAnsi"/>
          <w:lang w:val="fr-FR"/>
        </w:rPr>
        <w:t xml:space="preserve"> </w:t>
      </w:r>
      <w:r w:rsidRPr="0030263E">
        <w:rPr>
          <w:rFonts w:asciiTheme="minorHAnsi" w:hAnsiTheme="minorHAnsi" w:cstheme="minorHAnsi"/>
          <w:lang w:val="fr-FR"/>
        </w:rPr>
        <w:t xml:space="preserve">également </w:t>
      </w:r>
      <w:r w:rsidR="00E26100">
        <w:rPr>
          <w:rFonts w:asciiTheme="minorHAnsi" w:hAnsiTheme="minorHAnsi" w:cstheme="minorHAnsi"/>
          <w:lang w:val="fr-FR"/>
        </w:rPr>
        <w:t xml:space="preserve">visés par </w:t>
      </w:r>
      <w:r w:rsidRPr="0030263E">
        <w:rPr>
          <w:rFonts w:asciiTheme="minorHAnsi" w:hAnsiTheme="minorHAnsi" w:cstheme="minorHAnsi"/>
          <w:lang w:val="fr-FR"/>
        </w:rPr>
        <w:t>l</w:t>
      </w:r>
      <w:r w:rsidR="005C0FBD">
        <w:rPr>
          <w:rFonts w:asciiTheme="minorHAnsi" w:hAnsiTheme="minorHAnsi" w:cstheme="minorHAnsi"/>
          <w:lang w:val="fr-FR"/>
        </w:rPr>
        <w:t>e</w:t>
      </w:r>
      <w:r w:rsidRPr="0030263E">
        <w:rPr>
          <w:rFonts w:asciiTheme="minorHAnsi" w:hAnsiTheme="minorHAnsi" w:cstheme="minorHAnsi"/>
          <w:lang w:val="fr-FR"/>
        </w:rPr>
        <w:t xml:space="preserve"> </w:t>
      </w:r>
      <w:r w:rsidR="005C0FBD">
        <w:rPr>
          <w:rFonts w:asciiTheme="minorHAnsi" w:hAnsiTheme="minorHAnsi" w:cstheme="minorHAnsi"/>
          <w:lang w:val="fr-FR"/>
        </w:rPr>
        <w:t xml:space="preserve">plafonnement </w:t>
      </w:r>
      <w:r w:rsidRPr="0030263E">
        <w:rPr>
          <w:rFonts w:asciiTheme="minorHAnsi" w:hAnsiTheme="minorHAnsi" w:cstheme="minorHAnsi"/>
          <w:lang w:val="fr-FR"/>
        </w:rPr>
        <w:t xml:space="preserve">des dépôts. </w:t>
      </w:r>
    </w:p>
    <w:p w14:paraId="439E2DCC" w14:textId="77777777" w:rsidR="000C10AE" w:rsidRDefault="000C10AE" w:rsidP="000C10AE">
      <w:pPr>
        <w:jc w:val="both"/>
        <w:rPr>
          <w:rFonts w:asciiTheme="minorHAnsi" w:hAnsiTheme="minorHAnsi" w:cstheme="minorHAnsi"/>
          <w:lang w:val="fr-FR"/>
        </w:rPr>
      </w:pPr>
    </w:p>
    <w:p w14:paraId="5D23D15F" w14:textId="442EE646" w:rsidR="000C10AE" w:rsidRPr="003838D0" w:rsidRDefault="00BD03B0" w:rsidP="009D451C">
      <w:pPr>
        <w:pStyle w:val="Titre4"/>
        <w:numPr>
          <w:ilvl w:val="0"/>
          <w:numId w:val="5"/>
        </w:numPr>
        <w:rPr>
          <w:rFonts w:asciiTheme="minorHAnsi" w:hAnsiTheme="minorHAnsi" w:cstheme="minorHAnsi"/>
          <w:color w:val="auto"/>
          <w:lang w:val="fr-FR"/>
        </w:rPr>
      </w:pPr>
      <w:r w:rsidRPr="003838D0">
        <w:rPr>
          <w:rFonts w:asciiTheme="minorHAnsi" w:hAnsiTheme="minorHAnsi" w:cstheme="minorHAnsi"/>
          <w:color w:val="auto"/>
          <w:lang w:val="fr-FR"/>
        </w:rPr>
        <w:t>Le seuil de 100</w:t>
      </w:r>
      <w:r w:rsidR="00BF2EE1">
        <w:rPr>
          <w:rFonts w:asciiTheme="minorHAnsi" w:hAnsiTheme="minorHAnsi" w:cstheme="minorHAnsi"/>
          <w:color w:val="auto"/>
          <w:lang w:val="fr-FR"/>
        </w:rPr>
        <w:t> </w:t>
      </w:r>
      <w:r w:rsidRPr="003838D0">
        <w:rPr>
          <w:rFonts w:asciiTheme="minorHAnsi" w:hAnsiTheme="minorHAnsi" w:cstheme="minorHAnsi"/>
          <w:color w:val="auto"/>
          <w:lang w:val="fr-FR"/>
        </w:rPr>
        <w:t>000</w:t>
      </w:r>
      <w:r w:rsidR="00BF2EE1">
        <w:rPr>
          <w:rFonts w:asciiTheme="minorHAnsi" w:hAnsiTheme="minorHAnsi" w:cstheme="minorHAnsi"/>
          <w:color w:val="auto"/>
          <w:lang w:val="fr-FR"/>
        </w:rPr>
        <w:t> </w:t>
      </w:r>
      <w:r w:rsidRPr="003838D0">
        <w:rPr>
          <w:rFonts w:asciiTheme="minorHAnsi" w:hAnsiTheme="minorHAnsi" w:cstheme="minorHAnsi"/>
          <w:color w:val="auto"/>
          <w:lang w:val="fr-FR"/>
        </w:rPr>
        <w:t xml:space="preserve">€ doit être considéré par compte ou pour l’ensemble </w:t>
      </w:r>
      <w:r w:rsidR="000C10AE" w:rsidRPr="003838D0">
        <w:rPr>
          <w:rFonts w:asciiTheme="minorHAnsi" w:hAnsiTheme="minorHAnsi" w:cstheme="minorHAnsi"/>
          <w:color w:val="auto"/>
          <w:lang w:val="fr-FR"/>
        </w:rPr>
        <w:t xml:space="preserve">des comptes espèces </w:t>
      </w:r>
      <w:r w:rsidRPr="003838D0">
        <w:rPr>
          <w:rFonts w:asciiTheme="minorHAnsi" w:hAnsiTheme="minorHAnsi" w:cstheme="minorHAnsi"/>
          <w:color w:val="auto"/>
          <w:lang w:val="fr-FR"/>
        </w:rPr>
        <w:t xml:space="preserve">ouverts </w:t>
      </w:r>
      <w:r w:rsidR="000C10AE" w:rsidRPr="003838D0">
        <w:rPr>
          <w:rFonts w:asciiTheme="minorHAnsi" w:hAnsiTheme="minorHAnsi" w:cstheme="minorHAnsi"/>
          <w:color w:val="auto"/>
          <w:lang w:val="fr-FR"/>
        </w:rPr>
        <w:t>dans les livres d’un même établissement </w:t>
      </w:r>
      <w:r w:rsidRPr="003838D0">
        <w:rPr>
          <w:rFonts w:asciiTheme="minorHAnsi" w:hAnsiTheme="minorHAnsi" w:cstheme="minorHAnsi"/>
          <w:color w:val="auto"/>
          <w:lang w:val="fr-FR"/>
        </w:rPr>
        <w:t xml:space="preserve">par un établissement russe </w:t>
      </w:r>
      <w:r w:rsidR="000C10AE" w:rsidRPr="003838D0">
        <w:rPr>
          <w:rFonts w:asciiTheme="minorHAnsi" w:hAnsiTheme="minorHAnsi" w:cstheme="minorHAnsi"/>
          <w:color w:val="auto"/>
          <w:lang w:val="fr-FR"/>
        </w:rPr>
        <w:t xml:space="preserve">? </w:t>
      </w:r>
    </w:p>
    <w:p w14:paraId="116DCF60" w14:textId="77777777" w:rsidR="00BF2EE1" w:rsidRDefault="00BF2EE1" w:rsidP="000C10AE">
      <w:pPr>
        <w:jc w:val="both"/>
        <w:rPr>
          <w:rFonts w:asciiTheme="minorHAnsi" w:hAnsiTheme="minorHAnsi" w:cstheme="minorHAnsi"/>
          <w:lang w:val="fr-FR"/>
        </w:rPr>
      </w:pPr>
    </w:p>
    <w:p w14:paraId="422409DF" w14:textId="43EA5FE6" w:rsidR="00D77B93" w:rsidRDefault="00BD03B0" w:rsidP="000C10AE">
      <w:pPr>
        <w:jc w:val="both"/>
        <w:rPr>
          <w:rFonts w:asciiTheme="minorHAnsi" w:hAnsiTheme="minorHAnsi" w:cstheme="minorHAnsi"/>
          <w:lang w:val="fr-FR"/>
        </w:rPr>
      </w:pPr>
      <w:r>
        <w:rPr>
          <w:rFonts w:asciiTheme="minorHAnsi" w:hAnsiTheme="minorHAnsi" w:cstheme="minorHAnsi"/>
          <w:lang w:val="fr-FR"/>
        </w:rPr>
        <w:t>Le</w:t>
      </w:r>
      <w:r w:rsidR="00D77B93">
        <w:rPr>
          <w:rFonts w:asciiTheme="minorHAnsi" w:hAnsiTheme="minorHAnsi" w:cstheme="minorHAnsi"/>
          <w:lang w:val="fr-FR"/>
        </w:rPr>
        <w:t xml:space="preserve"> seuil de 100 000</w:t>
      </w:r>
      <w:r w:rsidR="00136A1C">
        <w:rPr>
          <w:rFonts w:asciiTheme="minorHAnsi" w:hAnsiTheme="minorHAnsi" w:cstheme="minorHAnsi"/>
          <w:lang w:val="fr-FR"/>
        </w:rPr>
        <w:t> </w:t>
      </w:r>
      <w:r w:rsidR="00D77B93">
        <w:rPr>
          <w:rFonts w:asciiTheme="minorHAnsi" w:hAnsiTheme="minorHAnsi" w:cstheme="minorHAnsi"/>
          <w:lang w:val="fr-FR"/>
        </w:rPr>
        <w:t xml:space="preserve">€ doit être apprécié par client et par établissement. </w:t>
      </w:r>
      <w:r w:rsidR="005F0B7C">
        <w:rPr>
          <w:rFonts w:asciiTheme="minorHAnsi" w:hAnsiTheme="minorHAnsi" w:cstheme="minorHAnsi"/>
          <w:lang w:val="fr-FR"/>
        </w:rPr>
        <w:t>A titre d’exemple, s</w:t>
      </w:r>
      <w:r w:rsidR="00D77B93">
        <w:rPr>
          <w:rFonts w:asciiTheme="minorHAnsi" w:hAnsiTheme="minorHAnsi" w:cstheme="minorHAnsi"/>
          <w:lang w:val="fr-FR"/>
        </w:rPr>
        <w:t xml:space="preserve">i un client dispose de trois comptes dans un établissement, le montant des dépôts des trois comptes devra </w:t>
      </w:r>
      <w:r w:rsidR="00BC5096">
        <w:rPr>
          <w:rFonts w:asciiTheme="minorHAnsi" w:hAnsiTheme="minorHAnsi" w:cstheme="minorHAnsi"/>
          <w:lang w:val="fr-FR"/>
        </w:rPr>
        <w:t xml:space="preserve">être agrégé. </w:t>
      </w:r>
    </w:p>
    <w:p w14:paraId="7B9B7A1D" w14:textId="77777777" w:rsidR="00136A1C" w:rsidRDefault="00136A1C" w:rsidP="000C10AE">
      <w:pPr>
        <w:jc w:val="both"/>
        <w:rPr>
          <w:rFonts w:asciiTheme="minorHAnsi" w:hAnsiTheme="minorHAnsi" w:cstheme="minorHAnsi"/>
          <w:lang w:val="fr-FR"/>
        </w:rPr>
      </w:pPr>
    </w:p>
    <w:p w14:paraId="16A89D07" w14:textId="24B92135" w:rsidR="000C10AE" w:rsidRDefault="00BD03B0" w:rsidP="000C10AE">
      <w:pPr>
        <w:jc w:val="both"/>
        <w:rPr>
          <w:rFonts w:asciiTheme="minorHAnsi" w:hAnsiTheme="minorHAnsi" w:cstheme="minorHAnsi"/>
          <w:lang w:val="fr-FR"/>
        </w:rPr>
      </w:pPr>
      <w:r>
        <w:rPr>
          <w:rFonts w:asciiTheme="minorHAnsi" w:hAnsiTheme="minorHAnsi" w:cstheme="minorHAnsi"/>
          <w:lang w:val="fr-FR"/>
        </w:rPr>
        <w:t>D</w:t>
      </w:r>
      <w:r w:rsidR="00E904A4">
        <w:rPr>
          <w:rFonts w:asciiTheme="minorHAnsi" w:hAnsiTheme="minorHAnsi" w:cstheme="minorHAnsi"/>
          <w:lang w:val="fr-FR"/>
        </w:rPr>
        <w:t>ans l’hypothèse où un client soumis à l’interdiction de l’article 5 ter dispose de deux comptes, pour un montant total de dépôts supérieur à 100 000</w:t>
      </w:r>
      <w:r w:rsidR="00136A1C">
        <w:rPr>
          <w:rFonts w:asciiTheme="minorHAnsi" w:hAnsiTheme="minorHAnsi" w:cstheme="minorHAnsi"/>
          <w:lang w:val="fr-FR"/>
        </w:rPr>
        <w:t> </w:t>
      </w:r>
      <w:r w:rsidR="00E904A4">
        <w:rPr>
          <w:rFonts w:asciiTheme="minorHAnsi" w:hAnsiTheme="minorHAnsi" w:cstheme="minorHAnsi"/>
          <w:lang w:val="fr-FR"/>
        </w:rPr>
        <w:t>€, mais dont l’un des deux comptes présente un solde débiteur, son établissement est autorité à débiter le compte qui présente un solde positif, y compris s’il est supérieur à 100 000</w:t>
      </w:r>
      <w:r w:rsidR="00136A1C">
        <w:rPr>
          <w:rFonts w:asciiTheme="minorHAnsi" w:hAnsiTheme="minorHAnsi" w:cstheme="minorHAnsi"/>
          <w:lang w:val="fr-FR"/>
        </w:rPr>
        <w:t> </w:t>
      </w:r>
      <w:r w:rsidR="00E904A4">
        <w:rPr>
          <w:rFonts w:asciiTheme="minorHAnsi" w:hAnsiTheme="minorHAnsi" w:cstheme="minorHAnsi"/>
          <w:lang w:val="fr-FR"/>
        </w:rPr>
        <w:t xml:space="preserve">€, pour combler le solde du compte débiteur, dès lors que le montant du solde global en compte au sein de l’établissement ne change pas. </w:t>
      </w:r>
    </w:p>
    <w:p w14:paraId="5D9CDDFF" w14:textId="77777777" w:rsidR="000C10AE" w:rsidRPr="0030263E" w:rsidRDefault="000C10AE" w:rsidP="000C10AE">
      <w:pPr>
        <w:jc w:val="both"/>
        <w:rPr>
          <w:rFonts w:asciiTheme="minorHAnsi" w:hAnsiTheme="minorHAnsi" w:cstheme="minorHAnsi"/>
          <w:lang w:val="fr-FR"/>
        </w:rPr>
      </w:pPr>
    </w:p>
    <w:p w14:paraId="4715E42F" w14:textId="19C2723F" w:rsidR="000C10AE" w:rsidRPr="003838D0" w:rsidRDefault="0038285A" w:rsidP="009D451C">
      <w:pPr>
        <w:pStyle w:val="Titre4"/>
        <w:numPr>
          <w:ilvl w:val="0"/>
          <w:numId w:val="5"/>
        </w:numPr>
        <w:rPr>
          <w:rFonts w:asciiTheme="minorHAnsi" w:hAnsiTheme="minorHAnsi" w:cstheme="minorHAnsi"/>
          <w:color w:val="auto"/>
          <w:lang w:val="fr-FR"/>
        </w:rPr>
      </w:pPr>
      <w:r>
        <w:rPr>
          <w:rFonts w:asciiTheme="minorHAnsi" w:hAnsiTheme="minorHAnsi" w:cstheme="minorHAnsi"/>
          <w:color w:val="auto"/>
          <w:lang w:val="fr-FR"/>
        </w:rPr>
        <w:t xml:space="preserve">Qui est responsable de </w:t>
      </w:r>
      <w:r w:rsidR="00D8515C" w:rsidRPr="003838D0">
        <w:rPr>
          <w:rFonts w:asciiTheme="minorHAnsi" w:hAnsiTheme="minorHAnsi" w:cstheme="minorHAnsi"/>
          <w:color w:val="auto"/>
          <w:lang w:val="fr-FR"/>
        </w:rPr>
        <w:t>s’assure</w:t>
      </w:r>
      <w:r w:rsidRPr="003838D0">
        <w:rPr>
          <w:rFonts w:asciiTheme="minorHAnsi" w:hAnsiTheme="minorHAnsi" w:cstheme="minorHAnsi"/>
          <w:color w:val="auto"/>
          <w:lang w:val="fr-FR"/>
        </w:rPr>
        <w:t>r</w:t>
      </w:r>
      <w:r w:rsidR="00D8515C" w:rsidRPr="003838D0">
        <w:rPr>
          <w:rFonts w:asciiTheme="minorHAnsi" w:hAnsiTheme="minorHAnsi" w:cstheme="minorHAnsi"/>
          <w:color w:val="auto"/>
          <w:lang w:val="fr-FR"/>
        </w:rPr>
        <w:t xml:space="preserve"> à tout instant de la validité du titre de séjour d</w:t>
      </w:r>
      <w:r w:rsidRPr="003838D0">
        <w:rPr>
          <w:rFonts w:asciiTheme="minorHAnsi" w:hAnsiTheme="minorHAnsi" w:cstheme="minorHAnsi"/>
          <w:color w:val="auto"/>
          <w:lang w:val="fr-FR"/>
        </w:rPr>
        <w:t xml:space="preserve">’un déposant </w:t>
      </w:r>
      <w:r w:rsidR="00D8515C" w:rsidRPr="003838D0">
        <w:rPr>
          <w:rFonts w:asciiTheme="minorHAnsi" w:hAnsiTheme="minorHAnsi" w:cstheme="minorHAnsi"/>
          <w:color w:val="auto"/>
          <w:lang w:val="fr-FR"/>
        </w:rPr>
        <w:t xml:space="preserve">russe qui ne dispose pas de la nationalité d’un Etat membre de l’Union européenne, de l’espace économique européen ou suisse ? </w:t>
      </w:r>
    </w:p>
    <w:p w14:paraId="2DDFC979" w14:textId="77777777" w:rsidR="00084615" w:rsidRDefault="00084615" w:rsidP="003838D0">
      <w:pPr>
        <w:keepNext/>
        <w:keepLines/>
        <w:jc w:val="both"/>
        <w:rPr>
          <w:rFonts w:asciiTheme="minorHAnsi" w:hAnsiTheme="minorHAnsi" w:cstheme="minorHAnsi"/>
          <w:lang w:val="fr-FR"/>
        </w:rPr>
      </w:pPr>
    </w:p>
    <w:p w14:paraId="7D40FE18" w14:textId="28FAEC81" w:rsidR="009A54C6" w:rsidRDefault="000C10AE" w:rsidP="003838D0">
      <w:pPr>
        <w:keepNext/>
        <w:keepLines/>
        <w:jc w:val="both"/>
        <w:rPr>
          <w:rFonts w:asciiTheme="minorHAnsi" w:hAnsiTheme="minorHAnsi" w:cstheme="minorHAnsi"/>
          <w:lang w:val="fr-FR"/>
        </w:rPr>
      </w:pPr>
      <w:r w:rsidRPr="0030263E">
        <w:rPr>
          <w:rFonts w:asciiTheme="minorHAnsi" w:hAnsiTheme="minorHAnsi" w:cstheme="minorHAnsi"/>
          <w:lang w:val="fr-FR"/>
        </w:rPr>
        <w:t xml:space="preserve">Il </w:t>
      </w:r>
      <w:r w:rsidR="009A54C6">
        <w:rPr>
          <w:rFonts w:asciiTheme="minorHAnsi" w:hAnsiTheme="minorHAnsi" w:cstheme="minorHAnsi"/>
          <w:lang w:val="fr-FR"/>
        </w:rPr>
        <w:t xml:space="preserve">incombe à chaque établissement concerné </w:t>
      </w:r>
      <w:r w:rsidRPr="0030263E">
        <w:rPr>
          <w:rFonts w:asciiTheme="minorHAnsi" w:hAnsiTheme="minorHAnsi" w:cstheme="minorHAnsi"/>
          <w:lang w:val="fr-FR"/>
        </w:rPr>
        <w:t xml:space="preserve">de vérifier la validité des titres de séjour </w:t>
      </w:r>
      <w:r w:rsidR="009A54C6">
        <w:rPr>
          <w:rFonts w:asciiTheme="minorHAnsi" w:hAnsiTheme="minorHAnsi" w:cstheme="minorHAnsi"/>
          <w:lang w:val="fr-FR"/>
        </w:rPr>
        <w:t xml:space="preserve">de sa clientèle susceptible de faire l’objet des interdictions énoncées à l’article 5 ter, dès lors que cet </w:t>
      </w:r>
      <w:r w:rsidR="00136A1C">
        <w:rPr>
          <w:rFonts w:asciiTheme="minorHAnsi" w:hAnsiTheme="minorHAnsi" w:cstheme="minorHAnsi"/>
          <w:lang w:val="fr-FR"/>
        </w:rPr>
        <w:t>élément</w:t>
      </w:r>
      <w:r w:rsidR="009A54C6">
        <w:rPr>
          <w:rFonts w:asciiTheme="minorHAnsi" w:hAnsiTheme="minorHAnsi" w:cstheme="minorHAnsi"/>
          <w:lang w:val="fr-FR"/>
        </w:rPr>
        <w:t xml:space="preserve"> constitue l’une </w:t>
      </w:r>
      <w:r w:rsidRPr="0030263E">
        <w:rPr>
          <w:rFonts w:asciiTheme="minorHAnsi" w:hAnsiTheme="minorHAnsi" w:cstheme="minorHAnsi"/>
          <w:lang w:val="fr-FR"/>
        </w:rPr>
        <w:t xml:space="preserve">des conditions permettant d’obtenir une exemption. </w:t>
      </w:r>
    </w:p>
    <w:p w14:paraId="4160E870" w14:textId="77777777" w:rsidR="009A54C6" w:rsidRDefault="009A54C6" w:rsidP="003838D0">
      <w:pPr>
        <w:keepNext/>
        <w:keepLines/>
        <w:jc w:val="both"/>
        <w:rPr>
          <w:rFonts w:asciiTheme="minorHAnsi" w:hAnsiTheme="minorHAnsi" w:cstheme="minorHAnsi"/>
          <w:lang w:val="fr-FR"/>
        </w:rPr>
      </w:pPr>
    </w:p>
    <w:p w14:paraId="3DC1E522" w14:textId="77777777" w:rsidR="00084615" w:rsidRPr="0030263E" w:rsidRDefault="00084615" w:rsidP="009D451C">
      <w:pPr>
        <w:pStyle w:val="Titre4"/>
        <w:numPr>
          <w:ilvl w:val="0"/>
          <w:numId w:val="5"/>
        </w:numPr>
        <w:jc w:val="both"/>
        <w:rPr>
          <w:rFonts w:asciiTheme="minorHAnsi" w:hAnsiTheme="minorHAnsi" w:cstheme="minorHAnsi"/>
          <w:color w:val="auto"/>
          <w:lang w:val="fr-FR"/>
        </w:rPr>
      </w:pPr>
      <w:r w:rsidRPr="0030263E">
        <w:rPr>
          <w:rFonts w:asciiTheme="minorHAnsi" w:hAnsiTheme="minorHAnsi" w:cstheme="minorHAnsi"/>
          <w:color w:val="auto"/>
          <w:lang w:val="fr-FR"/>
        </w:rPr>
        <w:t>Les mineurs sont-ils également visés par le blocage des comptes ?</w:t>
      </w:r>
    </w:p>
    <w:p w14:paraId="52801807" w14:textId="77777777" w:rsidR="00084615" w:rsidRDefault="00084615" w:rsidP="000C10AE">
      <w:pPr>
        <w:jc w:val="both"/>
        <w:rPr>
          <w:rFonts w:asciiTheme="minorHAnsi" w:hAnsiTheme="minorHAnsi" w:cstheme="minorHAnsi"/>
          <w:lang w:val="fr-FR"/>
        </w:rPr>
      </w:pPr>
    </w:p>
    <w:p w14:paraId="46C9C7CB" w14:textId="3C5A3C75" w:rsidR="00F755FD" w:rsidRDefault="009A54C6" w:rsidP="00F755FD">
      <w:pPr>
        <w:jc w:val="both"/>
        <w:rPr>
          <w:rFonts w:asciiTheme="minorHAnsi" w:hAnsiTheme="minorHAnsi" w:cstheme="minorHAnsi"/>
          <w:lang w:val="fr-FR"/>
        </w:rPr>
      </w:pPr>
      <w:r>
        <w:rPr>
          <w:rFonts w:asciiTheme="minorHAnsi" w:hAnsiTheme="minorHAnsi" w:cstheme="minorHAnsi"/>
          <w:lang w:val="fr-FR"/>
        </w:rPr>
        <w:t xml:space="preserve">L’interdiction énoncée à l’article 5 ter s’applique sans conditions d’âge et de manière indistincte aux personnes majeures et mineures. </w:t>
      </w:r>
    </w:p>
    <w:p w14:paraId="6CCE3648" w14:textId="3E0569EF" w:rsidR="00F755FD" w:rsidRDefault="00F755FD" w:rsidP="00F755FD">
      <w:pPr>
        <w:jc w:val="both"/>
        <w:rPr>
          <w:rFonts w:asciiTheme="minorHAnsi" w:hAnsiTheme="minorHAnsi" w:cstheme="minorHAnsi"/>
          <w:lang w:val="fr-FR"/>
        </w:rPr>
      </w:pPr>
    </w:p>
    <w:p w14:paraId="0D5D93C8" w14:textId="08D89A14" w:rsidR="00F755FD" w:rsidRDefault="002A51DD" w:rsidP="00300F72">
      <w:pPr>
        <w:pStyle w:val="Titre4"/>
        <w:numPr>
          <w:ilvl w:val="0"/>
          <w:numId w:val="5"/>
        </w:numPr>
        <w:jc w:val="both"/>
        <w:rPr>
          <w:rFonts w:asciiTheme="minorHAnsi" w:hAnsiTheme="minorHAnsi" w:cstheme="minorHAnsi"/>
          <w:color w:val="auto"/>
          <w:lang w:val="fr-FR"/>
        </w:rPr>
      </w:pPr>
      <w:r w:rsidRPr="002A51DD">
        <w:rPr>
          <w:rFonts w:asciiTheme="minorHAnsi" w:hAnsiTheme="minorHAnsi" w:cstheme="minorHAnsi"/>
          <w:color w:val="auto"/>
          <w:lang w:val="fr-FR"/>
        </w:rPr>
        <w:t>Les cartes de séjour délivrées par les autorités monégasques sont-elles considérées comme des titres de séjour éligibles aux exemptions prévues par les articles 5 ter, 5 sexies et 5 septies ?</w:t>
      </w:r>
    </w:p>
    <w:p w14:paraId="1DEDB419" w14:textId="77777777" w:rsidR="00F755FD" w:rsidRPr="00F755FD" w:rsidRDefault="00F755FD" w:rsidP="00F755FD">
      <w:pPr>
        <w:rPr>
          <w:lang w:val="fr-FR"/>
        </w:rPr>
      </w:pPr>
    </w:p>
    <w:p w14:paraId="467920C3" w14:textId="2261E0C7" w:rsidR="00F755FD" w:rsidRDefault="002A51DD" w:rsidP="000C10AE">
      <w:pPr>
        <w:jc w:val="both"/>
        <w:rPr>
          <w:rFonts w:asciiTheme="minorHAnsi" w:hAnsiTheme="minorHAnsi" w:cstheme="minorHAnsi"/>
          <w:lang w:val="fr-FR"/>
        </w:rPr>
      </w:pPr>
      <w:r w:rsidRPr="002A51DD">
        <w:rPr>
          <w:rFonts w:asciiTheme="minorHAnsi" w:hAnsiTheme="minorHAnsi" w:cstheme="minorHAnsi"/>
          <w:lang w:val="fr-FR"/>
        </w:rPr>
        <w:t>Les cartes de séjour monégasques sont éligibles aux exemptions</w:t>
      </w:r>
      <w:r w:rsidRPr="002A51DD">
        <w:rPr>
          <w:rFonts w:asciiTheme="minorHAnsi" w:hAnsiTheme="minorHAnsi" w:cstheme="minorHAnsi"/>
          <w:u w:val="single"/>
          <w:lang w:val="fr-FR"/>
        </w:rPr>
        <w:t xml:space="preserve"> uniquement </w:t>
      </w:r>
      <w:r w:rsidRPr="002A51DD">
        <w:rPr>
          <w:rFonts w:asciiTheme="minorHAnsi" w:hAnsiTheme="minorHAnsi" w:cstheme="minorHAnsi"/>
          <w:lang w:val="fr-FR"/>
        </w:rPr>
        <w:t>sur le territoire de la Principauté. Elles ne sont pas éligibles aux exemptions en France.</w:t>
      </w:r>
    </w:p>
    <w:p w14:paraId="1FF8FA9A" w14:textId="77777777" w:rsidR="002A51DD" w:rsidRPr="0030263E" w:rsidRDefault="002A51DD" w:rsidP="000C10AE">
      <w:pPr>
        <w:jc w:val="both"/>
        <w:rPr>
          <w:rFonts w:asciiTheme="minorHAnsi" w:hAnsiTheme="minorHAnsi" w:cstheme="minorHAnsi"/>
          <w:lang w:val="fr-FR"/>
        </w:rPr>
      </w:pPr>
    </w:p>
    <w:p w14:paraId="70248558" w14:textId="6BCFCCD0" w:rsidR="000C10AE" w:rsidRPr="0030263E" w:rsidRDefault="000C10AE" w:rsidP="00F755FD">
      <w:pPr>
        <w:pStyle w:val="Titre4"/>
        <w:numPr>
          <w:ilvl w:val="0"/>
          <w:numId w:val="5"/>
        </w:numPr>
        <w:jc w:val="both"/>
        <w:rPr>
          <w:rFonts w:asciiTheme="minorHAnsi" w:hAnsiTheme="minorHAnsi" w:cstheme="minorHAnsi"/>
          <w:color w:val="auto"/>
          <w:lang w:val="fr-FR"/>
        </w:rPr>
      </w:pPr>
      <w:r w:rsidRPr="0030263E">
        <w:rPr>
          <w:rFonts w:asciiTheme="minorHAnsi" w:hAnsiTheme="minorHAnsi" w:cstheme="minorHAnsi"/>
          <w:color w:val="auto"/>
          <w:lang w:val="fr-FR"/>
        </w:rPr>
        <w:t xml:space="preserve">Quel traitement </w:t>
      </w:r>
      <w:r w:rsidR="00BE7314">
        <w:rPr>
          <w:rFonts w:asciiTheme="minorHAnsi" w:hAnsiTheme="minorHAnsi" w:cstheme="minorHAnsi"/>
          <w:color w:val="auto"/>
          <w:lang w:val="fr-FR"/>
        </w:rPr>
        <w:t>un établissement doit-il</w:t>
      </w:r>
      <w:r w:rsidRPr="0030263E">
        <w:rPr>
          <w:rFonts w:asciiTheme="minorHAnsi" w:hAnsiTheme="minorHAnsi" w:cstheme="minorHAnsi"/>
          <w:color w:val="auto"/>
          <w:lang w:val="fr-FR"/>
        </w:rPr>
        <w:t xml:space="preserve"> réserver aux </w:t>
      </w:r>
      <w:r w:rsidR="00BE7314">
        <w:rPr>
          <w:rFonts w:asciiTheme="minorHAnsi" w:hAnsiTheme="minorHAnsi" w:cstheme="minorHAnsi"/>
          <w:color w:val="auto"/>
          <w:lang w:val="fr-FR"/>
        </w:rPr>
        <w:t>versements d’</w:t>
      </w:r>
      <w:r w:rsidRPr="0030263E">
        <w:rPr>
          <w:rFonts w:asciiTheme="minorHAnsi" w:hAnsiTheme="minorHAnsi" w:cstheme="minorHAnsi"/>
          <w:color w:val="auto"/>
          <w:lang w:val="fr-FR"/>
        </w:rPr>
        <w:t>intérêts</w:t>
      </w:r>
      <w:r w:rsidR="00BE7314">
        <w:rPr>
          <w:rFonts w:asciiTheme="minorHAnsi" w:hAnsiTheme="minorHAnsi" w:cstheme="minorHAnsi"/>
          <w:color w:val="auto"/>
          <w:lang w:val="fr-FR"/>
        </w:rPr>
        <w:t>, de coupons ou de dividendes</w:t>
      </w:r>
      <w:r w:rsidRPr="0030263E">
        <w:rPr>
          <w:rFonts w:asciiTheme="minorHAnsi" w:hAnsiTheme="minorHAnsi" w:cstheme="minorHAnsi"/>
          <w:color w:val="auto"/>
          <w:lang w:val="fr-FR"/>
        </w:rPr>
        <w:t xml:space="preserve"> qui feraient passer </w:t>
      </w:r>
      <w:r w:rsidR="00BE7314">
        <w:rPr>
          <w:rFonts w:asciiTheme="minorHAnsi" w:hAnsiTheme="minorHAnsi" w:cstheme="minorHAnsi"/>
          <w:color w:val="auto"/>
          <w:lang w:val="fr-FR"/>
        </w:rPr>
        <w:t>le solde d’</w:t>
      </w:r>
      <w:r w:rsidRPr="0030263E">
        <w:rPr>
          <w:rFonts w:asciiTheme="minorHAnsi" w:hAnsiTheme="minorHAnsi" w:cstheme="minorHAnsi"/>
          <w:color w:val="auto"/>
          <w:lang w:val="fr-FR"/>
        </w:rPr>
        <w:t>un compte au-de</w:t>
      </w:r>
      <w:r w:rsidR="00BE7314">
        <w:rPr>
          <w:rFonts w:asciiTheme="minorHAnsi" w:hAnsiTheme="minorHAnsi" w:cstheme="minorHAnsi"/>
          <w:color w:val="auto"/>
          <w:lang w:val="fr-FR"/>
        </w:rPr>
        <w:t xml:space="preserve">là </w:t>
      </w:r>
      <w:r w:rsidRPr="0030263E">
        <w:rPr>
          <w:rFonts w:asciiTheme="minorHAnsi" w:hAnsiTheme="minorHAnsi" w:cstheme="minorHAnsi"/>
          <w:color w:val="auto"/>
          <w:lang w:val="fr-FR"/>
        </w:rPr>
        <w:t>de 100.000 € ?</w:t>
      </w:r>
    </w:p>
    <w:p w14:paraId="441C66B9" w14:textId="77777777" w:rsidR="000C10AE" w:rsidRDefault="000C10AE" w:rsidP="000C10AE">
      <w:pPr>
        <w:jc w:val="both"/>
        <w:rPr>
          <w:rFonts w:asciiTheme="minorHAnsi" w:hAnsiTheme="minorHAnsi" w:cstheme="minorHAnsi"/>
          <w:lang w:val="fr-FR"/>
        </w:rPr>
      </w:pPr>
    </w:p>
    <w:p w14:paraId="109D9476" w14:textId="562ACC8B" w:rsidR="005D3D39" w:rsidRDefault="005D3D39" w:rsidP="000C10AE">
      <w:pPr>
        <w:jc w:val="both"/>
        <w:rPr>
          <w:rFonts w:asciiTheme="minorHAnsi" w:hAnsiTheme="minorHAnsi" w:cstheme="minorHAnsi"/>
          <w:lang w:val="fr-FR"/>
        </w:rPr>
      </w:pPr>
      <w:r>
        <w:rPr>
          <w:rFonts w:asciiTheme="minorHAnsi" w:hAnsiTheme="minorHAnsi" w:cstheme="minorHAnsi"/>
          <w:lang w:val="fr-FR"/>
        </w:rPr>
        <w:t>Il est interdit à un établissement de procéder au</w:t>
      </w:r>
      <w:r w:rsidRPr="0030263E">
        <w:rPr>
          <w:rFonts w:asciiTheme="minorHAnsi" w:hAnsiTheme="minorHAnsi" w:cstheme="minorHAnsi"/>
          <w:lang w:val="fr-FR"/>
        </w:rPr>
        <w:t xml:space="preserve"> </w:t>
      </w:r>
      <w:r>
        <w:rPr>
          <w:rFonts w:asciiTheme="minorHAnsi" w:hAnsiTheme="minorHAnsi" w:cstheme="minorHAnsi"/>
          <w:lang w:val="fr-FR"/>
        </w:rPr>
        <w:t xml:space="preserve">versement </w:t>
      </w:r>
      <w:r w:rsidR="000C10AE" w:rsidRPr="0030263E">
        <w:rPr>
          <w:rFonts w:asciiTheme="minorHAnsi" w:hAnsiTheme="minorHAnsi" w:cstheme="minorHAnsi"/>
          <w:lang w:val="fr-FR"/>
        </w:rPr>
        <w:t>d’intérêts</w:t>
      </w:r>
      <w:r>
        <w:rPr>
          <w:rFonts w:asciiTheme="minorHAnsi" w:hAnsiTheme="minorHAnsi" w:cstheme="minorHAnsi"/>
          <w:lang w:val="fr-FR"/>
        </w:rPr>
        <w:t>, de coupons</w:t>
      </w:r>
      <w:r w:rsidR="000C10AE" w:rsidRPr="0030263E">
        <w:rPr>
          <w:rFonts w:asciiTheme="minorHAnsi" w:hAnsiTheme="minorHAnsi" w:cstheme="minorHAnsi"/>
          <w:lang w:val="fr-FR"/>
        </w:rPr>
        <w:t xml:space="preserve"> ou de dividendes </w:t>
      </w:r>
      <w:r>
        <w:rPr>
          <w:rFonts w:asciiTheme="minorHAnsi" w:hAnsiTheme="minorHAnsi" w:cstheme="minorHAnsi"/>
          <w:lang w:val="fr-FR"/>
        </w:rPr>
        <w:t xml:space="preserve">sur le compte d’un client soumis aux restrictions de l’article 5 ter dès lors que ces mouvements provoqueraient un dépassement </w:t>
      </w:r>
      <w:r w:rsidR="000C10AE" w:rsidRPr="0030263E">
        <w:rPr>
          <w:rFonts w:asciiTheme="minorHAnsi" w:hAnsiTheme="minorHAnsi" w:cstheme="minorHAnsi"/>
          <w:lang w:val="fr-FR"/>
        </w:rPr>
        <w:t xml:space="preserve">du seuil de 100 000 </w:t>
      </w:r>
      <w:r>
        <w:rPr>
          <w:rFonts w:asciiTheme="minorHAnsi" w:hAnsiTheme="minorHAnsi" w:cstheme="minorHAnsi"/>
          <w:lang w:val="fr-FR"/>
        </w:rPr>
        <w:t>€</w:t>
      </w:r>
      <w:r w:rsidR="000C10AE" w:rsidRPr="0030263E">
        <w:rPr>
          <w:rFonts w:asciiTheme="minorHAnsi" w:hAnsiTheme="minorHAnsi" w:cstheme="minorHAnsi"/>
          <w:lang w:val="fr-FR"/>
        </w:rPr>
        <w:t xml:space="preserve">. Ils peuvent toutefois être isolés sur un compte </w:t>
      </w:r>
      <w:r>
        <w:rPr>
          <w:rFonts w:asciiTheme="minorHAnsi" w:hAnsiTheme="minorHAnsi" w:cstheme="minorHAnsi"/>
          <w:lang w:val="fr-FR"/>
        </w:rPr>
        <w:t>séquestre administré par la banque, et auquel l</w:t>
      </w:r>
      <w:r w:rsidR="000C10AE" w:rsidRPr="0030263E">
        <w:rPr>
          <w:rFonts w:asciiTheme="minorHAnsi" w:hAnsiTheme="minorHAnsi" w:cstheme="minorHAnsi"/>
          <w:lang w:val="fr-FR"/>
        </w:rPr>
        <w:t xml:space="preserve">e client ne peut pas avoir accès. </w:t>
      </w:r>
    </w:p>
    <w:p w14:paraId="53B24857" w14:textId="77777777" w:rsidR="000C10AE" w:rsidRPr="0030263E" w:rsidRDefault="000C10AE" w:rsidP="000C10AE">
      <w:pPr>
        <w:jc w:val="both"/>
        <w:rPr>
          <w:rFonts w:asciiTheme="minorHAnsi" w:hAnsiTheme="minorHAnsi" w:cstheme="minorHAnsi"/>
          <w:lang w:val="fr-FR"/>
        </w:rPr>
      </w:pPr>
    </w:p>
    <w:p w14:paraId="77C97467" w14:textId="12FCDBDE" w:rsidR="007823CB" w:rsidRPr="007823CB" w:rsidRDefault="007823CB" w:rsidP="00F755FD">
      <w:pPr>
        <w:pStyle w:val="Titre4"/>
        <w:numPr>
          <w:ilvl w:val="0"/>
          <w:numId w:val="5"/>
        </w:numPr>
        <w:jc w:val="both"/>
        <w:rPr>
          <w:rFonts w:asciiTheme="minorHAnsi" w:hAnsiTheme="minorHAnsi" w:cstheme="minorHAnsi"/>
          <w:color w:val="auto"/>
          <w:lang w:val="fr-FR"/>
        </w:rPr>
      </w:pPr>
      <w:r w:rsidRPr="007823CB">
        <w:rPr>
          <w:rFonts w:asciiTheme="minorHAnsi" w:hAnsiTheme="minorHAnsi" w:cstheme="minorHAnsi"/>
          <w:color w:val="auto"/>
          <w:lang w:val="fr-FR"/>
        </w:rPr>
        <w:lastRenderedPageBreak/>
        <w:t xml:space="preserve">Les valeurs </w:t>
      </w:r>
      <w:r w:rsidR="003601B9">
        <w:rPr>
          <w:rFonts w:asciiTheme="minorHAnsi" w:hAnsiTheme="minorHAnsi" w:cstheme="minorHAnsi"/>
          <w:color w:val="auto"/>
          <w:lang w:val="fr-FR"/>
        </w:rPr>
        <w:t xml:space="preserve">mobilières </w:t>
      </w:r>
      <w:r w:rsidRPr="007823CB">
        <w:rPr>
          <w:rFonts w:asciiTheme="minorHAnsi" w:hAnsiTheme="minorHAnsi" w:cstheme="minorHAnsi"/>
          <w:color w:val="auto"/>
          <w:lang w:val="fr-FR"/>
        </w:rPr>
        <w:t xml:space="preserve">libellées </w:t>
      </w:r>
      <w:r w:rsidR="003601B9">
        <w:rPr>
          <w:rFonts w:asciiTheme="minorHAnsi" w:hAnsiTheme="minorHAnsi" w:cstheme="minorHAnsi"/>
          <w:color w:val="auto"/>
          <w:lang w:val="fr-FR"/>
        </w:rPr>
        <w:t>dans une autre devise que l’</w:t>
      </w:r>
      <w:r w:rsidRPr="007823CB">
        <w:rPr>
          <w:rFonts w:asciiTheme="minorHAnsi" w:hAnsiTheme="minorHAnsi" w:cstheme="minorHAnsi"/>
          <w:color w:val="auto"/>
          <w:lang w:val="fr-FR"/>
        </w:rPr>
        <w:t>euro sont-elles concernées par l’article 5 septies du Règlement UE</w:t>
      </w:r>
      <w:r w:rsidR="009A621C">
        <w:rPr>
          <w:rFonts w:asciiTheme="minorHAnsi" w:hAnsiTheme="minorHAnsi" w:cstheme="minorHAnsi"/>
          <w:color w:val="auto"/>
          <w:lang w:val="fr-FR"/>
        </w:rPr>
        <w:t> </w:t>
      </w:r>
      <w:r w:rsidRPr="007823CB">
        <w:rPr>
          <w:rFonts w:asciiTheme="minorHAnsi" w:hAnsiTheme="minorHAnsi" w:cstheme="minorHAnsi"/>
          <w:color w:val="auto"/>
          <w:lang w:val="fr-FR"/>
        </w:rPr>
        <w:t xml:space="preserve"> 833/2014 ? Quel est périmètre </w:t>
      </w:r>
      <w:r w:rsidR="003601B9">
        <w:rPr>
          <w:rFonts w:asciiTheme="minorHAnsi" w:hAnsiTheme="minorHAnsi" w:cstheme="minorHAnsi"/>
          <w:color w:val="auto"/>
          <w:lang w:val="fr-FR"/>
        </w:rPr>
        <w:t xml:space="preserve">exact des valeurs mobilières et des fonds </w:t>
      </w:r>
      <w:r w:rsidRPr="007823CB">
        <w:rPr>
          <w:rFonts w:asciiTheme="minorHAnsi" w:hAnsiTheme="minorHAnsi" w:cstheme="minorHAnsi"/>
          <w:color w:val="auto"/>
          <w:lang w:val="fr-FR"/>
        </w:rPr>
        <w:t>visé</w:t>
      </w:r>
      <w:r w:rsidR="003838D0">
        <w:rPr>
          <w:rFonts w:asciiTheme="minorHAnsi" w:hAnsiTheme="minorHAnsi" w:cstheme="minorHAnsi"/>
          <w:color w:val="auto"/>
          <w:lang w:val="fr-FR"/>
        </w:rPr>
        <w:t>s</w:t>
      </w:r>
      <w:r w:rsidRPr="007823CB">
        <w:rPr>
          <w:rFonts w:asciiTheme="minorHAnsi" w:hAnsiTheme="minorHAnsi" w:cstheme="minorHAnsi"/>
          <w:color w:val="auto"/>
          <w:lang w:val="fr-FR"/>
        </w:rPr>
        <w:t xml:space="preserve"> par le texte du règlement européen ?</w:t>
      </w:r>
    </w:p>
    <w:p w14:paraId="06838038" w14:textId="77777777" w:rsidR="007823CB" w:rsidRDefault="007823CB" w:rsidP="007823CB">
      <w:pPr>
        <w:pStyle w:val="Titre4"/>
        <w:jc w:val="both"/>
        <w:rPr>
          <w:rFonts w:asciiTheme="minorHAnsi" w:hAnsiTheme="minorHAnsi" w:cstheme="minorHAnsi"/>
          <w:color w:val="auto"/>
          <w:lang w:val="fr-FR"/>
        </w:rPr>
      </w:pPr>
    </w:p>
    <w:p w14:paraId="7DDA8DED" w14:textId="733258B2" w:rsidR="009878D7" w:rsidRDefault="0027707B" w:rsidP="00447DA9">
      <w:pPr>
        <w:pStyle w:val="Titre4"/>
        <w:jc w:val="both"/>
        <w:rPr>
          <w:i w:val="0"/>
          <w:color w:val="auto"/>
          <w:lang w:val="fr-FR"/>
        </w:rPr>
      </w:pPr>
      <w:r w:rsidRPr="007823CB">
        <w:rPr>
          <w:rFonts w:asciiTheme="minorHAnsi" w:hAnsiTheme="minorHAnsi" w:cstheme="minorHAnsi"/>
          <w:i w:val="0"/>
          <w:color w:val="auto"/>
          <w:lang w:val="fr-FR"/>
        </w:rPr>
        <w:t>L'article</w:t>
      </w:r>
      <w:r>
        <w:rPr>
          <w:rFonts w:asciiTheme="minorHAnsi" w:hAnsiTheme="minorHAnsi" w:cstheme="minorHAnsi"/>
          <w:i w:val="0"/>
          <w:color w:val="auto"/>
          <w:lang w:val="fr-FR"/>
        </w:rPr>
        <w:t> </w:t>
      </w:r>
      <w:r w:rsidR="007823CB" w:rsidRPr="007823CB">
        <w:rPr>
          <w:rFonts w:asciiTheme="minorHAnsi" w:hAnsiTheme="minorHAnsi" w:cstheme="minorHAnsi"/>
          <w:i w:val="0"/>
          <w:color w:val="auto"/>
          <w:lang w:val="fr-FR"/>
        </w:rPr>
        <w:t>5 septies interdit la vente de parts d'organismes de placement collectif offrant une exposition à des valeurs mobilières libellées en euros</w:t>
      </w:r>
      <w:r w:rsidR="00447DA9">
        <w:rPr>
          <w:rFonts w:asciiTheme="minorHAnsi" w:hAnsiTheme="minorHAnsi" w:cstheme="minorHAnsi"/>
          <w:i w:val="0"/>
          <w:color w:val="auto"/>
          <w:lang w:val="fr-FR"/>
        </w:rPr>
        <w:t>,</w:t>
      </w:r>
      <w:r w:rsidR="007823CB" w:rsidRPr="007823CB">
        <w:rPr>
          <w:rFonts w:asciiTheme="minorHAnsi" w:hAnsiTheme="minorHAnsi" w:cstheme="minorHAnsi"/>
          <w:i w:val="0"/>
          <w:color w:val="auto"/>
          <w:lang w:val="fr-FR"/>
        </w:rPr>
        <w:t xml:space="preserve"> </w:t>
      </w:r>
      <w:r w:rsidR="00447DA9">
        <w:rPr>
          <w:rFonts w:asciiTheme="minorHAnsi" w:hAnsiTheme="minorHAnsi" w:cstheme="minorHAnsi"/>
          <w:i w:val="0"/>
          <w:color w:val="auto"/>
          <w:lang w:val="fr-FR"/>
        </w:rPr>
        <w:t xml:space="preserve">ou dans toute autre devise d’un Etat membre de l’UE, </w:t>
      </w:r>
      <w:r w:rsidR="007823CB" w:rsidRPr="007823CB">
        <w:rPr>
          <w:rFonts w:asciiTheme="minorHAnsi" w:hAnsiTheme="minorHAnsi" w:cstheme="minorHAnsi"/>
          <w:i w:val="0"/>
          <w:color w:val="auto"/>
          <w:lang w:val="fr-FR"/>
        </w:rPr>
        <w:t xml:space="preserve">émises après </w:t>
      </w:r>
      <w:r w:rsidR="0012006A" w:rsidRPr="007823CB">
        <w:rPr>
          <w:rFonts w:asciiTheme="minorHAnsi" w:hAnsiTheme="minorHAnsi" w:cstheme="minorHAnsi"/>
          <w:i w:val="0"/>
          <w:color w:val="auto"/>
          <w:lang w:val="fr-FR"/>
        </w:rPr>
        <w:t>le</w:t>
      </w:r>
      <w:r w:rsidR="0012006A">
        <w:rPr>
          <w:rFonts w:asciiTheme="minorHAnsi" w:hAnsiTheme="minorHAnsi" w:cstheme="minorHAnsi"/>
          <w:i w:val="0"/>
          <w:color w:val="auto"/>
          <w:lang w:val="fr-FR"/>
        </w:rPr>
        <w:t> </w:t>
      </w:r>
      <w:r w:rsidR="0012006A" w:rsidRPr="007823CB">
        <w:rPr>
          <w:rFonts w:asciiTheme="minorHAnsi" w:hAnsiTheme="minorHAnsi" w:cstheme="minorHAnsi"/>
          <w:i w:val="0"/>
          <w:color w:val="auto"/>
          <w:lang w:val="fr-FR"/>
        </w:rPr>
        <w:t>12</w:t>
      </w:r>
      <w:r w:rsidR="0012006A">
        <w:rPr>
          <w:rFonts w:asciiTheme="minorHAnsi" w:hAnsiTheme="minorHAnsi" w:cstheme="minorHAnsi"/>
          <w:i w:val="0"/>
          <w:color w:val="auto"/>
          <w:lang w:val="fr-FR"/>
        </w:rPr>
        <w:t> </w:t>
      </w:r>
      <w:r w:rsidR="0012006A" w:rsidRPr="007823CB">
        <w:rPr>
          <w:rFonts w:asciiTheme="minorHAnsi" w:hAnsiTheme="minorHAnsi" w:cstheme="minorHAnsi"/>
          <w:i w:val="0"/>
          <w:color w:val="auto"/>
          <w:lang w:val="fr-FR"/>
        </w:rPr>
        <w:t>avril</w:t>
      </w:r>
      <w:r w:rsidR="0012006A">
        <w:rPr>
          <w:rFonts w:asciiTheme="minorHAnsi" w:hAnsiTheme="minorHAnsi" w:cstheme="minorHAnsi"/>
          <w:i w:val="0"/>
          <w:color w:val="auto"/>
          <w:lang w:val="fr-FR"/>
        </w:rPr>
        <w:t> </w:t>
      </w:r>
      <w:r w:rsidR="007823CB" w:rsidRPr="007823CB">
        <w:rPr>
          <w:rFonts w:asciiTheme="minorHAnsi" w:hAnsiTheme="minorHAnsi" w:cstheme="minorHAnsi"/>
          <w:i w:val="0"/>
          <w:color w:val="auto"/>
          <w:lang w:val="fr-FR"/>
        </w:rPr>
        <w:t xml:space="preserve">2022 à toute personne russe. La </w:t>
      </w:r>
      <w:r w:rsidRPr="007823CB">
        <w:rPr>
          <w:rFonts w:asciiTheme="minorHAnsi" w:hAnsiTheme="minorHAnsi" w:cstheme="minorHAnsi"/>
          <w:i w:val="0"/>
          <w:color w:val="auto"/>
          <w:lang w:val="fr-FR"/>
        </w:rPr>
        <w:t>notion</w:t>
      </w:r>
      <w:r>
        <w:rPr>
          <w:rFonts w:asciiTheme="minorHAnsi" w:hAnsiTheme="minorHAnsi" w:cstheme="minorHAnsi"/>
          <w:i w:val="0"/>
          <w:color w:val="auto"/>
          <w:lang w:val="fr-FR"/>
        </w:rPr>
        <w:t> </w:t>
      </w:r>
      <w:r w:rsidR="007823CB" w:rsidRPr="007823CB">
        <w:rPr>
          <w:rFonts w:asciiTheme="minorHAnsi" w:hAnsiTheme="minorHAnsi" w:cstheme="minorHAnsi"/>
          <w:i w:val="0"/>
          <w:color w:val="auto"/>
          <w:lang w:val="fr-FR"/>
        </w:rPr>
        <w:t>d</w:t>
      </w:r>
      <w:proofErr w:type="gramStart"/>
      <w:r>
        <w:rPr>
          <w:rFonts w:asciiTheme="minorHAnsi" w:hAnsiTheme="minorHAnsi" w:cstheme="minorHAnsi"/>
          <w:i w:val="0"/>
          <w:color w:val="auto"/>
          <w:lang w:val="fr-FR"/>
        </w:rPr>
        <w:t>’«</w:t>
      </w:r>
      <w:proofErr w:type="gramEnd"/>
      <w:r>
        <w:rPr>
          <w:rFonts w:asciiTheme="minorHAnsi" w:hAnsiTheme="minorHAnsi" w:cstheme="minorHAnsi"/>
          <w:i w:val="0"/>
          <w:color w:val="auto"/>
          <w:lang w:val="fr-FR"/>
        </w:rPr>
        <w:t> </w:t>
      </w:r>
      <w:r w:rsidR="007823CB" w:rsidRPr="007823CB">
        <w:rPr>
          <w:rFonts w:asciiTheme="minorHAnsi" w:hAnsiTheme="minorHAnsi" w:cstheme="minorHAnsi"/>
          <w:i w:val="0"/>
          <w:color w:val="auto"/>
          <w:lang w:val="fr-FR"/>
        </w:rPr>
        <w:t>organismes de placement collectif</w:t>
      </w:r>
      <w:r>
        <w:rPr>
          <w:rFonts w:asciiTheme="minorHAnsi" w:hAnsiTheme="minorHAnsi" w:cstheme="minorHAnsi"/>
          <w:i w:val="0"/>
          <w:color w:val="auto"/>
          <w:lang w:val="fr-FR"/>
        </w:rPr>
        <w:t> »</w:t>
      </w:r>
      <w:r w:rsidR="007823CB" w:rsidRPr="007823CB">
        <w:rPr>
          <w:rFonts w:asciiTheme="minorHAnsi" w:hAnsiTheme="minorHAnsi" w:cstheme="minorHAnsi"/>
          <w:i w:val="0"/>
          <w:color w:val="auto"/>
          <w:lang w:val="fr-FR"/>
        </w:rPr>
        <w:t xml:space="preserve"> au sens de </w:t>
      </w:r>
      <w:r w:rsidR="0012006A" w:rsidRPr="007823CB">
        <w:rPr>
          <w:rFonts w:asciiTheme="minorHAnsi" w:hAnsiTheme="minorHAnsi" w:cstheme="minorHAnsi"/>
          <w:i w:val="0"/>
          <w:color w:val="auto"/>
          <w:lang w:val="fr-FR"/>
        </w:rPr>
        <w:t>l'article</w:t>
      </w:r>
      <w:r w:rsidR="0012006A">
        <w:rPr>
          <w:rFonts w:asciiTheme="minorHAnsi" w:hAnsiTheme="minorHAnsi" w:cstheme="minorHAnsi"/>
          <w:i w:val="0"/>
          <w:color w:val="auto"/>
          <w:lang w:val="fr-FR"/>
        </w:rPr>
        <w:t> </w:t>
      </w:r>
      <w:r w:rsidR="0012006A" w:rsidRPr="007823CB">
        <w:rPr>
          <w:rFonts w:asciiTheme="minorHAnsi" w:hAnsiTheme="minorHAnsi" w:cstheme="minorHAnsi"/>
          <w:i w:val="0"/>
          <w:color w:val="auto"/>
          <w:lang w:val="fr-FR"/>
        </w:rPr>
        <w:t>5</w:t>
      </w:r>
      <w:r w:rsidR="0012006A">
        <w:rPr>
          <w:rFonts w:asciiTheme="minorHAnsi" w:hAnsiTheme="minorHAnsi" w:cstheme="minorHAnsi"/>
          <w:i w:val="0"/>
          <w:color w:val="auto"/>
          <w:lang w:val="fr-FR"/>
        </w:rPr>
        <w:t> </w:t>
      </w:r>
      <w:r w:rsidR="007823CB" w:rsidRPr="007823CB">
        <w:rPr>
          <w:rFonts w:asciiTheme="minorHAnsi" w:hAnsiTheme="minorHAnsi" w:cstheme="minorHAnsi"/>
          <w:i w:val="0"/>
          <w:color w:val="auto"/>
          <w:lang w:val="fr-FR"/>
        </w:rPr>
        <w:t>septies du règlement (UE</w:t>
      </w:r>
      <w:r w:rsidR="007823CB" w:rsidRPr="009878D7">
        <w:rPr>
          <w:rFonts w:asciiTheme="minorHAnsi" w:hAnsiTheme="minorHAnsi" w:cstheme="minorHAnsi"/>
          <w:i w:val="0"/>
          <w:color w:val="auto"/>
          <w:lang w:val="fr-FR"/>
        </w:rPr>
        <w:t xml:space="preserve">) 833/2014 du Conseil </w:t>
      </w:r>
      <w:r w:rsidR="00447DA9" w:rsidRPr="009878D7">
        <w:rPr>
          <w:rFonts w:asciiTheme="minorHAnsi" w:hAnsiTheme="minorHAnsi" w:cstheme="minorHAnsi"/>
          <w:i w:val="0"/>
          <w:color w:val="auto"/>
          <w:lang w:val="fr-FR"/>
        </w:rPr>
        <w:t>est</w:t>
      </w:r>
      <w:r w:rsidR="007823CB" w:rsidRPr="009878D7">
        <w:rPr>
          <w:rFonts w:asciiTheme="minorHAnsi" w:hAnsiTheme="minorHAnsi" w:cstheme="minorHAnsi"/>
          <w:i w:val="0"/>
          <w:color w:val="auto"/>
          <w:lang w:val="fr-FR"/>
        </w:rPr>
        <w:t xml:space="preserve"> distincte et non couverte par le terme </w:t>
      </w:r>
      <w:r w:rsidRPr="009878D7">
        <w:rPr>
          <w:rFonts w:asciiTheme="minorHAnsi" w:hAnsiTheme="minorHAnsi" w:cstheme="minorHAnsi"/>
          <w:i w:val="0"/>
          <w:color w:val="auto"/>
          <w:lang w:val="fr-FR"/>
        </w:rPr>
        <w:t>« </w:t>
      </w:r>
      <w:r w:rsidR="007823CB" w:rsidRPr="009878D7">
        <w:rPr>
          <w:rFonts w:asciiTheme="minorHAnsi" w:hAnsiTheme="minorHAnsi" w:cstheme="minorHAnsi"/>
          <w:i w:val="0"/>
          <w:color w:val="auto"/>
          <w:lang w:val="fr-FR"/>
        </w:rPr>
        <w:t>valeurs mobilières</w:t>
      </w:r>
      <w:r w:rsidRPr="009878D7">
        <w:rPr>
          <w:rFonts w:asciiTheme="minorHAnsi" w:hAnsiTheme="minorHAnsi" w:cstheme="minorHAnsi"/>
          <w:i w:val="0"/>
          <w:color w:val="auto"/>
          <w:lang w:val="fr-FR"/>
        </w:rPr>
        <w:t> »</w:t>
      </w:r>
      <w:r w:rsidR="007823CB" w:rsidRPr="009878D7">
        <w:rPr>
          <w:rFonts w:asciiTheme="minorHAnsi" w:hAnsiTheme="minorHAnsi" w:cstheme="minorHAnsi"/>
          <w:i w:val="0"/>
          <w:color w:val="auto"/>
          <w:lang w:val="fr-FR"/>
        </w:rPr>
        <w:t xml:space="preserve"> tel que défini à </w:t>
      </w:r>
      <w:r w:rsidRPr="009878D7">
        <w:rPr>
          <w:rFonts w:asciiTheme="minorHAnsi" w:hAnsiTheme="minorHAnsi" w:cstheme="minorHAnsi"/>
          <w:i w:val="0"/>
          <w:color w:val="auto"/>
          <w:lang w:val="fr-FR"/>
        </w:rPr>
        <w:t>l'article </w:t>
      </w:r>
      <w:r w:rsidR="007823CB" w:rsidRPr="009878D7">
        <w:rPr>
          <w:rFonts w:asciiTheme="minorHAnsi" w:hAnsiTheme="minorHAnsi" w:cstheme="minorHAnsi"/>
          <w:i w:val="0"/>
          <w:color w:val="auto"/>
          <w:lang w:val="fr-FR"/>
        </w:rPr>
        <w:t>1</w:t>
      </w:r>
      <w:r w:rsidRPr="009878D7">
        <w:rPr>
          <w:rFonts w:asciiTheme="minorHAnsi" w:hAnsiTheme="minorHAnsi" w:cstheme="minorHAnsi"/>
          <w:i w:val="0"/>
          <w:color w:val="auto"/>
          <w:lang w:val="fr-FR"/>
        </w:rPr>
        <w:t> </w:t>
      </w:r>
      <w:r w:rsidR="007823CB" w:rsidRPr="009878D7">
        <w:rPr>
          <w:rFonts w:asciiTheme="minorHAnsi" w:hAnsiTheme="minorHAnsi" w:cstheme="minorHAnsi"/>
          <w:i w:val="0"/>
          <w:color w:val="auto"/>
          <w:lang w:val="fr-FR"/>
        </w:rPr>
        <w:t xml:space="preserve">(f) du </w:t>
      </w:r>
      <w:r w:rsidRPr="009878D7">
        <w:rPr>
          <w:rFonts w:asciiTheme="minorHAnsi" w:hAnsiTheme="minorHAnsi" w:cstheme="minorHAnsi"/>
          <w:i w:val="0"/>
          <w:color w:val="auto"/>
          <w:lang w:val="fr-FR"/>
        </w:rPr>
        <w:t>règlement </w:t>
      </w:r>
      <w:r w:rsidR="007823CB" w:rsidRPr="009878D7">
        <w:rPr>
          <w:rFonts w:asciiTheme="minorHAnsi" w:hAnsiTheme="minorHAnsi" w:cstheme="minorHAnsi"/>
          <w:i w:val="0"/>
          <w:color w:val="auto"/>
          <w:lang w:val="fr-FR"/>
        </w:rPr>
        <w:t>(UE</w:t>
      </w:r>
      <w:r w:rsidRPr="009878D7">
        <w:rPr>
          <w:rFonts w:asciiTheme="minorHAnsi" w:hAnsiTheme="minorHAnsi" w:cstheme="minorHAnsi"/>
          <w:i w:val="0"/>
          <w:color w:val="auto"/>
          <w:lang w:val="fr-FR"/>
        </w:rPr>
        <w:t>) </w:t>
      </w:r>
      <w:r w:rsidR="007823CB" w:rsidRPr="009878D7">
        <w:rPr>
          <w:rFonts w:asciiTheme="minorHAnsi" w:hAnsiTheme="minorHAnsi" w:cstheme="minorHAnsi"/>
          <w:i w:val="0"/>
          <w:color w:val="auto"/>
          <w:lang w:val="fr-FR"/>
        </w:rPr>
        <w:t>833/2014 du Conseil.</w:t>
      </w:r>
      <w:r w:rsidR="00447DA9" w:rsidRPr="004D5E4E">
        <w:rPr>
          <w:i w:val="0"/>
          <w:color w:val="auto"/>
          <w:lang w:val="fr-FR"/>
        </w:rPr>
        <w:t xml:space="preserve"> </w:t>
      </w:r>
    </w:p>
    <w:p w14:paraId="4483B608" w14:textId="77777777" w:rsidR="009878D7" w:rsidRDefault="009878D7" w:rsidP="00447DA9">
      <w:pPr>
        <w:pStyle w:val="Titre4"/>
        <w:jc w:val="both"/>
        <w:rPr>
          <w:i w:val="0"/>
          <w:color w:val="auto"/>
          <w:lang w:val="fr-FR"/>
        </w:rPr>
      </w:pPr>
    </w:p>
    <w:p w14:paraId="0BEB3158" w14:textId="276F3887" w:rsidR="00447DA9" w:rsidRPr="00447DA9" w:rsidRDefault="00447DA9" w:rsidP="00447DA9">
      <w:pPr>
        <w:pStyle w:val="Titre4"/>
        <w:jc w:val="both"/>
        <w:rPr>
          <w:rFonts w:asciiTheme="minorHAnsi" w:hAnsiTheme="minorHAnsi" w:cstheme="minorHAnsi"/>
          <w:lang w:val="fr-FR"/>
        </w:rPr>
      </w:pPr>
      <w:r w:rsidRPr="004D5E4E">
        <w:rPr>
          <w:rFonts w:asciiTheme="minorHAnsi" w:hAnsiTheme="minorHAnsi" w:cstheme="minorHAnsi"/>
          <w:i w:val="0"/>
          <w:color w:val="auto"/>
          <w:lang w:val="fr-FR"/>
        </w:rPr>
        <w:t>Comme précisé par la DG</w:t>
      </w:r>
      <w:r w:rsidR="009878D7">
        <w:rPr>
          <w:rFonts w:asciiTheme="minorHAnsi" w:hAnsiTheme="minorHAnsi" w:cstheme="minorHAnsi"/>
          <w:i w:val="0"/>
          <w:color w:val="auto"/>
          <w:lang w:val="fr-FR"/>
        </w:rPr>
        <w:t> </w:t>
      </w:r>
      <w:r w:rsidRPr="004D5E4E">
        <w:rPr>
          <w:rFonts w:asciiTheme="minorHAnsi" w:hAnsiTheme="minorHAnsi" w:cstheme="minorHAnsi"/>
          <w:i w:val="0"/>
          <w:color w:val="auto"/>
          <w:lang w:val="fr-FR"/>
        </w:rPr>
        <w:t>FISMA dans sa FAQ, l’interdiction de vente d’OPC ne porte dès lors juridiquement que sur les OPC exposés à des valeurs mobilières émises après le 12 avril 2022. Pour autant, les sociétés de gestion pourraient juger pertinent, afin de garantir l’application à tout instant du régime de sanctions, de bloquer la commercialisation à des ressortissants russes de tout OPC susceptible d’être exposé à court ou moyen terme à des valeurs mobilières émises après le 12 avril, quand bien même leurs portefeuilles ne contiendraient pas de telles expositions à ce jour.</w:t>
      </w:r>
    </w:p>
    <w:p w14:paraId="57BD8637" w14:textId="77777777" w:rsidR="007823CB" w:rsidRDefault="007823CB" w:rsidP="007823CB">
      <w:pPr>
        <w:pStyle w:val="Titre4"/>
        <w:jc w:val="both"/>
        <w:rPr>
          <w:rFonts w:asciiTheme="minorHAnsi" w:hAnsiTheme="minorHAnsi" w:cstheme="minorHAnsi"/>
          <w:color w:val="auto"/>
          <w:lang w:val="fr-FR"/>
        </w:rPr>
      </w:pPr>
    </w:p>
    <w:p w14:paraId="1CD2DB2D" w14:textId="70D849D0" w:rsidR="00287D38" w:rsidRDefault="00287D38" w:rsidP="00F755FD">
      <w:pPr>
        <w:pStyle w:val="Titre4"/>
        <w:numPr>
          <w:ilvl w:val="0"/>
          <w:numId w:val="5"/>
        </w:numPr>
        <w:jc w:val="both"/>
        <w:rPr>
          <w:rFonts w:asciiTheme="minorHAnsi" w:hAnsiTheme="minorHAnsi" w:cstheme="minorHAnsi"/>
          <w:color w:val="auto"/>
          <w:lang w:val="fr-FR"/>
        </w:rPr>
      </w:pPr>
      <w:r w:rsidRPr="00287D38">
        <w:rPr>
          <w:rFonts w:asciiTheme="minorHAnsi" w:hAnsiTheme="minorHAnsi" w:cstheme="minorHAnsi"/>
          <w:color w:val="auto"/>
          <w:lang w:val="fr-FR"/>
        </w:rPr>
        <w:t xml:space="preserve">Quelles sont les obligations </w:t>
      </w:r>
      <w:r>
        <w:rPr>
          <w:rFonts w:asciiTheme="minorHAnsi" w:hAnsiTheme="minorHAnsi" w:cstheme="minorHAnsi"/>
          <w:color w:val="auto"/>
          <w:lang w:val="fr-FR"/>
        </w:rPr>
        <w:t xml:space="preserve">d’information </w:t>
      </w:r>
      <w:r w:rsidRPr="00287D38">
        <w:rPr>
          <w:rFonts w:asciiTheme="minorHAnsi" w:hAnsiTheme="minorHAnsi" w:cstheme="minorHAnsi"/>
          <w:color w:val="auto"/>
          <w:lang w:val="fr-FR"/>
        </w:rPr>
        <w:t xml:space="preserve">des clients qui remplissent les critères d’application du plafonnement et ii) des clients dont le compte dépasse le seuil fixé et dont les nouvelles opérations vont être cantonnées ou </w:t>
      </w:r>
      <w:r w:rsidR="00CA6393" w:rsidRPr="00287D38">
        <w:rPr>
          <w:rFonts w:asciiTheme="minorHAnsi" w:hAnsiTheme="minorHAnsi" w:cstheme="minorHAnsi"/>
          <w:color w:val="auto"/>
          <w:lang w:val="fr-FR"/>
        </w:rPr>
        <w:t>rejetées ?</w:t>
      </w:r>
    </w:p>
    <w:p w14:paraId="602F161A" w14:textId="77777777" w:rsidR="00287D38" w:rsidRDefault="00287D38" w:rsidP="00287D38">
      <w:pPr>
        <w:rPr>
          <w:lang w:val="fr-FR"/>
        </w:rPr>
      </w:pPr>
    </w:p>
    <w:p w14:paraId="20E2727E" w14:textId="5073C07E" w:rsidR="00644448" w:rsidRPr="00287D38" w:rsidRDefault="00287D38" w:rsidP="00287D38">
      <w:pPr>
        <w:jc w:val="both"/>
        <w:rPr>
          <w:rFonts w:asciiTheme="minorHAnsi" w:hAnsiTheme="minorHAnsi" w:cstheme="minorHAnsi"/>
          <w:lang w:val="fr-FR"/>
        </w:rPr>
      </w:pPr>
      <w:r w:rsidRPr="00287D38">
        <w:rPr>
          <w:rFonts w:asciiTheme="minorHAnsi" w:hAnsiTheme="minorHAnsi" w:cstheme="minorHAnsi"/>
          <w:lang w:val="fr-FR"/>
        </w:rPr>
        <w:t xml:space="preserve">Le règlement précité ne prévoit aucune modalité particulière d'information pour les clients qui remplissent les critères d'application du plafonnement, ou pour les clients dont le compte dépasse le seuil fixé. Ces modalités d'information sont à définir </w:t>
      </w:r>
      <w:r w:rsidR="00380ABA">
        <w:rPr>
          <w:rFonts w:asciiTheme="minorHAnsi" w:hAnsiTheme="minorHAnsi" w:cstheme="minorHAnsi"/>
          <w:lang w:val="fr-FR"/>
        </w:rPr>
        <w:t xml:space="preserve">au cas par cas </w:t>
      </w:r>
      <w:r w:rsidRPr="00287D38">
        <w:rPr>
          <w:rFonts w:asciiTheme="minorHAnsi" w:hAnsiTheme="minorHAnsi" w:cstheme="minorHAnsi"/>
          <w:lang w:val="fr-FR"/>
        </w:rPr>
        <w:t>par les établissements</w:t>
      </w:r>
      <w:r w:rsidR="00380ABA">
        <w:rPr>
          <w:rFonts w:asciiTheme="minorHAnsi" w:hAnsiTheme="minorHAnsi" w:cstheme="minorHAnsi"/>
          <w:lang w:val="fr-FR"/>
        </w:rPr>
        <w:t xml:space="preserve"> concernés</w:t>
      </w:r>
      <w:r w:rsidRPr="00287D38">
        <w:rPr>
          <w:rFonts w:asciiTheme="minorHAnsi" w:hAnsiTheme="minorHAnsi" w:cstheme="minorHAnsi"/>
          <w:lang w:val="fr-FR"/>
        </w:rPr>
        <w:t>.</w:t>
      </w:r>
    </w:p>
    <w:p w14:paraId="38F031E0" w14:textId="77777777" w:rsidR="00287D38" w:rsidRPr="00A511FB" w:rsidRDefault="00287D38" w:rsidP="00287D38">
      <w:pPr>
        <w:rPr>
          <w:lang w:val="fr-FR"/>
        </w:rPr>
      </w:pPr>
    </w:p>
    <w:p w14:paraId="71B63FB4" w14:textId="0C9F97F9" w:rsidR="00A511FB" w:rsidRDefault="000E1C9B" w:rsidP="00F755FD">
      <w:pPr>
        <w:pStyle w:val="Titre4"/>
        <w:numPr>
          <w:ilvl w:val="0"/>
          <w:numId w:val="5"/>
        </w:numPr>
        <w:jc w:val="both"/>
        <w:rPr>
          <w:rFonts w:asciiTheme="minorHAnsi" w:hAnsiTheme="minorHAnsi" w:cstheme="minorHAnsi"/>
          <w:color w:val="auto"/>
          <w:lang w:val="fr-FR"/>
        </w:rPr>
      </w:pPr>
      <w:r>
        <w:rPr>
          <w:rFonts w:asciiTheme="minorHAnsi" w:hAnsiTheme="minorHAnsi" w:cstheme="minorHAnsi"/>
          <w:color w:val="auto"/>
          <w:lang w:val="fr-FR"/>
        </w:rPr>
        <w:t>L</w:t>
      </w:r>
      <w:r w:rsidR="00A511FB" w:rsidRPr="00A511FB">
        <w:rPr>
          <w:rFonts w:asciiTheme="minorHAnsi" w:hAnsiTheme="minorHAnsi" w:cstheme="minorHAnsi"/>
          <w:color w:val="auto"/>
          <w:lang w:val="fr-FR"/>
        </w:rPr>
        <w:t>es véhicules patrimoniaux (SCPI</w:t>
      </w:r>
      <w:r>
        <w:rPr>
          <w:rFonts w:asciiTheme="minorHAnsi" w:hAnsiTheme="minorHAnsi" w:cstheme="minorHAnsi"/>
          <w:color w:val="auto"/>
          <w:lang w:val="fr-FR"/>
        </w:rPr>
        <w:t>,</w:t>
      </w:r>
      <w:r w:rsidR="00A511FB" w:rsidRPr="00A511FB">
        <w:rPr>
          <w:rFonts w:asciiTheme="minorHAnsi" w:hAnsiTheme="minorHAnsi" w:cstheme="minorHAnsi"/>
          <w:color w:val="auto"/>
          <w:lang w:val="fr-FR"/>
        </w:rPr>
        <w:t xml:space="preserve"> OCPI</w:t>
      </w:r>
      <w:r>
        <w:rPr>
          <w:rFonts w:asciiTheme="minorHAnsi" w:hAnsiTheme="minorHAnsi" w:cstheme="minorHAnsi"/>
          <w:color w:val="auto"/>
          <w:lang w:val="fr-FR"/>
        </w:rPr>
        <w:t>,</w:t>
      </w:r>
      <w:r w:rsidR="00A511FB" w:rsidRPr="00A511FB">
        <w:rPr>
          <w:rFonts w:asciiTheme="minorHAnsi" w:hAnsiTheme="minorHAnsi" w:cstheme="minorHAnsi"/>
          <w:color w:val="auto"/>
          <w:lang w:val="fr-FR"/>
        </w:rPr>
        <w:t xml:space="preserve"> </w:t>
      </w:r>
      <w:r>
        <w:rPr>
          <w:rFonts w:asciiTheme="minorHAnsi" w:hAnsiTheme="minorHAnsi" w:cstheme="minorHAnsi"/>
          <w:color w:val="auto"/>
          <w:lang w:val="fr-FR"/>
        </w:rPr>
        <w:t>« </w:t>
      </w:r>
      <w:r w:rsidR="00A511FB" w:rsidRPr="00A511FB">
        <w:rPr>
          <w:rFonts w:asciiTheme="minorHAnsi" w:hAnsiTheme="minorHAnsi" w:cstheme="minorHAnsi"/>
          <w:color w:val="auto"/>
          <w:lang w:val="fr-FR"/>
        </w:rPr>
        <w:t>trust</w:t>
      </w:r>
      <w:r>
        <w:rPr>
          <w:rFonts w:asciiTheme="minorHAnsi" w:hAnsiTheme="minorHAnsi" w:cstheme="minorHAnsi"/>
          <w:color w:val="auto"/>
          <w:lang w:val="fr-FR"/>
        </w:rPr>
        <w:t> »,</w:t>
      </w:r>
      <w:r w:rsidR="00A511FB" w:rsidRPr="00A511FB">
        <w:rPr>
          <w:rFonts w:asciiTheme="minorHAnsi" w:hAnsiTheme="minorHAnsi" w:cstheme="minorHAnsi"/>
          <w:color w:val="auto"/>
          <w:lang w:val="fr-FR"/>
        </w:rPr>
        <w:t xml:space="preserve"> fiducie</w:t>
      </w:r>
      <w:r>
        <w:rPr>
          <w:rFonts w:asciiTheme="minorHAnsi" w:hAnsiTheme="minorHAnsi" w:cstheme="minorHAnsi"/>
          <w:color w:val="auto"/>
          <w:lang w:val="fr-FR"/>
        </w:rPr>
        <w:t>, etc</w:t>
      </w:r>
      <w:r w:rsidR="00A511FB" w:rsidRPr="00A511FB">
        <w:rPr>
          <w:rFonts w:asciiTheme="minorHAnsi" w:hAnsiTheme="minorHAnsi" w:cstheme="minorHAnsi"/>
          <w:color w:val="auto"/>
          <w:lang w:val="fr-FR"/>
        </w:rPr>
        <w:t xml:space="preserve">.) </w:t>
      </w:r>
      <w:r>
        <w:rPr>
          <w:rFonts w:asciiTheme="minorHAnsi" w:hAnsiTheme="minorHAnsi" w:cstheme="minorHAnsi"/>
          <w:color w:val="auto"/>
          <w:lang w:val="fr-FR"/>
        </w:rPr>
        <w:t>d</w:t>
      </w:r>
      <w:r w:rsidR="00A511FB" w:rsidRPr="00A511FB">
        <w:rPr>
          <w:rFonts w:asciiTheme="minorHAnsi" w:hAnsiTheme="minorHAnsi" w:cstheme="minorHAnsi"/>
          <w:color w:val="auto"/>
          <w:lang w:val="fr-FR"/>
        </w:rPr>
        <w:t xml:space="preserve">esquels certains bénéficiaires effectifs remplissent les critères d'application du plafonnement </w:t>
      </w:r>
      <w:r>
        <w:rPr>
          <w:rFonts w:asciiTheme="minorHAnsi" w:hAnsiTheme="minorHAnsi" w:cstheme="minorHAnsi"/>
          <w:color w:val="auto"/>
          <w:lang w:val="fr-FR"/>
        </w:rPr>
        <w:t xml:space="preserve">prévu à l’article 5 ter </w:t>
      </w:r>
      <w:r w:rsidR="00A511FB" w:rsidRPr="00A511FB">
        <w:rPr>
          <w:rFonts w:asciiTheme="minorHAnsi" w:hAnsiTheme="minorHAnsi" w:cstheme="minorHAnsi"/>
          <w:color w:val="auto"/>
          <w:lang w:val="fr-FR"/>
        </w:rPr>
        <w:t>sont</w:t>
      </w:r>
      <w:r>
        <w:rPr>
          <w:rFonts w:asciiTheme="minorHAnsi" w:hAnsiTheme="minorHAnsi" w:cstheme="minorHAnsi"/>
          <w:color w:val="auto"/>
          <w:lang w:val="fr-FR"/>
        </w:rPr>
        <w:t>-ils</w:t>
      </w:r>
      <w:r w:rsidR="00A511FB" w:rsidRPr="00A511FB">
        <w:rPr>
          <w:rFonts w:asciiTheme="minorHAnsi" w:hAnsiTheme="minorHAnsi" w:cstheme="minorHAnsi"/>
          <w:color w:val="auto"/>
          <w:lang w:val="fr-FR"/>
        </w:rPr>
        <w:t xml:space="preserve"> inclus dans le périmètre de ces mesures</w:t>
      </w:r>
      <w:r w:rsidR="00BF2EE1">
        <w:rPr>
          <w:rFonts w:asciiTheme="minorHAnsi" w:hAnsiTheme="minorHAnsi" w:cstheme="minorHAnsi"/>
          <w:color w:val="auto"/>
          <w:lang w:val="fr-FR"/>
        </w:rPr>
        <w:t> </w:t>
      </w:r>
      <w:r w:rsidR="00A511FB" w:rsidRPr="00A511FB">
        <w:rPr>
          <w:rFonts w:asciiTheme="minorHAnsi" w:hAnsiTheme="minorHAnsi" w:cstheme="minorHAnsi"/>
          <w:color w:val="auto"/>
          <w:lang w:val="fr-FR"/>
        </w:rPr>
        <w:t>?</w:t>
      </w:r>
    </w:p>
    <w:p w14:paraId="77B6DAB7" w14:textId="77777777" w:rsidR="00A511FB" w:rsidRDefault="00A511FB" w:rsidP="00A511FB">
      <w:pPr>
        <w:rPr>
          <w:lang w:val="fr-FR"/>
        </w:rPr>
      </w:pPr>
    </w:p>
    <w:p w14:paraId="3CF1A846" w14:textId="77777777" w:rsidR="00A511FB" w:rsidRPr="00A511FB" w:rsidRDefault="00A511FB" w:rsidP="00A511FB">
      <w:pPr>
        <w:jc w:val="both"/>
        <w:rPr>
          <w:rFonts w:asciiTheme="minorHAnsi" w:hAnsiTheme="minorHAnsi" w:cstheme="minorHAnsi"/>
          <w:lang w:val="fr-FR"/>
        </w:rPr>
      </w:pPr>
      <w:r w:rsidRPr="00A511FB">
        <w:rPr>
          <w:rFonts w:asciiTheme="minorHAnsi" w:hAnsiTheme="minorHAnsi" w:cstheme="minorHAnsi"/>
          <w:lang w:val="fr-FR"/>
        </w:rPr>
        <w:t xml:space="preserve">Les véhicules patrimoniaux (SCPI, OCPI, trust, fiducie, etc.) dont les bénéficiaires effectifs remplissent les critères d'application du plafonnement sont </w:t>
      </w:r>
      <w:r w:rsidR="000E1C9B">
        <w:rPr>
          <w:rFonts w:asciiTheme="minorHAnsi" w:hAnsiTheme="minorHAnsi" w:cstheme="minorHAnsi"/>
          <w:lang w:val="fr-FR"/>
        </w:rPr>
        <w:t xml:space="preserve">bien </w:t>
      </w:r>
      <w:r w:rsidRPr="00A511FB">
        <w:rPr>
          <w:rFonts w:asciiTheme="minorHAnsi" w:hAnsiTheme="minorHAnsi" w:cstheme="minorHAnsi"/>
          <w:lang w:val="fr-FR"/>
        </w:rPr>
        <w:t>inclus dans le périmètre de ces mesures.</w:t>
      </w:r>
    </w:p>
    <w:p w14:paraId="3D48AC69" w14:textId="3F0DD62D" w:rsidR="00A511FB" w:rsidRPr="00A511FB" w:rsidRDefault="00A511FB" w:rsidP="00A511FB">
      <w:pPr>
        <w:rPr>
          <w:lang w:val="fr-FR"/>
        </w:rPr>
      </w:pPr>
    </w:p>
    <w:p w14:paraId="280B0E04" w14:textId="6F0F6A42" w:rsidR="00FD5036" w:rsidRDefault="00CA6409" w:rsidP="00F755FD">
      <w:pPr>
        <w:pStyle w:val="Titre4"/>
        <w:numPr>
          <w:ilvl w:val="0"/>
          <w:numId w:val="5"/>
        </w:numPr>
        <w:jc w:val="both"/>
        <w:rPr>
          <w:rFonts w:asciiTheme="minorHAnsi" w:hAnsiTheme="minorHAnsi" w:cstheme="minorHAnsi"/>
          <w:color w:val="auto"/>
          <w:lang w:val="fr-FR"/>
        </w:rPr>
      </w:pPr>
      <w:r>
        <w:rPr>
          <w:rFonts w:asciiTheme="minorHAnsi" w:hAnsiTheme="minorHAnsi" w:cstheme="minorHAnsi"/>
          <w:color w:val="auto"/>
          <w:lang w:val="fr-FR"/>
        </w:rPr>
        <w:t xml:space="preserve">La dérogation au plafond de </w:t>
      </w:r>
      <w:r w:rsidR="00FD5036">
        <w:rPr>
          <w:rFonts w:asciiTheme="minorHAnsi" w:hAnsiTheme="minorHAnsi" w:cstheme="minorHAnsi"/>
          <w:color w:val="auto"/>
          <w:lang w:val="fr-FR"/>
        </w:rPr>
        <w:t>100</w:t>
      </w:r>
      <w:r w:rsidR="00084615">
        <w:rPr>
          <w:rFonts w:asciiTheme="minorHAnsi" w:hAnsiTheme="minorHAnsi" w:cstheme="minorHAnsi"/>
          <w:color w:val="auto"/>
          <w:lang w:val="fr-FR"/>
        </w:rPr>
        <w:t> 000 </w:t>
      </w:r>
      <w:r>
        <w:rPr>
          <w:rFonts w:asciiTheme="minorHAnsi" w:hAnsiTheme="minorHAnsi" w:cstheme="minorHAnsi"/>
          <w:color w:val="auto"/>
          <w:lang w:val="fr-FR"/>
        </w:rPr>
        <w:t xml:space="preserve">€ prévue à l’article 5 quater </w:t>
      </w:r>
      <w:r w:rsidR="00FD5036">
        <w:rPr>
          <w:rFonts w:asciiTheme="minorHAnsi" w:hAnsiTheme="minorHAnsi" w:cstheme="minorHAnsi"/>
          <w:color w:val="auto"/>
          <w:lang w:val="fr-FR"/>
        </w:rPr>
        <w:t>s'applique-t-elle</w:t>
      </w:r>
      <w:r w:rsidR="00FD5036" w:rsidRPr="00FD5036">
        <w:rPr>
          <w:rFonts w:asciiTheme="minorHAnsi" w:hAnsiTheme="minorHAnsi" w:cstheme="minorHAnsi"/>
          <w:color w:val="auto"/>
          <w:lang w:val="fr-FR"/>
        </w:rPr>
        <w:t xml:space="preserve"> à tous les prêts hypothécaires, y compris </w:t>
      </w:r>
      <w:r>
        <w:rPr>
          <w:rFonts w:asciiTheme="minorHAnsi" w:hAnsiTheme="minorHAnsi" w:cstheme="minorHAnsi"/>
          <w:color w:val="auto"/>
          <w:lang w:val="fr-FR"/>
        </w:rPr>
        <w:t xml:space="preserve">ceux contractés dans le cadre de l’acquisition d’une </w:t>
      </w:r>
      <w:r w:rsidR="00FD5036" w:rsidRPr="00FD5036">
        <w:rPr>
          <w:rFonts w:asciiTheme="minorHAnsi" w:hAnsiTheme="minorHAnsi" w:cstheme="minorHAnsi"/>
          <w:color w:val="auto"/>
          <w:lang w:val="fr-FR"/>
        </w:rPr>
        <w:t>résidence secondaire ?</w:t>
      </w:r>
    </w:p>
    <w:p w14:paraId="4B257489" w14:textId="77777777" w:rsidR="00FD5036" w:rsidRDefault="00FD5036" w:rsidP="00FD5036">
      <w:pPr>
        <w:pStyle w:val="Titre4"/>
        <w:jc w:val="both"/>
        <w:rPr>
          <w:rFonts w:asciiTheme="minorHAnsi" w:hAnsiTheme="minorHAnsi" w:cstheme="minorHAnsi"/>
          <w:color w:val="auto"/>
          <w:lang w:val="fr-FR"/>
        </w:rPr>
      </w:pPr>
    </w:p>
    <w:p w14:paraId="76F497BD" w14:textId="0215B60B" w:rsidR="00FD5036" w:rsidRPr="00FD5036" w:rsidRDefault="00CA6409" w:rsidP="00FD5036">
      <w:pPr>
        <w:pStyle w:val="Titre4"/>
        <w:jc w:val="both"/>
        <w:rPr>
          <w:rFonts w:asciiTheme="minorHAnsi" w:hAnsiTheme="minorHAnsi" w:cstheme="minorHAnsi"/>
          <w:i w:val="0"/>
          <w:color w:val="auto"/>
          <w:lang w:val="fr-FR"/>
        </w:rPr>
      </w:pPr>
      <w:r>
        <w:rPr>
          <w:rFonts w:asciiTheme="minorHAnsi" w:hAnsiTheme="minorHAnsi" w:cstheme="minorHAnsi"/>
          <w:i w:val="0"/>
          <w:color w:val="auto"/>
          <w:lang w:val="fr-FR"/>
        </w:rPr>
        <w:t>Les dérogations au plafond de 100 000</w:t>
      </w:r>
      <w:r w:rsidR="00084615">
        <w:rPr>
          <w:rFonts w:asciiTheme="minorHAnsi" w:hAnsiTheme="minorHAnsi" w:cstheme="minorHAnsi"/>
          <w:i w:val="0"/>
          <w:color w:val="auto"/>
          <w:lang w:val="fr-FR"/>
        </w:rPr>
        <w:t> </w:t>
      </w:r>
      <w:r>
        <w:rPr>
          <w:rFonts w:asciiTheme="minorHAnsi" w:hAnsiTheme="minorHAnsi" w:cstheme="minorHAnsi"/>
          <w:i w:val="0"/>
          <w:color w:val="auto"/>
          <w:lang w:val="fr-FR"/>
        </w:rPr>
        <w:t>€ prévues à l’article</w:t>
      </w:r>
      <w:r w:rsidR="00084615">
        <w:rPr>
          <w:rFonts w:asciiTheme="minorHAnsi" w:hAnsiTheme="minorHAnsi" w:cstheme="minorHAnsi"/>
          <w:i w:val="0"/>
          <w:color w:val="auto"/>
          <w:lang w:val="fr-FR"/>
        </w:rPr>
        <w:t> </w:t>
      </w:r>
      <w:r>
        <w:rPr>
          <w:rFonts w:asciiTheme="minorHAnsi" w:hAnsiTheme="minorHAnsi" w:cstheme="minorHAnsi"/>
          <w:i w:val="0"/>
          <w:color w:val="auto"/>
          <w:lang w:val="fr-FR"/>
        </w:rPr>
        <w:t>5</w:t>
      </w:r>
      <w:r w:rsidR="00084615">
        <w:rPr>
          <w:rFonts w:asciiTheme="minorHAnsi" w:hAnsiTheme="minorHAnsi" w:cstheme="minorHAnsi"/>
          <w:i w:val="0"/>
          <w:color w:val="auto"/>
          <w:lang w:val="fr-FR"/>
        </w:rPr>
        <w:t> </w:t>
      </w:r>
      <w:r>
        <w:rPr>
          <w:rFonts w:asciiTheme="minorHAnsi" w:hAnsiTheme="minorHAnsi" w:cstheme="minorHAnsi"/>
          <w:i w:val="0"/>
          <w:color w:val="auto"/>
          <w:lang w:val="fr-FR"/>
        </w:rPr>
        <w:t xml:space="preserve">quater entendent permettre aux personnes visées par cette interdiction de pouvoir satisfaire à leurs </w:t>
      </w:r>
      <w:r w:rsidRPr="00CA6409">
        <w:rPr>
          <w:rFonts w:asciiTheme="minorHAnsi" w:hAnsiTheme="minorHAnsi" w:cstheme="minorHAnsi"/>
          <w:i w:val="0"/>
          <w:color w:val="auto"/>
          <w:lang w:val="fr-FR"/>
        </w:rPr>
        <w:t>besoins fondamentaux</w:t>
      </w:r>
      <w:r>
        <w:rPr>
          <w:rFonts w:asciiTheme="minorHAnsi" w:hAnsiTheme="minorHAnsi" w:cstheme="minorHAnsi"/>
          <w:i w:val="0"/>
          <w:color w:val="auto"/>
          <w:lang w:val="fr-FR"/>
        </w:rPr>
        <w:t xml:space="preserve">. Le remboursement d’un prêt hypothécaire contracté dans le cadre de l’acquisition d’une résidence secondaire ne rentre pas dans le champ de cette exception. </w:t>
      </w:r>
    </w:p>
    <w:p w14:paraId="206E240D" w14:textId="77777777" w:rsidR="00FD5036" w:rsidRPr="00FD5036" w:rsidRDefault="00FD5036" w:rsidP="00FD5036">
      <w:pPr>
        <w:rPr>
          <w:lang w:val="fr-FR"/>
        </w:rPr>
      </w:pPr>
    </w:p>
    <w:p w14:paraId="3C69B9E6" w14:textId="59EB99CF" w:rsidR="00057705" w:rsidRPr="00057705" w:rsidRDefault="00057705" w:rsidP="00F755FD">
      <w:pPr>
        <w:pStyle w:val="Titre4"/>
        <w:numPr>
          <w:ilvl w:val="0"/>
          <w:numId w:val="5"/>
        </w:numPr>
        <w:jc w:val="both"/>
        <w:rPr>
          <w:rFonts w:asciiTheme="minorHAnsi" w:hAnsiTheme="minorHAnsi" w:cstheme="minorHAnsi"/>
          <w:color w:val="auto"/>
          <w:lang w:val="fr-FR"/>
        </w:rPr>
      </w:pPr>
      <w:r w:rsidRPr="00057705">
        <w:rPr>
          <w:rFonts w:asciiTheme="minorHAnsi" w:hAnsiTheme="minorHAnsi" w:cstheme="minorHAnsi"/>
          <w:color w:val="auto"/>
          <w:lang w:val="fr-FR"/>
        </w:rPr>
        <w:t>Les assureurs doivent-ils faire preuve de diligence en cas d’indemnisations pour indemnitaire assureur ?</w:t>
      </w:r>
    </w:p>
    <w:p w14:paraId="6C8D75C8" w14:textId="77777777" w:rsidR="00057705" w:rsidRPr="00057705" w:rsidRDefault="00057705" w:rsidP="007121C1">
      <w:pPr>
        <w:pStyle w:val="Titre4"/>
        <w:jc w:val="both"/>
        <w:rPr>
          <w:rFonts w:asciiTheme="minorHAnsi" w:hAnsiTheme="minorHAnsi" w:cstheme="minorHAnsi"/>
          <w:color w:val="auto"/>
          <w:lang w:val="fr-FR"/>
        </w:rPr>
      </w:pPr>
    </w:p>
    <w:p w14:paraId="500BBEAB" w14:textId="73B6BBDB" w:rsidR="00A511FB" w:rsidRPr="007B310A" w:rsidRDefault="007B310A" w:rsidP="00AE6E65">
      <w:pPr>
        <w:rPr>
          <w:lang w:val="fr-FR"/>
        </w:rPr>
      </w:pPr>
      <w:r w:rsidRPr="007B310A">
        <w:rPr>
          <w:rFonts w:asciiTheme="minorHAnsi" w:hAnsiTheme="minorHAnsi" w:cstheme="minorHAnsi"/>
          <w:lang w:val="fr-FR"/>
        </w:rPr>
        <w:t>Les transactions à caractère social (paiement de retraite, remboursements de la part de la sécurité sociale, etc.</w:t>
      </w:r>
      <w:r w:rsidRPr="00171556">
        <w:rPr>
          <w:rFonts w:asciiTheme="minorHAnsi" w:hAnsiTheme="minorHAnsi" w:cstheme="minorHAnsi"/>
          <w:lang w:val="fr-FR"/>
        </w:rPr>
        <w:t xml:space="preserve">) constituent-elles des motifs dérogatoires au plafond de 100 000 € ? </w:t>
      </w:r>
    </w:p>
    <w:p w14:paraId="6D9E867A" w14:textId="2CF49AAF" w:rsidR="00592B61" w:rsidRDefault="00A511FB" w:rsidP="00A511FB">
      <w:pPr>
        <w:jc w:val="both"/>
        <w:rPr>
          <w:rFonts w:asciiTheme="minorHAnsi" w:hAnsiTheme="minorHAnsi" w:cstheme="minorHAnsi"/>
          <w:lang w:val="fr-FR"/>
        </w:rPr>
      </w:pPr>
      <w:r w:rsidRPr="00A511FB">
        <w:rPr>
          <w:rFonts w:asciiTheme="minorHAnsi" w:hAnsiTheme="minorHAnsi" w:cstheme="minorHAnsi"/>
          <w:lang w:val="fr-FR"/>
        </w:rPr>
        <w:t>Aux termes de l'article 5 quater, les autorités compétentes peuvent, par dérogation, autoriser un</w:t>
      </w:r>
      <w:r w:rsidR="00592B61">
        <w:rPr>
          <w:rFonts w:asciiTheme="minorHAnsi" w:hAnsiTheme="minorHAnsi" w:cstheme="minorHAnsi"/>
          <w:lang w:val="fr-FR"/>
        </w:rPr>
        <w:t>e transaction qui implique un solde de dépôts supérieur à 100 000</w:t>
      </w:r>
      <w:r w:rsidR="00084615">
        <w:rPr>
          <w:rFonts w:asciiTheme="minorHAnsi" w:hAnsiTheme="minorHAnsi" w:cstheme="minorHAnsi"/>
          <w:lang w:val="fr-FR"/>
        </w:rPr>
        <w:t> </w:t>
      </w:r>
      <w:r w:rsidR="00592B61">
        <w:rPr>
          <w:rFonts w:asciiTheme="minorHAnsi" w:hAnsiTheme="minorHAnsi" w:cstheme="minorHAnsi"/>
          <w:lang w:val="fr-FR"/>
        </w:rPr>
        <w:t>€</w:t>
      </w:r>
      <w:r w:rsidRPr="00A511FB">
        <w:rPr>
          <w:rFonts w:asciiTheme="minorHAnsi" w:hAnsiTheme="minorHAnsi" w:cstheme="minorHAnsi"/>
          <w:lang w:val="fr-FR"/>
        </w:rPr>
        <w:t xml:space="preserve"> lorsqu</w:t>
      </w:r>
      <w:r w:rsidR="00592B61">
        <w:rPr>
          <w:rFonts w:asciiTheme="minorHAnsi" w:hAnsiTheme="minorHAnsi" w:cstheme="minorHAnsi"/>
          <w:lang w:val="fr-FR"/>
        </w:rPr>
        <w:t xml:space="preserve">e l’acceptation de cette transaction </w:t>
      </w:r>
      <w:r w:rsidRPr="00A511FB">
        <w:rPr>
          <w:rFonts w:asciiTheme="minorHAnsi" w:hAnsiTheme="minorHAnsi" w:cstheme="minorHAnsi"/>
          <w:lang w:val="fr-FR"/>
        </w:rPr>
        <w:t>est nécessaire aux besoins fondamentaux</w:t>
      </w:r>
      <w:r w:rsidR="00592B61">
        <w:rPr>
          <w:rFonts w:asciiTheme="minorHAnsi" w:hAnsiTheme="minorHAnsi" w:cstheme="minorHAnsi"/>
          <w:lang w:val="fr-FR"/>
        </w:rPr>
        <w:t xml:space="preserve"> des personnes physiques, morales, entités ou organismes visés, </w:t>
      </w:r>
      <w:r w:rsidR="00592B61" w:rsidRPr="004D5E4E">
        <w:rPr>
          <w:rFonts w:asciiTheme="minorHAnsi" w:hAnsiTheme="minorHAnsi" w:cstheme="minorHAnsi"/>
          <w:lang w:val="fr-FR"/>
        </w:rPr>
        <w:t>et des membres de leur famille qui sont à leur charge</w:t>
      </w:r>
      <w:r w:rsidRPr="00A511FB">
        <w:rPr>
          <w:rFonts w:asciiTheme="minorHAnsi" w:hAnsiTheme="minorHAnsi" w:cstheme="minorHAnsi"/>
          <w:lang w:val="fr-FR"/>
        </w:rPr>
        <w:t xml:space="preserve">. </w:t>
      </w:r>
    </w:p>
    <w:p w14:paraId="7599E6C9" w14:textId="77777777" w:rsidR="00084615" w:rsidRDefault="00084615" w:rsidP="00A511FB">
      <w:pPr>
        <w:jc w:val="both"/>
        <w:rPr>
          <w:rFonts w:asciiTheme="minorHAnsi" w:hAnsiTheme="minorHAnsi" w:cstheme="minorHAnsi"/>
          <w:lang w:val="fr-FR"/>
        </w:rPr>
      </w:pPr>
    </w:p>
    <w:p w14:paraId="2C379F96" w14:textId="53188887" w:rsidR="00A511FB" w:rsidRDefault="00A511FB" w:rsidP="00A511FB">
      <w:pPr>
        <w:jc w:val="both"/>
        <w:rPr>
          <w:rFonts w:asciiTheme="minorHAnsi" w:hAnsiTheme="minorHAnsi" w:cstheme="minorHAnsi"/>
          <w:lang w:val="fr-FR"/>
        </w:rPr>
      </w:pPr>
      <w:r w:rsidRPr="00A511FB">
        <w:rPr>
          <w:rFonts w:asciiTheme="minorHAnsi" w:hAnsiTheme="minorHAnsi" w:cstheme="minorHAnsi"/>
          <w:lang w:val="fr-FR"/>
        </w:rPr>
        <w:t xml:space="preserve">Les </w:t>
      </w:r>
      <w:r w:rsidR="00592B61">
        <w:rPr>
          <w:rFonts w:asciiTheme="minorHAnsi" w:hAnsiTheme="minorHAnsi" w:cstheme="minorHAnsi"/>
          <w:lang w:val="fr-FR"/>
        </w:rPr>
        <w:t xml:space="preserve">transactions à caractère social </w:t>
      </w:r>
      <w:r w:rsidRPr="00A511FB">
        <w:rPr>
          <w:rFonts w:asciiTheme="minorHAnsi" w:hAnsiTheme="minorHAnsi" w:cstheme="minorHAnsi"/>
          <w:lang w:val="fr-FR"/>
        </w:rPr>
        <w:t xml:space="preserve">peuvent théoriquement rentrer dans ce cadre, sous réserve qu'elles fassent l'objet d'une validation expresse par la DG Trésor. </w:t>
      </w:r>
    </w:p>
    <w:p w14:paraId="02DF7386" w14:textId="0FED0453" w:rsidR="00FF471C" w:rsidRDefault="0072149C" w:rsidP="00F755FD">
      <w:pPr>
        <w:pStyle w:val="Titre4"/>
        <w:numPr>
          <w:ilvl w:val="0"/>
          <w:numId w:val="5"/>
        </w:numPr>
        <w:jc w:val="both"/>
        <w:rPr>
          <w:rFonts w:asciiTheme="minorHAnsi" w:hAnsiTheme="minorHAnsi" w:cstheme="minorHAnsi"/>
          <w:color w:val="auto"/>
          <w:lang w:val="fr-FR"/>
        </w:rPr>
      </w:pPr>
      <w:r>
        <w:rPr>
          <w:rFonts w:asciiTheme="minorHAnsi" w:hAnsiTheme="minorHAnsi" w:cstheme="minorHAnsi"/>
          <w:color w:val="auto"/>
          <w:lang w:val="fr-FR"/>
        </w:rPr>
        <w:lastRenderedPageBreak/>
        <w:t>A quels dépôts s’applique l’obligation de déclaration formulée à l’article 5 octies</w:t>
      </w:r>
      <w:r w:rsidR="002F2408">
        <w:rPr>
          <w:rFonts w:asciiTheme="minorHAnsi" w:hAnsiTheme="minorHAnsi" w:cstheme="minorHAnsi"/>
          <w:color w:val="auto"/>
          <w:lang w:val="fr-FR"/>
        </w:rPr>
        <w:t> ?</w:t>
      </w:r>
    </w:p>
    <w:p w14:paraId="515F9154" w14:textId="77777777" w:rsidR="00FF471C" w:rsidRPr="00FF471C" w:rsidRDefault="00FF471C" w:rsidP="00FF471C">
      <w:pPr>
        <w:rPr>
          <w:lang w:val="fr-FR"/>
        </w:rPr>
      </w:pPr>
    </w:p>
    <w:p w14:paraId="5A571F74" w14:textId="3872A0A4" w:rsidR="00FF471C" w:rsidRPr="00FF471C" w:rsidRDefault="00226D97" w:rsidP="00226D97">
      <w:pPr>
        <w:jc w:val="both"/>
        <w:rPr>
          <w:rFonts w:asciiTheme="minorHAnsi" w:hAnsiTheme="minorHAnsi" w:cstheme="minorHAnsi"/>
          <w:lang w:val="fr-FR"/>
        </w:rPr>
      </w:pPr>
      <w:r>
        <w:rPr>
          <w:rFonts w:asciiTheme="minorHAnsi" w:hAnsiTheme="minorHAnsi" w:cstheme="minorHAnsi"/>
          <w:lang w:val="fr-FR"/>
        </w:rPr>
        <w:t>L’article 5 octies prévoit l’obligation pour les établissements de crédit situés en France de fournir à l’ACPR la liste des</w:t>
      </w:r>
      <w:r w:rsidRPr="00226D97">
        <w:rPr>
          <w:rFonts w:asciiTheme="minorHAnsi" w:hAnsiTheme="minorHAnsi" w:cstheme="minorHAnsi"/>
          <w:lang w:val="fr-FR"/>
        </w:rPr>
        <w:t xml:space="preserve"> dépôts détenus par des ressortissants russes ou des personnes physiq</w:t>
      </w:r>
      <w:r>
        <w:rPr>
          <w:rFonts w:asciiTheme="minorHAnsi" w:hAnsiTheme="minorHAnsi" w:cstheme="minorHAnsi"/>
          <w:lang w:val="fr-FR"/>
        </w:rPr>
        <w:t xml:space="preserve">ues résidant en Russie, ou par </w:t>
      </w:r>
      <w:r w:rsidRPr="00226D97">
        <w:rPr>
          <w:rFonts w:asciiTheme="minorHAnsi" w:hAnsiTheme="minorHAnsi" w:cstheme="minorHAnsi"/>
          <w:lang w:val="fr-FR"/>
        </w:rPr>
        <w:t>des personnes morales, des entités ou des organismes établis en Russie</w:t>
      </w:r>
      <w:r>
        <w:rPr>
          <w:rFonts w:asciiTheme="minorHAnsi" w:hAnsiTheme="minorHAnsi" w:cstheme="minorHAnsi"/>
          <w:lang w:val="fr-FR"/>
        </w:rPr>
        <w:t xml:space="preserve"> </w:t>
      </w:r>
      <w:r w:rsidRPr="00226D97">
        <w:rPr>
          <w:rFonts w:asciiTheme="minorHAnsi" w:hAnsiTheme="minorHAnsi" w:cstheme="minorHAnsi"/>
          <w:lang w:val="fr-FR"/>
        </w:rPr>
        <w:t>dont le seuil est strictement supérieur à</w:t>
      </w:r>
      <w:r w:rsidR="00084615">
        <w:rPr>
          <w:rFonts w:asciiTheme="minorHAnsi" w:hAnsiTheme="minorHAnsi" w:cstheme="minorHAnsi"/>
          <w:lang w:val="fr-FR"/>
        </w:rPr>
        <w:t> </w:t>
      </w:r>
      <w:r w:rsidRPr="00226D97">
        <w:rPr>
          <w:rFonts w:asciiTheme="minorHAnsi" w:hAnsiTheme="minorHAnsi" w:cstheme="minorHAnsi"/>
          <w:lang w:val="fr-FR"/>
        </w:rPr>
        <w:t>100</w:t>
      </w:r>
      <w:r w:rsidR="00084615">
        <w:rPr>
          <w:rFonts w:asciiTheme="minorHAnsi" w:hAnsiTheme="minorHAnsi" w:cstheme="minorHAnsi"/>
          <w:lang w:val="fr-FR"/>
        </w:rPr>
        <w:t> </w:t>
      </w:r>
      <w:r w:rsidRPr="00226D97">
        <w:rPr>
          <w:rFonts w:asciiTheme="minorHAnsi" w:hAnsiTheme="minorHAnsi" w:cstheme="minorHAnsi"/>
          <w:lang w:val="fr-FR"/>
        </w:rPr>
        <w:t>000</w:t>
      </w:r>
      <w:r w:rsidR="00084615">
        <w:rPr>
          <w:rFonts w:asciiTheme="minorHAnsi" w:hAnsiTheme="minorHAnsi" w:cstheme="minorHAnsi"/>
          <w:lang w:val="fr-FR"/>
        </w:rPr>
        <w:t> </w:t>
      </w:r>
      <w:r w:rsidRPr="00226D97">
        <w:rPr>
          <w:rFonts w:asciiTheme="minorHAnsi" w:hAnsiTheme="minorHAnsi" w:cstheme="minorHAnsi"/>
          <w:lang w:val="fr-FR"/>
        </w:rPr>
        <w:t>€ (100 000 € + 1 centime) sont concernés.</w:t>
      </w:r>
      <w:r>
        <w:rPr>
          <w:rFonts w:asciiTheme="minorHAnsi" w:hAnsiTheme="minorHAnsi" w:cstheme="minorHAnsi"/>
          <w:lang w:val="fr-FR"/>
        </w:rPr>
        <w:t xml:space="preserve"> </w:t>
      </w:r>
    </w:p>
    <w:p w14:paraId="5B5E911C" w14:textId="77777777" w:rsidR="00FF471C" w:rsidRPr="00FF471C" w:rsidRDefault="00FF471C" w:rsidP="00FF471C">
      <w:pPr>
        <w:rPr>
          <w:lang w:val="fr-FR"/>
        </w:rPr>
      </w:pPr>
    </w:p>
    <w:p w14:paraId="55F1D58F" w14:textId="7468BAF4" w:rsidR="00871E38" w:rsidRPr="00057705" w:rsidRDefault="00871E38" w:rsidP="00F755FD">
      <w:pPr>
        <w:pStyle w:val="Titre4"/>
        <w:numPr>
          <w:ilvl w:val="0"/>
          <w:numId w:val="5"/>
        </w:numPr>
        <w:jc w:val="both"/>
        <w:rPr>
          <w:rFonts w:asciiTheme="minorHAnsi" w:hAnsiTheme="minorHAnsi" w:cstheme="minorHAnsi"/>
          <w:color w:val="auto"/>
          <w:lang w:val="fr-FR"/>
        </w:rPr>
      </w:pPr>
      <w:r w:rsidRPr="00057705">
        <w:rPr>
          <w:rFonts w:asciiTheme="minorHAnsi" w:hAnsiTheme="minorHAnsi" w:cstheme="minorHAnsi"/>
          <w:color w:val="auto"/>
          <w:lang w:val="fr-FR"/>
        </w:rPr>
        <w:t xml:space="preserve">Les dépôts </w:t>
      </w:r>
      <w:r w:rsidR="00A2645F">
        <w:rPr>
          <w:rFonts w:asciiTheme="minorHAnsi" w:hAnsiTheme="minorHAnsi" w:cstheme="minorHAnsi"/>
          <w:color w:val="auto"/>
          <w:lang w:val="fr-FR"/>
        </w:rPr>
        <w:t xml:space="preserve">réalisés au sein de l’Union européenne par la </w:t>
      </w:r>
      <w:r w:rsidRPr="00057705">
        <w:rPr>
          <w:rFonts w:asciiTheme="minorHAnsi" w:hAnsiTheme="minorHAnsi" w:cstheme="minorHAnsi"/>
          <w:color w:val="auto"/>
          <w:lang w:val="fr-FR"/>
        </w:rPr>
        <w:t xml:space="preserve">succursale </w:t>
      </w:r>
      <w:r w:rsidR="00A2645F">
        <w:rPr>
          <w:rFonts w:asciiTheme="minorHAnsi" w:hAnsiTheme="minorHAnsi" w:cstheme="minorHAnsi"/>
          <w:color w:val="auto"/>
          <w:lang w:val="fr-FR"/>
        </w:rPr>
        <w:t xml:space="preserve">russe d’une entreprise européenne </w:t>
      </w:r>
      <w:r w:rsidRPr="00057705">
        <w:rPr>
          <w:rFonts w:asciiTheme="minorHAnsi" w:hAnsiTheme="minorHAnsi" w:cstheme="minorHAnsi"/>
          <w:color w:val="auto"/>
          <w:lang w:val="fr-FR"/>
        </w:rPr>
        <w:t>sont-</w:t>
      </w:r>
      <w:r w:rsidR="00A2645F">
        <w:rPr>
          <w:rFonts w:asciiTheme="minorHAnsi" w:hAnsiTheme="minorHAnsi" w:cstheme="minorHAnsi"/>
          <w:color w:val="auto"/>
          <w:lang w:val="fr-FR"/>
        </w:rPr>
        <w:t>ils</w:t>
      </w:r>
      <w:r w:rsidRPr="00057705">
        <w:rPr>
          <w:rFonts w:asciiTheme="minorHAnsi" w:hAnsiTheme="minorHAnsi" w:cstheme="minorHAnsi"/>
          <w:color w:val="auto"/>
          <w:lang w:val="fr-FR"/>
        </w:rPr>
        <w:t xml:space="preserve"> autorisés ?</w:t>
      </w:r>
    </w:p>
    <w:p w14:paraId="399AA87D" w14:textId="77777777" w:rsidR="00871E38" w:rsidRPr="00057705" w:rsidRDefault="00871E38" w:rsidP="00871E38">
      <w:pPr>
        <w:jc w:val="both"/>
        <w:rPr>
          <w:rFonts w:asciiTheme="minorHAnsi" w:hAnsiTheme="minorHAnsi" w:cstheme="minorHAnsi"/>
          <w:bCs/>
          <w:lang w:val="fr-FR"/>
        </w:rPr>
      </w:pPr>
    </w:p>
    <w:p w14:paraId="276070C4" w14:textId="5101597E" w:rsidR="00285EEC" w:rsidRDefault="00A2645F" w:rsidP="00871E38">
      <w:pPr>
        <w:jc w:val="both"/>
        <w:rPr>
          <w:rFonts w:asciiTheme="minorHAnsi" w:hAnsiTheme="minorHAnsi" w:cstheme="minorHAnsi"/>
          <w:bCs/>
          <w:lang w:val="fr-FR"/>
        </w:rPr>
      </w:pPr>
      <w:r>
        <w:rPr>
          <w:rFonts w:asciiTheme="minorHAnsi" w:hAnsiTheme="minorHAnsi" w:cstheme="minorHAnsi"/>
          <w:bCs/>
          <w:lang w:val="fr-FR"/>
        </w:rPr>
        <w:t>Ces dépôts sont autorisés dès lors qu’ils respectent les conditions de l’article</w:t>
      </w:r>
      <w:r w:rsidR="00984A65">
        <w:rPr>
          <w:rFonts w:asciiTheme="minorHAnsi" w:hAnsiTheme="minorHAnsi" w:cstheme="minorHAnsi"/>
          <w:bCs/>
          <w:lang w:val="fr-FR"/>
        </w:rPr>
        <w:t> </w:t>
      </w:r>
      <w:r>
        <w:rPr>
          <w:rFonts w:asciiTheme="minorHAnsi" w:hAnsiTheme="minorHAnsi" w:cstheme="minorHAnsi"/>
          <w:bCs/>
          <w:lang w:val="fr-FR"/>
        </w:rPr>
        <w:t>5</w:t>
      </w:r>
      <w:r w:rsidR="00984A65">
        <w:rPr>
          <w:rFonts w:asciiTheme="minorHAnsi" w:hAnsiTheme="minorHAnsi" w:cstheme="minorHAnsi"/>
          <w:bCs/>
          <w:lang w:val="fr-FR"/>
        </w:rPr>
        <w:t> </w:t>
      </w:r>
      <w:r>
        <w:rPr>
          <w:rFonts w:asciiTheme="minorHAnsi" w:hAnsiTheme="minorHAnsi" w:cstheme="minorHAnsi"/>
          <w:bCs/>
          <w:lang w:val="fr-FR"/>
        </w:rPr>
        <w:t>ter 4 du règlement 833/2014.</w:t>
      </w:r>
    </w:p>
    <w:p w14:paraId="691855A0" w14:textId="77777777" w:rsidR="00285EEC" w:rsidRDefault="00285EEC" w:rsidP="00871E38">
      <w:pPr>
        <w:jc w:val="both"/>
        <w:rPr>
          <w:rFonts w:asciiTheme="minorHAnsi" w:hAnsiTheme="minorHAnsi" w:cstheme="minorHAnsi"/>
          <w:bCs/>
          <w:lang w:val="fr-FR"/>
        </w:rPr>
      </w:pPr>
    </w:p>
    <w:p w14:paraId="7D3E9F92" w14:textId="35D86436" w:rsidR="00871E38" w:rsidRDefault="00285EEC" w:rsidP="00871E38">
      <w:pPr>
        <w:jc w:val="both"/>
        <w:rPr>
          <w:rFonts w:asciiTheme="minorHAnsi" w:hAnsiTheme="minorHAnsi" w:cstheme="minorHAnsi"/>
          <w:bCs/>
          <w:lang w:val="fr-FR"/>
        </w:rPr>
      </w:pPr>
      <w:r>
        <w:rPr>
          <w:rFonts w:asciiTheme="minorHAnsi" w:hAnsiTheme="minorHAnsi" w:cstheme="minorHAnsi"/>
          <w:bCs/>
          <w:lang w:val="fr-FR"/>
        </w:rPr>
        <w:t>Néanmoins,</w:t>
      </w:r>
      <w:r w:rsidRPr="00285EEC">
        <w:rPr>
          <w:rFonts w:asciiTheme="minorHAnsi" w:hAnsiTheme="minorHAnsi" w:cstheme="minorHAnsi"/>
          <w:bCs/>
          <w:lang w:val="fr-FR"/>
        </w:rPr>
        <w:t xml:space="preserve"> </w:t>
      </w:r>
      <w:r w:rsidR="00C23D2F">
        <w:rPr>
          <w:rFonts w:asciiTheme="minorHAnsi" w:hAnsiTheme="minorHAnsi" w:cstheme="minorHAnsi"/>
          <w:bCs/>
          <w:lang w:val="fr-FR"/>
        </w:rPr>
        <w:t>l</w:t>
      </w:r>
      <w:r>
        <w:rPr>
          <w:rFonts w:asciiTheme="minorHAnsi" w:hAnsiTheme="minorHAnsi" w:cstheme="minorHAnsi"/>
          <w:bCs/>
          <w:lang w:val="fr-FR"/>
        </w:rPr>
        <w:t xml:space="preserve">e règlement précise </w:t>
      </w:r>
      <w:r w:rsidR="00C23D2F">
        <w:rPr>
          <w:rFonts w:asciiTheme="minorHAnsi" w:hAnsiTheme="minorHAnsi" w:cstheme="minorHAnsi"/>
          <w:bCs/>
          <w:lang w:val="fr-FR"/>
        </w:rPr>
        <w:t>bien qu</w:t>
      </w:r>
      <w:proofErr w:type="gramStart"/>
      <w:r w:rsidR="00C23D2F">
        <w:rPr>
          <w:rFonts w:asciiTheme="minorHAnsi" w:hAnsiTheme="minorHAnsi" w:cstheme="minorHAnsi"/>
          <w:bCs/>
          <w:lang w:val="fr-FR"/>
        </w:rPr>
        <w:t>’«</w:t>
      </w:r>
      <w:proofErr w:type="gramEnd"/>
      <w:r w:rsidR="00C23D2F">
        <w:rPr>
          <w:rFonts w:asciiTheme="minorHAnsi" w:hAnsiTheme="minorHAnsi" w:cstheme="minorHAnsi"/>
          <w:bCs/>
          <w:lang w:val="fr-FR"/>
        </w:rPr>
        <w:t> i</w:t>
      </w:r>
      <w:r w:rsidRPr="00285EEC">
        <w:rPr>
          <w:rFonts w:asciiTheme="minorHAnsi" w:hAnsiTheme="minorHAnsi" w:cstheme="minorHAnsi"/>
          <w:bCs/>
          <w:lang w:val="fr-FR"/>
        </w:rPr>
        <w:t>l est interdit d'accepter des dépôts de ressortissants russes ou de personnes physiques résidant en Russie, ou de personnes morales, d'entités ou d'organismes établis en Russie</w:t>
      </w:r>
      <w:r>
        <w:rPr>
          <w:rFonts w:asciiTheme="minorHAnsi" w:hAnsiTheme="minorHAnsi" w:cstheme="minorHAnsi"/>
          <w:bCs/>
          <w:lang w:val="fr-FR"/>
        </w:rPr>
        <w:t>.</w:t>
      </w:r>
      <w:r w:rsidR="00C23D2F">
        <w:rPr>
          <w:rFonts w:asciiTheme="minorHAnsi" w:hAnsiTheme="minorHAnsi" w:cstheme="minorHAnsi"/>
          <w:bCs/>
          <w:lang w:val="fr-FR"/>
        </w:rPr>
        <w:t> » avec cette notion de rattachement géographique à la Russie.</w:t>
      </w:r>
    </w:p>
    <w:p w14:paraId="667C8DE9" w14:textId="77777777" w:rsidR="00904205" w:rsidRDefault="00904205" w:rsidP="00871E38">
      <w:pPr>
        <w:jc w:val="both"/>
        <w:rPr>
          <w:rFonts w:asciiTheme="minorHAnsi" w:hAnsiTheme="minorHAnsi" w:cstheme="minorHAnsi"/>
          <w:bCs/>
          <w:lang w:val="fr-FR"/>
        </w:rPr>
      </w:pPr>
    </w:p>
    <w:p w14:paraId="535D16CF" w14:textId="77777777" w:rsidR="00084615" w:rsidRPr="00FA6FB7" w:rsidRDefault="00084615" w:rsidP="00F755FD">
      <w:pPr>
        <w:pStyle w:val="Titre4"/>
        <w:numPr>
          <w:ilvl w:val="0"/>
          <w:numId w:val="5"/>
        </w:numPr>
        <w:jc w:val="both"/>
        <w:rPr>
          <w:rFonts w:asciiTheme="minorHAnsi" w:hAnsiTheme="minorHAnsi" w:cstheme="minorHAnsi"/>
          <w:lang w:val="fr-FR"/>
        </w:rPr>
      </w:pPr>
      <w:r w:rsidRPr="00F03B57">
        <w:rPr>
          <w:rFonts w:asciiTheme="minorHAnsi" w:hAnsiTheme="minorHAnsi" w:cstheme="minorHAnsi"/>
          <w:color w:val="auto"/>
          <w:lang w:val="fr-FR"/>
        </w:rPr>
        <w:t>Les produits d’assurance-vie doivent-ils être comptabilisés dans le calcul du seuil de 100</w:t>
      </w:r>
      <w:r>
        <w:rPr>
          <w:rFonts w:asciiTheme="minorHAnsi" w:hAnsiTheme="minorHAnsi" w:cstheme="minorHAnsi"/>
          <w:color w:val="auto"/>
          <w:lang w:val="fr-FR"/>
        </w:rPr>
        <w:t> </w:t>
      </w:r>
      <w:r w:rsidRPr="00F03B57">
        <w:rPr>
          <w:rFonts w:asciiTheme="minorHAnsi" w:hAnsiTheme="minorHAnsi" w:cstheme="minorHAnsi"/>
          <w:color w:val="auto"/>
          <w:lang w:val="fr-FR"/>
        </w:rPr>
        <w:t>000</w:t>
      </w:r>
      <w:r>
        <w:rPr>
          <w:rFonts w:asciiTheme="minorHAnsi" w:hAnsiTheme="minorHAnsi" w:cstheme="minorHAnsi"/>
          <w:color w:val="auto"/>
          <w:lang w:val="fr-FR"/>
        </w:rPr>
        <w:t> </w:t>
      </w:r>
      <w:r w:rsidRPr="00F03B57">
        <w:rPr>
          <w:rFonts w:asciiTheme="minorHAnsi" w:hAnsiTheme="minorHAnsi" w:cstheme="minorHAnsi"/>
          <w:color w:val="auto"/>
          <w:lang w:val="fr-FR"/>
        </w:rPr>
        <w:t>€ ? Les rachats d’assurance vie qui impliquent un solde de dépôts supérieurs à 100</w:t>
      </w:r>
      <w:r>
        <w:rPr>
          <w:rFonts w:asciiTheme="minorHAnsi" w:hAnsiTheme="minorHAnsi" w:cstheme="minorHAnsi"/>
          <w:color w:val="auto"/>
          <w:lang w:val="fr-FR"/>
        </w:rPr>
        <w:t> </w:t>
      </w:r>
      <w:r w:rsidRPr="00F03B57">
        <w:rPr>
          <w:rFonts w:asciiTheme="minorHAnsi" w:hAnsiTheme="minorHAnsi" w:cstheme="minorHAnsi"/>
          <w:color w:val="auto"/>
          <w:lang w:val="fr-FR"/>
        </w:rPr>
        <w:t>000</w:t>
      </w:r>
      <w:r>
        <w:rPr>
          <w:rFonts w:asciiTheme="minorHAnsi" w:hAnsiTheme="minorHAnsi" w:cstheme="minorHAnsi"/>
          <w:color w:val="auto"/>
          <w:lang w:val="fr-FR"/>
        </w:rPr>
        <w:t> </w:t>
      </w:r>
      <w:r w:rsidRPr="00F03B57">
        <w:rPr>
          <w:rFonts w:asciiTheme="minorHAnsi" w:hAnsiTheme="minorHAnsi" w:cstheme="minorHAnsi"/>
          <w:color w:val="auto"/>
          <w:lang w:val="fr-FR"/>
        </w:rPr>
        <w:t>€ sont-ils autorisés ?</w:t>
      </w:r>
    </w:p>
    <w:p w14:paraId="34FCF38F" w14:textId="77777777" w:rsidR="00084615" w:rsidRDefault="00084615" w:rsidP="00904205">
      <w:pPr>
        <w:pStyle w:val="Corpsdetexte"/>
        <w:jc w:val="both"/>
        <w:rPr>
          <w:rFonts w:asciiTheme="minorHAnsi" w:hAnsiTheme="minorHAnsi" w:cstheme="minorHAnsi"/>
          <w:sz w:val="22"/>
          <w:szCs w:val="22"/>
        </w:rPr>
      </w:pPr>
    </w:p>
    <w:p w14:paraId="67187FA7" w14:textId="41B74437" w:rsidR="00904205" w:rsidRDefault="00904205" w:rsidP="00904205">
      <w:pPr>
        <w:pStyle w:val="Corpsdetexte"/>
        <w:jc w:val="both"/>
        <w:rPr>
          <w:rFonts w:asciiTheme="minorHAnsi" w:hAnsiTheme="minorHAnsi" w:cstheme="minorHAnsi"/>
          <w:sz w:val="22"/>
          <w:szCs w:val="22"/>
        </w:rPr>
      </w:pPr>
      <w:r w:rsidRPr="0035623C">
        <w:rPr>
          <w:rFonts w:asciiTheme="minorHAnsi" w:hAnsiTheme="minorHAnsi" w:cstheme="minorHAnsi"/>
          <w:sz w:val="22"/>
          <w:szCs w:val="22"/>
        </w:rPr>
        <w:t>L</w:t>
      </w:r>
      <w:r w:rsidR="009463EF">
        <w:rPr>
          <w:rFonts w:asciiTheme="minorHAnsi" w:hAnsiTheme="minorHAnsi" w:cstheme="minorHAnsi"/>
          <w:sz w:val="22"/>
          <w:szCs w:val="22"/>
        </w:rPr>
        <w:t xml:space="preserve">es montants investis dans des produits d’assurance vie ne doivent pas être pris en compte pour déterminer le montant total de dépôts d’un client soumis à l’interdiction de l’article 5 ter. Pour les personnes visées par ces restrictions, les rachats restent possibles dès lors qu’ils n’impliquent pas un montant </w:t>
      </w:r>
      <w:r w:rsidRPr="0035623C">
        <w:rPr>
          <w:rFonts w:asciiTheme="minorHAnsi" w:hAnsiTheme="minorHAnsi" w:cstheme="minorHAnsi"/>
          <w:sz w:val="22"/>
          <w:szCs w:val="22"/>
        </w:rPr>
        <w:t xml:space="preserve">de dépôts </w:t>
      </w:r>
      <w:r w:rsidR="009463EF">
        <w:rPr>
          <w:rFonts w:asciiTheme="minorHAnsi" w:hAnsiTheme="minorHAnsi" w:cstheme="minorHAnsi"/>
          <w:sz w:val="22"/>
          <w:szCs w:val="22"/>
        </w:rPr>
        <w:t>supérieur à</w:t>
      </w:r>
      <w:r w:rsidR="00084615">
        <w:rPr>
          <w:rFonts w:asciiTheme="minorHAnsi" w:hAnsiTheme="minorHAnsi" w:cstheme="minorHAnsi"/>
          <w:sz w:val="22"/>
          <w:szCs w:val="22"/>
        </w:rPr>
        <w:t> </w:t>
      </w:r>
      <w:r w:rsidRPr="0035623C">
        <w:rPr>
          <w:rFonts w:asciiTheme="minorHAnsi" w:hAnsiTheme="minorHAnsi" w:cstheme="minorHAnsi"/>
          <w:sz w:val="22"/>
          <w:szCs w:val="22"/>
        </w:rPr>
        <w:t>100</w:t>
      </w:r>
      <w:r w:rsidR="00084615">
        <w:rPr>
          <w:rFonts w:asciiTheme="minorHAnsi" w:hAnsiTheme="minorHAnsi" w:cstheme="minorHAnsi"/>
          <w:sz w:val="22"/>
          <w:szCs w:val="22"/>
        </w:rPr>
        <w:t> </w:t>
      </w:r>
      <w:r w:rsidR="009463EF">
        <w:rPr>
          <w:rFonts w:asciiTheme="minorHAnsi" w:hAnsiTheme="minorHAnsi" w:cstheme="minorHAnsi"/>
          <w:sz w:val="22"/>
          <w:szCs w:val="22"/>
        </w:rPr>
        <w:t>000</w:t>
      </w:r>
      <w:r w:rsidR="00084615">
        <w:rPr>
          <w:rFonts w:asciiTheme="minorHAnsi" w:hAnsiTheme="minorHAnsi" w:cstheme="minorHAnsi"/>
          <w:sz w:val="22"/>
          <w:szCs w:val="22"/>
        </w:rPr>
        <w:t> €</w:t>
      </w:r>
      <w:r w:rsidRPr="0035623C">
        <w:rPr>
          <w:rFonts w:asciiTheme="minorHAnsi" w:hAnsiTheme="minorHAnsi" w:cstheme="minorHAnsi"/>
          <w:sz w:val="22"/>
          <w:szCs w:val="22"/>
        </w:rPr>
        <w:t>.</w:t>
      </w:r>
    </w:p>
    <w:p w14:paraId="31E6072E" w14:textId="77777777" w:rsidR="00871E38" w:rsidRPr="00057705" w:rsidRDefault="00871E38" w:rsidP="009A210F">
      <w:pPr>
        <w:jc w:val="both"/>
        <w:rPr>
          <w:rFonts w:asciiTheme="minorHAnsi" w:hAnsiTheme="minorHAnsi" w:cstheme="minorHAnsi"/>
          <w:bCs/>
          <w:lang w:val="fr-FR"/>
        </w:rPr>
      </w:pPr>
    </w:p>
    <w:p w14:paraId="60AE3D8F" w14:textId="6FC0D209" w:rsidR="00A511FB" w:rsidRDefault="001E2C10" w:rsidP="009D451C">
      <w:pPr>
        <w:pStyle w:val="Titre3"/>
        <w:numPr>
          <w:ilvl w:val="0"/>
          <w:numId w:val="8"/>
        </w:numPr>
        <w:rPr>
          <w:rFonts w:ascii="Marianne" w:hAnsi="Marianne" w:cstheme="minorHAnsi"/>
          <w:b/>
          <w:bCs/>
          <w:color w:val="465F9D"/>
          <w:sz w:val="22"/>
          <w:szCs w:val="22"/>
          <w:u w:val="single"/>
          <w:lang w:val="fr-FR"/>
        </w:rPr>
      </w:pPr>
      <w:bookmarkStart w:id="8" w:name="_Toc117868033"/>
      <w:r w:rsidRPr="00546E05">
        <w:rPr>
          <w:rFonts w:ascii="Marianne" w:hAnsi="Marianne" w:cstheme="minorHAnsi"/>
          <w:b/>
          <w:bCs/>
          <w:color w:val="465F9D"/>
          <w:sz w:val="22"/>
          <w:szCs w:val="22"/>
          <w:u w:val="single"/>
          <w:lang w:val="fr-FR"/>
        </w:rPr>
        <w:t>Monnaies fiduciaire</w:t>
      </w:r>
      <w:r w:rsidR="00546E05">
        <w:rPr>
          <w:rFonts w:ascii="Marianne" w:hAnsi="Marianne" w:cstheme="minorHAnsi"/>
          <w:b/>
          <w:bCs/>
          <w:color w:val="465F9D"/>
          <w:sz w:val="22"/>
          <w:szCs w:val="22"/>
          <w:u w:val="single"/>
          <w:lang w:val="fr-FR"/>
        </w:rPr>
        <w:t>s</w:t>
      </w:r>
      <w:r w:rsidRPr="00546E05">
        <w:rPr>
          <w:rFonts w:ascii="Marianne" w:hAnsi="Marianne" w:cstheme="minorHAnsi"/>
          <w:b/>
          <w:bCs/>
          <w:color w:val="465F9D"/>
          <w:sz w:val="22"/>
          <w:szCs w:val="22"/>
          <w:u w:val="single"/>
          <w:lang w:val="fr-FR"/>
        </w:rPr>
        <w:t xml:space="preserve"> et métallique</w:t>
      </w:r>
      <w:r w:rsidR="00546E05">
        <w:rPr>
          <w:rFonts w:ascii="Marianne" w:hAnsi="Marianne" w:cstheme="minorHAnsi"/>
          <w:b/>
          <w:bCs/>
          <w:color w:val="465F9D"/>
          <w:sz w:val="22"/>
          <w:szCs w:val="22"/>
          <w:u w:val="single"/>
          <w:lang w:val="fr-FR"/>
        </w:rPr>
        <w:t>s</w:t>
      </w:r>
      <w:bookmarkEnd w:id="8"/>
    </w:p>
    <w:p w14:paraId="177C8C97" w14:textId="77777777" w:rsidR="00A511FB" w:rsidRDefault="00A511FB" w:rsidP="00A511FB">
      <w:pPr>
        <w:rPr>
          <w:lang w:val="fr-FR"/>
        </w:rPr>
      </w:pPr>
    </w:p>
    <w:p w14:paraId="202A3714" w14:textId="77777777" w:rsidR="00D17711" w:rsidRDefault="00D17711" w:rsidP="009D451C">
      <w:pPr>
        <w:pStyle w:val="Titre4"/>
        <w:numPr>
          <w:ilvl w:val="0"/>
          <w:numId w:val="6"/>
        </w:numPr>
        <w:rPr>
          <w:rFonts w:asciiTheme="minorHAnsi" w:hAnsiTheme="minorHAnsi" w:cstheme="minorHAnsi"/>
          <w:color w:val="auto"/>
          <w:lang w:val="fr-FR"/>
        </w:rPr>
      </w:pPr>
      <w:r>
        <w:rPr>
          <w:rFonts w:asciiTheme="minorHAnsi" w:hAnsiTheme="minorHAnsi" w:cstheme="minorHAnsi"/>
          <w:color w:val="auto"/>
          <w:lang w:val="fr-FR"/>
        </w:rPr>
        <w:t xml:space="preserve">Les restrictions </w:t>
      </w:r>
      <w:r w:rsidR="00FA4E51">
        <w:rPr>
          <w:rFonts w:asciiTheme="minorHAnsi" w:hAnsiTheme="minorHAnsi" w:cstheme="minorHAnsi"/>
          <w:color w:val="auto"/>
          <w:lang w:val="fr-FR"/>
        </w:rPr>
        <w:t xml:space="preserve">de l’article </w:t>
      </w:r>
      <w:r w:rsidR="00980E93">
        <w:rPr>
          <w:rFonts w:asciiTheme="minorHAnsi" w:hAnsiTheme="minorHAnsi" w:cstheme="minorHAnsi"/>
          <w:color w:val="auto"/>
          <w:lang w:val="fr-FR"/>
        </w:rPr>
        <w:t xml:space="preserve">5 decies </w:t>
      </w:r>
      <w:r>
        <w:rPr>
          <w:rFonts w:asciiTheme="minorHAnsi" w:hAnsiTheme="minorHAnsi" w:cstheme="minorHAnsi"/>
          <w:color w:val="auto"/>
          <w:lang w:val="fr-FR"/>
        </w:rPr>
        <w:t>concernent-elles également les monnaies métalliques ?</w:t>
      </w:r>
    </w:p>
    <w:p w14:paraId="0E8FB2EA" w14:textId="77777777" w:rsidR="00D17711" w:rsidRDefault="00D17711" w:rsidP="00D17711">
      <w:pPr>
        <w:rPr>
          <w:lang w:val="fr-FR"/>
        </w:rPr>
      </w:pPr>
    </w:p>
    <w:p w14:paraId="39CF7AC6" w14:textId="77777777" w:rsidR="00D17711" w:rsidRPr="00D17711" w:rsidRDefault="00D17711" w:rsidP="00D17711">
      <w:pPr>
        <w:rPr>
          <w:rFonts w:asciiTheme="minorHAnsi" w:hAnsiTheme="minorHAnsi" w:cstheme="minorHAnsi"/>
          <w:lang w:val="fr-FR"/>
        </w:rPr>
      </w:pPr>
      <w:r w:rsidRPr="00D17711">
        <w:rPr>
          <w:rFonts w:asciiTheme="minorHAnsi" w:hAnsiTheme="minorHAnsi" w:cstheme="minorHAnsi"/>
          <w:lang w:val="fr-FR"/>
        </w:rPr>
        <w:t>Les dispositions de l'article 5 decies ne s'appliquent qu'aux billets.</w:t>
      </w:r>
    </w:p>
    <w:p w14:paraId="67A5C782" w14:textId="77777777" w:rsidR="00D17711" w:rsidRPr="00D17711" w:rsidRDefault="00D17711" w:rsidP="00D17711">
      <w:pPr>
        <w:rPr>
          <w:lang w:val="fr-FR"/>
        </w:rPr>
      </w:pPr>
    </w:p>
    <w:p w14:paraId="5DE3AE4D" w14:textId="77777777" w:rsidR="00D17711" w:rsidRDefault="00D17711" w:rsidP="009D451C">
      <w:pPr>
        <w:pStyle w:val="Titre4"/>
        <w:numPr>
          <w:ilvl w:val="0"/>
          <w:numId w:val="6"/>
        </w:numPr>
        <w:rPr>
          <w:rFonts w:asciiTheme="minorHAnsi" w:hAnsiTheme="minorHAnsi" w:cstheme="minorHAnsi"/>
          <w:color w:val="auto"/>
          <w:lang w:val="fr-FR"/>
        </w:rPr>
      </w:pPr>
      <w:r>
        <w:rPr>
          <w:rFonts w:asciiTheme="minorHAnsi" w:hAnsiTheme="minorHAnsi" w:cstheme="minorHAnsi"/>
          <w:color w:val="auto"/>
          <w:lang w:val="fr-FR"/>
        </w:rPr>
        <w:t xml:space="preserve">Quelle vigilance est attendue de la part des banques en application de l’article 5 decies ? </w:t>
      </w:r>
    </w:p>
    <w:p w14:paraId="02A2A548" w14:textId="77777777" w:rsidR="00D17711" w:rsidRDefault="00D17711" w:rsidP="00D17711">
      <w:pPr>
        <w:rPr>
          <w:lang w:val="fr-FR"/>
        </w:rPr>
      </w:pPr>
    </w:p>
    <w:p w14:paraId="34AB5E73" w14:textId="126589DF" w:rsidR="00D17711" w:rsidRPr="00D17711" w:rsidRDefault="00D17711" w:rsidP="00D17711">
      <w:pPr>
        <w:jc w:val="both"/>
        <w:rPr>
          <w:rFonts w:asciiTheme="minorHAnsi" w:hAnsiTheme="minorHAnsi" w:cstheme="minorHAnsi"/>
          <w:lang w:val="fr-FR"/>
        </w:rPr>
      </w:pPr>
      <w:r w:rsidRPr="00D17711">
        <w:rPr>
          <w:rFonts w:asciiTheme="minorHAnsi" w:hAnsiTheme="minorHAnsi" w:cstheme="minorHAnsi"/>
          <w:lang w:val="fr-FR"/>
        </w:rPr>
        <w:t>Pour les établissements bancaires, le contrôle préalable à la remise des billets en cas de réservation des fonds par un client constitue la première mesure de vigilance importante. Pour ce qui concerne les autres types de retraits, il est également attendu la plus grande vigilance dans la limite des moyens à la disposition des établissements. Il convient par exemple de porter une vigilance particulière aux retraits de somme</w:t>
      </w:r>
      <w:r>
        <w:rPr>
          <w:rFonts w:asciiTheme="minorHAnsi" w:hAnsiTheme="minorHAnsi" w:cstheme="minorHAnsi"/>
          <w:lang w:val="fr-FR"/>
        </w:rPr>
        <w:t>s</w:t>
      </w:r>
      <w:r w:rsidRPr="00D17711">
        <w:rPr>
          <w:rFonts w:asciiTheme="minorHAnsi" w:hAnsiTheme="minorHAnsi" w:cstheme="minorHAnsi"/>
          <w:lang w:val="fr-FR"/>
        </w:rPr>
        <w:t xml:space="preserve"> importante</w:t>
      </w:r>
      <w:r>
        <w:rPr>
          <w:rFonts w:asciiTheme="minorHAnsi" w:hAnsiTheme="minorHAnsi" w:cstheme="minorHAnsi"/>
          <w:lang w:val="fr-FR"/>
        </w:rPr>
        <w:t xml:space="preserve">s </w:t>
      </w:r>
      <w:r w:rsidRPr="00D17711">
        <w:rPr>
          <w:rFonts w:asciiTheme="minorHAnsi" w:hAnsiTheme="minorHAnsi" w:cstheme="minorHAnsi"/>
          <w:lang w:val="fr-FR"/>
        </w:rPr>
        <w:t xml:space="preserve">de liquidités par des personnes que l'établissement aurait </w:t>
      </w:r>
      <w:proofErr w:type="gramStart"/>
      <w:r w:rsidRPr="00D17711">
        <w:rPr>
          <w:rFonts w:asciiTheme="minorHAnsi" w:hAnsiTheme="minorHAnsi" w:cstheme="minorHAnsi"/>
          <w:lang w:val="fr-FR"/>
        </w:rPr>
        <w:t>identifié</w:t>
      </w:r>
      <w:r w:rsidR="00362DA7">
        <w:rPr>
          <w:rFonts w:asciiTheme="minorHAnsi" w:hAnsiTheme="minorHAnsi" w:cstheme="minorHAnsi"/>
          <w:lang w:val="fr-FR"/>
        </w:rPr>
        <w:t>s</w:t>
      </w:r>
      <w:proofErr w:type="gramEnd"/>
      <w:r w:rsidRPr="00D17711">
        <w:rPr>
          <w:rFonts w:asciiTheme="minorHAnsi" w:hAnsiTheme="minorHAnsi" w:cstheme="minorHAnsi"/>
          <w:lang w:val="fr-FR"/>
        </w:rPr>
        <w:t xml:space="preserve"> comme ayant des liens avec la Russie, et les signaler le cas éch</w:t>
      </w:r>
      <w:r>
        <w:rPr>
          <w:rFonts w:asciiTheme="minorHAnsi" w:hAnsiTheme="minorHAnsi" w:cstheme="minorHAnsi"/>
          <w:lang w:val="fr-FR"/>
        </w:rPr>
        <w:t xml:space="preserve">éant à l'autorité compétente. </w:t>
      </w:r>
    </w:p>
    <w:p w14:paraId="2D532A76" w14:textId="77777777" w:rsidR="00D17711" w:rsidRPr="00D17711" w:rsidRDefault="00D17711" w:rsidP="00D17711">
      <w:pPr>
        <w:rPr>
          <w:lang w:val="fr-FR"/>
        </w:rPr>
      </w:pPr>
    </w:p>
    <w:p w14:paraId="6A90C2B0" w14:textId="77777777" w:rsidR="00D17711" w:rsidRDefault="00D17711" w:rsidP="009D451C">
      <w:pPr>
        <w:pStyle w:val="Titre4"/>
        <w:numPr>
          <w:ilvl w:val="0"/>
          <w:numId w:val="6"/>
        </w:numPr>
        <w:rPr>
          <w:rFonts w:asciiTheme="minorHAnsi" w:hAnsiTheme="minorHAnsi" w:cstheme="minorHAnsi"/>
          <w:color w:val="auto"/>
          <w:lang w:val="fr-FR"/>
        </w:rPr>
      </w:pPr>
      <w:r w:rsidRPr="00D17711">
        <w:rPr>
          <w:rFonts w:asciiTheme="minorHAnsi" w:hAnsiTheme="minorHAnsi" w:cstheme="minorHAnsi"/>
          <w:color w:val="auto"/>
          <w:lang w:val="fr-FR"/>
        </w:rPr>
        <w:t>Comment faut-il interpréter l’article 5 decies paragraphe 1 et 2 a ?</w:t>
      </w:r>
    </w:p>
    <w:p w14:paraId="4E89C143" w14:textId="77777777" w:rsidR="00D17711" w:rsidRDefault="00D17711" w:rsidP="00D17711">
      <w:pPr>
        <w:rPr>
          <w:lang w:val="fr-FR"/>
        </w:rPr>
      </w:pPr>
    </w:p>
    <w:p w14:paraId="15C813B0" w14:textId="77777777" w:rsidR="00D17711" w:rsidRPr="00D17711" w:rsidRDefault="00D17711" w:rsidP="00D17711">
      <w:pPr>
        <w:jc w:val="both"/>
        <w:rPr>
          <w:rFonts w:asciiTheme="minorHAnsi" w:hAnsiTheme="minorHAnsi" w:cstheme="minorHAnsi"/>
          <w:lang w:val="fr-FR"/>
        </w:rPr>
      </w:pPr>
      <w:r w:rsidRPr="00D17711">
        <w:rPr>
          <w:rFonts w:asciiTheme="minorHAnsi" w:hAnsiTheme="minorHAnsi" w:cstheme="minorHAnsi"/>
          <w:lang w:val="fr-FR"/>
        </w:rPr>
        <w:t>Il est interdit de remettre des espèces à des personnes morales ou organismes ayant leur siège en Russie ainsi qu’aux implantations (</w:t>
      </w:r>
      <w:r w:rsidR="00411005">
        <w:rPr>
          <w:rFonts w:asciiTheme="minorHAnsi" w:hAnsiTheme="minorHAnsi" w:cstheme="minorHAnsi"/>
          <w:lang w:val="fr-FR"/>
        </w:rPr>
        <w:t xml:space="preserve">filiales ou </w:t>
      </w:r>
      <w:r w:rsidRPr="00D17711">
        <w:rPr>
          <w:rFonts w:asciiTheme="minorHAnsi" w:hAnsiTheme="minorHAnsi" w:cstheme="minorHAnsi"/>
          <w:lang w:val="fr-FR"/>
        </w:rPr>
        <w:t>succursales) russes de personnes morales ayant leur siège hors de Russie. Des billets en euros peuvent être fournis à des personnes physiques (y compris à des ressortissants russes) si plusieurs conditions sont remplies :</w:t>
      </w:r>
    </w:p>
    <w:p w14:paraId="37A81371" w14:textId="32F4E941" w:rsidR="00D17711" w:rsidRPr="00A9090A" w:rsidRDefault="00D17711" w:rsidP="009D451C">
      <w:pPr>
        <w:pStyle w:val="Paragraphedeliste"/>
        <w:numPr>
          <w:ilvl w:val="0"/>
          <w:numId w:val="7"/>
        </w:numPr>
        <w:jc w:val="both"/>
        <w:rPr>
          <w:rFonts w:cstheme="minorHAnsi"/>
        </w:rPr>
      </w:pPr>
      <w:proofErr w:type="gramStart"/>
      <w:r w:rsidRPr="006A2713">
        <w:rPr>
          <w:rFonts w:cstheme="minorHAnsi"/>
        </w:rPr>
        <w:t>ces</w:t>
      </w:r>
      <w:proofErr w:type="gramEnd"/>
      <w:r w:rsidRPr="006A2713">
        <w:rPr>
          <w:rFonts w:cstheme="minorHAnsi"/>
        </w:rPr>
        <w:t xml:space="preserve"> personnes ne résident pas en Russie et/ou ne se trouvent pas sur le territoire russe au moment où elles sollicitent la fourniture de billets ; et</w:t>
      </w:r>
    </w:p>
    <w:p w14:paraId="45FE9AFC" w14:textId="78A5333C" w:rsidR="00D17711" w:rsidRPr="009321DC" w:rsidRDefault="00D17711" w:rsidP="009D451C">
      <w:pPr>
        <w:pStyle w:val="Paragraphedeliste"/>
        <w:numPr>
          <w:ilvl w:val="0"/>
          <w:numId w:val="7"/>
        </w:numPr>
        <w:jc w:val="both"/>
        <w:rPr>
          <w:rFonts w:cstheme="minorHAnsi"/>
        </w:rPr>
      </w:pPr>
      <w:proofErr w:type="gramStart"/>
      <w:r w:rsidRPr="009321DC">
        <w:rPr>
          <w:rFonts w:cstheme="minorHAnsi"/>
        </w:rPr>
        <w:t>si</w:t>
      </w:r>
      <w:proofErr w:type="gramEnd"/>
      <w:r w:rsidRPr="009321DC">
        <w:rPr>
          <w:rFonts w:cstheme="minorHAnsi"/>
        </w:rPr>
        <w:t xml:space="preserve"> elles se rendent en Russie, elles utiliseront ces billets uniquement afin de subvenir aux dépenses du voyage de la personne et des membres de leur famille proche voyageant avec elles (et ne devraient pas pouvoir les utiliser pour un usage professionnel/commercial ou les remettre à des connaissances et proches sur place).</w:t>
      </w:r>
    </w:p>
    <w:p w14:paraId="538C9395" w14:textId="77777777" w:rsidR="00D17711" w:rsidRPr="00D17711" w:rsidRDefault="00D17711" w:rsidP="00D17711">
      <w:pPr>
        <w:jc w:val="both"/>
        <w:rPr>
          <w:rFonts w:asciiTheme="minorHAnsi" w:hAnsiTheme="minorHAnsi" w:cstheme="minorHAnsi"/>
          <w:lang w:val="fr-FR"/>
        </w:rPr>
      </w:pPr>
    </w:p>
    <w:p w14:paraId="42B2D5C0" w14:textId="77777777" w:rsidR="002A5FBF" w:rsidRDefault="00D17711" w:rsidP="002A5FBF">
      <w:pPr>
        <w:jc w:val="both"/>
        <w:rPr>
          <w:rFonts w:asciiTheme="minorHAnsi" w:hAnsiTheme="minorHAnsi" w:cstheme="minorHAnsi"/>
          <w:lang w:val="fr-FR"/>
        </w:rPr>
      </w:pPr>
      <w:r w:rsidRPr="00D17711">
        <w:rPr>
          <w:rFonts w:asciiTheme="minorHAnsi" w:hAnsiTheme="minorHAnsi" w:cstheme="minorHAnsi"/>
          <w:lang w:val="fr-FR"/>
        </w:rPr>
        <w:lastRenderedPageBreak/>
        <w:t>Ces conditions s’appliquent dès lors qu’il ne s’agit pas d’une démarche comme relevant d'un contournement des sanctions. A cet égard, la disposition précise que l'exportation doit être nécessaire à l’usage personnel des personnes physiques se rendant en Russie ou de leurs parents proches qui voyagent avec elles. L'évaluation du montant concerné par la rédaction, en particulier, sera donc nécessairement pris en considération pour déterminer les cas de contournement.</w:t>
      </w:r>
    </w:p>
    <w:p w14:paraId="77BA3032" w14:textId="77777777" w:rsidR="002A5FBF" w:rsidRDefault="002A5FBF" w:rsidP="002A5FBF">
      <w:pPr>
        <w:jc w:val="both"/>
        <w:rPr>
          <w:rFonts w:asciiTheme="minorHAnsi" w:hAnsiTheme="minorHAnsi" w:cstheme="minorHAnsi"/>
          <w:lang w:val="fr-FR"/>
        </w:rPr>
      </w:pPr>
    </w:p>
    <w:p w14:paraId="1D6917BA" w14:textId="1E1552DD" w:rsidR="002A5FBF" w:rsidRPr="002A5FBF" w:rsidRDefault="002A5FBF" w:rsidP="009D451C">
      <w:pPr>
        <w:pStyle w:val="Titre3"/>
        <w:numPr>
          <w:ilvl w:val="0"/>
          <w:numId w:val="8"/>
        </w:numPr>
        <w:rPr>
          <w:rFonts w:ascii="Marianne" w:hAnsi="Marianne" w:cstheme="minorHAnsi"/>
          <w:b/>
          <w:bCs/>
          <w:color w:val="465F9D"/>
          <w:sz w:val="22"/>
          <w:szCs w:val="22"/>
          <w:u w:val="single"/>
          <w:lang w:val="fr-FR"/>
        </w:rPr>
      </w:pPr>
      <w:bookmarkStart w:id="9" w:name="_Toc117868034"/>
      <w:r w:rsidRPr="002A5FBF">
        <w:rPr>
          <w:rFonts w:ascii="Marianne" w:hAnsi="Marianne" w:cstheme="minorHAnsi"/>
          <w:b/>
          <w:bCs/>
          <w:color w:val="465F9D"/>
          <w:sz w:val="22"/>
          <w:szCs w:val="22"/>
          <w:u w:val="single"/>
          <w:lang w:val="fr-FR"/>
        </w:rPr>
        <w:t xml:space="preserve">Mesures relatives au National </w:t>
      </w:r>
      <w:proofErr w:type="spellStart"/>
      <w:r w:rsidRPr="002A5FBF">
        <w:rPr>
          <w:rFonts w:ascii="Marianne" w:hAnsi="Marianne" w:cstheme="minorHAnsi"/>
          <w:b/>
          <w:bCs/>
          <w:color w:val="465F9D"/>
          <w:sz w:val="22"/>
          <w:szCs w:val="22"/>
          <w:u w:val="single"/>
          <w:lang w:val="fr-FR"/>
        </w:rPr>
        <w:t>Settlement</w:t>
      </w:r>
      <w:proofErr w:type="spellEnd"/>
      <w:r w:rsidRPr="002A5FBF">
        <w:rPr>
          <w:rFonts w:ascii="Marianne" w:hAnsi="Marianne" w:cstheme="minorHAnsi"/>
          <w:b/>
          <w:bCs/>
          <w:color w:val="465F9D"/>
          <w:sz w:val="22"/>
          <w:szCs w:val="22"/>
          <w:u w:val="single"/>
          <w:lang w:val="fr-FR"/>
        </w:rPr>
        <w:t xml:space="preserve"> </w:t>
      </w:r>
      <w:proofErr w:type="spellStart"/>
      <w:r w:rsidRPr="002A5FBF">
        <w:rPr>
          <w:rFonts w:ascii="Marianne" w:hAnsi="Marianne" w:cstheme="minorHAnsi"/>
          <w:b/>
          <w:bCs/>
          <w:color w:val="465F9D"/>
          <w:sz w:val="22"/>
          <w:szCs w:val="22"/>
          <w:u w:val="single"/>
          <w:lang w:val="fr-FR"/>
        </w:rPr>
        <w:t>Depositary</w:t>
      </w:r>
      <w:proofErr w:type="spellEnd"/>
      <w:r w:rsidRPr="002A5FBF">
        <w:rPr>
          <w:rFonts w:ascii="Marianne" w:hAnsi="Marianne" w:cstheme="minorHAnsi"/>
          <w:b/>
          <w:bCs/>
          <w:color w:val="465F9D"/>
          <w:sz w:val="22"/>
          <w:szCs w:val="22"/>
          <w:u w:val="single"/>
          <w:lang w:val="fr-FR"/>
        </w:rPr>
        <w:t xml:space="preserve"> (NSD)</w:t>
      </w:r>
      <w:bookmarkEnd w:id="9"/>
    </w:p>
    <w:p w14:paraId="63C00400" w14:textId="77777777" w:rsidR="002A5FBF" w:rsidRDefault="002A5FBF" w:rsidP="002A5FBF">
      <w:pPr>
        <w:pStyle w:val="Corpsdetexte"/>
        <w:rPr>
          <w:rFonts w:asciiTheme="minorHAnsi" w:hAnsiTheme="minorHAnsi" w:cstheme="minorHAnsi"/>
          <w:b/>
          <w:sz w:val="22"/>
          <w:szCs w:val="22"/>
        </w:rPr>
      </w:pPr>
    </w:p>
    <w:p w14:paraId="58664E23" w14:textId="4F9A7EDF" w:rsidR="002A5FBF" w:rsidRPr="002A5FBF" w:rsidRDefault="00210AFD" w:rsidP="002A5FBF">
      <w:pPr>
        <w:pStyle w:val="Corpsdetexte"/>
        <w:jc w:val="both"/>
        <w:rPr>
          <w:rFonts w:asciiTheme="minorHAnsi" w:hAnsiTheme="minorHAnsi" w:cstheme="minorHAnsi"/>
          <w:sz w:val="22"/>
          <w:szCs w:val="22"/>
        </w:rPr>
      </w:pPr>
      <w:r>
        <w:rPr>
          <w:rFonts w:asciiTheme="minorHAnsi" w:hAnsiTheme="minorHAnsi" w:cstheme="minorHAnsi"/>
          <w:sz w:val="22"/>
          <w:szCs w:val="22"/>
        </w:rPr>
        <w:t xml:space="preserve">Le </w:t>
      </w:r>
      <w:r w:rsidR="002A5FBF" w:rsidRPr="002A5FBF">
        <w:rPr>
          <w:rFonts w:asciiTheme="minorHAnsi" w:hAnsiTheme="minorHAnsi" w:cstheme="minorHAnsi"/>
          <w:sz w:val="22"/>
          <w:szCs w:val="22"/>
        </w:rPr>
        <w:t>NSD est un établissement financier non bancaire russe et un dépositaire central de titres en Russie. Il s’agit du principal dépositaire de titres de Russie, par la valeur des capitaux propres et titres de créance détenus, et le seul à avoir accès au système financier international.</w:t>
      </w:r>
    </w:p>
    <w:p w14:paraId="67D08242" w14:textId="77777777" w:rsidR="002A5FBF" w:rsidRPr="002A5FBF" w:rsidRDefault="002A5FBF" w:rsidP="002A5FBF">
      <w:pPr>
        <w:pStyle w:val="Corpsdetexte"/>
        <w:jc w:val="both"/>
        <w:rPr>
          <w:rFonts w:asciiTheme="minorHAnsi" w:hAnsiTheme="minorHAnsi" w:cstheme="minorHAnsi"/>
          <w:sz w:val="22"/>
          <w:szCs w:val="22"/>
        </w:rPr>
      </w:pPr>
    </w:p>
    <w:p w14:paraId="45220D3F" w14:textId="0E2A68F7" w:rsidR="002A5FBF" w:rsidRDefault="002A5FBF" w:rsidP="002A5FBF">
      <w:pPr>
        <w:pStyle w:val="Corpsdetexte"/>
        <w:jc w:val="both"/>
        <w:rPr>
          <w:rFonts w:asciiTheme="minorHAnsi" w:hAnsiTheme="minorHAnsi" w:cstheme="minorHAnsi"/>
          <w:sz w:val="22"/>
          <w:szCs w:val="22"/>
        </w:rPr>
      </w:pPr>
      <w:r w:rsidRPr="002A5FBF">
        <w:rPr>
          <w:rFonts w:asciiTheme="minorHAnsi" w:hAnsiTheme="minorHAnsi" w:cstheme="minorHAnsi"/>
          <w:sz w:val="22"/>
          <w:szCs w:val="22"/>
        </w:rPr>
        <w:t>Il est reconnu comme un établissement financier russe d’importance systémique par le gouvernement et la Banque centrale de Russie. Il joue un rôle essentiel dans le fonctionnement du système financier russe et sa connexion au système financier international, permettant ainsi directement et indirectement au gouvernement russe de mener ses activités et politiques et de mobiliser ses ressources.</w:t>
      </w:r>
    </w:p>
    <w:p w14:paraId="0C0988CD" w14:textId="77777777" w:rsidR="002A5FBF" w:rsidRPr="002A5FBF" w:rsidRDefault="002A5FBF" w:rsidP="002A5FBF">
      <w:pPr>
        <w:pStyle w:val="Corpsdetexte"/>
        <w:jc w:val="both"/>
        <w:rPr>
          <w:rFonts w:asciiTheme="minorHAnsi" w:hAnsiTheme="minorHAnsi" w:cstheme="minorHAnsi"/>
          <w:sz w:val="22"/>
          <w:szCs w:val="22"/>
        </w:rPr>
      </w:pPr>
    </w:p>
    <w:p w14:paraId="5DF49E6C" w14:textId="71C0D7F9" w:rsidR="002A5FBF" w:rsidRPr="002A5FBF" w:rsidRDefault="002A5FBF" w:rsidP="009D451C">
      <w:pPr>
        <w:pStyle w:val="Titre4"/>
        <w:numPr>
          <w:ilvl w:val="0"/>
          <w:numId w:val="12"/>
        </w:numPr>
        <w:ind w:left="1560"/>
        <w:rPr>
          <w:rFonts w:asciiTheme="minorHAnsi" w:hAnsiTheme="minorHAnsi" w:cstheme="minorHAnsi"/>
          <w:color w:val="auto"/>
          <w:lang w:val="fr-FR"/>
        </w:rPr>
      </w:pPr>
      <w:r w:rsidRPr="002A5FBF">
        <w:rPr>
          <w:rFonts w:asciiTheme="minorHAnsi" w:hAnsiTheme="minorHAnsi" w:cstheme="minorHAnsi"/>
          <w:color w:val="auto"/>
          <w:lang w:val="fr-FR"/>
        </w:rPr>
        <w:t>Puis-je librement acheter ou vendre des actions et obligations de droit russe ?</w:t>
      </w:r>
    </w:p>
    <w:p w14:paraId="0C6E7F1D" w14:textId="77777777" w:rsidR="002A5FBF" w:rsidRPr="002A5FBF" w:rsidRDefault="002A5FBF" w:rsidP="002A5FBF">
      <w:pPr>
        <w:rPr>
          <w:lang w:val="fr-FR"/>
        </w:rPr>
      </w:pPr>
    </w:p>
    <w:p w14:paraId="060F21E7" w14:textId="64D1D55F" w:rsidR="002A5FBF" w:rsidRPr="00210AFD" w:rsidRDefault="002A5FBF" w:rsidP="00210AFD">
      <w:pPr>
        <w:pStyle w:val="Corpsdetexte"/>
        <w:jc w:val="both"/>
        <w:rPr>
          <w:rFonts w:asciiTheme="minorHAnsi" w:hAnsiTheme="minorHAnsi" w:cstheme="minorHAnsi"/>
          <w:sz w:val="22"/>
          <w:szCs w:val="22"/>
        </w:rPr>
      </w:pPr>
      <w:r w:rsidRPr="00210AFD">
        <w:rPr>
          <w:rFonts w:asciiTheme="minorHAnsi" w:hAnsiTheme="minorHAnsi" w:cstheme="minorHAnsi"/>
          <w:sz w:val="22"/>
          <w:szCs w:val="22"/>
        </w:rPr>
        <w:t xml:space="preserve">Non, ces opérations impliquent nécessairement le dépositaire central de titres russes, le National </w:t>
      </w:r>
      <w:proofErr w:type="spellStart"/>
      <w:r w:rsidRPr="00210AFD">
        <w:rPr>
          <w:rFonts w:asciiTheme="minorHAnsi" w:hAnsiTheme="minorHAnsi" w:cstheme="minorHAnsi"/>
          <w:sz w:val="22"/>
          <w:szCs w:val="22"/>
        </w:rPr>
        <w:t>Settlement</w:t>
      </w:r>
      <w:proofErr w:type="spellEnd"/>
      <w:r w:rsidRPr="00210AFD">
        <w:rPr>
          <w:rFonts w:asciiTheme="minorHAnsi" w:hAnsiTheme="minorHAnsi" w:cstheme="minorHAnsi"/>
          <w:sz w:val="22"/>
          <w:szCs w:val="22"/>
        </w:rPr>
        <w:t xml:space="preserve"> </w:t>
      </w:r>
      <w:proofErr w:type="spellStart"/>
      <w:r w:rsidRPr="00210AFD">
        <w:rPr>
          <w:rFonts w:asciiTheme="minorHAnsi" w:hAnsiTheme="minorHAnsi" w:cstheme="minorHAnsi"/>
          <w:sz w:val="22"/>
          <w:szCs w:val="22"/>
        </w:rPr>
        <w:t>Depositary</w:t>
      </w:r>
      <w:proofErr w:type="spellEnd"/>
      <w:r w:rsidRPr="00210AFD">
        <w:rPr>
          <w:rFonts w:asciiTheme="minorHAnsi" w:hAnsiTheme="minorHAnsi" w:cstheme="minorHAnsi"/>
          <w:sz w:val="22"/>
          <w:szCs w:val="22"/>
        </w:rPr>
        <w:t xml:space="preserve"> (NSD). Or, celui-ci a été placé sur la liste des entités soumises au régime de gel d’</w:t>
      </w:r>
      <w:proofErr w:type="spellStart"/>
      <w:r w:rsidRPr="00210AFD">
        <w:rPr>
          <w:rFonts w:asciiTheme="minorHAnsi" w:hAnsiTheme="minorHAnsi" w:cstheme="minorHAnsi"/>
          <w:sz w:val="22"/>
          <w:szCs w:val="22"/>
        </w:rPr>
        <w:t>avoirs</w:t>
      </w:r>
      <w:proofErr w:type="spellEnd"/>
      <w:r w:rsidRPr="00210AFD">
        <w:rPr>
          <w:rFonts w:asciiTheme="minorHAnsi" w:hAnsiTheme="minorHAnsi" w:cstheme="minorHAnsi"/>
          <w:sz w:val="22"/>
          <w:szCs w:val="22"/>
        </w:rPr>
        <w:t xml:space="preserve"> au titre du règlement (UE) n° 269/2014 le 3 juin 2022, ce qui interdit toute transaction directe ou indirecte. </w:t>
      </w:r>
    </w:p>
    <w:p w14:paraId="19B9192C" w14:textId="77777777" w:rsidR="002A5FBF" w:rsidRPr="00210AFD" w:rsidRDefault="002A5FBF" w:rsidP="00210AFD">
      <w:pPr>
        <w:pStyle w:val="Corpsdetexte"/>
        <w:jc w:val="both"/>
        <w:rPr>
          <w:rFonts w:asciiTheme="minorHAnsi" w:hAnsiTheme="minorHAnsi" w:cstheme="minorHAnsi"/>
          <w:sz w:val="22"/>
          <w:szCs w:val="22"/>
        </w:rPr>
      </w:pPr>
    </w:p>
    <w:p w14:paraId="0D944E66" w14:textId="0FCF2B34" w:rsidR="002A5FBF" w:rsidRPr="002A5FBF" w:rsidRDefault="002A5FBF" w:rsidP="00210AFD">
      <w:pPr>
        <w:pStyle w:val="Corpsdetexte"/>
        <w:jc w:val="both"/>
      </w:pPr>
      <w:r w:rsidRPr="00210AFD">
        <w:rPr>
          <w:rFonts w:asciiTheme="minorHAnsi" w:hAnsiTheme="minorHAnsi" w:cstheme="minorHAnsi"/>
          <w:sz w:val="22"/>
          <w:szCs w:val="22"/>
        </w:rPr>
        <w:t>Une dérogation a cependant été introduite à l’article 6 ter (5) du règlement (UE) n°269/2014, pour permettre aux investisseurs concernés de solliciter une dérogation auprès de leur autorité nationale compétente en matière de sanctions afin d’exécuter certaines transactions nécessaires pour mettre fin, au plus tard le 7 janvier 2023, à des opérations, contrats ou autres accords conclus avec le NSD ou l'impliquant d'une autre manière avant le 3 juin 2022. Cette dérogation peut être sollicitée auprès de la direction générale du Trésor, via le</w:t>
      </w:r>
      <w:r w:rsidRPr="002A5FBF">
        <w:t xml:space="preserve"> </w:t>
      </w:r>
      <w:hyperlink r:id="rId22" w:history="1">
        <w:r w:rsidRPr="00210AFD">
          <w:rPr>
            <w:rStyle w:val="Lienhypertexte"/>
            <w:rFonts w:asciiTheme="minorHAnsi" w:hAnsiTheme="minorHAnsi" w:cstheme="minorHAnsi"/>
            <w:sz w:val="22"/>
            <w:szCs w:val="22"/>
          </w:rPr>
          <w:t>Téléservice Sanctions Financières Internationales</w:t>
        </w:r>
      </w:hyperlink>
      <w:r w:rsidRPr="00210AFD">
        <w:rPr>
          <w:rFonts w:asciiTheme="minorHAnsi" w:hAnsiTheme="minorHAnsi" w:cstheme="minorHAnsi"/>
          <w:sz w:val="22"/>
          <w:szCs w:val="22"/>
        </w:rPr>
        <w:t>, pour les seules opérations de ventes de titres de droit russe. Les opérations d’achats de titres russes restent en revanche interdites</w:t>
      </w:r>
      <w:r w:rsidRPr="002A5FBF">
        <w:t xml:space="preserve">. </w:t>
      </w:r>
    </w:p>
    <w:p w14:paraId="0D904A5E" w14:textId="77777777" w:rsidR="002A5FBF" w:rsidRPr="002A5FBF" w:rsidRDefault="002A5FBF" w:rsidP="002A5FBF">
      <w:pPr>
        <w:jc w:val="both"/>
        <w:rPr>
          <w:rFonts w:asciiTheme="minorHAnsi" w:hAnsiTheme="minorHAnsi" w:cstheme="minorHAnsi"/>
          <w:lang w:val="fr-FR"/>
        </w:rPr>
      </w:pPr>
    </w:p>
    <w:p w14:paraId="7381AB2C" w14:textId="06868180" w:rsidR="002A5FBF" w:rsidRPr="002A5FBF" w:rsidRDefault="002A5FBF" w:rsidP="002A5FBF">
      <w:pPr>
        <w:jc w:val="both"/>
        <w:rPr>
          <w:rFonts w:asciiTheme="minorHAnsi" w:hAnsiTheme="minorHAnsi" w:cstheme="minorHAnsi"/>
          <w:lang w:val="fr-FR"/>
        </w:rPr>
      </w:pPr>
      <w:r w:rsidRPr="002A5FBF">
        <w:rPr>
          <w:rFonts w:asciiTheme="minorHAnsi" w:hAnsiTheme="minorHAnsi" w:cstheme="minorHAnsi"/>
          <w:lang w:val="fr-FR"/>
        </w:rPr>
        <w:t xml:space="preserve">Toutes questions au sujet de cette dérogation peuvent être adressées à la direction générale du Trésor à cette adresse : </w:t>
      </w:r>
      <w:hyperlink r:id="rId23" w:history="1">
        <w:r w:rsidRPr="00210AFD">
          <w:rPr>
            <w:rStyle w:val="Lienhypertexte"/>
            <w:rFonts w:asciiTheme="minorHAnsi" w:hAnsiTheme="minorHAnsi" w:cstheme="minorHAnsi"/>
            <w:lang w:val="fr-FR"/>
          </w:rPr>
          <w:t>sanctions-gel-avoirs@dgtresor.gouv.fr</w:t>
        </w:r>
      </w:hyperlink>
    </w:p>
    <w:p w14:paraId="5090AB92" w14:textId="77777777" w:rsidR="002A5FBF" w:rsidRPr="002A5FBF" w:rsidRDefault="002A5FBF" w:rsidP="002A5FBF">
      <w:pPr>
        <w:rPr>
          <w:lang w:val="fr-FR"/>
        </w:rPr>
      </w:pPr>
    </w:p>
    <w:p w14:paraId="46E0B482" w14:textId="7D4B0F28" w:rsidR="002A5FBF" w:rsidRPr="00210AFD" w:rsidRDefault="002A5FBF" w:rsidP="009D451C">
      <w:pPr>
        <w:pStyle w:val="Titre4"/>
        <w:numPr>
          <w:ilvl w:val="0"/>
          <w:numId w:val="12"/>
        </w:numPr>
        <w:ind w:left="1560"/>
        <w:rPr>
          <w:rFonts w:asciiTheme="minorHAnsi" w:hAnsiTheme="minorHAnsi" w:cstheme="minorHAnsi"/>
          <w:color w:val="auto"/>
          <w:lang w:val="fr-FR"/>
        </w:rPr>
      </w:pPr>
      <w:r w:rsidRPr="00210AFD">
        <w:rPr>
          <w:rFonts w:asciiTheme="minorHAnsi" w:hAnsiTheme="minorHAnsi" w:cstheme="minorHAnsi"/>
          <w:color w:val="auto"/>
          <w:lang w:val="fr-FR"/>
        </w:rPr>
        <w:t>Puis-je librement acheter, convertir ou vendre des certificats de dépôts adossés à des titres russes</w:t>
      </w:r>
      <w:r w:rsidR="00210AFD">
        <w:rPr>
          <w:rFonts w:asciiTheme="minorHAnsi" w:hAnsiTheme="minorHAnsi" w:cstheme="minorHAnsi"/>
          <w:color w:val="auto"/>
          <w:lang w:val="fr-FR"/>
        </w:rPr>
        <w:t xml:space="preserve"> </w:t>
      </w:r>
      <w:r w:rsidRPr="00210AFD">
        <w:rPr>
          <w:rFonts w:asciiTheme="minorHAnsi" w:hAnsiTheme="minorHAnsi" w:cstheme="minorHAnsi"/>
          <w:color w:val="auto"/>
          <w:lang w:val="fr-FR"/>
        </w:rPr>
        <w:t xml:space="preserve">? </w:t>
      </w:r>
    </w:p>
    <w:p w14:paraId="3579C01C" w14:textId="77777777" w:rsidR="002A5FBF" w:rsidRPr="002A5FBF" w:rsidRDefault="002A5FBF" w:rsidP="002A5FBF">
      <w:pPr>
        <w:rPr>
          <w:lang w:val="fr-FR"/>
        </w:rPr>
      </w:pPr>
    </w:p>
    <w:p w14:paraId="1ACBC6B2" w14:textId="4FA59CB8" w:rsidR="002A5FBF" w:rsidRDefault="002A5FBF" w:rsidP="00210AFD">
      <w:pPr>
        <w:jc w:val="both"/>
        <w:rPr>
          <w:rFonts w:asciiTheme="minorHAnsi" w:hAnsiTheme="minorHAnsi" w:cstheme="minorHAnsi"/>
          <w:lang w:val="fr-FR"/>
        </w:rPr>
      </w:pPr>
      <w:r w:rsidRPr="00210AFD">
        <w:rPr>
          <w:rFonts w:asciiTheme="minorHAnsi" w:hAnsiTheme="minorHAnsi" w:cstheme="minorHAnsi"/>
          <w:lang w:val="fr-FR"/>
        </w:rPr>
        <w:t>Conformément au point précédent, seules les opérations nécessaires au désengagement de contrats impliquant le NSD d’une manière ou d’une autre et conclus avant le 3 juin 2022 sont susceptibles de bénéficier d’une dérogation, dont la demande doit être adressée à la direction générale du Trésor via le Téléservice Sanctions Financières Internationales. Dans ce cadre, seules les opérations de conversion ou de vente de certificats de dépôts adossés à des titres russes pourront faire l’objet d’une demande de dérogation auprès de la direction générale du Trésor.</w:t>
      </w:r>
    </w:p>
    <w:p w14:paraId="1F7A2280" w14:textId="77777777" w:rsidR="00210AFD" w:rsidRPr="00210AFD" w:rsidRDefault="00210AFD" w:rsidP="00210AFD">
      <w:pPr>
        <w:jc w:val="both"/>
        <w:rPr>
          <w:rFonts w:asciiTheme="minorHAnsi" w:hAnsiTheme="minorHAnsi" w:cstheme="minorHAnsi"/>
          <w:lang w:val="fr-FR"/>
        </w:rPr>
      </w:pPr>
    </w:p>
    <w:p w14:paraId="052B93FF" w14:textId="461D1F46" w:rsidR="002A5FBF" w:rsidRPr="00210AFD" w:rsidRDefault="002A5FBF" w:rsidP="009D451C">
      <w:pPr>
        <w:pStyle w:val="Titre4"/>
        <w:numPr>
          <w:ilvl w:val="0"/>
          <w:numId w:val="12"/>
        </w:numPr>
        <w:ind w:left="1560"/>
        <w:rPr>
          <w:rFonts w:asciiTheme="minorHAnsi" w:hAnsiTheme="minorHAnsi" w:cstheme="minorHAnsi"/>
          <w:color w:val="auto"/>
          <w:lang w:val="fr-FR"/>
        </w:rPr>
      </w:pPr>
      <w:r w:rsidRPr="00210AFD">
        <w:rPr>
          <w:rFonts w:asciiTheme="minorHAnsi" w:hAnsiTheme="minorHAnsi" w:cstheme="minorHAnsi"/>
          <w:color w:val="auto"/>
          <w:lang w:val="fr-FR"/>
        </w:rPr>
        <w:t xml:space="preserve">Puis-je rapatrier des sommes en dépôt auprès du NSD ? </w:t>
      </w:r>
    </w:p>
    <w:p w14:paraId="73D95142" w14:textId="77777777" w:rsidR="002A5FBF" w:rsidRPr="002A5FBF" w:rsidRDefault="002A5FBF" w:rsidP="00210AFD">
      <w:pPr>
        <w:jc w:val="both"/>
        <w:rPr>
          <w:lang w:val="fr-FR"/>
        </w:rPr>
      </w:pPr>
    </w:p>
    <w:p w14:paraId="730F56F2" w14:textId="77777777" w:rsidR="002A5FBF" w:rsidRPr="00210AFD" w:rsidRDefault="002A5FBF" w:rsidP="00210AFD">
      <w:pPr>
        <w:jc w:val="both"/>
        <w:rPr>
          <w:rFonts w:asciiTheme="minorHAnsi" w:hAnsiTheme="minorHAnsi" w:cstheme="minorHAnsi"/>
          <w:lang w:val="fr-FR"/>
        </w:rPr>
      </w:pPr>
      <w:r w:rsidRPr="00210AFD">
        <w:rPr>
          <w:rFonts w:asciiTheme="minorHAnsi" w:hAnsiTheme="minorHAnsi" w:cstheme="minorHAnsi"/>
          <w:lang w:val="fr-FR"/>
        </w:rPr>
        <w:t>Les opérateurs qui disposent de sommes laissées en compte auprès du NSD et désireux de les rapatrier peuvent solliciter l’octroi d’une dérogation auprès de la direction générale du trésor.</w:t>
      </w:r>
    </w:p>
    <w:sectPr w:rsidR="002A5FBF" w:rsidRPr="00210AFD" w:rsidSect="00F4646B">
      <w:headerReference w:type="default" r:id="rId24"/>
      <w:footerReference w:type="default" r:id="rId25"/>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3FD6" w14:textId="77777777" w:rsidR="00456C4A" w:rsidRDefault="00456C4A">
      <w:r>
        <w:separator/>
      </w:r>
    </w:p>
  </w:endnote>
  <w:endnote w:type="continuationSeparator" w:id="0">
    <w:p w14:paraId="216F1E6E" w14:textId="77777777" w:rsidR="00456C4A" w:rsidRDefault="0045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8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EndPr>
      <w:rPr>
        <w:rStyle w:val="Numrodepage"/>
      </w:rPr>
    </w:sdtEndPr>
    <w:sdtContent>
      <w:p w14:paraId="290B30B6" w14:textId="77777777" w:rsidR="00244DA8" w:rsidRDefault="00244DA8" w:rsidP="00F4646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587C2D" w14:textId="77777777" w:rsidR="00244DA8" w:rsidRDefault="00244D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12400"/>
      <w:docPartObj>
        <w:docPartGallery w:val="Page Numbers (Bottom of Page)"/>
        <w:docPartUnique/>
      </w:docPartObj>
    </w:sdtPr>
    <w:sdtEndPr/>
    <w:sdtContent>
      <w:p w14:paraId="217239CC" w14:textId="2E6A8B83" w:rsidR="00244DA8" w:rsidRPr="004D5E4E" w:rsidRDefault="00244DA8" w:rsidP="004D5E4E">
        <w:pPr>
          <w:pStyle w:val="Pieddepage"/>
          <w:jc w:val="right"/>
        </w:pPr>
        <w:r>
          <w:fldChar w:fldCharType="begin"/>
        </w:r>
        <w:r>
          <w:instrText>PAGE   \* MERGEFORMAT</w:instrText>
        </w:r>
        <w:r>
          <w:fldChar w:fldCharType="separate"/>
        </w:r>
        <w:r w:rsidR="002433B8" w:rsidRPr="002433B8">
          <w:rPr>
            <w:noProof/>
            <w:lang w:val="fr-FR"/>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87B4" w14:textId="77777777" w:rsidR="00456C4A" w:rsidRDefault="00456C4A">
      <w:r>
        <w:separator/>
      </w:r>
    </w:p>
  </w:footnote>
  <w:footnote w:type="continuationSeparator" w:id="0">
    <w:p w14:paraId="6C89EA85" w14:textId="77777777" w:rsidR="00456C4A" w:rsidRDefault="00456C4A">
      <w:r>
        <w:continuationSeparator/>
      </w:r>
    </w:p>
  </w:footnote>
  <w:footnote w:id="1">
    <w:p w14:paraId="6D1FE198" w14:textId="77777777" w:rsidR="00D6557E" w:rsidRPr="00EC2750" w:rsidRDefault="00D6557E" w:rsidP="00D6557E">
      <w:pPr>
        <w:pStyle w:val="Notedebasdepage"/>
        <w:rPr>
          <w:rFonts w:asciiTheme="minorHAnsi" w:hAnsiTheme="minorHAnsi" w:cstheme="minorHAnsi"/>
          <w:lang w:val="fr-FR"/>
        </w:rPr>
      </w:pPr>
      <w:r w:rsidRPr="00EC2750">
        <w:rPr>
          <w:rStyle w:val="Appelnotedebasdep"/>
          <w:rFonts w:asciiTheme="minorHAnsi" w:hAnsiTheme="minorHAnsi" w:cstheme="minorHAnsi"/>
        </w:rPr>
        <w:footnoteRef/>
      </w:r>
      <w:r w:rsidRPr="00EC2750">
        <w:rPr>
          <w:rFonts w:asciiTheme="minorHAnsi" w:hAnsiTheme="minorHAnsi" w:cstheme="minorHAnsi"/>
          <w:lang w:val="fr-FR"/>
        </w:rPr>
        <w:t xml:space="preserve"> Ce sont bien les règlements européens qui s’appliquent à toute personne morale ou physique au sein de l’Union européenne. Les décisions PESC ne sont applicables qu’aux Etats.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F948" w14:textId="77777777" w:rsidR="00244DA8" w:rsidRDefault="00244DA8" w:rsidP="00F4646B">
    <w:pPr>
      <w:pStyle w:val="En-tte"/>
      <w:tabs>
        <w:tab w:val="clear" w:pos="4513"/>
      </w:tabs>
      <w:jc w:val="right"/>
      <w:rPr>
        <w:b/>
        <w:bCs/>
        <w:sz w:val="24"/>
        <w:szCs w:val="24"/>
      </w:rPr>
    </w:pPr>
    <w:r>
      <w:rPr>
        <w:b/>
        <w:bCs/>
        <w:sz w:val="24"/>
        <w:szCs w:val="24"/>
      </w:rPr>
      <w:tab/>
    </w:r>
  </w:p>
  <w:p w14:paraId="35E5328C" w14:textId="77777777" w:rsidR="00244DA8" w:rsidRDefault="00244DA8" w:rsidP="00F4646B">
    <w:pPr>
      <w:pStyle w:val="En-tte"/>
      <w:tabs>
        <w:tab w:val="clear" w:pos="4513"/>
      </w:tabs>
      <w:jc w:val="right"/>
      <w:rPr>
        <w:b/>
        <w:bCs/>
        <w:sz w:val="24"/>
        <w:szCs w:val="24"/>
      </w:rPr>
    </w:pPr>
  </w:p>
  <w:p w14:paraId="34D0F436" w14:textId="77777777" w:rsidR="00244DA8" w:rsidRPr="003D4054" w:rsidRDefault="00244DA8" w:rsidP="1813DC81">
    <w:pPr>
      <w:pStyle w:val="Intituldirection"/>
      <w:rPr>
        <w:lang w:val="fr-FR"/>
      </w:rPr>
    </w:pPr>
    <w:r w:rsidRPr="1813DC81">
      <w:rPr>
        <w:lang w:val="fr-FR"/>
      </w:rPr>
      <w:t>Direction générale du Trésor</w:t>
    </w:r>
  </w:p>
  <w:p w14:paraId="4F357CCE" w14:textId="77777777" w:rsidR="00244DA8" w:rsidRPr="003D4054" w:rsidRDefault="00244DA8">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43CE" w14:textId="77777777" w:rsidR="00244DA8" w:rsidRPr="00B623FE" w:rsidRDefault="00244DA8" w:rsidP="00F4646B">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43BF"/>
    <w:multiLevelType w:val="hybridMultilevel"/>
    <w:tmpl w:val="D7FC956E"/>
    <w:lvl w:ilvl="0" w:tplc="191ED210">
      <w:start w:val="1"/>
      <w:numFmt w:val="decimal"/>
      <w:lvlText w:val="%1)"/>
      <w:lvlJc w:val="left"/>
      <w:pPr>
        <w:ind w:left="1440" w:hanging="360"/>
      </w:pPr>
      <w:rPr>
        <w:rFonts w:hint="default"/>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4681129"/>
    <w:multiLevelType w:val="hybridMultilevel"/>
    <w:tmpl w:val="C898E39E"/>
    <w:lvl w:ilvl="0" w:tplc="5FAC9DF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28493AE0"/>
    <w:multiLevelType w:val="hybridMultilevel"/>
    <w:tmpl w:val="8C38E2CA"/>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1F021C"/>
    <w:multiLevelType w:val="hybridMultilevel"/>
    <w:tmpl w:val="138E81CE"/>
    <w:lvl w:ilvl="0" w:tplc="F43AE74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BA7F87"/>
    <w:multiLevelType w:val="hybridMultilevel"/>
    <w:tmpl w:val="B38EC9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DF2D13"/>
    <w:multiLevelType w:val="hybridMultilevel"/>
    <w:tmpl w:val="C898E39E"/>
    <w:lvl w:ilvl="0" w:tplc="5FAC9DF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4BE31904"/>
    <w:multiLevelType w:val="hybridMultilevel"/>
    <w:tmpl w:val="6FB4E8CA"/>
    <w:lvl w:ilvl="0" w:tplc="191ED210">
      <w:start w:val="1"/>
      <w:numFmt w:val="decimal"/>
      <w:lvlText w:val="%1)"/>
      <w:lvlJc w:val="left"/>
      <w:pPr>
        <w:ind w:left="1440" w:hanging="360"/>
      </w:pPr>
      <w:rPr>
        <w:rFonts w:hint="default"/>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50603B89"/>
    <w:multiLevelType w:val="hybridMultilevel"/>
    <w:tmpl w:val="7C1A9812"/>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573B4239"/>
    <w:multiLevelType w:val="hybridMultilevel"/>
    <w:tmpl w:val="EEBAF4D8"/>
    <w:lvl w:ilvl="0" w:tplc="387EB8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CC63B7"/>
    <w:multiLevelType w:val="hybridMultilevel"/>
    <w:tmpl w:val="1BE0ABA2"/>
    <w:lvl w:ilvl="0" w:tplc="F43AE74E">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559AB"/>
    <w:multiLevelType w:val="hybridMultilevel"/>
    <w:tmpl w:val="8C38E2CA"/>
    <w:lvl w:ilvl="0" w:tplc="A9909C32">
      <w:start w:val="1"/>
      <w:numFmt w:val="decimal"/>
      <w:lvlText w:val="%1)"/>
      <w:lvlJc w:val="left"/>
      <w:pPr>
        <w:ind w:left="1440" w:hanging="360"/>
      </w:pPr>
      <w:rPr>
        <w:rFonts w:asciiTheme="majorHAnsi" w:eastAsiaTheme="majorEastAsia" w:hAnsiTheme="majorHAns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931C6E"/>
    <w:multiLevelType w:val="hybridMultilevel"/>
    <w:tmpl w:val="AEF80DB0"/>
    <w:lvl w:ilvl="0" w:tplc="040C0011">
      <w:start w:val="8"/>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44300DA"/>
    <w:multiLevelType w:val="hybridMultilevel"/>
    <w:tmpl w:val="DB141A22"/>
    <w:lvl w:ilvl="0" w:tplc="040C0011">
      <w:start w:val="8"/>
      <w:numFmt w:val="decimal"/>
      <w:lvlText w:val="%1)"/>
      <w:lvlJc w:val="left"/>
      <w:pPr>
        <w:ind w:left="720" w:hanging="360"/>
      </w:pPr>
      <w:rPr>
        <w:rFonts w:hint="default"/>
      </w:rPr>
    </w:lvl>
    <w:lvl w:ilvl="1" w:tplc="A9909C32">
      <w:start w:val="1"/>
      <w:numFmt w:val="decimal"/>
      <w:lvlText w:val="%2)"/>
      <w:lvlJc w:val="left"/>
      <w:pPr>
        <w:ind w:left="1440" w:hanging="360"/>
      </w:pPr>
      <w:rPr>
        <w:rFonts w:asciiTheme="majorHAnsi" w:eastAsiaTheme="majorEastAsia" w:hAnsiTheme="majorHAnsi" w:cstheme="majorBidi"/>
      </w:rPr>
    </w:lvl>
    <w:lvl w:ilvl="2" w:tplc="040C001B">
      <w:start w:val="1"/>
      <w:numFmt w:val="lowerRoman"/>
      <w:lvlText w:val="%3."/>
      <w:lvlJc w:val="right"/>
      <w:pPr>
        <w:ind w:left="2160" w:hanging="180"/>
      </w:pPr>
    </w:lvl>
    <w:lvl w:ilvl="3" w:tplc="E5B883E4">
      <w:start w:val="5"/>
      <w:numFmt w:val="upp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CE3CFF"/>
    <w:multiLevelType w:val="hybridMultilevel"/>
    <w:tmpl w:val="0320497A"/>
    <w:lvl w:ilvl="0" w:tplc="A5D80084">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2"/>
  </w:num>
  <w:num w:numId="5">
    <w:abstractNumId w:val="6"/>
  </w:num>
  <w:num w:numId="6">
    <w:abstractNumId w:val="5"/>
  </w:num>
  <w:num w:numId="7">
    <w:abstractNumId w:val="8"/>
  </w:num>
  <w:num w:numId="8">
    <w:abstractNumId w:val="4"/>
  </w:num>
  <w:num w:numId="9">
    <w:abstractNumId w:val="9"/>
  </w:num>
  <w:num w:numId="10">
    <w:abstractNumId w:val="3"/>
  </w:num>
  <w:num w:numId="11">
    <w:abstractNumId w:val="13"/>
  </w:num>
  <w:num w:numId="12">
    <w:abstractNumId w:val="7"/>
  </w:num>
  <w:num w:numId="13">
    <w:abstractNumId w:val="11"/>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A0"/>
    <w:rsid w:val="000136DD"/>
    <w:rsid w:val="0001443C"/>
    <w:rsid w:val="00016F32"/>
    <w:rsid w:val="00017B3C"/>
    <w:rsid w:val="00023FC1"/>
    <w:rsid w:val="000348C2"/>
    <w:rsid w:val="00035A89"/>
    <w:rsid w:val="000415FA"/>
    <w:rsid w:val="000478B5"/>
    <w:rsid w:val="00052BBA"/>
    <w:rsid w:val="00057705"/>
    <w:rsid w:val="000612BF"/>
    <w:rsid w:val="00062B3F"/>
    <w:rsid w:val="00063240"/>
    <w:rsid w:val="0007206D"/>
    <w:rsid w:val="000733DF"/>
    <w:rsid w:val="0007578E"/>
    <w:rsid w:val="00084615"/>
    <w:rsid w:val="00085614"/>
    <w:rsid w:val="0009245E"/>
    <w:rsid w:val="0009618B"/>
    <w:rsid w:val="00096E2B"/>
    <w:rsid w:val="000A1B56"/>
    <w:rsid w:val="000A69CD"/>
    <w:rsid w:val="000A70CA"/>
    <w:rsid w:val="000B289B"/>
    <w:rsid w:val="000C10AE"/>
    <w:rsid w:val="000D20E1"/>
    <w:rsid w:val="000D353E"/>
    <w:rsid w:val="000D481B"/>
    <w:rsid w:val="000D4DC4"/>
    <w:rsid w:val="000E1C9B"/>
    <w:rsid w:val="000F0349"/>
    <w:rsid w:val="000F1A8B"/>
    <w:rsid w:val="000F2170"/>
    <w:rsid w:val="000F2899"/>
    <w:rsid w:val="000F484D"/>
    <w:rsid w:val="000F6982"/>
    <w:rsid w:val="00102528"/>
    <w:rsid w:val="00105F39"/>
    <w:rsid w:val="00106562"/>
    <w:rsid w:val="00111D61"/>
    <w:rsid w:val="0011222C"/>
    <w:rsid w:val="0012006A"/>
    <w:rsid w:val="001226ED"/>
    <w:rsid w:val="001262DD"/>
    <w:rsid w:val="001304F6"/>
    <w:rsid w:val="00136A1C"/>
    <w:rsid w:val="00151F03"/>
    <w:rsid w:val="0015257B"/>
    <w:rsid w:val="00155BDA"/>
    <w:rsid w:val="0016553F"/>
    <w:rsid w:val="00166C7A"/>
    <w:rsid w:val="0016772F"/>
    <w:rsid w:val="001701E6"/>
    <w:rsid w:val="00171556"/>
    <w:rsid w:val="00171F7C"/>
    <w:rsid w:val="001759C3"/>
    <w:rsid w:val="001768D8"/>
    <w:rsid w:val="0019473C"/>
    <w:rsid w:val="0019714A"/>
    <w:rsid w:val="001B1F3C"/>
    <w:rsid w:val="001D74C2"/>
    <w:rsid w:val="001D7849"/>
    <w:rsid w:val="001E24F2"/>
    <w:rsid w:val="001E2C10"/>
    <w:rsid w:val="001E62A3"/>
    <w:rsid w:val="001F1621"/>
    <w:rsid w:val="001F64F1"/>
    <w:rsid w:val="00210AFD"/>
    <w:rsid w:val="00211305"/>
    <w:rsid w:val="00212D91"/>
    <w:rsid w:val="00220703"/>
    <w:rsid w:val="00220FE9"/>
    <w:rsid w:val="00226D97"/>
    <w:rsid w:val="002433B8"/>
    <w:rsid w:val="00244DA8"/>
    <w:rsid w:val="002503C0"/>
    <w:rsid w:val="002512EF"/>
    <w:rsid w:val="0025333C"/>
    <w:rsid w:val="00260D46"/>
    <w:rsid w:val="002622E1"/>
    <w:rsid w:val="002703E2"/>
    <w:rsid w:val="00273EAE"/>
    <w:rsid w:val="00275440"/>
    <w:rsid w:val="00276AB2"/>
    <w:rsid w:val="0027707B"/>
    <w:rsid w:val="00281479"/>
    <w:rsid w:val="00281A8A"/>
    <w:rsid w:val="00285EEC"/>
    <w:rsid w:val="00285F58"/>
    <w:rsid w:val="00287D38"/>
    <w:rsid w:val="00294E7C"/>
    <w:rsid w:val="002A1A9A"/>
    <w:rsid w:val="002A51DD"/>
    <w:rsid w:val="002A5FBF"/>
    <w:rsid w:val="002B0171"/>
    <w:rsid w:val="002B1977"/>
    <w:rsid w:val="002B55A2"/>
    <w:rsid w:val="002B713C"/>
    <w:rsid w:val="002C15BC"/>
    <w:rsid w:val="002C174F"/>
    <w:rsid w:val="002C2F7D"/>
    <w:rsid w:val="002C54D7"/>
    <w:rsid w:val="002D0961"/>
    <w:rsid w:val="002E1255"/>
    <w:rsid w:val="002E252D"/>
    <w:rsid w:val="002E331A"/>
    <w:rsid w:val="002E482E"/>
    <w:rsid w:val="002F2408"/>
    <w:rsid w:val="002F2EAA"/>
    <w:rsid w:val="0030263E"/>
    <w:rsid w:val="00304988"/>
    <w:rsid w:val="00310F88"/>
    <w:rsid w:val="0031426E"/>
    <w:rsid w:val="00316198"/>
    <w:rsid w:val="00327ECF"/>
    <w:rsid w:val="00332C8D"/>
    <w:rsid w:val="00333736"/>
    <w:rsid w:val="00335B60"/>
    <w:rsid w:val="00345694"/>
    <w:rsid w:val="0035541B"/>
    <w:rsid w:val="0035623C"/>
    <w:rsid w:val="00356C4A"/>
    <w:rsid w:val="003601B9"/>
    <w:rsid w:val="00362DA7"/>
    <w:rsid w:val="0037503A"/>
    <w:rsid w:val="00380ABA"/>
    <w:rsid w:val="00381723"/>
    <w:rsid w:val="00381A9D"/>
    <w:rsid w:val="0038285A"/>
    <w:rsid w:val="00382AFE"/>
    <w:rsid w:val="003838D0"/>
    <w:rsid w:val="003867C8"/>
    <w:rsid w:val="00396C15"/>
    <w:rsid w:val="003A20A1"/>
    <w:rsid w:val="003B1C59"/>
    <w:rsid w:val="003B2542"/>
    <w:rsid w:val="003B391D"/>
    <w:rsid w:val="003C2227"/>
    <w:rsid w:val="003C39C4"/>
    <w:rsid w:val="003C7178"/>
    <w:rsid w:val="003D2FD2"/>
    <w:rsid w:val="003E0999"/>
    <w:rsid w:val="003E21E9"/>
    <w:rsid w:val="003F0E5F"/>
    <w:rsid w:val="003F43AB"/>
    <w:rsid w:val="00402333"/>
    <w:rsid w:val="00411005"/>
    <w:rsid w:val="0041204B"/>
    <w:rsid w:val="00413ECA"/>
    <w:rsid w:val="00414768"/>
    <w:rsid w:val="00417123"/>
    <w:rsid w:val="00417679"/>
    <w:rsid w:val="00422CD6"/>
    <w:rsid w:val="00423DFC"/>
    <w:rsid w:val="00427694"/>
    <w:rsid w:val="0043646F"/>
    <w:rsid w:val="004369E8"/>
    <w:rsid w:val="00445860"/>
    <w:rsid w:val="00447DA9"/>
    <w:rsid w:val="00453A86"/>
    <w:rsid w:val="00454A3E"/>
    <w:rsid w:val="00456C4A"/>
    <w:rsid w:val="004603BB"/>
    <w:rsid w:val="00470165"/>
    <w:rsid w:val="00471286"/>
    <w:rsid w:val="00475358"/>
    <w:rsid w:val="0047681E"/>
    <w:rsid w:val="00477D54"/>
    <w:rsid w:val="004874C6"/>
    <w:rsid w:val="00492385"/>
    <w:rsid w:val="00492D58"/>
    <w:rsid w:val="004933C6"/>
    <w:rsid w:val="004A7504"/>
    <w:rsid w:val="004B4398"/>
    <w:rsid w:val="004B7580"/>
    <w:rsid w:val="004C12FE"/>
    <w:rsid w:val="004C438B"/>
    <w:rsid w:val="004D035B"/>
    <w:rsid w:val="004D3897"/>
    <w:rsid w:val="004D5E4E"/>
    <w:rsid w:val="004D6DFB"/>
    <w:rsid w:val="004E458C"/>
    <w:rsid w:val="004E5247"/>
    <w:rsid w:val="00525150"/>
    <w:rsid w:val="0052737A"/>
    <w:rsid w:val="00531761"/>
    <w:rsid w:val="00542596"/>
    <w:rsid w:val="005436BB"/>
    <w:rsid w:val="00546BBA"/>
    <w:rsid w:val="00546E05"/>
    <w:rsid w:val="005502E9"/>
    <w:rsid w:val="005548B4"/>
    <w:rsid w:val="00564443"/>
    <w:rsid w:val="0056633A"/>
    <w:rsid w:val="00572F03"/>
    <w:rsid w:val="005736CA"/>
    <w:rsid w:val="005760A1"/>
    <w:rsid w:val="00576131"/>
    <w:rsid w:val="005766D5"/>
    <w:rsid w:val="00577242"/>
    <w:rsid w:val="005919E2"/>
    <w:rsid w:val="00592B61"/>
    <w:rsid w:val="005976EA"/>
    <w:rsid w:val="005A1E49"/>
    <w:rsid w:val="005A7E87"/>
    <w:rsid w:val="005B3DFE"/>
    <w:rsid w:val="005B45B7"/>
    <w:rsid w:val="005C0FBD"/>
    <w:rsid w:val="005C5760"/>
    <w:rsid w:val="005D36D0"/>
    <w:rsid w:val="005D3D39"/>
    <w:rsid w:val="005E0485"/>
    <w:rsid w:val="005E30FF"/>
    <w:rsid w:val="005E74CC"/>
    <w:rsid w:val="005F0B7C"/>
    <w:rsid w:val="005F7720"/>
    <w:rsid w:val="00600CDA"/>
    <w:rsid w:val="00600FF6"/>
    <w:rsid w:val="0060676B"/>
    <w:rsid w:val="006247C6"/>
    <w:rsid w:val="0062655C"/>
    <w:rsid w:val="00633BEE"/>
    <w:rsid w:val="0063409C"/>
    <w:rsid w:val="00644448"/>
    <w:rsid w:val="00645A22"/>
    <w:rsid w:val="006477E6"/>
    <w:rsid w:val="00650FDF"/>
    <w:rsid w:val="0065696B"/>
    <w:rsid w:val="006601E1"/>
    <w:rsid w:val="0066573A"/>
    <w:rsid w:val="006710AC"/>
    <w:rsid w:val="0067363B"/>
    <w:rsid w:val="00675057"/>
    <w:rsid w:val="00676E5B"/>
    <w:rsid w:val="00680B24"/>
    <w:rsid w:val="00682931"/>
    <w:rsid w:val="00687A11"/>
    <w:rsid w:val="00692DF8"/>
    <w:rsid w:val="006A2713"/>
    <w:rsid w:val="006B0E2C"/>
    <w:rsid w:val="006B39AF"/>
    <w:rsid w:val="006B5126"/>
    <w:rsid w:val="006D7B73"/>
    <w:rsid w:val="006E4DCA"/>
    <w:rsid w:val="006E6251"/>
    <w:rsid w:val="006F4F61"/>
    <w:rsid w:val="00700AA0"/>
    <w:rsid w:val="00703BB0"/>
    <w:rsid w:val="00703E8D"/>
    <w:rsid w:val="007121C1"/>
    <w:rsid w:val="0071727C"/>
    <w:rsid w:val="0072149C"/>
    <w:rsid w:val="007232A8"/>
    <w:rsid w:val="00735F79"/>
    <w:rsid w:val="0074182D"/>
    <w:rsid w:val="0074361D"/>
    <w:rsid w:val="00747958"/>
    <w:rsid w:val="00752A4C"/>
    <w:rsid w:val="00756163"/>
    <w:rsid w:val="00760A0E"/>
    <w:rsid w:val="007667B3"/>
    <w:rsid w:val="00770E4B"/>
    <w:rsid w:val="0077686D"/>
    <w:rsid w:val="00777B1E"/>
    <w:rsid w:val="0078194B"/>
    <w:rsid w:val="007823CB"/>
    <w:rsid w:val="00786D4A"/>
    <w:rsid w:val="00787B23"/>
    <w:rsid w:val="00790153"/>
    <w:rsid w:val="00797A7A"/>
    <w:rsid w:val="007A2E2F"/>
    <w:rsid w:val="007B310A"/>
    <w:rsid w:val="007C0D3C"/>
    <w:rsid w:val="007C1364"/>
    <w:rsid w:val="007C6CB5"/>
    <w:rsid w:val="007D03D5"/>
    <w:rsid w:val="007D2DCB"/>
    <w:rsid w:val="007E14B8"/>
    <w:rsid w:val="007E4EA0"/>
    <w:rsid w:val="008058FB"/>
    <w:rsid w:val="00807087"/>
    <w:rsid w:val="008115A8"/>
    <w:rsid w:val="00813A10"/>
    <w:rsid w:val="00820221"/>
    <w:rsid w:val="008246B9"/>
    <w:rsid w:val="00836097"/>
    <w:rsid w:val="00846AA1"/>
    <w:rsid w:val="00847CC7"/>
    <w:rsid w:val="00861E24"/>
    <w:rsid w:val="008717BA"/>
    <w:rsid w:val="00871E38"/>
    <w:rsid w:val="00874FC8"/>
    <w:rsid w:val="00876C7B"/>
    <w:rsid w:val="0087727E"/>
    <w:rsid w:val="00881154"/>
    <w:rsid w:val="00883F4A"/>
    <w:rsid w:val="0088730A"/>
    <w:rsid w:val="00894E10"/>
    <w:rsid w:val="00895861"/>
    <w:rsid w:val="008A3D7E"/>
    <w:rsid w:val="008B1389"/>
    <w:rsid w:val="008B2048"/>
    <w:rsid w:val="008B4F01"/>
    <w:rsid w:val="008C587F"/>
    <w:rsid w:val="008D5F83"/>
    <w:rsid w:val="008E0D78"/>
    <w:rsid w:val="008E3A1C"/>
    <w:rsid w:val="008F1EDA"/>
    <w:rsid w:val="00904205"/>
    <w:rsid w:val="00914A06"/>
    <w:rsid w:val="009217FE"/>
    <w:rsid w:val="00924A0E"/>
    <w:rsid w:val="009321DC"/>
    <w:rsid w:val="00932297"/>
    <w:rsid w:val="00942138"/>
    <w:rsid w:val="009463EF"/>
    <w:rsid w:val="009543D8"/>
    <w:rsid w:val="00956A7F"/>
    <w:rsid w:val="00960009"/>
    <w:rsid w:val="009627A2"/>
    <w:rsid w:val="00963B39"/>
    <w:rsid w:val="00964CE5"/>
    <w:rsid w:val="0096792A"/>
    <w:rsid w:val="00972F80"/>
    <w:rsid w:val="00973825"/>
    <w:rsid w:val="00980E93"/>
    <w:rsid w:val="00980F0E"/>
    <w:rsid w:val="00984A65"/>
    <w:rsid w:val="00985093"/>
    <w:rsid w:val="0098568C"/>
    <w:rsid w:val="009869E6"/>
    <w:rsid w:val="009878D7"/>
    <w:rsid w:val="009952AD"/>
    <w:rsid w:val="00997AE0"/>
    <w:rsid w:val="009A210F"/>
    <w:rsid w:val="009A3A89"/>
    <w:rsid w:val="009A54C6"/>
    <w:rsid w:val="009A621C"/>
    <w:rsid w:val="009A6F9A"/>
    <w:rsid w:val="009C5E5A"/>
    <w:rsid w:val="009D451C"/>
    <w:rsid w:val="009E1BEE"/>
    <w:rsid w:val="009E21ED"/>
    <w:rsid w:val="009E53D5"/>
    <w:rsid w:val="009E7501"/>
    <w:rsid w:val="009E7F07"/>
    <w:rsid w:val="00A13AAB"/>
    <w:rsid w:val="00A13C14"/>
    <w:rsid w:val="00A177B6"/>
    <w:rsid w:val="00A2645F"/>
    <w:rsid w:val="00A4528E"/>
    <w:rsid w:val="00A511FB"/>
    <w:rsid w:val="00A6054A"/>
    <w:rsid w:val="00A610F5"/>
    <w:rsid w:val="00A63ABB"/>
    <w:rsid w:val="00A671B1"/>
    <w:rsid w:val="00A736F8"/>
    <w:rsid w:val="00A739E7"/>
    <w:rsid w:val="00A9090A"/>
    <w:rsid w:val="00AA0E41"/>
    <w:rsid w:val="00AA0EE4"/>
    <w:rsid w:val="00AA49F1"/>
    <w:rsid w:val="00AA5415"/>
    <w:rsid w:val="00AA733C"/>
    <w:rsid w:val="00AB49A1"/>
    <w:rsid w:val="00AC3570"/>
    <w:rsid w:val="00AC56D0"/>
    <w:rsid w:val="00AC5BC5"/>
    <w:rsid w:val="00AC6217"/>
    <w:rsid w:val="00AD3AC5"/>
    <w:rsid w:val="00AD3B0B"/>
    <w:rsid w:val="00AE1C88"/>
    <w:rsid w:val="00AE6E65"/>
    <w:rsid w:val="00AF3FAA"/>
    <w:rsid w:val="00B128D4"/>
    <w:rsid w:val="00B21E27"/>
    <w:rsid w:val="00B23336"/>
    <w:rsid w:val="00B23A7C"/>
    <w:rsid w:val="00B33A42"/>
    <w:rsid w:val="00B42619"/>
    <w:rsid w:val="00B51E1C"/>
    <w:rsid w:val="00B576F7"/>
    <w:rsid w:val="00B722B8"/>
    <w:rsid w:val="00B72F81"/>
    <w:rsid w:val="00B75F1E"/>
    <w:rsid w:val="00B81E6B"/>
    <w:rsid w:val="00B90581"/>
    <w:rsid w:val="00B93DF1"/>
    <w:rsid w:val="00B94B3B"/>
    <w:rsid w:val="00BA0603"/>
    <w:rsid w:val="00BA0666"/>
    <w:rsid w:val="00BA50D8"/>
    <w:rsid w:val="00BB4F37"/>
    <w:rsid w:val="00BB69B6"/>
    <w:rsid w:val="00BB7C70"/>
    <w:rsid w:val="00BC4113"/>
    <w:rsid w:val="00BC4249"/>
    <w:rsid w:val="00BC4A0C"/>
    <w:rsid w:val="00BC5096"/>
    <w:rsid w:val="00BD03B0"/>
    <w:rsid w:val="00BD65BC"/>
    <w:rsid w:val="00BD6B4A"/>
    <w:rsid w:val="00BE53C1"/>
    <w:rsid w:val="00BE7314"/>
    <w:rsid w:val="00BF2BCA"/>
    <w:rsid w:val="00BF2EE1"/>
    <w:rsid w:val="00BF4DE9"/>
    <w:rsid w:val="00BF687E"/>
    <w:rsid w:val="00C02797"/>
    <w:rsid w:val="00C14A20"/>
    <w:rsid w:val="00C20714"/>
    <w:rsid w:val="00C23D2F"/>
    <w:rsid w:val="00C3427F"/>
    <w:rsid w:val="00C35683"/>
    <w:rsid w:val="00C53E5D"/>
    <w:rsid w:val="00C61DE8"/>
    <w:rsid w:val="00C63138"/>
    <w:rsid w:val="00C65581"/>
    <w:rsid w:val="00C66FBE"/>
    <w:rsid w:val="00C812F1"/>
    <w:rsid w:val="00C83833"/>
    <w:rsid w:val="00C90AAF"/>
    <w:rsid w:val="00C93502"/>
    <w:rsid w:val="00C95BCF"/>
    <w:rsid w:val="00CA2233"/>
    <w:rsid w:val="00CA32B9"/>
    <w:rsid w:val="00CA4F1F"/>
    <w:rsid w:val="00CA5EC8"/>
    <w:rsid w:val="00CA6393"/>
    <w:rsid w:val="00CA6409"/>
    <w:rsid w:val="00CB10D1"/>
    <w:rsid w:val="00CB25E8"/>
    <w:rsid w:val="00CB3CB7"/>
    <w:rsid w:val="00CC1D30"/>
    <w:rsid w:val="00CC30AA"/>
    <w:rsid w:val="00CC3615"/>
    <w:rsid w:val="00CD7EA4"/>
    <w:rsid w:val="00CE020C"/>
    <w:rsid w:val="00CF028F"/>
    <w:rsid w:val="00CF08BE"/>
    <w:rsid w:val="00CF3393"/>
    <w:rsid w:val="00CF481A"/>
    <w:rsid w:val="00D011CC"/>
    <w:rsid w:val="00D175B9"/>
    <w:rsid w:val="00D17711"/>
    <w:rsid w:val="00D22BC7"/>
    <w:rsid w:val="00D23984"/>
    <w:rsid w:val="00D31BE6"/>
    <w:rsid w:val="00D37A17"/>
    <w:rsid w:val="00D40CC2"/>
    <w:rsid w:val="00D4261C"/>
    <w:rsid w:val="00D5672B"/>
    <w:rsid w:val="00D60E37"/>
    <w:rsid w:val="00D6557E"/>
    <w:rsid w:val="00D67BDC"/>
    <w:rsid w:val="00D7357B"/>
    <w:rsid w:val="00D77B93"/>
    <w:rsid w:val="00D828BC"/>
    <w:rsid w:val="00D8368F"/>
    <w:rsid w:val="00D8515C"/>
    <w:rsid w:val="00D93125"/>
    <w:rsid w:val="00DB26CA"/>
    <w:rsid w:val="00DC5CC5"/>
    <w:rsid w:val="00DD2B98"/>
    <w:rsid w:val="00DD7850"/>
    <w:rsid w:val="00DD7A20"/>
    <w:rsid w:val="00DF0774"/>
    <w:rsid w:val="00DF3AC2"/>
    <w:rsid w:val="00DF6D23"/>
    <w:rsid w:val="00E079F3"/>
    <w:rsid w:val="00E10DA0"/>
    <w:rsid w:val="00E11189"/>
    <w:rsid w:val="00E14666"/>
    <w:rsid w:val="00E1470F"/>
    <w:rsid w:val="00E15890"/>
    <w:rsid w:val="00E16CF4"/>
    <w:rsid w:val="00E22086"/>
    <w:rsid w:val="00E23432"/>
    <w:rsid w:val="00E23C6C"/>
    <w:rsid w:val="00E26100"/>
    <w:rsid w:val="00E270EA"/>
    <w:rsid w:val="00E41B97"/>
    <w:rsid w:val="00E5016A"/>
    <w:rsid w:val="00E5411D"/>
    <w:rsid w:val="00E57EF4"/>
    <w:rsid w:val="00E86E55"/>
    <w:rsid w:val="00E904A4"/>
    <w:rsid w:val="00E96548"/>
    <w:rsid w:val="00EA36BB"/>
    <w:rsid w:val="00EB0E75"/>
    <w:rsid w:val="00EB6465"/>
    <w:rsid w:val="00EB6EFE"/>
    <w:rsid w:val="00EC2750"/>
    <w:rsid w:val="00EC563A"/>
    <w:rsid w:val="00EC7BFF"/>
    <w:rsid w:val="00ED10C3"/>
    <w:rsid w:val="00EE2ACF"/>
    <w:rsid w:val="00EE429D"/>
    <w:rsid w:val="00EF48B3"/>
    <w:rsid w:val="00F01D87"/>
    <w:rsid w:val="00F11FF0"/>
    <w:rsid w:val="00F127AA"/>
    <w:rsid w:val="00F15EFB"/>
    <w:rsid w:val="00F16B10"/>
    <w:rsid w:val="00F20A94"/>
    <w:rsid w:val="00F277D1"/>
    <w:rsid w:val="00F33B15"/>
    <w:rsid w:val="00F4067D"/>
    <w:rsid w:val="00F413BB"/>
    <w:rsid w:val="00F458C4"/>
    <w:rsid w:val="00F4646B"/>
    <w:rsid w:val="00F50774"/>
    <w:rsid w:val="00F52CE5"/>
    <w:rsid w:val="00F54AA2"/>
    <w:rsid w:val="00F572FF"/>
    <w:rsid w:val="00F64D18"/>
    <w:rsid w:val="00F73A34"/>
    <w:rsid w:val="00F755FD"/>
    <w:rsid w:val="00F80BFF"/>
    <w:rsid w:val="00F85B19"/>
    <w:rsid w:val="00F87DCA"/>
    <w:rsid w:val="00F95D83"/>
    <w:rsid w:val="00FA4E51"/>
    <w:rsid w:val="00FA527D"/>
    <w:rsid w:val="00FA5C1A"/>
    <w:rsid w:val="00FA5F0B"/>
    <w:rsid w:val="00FA6FB7"/>
    <w:rsid w:val="00FA752C"/>
    <w:rsid w:val="00FB0825"/>
    <w:rsid w:val="00FB389B"/>
    <w:rsid w:val="00FB7521"/>
    <w:rsid w:val="00FC4F2C"/>
    <w:rsid w:val="00FD5036"/>
    <w:rsid w:val="00FD7067"/>
    <w:rsid w:val="00FE44B9"/>
    <w:rsid w:val="00FE451B"/>
    <w:rsid w:val="00FE601A"/>
    <w:rsid w:val="00FE6469"/>
    <w:rsid w:val="00FF471C"/>
    <w:rsid w:val="00FF6C89"/>
    <w:rsid w:val="1813D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09E84"/>
  <w15:chartTrackingRefBased/>
  <w15:docId w15:val="{0C1FF1FE-F426-4B24-BBCA-EEA621AC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4EA0"/>
    <w:pPr>
      <w:widowControl w:val="0"/>
      <w:autoSpaceDE w:val="0"/>
      <w:autoSpaceDN w:val="0"/>
      <w:spacing w:after="0" w:line="240" w:lineRule="auto"/>
    </w:pPr>
    <w:rPr>
      <w:rFonts w:ascii="Arial" w:hAnsi="Arial" w:cs="Arial"/>
      <w:lang w:val="en-US"/>
    </w:rPr>
  </w:style>
  <w:style w:type="paragraph" w:styleId="Titre1">
    <w:name w:val="heading 1"/>
    <w:basedOn w:val="Normal"/>
    <w:next w:val="Corpsdetexte"/>
    <w:link w:val="Titre1Car"/>
    <w:uiPriority w:val="9"/>
    <w:qFormat/>
    <w:rsid w:val="007E4EA0"/>
    <w:pPr>
      <w:jc w:val="center"/>
      <w:outlineLvl w:val="0"/>
    </w:pPr>
    <w:rPr>
      <w:b/>
      <w:bCs/>
      <w:sz w:val="24"/>
      <w:szCs w:val="24"/>
      <w:lang w:val="fr-FR"/>
    </w:rPr>
  </w:style>
  <w:style w:type="paragraph" w:styleId="Titre2">
    <w:name w:val="heading 2"/>
    <w:basedOn w:val="Normal"/>
    <w:next w:val="Normal"/>
    <w:link w:val="Titre2Car"/>
    <w:uiPriority w:val="9"/>
    <w:unhideWhenUsed/>
    <w:qFormat/>
    <w:rsid w:val="005A1E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A1E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5A1E49"/>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7E14B8"/>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4EA0"/>
    <w:rPr>
      <w:rFonts w:ascii="Arial" w:hAnsi="Arial" w:cs="Arial"/>
      <w:b/>
      <w:bCs/>
      <w:sz w:val="24"/>
      <w:szCs w:val="24"/>
    </w:rPr>
  </w:style>
  <w:style w:type="paragraph" w:styleId="Corpsdetexte">
    <w:name w:val="Body Text"/>
    <w:basedOn w:val="Normal"/>
    <w:link w:val="CorpsdetexteCar"/>
    <w:uiPriority w:val="1"/>
    <w:qFormat/>
    <w:rsid w:val="007E4EA0"/>
    <w:rPr>
      <w:sz w:val="20"/>
      <w:szCs w:val="20"/>
      <w:lang w:val="fr-FR"/>
    </w:rPr>
  </w:style>
  <w:style w:type="character" w:customStyle="1" w:styleId="CorpsdetexteCar">
    <w:name w:val="Corps de texte Car"/>
    <w:basedOn w:val="Policepardfaut"/>
    <w:link w:val="Corpsdetexte"/>
    <w:uiPriority w:val="1"/>
    <w:rsid w:val="007E4EA0"/>
    <w:rPr>
      <w:rFonts w:ascii="Arial" w:hAnsi="Arial" w:cs="Arial"/>
      <w:sz w:val="20"/>
      <w:szCs w:val="20"/>
    </w:rPr>
  </w:style>
  <w:style w:type="paragraph" w:styleId="En-tte">
    <w:name w:val="header"/>
    <w:basedOn w:val="Normal"/>
    <w:link w:val="En-tteCar"/>
    <w:uiPriority w:val="99"/>
    <w:unhideWhenUsed/>
    <w:rsid w:val="007E4EA0"/>
    <w:pPr>
      <w:tabs>
        <w:tab w:val="center" w:pos="4513"/>
        <w:tab w:val="right" w:pos="9026"/>
      </w:tabs>
    </w:pPr>
  </w:style>
  <w:style w:type="character" w:customStyle="1" w:styleId="En-tteCar">
    <w:name w:val="En-tête Car"/>
    <w:basedOn w:val="Policepardfaut"/>
    <w:link w:val="En-tte"/>
    <w:uiPriority w:val="99"/>
    <w:rsid w:val="007E4EA0"/>
    <w:rPr>
      <w:rFonts w:ascii="Arial" w:hAnsi="Arial" w:cs="Arial"/>
      <w:lang w:val="en-US"/>
    </w:rPr>
  </w:style>
  <w:style w:type="paragraph" w:styleId="Pieddepage">
    <w:name w:val="footer"/>
    <w:basedOn w:val="Normal"/>
    <w:link w:val="PieddepageCar"/>
    <w:uiPriority w:val="99"/>
    <w:unhideWhenUsed/>
    <w:rsid w:val="007E4EA0"/>
    <w:pPr>
      <w:tabs>
        <w:tab w:val="center" w:pos="4513"/>
        <w:tab w:val="right" w:pos="9026"/>
      </w:tabs>
    </w:pPr>
  </w:style>
  <w:style w:type="character" w:customStyle="1" w:styleId="PieddepageCar">
    <w:name w:val="Pied de page Car"/>
    <w:basedOn w:val="Policepardfaut"/>
    <w:link w:val="Pieddepage"/>
    <w:uiPriority w:val="99"/>
    <w:rsid w:val="007E4EA0"/>
    <w:rPr>
      <w:rFonts w:ascii="Arial" w:hAnsi="Arial" w:cs="Arial"/>
      <w:lang w:val="en-US"/>
    </w:rPr>
  </w:style>
  <w:style w:type="paragraph" w:customStyle="1" w:styleId="Sous-titre2">
    <w:name w:val="Sous-titre 2"/>
    <w:basedOn w:val="Normal"/>
    <w:next w:val="Corpsdetexte"/>
    <w:link w:val="Sous-titre2Car"/>
    <w:qFormat/>
    <w:rsid w:val="007E4EA0"/>
    <w:pPr>
      <w:jc w:val="center"/>
    </w:pPr>
    <w:rPr>
      <w:sz w:val="16"/>
      <w:szCs w:val="16"/>
      <w:lang w:val="fr-FR"/>
    </w:rPr>
  </w:style>
  <w:style w:type="paragraph" w:customStyle="1" w:styleId="Titre1demapage">
    <w:name w:val="Titre 1 de ma page"/>
    <w:basedOn w:val="Corpsdetexte"/>
    <w:next w:val="Corpsdetexte"/>
    <w:link w:val="Titre1demapageCar"/>
    <w:autoRedefine/>
    <w:qFormat/>
    <w:rsid w:val="007E4EA0"/>
    <w:pPr>
      <w:spacing w:before="1"/>
    </w:pPr>
    <w:rPr>
      <w:b/>
      <w:bCs/>
    </w:rPr>
  </w:style>
  <w:style w:type="character" w:customStyle="1" w:styleId="Sous-titre2Car">
    <w:name w:val="Sous-titre 2 Car"/>
    <w:basedOn w:val="Policepardfaut"/>
    <w:link w:val="Sous-titre2"/>
    <w:rsid w:val="007E4EA0"/>
    <w:rPr>
      <w:rFonts w:ascii="Arial" w:hAnsi="Arial" w:cs="Arial"/>
      <w:sz w:val="16"/>
      <w:szCs w:val="16"/>
    </w:rPr>
  </w:style>
  <w:style w:type="paragraph" w:customStyle="1" w:styleId="Titre2demapage">
    <w:name w:val="Titre 2 de ma page"/>
    <w:basedOn w:val="Titre1demapage"/>
    <w:next w:val="Corpsdetexte"/>
    <w:link w:val="Titre2demapageCar"/>
    <w:autoRedefine/>
    <w:qFormat/>
    <w:rsid w:val="007E4EA0"/>
    <w:pPr>
      <w:spacing w:line="276" w:lineRule="auto"/>
    </w:pPr>
    <w:rPr>
      <w:sz w:val="16"/>
      <w:szCs w:val="16"/>
    </w:rPr>
  </w:style>
  <w:style w:type="character" w:customStyle="1" w:styleId="Titre1demapageCar">
    <w:name w:val="Titre 1 de ma page Car"/>
    <w:basedOn w:val="CorpsdetexteCar"/>
    <w:link w:val="Titre1demapage"/>
    <w:rsid w:val="007E4EA0"/>
    <w:rPr>
      <w:rFonts w:ascii="Arial" w:hAnsi="Arial" w:cs="Arial"/>
      <w:b/>
      <w:bCs/>
      <w:sz w:val="20"/>
      <w:szCs w:val="20"/>
    </w:rPr>
  </w:style>
  <w:style w:type="paragraph" w:customStyle="1" w:styleId="Titre3demapage">
    <w:name w:val="Titre 3 de ma page"/>
    <w:basedOn w:val="Titre2demapage"/>
    <w:next w:val="Corpsdetexte"/>
    <w:link w:val="Titre3demapageCar"/>
    <w:qFormat/>
    <w:rsid w:val="007E4EA0"/>
    <w:rPr>
      <w:b w:val="0"/>
      <w:bCs w:val="0"/>
    </w:rPr>
  </w:style>
  <w:style w:type="character" w:customStyle="1" w:styleId="Titre2demapageCar">
    <w:name w:val="Titre 2 de ma page Car"/>
    <w:basedOn w:val="Titre1demapageCar"/>
    <w:link w:val="Titre2demapage"/>
    <w:rsid w:val="007E4EA0"/>
    <w:rPr>
      <w:rFonts w:ascii="Arial" w:hAnsi="Arial" w:cs="Arial"/>
      <w:b/>
      <w:bCs/>
      <w:sz w:val="16"/>
      <w:szCs w:val="16"/>
    </w:rPr>
  </w:style>
  <w:style w:type="character" w:customStyle="1" w:styleId="Titre3demapageCar">
    <w:name w:val="Titre 3 de ma page Car"/>
    <w:basedOn w:val="Titre2demapageCar"/>
    <w:link w:val="Titre3demapage"/>
    <w:rsid w:val="007E4EA0"/>
    <w:rPr>
      <w:rFonts w:ascii="Arial" w:hAnsi="Arial" w:cs="Arial"/>
      <w:b w:val="0"/>
      <w:bCs w:val="0"/>
      <w:sz w:val="16"/>
      <w:szCs w:val="16"/>
    </w:rPr>
  </w:style>
  <w:style w:type="paragraph" w:customStyle="1" w:styleId="PieddePage2">
    <w:name w:val="Pied de Page 2"/>
    <w:basedOn w:val="Normal"/>
    <w:next w:val="Corpsdetexte"/>
    <w:link w:val="PieddePage2Car"/>
    <w:qFormat/>
    <w:rsid w:val="007E4EA0"/>
    <w:pPr>
      <w:spacing w:line="161" w:lineRule="exact"/>
    </w:pPr>
    <w:rPr>
      <w:color w:val="939598"/>
      <w:sz w:val="14"/>
      <w:lang w:val="fr-FR"/>
    </w:rPr>
  </w:style>
  <w:style w:type="paragraph" w:customStyle="1" w:styleId="Intituldirection">
    <w:name w:val="Intitulé direction"/>
    <w:basedOn w:val="En-tte"/>
    <w:next w:val="Corpsdetexte"/>
    <w:link w:val="IntituldirectionCar"/>
    <w:qFormat/>
    <w:rsid w:val="007E4EA0"/>
    <w:pPr>
      <w:tabs>
        <w:tab w:val="clear" w:pos="4513"/>
      </w:tabs>
      <w:jc w:val="right"/>
    </w:pPr>
    <w:rPr>
      <w:b/>
      <w:bCs/>
      <w:sz w:val="24"/>
      <w:szCs w:val="24"/>
    </w:rPr>
  </w:style>
  <w:style w:type="character" w:customStyle="1" w:styleId="PieddePage2Car">
    <w:name w:val="Pied de Page 2 Car"/>
    <w:basedOn w:val="Policepardfaut"/>
    <w:link w:val="PieddePage2"/>
    <w:rsid w:val="007E4EA0"/>
    <w:rPr>
      <w:rFonts w:ascii="Arial" w:hAnsi="Arial" w:cs="Arial"/>
      <w:color w:val="939598"/>
      <w:sz w:val="14"/>
    </w:rPr>
  </w:style>
  <w:style w:type="character" w:customStyle="1" w:styleId="IntituldirectionCar">
    <w:name w:val="Intitulé direction Car"/>
    <w:basedOn w:val="En-tteCar"/>
    <w:link w:val="Intituldirection"/>
    <w:rsid w:val="007E4EA0"/>
    <w:rPr>
      <w:rFonts w:ascii="Arial" w:hAnsi="Arial" w:cs="Arial"/>
      <w:b/>
      <w:bCs/>
      <w:sz w:val="24"/>
      <w:szCs w:val="24"/>
      <w:lang w:val="en-US"/>
    </w:rPr>
  </w:style>
  <w:style w:type="character" w:styleId="Numrodepage">
    <w:name w:val="page number"/>
    <w:basedOn w:val="Policepardfaut"/>
    <w:uiPriority w:val="99"/>
    <w:semiHidden/>
    <w:unhideWhenUsed/>
    <w:rsid w:val="007E4EA0"/>
  </w:style>
  <w:style w:type="paragraph" w:styleId="Paragraphedeliste">
    <w:name w:val="List Paragraph"/>
    <w:basedOn w:val="Normal"/>
    <w:uiPriority w:val="34"/>
    <w:qFormat/>
    <w:rsid w:val="007E4EA0"/>
    <w:pPr>
      <w:widowControl/>
      <w:autoSpaceDE/>
      <w:autoSpaceDN/>
      <w:spacing w:after="160" w:line="259" w:lineRule="auto"/>
      <w:ind w:left="720"/>
      <w:contextualSpacing/>
    </w:pPr>
    <w:rPr>
      <w:rFonts w:asciiTheme="minorHAnsi" w:hAnsiTheme="minorHAnsi" w:cstheme="minorBidi"/>
      <w:lang w:val="fr-FR"/>
    </w:rPr>
  </w:style>
  <w:style w:type="character" w:styleId="Lienhypertexte">
    <w:name w:val="Hyperlink"/>
    <w:basedOn w:val="Policepardfaut"/>
    <w:uiPriority w:val="99"/>
    <w:unhideWhenUsed/>
    <w:rsid w:val="003E0999"/>
    <w:rPr>
      <w:color w:val="0563C1" w:themeColor="hyperlink"/>
      <w:u w:val="single"/>
    </w:rPr>
  </w:style>
  <w:style w:type="paragraph" w:styleId="En-ttedetabledesmatires">
    <w:name w:val="TOC Heading"/>
    <w:basedOn w:val="Titre1"/>
    <w:next w:val="Normal"/>
    <w:uiPriority w:val="39"/>
    <w:unhideWhenUsed/>
    <w:qFormat/>
    <w:rsid w:val="00AB49A1"/>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fr-FR"/>
    </w:rPr>
  </w:style>
  <w:style w:type="paragraph" w:styleId="TM1">
    <w:name w:val="toc 1"/>
    <w:basedOn w:val="Normal"/>
    <w:next w:val="Normal"/>
    <w:autoRedefine/>
    <w:uiPriority w:val="39"/>
    <w:unhideWhenUsed/>
    <w:rsid w:val="00AB49A1"/>
    <w:pPr>
      <w:spacing w:after="100"/>
    </w:pPr>
  </w:style>
  <w:style w:type="character" w:customStyle="1" w:styleId="Titre2Car">
    <w:name w:val="Titre 2 Car"/>
    <w:basedOn w:val="Policepardfaut"/>
    <w:link w:val="Titre2"/>
    <w:uiPriority w:val="9"/>
    <w:rsid w:val="005A1E49"/>
    <w:rPr>
      <w:rFonts w:asciiTheme="majorHAnsi" w:eastAsiaTheme="majorEastAsia" w:hAnsiTheme="majorHAnsi" w:cstheme="majorBidi"/>
      <w:color w:val="2E74B5" w:themeColor="accent1" w:themeShade="BF"/>
      <w:sz w:val="26"/>
      <w:szCs w:val="26"/>
      <w:lang w:val="en-US"/>
    </w:rPr>
  </w:style>
  <w:style w:type="character" w:customStyle="1" w:styleId="Titre3Car">
    <w:name w:val="Titre 3 Car"/>
    <w:basedOn w:val="Policepardfaut"/>
    <w:link w:val="Titre3"/>
    <w:uiPriority w:val="9"/>
    <w:rsid w:val="005A1E49"/>
    <w:rPr>
      <w:rFonts w:asciiTheme="majorHAnsi" w:eastAsiaTheme="majorEastAsia" w:hAnsiTheme="majorHAnsi" w:cstheme="majorBidi"/>
      <w:color w:val="1F4D78" w:themeColor="accent1" w:themeShade="7F"/>
      <w:sz w:val="24"/>
      <w:szCs w:val="24"/>
      <w:lang w:val="en-US"/>
    </w:rPr>
  </w:style>
  <w:style w:type="character" w:customStyle="1" w:styleId="Titre4Car">
    <w:name w:val="Titre 4 Car"/>
    <w:basedOn w:val="Policepardfaut"/>
    <w:link w:val="Titre4"/>
    <w:uiPriority w:val="9"/>
    <w:rsid w:val="005A1E49"/>
    <w:rPr>
      <w:rFonts w:asciiTheme="majorHAnsi" w:eastAsiaTheme="majorEastAsia" w:hAnsiTheme="majorHAnsi" w:cstheme="majorBidi"/>
      <w:i/>
      <w:iCs/>
      <w:color w:val="2E74B5" w:themeColor="accent1" w:themeShade="BF"/>
      <w:lang w:val="en-US"/>
    </w:rPr>
  </w:style>
  <w:style w:type="paragraph" w:styleId="TM2">
    <w:name w:val="toc 2"/>
    <w:basedOn w:val="Normal"/>
    <w:next w:val="Normal"/>
    <w:autoRedefine/>
    <w:uiPriority w:val="39"/>
    <w:unhideWhenUsed/>
    <w:rsid w:val="002E1255"/>
    <w:pPr>
      <w:widowControl/>
      <w:autoSpaceDE/>
      <w:autoSpaceDN/>
      <w:spacing w:after="100" w:line="259" w:lineRule="auto"/>
      <w:ind w:left="220"/>
    </w:pPr>
    <w:rPr>
      <w:rFonts w:asciiTheme="minorHAnsi" w:eastAsiaTheme="minorEastAsia" w:hAnsiTheme="minorHAnsi" w:cs="Times New Roman"/>
      <w:lang w:val="fr-FR" w:eastAsia="fr-FR"/>
    </w:rPr>
  </w:style>
  <w:style w:type="paragraph" w:styleId="TM3">
    <w:name w:val="toc 3"/>
    <w:basedOn w:val="Normal"/>
    <w:next w:val="Normal"/>
    <w:autoRedefine/>
    <w:uiPriority w:val="39"/>
    <w:unhideWhenUsed/>
    <w:rsid w:val="002E1255"/>
    <w:pPr>
      <w:widowControl/>
      <w:autoSpaceDE/>
      <w:autoSpaceDN/>
      <w:spacing w:after="100" w:line="259" w:lineRule="auto"/>
      <w:ind w:left="440"/>
    </w:pPr>
    <w:rPr>
      <w:rFonts w:asciiTheme="minorHAnsi" w:eastAsiaTheme="minorEastAsia" w:hAnsiTheme="minorHAnsi" w:cs="Times New Roman"/>
      <w:lang w:val="fr-FR" w:eastAsia="fr-FR"/>
    </w:rPr>
  </w:style>
  <w:style w:type="paragraph" w:customStyle="1" w:styleId="Textbody">
    <w:name w:val="Text body"/>
    <w:basedOn w:val="Normal"/>
    <w:rsid w:val="00EC7BFF"/>
    <w:pPr>
      <w:widowControl/>
      <w:suppressAutoHyphens/>
      <w:autoSpaceDE/>
      <w:spacing w:after="140" w:line="276" w:lineRule="auto"/>
      <w:textAlignment w:val="baseline"/>
    </w:pPr>
    <w:rPr>
      <w:rFonts w:ascii="Liberation Serif" w:eastAsia="NSimSun" w:hAnsi="Liberation Serif"/>
      <w:kern w:val="3"/>
      <w:sz w:val="24"/>
      <w:szCs w:val="24"/>
      <w:lang w:val="fr-FR" w:eastAsia="zh-CN" w:bidi="hi-IN"/>
    </w:rPr>
  </w:style>
  <w:style w:type="character" w:customStyle="1" w:styleId="Titre5Car">
    <w:name w:val="Titre 5 Car"/>
    <w:basedOn w:val="Policepardfaut"/>
    <w:link w:val="Titre5"/>
    <w:uiPriority w:val="9"/>
    <w:rsid w:val="007E14B8"/>
    <w:rPr>
      <w:rFonts w:asciiTheme="majorHAnsi" w:eastAsiaTheme="majorEastAsia" w:hAnsiTheme="majorHAnsi" w:cstheme="majorBidi"/>
      <w:color w:val="2E74B5" w:themeColor="accent1" w:themeShade="BF"/>
      <w:lang w:val="en-US"/>
    </w:rPr>
  </w:style>
  <w:style w:type="character" w:styleId="Marquedecommentaire">
    <w:name w:val="annotation reference"/>
    <w:basedOn w:val="Policepardfaut"/>
    <w:uiPriority w:val="99"/>
    <w:semiHidden/>
    <w:unhideWhenUsed/>
    <w:rsid w:val="005B45B7"/>
    <w:rPr>
      <w:sz w:val="16"/>
      <w:szCs w:val="16"/>
    </w:rPr>
  </w:style>
  <w:style w:type="paragraph" w:styleId="Commentaire">
    <w:name w:val="annotation text"/>
    <w:basedOn w:val="Normal"/>
    <w:link w:val="CommentaireCar"/>
    <w:uiPriority w:val="99"/>
    <w:unhideWhenUsed/>
    <w:rsid w:val="005B45B7"/>
    <w:rPr>
      <w:sz w:val="20"/>
      <w:szCs w:val="20"/>
    </w:rPr>
  </w:style>
  <w:style w:type="character" w:customStyle="1" w:styleId="CommentaireCar">
    <w:name w:val="Commentaire Car"/>
    <w:basedOn w:val="Policepardfaut"/>
    <w:link w:val="Commentaire"/>
    <w:uiPriority w:val="99"/>
    <w:rsid w:val="005B45B7"/>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5B45B7"/>
    <w:rPr>
      <w:b/>
      <w:bCs/>
    </w:rPr>
  </w:style>
  <w:style w:type="character" w:customStyle="1" w:styleId="ObjetducommentaireCar">
    <w:name w:val="Objet du commentaire Car"/>
    <w:basedOn w:val="CommentaireCar"/>
    <w:link w:val="Objetducommentaire"/>
    <w:uiPriority w:val="99"/>
    <w:semiHidden/>
    <w:rsid w:val="005B45B7"/>
    <w:rPr>
      <w:rFonts w:ascii="Arial" w:hAnsi="Arial" w:cs="Arial"/>
      <w:b/>
      <w:bCs/>
      <w:sz w:val="20"/>
      <w:szCs w:val="20"/>
      <w:lang w:val="en-US"/>
    </w:rPr>
  </w:style>
  <w:style w:type="paragraph" w:styleId="Textedebulles">
    <w:name w:val="Balloon Text"/>
    <w:basedOn w:val="Normal"/>
    <w:link w:val="TextedebullesCar"/>
    <w:uiPriority w:val="99"/>
    <w:semiHidden/>
    <w:unhideWhenUsed/>
    <w:rsid w:val="005B45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5B7"/>
    <w:rPr>
      <w:rFonts w:ascii="Segoe UI" w:hAnsi="Segoe UI" w:cs="Segoe UI"/>
      <w:sz w:val="18"/>
      <w:szCs w:val="18"/>
      <w:lang w:val="en-US"/>
    </w:rPr>
  </w:style>
  <w:style w:type="paragraph" w:styleId="Notedebasdepage">
    <w:name w:val="footnote text"/>
    <w:basedOn w:val="Normal"/>
    <w:link w:val="NotedebasdepageCar"/>
    <w:uiPriority w:val="99"/>
    <w:semiHidden/>
    <w:unhideWhenUsed/>
    <w:rsid w:val="00FA752C"/>
    <w:rPr>
      <w:sz w:val="20"/>
      <w:szCs w:val="20"/>
    </w:rPr>
  </w:style>
  <w:style w:type="character" w:customStyle="1" w:styleId="NotedebasdepageCar">
    <w:name w:val="Note de bas de page Car"/>
    <w:basedOn w:val="Policepardfaut"/>
    <w:link w:val="Notedebasdepage"/>
    <w:uiPriority w:val="99"/>
    <w:semiHidden/>
    <w:rsid w:val="00FA752C"/>
    <w:rPr>
      <w:rFonts w:ascii="Arial" w:hAnsi="Arial" w:cs="Arial"/>
      <w:sz w:val="20"/>
      <w:szCs w:val="20"/>
      <w:lang w:val="en-US"/>
    </w:rPr>
  </w:style>
  <w:style w:type="character" w:styleId="Appelnotedebasdep">
    <w:name w:val="footnote reference"/>
    <w:basedOn w:val="Policepardfaut"/>
    <w:uiPriority w:val="99"/>
    <w:semiHidden/>
    <w:unhideWhenUsed/>
    <w:rsid w:val="00FA752C"/>
    <w:rPr>
      <w:vertAlign w:val="superscript"/>
    </w:rPr>
  </w:style>
  <w:style w:type="character" w:styleId="Lienhypertextesuivivisit">
    <w:name w:val="FollowedHyperlink"/>
    <w:basedOn w:val="Policepardfaut"/>
    <w:uiPriority w:val="99"/>
    <w:semiHidden/>
    <w:unhideWhenUsed/>
    <w:rsid w:val="00A63ABB"/>
    <w:rPr>
      <w:color w:val="954F72" w:themeColor="followedHyperlink"/>
      <w:u w:val="single"/>
    </w:rPr>
  </w:style>
  <w:style w:type="character" w:customStyle="1" w:styleId="Mentionnonrsolue1">
    <w:name w:val="Mention non résolue1"/>
    <w:basedOn w:val="Policepardfaut"/>
    <w:uiPriority w:val="99"/>
    <w:semiHidden/>
    <w:unhideWhenUsed/>
    <w:rsid w:val="00A63ABB"/>
    <w:rPr>
      <w:color w:val="605E5C"/>
      <w:shd w:val="clear" w:color="auto" w:fill="E1DFDD"/>
    </w:rPr>
  </w:style>
  <w:style w:type="paragraph" w:styleId="Rvision">
    <w:name w:val="Revision"/>
    <w:hidden/>
    <w:uiPriority w:val="99"/>
    <w:semiHidden/>
    <w:rsid w:val="003867C8"/>
    <w:pPr>
      <w:spacing w:after="0" w:line="240" w:lineRule="auto"/>
    </w:pPr>
    <w:rPr>
      <w:rFonts w:ascii="Arial" w:hAnsi="Arial" w:cs="Arial"/>
      <w:lang w:val="en-US"/>
    </w:rPr>
  </w:style>
  <w:style w:type="character" w:customStyle="1" w:styleId="Mentionnonrsolue2">
    <w:name w:val="Mention non résolue2"/>
    <w:basedOn w:val="Policepardfaut"/>
    <w:uiPriority w:val="99"/>
    <w:semiHidden/>
    <w:unhideWhenUsed/>
    <w:rsid w:val="00680B24"/>
    <w:rPr>
      <w:color w:val="605E5C"/>
      <w:shd w:val="clear" w:color="auto" w:fill="E1DFDD"/>
    </w:rPr>
  </w:style>
  <w:style w:type="paragraph" w:styleId="NormalWeb">
    <w:name w:val="Normal (Web)"/>
    <w:basedOn w:val="Normal"/>
    <w:uiPriority w:val="99"/>
    <w:unhideWhenUsed/>
    <w:rsid w:val="00EB6465"/>
    <w:pPr>
      <w:widowControl/>
      <w:autoSpaceDE/>
      <w:autoSpaceDN/>
      <w:spacing w:before="100" w:beforeAutospacing="1" w:after="100" w:afterAutospacing="1"/>
    </w:pPr>
    <w:rPr>
      <w:rFonts w:ascii="Times New Roman" w:hAnsi="Times New Roman" w:cs="Times New Roman"/>
      <w:sz w:val="24"/>
      <w:szCs w:val="24"/>
      <w:lang w:val="fr-FR" w:eastAsia="fr-FR"/>
    </w:rPr>
  </w:style>
  <w:style w:type="character" w:customStyle="1" w:styleId="object">
    <w:name w:val="object"/>
    <w:basedOn w:val="Policepardfaut"/>
    <w:rsid w:val="00332C8D"/>
  </w:style>
  <w:style w:type="character" w:customStyle="1" w:styleId="Mentionnonrsolue3">
    <w:name w:val="Mention non résolue3"/>
    <w:basedOn w:val="Policepardfaut"/>
    <w:uiPriority w:val="99"/>
    <w:semiHidden/>
    <w:unhideWhenUsed/>
    <w:rsid w:val="00B7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5843">
      <w:bodyDiv w:val="1"/>
      <w:marLeft w:val="0"/>
      <w:marRight w:val="0"/>
      <w:marTop w:val="0"/>
      <w:marBottom w:val="0"/>
      <w:divBdr>
        <w:top w:val="none" w:sz="0" w:space="0" w:color="auto"/>
        <w:left w:val="none" w:sz="0" w:space="0" w:color="auto"/>
        <w:bottom w:val="none" w:sz="0" w:space="0" w:color="auto"/>
        <w:right w:val="none" w:sz="0" w:space="0" w:color="auto"/>
      </w:divBdr>
      <w:divsChild>
        <w:div w:id="341517498">
          <w:marLeft w:val="1166"/>
          <w:marRight w:val="0"/>
          <w:marTop w:val="0"/>
          <w:marBottom w:val="120"/>
          <w:divBdr>
            <w:top w:val="none" w:sz="0" w:space="0" w:color="auto"/>
            <w:left w:val="none" w:sz="0" w:space="0" w:color="auto"/>
            <w:bottom w:val="none" w:sz="0" w:space="0" w:color="auto"/>
            <w:right w:val="none" w:sz="0" w:space="0" w:color="auto"/>
          </w:divBdr>
        </w:div>
        <w:div w:id="530918046">
          <w:marLeft w:val="1166"/>
          <w:marRight w:val="0"/>
          <w:marTop w:val="0"/>
          <w:marBottom w:val="120"/>
          <w:divBdr>
            <w:top w:val="none" w:sz="0" w:space="0" w:color="auto"/>
            <w:left w:val="none" w:sz="0" w:space="0" w:color="auto"/>
            <w:bottom w:val="none" w:sz="0" w:space="0" w:color="auto"/>
            <w:right w:val="none" w:sz="0" w:space="0" w:color="auto"/>
          </w:divBdr>
        </w:div>
        <w:div w:id="612327864">
          <w:marLeft w:val="446"/>
          <w:marRight w:val="0"/>
          <w:marTop w:val="0"/>
          <w:marBottom w:val="120"/>
          <w:divBdr>
            <w:top w:val="none" w:sz="0" w:space="0" w:color="auto"/>
            <w:left w:val="none" w:sz="0" w:space="0" w:color="auto"/>
            <w:bottom w:val="none" w:sz="0" w:space="0" w:color="auto"/>
            <w:right w:val="none" w:sz="0" w:space="0" w:color="auto"/>
          </w:divBdr>
        </w:div>
        <w:div w:id="1540125412">
          <w:marLeft w:val="1166"/>
          <w:marRight w:val="0"/>
          <w:marTop w:val="0"/>
          <w:marBottom w:val="120"/>
          <w:divBdr>
            <w:top w:val="none" w:sz="0" w:space="0" w:color="auto"/>
            <w:left w:val="none" w:sz="0" w:space="0" w:color="auto"/>
            <w:bottom w:val="none" w:sz="0" w:space="0" w:color="auto"/>
            <w:right w:val="none" w:sz="0" w:space="0" w:color="auto"/>
          </w:divBdr>
        </w:div>
      </w:divsChild>
    </w:div>
    <w:div w:id="71857502">
      <w:bodyDiv w:val="1"/>
      <w:marLeft w:val="0"/>
      <w:marRight w:val="0"/>
      <w:marTop w:val="0"/>
      <w:marBottom w:val="0"/>
      <w:divBdr>
        <w:top w:val="none" w:sz="0" w:space="0" w:color="auto"/>
        <w:left w:val="none" w:sz="0" w:space="0" w:color="auto"/>
        <w:bottom w:val="none" w:sz="0" w:space="0" w:color="auto"/>
        <w:right w:val="none" w:sz="0" w:space="0" w:color="auto"/>
      </w:divBdr>
    </w:div>
    <w:div w:id="321978934">
      <w:bodyDiv w:val="1"/>
      <w:marLeft w:val="0"/>
      <w:marRight w:val="0"/>
      <w:marTop w:val="0"/>
      <w:marBottom w:val="0"/>
      <w:divBdr>
        <w:top w:val="none" w:sz="0" w:space="0" w:color="auto"/>
        <w:left w:val="none" w:sz="0" w:space="0" w:color="auto"/>
        <w:bottom w:val="none" w:sz="0" w:space="0" w:color="auto"/>
        <w:right w:val="none" w:sz="0" w:space="0" w:color="auto"/>
      </w:divBdr>
    </w:div>
    <w:div w:id="326054109">
      <w:bodyDiv w:val="1"/>
      <w:marLeft w:val="0"/>
      <w:marRight w:val="0"/>
      <w:marTop w:val="0"/>
      <w:marBottom w:val="0"/>
      <w:divBdr>
        <w:top w:val="none" w:sz="0" w:space="0" w:color="auto"/>
        <w:left w:val="none" w:sz="0" w:space="0" w:color="auto"/>
        <w:bottom w:val="none" w:sz="0" w:space="0" w:color="auto"/>
        <w:right w:val="none" w:sz="0" w:space="0" w:color="auto"/>
      </w:divBdr>
    </w:div>
    <w:div w:id="327170716">
      <w:bodyDiv w:val="1"/>
      <w:marLeft w:val="0"/>
      <w:marRight w:val="0"/>
      <w:marTop w:val="0"/>
      <w:marBottom w:val="0"/>
      <w:divBdr>
        <w:top w:val="none" w:sz="0" w:space="0" w:color="auto"/>
        <w:left w:val="none" w:sz="0" w:space="0" w:color="auto"/>
        <w:bottom w:val="none" w:sz="0" w:space="0" w:color="auto"/>
        <w:right w:val="none" w:sz="0" w:space="0" w:color="auto"/>
      </w:divBdr>
    </w:div>
    <w:div w:id="411662654">
      <w:bodyDiv w:val="1"/>
      <w:marLeft w:val="0"/>
      <w:marRight w:val="0"/>
      <w:marTop w:val="0"/>
      <w:marBottom w:val="0"/>
      <w:divBdr>
        <w:top w:val="none" w:sz="0" w:space="0" w:color="auto"/>
        <w:left w:val="none" w:sz="0" w:space="0" w:color="auto"/>
        <w:bottom w:val="none" w:sz="0" w:space="0" w:color="auto"/>
        <w:right w:val="none" w:sz="0" w:space="0" w:color="auto"/>
      </w:divBdr>
    </w:div>
    <w:div w:id="524487757">
      <w:bodyDiv w:val="1"/>
      <w:marLeft w:val="0"/>
      <w:marRight w:val="0"/>
      <w:marTop w:val="0"/>
      <w:marBottom w:val="0"/>
      <w:divBdr>
        <w:top w:val="none" w:sz="0" w:space="0" w:color="auto"/>
        <w:left w:val="none" w:sz="0" w:space="0" w:color="auto"/>
        <w:bottom w:val="none" w:sz="0" w:space="0" w:color="auto"/>
        <w:right w:val="none" w:sz="0" w:space="0" w:color="auto"/>
      </w:divBdr>
      <w:divsChild>
        <w:div w:id="33508413">
          <w:marLeft w:val="1166"/>
          <w:marRight w:val="0"/>
          <w:marTop w:val="0"/>
          <w:marBottom w:val="0"/>
          <w:divBdr>
            <w:top w:val="none" w:sz="0" w:space="0" w:color="auto"/>
            <w:left w:val="none" w:sz="0" w:space="0" w:color="auto"/>
            <w:bottom w:val="none" w:sz="0" w:space="0" w:color="auto"/>
            <w:right w:val="none" w:sz="0" w:space="0" w:color="auto"/>
          </w:divBdr>
        </w:div>
        <w:div w:id="139809066">
          <w:marLeft w:val="1886"/>
          <w:marRight w:val="0"/>
          <w:marTop w:val="0"/>
          <w:marBottom w:val="0"/>
          <w:divBdr>
            <w:top w:val="none" w:sz="0" w:space="0" w:color="auto"/>
            <w:left w:val="none" w:sz="0" w:space="0" w:color="auto"/>
            <w:bottom w:val="none" w:sz="0" w:space="0" w:color="auto"/>
            <w:right w:val="none" w:sz="0" w:space="0" w:color="auto"/>
          </w:divBdr>
        </w:div>
        <w:div w:id="469440820">
          <w:marLeft w:val="446"/>
          <w:marRight w:val="0"/>
          <w:marTop w:val="0"/>
          <w:marBottom w:val="0"/>
          <w:divBdr>
            <w:top w:val="none" w:sz="0" w:space="0" w:color="auto"/>
            <w:left w:val="none" w:sz="0" w:space="0" w:color="auto"/>
            <w:bottom w:val="none" w:sz="0" w:space="0" w:color="auto"/>
            <w:right w:val="none" w:sz="0" w:space="0" w:color="auto"/>
          </w:divBdr>
        </w:div>
        <w:div w:id="629213423">
          <w:marLeft w:val="1886"/>
          <w:marRight w:val="0"/>
          <w:marTop w:val="0"/>
          <w:marBottom w:val="0"/>
          <w:divBdr>
            <w:top w:val="none" w:sz="0" w:space="0" w:color="auto"/>
            <w:left w:val="none" w:sz="0" w:space="0" w:color="auto"/>
            <w:bottom w:val="none" w:sz="0" w:space="0" w:color="auto"/>
            <w:right w:val="none" w:sz="0" w:space="0" w:color="auto"/>
          </w:divBdr>
        </w:div>
        <w:div w:id="869953371">
          <w:marLeft w:val="446"/>
          <w:marRight w:val="0"/>
          <w:marTop w:val="0"/>
          <w:marBottom w:val="0"/>
          <w:divBdr>
            <w:top w:val="none" w:sz="0" w:space="0" w:color="auto"/>
            <w:left w:val="none" w:sz="0" w:space="0" w:color="auto"/>
            <w:bottom w:val="none" w:sz="0" w:space="0" w:color="auto"/>
            <w:right w:val="none" w:sz="0" w:space="0" w:color="auto"/>
          </w:divBdr>
        </w:div>
        <w:div w:id="1254824890">
          <w:marLeft w:val="1166"/>
          <w:marRight w:val="0"/>
          <w:marTop w:val="0"/>
          <w:marBottom w:val="0"/>
          <w:divBdr>
            <w:top w:val="none" w:sz="0" w:space="0" w:color="auto"/>
            <w:left w:val="none" w:sz="0" w:space="0" w:color="auto"/>
            <w:bottom w:val="none" w:sz="0" w:space="0" w:color="auto"/>
            <w:right w:val="none" w:sz="0" w:space="0" w:color="auto"/>
          </w:divBdr>
        </w:div>
        <w:div w:id="1392001065">
          <w:marLeft w:val="1166"/>
          <w:marRight w:val="0"/>
          <w:marTop w:val="0"/>
          <w:marBottom w:val="0"/>
          <w:divBdr>
            <w:top w:val="none" w:sz="0" w:space="0" w:color="auto"/>
            <w:left w:val="none" w:sz="0" w:space="0" w:color="auto"/>
            <w:bottom w:val="none" w:sz="0" w:space="0" w:color="auto"/>
            <w:right w:val="none" w:sz="0" w:space="0" w:color="auto"/>
          </w:divBdr>
        </w:div>
        <w:div w:id="1696807447">
          <w:marLeft w:val="994"/>
          <w:marRight w:val="0"/>
          <w:marTop w:val="0"/>
          <w:marBottom w:val="0"/>
          <w:divBdr>
            <w:top w:val="none" w:sz="0" w:space="0" w:color="auto"/>
            <w:left w:val="none" w:sz="0" w:space="0" w:color="auto"/>
            <w:bottom w:val="none" w:sz="0" w:space="0" w:color="auto"/>
            <w:right w:val="none" w:sz="0" w:space="0" w:color="auto"/>
          </w:divBdr>
        </w:div>
      </w:divsChild>
    </w:div>
    <w:div w:id="540018663">
      <w:bodyDiv w:val="1"/>
      <w:marLeft w:val="0"/>
      <w:marRight w:val="0"/>
      <w:marTop w:val="0"/>
      <w:marBottom w:val="0"/>
      <w:divBdr>
        <w:top w:val="none" w:sz="0" w:space="0" w:color="auto"/>
        <w:left w:val="none" w:sz="0" w:space="0" w:color="auto"/>
        <w:bottom w:val="none" w:sz="0" w:space="0" w:color="auto"/>
        <w:right w:val="none" w:sz="0" w:space="0" w:color="auto"/>
      </w:divBdr>
    </w:div>
    <w:div w:id="548686300">
      <w:bodyDiv w:val="1"/>
      <w:marLeft w:val="0"/>
      <w:marRight w:val="0"/>
      <w:marTop w:val="0"/>
      <w:marBottom w:val="0"/>
      <w:divBdr>
        <w:top w:val="none" w:sz="0" w:space="0" w:color="auto"/>
        <w:left w:val="none" w:sz="0" w:space="0" w:color="auto"/>
        <w:bottom w:val="none" w:sz="0" w:space="0" w:color="auto"/>
        <w:right w:val="none" w:sz="0" w:space="0" w:color="auto"/>
      </w:divBdr>
      <w:divsChild>
        <w:div w:id="163982942">
          <w:marLeft w:val="1166"/>
          <w:marRight w:val="0"/>
          <w:marTop w:val="0"/>
          <w:marBottom w:val="120"/>
          <w:divBdr>
            <w:top w:val="none" w:sz="0" w:space="0" w:color="auto"/>
            <w:left w:val="none" w:sz="0" w:space="0" w:color="auto"/>
            <w:bottom w:val="none" w:sz="0" w:space="0" w:color="auto"/>
            <w:right w:val="none" w:sz="0" w:space="0" w:color="auto"/>
          </w:divBdr>
        </w:div>
        <w:div w:id="261188152">
          <w:marLeft w:val="1166"/>
          <w:marRight w:val="0"/>
          <w:marTop w:val="0"/>
          <w:marBottom w:val="120"/>
          <w:divBdr>
            <w:top w:val="none" w:sz="0" w:space="0" w:color="auto"/>
            <w:left w:val="none" w:sz="0" w:space="0" w:color="auto"/>
            <w:bottom w:val="none" w:sz="0" w:space="0" w:color="auto"/>
            <w:right w:val="none" w:sz="0" w:space="0" w:color="auto"/>
          </w:divBdr>
        </w:div>
        <w:div w:id="732313182">
          <w:marLeft w:val="1166"/>
          <w:marRight w:val="0"/>
          <w:marTop w:val="0"/>
          <w:marBottom w:val="120"/>
          <w:divBdr>
            <w:top w:val="none" w:sz="0" w:space="0" w:color="auto"/>
            <w:left w:val="none" w:sz="0" w:space="0" w:color="auto"/>
            <w:bottom w:val="none" w:sz="0" w:space="0" w:color="auto"/>
            <w:right w:val="none" w:sz="0" w:space="0" w:color="auto"/>
          </w:divBdr>
        </w:div>
        <w:div w:id="863401056">
          <w:marLeft w:val="1166"/>
          <w:marRight w:val="0"/>
          <w:marTop w:val="0"/>
          <w:marBottom w:val="120"/>
          <w:divBdr>
            <w:top w:val="none" w:sz="0" w:space="0" w:color="auto"/>
            <w:left w:val="none" w:sz="0" w:space="0" w:color="auto"/>
            <w:bottom w:val="none" w:sz="0" w:space="0" w:color="auto"/>
            <w:right w:val="none" w:sz="0" w:space="0" w:color="auto"/>
          </w:divBdr>
        </w:div>
        <w:div w:id="1279406658">
          <w:marLeft w:val="1166"/>
          <w:marRight w:val="0"/>
          <w:marTop w:val="0"/>
          <w:marBottom w:val="120"/>
          <w:divBdr>
            <w:top w:val="none" w:sz="0" w:space="0" w:color="auto"/>
            <w:left w:val="none" w:sz="0" w:space="0" w:color="auto"/>
            <w:bottom w:val="none" w:sz="0" w:space="0" w:color="auto"/>
            <w:right w:val="none" w:sz="0" w:space="0" w:color="auto"/>
          </w:divBdr>
        </w:div>
        <w:div w:id="1302492982">
          <w:marLeft w:val="446"/>
          <w:marRight w:val="0"/>
          <w:marTop w:val="0"/>
          <w:marBottom w:val="120"/>
          <w:divBdr>
            <w:top w:val="none" w:sz="0" w:space="0" w:color="auto"/>
            <w:left w:val="none" w:sz="0" w:space="0" w:color="auto"/>
            <w:bottom w:val="none" w:sz="0" w:space="0" w:color="auto"/>
            <w:right w:val="none" w:sz="0" w:space="0" w:color="auto"/>
          </w:divBdr>
        </w:div>
        <w:div w:id="1328292381">
          <w:marLeft w:val="1166"/>
          <w:marRight w:val="0"/>
          <w:marTop w:val="0"/>
          <w:marBottom w:val="120"/>
          <w:divBdr>
            <w:top w:val="none" w:sz="0" w:space="0" w:color="auto"/>
            <w:left w:val="none" w:sz="0" w:space="0" w:color="auto"/>
            <w:bottom w:val="none" w:sz="0" w:space="0" w:color="auto"/>
            <w:right w:val="none" w:sz="0" w:space="0" w:color="auto"/>
          </w:divBdr>
        </w:div>
        <w:div w:id="2030640619">
          <w:marLeft w:val="446"/>
          <w:marRight w:val="0"/>
          <w:marTop w:val="0"/>
          <w:marBottom w:val="120"/>
          <w:divBdr>
            <w:top w:val="none" w:sz="0" w:space="0" w:color="auto"/>
            <w:left w:val="none" w:sz="0" w:space="0" w:color="auto"/>
            <w:bottom w:val="none" w:sz="0" w:space="0" w:color="auto"/>
            <w:right w:val="none" w:sz="0" w:space="0" w:color="auto"/>
          </w:divBdr>
        </w:div>
      </w:divsChild>
    </w:div>
    <w:div w:id="649217513">
      <w:bodyDiv w:val="1"/>
      <w:marLeft w:val="0"/>
      <w:marRight w:val="0"/>
      <w:marTop w:val="0"/>
      <w:marBottom w:val="0"/>
      <w:divBdr>
        <w:top w:val="none" w:sz="0" w:space="0" w:color="auto"/>
        <w:left w:val="none" w:sz="0" w:space="0" w:color="auto"/>
        <w:bottom w:val="none" w:sz="0" w:space="0" w:color="auto"/>
        <w:right w:val="none" w:sz="0" w:space="0" w:color="auto"/>
      </w:divBdr>
    </w:div>
    <w:div w:id="716316832">
      <w:bodyDiv w:val="1"/>
      <w:marLeft w:val="0"/>
      <w:marRight w:val="0"/>
      <w:marTop w:val="0"/>
      <w:marBottom w:val="0"/>
      <w:divBdr>
        <w:top w:val="none" w:sz="0" w:space="0" w:color="auto"/>
        <w:left w:val="none" w:sz="0" w:space="0" w:color="auto"/>
        <w:bottom w:val="none" w:sz="0" w:space="0" w:color="auto"/>
        <w:right w:val="none" w:sz="0" w:space="0" w:color="auto"/>
      </w:divBdr>
      <w:divsChild>
        <w:div w:id="142817085">
          <w:marLeft w:val="547"/>
          <w:marRight w:val="0"/>
          <w:marTop w:val="0"/>
          <w:marBottom w:val="0"/>
          <w:divBdr>
            <w:top w:val="none" w:sz="0" w:space="0" w:color="auto"/>
            <w:left w:val="none" w:sz="0" w:space="0" w:color="auto"/>
            <w:bottom w:val="none" w:sz="0" w:space="0" w:color="auto"/>
            <w:right w:val="none" w:sz="0" w:space="0" w:color="auto"/>
          </w:divBdr>
        </w:div>
        <w:div w:id="346565824">
          <w:marLeft w:val="547"/>
          <w:marRight w:val="0"/>
          <w:marTop w:val="0"/>
          <w:marBottom w:val="0"/>
          <w:divBdr>
            <w:top w:val="none" w:sz="0" w:space="0" w:color="auto"/>
            <w:left w:val="none" w:sz="0" w:space="0" w:color="auto"/>
            <w:bottom w:val="none" w:sz="0" w:space="0" w:color="auto"/>
            <w:right w:val="none" w:sz="0" w:space="0" w:color="auto"/>
          </w:divBdr>
        </w:div>
        <w:div w:id="780102587">
          <w:marLeft w:val="547"/>
          <w:marRight w:val="0"/>
          <w:marTop w:val="0"/>
          <w:marBottom w:val="0"/>
          <w:divBdr>
            <w:top w:val="none" w:sz="0" w:space="0" w:color="auto"/>
            <w:left w:val="none" w:sz="0" w:space="0" w:color="auto"/>
            <w:bottom w:val="none" w:sz="0" w:space="0" w:color="auto"/>
            <w:right w:val="none" w:sz="0" w:space="0" w:color="auto"/>
          </w:divBdr>
        </w:div>
        <w:div w:id="1764645408">
          <w:marLeft w:val="547"/>
          <w:marRight w:val="0"/>
          <w:marTop w:val="0"/>
          <w:marBottom w:val="0"/>
          <w:divBdr>
            <w:top w:val="none" w:sz="0" w:space="0" w:color="auto"/>
            <w:left w:val="none" w:sz="0" w:space="0" w:color="auto"/>
            <w:bottom w:val="none" w:sz="0" w:space="0" w:color="auto"/>
            <w:right w:val="none" w:sz="0" w:space="0" w:color="auto"/>
          </w:divBdr>
        </w:div>
      </w:divsChild>
    </w:div>
    <w:div w:id="718283340">
      <w:bodyDiv w:val="1"/>
      <w:marLeft w:val="0"/>
      <w:marRight w:val="0"/>
      <w:marTop w:val="0"/>
      <w:marBottom w:val="0"/>
      <w:divBdr>
        <w:top w:val="none" w:sz="0" w:space="0" w:color="auto"/>
        <w:left w:val="none" w:sz="0" w:space="0" w:color="auto"/>
        <w:bottom w:val="none" w:sz="0" w:space="0" w:color="auto"/>
        <w:right w:val="none" w:sz="0" w:space="0" w:color="auto"/>
      </w:divBdr>
      <w:divsChild>
        <w:div w:id="289870954">
          <w:marLeft w:val="547"/>
          <w:marRight w:val="0"/>
          <w:marTop w:val="0"/>
          <w:marBottom w:val="0"/>
          <w:divBdr>
            <w:top w:val="none" w:sz="0" w:space="0" w:color="auto"/>
            <w:left w:val="none" w:sz="0" w:space="0" w:color="auto"/>
            <w:bottom w:val="none" w:sz="0" w:space="0" w:color="auto"/>
            <w:right w:val="none" w:sz="0" w:space="0" w:color="auto"/>
          </w:divBdr>
        </w:div>
        <w:div w:id="1245997161">
          <w:marLeft w:val="547"/>
          <w:marRight w:val="0"/>
          <w:marTop w:val="0"/>
          <w:marBottom w:val="0"/>
          <w:divBdr>
            <w:top w:val="none" w:sz="0" w:space="0" w:color="auto"/>
            <w:left w:val="none" w:sz="0" w:space="0" w:color="auto"/>
            <w:bottom w:val="none" w:sz="0" w:space="0" w:color="auto"/>
            <w:right w:val="none" w:sz="0" w:space="0" w:color="auto"/>
          </w:divBdr>
        </w:div>
        <w:div w:id="1773091628">
          <w:marLeft w:val="547"/>
          <w:marRight w:val="0"/>
          <w:marTop w:val="0"/>
          <w:marBottom w:val="0"/>
          <w:divBdr>
            <w:top w:val="none" w:sz="0" w:space="0" w:color="auto"/>
            <w:left w:val="none" w:sz="0" w:space="0" w:color="auto"/>
            <w:bottom w:val="none" w:sz="0" w:space="0" w:color="auto"/>
            <w:right w:val="none" w:sz="0" w:space="0" w:color="auto"/>
          </w:divBdr>
        </w:div>
      </w:divsChild>
    </w:div>
    <w:div w:id="1115297429">
      <w:bodyDiv w:val="1"/>
      <w:marLeft w:val="0"/>
      <w:marRight w:val="0"/>
      <w:marTop w:val="0"/>
      <w:marBottom w:val="0"/>
      <w:divBdr>
        <w:top w:val="none" w:sz="0" w:space="0" w:color="auto"/>
        <w:left w:val="none" w:sz="0" w:space="0" w:color="auto"/>
        <w:bottom w:val="none" w:sz="0" w:space="0" w:color="auto"/>
        <w:right w:val="none" w:sz="0" w:space="0" w:color="auto"/>
      </w:divBdr>
    </w:div>
    <w:div w:id="1168180838">
      <w:bodyDiv w:val="1"/>
      <w:marLeft w:val="0"/>
      <w:marRight w:val="0"/>
      <w:marTop w:val="0"/>
      <w:marBottom w:val="0"/>
      <w:divBdr>
        <w:top w:val="none" w:sz="0" w:space="0" w:color="auto"/>
        <w:left w:val="none" w:sz="0" w:space="0" w:color="auto"/>
        <w:bottom w:val="none" w:sz="0" w:space="0" w:color="auto"/>
        <w:right w:val="none" w:sz="0" w:space="0" w:color="auto"/>
      </w:divBdr>
    </w:div>
    <w:div w:id="1279527495">
      <w:bodyDiv w:val="1"/>
      <w:marLeft w:val="0"/>
      <w:marRight w:val="0"/>
      <w:marTop w:val="0"/>
      <w:marBottom w:val="0"/>
      <w:divBdr>
        <w:top w:val="none" w:sz="0" w:space="0" w:color="auto"/>
        <w:left w:val="none" w:sz="0" w:space="0" w:color="auto"/>
        <w:bottom w:val="none" w:sz="0" w:space="0" w:color="auto"/>
        <w:right w:val="none" w:sz="0" w:space="0" w:color="auto"/>
      </w:divBdr>
    </w:div>
    <w:div w:id="1306280166">
      <w:bodyDiv w:val="1"/>
      <w:marLeft w:val="0"/>
      <w:marRight w:val="0"/>
      <w:marTop w:val="0"/>
      <w:marBottom w:val="0"/>
      <w:divBdr>
        <w:top w:val="none" w:sz="0" w:space="0" w:color="auto"/>
        <w:left w:val="none" w:sz="0" w:space="0" w:color="auto"/>
        <w:bottom w:val="none" w:sz="0" w:space="0" w:color="auto"/>
        <w:right w:val="none" w:sz="0" w:space="0" w:color="auto"/>
      </w:divBdr>
    </w:div>
    <w:div w:id="1346126245">
      <w:bodyDiv w:val="1"/>
      <w:marLeft w:val="0"/>
      <w:marRight w:val="0"/>
      <w:marTop w:val="0"/>
      <w:marBottom w:val="0"/>
      <w:divBdr>
        <w:top w:val="none" w:sz="0" w:space="0" w:color="auto"/>
        <w:left w:val="none" w:sz="0" w:space="0" w:color="auto"/>
        <w:bottom w:val="none" w:sz="0" w:space="0" w:color="auto"/>
        <w:right w:val="none" w:sz="0" w:space="0" w:color="auto"/>
      </w:divBdr>
    </w:div>
    <w:div w:id="1357465673">
      <w:bodyDiv w:val="1"/>
      <w:marLeft w:val="0"/>
      <w:marRight w:val="0"/>
      <w:marTop w:val="0"/>
      <w:marBottom w:val="0"/>
      <w:divBdr>
        <w:top w:val="none" w:sz="0" w:space="0" w:color="auto"/>
        <w:left w:val="none" w:sz="0" w:space="0" w:color="auto"/>
        <w:bottom w:val="none" w:sz="0" w:space="0" w:color="auto"/>
        <w:right w:val="none" w:sz="0" w:space="0" w:color="auto"/>
      </w:divBdr>
    </w:div>
    <w:div w:id="1436706443">
      <w:bodyDiv w:val="1"/>
      <w:marLeft w:val="0"/>
      <w:marRight w:val="0"/>
      <w:marTop w:val="0"/>
      <w:marBottom w:val="0"/>
      <w:divBdr>
        <w:top w:val="none" w:sz="0" w:space="0" w:color="auto"/>
        <w:left w:val="none" w:sz="0" w:space="0" w:color="auto"/>
        <w:bottom w:val="none" w:sz="0" w:space="0" w:color="auto"/>
        <w:right w:val="none" w:sz="0" w:space="0" w:color="auto"/>
      </w:divBdr>
    </w:div>
    <w:div w:id="1847597754">
      <w:bodyDiv w:val="1"/>
      <w:marLeft w:val="0"/>
      <w:marRight w:val="0"/>
      <w:marTop w:val="0"/>
      <w:marBottom w:val="0"/>
      <w:divBdr>
        <w:top w:val="none" w:sz="0" w:space="0" w:color="auto"/>
        <w:left w:val="none" w:sz="0" w:space="0" w:color="auto"/>
        <w:bottom w:val="none" w:sz="0" w:space="0" w:color="auto"/>
        <w:right w:val="none" w:sz="0" w:space="0" w:color="auto"/>
      </w:divBdr>
      <w:divsChild>
        <w:div w:id="497621144">
          <w:marLeft w:val="1886"/>
          <w:marRight w:val="0"/>
          <w:marTop w:val="0"/>
          <w:marBottom w:val="120"/>
          <w:divBdr>
            <w:top w:val="none" w:sz="0" w:space="0" w:color="auto"/>
            <w:left w:val="none" w:sz="0" w:space="0" w:color="auto"/>
            <w:bottom w:val="none" w:sz="0" w:space="0" w:color="auto"/>
            <w:right w:val="none" w:sz="0" w:space="0" w:color="auto"/>
          </w:divBdr>
        </w:div>
        <w:div w:id="550724584">
          <w:marLeft w:val="1886"/>
          <w:marRight w:val="0"/>
          <w:marTop w:val="0"/>
          <w:marBottom w:val="120"/>
          <w:divBdr>
            <w:top w:val="none" w:sz="0" w:space="0" w:color="auto"/>
            <w:left w:val="none" w:sz="0" w:space="0" w:color="auto"/>
            <w:bottom w:val="none" w:sz="0" w:space="0" w:color="auto"/>
            <w:right w:val="none" w:sz="0" w:space="0" w:color="auto"/>
          </w:divBdr>
        </w:div>
        <w:div w:id="743600769">
          <w:marLeft w:val="1886"/>
          <w:marRight w:val="0"/>
          <w:marTop w:val="0"/>
          <w:marBottom w:val="120"/>
          <w:divBdr>
            <w:top w:val="none" w:sz="0" w:space="0" w:color="auto"/>
            <w:left w:val="none" w:sz="0" w:space="0" w:color="auto"/>
            <w:bottom w:val="none" w:sz="0" w:space="0" w:color="auto"/>
            <w:right w:val="none" w:sz="0" w:space="0" w:color="auto"/>
          </w:divBdr>
        </w:div>
        <w:div w:id="783116241">
          <w:marLeft w:val="1166"/>
          <w:marRight w:val="0"/>
          <w:marTop w:val="0"/>
          <w:marBottom w:val="120"/>
          <w:divBdr>
            <w:top w:val="none" w:sz="0" w:space="0" w:color="auto"/>
            <w:left w:val="none" w:sz="0" w:space="0" w:color="auto"/>
            <w:bottom w:val="none" w:sz="0" w:space="0" w:color="auto"/>
            <w:right w:val="none" w:sz="0" w:space="0" w:color="auto"/>
          </w:divBdr>
        </w:div>
        <w:div w:id="1398551997">
          <w:marLeft w:val="1886"/>
          <w:marRight w:val="0"/>
          <w:marTop w:val="0"/>
          <w:marBottom w:val="120"/>
          <w:divBdr>
            <w:top w:val="none" w:sz="0" w:space="0" w:color="auto"/>
            <w:left w:val="none" w:sz="0" w:space="0" w:color="auto"/>
            <w:bottom w:val="none" w:sz="0" w:space="0" w:color="auto"/>
            <w:right w:val="none" w:sz="0" w:space="0" w:color="auto"/>
          </w:divBdr>
        </w:div>
        <w:div w:id="1636834967">
          <w:marLeft w:val="1886"/>
          <w:marRight w:val="0"/>
          <w:marTop w:val="0"/>
          <w:marBottom w:val="120"/>
          <w:divBdr>
            <w:top w:val="none" w:sz="0" w:space="0" w:color="auto"/>
            <w:left w:val="none" w:sz="0" w:space="0" w:color="auto"/>
            <w:bottom w:val="none" w:sz="0" w:space="0" w:color="auto"/>
            <w:right w:val="none" w:sz="0" w:space="0" w:color="auto"/>
          </w:divBdr>
        </w:div>
        <w:div w:id="1808618378">
          <w:marLeft w:val="1886"/>
          <w:marRight w:val="0"/>
          <w:marTop w:val="0"/>
          <w:marBottom w:val="120"/>
          <w:divBdr>
            <w:top w:val="none" w:sz="0" w:space="0" w:color="auto"/>
            <w:left w:val="none" w:sz="0" w:space="0" w:color="auto"/>
            <w:bottom w:val="none" w:sz="0" w:space="0" w:color="auto"/>
            <w:right w:val="none" w:sz="0" w:space="0" w:color="auto"/>
          </w:divBdr>
        </w:div>
      </w:divsChild>
    </w:div>
    <w:div w:id="2013291093">
      <w:bodyDiv w:val="1"/>
      <w:marLeft w:val="0"/>
      <w:marRight w:val="0"/>
      <w:marTop w:val="0"/>
      <w:marBottom w:val="0"/>
      <w:divBdr>
        <w:top w:val="none" w:sz="0" w:space="0" w:color="auto"/>
        <w:left w:val="none" w:sz="0" w:space="0" w:color="auto"/>
        <w:bottom w:val="none" w:sz="0" w:space="0" w:color="auto"/>
        <w:right w:val="none" w:sz="0" w:space="0" w:color="auto"/>
      </w:divBdr>
    </w:div>
    <w:div w:id="2038042408">
      <w:bodyDiv w:val="1"/>
      <w:marLeft w:val="0"/>
      <w:marRight w:val="0"/>
      <w:marTop w:val="0"/>
      <w:marBottom w:val="0"/>
      <w:divBdr>
        <w:top w:val="none" w:sz="0" w:space="0" w:color="auto"/>
        <w:left w:val="none" w:sz="0" w:space="0" w:color="auto"/>
        <w:bottom w:val="none" w:sz="0" w:space="0" w:color="auto"/>
        <w:right w:val="none" w:sz="0" w:space="0" w:color="auto"/>
      </w:divBdr>
      <w:divsChild>
        <w:div w:id="499808741">
          <w:marLeft w:val="547"/>
          <w:marRight w:val="0"/>
          <w:marTop w:val="0"/>
          <w:marBottom w:val="0"/>
          <w:divBdr>
            <w:top w:val="none" w:sz="0" w:space="0" w:color="auto"/>
            <w:left w:val="none" w:sz="0" w:space="0" w:color="auto"/>
            <w:bottom w:val="none" w:sz="0" w:space="0" w:color="auto"/>
            <w:right w:val="none" w:sz="0" w:space="0" w:color="auto"/>
          </w:divBdr>
        </w:div>
        <w:div w:id="872814384">
          <w:marLeft w:val="547"/>
          <w:marRight w:val="0"/>
          <w:marTop w:val="0"/>
          <w:marBottom w:val="0"/>
          <w:divBdr>
            <w:top w:val="none" w:sz="0" w:space="0" w:color="auto"/>
            <w:left w:val="none" w:sz="0" w:space="0" w:color="auto"/>
            <w:bottom w:val="none" w:sz="0" w:space="0" w:color="auto"/>
            <w:right w:val="none" w:sz="0" w:space="0" w:color="auto"/>
          </w:divBdr>
        </w:div>
        <w:div w:id="1992440445">
          <w:marLeft w:val="547"/>
          <w:marRight w:val="0"/>
          <w:marTop w:val="0"/>
          <w:marBottom w:val="0"/>
          <w:divBdr>
            <w:top w:val="none" w:sz="0" w:space="0" w:color="auto"/>
            <w:left w:val="none" w:sz="0" w:space="0" w:color="auto"/>
            <w:bottom w:val="none" w:sz="0" w:space="0" w:color="auto"/>
            <w:right w:val="none" w:sz="0" w:space="0" w:color="auto"/>
          </w:divBdr>
        </w:div>
      </w:divsChild>
    </w:div>
    <w:div w:id="20627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amf-france.org/fr/actualites-publications/actualites/guerre-en-ukraine-lamf-attire-lattention-des-societes-de-gestion-de-portefeuil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w.officeapps.live.com/op/view.aspx?src=https%3A%2F%2Fwww.tresor.economie.gouv.fr%2FInstitutionnel%2FNiveau3%2FPages%2Fddf1c77a-ba70-4001-b0bb-ba9d8d5c0604%2Ffiles%2Fbc73a324-ea0a-46b8-929f-5613e18d46ff&amp;wdOrigin=BROWSELIN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nctions-gel-avoirs@dgtresor.gouv.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nctions-russie@dgtresor.gouv.fr" TargetMode="External"/><Relationship Id="rId20" Type="http://schemas.openxmlformats.org/officeDocument/2006/relationships/hyperlink" Target="https://ec.europa.eu/info/sites/default/files/business_economy_euro/banking_and_finance/documents/200619-opinion-financial-sanctions_f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info/business-economy-euro/banking-and-finance/international-relations/restrictive-measures-sanctions/sanctions-adopted-following-russias-military-aggression-against-ukraine_en" TargetMode="External"/><Relationship Id="rId23" Type="http://schemas.openxmlformats.org/officeDocument/2006/relationships/hyperlink" Target="mailto:sanctions-gel-avoirs@dgtresor.gouv.fr" TargetMode="External"/><Relationship Id="rId10" Type="http://schemas.openxmlformats.org/officeDocument/2006/relationships/endnotes" Target="endnotes.xml"/><Relationship Id="rId19" Type="http://schemas.openxmlformats.org/officeDocument/2006/relationships/hyperlink" Target="https://data.consilium.europa.eu/doc/document/ST-8519-2018-INIT/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plomatie.gouv.fr/fr/autorites-sanctions/" TargetMode="External"/><Relationship Id="rId22" Type="http://schemas.openxmlformats.org/officeDocument/2006/relationships/hyperlink" Target="https://sanctionsfinancieres.dgtresor.gouv.fr/"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6EFB299491234CADEF285ACC340289" ma:contentTypeVersion="3" ma:contentTypeDescription="Crée un document." ma:contentTypeScope="" ma:versionID="b9ab4857421ba3ea49cf3265ca06535e">
  <xsd:schema xmlns:xsd="http://www.w3.org/2001/XMLSchema" xmlns:xs="http://www.w3.org/2001/XMLSchema" xmlns:p="http://schemas.microsoft.com/office/2006/metadata/properties" xmlns:ns2="f70f74c5-aed6-42fc-9b55-6088a19b7442" targetNamespace="http://schemas.microsoft.com/office/2006/metadata/properties" ma:root="true" ma:fieldsID="604082769404bcb903c0be65f3ba3da0" ns2:_="">
    <xsd:import namespace="f70f74c5-aed6-42fc-9b55-6088a19b7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74c5-aed6-42fc-9b55-6088a19b7442"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DCC26-6F14-41E9-8566-576975286587}">
  <ds:schemaRefs>
    <ds:schemaRef ds:uri="http://schemas.openxmlformats.org/officeDocument/2006/bibliography"/>
  </ds:schemaRefs>
</ds:datastoreItem>
</file>

<file path=customXml/itemProps2.xml><?xml version="1.0" encoding="utf-8"?>
<ds:datastoreItem xmlns:ds="http://schemas.openxmlformats.org/officeDocument/2006/customXml" ds:itemID="{01678D65-FED3-42FA-B9CC-CC133CB986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8EDBFE-C7D6-4F35-85F9-87E260F355FD}">
  <ds:schemaRefs>
    <ds:schemaRef ds:uri="http://schemas.microsoft.com/sharepoint/v3/contenttype/forms"/>
  </ds:schemaRefs>
</ds:datastoreItem>
</file>

<file path=customXml/itemProps4.xml><?xml version="1.0" encoding="utf-8"?>
<ds:datastoreItem xmlns:ds="http://schemas.openxmlformats.org/officeDocument/2006/customXml" ds:itemID="{320615EF-DFD8-41A2-A71B-E9BEF742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74c5-aed6-42fc-9b55-6088a19b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5111</Words>
  <Characters>28116</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OUAZIZI Amin</dc:creator>
  <cp:keywords/>
  <dc:description/>
  <cp:lastModifiedBy>EBIMBE MBONGUE Jeanne</cp:lastModifiedBy>
  <cp:revision>2</cp:revision>
  <dcterms:created xsi:type="dcterms:W3CDTF">2023-02-21T10:01:00Z</dcterms:created>
  <dcterms:modified xsi:type="dcterms:W3CDTF">2023-02-21T10:01:00Z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0x010100806EFB299491234CADEF285ACC340289</vt:lpwstr>
  </property>
</Properties>
</file>