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6" w:type="dxa"/>
        <w:tblCellMar>
          <w:left w:w="0" w:type="dxa"/>
          <w:right w:w="0" w:type="dxa"/>
        </w:tblCellMar>
        <w:tblLook w:val="04A0" w:firstRow="1" w:lastRow="0" w:firstColumn="1" w:lastColumn="0" w:noHBand="0" w:noVBand="1"/>
      </w:tblPr>
      <w:tblGrid>
        <w:gridCol w:w="5529"/>
        <w:gridCol w:w="4657"/>
      </w:tblGrid>
      <w:tr w:rsidR="009334CD" w:rsidRPr="008D36B5" w14:paraId="4549CA2D" w14:textId="77777777" w:rsidTr="00CA4B6D">
        <w:trPr>
          <w:trHeight w:val="514"/>
        </w:trPr>
        <w:tc>
          <w:tcPr>
            <w:tcW w:w="5529" w:type="dxa"/>
            <w:shd w:val="clear" w:color="auto" w:fill="auto"/>
            <w:vAlign w:val="center"/>
            <w:hideMark/>
          </w:tcPr>
          <w:p w14:paraId="233E1392" w14:textId="77777777" w:rsidR="009334CD" w:rsidRPr="008D36B5" w:rsidRDefault="22897566" w:rsidP="00EE74CB">
            <w:pPr>
              <w:spacing w:after="100" w:afterAutospacing="1" w:line="240" w:lineRule="auto"/>
              <w:textAlignment w:val="baseline"/>
              <w:rPr>
                <w:rFonts w:ascii="Times New Roman" w:eastAsia="Times New Roman" w:hAnsi="Times New Roman" w:cs="Times New Roman"/>
                <w:b/>
                <w:bCs/>
                <w:sz w:val="18"/>
                <w:szCs w:val="18"/>
                <w:lang w:eastAsia="fr-FR"/>
              </w:rPr>
            </w:pPr>
            <w:r w:rsidRPr="008D36B5">
              <w:rPr>
                <w:rFonts w:ascii="Segoe UI" w:eastAsia="Times New Roman" w:hAnsi="Segoe UI" w:cs="Segoe UI"/>
                <w:b/>
                <w:bCs/>
                <w:sz w:val="18"/>
                <w:szCs w:val="18"/>
                <w:lang w:eastAsia="fr-FR"/>
              </w:rPr>
              <w:t>Ambassade de France au Canada </w:t>
            </w:r>
            <w:r w:rsidR="009334CD" w:rsidRPr="008D36B5">
              <w:rPr>
                <w:sz w:val="18"/>
                <w:szCs w:val="18"/>
              </w:rPr>
              <w:br/>
            </w:r>
            <w:r w:rsidRPr="008D36B5">
              <w:rPr>
                <w:rFonts w:ascii="Segoe UI" w:eastAsia="Times New Roman" w:hAnsi="Segoe UI" w:cs="Segoe UI"/>
                <w:b/>
                <w:bCs/>
                <w:sz w:val="18"/>
                <w:szCs w:val="18"/>
                <w:lang w:eastAsia="fr-FR"/>
              </w:rPr>
              <w:t>Service économique régional d’Ottawa </w:t>
            </w:r>
          </w:p>
        </w:tc>
        <w:tc>
          <w:tcPr>
            <w:tcW w:w="4657" w:type="dxa"/>
            <w:shd w:val="clear" w:color="auto" w:fill="auto"/>
            <w:vAlign w:val="center"/>
            <w:hideMark/>
          </w:tcPr>
          <w:p w14:paraId="1F817A9E" w14:textId="1228DDE2" w:rsidR="009334CD" w:rsidRPr="008D36B5" w:rsidRDefault="22897566">
            <w:pPr>
              <w:spacing w:after="100" w:afterAutospacing="1" w:line="240" w:lineRule="auto"/>
              <w:jc w:val="right"/>
              <w:textAlignment w:val="baseline"/>
              <w:rPr>
                <w:rFonts w:ascii="Times New Roman" w:eastAsia="Times New Roman" w:hAnsi="Times New Roman" w:cs="Times New Roman"/>
                <w:b/>
                <w:bCs/>
                <w:sz w:val="18"/>
                <w:szCs w:val="18"/>
                <w:lang w:eastAsia="fr-FR"/>
              </w:rPr>
            </w:pPr>
            <w:r w:rsidRPr="008D36B5">
              <w:rPr>
                <w:rFonts w:ascii="Segoe UI" w:eastAsia="Times New Roman" w:hAnsi="Segoe UI" w:cs="Segoe UI"/>
                <w:b/>
                <w:bCs/>
                <w:sz w:val="18"/>
                <w:szCs w:val="18"/>
                <w:lang w:eastAsia="fr-FR"/>
              </w:rPr>
              <w:t>Ottawa,</w:t>
            </w:r>
            <w:r w:rsidR="00A7322B" w:rsidRPr="008D36B5">
              <w:rPr>
                <w:rFonts w:ascii="Segoe UI" w:eastAsia="Times New Roman" w:hAnsi="Segoe UI" w:cs="Segoe UI"/>
                <w:b/>
                <w:bCs/>
                <w:sz w:val="18"/>
                <w:szCs w:val="18"/>
                <w:lang w:eastAsia="fr-FR"/>
              </w:rPr>
              <w:t xml:space="preserve"> </w:t>
            </w:r>
            <w:r w:rsidR="004716F8" w:rsidRPr="008D36B5">
              <w:rPr>
                <w:rFonts w:ascii="Segoe UI" w:eastAsia="Times New Roman" w:hAnsi="Segoe UI" w:cs="Segoe UI"/>
                <w:b/>
                <w:bCs/>
                <w:sz w:val="18"/>
                <w:szCs w:val="18"/>
                <w:lang w:eastAsia="fr-FR"/>
              </w:rPr>
              <w:t xml:space="preserve">le </w:t>
            </w:r>
            <w:r w:rsidR="002B2160">
              <w:rPr>
                <w:rFonts w:ascii="Segoe UI" w:eastAsia="Times New Roman" w:hAnsi="Segoe UI" w:cs="Segoe UI"/>
                <w:b/>
                <w:bCs/>
                <w:sz w:val="18"/>
                <w:szCs w:val="18"/>
                <w:lang w:eastAsia="fr-FR"/>
              </w:rPr>
              <w:t>01</w:t>
            </w:r>
            <w:r w:rsidR="004716F8" w:rsidRPr="008D36B5">
              <w:rPr>
                <w:rFonts w:ascii="Segoe UI" w:eastAsia="Times New Roman" w:hAnsi="Segoe UI" w:cs="Segoe UI"/>
                <w:b/>
                <w:bCs/>
                <w:sz w:val="18"/>
                <w:szCs w:val="18"/>
                <w:lang w:eastAsia="fr-FR"/>
              </w:rPr>
              <w:t>/</w:t>
            </w:r>
            <w:r w:rsidR="007C7794">
              <w:rPr>
                <w:rFonts w:ascii="Segoe UI" w:eastAsia="Times New Roman" w:hAnsi="Segoe UI" w:cs="Segoe UI"/>
                <w:b/>
                <w:bCs/>
                <w:sz w:val="18"/>
                <w:szCs w:val="18"/>
                <w:lang w:eastAsia="fr-FR"/>
              </w:rPr>
              <w:t>0</w:t>
            </w:r>
            <w:r w:rsidR="002B2160">
              <w:rPr>
                <w:rFonts w:ascii="Segoe UI" w:eastAsia="Times New Roman" w:hAnsi="Segoe UI" w:cs="Segoe UI"/>
                <w:b/>
                <w:bCs/>
                <w:sz w:val="18"/>
                <w:szCs w:val="18"/>
                <w:lang w:eastAsia="fr-FR"/>
              </w:rPr>
              <w:t>2</w:t>
            </w:r>
            <w:r w:rsidR="004716F8" w:rsidRPr="008D36B5">
              <w:rPr>
                <w:rFonts w:ascii="Segoe UI" w:eastAsia="Times New Roman" w:hAnsi="Segoe UI" w:cs="Segoe UI"/>
                <w:b/>
                <w:bCs/>
                <w:sz w:val="18"/>
                <w:szCs w:val="18"/>
                <w:lang w:eastAsia="fr-FR"/>
              </w:rPr>
              <w:t>/202</w:t>
            </w:r>
            <w:r w:rsidR="00B255E2" w:rsidRPr="008D36B5">
              <w:rPr>
                <w:rFonts w:ascii="Segoe UI" w:eastAsia="Times New Roman" w:hAnsi="Segoe UI" w:cs="Segoe UI"/>
                <w:b/>
                <w:bCs/>
                <w:sz w:val="18"/>
                <w:szCs w:val="18"/>
                <w:lang w:eastAsia="fr-FR"/>
              </w:rPr>
              <w:t>3</w:t>
            </w:r>
            <w:r w:rsidRPr="008D36B5">
              <w:rPr>
                <w:rFonts w:ascii="Segoe UI" w:eastAsia="Times New Roman" w:hAnsi="Segoe UI" w:cs="Segoe UI"/>
                <w:b/>
                <w:bCs/>
                <w:sz w:val="18"/>
                <w:szCs w:val="18"/>
                <w:lang w:eastAsia="fr-FR"/>
              </w:rPr>
              <w:t> </w:t>
            </w:r>
            <w:r w:rsidR="009334CD" w:rsidRPr="008D36B5">
              <w:rPr>
                <w:sz w:val="18"/>
                <w:szCs w:val="18"/>
              </w:rPr>
              <w:br/>
            </w:r>
            <w:r w:rsidRPr="008D36B5">
              <w:rPr>
                <w:rFonts w:ascii="Segoe UI" w:eastAsia="Times New Roman" w:hAnsi="Segoe UI" w:cs="Segoe UI"/>
                <w:b/>
                <w:bCs/>
                <w:sz w:val="18"/>
                <w:szCs w:val="18"/>
                <w:lang w:eastAsia="fr-FR"/>
              </w:rPr>
              <w:t>Rédigé par</w:t>
            </w:r>
            <w:r w:rsidR="00F05FFD">
              <w:rPr>
                <w:rFonts w:ascii="Segoe UI" w:eastAsia="Times New Roman" w:hAnsi="Segoe UI" w:cs="Segoe UI"/>
                <w:b/>
                <w:bCs/>
                <w:sz w:val="18"/>
                <w:szCs w:val="18"/>
                <w:lang w:eastAsia="fr-FR"/>
              </w:rPr>
              <w:t xml:space="preserve"> J</w:t>
            </w:r>
            <w:r w:rsidR="00640044">
              <w:rPr>
                <w:rFonts w:ascii="Segoe UI" w:eastAsia="Times New Roman" w:hAnsi="Segoe UI" w:cs="Segoe UI"/>
                <w:b/>
                <w:bCs/>
                <w:sz w:val="18"/>
                <w:szCs w:val="18"/>
                <w:lang w:eastAsia="fr-FR"/>
              </w:rPr>
              <w:t>ean</w:t>
            </w:r>
            <w:r w:rsidR="00B60F2D">
              <w:rPr>
                <w:rFonts w:ascii="Segoe UI" w:eastAsia="Times New Roman" w:hAnsi="Segoe UI" w:cs="Segoe UI"/>
                <w:b/>
                <w:bCs/>
                <w:sz w:val="18"/>
                <w:szCs w:val="18"/>
                <w:lang w:eastAsia="fr-FR"/>
              </w:rPr>
              <w:t>-T</w:t>
            </w:r>
            <w:r w:rsidR="00640044">
              <w:rPr>
                <w:rFonts w:ascii="Segoe UI" w:eastAsia="Times New Roman" w:hAnsi="Segoe UI" w:cs="Segoe UI"/>
                <w:b/>
                <w:bCs/>
                <w:sz w:val="18"/>
                <w:szCs w:val="18"/>
                <w:lang w:eastAsia="fr-FR"/>
              </w:rPr>
              <w:t>oussaint</w:t>
            </w:r>
            <w:r w:rsidR="00F05FFD">
              <w:rPr>
                <w:rFonts w:ascii="Segoe UI" w:eastAsia="Times New Roman" w:hAnsi="Segoe UI" w:cs="Segoe UI"/>
                <w:b/>
                <w:bCs/>
                <w:sz w:val="18"/>
                <w:szCs w:val="18"/>
                <w:lang w:eastAsia="fr-FR"/>
              </w:rPr>
              <w:t xml:space="preserve"> Battestini</w:t>
            </w:r>
            <w:r w:rsidR="00A91DD6">
              <w:rPr>
                <w:rFonts w:ascii="Segoe UI" w:eastAsia="Times New Roman" w:hAnsi="Segoe UI" w:cs="Segoe UI"/>
                <w:b/>
                <w:bCs/>
                <w:sz w:val="18"/>
                <w:szCs w:val="18"/>
                <w:lang w:eastAsia="fr-FR"/>
              </w:rPr>
              <w:t xml:space="preserve"> et Marie Beau</w:t>
            </w:r>
            <w:r w:rsidR="00F14084">
              <w:rPr>
                <w:rFonts w:ascii="Segoe UI" w:eastAsia="Times New Roman" w:hAnsi="Segoe UI" w:cs="Segoe UI"/>
                <w:b/>
                <w:bCs/>
                <w:sz w:val="18"/>
                <w:szCs w:val="18"/>
                <w:lang w:eastAsia="fr-FR"/>
              </w:rPr>
              <w:t>x</w:t>
            </w:r>
            <w:r w:rsidR="005A27D0">
              <w:rPr>
                <w:rFonts w:ascii="Segoe UI" w:eastAsia="Times New Roman" w:hAnsi="Segoe UI" w:cs="Segoe UI"/>
                <w:b/>
                <w:bCs/>
                <w:sz w:val="18"/>
                <w:szCs w:val="18"/>
                <w:lang w:eastAsia="fr-FR"/>
              </w:rPr>
              <w:t xml:space="preserve"> </w:t>
            </w:r>
          </w:p>
        </w:tc>
      </w:tr>
    </w:tbl>
    <w:p w14:paraId="3ADE04D4" w14:textId="77777777" w:rsidR="009334CD" w:rsidRPr="008D423B" w:rsidRDefault="009334CD" w:rsidP="004927C5">
      <w:pPr>
        <w:spacing w:after="0" w:line="240" w:lineRule="auto"/>
        <w:jc w:val="right"/>
        <w:textAlignment w:val="baseline"/>
        <w:rPr>
          <w:rFonts w:ascii="Segoe UI" w:eastAsia="Times New Roman" w:hAnsi="Segoe UI" w:cs="Segoe UI"/>
          <w:b/>
          <w:bCs/>
          <w:color w:val="006CE5"/>
          <w:sz w:val="10"/>
          <w:szCs w:val="14"/>
          <w:lang w:eastAsia="fr-FR"/>
        </w:rPr>
      </w:pPr>
    </w:p>
    <w:p w14:paraId="726C02BE" w14:textId="546EA6CD" w:rsidR="009334CD" w:rsidRPr="0003266D" w:rsidRDefault="00F70A43" w:rsidP="00CB065B">
      <w:pPr>
        <w:spacing w:after="100" w:line="240" w:lineRule="auto"/>
        <w:jc w:val="center"/>
        <w:textAlignment w:val="baseline"/>
        <w:rPr>
          <w:rFonts w:ascii="Segoe UI" w:eastAsia="Times New Roman" w:hAnsi="Segoe UI" w:cs="Segoe UI"/>
          <w:sz w:val="18"/>
          <w:szCs w:val="18"/>
          <w:lang w:eastAsia="fr-FR"/>
        </w:rPr>
      </w:pPr>
      <w:r w:rsidRPr="00E35D78">
        <w:rPr>
          <w:rFonts w:ascii="Segoe UI" w:eastAsia="Times New Roman" w:hAnsi="Segoe UI" w:cs="Segoe UI"/>
          <w:b/>
          <w:bCs/>
          <w:color w:val="006CE5"/>
          <w:lang w:eastAsia="fr-FR"/>
        </w:rPr>
        <w:t xml:space="preserve">Canada : </w:t>
      </w:r>
      <w:r w:rsidR="00BF72BF">
        <w:rPr>
          <w:rFonts w:ascii="Segoe UI" w:eastAsia="Times New Roman" w:hAnsi="Segoe UI" w:cs="Segoe UI"/>
          <w:b/>
          <w:bCs/>
          <w:color w:val="006CE5"/>
          <w:lang w:eastAsia="fr-FR"/>
        </w:rPr>
        <w:t>du</w:t>
      </w:r>
      <w:r w:rsidR="00296CCB">
        <w:rPr>
          <w:rFonts w:ascii="Segoe UI" w:eastAsia="Times New Roman" w:hAnsi="Segoe UI" w:cs="Segoe UI"/>
          <w:b/>
          <w:bCs/>
          <w:color w:val="006CE5"/>
          <w:lang w:eastAsia="fr-FR"/>
        </w:rPr>
        <w:t xml:space="preserve"> débat </w:t>
      </w:r>
      <w:r w:rsidR="00F41852">
        <w:rPr>
          <w:rFonts w:ascii="Segoe UI" w:eastAsia="Times New Roman" w:hAnsi="Segoe UI" w:cs="Segoe UI"/>
          <w:b/>
          <w:bCs/>
          <w:color w:val="006CE5"/>
          <w:lang w:eastAsia="fr-FR"/>
        </w:rPr>
        <w:t>sur</w:t>
      </w:r>
      <w:r w:rsidR="0061381C">
        <w:rPr>
          <w:rFonts w:ascii="Segoe UI" w:eastAsia="Times New Roman" w:hAnsi="Segoe UI" w:cs="Segoe UI"/>
          <w:b/>
          <w:bCs/>
          <w:color w:val="006CE5"/>
          <w:lang w:eastAsia="fr-FR"/>
        </w:rPr>
        <w:t xml:space="preserve"> l’</w:t>
      </w:r>
      <w:r w:rsidR="00296CCB">
        <w:rPr>
          <w:rFonts w:ascii="Segoe UI" w:eastAsia="Times New Roman" w:hAnsi="Segoe UI" w:cs="Segoe UI"/>
          <w:b/>
          <w:bCs/>
          <w:color w:val="006CE5"/>
          <w:lang w:eastAsia="fr-FR"/>
        </w:rPr>
        <w:t xml:space="preserve">inflation par les marges </w:t>
      </w:r>
      <w:r w:rsidR="00BF72BF">
        <w:rPr>
          <w:rFonts w:ascii="Segoe UI" w:eastAsia="Times New Roman" w:hAnsi="Segoe UI" w:cs="Segoe UI"/>
          <w:b/>
          <w:bCs/>
          <w:color w:val="006CE5"/>
          <w:lang w:eastAsia="fr-FR"/>
        </w:rPr>
        <w:t>à la</w:t>
      </w:r>
      <w:r w:rsidR="0067567D" w:rsidRPr="00E35D78">
        <w:rPr>
          <w:rFonts w:ascii="Segoe UI" w:eastAsia="Times New Roman" w:hAnsi="Segoe UI" w:cs="Segoe UI"/>
          <w:b/>
          <w:bCs/>
          <w:color w:val="006CE5"/>
          <w:lang w:eastAsia="fr-FR"/>
        </w:rPr>
        <w:t xml:space="preserve"> refonte </w:t>
      </w:r>
      <w:r w:rsidR="00A414CA" w:rsidRPr="00E35D78">
        <w:rPr>
          <w:rFonts w:ascii="Segoe UI" w:eastAsia="Times New Roman" w:hAnsi="Segoe UI" w:cs="Segoe UI"/>
          <w:b/>
          <w:bCs/>
          <w:color w:val="006CE5"/>
          <w:lang w:eastAsia="fr-FR"/>
        </w:rPr>
        <w:t>du</w:t>
      </w:r>
      <w:r w:rsidR="00D3519B" w:rsidRPr="00E35D78">
        <w:rPr>
          <w:rFonts w:ascii="Segoe UI" w:eastAsia="Times New Roman" w:hAnsi="Segoe UI" w:cs="Segoe UI"/>
          <w:b/>
          <w:bCs/>
          <w:color w:val="006CE5"/>
          <w:lang w:eastAsia="fr-FR"/>
        </w:rPr>
        <w:t xml:space="preserve"> droit de la concurrence</w:t>
      </w:r>
      <w:r w:rsidR="0099609A">
        <w:rPr>
          <w:rFonts w:ascii="Segoe UI" w:eastAsia="Times New Roman" w:hAnsi="Segoe UI" w:cs="Segoe UI"/>
          <w:b/>
          <w:bCs/>
          <w:color w:val="006CE5"/>
          <w:lang w:eastAsia="fr-FR"/>
        </w:rPr>
        <w:t xml:space="preserve"> </w:t>
      </w:r>
    </w:p>
    <w:p w14:paraId="34B22909" w14:textId="1C0C649F" w:rsidR="009334CD" w:rsidRPr="003A3FE9" w:rsidRDefault="00196CBB" w:rsidP="00860277">
      <w:pPr>
        <w:tabs>
          <w:tab w:val="left" w:pos="1560"/>
        </w:tabs>
        <w:spacing w:after="80" w:line="240" w:lineRule="auto"/>
        <w:jc w:val="both"/>
        <w:textAlignment w:val="baseline"/>
        <w:rPr>
          <w:rFonts w:ascii="Segoe UI" w:eastAsia="Times New Roman" w:hAnsi="Segoe UI" w:cs="Segoe UI"/>
          <w:i/>
          <w:iCs/>
          <w:color w:val="006CE5"/>
          <w:sz w:val="18"/>
          <w:szCs w:val="18"/>
          <w:lang w:eastAsia="fr-FR"/>
        </w:rPr>
      </w:pPr>
      <w:r w:rsidRPr="00E35D78">
        <w:rPr>
          <w:rFonts w:ascii="Segoe UI" w:eastAsia="Times New Roman" w:hAnsi="Segoe UI" w:cs="Segoe UI"/>
          <w:i/>
          <w:iCs/>
          <w:color w:val="006CE5"/>
          <w:sz w:val="18"/>
          <w:szCs w:val="18"/>
          <w:lang w:eastAsia="fr-FR"/>
        </w:rPr>
        <w:t>L</w:t>
      </w:r>
      <w:r w:rsidR="00513D1E" w:rsidRPr="00E35D78">
        <w:rPr>
          <w:rFonts w:ascii="Segoe UI" w:eastAsia="Times New Roman" w:hAnsi="Segoe UI" w:cs="Segoe UI"/>
          <w:i/>
          <w:iCs/>
          <w:color w:val="006CE5"/>
          <w:sz w:val="18"/>
          <w:szCs w:val="18"/>
          <w:lang w:eastAsia="fr-FR"/>
        </w:rPr>
        <w:t>’inflation</w:t>
      </w:r>
      <w:r w:rsidR="00601536" w:rsidRPr="00E35D78">
        <w:rPr>
          <w:rFonts w:ascii="Segoe UI" w:eastAsia="Times New Roman" w:hAnsi="Segoe UI" w:cs="Segoe UI"/>
          <w:i/>
          <w:iCs/>
          <w:color w:val="006CE5"/>
          <w:sz w:val="18"/>
          <w:szCs w:val="18"/>
          <w:lang w:eastAsia="fr-FR"/>
        </w:rPr>
        <w:t>, notamment sur les denrées alimentaires,</w:t>
      </w:r>
      <w:r w:rsidR="007C48B7" w:rsidRPr="00E35D78">
        <w:rPr>
          <w:rFonts w:ascii="Segoe UI" w:eastAsia="Times New Roman" w:hAnsi="Segoe UI" w:cs="Segoe UI"/>
          <w:i/>
          <w:iCs/>
          <w:color w:val="006CE5"/>
          <w:sz w:val="18"/>
          <w:szCs w:val="18"/>
          <w:lang w:eastAsia="fr-FR"/>
        </w:rPr>
        <w:t xml:space="preserve"> </w:t>
      </w:r>
      <w:r w:rsidR="00C423FA" w:rsidRPr="00E35D78">
        <w:rPr>
          <w:rFonts w:ascii="Segoe UI" w:eastAsia="Times New Roman" w:hAnsi="Segoe UI" w:cs="Segoe UI"/>
          <w:i/>
          <w:iCs/>
          <w:color w:val="006CE5"/>
          <w:sz w:val="18"/>
          <w:szCs w:val="18"/>
          <w:lang w:eastAsia="fr-FR"/>
        </w:rPr>
        <w:t>agite</w:t>
      </w:r>
      <w:r w:rsidR="00513D1E" w:rsidRPr="00E35D78">
        <w:rPr>
          <w:rFonts w:ascii="Segoe UI" w:eastAsia="Times New Roman" w:hAnsi="Segoe UI" w:cs="Segoe UI"/>
          <w:i/>
          <w:iCs/>
          <w:color w:val="006CE5"/>
          <w:sz w:val="18"/>
          <w:szCs w:val="18"/>
          <w:lang w:eastAsia="fr-FR"/>
        </w:rPr>
        <w:t xml:space="preserve"> </w:t>
      </w:r>
      <w:r w:rsidR="0049579C" w:rsidRPr="00E35D78">
        <w:rPr>
          <w:rFonts w:ascii="Segoe UI" w:eastAsia="Times New Roman" w:hAnsi="Segoe UI" w:cs="Segoe UI"/>
          <w:i/>
          <w:iCs/>
          <w:color w:val="006CE5"/>
          <w:sz w:val="18"/>
          <w:szCs w:val="18"/>
          <w:lang w:eastAsia="fr-FR"/>
        </w:rPr>
        <w:t>depu</w:t>
      </w:r>
      <w:r w:rsidR="00D57B63" w:rsidRPr="00E35D78">
        <w:rPr>
          <w:rFonts w:ascii="Segoe UI" w:eastAsia="Times New Roman" w:hAnsi="Segoe UI" w:cs="Segoe UI"/>
          <w:i/>
          <w:iCs/>
          <w:color w:val="006CE5"/>
          <w:sz w:val="18"/>
          <w:szCs w:val="18"/>
          <w:lang w:eastAsia="fr-FR"/>
        </w:rPr>
        <w:t xml:space="preserve">is </w:t>
      </w:r>
      <w:r w:rsidR="00513D1E" w:rsidRPr="00E35D78">
        <w:rPr>
          <w:rFonts w:ascii="Segoe UI" w:eastAsia="Times New Roman" w:hAnsi="Segoe UI" w:cs="Segoe UI"/>
          <w:i/>
          <w:iCs/>
          <w:color w:val="006CE5"/>
          <w:sz w:val="18"/>
          <w:szCs w:val="18"/>
          <w:lang w:eastAsia="fr-FR"/>
        </w:rPr>
        <w:t>fin 2022</w:t>
      </w:r>
      <w:r w:rsidR="00513D1E" w:rsidRPr="00E35D78">
        <w:rPr>
          <w:rStyle w:val="Appelnotedebasdep"/>
          <w:rFonts w:ascii="Segoe UI" w:hAnsi="Segoe UI" w:cs="Segoe UI"/>
          <w:i/>
          <w:iCs/>
          <w:color w:val="4472C4" w:themeColor="accent5"/>
          <w:sz w:val="18"/>
          <w:szCs w:val="18"/>
        </w:rPr>
        <w:footnoteReference w:id="1"/>
      </w:r>
      <w:r w:rsidR="008E5F2D" w:rsidRPr="00E35D78">
        <w:rPr>
          <w:rFonts w:ascii="Segoe UI" w:eastAsia="Times New Roman" w:hAnsi="Segoe UI" w:cs="Segoe UI"/>
          <w:i/>
          <w:iCs/>
          <w:color w:val="006CE5"/>
          <w:sz w:val="18"/>
          <w:szCs w:val="18"/>
          <w:lang w:eastAsia="fr-FR"/>
        </w:rPr>
        <w:t xml:space="preserve"> </w:t>
      </w:r>
      <w:r w:rsidR="00D44A2F" w:rsidRPr="00E35D78">
        <w:rPr>
          <w:rFonts w:ascii="Segoe UI" w:eastAsia="Times New Roman" w:hAnsi="Segoe UI" w:cs="Segoe UI"/>
          <w:i/>
          <w:iCs/>
          <w:color w:val="006CE5"/>
          <w:sz w:val="18"/>
          <w:szCs w:val="18"/>
          <w:lang w:eastAsia="fr-FR"/>
        </w:rPr>
        <w:t>le débat public</w:t>
      </w:r>
      <w:r w:rsidR="0031417F" w:rsidRPr="00E35D78">
        <w:rPr>
          <w:rFonts w:ascii="Segoe UI" w:eastAsia="Times New Roman" w:hAnsi="Segoe UI" w:cs="Segoe UI"/>
          <w:i/>
          <w:iCs/>
          <w:color w:val="006CE5"/>
          <w:sz w:val="18"/>
          <w:szCs w:val="18"/>
          <w:lang w:eastAsia="fr-FR"/>
        </w:rPr>
        <w:t xml:space="preserve"> </w:t>
      </w:r>
      <w:r w:rsidR="00D44A2F" w:rsidRPr="00E35D78">
        <w:rPr>
          <w:rFonts w:ascii="Segoe UI" w:eastAsia="Times New Roman" w:hAnsi="Segoe UI" w:cs="Segoe UI"/>
          <w:i/>
          <w:iCs/>
          <w:color w:val="006CE5"/>
          <w:sz w:val="18"/>
          <w:szCs w:val="18"/>
          <w:lang w:eastAsia="fr-FR"/>
        </w:rPr>
        <w:t>canadien.</w:t>
      </w:r>
      <w:r w:rsidR="00E96D27" w:rsidRPr="00E35D78">
        <w:rPr>
          <w:rFonts w:ascii="Segoe UI" w:eastAsia="Times New Roman" w:hAnsi="Segoe UI" w:cs="Segoe UI"/>
          <w:i/>
          <w:iCs/>
          <w:color w:val="006CE5"/>
          <w:sz w:val="18"/>
          <w:szCs w:val="18"/>
          <w:lang w:eastAsia="fr-FR"/>
        </w:rPr>
        <w:t xml:space="preserve"> </w:t>
      </w:r>
      <w:r w:rsidR="003A3FE9" w:rsidRPr="00E35D78">
        <w:rPr>
          <w:rFonts w:ascii="Segoe UI" w:eastAsia="Times New Roman" w:hAnsi="Segoe UI" w:cs="Segoe UI"/>
          <w:i/>
          <w:iCs/>
          <w:color w:val="006CE5"/>
          <w:sz w:val="18"/>
          <w:szCs w:val="18"/>
          <w:lang w:eastAsia="fr-FR"/>
        </w:rPr>
        <w:t xml:space="preserve">Si l’hypothèse d’une </w:t>
      </w:r>
      <w:r w:rsidR="00F41852">
        <w:rPr>
          <w:rFonts w:ascii="Segoe UI" w:eastAsia="Times New Roman" w:hAnsi="Segoe UI" w:cs="Segoe UI"/>
          <w:i/>
          <w:iCs/>
          <w:color w:val="006CE5"/>
          <w:sz w:val="18"/>
          <w:szCs w:val="18"/>
          <w:lang w:eastAsia="fr-FR"/>
        </w:rPr>
        <w:t>augmentation des prix</w:t>
      </w:r>
      <w:r w:rsidR="003A3FE9" w:rsidRPr="00E35D78">
        <w:rPr>
          <w:rFonts w:ascii="Segoe UI" w:eastAsia="Times New Roman" w:hAnsi="Segoe UI" w:cs="Segoe UI"/>
          <w:i/>
          <w:iCs/>
          <w:color w:val="006CE5"/>
          <w:sz w:val="18"/>
          <w:szCs w:val="18"/>
          <w:lang w:eastAsia="fr-FR"/>
        </w:rPr>
        <w:t xml:space="preserve"> tirée par l</w:t>
      </w:r>
      <w:r w:rsidR="00F41852">
        <w:rPr>
          <w:rFonts w:ascii="Segoe UI" w:eastAsia="Times New Roman" w:hAnsi="Segoe UI" w:cs="Segoe UI"/>
          <w:i/>
          <w:iCs/>
          <w:color w:val="006CE5"/>
          <w:sz w:val="18"/>
          <w:szCs w:val="18"/>
          <w:lang w:eastAsia="fr-FR"/>
        </w:rPr>
        <w:t>a croissance</w:t>
      </w:r>
      <w:r w:rsidR="00C423FA" w:rsidRPr="00E35D78">
        <w:rPr>
          <w:rFonts w:ascii="Segoe UI" w:eastAsia="Times New Roman" w:hAnsi="Segoe UI" w:cs="Segoe UI"/>
          <w:i/>
          <w:iCs/>
          <w:color w:val="006CE5"/>
          <w:sz w:val="18"/>
          <w:szCs w:val="18"/>
          <w:lang w:eastAsia="fr-FR"/>
        </w:rPr>
        <w:t xml:space="preserve"> des</w:t>
      </w:r>
      <w:r w:rsidR="003A3FE9" w:rsidRPr="00E35D78">
        <w:rPr>
          <w:rFonts w:ascii="Segoe UI" w:eastAsia="Times New Roman" w:hAnsi="Segoe UI" w:cs="Segoe UI"/>
          <w:i/>
          <w:iCs/>
          <w:color w:val="006CE5"/>
          <w:sz w:val="18"/>
          <w:szCs w:val="18"/>
          <w:lang w:eastAsia="fr-FR"/>
        </w:rPr>
        <w:t xml:space="preserve"> marges </w:t>
      </w:r>
      <w:r w:rsidR="00C423FA" w:rsidRPr="00E35D78">
        <w:rPr>
          <w:rFonts w:ascii="Segoe UI" w:eastAsia="Times New Roman" w:hAnsi="Segoe UI" w:cs="Segoe UI"/>
          <w:i/>
          <w:iCs/>
          <w:color w:val="006CE5"/>
          <w:sz w:val="18"/>
          <w:szCs w:val="18"/>
          <w:lang w:eastAsia="fr-FR"/>
        </w:rPr>
        <w:t xml:space="preserve">des </w:t>
      </w:r>
      <w:r w:rsidR="00752D84" w:rsidRPr="00E35D78">
        <w:rPr>
          <w:rFonts w:ascii="Segoe UI" w:eastAsia="Times New Roman" w:hAnsi="Segoe UI" w:cs="Segoe UI"/>
          <w:i/>
          <w:iCs/>
          <w:color w:val="006CE5"/>
          <w:sz w:val="18"/>
          <w:szCs w:val="18"/>
          <w:lang w:eastAsia="fr-FR"/>
        </w:rPr>
        <w:t>entreprises</w:t>
      </w:r>
      <w:r w:rsidR="00C423FA" w:rsidRPr="00E35D78">
        <w:rPr>
          <w:rFonts w:ascii="Segoe UI" w:eastAsia="Times New Roman" w:hAnsi="Segoe UI" w:cs="Segoe UI"/>
          <w:i/>
          <w:iCs/>
          <w:color w:val="006CE5"/>
          <w:sz w:val="18"/>
          <w:szCs w:val="18"/>
          <w:lang w:eastAsia="fr-FR"/>
        </w:rPr>
        <w:t xml:space="preserve"> </w:t>
      </w:r>
      <w:r w:rsidR="00BF72BF">
        <w:rPr>
          <w:rFonts w:ascii="Segoe UI" w:eastAsia="Times New Roman" w:hAnsi="Segoe UI" w:cs="Segoe UI"/>
          <w:i/>
          <w:iCs/>
          <w:color w:val="006CE5"/>
          <w:sz w:val="18"/>
          <w:szCs w:val="18"/>
          <w:lang w:eastAsia="fr-FR"/>
        </w:rPr>
        <w:t>a été</w:t>
      </w:r>
      <w:r w:rsidR="003A3FE9" w:rsidRPr="00E35D78">
        <w:rPr>
          <w:rFonts w:ascii="Segoe UI" w:eastAsia="Times New Roman" w:hAnsi="Segoe UI" w:cs="Segoe UI"/>
          <w:i/>
          <w:iCs/>
          <w:color w:val="006CE5"/>
          <w:sz w:val="18"/>
          <w:szCs w:val="18"/>
          <w:lang w:eastAsia="fr-FR"/>
        </w:rPr>
        <w:t xml:space="preserve"> </w:t>
      </w:r>
      <w:r w:rsidR="00BF72BF">
        <w:rPr>
          <w:rFonts w:ascii="Segoe UI" w:eastAsia="Times New Roman" w:hAnsi="Segoe UI" w:cs="Segoe UI"/>
          <w:i/>
          <w:iCs/>
          <w:color w:val="006CE5"/>
          <w:sz w:val="18"/>
          <w:szCs w:val="18"/>
          <w:lang w:eastAsia="fr-FR"/>
        </w:rPr>
        <w:t xml:space="preserve">globalement </w:t>
      </w:r>
      <w:r w:rsidR="003A3FE9" w:rsidRPr="00E35D78">
        <w:rPr>
          <w:rFonts w:ascii="Segoe UI" w:eastAsia="Times New Roman" w:hAnsi="Segoe UI" w:cs="Segoe UI"/>
          <w:i/>
          <w:iCs/>
          <w:color w:val="006CE5"/>
          <w:sz w:val="18"/>
          <w:szCs w:val="18"/>
          <w:lang w:eastAsia="fr-FR"/>
        </w:rPr>
        <w:t>écartée</w:t>
      </w:r>
      <w:r w:rsidR="002371B5" w:rsidRPr="00E35D78">
        <w:rPr>
          <w:rFonts w:ascii="Segoe UI" w:eastAsia="Times New Roman" w:hAnsi="Segoe UI" w:cs="Segoe UI"/>
          <w:i/>
          <w:iCs/>
          <w:color w:val="006CE5"/>
          <w:sz w:val="18"/>
          <w:szCs w:val="18"/>
          <w:lang w:eastAsia="fr-FR"/>
        </w:rPr>
        <w:t xml:space="preserve"> par la Banque du Canada</w:t>
      </w:r>
      <w:r w:rsidR="00D44A2F" w:rsidRPr="00E35D78">
        <w:rPr>
          <w:rFonts w:ascii="Segoe UI" w:eastAsia="Times New Roman" w:hAnsi="Segoe UI" w:cs="Segoe UI"/>
          <w:i/>
          <w:iCs/>
          <w:color w:val="006CE5"/>
          <w:sz w:val="18"/>
          <w:szCs w:val="18"/>
          <w:lang w:eastAsia="fr-FR"/>
        </w:rPr>
        <w:t xml:space="preserve"> et Statistique Canada</w:t>
      </w:r>
      <w:r w:rsidR="003A3FE9" w:rsidRPr="00E35D78">
        <w:rPr>
          <w:rFonts w:ascii="Segoe UI" w:eastAsia="Times New Roman" w:hAnsi="Segoe UI" w:cs="Segoe UI"/>
          <w:i/>
          <w:iCs/>
          <w:color w:val="006CE5"/>
          <w:sz w:val="18"/>
          <w:szCs w:val="18"/>
          <w:lang w:eastAsia="fr-FR"/>
        </w:rPr>
        <w:t>,</w:t>
      </w:r>
      <w:r w:rsidR="006C1D0F" w:rsidRPr="00E35D78">
        <w:rPr>
          <w:rFonts w:ascii="Segoe UI" w:eastAsia="Times New Roman" w:hAnsi="Segoe UI" w:cs="Segoe UI"/>
          <w:i/>
          <w:iCs/>
          <w:color w:val="006CE5"/>
          <w:sz w:val="18"/>
          <w:szCs w:val="18"/>
          <w:lang w:eastAsia="fr-FR"/>
        </w:rPr>
        <w:t xml:space="preserve"> </w:t>
      </w:r>
      <w:r w:rsidR="002371B5" w:rsidRPr="00E35D78">
        <w:rPr>
          <w:rFonts w:ascii="Segoe UI" w:eastAsia="Times New Roman" w:hAnsi="Segoe UI" w:cs="Segoe UI"/>
          <w:i/>
          <w:iCs/>
          <w:color w:val="006CE5"/>
          <w:sz w:val="18"/>
          <w:szCs w:val="18"/>
          <w:lang w:eastAsia="fr-FR"/>
        </w:rPr>
        <w:t>le Bureau de la Concurrence</w:t>
      </w:r>
      <w:r w:rsidR="00C423FA" w:rsidRPr="00E35D78">
        <w:rPr>
          <w:rFonts w:ascii="Segoe UI" w:eastAsia="Times New Roman" w:hAnsi="Segoe UI" w:cs="Segoe UI"/>
          <w:i/>
          <w:iCs/>
          <w:color w:val="006CE5"/>
          <w:sz w:val="18"/>
          <w:szCs w:val="18"/>
          <w:lang w:eastAsia="fr-FR"/>
        </w:rPr>
        <w:t>, qui a diligenté une enquête,</w:t>
      </w:r>
      <w:r w:rsidR="009D0080" w:rsidRPr="00E35D78">
        <w:rPr>
          <w:rFonts w:ascii="Segoe UI" w:eastAsia="Times New Roman" w:hAnsi="Segoe UI" w:cs="Segoe UI"/>
          <w:i/>
          <w:iCs/>
          <w:color w:val="006CE5"/>
          <w:sz w:val="18"/>
          <w:szCs w:val="18"/>
          <w:lang w:eastAsia="fr-FR"/>
        </w:rPr>
        <w:t xml:space="preserve"> </w:t>
      </w:r>
      <w:r w:rsidR="00C423FA" w:rsidRPr="00E35D78">
        <w:rPr>
          <w:rFonts w:ascii="Segoe UI" w:eastAsia="Times New Roman" w:hAnsi="Segoe UI" w:cs="Segoe UI"/>
          <w:i/>
          <w:iCs/>
          <w:color w:val="006CE5"/>
          <w:sz w:val="18"/>
          <w:szCs w:val="18"/>
          <w:lang w:eastAsia="fr-FR"/>
        </w:rPr>
        <w:t>estime</w:t>
      </w:r>
      <w:r w:rsidR="00E96D27" w:rsidRPr="00E35D78">
        <w:rPr>
          <w:rFonts w:ascii="Segoe UI" w:eastAsia="Times New Roman" w:hAnsi="Segoe UI" w:cs="Segoe UI"/>
          <w:i/>
          <w:iCs/>
          <w:color w:val="006CE5"/>
          <w:sz w:val="18"/>
          <w:szCs w:val="18"/>
          <w:lang w:eastAsia="fr-FR"/>
        </w:rPr>
        <w:t xml:space="preserve"> qu</w:t>
      </w:r>
      <w:r w:rsidR="0022373A" w:rsidRPr="00E35D78">
        <w:rPr>
          <w:rFonts w:ascii="Segoe UI" w:eastAsia="Times New Roman" w:hAnsi="Segoe UI" w:cs="Segoe UI"/>
          <w:i/>
          <w:iCs/>
          <w:color w:val="006CE5"/>
          <w:sz w:val="18"/>
          <w:szCs w:val="18"/>
          <w:lang w:eastAsia="fr-FR"/>
        </w:rPr>
        <w:t xml:space="preserve">e la </w:t>
      </w:r>
      <w:r w:rsidR="00BF72BF">
        <w:rPr>
          <w:rFonts w:ascii="Segoe UI" w:eastAsia="Times New Roman" w:hAnsi="Segoe UI" w:cs="Segoe UI"/>
          <w:i/>
          <w:iCs/>
          <w:color w:val="006CE5"/>
          <w:sz w:val="18"/>
          <w:szCs w:val="18"/>
          <w:lang w:eastAsia="fr-FR"/>
        </w:rPr>
        <w:t xml:space="preserve">baisse de l’intensité concurrentielle observée sur de nombreux marchés depuis deux décennies a pu </w:t>
      </w:r>
      <w:r w:rsidR="00645C97" w:rsidRPr="00E35D78">
        <w:rPr>
          <w:rFonts w:ascii="Segoe UI" w:eastAsia="Times New Roman" w:hAnsi="Segoe UI" w:cs="Segoe UI"/>
          <w:i/>
          <w:iCs/>
          <w:color w:val="006CE5"/>
          <w:sz w:val="18"/>
          <w:szCs w:val="18"/>
          <w:lang w:eastAsia="fr-FR"/>
        </w:rPr>
        <w:t>contribu</w:t>
      </w:r>
      <w:r w:rsidR="00BF72BF">
        <w:rPr>
          <w:rFonts w:ascii="Segoe UI" w:eastAsia="Times New Roman" w:hAnsi="Segoe UI" w:cs="Segoe UI"/>
          <w:i/>
          <w:iCs/>
          <w:color w:val="006CE5"/>
          <w:sz w:val="18"/>
          <w:szCs w:val="18"/>
          <w:lang w:eastAsia="fr-FR"/>
        </w:rPr>
        <w:t>er</w:t>
      </w:r>
      <w:r w:rsidR="00645C97" w:rsidRPr="00E35D78">
        <w:rPr>
          <w:rFonts w:ascii="Segoe UI" w:eastAsia="Times New Roman" w:hAnsi="Segoe UI" w:cs="Segoe UI"/>
          <w:i/>
          <w:iCs/>
          <w:color w:val="006CE5"/>
          <w:sz w:val="18"/>
          <w:szCs w:val="18"/>
          <w:lang w:eastAsia="fr-FR"/>
        </w:rPr>
        <w:t xml:space="preserve"> </w:t>
      </w:r>
      <w:r w:rsidR="00BF72BF">
        <w:rPr>
          <w:rFonts w:ascii="Segoe UI" w:eastAsia="Times New Roman" w:hAnsi="Segoe UI" w:cs="Segoe UI"/>
          <w:i/>
          <w:iCs/>
          <w:color w:val="006CE5"/>
          <w:sz w:val="18"/>
          <w:szCs w:val="18"/>
          <w:lang w:eastAsia="fr-FR"/>
        </w:rPr>
        <w:t>à la dynamique inflationniste</w:t>
      </w:r>
      <w:r w:rsidR="00645C97" w:rsidRPr="00E35D78">
        <w:rPr>
          <w:rFonts w:ascii="Segoe UI" w:eastAsia="Times New Roman" w:hAnsi="Segoe UI" w:cs="Segoe UI"/>
          <w:i/>
          <w:iCs/>
          <w:color w:val="006CE5"/>
          <w:sz w:val="18"/>
          <w:szCs w:val="18"/>
          <w:lang w:eastAsia="fr-FR"/>
        </w:rPr>
        <w:t xml:space="preserve">. </w:t>
      </w:r>
      <w:r w:rsidR="00C423FA" w:rsidRPr="00E35D78">
        <w:rPr>
          <w:rFonts w:ascii="Segoe UI" w:eastAsia="Times New Roman" w:hAnsi="Segoe UI" w:cs="Segoe UI"/>
          <w:i/>
          <w:iCs/>
          <w:color w:val="006CE5"/>
          <w:sz w:val="18"/>
          <w:szCs w:val="18"/>
          <w:lang w:eastAsia="fr-FR"/>
        </w:rPr>
        <w:t>En réponse à ce constat, l</w:t>
      </w:r>
      <w:r w:rsidR="009D0080" w:rsidRPr="00E35D78">
        <w:rPr>
          <w:rFonts w:ascii="Segoe UI" w:eastAsia="Times New Roman" w:hAnsi="Segoe UI" w:cs="Segoe UI"/>
          <w:i/>
          <w:iCs/>
          <w:color w:val="006CE5"/>
          <w:sz w:val="18"/>
          <w:szCs w:val="18"/>
          <w:lang w:eastAsia="fr-FR"/>
        </w:rPr>
        <w:t xml:space="preserve">e gouvernement fédéral a </w:t>
      </w:r>
      <w:r w:rsidR="00C423FA" w:rsidRPr="00E35D78">
        <w:rPr>
          <w:rFonts w:ascii="Segoe UI" w:eastAsia="Times New Roman" w:hAnsi="Segoe UI" w:cs="Segoe UI"/>
          <w:i/>
          <w:iCs/>
          <w:color w:val="006CE5"/>
          <w:sz w:val="18"/>
          <w:szCs w:val="18"/>
          <w:lang w:eastAsia="fr-FR"/>
        </w:rPr>
        <w:t>lancé</w:t>
      </w:r>
      <w:r w:rsidR="009D0080" w:rsidRPr="00E35D78">
        <w:rPr>
          <w:rFonts w:ascii="Segoe UI" w:eastAsia="Times New Roman" w:hAnsi="Segoe UI" w:cs="Segoe UI"/>
          <w:i/>
          <w:iCs/>
          <w:color w:val="006CE5"/>
          <w:sz w:val="18"/>
          <w:szCs w:val="18"/>
          <w:lang w:eastAsia="fr-FR"/>
        </w:rPr>
        <w:t xml:space="preserve"> en décembre 2023 </w:t>
      </w:r>
      <w:r w:rsidR="00425773" w:rsidRPr="00E35D78">
        <w:rPr>
          <w:rFonts w:ascii="Segoe UI" w:eastAsia="Times New Roman" w:hAnsi="Segoe UI" w:cs="Segoe UI"/>
          <w:i/>
          <w:iCs/>
          <w:color w:val="006CE5"/>
          <w:sz w:val="18"/>
          <w:szCs w:val="18"/>
          <w:lang w:eastAsia="fr-FR"/>
        </w:rPr>
        <w:t xml:space="preserve">une </w:t>
      </w:r>
      <w:r w:rsidR="009D0080" w:rsidRPr="00E35D78">
        <w:rPr>
          <w:rFonts w:ascii="Segoe UI" w:eastAsia="Times New Roman" w:hAnsi="Segoe UI" w:cs="Segoe UI"/>
          <w:i/>
          <w:iCs/>
          <w:color w:val="006CE5"/>
          <w:sz w:val="18"/>
          <w:szCs w:val="18"/>
          <w:lang w:eastAsia="fr-FR"/>
        </w:rPr>
        <w:t>réforme du droit de la concurrence</w:t>
      </w:r>
      <w:r w:rsidR="00290E09" w:rsidRPr="00E35D78">
        <w:rPr>
          <w:rFonts w:ascii="Segoe UI" w:eastAsia="Times New Roman" w:hAnsi="Segoe UI" w:cs="Segoe UI"/>
          <w:i/>
          <w:iCs/>
          <w:color w:val="006CE5"/>
          <w:sz w:val="18"/>
          <w:szCs w:val="18"/>
          <w:lang w:eastAsia="fr-FR"/>
        </w:rPr>
        <w:t>, dont certaines dispositions visent spécifiquement le secteur de la distribution alimentaire</w:t>
      </w:r>
      <w:r w:rsidR="00FE5E7D" w:rsidRPr="00E35D78">
        <w:rPr>
          <w:rFonts w:ascii="Segoe UI" w:eastAsia="Times New Roman" w:hAnsi="Segoe UI" w:cs="Segoe UI"/>
          <w:i/>
          <w:iCs/>
          <w:color w:val="006CE5"/>
          <w:sz w:val="18"/>
          <w:szCs w:val="18"/>
          <w:lang w:eastAsia="fr-FR"/>
        </w:rPr>
        <w:t>.</w:t>
      </w:r>
      <w:r w:rsidR="00FE5E7D">
        <w:rPr>
          <w:rFonts w:ascii="Segoe UI" w:eastAsia="Times New Roman" w:hAnsi="Segoe UI" w:cs="Segoe UI"/>
          <w:i/>
          <w:iCs/>
          <w:color w:val="006CE5"/>
          <w:sz w:val="18"/>
          <w:szCs w:val="18"/>
          <w:lang w:eastAsia="fr-FR"/>
        </w:rPr>
        <w:t xml:space="preserve"> </w:t>
      </w:r>
    </w:p>
    <w:tbl>
      <w:tblPr>
        <w:tblStyle w:val="Grilledutableau"/>
        <w:tblW w:w="10243" w:type="dxa"/>
        <w:tblBorders>
          <w:top w:val="single" w:sz="4" w:space="0" w:color="006CE5"/>
          <w:left w:val="single" w:sz="4" w:space="0" w:color="006CE5"/>
          <w:bottom w:val="single" w:sz="4" w:space="0" w:color="006CE5"/>
          <w:right w:val="single" w:sz="4" w:space="0" w:color="006CE5"/>
          <w:insideH w:val="single" w:sz="4" w:space="0" w:color="006CE5"/>
          <w:insideV w:val="single" w:sz="4" w:space="0" w:color="006CE5"/>
        </w:tblBorders>
        <w:tblLook w:val="04A0" w:firstRow="1" w:lastRow="0" w:firstColumn="1" w:lastColumn="0" w:noHBand="0" w:noVBand="1"/>
      </w:tblPr>
      <w:tblGrid>
        <w:gridCol w:w="10243"/>
      </w:tblGrid>
      <w:tr w:rsidR="009334CD" w:rsidRPr="00D36BFB" w14:paraId="0A713628" w14:textId="77777777" w:rsidTr="00C51D43">
        <w:trPr>
          <w:trHeight w:val="373"/>
        </w:trPr>
        <w:tc>
          <w:tcPr>
            <w:tcW w:w="10243" w:type="dxa"/>
            <w:shd w:val="clear" w:color="auto" w:fill="006CE5"/>
            <w:vAlign w:val="center"/>
          </w:tcPr>
          <w:p w14:paraId="31DD1B68" w14:textId="4DE6ADD6" w:rsidR="009334CD" w:rsidRPr="00D36BFB" w:rsidRDefault="002A5534" w:rsidP="007A143B">
            <w:pPr>
              <w:ind w:right="-108"/>
              <w:jc w:val="both"/>
              <w:textAlignment w:val="baseline"/>
              <w:rPr>
                <w:rFonts w:ascii="Segoe UI" w:eastAsia="Times New Roman" w:hAnsi="Segoe UI" w:cs="Segoe UI"/>
                <w:b/>
                <w:bCs/>
                <w:color w:val="FFFFFF" w:themeColor="background1"/>
                <w:sz w:val="20"/>
                <w:szCs w:val="20"/>
                <w:lang w:eastAsia="fr-FR"/>
              </w:rPr>
            </w:pPr>
            <w:r>
              <w:rPr>
                <w:rFonts w:ascii="Segoe UI" w:eastAsia="Times New Roman" w:hAnsi="Segoe UI" w:cs="Segoe UI"/>
                <w:b/>
                <w:bCs/>
                <w:color w:val="FFFFFF" w:themeColor="background1"/>
                <w:sz w:val="20"/>
                <w:szCs w:val="20"/>
                <w:lang w:eastAsia="fr-FR"/>
              </w:rPr>
              <w:t>L</w:t>
            </w:r>
            <w:r w:rsidR="00C423FA">
              <w:rPr>
                <w:rFonts w:ascii="Segoe UI" w:eastAsia="Times New Roman" w:hAnsi="Segoe UI" w:cs="Segoe UI"/>
                <w:b/>
                <w:bCs/>
                <w:color w:val="FFFFFF" w:themeColor="background1"/>
                <w:sz w:val="20"/>
                <w:szCs w:val="20"/>
                <w:lang w:eastAsia="fr-FR"/>
              </w:rPr>
              <w:t xml:space="preserve">a persistance </w:t>
            </w:r>
            <w:r w:rsidR="008D76FE">
              <w:rPr>
                <w:rFonts w:ascii="Segoe UI" w:eastAsia="Times New Roman" w:hAnsi="Segoe UI" w:cs="Segoe UI"/>
                <w:b/>
                <w:bCs/>
                <w:color w:val="FFFFFF" w:themeColor="background1"/>
                <w:sz w:val="20"/>
                <w:szCs w:val="20"/>
                <w:lang w:eastAsia="fr-FR"/>
              </w:rPr>
              <w:t>de</w:t>
            </w:r>
            <w:r w:rsidR="00C423FA">
              <w:rPr>
                <w:rFonts w:ascii="Segoe UI" w:eastAsia="Times New Roman" w:hAnsi="Segoe UI" w:cs="Segoe UI"/>
                <w:b/>
                <w:bCs/>
                <w:color w:val="FFFFFF" w:themeColor="background1"/>
                <w:sz w:val="20"/>
                <w:szCs w:val="20"/>
                <w:lang w:eastAsia="fr-FR"/>
              </w:rPr>
              <w:t xml:space="preserve"> </w:t>
            </w:r>
            <w:r w:rsidR="008D76FE">
              <w:rPr>
                <w:rFonts w:ascii="Segoe UI" w:eastAsia="Times New Roman" w:hAnsi="Segoe UI" w:cs="Segoe UI"/>
                <w:b/>
                <w:bCs/>
                <w:color w:val="FFFFFF" w:themeColor="background1"/>
                <w:sz w:val="20"/>
                <w:szCs w:val="20"/>
                <w:lang w:eastAsia="fr-FR"/>
              </w:rPr>
              <w:t>l’</w:t>
            </w:r>
            <w:r w:rsidR="00826928">
              <w:rPr>
                <w:rFonts w:ascii="Segoe UI" w:eastAsia="Times New Roman" w:hAnsi="Segoe UI" w:cs="Segoe UI"/>
                <w:b/>
                <w:bCs/>
                <w:color w:val="FFFFFF" w:themeColor="background1"/>
                <w:sz w:val="20"/>
                <w:szCs w:val="20"/>
                <w:lang w:eastAsia="fr-FR"/>
              </w:rPr>
              <w:t xml:space="preserve">inflation </w:t>
            </w:r>
            <w:r w:rsidR="008D76FE">
              <w:rPr>
                <w:rFonts w:ascii="Segoe UI" w:eastAsia="Times New Roman" w:hAnsi="Segoe UI" w:cs="Segoe UI"/>
                <w:b/>
                <w:bCs/>
                <w:color w:val="FFFFFF" w:themeColor="background1"/>
                <w:sz w:val="20"/>
                <w:szCs w:val="20"/>
                <w:lang w:eastAsia="fr-FR"/>
              </w:rPr>
              <w:t>au Canada</w:t>
            </w:r>
            <w:r w:rsidR="00C423FA">
              <w:rPr>
                <w:rFonts w:ascii="Segoe UI" w:eastAsia="Times New Roman" w:hAnsi="Segoe UI" w:cs="Segoe UI"/>
                <w:b/>
                <w:bCs/>
                <w:color w:val="FFFFFF" w:themeColor="background1"/>
                <w:sz w:val="20"/>
                <w:szCs w:val="20"/>
                <w:lang w:eastAsia="fr-FR"/>
              </w:rPr>
              <w:t xml:space="preserve"> a suscité un débat sur la </w:t>
            </w:r>
            <w:r w:rsidR="00925C32">
              <w:rPr>
                <w:rFonts w:ascii="Segoe UI" w:eastAsia="Times New Roman" w:hAnsi="Segoe UI" w:cs="Segoe UI"/>
                <w:b/>
                <w:bCs/>
                <w:color w:val="FFFFFF" w:themeColor="background1"/>
                <w:sz w:val="20"/>
                <w:szCs w:val="20"/>
                <w:lang w:eastAsia="fr-FR"/>
              </w:rPr>
              <w:t xml:space="preserve">part de </w:t>
            </w:r>
            <w:r w:rsidR="00C423FA">
              <w:rPr>
                <w:rFonts w:ascii="Segoe UI" w:eastAsia="Times New Roman" w:hAnsi="Segoe UI" w:cs="Segoe UI"/>
                <w:b/>
                <w:bCs/>
                <w:color w:val="FFFFFF" w:themeColor="background1"/>
                <w:sz w:val="20"/>
                <w:szCs w:val="20"/>
                <w:lang w:eastAsia="fr-FR"/>
              </w:rPr>
              <w:t xml:space="preserve">responsabilité </w:t>
            </w:r>
            <w:r w:rsidR="00057503">
              <w:rPr>
                <w:rFonts w:ascii="Segoe UI" w:eastAsia="Times New Roman" w:hAnsi="Segoe UI" w:cs="Segoe UI"/>
                <w:b/>
                <w:bCs/>
                <w:color w:val="FFFFFF" w:themeColor="background1"/>
                <w:sz w:val="20"/>
                <w:szCs w:val="20"/>
                <w:lang w:eastAsia="fr-FR"/>
              </w:rPr>
              <w:t xml:space="preserve">des </w:t>
            </w:r>
            <w:r w:rsidR="008D76FE">
              <w:rPr>
                <w:rFonts w:ascii="Segoe UI" w:eastAsia="Times New Roman" w:hAnsi="Segoe UI" w:cs="Segoe UI"/>
                <w:b/>
                <w:bCs/>
                <w:color w:val="FFFFFF" w:themeColor="background1"/>
                <w:sz w:val="20"/>
                <w:szCs w:val="20"/>
                <w:lang w:eastAsia="fr-FR"/>
              </w:rPr>
              <w:t>entreprises</w:t>
            </w:r>
            <w:r w:rsidR="00F41852">
              <w:rPr>
                <w:rFonts w:ascii="Segoe UI" w:eastAsia="Times New Roman" w:hAnsi="Segoe UI" w:cs="Segoe UI"/>
                <w:b/>
                <w:bCs/>
                <w:color w:val="FFFFFF" w:themeColor="background1"/>
                <w:sz w:val="20"/>
                <w:szCs w:val="20"/>
                <w:lang w:eastAsia="fr-FR"/>
              </w:rPr>
              <w:t xml:space="preserve"> (« </w:t>
            </w:r>
            <w:r w:rsidR="00F41852" w:rsidRPr="00F41852">
              <w:rPr>
                <w:rFonts w:ascii="Segoe UI" w:eastAsia="Times New Roman" w:hAnsi="Segoe UI" w:cs="Segoe UI"/>
                <w:b/>
                <w:bCs/>
                <w:i/>
                <w:iCs/>
                <w:color w:val="FFFFFF" w:themeColor="background1"/>
                <w:sz w:val="20"/>
                <w:szCs w:val="20"/>
                <w:lang w:eastAsia="fr-FR"/>
              </w:rPr>
              <w:t>greedflation</w:t>
            </w:r>
            <w:r w:rsidR="00F41852">
              <w:rPr>
                <w:rFonts w:ascii="Segoe UI" w:eastAsia="Times New Roman" w:hAnsi="Segoe UI" w:cs="Segoe UI"/>
                <w:b/>
                <w:bCs/>
                <w:color w:val="FFFFFF" w:themeColor="background1"/>
                <w:sz w:val="20"/>
                <w:szCs w:val="20"/>
                <w:lang w:eastAsia="fr-FR"/>
              </w:rPr>
              <w:t> »)</w:t>
            </w:r>
            <w:r w:rsidR="00C42F1F">
              <w:rPr>
                <w:rFonts w:ascii="Segoe UI" w:eastAsia="Times New Roman" w:hAnsi="Segoe UI" w:cs="Segoe UI"/>
                <w:b/>
                <w:bCs/>
                <w:color w:val="FFFFFF" w:themeColor="background1"/>
                <w:sz w:val="20"/>
                <w:szCs w:val="20"/>
                <w:lang w:eastAsia="fr-FR"/>
              </w:rPr>
              <w:t xml:space="preserve"> </w:t>
            </w:r>
          </w:p>
        </w:tc>
      </w:tr>
    </w:tbl>
    <w:p w14:paraId="72F48C9B" w14:textId="48B78126" w:rsidR="004F2178" w:rsidRDefault="00B36F44" w:rsidP="00281D81">
      <w:pPr>
        <w:spacing w:before="60" w:after="60"/>
        <w:jc w:val="both"/>
        <w:rPr>
          <w:rFonts w:ascii="Segoe UI" w:hAnsi="Segoe UI" w:cs="Segoe UI"/>
          <w:sz w:val="18"/>
          <w:szCs w:val="18"/>
        </w:rPr>
      </w:pPr>
      <w:r w:rsidRPr="003B3A3D">
        <w:rPr>
          <w:rFonts w:ascii="Segoe UI" w:hAnsi="Segoe UI" w:cs="Segoe UI"/>
          <w:b/>
          <w:bCs/>
          <w:sz w:val="18"/>
          <w:szCs w:val="18"/>
        </w:rPr>
        <w:t>Dans un contexte d’inflation élevée</w:t>
      </w:r>
      <w:r w:rsidR="00675CA6" w:rsidRPr="003B3A3D">
        <w:rPr>
          <w:rFonts w:ascii="Segoe UI" w:hAnsi="Segoe UI" w:cs="Segoe UI"/>
          <w:b/>
          <w:bCs/>
          <w:sz w:val="18"/>
          <w:szCs w:val="18"/>
        </w:rPr>
        <w:t>,</w:t>
      </w:r>
      <w:r w:rsidR="001B5D56" w:rsidRPr="003B3A3D">
        <w:rPr>
          <w:rFonts w:ascii="Segoe UI" w:hAnsi="Segoe UI" w:cs="Segoe UI"/>
          <w:b/>
          <w:bCs/>
          <w:sz w:val="18"/>
          <w:szCs w:val="18"/>
        </w:rPr>
        <w:t xml:space="preserve"> notamment sur les denrées alimentaires,</w:t>
      </w:r>
      <w:r w:rsidR="00675CA6" w:rsidRPr="003B3A3D">
        <w:rPr>
          <w:rFonts w:ascii="Segoe UI" w:hAnsi="Segoe UI" w:cs="Segoe UI"/>
          <w:b/>
          <w:bCs/>
          <w:sz w:val="18"/>
          <w:szCs w:val="18"/>
        </w:rPr>
        <w:t xml:space="preserve"> </w:t>
      </w:r>
      <w:r w:rsidR="00925C32">
        <w:rPr>
          <w:rFonts w:ascii="Segoe UI" w:hAnsi="Segoe UI" w:cs="Segoe UI"/>
          <w:b/>
          <w:bCs/>
          <w:sz w:val="18"/>
          <w:szCs w:val="18"/>
        </w:rPr>
        <w:t xml:space="preserve">la </w:t>
      </w:r>
      <w:r w:rsidR="00F41852">
        <w:rPr>
          <w:rFonts w:ascii="Segoe UI" w:hAnsi="Segoe UI" w:cs="Segoe UI"/>
          <w:b/>
          <w:bCs/>
          <w:sz w:val="18"/>
          <w:szCs w:val="18"/>
        </w:rPr>
        <w:t>question de l</w:t>
      </w:r>
      <w:r w:rsidR="00884C6E">
        <w:rPr>
          <w:rFonts w:ascii="Segoe UI" w:hAnsi="Segoe UI" w:cs="Segoe UI"/>
          <w:b/>
          <w:bCs/>
          <w:sz w:val="18"/>
          <w:szCs w:val="18"/>
        </w:rPr>
        <w:t>’</w:t>
      </w:r>
      <w:r w:rsidR="00F41852">
        <w:rPr>
          <w:rFonts w:ascii="Segoe UI" w:hAnsi="Segoe UI" w:cs="Segoe UI"/>
          <w:b/>
          <w:bCs/>
          <w:sz w:val="18"/>
          <w:szCs w:val="18"/>
        </w:rPr>
        <w:t xml:space="preserve">éventuelle </w:t>
      </w:r>
      <w:r w:rsidR="00925C32">
        <w:rPr>
          <w:rFonts w:ascii="Segoe UI" w:hAnsi="Segoe UI" w:cs="Segoe UI"/>
          <w:b/>
          <w:bCs/>
          <w:sz w:val="18"/>
          <w:szCs w:val="18"/>
        </w:rPr>
        <w:t xml:space="preserve">responsabilité des entreprises a été soulevée, en particulier par </w:t>
      </w:r>
      <w:r w:rsidR="00FF21A4" w:rsidRPr="003B3A3D">
        <w:rPr>
          <w:rFonts w:ascii="Segoe UI" w:hAnsi="Segoe UI" w:cs="Segoe UI"/>
          <w:b/>
          <w:bCs/>
          <w:sz w:val="18"/>
          <w:szCs w:val="18"/>
        </w:rPr>
        <w:t>le Nouveau Parti Démocrate</w:t>
      </w:r>
      <w:r w:rsidR="00187C91">
        <w:rPr>
          <w:rFonts w:ascii="Segoe UI" w:hAnsi="Segoe UI" w:cs="Segoe UI"/>
          <w:b/>
          <w:bCs/>
          <w:sz w:val="18"/>
          <w:szCs w:val="18"/>
        </w:rPr>
        <w:t xml:space="preserve"> (NPD)</w:t>
      </w:r>
      <w:r w:rsidR="00925C32">
        <w:rPr>
          <w:rFonts w:ascii="Segoe UI" w:hAnsi="Segoe UI" w:cs="Segoe UI"/>
          <w:b/>
          <w:bCs/>
          <w:sz w:val="18"/>
          <w:szCs w:val="18"/>
        </w:rPr>
        <w:t xml:space="preserve">. </w:t>
      </w:r>
      <w:r w:rsidR="00DB64E9" w:rsidRPr="003B3A3D">
        <w:rPr>
          <w:rFonts w:ascii="Segoe UI" w:hAnsi="Segoe UI" w:cs="Segoe UI"/>
          <w:sz w:val="18"/>
          <w:szCs w:val="18"/>
        </w:rPr>
        <w:t xml:space="preserve">Alors que l’inflation </w:t>
      </w:r>
      <w:r w:rsidR="005A09A1" w:rsidRPr="003B3A3D">
        <w:rPr>
          <w:rFonts w:ascii="Segoe UI" w:hAnsi="Segoe UI" w:cs="Segoe UI"/>
          <w:sz w:val="18"/>
          <w:szCs w:val="18"/>
        </w:rPr>
        <w:t xml:space="preserve">annuelle </w:t>
      </w:r>
      <w:r w:rsidR="00DB64E9" w:rsidRPr="003B3A3D">
        <w:rPr>
          <w:rFonts w:ascii="Segoe UI" w:hAnsi="Segoe UI" w:cs="Segoe UI"/>
          <w:sz w:val="18"/>
          <w:szCs w:val="18"/>
        </w:rPr>
        <w:t xml:space="preserve">a atteint </w:t>
      </w:r>
      <w:r w:rsidR="005A09A1" w:rsidRPr="003B3A3D">
        <w:rPr>
          <w:rFonts w:ascii="Segoe UI" w:hAnsi="Segoe UI" w:cs="Segoe UI"/>
          <w:sz w:val="18"/>
          <w:szCs w:val="18"/>
        </w:rPr>
        <w:t>6,8% en 2022</w:t>
      </w:r>
      <w:r w:rsidR="003B0614" w:rsidRPr="003B3A3D">
        <w:rPr>
          <w:rFonts w:ascii="Segoe UI" w:hAnsi="Segoe UI" w:cs="Segoe UI"/>
          <w:sz w:val="18"/>
          <w:szCs w:val="18"/>
        </w:rPr>
        <w:t>, l</w:t>
      </w:r>
      <w:r w:rsidR="00E113E4" w:rsidRPr="003B3A3D">
        <w:rPr>
          <w:rFonts w:ascii="Segoe UI" w:hAnsi="Segoe UI" w:cs="Segoe UI"/>
          <w:sz w:val="18"/>
          <w:szCs w:val="18"/>
        </w:rPr>
        <w:t>’inflation alimentaire</w:t>
      </w:r>
      <w:r w:rsidR="003B0614" w:rsidRPr="003B3A3D">
        <w:rPr>
          <w:rFonts w:ascii="Segoe UI" w:hAnsi="Segoe UI" w:cs="Segoe UI"/>
          <w:sz w:val="18"/>
          <w:szCs w:val="18"/>
        </w:rPr>
        <w:t xml:space="preserve"> a</w:t>
      </w:r>
      <w:r w:rsidR="00E113E4" w:rsidRPr="003B3A3D">
        <w:rPr>
          <w:rFonts w:ascii="Segoe UI" w:hAnsi="Segoe UI" w:cs="Segoe UI"/>
          <w:sz w:val="18"/>
          <w:szCs w:val="18"/>
        </w:rPr>
        <w:t xml:space="preserve"> atteint </w:t>
      </w:r>
      <w:r w:rsidR="00995EDC" w:rsidRPr="003B3A3D">
        <w:rPr>
          <w:rFonts w:ascii="Segoe UI" w:hAnsi="Segoe UI" w:cs="Segoe UI"/>
          <w:sz w:val="18"/>
          <w:szCs w:val="18"/>
        </w:rPr>
        <w:t xml:space="preserve">cette année-là </w:t>
      </w:r>
      <w:r w:rsidR="00E113E4" w:rsidRPr="003B3A3D">
        <w:rPr>
          <w:rFonts w:ascii="Segoe UI" w:hAnsi="Segoe UI" w:cs="Segoe UI"/>
          <w:sz w:val="18"/>
          <w:szCs w:val="18"/>
        </w:rPr>
        <w:t>8,9%</w:t>
      </w:r>
      <w:r w:rsidR="00DB64E9" w:rsidRPr="003B3A3D">
        <w:rPr>
          <w:rFonts w:ascii="Segoe UI" w:hAnsi="Segoe UI" w:cs="Segoe UI"/>
          <w:sz w:val="18"/>
          <w:szCs w:val="18"/>
        </w:rPr>
        <w:t>, soit la plus forte hausse du prix des denrées alimentaires depuis 1981.</w:t>
      </w:r>
      <w:r w:rsidR="00273460" w:rsidRPr="003B3A3D">
        <w:rPr>
          <w:rFonts w:ascii="Segoe UI" w:hAnsi="Segoe UI" w:cs="Segoe UI"/>
          <w:sz w:val="18"/>
          <w:szCs w:val="18"/>
        </w:rPr>
        <w:t xml:space="preserve"> </w:t>
      </w:r>
      <w:r w:rsidR="00995EDC" w:rsidRPr="003B3A3D">
        <w:rPr>
          <w:rFonts w:ascii="Segoe UI" w:hAnsi="Segoe UI" w:cs="Segoe UI"/>
          <w:sz w:val="18"/>
          <w:szCs w:val="18"/>
        </w:rPr>
        <w:t>L</w:t>
      </w:r>
      <w:r w:rsidR="00257479" w:rsidRPr="003B3A3D">
        <w:rPr>
          <w:rFonts w:ascii="Segoe UI" w:hAnsi="Segoe UI" w:cs="Segoe UI"/>
          <w:sz w:val="18"/>
          <w:szCs w:val="18"/>
        </w:rPr>
        <w:t xml:space="preserve">’inflation </w:t>
      </w:r>
      <w:r w:rsidR="00995EDC" w:rsidRPr="003B3A3D">
        <w:rPr>
          <w:rFonts w:ascii="Segoe UI" w:hAnsi="Segoe UI" w:cs="Segoe UI"/>
          <w:sz w:val="18"/>
          <w:szCs w:val="18"/>
        </w:rPr>
        <w:t xml:space="preserve">globale </w:t>
      </w:r>
      <w:r w:rsidR="00257479" w:rsidRPr="003B3A3D">
        <w:rPr>
          <w:rFonts w:ascii="Segoe UI" w:hAnsi="Segoe UI" w:cs="Segoe UI"/>
          <w:sz w:val="18"/>
          <w:szCs w:val="18"/>
        </w:rPr>
        <w:t xml:space="preserve">a </w:t>
      </w:r>
      <w:r w:rsidR="00995EDC" w:rsidRPr="003B3A3D">
        <w:rPr>
          <w:rFonts w:ascii="Segoe UI" w:hAnsi="Segoe UI" w:cs="Segoe UI"/>
          <w:sz w:val="18"/>
          <w:szCs w:val="18"/>
        </w:rPr>
        <w:t xml:space="preserve">certes </w:t>
      </w:r>
      <w:r w:rsidR="00257479" w:rsidRPr="003B3A3D">
        <w:rPr>
          <w:rFonts w:ascii="Segoe UI" w:hAnsi="Segoe UI" w:cs="Segoe UI"/>
          <w:sz w:val="18"/>
          <w:szCs w:val="18"/>
        </w:rPr>
        <w:t xml:space="preserve">reflué à 3,9% en </w:t>
      </w:r>
      <w:r w:rsidR="00273460" w:rsidRPr="003B3A3D">
        <w:rPr>
          <w:rFonts w:ascii="Segoe UI" w:hAnsi="Segoe UI" w:cs="Segoe UI"/>
          <w:sz w:val="18"/>
          <w:szCs w:val="18"/>
        </w:rPr>
        <w:t>2023</w:t>
      </w:r>
      <w:r w:rsidR="00995EDC" w:rsidRPr="003B3A3D">
        <w:rPr>
          <w:rFonts w:ascii="Segoe UI" w:hAnsi="Segoe UI" w:cs="Segoe UI"/>
          <w:sz w:val="18"/>
          <w:szCs w:val="18"/>
        </w:rPr>
        <w:t xml:space="preserve"> mais </w:t>
      </w:r>
      <w:r w:rsidR="00273460" w:rsidRPr="003B3A3D">
        <w:rPr>
          <w:rFonts w:ascii="Segoe UI" w:hAnsi="Segoe UI" w:cs="Segoe UI"/>
          <w:sz w:val="18"/>
          <w:szCs w:val="18"/>
        </w:rPr>
        <w:t xml:space="preserve">l’inflation alimentaire </w:t>
      </w:r>
      <w:r w:rsidR="00180EC6" w:rsidRPr="003B3A3D">
        <w:rPr>
          <w:rFonts w:ascii="Segoe UI" w:hAnsi="Segoe UI" w:cs="Segoe UI"/>
          <w:sz w:val="18"/>
          <w:szCs w:val="18"/>
        </w:rPr>
        <w:t>reste élevée</w:t>
      </w:r>
      <w:r w:rsidR="00995EDC" w:rsidRPr="003B3A3D">
        <w:rPr>
          <w:rFonts w:ascii="Segoe UI" w:hAnsi="Segoe UI" w:cs="Segoe UI"/>
          <w:sz w:val="18"/>
          <w:szCs w:val="18"/>
        </w:rPr>
        <w:t>,</w:t>
      </w:r>
      <w:r w:rsidR="00180EC6" w:rsidRPr="003B3A3D">
        <w:rPr>
          <w:rFonts w:ascii="Segoe UI" w:hAnsi="Segoe UI" w:cs="Segoe UI"/>
          <w:sz w:val="18"/>
          <w:szCs w:val="18"/>
        </w:rPr>
        <w:t xml:space="preserve"> </w:t>
      </w:r>
      <w:r w:rsidR="00273460" w:rsidRPr="003B3A3D">
        <w:rPr>
          <w:rFonts w:ascii="Segoe UI" w:hAnsi="Segoe UI" w:cs="Segoe UI"/>
          <w:sz w:val="18"/>
          <w:szCs w:val="18"/>
        </w:rPr>
        <w:t>à 7,4%</w:t>
      </w:r>
      <w:r w:rsidR="007A56D3" w:rsidRPr="003B3A3D">
        <w:rPr>
          <w:rFonts w:ascii="Segoe UI" w:hAnsi="Segoe UI" w:cs="Segoe UI"/>
          <w:sz w:val="18"/>
          <w:szCs w:val="18"/>
        </w:rPr>
        <w:t xml:space="preserve">, </w:t>
      </w:r>
      <w:r w:rsidR="00AC3D73" w:rsidRPr="003B3A3D">
        <w:rPr>
          <w:rFonts w:ascii="Segoe UI" w:hAnsi="Segoe UI" w:cs="Segoe UI"/>
          <w:sz w:val="18"/>
          <w:szCs w:val="18"/>
        </w:rPr>
        <w:t xml:space="preserve">largement au-dessus de la cible d’inflation </w:t>
      </w:r>
      <w:r w:rsidR="00400FF0" w:rsidRPr="003B3A3D">
        <w:rPr>
          <w:rFonts w:ascii="Segoe UI" w:hAnsi="Segoe UI" w:cs="Segoe UI"/>
          <w:sz w:val="18"/>
          <w:szCs w:val="18"/>
        </w:rPr>
        <w:t xml:space="preserve">de 2% </w:t>
      </w:r>
      <w:r w:rsidR="002B1E8B" w:rsidRPr="003B3A3D">
        <w:rPr>
          <w:rFonts w:ascii="Segoe UI" w:hAnsi="Segoe UI" w:cs="Segoe UI"/>
          <w:sz w:val="18"/>
          <w:szCs w:val="18"/>
        </w:rPr>
        <w:t>(</w:t>
      </w:r>
      <w:r w:rsidR="00C21B3B" w:rsidRPr="003B3A3D">
        <w:rPr>
          <w:rFonts w:ascii="Segoe UI" w:hAnsi="Segoe UI" w:cs="Segoe UI"/>
          <w:i/>
          <w:iCs/>
          <w:sz w:val="18"/>
          <w:szCs w:val="18"/>
        </w:rPr>
        <w:t>Annexe I</w:t>
      </w:r>
      <w:r w:rsidR="00C21B3B" w:rsidRPr="003B3A3D">
        <w:rPr>
          <w:rFonts w:ascii="Segoe UI" w:hAnsi="Segoe UI" w:cs="Segoe UI"/>
          <w:sz w:val="18"/>
          <w:szCs w:val="18"/>
        </w:rPr>
        <w:t>)</w:t>
      </w:r>
      <w:r w:rsidR="00124179" w:rsidRPr="003B3A3D">
        <w:rPr>
          <w:rFonts w:ascii="Segoe UI" w:hAnsi="Segoe UI" w:cs="Segoe UI"/>
          <w:sz w:val="18"/>
          <w:szCs w:val="18"/>
        </w:rPr>
        <w:t>.</w:t>
      </w:r>
      <w:r w:rsidR="00925C32">
        <w:rPr>
          <w:rFonts w:ascii="Segoe UI" w:hAnsi="Segoe UI" w:cs="Segoe UI"/>
          <w:sz w:val="18"/>
          <w:szCs w:val="18"/>
        </w:rPr>
        <w:t xml:space="preserve"> Parallèlement à cette vague d’inflation, </w:t>
      </w:r>
      <w:r w:rsidR="0061153C" w:rsidRPr="003B3A3D">
        <w:rPr>
          <w:rFonts w:ascii="Segoe UI" w:hAnsi="Segoe UI" w:cs="Segoe UI"/>
          <w:sz w:val="18"/>
          <w:szCs w:val="18"/>
        </w:rPr>
        <w:t>Statistique Canada</w:t>
      </w:r>
      <w:r w:rsidR="008137B5" w:rsidRPr="003B3A3D">
        <w:rPr>
          <w:rFonts w:ascii="Segoe UI" w:hAnsi="Segoe UI" w:cs="Segoe UI"/>
          <w:sz w:val="18"/>
          <w:szCs w:val="18"/>
        </w:rPr>
        <w:t xml:space="preserve"> </w:t>
      </w:r>
      <w:r w:rsidR="00925C32">
        <w:rPr>
          <w:rFonts w:ascii="Segoe UI" w:hAnsi="Segoe UI" w:cs="Segoe UI"/>
          <w:sz w:val="18"/>
          <w:szCs w:val="18"/>
        </w:rPr>
        <w:t xml:space="preserve">a </w:t>
      </w:r>
      <w:r w:rsidR="008137B5" w:rsidRPr="003B3A3D">
        <w:rPr>
          <w:rFonts w:ascii="Segoe UI" w:hAnsi="Segoe UI" w:cs="Segoe UI"/>
          <w:sz w:val="18"/>
          <w:szCs w:val="18"/>
        </w:rPr>
        <w:t>montr</w:t>
      </w:r>
      <w:r w:rsidR="00925C32">
        <w:rPr>
          <w:rFonts w:ascii="Segoe UI" w:hAnsi="Segoe UI" w:cs="Segoe UI"/>
          <w:sz w:val="18"/>
          <w:szCs w:val="18"/>
        </w:rPr>
        <w:t>é</w:t>
      </w:r>
      <w:r w:rsidR="002C6874" w:rsidRPr="003B3A3D">
        <w:rPr>
          <w:rFonts w:ascii="Segoe UI" w:hAnsi="Segoe UI" w:cs="Segoe UI"/>
          <w:sz w:val="18"/>
          <w:szCs w:val="18"/>
        </w:rPr>
        <w:t xml:space="preserve"> </w:t>
      </w:r>
      <w:r w:rsidR="003B3A3D">
        <w:rPr>
          <w:rFonts w:ascii="Segoe UI" w:hAnsi="Segoe UI" w:cs="Segoe UI"/>
          <w:sz w:val="18"/>
          <w:szCs w:val="18"/>
        </w:rPr>
        <w:t xml:space="preserve">que </w:t>
      </w:r>
      <w:r w:rsidR="007E6796" w:rsidRPr="003B3A3D">
        <w:rPr>
          <w:rFonts w:ascii="Segoe UI" w:hAnsi="Segoe UI" w:cs="Segoe UI"/>
          <w:sz w:val="18"/>
          <w:szCs w:val="18"/>
        </w:rPr>
        <w:t>le bénéfice des entreprises a</w:t>
      </w:r>
      <w:r w:rsidR="00925C32">
        <w:rPr>
          <w:rFonts w:ascii="Segoe UI" w:hAnsi="Segoe UI" w:cs="Segoe UI"/>
          <w:sz w:val="18"/>
          <w:szCs w:val="18"/>
        </w:rPr>
        <w:t>vait</w:t>
      </w:r>
      <w:r w:rsidR="007E6796" w:rsidRPr="003B3A3D">
        <w:rPr>
          <w:rFonts w:ascii="Segoe UI" w:hAnsi="Segoe UI" w:cs="Segoe UI"/>
          <w:sz w:val="18"/>
          <w:szCs w:val="18"/>
        </w:rPr>
        <w:t xml:space="preserve"> augmenté de 12,5% entre 2021 et 2022 et de 32% par rapport 2019. </w:t>
      </w:r>
      <w:r w:rsidR="001D47A7" w:rsidRPr="003B3A3D">
        <w:rPr>
          <w:rFonts w:ascii="Segoe UI" w:hAnsi="Segoe UI" w:cs="Segoe UI"/>
          <w:sz w:val="18"/>
          <w:szCs w:val="18"/>
        </w:rPr>
        <w:t xml:space="preserve">Le détail par secteur montre </w:t>
      </w:r>
      <w:r w:rsidR="00C84E89">
        <w:rPr>
          <w:rFonts w:ascii="Segoe UI" w:hAnsi="Segoe UI" w:cs="Segoe UI"/>
          <w:sz w:val="18"/>
          <w:szCs w:val="18"/>
        </w:rPr>
        <w:t xml:space="preserve">que </w:t>
      </w:r>
      <w:r w:rsidR="003F1614">
        <w:rPr>
          <w:rFonts w:ascii="Segoe UI" w:hAnsi="Segoe UI" w:cs="Segoe UI"/>
          <w:sz w:val="18"/>
          <w:szCs w:val="18"/>
        </w:rPr>
        <w:t xml:space="preserve">ce sont </w:t>
      </w:r>
      <w:r w:rsidR="001D47A7" w:rsidRPr="003B3A3D">
        <w:rPr>
          <w:rFonts w:ascii="Segoe UI" w:hAnsi="Segoe UI" w:cs="Segoe UI"/>
          <w:sz w:val="18"/>
          <w:szCs w:val="18"/>
        </w:rPr>
        <w:t xml:space="preserve">les industries qui ont le plus </w:t>
      </w:r>
      <w:proofErr w:type="gramStart"/>
      <w:r w:rsidR="001D47A7" w:rsidRPr="003B3A3D">
        <w:rPr>
          <w:rFonts w:ascii="Segoe UI" w:hAnsi="Segoe UI" w:cs="Segoe UI"/>
          <w:sz w:val="18"/>
          <w:szCs w:val="18"/>
        </w:rPr>
        <w:t>été exposé</w:t>
      </w:r>
      <w:r w:rsidR="009C5ADB">
        <w:rPr>
          <w:rFonts w:ascii="Segoe UI" w:hAnsi="Segoe UI" w:cs="Segoe UI"/>
          <w:sz w:val="18"/>
          <w:szCs w:val="18"/>
        </w:rPr>
        <w:t>e</w:t>
      </w:r>
      <w:r w:rsidR="00F17C00">
        <w:rPr>
          <w:rFonts w:ascii="Segoe UI" w:hAnsi="Segoe UI" w:cs="Segoe UI"/>
          <w:sz w:val="18"/>
          <w:szCs w:val="18"/>
        </w:rPr>
        <w:t>s</w:t>
      </w:r>
      <w:proofErr w:type="gramEnd"/>
      <w:r w:rsidR="001D47A7" w:rsidRPr="003B3A3D">
        <w:rPr>
          <w:rFonts w:ascii="Segoe UI" w:hAnsi="Segoe UI" w:cs="Segoe UI"/>
          <w:sz w:val="18"/>
          <w:szCs w:val="18"/>
        </w:rPr>
        <w:t xml:space="preserve"> aux chocs sur les chaîne</w:t>
      </w:r>
      <w:r w:rsidR="006208B9" w:rsidRPr="003B3A3D">
        <w:rPr>
          <w:rFonts w:ascii="Segoe UI" w:hAnsi="Segoe UI" w:cs="Segoe UI"/>
          <w:sz w:val="18"/>
          <w:szCs w:val="18"/>
        </w:rPr>
        <w:t xml:space="preserve">s d’approvisionnement et à l’augmentation du prix </w:t>
      </w:r>
      <w:r w:rsidR="002A4CDD">
        <w:rPr>
          <w:rFonts w:ascii="Segoe UI" w:hAnsi="Segoe UI" w:cs="Segoe UI"/>
          <w:sz w:val="18"/>
          <w:szCs w:val="18"/>
        </w:rPr>
        <w:t>du pétrole</w:t>
      </w:r>
      <w:r w:rsidR="006208B9" w:rsidRPr="003B3A3D">
        <w:rPr>
          <w:rFonts w:ascii="Segoe UI" w:hAnsi="Segoe UI" w:cs="Segoe UI"/>
          <w:sz w:val="18"/>
          <w:szCs w:val="18"/>
        </w:rPr>
        <w:t xml:space="preserve"> </w:t>
      </w:r>
      <w:r w:rsidR="00345A6B">
        <w:rPr>
          <w:rFonts w:ascii="Segoe UI" w:hAnsi="Segoe UI" w:cs="Segoe UI"/>
          <w:sz w:val="18"/>
          <w:szCs w:val="18"/>
        </w:rPr>
        <w:t>en 2021-2022</w:t>
      </w:r>
      <w:r w:rsidR="006208B9" w:rsidRPr="003B3A3D">
        <w:rPr>
          <w:rFonts w:ascii="Segoe UI" w:hAnsi="Segoe UI" w:cs="Segoe UI"/>
          <w:sz w:val="18"/>
          <w:szCs w:val="18"/>
        </w:rPr>
        <w:t xml:space="preserve"> </w:t>
      </w:r>
      <w:r w:rsidR="00ED7EAB">
        <w:rPr>
          <w:rFonts w:ascii="Segoe UI" w:hAnsi="Segoe UI" w:cs="Segoe UI"/>
          <w:sz w:val="18"/>
          <w:szCs w:val="18"/>
        </w:rPr>
        <w:t xml:space="preserve">qui ont profité </w:t>
      </w:r>
      <w:r w:rsidR="00925C32">
        <w:rPr>
          <w:rFonts w:ascii="Segoe UI" w:hAnsi="Segoe UI" w:cs="Segoe UI"/>
          <w:sz w:val="18"/>
          <w:szCs w:val="18"/>
        </w:rPr>
        <w:t>de ces hausses</w:t>
      </w:r>
      <w:r w:rsidR="000A2636">
        <w:rPr>
          <w:rFonts w:ascii="Segoe UI" w:hAnsi="Segoe UI" w:cs="Segoe UI"/>
          <w:sz w:val="18"/>
          <w:szCs w:val="18"/>
        </w:rPr>
        <w:t> :</w:t>
      </w:r>
      <w:r w:rsidR="006208B9" w:rsidRPr="003B3A3D">
        <w:rPr>
          <w:rFonts w:ascii="Segoe UI" w:hAnsi="Segoe UI" w:cs="Segoe UI"/>
          <w:sz w:val="18"/>
          <w:szCs w:val="18"/>
        </w:rPr>
        <w:t xml:space="preserve"> l’industrie </w:t>
      </w:r>
      <w:r w:rsidR="001076E0">
        <w:rPr>
          <w:rFonts w:ascii="Segoe UI" w:hAnsi="Segoe UI" w:cs="Segoe UI"/>
          <w:sz w:val="18"/>
          <w:szCs w:val="18"/>
        </w:rPr>
        <w:t xml:space="preserve">des </w:t>
      </w:r>
      <w:r w:rsidR="001076E0">
        <w:rPr>
          <w:rFonts w:ascii="Segoe UI" w:hAnsi="Segoe UI" w:cs="Segoe UI"/>
          <w:sz w:val="18"/>
          <w:szCs w:val="18"/>
          <w:u w:val="single"/>
        </w:rPr>
        <w:t>hydrocarbures</w:t>
      </w:r>
      <w:r w:rsidR="00E21EE7">
        <w:rPr>
          <w:rFonts w:ascii="Segoe UI" w:hAnsi="Segoe UI" w:cs="Segoe UI"/>
          <w:sz w:val="18"/>
          <w:szCs w:val="18"/>
        </w:rPr>
        <w:t xml:space="preserve"> </w:t>
      </w:r>
      <w:r w:rsidR="00350FA9">
        <w:rPr>
          <w:rFonts w:ascii="Segoe UI" w:hAnsi="Segoe UI" w:cs="Segoe UI"/>
          <w:sz w:val="18"/>
          <w:szCs w:val="18"/>
        </w:rPr>
        <w:t>a vu</w:t>
      </w:r>
      <w:r w:rsidR="008A088C" w:rsidRPr="003B3A3D">
        <w:rPr>
          <w:rFonts w:ascii="Segoe UI" w:hAnsi="Segoe UI" w:cs="Segoe UI"/>
          <w:sz w:val="18"/>
          <w:szCs w:val="18"/>
        </w:rPr>
        <w:t xml:space="preserve"> </w:t>
      </w:r>
      <w:r w:rsidR="00E151A6">
        <w:rPr>
          <w:rFonts w:ascii="Segoe UI" w:hAnsi="Segoe UI" w:cs="Segoe UI"/>
          <w:sz w:val="18"/>
          <w:szCs w:val="18"/>
        </w:rPr>
        <w:t xml:space="preserve">sa </w:t>
      </w:r>
      <w:r w:rsidR="00C47194" w:rsidRPr="003B3A3D">
        <w:rPr>
          <w:rFonts w:ascii="Segoe UI" w:hAnsi="Segoe UI" w:cs="Segoe UI"/>
          <w:sz w:val="18"/>
          <w:szCs w:val="18"/>
        </w:rPr>
        <w:t>marge bénéficiaire</w:t>
      </w:r>
      <w:r w:rsidR="008A088C" w:rsidRPr="003B3A3D">
        <w:rPr>
          <w:rFonts w:ascii="Segoe UI" w:hAnsi="Segoe UI" w:cs="Segoe UI"/>
          <w:sz w:val="18"/>
          <w:szCs w:val="18"/>
        </w:rPr>
        <w:t xml:space="preserve"> pass</w:t>
      </w:r>
      <w:r w:rsidR="00BE1BEF">
        <w:rPr>
          <w:rFonts w:ascii="Segoe UI" w:hAnsi="Segoe UI" w:cs="Segoe UI"/>
          <w:sz w:val="18"/>
          <w:szCs w:val="18"/>
        </w:rPr>
        <w:t>er</w:t>
      </w:r>
      <w:r w:rsidR="008A088C" w:rsidRPr="003B3A3D">
        <w:rPr>
          <w:rFonts w:ascii="Segoe UI" w:hAnsi="Segoe UI" w:cs="Segoe UI"/>
          <w:sz w:val="18"/>
          <w:szCs w:val="18"/>
        </w:rPr>
        <w:t xml:space="preserve"> 2,5% en 2019 à 18% en 2022</w:t>
      </w:r>
      <w:r w:rsidR="00CA4717">
        <w:rPr>
          <w:rFonts w:ascii="Segoe UI" w:hAnsi="Segoe UI" w:cs="Segoe UI"/>
          <w:sz w:val="18"/>
          <w:szCs w:val="18"/>
        </w:rPr>
        <w:t xml:space="preserve">, quand celle de la </w:t>
      </w:r>
      <w:r w:rsidR="00CA4717" w:rsidRPr="00884C6E">
        <w:rPr>
          <w:rFonts w:ascii="Segoe UI" w:hAnsi="Segoe UI" w:cs="Segoe UI"/>
          <w:sz w:val="18"/>
          <w:szCs w:val="18"/>
          <w:u w:val="single"/>
        </w:rPr>
        <w:t>distribution alimentaire</w:t>
      </w:r>
      <w:r w:rsidR="00CA4717">
        <w:rPr>
          <w:rFonts w:ascii="Segoe UI" w:hAnsi="Segoe UI" w:cs="Segoe UI"/>
          <w:sz w:val="18"/>
          <w:szCs w:val="18"/>
        </w:rPr>
        <w:t xml:space="preserve"> passait </w:t>
      </w:r>
      <w:r w:rsidR="00C45D43">
        <w:rPr>
          <w:rFonts w:ascii="Segoe UI" w:hAnsi="Segoe UI" w:cs="Segoe UI"/>
          <w:sz w:val="18"/>
          <w:szCs w:val="18"/>
        </w:rPr>
        <w:t>de 1,5% en 2019 à 2,6% en 2022</w:t>
      </w:r>
      <w:r w:rsidR="005D4C98" w:rsidRPr="003B3A3D">
        <w:rPr>
          <w:rFonts w:ascii="Segoe UI" w:hAnsi="Segoe UI" w:cs="Segoe UI"/>
          <w:sz w:val="18"/>
          <w:szCs w:val="18"/>
        </w:rPr>
        <w:t xml:space="preserve">. </w:t>
      </w:r>
      <w:r w:rsidR="00925C32">
        <w:rPr>
          <w:rFonts w:ascii="Segoe UI" w:hAnsi="Segoe UI" w:cs="Segoe UI"/>
          <w:sz w:val="18"/>
          <w:szCs w:val="18"/>
        </w:rPr>
        <w:t>La concomitance de ces deux dynamiques a conduit à une politisation de ce sujet, à l’initiative en particulier du parti de gauche, le NP</w:t>
      </w:r>
      <w:r w:rsidR="003503F4">
        <w:rPr>
          <w:rFonts w:ascii="Segoe UI" w:hAnsi="Segoe UI" w:cs="Segoe UI"/>
          <w:sz w:val="18"/>
          <w:szCs w:val="18"/>
        </w:rPr>
        <w:t>D</w:t>
      </w:r>
      <w:r w:rsidR="00925C32">
        <w:rPr>
          <w:rFonts w:ascii="Segoe UI" w:hAnsi="Segoe UI" w:cs="Segoe UI"/>
          <w:sz w:val="18"/>
          <w:szCs w:val="18"/>
        </w:rPr>
        <w:t xml:space="preserve">. Deux motions, présentées </w:t>
      </w:r>
      <w:r w:rsidR="002577B5" w:rsidRPr="003B3A3D">
        <w:rPr>
          <w:rFonts w:ascii="Segoe UI" w:hAnsi="Segoe UI" w:cs="Segoe UI"/>
          <w:sz w:val="18"/>
          <w:szCs w:val="18"/>
        </w:rPr>
        <w:t xml:space="preserve">en octobre 2022 et </w:t>
      </w:r>
      <w:r w:rsidR="00CA4717">
        <w:rPr>
          <w:rFonts w:ascii="Segoe UI" w:hAnsi="Segoe UI" w:cs="Segoe UI"/>
          <w:sz w:val="18"/>
          <w:szCs w:val="18"/>
        </w:rPr>
        <w:t xml:space="preserve">en </w:t>
      </w:r>
      <w:r w:rsidR="002577B5" w:rsidRPr="003B3A3D">
        <w:rPr>
          <w:rFonts w:ascii="Segoe UI" w:hAnsi="Segoe UI" w:cs="Segoe UI"/>
          <w:sz w:val="18"/>
          <w:szCs w:val="18"/>
        </w:rPr>
        <w:t>février 202</w:t>
      </w:r>
      <w:r w:rsidR="00D03339">
        <w:rPr>
          <w:rFonts w:ascii="Segoe UI" w:hAnsi="Segoe UI" w:cs="Segoe UI"/>
          <w:sz w:val="18"/>
          <w:szCs w:val="18"/>
        </w:rPr>
        <w:t>3</w:t>
      </w:r>
      <w:r w:rsidR="00CA4717">
        <w:rPr>
          <w:rFonts w:ascii="Segoe UI" w:hAnsi="Segoe UI" w:cs="Segoe UI"/>
          <w:sz w:val="18"/>
          <w:szCs w:val="18"/>
        </w:rPr>
        <w:t xml:space="preserve">, ont ainsi appelé </w:t>
      </w:r>
      <w:r w:rsidR="00085BE7" w:rsidRPr="003B3A3D">
        <w:rPr>
          <w:rFonts w:ascii="Segoe UI" w:hAnsi="Segoe UI" w:cs="Segoe UI"/>
          <w:sz w:val="18"/>
          <w:szCs w:val="18"/>
        </w:rPr>
        <w:t xml:space="preserve">le gouvernement </w:t>
      </w:r>
      <w:r w:rsidR="002577B5" w:rsidRPr="003B3A3D">
        <w:rPr>
          <w:rFonts w:ascii="Segoe UI" w:hAnsi="Segoe UI" w:cs="Segoe UI"/>
          <w:sz w:val="18"/>
          <w:szCs w:val="18"/>
        </w:rPr>
        <w:t xml:space="preserve">à </w:t>
      </w:r>
      <w:r w:rsidR="001732CA" w:rsidRPr="003B3A3D">
        <w:rPr>
          <w:rFonts w:ascii="Segoe UI" w:hAnsi="Segoe UI" w:cs="Segoe UI"/>
          <w:sz w:val="18"/>
          <w:szCs w:val="18"/>
        </w:rPr>
        <w:t>taxer les « </w:t>
      </w:r>
      <w:r w:rsidR="00D407B3">
        <w:rPr>
          <w:rFonts w:ascii="Segoe UI" w:hAnsi="Segoe UI" w:cs="Segoe UI"/>
          <w:sz w:val="18"/>
          <w:szCs w:val="18"/>
        </w:rPr>
        <w:t>surprofits</w:t>
      </w:r>
      <w:r w:rsidR="001732CA" w:rsidRPr="003B3A3D">
        <w:rPr>
          <w:rFonts w:ascii="Segoe UI" w:hAnsi="Segoe UI" w:cs="Segoe UI"/>
          <w:sz w:val="18"/>
          <w:szCs w:val="18"/>
        </w:rPr>
        <w:t xml:space="preserve"> » des </w:t>
      </w:r>
      <w:r w:rsidR="001E0211">
        <w:rPr>
          <w:rFonts w:ascii="Segoe UI" w:hAnsi="Segoe UI" w:cs="Segoe UI"/>
          <w:sz w:val="18"/>
          <w:szCs w:val="18"/>
        </w:rPr>
        <w:t>entreprises</w:t>
      </w:r>
      <w:r w:rsidR="001732CA" w:rsidRPr="003B3A3D">
        <w:rPr>
          <w:rFonts w:ascii="Segoe UI" w:hAnsi="Segoe UI" w:cs="Segoe UI"/>
          <w:sz w:val="18"/>
          <w:szCs w:val="18"/>
        </w:rPr>
        <w:t xml:space="preserve"> </w:t>
      </w:r>
      <w:r w:rsidR="00CA4717">
        <w:rPr>
          <w:rFonts w:ascii="Segoe UI" w:hAnsi="Segoe UI" w:cs="Segoe UI"/>
          <w:sz w:val="18"/>
          <w:szCs w:val="18"/>
        </w:rPr>
        <w:t>ayan</w:t>
      </w:r>
      <w:r w:rsidR="001732CA" w:rsidRPr="003B3A3D">
        <w:rPr>
          <w:rFonts w:ascii="Segoe UI" w:hAnsi="Segoe UI" w:cs="Segoe UI"/>
          <w:sz w:val="18"/>
          <w:szCs w:val="18"/>
        </w:rPr>
        <w:t xml:space="preserve">t </w:t>
      </w:r>
      <w:r w:rsidR="00C3425F">
        <w:rPr>
          <w:rFonts w:ascii="Segoe UI" w:hAnsi="Segoe UI" w:cs="Segoe UI"/>
          <w:sz w:val="18"/>
          <w:szCs w:val="18"/>
        </w:rPr>
        <w:t>« </w:t>
      </w:r>
      <w:r w:rsidR="001732CA" w:rsidRPr="003B3A3D">
        <w:rPr>
          <w:rFonts w:ascii="Segoe UI" w:hAnsi="Segoe UI" w:cs="Segoe UI"/>
          <w:sz w:val="18"/>
          <w:szCs w:val="18"/>
        </w:rPr>
        <w:t>profité</w:t>
      </w:r>
      <w:r w:rsidR="00C3425F">
        <w:rPr>
          <w:rFonts w:ascii="Segoe UI" w:hAnsi="Segoe UI" w:cs="Segoe UI"/>
          <w:sz w:val="18"/>
          <w:szCs w:val="18"/>
        </w:rPr>
        <w:t> »</w:t>
      </w:r>
      <w:r w:rsidR="001732CA" w:rsidRPr="003B3A3D">
        <w:rPr>
          <w:rFonts w:ascii="Segoe UI" w:hAnsi="Segoe UI" w:cs="Segoe UI"/>
          <w:sz w:val="18"/>
          <w:szCs w:val="18"/>
        </w:rPr>
        <w:t xml:space="preserve"> de </w:t>
      </w:r>
      <w:r w:rsidR="007A4CA0" w:rsidRPr="003B3A3D">
        <w:rPr>
          <w:rFonts w:ascii="Segoe UI" w:hAnsi="Segoe UI" w:cs="Segoe UI"/>
          <w:sz w:val="18"/>
          <w:szCs w:val="18"/>
        </w:rPr>
        <w:t>l’inflatio</w:t>
      </w:r>
      <w:r w:rsidR="004B1FF9" w:rsidRPr="003B3A3D">
        <w:rPr>
          <w:rFonts w:ascii="Segoe UI" w:hAnsi="Segoe UI" w:cs="Segoe UI"/>
          <w:sz w:val="18"/>
          <w:szCs w:val="18"/>
        </w:rPr>
        <w:t>n</w:t>
      </w:r>
      <w:r w:rsidR="005D3BBB" w:rsidRPr="003B3A3D">
        <w:rPr>
          <w:rFonts w:ascii="Segoe UI" w:hAnsi="Segoe UI" w:cs="Segoe UI"/>
          <w:sz w:val="18"/>
          <w:szCs w:val="18"/>
        </w:rPr>
        <w:t xml:space="preserve"> </w:t>
      </w:r>
      <w:r w:rsidR="004B1FF9" w:rsidRPr="003B3A3D">
        <w:rPr>
          <w:rFonts w:ascii="Segoe UI" w:hAnsi="Segoe UI" w:cs="Segoe UI"/>
          <w:sz w:val="18"/>
          <w:szCs w:val="18"/>
        </w:rPr>
        <w:t xml:space="preserve">et </w:t>
      </w:r>
      <w:r w:rsidR="0056516B" w:rsidRPr="003B3A3D">
        <w:rPr>
          <w:rFonts w:ascii="Segoe UI" w:hAnsi="Segoe UI" w:cs="Segoe UI"/>
          <w:sz w:val="18"/>
          <w:szCs w:val="18"/>
        </w:rPr>
        <w:t xml:space="preserve">à renforcer </w:t>
      </w:r>
      <w:r w:rsidR="007D5C2F" w:rsidRPr="003B3A3D">
        <w:rPr>
          <w:rFonts w:ascii="Segoe UI" w:hAnsi="Segoe UI" w:cs="Segoe UI"/>
          <w:sz w:val="18"/>
          <w:szCs w:val="18"/>
        </w:rPr>
        <w:t>la concurrence</w:t>
      </w:r>
      <w:r w:rsidR="0056516B" w:rsidRPr="003B3A3D">
        <w:rPr>
          <w:rFonts w:ascii="Segoe UI" w:hAnsi="Segoe UI" w:cs="Segoe UI"/>
          <w:sz w:val="18"/>
          <w:szCs w:val="18"/>
        </w:rPr>
        <w:t>.</w:t>
      </w:r>
      <w:r w:rsidR="004B1FF9" w:rsidRPr="003B3A3D">
        <w:rPr>
          <w:rFonts w:ascii="Segoe UI" w:hAnsi="Segoe UI" w:cs="Segoe UI"/>
          <w:sz w:val="18"/>
          <w:szCs w:val="18"/>
        </w:rPr>
        <w:t xml:space="preserve"> </w:t>
      </w:r>
      <w:r w:rsidR="00CA4717">
        <w:rPr>
          <w:rFonts w:ascii="Segoe UI" w:hAnsi="Segoe UI" w:cs="Segoe UI"/>
          <w:sz w:val="18"/>
          <w:szCs w:val="18"/>
        </w:rPr>
        <w:t xml:space="preserve">Si le gouvernement fédéral n’y a pas donné suite, </w:t>
      </w:r>
      <w:r w:rsidR="00020EEB" w:rsidRPr="003B3A3D">
        <w:rPr>
          <w:rFonts w:ascii="Segoe UI" w:hAnsi="Segoe UI" w:cs="Segoe UI"/>
          <w:sz w:val="18"/>
          <w:szCs w:val="18"/>
        </w:rPr>
        <w:t xml:space="preserve">le Bureau de la concurrence </w:t>
      </w:r>
      <w:r w:rsidR="00CA4717">
        <w:rPr>
          <w:rFonts w:ascii="Segoe UI" w:hAnsi="Segoe UI" w:cs="Segoe UI"/>
          <w:sz w:val="18"/>
          <w:szCs w:val="18"/>
        </w:rPr>
        <w:t xml:space="preserve">s’est saisi du sujet et, </w:t>
      </w:r>
      <w:r w:rsidR="00566913" w:rsidRPr="003B3A3D">
        <w:rPr>
          <w:rFonts w:ascii="Segoe UI" w:hAnsi="Segoe UI" w:cs="Segoe UI"/>
          <w:sz w:val="18"/>
          <w:szCs w:val="18"/>
        </w:rPr>
        <w:t>en juin 2023</w:t>
      </w:r>
      <w:r w:rsidR="00CA4717">
        <w:rPr>
          <w:rFonts w:ascii="Segoe UI" w:hAnsi="Segoe UI" w:cs="Segoe UI"/>
          <w:sz w:val="18"/>
          <w:szCs w:val="18"/>
        </w:rPr>
        <w:t>, a publié</w:t>
      </w:r>
      <w:r w:rsidR="00647A21" w:rsidRPr="003B3A3D">
        <w:rPr>
          <w:rFonts w:ascii="Segoe UI" w:hAnsi="Segoe UI" w:cs="Segoe UI"/>
          <w:sz w:val="18"/>
          <w:szCs w:val="18"/>
        </w:rPr>
        <w:t xml:space="preserve"> </w:t>
      </w:r>
      <w:r w:rsidR="00020EEB" w:rsidRPr="003B3A3D">
        <w:rPr>
          <w:rFonts w:ascii="Segoe UI" w:hAnsi="Segoe UI" w:cs="Segoe UI"/>
          <w:sz w:val="18"/>
          <w:szCs w:val="18"/>
        </w:rPr>
        <w:t xml:space="preserve">une étude de marché </w:t>
      </w:r>
      <w:r w:rsidR="00B67B91">
        <w:rPr>
          <w:rFonts w:ascii="Segoe UI" w:hAnsi="Segoe UI" w:cs="Segoe UI"/>
          <w:sz w:val="18"/>
          <w:szCs w:val="18"/>
        </w:rPr>
        <w:t>sur</w:t>
      </w:r>
      <w:r w:rsidR="005D3BBB" w:rsidRPr="003B3A3D">
        <w:rPr>
          <w:rFonts w:ascii="Segoe UI" w:hAnsi="Segoe UI" w:cs="Segoe UI"/>
          <w:sz w:val="18"/>
          <w:szCs w:val="18"/>
        </w:rPr>
        <w:t xml:space="preserve"> la distribution alimentaire</w:t>
      </w:r>
      <w:r w:rsidR="00D8548F">
        <w:rPr>
          <w:rFonts w:ascii="Segoe UI" w:hAnsi="Segoe UI" w:cs="Segoe UI"/>
          <w:sz w:val="18"/>
          <w:szCs w:val="18"/>
        </w:rPr>
        <w:t xml:space="preserve">, </w:t>
      </w:r>
      <w:r w:rsidR="003503F4">
        <w:rPr>
          <w:rFonts w:ascii="Segoe UI" w:hAnsi="Segoe UI" w:cs="Segoe UI"/>
          <w:sz w:val="18"/>
          <w:szCs w:val="18"/>
        </w:rPr>
        <w:t>s</w:t>
      </w:r>
      <w:r w:rsidR="00CA4717">
        <w:rPr>
          <w:rFonts w:ascii="Segoe UI" w:hAnsi="Segoe UI" w:cs="Segoe UI"/>
          <w:sz w:val="18"/>
          <w:szCs w:val="18"/>
        </w:rPr>
        <w:t xml:space="preserve">uivi de près par </w:t>
      </w:r>
      <w:r w:rsidR="00B8414A">
        <w:rPr>
          <w:rFonts w:ascii="Segoe UI" w:hAnsi="Segoe UI" w:cs="Segoe UI"/>
          <w:sz w:val="18"/>
          <w:szCs w:val="18"/>
        </w:rPr>
        <w:t>l</w:t>
      </w:r>
      <w:r w:rsidR="009B35F3">
        <w:rPr>
          <w:rFonts w:ascii="Segoe UI" w:hAnsi="Segoe UI" w:cs="Segoe UI"/>
          <w:sz w:val="18"/>
          <w:szCs w:val="18"/>
        </w:rPr>
        <w:t>e</w:t>
      </w:r>
      <w:r w:rsidR="00566913" w:rsidRPr="003B3A3D">
        <w:rPr>
          <w:rFonts w:ascii="Segoe UI" w:hAnsi="Segoe UI" w:cs="Segoe UI"/>
          <w:sz w:val="18"/>
          <w:szCs w:val="18"/>
        </w:rPr>
        <w:t xml:space="preserve"> Comité permanent de l’agriculture et de l’agroalimentaire de la Chambre des Communes</w:t>
      </w:r>
      <w:r w:rsidR="00CA4717">
        <w:rPr>
          <w:rFonts w:ascii="Segoe UI" w:hAnsi="Segoe UI" w:cs="Segoe UI"/>
          <w:sz w:val="18"/>
          <w:szCs w:val="18"/>
        </w:rPr>
        <w:t xml:space="preserve">, qui </w:t>
      </w:r>
      <w:r w:rsidR="00566913" w:rsidRPr="003B3A3D">
        <w:rPr>
          <w:rFonts w:ascii="Segoe UI" w:hAnsi="Segoe UI" w:cs="Segoe UI"/>
          <w:sz w:val="18"/>
          <w:szCs w:val="18"/>
        </w:rPr>
        <w:t xml:space="preserve">a auditionné les acteurs </w:t>
      </w:r>
      <w:r w:rsidR="00426E1C">
        <w:rPr>
          <w:rFonts w:ascii="Segoe UI" w:hAnsi="Segoe UI" w:cs="Segoe UI"/>
          <w:sz w:val="18"/>
          <w:szCs w:val="18"/>
        </w:rPr>
        <w:t>du secteur</w:t>
      </w:r>
      <w:r w:rsidR="00BB0FC8" w:rsidRPr="003B3A3D">
        <w:rPr>
          <w:rFonts w:ascii="Segoe UI" w:hAnsi="Segoe UI" w:cs="Segoe UI"/>
          <w:sz w:val="18"/>
          <w:szCs w:val="18"/>
        </w:rPr>
        <w:t xml:space="preserve"> </w:t>
      </w:r>
      <w:r w:rsidR="00CA4717">
        <w:rPr>
          <w:rFonts w:ascii="Segoe UI" w:hAnsi="Segoe UI" w:cs="Segoe UI"/>
          <w:sz w:val="18"/>
          <w:szCs w:val="18"/>
        </w:rPr>
        <w:t>et</w:t>
      </w:r>
      <w:r w:rsidR="00566913" w:rsidRPr="003B3A3D">
        <w:rPr>
          <w:rFonts w:ascii="Segoe UI" w:hAnsi="Segoe UI" w:cs="Segoe UI"/>
          <w:sz w:val="18"/>
          <w:szCs w:val="18"/>
        </w:rPr>
        <w:t xml:space="preserve"> publi</w:t>
      </w:r>
      <w:r w:rsidR="00CA4717">
        <w:rPr>
          <w:rFonts w:ascii="Segoe UI" w:hAnsi="Segoe UI" w:cs="Segoe UI"/>
          <w:sz w:val="18"/>
          <w:szCs w:val="18"/>
        </w:rPr>
        <w:t>é</w:t>
      </w:r>
      <w:r w:rsidR="00566913" w:rsidRPr="003B3A3D">
        <w:rPr>
          <w:rFonts w:ascii="Segoe UI" w:hAnsi="Segoe UI" w:cs="Segoe UI"/>
          <w:sz w:val="18"/>
          <w:szCs w:val="18"/>
        </w:rPr>
        <w:t xml:space="preserve"> un rapport</w:t>
      </w:r>
      <w:r w:rsidR="002870F5">
        <w:rPr>
          <w:rFonts w:ascii="Segoe UI" w:hAnsi="Segoe UI" w:cs="Segoe UI"/>
          <w:sz w:val="18"/>
          <w:szCs w:val="18"/>
        </w:rPr>
        <w:t xml:space="preserve"> à peu près </w:t>
      </w:r>
      <w:r w:rsidR="00AE692D">
        <w:rPr>
          <w:rFonts w:ascii="Segoe UI" w:hAnsi="Segoe UI" w:cs="Segoe UI"/>
          <w:sz w:val="18"/>
          <w:szCs w:val="18"/>
        </w:rPr>
        <w:t>au même moment</w:t>
      </w:r>
      <w:r w:rsidR="00647A21" w:rsidRPr="003B3A3D">
        <w:rPr>
          <w:rFonts w:ascii="Segoe UI" w:hAnsi="Segoe UI" w:cs="Segoe UI"/>
          <w:sz w:val="18"/>
          <w:szCs w:val="18"/>
        </w:rPr>
        <w:t>.</w:t>
      </w:r>
      <w:r w:rsidR="0043041C" w:rsidRPr="003B3A3D">
        <w:rPr>
          <w:rFonts w:ascii="Segoe UI" w:hAnsi="Segoe UI" w:cs="Segoe UI"/>
          <w:sz w:val="18"/>
          <w:szCs w:val="18"/>
        </w:rPr>
        <w:t xml:space="preserve"> </w:t>
      </w:r>
    </w:p>
    <w:p w14:paraId="57716C91" w14:textId="2483481C" w:rsidR="00D57AA6" w:rsidRPr="00057226" w:rsidRDefault="00A24FE8" w:rsidP="001F0016">
      <w:pPr>
        <w:spacing w:after="60"/>
        <w:jc w:val="both"/>
        <w:rPr>
          <w:rFonts w:ascii="Segoe UI" w:hAnsi="Segoe UI" w:cs="Segoe UI"/>
          <w:sz w:val="18"/>
          <w:szCs w:val="18"/>
        </w:rPr>
      </w:pPr>
      <w:r w:rsidRPr="009F3BAB">
        <w:rPr>
          <w:rFonts w:ascii="Segoe UI" w:hAnsi="Segoe UI" w:cs="Segoe UI"/>
          <w:b/>
          <w:bCs/>
          <w:sz w:val="18"/>
          <w:szCs w:val="18"/>
        </w:rPr>
        <w:t xml:space="preserve">La Banque du Canada </w:t>
      </w:r>
      <w:r w:rsidR="00265F15">
        <w:rPr>
          <w:rFonts w:ascii="Segoe UI" w:hAnsi="Segoe UI" w:cs="Segoe UI"/>
          <w:b/>
          <w:bCs/>
          <w:sz w:val="18"/>
          <w:szCs w:val="18"/>
        </w:rPr>
        <w:t xml:space="preserve">s’est </w:t>
      </w:r>
      <w:r w:rsidR="007F7A0E">
        <w:rPr>
          <w:rFonts w:ascii="Segoe UI" w:hAnsi="Segoe UI" w:cs="Segoe UI"/>
          <w:b/>
          <w:bCs/>
          <w:sz w:val="18"/>
          <w:szCs w:val="18"/>
        </w:rPr>
        <w:t>saisie</w:t>
      </w:r>
      <w:r w:rsidR="00265F15">
        <w:rPr>
          <w:rFonts w:ascii="Segoe UI" w:hAnsi="Segoe UI" w:cs="Segoe UI"/>
          <w:b/>
          <w:bCs/>
          <w:sz w:val="18"/>
          <w:szCs w:val="18"/>
        </w:rPr>
        <w:t xml:space="preserve"> de ce sujet </w:t>
      </w:r>
      <w:r w:rsidR="007F7A0E">
        <w:rPr>
          <w:rFonts w:ascii="Segoe UI" w:hAnsi="Segoe UI" w:cs="Segoe UI"/>
          <w:b/>
          <w:bCs/>
          <w:sz w:val="18"/>
          <w:szCs w:val="18"/>
        </w:rPr>
        <w:t>à partir de</w:t>
      </w:r>
      <w:r w:rsidR="00265F15">
        <w:rPr>
          <w:rFonts w:ascii="Segoe UI" w:hAnsi="Segoe UI" w:cs="Segoe UI"/>
          <w:b/>
          <w:bCs/>
          <w:sz w:val="18"/>
          <w:szCs w:val="18"/>
        </w:rPr>
        <w:t xml:space="preserve"> 2023</w:t>
      </w:r>
      <w:r w:rsidRPr="009F3BAB">
        <w:rPr>
          <w:rFonts w:ascii="Segoe UI" w:hAnsi="Segoe UI" w:cs="Segoe UI"/>
          <w:b/>
          <w:bCs/>
          <w:sz w:val="18"/>
          <w:szCs w:val="18"/>
        </w:rPr>
        <w:t>.</w:t>
      </w:r>
      <w:r w:rsidR="009F3BAB">
        <w:rPr>
          <w:rFonts w:ascii="Segoe UI" w:hAnsi="Segoe UI" w:cs="Segoe UI"/>
          <w:b/>
          <w:bCs/>
          <w:sz w:val="18"/>
          <w:szCs w:val="18"/>
        </w:rPr>
        <w:t xml:space="preserve"> </w:t>
      </w:r>
      <w:r w:rsidR="002E1879">
        <w:rPr>
          <w:rFonts w:ascii="Segoe UI" w:hAnsi="Segoe UI" w:cs="Segoe UI"/>
          <w:sz w:val="18"/>
          <w:szCs w:val="18"/>
        </w:rPr>
        <w:t>L</w:t>
      </w:r>
      <w:r w:rsidR="009F3BAB">
        <w:rPr>
          <w:rFonts w:ascii="Segoe UI" w:hAnsi="Segoe UI" w:cs="Segoe UI"/>
          <w:sz w:val="18"/>
          <w:szCs w:val="18"/>
        </w:rPr>
        <w:t>a Banque du Canada</w:t>
      </w:r>
      <w:r w:rsidR="00F41852">
        <w:rPr>
          <w:rFonts w:ascii="Segoe UI" w:hAnsi="Segoe UI" w:cs="Segoe UI"/>
          <w:sz w:val="18"/>
          <w:szCs w:val="18"/>
        </w:rPr>
        <w:t>, qui</w:t>
      </w:r>
      <w:r w:rsidR="009F3BAB">
        <w:rPr>
          <w:rFonts w:ascii="Segoe UI" w:hAnsi="Segoe UI" w:cs="Segoe UI"/>
          <w:sz w:val="18"/>
          <w:szCs w:val="18"/>
        </w:rPr>
        <w:t xml:space="preserve"> ne </w:t>
      </w:r>
      <w:r w:rsidR="00EB577F">
        <w:rPr>
          <w:rFonts w:ascii="Segoe UI" w:hAnsi="Segoe UI" w:cs="Segoe UI"/>
          <w:sz w:val="18"/>
          <w:szCs w:val="18"/>
        </w:rPr>
        <w:t>s’était</w:t>
      </w:r>
      <w:r w:rsidR="009F3BAB">
        <w:rPr>
          <w:rFonts w:ascii="Segoe UI" w:hAnsi="Segoe UI" w:cs="Segoe UI"/>
          <w:sz w:val="18"/>
          <w:szCs w:val="18"/>
        </w:rPr>
        <w:t xml:space="preserve"> pas prononcé</w:t>
      </w:r>
      <w:r w:rsidR="00E94730">
        <w:rPr>
          <w:rFonts w:ascii="Segoe UI" w:hAnsi="Segoe UI" w:cs="Segoe UI"/>
          <w:sz w:val="18"/>
          <w:szCs w:val="18"/>
        </w:rPr>
        <w:t>e</w:t>
      </w:r>
      <w:r w:rsidR="009F3BAB">
        <w:rPr>
          <w:rFonts w:ascii="Segoe UI" w:hAnsi="Segoe UI" w:cs="Segoe UI"/>
          <w:sz w:val="18"/>
          <w:szCs w:val="18"/>
        </w:rPr>
        <w:t xml:space="preserve"> sur </w:t>
      </w:r>
      <w:r w:rsidR="00F41852">
        <w:rPr>
          <w:rFonts w:ascii="Segoe UI" w:hAnsi="Segoe UI" w:cs="Segoe UI"/>
          <w:sz w:val="18"/>
          <w:szCs w:val="18"/>
        </w:rPr>
        <w:t xml:space="preserve">le sujet en 2022, y a porté une attention plus grande </w:t>
      </w:r>
      <w:r w:rsidR="00644913">
        <w:rPr>
          <w:rFonts w:ascii="Segoe UI" w:hAnsi="Segoe UI" w:cs="Segoe UI"/>
          <w:sz w:val="18"/>
          <w:szCs w:val="18"/>
        </w:rPr>
        <w:t xml:space="preserve">à partir de </w:t>
      </w:r>
      <w:r w:rsidR="00C57034">
        <w:rPr>
          <w:rFonts w:ascii="Segoe UI" w:hAnsi="Segoe UI" w:cs="Segoe UI"/>
          <w:sz w:val="18"/>
          <w:szCs w:val="18"/>
        </w:rPr>
        <w:t>janvier 2023</w:t>
      </w:r>
      <w:r w:rsidR="00F41852">
        <w:rPr>
          <w:rFonts w:ascii="Segoe UI" w:hAnsi="Segoe UI" w:cs="Segoe UI"/>
          <w:sz w:val="18"/>
          <w:szCs w:val="18"/>
        </w:rPr>
        <w:t xml:space="preserve">, </w:t>
      </w:r>
      <w:r w:rsidR="00C57034">
        <w:rPr>
          <w:rFonts w:ascii="Segoe UI" w:hAnsi="Segoe UI" w:cs="Segoe UI"/>
          <w:sz w:val="18"/>
          <w:szCs w:val="18"/>
        </w:rPr>
        <w:t>lorsque</w:t>
      </w:r>
      <w:r w:rsidR="00881C59">
        <w:rPr>
          <w:rFonts w:ascii="Segoe UI" w:hAnsi="Segoe UI" w:cs="Segoe UI"/>
          <w:sz w:val="18"/>
          <w:szCs w:val="18"/>
        </w:rPr>
        <w:t xml:space="preserve"> </w:t>
      </w:r>
      <w:r w:rsidR="00C57034">
        <w:rPr>
          <w:rFonts w:ascii="Segoe UI" w:hAnsi="Segoe UI" w:cs="Segoe UI"/>
          <w:sz w:val="18"/>
          <w:szCs w:val="18"/>
        </w:rPr>
        <w:t>Nicolas Vince</w:t>
      </w:r>
      <w:r w:rsidR="009C7B0C">
        <w:rPr>
          <w:rFonts w:ascii="Segoe UI" w:hAnsi="Segoe UI" w:cs="Segoe UI"/>
          <w:sz w:val="18"/>
          <w:szCs w:val="18"/>
        </w:rPr>
        <w:t>nt</w:t>
      </w:r>
      <w:r w:rsidR="00C57034">
        <w:rPr>
          <w:rFonts w:ascii="Segoe UI" w:hAnsi="Segoe UI" w:cs="Segoe UI"/>
          <w:sz w:val="18"/>
          <w:szCs w:val="18"/>
        </w:rPr>
        <w:t>, un</w:t>
      </w:r>
      <w:r w:rsidR="00600FC8">
        <w:rPr>
          <w:rFonts w:ascii="Segoe UI" w:hAnsi="Segoe UI" w:cs="Segoe UI"/>
          <w:sz w:val="18"/>
          <w:szCs w:val="18"/>
        </w:rPr>
        <w:t xml:space="preserve"> professeur</w:t>
      </w:r>
      <w:r w:rsidR="00C57034">
        <w:rPr>
          <w:rFonts w:ascii="Segoe UI" w:hAnsi="Segoe UI" w:cs="Segoe UI"/>
          <w:sz w:val="18"/>
          <w:szCs w:val="18"/>
        </w:rPr>
        <w:t xml:space="preserve"> spécialiste sur les comportements des entreprises en matière de fixation des prix</w:t>
      </w:r>
      <w:r w:rsidR="00881C59">
        <w:rPr>
          <w:rFonts w:ascii="Segoe UI" w:hAnsi="Segoe UI" w:cs="Segoe UI"/>
          <w:sz w:val="18"/>
          <w:szCs w:val="18"/>
        </w:rPr>
        <w:t xml:space="preserve">, </w:t>
      </w:r>
      <w:r w:rsidR="00C57034">
        <w:rPr>
          <w:rFonts w:ascii="Segoe UI" w:hAnsi="Segoe UI" w:cs="Segoe UI"/>
          <w:sz w:val="18"/>
          <w:szCs w:val="18"/>
        </w:rPr>
        <w:t xml:space="preserve">a été nommé </w:t>
      </w:r>
      <w:r w:rsidR="00E34861">
        <w:rPr>
          <w:rFonts w:ascii="Segoe UI" w:hAnsi="Segoe UI" w:cs="Segoe UI"/>
          <w:sz w:val="18"/>
          <w:szCs w:val="18"/>
        </w:rPr>
        <w:t xml:space="preserve">sous-gouverneur. </w:t>
      </w:r>
      <w:r w:rsidR="00265F15">
        <w:rPr>
          <w:rFonts w:ascii="Segoe UI" w:hAnsi="Segoe UI" w:cs="Segoe UI"/>
          <w:sz w:val="18"/>
          <w:szCs w:val="18"/>
        </w:rPr>
        <w:t xml:space="preserve">A partir de juillet 2023, la Banque du Canada a inclus dans </w:t>
      </w:r>
      <w:r w:rsidR="00E74D79">
        <w:rPr>
          <w:rFonts w:ascii="Segoe UI" w:hAnsi="Segoe UI" w:cs="Segoe UI"/>
          <w:sz w:val="18"/>
          <w:szCs w:val="18"/>
        </w:rPr>
        <w:t>ses</w:t>
      </w:r>
      <w:r w:rsidR="00265F15">
        <w:rPr>
          <w:rFonts w:ascii="Segoe UI" w:hAnsi="Segoe UI" w:cs="Segoe UI"/>
          <w:sz w:val="18"/>
          <w:szCs w:val="18"/>
        </w:rPr>
        <w:t xml:space="preserve"> rapport</w:t>
      </w:r>
      <w:r w:rsidR="00E74D79">
        <w:rPr>
          <w:rFonts w:ascii="Segoe UI" w:hAnsi="Segoe UI" w:cs="Segoe UI"/>
          <w:sz w:val="18"/>
          <w:szCs w:val="18"/>
        </w:rPr>
        <w:t>s</w:t>
      </w:r>
      <w:r w:rsidR="00265F15">
        <w:rPr>
          <w:rFonts w:ascii="Segoe UI" w:hAnsi="Segoe UI" w:cs="Segoe UI"/>
          <w:sz w:val="18"/>
          <w:szCs w:val="18"/>
        </w:rPr>
        <w:t xml:space="preserve"> trimestriel</w:t>
      </w:r>
      <w:r w:rsidR="00E74D79">
        <w:rPr>
          <w:rFonts w:ascii="Segoe UI" w:hAnsi="Segoe UI" w:cs="Segoe UI"/>
          <w:sz w:val="18"/>
          <w:szCs w:val="18"/>
        </w:rPr>
        <w:t>s</w:t>
      </w:r>
      <w:r w:rsidR="00265F15">
        <w:rPr>
          <w:rFonts w:ascii="Segoe UI" w:hAnsi="Segoe UI" w:cs="Segoe UI"/>
          <w:sz w:val="18"/>
          <w:szCs w:val="18"/>
        </w:rPr>
        <w:t xml:space="preserve"> un indicateur de suivi de fréquence </w:t>
      </w:r>
      <w:r w:rsidR="009A3631">
        <w:rPr>
          <w:rFonts w:ascii="Segoe UI" w:hAnsi="Segoe UI" w:cs="Segoe UI"/>
          <w:sz w:val="18"/>
          <w:szCs w:val="18"/>
        </w:rPr>
        <w:t>et d’</w:t>
      </w:r>
      <w:r w:rsidR="002A51BF">
        <w:rPr>
          <w:rFonts w:ascii="Segoe UI" w:hAnsi="Segoe UI" w:cs="Segoe UI"/>
          <w:sz w:val="18"/>
          <w:szCs w:val="18"/>
        </w:rPr>
        <w:t>amplitude</w:t>
      </w:r>
      <w:r w:rsidR="009A3631">
        <w:rPr>
          <w:rFonts w:ascii="Segoe UI" w:hAnsi="Segoe UI" w:cs="Segoe UI"/>
          <w:sz w:val="18"/>
          <w:szCs w:val="18"/>
        </w:rPr>
        <w:t xml:space="preserve"> </w:t>
      </w:r>
      <w:r w:rsidR="00265F15">
        <w:rPr>
          <w:rFonts w:ascii="Segoe UI" w:hAnsi="Segoe UI" w:cs="Segoe UI"/>
          <w:sz w:val="18"/>
          <w:szCs w:val="18"/>
        </w:rPr>
        <w:t>de modification des prix par les entreprises</w:t>
      </w:r>
      <w:r w:rsidR="00F41852">
        <w:rPr>
          <w:rFonts w:ascii="Segoe UI" w:hAnsi="Segoe UI" w:cs="Segoe UI"/>
          <w:sz w:val="18"/>
          <w:szCs w:val="18"/>
        </w:rPr>
        <w:t> ; c</w:t>
      </w:r>
      <w:r w:rsidR="00CA4821">
        <w:rPr>
          <w:rFonts w:ascii="Segoe UI" w:hAnsi="Segoe UI" w:cs="Segoe UI"/>
          <w:sz w:val="18"/>
          <w:szCs w:val="18"/>
        </w:rPr>
        <w:t>et</w:t>
      </w:r>
      <w:r w:rsidR="001A1F56">
        <w:rPr>
          <w:rFonts w:ascii="Segoe UI" w:hAnsi="Segoe UI" w:cs="Segoe UI"/>
          <w:sz w:val="18"/>
          <w:szCs w:val="18"/>
        </w:rPr>
        <w:t xml:space="preserve"> indicateur doit permettre de </w:t>
      </w:r>
      <w:r w:rsidR="00B838C6">
        <w:rPr>
          <w:rFonts w:ascii="Segoe UI" w:hAnsi="Segoe UI" w:cs="Segoe UI"/>
          <w:sz w:val="18"/>
          <w:szCs w:val="18"/>
        </w:rPr>
        <w:t>déterminer</w:t>
      </w:r>
      <w:r w:rsidR="001A1F56">
        <w:rPr>
          <w:rFonts w:ascii="Segoe UI" w:hAnsi="Segoe UI" w:cs="Segoe UI"/>
          <w:sz w:val="18"/>
          <w:szCs w:val="18"/>
        </w:rPr>
        <w:t xml:space="preserve"> si </w:t>
      </w:r>
      <w:r w:rsidR="00E673C2">
        <w:rPr>
          <w:rFonts w:ascii="Segoe UI" w:hAnsi="Segoe UI" w:cs="Segoe UI"/>
          <w:sz w:val="18"/>
          <w:szCs w:val="18"/>
        </w:rPr>
        <w:t xml:space="preserve">le comportement des entreprises </w:t>
      </w:r>
      <w:r w:rsidR="00A549C6">
        <w:rPr>
          <w:rFonts w:ascii="Segoe UI" w:hAnsi="Segoe UI" w:cs="Segoe UI"/>
          <w:sz w:val="18"/>
          <w:szCs w:val="18"/>
        </w:rPr>
        <w:t>est</w:t>
      </w:r>
      <w:r w:rsidR="00E673C2">
        <w:rPr>
          <w:rFonts w:ascii="Segoe UI" w:hAnsi="Segoe UI" w:cs="Segoe UI"/>
          <w:sz w:val="18"/>
          <w:szCs w:val="18"/>
        </w:rPr>
        <w:t xml:space="preserve"> de nature à favoriser l’inflation au-delà de la hausse des coûts de production. </w:t>
      </w:r>
      <w:r w:rsidR="00881C59">
        <w:rPr>
          <w:rFonts w:ascii="Segoe UI" w:hAnsi="Segoe UI" w:cs="Segoe UI"/>
          <w:sz w:val="18"/>
          <w:szCs w:val="18"/>
        </w:rPr>
        <w:t>La crainte étant que</w:t>
      </w:r>
      <w:r w:rsidR="00E673C2">
        <w:rPr>
          <w:rFonts w:ascii="Segoe UI" w:hAnsi="Segoe UI" w:cs="Segoe UI"/>
          <w:sz w:val="18"/>
          <w:szCs w:val="18"/>
        </w:rPr>
        <w:t xml:space="preserve"> des modifications des prix trop régulière</w:t>
      </w:r>
      <w:r w:rsidR="00AB0D08">
        <w:rPr>
          <w:rFonts w:ascii="Segoe UI" w:hAnsi="Segoe UI" w:cs="Segoe UI"/>
          <w:sz w:val="18"/>
          <w:szCs w:val="18"/>
        </w:rPr>
        <w:t>s</w:t>
      </w:r>
      <w:r w:rsidR="00E673C2">
        <w:rPr>
          <w:rFonts w:ascii="Segoe UI" w:hAnsi="Segoe UI" w:cs="Segoe UI"/>
          <w:sz w:val="18"/>
          <w:szCs w:val="18"/>
        </w:rPr>
        <w:t xml:space="preserve"> ne désancre</w:t>
      </w:r>
      <w:r w:rsidR="00AB0D08">
        <w:rPr>
          <w:rFonts w:ascii="Segoe UI" w:hAnsi="Segoe UI" w:cs="Segoe UI"/>
          <w:sz w:val="18"/>
          <w:szCs w:val="18"/>
        </w:rPr>
        <w:t>nt</w:t>
      </w:r>
      <w:r w:rsidR="00E673C2">
        <w:rPr>
          <w:rFonts w:ascii="Segoe UI" w:hAnsi="Segoe UI" w:cs="Segoe UI"/>
          <w:sz w:val="18"/>
          <w:szCs w:val="18"/>
        </w:rPr>
        <w:t xml:space="preserve"> les anticipations d’inflation des entreprises</w:t>
      </w:r>
      <w:r w:rsidR="000A139E">
        <w:rPr>
          <w:rFonts w:ascii="Segoe UI" w:hAnsi="Segoe UI" w:cs="Segoe UI"/>
          <w:sz w:val="18"/>
          <w:szCs w:val="18"/>
        </w:rPr>
        <w:t>, entra</w:t>
      </w:r>
      <w:r w:rsidR="00881C59">
        <w:rPr>
          <w:rFonts w:ascii="Segoe UI" w:hAnsi="Segoe UI" w:cs="Segoe UI"/>
          <w:sz w:val="18"/>
          <w:szCs w:val="18"/>
        </w:rPr>
        <w:t>î</w:t>
      </w:r>
      <w:r w:rsidR="000A139E">
        <w:rPr>
          <w:rFonts w:ascii="Segoe UI" w:hAnsi="Segoe UI" w:cs="Segoe UI"/>
          <w:sz w:val="18"/>
          <w:szCs w:val="18"/>
        </w:rPr>
        <w:t xml:space="preserve">nant ainsi une </w:t>
      </w:r>
      <w:r w:rsidR="00FF0884">
        <w:rPr>
          <w:rFonts w:ascii="Segoe UI" w:hAnsi="Segoe UI" w:cs="Segoe UI"/>
          <w:sz w:val="18"/>
          <w:szCs w:val="18"/>
        </w:rPr>
        <w:t>plus grande sensibilité aux chocs.</w:t>
      </w:r>
      <w:r w:rsidR="00E673C2">
        <w:rPr>
          <w:rFonts w:ascii="Segoe UI" w:hAnsi="Segoe UI" w:cs="Segoe UI"/>
          <w:sz w:val="18"/>
          <w:szCs w:val="18"/>
        </w:rPr>
        <w:t xml:space="preserve"> </w:t>
      </w:r>
      <w:r w:rsidR="00040AA9">
        <w:rPr>
          <w:rFonts w:ascii="Segoe UI" w:hAnsi="Segoe UI" w:cs="Segoe UI"/>
          <w:sz w:val="18"/>
          <w:szCs w:val="18"/>
        </w:rPr>
        <w:t>Entre le T1 202</w:t>
      </w:r>
      <w:r w:rsidR="002F3524">
        <w:rPr>
          <w:rFonts w:ascii="Segoe UI" w:hAnsi="Segoe UI" w:cs="Segoe UI"/>
          <w:sz w:val="18"/>
          <w:szCs w:val="18"/>
        </w:rPr>
        <w:t>3</w:t>
      </w:r>
      <w:r w:rsidR="00040AA9">
        <w:rPr>
          <w:rFonts w:ascii="Segoe UI" w:hAnsi="Segoe UI" w:cs="Segoe UI"/>
          <w:sz w:val="18"/>
          <w:szCs w:val="18"/>
        </w:rPr>
        <w:t xml:space="preserve"> et le T4 2023</w:t>
      </w:r>
      <w:r w:rsidR="002F3524">
        <w:rPr>
          <w:rFonts w:ascii="Segoe UI" w:hAnsi="Segoe UI" w:cs="Segoe UI"/>
          <w:sz w:val="18"/>
          <w:szCs w:val="18"/>
        </w:rPr>
        <w:t xml:space="preserve"> (seules données disponibles)</w:t>
      </w:r>
      <w:r w:rsidR="00040AA9">
        <w:rPr>
          <w:rFonts w:ascii="Segoe UI" w:hAnsi="Segoe UI" w:cs="Segoe UI"/>
          <w:sz w:val="18"/>
          <w:szCs w:val="18"/>
        </w:rPr>
        <w:t xml:space="preserve">, la proportion </w:t>
      </w:r>
      <w:r w:rsidR="002E6AD8">
        <w:rPr>
          <w:rFonts w:ascii="Segoe UI" w:hAnsi="Segoe UI" w:cs="Segoe UI"/>
          <w:sz w:val="18"/>
          <w:szCs w:val="18"/>
        </w:rPr>
        <w:t>de</w:t>
      </w:r>
      <w:r w:rsidR="00E96BDD">
        <w:rPr>
          <w:rFonts w:ascii="Segoe UI" w:hAnsi="Segoe UI" w:cs="Segoe UI"/>
          <w:sz w:val="18"/>
          <w:szCs w:val="18"/>
        </w:rPr>
        <w:t xml:space="preserve">s </w:t>
      </w:r>
      <w:r w:rsidR="002E6AD8">
        <w:rPr>
          <w:rFonts w:ascii="Segoe UI" w:hAnsi="Segoe UI" w:cs="Segoe UI"/>
          <w:sz w:val="18"/>
          <w:szCs w:val="18"/>
        </w:rPr>
        <w:t xml:space="preserve">entreprises </w:t>
      </w:r>
      <w:r w:rsidR="00E673C2">
        <w:rPr>
          <w:rFonts w:ascii="Segoe UI" w:hAnsi="Segoe UI" w:cs="Segoe UI"/>
          <w:sz w:val="18"/>
          <w:szCs w:val="18"/>
        </w:rPr>
        <w:t>canadiennes modifiant de manière « plus fréquentes</w:t>
      </w:r>
      <w:r w:rsidR="00500ABE">
        <w:rPr>
          <w:rFonts w:ascii="Segoe UI" w:hAnsi="Segoe UI" w:cs="Segoe UI"/>
          <w:sz w:val="18"/>
          <w:szCs w:val="18"/>
        </w:rPr>
        <w:t xml:space="preserve"> que d’habitude »</w:t>
      </w:r>
      <w:r w:rsidR="00500ABE">
        <w:rPr>
          <w:rStyle w:val="Appelnotedebasdep"/>
          <w:rFonts w:ascii="Segoe UI" w:hAnsi="Segoe UI" w:cs="Segoe UI"/>
          <w:sz w:val="18"/>
          <w:szCs w:val="18"/>
        </w:rPr>
        <w:footnoteReference w:id="2"/>
      </w:r>
      <w:r w:rsidR="00500ABE">
        <w:rPr>
          <w:rFonts w:ascii="Segoe UI" w:hAnsi="Segoe UI" w:cs="Segoe UI"/>
          <w:sz w:val="18"/>
          <w:szCs w:val="18"/>
        </w:rPr>
        <w:t xml:space="preserve"> leurs prix est passé</w:t>
      </w:r>
      <w:r w:rsidR="00B245A7">
        <w:rPr>
          <w:rFonts w:ascii="Segoe UI" w:hAnsi="Segoe UI" w:cs="Segoe UI"/>
          <w:sz w:val="18"/>
          <w:szCs w:val="18"/>
        </w:rPr>
        <w:t>e</w:t>
      </w:r>
      <w:r w:rsidR="00500ABE">
        <w:rPr>
          <w:rFonts w:ascii="Segoe UI" w:hAnsi="Segoe UI" w:cs="Segoe UI"/>
          <w:sz w:val="18"/>
          <w:szCs w:val="18"/>
        </w:rPr>
        <w:t xml:space="preserve"> de 23% à 18%</w:t>
      </w:r>
      <w:r w:rsidR="00881C59">
        <w:rPr>
          <w:rFonts w:ascii="Segoe UI" w:hAnsi="Segoe UI" w:cs="Segoe UI"/>
          <w:sz w:val="18"/>
          <w:szCs w:val="18"/>
        </w:rPr>
        <w:t>,</w:t>
      </w:r>
      <w:r w:rsidR="00500ABE">
        <w:rPr>
          <w:rFonts w:ascii="Segoe UI" w:hAnsi="Segoe UI" w:cs="Segoe UI"/>
          <w:sz w:val="18"/>
          <w:szCs w:val="18"/>
        </w:rPr>
        <w:t xml:space="preserve"> tandis que la part des entreprises pratiquant des augmentations de prix</w:t>
      </w:r>
      <w:r w:rsidR="00E673C2">
        <w:rPr>
          <w:rFonts w:ascii="Segoe UI" w:hAnsi="Segoe UI" w:cs="Segoe UI"/>
          <w:sz w:val="18"/>
          <w:szCs w:val="18"/>
        </w:rPr>
        <w:t xml:space="preserve"> « plus grand</w:t>
      </w:r>
      <w:r w:rsidR="00500ABE">
        <w:rPr>
          <w:rFonts w:ascii="Segoe UI" w:hAnsi="Segoe UI" w:cs="Segoe UI"/>
          <w:sz w:val="18"/>
          <w:szCs w:val="18"/>
        </w:rPr>
        <w:t>e</w:t>
      </w:r>
      <w:r w:rsidR="00E673C2">
        <w:rPr>
          <w:rFonts w:ascii="Segoe UI" w:hAnsi="Segoe UI" w:cs="Segoe UI"/>
          <w:sz w:val="18"/>
          <w:szCs w:val="18"/>
        </w:rPr>
        <w:t xml:space="preserve">s que d’habitude » </w:t>
      </w:r>
      <w:r w:rsidR="00E930C4">
        <w:rPr>
          <w:rFonts w:ascii="Segoe UI" w:hAnsi="Segoe UI" w:cs="Segoe UI"/>
          <w:sz w:val="18"/>
          <w:szCs w:val="18"/>
        </w:rPr>
        <w:t>est passée d’un tiers à 14%</w:t>
      </w:r>
      <w:r w:rsidR="00E673C2">
        <w:rPr>
          <w:rFonts w:ascii="Segoe UI" w:hAnsi="Segoe UI" w:cs="Segoe UI"/>
          <w:sz w:val="18"/>
          <w:szCs w:val="18"/>
        </w:rPr>
        <w:t xml:space="preserve"> (</w:t>
      </w:r>
      <w:r w:rsidR="00E673C2" w:rsidRPr="00F272A6">
        <w:rPr>
          <w:rFonts w:ascii="Segoe UI" w:hAnsi="Segoe UI" w:cs="Segoe UI"/>
          <w:i/>
          <w:iCs/>
          <w:sz w:val="18"/>
          <w:szCs w:val="18"/>
        </w:rPr>
        <w:t>Annexe II</w:t>
      </w:r>
      <w:r w:rsidR="00E673C2" w:rsidRPr="00F272A6">
        <w:rPr>
          <w:rFonts w:ascii="Segoe UI" w:hAnsi="Segoe UI" w:cs="Segoe UI"/>
          <w:sz w:val="18"/>
          <w:szCs w:val="18"/>
        </w:rPr>
        <w:t>).</w:t>
      </w:r>
      <w:r w:rsidR="00E673C2">
        <w:rPr>
          <w:rFonts w:ascii="Segoe UI" w:hAnsi="Segoe UI" w:cs="Segoe UI"/>
          <w:sz w:val="18"/>
          <w:szCs w:val="18"/>
        </w:rPr>
        <w:t xml:space="preserve"> </w:t>
      </w:r>
      <w:r w:rsidR="00A45438">
        <w:rPr>
          <w:rFonts w:ascii="Segoe UI" w:hAnsi="Segoe UI" w:cs="Segoe UI"/>
          <w:sz w:val="18"/>
          <w:szCs w:val="18"/>
        </w:rPr>
        <w:t>L</w:t>
      </w:r>
      <w:r w:rsidR="00881C59">
        <w:rPr>
          <w:rFonts w:ascii="Segoe UI" w:hAnsi="Segoe UI" w:cs="Segoe UI"/>
          <w:sz w:val="18"/>
          <w:szCs w:val="18"/>
        </w:rPr>
        <w:t>ors de son premier discours public en octobre 2023, l</w:t>
      </w:r>
      <w:r w:rsidR="00A45438">
        <w:rPr>
          <w:rFonts w:ascii="Segoe UI" w:hAnsi="Segoe UI" w:cs="Segoe UI"/>
          <w:sz w:val="18"/>
          <w:szCs w:val="18"/>
        </w:rPr>
        <w:t>e sous-gouverneur Nicolas Vincent</w:t>
      </w:r>
      <w:r w:rsidR="00AB0D08">
        <w:rPr>
          <w:rFonts w:ascii="Segoe UI" w:hAnsi="Segoe UI" w:cs="Segoe UI"/>
          <w:sz w:val="18"/>
          <w:szCs w:val="18"/>
        </w:rPr>
        <w:t xml:space="preserve"> a </w:t>
      </w:r>
      <w:r w:rsidR="00881C59">
        <w:rPr>
          <w:rFonts w:ascii="Segoe UI" w:hAnsi="Segoe UI" w:cs="Segoe UI"/>
          <w:sz w:val="18"/>
          <w:szCs w:val="18"/>
        </w:rPr>
        <w:t>salué</w:t>
      </w:r>
      <w:r w:rsidR="00F81EF1">
        <w:rPr>
          <w:rFonts w:ascii="Segoe UI" w:hAnsi="Segoe UI" w:cs="Segoe UI"/>
          <w:sz w:val="18"/>
          <w:szCs w:val="18"/>
        </w:rPr>
        <w:t xml:space="preserve"> </w:t>
      </w:r>
      <w:r w:rsidR="00AB0D08">
        <w:rPr>
          <w:rFonts w:ascii="Segoe UI" w:hAnsi="Segoe UI" w:cs="Segoe UI"/>
          <w:sz w:val="18"/>
          <w:szCs w:val="18"/>
        </w:rPr>
        <w:t xml:space="preserve">cette normalisation graduelle du comportement des entreprises, </w:t>
      </w:r>
      <w:r w:rsidR="00881C59">
        <w:rPr>
          <w:rFonts w:ascii="Segoe UI" w:hAnsi="Segoe UI" w:cs="Segoe UI"/>
          <w:sz w:val="18"/>
          <w:szCs w:val="18"/>
        </w:rPr>
        <w:t>tout en continuant à souligner le risque de</w:t>
      </w:r>
      <w:r w:rsidR="001D6512">
        <w:rPr>
          <w:rFonts w:ascii="Segoe UI" w:hAnsi="Segoe UI" w:cs="Segoe UI"/>
          <w:sz w:val="18"/>
          <w:szCs w:val="18"/>
        </w:rPr>
        <w:t xml:space="preserve"> </w:t>
      </w:r>
      <w:r w:rsidR="00881C59">
        <w:rPr>
          <w:rFonts w:ascii="Segoe UI" w:hAnsi="Segoe UI" w:cs="Segoe UI"/>
          <w:sz w:val="18"/>
          <w:szCs w:val="18"/>
        </w:rPr>
        <w:t>« </w:t>
      </w:r>
      <w:r w:rsidR="001D6512">
        <w:rPr>
          <w:rFonts w:ascii="Segoe UI" w:hAnsi="Segoe UI" w:cs="Segoe UI"/>
          <w:sz w:val="18"/>
          <w:szCs w:val="18"/>
        </w:rPr>
        <w:t>désancrage</w:t>
      </w:r>
      <w:r w:rsidR="00881C59">
        <w:rPr>
          <w:rFonts w:ascii="Segoe UI" w:hAnsi="Segoe UI" w:cs="Segoe UI"/>
          <w:sz w:val="18"/>
          <w:szCs w:val="18"/>
        </w:rPr>
        <w:t> »</w:t>
      </w:r>
      <w:r w:rsidR="001D6512">
        <w:rPr>
          <w:rFonts w:ascii="Segoe UI" w:hAnsi="Segoe UI" w:cs="Segoe UI"/>
          <w:sz w:val="18"/>
          <w:szCs w:val="18"/>
        </w:rPr>
        <w:t xml:space="preserve"> du comportement des entreprise</w:t>
      </w:r>
      <w:r w:rsidR="00054469">
        <w:rPr>
          <w:rFonts w:ascii="Segoe UI" w:hAnsi="Segoe UI" w:cs="Segoe UI"/>
          <w:sz w:val="18"/>
          <w:szCs w:val="18"/>
        </w:rPr>
        <w:t xml:space="preserve">s. </w:t>
      </w:r>
    </w:p>
    <w:tbl>
      <w:tblPr>
        <w:tblStyle w:val="Grilledutableau"/>
        <w:tblW w:w="10206" w:type="dxa"/>
        <w:tblBorders>
          <w:top w:val="single" w:sz="4" w:space="0" w:color="006CE5"/>
          <w:left w:val="single" w:sz="4" w:space="0" w:color="006CE5"/>
          <w:bottom w:val="single" w:sz="4" w:space="0" w:color="006CE5"/>
          <w:right w:val="single" w:sz="4" w:space="0" w:color="006CE5"/>
          <w:insideH w:val="single" w:sz="4" w:space="0" w:color="006CE5"/>
          <w:insideV w:val="single" w:sz="4" w:space="0" w:color="006CE5"/>
        </w:tblBorders>
        <w:tblLook w:val="04A0" w:firstRow="1" w:lastRow="0" w:firstColumn="1" w:lastColumn="0" w:noHBand="0" w:noVBand="1"/>
      </w:tblPr>
      <w:tblGrid>
        <w:gridCol w:w="10206"/>
      </w:tblGrid>
      <w:tr w:rsidR="004F2178" w:rsidRPr="00D36BFB" w14:paraId="16B9CE91" w14:textId="77777777" w:rsidTr="00C51D43">
        <w:trPr>
          <w:trHeight w:val="405"/>
        </w:trPr>
        <w:tc>
          <w:tcPr>
            <w:tcW w:w="10206" w:type="dxa"/>
            <w:shd w:val="clear" w:color="auto" w:fill="006CE5"/>
            <w:vAlign w:val="center"/>
          </w:tcPr>
          <w:p w14:paraId="2AC30594" w14:textId="1429969D" w:rsidR="004F2178" w:rsidRPr="00D36BFB" w:rsidRDefault="00C51B0A" w:rsidP="0048694E">
            <w:pPr>
              <w:ind w:right="-108"/>
              <w:jc w:val="both"/>
              <w:textAlignment w:val="baseline"/>
              <w:rPr>
                <w:rFonts w:ascii="Segoe UI" w:eastAsia="Times New Roman" w:hAnsi="Segoe UI" w:cs="Segoe UI"/>
                <w:b/>
                <w:bCs/>
                <w:color w:val="FFFFFF" w:themeColor="background1"/>
                <w:sz w:val="20"/>
                <w:szCs w:val="20"/>
                <w:lang w:eastAsia="fr-FR"/>
              </w:rPr>
            </w:pPr>
            <w:r>
              <w:rPr>
                <w:rFonts w:ascii="Segoe UI" w:eastAsia="Times New Roman" w:hAnsi="Segoe UI" w:cs="Segoe UI"/>
                <w:b/>
                <w:bCs/>
                <w:color w:val="FFFFFF" w:themeColor="background1"/>
                <w:sz w:val="20"/>
                <w:szCs w:val="20"/>
                <w:lang w:eastAsia="fr-FR"/>
              </w:rPr>
              <w:t>Si l</w:t>
            </w:r>
            <w:r w:rsidR="00881C59">
              <w:rPr>
                <w:rFonts w:ascii="Segoe UI" w:eastAsia="Times New Roman" w:hAnsi="Segoe UI" w:cs="Segoe UI"/>
                <w:b/>
                <w:bCs/>
                <w:color w:val="FFFFFF" w:themeColor="background1"/>
                <w:sz w:val="20"/>
                <w:szCs w:val="20"/>
                <w:lang w:eastAsia="fr-FR"/>
              </w:rPr>
              <w:t xml:space="preserve">a plupart des études concluent au fait que </w:t>
            </w:r>
            <w:r w:rsidR="00F41852">
              <w:rPr>
                <w:rFonts w:ascii="Segoe UI" w:eastAsia="Times New Roman" w:hAnsi="Segoe UI" w:cs="Segoe UI"/>
                <w:b/>
                <w:bCs/>
                <w:color w:val="FFFFFF" w:themeColor="background1"/>
                <w:sz w:val="20"/>
                <w:szCs w:val="20"/>
                <w:lang w:eastAsia="fr-FR"/>
              </w:rPr>
              <w:t xml:space="preserve">les </w:t>
            </w:r>
            <w:r w:rsidR="00D779B5">
              <w:rPr>
                <w:rFonts w:ascii="Segoe UI" w:eastAsia="Times New Roman" w:hAnsi="Segoe UI" w:cs="Segoe UI"/>
                <w:b/>
                <w:bCs/>
                <w:color w:val="FFFFFF" w:themeColor="background1"/>
                <w:sz w:val="20"/>
                <w:szCs w:val="20"/>
                <w:lang w:eastAsia="fr-FR"/>
              </w:rPr>
              <w:t>entreprises</w:t>
            </w:r>
            <w:r>
              <w:rPr>
                <w:rFonts w:ascii="Segoe UI" w:eastAsia="Times New Roman" w:hAnsi="Segoe UI" w:cs="Segoe UI"/>
                <w:b/>
                <w:bCs/>
                <w:color w:val="FFFFFF" w:themeColor="background1"/>
                <w:sz w:val="20"/>
                <w:szCs w:val="20"/>
                <w:lang w:eastAsia="fr-FR"/>
              </w:rPr>
              <w:t xml:space="preserve"> n</w:t>
            </w:r>
            <w:r w:rsidR="000234C4">
              <w:rPr>
                <w:rFonts w:ascii="Segoe UI" w:eastAsia="Times New Roman" w:hAnsi="Segoe UI" w:cs="Segoe UI"/>
                <w:b/>
                <w:bCs/>
                <w:color w:val="FFFFFF" w:themeColor="background1"/>
                <w:sz w:val="20"/>
                <w:szCs w:val="20"/>
                <w:lang w:eastAsia="fr-FR"/>
              </w:rPr>
              <w:t>’ont pas</w:t>
            </w:r>
            <w:r>
              <w:rPr>
                <w:rFonts w:ascii="Segoe UI" w:eastAsia="Times New Roman" w:hAnsi="Segoe UI" w:cs="Segoe UI"/>
                <w:b/>
                <w:bCs/>
                <w:color w:val="FFFFFF" w:themeColor="background1"/>
                <w:sz w:val="20"/>
                <w:szCs w:val="20"/>
                <w:lang w:eastAsia="fr-FR"/>
              </w:rPr>
              <w:t xml:space="preserve"> à dessein</w:t>
            </w:r>
            <w:r w:rsidR="00881C59">
              <w:rPr>
                <w:rFonts w:ascii="Segoe UI" w:eastAsia="Times New Roman" w:hAnsi="Segoe UI" w:cs="Segoe UI"/>
                <w:b/>
                <w:bCs/>
                <w:color w:val="FFFFFF" w:themeColor="background1"/>
                <w:sz w:val="20"/>
                <w:szCs w:val="20"/>
                <w:lang w:eastAsia="fr-FR"/>
              </w:rPr>
              <w:t xml:space="preserve"> amplifié</w:t>
            </w:r>
            <w:r>
              <w:rPr>
                <w:rFonts w:ascii="Segoe UI" w:eastAsia="Times New Roman" w:hAnsi="Segoe UI" w:cs="Segoe UI"/>
                <w:b/>
                <w:bCs/>
                <w:color w:val="FFFFFF" w:themeColor="background1"/>
                <w:sz w:val="20"/>
                <w:szCs w:val="20"/>
                <w:lang w:eastAsia="fr-FR"/>
              </w:rPr>
              <w:t xml:space="preserve"> l’inflation, la faible </w:t>
            </w:r>
            <w:r w:rsidR="004B1220">
              <w:rPr>
                <w:rFonts w:ascii="Segoe UI" w:eastAsia="Times New Roman" w:hAnsi="Segoe UI" w:cs="Segoe UI"/>
                <w:b/>
                <w:bCs/>
                <w:color w:val="FFFFFF" w:themeColor="background1"/>
                <w:sz w:val="20"/>
                <w:szCs w:val="20"/>
                <w:lang w:eastAsia="fr-FR"/>
              </w:rPr>
              <w:t>intensité concurrentielle de l’économie canadienne</w:t>
            </w:r>
            <w:r>
              <w:rPr>
                <w:rFonts w:ascii="Segoe UI" w:eastAsia="Times New Roman" w:hAnsi="Segoe UI" w:cs="Segoe UI"/>
                <w:b/>
                <w:bCs/>
                <w:color w:val="FFFFFF" w:themeColor="background1"/>
                <w:sz w:val="20"/>
                <w:szCs w:val="20"/>
                <w:lang w:eastAsia="fr-FR"/>
              </w:rPr>
              <w:t xml:space="preserve"> est </w:t>
            </w:r>
            <w:r w:rsidR="00F46371">
              <w:rPr>
                <w:rFonts w:ascii="Segoe UI" w:eastAsia="Times New Roman" w:hAnsi="Segoe UI" w:cs="Segoe UI"/>
                <w:b/>
                <w:bCs/>
                <w:color w:val="FFFFFF" w:themeColor="background1"/>
                <w:sz w:val="20"/>
                <w:szCs w:val="20"/>
                <w:lang w:eastAsia="fr-FR"/>
              </w:rPr>
              <w:t xml:space="preserve">en revanche </w:t>
            </w:r>
            <w:r>
              <w:rPr>
                <w:rFonts w:ascii="Segoe UI" w:eastAsia="Times New Roman" w:hAnsi="Segoe UI" w:cs="Segoe UI"/>
                <w:b/>
                <w:bCs/>
                <w:color w:val="FFFFFF" w:themeColor="background1"/>
                <w:sz w:val="20"/>
                <w:szCs w:val="20"/>
                <w:lang w:eastAsia="fr-FR"/>
              </w:rPr>
              <w:t>pointée du doigt</w:t>
            </w:r>
            <w:r w:rsidR="001935AD">
              <w:rPr>
                <w:rFonts w:ascii="Segoe UI" w:eastAsia="Times New Roman" w:hAnsi="Segoe UI" w:cs="Segoe UI"/>
                <w:b/>
                <w:bCs/>
                <w:color w:val="FFFFFF" w:themeColor="background1"/>
                <w:sz w:val="20"/>
                <w:szCs w:val="20"/>
                <w:lang w:eastAsia="fr-FR"/>
              </w:rPr>
              <w:t xml:space="preserve"> </w:t>
            </w:r>
          </w:p>
        </w:tc>
      </w:tr>
    </w:tbl>
    <w:p w14:paraId="7F94B4ED" w14:textId="30728D02" w:rsidR="004F2178" w:rsidRDefault="008B4201" w:rsidP="001534FA">
      <w:pPr>
        <w:spacing w:before="60" w:after="40"/>
        <w:jc w:val="both"/>
        <w:rPr>
          <w:rFonts w:ascii="Segoe UI" w:hAnsi="Segoe UI" w:cs="Segoe UI"/>
          <w:sz w:val="18"/>
          <w:szCs w:val="18"/>
        </w:rPr>
      </w:pPr>
      <w:r>
        <w:rPr>
          <w:rFonts w:ascii="Segoe UI" w:hAnsi="Segoe UI" w:cs="Segoe UI"/>
          <w:b/>
          <w:bCs/>
          <w:sz w:val="18"/>
          <w:szCs w:val="18"/>
        </w:rPr>
        <w:t>L</w:t>
      </w:r>
      <w:r w:rsidR="004261EF">
        <w:rPr>
          <w:rFonts w:ascii="Segoe UI" w:hAnsi="Segoe UI" w:cs="Segoe UI"/>
          <w:b/>
          <w:bCs/>
          <w:sz w:val="18"/>
          <w:szCs w:val="18"/>
        </w:rPr>
        <w:t xml:space="preserve">a Banque du Canada et Statistique Canada </w:t>
      </w:r>
      <w:r w:rsidR="006F55C3">
        <w:rPr>
          <w:rFonts w:ascii="Segoe UI" w:hAnsi="Segoe UI" w:cs="Segoe UI"/>
          <w:b/>
          <w:bCs/>
          <w:sz w:val="18"/>
          <w:szCs w:val="18"/>
        </w:rPr>
        <w:t>écarte</w:t>
      </w:r>
      <w:r w:rsidR="00324988">
        <w:rPr>
          <w:rFonts w:ascii="Segoe UI" w:hAnsi="Segoe UI" w:cs="Segoe UI"/>
          <w:b/>
          <w:bCs/>
          <w:sz w:val="18"/>
          <w:szCs w:val="18"/>
        </w:rPr>
        <w:t>nt</w:t>
      </w:r>
      <w:r w:rsidR="00AC10AE">
        <w:rPr>
          <w:rFonts w:ascii="Segoe UI" w:hAnsi="Segoe UI" w:cs="Segoe UI"/>
          <w:b/>
          <w:bCs/>
          <w:sz w:val="18"/>
          <w:szCs w:val="18"/>
        </w:rPr>
        <w:t xml:space="preserve"> l’hypothèse d’une </w:t>
      </w:r>
      <w:r w:rsidR="00FB4E04">
        <w:rPr>
          <w:rFonts w:ascii="Segoe UI" w:hAnsi="Segoe UI" w:cs="Segoe UI"/>
          <w:b/>
          <w:bCs/>
          <w:sz w:val="18"/>
          <w:szCs w:val="18"/>
        </w:rPr>
        <w:t>inflation</w:t>
      </w:r>
      <w:r w:rsidR="00712B8D">
        <w:rPr>
          <w:rFonts w:ascii="Segoe UI" w:hAnsi="Segoe UI" w:cs="Segoe UI"/>
          <w:b/>
          <w:bCs/>
          <w:sz w:val="18"/>
          <w:szCs w:val="18"/>
        </w:rPr>
        <w:t xml:space="preserve"> tirée</w:t>
      </w:r>
      <w:r w:rsidR="00AC10AE">
        <w:rPr>
          <w:rFonts w:ascii="Segoe UI" w:hAnsi="Segoe UI" w:cs="Segoe UI"/>
          <w:b/>
          <w:bCs/>
          <w:sz w:val="18"/>
          <w:szCs w:val="18"/>
        </w:rPr>
        <w:t xml:space="preserve"> par les </w:t>
      </w:r>
      <w:r w:rsidR="00875F81">
        <w:rPr>
          <w:rFonts w:ascii="Segoe UI" w:hAnsi="Segoe UI" w:cs="Segoe UI"/>
          <w:b/>
          <w:bCs/>
          <w:sz w:val="18"/>
          <w:szCs w:val="18"/>
        </w:rPr>
        <w:t>profits</w:t>
      </w:r>
      <w:r w:rsidR="00BC6BDE">
        <w:rPr>
          <w:rFonts w:ascii="Segoe UI" w:hAnsi="Segoe UI" w:cs="Segoe UI"/>
          <w:b/>
          <w:bCs/>
          <w:sz w:val="18"/>
          <w:szCs w:val="18"/>
        </w:rPr>
        <w:t xml:space="preserve">. </w:t>
      </w:r>
      <w:r w:rsidR="00277A35">
        <w:rPr>
          <w:rFonts w:ascii="Segoe UI" w:hAnsi="Segoe UI" w:cs="Segoe UI"/>
          <w:sz w:val="18"/>
          <w:szCs w:val="18"/>
        </w:rPr>
        <w:t xml:space="preserve">Selon la Banque du Canada, </w:t>
      </w:r>
      <w:r w:rsidR="0066234A">
        <w:rPr>
          <w:rFonts w:ascii="Segoe UI" w:hAnsi="Segoe UI" w:cs="Segoe UI"/>
          <w:sz w:val="18"/>
          <w:szCs w:val="18"/>
        </w:rPr>
        <w:t xml:space="preserve">la croissance du taux de marge </w:t>
      </w:r>
      <w:r w:rsidR="00D97134">
        <w:rPr>
          <w:rFonts w:ascii="Segoe UI" w:hAnsi="Segoe UI" w:cs="Segoe UI"/>
          <w:sz w:val="18"/>
          <w:szCs w:val="18"/>
        </w:rPr>
        <w:t>moyen</w:t>
      </w:r>
      <w:r w:rsidR="00AA6D15">
        <w:rPr>
          <w:rFonts w:ascii="Segoe UI" w:hAnsi="Segoe UI" w:cs="Segoe UI"/>
          <w:sz w:val="18"/>
          <w:szCs w:val="18"/>
        </w:rPr>
        <w:t xml:space="preserve"> </w:t>
      </w:r>
      <w:r w:rsidR="0066234A">
        <w:rPr>
          <w:rFonts w:ascii="Segoe UI" w:hAnsi="Segoe UI" w:cs="Segoe UI"/>
          <w:sz w:val="18"/>
          <w:szCs w:val="18"/>
        </w:rPr>
        <w:t xml:space="preserve">a </w:t>
      </w:r>
      <w:r w:rsidR="00C51B0A">
        <w:rPr>
          <w:rFonts w:ascii="Segoe UI" w:hAnsi="Segoe UI" w:cs="Segoe UI"/>
          <w:sz w:val="18"/>
          <w:szCs w:val="18"/>
        </w:rPr>
        <w:t xml:space="preserve">certes </w:t>
      </w:r>
      <w:r w:rsidR="0066234A">
        <w:rPr>
          <w:rFonts w:ascii="Segoe UI" w:hAnsi="Segoe UI" w:cs="Segoe UI"/>
          <w:sz w:val="18"/>
          <w:szCs w:val="18"/>
        </w:rPr>
        <w:t>triplé au cours de la pandémie (T2 2020-T3 2021), contribuant à 10% du total de l’inflation observé en 2021 (5,1%)</w:t>
      </w:r>
      <w:r w:rsidR="00AA6D15">
        <w:rPr>
          <w:rFonts w:ascii="Segoe UI" w:hAnsi="Segoe UI" w:cs="Segoe UI"/>
          <w:sz w:val="18"/>
          <w:szCs w:val="18"/>
        </w:rPr>
        <w:t xml:space="preserve">. </w:t>
      </w:r>
      <w:r w:rsidR="00C51B0A">
        <w:rPr>
          <w:rFonts w:ascii="Segoe UI" w:hAnsi="Segoe UI" w:cs="Segoe UI"/>
          <w:sz w:val="18"/>
          <w:szCs w:val="18"/>
        </w:rPr>
        <w:t>Mais</w:t>
      </w:r>
      <w:r w:rsidR="00AA6D15">
        <w:rPr>
          <w:rFonts w:ascii="Segoe UI" w:hAnsi="Segoe UI" w:cs="Segoe UI"/>
          <w:sz w:val="18"/>
          <w:szCs w:val="18"/>
        </w:rPr>
        <w:t xml:space="preserve"> la croissance des marges </w:t>
      </w:r>
      <w:r w:rsidR="00CE6979">
        <w:rPr>
          <w:rFonts w:ascii="Segoe UI" w:hAnsi="Segoe UI" w:cs="Segoe UI"/>
          <w:sz w:val="18"/>
          <w:szCs w:val="18"/>
        </w:rPr>
        <w:t xml:space="preserve">a commencé à diminuer </w:t>
      </w:r>
      <w:r w:rsidR="00E97C6E">
        <w:rPr>
          <w:rFonts w:ascii="Segoe UI" w:hAnsi="Segoe UI" w:cs="Segoe UI"/>
          <w:sz w:val="18"/>
          <w:szCs w:val="18"/>
        </w:rPr>
        <w:t xml:space="preserve">à compter </w:t>
      </w:r>
      <w:r w:rsidR="00CE6979">
        <w:rPr>
          <w:rFonts w:ascii="Segoe UI" w:hAnsi="Segoe UI" w:cs="Segoe UI"/>
          <w:sz w:val="18"/>
          <w:szCs w:val="18"/>
        </w:rPr>
        <w:t xml:space="preserve">du </w:t>
      </w:r>
      <w:r w:rsidR="00E97C6E">
        <w:rPr>
          <w:rFonts w:ascii="Segoe UI" w:hAnsi="Segoe UI" w:cs="Segoe UI"/>
          <w:sz w:val="18"/>
          <w:szCs w:val="18"/>
        </w:rPr>
        <w:t>T2</w:t>
      </w:r>
      <w:r w:rsidR="00CE6979">
        <w:rPr>
          <w:rFonts w:ascii="Segoe UI" w:hAnsi="Segoe UI" w:cs="Segoe UI"/>
          <w:sz w:val="18"/>
          <w:szCs w:val="18"/>
        </w:rPr>
        <w:t xml:space="preserve"> 2021, lorsque l’inflation </w:t>
      </w:r>
      <w:r w:rsidR="00C51B0A">
        <w:rPr>
          <w:rFonts w:ascii="Segoe UI" w:hAnsi="Segoe UI" w:cs="Segoe UI"/>
          <w:sz w:val="18"/>
          <w:szCs w:val="18"/>
        </w:rPr>
        <w:t>a commencé à s’emballer</w:t>
      </w:r>
      <w:r w:rsidR="001A473D">
        <w:rPr>
          <w:rFonts w:ascii="Segoe UI" w:hAnsi="Segoe UI" w:cs="Segoe UI"/>
          <w:sz w:val="18"/>
          <w:szCs w:val="18"/>
        </w:rPr>
        <w:t>, avant d’</w:t>
      </w:r>
      <w:r w:rsidR="00F702C0">
        <w:rPr>
          <w:rFonts w:ascii="Segoe UI" w:hAnsi="Segoe UI" w:cs="Segoe UI"/>
          <w:sz w:val="18"/>
          <w:szCs w:val="18"/>
        </w:rPr>
        <w:t>oscill</w:t>
      </w:r>
      <w:r w:rsidR="001A473D">
        <w:rPr>
          <w:rFonts w:ascii="Segoe UI" w:hAnsi="Segoe UI" w:cs="Segoe UI"/>
          <w:sz w:val="18"/>
          <w:szCs w:val="18"/>
        </w:rPr>
        <w:t>er</w:t>
      </w:r>
      <w:r w:rsidR="00F702C0">
        <w:rPr>
          <w:rFonts w:ascii="Segoe UI" w:hAnsi="Segoe UI" w:cs="Segoe UI"/>
          <w:sz w:val="18"/>
          <w:szCs w:val="18"/>
        </w:rPr>
        <w:t xml:space="preserve"> entre 0% et 0,5% lors du pic </w:t>
      </w:r>
      <w:r w:rsidR="00223174">
        <w:rPr>
          <w:rFonts w:ascii="Segoe UI" w:hAnsi="Segoe UI" w:cs="Segoe UI"/>
          <w:sz w:val="18"/>
          <w:szCs w:val="18"/>
        </w:rPr>
        <w:t>d</w:t>
      </w:r>
      <w:r w:rsidR="00F702C0">
        <w:rPr>
          <w:rFonts w:ascii="Segoe UI" w:hAnsi="Segoe UI" w:cs="Segoe UI"/>
          <w:sz w:val="18"/>
          <w:szCs w:val="18"/>
        </w:rPr>
        <w:t>’inflation en 2022</w:t>
      </w:r>
      <w:r w:rsidR="00A553AD">
        <w:rPr>
          <w:rFonts w:ascii="Segoe UI" w:hAnsi="Segoe UI" w:cs="Segoe UI"/>
          <w:sz w:val="18"/>
          <w:szCs w:val="18"/>
        </w:rPr>
        <w:t xml:space="preserve"> (6,8% d’inflation en moyenne)</w:t>
      </w:r>
      <w:r w:rsidR="00C51B0A">
        <w:rPr>
          <w:rFonts w:ascii="Segoe UI" w:hAnsi="Segoe UI" w:cs="Segoe UI"/>
          <w:sz w:val="18"/>
          <w:szCs w:val="18"/>
        </w:rPr>
        <w:t>,</w:t>
      </w:r>
      <w:r w:rsidR="00534E6C">
        <w:rPr>
          <w:rFonts w:ascii="Segoe UI" w:hAnsi="Segoe UI" w:cs="Segoe UI"/>
          <w:sz w:val="18"/>
          <w:szCs w:val="18"/>
        </w:rPr>
        <w:t xml:space="preserve"> </w:t>
      </w:r>
      <w:r w:rsidR="001A473D">
        <w:rPr>
          <w:rFonts w:ascii="Segoe UI" w:hAnsi="Segoe UI" w:cs="Segoe UI"/>
          <w:sz w:val="18"/>
          <w:szCs w:val="18"/>
        </w:rPr>
        <w:t>puis</w:t>
      </w:r>
      <w:r w:rsidR="00534E6C">
        <w:rPr>
          <w:rFonts w:ascii="Segoe UI" w:hAnsi="Segoe UI" w:cs="Segoe UI"/>
          <w:sz w:val="18"/>
          <w:szCs w:val="18"/>
        </w:rPr>
        <w:t xml:space="preserve"> de reculer de 1% au </w:t>
      </w:r>
      <w:r w:rsidR="00E97C6E">
        <w:rPr>
          <w:rFonts w:ascii="Segoe UI" w:hAnsi="Segoe UI" w:cs="Segoe UI"/>
          <w:sz w:val="18"/>
          <w:szCs w:val="18"/>
        </w:rPr>
        <w:t>T1</w:t>
      </w:r>
      <w:r w:rsidR="00534E6C">
        <w:rPr>
          <w:rFonts w:ascii="Segoe UI" w:hAnsi="Segoe UI" w:cs="Segoe UI"/>
          <w:sz w:val="18"/>
          <w:szCs w:val="18"/>
        </w:rPr>
        <w:t xml:space="preserve"> 2023.</w:t>
      </w:r>
      <w:r w:rsidR="00C024C5">
        <w:rPr>
          <w:rFonts w:ascii="Segoe UI" w:hAnsi="Segoe UI" w:cs="Segoe UI"/>
          <w:sz w:val="18"/>
          <w:szCs w:val="18"/>
        </w:rPr>
        <w:t xml:space="preserve"> </w:t>
      </w:r>
      <w:r w:rsidR="008706F6">
        <w:rPr>
          <w:rFonts w:ascii="Segoe UI" w:hAnsi="Segoe UI" w:cs="Segoe UI"/>
          <w:sz w:val="18"/>
          <w:szCs w:val="18"/>
        </w:rPr>
        <w:t>Ainsi</w:t>
      </w:r>
      <w:r w:rsidR="00C024C5">
        <w:rPr>
          <w:rFonts w:ascii="Segoe UI" w:hAnsi="Segoe UI" w:cs="Segoe UI"/>
          <w:sz w:val="18"/>
          <w:szCs w:val="18"/>
        </w:rPr>
        <w:t xml:space="preserve">, </w:t>
      </w:r>
      <w:r w:rsidR="00E97C6E">
        <w:rPr>
          <w:rFonts w:ascii="Segoe UI" w:hAnsi="Segoe UI" w:cs="Segoe UI"/>
          <w:sz w:val="18"/>
          <w:szCs w:val="18"/>
        </w:rPr>
        <w:t xml:space="preserve">selon la Banque du Canada, </w:t>
      </w:r>
      <w:r w:rsidR="00C024C5">
        <w:rPr>
          <w:rFonts w:ascii="Segoe UI" w:hAnsi="Segoe UI" w:cs="Segoe UI"/>
          <w:sz w:val="18"/>
          <w:szCs w:val="18"/>
        </w:rPr>
        <w:t>l</w:t>
      </w:r>
      <w:r w:rsidR="00C024C5" w:rsidRPr="00C024C5">
        <w:rPr>
          <w:rFonts w:ascii="Segoe UI" w:hAnsi="Segoe UI" w:cs="Segoe UI"/>
          <w:sz w:val="18"/>
          <w:szCs w:val="18"/>
        </w:rPr>
        <w:t>e fait que la croissance des taux de marge n'ait pas été alignée sur la dynamique de l'inflation indique que la hausse de l'inflation</w:t>
      </w:r>
      <w:r w:rsidR="00FA6B8E">
        <w:rPr>
          <w:rFonts w:ascii="Segoe UI" w:hAnsi="Segoe UI" w:cs="Segoe UI"/>
          <w:sz w:val="18"/>
          <w:szCs w:val="18"/>
        </w:rPr>
        <w:t xml:space="preserve"> sur la période 2021-2022</w:t>
      </w:r>
      <w:r w:rsidR="00C024C5" w:rsidRPr="00C024C5">
        <w:rPr>
          <w:rFonts w:ascii="Segoe UI" w:hAnsi="Segoe UI" w:cs="Segoe UI"/>
          <w:sz w:val="18"/>
          <w:szCs w:val="18"/>
        </w:rPr>
        <w:t xml:space="preserve"> </w:t>
      </w:r>
      <w:r w:rsidR="00721B97">
        <w:rPr>
          <w:rFonts w:ascii="Segoe UI" w:hAnsi="Segoe UI" w:cs="Segoe UI"/>
          <w:sz w:val="18"/>
          <w:szCs w:val="18"/>
        </w:rPr>
        <w:t>est</w:t>
      </w:r>
      <w:r w:rsidR="00C024C5" w:rsidRPr="00C024C5">
        <w:rPr>
          <w:rFonts w:ascii="Segoe UI" w:hAnsi="Segoe UI" w:cs="Segoe UI"/>
          <w:sz w:val="18"/>
          <w:szCs w:val="18"/>
        </w:rPr>
        <w:t xml:space="preserve"> principalement due à </w:t>
      </w:r>
      <w:r w:rsidR="00811C33">
        <w:rPr>
          <w:rFonts w:ascii="Segoe UI" w:hAnsi="Segoe UI" w:cs="Segoe UI"/>
          <w:sz w:val="18"/>
          <w:szCs w:val="18"/>
        </w:rPr>
        <w:t>l’augmentation du</w:t>
      </w:r>
      <w:r w:rsidR="00C024C5" w:rsidRPr="00C024C5">
        <w:rPr>
          <w:rFonts w:ascii="Segoe UI" w:hAnsi="Segoe UI" w:cs="Segoe UI"/>
          <w:sz w:val="18"/>
          <w:szCs w:val="18"/>
        </w:rPr>
        <w:t xml:space="preserve"> coût</w:t>
      </w:r>
      <w:r w:rsidR="00811C33">
        <w:rPr>
          <w:rFonts w:ascii="Segoe UI" w:hAnsi="Segoe UI" w:cs="Segoe UI"/>
          <w:sz w:val="18"/>
          <w:szCs w:val="18"/>
        </w:rPr>
        <w:t xml:space="preserve"> </w:t>
      </w:r>
      <w:r w:rsidR="00526BA3">
        <w:rPr>
          <w:rFonts w:ascii="Segoe UI" w:hAnsi="Segoe UI" w:cs="Segoe UI"/>
          <w:sz w:val="18"/>
          <w:szCs w:val="18"/>
        </w:rPr>
        <w:t>de production</w:t>
      </w:r>
      <w:r w:rsidR="006D6FDC">
        <w:rPr>
          <w:rFonts w:ascii="Segoe UI" w:hAnsi="Segoe UI" w:cs="Segoe UI"/>
          <w:sz w:val="18"/>
          <w:szCs w:val="18"/>
        </w:rPr>
        <w:t xml:space="preserve"> (qui ont augmenté de 50% entre le </w:t>
      </w:r>
      <w:r w:rsidR="008706F6">
        <w:rPr>
          <w:rFonts w:ascii="Segoe UI" w:hAnsi="Segoe UI" w:cs="Segoe UI"/>
          <w:sz w:val="18"/>
          <w:szCs w:val="18"/>
        </w:rPr>
        <w:t>S1</w:t>
      </w:r>
      <w:r w:rsidR="006D6FDC">
        <w:rPr>
          <w:rFonts w:ascii="Segoe UI" w:hAnsi="Segoe UI" w:cs="Segoe UI"/>
          <w:sz w:val="18"/>
          <w:szCs w:val="18"/>
        </w:rPr>
        <w:t xml:space="preserve"> 2021 et le </w:t>
      </w:r>
      <w:r w:rsidR="008706F6">
        <w:rPr>
          <w:rFonts w:ascii="Segoe UI" w:hAnsi="Segoe UI" w:cs="Segoe UI"/>
          <w:sz w:val="18"/>
          <w:szCs w:val="18"/>
        </w:rPr>
        <w:t>S2</w:t>
      </w:r>
      <w:r w:rsidR="006D6FDC">
        <w:rPr>
          <w:rFonts w:ascii="Segoe UI" w:hAnsi="Segoe UI" w:cs="Segoe UI"/>
          <w:sz w:val="18"/>
          <w:szCs w:val="18"/>
        </w:rPr>
        <w:t xml:space="preserve"> 2022)</w:t>
      </w:r>
      <w:r w:rsidR="00F41852">
        <w:rPr>
          <w:rFonts w:ascii="Segoe UI" w:hAnsi="Segoe UI" w:cs="Segoe UI"/>
          <w:sz w:val="18"/>
          <w:szCs w:val="18"/>
        </w:rPr>
        <w:t>,</w:t>
      </w:r>
      <w:r w:rsidR="00C024C5" w:rsidRPr="00C024C5">
        <w:rPr>
          <w:rFonts w:ascii="Segoe UI" w:hAnsi="Segoe UI" w:cs="Segoe UI"/>
          <w:sz w:val="18"/>
          <w:szCs w:val="18"/>
        </w:rPr>
        <w:t xml:space="preserve"> plutôt </w:t>
      </w:r>
      <w:r w:rsidR="008706F6">
        <w:rPr>
          <w:rFonts w:ascii="Segoe UI" w:hAnsi="Segoe UI" w:cs="Segoe UI"/>
          <w:sz w:val="18"/>
          <w:szCs w:val="18"/>
        </w:rPr>
        <w:t>qu’au</w:t>
      </w:r>
      <w:r w:rsidR="00C024C5" w:rsidRPr="00C024C5">
        <w:rPr>
          <w:rFonts w:ascii="Segoe UI" w:hAnsi="Segoe UI" w:cs="Segoe UI"/>
          <w:sz w:val="18"/>
          <w:szCs w:val="18"/>
        </w:rPr>
        <w:t xml:space="preserve"> pouvoir de marché </w:t>
      </w:r>
      <w:r w:rsidR="00662811">
        <w:rPr>
          <w:rFonts w:ascii="Segoe UI" w:hAnsi="Segoe UI" w:cs="Segoe UI"/>
          <w:sz w:val="18"/>
          <w:szCs w:val="18"/>
        </w:rPr>
        <w:t>des entreprises</w:t>
      </w:r>
      <w:r w:rsidR="00C75679">
        <w:rPr>
          <w:rFonts w:ascii="Segoe UI" w:hAnsi="Segoe UI" w:cs="Segoe UI"/>
          <w:sz w:val="18"/>
          <w:szCs w:val="18"/>
        </w:rPr>
        <w:t xml:space="preserve"> (</w:t>
      </w:r>
      <w:r w:rsidR="00C75679" w:rsidRPr="003F3BAF">
        <w:rPr>
          <w:rFonts w:ascii="Segoe UI" w:hAnsi="Segoe UI" w:cs="Segoe UI"/>
          <w:i/>
          <w:iCs/>
          <w:sz w:val="18"/>
          <w:szCs w:val="18"/>
        </w:rPr>
        <w:t xml:space="preserve">Annexe </w:t>
      </w:r>
      <w:r w:rsidR="000D7662">
        <w:rPr>
          <w:rFonts w:ascii="Segoe UI" w:hAnsi="Segoe UI" w:cs="Segoe UI"/>
          <w:i/>
          <w:iCs/>
          <w:sz w:val="18"/>
          <w:szCs w:val="18"/>
        </w:rPr>
        <w:t>I</w:t>
      </w:r>
      <w:r w:rsidR="00115D2E">
        <w:rPr>
          <w:rFonts w:ascii="Segoe UI" w:hAnsi="Segoe UI" w:cs="Segoe UI"/>
          <w:i/>
          <w:iCs/>
          <w:sz w:val="18"/>
          <w:szCs w:val="18"/>
        </w:rPr>
        <w:t>I</w:t>
      </w:r>
      <w:r w:rsidR="000D7662">
        <w:rPr>
          <w:rFonts w:ascii="Segoe UI" w:hAnsi="Segoe UI" w:cs="Segoe UI"/>
          <w:i/>
          <w:iCs/>
          <w:sz w:val="18"/>
          <w:szCs w:val="18"/>
        </w:rPr>
        <w:t>I</w:t>
      </w:r>
      <w:r w:rsidR="00C75679">
        <w:rPr>
          <w:rFonts w:ascii="Segoe UI" w:hAnsi="Segoe UI" w:cs="Segoe UI"/>
          <w:sz w:val="18"/>
          <w:szCs w:val="18"/>
        </w:rPr>
        <w:t>)</w:t>
      </w:r>
      <w:r w:rsidR="00C024C5" w:rsidRPr="00C024C5">
        <w:rPr>
          <w:rFonts w:ascii="Segoe UI" w:hAnsi="Segoe UI" w:cs="Segoe UI"/>
          <w:sz w:val="18"/>
          <w:szCs w:val="18"/>
        </w:rPr>
        <w:t>.</w:t>
      </w:r>
      <w:r w:rsidR="003B1141">
        <w:rPr>
          <w:rFonts w:ascii="Segoe UI" w:hAnsi="Segoe UI" w:cs="Segoe UI"/>
          <w:sz w:val="18"/>
          <w:szCs w:val="18"/>
        </w:rPr>
        <w:t xml:space="preserve"> </w:t>
      </w:r>
      <w:r w:rsidR="00501182">
        <w:rPr>
          <w:rFonts w:ascii="Segoe UI" w:hAnsi="Segoe UI" w:cs="Segoe UI"/>
          <w:sz w:val="18"/>
          <w:szCs w:val="18"/>
        </w:rPr>
        <w:t xml:space="preserve">Cette étude corrobore </w:t>
      </w:r>
      <w:r w:rsidR="00394C97">
        <w:rPr>
          <w:rFonts w:ascii="Segoe UI" w:hAnsi="Segoe UI" w:cs="Segoe UI"/>
          <w:sz w:val="18"/>
          <w:szCs w:val="18"/>
        </w:rPr>
        <w:t xml:space="preserve">une autre </w:t>
      </w:r>
      <w:r w:rsidR="00491D6F">
        <w:rPr>
          <w:rFonts w:ascii="Segoe UI" w:hAnsi="Segoe UI" w:cs="Segoe UI"/>
          <w:sz w:val="18"/>
          <w:szCs w:val="18"/>
        </w:rPr>
        <w:t xml:space="preserve">publiée un mois plus tôt, par </w:t>
      </w:r>
      <w:r w:rsidR="00501182">
        <w:rPr>
          <w:rFonts w:ascii="Segoe UI" w:hAnsi="Segoe UI" w:cs="Segoe UI"/>
          <w:sz w:val="18"/>
          <w:szCs w:val="18"/>
        </w:rPr>
        <w:t xml:space="preserve">Statistique Canada, </w:t>
      </w:r>
      <w:r w:rsidR="001E3A57">
        <w:rPr>
          <w:rFonts w:ascii="Segoe UI" w:hAnsi="Segoe UI" w:cs="Segoe UI"/>
          <w:sz w:val="18"/>
          <w:szCs w:val="18"/>
        </w:rPr>
        <w:t>qui conclu</w:t>
      </w:r>
      <w:r w:rsidR="00E9086A">
        <w:rPr>
          <w:rFonts w:ascii="Segoe UI" w:hAnsi="Segoe UI" w:cs="Segoe UI"/>
          <w:sz w:val="18"/>
          <w:szCs w:val="18"/>
        </w:rPr>
        <w:t>t</w:t>
      </w:r>
      <w:r w:rsidR="001E3A57">
        <w:rPr>
          <w:rFonts w:ascii="Segoe UI" w:hAnsi="Segoe UI" w:cs="Segoe UI"/>
          <w:sz w:val="18"/>
          <w:szCs w:val="18"/>
        </w:rPr>
        <w:t xml:space="preserve"> que ce sont essentiellement les perturbations sur les chaînes d’approvisionnement et les prix de l’énergie qui ont alimenté l’inflation, la hausse </w:t>
      </w:r>
      <w:r w:rsidR="00F41852">
        <w:rPr>
          <w:rFonts w:ascii="Segoe UI" w:hAnsi="Segoe UI" w:cs="Segoe UI"/>
          <w:sz w:val="18"/>
          <w:szCs w:val="18"/>
        </w:rPr>
        <w:t xml:space="preserve">globale </w:t>
      </w:r>
      <w:r w:rsidR="001E3A57">
        <w:rPr>
          <w:rFonts w:ascii="Segoe UI" w:hAnsi="Segoe UI" w:cs="Segoe UI"/>
          <w:sz w:val="18"/>
          <w:szCs w:val="18"/>
        </w:rPr>
        <w:t>des marges bénéficiaire</w:t>
      </w:r>
      <w:r w:rsidR="00EC075E">
        <w:rPr>
          <w:rFonts w:ascii="Segoe UI" w:hAnsi="Segoe UI" w:cs="Segoe UI"/>
          <w:sz w:val="18"/>
          <w:szCs w:val="18"/>
        </w:rPr>
        <w:t>s</w:t>
      </w:r>
      <w:r w:rsidR="001E3A57">
        <w:rPr>
          <w:rFonts w:ascii="Segoe UI" w:hAnsi="Segoe UI" w:cs="Segoe UI"/>
          <w:sz w:val="18"/>
          <w:szCs w:val="18"/>
        </w:rPr>
        <w:t xml:space="preserve"> </w:t>
      </w:r>
      <w:r w:rsidR="00491D6F">
        <w:rPr>
          <w:rFonts w:ascii="Segoe UI" w:hAnsi="Segoe UI" w:cs="Segoe UI"/>
          <w:sz w:val="18"/>
          <w:szCs w:val="18"/>
        </w:rPr>
        <w:t xml:space="preserve">résultant principalement de celles enregistrées dans </w:t>
      </w:r>
      <w:r w:rsidR="00BE0AE2">
        <w:rPr>
          <w:rFonts w:ascii="Segoe UI" w:hAnsi="Segoe UI" w:cs="Segoe UI"/>
          <w:sz w:val="18"/>
          <w:szCs w:val="18"/>
        </w:rPr>
        <w:t xml:space="preserve">le secteur énergétique </w:t>
      </w:r>
      <w:r w:rsidR="00491D6F">
        <w:rPr>
          <w:rFonts w:ascii="Segoe UI" w:hAnsi="Segoe UI" w:cs="Segoe UI"/>
          <w:sz w:val="18"/>
          <w:szCs w:val="18"/>
        </w:rPr>
        <w:t>grâce à la hausse des cours</w:t>
      </w:r>
      <w:r w:rsidR="00BE0AE2">
        <w:rPr>
          <w:rFonts w:ascii="Segoe UI" w:hAnsi="Segoe UI" w:cs="Segoe UI"/>
          <w:sz w:val="18"/>
          <w:szCs w:val="18"/>
        </w:rPr>
        <w:t xml:space="preserve"> mondiaux. </w:t>
      </w:r>
    </w:p>
    <w:p w14:paraId="13C74D52" w14:textId="749A3EE2" w:rsidR="00447EAB" w:rsidRDefault="0048787B" w:rsidP="001534FA">
      <w:pPr>
        <w:spacing w:after="60"/>
        <w:jc w:val="both"/>
        <w:rPr>
          <w:rFonts w:ascii="Segoe UI" w:hAnsi="Segoe UI" w:cs="Segoe UI"/>
          <w:sz w:val="18"/>
          <w:szCs w:val="18"/>
        </w:rPr>
      </w:pPr>
      <w:r>
        <w:rPr>
          <w:rFonts w:ascii="Segoe UI" w:hAnsi="Segoe UI" w:cs="Segoe UI"/>
          <w:b/>
          <w:bCs/>
          <w:sz w:val="18"/>
          <w:szCs w:val="18"/>
        </w:rPr>
        <w:t xml:space="preserve">Le </w:t>
      </w:r>
      <w:r w:rsidR="00F46371">
        <w:rPr>
          <w:rFonts w:ascii="Segoe UI" w:hAnsi="Segoe UI" w:cs="Segoe UI"/>
          <w:b/>
          <w:bCs/>
          <w:sz w:val="18"/>
          <w:szCs w:val="18"/>
        </w:rPr>
        <w:t>B</w:t>
      </w:r>
      <w:r>
        <w:rPr>
          <w:rFonts w:ascii="Segoe UI" w:hAnsi="Segoe UI" w:cs="Segoe UI"/>
          <w:b/>
          <w:bCs/>
          <w:sz w:val="18"/>
          <w:szCs w:val="18"/>
        </w:rPr>
        <w:t xml:space="preserve">ureau de la concurrence </w:t>
      </w:r>
      <w:r w:rsidR="00F46371">
        <w:rPr>
          <w:rFonts w:ascii="Segoe UI" w:hAnsi="Segoe UI" w:cs="Segoe UI"/>
          <w:b/>
          <w:bCs/>
          <w:sz w:val="18"/>
          <w:szCs w:val="18"/>
        </w:rPr>
        <w:t>a souligné en revanche</w:t>
      </w:r>
      <w:r>
        <w:rPr>
          <w:rFonts w:ascii="Segoe UI" w:hAnsi="Segoe UI" w:cs="Segoe UI"/>
          <w:b/>
          <w:bCs/>
          <w:sz w:val="18"/>
          <w:szCs w:val="18"/>
        </w:rPr>
        <w:t xml:space="preserve"> l</w:t>
      </w:r>
      <w:r w:rsidR="00F41852">
        <w:rPr>
          <w:rFonts w:ascii="Segoe UI" w:hAnsi="Segoe UI" w:cs="Segoe UI"/>
          <w:b/>
          <w:bCs/>
          <w:sz w:val="18"/>
          <w:szCs w:val="18"/>
        </w:rPr>
        <w:t xml:space="preserve">e rôle joué par la </w:t>
      </w:r>
      <w:r>
        <w:rPr>
          <w:rFonts w:ascii="Segoe UI" w:hAnsi="Segoe UI" w:cs="Segoe UI"/>
          <w:b/>
          <w:bCs/>
          <w:sz w:val="18"/>
          <w:szCs w:val="18"/>
        </w:rPr>
        <w:t xml:space="preserve">détérioration </w:t>
      </w:r>
      <w:r w:rsidR="00F41852">
        <w:rPr>
          <w:rFonts w:ascii="Segoe UI" w:hAnsi="Segoe UI" w:cs="Segoe UI"/>
          <w:b/>
          <w:bCs/>
          <w:sz w:val="18"/>
          <w:szCs w:val="18"/>
        </w:rPr>
        <w:t>progressive</w:t>
      </w:r>
      <w:r w:rsidR="00F46371">
        <w:rPr>
          <w:rFonts w:ascii="Segoe UI" w:hAnsi="Segoe UI" w:cs="Segoe UI"/>
          <w:b/>
          <w:bCs/>
          <w:sz w:val="18"/>
          <w:szCs w:val="18"/>
        </w:rPr>
        <w:t xml:space="preserve"> </w:t>
      </w:r>
      <w:r>
        <w:rPr>
          <w:rFonts w:ascii="Segoe UI" w:hAnsi="Segoe UI" w:cs="Segoe UI"/>
          <w:b/>
          <w:bCs/>
          <w:sz w:val="18"/>
          <w:szCs w:val="18"/>
        </w:rPr>
        <w:t xml:space="preserve">de la concurrence </w:t>
      </w:r>
      <w:r w:rsidR="00F46371">
        <w:rPr>
          <w:rFonts w:ascii="Segoe UI" w:hAnsi="Segoe UI" w:cs="Segoe UI"/>
          <w:b/>
          <w:bCs/>
          <w:sz w:val="18"/>
          <w:szCs w:val="18"/>
        </w:rPr>
        <w:t>au Canada</w:t>
      </w:r>
      <w:r>
        <w:rPr>
          <w:rFonts w:ascii="Segoe UI" w:hAnsi="Segoe UI" w:cs="Segoe UI"/>
          <w:b/>
          <w:bCs/>
          <w:sz w:val="18"/>
          <w:szCs w:val="18"/>
        </w:rPr>
        <w:t xml:space="preserve">. </w:t>
      </w:r>
      <w:r w:rsidRPr="0052098A">
        <w:rPr>
          <w:rFonts w:ascii="Segoe UI" w:hAnsi="Segoe UI" w:cs="Segoe UI"/>
          <w:sz w:val="18"/>
          <w:szCs w:val="18"/>
        </w:rPr>
        <w:t>Un rapport du Bureau de concurrence d’octobre 2023 montre que les indicateurs structurels de mesure de la concurrence</w:t>
      </w:r>
      <w:r w:rsidR="00D92812">
        <w:rPr>
          <w:rFonts w:ascii="Segoe UI" w:hAnsi="Segoe UI" w:cs="Segoe UI"/>
          <w:sz w:val="18"/>
          <w:szCs w:val="18"/>
        </w:rPr>
        <w:t xml:space="preserve"> </w:t>
      </w:r>
      <w:r w:rsidRPr="0052098A">
        <w:rPr>
          <w:rFonts w:ascii="Segoe UI" w:hAnsi="Segoe UI" w:cs="Segoe UI"/>
          <w:sz w:val="18"/>
          <w:szCs w:val="18"/>
        </w:rPr>
        <w:lastRenderedPageBreak/>
        <w:t xml:space="preserve">se sont détériorés sur les </w:t>
      </w:r>
      <w:r w:rsidR="00380779">
        <w:rPr>
          <w:rFonts w:ascii="Segoe UI" w:hAnsi="Segoe UI" w:cs="Segoe UI"/>
          <w:sz w:val="18"/>
          <w:szCs w:val="18"/>
        </w:rPr>
        <w:t>vingt</w:t>
      </w:r>
      <w:r w:rsidRPr="0052098A">
        <w:rPr>
          <w:rFonts w:ascii="Segoe UI" w:hAnsi="Segoe UI" w:cs="Segoe UI"/>
          <w:sz w:val="18"/>
          <w:szCs w:val="18"/>
        </w:rPr>
        <w:t xml:space="preserve"> dernières années</w:t>
      </w:r>
      <w:r w:rsidR="00A07697">
        <w:rPr>
          <w:rFonts w:ascii="Segoe UI" w:hAnsi="Segoe UI" w:cs="Segoe UI"/>
          <w:sz w:val="18"/>
          <w:szCs w:val="18"/>
        </w:rPr>
        <w:t xml:space="preserve"> </w:t>
      </w:r>
      <w:r>
        <w:rPr>
          <w:rFonts w:ascii="Segoe UI" w:hAnsi="Segoe UI" w:cs="Segoe UI"/>
          <w:sz w:val="18"/>
          <w:szCs w:val="18"/>
        </w:rPr>
        <w:t xml:space="preserve">: </w:t>
      </w:r>
      <w:r w:rsidR="00D92812">
        <w:rPr>
          <w:rFonts w:ascii="Segoe UI" w:hAnsi="Segoe UI" w:cs="Segoe UI"/>
          <w:sz w:val="18"/>
          <w:szCs w:val="18"/>
        </w:rPr>
        <w:t>entre 2005 et 2018, l</w:t>
      </w:r>
      <w:r w:rsidR="00D92812" w:rsidRPr="00D92812">
        <w:rPr>
          <w:rFonts w:ascii="Segoe UI" w:hAnsi="Segoe UI" w:cs="Segoe UI"/>
          <w:sz w:val="18"/>
          <w:szCs w:val="18"/>
        </w:rPr>
        <w:t>a part des industries considérées comme « fortement concentrée</w:t>
      </w:r>
      <w:r w:rsidR="004B1220">
        <w:rPr>
          <w:rFonts w:ascii="Segoe UI" w:hAnsi="Segoe UI" w:cs="Segoe UI"/>
          <w:sz w:val="18"/>
          <w:szCs w:val="18"/>
        </w:rPr>
        <w:t>s</w:t>
      </w:r>
      <w:r w:rsidR="00D92812">
        <w:rPr>
          <w:rFonts w:ascii="Segoe UI" w:hAnsi="Segoe UI" w:cs="Segoe UI"/>
          <w:sz w:val="18"/>
          <w:szCs w:val="18"/>
        </w:rPr>
        <w:t xml:space="preserve"> » par </w:t>
      </w:r>
      <w:r w:rsidR="00D92812" w:rsidRPr="00D92812">
        <w:rPr>
          <w:rFonts w:ascii="Segoe UI" w:hAnsi="Segoe UI" w:cs="Segoe UI"/>
          <w:sz w:val="18"/>
          <w:szCs w:val="18"/>
        </w:rPr>
        <w:t>l’indice de Herfindahl-Hirschman (IHH) est passée de 6,3% à 9%</w:t>
      </w:r>
      <w:r w:rsidR="004B1220">
        <w:rPr>
          <w:rFonts w:ascii="Segoe UI" w:hAnsi="Segoe UI" w:cs="Segoe UI"/>
          <w:sz w:val="18"/>
          <w:szCs w:val="18"/>
        </w:rPr>
        <w:t>. Sur quasiment la même période (</w:t>
      </w:r>
      <w:r w:rsidR="004B1220" w:rsidRPr="00491D6F">
        <w:rPr>
          <w:rFonts w:ascii="Segoe UI" w:hAnsi="Segoe UI" w:cs="Segoe UI"/>
          <w:i/>
          <w:iCs/>
          <w:sz w:val="18"/>
          <w:szCs w:val="18"/>
        </w:rPr>
        <w:t>i.e.</w:t>
      </w:r>
      <w:r w:rsidR="004B1220">
        <w:rPr>
          <w:rFonts w:ascii="Segoe UI" w:hAnsi="Segoe UI" w:cs="Segoe UI"/>
          <w:sz w:val="18"/>
          <w:szCs w:val="18"/>
        </w:rPr>
        <w:t xml:space="preserve"> </w:t>
      </w:r>
      <w:r w:rsidR="00D92812" w:rsidRPr="00D92812">
        <w:rPr>
          <w:rFonts w:ascii="Segoe UI" w:hAnsi="Segoe UI" w:cs="Segoe UI"/>
          <w:sz w:val="18"/>
          <w:szCs w:val="18"/>
        </w:rPr>
        <w:t>2003-2020</w:t>
      </w:r>
      <w:r w:rsidR="004B1220">
        <w:rPr>
          <w:rFonts w:ascii="Segoe UI" w:hAnsi="Segoe UI" w:cs="Segoe UI"/>
          <w:sz w:val="18"/>
          <w:szCs w:val="18"/>
        </w:rPr>
        <w:t>)</w:t>
      </w:r>
      <w:r w:rsidR="00D92812" w:rsidRPr="00D92812">
        <w:rPr>
          <w:rFonts w:ascii="Segoe UI" w:hAnsi="Segoe UI" w:cs="Segoe UI"/>
          <w:sz w:val="18"/>
          <w:szCs w:val="18"/>
        </w:rPr>
        <w:t>, le nombre moyen d’entreprises qui se hissaient d’année en année dans le top 10 du classement des bénéfices réalisées au sein de leur industrie est passé de 4 à 5,5, ce qui signifie que les grandes entreprises d’un secteur subissent moins de concurrence en 2020 qu’en 2003 (</w:t>
      </w:r>
      <w:r w:rsidR="00D92812" w:rsidRPr="00851824">
        <w:rPr>
          <w:rFonts w:ascii="Segoe UI" w:hAnsi="Segoe UI" w:cs="Segoe UI"/>
          <w:i/>
          <w:iCs/>
          <w:sz w:val="18"/>
          <w:szCs w:val="18"/>
        </w:rPr>
        <w:t>Annexe I</w:t>
      </w:r>
      <w:r w:rsidR="002B6B9A">
        <w:rPr>
          <w:rFonts w:ascii="Segoe UI" w:hAnsi="Segoe UI" w:cs="Segoe UI"/>
          <w:i/>
          <w:iCs/>
          <w:sz w:val="18"/>
          <w:szCs w:val="18"/>
        </w:rPr>
        <w:t>V</w:t>
      </w:r>
      <w:r w:rsidR="00D92812">
        <w:rPr>
          <w:rFonts w:ascii="Segoe UI" w:hAnsi="Segoe UI" w:cs="Segoe UI"/>
          <w:sz w:val="18"/>
          <w:szCs w:val="18"/>
        </w:rPr>
        <w:t xml:space="preserve">). </w:t>
      </w:r>
      <w:r w:rsidR="004B1220">
        <w:rPr>
          <w:rFonts w:ascii="Segoe UI" w:hAnsi="Segoe UI" w:cs="Segoe UI"/>
          <w:sz w:val="18"/>
          <w:szCs w:val="18"/>
        </w:rPr>
        <w:t>Or, cette dégradation de l’environnement concurrentiel est allée de pair avec</w:t>
      </w:r>
      <w:r w:rsidR="00D92812">
        <w:rPr>
          <w:rFonts w:ascii="Segoe UI" w:hAnsi="Segoe UI" w:cs="Segoe UI"/>
          <w:sz w:val="18"/>
          <w:szCs w:val="18"/>
        </w:rPr>
        <w:t xml:space="preserve"> </w:t>
      </w:r>
      <w:r w:rsidR="00D92812" w:rsidRPr="00D92812">
        <w:rPr>
          <w:rFonts w:ascii="Segoe UI" w:hAnsi="Segoe UI" w:cs="Segoe UI"/>
          <w:sz w:val="18"/>
          <w:szCs w:val="18"/>
        </w:rPr>
        <w:t>l</w:t>
      </w:r>
      <w:r w:rsidR="00D92812">
        <w:rPr>
          <w:rFonts w:ascii="Segoe UI" w:hAnsi="Segoe UI" w:cs="Segoe UI"/>
          <w:sz w:val="18"/>
          <w:szCs w:val="18"/>
        </w:rPr>
        <w:t>’augmentation du</w:t>
      </w:r>
      <w:r w:rsidR="00D92812" w:rsidRPr="00D92812">
        <w:rPr>
          <w:rFonts w:ascii="Segoe UI" w:hAnsi="Segoe UI" w:cs="Segoe UI"/>
          <w:sz w:val="18"/>
          <w:szCs w:val="18"/>
        </w:rPr>
        <w:t xml:space="preserve"> taux de marge moyen</w:t>
      </w:r>
      <w:r w:rsidR="00D92812">
        <w:rPr>
          <w:rFonts w:ascii="Segoe UI" w:hAnsi="Segoe UI" w:cs="Segoe UI"/>
          <w:sz w:val="18"/>
          <w:szCs w:val="18"/>
        </w:rPr>
        <w:t xml:space="preserve"> sur la période</w:t>
      </w:r>
      <w:r w:rsidR="000E0987">
        <w:rPr>
          <w:rFonts w:ascii="Segoe UI" w:hAnsi="Segoe UI" w:cs="Segoe UI"/>
          <w:sz w:val="18"/>
          <w:szCs w:val="18"/>
        </w:rPr>
        <w:t xml:space="preserve">, augmentation plus </w:t>
      </w:r>
      <w:r w:rsidR="00D92812">
        <w:rPr>
          <w:rFonts w:ascii="Segoe UI" w:hAnsi="Segoe UI" w:cs="Segoe UI"/>
          <w:sz w:val="18"/>
          <w:szCs w:val="18"/>
        </w:rPr>
        <w:t xml:space="preserve">forte </w:t>
      </w:r>
      <w:r w:rsidR="000E0987">
        <w:rPr>
          <w:rFonts w:ascii="Segoe UI" w:hAnsi="Segoe UI" w:cs="Segoe UI"/>
          <w:sz w:val="18"/>
          <w:szCs w:val="18"/>
        </w:rPr>
        <w:t>dans</w:t>
      </w:r>
      <w:r w:rsidR="00D92812">
        <w:rPr>
          <w:rFonts w:ascii="Segoe UI" w:hAnsi="Segoe UI" w:cs="Segoe UI"/>
          <w:sz w:val="18"/>
          <w:szCs w:val="18"/>
        </w:rPr>
        <w:t xml:space="preserve"> les industries les plus concentrées (+12,5%) que </w:t>
      </w:r>
      <w:r w:rsidR="000E0987">
        <w:rPr>
          <w:rFonts w:ascii="Segoe UI" w:hAnsi="Segoe UI" w:cs="Segoe UI"/>
          <w:sz w:val="18"/>
          <w:szCs w:val="18"/>
        </w:rPr>
        <w:t xml:space="preserve">dans </w:t>
      </w:r>
      <w:r w:rsidR="00D92812">
        <w:rPr>
          <w:rFonts w:ascii="Segoe UI" w:hAnsi="Segoe UI" w:cs="Segoe UI"/>
          <w:sz w:val="18"/>
          <w:szCs w:val="18"/>
        </w:rPr>
        <w:t xml:space="preserve">les </w:t>
      </w:r>
      <w:r w:rsidR="00D92812" w:rsidRPr="00D92812">
        <w:rPr>
          <w:rFonts w:ascii="Segoe UI" w:hAnsi="Segoe UI" w:cs="Segoe UI"/>
          <w:sz w:val="18"/>
          <w:szCs w:val="18"/>
        </w:rPr>
        <w:t>industries moyennement et faiblement concentrées (respectivement 7,6% et</w:t>
      </w:r>
      <w:r w:rsidR="00A07697">
        <w:rPr>
          <w:rFonts w:ascii="Segoe UI" w:hAnsi="Segoe UI" w:cs="Segoe UI"/>
          <w:sz w:val="18"/>
          <w:szCs w:val="18"/>
        </w:rPr>
        <w:t xml:space="preserve"> </w:t>
      </w:r>
      <w:r w:rsidR="00D92812" w:rsidRPr="00D92812">
        <w:rPr>
          <w:rFonts w:ascii="Segoe UI" w:hAnsi="Segoe UI" w:cs="Segoe UI"/>
          <w:sz w:val="18"/>
          <w:szCs w:val="18"/>
        </w:rPr>
        <w:t>2,3%</w:t>
      </w:r>
      <w:r w:rsidR="00D92812">
        <w:rPr>
          <w:rFonts w:ascii="Segoe UI" w:hAnsi="Segoe UI" w:cs="Segoe UI"/>
          <w:sz w:val="18"/>
          <w:szCs w:val="18"/>
        </w:rPr>
        <w:t xml:space="preserve">) </w:t>
      </w:r>
      <w:r w:rsidR="000E0987">
        <w:rPr>
          <w:rFonts w:ascii="Segoe UI" w:hAnsi="Segoe UI" w:cs="Segoe UI"/>
          <w:sz w:val="18"/>
          <w:szCs w:val="18"/>
        </w:rPr>
        <w:t xml:space="preserve">ou </w:t>
      </w:r>
      <w:r w:rsidR="00391519">
        <w:rPr>
          <w:rFonts w:ascii="Segoe UI" w:hAnsi="Segoe UI" w:cs="Segoe UI"/>
          <w:sz w:val="18"/>
          <w:szCs w:val="18"/>
        </w:rPr>
        <w:t xml:space="preserve">que </w:t>
      </w:r>
      <w:r w:rsidR="000E0987">
        <w:rPr>
          <w:rFonts w:ascii="Segoe UI" w:hAnsi="Segoe UI" w:cs="Segoe UI"/>
          <w:sz w:val="18"/>
          <w:szCs w:val="18"/>
        </w:rPr>
        <w:t>dans</w:t>
      </w:r>
      <w:r w:rsidR="00D92812">
        <w:rPr>
          <w:rFonts w:ascii="Segoe UI" w:hAnsi="Segoe UI" w:cs="Segoe UI"/>
          <w:sz w:val="18"/>
          <w:szCs w:val="18"/>
        </w:rPr>
        <w:t xml:space="preserve"> </w:t>
      </w:r>
      <w:r w:rsidR="00D92812" w:rsidRPr="00D92812">
        <w:rPr>
          <w:rFonts w:ascii="Segoe UI" w:hAnsi="Segoe UI" w:cs="Segoe UI"/>
          <w:sz w:val="18"/>
          <w:szCs w:val="18"/>
        </w:rPr>
        <w:t xml:space="preserve">l’ensemble de l’économie </w:t>
      </w:r>
      <w:r w:rsidR="00D92812">
        <w:rPr>
          <w:rFonts w:ascii="Segoe UI" w:hAnsi="Segoe UI" w:cs="Segoe UI"/>
          <w:sz w:val="18"/>
          <w:szCs w:val="18"/>
        </w:rPr>
        <w:t>(+</w:t>
      </w:r>
      <w:r w:rsidR="00D92812" w:rsidRPr="00D92812">
        <w:rPr>
          <w:rFonts w:ascii="Segoe UI" w:hAnsi="Segoe UI" w:cs="Segoe UI"/>
          <w:sz w:val="18"/>
          <w:szCs w:val="18"/>
        </w:rPr>
        <w:t>6,7%</w:t>
      </w:r>
      <w:r w:rsidR="00012775">
        <w:rPr>
          <w:rFonts w:ascii="Segoe UI" w:hAnsi="Segoe UI" w:cs="Segoe UI"/>
          <w:sz w:val="18"/>
          <w:szCs w:val="18"/>
        </w:rPr>
        <w:t xml:space="preserve"> ; </w:t>
      </w:r>
      <w:r w:rsidR="00012775" w:rsidRPr="00A57A5E">
        <w:rPr>
          <w:rFonts w:ascii="Segoe UI" w:hAnsi="Segoe UI" w:cs="Segoe UI"/>
          <w:i/>
          <w:iCs/>
          <w:sz w:val="18"/>
          <w:szCs w:val="18"/>
        </w:rPr>
        <w:t>Annexe V</w:t>
      </w:r>
      <w:r w:rsidR="00012775">
        <w:rPr>
          <w:rFonts w:ascii="Segoe UI" w:hAnsi="Segoe UI" w:cs="Segoe UI"/>
          <w:sz w:val="18"/>
          <w:szCs w:val="18"/>
        </w:rPr>
        <w:t>)</w:t>
      </w:r>
      <w:r w:rsidR="00D92812" w:rsidRPr="00D92812">
        <w:rPr>
          <w:rFonts w:ascii="Segoe UI" w:hAnsi="Segoe UI" w:cs="Segoe UI"/>
          <w:sz w:val="18"/>
          <w:szCs w:val="18"/>
        </w:rPr>
        <w:t xml:space="preserve">. </w:t>
      </w:r>
    </w:p>
    <w:p w14:paraId="78103D63" w14:textId="5B722E04" w:rsidR="00DA389E" w:rsidRPr="0088403A" w:rsidRDefault="00DA389E" w:rsidP="00E74E0C">
      <w:pPr>
        <w:spacing w:before="60" w:after="60"/>
        <w:jc w:val="both"/>
      </w:pPr>
      <w:r w:rsidRPr="00EA0B90">
        <w:rPr>
          <w:rFonts w:ascii="Segoe UI" w:hAnsi="Segoe UI" w:cs="Segoe UI"/>
          <w:b/>
          <w:bCs/>
          <w:sz w:val="18"/>
          <w:szCs w:val="18"/>
        </w:rPr>
        <w:t>Ce</w:t>
      </w:r>
      <w:r w:rsidR="00391519">
        <w:rPr>
          <w:rFonts w:ascii="Segoe UI" w:hAnsi="Segoe UI" w:cs="Segoe UI"/>
          <w:b/>
          <w:bCs/>
          <w:sz w:val="18"/>
          <w:szCs w:val="18"/>
        </w:rPr>
        <w:t>s</w:t>
      </w:r>
      <w:r w:rsidRPr="00EA0B90">
        <w:rPr>
          <w:rFonts w:ascii="Segoe UI" w:hAnsi="Segoe UI" w:cs="Segoe UI"/>
          <w:b/>
          <w:bCs/>
          <w:sz w:val="18"/>
          <w:szCs w:val="18"/>
        </w:rPr>
        <w:t xml:space="preserve"> constat</w:t>
      </w:r>
      <w:r w:rsidR="00391519">
        <w:rPr>
          <w:rFonts w:ascii="Segoe UI" w:hAnsi="Segoe UI" w:cs="Segoe UI"/>
          <w:b/>
          <w:bCs/>
          <w:sz w:val="18"/>
          <w:szCs w:val="18"/>
        </w:rPr>
        <w:t>s</w:t>
      </w:r>
      <w:r w:rsidRPr="00EA0B90">
        <w:rPr>
          <w:rFonts w:ascii="Segoe UI" w:hAnsi="Segoe UI" w:cs="Segoe UI"/>
          <w:b/>
          <w:bCs/>
          <w:sz w:val="18"/>
          <w:szCs w:val="18"/>
        </w:rPr>
        <w:t xml:space="preserve"> </w:t>
      </w:r>
      <w:r w:rsidR="00391519">
        <w:rPr>
          <w:rFonts w:ascii="Segoe UI" w:hAnsi="Segoe UI" w:cs="Segoe UI"/>
          <w:b/>
          <w:bCs/>
          <w:sz w:val="18"/>
          <w:szCs w:val="18"/>
        </w:rPr>
        <w:t>rapprochent</w:t>
      </w:r>
      <w:r w:rsidR="007D2893" w:rsidRPr="00EA0B90">
        <w:rPr>
          <w:rFonts w:ascii="Segoe UI" w:hAnsi="Segoe UI" w:cs="Segoe UI"/>
          <w:b/>
          <w:bCs/>
          <w:sz w:val="18"/>
          <w:szCs w:val="18"/>
        </w:rPr>
        <w:t xml:space="preserve"> le Canada des Etats-Unis et l’éloigne</w:t>
      </w:r>
      <w:r w:rsidR="00391519">
        <w:rPr>
          <w:rFonts w:ascii="Segoe UI" w:hAnsi="Segoe UI" w:cs="Segoe UI"/>
          <w:b/>
          <w:bCs/>
          <w:sz w:val="18"/>
          <w:szCs w:val="18"/>
        </w:rPr>
        <w:t>nt</w:t>
      </w:r>
      <w:r w:rsidR="007D2893" w:rsidRPr="00EA0B90">
        <w:rPr>
          <w:rFonts w:ascii="Segoe UI" w:hAnsi="Segoe UI" w:cs="Segoe UI"/>
          <w:b/>
          <w:bCs/>
          <w:sz w:val="18"/>
          <w:szCs w:val="18"/>
        </w:rPr>
        <w:t xml:space="preserve"> du cas européen. </w:t>
      </w:r>
      <w:r w:rsidR="004464FD" w:rsidRPr="00EA0B90">
        <w:rPr>
          <w:rFonts w:ascii="Segoe UI" w:hAnsi="Segoe UI" w:cs="Segoe UI"/>
          <w:sz w:val="18"/>
          <w:szCs w:val="18"/>
        </w:rPr>
        <w:t xml:space="preserve">La </w:t>
      </w:r>
      <w:r w:rsidR="0009489C" w:rsidRPr="00EA0B90">
        <w:rPr>
          <w:rFonts w:ascii="Segoe UI" w:hAnsi="Segoe UI" w:cs="Segoe UI"/>
          <w:sz w:val="18"/>
          <w:szCs w:val="18"/>
        </w:rPr>
        <w:t>BCE</w:t>
      </w:r>
      <w:r w:rsidR="0009489C" w:rsidRPr="00EA0B90">
        <w:rPr>
          <w:rStyle w:val="Appelnotedebasdep"/>
          <w:rFonts w:ascii="Segoe UI" w:hAnsi="Segoe UI" w:cs="Segoe UI"/>
          <w:sz w:val="18"/>
          <w:szCs w:val="18"/>
        </w:rPr>
        <w:footnoteReference w:id="3"/>
      </w:r>
      <w:r w:rsidR="004464FD" w:rsidRPr="00EA0B90">
        <w:rPr>
          <w:rFonts w:ascii="Segoe UI" w:hAnsi="Segoe UI" w:cs="Segoe UI"/>
          <w:sz w:val="18"/>
          <w:szCs w:val="18"/>
        </w:rPr>
        <w:t xml:space="preserve"> </w:t>
      </w:r>
      <w:r w:rsidR="00BA5BA4" w:rsidRPr="00EA0B90">
        <w:rPr>
          <w:rFonts w:ascii="Segoe UI" w:hAnsi="Segoe UI" w:cs="Segoe UI"/>
          <w:sz w:val="18"/>
          <w:szCs w:val="18"/>
        </w:rPr>
        <w:t xml:space="preserve">a </w:t>
      </w:r>
      <w:r w:rsidR="00CB15C1" w:rsidRPr="00EA0B90">
        <w:rPr>
          <w:rFonts w:ascii="Segoe UI" w:hAnsi="Segoe UI" w:cs="Segoe UI"/>
          <w:sz w:val="18"/>
          <w:szCs w:val="18"/>
        </w:rPr>
        <w:t xml:space="preserve">en effet </w:t>
      </w:r>
      <w:r w:rsidR="00BA5BA4" w:rsidRPr="00EA0B90">
        <w:rPr>
          <w:rFonts w:ascii="Segoe UI" w:hAnsi="Segoe UI" w:cs="Segoe UI"/>
          <w:sz w:val="18"/>
          <w:szCs w:val="18"/>
        </w:rPr>
        <w:t>montré</w:t>
      </w:r>
      <w:r w:rsidR="00246989" w:rsidRPr="00EA0B90">
        <w:rPr>
          <w:rFonts w:ascii="Segoe UI" w:hAnsi="Segoe UI" w:cs="Segoe UI"/>
          <w:sz w:val="18"/>
          <w:szCs w:val="18"/>
        </w:rPr>
        <w:t xml:space="preserve"> dans une étude publiée </w:t>
      </w:r>
      <w:r w:rsidR="004464FD" w:rsidRPr="00EA0B90">
        <w:rPr>
          <w:rFonts w:ascii="Segoe UI" w:hAnsi="Segoe UI" w:cs="Segoe UI"/>
          <w:sz w:val="18"/>
          <w:szCs w:val="18"/>
        </w:rPr>
        <w:t xml:space="preserve">en </w:t>
      </w:r>
      <w:r w:rsidR="00801767" w:rsidRPr="00EA0B90">
        <w:rPr>
          <w:rFonts w:ascii="Segoe UI" w:hAnsi="Segoe UI" w:cs="Segoe UI"/>
          <w:sz w:val="18"/>
          <w:szCs w:val="18"/>
        </w:rPr>
        <w:t>juin 2023</w:t>
      </w:r>
      <w:r w:rsidR="00246989" w:rsidRPr="00EA0B90">
        <w:rPr>
          <w:rFonts w:ascii="Segoe UI" w:hAnsi="Segoe UI" w:cs="Segoe UI"/>
          <w:sz w:val="18"/>
          <w:szCs w:val="18"/>
        </w:rPr>
        <w:t xml:space="preserve"> que les entreprises </w:t>
      </w:r>
      <w:r w:rsidR="0018673B" w:rsidRPr="00EA0B90">
        <w:rPr>
          <w:rFonts w:ascii="Segoe UI" w:hAnsi="Segoe UI" w:cs="Segoe UI"/>
          <w:sz w:val="18"/>
          <w:szCs w:val="18"/>
        </w:rPr>
        <w:t xml:space="preserve">non-financières européennes </w:t>
      </w:r>
      <w:r w:rsidR="00DE204F" w:rsidRPr="00EA0B90">
        <w:rPr>
          <w:rFonts w:ascii="Segoe UI" w:hAnsi="Segoe UI" w:cs="Segoe UI"/>
          <w:sz w:val="18"/>
          <w:szCs w:val="18"/>
        </w:rPr>
        <w:t>ont</w:t>
      </w:r>
      <w:r w:rsidR="0018673B" w:rsidRPr="00EA0B90">
        <w:rPr>
          <w:rFonts w:ascii="Segoe UI" w:hAnsi="Segoe UI" w:cs="Segoe UI"/>
          <w:sz w:val="18"/>
          <w:szCs w:val="18"/>
        </w:rPr>
        <w:t xml:space="preserve"> </w:t>
      </w:r>
      <w:r w:rsidR="00246989" w:rsidRPr="00EA0B90">
        <w:rPr>
          <w:rFonts w:ascii="Segoe UI" w:hAnsi="Segoe UI" w:cs="Segoe UI"/>
          <w:sz w:val="18"/>
          <w:szCs w:val="18"/>
        </w:rPr>
        <w:t xml:space="preserve">tiré </w:t>
      </w:r>
      <w:r w:rsidR="00CB15C1" w:rsidRPr="00EA0B90">
        <w:rPr>
          <w:rFonts w:ascii="Segoe UI" w:hAnsi="Segoe UI" w:cs="Segoe UI"/>
          <w:sz w:val="18"/>
          <w:szCs w:val="18"/>
        </w:rPr>
        <w:t>avantage</w:t>
      </w:r>
      <w:r w:rsidR="00246989" w:rsidRPr="00EA0B90">
        <w:rPr>
          <w:rFonts w:ascii="Segoe UI" w:hAnsi="Segoe UI" w:cs="Segoe UI"/>
          <w:sz w:val="18"/>
          <w:szCs w:val="18"/>
        </w:rPr>
        <w:t xml:space="preserve"> de la hausse </w:t>
      </w:r>
      <w:r w:rsidR="0018673B" w:rsidRPr="00EA0B90">
        <w:rPr>
          <w:rFonts w:ascii="Segoe UI" w:hAnsi="Segoe UI" w:cs="Segoe UI"/>
          <w:sz w:val="18"/>
          <w:szCs w:val="18"/>
        </w:rPr>
        <w:t>du coût des intrants</w:t>
      </w:r>
      <w:r w:rsidR="00246989" w:rsidRPr="00EA0B90">
        <w:rPr>
          <w:rFonts w:ascii="Segoe UI" w:hAnsi="Segoe UI" w:cs="Segoe UI"/>
          <w:sz w:val="18"/>
          <w:szCs w:val="18"/>
        </w:rPr>
        <w:t xml:space="preserve"> pour augment</w:t>
      </w:r>
      <w:r w:rsidR="00753605" w:rsidRPr="00EA0B90">
        <w:rPr>
          <w:rFonts w:ascii="Segoe UI" w:hAnsi="Segoe UI" w:cs="Segoe UI"/>
          <w:sz w:val="18"/>
          <w:szCs w:val="18"/>
        </w:rPr>
        <w:t>er</w:t>
      </w:r>
      <w:r w:rsidR="00246989" w:rsidRPr="00EA0B90">
        <w:rPr>
          <w:rFonts w:ascii="Segoe UI" w:hAnsi="Segoe UI" w:cs="Segoe UI"/>
          <w:sz w:val="18"/>
          <w:szCs w:val="18"/>
        </w:rPr>
        <w:t xml:space="preserve"> leurs profits</w:t>
      </w:r>
      <w:r w:rsidR="00CB15C1" w:rsidRPr="00EA0B90">
        <w:rPr>
          <w:rFonts w:ascii="Segoe UI" w:hAnsi="Segoe UI" w:cs="Segoe UI"/>
          <w:sz w:val="18"/>
          <w:szCs w:val="18"/>
        </w:rPr>
        <w:t>,</w:t>
      </w:r>
      <w:r w:rsidR="00246989" w:rsidRPr="00EA0B90">
        <w:rPr>
          <w:rFonts w:ascii="Segoe UI" w:hAnsi="Segoe UI" w:cs="Segoe UI"/>
          <w:sz w:val="18"/>
          <w:szCs w:val="18"/>
        </w:rPr>
        <w:t xml:space="preserve"> </w:t>
      </w:r>
      <w:r w:rsidR="00753605" w:rsidRPr="00EA0B90">
        <w:rPr>
          <w:rFonts w:ascii="Segoe UI" w:hAnsi="Segoe UI" w:cs="Segoe UI"/>
          <w:sz w:val="18"/>
          <w:szCs w:val="18"/>
        </w:rPr>
        <w:t>au-delà de la hausse des coûts de production subi</w:t>
      </w:r>
      <w:r w:rsidR="004336BE" w:rsidRPr="00EA0B90">
        <w:rPr>
          <w:rFonts w:ascii="Segoe UI" w:hAnsi="Segoe UI" w:cs="Segoe UI"/>
          <w:sz w:val="18"/>
          <w:szCs w:val="18"/>
        </w:rPr>
        <w:t>e</w:t>
      </w:r>
      <w:r w:rsidR="00753605" w:rsidRPr="00EA0B90">
        <w:rPr>
          <w:rFonts w:ascii="Segoe UI" w:hAnsi="Segoe UI" w:cs="Segoe UI"/>
          <w:sz w:val="18"/>
          <w:szCs w:val="18"/>
        </w:rPr>
        <w:t xml:space="preserve">. </w:t>
      </w:r>
      <w:r w:rsidR="008148D1" w:rsidRPr="00EA0B90">
        <w:rPr>
          <w:rFonts w:ascii="Segoe UI" w:hAnsi="Segoe UI" w:cs="Segoe UI"/>
          <w:sz w:val="18"/>
          <w:szCs w:val="18"/>
        </w:rPr>
        <w:t>Cette étude</w:t>
      </w:r>
      <w:r w:rsidR="00CB15C1" w:rsidRPr="00EA0B90">
        <w:rPr>
          <w:rFonts w:ascii="Segoe UI" w:hAnsi="Segoe UI" w:cs="Segoe UI"/>
          <w:sz w:val="18"/>
          <w:szCs w:val="18"/>
        </w:rPr>
        <w:t>, qui ne</w:t>
      </w:r>
      <w:r w:rsidR="008148D1" w:rsidRPr="00EA0B90">
        <w:rPr>
          <w:rFonts w:ascii="Segoe UI" w:hAnsi="Segoe UI" w:cs="Segoe UI"/>
          <w:sz w:val="18"/>
          <w:szCs w:val="18"/>
        </w:rPr>
        <w:t xml:space="preserve"> se pench</w:t>
      </w:r>
      <w:r w:rsidR="00CB15C1" w:rsidRPr="00EA0B90">
        <w:rPr>
          <w:rFonts w:ascii="Segoe UI" w:hAnsi="Segoe UI" w:cs="Segoe UI"/>
          <w:sz w:val="18"/>
          <w:szCs w:val="18"/>
        </w:rPr>
        <w:t>ait</w:t>
      </w:r>
      <w:r w:rsidR="008148D1" w:rsidRPr="00EA0B90">
        <w:rPr>
          <w:rFonts w:ascii="Segoe UI" w:hAnsi="Segoe UI" w:cs="Segoe UI"/>
          <w:sz w:val="18"/>
          <w:szCs w:val="18"/>
        </w:rPr>
        <w:t xml:space="preserve"> pas sur le rôle de l’évolution de l’intensité de la concurrence en zone euro sur ces dernières années</w:t>
      </w:r>
      <w:r w:rsidR="00391519">
        <w:rPr>
          <w:rFonts w:ascii="Segoe UI" w:hAnsi="Segoe UI" w:cs="Segoe UI"/>
          <w:sz w:val="18"/>
          <w:szCs w:val="18"/>
        </w:rPr>
        <w:t xml:space="preserve"> et qui a été contestée dans le cas français</w:t>
      </w:r>
      <w:r w:rsidR="00CB15C1" w:rsidRPr="00EA0B90">
        <w:rPr>
          <w:rFonts w:ascii="Segoe UI" w:hAnsi="Segoe UI" w:cs="Segoe UI"/>
          <w:sz w:val="18"/>
          <w:szCs w:val="18"/>
        </w:rPr>
        <w:t xml:space="preserve">, avait toutefois conduit </w:t>
      </w:r>
      <w:r w:rsidR="00BA5BA4" w:rsidRPr="00EA0B90">
        <w:rPr>
          <w:rFonts w:ascii="Segoe UI" w:hAnsi="Segoe UI" w:cs="Segoe UI"/>
          <w:sz w:val="18"/>
          <w:szCs w:val="18"/>
        </w:rPr>
        <w:t>Christine Lagarde</w:t>
      </w:r>
      <w:r w:rsidR="00CB15C1" w:rsidRPr="00EA0B90">
        <w:rPr>
          <w:rFonts w:ascii="Segoe UI" w:hAnsi="Segoe UI" w:cs="Segoe UI"/>
          <w:sz w:val="18"/>
          <w:szCs w:val="18"/>
        </w:rPr>
        <w:t xml:space="preserve"> à déclarer</w:t>
      </w:r>
      <w:r w:rsidR="00BA5BA4" w:rsidRPr="00EA0B90">
        <w:rPr>
          <w:rFonts w:ascii="Segoe UI" w:hAnsi="Segoe UI" w:cs="Segoe UI"/>
          <w:sz w:val="18"/>
          <w:szCs w:val="18"/>
        </w:rPr>
        <w:t xml:space="preserve"> que ce comportement des entreprises aurait contribué au « deux-tiers de l’inflation en 2022 »</w:t>
      </w:r>
      <w:r w:rsidR="00B17690" w:rsidRPr="00EA0B90">
        <w:rPr>
          <w:rFonts w:ascii="Segoe UI" w:hAnsi="Segoe UI" w:cs="Segoe UI"/>
          <w:sz w:val="18"/>
          <w:szCs w:val="18"/>
        </w:rPr>
        <w:t xml:space="preserve"> et que sa poursuite mettrait en</w:t>
      </w:r>
      <w:r w:rsidR="00D43429" w:rsidRPr="00EA0B90">
        <w:rPr>
          <w:rFonts w:ascii="Segoe UI" w:hAnsi="Segoe UI" w:cs="Segoe UI"/>
          <w:sz w:val="18"/>
          <w:szCs w:val="18"/>
        </w:rPr>
        <w:t xml:space="preserve"> risque </w:t>
      </w:r>
      <w:r w:rsidR="00B17690" w:rsidRPr="00EA0B90">
        <w:rPr>
          <w:rFonts w:ascii="Segoe UI" w:hAnsi="Segoe UI" w:cs="Segoe UI"/>
          <w:sz w:val="18"/>
          <w:szCs w:val="18"/>
        </w:rPr>
        <w:t>le</w:t>
      </w:r>
      <w:r w:rsidR="00D43429" w:rsidRPr="00EA0B90">
        <w:rPr>
          <w:rFonts w:ascii="Segoe UI" w:hAnsi="Segoe UI" w:cs="Segoe UI"/>
          <w:sz w:val="18"/>
          <w:szCs w:val="18"/>
        </w:rPr>
        <w:t xml:space="preserve"> retour à la cible d’inflation de 2% d’ici fin 2025. </w:t>
      </w:r>
      <w:r w:rsidR="00B17690" w:rsidRPr="00EA0B90">
        <w:rPr>
          <w:rFonts w:ascii="Segoe UI" w:hAnsi="Segoe UI" w:cs="Segoe UI"/>
          <w:sz w:val="18"/>
          <w:szCs w:val="18"/>
        </w:rPr>
        <w:t xml:space="preserve">A l’inverse, côté américain, </w:t>
      </w:r>
      <w:r w:rsidR="002263D8" w:rsidRPr="00EA0B90">
        <w:rPr>
          <w:rFonts w:ascii="Segoe UI" w:hAnsi="Segoe UI" w:cs="Segoe UI"/>
          <w:sz w:val="18"/>
          <w:szCs w:val="18"/>
        </w:rPr>
        <w:t>une étude de la Réserve fédérale de Boston</w:t>
      </w:r>
      <w:r w:rsidR="000A417F" w:rsidRPr="00EA0B90">
        <w:rPr>
          <w:rFonts w:ascii="Segoe UI" w:hAnsi="Segoe UI" w:cs="Segoe UI"/>
          <w:sz w:val="18"/>
          <w:szCs w:val="18"/>
        </w:rPr>
        <w:t xml:space="preserve"> </w:t>
      </w:r>
      <w:r w:rsidR="002263D8" w:rsidRPr="00EA0B90">
        <w:rPr>
          <w:rFonts w:ascii="Segoe UI" w:hAnsi="Segoe UI" w:cs="Segoe UI"/>
          <w:sz w:val="18"/>
          <w:szCs w:val="18"/>
        </w:rPr>
        <w:t xml:space="preserve">publiée en </w:t>
      </w:r>
      <w:r w:rsidR="00D4145F" w:rsidRPr="00EA0B90">
        <w:rPr>
          <w:rFonts w:ascii="Segoe UI" w:hAnsi="Segoe UI" w:cs="Segoe UI"/>
          <w:sz w:val="18"/>
          <w:szCs w:val="18"/>
        </w:rPr>
        <w:t xml:space="preserve">mai </w:t>
      </w:r>
      <w:r w:rsidR="002263D8" w:rsidRPr="00EA0B90">
        <w:rPr>
          <w:rFonts w:ascii="Segoe UI" w:hAnsi="Segoe UI" w:cs="Segoe UI"/>
          <w:sz w:val="18"/>
          <w:szCs w:val="18"/>
        </w:rPr>
        <w:t>202</w:t>
      </w:r>
      <w:r w:rsidR="00D4145F" w:rsidRPr="00EA0B90">
        <w:rPr>
          <w:rFonts w:ascii="Segoe UI" w:hAnsi="Segoe UI" w:cs="Segoe UI"/>
          <w:sz w:val="18"/>
          <w:szCs w:val="18"/>
        </w:rPr>
        <w:t>2</w:t>
      </w:r>
      <w:r w:rsidR="00DE0F35" w:rsidRPr="00EA0B90">
        <w:rPr>
          <w:rStyle w:val="Appelnotedebasdep"/>
          <w:rFonts w:ascii="Segoe UI" w:hAnsi="Segoe UI" w:cs="Segoe UI"/>
          <w:sz w:val="18"/>
          <w:szCs w:val="18"/>
        </w:rPr>
        <w:footnoteReference w:id="4"/>
      </w:r>
      <w:r w:rsidR="008148D1" w:rsidRPr="00EA0B90">
        <w:rPr>
          <w:rFonts w:ascii="Segoe UI" w:hAnsi="Segoe UI" w:cs="Segoe UI"/>
          <w:sz w:val="18"/>
          <w:szCs w:val="18"/>
        </w:rPr>
        <w:t xml:space="preserve"> </w:t>
      </w:r>
      <w:r w:rsidR="00B17690" w:rsidRPr="00EA0B90">
        <w:rPr>
          <w:rFonts w:ascii="Segoe UI" w:hAnsi="Segoe UI" w:cs="Segoe UI"/>
          <w:sz w:val="18"/>
          <w:szCs w:val="18"/>
        </w:rPr>
        <w:t xml:space="preserve"> souligne le rôle joué par</w:t>
      </w:r>
      <w:r w:rsidR="008148D1" w:rsidRPr="00EA0B90">
        <w:rPr>
          <w:rFonts w:ascii="Segoe UI" w:hAnsi="Segoe UI" w:cs="Segoe UI"/>
          <w:sz w:val="18"/>
          <w:szCs w:val="18"/>
        </w:rPr>
        <w:t xml:space="preserve"> </w:t>
      </w:r>
      <w:r w:rsidR="003061DB" w:rsidRPr="00EA0B90">
        <w:rPr>
          <w:rFonts w:ascii="Segoe UI" w:hAnsi="Segoe UI" w:cs="Segoe UI"/>
          <w:sz w:val="18"/>
          <w:szCs w:val="18"/>
        </w:rPr>
        <w:t>la</w:t>
      </w:r>
      <w:r w:rsidR="008148D1" w:rsidRPr="00EA0B90">
        <w:rPr>
          <w:rFonts w:ascii="Segoe UI" w:hAnsi="Segoe UI" w:cs="Segoe UI"/>
          <w:sz w:val="18"/>
          <w:szCs w:val="18"/>
        </w:rPr>
        <w:t xml:space="preserve"> détério</w:t>
      </w:r>
      <w:r w:rsidR="003061DB" w:rsidRPr="00EA0B90">
        <w:rPr>
          <w:rFonts w:ascii="Segoe UI" w:hAnsi="Segoe UI" w:cs="Segoe UI"/>
          <w:sz w:val="18"/>
          <w:szCs w:val="18"/>
        </w:rPr>
        <w:t>ration de l’intensité de la concurrence aux Etats-Unis depuis 2005</w:t>
      </w:r>
      <w:r w:rsidR="00B17690" w:rsidRPr="00EA0B90">
        <w:rPr>
          <w:rFonts w:ascii="Segoe UI" w:hAnsi="Segoe UI" w:cs="Segoe UI"/>
          <w:sz w:val="18"/>
          <w:szCs w:val="18"/>
        </w:rPr>
        <w:t>, qui</w:t>
      </w:r>
      <w:r w:rsidR="00A545D0" w:rsidRPr="00EA0B90">
        <w:rPr>
          <w:rFonts w:ascii="Segoe UI" w:hAnsi="Segoe UI" w:cs="Segoe UI"/>
          <w:sz w:val="18"/>
          <w:szCs w:val="18"/>
        </w:rPr>
        <w:t xml:space="preserve"> </w:t>
      </w:r>
      <w:r w:rsidR="00751263" w:rsidRPr="00EA0B90">
        <w:rPr>
          <w:rFonts w:ascii="Segoe UI" w:hAnsi="Segoe UI" w:cs="Segoe UI"/>
          <w:sz w:val="18"/>
          <w:szCs w:val="18"/>
        </w:rPr>
        <w:t>serait</w:t>
      </w:r>
      <w:r w:rsidR="00A545D0" w:rsidRPr="00EA0B90">
        <w:rPr>
          <w:rFonts w:ascii="Segoe UI" w:hAnsi="Segoe UI" w:cs="Segoe UI"/>
          <w:sz w:val="18"/>
          <w:szCs w:val="18"/>
        </w:rPr>
        <w:t xml:space="preserve"> </w:t>
      </w:r>
      <w:r w:rsidR="003061DB" w:rsidRPr="00EA0B90">
        <w:rPr>
          <w:rFonts w:ascii="Segoe UI" w:hAnsi="Segoe UI" w:cs="Segoe UI"/>
          <w:sz w:val="18"/>
          <w:szCs w:val="18"/>
        </w:rPr>
        <w:t>responsable d’un quart de la dynamique inflationniste observée aux Etats-Unis sur la période 2021-2022 (</w:t>
      </w:r>
      <w:r w:rsidR="00700BD8" w:rsidRPr="00EA0B90">
        <w:rPr>
          <w:rFonts w:ascii="Segoe UI" w:hAnsi="Segoe UI" w:cs="Segoe UI"/>
          <w:sz w:val="18"/>
          <w:szCs w:val="18"/>
        </w:rPr>
        <w:t>4,7</w:t>
      </w:r>
      <w:r w:rsidR="003061DB" w:rsidRPr="00EA0B90">
        <w:rPr>
          <w:rFonts w:ascii="Segoe UI" w:hAnsi="Segoe UI" w:cs="Segoe UI"/>
          <w:sz w:val="18"/>
          <w:szCs w:val="18"/>
        </w:rPr>
        <w:t xml:space="preserve">% inflation annuelle au E-U en 2021, </w:t>
      </w:r>
      <w:r w:rsidR="009D3E43" w:rsidRPr="00EA0B90">
        <w:rPr>
          <w:rFonts w:ascii="Segoe UI" w:hAnsi="Segoe UI" w:cs="Segoe UI"/>
          <w:sz w:val="18"/>
          <w:szCs w:val="18"/>
        </w:rPr>
        <w:t>8</w:t>
      </w:r>
      <w:r w:rsidR="003061DB" w:rsidRPr="00EA0B90">
        <w:rPr>
          <w:rFonts w:ascii="Segoe UI" w:hAnsi="Segoe UI" w:cs="Segoe UI"/>
          <w:sz w:val="18"/>
          <w:szCs w:val="18"/>
        </w:rPr>
        <w:t>% en 2022).</w:t>
      </w:r>
      <w:r w:rsidR="00B17690" w:rsidRPr="00EA0B90">
        <w:rPr>
          <w:rFonts w:ascii="Segoe UI" w:hAnsi="Segoe UI" w:cs="Segoe UI"/>
          <w:sz w:val="18"/>
          <w:szCs w:val="18"/>
        </w:rPr>
        <w:t xml:space="preserve"> </w:t>
      </w:r>
      <w:r w:rsidR="00DC3463" w:rsidRPr="00EA0B90">
        <w:rPr>
          <w:rFonts w:ascii="Segoe UI" w:hAnsi="Segoe UI" w:cs="Segoe UI"/>
          <w:sz w:val="18"/>
          <w:szCs w:val="18"/>
        </w:rPr>
        <w:t>Les conclusions de cette étude sont confirmées par une analyse de la Réserve fédérale de Richmond de novembre 2023</w:t>
      </w:r>
      <w:r w:rsidR="00DC3463" w:rsidRPr="00EA0B90">
        <w:rPr>
          <w:rStyle w:val="Appelnotedebasdep"/>
          <w:rFonts w:ascii="Segoe UI" w:hAnsi="Segoe UI" w:cs="Segoe UI"/>
          <w:sz w:val="18"/>
          <w:szCs w:val="18"/>
        </w:rPr>
        <w:footnoteReference w:id="5"/>
      </w:r>
      <w:r w:rsidR="00DC3463" w:rsidRPr="00EA0B90">
        <w:rPr>
          <w:rFonts w:ascii="Segoe UI" w:hAnsi="Segoe UI" w:cs="Segoe UI"/>
          <w:sz w:val="18"/>
          <w:szCs w:val="18"/>
        </w:rPr>
        <w:t xml:space="preserve">. </w:t>
      </w:r>
      <w:r w:rsidR="00B17690" w:rsidRPr="00EA0B90">
        <w:rPr>
          <w:rFonts w:ascii="Segoe UI" w:hAnsi="Segoe UI" w:cs="Segoe UI"/>
          <w:sz w:val="18"/>
          <w:szCs w:val="18"/>
        </w:rPr>
        <w:t>Une situation qui rapprocherait les E-U. de son voisin du nord.</w:t>
      </w:r>
      <w:r w:rsidR="00B17690">
        <w:rPr>
          <w:rFonts w:ascii="Segoe UI" w:hAnsi="Segoe UI" w:cs="Segoe UI"/>
          <w:sz w:val="18"/>
          <w:szCs w:val="18"/>
        </w:rPr>
        <w:t xml:space="preserve"> </w:t>
      </w:r>
      <w:r w:rsidR="003061DB">
        <w:rPr>
          <w:rFonts w:ascii="Segoe UI" w:hAnsi="Segoe UI" w:cs="Segoe UI"/>
          <w:sz w:val="18"/>
          <w:szCs w:val="18"/>
        </w:rPr>
        <w:t xml:space="preserve"> </w:t>
      </w:r>
    </w:p>
    <w:tbl>
      <w:tblPr>
        <w:tblStyle w:val="Grilledutableau"/>
        <w:tblW w:w="10197" w:type="dxa"/>
        <w:tblBorders>
          <w:top w:val="single" w:sz="4" w:space="0" w:color="006CE5"/>
          <w:left w:val="single" w:sz="4" w:space="0" w:color="006CE5"/>
          <w:bottom w:val="single" w:sz="4" w:space="0" w:color="006CE5"/>
          <w:right w:val="single" w:sz="4" w:space="0" w:color="006CE5"/>
          <w:insideH w:val="single" w:sz="4" w:space="0" w:color="006CE5"/>
          <w:insideV w:val="single" w:sz="4" w:space="0" w:color="006CE5"/>
        </w:tblBorders>
        <w:tblLook w:val="04A0" w:firstRow="1" w:lastRow="0" w:firstColumn="1" w:lastColumn="0" w:noHBand="0" w:noVBand="1"/>
      </w:tblPr>
      <w:tblGrid>
        <w:gridCol w:w="10197"/>
      </w:tblGrid>
      <w:tr w:rsidR="004F2178" w:rsidRPr="00D36BFB" w14:paraId="6DF31ACB" w14:textId="77777777" w:rsidTr="00C51D43">
        <w:trPr>
          <w:trHeight w:val="379"/>
        </w:trPr>
        <w:tc>
          <w:tcPr>
            <w:tcW w:w="10197" w:type="dxa"/>
            <w:shd w:val="clear" w:color="auto" w:fill="006CE5"/>
            <w:vAlign w:val="center"/>
          </w:tcPr>
          <w:p w14:paraId="06EDDAE4" w14:textId="0A69FC66" w:rsidR="004F2178" w:rsidRPr="00D36BFB" w:rsidRDefault="00C97EAB" w:rsidP="0048694E">
            <w:pPr>
              <w:ind w:right="-108"/>
              <w:jc w:val="both"/>
              <w:textAlignment w:val="baseline"/>
              <w:rPr>
                <w:rFonts w:ascii="Segoe UI" w:eastAsia="Times New Roman" w:hAnsi="Segoe UI" w:cs="Segoe UI"/>
                <w:b/>
                <w:bCs/>
                <w:color w:val="FFFFFF" w:themeColor="background1"/>
                <w:sz w:val="20"/>
                <w:szCs w:val="20"/>
                <w:lang w:eastAsia="fr-FR"/>
              </w:rPr>
            </w:pPr>
            <w:r>
              <w:rPr>
                <w:rFonts w:ascii="Segoe UI" w:eastAsia="Times New Roman" w:hAnsi="Segoe UI" w:cs="Segoe UI"/>
                <w:b/>
                <w:bCs/>
                <w:color w:val="FFFFFF" w:themeColor="background1"/>
                <w:sz w:val="20"/>
                <w:szCs w:val="20"/>
                <w:lang w:eastAsia="fr-FR"/>
              </w:rPr>
              <w:t xml:space="preserve">Ces constats ont </w:t>
            </w:r>
            <w:r w:rsidR="00391519">
              <w:rPr>
                <w:rFonts w:ascii="Segoe UI" w:eastAsia="Times New Roman" w:hAnsi="Segoe UI" w:cs="Segoe UI"/>
                <w:b/>
                <w:bCs/>
                <w:color w:val="FFFFFF" w:themeColor="background1"/>
                <w:sz w:val="20"/>
                <w:szCs w:val="20"/>
                <w:lang w:eastAsia="fr-FR"/>
              </w:rPr>
              <w:t>engendré</w:t>
            </w:r>
            <w:r w:rsidR="00B17690">
              <w:rPr>
                <w:rFonts w:ascii="Segoe UI" w:eastAsia="Times New Roman" w:hAnsi="Segoe UI" w:cs="Segoe UI"/>
                <w:b/>
                <w:bCs/>
                <w:color w:val="FFFFFF" w:themeColor="background1"/>
                <w:sz w:val="20"/>
                <w:szCs w:val="20"/>
                <w:lang w:eastAsia="fr-FR"/>
              </w:rPr>
              <w:t xml:space="preserve"> la</w:t>
            </w:r>
            <w:r w:rsidR="000234C4">
              <w:rPr>
                <w:rFonts w:ascii="Segoe UI" w:eastAsia="Times New Roman" w:hAnsi="Segoe UI" w:cs="Segoe UI"/>
                <w:b/>
                <w:bCs/>
                <w:color w:val="FFFFFF" w:themeColor="background1"/>
                <w:sz w:val="20"/>
                <w:szCs w:val="20"/>
                <w:lang w:eastAsia="fr-FR"/>
              </w:rPr>
              <w:t xml:space="preserve"> </w:t>
            </w:r>
            <w:r>
              <w:rPr>
                <w:rFonts w:ascii="Segoe UI" w:eastAsia="Times New Roman" w:hAnsi="Segoe UI" w:cs="Segoe UI"/>
                <w:b/>
                <w:bCs/>
                <w:color w:val="FFFFFF" w:themeColor="background1"/>
                <w:sz w:val="20"/>
                <w:szCs w:val="20"/>
                <w:lang w:eastAsia="fr-FR"/>
              </w:rPr>
              <w:t>prise de conscience du</w:t>
            </w:r>
            <w:r w:rsidR="00723998">
              <w:rPr>
                <w:rFonts w:ascii="Segoe UI" w:eastAsia="Times New Roman" w:hAnsi="Segoe UI" w:cs="Segoe UI"/>
                <w:b/>
                <w:bCs/>
                <w:color w:val="FFFFFF" w:themeColor="background1"/>
                <w:sz w:val="20"/>
                <w:szCs w:val="20"/>
                <w:lang w:eastAsia="fr-FR"/>
              </w:rPr>
              <w:t xml:space="preserve"> gouvernement fédéral</w:t>
            </w:r>
            <w:r w:rsidR="00391519">
              <w:rPr>
                <w:rFonts w:ascii="Segoe UI" w:eastAsia="Times New Roman" w:hAnsi="Segoe UI" w:cs="Segoe UI"/>
                <w:b/>
                <w:bCs/>
                <w:color w:val="FFFFFF" w:themeColor="background1"/>
                <w:sz w:val="20"/>
                <w:szCs w:val="20"/>
                <w:lang w:eastAsia="fr-FR"/>
              </w:rPr>
              <w:t xml:space="preserve"> quant à la nécessité d’</w:t>
            </w:r>
            <w:r w:rsidR="00723998">
              <w:rPr>
                <w:rFonts w:ascii="Segoe UI" w:eastAsia="Times New Roman" w:hAnsi="Segoe UI" w:cs="Segoe UI"/>
                <w:b/>
                <w:bCs/>
                <w:color w:val="FFFFFF" w:themeColor="background1"/>
                <w:sz w:val="20"/>
                <w:szCs w:val="20"/>
                <w:lang w:eastAsia="fr-FR"/>
              </w:rPr>
              <w:t>un</w:t>
            </w:r>
            <w:r w:rsidR="005322C5">
              <w:rPr>
                <w:rFonts w:ascii="Segoe UI" w:eastAsia="Times New Roman" w:hAnsi="Segoe UI" w:cs="Segoe UI"/>
                <w:b/>
                <w:bCs/>
                <w:color w:val="FFFFFF" w:themeColor="background1"/>
                <w:sz w:val="20"/>
                <w:szCs w:val="20"/>
                <w:lang w:eastAsia="fr-FR"/>
              </w:rPr>
              <w:t xml:space="preserve">e refonte du droit de la concurrence </w:t>
            </w:r>
          </w:p>
        </w:tc>
      </w:tr>
    </w:tbl>
    <w:p w14:paraId="7BFC944A" w14:textId="730F6D33" w:rsidR="00786657" w:rsidRDefault="00F2316A" w:rsidP="0008486E">
      <w:pPr>
        <w:spacing w:before="60" w:after="0"/>
        <w:jc w:val="both"/>
        <w:rPr>
          <w:rFonts w:ascii="Segoe UI" w:hAnsi="Segoe UI" w:cs="Segoe UI"/>
          <w:sz w:val="18"/>
          <w:szCs w:val="18"/>
        </w:rPr>
      </w:pPr>
      <w:r>
        <w:rPr>
          <w:rFonts w:ascii="Segoe UI" w:hAnsi="Segoe UI" w:cs="Segoe UI"/>
          <w:b/>
          <w:bCs/>
          <w:sz w:val="18"/>
          <w:szCs w:val="18"/>
        </w:rPr>
        <w:t xml:space="preserve">Avec le projet de Loi C-56, le </w:t>
      </w:r>
      <w:r w:rsidR="00BE0038">
        <w:rPr>
          <w:rFonts w:ascii="Segoe UI" w:hAnsi="Segoe UI" w:cs="Segoe UI"/>
          <w:b/>
          <w:bCs/>
          <w:sz w:val="18"/>
          <w:szCs w:val="18"/>
        </w:rPr>
        <w:t xml:space="preserve">gouvernement </w:t>
      </w:r>
      <w:r w:rsidR="00012775">
        <w:rPr>
          <w:rFonts w:ascii="Segoe UI" w:hAnsi="Segoe UI" w:cs="Segoe UI"/>
          <w:b/>
          <w:bCs/>
          <w:sz w:val="18"/>
          <w:szCs w:val="18"/>
        </w:rPr>
        <w:t>a</w:t>
      </w:r>
      <w:r w:rsidR="00A14524">
        <w:rPr>
          <w:rFonts w:ascii="Segoe UI" w:hAnsi="Segoe UI" w:cs="Segoe UI"/>
          <w:b/>
          <w:bCs/>
          <w:sz w:val="18"/>
          <w:szCs w:val="18"/>
        </w:rPr>
        <w:t xml:space="preserve"> renforc</w:t>
      </w:r>
      <w:r w:rsidR="00012775">
        <w:rPr>
          <w:rFonts w:ascii="Segoe UI" w:hAnsi="Segoe UI" w:cs="Segoe UI"/>
          <w:b/>
          <w:bCs/>
          <w:sz w:val="18"/>
          <w:szCs w:val="18"/>
        </w:rPr>
        <w:t>é</w:t>
      </w:r>
      <w:r w:rsidR="00BE0038">
        <w:rPr>
          <w:rFonts w:ascii="Segoe UI" w:hAnsi="Segoe UI" w:cs="Segoe UI"/>
          <w:b/>
          <w:bCs/>
          <w:sz w:val="18"/>
          <w:szCs w:val="18"/>
        </w:rPr>
        <w:t xml:space="preserve"> </w:t>
      </w:r>
      <w:r w:rsidR="009864D6">
        <w:rPr>
          <w:rFonts w:ascii="Segoe UI" w:hAnsi="Segoe UI" w:cs="Segoe UI"/>
          <w:b/>
          <w:bCs/>
          <w:sz w:val="18"/>
          <w:szCs w:val="18"/>
        </w:rPr>
        <w:t>le cadre juridique applicable, en particulier dans</w:t>
      </w:r>
      <w:r>
        <w:rPr>
          <w:rFonts w:ascii="Segoe UI" w:hAnsi="Segoe UI" w:cs="Segoe UI"/>
          <w:b/>
          <w:bCs/>
          <w:sz w:val="18"/>
          <w:szCs w:val="18"/>
        </w:rPr>
        <w:t xml:space="preserve"> le</w:t>
      </w:r>
      <w:r w:rsidR="00E12DE9">
        <w:rPr>
          <w:rFonts w:ascii="Segoe UI" w:hAnsi="Segoe UI" w:cs="Segoe UI"/>
          <w:b/>
          <w:bCs/>
          <w:sz w:val="18"/>
          <w:szCs w:val="18"/>
        </w:rPr>
        <w:t xml:space="preserve"> secteur de la distribution alimentaire</w:t>
      </w:r>
      <w:r w:rsidR="00BE0038">
        <w:rPr>
          <w:rFonts w:ascii="Segoe UI" w:hAnsi="Segoe UI" w:cs="Segoe UI"/>
          <w:b/>
          <w:bCs/>
          <w:sz w:val="18"/>
          <w:szCs w:val="18"/>
        </w:rPr>
        <w:t xml:space="preserve">. </w:t>
      </w:r>
      <w:r w:rsidR="00BE0038">
        <w:rPr>
          <w:rFonts w:ascii="Segoe UI" w:hAnsi="Segoe UI" w:cs="Segoe UI"/>
          <w:sz w:val="18"/>
          <w:szCs w:val="18"/>
        </w:rPr>
        <w:t xml:space="preserve">La </w:t>
      </w:r>
      <w:r w:rsidR="00093EE3">
        <w:rPr>
          <w:rFonts w:ascii="Segoe UI" w:hAnsi="Segoe UI" w:cs="Segoe UI"/>
          <w:sz w:val="18"/>
          <w:szCs w:val="18"/>
        </w:rPr>
        <w:t>l</w:t>
      </w:r>
      <w:r w:rsidR="007D3C62">
        <w:rPr>
          <w:rFonts w:ascii="Segoe UI" w:hAnsi="Segoe UI" w:cs="Segoe UI"/>
          <w:sz w:val="18"/>
          <w:szCs w:val="18"/>
        </w:rPr>
        <w:t>oi C-56</w:t>
      </w:r>
      <w:r w:rsidR="007A199B">
        <w:rPr>
          <w:rFonts w:ascii="Segoe UI" w:hAnsi="Segoe UI" w:cs="Segoe UI"/>
          <w:sz w:val="18"/>
          <w:szCs w:val="18"/>
        </w:rPr>
        <w:t xml:space="preserve"> « </w:t>
      </w:r>
      <w:r w:rsidR="00705072">
        <w:rPr>
          <w:rFonts w:ascii="Segoe UI" w:hAnsi="Segoe UI" w:cs="Segoe UI"/>
          <w:i/>
          <w:iCs/>
          <w:sz w:val="18"/>
          <w:szCs w:val="18"/>
        </w:rPr>
        <w:t>Sur le logement et l’épicerie à prix abordable</w:t>
      </w:r>
      <w:r w:rsidR="007A199B">
        <w:rPr>
          <w:rFonts w:ascii="Segoe UI" w:hAnsi="Segoe UI" w:cs="Segoe UI"/>
          <w:i/>
          <w:iCs/>
          <w:sz w:val="18"/>
          <w:szCs w:val="18"/>
        </w:rPr>
        <w:t> »</w:t>
      </w:r>
      <w:r w:rsidR="007D3C62">
        <w:rPr>
          <w:rFonts w:ascii="Segoe UI" w:hAnsi="Segoe UI" w:cs="Segoe UI"/>
          <w:sz w:val="18"/>
          <w:szCs w:val="18"/>
        </w:rPr>
        <w:t>,</w:t>
      </w:r>
      <w:r w:rsidR="00DF799D">
        <w:rPr>
          <w:rFonts w:ascii="Segoe UI" w:hAnsi="Segoe UI" w:cs="Segoe UI"/>
          <w:sz w:val="18"/>
          <w:szCs w:val="18"/>
        </w:rPr>
        <w:t xml:space="preserve"> </w:t>
      </w:r>
      <w:r w:rsidR="006702DC">
        <w:rPr>
          <w:rFonts w:ascii="Segoe UI" w:hAnsi="Segoe UI" w:cs="Segoe UI"/>
          <w:sz w:val="18"/>
          <w:szCs w:val="18"/>
        </w:rPr>
        <w:t xml:space="preserve">dont le projet a été présenté en septembre </w:t>
      </w:r>
      <w:r w:rsidR="00B33E59">
        <w:rPr>
          <w:rFonts w:ascii="Segoe UI" w:hAnsi="Segoe UI" w:cs="Segoe UI"/>
          <w:sz w:val="18"/>
          <w:szCs w:val="18"/>
        </w:rPr>
        <w:t>2023</w:t>
      </w:r>
      <w:r>
        <w:rPr>
          <w:rFonts w:ascii="Segoe UI" w:hAnsi="Segoe UI" w:cs="Segoe UI"/>
          <w:sz w:val="18"/>
          <w:szCs w:val="18"/>
        </w:rPr>
        <w:t>,</w:t>
      </w:r>
      <w:r w:rsidR="00B33E59">
        <w:rPr>
          <w:rFonts w:ascii="Segoe UI" w:hAnsi="Segoe UI" w:cs="Segoe UI"/>
          <w:sz w:val="18"/>
          <w:szCs w:val="18"/>
        </w:rPr>
        <w:t xml:space="preserve"> </w:t>
      </w:r>
      <w:r w:rsidR="00DF799D">
        <w:rPr>
          <w:rFonts w:ascii="Segoe UI" w:hAnsi="Segoe UI" w:cs="Segoe UI"/>
          <w:sz w:val="18"/>
          <w:szCs w:val="18"/>
        </w:rPr>
        <w:t xml:space="preserve">a </w:t>
      </w:r>
      <w:r w:rsidR="002045C5">
        <w:rPr>
          <w:rFonts w:ascii="Segoe UI" w:hAnsi="Segoe UI" w:cs="Segoe UI"/>
          <w:sz w:val="18"/>
          <w:szCs w:val="18"/>
        </w:rPr>
        <w:t xml:space="preserve">été </w:t>
      </w:r>
      <w:r w:rsidR="00F92410">
        <w:rPr>
          <w:rFonts w:ascii="Segoe UI" w:hAnsi="Segoe UI" w:cs="Segoe UI"/>
          <w:sz w:val="18"/>
          <w:szCs w:val="18"/>
        </w:rPr>
        <w:t>promulguée</w:t>
      </w:r>
      <w:r w:rsidR="00D24C7B">
        <w:rPr>
          <w:rFonts w:ascii="Segoe UI" w:hAnsi="Segoe UI" w:cs="Segoe UI"/>
          <w:sz w:val="18"/>
          <w:szCs w:val="18"/>
        </w:rPr>
        <w:t xml:space="preserve"> en </w:t>
      </w:r>
      <w:r w:rsidR="007D3C62">
        <w:rPr>
          <w:rFonts w:ascii="Segoe UI" w:hAnsi="Segoe UI" w:cs="Segoe UI"/>
          <w:sz w:val="18"/>
          <w:szCs w:val="18"/>
        </w:rPr>
        <w:t>décembre 2023</w:t>
      </w:r>
      <w:r w:rsidR="00AE336A">
        <w:rPr>
          <w:rFonts w:ascii="Segoe UI" w:hAnsi="Segoe UI" w:cs="Segoe UI"/>
          <w:sz w:val="18"/>
          <w:szCs w:val="18"/>
        </w:rPr>
        <w:t xml:space="preserve">. </w:t>
      </w:r>
      <w:r>
        <w:rPr>
          <w:rFonts w:ascii="Segoe UI" w:hAnsi="Segoe UI" w:cs="Segoe UI"/>
          <w:sz w:val="18"/>
          <w:szCs w:val="18"/>
        </w:rPr>
        <w:t>Concrétisant la pression mise par le ministre F-P. Champagne sur les grandes chaînes de distribution depuis la fin de l’été, e</w:t>
      </w:r>
      <w:r w:rsidR="00CA2C61">
        <w:rPr>
          <w:rFonts w:ascii="Segoe UI" w:hAnsi="Segoe UI" w:cs="Segoe UI"/>
          <w:sz w:val="18"/>
          <w:szCs w:val="18"/>
        </w:rPr>
        <w:t>lle</w:t>
      </w:r>
      <w:r w:rsidR="0070331B">
        <w:rPr>
          <w:rFonts w:ascii="Segoe UI" w:hAnsi="Segoe UI" w:cs="Segoe UI"/>
          <w:sz w:val="18"/>
          <w:szCs w:val="18"/>
        </w:rPr>
        <w:t xml:space="preserve"> </w:t>
      </w:r>
      <w:r w:rsidR="00482B91">
        <w:rPr>
          <w:rFonts w:ascii="Segoe UI" w:hAnsi="Segoe UI" w:cs="Segoe UI"/>
          <w:sz w:val="18"/>
          <w:szCs w:val="18"/>
        </w:rPr>
        <w:t>permet au</w:t>
      </w:r>
      <w:r w:rsidR="00BD1C75">
        <w:rPr>
          <w:rFonts w:ascii="Segoe UI" w:hAnsi="Segoe UI" w:cs="Segoe UI"/>
          <w:sz w:val="18"/>
          <w:szCs w:val="18"/>
        </w:rPr>
        <w:t xml:space="preserve"> Bureau de la concurrence</w:t>
      </w:r>
      <w:r w:rsidR="00863A8A">
        <w:rPr>
          <w:rFonts w:ascii="Segoe UI" w:hAnsi="Segoe UI" w:cs="Segoe UI"/>
          <w:sz w:val="18"/>
          <w:szCs w:val="18"/>
        </w:rPr>
        <w:t xml:space="preserve"> </w:t>
      </w:r>
      <w:r w:rsidR="00863A8A" w:rsidRPr="00C71627">
        <w:rPr>
          <w:rFonts w:ascii="Segoe UI" w:hAnsi="Segoe UI" w:cs="Segoe UI"/>
          <w:sz w:val="18"/>
          <w:szCs w:val="18"/>
          <w:u w:val="single"/>
        </w:rPr>
        <w:t>d’</w:t>
      </w:r>
      <w:r w:rsidR="00BD1C75" w:rsidRPr="00C71627">
        <w:rPr>
          <w:rFonts w:ascii="Segoe UI" w:hAnsi="Segoe UI" w:cs="Segoe UI"/>
          <w:sz w:val="18"/>
          <w:szCs w:val="18"/>
          <w:u w:val="single"/>
        </w:rPr>
        <w:t>obliger les entreprises à partager des données financières</w:t>
      </w:r>
      <w:r w:rsidR="00A26D67">
        <w:rPr>
          <w:rFonts w:ascii="Segoe UI" w:hAnsi="Segoe UI" w:cs="Segoe UI"/>
          <w:sz w:val="18"/>
          <w:szCs w:val="18"/>
        </w:rPr>
        <w:t>, qui</w:t>
      </w:r>
      <w:r w:rsidR="00F06029">
        <w:rPr>
          <w:rFonts w:ascii="Segoe UI" w:hAnsi="Segoe UI" w:cs="Segoe UI"/>
          <w:sz w:val="18"/>
          <w:szCs w:val="18"/>
        </w:rPr>
        <w:t xml:space="preserve"> s’appliquaient </w:t>
      </w:r>
      <w:r w:rsidR="00A26D67">
        <w:rPr>
          <w:rFonts w:ascii="Segoe UI" w:hAnsi="Segoe UI" w:cs="Segoe UI"/>
          <w:sz w:val="18"/>
          <w:szCs w:val="18"/>
        </w:rPr>
        <w:t xml:space="preserve">auparavant uniquement </w:t>
      </w:r>
      <w:r w:rsidR="00F06029">
        <w:rPr>
          <w:rFonts w:ascii="Segoe UI" w:hAnsi="Segoe UI" w:cs="Segoe UI"/>
          <w:sz w:val="18"/>
          <w:szCs w:val="18"/>
        </w:rPr>
        <w:t>dans le cadre d’une mise en accusation</w:t>
      </w:r>
      <w:r w:rsidR="00376C70">
        <w:rPr>
          <w:rFonts w:ascii="Segoe UI" w:hAnsi="Segoe UI" w:cs="Segoe UI"/>
          <w:sz w:val="18"/>
          <w:szCs w:val="18"/>
        </w:rPr>
        <w:t>.</w:t>
      </w:r>
      <w:r w:rsidR="004C70E6">
        <w:rPr>
          <w:rFonts w:ascii="Segoe UI" w:hAnsi="Segoe UI" w:cs="Segoe UI"/>
          <w:sz w:val="18"/>
          <w:szCs w:val="18"/>
        </w:rPr>
        <w:t xml:space="preserve"> </w:t>
      </w:r>
      <w:r w:rsidR="00965757">
        <w:rPr>
          <w:rFonts w:ascii="Segoe UI" w:hAnsi="Segoe UI" w:cs="Segoe UI"/>
          <w:sz w:val="18"/>
          <w:szCs w:val="18"/>
        </w:rPr>
        <w:t xml:space="preserve">La loi C-56 </w:t>
      </w:r>
      <w:r w:rsidR="009E6F74">
        <w:rPr>
          <w:rFonts w:ascii="Segoe UI" w:hAnsi="Segoe UI" w:cs="Segoe UI"/>
          <w:sz w:val="18"/>
          <w:szCs w:val="18"/>
          <w:u w:val="single"/>
        </w:rPr>
        <w:t xml:space="preserve">abroge </w:t>
      </w:r>
      <w:r w:rsidR="00A26D67">
        <w:rPr>
          <w:rFonts w:ascii="Segoe UI" w:hAnsi="Segoe UI" w:cs="Segoe UI"/>
          <w:sz w:val="18"/>
          <w:szCs w:val="18"/>
          <w:u w:val="single"/>
        </w:rPr>
        <w:t xml:space="preserve">également </w:t>
      </w:r>
      <w:r w:rsidR="009E6F74">
        <w:rPr>
          <w:rFonts w:ascii="Segoe UI" w:hAnsi="Segoe UI" w:cs="Segoe UI"/>
          <w:sz w:val="18"/>
          <w:szCs w:val="18"/>
          <w:u w:val="single"/>
        </w:rPr>
        <w:t>la « clause de défense fondée sur les gains d’efficience »</w:t>
      </w:r>
      <w:r w:rsidR="009E6F74">
        <w:rPr>
          <w:rFonts w:ascii="Segoe UI" w:hAnsi="Segoe UI" w:cs="Segoe UI"/>
          <w:sz w:val="18"/>
          <w:szCs w:val="18"/>
        </w:rPr>
        <w:t xml:space="preserve"> qui permettait aux entreprises de justifier une fusion </w:t>
      </w:r>
      <w:r w:rsidR="00DF799D">
        <w:rPr>
          <w:rFonts w:ascii="Segoe UI" w:hAnsi="Segoe UI" w:cs="Segoe UI"/>
          <w:sz w:val="18"/>
          <w:szCs w:val="18"/>
        </w:rPr>
        <w:t xml:space="preserve">aux </w:t>
      </w:r>
      <w:r w:rsidR="009E6F74">
        <w:rPr>
          <w:rFonts w:ascii="Segoe UI" w:hAnsi="Segoe UI" w:cs="Segoe UI"/>
          <w:sz w:val="18"/>
          <w:szCs w:val="18"/>
        </w:rPr>
        <w:t>effet</w:t>
      </w:r>
      <w:r w:rsidR="00DF799D">
        <w:rPr>
          <w:rFonts w:ascii="Segoe UI" w:hAnsi="Segoe UI" w:cs="Segoe UI"/>
          <w:sz w:val="18"/>
          <w:szCs w:val="18"/>
        </w:rPr>
        <w:t>s</w:t>
      </w:r>
      <w:r w:rsidR="009E6F74">
        <w:rPr>
          <w:rFonts w:ascii="Segoe UI" w:hAnsi="Segoe UI" w:cs="Segoe UI"/>
          <w:sz w:val="18"/>
          <w:szCs w:val="18"/>
        </w:rPr>
        <w:t xml:space="preserve"> anti-concurrentiel</w:t>
      </w:r>
      <w:r w:rsidR="00DF799D">
        <w:rPr>
          <w:rFonts w:ascii="Segoe UI" w:hAnsi="Segoe UI" w:cs="Segoe UI"/>
          <w:sz w:val="18"/>
          <w:szCs w:val="18"/>
        </w:rPr>
        <w:t>s</w:t>
      </w:r>
      <w:r w:rsidR="009E6F74">
        <w:rPr>
          <w:rFonts w:ascii="Segoe UI" w:hAnsi="Segoe UI" w:cs="Segoe UI"/>
          <w:sz w:val="18"/>
          <w:szCs w:val="18"/>
        </w:rPr>
        <w:t xml:space="preserve"> si les gains en efficience pour l’industrie </w:t>
      </w:r>
      <w:r w:rsidR="00B371C9">
        <w:rPr>
          <w:rFonts w:ascii="Segoe UI" w:hAnsi="Segoe UI" w:cs="Segoe UI"/>
          <w:sz w:val="18"/>
          <w:szCs w:val="18"/>
        </w:rPr>
        <w:t>l’emportent</w:t>
      </w:r>
      <w:r w:rsidR="00DF799D">
        <w:rPr>
          <w:rFonts w:ascii="Segoe UI" w:hAnsi="Segoe UI" w:cs="Segoe UI"/>
          <w:sz w:val="18"/>
          <w:szCs w:val="18"/>
        </w:rPr>
        <w:t xml:space="preserve"> sur les effets anti-concurrentiels</w:t>
      </w:r>
      <w:r w:rsidR="00F422C7">
        <w:rPr>
          <w:rFonts w:ascii="Segoe UI" w:hAnsi="Segoe UI" w:cs="Segoe UI"/>
          <w:sz w:val="18"/>
          <w:szCs w:val="18"/>
        </w:rPr>
        <w:t xml:space="preserve">. </w:t>
      </w:r>
      <w:r w:rsidR="00093EE3">
        <w:rPr>
          <w:rFonts w:ascii="Segoe UI" w:hAnsi="Segoe UI" w:cs="Segoe UI"/>
          <w:sz w:val="18"/>
          <w:szCs w:val="18"/>
        </w:rPr>
        <w:t xml:space="preserve">La loi </w:t>
      </w:r>
      <w:r w:rsidR="00F22B9B" w:rsidRPr="00F22B9B">
        <w:rPr>
          <w:rFonts w:ascii="Segoe UI" w:hAnsi="Segoe UI" w:cs="Segoe UI"/>
          <w:sz w:val="18"/>
          <w:szCs w:val="18"/>
          <w:u w:val="single"/>
        </w:rPr>
        <w:t xml:space="preserve">élargit l’interdiction des ententes pour englober </w:t>
      </w:r>
      <w:r w:rsidR="00B33E59">
        <w:rPr>
          <w:rFonts w:ascii="Segoe UI" w:hAnsi="Segoe UI" w:cs="Segoe UI"/>
          <w:sz w:val="18"/>
          <w:szCs w:val="18"/>
          <w:u w:val="single"/>
        </w:rPr>
        <w:t>celles</w:t>
      </w:r>
      <w:r w:rsidR="00F22B9B" w:rsidRPr="00F22B9B">
        <w:rPr>
          <w:rFonts w:ascii="Segoe UI" w:hAnsi="Segoe UI" w:cs="Segoe UI"/>
          <w:sz w:val="18"/>
          <w:szCs w:val="18"/>
          <w:u w:val="single"/>
        </w:rPr>
        <w:t xml:space="preserve"> entre non-concurrent</w:t>
      </w:r>
      <w:r w:rsidR="007959C1">
        <w:rPr>
          <w:rFonts w:ascii="Segoe UI" w:hAnsi="Segoe UI" w:cs="Segoe UI"/>
          <w:sz w:val="18"/>
          <w:szCs w:val="18"/>
          <w:u w:val="single"/>
        </w:rPr>
        <w:t>s</w:t>
      </w:r>
      <w:r w:rsidR="007959C1">
        <w:rPr>
          <w:rFonts w:ascii="Segoe UI" w:hAnsi="Segoe UI" w:cs="Segoe UI"/>
          <w:sz w:val="18"/>
          <w:szCs w:val="18"/>
        </w:rPr>
        <w:t> ; une mesure qui cible le secteur de la distribution alimentaire</w:t>
      </w:r>
      <w:r>
        <w:rPr>
          <w:rFonts w:ascii="Segoe UI" w:hAnsi="Segoe UI" w:cs="Segoe UI"/>
          <w:sz w:val="18"/>
          <w:szCs w:val="18"/>
        </w:rPr>
        <w:t xml:space="preserve"> puisque, </w:t>
      </w:r>
      <w:r w:rsidR="00450107">
        <w:rPr>
          <w:rFonts w:ascii="Segoe UI" w:hAnsi="Segoe UI" w:cs="Segoe UI"/>
          <w:sz w:val="18"/>
          <w:szCs w:val="18"/>
        </w:rPr>
        <w:t>a</w:t>
      </w:r>
      <w:r w:rsidR="00F22B9B">
        <w:rPr>
          <w:rFonts w:ascii="Segoe UI" w:hAnsi="Segoe UI" w:cs="Segoe UI"/>
          <w:sz w:val="18"/>
          <w:szCs w:val="18"/>
        </w:rPr>
        <w:t>uparavant</w:t>
      </w:r>
      <w:r>
        <w:rPr>
          <w:rFonts w:ascii="Segoe UI" w:hAnsi="Segoe UI" w:cs="Segoe UI"/>
          <w:sz w:val="18"/>
          <w:szCs w:val="18"/>
        </w:rPr>
        <w:t xml:space="preserve">, </w:t>
      </w:r>
      <w:r w:rsidR="00F22B9B">
        <w:rPr>
          <w:rFonts w:ascii="Segoe UI" w:hAnsi="Segoe UI" w:cs="Segoe UI"/>
          <w:sz w:val="18"/>
          <w:szCs w:val="18"/>
        </w:rPr>
        <w:t xml:space="preserve">les distributeurs alimentaires incluaient dans leurs baux des clauses d’exclusion pour empêcher un bailleur commercial de louer des locaux à un concurrent dans une zone géographique déterminée. </w:t>
      </w:r>
      <w:r w:rsidR="00F07501">
        <w:rPr>
          <w:rFonts w:ascii="Segoe UI" w:hAnsi="Segoe UI" w:cs="Segoe UI"/>
          <w:sz w:val="18"/>
          <w:szCs w:val="18"/>
        </w:rPr>
        <w:t>L</w:t>
      </w:r>
      <w:r w:rsidR="00352B13">
        <w:rPr>
          <w:rFonts w:ascii="Segoe UI" w:hAnsi="Segoe UI" w:cs="Segoe UI"/>
          <w:sz w:val="18"/>
          <w:szCs w:val="18"/>
        </w:rPr>
        <w:t xml:space="preserve">a loi </w:t>
      </w:r>
      <w:r w:rsidR="00352B13" w:rsidRPr="0096324B">
        <w:rPr>
          <w:rFonts w:ascii="Segoe UI" w:hAnsi="Segoe UI" w:cs="Segoe UI"/>
          <w:sz w:val="18"/>
          <w:szCs w:val="18"/>
          <w:u w:val="single"/>
        </w:rPr>
        <w:t xml:space="preserve">assouplit </w:t>
      </w:r>
      <w:r w:rsidR="00EC0C3B">
        <w:rPr>
          <w:rFonts w:ascii="Segoe UI" w:hAnsi="Segoe UI" w:cs="Segoe UI"/>
          <w:sz w:val="18"/>
          <w:szCs w:val="18"/>
          <w:u w:val="single"/>
        </w:rPr>
        <w:t xml:space="preserve">et élargit </w:t>
      </w:r>
      <w:r w:rsidR="00352B13" w:rsidRPr="0096324B">
        <w:rPr>
          <w:rFonts w:ascii="Segoe UI" w:hAnsi="Segoe UI" w:cs="Segoe UI"/>
          <w:sz w:val="18"/>
          <w:szCs w:val="18"/>
          <w:u w:val="single"/>
        </w:rPr>
        <w:t>la caractérisation d’un abus de position dominante</w:t>
      </w:r>
      <w:r w:rsidR="006F27E4">
        <w:rPr>
          <w:rFonts w:ascii="Segoe UI" w:hAnsi="Segoe UI" w:cs="Segoe UI"/>
          <w:sz w:val="18"/>
          <w:szCs w:val="18"/>
          <w:u w:val="single"/>
        </w:rPr>
        <w:t>,</w:t>
      </w:r>
      <w:r w:rsidR="00352B13">
        <w:rPr>
          <w:rFonts w:ascii="Segoe UI" w:hAnsi="Segoe UI" w:cs="Segoe UI"/>
          <w:sz w:val="18"/>
          <w:szCs w:val="18"/>
        </w:rPr>
        <w:t xml:space="preserve"> en supprimant l’obligation de prouver qu’un abus de position dominante « </w:t>
      </w:r>
      <w:r w:rsidR="00352B13" w:rsidRPr="009864D6">
        <w:rPr>
          <w:rFonts w:ascii="Segoe UI" w:hAnsi="Segoe UI" w:cs="Segoe UI"/>
          <w:i/>
          <w:iCs/>
          <w:sz w:val="18"/>
          <w:szCs w:val="18"/>
        </w:rPr>
        <w:t>diminue ou empêche sensiblement la concurrence</w:t>
      </w:r>
      <w:r w:rsidR="00352B13">
        <w:rPr>
          <w:rFonts w:ascii="Segoe UI" w:hAnsi="Segoe UI" w:cs="Segoe UI"/>
          <w:sz w:val="18"/>
          <w:szCs w:val="18"/>
        </w:rPr>
        <w:t> »</w:t>
      </w:r>
      <w:r w:rsidR="00B12695">
        <w:rPr>
          <w:rFonts w:ascii="Segoe UI" w:hAnsi="Segoe UI" w:cs="Segoe UI"/>
          <w:sz w:val="18"/>
          <w:szCs w:val="18"/>
        </w:rPr>
        <w:t xml:space="preserve"> et en incluant « </w:t>
      </w:r>
      <w:r w:rsidR="00B12695" w:rsidRPr="009864D6">
        <w:rPr>
          <w:rFonts w:ascii="Segoe UI" w:hAnsi="Segoe UI" w:cs="Segoe UI"/>
          <w:i/>
          <w:iCs/>
          <w:sz w:val="18"/>
          <w:szCs w:val="18"/>
        </w:rPr>
        <w:t>l’imposition de prix de vente direct ou indirect excessifs et injustes</w:t>
      </w:r>
      <w:r w:rsidR="00B12695">
        <w:rPr>
          <w:rFonts w:ascii="Segoe UI" w:hAnsi="Segoe UI" w:cs="Segoe UI"/>
          <w:sz w:val="18"/>
          <w:szCs w:val="18"/>
        </w:rPr>
        <w:t> » dans la caractérisation d’un abus de position dominante</w:t>
      </w:r>
      <w:r w:rsidR="00352B13">
        <w:rPr>
          <w:rFonts w:ascii="Segoe UI" w:hAnsi="Segoe UI" w:cs="Segoe UI"/>
          <w:sz w:val="18"/>
          <w:szCs w:val="18"/>
        </w:rPr>
        <w:t xml:space="preserve">. </w:t>
      </w:r>
      <w:r w:rsidR="00EC0C3B">
        <w:rPr>
          <w:rFonts w:ascii="Segoe UI" w:hAnsi="Segoe UI" w:cs="Segoe UI"/>
          <w:sz w:val="18"/>
          <w:szCs w:val="18"/>
        </w:rPr>
        <w:t xml:space="preserve">Enfin, la </w:t>
      </w:r>
      <w:r w:rsidR="00EA6EC2">
        <w:rPr>
          <w:rFonts w:ascii="Segoe UI" w:hAnsi="Segoe UI" w:cs="Segoe UI"/>
          <w:sz w:val="18"/>
          <w:szCs w:val="18"/>
        </w:rPr>
        <w:t>loi</w:t>
      </w:r>
      <w:r w:rsidR="00EC0C3B">
        <w:rPr>
          <w:rFonts w:ascii="Segoe UI" w:hAnsi="Segoe UI" w:cs="Segoe UI"/>
          <w:sz w:val="18"/>
          <w:szCs w:val="18"/>
        </w:rPr>
        <w:t xml:space="preserve"> </w:t>
      </w:r>
      <w:r w:rsidR="000E68BD" w:rsidRPr="002777EE">
        <w:rPr>
          <w:rFonts w:ascii="Segoe UI" w:hAnsi="Segoe UI" w:cs="Segoe UI"/>
          <w:sz w:val="18"/>
          <w:szCs w:val="18"/>
          <w:u w:val="single"/>
        </w:rPr>
        <w:t>augmente le plafond</w:t>
      </w:r>
      <w:r w:rsidR="00A3510D" w:rsidRPr="002777EE">
        <w:rPr>
          <w:rFonts w:ascii="Segoe UI" w:hAnsi="Segoe UI" w:cs="Segoe UI"/>
          <w:sz w:val="18"/>
          <w:szCs w:val="18"/>
          <w:u w:val="single"/>
        </w:rPr>
        <w:t xml:space="preserve"> des</w:t>
      </w:r>
      <w:r w:rsidR="000E68BD" w:rsidRPr="002777EE">
        <w:rPr>
          <w:rFonts w:ascii="Segoe UI" w:hAnsi="Segoe UI" w:cs="Segoe UI"/>
          <w:sz w:val="18"/>
          <w:szCs w:val="18"/>
          <w:u w:val="single"/>
        </w:rPr>
        <w:t xml:space="preserve"> pénalités financières</w:t>
      </w:r>
      <w:r w:rsidR="000E68BD">
        <w:rPr>
          <w:rFonts w:ascii="Segoe UI" w:hAnsi="Segoe UI" w:cs="Segoe UI"/>
          <w:sz w:val="18"/>
          <w:szCs w:val="18"/>
        </w:rPr>
        <w:t xml:space="preserve"> en cas de condamnation pour pratiques anti-concurrentielles de 10 M CAD (7 M€) </w:t>
      </w:r>
      <w:r w:rsidR="00A26D67">
        <w:rPr>
          <w:rFonts w:ascii="Segoe UI" w:hAnsi="Segoe UI" w:cs="Segoe UI"/>
          <w:sz w:val="18"/>
          <w:szCs w:val="18"/>
        </w:rPr>
        <w:t>-</w:t>
      </w:r>
      <w:r w:rsidR="000E68BD">
        <w:rPr>
          <w:rFonts w:ascii="Segoe UI" w:hAnsi="Segoe UI" w:cs="Segoe UI"/>
          <w:sz w:val="18"/>
          <w:szCs w:val="18"/>
        </w:rPr>
        <w:t xml:space="preserve">15 M CAD (10 </w:t>
      </w:r>
      <w:r w:rsidR="00A26D67">
        <w:rPr>
          <w:rFonts w:ascii="Segoe UI" w:hAnsi="Segoe UI" w:cs="Segoe UI"/>
          <w:sz w:val="18"/>
          <w:szCs w:val="18"/>
        </w:rPr>
        <w:t>M</w:t>
      </w:r>
      <w:r w:rsidR="000E68BD">
        <w:rPr>
          <w:rFonts w:ascii="Segoe UI" w:hAnsi="Segoe UI" w:cs="Segoe UI"/>
          <w:sz w:val="18"/>
          <w:szCs w:val="18"/>
        </w:rPr>
        <w:t xml:space="preserve">€) </w:t>
      </w:r>
      <w:r w:rsidR="00A26D67">
        <w:rPr>
          <w:rFonts w:ascii="Segoe UI" w:hAnsi="Segoe UI" w:cs="Segoe UI"/>
          <w:sz w:val="18"/>
          <w:szCs w:val="18"/>
        </w:rPr>
        <w:t>en cas de récidive -</w:t>
      </w:r>
      <w:r w:rsidR="000E68BD">
        <w:rPr>
          <w:rFonts w:ascii="Segoe UI" w:hAnsi="Segoe UI" w:cs="Segoe UI"/>
          <w:sz w:val="18"/>
          <w:szCs w:val="18"/>
        </w:rPr>
        <w:t xml:space="preserve"> à 25 M CAD </w:t>
      </w:r>
      <w:r w:rsidR="00A3510D">
        <w:rPr>
          <w:rFonts w:ascii="Segoe UI" w:hAnsi="Segoe UI" w:cs="Segoe UI"/>
          <w:sz w:val="18"/>
          <w:szCs w:val="18"/>
        </w:rPr>
        <w:t xml:space="preserve">(17 M€) </w:t>
      </w:r>
      <w:r w:rsidR="00A26D67">
        <w:rPr>
          <w:rFonts w:ascii="Segoe UI" w:hAnsi="Segoe UI" w:cs="Segoe UI"/>
          <w:sz w:val="18"/>
          <w:szCs w:val="18"/>
        </w:rPr>
        <w:t>-</w:t>
      </w:r>
      <w:r w:rsidR="00A3510D">
        <w:rPr>
          <w:rFonts w:ascii="Segoe UI" w:hAnsi="Segoe UI" w:cs="Segoe UI"/>
          <w:sz w:val="18"/>
          <w:szCs w:val="18"/>
        </w:rPr>
        <w:t xml:space="preserve"> 35 M CAD (24 M€)</w:t>
      </w:r>
      <w:r w:rsidR="00901A9E">
        <w:rPr>
          <w:rFonts w:ascii="Segoe UI" w:hAnsi="Segoe UI" w:cs="Segoe UI"/>
          <w:sz w:val="18"/>
          <w:szCs w:val="18"/>
        </w:rPr>
        <w:t xml:space="preserve">. </w:t>
      </w:r>
    </w:p>
    <w:p w14:paraId="39142916" w14:textId="1669A08C" w:rsidR="00A67186" w:rsidRPr="001817A7" w:rsidRDefault="00F248AE" w:rsidP="0008486E">
      <w:pPr>
        <w:spacing w:before="60" w:after="0"/>
        <w:jc w:val="both"/>
        <w:rPr>
          <w:rFonts w:ascii="Segoe UI" w:hAnsi="Segoe UI" w:cs="Segoe UI"/>
          <w:sz w:val="18"/>
          <w:szCs w:val="18"/>
        </w:rPr>
      </w:pPr>
      <w:r>
        <w:rPr>
          <w:rFonts w:ascii="Segoe UI" w:hAnsi="Segoe UI" w:cs="Segoe UI"/>
          <w:b/>
          <w:bCs/>
          <w:sz w:val="18"/>
          <w:szCs w:val="18"/>
        </w:rPr>
        <w:t xml:space="preserve">Sur la base de ces dispositions, le ministre F-P. Champagne multiplie </w:t>
      </w:r>
      <w:r w:rsidR="002931D9">
        <w:rPr>
          <w:rFonts w:ascii="Segoe UI" w:hAnsi="Segoe UI" w:cs="Segoe UI"/>
          <w:b/>
          <w:bCs/>
          <w:sz w:val="18"/>
          <w:szCs w:val="18"/>
        </w:rPr>
        <w:t xml:space="preserve">dès à présent </w:t>
      </w:r>
      <w:r>
        <w:rPr>
          <w:rFonts w:ascii="Segoe UI" w:hAnsi="Segoe UI" w:cs="Segoe UI"/>
          <w:b/>
          <w:bCs/>
          <w:sz w:val="18"/>
          <w:szCs w:val="18"/>
        </w:rPr>
        <w:t>les initiatives pour renforcer la pression sur les acteurs de la distribution alimentaire</w:t>
      </w:r>
      <w:r w:rsidR="00A67186">
        <w:rPr>
          <w:rFonts w:ascii="Segoe UI" w:hAnsi="Segoe UI" w:cs="Segoe UI"/>
          <w:b/>
          <w:bCs/>
          <w:sz w:val="18"/>
          <w:szCs w:val="18"/>
        </w:rPr>
        <w:t xml:space="preserve">. </w:t>
      </w:r>
      <w:r w:rsidR="00A67186">
        <w:rPr>
          <w:rFonts w:ascii="Segoe UI" w:hAnsi="Segoe UI" w:cs="Segoe UI"/>
          <w:sz w:val="18"/>
          <w:szCs w:val="18"/>
        </w:rPr>
        <w:t>Le Ministre Champagne multiplie</w:t>
      </w:r>
      <w:r w:rsidR="002931D9">
        <w:rPr>
          <w:rFonts w:ascii="Segoe UI" w:hAnsi="Segoe UI" w:cs="Segoe UI"/>
          <w:sz w:val="18"/>
          <w:szCs w:val="18"/>
        </w:rPr>
        <w:t xml:space="preserve"> </w:t>
      </w:r>
      <w:r w:rsidR="00A67186">
        <w:rPr>
          <w:rFonts w:ascii="Segoe UI" w:hAnsi="Segoe UI" w:cs="Segoe UI"/>
          <w:sz w:val="18"/>
          <w:szCs w:val="18"/>
        </w:rPr>
        <w:t xml:space="preserve">depuis octobre les initiatives pour attirer de nouveaux acteurs étrangers ; il aurait ainsi échangé avec les dirigeants de distributeurs alimentaires américains comme Trader Joe’s et Wegmans, avec le distributeur allemand Aldi ou encore avec Carrefour. Aucun distributeur étranger ne s’est toutefois déclaré intéressé à ce jour. Le précédent de Target, qui s’était lancé sur le marché canadien milieu des années 2010 avant de devoir y renoncer, demeure dans tous les esprits. </w:t>
      </w:r>
    </w:p>
    <w:p w14:paraId="075478D6" w14:textId="1D09410F" w:rsidR="002045C5" w:rsidRDefault="00B91081" w:rsidP="009F0217">
      <w:pPr>
        <w:spacing w:before="60" w:after="0"/>
        <w:jc w:val="both"/>
        <w:rPr>
          <w:rFonts w:ascii="Segoe UI" w:hAnsi="Segoe UI" w:cs="Segoe UI"/>
          <w:sz w:val="18"/>
          <w:szCs w:val="18"/>
        </w:rPr>
      </w:pPr>
      <w:r>
        <w:rPr>
          <w:rFonts w:ascii="Segoe UI" w:hAnsi="Segoe UI" w:cs="Segoe UI"/>
          <w:b/>
          <w:bCs/>
          <w:sz w:val="18"/>
          <w:szCs w:val="18"/>
        </w:rPr>
        <w:t>Enfin, u</w:t>
      </w:r>
      <w:r w:rsidR="006F27E4">
        <w:rPr>
          <w:rFonts w:ascii="Segoe UI" w:hAnsi="Segoe UI" w:cs="Segoe UI"/>
          <w:b/>
          <w:bCs/>
          <w:sz w:val="18"/>
          <w:szCs w:val="18"/>
        </w:rPr>
        <w:t>ne deuxième série d’amendements au</w:t>
      </w:r>
      <w:r w:rsidR="00215383">
        <w:rPr>
          <w:rFonts w:ascii="Segoe UI" w:hAnsi="Segoe UI" w:cs="Segoe UI"/>
          <w:b/>
          <w:bCs/>
          <w:sz w:val="18"/>
          <w:szCs w:val="18"/>
        </w:rPr>
        <w:t xml:space="preserve"> droit de la concurrence</w:t>
      </w:r>
      <w:r w:rsidR="00E43E18">
        <w:rPr>
          <w:rFonts w:ascii="Segoe UI" w:hAnsi="Segoe UI" w:cs="Segoe UI"/>
          <w:b/>
          <w:bCs/>
          <w:sz w:val="18"/>
          <w:szCs w:val="18"/>
        </w:rPr>
        <w:t xml:space="preserve">, d’une portée plus </w:t>
      </w:r>
      <w:r w:rsidR="000C2582">
        <w:rPr>
          <w:rFonts w:ascii="Segoe UI" w:hAnsi="Segoe UI" w:cs="Segoe UI"/>
          <w:b/>
          <w:bCs/>
          <w:sz w:val="18"/>
          <w:szCs w:val="18"/>
        </w:rPr>
        <w:t>générale</w:t>
      </w:r>
      <w:r w:rsidR="00E43E18">
        <w:rPr>
          <w:rFonts w:ascii="Segoe UI" w:hAnsi="Segoe UI" w:cs="Segoe UI"/>
          <w:b/>
          <w:bCs/>
          <w:sz w:val="18"/>
          <w:szCs w:val="18"/>
        </w:rPr>
        <w:t>,</w:t>
      </w:r>
      <w:r w:rsidR="00215383">
        <w:rPr>
          <w:rFonts w:ascii="Segoe UI" w:hAnsi="Segoe UI" w:cs="Segoe UI"/>
          <w:b/>
          <w:bCs/>
          <w:sz w:val="18"/>
          <w:szCs w:val="18"/>
        </w:rPr>
        <w:t xml:space="preserve"> devrait être adopté</w:t>
      </w:r>
      <w:r w:rsidR="00D92E98">
        <w:rPr>
          <w:rFonts w:ascii="Segoe UI" w:hAnsi="Segoe UI" w:cs="Segoe UI"/>
          <w:b/>
          <w:bCs/>
          <w:sz w:val="18"/>
          <w:szCs w:val="18"/>
        </w:rPr>
        <w:t>e</w:t>
      </w:r>
      <w:r w:rsidR="00215383">
        <w:rPr>
          <w:rFonts w:ascii="Segoe UI" w:hAnsi="Segoe UI" w:cs="Segoe UI"/>
          <w:b/>
          <w:bCs/>
          <w:sz w:val="18"/>
          <w:szCs w:val="18"/>
        </w:rPr>
        <w:t xml:space="preserve"> </w:t>
      </w:r>
      <w:r w:rsidR="00554935">
        <w:rPr>
          <w:rFonts w:ascii="Segoe UI" w:hAnsi="Segoe UI" w:cs="Segoe UI"/>
          <w:b/>
          <w:bCs/>
          <w:sz w:val="18"/>
          <w:szCs w:val="18"/>
        </w:rPr>
        <w:t>au premier trimestre</w:t>
      </w:r>
      <w:r w:rsidR="00A26D67">
        <w:rPr>
          <w:rFonts w:ascii="Segoe UI" w:hAnsi="Segoe UI" w:cs="Segoe UI"/>
          <w:b/>
          <w:bCs/>
          <w:sz w:val="18"/>
          <w:szCs w:val="18"/>
        </w:rPr>
        <w:t xml:space="preserve"> 2024</w:t>
      </w:r>
      <w:r w:rsidR="00BE650F">
        <w:rPr>
          <w:rFonts w:ascii="Segoe UI" w:hAnsi="Segoe UI" w:cs="Segoe UI"/>
          <w:b/>
          <w:bCs/>
          <w:sz w:val="18"/>
          <w:szCs w:val="18"/>
        </w:rPr>
        <w:t xml:space="preserve">. </w:t>
      </w:r>
      <w:r w:rsidR="00FB31E1">
        <w:rPr>
          <w:rFonts w:ascii="Segoe UI" w:hAnsi="Segoe UI" w:cs="Segoe UI"/>
          <w:sz w:val="18"/>
          <w:szCs w:val="18"/>
        </w:rPr>
        <w:t>Le projet de Loi C-59</w:t>
      </w:r>
      <w:r w:rsidR="00C67D69">
        <w:rPr>
          <w:rFonts w:ascii="Segoe UI" w:hAnsi="Segoe UI" w:cs="Segoe UI"/>
          <w:sz w:val="18"/>
          <w:szCs w:val="18"/>
        </w:rPr>
        <w:t>,</w:t>
      </w:r>
      <w:r w:rsidR="00FB31E1">
        <w:rPr>
          <w:rFonts w:ascii="Segoe UI" w:hAnsi="Segoe UI" w:cs="Segoe UI"/>
          <w:sz w:val="18"/>
          <w:szCs w:val="18"/>
        </w:rPr>
        <w:t xml:space="preserve"> déposé en décembre </w:t>
      </w:r>
      <w:r w:rsidR="008F3308">
        <w:rPr>
          <w:rFonts w:ascii="Segoe UI" w:hAnsi="Segoe UI" w:cs="Segoe UI"/>
          <w:sz w:val="18"/>
          <w:szCs w:val="18"/>
        </w:rPr>
        <w:t>2023, complète</w:t>
      </w:r>
      <w:r w:rsidR="00FB31E1">
        <w:rPr>
          <w:rFonts w:ascii="Segoe UI" w:hAnsi="Segoe UI" w:cs="Segoe UI"/>
          <w:sz w:val="18"/>
          <w:szCs w:val="18"/>
        </w:rPr>
        <w:t xml:space="preserve"> la Loi C-56</w:t>
      </w:r>
      <w:r w:rsidR="009B63F1">
        <w:rPr>
          <w:rFonts w:ascii="Segoe UI" w:hAnsi="Segoe UI" w:cs="Segoe UI"/>
          <w:sz w:val="18"/>
          <w:szCs w:val="18"/>
        </w:rPr>
        <w:t xml:space="preserve">. </w:t>
      </w:r>
      <w:r w:rsidR="006F27E4">
        <w:rPr>
          <w:rFonts w:ascii="Segoe UI" w:hAnsi="Segoe UI" w:cs="Segoe UI"/>
          <w:sz w:val="18"/>
          <w:szCs w:val="18"/>
        </w:rPr>
        <w:t>Ce projet de loi</w:t>
      </w:r>
      <w:r w:rsidR="00C67D69">
        <w:rPr>
          <w:rFonts w:ascii="Segoe UI" w:hAnsi="Segoe UI" w:cs="Segoe UI"/>
          <w:sz w:val="18"/>
          <w:szCs w:val="18"/>
        </w:rPr>
        <w:t xml:space="preserve"> </w:t>
      </w:r>
      <w:r w:rsidR="007C09F6">
        <w:rPr>
          <w:rFonts w:ascii="Segoe UI" w:hAnsi="Segoe UI" w:cs="Segoe UI"/>
          <w:sz w:val="18"/>
          <w:szCs w:val="18"/>
        </w:rPr>
        <w:t xml:space="preserve">autoriserait le Bureau de la concurrence à </w:t>
      </w:r>
      <w:r w:rsidR="007C09F6" w:rsidRPr="007C09F6">
        <w:rPr>
          <w:rFonts w:ascii="Segoe UI" w:hAnsi="Segoe UI" w:cs="Segoe UI"/>
          <w:sz w:val="18"/>
          <w:szCs w:val="18"/>
          <w:u w:val="single"/>
        </w:rPr>
        <w:t>suspendre un processus de fusion</w:t>
      </w:r>
      <w:r w:rsidR="007C09F6">
        <w:rPr>
          <w:rFonts w:ascii="Segoe UI" w:hAnsi="Segoe UI" w:cs="Segoe UI"/>
          <w:sz w:val="18"/>
          <w:szCs w:val="18"/>
        </w:rPr>
        <w:t xml:space="preserve"> tant qu’il n’a pas rendu son avis sur la transaction</w:t>
      </w:r>
      <w:r w:rsidR="00C67D69">
        <w:rPr>
          <w:rFonts w:ascii="Segoe UI" w:hAnsi="Segoe UI" w:cs="Segoe UI"/>
          <w:sz w:val="18"/>
          <w:szCs w:val="18"/>
        </w:rPr>
        <w:t> ; c</w:t>
      </w:r>
      <w:r w:rsidR="006F1BC4">
        <w:rPr>
          <w:rFonts w:ascii="Segoe UI" w:hAnsi="Segoe UI" w:cs="Segoe UI"/>
          <w:sz w:val="18"/>
          <w:szCs w:val="18"/>
        </w:rPr>
        <w:t xml:space="preserve">ette disposition empêcherait </w:t>
      </w:r>
      <w:r w:rsidR="0011459F">
        <w:rPr>
          <w:rFonts w:ascii="Segoe UI" w:hAnsi="Segoe UI" w:cs="Segoe UI"/>
          <w:sz w:val="18"/>
          <w:szCs w:val="18"/>
        </w:rPr>
        <w:t xml:space="preserve">les entreprises d’imposer un </w:t>
      </w:r>
      <w:r w:rsidR="0011459F" w:rsidRPr="0011459F">
        <w:rPr>
          <w:rFonts w:ascii="Segoe UI" w:hAnsi="Segoe UI" w:cs="Segoe UI"/>
          <w:i/>
          <w:iCs/>
          <w:sz w:val="18"/>
          <w:szCs w:val="18"/>
        </w:rPr>
        <w:t>fait accompli</w:t>
      </w:r>
      <w:r w:rsidR="0011459F">
        <w:rPr>
          <w:rFonts w:ascii="Segoe UI" w:hAnsi="Segoe UI" w:cs="Segoe UI"/>
          <w:sz w:val="18"/>
          <w:szCs w:val="18"/>
        </w:rPr>
        <w:t xml:space="preserve"> au gouvernement sur une opération</w:t>
      </w:r>
      <w:r w:rsidR="0076461D">
        <w:rPr>
          <w:rFonts w:ascii="Segoe UI" w:hAnsi="Segoe UI" w:cs="Segoe UI"/>
          <w:sz w:val="18"/>
          <w:szCs w:val="18"/>
        </w:rPr>
        <w:t xml:space="preserve"> à caractère anti-concurrentiel</w:t>
      </w:r>
      <w:r w:rsidR="0011459F">
        <w:rPr>
          <w:rFonts w:ascii="Segoe UI" w:hAnsi="Segoe UI" w:cs="Segoe UI"/>
          <w:sz w:val="18"/>
          <w:szCs w:val="18"/>
        </w:rPr>
        <w:t xml:space="preserve">. </w:t>
      </w:r>
      <w:r w:rsidR="008C27F1">
        <w:rPr>
          <w:rFonts w:ascii="Segoe UI" w:hAnsi="Segoe UI" w:cs="Segoe UI"/>
          <w:sz w:val="18"/>
          <w:szCs w:val="18"/>
        </w:rPr>
        <w:t xml:space="preserve">Le </w:t>
      </w:r>
      <w:r w:rsidR="008C27F1" w:rsidRPr="00173B2D">
        <w:rPr>
          <w:rFonts w:ascii="Segoe UI" w:hAnsi="Segoe UI" w:cs="Segoe UI"/>
          <w:sz w:val="18"/>
          <w:szCs w:val="18"/>
          <w:u w:val="single"/>
        </w:rPr>
        <w:t xml:space="preserve">délai de révision </w:t>
      </w:r>
      <w:r w:rsidR="009132BA">
        <w:rPr>
          <w:rFonts w:ascii="Segoe UI" w:hAnsi="Segoe UI" w:cs="Segoe UI"/>
          <w:sz w:val="18"/>
          <w:szCs w:val="18"/>
          <w:u w:val="single"/>
        </w:rPr>
        <w:t xml:space="preserve">après clôture d’une opération de </w:t>
      </w:r>
      <w:r w:rsidR="00CC2766">
        <w:rPr>
          <w:rFonts w:ascii="Segoe UI" w:hAnsi="Segoe UI" w:cs="Segoe UI"/>
          <w:sz w:val="18"/>
          <w:szCs w:val="18"/>
          <w:u w:val="single"/>
        </w:rPr>
        <w:t>fusion</w:t>
      </w:r>
      <w:r w:rsidR="009132BA" w:rsidRPr="00A015A3">
        <w:rPr>
          <w:rFonts w:ascii="Segoe UI" w:hAnsi="Segoe UI" w:cs="Segoe UI"/>
          <w:sz w:val="18"/>
          <w:szCs w:val="18"/>
        </w:rPr>
        <w:t xml:space="preserve"> </w:t>
      </w:r>
      <w:r w:rsidR="009132BA" w:rsidRPr="00142AD7">
        <w:rPr>
          <w:rFonts w:ascii="Segoe UI" w:hAnsi="Segoe UI" w:cs="Segoe UI"/>
          <w:sz w:val="18"/>
          <w:szCs w:val="18"/>
        </w:rPr>
        <w:t xml:space="preserve">par </w:t>
      </w:r>
      <w:r w:rsidR="00B30AF8" w:rsidRPr="00142AD7">
        <w:rPr>
          <w:rFonts w:ascii="Segoe UI" w:hAnsi="Segoe UI" w:cs="Segoe UI"/>
          <w:sz w:val="18"/>
          <w:szCs w:val="18"/>
        </w:rPr>
        <w:t>le</w:t>
      </w:r>
      <w:r w:rsidR="00B30AF8">
        <w:rPr>
          <w:rFonts w:ascii="Segoe UI" w:hAnsi="Segoe UI" w:cs="Segoe UI"/>
          <w:sz w:val="18"/>
          <w:szCs w:val="18"/>
        </w:rPr>
        <w:t xml:space="preserve"> Bureau de la concurrence serait étendu à </w:t>
      </w:r>
      <w:r w:rsidR="00C67D69">
        <w:rPr>
          <w:rFonts w:ascii="Segoe UI" w:hAnsi="Segoe UI" w:cs="Segoe UI"/>
          <w:sz w:val="18"/>
          <w:szCs w:val="18"/>
        </w:rPr>
        <w:t>trois</w:t>
      </w:r>
      <w:r w:rsidR="00B30AF8">
        <w:rPr>
          <w:rFonts w:ascii="Segoe UI" w:hAnsi="Segoe UI" w:cs="Segoe UI"/>
          <w:sz w:val="18"/>
          <w:szCs w:val="18"/>
        </w:rPr>
        <w:t xml:space="preserve"> ans</w:t>
      </w:r>
      <w:r w:rsidR="009D3344">
        <w:rPr>
          <w:rFonts w:ascii="Segoe UI" w:hAnsi="Segoe UI" w:cs="Segoe UI"/>
          <w:sz w:val="18"/>
          <w:szCs w:val="18"/>
        </w:rPr>
        <w:t xml:space="preserve">, contre </w:t>
      </w:r>
      <w:r w:rsidR="00C67D69">
        <w:rPr>
          <w:rFonts w:ascii="Segoe UI" w:hAnsi="Segoe UI" w:cs="Segoe UI"/>
          <w:sz w:val="18"/>
          <w:szCs w:val="18"/>
        </w:rPr>
        <w:t>un an</w:t>
      </w:r>
      <w:r w:rsidR="009D3344">
        <w:rPr>
          <w:rFonts w:ascii="Segoe UI" w:hAnsi="Segoe UI" w:cs="Segoe UI"/>
          <w:sz w:val="18"/>
          <w:szCs w:val="18"/>
        </w:rPr>
        <w:t xml:space="preserve"> actuellement</w:t>
      </w:r>
      <w:r w:rsidR="00B30AF8">
        <w:rPr>
          <w:rFonts w:ascii="Segoe UI" w:hAnsi="Segoe UI" w:cs="Segoe UI"/>
          <w:sz w:val="18"/>
          <w:szCs w:val="18"/>
        </w:rPr>
        <w:t xml:space="preserve">. </w:t>
      </w:r>
      <w:r w:rsidR="00EB145D">
        <w:rPr>
          <w:rFonts w:ascii="Segoe UI" w:hAnsi="Segoe UI" w:cs="Segoe UI"/>
          <w:sz w:val="18"/>
          <w:szCs w:val="18"/>
        </w:rPr>
        <w:t xml:space="preserve">Il introduit une </w:t>
      </w:r>
      <w:r w:rsidR="00EB145D" w:rsidRPr="00EB145D">
        <w:rPr>
          <w:rFonts w:ascii="Segoe UI" w:hAnsi="Segoe UI" w:cs="Segoe UI"/>
          <w:sz w:val="18"/>
          <w:szCs w:val="18"/>
          <w:u w:val="single"/>
        </w:rPr>
        <w:t>clause de rétroactivité</w:t>
      </w:r>
      <w:r w:rsidR="00EB145D">
        <w:rPr>
          <w:rFonts w:ascii="Segoe UI" w:hAnsi="Segoe UI" w:cs="Segoe UI"/>
          <w:sz w:val="18"/>
          <w:szCs w:val="18"/>
        </w:rPr>
        <w:t xml:space="preserve"> annulant </w:t>
      </w:r>
      <w:r w:rsidR="00F37129">
        <w:rPr>
          <w:rFonts w:ascii="Segoe UI" w:hAnsi="Segoe UI" w:cs="Segoe UI"/>
          <w:sz w:val="18"/>
          <w:szCs w:val="18"/>
        </w:rPr>
        <w:t>d’ici</w:t>
      </w:r>
      <w:r w:rsidR="004C5FF9">
        <w:rPr>
          <w:rFonts w:ascii="Segoe UI" w:hAnsi="Segoe UI" w:cs="Segoe UI"/>
          <w:sz w:val="18"/>
          <w:szCs w:val="18"/>
        </w:rPr>
        <w:t xml:space="preserve"> trois ans </w:t>
      </w:r>
      <w:r w:rsidR="00EB145D">
        <w:rPr>
          <w:rFonts w:ascii="Segoe UI" w:hAnsi="Segoe UI" w:cs="Segoe UI"/>
          <w:sz w:val="18"/>
          <w:szCs w:val="18"/>
        </w:rPr>
        <w:t xml:space="preserve">toutes les ententes à caractère anti-concurrentiel </w:t>
      </w:r>
      <w:r w:rsidR="00A15A66">
        <w:rPr>
          <w:rFonts w:ascii="Segoe UI" w:hAnsi="Segoe UI" w:cs="Segoe UI"/>
          <w:sz w:val="18"/>
          <w:szCs w:val="18"/>
        </w:rPr>
        <w:t xml:space="preserve">entre non-concurrents </w:t>
      </w:r>
      <w:r w:rsidR="00EB145D">
        <w:rPr>
          <w:rFonts w:ascii="Segoe UI" w:hAnsi="Segoe UI" w:cs="Segoe UI"/>
          <w:sz w:val="18"/>
          <w:szCs w:val="18"/>
        </w:rPr>
        <w:t>adoptées par le passé</w:t>
      </w:r>
      <w:r w:rsidR="00F066B9">
        <w:rPr>
          <w:rFonts w:ascii="Segoe UI" w:hAnsi="Segoe UI" w:cs="Segoe UI"/>
          <w:sz w:val="18"/>
          <w:szCs w:val="18"/>
        </w:rPr>
        <w:t xml:space="preserve"> (cf. </w:t>
      </w:r>
      <w:r w:rsidR="00F066B9" w:rsidRPr="00013913">
        <w:rPr>
          <w:rFonts w:ascii="Segoe UI" w:hAnsi="Segoe UI" w:cs="Segoe UI"/>
          <w:i/>
          <w:iCs/>
          <w:sz w:val="18"/>
          <w:szCs w:val="18"/>
        </w:rPr>
        <w:t>supra</w:t>
      </w:r>
      <w:r w:rsidR="00F066B9">
        <w:rPr>
          <w:rFonts w:ascii="Segoe UI" w:hAnsi="Segoe UI" w:cs="Segoe UI"/>
          <w:sz w:val="18"/>
          <w:szCs w:val="18"/>
        </w:rPr>
        <w:t>)</w:t>
      </w:r>
      <w:r w:rsidR="00E841D6">
        <w:rPr>
          <w:rFonts w:ascii="Segoe UI" w:hAnsi="Segoe UI" w:cs="Segoe UI"/>
          <w:sz w:val="18"/>
          <w:szCs w:val="18"/>
        </w:rPr>
        <w:t xml:space="preserve">. </w:t>
      </w:r>
      <w:r w:rsidR="00C85EE3">
        <w:rPr>
          <w:rFonts w:ascii="Segoe UI" w:hAnsi="Segoe UI" w:cs="Segoe UI"/>
          <w:sz w:val="18"/>
          <w:szCs w:val="18"/>
        </w:rPr>
        <w:t>La loi</w:t>
      </w:r>
      <w:r w:rsidR="00805D7E">
        <w:rPr>
          <w:rFonts w:ascii="Segoe UI" w:hAnsi="Segoe UI" w:cs="Segoe UI"/>
          <w:sz w:val="18"/>
          <w:szCs w:val="18"/>
        </w:rPr>
        <w:t xml:space="preserve"> </w:t>
      </w:r>
      <w:r w:rsidR="009A26FE" w:rsidRPr="009A26FE">
        <w:rPr>
          <w:rFonts w:ascii="Segoe UI" w:hAnsi="Segoe UI" w:cs="Segoe UI"/>
          <w:sz w:val="18"/>
          <w:szCs w:val="18"/>
          <w:u w:val="single"/>
        </w:rPr>
        <w:t>facilite</w:t>
      </w:r>
      <w:r w:rsidR="00805D7E">
        <w:rPr>
          <w:rFonts w:ascii="Segoe UI" w:hAnsi="Segoe UI" w:cs="Segoe UI"/>
          <w:sz w:val="18"/>
          <w:szCs w:val="18"/>
          <w:u w:val="single"/>
        </w:rPr>
        <w:t>rait</w:t>
      </w:r>
      <w:r w:rsidR="009A26FE" w:rsidRPr="009A26FE">
        <w:rPr>
          <w:rFonts w:ascii="Segoe UI" w:hAnsi="Segoe UI" w:cs="Segoe UI"/>
          <w:sz w:val="18"/>
          <w:szCs w:val="18"/>
          <w:u w:val="single"/>
        </w:rPr>
        <w:t xml:space="preserve"> l’assignation en justice par des particuliers</w:t>
      </w:r>
      <w:r w:rsidR="009A26FE">
        <w:rPr>
          <w:rFonts w:ascii="Segoe UI" w:hAnsi="Segoe UI" w:cs="Segoe UI"/>
          <w:sz w:val="18"/>
          <w:szCs w:val="18"/>
        </w:rPr>
        <w:t xml:space="preserve"> </w:t>
      </w:r>
      <w:r w:rsidR="008479F7">
        <w:rPr>
          <w:rFonts w:ascii="Segoe UI" w:hAnsi="Segoe UI" w:cs="Segoe UI"/>
          <w:sz w:val="18"/>
          <w:szCs w:val="18"/>
        </w:rPr>
        <w:t>en supprimant la clause qui limitait les signalements aux personnes ou entreprises qui démontraient être affectées</w:t>
      </w:r>
      <w:r w:rsidR="0091591C">
        <w:rPr>
          <w:rFonts w:ascii="Segoe UI" w:hAnsi="Segoe UI" w:cs="Segoe UI"/>
          <w:sz w:val="18"/>
          <w:szCs w:val="18"/>
        </w:rPr>
        <w:t xml:space="preserve"> directement</w:t>
      </w:r>
      <w:r w:rsidR="008479F7">
        <w:rPr>
          <w:rFonts w:ascii="Segoe UI" w:hAnsi="Segoe UI" w:cs="Segoe UI"/>
          <w:sz w:val="18"/>
          <w:szCs w:val="18"/>
        </w:rPr>
        <w:t xml:space="preserve"> par un acte anti-concurrentiel et </w:t>
      </w:r>
      <w:r w:rsidR="00EC7BF3">
        <w:rPr>
          <w:rFonts w:ascii="Segoe UI" w:hAnsi="Segoe UI" w:cs="Segoe UI"/>
          <w:sz w:val="18"/>
          <w:szCs w:val="18"/>
        </w:rPr>
        <w:t>prévoit de récompenser</w:t>
      </w:r>
      <w:r w:rsidR="008479F7">
        <w:rPr>
          <w:rFonts w:ascii="Segoe UI" w:hAnsi="Segoe UI" w:cs="Segoe UI"/>
          <w:sz w:val="18"/>
          <w:szCs w:val="18"/>
        </w:rPr>
        <w:t xml:space="preserve"> les </w:t>
      </w:r>
      <w:proofErr w:type="gramStart"/>
      <w:r w:rsidR="00EE38DD">
        <w:rPr>
          <w:rFonts w:ascii="Segoe UI" w:hAnsi="Segoe UI" w:cs="Segoe UI"/>
          <w:sz w:val="18"/>
          <w:szCs w:val="18"/>
        </w:rPr>
        <w:t>dénonciateurs</w:t>
      </w:r>
      <w:proofErr w:type="gramEnd"/>
      <w:r w:rsidR="00EE38DD">
        <w:rPr>
          <w:rFonts w:ascii="Segoe UI" w:hAnsi="Segoe UI" w:cs="Segoe UI"/>
          <w:sz w:val="18"/>
          <w:szCs w:val="18"/>
        </w:rPr>
        <w:t xml:space="preserve"> de</w:t>
      </w:r>
      <w:r w:rsidR="008479F7">
        <w:rPr>
          <w:rFonts w:ascii="Segoe UI" w:hAnsi="Segoe UI" w:cs="Segoe UI"/>
          <w:sz w:val="18"/>
          <w:szCs w:val="18"/>
        </w:rPr>
        <w:t xml:space="preserve"> pratique</w:t>
      </w:r>
      <w:r w:rsidR="00EE38DD">
        <w:rPr>
          <w:rFonts w:ascii="Segoe UI" w:hAnsi="Segoe UI" w:cs="Segoe UI"/>
          <w:sz w:val="18"/>
          <w:szCs w:val="18"/>
        </w:rPr>
        <w:t>s</w:t>
      </w:r>
      <w:r w:rsidR="00620D9A">
        <w:rPr>
          <w:rFonts w:ascii="Segoe UI" w:hAnsi="Segoe UI" w:cs="Segoe UI"/>
          <w:sz w:val="18"/>
          <w:szCs w:val="18"/>
        </w:rPr>
        <w:t xml:space="preserve"> </w:t>
      </w:r>
      <w:r w:rsidR="008479F7">
        <w:rPr>
          <w:rFonts w:ascii="Segoe UI" w:hAnsi="Segoe UI" w:cs="Segoe UI"/>
          <w:sz w:val="18"/>
          <w:szCs w:val="18"/>
        </w:rPr>
        <w:t>anti-concurrentielle</w:t>
      </w:r>
      <w:r w:rsidR="00620D9A">
        <w:rPr>
          <w:rFonts w:ascii="Segoe UI" w:hAnsi="Segoe UI" w:cs="Segoe UI"/>
          <w:sz w:val="18"/>
          <w:szCs w:val="18"/>
        </w:rPr>
        <w:t>s</w:t>
      </w:r>
      <w:r w:rsidR="008479F7">
        <w:rPr>
          <w:rFonts w:ascii="Segoe UI" w:hAnsi="Segoe UI" w:cs="Segoe UI"/>
          <w:sz w:val="18"/>
          <w:szCs w:val="18"/>
        </w:rPr>
        <w:t xml:space="preserve"> </w:t>
      </w:r>
      <w:r w:rsidR="00AB5756">
        <w:rPr>
          <w:rFonts w:ascii="Segoe UI" w:hAnsi="Segoe UI" w:cs="Segoe UI"/>
          <w:sz w:val="18"/>
          <w:szCs w:val="18"/>
        </w:rPr>
        <w:t xml:space="preserve">avec </w:t>
      </w:r>
      <w:r w:rsidR="008479F7">
        <w:rPr>
          <w:rFonts w:ascii="Segoe UI" w:hAnsi="Segoe UI" w:cs="Segoe UI"/>
          <w:sz w:val="18"/>
          <w:szCs w:val="18"/>
        </w:rPr>
        <w:t>une fraction de l’amende d</w:t>
      </w:r>
      <w:r w:rsidR="00893758">
        <w:rPr>
          <w:rFonts w:ascii="Segoe UI" w:hAnsi="Segoe UI" w:cs="Segoe UI"/>
          <w:sz w:val="18"/>
          <w:szCs w:val="18"/>
        </w:rPr>
        <w:t>écidée</w:t>
      </w:r>
      <w:r w:rsidR="008479F7">
        <w:rPr>
          <w:rFonts w:ascii="Segoe UI" w:hAnsi="Segoe UI" w:cs="Segoe UI"/>
          <w:sz w:val="18"/>
          <w:szCs w:val="18"/>
        </w:rPr>
        <w:t xml:space="preserve">. </w:t>
      </w:r>
      <w:r w:rsidR="009120F6">
        <w:rPr>
          <w:rFonts w:ascii="Segoe UI" w:hAnsi="Segoe UI" w:cs="Segoe UI"/>
          <w:sz w:val="18"/>
          <w:szCs w:val="18"/>
        </w:rPr>
        <w:t xml:space="preserve">Enfin, la loi </w:t>
      </w:r>
      <w:r w:rsidR="00D011C3">
        <w:rPr>
          <w:rFonts w:ascii="Segoe UI" w:hAnsi="Segoe UI" w:cs="Segoe UI"/>
          <w:sz w:val="18"/>
          <w:szCs w:val="18"/>
        </w:rPr>
        <w:t>créerait</w:t>
      </w:r>
      <w:r w:rsidR="009120F6">
        <w:rPr>
          <w:rFonts w:ascii="Segoe UI" w:hAnsi="Segoe UI" w:cs="Segoe UI"/>
          <w:sz w:val="18"/>
          <w:szCs w:val="18"/>
        </w:rPr>
        <w:t xml:space="preserve"> un « </w:t>
      </w:r>
      <w:r w:rsidR="009120F6" w:rsidRPr="009120F6">
        <w:rPr>
          <w:rFonts w:ascii="Segoe UI" w:hAnsi="Segoe UI" w:cs="Segoe UI"/>
          <w:sz w:val="18"/>
          <w:szCs w:val="18"/>
          <w:u w:val="single"/>
        </w:rPr>
        <w:t>droit à la réparation</w:t>
      </w:r>
      <w:r w:rsidR="009120F6">
        <w:rPr>
          <w:rFonts w:ascii="Segoe UI" w:hAnsi="Segoe UI" w:cs="Segoe UI"/>
          <w:sz w:val="18"/>
          <w:szCs w:val="18"/>
        </w:rPr>
        <w:t> » pour les consommateurs</w:t>
      </w:r>
      <w:r w:rsidR="006F27E4">
        <w:rPr>
          <w:rFonts w:ascii="Segoe UI" w:hAnsi="Segoe UI" w:cs="Segoe UI"/>
          <w:sz w:val="18"/>
          <w:szCs w:val="18"/>
        </w:rPr>
        <w:t xml:space="preserve"> </w:t>
      </w:r>
      <w:r w:rsidR="009120F6">
        <w:rPr>
          <w:rFonts w:ascii="Segoe UI" w:hAnsi="Segoe UI" w:cs="Segoe UI"/>
          <w:sz w:val="18"/>
          <w:szCs w:val="18"/>
        </w:rPr>
        <w:t>et encadrerait les ententes entre concurrents sur des dispositions environnementales après validation du Bureau de la concurrence</w:t>
      </w:r>
      <w:r w:rsidR="00C67D69">
        <w:rPr>
          <w:rFonts w:ascii="Segoe UI" w:hAnsi="Segoe UI" w:cs="Segoe UI"/>
          <w:sz w:val="18"/>
          <w:szCs w:val="18"/>
        </w:rPr>
        <w:t> ; c</w:t>
      </w:r>
      <w:r w:rsidR="009120F6">
        <w:rPr>
          <w:rFonts w:ascii="Segoe UI" w:hAnsi="Segoe UI" w:cs="Segoe UI"/>
          <w:sz w:val="18"/>
          <w:szCs w:val="18"/>
        </w:rPr>
        <w:t xml:space="preserve">es ententes seraient ensuite soumises à une révision décennale. </w:t>
      </w:r>
    </w:p>
    <w:p w14:paraId="6DAB0335" w14:textId="77777777" w:rsidR="00C51D43" w:rsidRDefault="00C51D43" w:rsidP="009F0217">
      <w:pPr>
        <w:spacing w:before="60" w:after="0"/>
        <w:jc w:val="both"/>
        <w:rPr>
          <w:rFonts w:ascii="Segoe UI" w:hAnsi="Segoe UI" w:cs="Segoe UI"/>
          <w:sz w:val="18"/>
          <w:szCs w:val="18"/>
        </w:rPr>
      </w:pPr>
    </w:p>
    <w:p w14:paraId="4BAF129B" w14:textId="77777777" w:rsidR="00C51D43" w:rsidRPr="009120F6" w:rsidRDefault="00C51D43" w:rsidP="009F0217">
      <w:pPr>
        <w:spacing w:before="60" w:after="0"/>
        <w:jc w:val="both"/>
        <w:rPr>
          <w:rFonts w:ascii="Segoe UI" w:hAnsi="Segoe UI" w:cs="Segoe UI"/>
          <w:sz w:val="18"/>
          <w:szCs w:val="18"/>
        </w:rPr>
      </w:pPr>
    </w:p>
    <w:p w14:paraId="0E90FB7C" w14:textId="4C14E347" w:rsidR="00F41BB4" w:rsidRDefault="0047309E" w:rsidP="00B7377B">
      <w:pPr>
        <w:jc w:val="both"/>
        <w:rPr>
          <w:rFonts w:ascii="Segoe UI" w:hAnsi="Segoe UI" w:cs="Segoe UI"/>
          <w:b/>
          <w:sz w:val="20"/>
          <w:szCs w:val="18"/>
          <w:u w:val="single"/>
        </w:rPr>
      </w:pPr>
      <w:r w:rsidRPr="0047309E">
        <w:rPr>
          <w:rFonts w:ascii="Segoe UI" w:hAnsi="Segoe UI" w:cs="Segoe UI"/>
          <w:b/>
          <w:sz w:val="20"/>
          <w:szCs w:val="18"/>
          <w:u w:val="single"/>
        </w:rPr>
        <w:t xml:space="preserve">Annexe I </w:t>
      </w:r>
      <w:r>
        <w:rPr>
          <w:rFonts w:ascii="Segoe UI" w:hAnsi="Segoe UI" w:cs="Segoe UI"/>
          <w:b/>
          <w:sz w:val="20"/>
          <w:szCs w:val="18"/>
          <w:u w:val="single"/>
        </w:rPr>
        <w:t>–</w:t>
      </w:r>
      <w:r w:rsidRPr="0047309E">
        <w:rPr>
          <w:rFonts w:ascii="Segoe UI" w:hAnsi="Segoe UI" w:cs="Segoe UI"/>
          <w:b/>
          <w:sz w:val="20"/>
          <w:szCs w:val="18"/>
          <w:u w:val="single"/>
        </w:rPr>
        <w:t xml:space="preserve"> </w:t>
      </w:r>
      <w:r>
        <w:rPr>
          <w:rFonts w:ascii="Segoe UI" w:hAnsi="Segoe UI" w:cs="Segoe UI"/>
          <w:b/>
          <w:sz w:val="20"/>
          <w:szCs w:val="18"/>
          <w:u w:val="single"/>
        </w:rPr>
        <w:t xml:space="preserve">Evolution de l’inflation globale annuelle et de l’inflation alimentaire entre </w:t>
      </w:r>
      <w:r w:rsidR="00400FF0">
        <w:rPr>
          <w:rFonts w:ascii="Segoe UI" w:hAnsi="Segoe UI" w:cs="Segoe UI"/>
          <w:b/>
          <w:sz w:val="20"/>
          <w:szCs w:val="18"/>
          <w:u w:val="single"/>
        </w:rPr>
        <w:t xml:space="preserve">2013 </w:t>
      </w:r>
      <w:r>
        <w:rPr>
          <w:rFonts w:ascii="Segoe UI" w:hAnsi="Segoe UI" w:cs="Segoe UI"/>
          <w:b/>
          <w:sz w:val="20"/>
          <w:szCs w:val="18"/>
          <w:u w:val="single"/>
        </w:rPr>
        <w:t xml:space="preserve">et </w:t>
      </w:r>
      <w:r w:rsidR="00400FF0">
        <w:rPr>
          <w:rFonts w:ascii="Segoe UI" w:hAnsi="Segoe UI" w:cs="Segoe UI"/>
          <w:b/>
          <w:sz w:val="20"/>
          <w:szCs w:val="18"/>
          <w:u w:val="single"/>
        </w:rPr>
        <w:t>2023</w:t>
      </w:r>
      <w:r>
        <w:rPr>
          <w:rFonts w:ascii="Segoe UI" w:hAnsi="Segoe UI" w:cs="Segoe UI"/>
          <w:b/>
          <w:sz w:val="20"/>
          <w:szCs w:val="18"/>
          <w:u w:val="single"/>
        </w:rPr>
        <w:t>(source : Statistique Canada, 2024)</w:t>
      </w:r>
    </w:p>
    <w:p w14:paraId="6DD0654C" w14:textId="54A8A1FD" w:rsidR="009F1822" w:rsidRPr="0047309E" w:rsidRDefault="008B521E" w:rsidP="00CF39E5">
      <w:pPr>
        <w:jc w:val="center"/>
        <w:rPr>
          <w:rFonts w:ascii="Segoe UI" w:hAnsi="Segoe UI" w:cs="Segoe UI"/>
          <w:b/>
          <w:sz w:val="20"/>
          <w:szCs w:val="18"/>
          <w:u w:val="single"/>
        </w:rPr>
      </w:pPr>
      <w:r>
        <w:rPr>
          <w:noProof/>
        </w:rPr>
        <w:drawing>
          <wp:inline distT="0" distB="0" distL="0" distR="0" wp14:anchorId="2924CF76" wp14:editId="1A0ECB59">
            <wp:extent cx="5605373" cy="3327999"/>
            <wp:effectExtent l="19050" t="19050" r="14605" b="25400"/>
            <wp:docPr id="7" name="Graphique 7">
              <a:extLst xmlns:a="http://schemas.openxmlformats.org/drawingml/2006/main">
                <a:ext uri="{FF2B5EF4-FFF2-40B4-BE49-F238E27FC236}">
                  <a16:creationId xmlns:a16="http://schemas.microsoft.com/office/drawing/2014/main" id="{32059191-8DD5-4CEF-9FF1-61E001C5E9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6EEB2B" w14:textId="76A015F8" w:rsidR="0025758E" w:rsidRDefault="004536A3" w:rsidP="00C644AC">
      <w:pPr>
        <w:jc w:val="both"/>
        <w:rPr>
          <w:rFonts w:ascii="Segoe UI" w:hAnsi="Segoe UI" w:cs="Segoe UI"/>
          <w:b/>
          <w:sz w:val="20"/>
          <w:szCs w:val="18"/>
          <w:u w:val="single"/>
        </w:rPr>
      </w:pPr>
      <w:r w:rsidRPr="008214AE">
        <w:rPr>
          <w:rFonts w:ascii="Segoe UI" w:hAnsi="Segoe UI" w:cs="Segoe UI"/>
          <w:b/>
          <w:sz w:val="20"/>
          <w:szCs w:val="18"/>
          <w:u w:val="single"/>
        </w:rPr>
        <w:t xml:space="preserve">Annexe </w:t>
      </w:r>
      <w:r>
        <w:rPr>
          <w:rFonts w:ascii="Segoe UI" w:hAnsi="Segoe UI" w:cs="Segoe UI"/>
          <w:b/>
          <w:sz w:val="20"/>
          <w:szCs w:val="18"/>
          <w:u w:val="single"/>
        </w:rPr>
        <w:t>II</w:t>
      </w:r>
      <w:r w:rsidRPr="008214AE">
        <w:rPr>
          <w:rFonts w:ascii="Segoe UI" w:hAnsi="Segoe UI" w:cs="Segoe UI"/>
          <w:b/>
          <w:sz w:val="20"/>
          <w:szCs w:val="18"/>
          <w:u w:val="single"/>
        </w:rPr>
        <w:t xml:space="preserve"> – </w:t>
      </w:r>
      <w:r>
        <w:rPr>
          <w:rFonts w:ascii="Segoe UI" w:hAnsi="Segoe UI" w:cs="Segoe UI"/>
          <w:b/>
          <w:sz w:val="20"/>
          <w:szCs w:val="18"/>
          <w:u w:val="single"/>
        </w:rPr>
        <w:t xml:space="preserve">Les pratiques d’établissement en matière de fixation des prix se stabilisent graduellement </w:t>
      </w:r>
      <w:r w:rsidRPr="008214AE">
        <w:rPr>
          <w:rFonts w:ascii="Segoe UI" w:hAnsi="Segoe UI" w:cs="Segoe UI"/>
          <w:b/>
          <w:sz w:val="20"/>
          <w:szCs w:val="18"/>
          <w:u w:val="single"/>
        </w:rPr>
        <w:t>(source : Banque du Canada, 202</w:t>
      </w:r>
      <w:r w:rsidR="00FF781B">
        <w:rPr>
          <w:rFonts w:ascii="Segoe UI" w:hAnsi="Segoe UI" w:cs="Segoe UI"/>
          <w:b/>
          <w:sz w:val="20"/>
          <w:szCs w:val="18"/>
          <w:u w:val="single"/>
        </w:rPr>
        <w:t>4</w:t>
      </w:r>
      <w:r w:rsidRPr="008214AE">
        <w:rPr>
          <w:rFonts w:ascii="Segoe UI" w:hAnsi="Segoe UI" w:cs="Segoe UI"/>
          <w:b/>
          <w:sz w:val="20"/>
          <w:szCs w:val="18"/>
          <w:u w:val="single"/>
        </w:rPr>
        <w:t xml:space="preserve">) </w:t>
      </w:r>
    </w:p>
    <w:p w14:paraId="7677B138" w14:textId="77777777" w:rsidR="00B1068D" w:rsidRDefault="00B1068D" w:rsidP="00C644AC">
      <w:pPr>
        <w:jc w:val="both"/>
        <w:rPr>
          <w:rFonts w:ascii="Segoe UI" w:hAnsi="Segoe UI" w:cs="Segoe UI"/>
          <w:b/>
          <w:sz w:val="20"/>
          <w:szCs w:val="18"/>
          <w:u w:val="single"/>
        </w:rPr>
      </w:pPr>
    </w:p>
    <w:p w14:paraId="7B1FC848" w14:textId="4E5F6751" w:rsidR="0025758E" w:rsidRDefault="00B1068D" w:rsidP="00B1068D">
      <w:pPr>
        <w:jc w:val="center"/>
        <w:rPr>
          <w:rFonts w:ascii="Segoe UI" w:hAnsi="Segoe UI" w:cs="Segoe UI"/>
          <w:b/>
          <w:sz w:val="20"/>
          <w:szCs w:val="18"/>
          <w:u w:val="single"/>
        </w:rPr>
      </w:pPr>
      <w:r w:rsidRPr="00B1068D">
        <w:rPr>
          <w:rFonts w:ascii="Segoe UI" w:hAnsi="Segoe UI" w:cs="Segoe UI"/>
          <w:b/>
          <w:noProof/>
          <w:sz w:val="20"/>
          <w:szCs w:val="18"/>
        </w:rPr>
        <w:drawing>
          <wp:inline distT="0" distB="0" distL="0" distR="0" wp14:anchorId="3D0B7202" wp14:editId="3112E879">
            <wp:extent cx="4818116" cy="3981698"/>
            <wp:effectExtent l="38100" t="38100" r="40005" b="3810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1708" cy="4001194"/>
                    </a:xfrm>
                    <a:prstGeom prst="rect">
                      <a:avLst/>
                    </a:prstGeom>
                    <a:noFill/>
                    <a:ln w="28575">
                      <a:solidFill>
                        <a:schemeClr val="accent5"/>
                      </a:solidFill>
                    </a:ln>
                  </pic:spPr>
                </pic:pic>
              </a:graphicData>
            </a:graphic>
          </wp:inline>
        </w:drawing>
      </w:r>
    </w:p>
    <w:p w14:paraId="56625911" w14:textId="15FFBAF1" w:rsidR="0025758E" w:rsidRDefault="0025758E" w:rsidP="00C644AC">
      <w:pPr>
        <w:jc w:val="both"/>
        <w:rPr>
          <w:rFonts w:ascii="Segoe UI" w:hAnsi="Segoe UI" w:cs="Segoe UI"/>
          <w:b/>
          <w:sz w:val="20"/>
          <w:szCs w:val="18"/>
          <w:u w:val="single"/>
        </w:rPr>
      </w:pPr>
    </w:p>
    <w:p w14:paraId="0EB37A42" w14:textId="503E4CE3" w:rsidR="0025758E" w:rsidRDefault="0025758E" w:rsidP="00C644AC">
      <w:pPr>
        <w:jc w:val="both"/>
        <w:rPr>
          <w:rFonts w:ascii="Segoe UI" w:hAnsi="Segoe UI" w:cs="Segoe UI"/>
          <w:b/>
          <w:sz w:val="20"/>
          <w:szCs w:val="18"/>
          <w:u w:val="single"/>
        </w:rPr>
      </w:pPr>
    </w:p>
    <w:p w14:paraId="729F7363" w14:textId="77777777" w:rsidR="001F32B7" w:rsidRDefault="001F32B7" w:rsidP="00C644AC">
      <w:pPr>
        <w:jc w:val="both"/>
        <w:rPr>
          <w:rFonts w:ascii="Segoe UI" w:hAnsi="Segoe UI" w:cs="Segoe UI"/>
          <w:b/>
          <w:sz w:val="20"/>
          <w:szCs w:val="18"/>
          <w:u w:val="single"/>
        </w:rPr>
      </w:pPr>
    </w:p>
    <w:p w14:paraId="2EC81E6A" w14:textId="4A2CBF23" w:rsidR="00C644AC" w:rsidRPr="008214AE" w:rsidRDefault="00C644AC" w:rsidP="00C644AC">
      <w:pPr>
        <w:jc w:val="both"/>
        <w:rPr>
          <w:rFonts w:ascii="Segoe UI" w:hAnsi="Segoe UI" w:cs="Segoe UI"/>
          <w:b/>
          <w:sz w:val="20"/>
          <w:szCs w:val="18"/>
          <w:u w:val="single"/>
        </w:rPr>
      </w:pPr>
      <w:r w:rsidRPr="008214AE">
        <w:rPr>
          <w:rFonts w:ascii="Segoe UI" w:hAnsi="Segoe UI" w:cs="Segoe UI"/>
          <w:b/>
          <w:sz w:val="20"/>
          <w:szCs w:val="18"/>
          <w:u w:val="single"/>
        </w:rPr>
        <w:t xml:space="preserve">Annexe </w:t>
      </w:r>
      <w:r w:rsidR="000C067E">
        <w:rPr>
          <w:rFonts w:ascii="Segoe UI" w:hAnsi="Segoe UI" w:cs="Segoe UI"/>
          <w:b/>
          <w:sz w:val="20"/>
          <w:szCs w:val="18"/>
          <w:u w:val="single"/>
        </w:rPr>
        <w:t>I</w:t>
      </w:r>
      <w:r w:rsidR="00196354">
        <w:rPr>
          <w:rFonts w:ascii="Segoe UI" w:hAnsi="Segoe UI" w:cs="Segoe UI"/>
          <w:b/>
          <w:sz w:val="20"/>
          <w:szCs w:val="18"/>
          <w:u w:val="single"/>
        </w:rPr>
        <w:t>I</w:t>
      </w:r>
      <w:r w:rsidR="000C067E">
        <w:rPr>
          <w:rFonts w:ascii="Segoe UI" w:hAnsi="Segoe UI" w:cs="Segoe UI"/>
          <w:b/>
          <w:sz w:val="20"/>
          <w:szCs w:val="18"/>
          <w:u w:val="single"/>
        </w:rPr>
        <w:t>I</w:t>
      </w:r>
      <w:r w:rsidRPr="008214AE">
        <w:rPr>
          <w:rFonts w:ascii="Segoe UI" w:hAnsi="Segoe UI" w:cs="Segoe UI"/>
          <w:b/>
          <w:sz w:val="20"/>
          <w:szCs w:val="18"/>
          <w:u w:val="single"/>
        </w:rPr>
        <w:t xml:space="preserve"> – </w:t>
      </w:r>
      <w:r w:rsidR="00C826B0" w:rsidRPr="008214AE">
        <w:rPr>
          <w:rFonts w:ascii="Segoe UI" w:hAnsi="Segoe UI" w:cs="Segoe UI"/>
          <w:b/>
          <w:sz w:val="20"/>
          <w:szCs w:val="18"/>
          <w:u w:val="single"/>
        </w:rPr>
        <w:t>L’hypothèse écartée d’une inflation tirée par les profits en sortie de pandémie</w:t>
      </w:r>
      <w:r w:rsidRPr="008214AE">
        <w:rPr>
          <w:rFonts w:ascii="Segoe UI" w:hAnsi="Segoe UI" w:cs="Segoe UI"/>
          <w:b/>
          <w:sz w:val="20"/>
          <w:szCs w:val="18"/>
          <w:u w:val="single"/>
        </w:rPr>
        <w:t xml:space="preserve"> (source : </w:t>
      </w:r>
      <w:r w:rsidR="00C91DCB" w:rsidRPr="008214AE">
        <w:rPr>
          <w:rFonts w:ascii="Segoe UI" w:hAnsi="Segoe UI" w:cs="Segoe UI"/>
          <w:b/>
          <w:sz w:val="20"/>
          <w:szCs w:val="18"/>
          <w:u w:val="single"/>
        </w:rPr>
        <w:t>Banque</w:t>
      </w:r>
      <w:r w:rsidRPr="008214AE">
        <w:rPr>
          <w:rFonts w:ascii="Segoe UI" w:hAnsi="Segoe UI" w:cs="Segoe UI"/>
          <w:b/>
          <w:sz w:val="20"/>
          <w:szCs w:val="18"/>
          <w:u w:val="single"/>
        </w:rPr>
        <w:t xml:space="preserve"> du Canada, 2023) </w:t>
      </w:r>
    </w:p>
    <w:p w14:paraId="487803AA" w14:textId="7F095C1F" w:rsidR="00C644AC" w:rsidRDefault="000139F9" w:rsidP="00C744F1">
      <w:pPr>
        <w:jc w:val="center"/>
        <w:rPr>
          <w:rFonts w:ascii="Segoe UI" w:hAnsi="Segoe UI" w:cs="Segoe UI"/>
          <w:b/>
          <w:sz w:val="18"/>
          <w:szCs w:val="16"/>
          <w:u w:val="single"/>
        </w:rPr>
      </w:pPr>
      <w:r>
        <w:rPr>
          <w:rFonts w:ascii="Segoe UI" w:hAnsi="Segoe UI" w:cs="Segoe UI"/>
          <w:bCs/>
          <w:noProof/>
          <w:sz w:val="18"/>
          <w:szCs w:val="16"/>
        </w:rPr>
        <mc:AlternateContent>
          <mc:Choice Requires="wps">
            <w:drawing>
              <wp:anchor distT="0" distB="0" distL="114300" distR="114300" simplePos="0" relativeHeight="251659264" behindDoc="0" locked="0" layoutInCell="1" allowOverlap="1" wp14:anchorId="25201C7B" wp14:editId="0D2173F6">
                <wp:simplePos x="0" y="0"/>
                <wp:positionH relativeFrom="column">
                  <wp:posOffset>721401</wp:posOffset>
                </wp:positionH>
                <wp:positionV relativeFrom="paragraph">
                  <wp:posOffset>76011</wp:posOffset>
                </wp:positionV>
                <wp:extent cx="508959" cy="131673"/>
                <wp:effectExtent l="0" t="0" r="24765" b="20955"/>
                <wp:wrapNone/>
                <wp:docPr id="8" name="Rectangle 8"/>
                <wp:cNvGraphicFramePr/>
                <a:graphic xmlns:a="http://schemas.openxmlformats.org/drawingml/2006/main">
                  <a:graphicData uri="http://schemas.microsoft.com/office/word/2010/wordprocessingShape">
                    <wps:wsp>
                      <wps:cNvSpPr/>
                      <wps:spPr>
                        <a:xfrm>
                          <a:off x="0" y="0"/>
                          <a:ext cx="508959" cy="13167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A5E5D2" id="Rectangle 8" o:spid="_x0000_s1026" style="position:absolute;margin-left:56.8pt;margin-top:6pt;width:40.1pt;height:1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" fillcolor="white [3212]" strokecolor="white [3212]" strokeweight="1pt"/>
            </w:pict>
          </mc:Fallback>
        </mc:AlternateContent>
      </w:r>
      <w:r w:rsidR="00107C85" w:rsidRPr="00107C85">
        <w:rPr>
          <w:rFonts w:ascii="Segoe UI" w:hAnsi="Segoe UI" w:cs="Segoe UI"/>
          <w:bCs/>
          <w:noProof/>
          <w:sz w:val="18"/>
          <w:szCs w:val="16"/>
        </w:rPr>
        <w:drawing>
          <wp:inline distT="0" distB="0" distL="0" distR="0" wp14:anchorId="7BF43DB3" wp14:editId="74A1F4DC">
            <wp:extent cx="5511164" cy="3032904"/>
            <wp:effectExtent l="38100" t="38100" r="33020" b="342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8024" cy="3042182"/>
                    </a:xfrm>
                    <a:prstGeom prst="rect">
                      <a:avLst/>
                    </a:prstGeom>
                    <a:noFill/>
                    <a:ln w="28575">
                      <a:solidFill>
                        <a:schemeClr val="accent5"/>
                      </a:solidFill>
                    </a:ln>
                  </pic:spPr>
                </pic:pic>
              </a:graphicData>
            </a:graphic>
          </wp:inline>
        </w:drawing>
      </w:r>
    </w:p>
    <w:p w14:paraId="444A509C" w14:textId="77777777" w:rsidR="00045CDD" w:rsidRDefault="00045CDD" w:rsidP="00B7377B">
      <w:pPr>
        <w:jc w:val="both"/>
        <w:rPr>
          <w:rFonts w:ascii="Segoe UI" w:hAnsi="Segoe UI" w:cs="Segoe UI"/>
          <w:b/>
          <w:sz w:val="20"/>
          <w:szCs w:val="18"/>
          <w:u w:val="single"/>
        </w:rPr>
      </w:pPr>
    </w:p>
    <w:p w14:paraId="7A8BB1A2" w14:textId="7412EFA3" w:rsidR="00B74A17" w:rsidRPr="002B49F5" w:rsidRDefault="00B7377B" w:rsidP="00B7377B">
      <w:pPr>
        <w:jc w:val="both"/>
        <w:rPr>
          <w:rFonts w:ascii="Segoe UI" w:hAnsi="Segoe UI" w:cs="Segoe UI"/>
          <w:b/>
          <w:sz w:val="20"/>
          <w:szCs w:val="18"/>
          <w:u w:val="single"/>
        </w:rPr>
      </w:pPr>
      <w:r w:rsidRPr="002B49F5">
        <w:rPr>
          <w:rFonts w:ascii="Segoe UI" w:hAnsi="Segoe UI" w:cs="Segoe UI"/>
          <w:b/>
          <w:sz w:val="20"/>
          <w:szCs w:val="18"/>
          <w:u w:val="single"/>
        </w:rPr>
        <w:t xml:space="preserve">Annexe </w:t>
      </w:r>
      <w:r w:rsidR="00316C1B">
        <w:rPr>
          <w:rFonts w:ascii="Segoe UI" w:hAnsi="Segoe UI" w:cs="Segoe UI"/>
          <w:b/>
          <w:sz w:val="20"/>
          <w:szCs w:val="18"/>
          <w:u w:val="single"/>
        </w:rPr>
        <w:t>I</w:t>
      </w:r>
      <w:r w:rsidR="0066693F">
        <w:rPr>
          <w:rFonts w:ascii="Segoe UI" w:hAnsi="Segoe UI" w:cs="Segoe UI"/>
          <w:b/>
          <w:sz w:val="20"/>
          <w:szCs w:val="18"/>
          <w:u w:val="single"/>
        </w:rPr>
        <w:t>V</w:t>
      </w:r>
      <w:r w:rsidRPr="002B49F5">
        <w:rPr>
          <w:rFonts w:ascii="Segoe UI" w:hAnsi="Segoe UI" w:cs="Segoe UI"/>
          <w:b/>
          <w:sz w:val="20"/>
          <w:szCs w:val="18"/>
          <w:u w:val="single"/>
        </w:rPr>
        <w:t xml:space="preserve"> </w:t>
      </w:r>
      <w:r w:rsidR="006970E0" w:rsidRPr="002B49F5">
        <w:rPr>
          <w:rFonts w:ascii="Segoe UI" w:hAnsi="Segoe UI" w:cs="Segoe UI"/>
          <w:b/>
          <w:sz w:val="20"/>
          <w:szCs w:val="18"/>
          <w:u w:val="single"/>
        </w:rPr>
        <w:t xml:space="preserve">– L’intensité de la concurrence a diminué entre 2000 et 2020 </w:t>
      </w:r>
      <w:r w:rsidR="00FC5308" w:rsidRPr="002B49F5">
        <w:rPr>
          <w:rFonts w:ascii="Segoe UI" w:hAnsi="Segoe UI" w:cs="Segoe UI"/>
          <w:b/>
          <w:sz w:val="20"/>
          <w:szCs w:val="18"/>
          <w:u w:val="single"/>
        </w:rPr>
        <w:t xml:space="preserve">… </w:t>
      </w:r>
      <w:r w:rsidR="006970E0" w:rsidRPr="002B49F5">
        <w:rPr>
          <w:rFonts w:ascii="Segoe UI" w:hAnsi="Segoe UI" w:cs="Segoe UI"/>
          <w:b/>
          <w:sz w:val="20"/>
          <w:szCs w:val="18"/>
          <w:u w:val="single"/>
        </w:rPr>
        <w:t xml:space="preserve">(source : Bureau de la concurrence du Canada, 2023) </w:t>
      </w:r>
    </w:p>
    <w:p w14:paraId="4EC3CDB9" w14:textId="113BC168" w:rsidR="00367000" w:rsidRPr="00F65D5A" w:rsidRDefault="00367000" w:rsidP="00367000">
      <w:pPr>
        <w:pStyle w:val="Lgende"/>
        <w:keepNext/>
        <w:jc w:val="center"/>
        <w:rPr>
          <w:rFonts w:ascii="Segoe UI" w:hAnsi="Segoe UI" w:cs="Segoe UI"/>
          <w:b/>
          <w:bCs/>
          <w:i w:val="0"/>
          <w:iCs w:val="0"/>
          <w:color w:val="auto"/>
          <w:sz w:val="20"/>
          <w:szCs w:val="20"/>
          <w:u w:val="single"/>
        </w:rPr>
      </w:pPr>
      <w:r w:rsidRPr="00F65D5A">
        <w:rPr>
          <w:rFonts w:ascii="Segoe UI" w:hAnsi="Segoe UI" w:cs="Segoe UI"/>
          <w:b/>
          <w:bCs/>
          <w:i w:val="0"/>
          <w:iCs w:val="0"/>
          <w:color w:val="auto"/>
          <w:sz w:val="20"/>
          <w:szCs w:val="20"/>
          <w:u w:val="single"/>
        </w:rPr>
        <w:t xml:space="preserve">Fig. </w:t>
      </w:r>
      <w:r w:rsidRPr="00F65D5A">
        <w:rPr>
          <w:rFonts w:ascii="Segoe UI" w:hAnsi="Segoe UI" w:cs="Segoe UI"/>
          <w:b/>
          <w:bCs/>
          <w:i w:val="0"/>
          <w:iCs w:val="0"/>
          <w:color w:val="auto"/>
          <w:sz w:val="20"/>
          <w:szCs w:val="20"/>
          <w:u w:val="single"/>
        </w:rPr>
        <w:fldChar w:fldCharType="begin"/>
      </w:r>
      <w:r w:rsidRPr="00F65D5A">
        <w:rPr>
          <w:rFonts w:ascii="Segoe UI" w:hAnsi="Segoe UI" w:cs="Segoe UI"/>
          <w:b/>
          <w:bCs/>
          <w:i w:val="0"/>
          <w:iCs w:val="0"/>
          <w:color w:val="auto"/>
          <w:sz w:val="20"/>
          <w:szCs w:val="20"/>
          <w:u w:val="single"/>
        </w:rPr>
        <w:instrText xml:space="preserve"> SEQ Fig. \* ARABIC </w:instrText>
      </w:r>
      <w:r w:rsidRPr="00F65D5A">
        <w:rPr>
          <w:rFonts w:ascii="Segoe UI" w:hAnsi="Segoe UI" w:cs="Segoe UI"/>
          <w:b/>
          <w:bCs/>
          <w:i w:val="0"/>
          <w:iCs w:val="0"/>
          <w:color w:val="auto"/>
          <w:sz w:val="20"/>
          <w:szCs w:val="20"/>
          <w:u w:val="single"/>
        </w:rPr>
        <w:fldChar w:fldCharType="separate"/>
      </w:r>
      <w:r w:rsidR="00EA0B90">
        <w:rPr>
          <w:rFonts w:ascii="Segoe UI" w:hAnsi="Segoe UI" w:cs="Segoe UI"/>
          <w:b/>
          <w:bCs/>
          <w:i w:val="0"/>
          <w:iCs w:val="0"/>
          <w:noProof/>
          <w:color w:val="auto"/>
          <w:sz w:val="20"/>
          <w:szCs w:val="20"/>
          <w:u w:val="single"/>
        </w:rPr>
        <w:t>1</w:t>
      </w:r>
      <w:r w:rsidRPr="00F65D5A">
        <w:rPr>
          <w:rFonts w:ascii="Segoe UI" w:hAnsi="Segoe UI" w:cs="Segoe UI"/>
          <w:b/>
          <w:bCs/>
          <w:i w:val="0"/>
          <w:iCs w:val="0"/>
          <w:color w:val="auto"/>
          <w:sz w:val="20"/>
          <w:szCs w:val="20"/>
          <w:u w:val="single"/>
        </w:rPr>
        <w:fldChar w:fldCharType="end"/>
      </w:r>
      <w:r w:rsidRPr="00F65D5A">
        <w:rPr>
          <w:rFonts w:ascii="Segoe UI" w:hAnsi="Segoe UI" w:cs="Segoe UI"/>
          <w:b/>
          <w:bCs/>
          <w:i w:val="0"/>
          <w:iCs w:val="0"/>
          <w:color w:val="auto"/>
          <w:sz w:val="20"/>
          <w:szCs w:val="20"/>
          <w:u w:val="single"/>
        </w:rPr>
        <w:t xml:space="preserve"> Evolution de l'indice de concentration des industries "Herfindahl-Hirschman" (IHH) entre 2005 et 2018</w:t>
      </w:r>
      <w:r w:rsidR="00E26B97" w:rsidRPr="00F65D5A">
        <w:rPr>
          <w:rFonts w:ascii="Segoe UI" w:hAnsi="Segoe UI" w:cs="Segoe UI"/>
          <w:b/>
          <w:bCs/>
          <w:i w:val="0"/>
          <w:iCs w:val="0"/>
          <w:color w:val="auto"/>
          <w:sz w:val="20"/>
          <w:szCs w:val="20"/>
          <w:u w:val="single"/>
        </w:rPr>
        <w:t>*</w:t>
      </w:r>
    </w:p>
    <w:p w14:paraId="49A6FB53" w14:textId="3BCE87C1" w:rsidR="003119A5" w:rsidRPr="003119A5" w:rsidRDefault="00367000" w:rsidP="00367000">
      <w:pPr>
        <w:jc w:val="center"/>
        <w:rPr>
          <w:rFonts w:ascii="Segoe UI" w:hAnsi="Segoe UI" w:cs="Segoe UI"/>
          <w:b/>
          <w:sz w:val="18"/>
          <w:szCs w:val="16"/>
          <w:u w:val="single"/>
        </w:rPr>
      </w:pPr>
      <w:r w:rsidRPr="00367000">
        <w:rPr>
          <w:rFonts w:ascii="Segoe UI" w:hAnsi="Segoe UI" w:cs="Segoe UI"/>
          <w:b/>
          <w:noProof/>
          <w:sz w:val="18"/>
          <w:szCs w:val="16"/>
        </w:rPr>
        <w:drawing>
          <wp:inline distT="0" distB="0" distL="0" distR="0" wp14:anchorId="01089690" wp14:editId="65852FEC">
            <wp:extent cx="5305796" cy="2933345"/>
            <wp:effectExtent l="38100" t="38100" r="28575" b="387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4062"/>
                    <a:stretch/>
                  </pic:blipFill>
                  <pic:spPr bwMode="auto">
                    <a:xfrm>
                      <a:off x="0" y="0"/>
                      <a:ext cx="5332484" cy="2948099"/>
                    </a:xfrm>
                    <a:prstGeom prst="rect">
                      <a:avLst/>
                    </a:prstGeom>
                    <a:noFill/>
                    <a:ln w="28575">
                      <a:solidFill>
                        <a:schemeClr val="accent5"/>
                      </a:solidFill>
                    </a:ln>
                    <a:extLst>
                      <a:ext uri="{53640926-AAD7-44D8-BBD7-CCE9431645EC}">
                        <a14:shadowObscured xmlns:a14="http://schemas.microsoft.com/office/drawing/2010/main"/>
                      </a:ext>
                    </a:extLst>
                  </pic:spPr>
                </pic:pic>
              </a:graphicData>
            </a:graphic>
          </wp:inline>
        </w:drawing>
      </w:r>
    </w:p>
    <w:p w14:paraId="327117C0" w14:textId="04037D78" w:rsidR="00441BED" w:rsidRPr="00C079BC" w:rsidRDefault="00E26B97" w:rsidP="00B7377B">
      <w:pPr>
        <w:jc w:val="both"/>
        <w:rPr>
          <w:rFonts w:ascii="Segoe UI" w:hAnsi="Segoe UI" w:cs="Segoe UI"/>
          <w:bCs/>
          <w:sz w:val="16"/>
          <w:szCs w:val="14"/>
        </w:rPr>
      </w:pPr>
      <w:r w:rsidRPr="00C079BC">
        <w:rPr>
          <w:rFonts w:ascii="Segoe UI" w:hAnsi="Segoe UI" w:cs="Segoe UI"/>
          <w:bCs/>
          <w:sz w:val="16"/>
          <w:szCs w:val="14"/>
          <w:u w:val="single"/>
        </w:rPr>
        <w:t>Note</w:t>
      </w:r>
      <w:r w:rsidR="00416D33" w:rsidRPr="00C079BC">
        <w:rPr>
          <w:rFonts w:ascii="Segoe UI" w:hAnsi="Segoe UI" w:cs="Segoe UI"/>
          <w:bCs/>
          <w:sz w:val="16"/>
          <w:szCs w:val="14"/>
          <w:u w:val="single"/>
        </w:rPr>
        <w:t>s</w:t>
      </w:r>
      <w:r w:rsidRPr="00C079BC">
        <w:rPr>
          <w:rFonts w:ascii="Segoe UI" w:hAnsi="Segoe UI" w:cs="Segoe UI"/>
          <w:bCs/>
          <w:sz w:val="16"/>
          <w:szCs w:val="14"/>
        </w:rPr>
        <w:t> : « 10% supérieur », « 25% supérieur », etc. font références aux déciles de concentration des industries en 2005. Par exemple en rouge, la Fig. 1 détaille l’évolution de l’indice de concentration pour les 10% d’industries les plus concentrées en 2005.</w:t>
      </w:r>
    </w:p>
    <w:p w14:paraId="69C1B798" w14:textId="195D3E9F" w:rsidR="00441BED" w:rsidRPr="00C079BC" w:rsidRDefault="00441BED" w:rsidP="00441BED">
      <w:pPr>
        <w:jc w:val="both"/>
        <w:rPr>
          <w:rFonts w:ascii="Segoe UI" w:hAnsi="Segoe UI" w:cs="Segoe UI"/>
          <w:bCs/>
          <w:sz w:val="16"/>
          <w:szCs w:val="14"/>
        </w:rPr>
      </w:pPr>
      <w:r w:rsidRPr="00C079BC">
        <w:rPr>
          <w:rFonts w:ascii="Segoe UI" w:hAnsi="Segoe UI" w:cs="Segoe UI"/>
          <w:bCs/>
          <w:sz w:val="16"/>
          <w:szCs w:val="14"/>
        </w:rPr>
        <w:t>L’IHH d’une industrie est définie comme la somme de la part au carré des revenus de chaque entreprise dans une industrie. Une valeur d’IHH plus élevée indique que moins d’entreprises représentent une plus grande part des revenus et que les revenus sont répartis plus inégalement entre les entreprises d’une industrie (c</w:t>
      </w:r>
      <w:r w:rsidR="00F91274" w:rsidRPr="00C079BC">
        <w:rPr>
          <w:rFonts w:ascii="Segoe UI" w:hAnsi="Segoe UI" w:cs="Segoe UI"/>
          <w:bCs/>
          <w:sz w:val="16"/>
          <w:szCs w:val="14"/>
        </w:rPr>
        <w:t>’est-à-dire</w:t>
      </w:r>
      <w:r w:rsidR="00580112" w:rsidRPr="00C079BC">
        <w:rPr>
          <w:rFonts w:ascii="Segoe UI" w:hAnsi="Segoe UI" w:cs="Segoe UI"/>
          <w:bCs/>
          <w:sz w:val="16"/>
          <w:szCs w:val="14"/>
        </w:rPr>
        <w:t xml:space="preserve"> qu’elles</w:t>
      </w:r>
      <w:r w:rsidRPr="00C079BC">
        <w:rPr>
          <w:rFonts w:ascii="Segoe UI" w:hAnsi="Segoe UI" w:cs="Segoe UI"/>
          <w:bCs/>
          <w:sz w:val="16"/>
          <w:szCs w:val="14"/>
        </w:rPr>
        <w:t xml:space="preserve"> sont plus concentrées au sein d’un moins grand nombre d’entreprises). L’IHH s’approchera de 0 </w:t>
      </w:r>
      <w:r w:rsidRPr="00C079BC">
        <w:rPr>
          <w:rFonts w:ascii="Segoe UI" w:hAnsi="Segoe UI" w:cs="Segoe UI"/>
          <w:bCs/>
          <w:sz w:val="16"/>
          <w:szCs w:val="14"/>
        </w:rPr>
        <w:lastRenderedPageBreak/>
        <w:t>dans le cas de nombreuses petites entreprises et atteindra 10 000 dans le cas où une seule entreprise représente l’ensemble des revenus de l’industrie.</w:t>
      </w:r>
    </w:p>
    <w:p w14:paraId="2117ECE6" w14:textId="37A90215" w:rsidR="00413250" w:rsidRPr="00C079BC" w:rsidRDefault="00413250" w:rsidP="00B7377B">
      <w:pPr>
        <w:jc w:val="both"/>
        <w:rPr>
          <w:rFonts w:ascii="Segoe UI" w:hAnsi="Segoe UI" w:cs="Segoe UI"/>
          <w:bCs/>
          <w:sz w:val="16"/>
          <w:szCs w:val="14"/>
        </w:rPr>
      </w:pPr>
      <w:r w:rsidRPr="00C079BC">
        <w:rPr>
          <w:rFonts w:ascii="Segoe UI" w:hAnsi="Segoe UI" w:cs="Segoe UI"/>
          <w:bCs/>
          <w:sz w:val="16"/>
          <w:szCs w:val="14"/>
        </w:rPr>
        <w:t xml:space="preserve">A noter que l’IHH se lie de la façon suivante : </w:t>
      </w:r>
    </w:p>
    <w:p w14:paraId="6F8ECDF8" w14:textId="7D72EF75" w:rsidR="00413250" w:rsidRPr="00C079BC" w:rsidRDefault="00413250" w:rsidP="00413250">
      <w:pPr>
        <w:pStyle w:val="Paragraphedeliste"/>
        <w:numPr>
          <w:ilvl w:val="0"/>
          <w:numId w:val="3"/>
        </w:numPr>
        <w:jc w:val="both"/>
        <w:rPr>
          <w:rFonts w:ascii="Segoe UI" w:hAnsi="Segoe UI" w:cs="Segoe UI"/>
          <w:bCs/>
          <w:sz w:val="16"/>
          <w:szCs w:val="14"/>
        </w:rPr>
      </w:pPr>
      <w:r w:rsidRPr="00C079BC">
        <w:rPr>
          <w:rFonts w:ascii="Segoe UI" w:hAnsi="Segoe UI" w:cs="Segoe UI"/>
          <w:bCs/>
          <w:sz w:val="16"/>
          <w:szCs w:val="14"/>
        </w:rPr>
        <w:t>IHH &lt; 1500 : marché peu concentré</w:t>
      </w:r>
    </w:p>
    <w:p w14:paraId="07CD76B4" w14:textId="200C5389" w:rsidR="00413250" w:rsidRPr="00C079BC" w:rsidRDefault="00413250" w:rsidP="00413250">
      <w:pPr>
        <w:pStyle w:val="Paragraphedeliste"/>
        <w:numPr>
          <w:ilvl w:val="0"/>
          <w:numId w:val="3"/>
        </w:numPr>
        <w:jc w:val="both"/>
        <w:rPr>
          <w:rFonts w:ascii="Segoe UI" w:hAnsi="Segoe UI" w:cs="Segoe UI"/>
          <w:bCs/>
          <w:sz w:val="16"/>
          <w:szCs w:val="14"/>
        </w:rPr>
      </w:pPr>
      <w:r w:rsidRPr="00C079BC">
        <w:rPr>
          <w:rFonts w:ascii="Segoe UI" w:hAnsi="Segoe UI" w:cs="Segoe UI"/>
          <w:bCs/>
          <w:sz w:val="16"/>
          <w:szCs w:val="14"/>
        </w:rPr>
        <w:t xml:space="preserve">1500 &lt; IHH &lt; 2 500 : marché moyennement concentré </w:t>
      </w:r>
    </w:p>
    <w:p w14:paraId="76EED50B" w14:textId="7E620F3D" w:rsidR="0025691B" w:rsidRPr="00C079BC" w:rsidRDefault="00413250" w:rsidP="0024709C">
      <w:pPr>
        <w:pStyle w:val="Paragraphedeliste"/>
        <w:numPr>
          <w:ilvl w:val="0"/>
          <w:numId w:val="3"/>
        </w:numPr>
        <w:jc w:val="both"/>
        <w:rPr>
          <w:rFonts w:ascii="Segoe UI" w:hAnsi="Segoe UI" w:cs="Segoe UI"/>
          <w:bCs/>
          <w:sz w:val="16"/>
          <w:szCs w:val="14"/>
        </w:rPr>
      </w:pPr>
      <w:r w:rsidRPr="00C079BC">
        <w:rPr>
          <w:rFonts w:ascii="Segoe UI" w:hAnsi="Segoe UI" w:cs="Segoe UI"/>
          <w:bCs/>
          <w:sz w:val="16"/>
          <w:szCs w:val="14"/>
        </w:rPr>
        <w:t>IHH &gt; 2 500 marché fortement concentré</w:t>
      </w:r>
    </w:p>
    <w:p w14:paraId="1BEE9149" w14:textId="2931CF6A" w:rsidR="00DA0A3C" w:rsidRPr="00F65D5A" w:rsidRDefault="00DA0A3C" w:rsidP="00DA0A3C">
      <w:pPr>
        <w:jc w:val="center"/>
        <w:rPr>
          <w:rFonts w:ascii="Segoe UI" w:hAnsi="Segoe UI" w:cs="Segoe UI"/>
          <w:b/>
          <w:sz w:val="20"/>
          <w:szCs w:val="20"/>
          <w:u w:val="single"/>
        </w:rPr>
      </w:pPr>
      <w:r w:rsidRPr="00F65D5A">
        <w:rPr>
          <w:rFonts w:ascii="Segoe UI" w:hAnsi="Segoe UI" w:cs="Segoe UI"/>
          <w:b/>
          <w:bCs/>
          <w:sz w:val="20"/>
          <w:szCs w:val="20"/>
          <w:u w:val="single"/>
        </w:rPr>
        <w:t xml:space="preserve">Fig. 2 </w:t>
      </w:r>
      <w:r w:rsidR="00B21DC8" w:rsidRPr="00F65D5A">
        <w:rPr>
          <w:rFonts w:ascii="Segoe UI" w:hAnsi="Segoe UI" w:cs="Segoe UI"/>
          <w:b/>
          <w:bCs/>
          <w:sz w:val="20"/>
          <w:szCs w:val="20"/>
          <w:u w:val="single"/>
        </w:rPr>
        <w:t xml:space="preserve">Evolution de la stabilité moyenne </w:t>
      </w:r>
      <w:r w:rsidR="009C526E" w:rsidRPr="00F65D5A">
        <w:rPr>
          <w:rFonts w:ascii="Segoe UI" w:hAnsi="Segoe UI" w:cs="Segoe UI"/>
          <w:b/>
          <w:bCs/>
          <w:sz w:val="20"/>
          <w:szCs w:val="20"/>
          <w:u w:val="single"/>
        </w:rPr>
        <w:t>des classements</w:t>
      </w:r>
      <w:r w:rsidR="004B3A04" w:rsidRPr="00F65D5A">
        <w:rPr>
          <w:rFonts w:ascii="Segoe UI" w:hAnsi="Segoe UI" w:cs="Segoe UI"/>
          <w:b/>
          <w:bCs/>
          <w:sz w:val="20"/>
          <w:szCs w:val="20"/>
          <w:u w:val="single"/>
        </w:rPr>
        <w:t xml:space="preserve"> de bénéfices des entreprises dans leur industrie </w:t>
      </w:r>
      <w:r w:rsidR="00191166" w:rsidRPr="00F65D5A">
        <w:rPr>
          <w:rFonts w:ascii="Segoe UI" w:hAnsi="Segoe UI" w:cs="Segoe UI"/>
          <w:b/>
          <w:bCs/>
          <w:sz w:val="20"/>
          <w:szCs w:val="20"/>
          <w:u w:val="single"/>
        </w:rPr>
        <w:t>respective de</w:t>
      </w:r>
      <w:r w:rsidR="00B21DC8" w:rsidRPr="00F65D5A">
        <w:rPr>
          <w:rFonts w:ascii="Segoe UI" w:hAnsi="Segoe UI" w:cs="Segoe UI"/>
          <w:b/>
          <w:bCs/>
          <w:sz w:val="20"/>
          <w:szCs w:val="20"/>
          <w:u w:val="single"/>
        </w:rPr>
        <w:t xml:space="preserve"> 2003 à 2020 pour toutes les industries </w:t>
      </w:r>
    </w:p>
    <w:p w14:paraId="711038AC" w14:textId="12EF9E8F" w:rsidR="00BF22CA" w:rsidRPr="0024709C" w:rsidRDefault="00400059" w:rsidP="0024709C">
      <w:pPr>
        <w:jc w:val="center"/>
        <w:rPr>
          <w:rFonts w:ascii="Segoe UI" w:hAnsi="Segoe UI" w:cs="Segoe UI"/>
          <w:b/>
          <w:sz w:val="18"/>
          <w:szCs w:val="16"/>
          <w:u w:val="single"/>
        </w:rPr>
      </w:pPr>
      <w:r w:rsidRPr="00465036">
        <w:rPr>
          <w:rFonts w:ascii="Segoe UI" w:hAnsi="Segoe UI" w:cs="Segoe UI"/>
          <w:b/>
          <w:noProof/>
          <w:sz w:val="18"/>
          <w:szCs w:val="18"/>
        </w:rPr>
        <w:drawing>
          <wp:inline distT="0" distB="0" distL="0" distR="0" wp14:anchorId="2780D62C" wp14:editId="16EBFDE2">
            <wp:extent cx="4839192" cy="2635672"/>
            <wp:effectExtent l="38100" t="38100" r="38100" b="317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73" cy="2640618"/>
                    </a:xfrm>
                    <a:prstGeom prst="rect">
                      <a:avLst/>
                    </a:prstGeom>
                    <a:noFill/>
                    <a:ln w="28575">
                      <a:solidFill>
                        <a:schemeClr val="accent5"/>
                      </a:solidFill>
                    </a:ln>
                  </pic:spPr>
                </pic:pic>
              </a:graphicData>
            </a:graphic>
          </wp:inline>
        </w:drawing>
      </w:r>
    </w:p>
    <w:p w14:paraId="723F0CA0" w14:textId="77777777" w:rsidR="00B30129" w:rsidRDefault="00B30129" w:rsidP="00BD03F9">
      <w:pPr>
        <w:jc w:val="center"/>
        <w:rPr>
          <w:rFonts w:ascii="Segoe UI" w:hAnsi="Segoe UI" w:cs="Segoe UI"/>
          <w:b/>
          <w:bCs/>
          <w:sz w:val="20"/>
          <w:szCs w:val="20"/>
          <w:u w:val="single"/>
        </w:rPr>
      </w:pPr>
    </w:p>
    <w:p w14:paraId="1CA9746C" w14:textId="275B3CFA" w:rsidR="00570D2E" w:rsidRDefault="00570D2E" w:rsidP="00BD03F9">
      <w:pPr>
        <w:jc w:val="center"/>
        <w:rPr>
          <w:rFonts w:ascii="Segoe UI" w:hAnsi="Segoe UI" w:cs="Segoe UI"/>
          <w:b/>
          <w:bCs/>
          <w:sz w:val="20"/>
          <w:szCs w:val="20"/>
          <w:u w:val="single"/>
        </w:rPr>
      </w:pPr>
      <w:r w:rsidRPr="00F65D5A">
        <w:rPr>
          <w:rFonts w:ascii="Segoe UI" w:hAnsi="Segoe UI" w:cs="Segoe UI"/>
          <w:b/>
          <w:bCs/>
          <w:sz w:val="20"/>
          <w:szCs w:val="20"/>
          <w:u w:val="single"/>
        </w:rPr>
        <w:t xml:space="preserve">Fig. </w:t>
      </w:r>
      <w:r w:rsidR="002256C2" w:rsidRPr="00F65D5A">
        <w:rPr>
          <w:rFonts w:ascii="Segoe UI" w:hAnsi="Segoe UI" w:cs="Segoe UI"/>
          <w:b/>
          <w:bCs/>
          <w:sz w:val="20"/>
          <w:szCs w:val="20"/>
          <w:u w:val="single"/>
        </w:rPr>
        <w:t xml:space="preserve">3 </w:t>
      </w:r>
      <w:r w:rsidRPr="00F65D5A">
        <w:rPr>
          <w:rFonts w:ascii="Segoe UI" w:hAnsi="Segoe UI" w:cs="Segoe UI"/>
          <w:b/>
          <w:bCs/>
          <w:sz w:val="20"/>
          <w:szCs w:val="20"/>
          <w:u w:val="single"/>
        </w:rPr>
        <w:t xml:space="preserve">Evolution </w:t>
      </w:r>
      <w:r w:rsidR="002256C2" w:rsidRPr="00F65D5A">
        <w:rPr>
          <w:rFonts w:ascii="Segoe UI" w:hAnsi="Segoe UI" w:cs="Segoe UI"/>
          <w:b/>
          <w:bCs/>
          <w:sz w:val="20"/>
          <w:szCs w:val="20"/>
          <w:u w:val="single"/>
        </w:rPr>
        <w:t>du taux d’entrée et du taux de sortie moyens de 2001 à 2020 pour toutes les industries</w:t>
      </w:r>
    </w:p>
    <w:p w14:paraId="2B8ADD29" w14:textId="180EE7C4" w:rsidR="002874E0" w:rsidRDefault="002874E0" w:rsidP="00400059">
      <w:pPr>
        <w:rPr>
          <w:rFonts w:ascii="Segoe UI" w:hAnsi="Segoe UI" w:cs="Segoe UI"/>
          <w:b/>
          <w:bCs/>
          <w:sz w:val="20"/>
          <w:szCs w:val="20"/>
          <w:u w:val="single"/>
        </w:rPr>
      </w:pPr>
      <w:r>
        <w:rPr>
          <w:noProof/>
        </w:rPr>
        <w:drawing>
          <wp:anchor distT="0" distB="0" distL="114300" distR="114300" simplePos="0" relativeHeight="251658240" behindDoc="0" locked="0" layoutInCell="1" allowOverlap="1" wp14:anchorId="6A77DA87" wp14:editId="0EDDFC8F">
            <wp:simplePos x="0" y="0"/>
            <wp:positionH relativeFrom="margin">
              <wp:align>center</wp:align>
            </wp:positionH>
            <wp:positionV relativeFrom="paragraph">
              <wp:posOffset>46824</wp:posOffset>
            </wp:positionV>
            <wp:extent cx="4826635" cy="2645410"/>
            <wp:effectExtent l="38100" t="38100" r="31115" b="4064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6635" cy="2645410"/>
                    </a:xfrm>
                    <a:prstGeom prst="rect">
                      <a:avLst/>
                    </a:prstGeom>
                    <a:noFill/>
                    <a:ln w="28575">
                      <a:solidFill>
                        <a:schemeClr val="accent5"/>
                      </a:solidFill>
                    </a:ln>
                  </pic:spPr>
                </pic:pic>
              </a:graphicData>
            </a:graphic>
            <wp14:sizeRelH relativeFrom="margin">
              <wp14:pctWidth>0</wp14:pctWidth>
            </wp14:sizeRelH>
            <wp14:sizeRelV relativeFrom="margin">
              <wp14:pctHeight>0</wp14:pctHeight>
            </wp14:sizeRelV>
          </wp:anchor>
        </w:drawing>
      </w:r>
    </w:p>
    <w:p w14:paraId="56565E1F" w14:textId="77777777" w:rsidR="002874E0" w:rsidRPr="00F65D5A" w:rsidRDefault="002874E0" w:rsidP="00400059">
      <w:pPr>
        <w:rPr>
          <w:rFonts w:ascii="Segoe UI" w:hAnsi="Segoe UI" w:cs="Segoe UI"/>
          <w:b/>
          <w:bCs/>
          <w:sz w:val="20"/>
          <w:szCs w:val="20"/>
          <w:u w:val="single"/>
        </w:rPr>
      </w:pPr>
    </w:p>
    <w:p w14:paraId="7E86D8A5" w14:textId="7A83C52B" w:rsidR="008F0E6C" w:rsidRDefault="008F0E6C" w:rsidP="00045E8D">
      <w:pPr>
        <w:spacing w:after="0"/>
        <w:jc w:val="center"/>
        <w:rPr>
          <w:noProof/>
        </w:rPr>
      </w:pPr>
    </w:p>
    <w:p w14:paraId="70613675" w14:textId="5C731625" w:rsidR="00734EFD" w:rsidRDefault="00734EFD" w:rsidP="00734EFD">
      <w:pPr>
        <w:rPr>
          <w:noProof/>
        </w:rPr>
      </w:pPr>
    </w:p>
    <w:p w14:paraId="6A708F10" w14:textId="42354202" w:rsidR="00734EFD" w:rsidRDefault="00734EFD" w:rsidP="00734EFD">
      <w:pPr>
        <w:tabs>
          <w:tab w:val="left" w:pos="960"/>
        </w:tabs>
        <w:rPr>
          <w:rFonts w:ascii="Segoe UI" w:hAnsi="Segoe UI" w:cs="Segoe UI"/>
          <w:sz w:val="18"/>
          <w:szCs w:val="16"/>
        </w:rPr>
      </w:pPr>
      <w:r>
        <w:rPr>
          <w:rFonts w:ascii="Segoe UI" w:hAnsi="Segoe UI" w:cs="Segoe UI"/>
          <w:sz w:val="18"/>
          <w:szCs w:val="16"/>
        </w:rPr>
        <w:tab/>
      </w:r>
    </w:p>
    <w:p w14:paraId="10321315" w14:textId="7AE12473" w:rsidR="003555E6" w:rsidRDefault="003555E6" w:rsidP="00734EFD">
      <w:pPr>
        <w:tabs>
          <w:tab w:val="left" w:pos="960"/>
        </w:tabs>
        <w:rPr>
          <w:rFonts w:ascii="Segoe UI" w:hAnsi="Segoe UI" w:cs="Segoe UI"/>
          <w:sz w:val="18"/>
          <w:szCs w:val="16"/>
        </w:rPr>
      </w:pPr>
    </w:p>
    <w:p w14:paraId="575E0766" w14:textId="35FCDFD6" w:rsidR="00045E8D" w:rsidRDefault="00045E8D" w:rsidP="00734EFD">
      <w:pPr>
        <w:tabs>
          <w:tab w:val="left" w:pos="960"/>
        </w:tabs>
        <w:rPr>
          <w:rFonts w:ascii="Segoe UI" w:hAnsi="Segoe UI" w:cs="Segoe UI"/>
          <w:sz w:val="18"/>
          <w:szCs w:val="16"/>
        </w:rPr>
      </w:pPr>
    </w:p>
    <w:p w14:paraId="0984008C" w14:textId="5A3A355A" w:rsidR="00045E8D" w:rsidRDefault="00045E8D" w:rsidP="00734EFD">
      <w:pPr>
        <w:tabs>
          <w:tab w:val="left" w:pos="960"/>
        </w:tabs>
        <w:rPr>
          <w:rFonts w:ascii="Segoe UI" w:hAnsi="Segoe UI" w:cs="Segoe UI"/>
          <w:sz w:val="18"/>
          <w:szCs w:val="16"/>
        </w:rPr>
      </w:pPr>
    </w:p>
    <w:p w14:paraId="3FD34707" w14:textId="77777777" w:rsidR="00E6481D" w:rsidRDefault="00E6481D" w:rsidP="006971D1">
      <w:pPr>
        <w:jc w:val="both"/>
        <w:rPr>
          <w:rFonts w:ascii="Segoe UI" w:hAnsi="Segoe UI" w:cs="Segoe UI"/>
          <w:b/>
          <w:sz w:val="20"/>
          <w:szCs w:val="18"/>
          <w:u w:val="single"/>
        </w:rPr>
      </w:pPr>
    </w:p>
    <w:p w14:paraId="16013583" w14:textId="26596238" w:rsidR="00E6481D" w:rsidRDefault="00E6481D" w:rsidP="006971D1">
      <w:pPr>
        <w:jc w:val="both"/>
        <w:rPr>
          <w:rFonts w:ascii="Segoe UI" w:hAnsi="Segoe UI" w:cs="Segoe UI"/>
          <w:b/>
          <w:sz w:val="20"/>
          <w:szCs w:val="18"/>
          <w:u w:val="single"/>
        </w:rPr>
      </w:pPr>
    </w:p>
    <w:p w14:paraId="739FFCA6" w14:textId="77777777" w:rsidR="003768D1" w:rsidRDefault="003768D1" w:rsidP="006971D1">
      <w:pPr>
        <w:jc w:val="both"/>
        <w:rPr>
          <w:rFonts w:ascii="Segoe UI" w:hAnsi="Segoe UI" w:cs="Segoe UI"/>
          <w:b/>
          <w:sz w:val="20"/>
          <w:szCs w:val="18"/>
          <w:u w:val="single"/>
        </w:rPr>
      </w:pPr>
    </w:p>
    <w:p w14:paraId="2B389DE2" w14:textId="77777777" w:rsidR="00AA14CA" w:rsidRDefault="00AA14CA" w:rsidP="006971D1">
      <w:pPr>
        <w:jc w:val="both"/>
        <w:rPr>
          <w:rFonts w:ascii="Segoe UI" w:hAnsi="Segoe UI" w:cs="Segoe UI"/>
          <w:b/>
          <w:sz w:val="20"/>
          <w:szCs w:val="18"/>
          <w:u w:val="single"/>
        </w:rPr>
      </w:pPr>
    </w:p>
    <w:p w14:paraId="46BB85BA" w14:textId="77777777" w:rsidR="00AA14CA" w:rsidRDefault="00AA14CA" w:rsidP="006971D1">
      <w:pPr>
        <w:jc w:val="both"/>
        <w:rPr>
          <w:rFonts w:ascii="Segoe UI" w:hAnsi="Segoe UI" w:cs="Segoe UI"/>
          <w:b/>
          <w:sz w:val="20"/>
          <w:szCs w:val="18"/>
          <w:u w:val="single"/>
        </w:rPr>
      </w:pPr>
    </w:p>
    <w:p w14:paraId="37F2C507" w14:textId="77777777" w:rsidR="00AA14CA" w:rsidRDefault="00AA14CA" w:rsidP="006971D1">
      <w:pPr>
        <w:jc w:val="both"/>
        <w:rPr>
          <w:rFonts w:ascii="Segoe UI" w:hAnsi="Segoe UI" w:cs="Segoe UI"/>
          <w:b/>
          <w:sz w:val="20"/>
          <w:szCs w:val="18"/>
          <w:u w:val="single"/>
        </w:rPr>
      </w:pPr>
    </w:p>
    <w:p w14:paraId="21151666" w14:textId="77777777" w:rsidR="00AA14CA" w:rsidRDefault="00AA14CA" w:rsidP="006971D1">
      <w:pPr>
        <w:jc w:val="both"/>
        <w:rPr>
          <w:rFonts w:ascii="Segoe UI" w:hAnsi="Segoe UI" w:cs="Segoe UI"/>
          <w:b/>
          <w:sz w:val="20"/>
          <w:szCs w:val="18"/>
          <w:u w:val="single"/>
        </w:rPr>
      </w:pPr>
    </w:p>
    <w:p w14:paraId="1473D78F" w14:textId="77777777" w:rsidR="00AA14CA" w:rsidRDefault="00AA14CA" w:rsidP="006971D1">
      <w:pPr>
        <w:jc w:val="both"/>
        <w:rPr>
          <w:rFonts w:ascii="Segoe UI" w:hAnsi="Segoe UI" w:cs="Segoe UI"/>
          <w:b/>
          <w:sz w:val="20"/>
          <w:szCs w:val="18"/>
          <w:u w:val="single"/>
        </w:rPr>
      </w:pPr>
    </w:p>
    <w:p w14:paraId="061AA7A2" w14:textId="77777777" w:rsidR="00AA14CA" w:rsidRDefault="00AA14CA" w:rsidP="006971D1">
      <w:pPr>
        <w:jc w:val="both"/>
        <w:rPr>
          <w:rFonts w:ascii="Segoe UI" w:hAnsi="Segoe UI" w:cs="Segoe UI"/>
          <w:b/>
          <w:sz w:val="20"/>
          <w:szCs w:val="18"/>
          <w:u w:val="single"/>
        </w:rPr>
      </w:pPr>
    </w:p>
    <w:p w14:paraId="07B3C3FB" w14:textId="77777777" w:rsidR="00AA14CA" w:rsidRDefault="00AA14CA" w:rsidP="006971D1">
      <w:pPr>
        <w:jc w:val="both"/>
        <w:rPr>
          <w:rFonts w:ascii="Segoe UI" w:hAnsi="Segoe UI" w:cs="Segoe UI"/>
          <w:b/>
          <w:sz w:val="20"/>
          <w:szCs w:val="18"/>
          <w:u w:val="single"/>
        </w:rPr>
      </w:pPr>
    </w:p>
    <w:p w14:paraId="368A777F" w14:textId="77777777" w:rsidR="00AA14CA" w:rsidRDefault="00AA14CA" w:rsidP="006971D1">
      <w:pPr>
        <w:jc w:val="both"/>
        <w:rPr>
          <w:rFonts w:ascii="Segoe UI" w:hAnsi="Segoe UI" w:cs="Segoe UI"/>
          <w:b/>
          <w:sz w:val="20"/>
          <w:szCs w:val="18"/>
          <w:u w:val="single"/>
        </w:rPr>
      </w:pPr>
    </w:p>
    <w:p w14:paraId="0452906E" w14:textId="77777777" w:rsidR="00AA14CA" w:rsidRDefault="00AA14CA" w:rsidP="006971D1">
      <w:pPr>
        <w:jc w:val="both"/>
        <w:rPr>
          <w:rFonts w:ascii="Segoe UI" w:hAnsi="Segoe UI" w:cs="Segoe UI"/>
          <w:b/>
          <w:sz w:val="20"/>
          <w:szCs w:val="18"/>
          <w:u w:val="single"/>
        </w:rPr>
      </w:pPr>
    </w:p>
    <w:p w14:paraId="13F4306E" w14:textId="77777777" w:rsidR="00AA14CA" w:rsidRDefault="00AA14CA" w:rsidP="006971D1">
      <w:pPr>
        <w:jc w:val="both"/>
        <w:rPr>
          <w:rFonts w:ascii="Segoe UI" w:hAnsi="Segoe UI" w:cs="Segoe UI"/>
          <w:b/>
          <w:sz w:val="20"/>
          <w:szCs w:val="18"/>
          <w:u w:val="single"/>
        </w:rPr>
      </w:pPr>
    </w:p>
    <w:p w14:paraId="358DE63D" w14:textId="6E7B86ED" w:rsidR="006971D1" w:rsidRPr="006971D1" w:rsidRDefault="00FE52AC" w:rsidP="006971D1">
      <w:pPr>
        <w:jc w:val="both"/>
        <w:rPr>
          <w:rFonts w:ascii="Segoe UI" w:hAnsi="Segoe UI" w:cs="Segoe UI"/>
          <w:b/>
          <w:sz w:val="20"/>
          <w:szCs w:val="18"/>
          <w:u w:val="single"/>
        </w:rPr>
      </w:pPr>
      <w:r w:rsidRPr="00A87422">
        <w:rPr>
          <w:rFonts w:ascii="Segoe UI" w:hAnsi="Segoe UI" w:cs="Segoe UI"/>
          <w:b/>
          <w:sz w:val="20"/>
          <w:szCs w:val="18"/>
          <w:u w:val="single"/>
        </w:rPr>
        <w:t xml:space="preserve">Annexe </w:t>
      </w:r>
      <w:r w:rsidR="00991C6B">
        <w:rPr>
          <w:rFonts w:ascii="Segoe UI" w:hAnsi="Segoe UI" w:cs="Segoe UI"/>
          <w:b/>
          <w:sz w:val="20"/>
          <w:szCs w:val="18"/>
          <w:u w:val="single"/>
        </w:rPr>
        <w:t>V</w:t>
      </w:r>
      <w:r w:rsidRPr="00A87422">
        <w:rPr>
          <w:rFonts w:ascii="Segoe UI" w:hAnsi="Segoe UI" w:cs="Segoe UI"/>
          <w:b/>
          <w:sz w:val="20"/>
          <w:szCs w:val="18"/>
          <w:u w:val="single"/>
        </w:rPr>
        <w:t xml:space="preserve"> – </w:t>
      </w:r>
      <w:r w:rsidR="00FC5308" w:rsidRPr="00A87422">
        <w:rPr>
          <w:rFonts w:ascii="Segoe UI" w:hAnsi="Segoe UI" w:cs="Segoe UI"/>
          <w:b/>
          <w:sz w:val="20"/>
          <w:szCs w:val="18"/>
          <w:u w:val="single"/>
        </w:rPr>
        <w:t>… Donnant ainsi plus de pouvoir de marché aux entreprises</w:t>
      </w:r>
      <w:r w:rsidR="00B074F6" w:rsidRPr="00A87422">
        <w:rPr>
          <w:rFonts w:ascii="Segoe UI" w:hAnsi="Segoe UI" w:cs="Segoe UI"/>
          <w:b/>
          <w:sz w:val="20"/>
          <w:szCs w:val="18"/>
          <w:u w:val="single"/>
        </w:rPr>
        <w:t xml:space="preserve"> pour accroître leur marge</w:t>
      </w:r>
      <w:r w:rsidR="00FC5308" w:rsidRPr="00A87422">
        <w:rPr>
          <w:rFonts w:ascii="Segoe UI" w:hAnsi="Segoe UI" w:cs="Segoe UI"/>
          <w:b/>
          <w:sz w:val="20"/>
          <w:szCs w:val="18"/>
          <w:u w:val="single"/>
        </w:rPr>
        <w:t xml:space="preserve"> (source : Bureau de la concurrence, 2023)</w:t>
      </w:r>
    </w:p>
    <w:p w14:paraId="3CC91D7D" w14:textId="49255E33" w:rsidR="00B77957" w:rsidRPr="00F65D5A" w:rsidRDefault="00B77957" w:rsidP="00B77957">
      <w:pPr>
        <w:jc w:val="center"/>
        <w:rPr>
          <w:rFonts w:ascii="Segoe UI" w:hAnsi="Segoe UI" w:cs="Segoe UI"/>
          <w:b/>
          <w:bCs/>
          <w:sz w:val="20"/>
          <w:szCs w:val="20"/>
          <w:u w:val="single"/>
        </w:rPr>
      </w:pPr>
      <w:r w:rsidRPr="00F65D5A">
        <w:rPr>
          <w:rFonts w:ascii="Segoe UI" w:hAnsi="Segoe UI" w:cs="Segoe UI"/>
          <w:b/>
          <w:bCs/>
          <w:sz w:val="20"/>
          <w:szCs w:val="20"/>
          <w:u w:val="single"/>
        </w:rPr>
        <w:t xml:space="preserve">Fig. </w:t>
      </w:r>
      <w:r w:rsidR="009007D1">
        <w:rPr>
          <w:rFonts w:ascii="Segoe UI" w:hAnsi="Segoe UI" w:cs="Segoe UI"/>
          <w:b/>
          <w:bCs/>
          <w:sz w:val="20"/>
          <w:szCs w:val="20"/>
          <w:u w:val="single"/>
        </w:rPr>
        <w:t>1</w:t>
      </w:r>
      <w:r w:rsidRPr="00F65D5A">
        <w:rPr>
          <w:rFonts w:ascii="Segoe UI" w:hAnsi="Segoe UI" w:cs="Segoe UI"/>
          <w:b/>
          <w:bCs/>
          <w:sz w:val="20"/>
          <w:szCs w:val="20"/>
          <w:u w:val="single"/>
        </w:rPr>
        <w:t xml:space="preserve"> Evolution du taux </w:t>
      </w:r>
      <w:r w:rsidR="00A20EFA">
        <w:rPr>
          <w:rFonts w:ascii="Segoe UI" w:hAnsi="Segoe UI" w:cs="Segoe UI"/>
          <w:b/>
          <w:bCs/>
          <w:sz w:val="20"/>
          <w:szCs w:val="20"/>
          <w:u w:val="single"/>
        </w:rPr>
        <w:t>de marge annuel moyen de 2002 à 2018</w:t>
      </w:r>
    </w:p>
    <w:p w14:paraId="4ECD02B6" w14:textId="28D61567" w:rsidR="00B33ECB" w:rsidRDefault="00873776" w:rsidP="00EA02E7">
      <w:pPr>
        <w:jc w:val="center"/>
        <w:rPr>
          <w:rFonts w:ascii="Segoe UI" w:hAnsi="Segoe UI" w:cs="Segoe UI"/>
          <w:b/>
          <w:sz w:val="18"/>
          <w:szCs w:val="16"/>
          <w:u w:val="single"/>
        </w:rPr>
      </w:pPr>
      <w:r w:rsidRPr="00873776">
        <w:rPr>
          <w:rFonts w:ascii="Segoe UI" w:hAnsi="Segoe UI" w:cs="Segoe UI"/>
          <w:b/>
          <w:noProof/>
          <w:sz w:val="18"/>
          <w:szCs w:val="16"/>
        </w:rPr>
        <w:drawing>
          <wp:inline distT="0" distB="0" distL="0" distR="0" wp14:anchorId="1D2F9AD3" wp14:editId="4821F7A3">
            <wp:extent cx="5352607" cy="3061973"/>
            <wp:effectExtent l="38100" t="38100" r="38735" b="431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4911" cy="3069012"/>
                    </a:xfrm>
                    <a:prstGeom prst="rect">
                      <a:avLst/>
                    </a:prstGeom>
                    <a:noFill/>
                    <a:ln w="28575">
                      <a:solidFill>
                        <a:schemeClr val="accent5"/>
                      </a:solidFill>
                    </a:ln>
                  </pic:spPr>
                </pic:pic>
              </a:graphicData>
            </a:graphic>
          </wp:inline>
        </w:drawing>
      </w:r>
    </w:p>
    <w:p w14:paraId="4E36F129" w14:textId="33F1F2BE" w:rsidR="0046540A" w:rsidRPr="00AA14CA" w:rsidRDefault="002D30AD" w:rsidP="00AA14CA">
      <w:pPr>
        <w:jc w:val="both"/>
        <w:rPr>
          <w:rFonts w:ascii="Segoe UI" w:hAnsi="Segoe UI" w:cs="Segoe UI"/>
          <w:bCs/>
          <w:sz w:val="18"/>
          <w:szCs w:val="16"/>
        </w:rPr>
      </w:pPr>
      <w:r w:rsidRPr="00E26B97">
        <w:rPr>
          <w:rFonts w:ascii="Segoe UI" w:hAnsi="Segoe UI" w:cs="Segoe UI"/>
          <w:bCs/>
          <w:sz w:val="18"/>
          <w:szCs w:val="16"/>
          <w:u w:val="single"/>
        </w:rPr>
        <w:t>Note</w:t>
      </w:r>
      <w:r>
        <w:rPr>
          <w:rFonts w:ascii="Segoe UI" w:hAnsi="Segoe UI" w:cs="Segoe UI"/>
          <w:bCs/>
          <w:sz w:val="18"/>
          <w:szCs w:val="16"/>
          <w:u w:val="single"/>
        </w:rPr>
        <w:t>s</w:t>
      </w:r>
      <w:r>
        <w:rPr>
          <w:rFonts w:ascii="Segoe UI" w:hAnsi="Segoe UI" w:cs="Segoe UI"/>
          <w:bCs/>
          <w:sz w:val="18"/>
          <w:szCs w:val="16"/>
        </w:rPr>
        <w:t> : « 10% supérieur », « 25% supérieur », etc. font références aux déciles de concentration des industries en 2005. Par exemple en rouge, la Fig. 1 détaille l’évolution de l’indice de concentration pour les 10% d’industries les plus concentrées en 2005</w:t>
      </w:r>
      <w:r w:rsidR="00AA14CA">
        <w:rPr>
          <w:rFonts w:ascii="Segoe UI" w:hAnsi="Segoe UI" w:cs="Segoe UI"/>
          <w:bCs/>
          <w:sz w:val="18"/>
          <w:szCs w:val="16"/>
        </w:rPr>
        <w:t>.</w:t>
      </w:r>
    </w:p>
    <w:p w14:paraId="4EFF4697" w14:textId="7BB447E4" w:rsidR="00EA02E7" w:rsidRPr="00A81610" w:rsidRDefault="00EA02E7" w:rsidP="00A10F4E">
      <w:pPr>
        <w:jc w:val="center"/>
        <w:rPr>
          <w:rFonts w:ascii="Segoe UI" w:hAnsi="Segoe UI" w:cs="Segoe UI"/>
          <w:b/>
          <w:bCs/>
          <w:sz w:val="20"/>
          <w:szCs w:val="20"/>
          <w:u w:val="single"/>
        </w:rPr>
      </w:pPr>
      <w:r w:rsidRPr="00F65D5A">
        <w:rPr>
          <w:rFonts w:ascii="Segoe UI" w:hAnsi="Segoe UI" w:cs="Segoe UI"/>
          <w:b/>
          <w:bCs/>
          <w:sz w:val="20"/>
          <w:szCs w:val="20"/>
          <w:u w:val="single"/>
        </w:rPr>
        <w:t xml:space="preserve">Fig. </w:t>
      </w:r>
      <w:r w:rsidR="007A29F5">
        <w:rPr>
          <w:rFonts w:ascii="Segoe UI" w:hAnsi="Segoe UI" w:cs="Segoe UI"/>
          <w:b/>
          <w:bCs/>
          <w:sz w:val="20"/>
          <w:szCs w:val="20"/>
          <w:u w:val="single"/>
        </w:rPr>
        <w:t xml:space="preserve">2 </w:t>
      </w:r>
      <w:r w:rsidR="00FF5547">
        <w:rPr>
          <w:rFonts w:ascii="Segoe UI" w:hAnsi="Segoe UI" w:cs="Segoe UI"/>
          <w:b/>
          <w:bCs/>
          <w:sz w:val="20"/>
          <w:szCs w:val="20"/>
          <w:u w:val="single"/>
        </w:rPr>
        <w:t>Evolution de l’indicateur de Boone, mesure de l’élasticité des profits par rapport au</w:t>
      </w:r>
      <w:r w:rsidR="002918F8">
        <w:rPr>
          <w:rFonts w:ascii="Segoe UI" w:hAnsi="Segoe UI" w:cs="Segoe UI"/>
          <w:b/>
          <w:bCs/>
          <w:sz w:val="20"/>
          <w:szCs w:val="20"/>
          <w:u w:val="single"/>
        </w:rPr>
        <w:t xml:space="preserve"> marginal des entreprises</w:t>
      </w:r>
    </w:p>
    <w:p w14:paraId="1E7D8395" w14:textId="5BE1C26B" w:rsidR="00EA02E7" w:rsidRDefault="00EA02E7" w:rsidP="00EA02E7">
      <w:pPr>
        <w:tabs>
          <w:tab w:val="left" w:pos="960"/>
        </w:tabs>
        <w:jc w:val="center"/>
        <w:rPr>
          <w:rFonts w:ascii="Segoe UI" w:hAnsi="Segoe UI" w:cs="Segoe UI"/>
          <w:sz w:val="18"/>
          <w:szCs w:val="16"/>
        </w:rPr>
      </w:pPr>
      <w:r>
        <w:rPr>
          <w:noProof/>
        </w:rPr>
        <w:drawing>
          <wp:inline distT="0" distB="0" distL="0" distR="0" wp14:anchorId="44E14996" wp14:editId="79B5F8A8">
            <wp:extent cx="5320709" cy="3068767"/>
            <wp:effectExtent l="38100" t="38100" r="32385" b="3683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7370" cy="3072609"/>
                    </a:xfrm>
                    <a:prstGeom prst="rect">
                      <a:avLst/>
                    </a:prstGeom>
                    <a:noFill/>
                    <a:ln w="28575">
                      <a:solidFill>
                        <a:schemeClr val="accent5"/>
                      </a:solidFill>
                    </a:ln>
                  </pic:spPr>
                </pic:pic>
              </a:graphicData>
            </a:graphic>
          </wp:inline>
        </w:drawing>
      </w:r>
    </w:p>
    <w:p w14:paraId="64D647DC" w14:textId="6DCCB235" w:rsidR="0077717E" w:rsidRPr="00F138CA" w:rsidRDefault="0077717E" w:rsidP="00F138CA">
      <w:pPr>
        <w:jc w:val="both"/>
        <w:rPr>
          <w:rFonts w:ascii="Segoe UI" w:hAnsi="Segoe UI" w:cs="Segoe UI"/>
          <w:bCs/>
          <w:sz w:val="18"/>
          <w:szCs w:val="16"/>
        </w:rPr>
      </w:pPr>
      <w:r w:rsidRPr="00E26B97">
        <w:rPr>
          <w:rFonts w:ascii="Segoe UI" w:hAnsi="Segoe UI" w:cs="Segoe UI"/>
          <w:bCs/>
          <w:sz w:val="18"/>
          <w:szCs w:val="16"/>
          <w:u w:val="single"/>
        </w:rPr>
        <w:t>Note</w:t>
      </w:r>
      <w:r>
        <w:rPr>
          <w:rFonts w:ascii="Segoe UI" w:hAnsi="Segoe UI" w:cs="Segoe UI"/>
          <w:bCs/>
          <w:sz w:val="18"/>
          <w:szCs w:val="16"/>
          <w:u w:val="single"/>
        </w:rPr>
        <w:t>s</w:t>
      </w:r>
      <w:r>
        <w:rPr>
          <w:rFonts w:ascii="Segoe UI" w:hAnsi="Segoe UI" w:cs="Segoe UI"/>
          <w:bCs/>
          <w:sz w:val="18"/>
          <w:szCs w:val="16"/>
        </w:rPr>
        <w:t> : « 10% supérieur », « 25% supérieur », etc. font références aux déciles de concentration des industries en 2005. Par exemple en rouge, la Fig. 1 détaille l’évolution de l’indice de concentration pour les 10% d’industries les plus concentrées en 2005.</w:t>
      </w:r>
    </w:p>
    <w:sectPr w:rsidR="0077717E" w:rsidRPr="00F138CA" w:rsidSect="00C51D43">
      <w:headerReference w:type="default" r:id="rId19"/>
      <w:pgSz w:w="11906" w:h="16838"/>
      <w:pgMar w:top="851" w:right="851" w:bottom="680"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4E8D" w14:textId="77777777" w:rsidR="00802DE1" w:rsidRDefault="00802DE1" w:rsidP="008F32F3">
      <w:pPr>
        <w:spacing w:after="0" w:line="240" w:lineRule="auto"/>
      </w:pPr>
      <w:r>
        <w:separator/>
      </w:r>
    </w:p>
  </w:endnote>
  <w:endnote w:type="continuationSeparator" w:id="0">
    <w:p w14:paraId="02853093" w14:textId="77777777" w:rsidR="00802DE1" w:rsidRDefault="00802DE1" w:rsidP="008F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3BEA7" w14:textId="77777777" w:rsidR="00802DE1" w:rsidRDefault="00802DE1" w:rsidP="008F32F3">
      <w:pPr>
        <w:spacing w:after="0" w:line="240" w:lineRule="auto"/>
      </w:pPr>
      <w:r>
        <w:separator/>
      </w:r>
    </w:p>
  </w:footnote>
  <w:footnote w:type="continuationSeparator" w:id="0">
    <w:p w14:paraId="22784391" w14:textId="77777777" w:rsidR="00802DE1" w:rsidRDefault="00802DE1" w:rsidP="008F32F3">
      <w:pPr>
        <w:spacing w:after="0" w:line="240" w:lineRule="auto"/>
      </w:pPr>
      <w:r>
        <w:continuationSeparator/>
      </w:r>
    </w:p>
  </w:footnote>
  <w:footnote w:id="1">
    <w:p w14:paraId="711C23DB" w14:textId="7EF8D897" w:rsidR="00513D1E" w:rsidRPr="001F100F" w:rsidRDefault="00513D1E" w:rsidP="00513D1E">
      <w:pPr>
        <w:pStyle w:val="Notedebasdepage"/>
        <w:rPr>
          <w:rFonts w:ascii="Segoe UI" w:hAnsi="Segoe UI" w:cs="Segoe UI"/>
          <w:sz w:val="14"/>
          <w:szCs w:val="14"/>
        </w:rPr>
      </w:pPr>
      <w:r w:rsidRPr="001F100F">
        <w:rPr>
          <w:rStyle w:val="Appelnotedebasdep"/>
          <w:rFonts w:ascii="Segoe UI" w:hAnsi="Segoe UI" w:cs="Segoe UI"/>
          <w:sz w:val="14"/>
          <w:szCs w:val="14"/>
        </w:rPr>
        <w:footnoteRef/>
      </w:r>
      <w:r w:rsidRPr="001F100F">
        <w:rPr>
          <w:rFonts w:ascii="Segoe UI" w:hAnsi="Segoe UI" w:cs="Segoe UI"/>
          <w:sz w:val="14"/>
          <w:szCs w:val="14"/>
        </w:rPr>
        <w:t xml:space="preserve"> Voir</w:t>
      </w:r>
      <w:r w:rsidR="001E2068" w:rsidRPr="001F100F">
        <w:rPr>
          <w:rFonts w:ascii="Segoe UI" w:hAnsi="Segoe UI" w:cs="Segoe UI"/>
          <w:sz w:val="14"/>
          <w:szCs w:val="14"/>
        </w:rPr>
        <w:t> </w:t>
      </w:r>
      <w:r w:rsidR="00D05B1A" w:rsidRPr="001F100F">
        <w:rPr>
          <w:rFonts w:ascii="Segoe UI" w:hAnsi="Segoe UI" w:cs="Segoe UI"/>
          <w:sz w:val="14"/>
          <w:szCs w:val="14"/>
        </w:rPr>
        <w:t>:</w:t>
      </w:r>
      <w:r w:rsidR="001E2068" w:rsidRPr="001F100F">
        <w:rPr>
          <w:rFonts w:ascii="Segoe UI" w:hAnsi="Segoe UI" w:cs="Segoe UI"/>
          <w:sz w:val="14"/>
          <w:szCs w:val="14"/>
        </w:rPr>
        <w:t xml:space="preserve"> </w:t>
      </w:r>
      <w:r w:rsidR="00A75CA8" w:rsidRPr="001F100F">
        <w:rPr>
          <w:rFonts w:ascii="Segoe UI" w:hAnsi="Segoe UI" w:cs="Segoe UI"/>
          <w:sz w:val="14"/>
          <w:szCs w:val="14"/>
        </w:rPr>
        <w:t>« </w:t>
      </w:r>
      <w:r w:rsidR="00A75CA8" w:rsidRPr="001F100F">
        <w:rPr>
          <w:rFonts w:ascii="Segoe UI" w:hAnsi="Segoe UI" w:cs="Segoe UI"/>
          <w:sz w:val="14"/>
          <w:szCs w:val="14"/>
          <w:u w:val="single"/>
        </w:rPr>
        <w:t>L’inflation alimentaire, un phénomène parti pour durer au Canada</w:t>
      </w:r>
      <w:r w:rsidR="00A75CA8" w:rsidRPr="001F100F">
        <w:rPr>
          <w:rFonts w:ascii="Segoe UI" w:hAnsi="Segoe UI" w:cs="Segoe UI"/>
          <w:sz w:val="14"/>
          <w:szCs w:val="14"/>
        </w:rPr>
        <w:t xml:space="preserve"> » </w:t>
      </w:r>
      <w:r w:rsidR="008A79B7" w:rsidRPr="001F100F">
        <w:rPr>
          <w:rFonts w:ascii="Segoe UI" w:hAnsi="Segoe UI" w:cs="Segoe UI"/>
          <w:sz w:val="14"/>
          <w:szCs w:val="14"/>
        </w:rPr>
        <w:t xml:space="preserve">&amp; </w:t>
      </w:r>
      <w:r w:rsidRPr="001F100F">
        <w:rPr>
          <w:rFonts w:ascii="Segoe UI" w:hAnsi="Segoe UI" w:cs="Segoe UI"/>
          <w:sz w:val="14"/>
          <w:szCs w:val="14"/>
        </w:rPr>
        <w:t>« </w:t>
      </w:r>
      <w:r w:rsidRPr="001F100F">
        <w:rPr>
          <w:rFonts w:ascii="Segoe UI" w:hAnsi="Segoe UI" w:cs="Segoe UI"/>
          <w:sz w:val="14"/>
          <w:szCs w:val="14"/>
          <w:u w:val="single"/>
        </w:rPr>
        <w:t>Inflation alimentaire au Canada : vers davantage de concurrence dans la distribution</w:t>
      </w:r>
      <w:r w:rsidRPr="001F100F">
        <w:rPr>
          <w:rFonts w:ascii="Segoe UI" w:hAnsi="Segoe UI" w:cs="Segoe UI"/>
          <w:sz w:val="14"/>
          <w:szCs w:val="14"/>
        </w:rPr>
        <w:t> »</w:t>
      </w:r>
      <w:r w:rsidR="00CF7D3B">
        <w:rPr>
          <w:rFonts w:ascii="Segoe UI" w:hAnsi="Segoe UI" w:cs="Segoe UI"/>
          <w:sz w:val="14"/>
          <w:szCs w:val="14"/>
        </w:rPr>
        <w:t xml:space="preserve"> (2023)</w:t>
      </w:r>
    </w:p>
  </w:footnote>
  <w:footnote w:id="2">
    <w:p w14:paraId="2077CF72" w14:textId="77777777" w:rsidR="00500ABE" w:rsidRPr="00906B29" w:rsidRDefault="00500ABE" w:rsidP="00500ABE">
      <w:pPr>
        <w:pStyle w:val="Notedebasdepage"/>
        <w:rPr>
          <w:rFonts w:ascii="Segoe UI" w:hAnsi="Segoe UI" w:cs="Segoe UI"/>
          <w:sz w:val="14"/>
          <w:szCs w:val="14"/>
        </w:rPr>
      </w:pPr>
      <w:r w:rsidRPr="00906B29">
        <w:rPr>
          <w:rStyle w:val="Appelnotedebasdep"/>
          <w:rFonts w:ascii="Segoe UI" w:hAnsi="Segoe UI" w:cs="Segoe UI"/>
          <w:sz w:val="14"/>
          <w:szCs w:val="14"/>
        </w:rPr>
        <w:footnoteRef/>
      </w:r>
      <w:r w:rsidRPr="00906B29">
        <w:rPr>
          <w:rFonts w:ascii="Segoe UI" w:hAnsi="Segoe UI" w:cs="Segoe UI"/>
          <w:sz w:val="14"/>
          <w:szCs w:val="14"/>
        </w:rPr>
        <w:t xml:space="preserve"> La Banque du Canada ne détaille pas davantage la présentation de cette donnée pour des raisons de confidentialité. </w:t>
      </w:r>
    </w:p>
  </w:footnote>
  <w:footnote w:id="3">
    <w:p w14:paraId="484A8FC2" w14:textId="3FF84BBE" w:rsidR="0009489C" w:rsidRPr="00DC3463" w:rsidRDefault="0009489C">
      <w:pPr>
        <w:pStyle w:val="Notedebasdepage"/>
        <w:rPr>
          <w:rFonts w:ascii="Segoe UI" w:hAnsi="Segoe UI" w:cs="Segoe UI"/>
        </w:rPr>
      </w:pPr>
      <w:r w:rsidRPr="00DC3463">
        <w:rPr>
          <w:rStyle w:val="Appelnotedebasdep"/>
          <w:rFonts w:ascii="Segoe UI" w:hAnsi="Segoe UI" w:cs="Segoe UI"/>
          <w:sz w:val="14"/>
          <w:szCs w:val="14"/>
        </w:rPr>
        <w:footnoteRef/>
      </w:r>
      <w:r w:rsidRPr="00D97825">
        <w:rPr>
          <w:rFonts w:ascii="Segoe UI" w:hAnsi="Segoe UI" w:cs="Segoe UI"/>
          <w:sz w:val="14"/>
          <w:szCs w:val="14"/>
          <w:lang w:val="en-CA"/>
        </w:rPr>
        <w:t xml:space="preserve"> </w:t>
      </w:r>
      <w:r w:rsidR="00534564" w:rsidRPr="00D97825">
        <w:rPr>
          <w:rFonts w:ascii="Segoe UI" w:hAnsi="Segoe UI" w:cs="Segoe UI"/>
          <w:sz w:val="14"/>
          <w:szCs w:val="14"/>
          <w:lang w:val="en-CA"/>
        </w:rPr>
        <w:t>Voir: «</w:t>
      </w:r>
      <w:r w:rsidR="00DE0F35" w:rsidRPr="00D97825">
        <w:rPr>
          <w:rFonts w:ascii="Segoe UI" w:hAnsi="Segoe UI" w:cs="Segoe UI"/>
          <w:sz w:val="14"/>
          <w:szCs w:val="14"/>
          <w:lang w:val="en-CA"/>
        </w:rPr>
        <w:t> </w:t>
      </w:r>
      <w:hyperlink r:id="rId1" w:history="1">
        <w:r w:rsidRPr="00D97825">
          <w:rPr>
            <w:rStyle w:val="Lienhypertexte"/>
            <w:rFonts w:ascii="Segoe UI" w:hAnsi="Segoe UI" w:cs="Segoe UI"/>
            <w:i/>
            <w:iCs/>
            <w:sz w:val="14"/>
            <w:szCs w:val="14"/>
            <w:lang w:val="en-CA"/>
          </w:rPr>
          <w:t xml:space="preserve">How have unit profits contributed to the recent strengthening of euro area domestic price </w:t>
        </w:r>
        <w:proofErr w:type="gramStart"/>
        <w:r w:rsidR="00343FD0" w:rsidRPr="00D97825">
          <w:rPr>
            <w:rStyle w:val="Lienhypertexte"/>
            <w:rFonts w:ascii="Segoe UI" w:hAnsi="Segoe UI" w:cs="Segoe UI"/>
            <w:i/>
            <w:iCs/>
            <w:sz w:val="14"/>
            <w:szCs w:val="14"/>
            <w:lang w:val="en-CA"/>
          </w:rPr>
          <w:t>pressures ?</w:t>
        </w:r>
        <w:proofErr w:type="gramEnd"/>
      </w:hyperlink>
      <w:r w:rsidRPr="00D97825">
        <w:rPr>
          <w:rFonts w:ascii="Segoe UI" w:hAnsi="Segoe UI" w:cs="Segoe UI"/>
          <w:sz w:val="14"/>
          <w:szCs w:val="14"/>
          <w:lang w:val="en-CA"/>
        </w:rPr>
        <w:t> »</w:t>
      </w:r>
      <w:r w:rsidR="00E72B29" w:rsidRPr="00D97825">
        <w:rPr>
          <w:rFonts w:ascii="Segoe UI" w:hAnsi="Segoe UI" w:cs="Segoe UI"/>
          <w:sz w:val="14"/>
          <w:szCs w:val="14"/>
          <w:lang w:val="en-CA"/>
        </w:rPr>
        <w:t xml:space="preserve"> </w:t>
      </w:r>
      <w:r w:rsidR="00E72B29" w:rsidRPr="00DC3463">
        <w:rPr>
          <w:rFonts w:ascii="Segoe UI" w:hAnsi="Segoe UI" w:cs="Segoe UI"/>
          <w:sz w:val="14"/>
          <w:szCs w:val="14"/>
        </w:rPr>
        <w:t>BCE (juin 2023)</w:t>
      </w:r>
    </w:p>
  </w:footnote>
  <w:footnote w:id="4">
    <w:p w14:paraId="554E14CC" w14:textId="337E9B4E" w:rsidR="00DE0F35" w:rsidRPr="00EA0B90" w:rsidRDefault="00DE0F35">
      <w:pPr>
        <w:pStyle w:val="Notedebasdepage"/>
        <w:rPr>
          <w:rFonts w:ascii="Segoe UI" w:hAnsi="Segoe UI" w:cs="Segoe UI"/>
          <w:lang w:val="en-US"/>
        </w:rPr>
      </w:pPr>
      <w:r w:rsidRPr="00DC3463">
        <w:rPr>
          <w:rStyle w:val="Appelnotedebasdep"/>
          <w:rFonts w:ascii="Segoe UI" w:hAnsi="Segoe UI" w:cs="Segoe UI"/>
          <w:sz w:val="14"/>
          <w:szCs w:val="14"/>
        </w:rPr>
        <w:footnoteRef/>
      </w:r>
      <w:r w:rsidRPr="00EA0B90">
        <w:rPr>
          <w:rFonts w:ascii="Segoe UI" w:hAnsi="Segoe UI" w:cs="Segoe UI"/>
          <w:sz w:val="14"/>
          <w:szCs w:val="14"/>
          <w:lang w:val="en-US"/>
        </w:rPr>
        <w:t xml:space="preserve"> </w:t>
      </w:r>
      <w:proofErr w:type="gramStart"/>
      <w:r w:rsidRPr="00EA0B90">
        <w:rPr>
          <w:rFonts w:ascii="Segoe UI" w:hAnsi="Segoe UI" w:cs="Segoe UI"/>
          <w:sz w:val="14"/>
          <w:szCs w:val="14"/>
          <w:lang w:val="en-US"/>
        </w:rPr>
        <w:t>Voir</w:t>
      </w:r>
      <w:r w:rsidR="00727A60" w:rsidRPr="00EA0B90">
        <w:rPr>
          <w:rFonts w:ascii="Segoe UI" w:hAnsi="Segoe UI" w:cs="Segoe UI"/>
          <w:sz w:val="14"/>
          <w:szCs w:val="14"/>
          <w:lang w:val="en-US"/>
        </w:rPr>
        <w:t> :</w:t>
      </w:r>
      <w:proofErr w:type="gramEnd"/>
      <w:r w:rsidRPr="00EA0B90">
        <w:rPr>
          <w:rFonts w:ascii="Segoe UI" w:hAnsi="Segoe UI" w:cs="Segoe UI"/>
          <w:sz w:val="14"/>
          <w:szCs w:val="14"/>
          <w:lang w:val="en-US"/>
        </w:rPr>
        <w:t xml:space="preserve"> </w:t>
      </w:r>
      <w:r w:rsidR="00DC3463" w:rsidRPr="00EA0B90">
        <w:rPr>
          <w:rFonts w:ascii="Segoe UI" w:hAnsi="Segoe UI" w:cs="Segoe UI"/>
          <w:sz w:val="14"/>
          <w:szCs w:val="14"/>
          <w:lang w:val="en-US"/>
        </w:rPr>
        <w:t xml:space="preserve">« </w:t>
      </w:r>
      <w:r w:rsidR="00802DE1">
        <w:fldChar w:fldCharType="begin"/>
      </w:r>
      <w:r w:rsidR="00802DE1" w:rsidRPr="00241BB1">
        <w:rPr>
          <w:lang w:val="en-CA"/>
        </w:rPr>
        <w:instrText xml:space="preserve"> HYPERLINK "https://www.bostonfed.org/publications/current-policy-perspectives/2022/cost-price-relationships-in-a-concentrated-economy.aspx" </w:instrText>
      </w:r>
      <w:r w:rsidR="00802DE1">
        <w:fldChar w:fldCharType="separate"/>
      </w:r>
      <w:r w:rsidRPr="00EA0B90">
        <w:rPr>
          <w:rStyle w:val="Lienhypertexte"/>
          <w:rFonts w:ascii="Segoe UI" w:hAnsi="Segoe UI" w:cs="Segoe UI"/>
          <w:i/>
          <w:iCs/>
          <w:sz w:val="14"/>
          <w:szCs w:val="14"/>
          <w:lang w:val="en-US"/>
        </w:rPr>
        <w:t xml:space="preserve">Cost-Price Relationships in a Concentrated Economy </w:t>
      </w:r>
      <w:r w:rsidR="00A25C04" w:rsidRPr="00EA0B90">
        <w:rPr>
          <w:rFonts w:ascii="Segoe UI" w:hAnsi="Segoe UI" w:cs="Segoe UI"/>
          <w:sz w:val="14"/>
          <w:szCs w:val="14"/>
          <w:lang w:val="en-US"/>
        </w:rPr>
        <w:t>»</w:t>
      </w:r>
      <w:r w:rsidR="00802DE1">
        <w:rPr>
          <w:rFonts w:ascii="Segoe UI" w:hAnsi="Segoe UI" w:cs="Segoe UI"/>
          <w:sz w:val="14"/>
          <w:szCs w:val="14"/>
          <w:lang w:val="en-US"/>
        </w:rPr>
        <w:fldChar w:fldCharType="end"/>
      </w:r>
      <w:r w:rsidR="00A25C04" w:rsidRPr="00EA0B90">
        <w:rPr>
          <w:rFonts w:ascii="Segoe UI" w:hAnsi="Segoe UI" w:cs="Segoe UI"/>
          <w:sz w:val="14"/>
          <w:szCs w:val="14"/>
          <w:lang w:val="en-US"/>
        </w:rPr>
        <w:t>, Réserve fédérale de Boston</w:t>
      </w:r>
      <w:r w:rsidR="00F2517B" w:rsidRPr="00EA0B90">
        <w:rPr>
          <w:rFonts w:ascii="Segoe UI" w:hAnsi="Segoe UI" w:cs="Segoe UI"/>
          <w:sz w:val="14"/>
          <w:szCs w:val="14"/>
          <w:lang w:val="en-US"/>
        </w:rPr>
        <w:t xml:space="preserve"> (</w:t>
      </w:r>
      <w:proofErr w:type="spellStart"/>
      <w:r w:rsidR="00F2517B" w:rsidRPr="00EA0B90">
        <w:rPr>
          <w:rFonts w:ascii="Segoe UI" w:hAnsi="Segoe UI" w:cs="Segoe UI"/>
          <w:sz w:val="14"/>
          <w:szCs w:val="14"/>
          <w:lang w:val="en-US"/>
        </w:rPr>
        <w:t>mai</w:t>
      </w:r>
      <w:proofErr w:type="spellEnd"/>
      <w:r w:rsidR="00F2517B" w:rsidRPr="00EA0B90">
        <w:rPr>
          <w:rFonts w:ascii="Segoe UI" w:hAnsi="Segoe UI" w:cs="Segoe UI"/>
          <w:sz w:val="14"/>
          <w:szCs w:val="14"/>
          <w:lang w:val="en-US"/>
        </w:rPr>
        <w:t xml:space="preserve"> 2022)</w:t>
      </w:r>
    </w:p>
  </w:footnote>
  <w:footnote w:id="5">
    <w:p w14:paraId="0935C989" w14:textId="3B138E31" w:rsidR="00DC3463" w:rsidRPr="00DC3463" w:rsidRDefault="00DC3463">
      <w:pPr>
        <w:pStyle w:val="Notedebasdepage"/>
        <w:rPr>
          <w:rFonts w:ascii="Segoe UI" w:hAnsi="Segoe UI" w:cs="Segoe UI"/>
          <w:sz w:val="14"/>
          <w:szCs w:val="14"/>
          <w:lang w:val="en-CA"/>
        </w:rPr>
      </w:pPr>
      <w:r w:rsidRPr="00DC3463">
        <w:rPr>
          <w:rStyle w:val="Appelnotedebasdep"/>
          <w:rFonts w:ascii="Segoe UI" w:hAnsi="Segoe UI" w:cs="Segoe UI"/>
          <w:sz w:val="14"/>
          <w:szCs w:val="14"/>
        </w:rPr>
        <w:footnoteRef/>
      </w:r>
      <w:r w:rsidRPr="00EA0B90">
        <w:rPr>
          <w:rFonts w:ascii="Segoe UI" w:hAnsi="Segoe UI" w:cs="Segoe UI"/>
          <w:sz w:val="14"/>
          <w:szCs w:val="14"/>
          <w:lang w:val="en-US"/>
        </w:rPr>
        <w:t xml:space="preserve"> </w:t>
      </w:r>
      <w:proofErr w:type="gramStart"/>
      <w:r w:rsidR="00D97825" w:rsidRPr="00EA0B90">
        <w:rPr>
          <w:rFonts w:ascii="Segoe UI" w:hAnsi="Segoe UI" w:cs="Segoe UI"/>
          <w:sz w:val="14"/>
          <w:szCs w:val="14"/>
          <w:lang w:val="en-US"/>
        </w:rPr>
        <w:t>Voir :</w:t>
      </w:r>
      <w:proofErr w:type="gramEnd"/>
      <w:r w:rsidR="00DE47F4" w:rsidRPr="00EA0B90">
        <w:rPr>
          <w:rFonts w:ascii="Segoe UI" w:hAnsi="Segoe UI" w:cs="Segoe UI"/>
          <w:sz w:val="14"/>
          <w:szCs w:val="14"/>
          <w:lang w:val="en-US"/>
        </w:rPr>
        <w:t xml:space="preserve"> « </w:t>
      </w:r>
      <w:r w:rsidR="00DE47F4" w:rsidRPr="00A158E0">
        <w:rPr>
          <w:rFonts w:ascii="Segoe UI" w:hAnsi="Segoe UI" w:cs="Segoe UI"/>
          <w:sz w:val="14"/>
          <w:szCs w:val="14"/>
          <w:u w:val="single"/>
          <w:lang w:val="en-US"/>
        </w:rPr>
        <w:t>Profits</w:t>
      </w:r>
      <w:r w:rsidRPr="00A158E0">
        <w:rPr>
          <w:rFonts w:ascii="Segoe UI" w:hAnsi="Segoe UI" w:cs="Segoe UI"/>
          <w:sz w:val="14"/>
          <w:szCs w:val="14"/>
          <w:u w:val="single"/>
          <w:lang w:val="en-US"/>
        </w:rPr>
        <w:t xml:space="preserve"> and Inflation in the Time of COVID</w:t>
      </w:r>
      <w:r w:rsidRPr="00EA0B90">
        <w:rPr>
          <w:rFonts w:ascii="Segoe UI" w:hAnsi="Segoe UI" w:cs="Segoe UI"/>
          <w:sz w:val="14"/>
          <w:szCs w:val="14"/>
          <w:lang w:val="en-US"/>
        </w:rPr>
        <w:t xml:space="preserve"> » (Richmond Fed, </w:t>
      </w:r>
      <w:proofErr w:type="spellStart"/>
      <w:r w:rsidRPr="00EA0B90">
        <w:rPr>
          <w:rFonts w:ascii="Segoe UI" w:hAnsi="Segoe UI" w:cs="Segoe UI"/>
          <w:sz w:val="14"/>
          <w:szCs w:val="14"/>
          <w:lang w:val="en-US"/>
        </w:rPr>
        <w:t>novembre</w:t>
      </w:r>
      <w:proofErr w:type="spellEnd"/>
      <w:r w:rsidRPr="00EA0B90">
        <w:rPr>
          <w:rFonts w:ascii="Segoe UI" w:hAnsi="Segoe UI" w:cs="Segoe UI"/>
          <w:sz w:val="14"/>
          <w:szCs w:val="14"/>
          <w:lang w:val="en-US"/>
        </w:rPr>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574A" w14:textId="77777777" w:rsidR="00F8560F" w:rsidRDefault="00F8560F" w:rsidP="00F8560F">
    <w:pPr>
      <w:pStyle w:val="En-tte"/>
      <w:tabs>
        <w:tab w:val="clear" w:pos="4536"/>
        <w:tab w:val="clear" w:pos="9072"/>
        <w:tab w:val="left" w:pos="930"/>
      </w:tabs>
    </w:pPr>
    <w:r w:rsidRPr="00FC6EAE">
      <w:rPr>
        <w:rFonts w:ascii="Segoe UI" w:eastAsia="Segoe UI" w:hAnsi="Segoe UI" w:cs="Segoe UI"/>
        <w:b/>
        <w:bCs/>
        <w:noProof/>
        <w:lang w:eastAsia="fr-FR"/>
      </w:rPr>
      <w:drawing>
        <wp:anchor distT="0" distB="0" distL="114300" distR="114300" simplePos="0" relativeHeight="251658240" behindDoc="0" locked="0" layoutInCell="1" allowOverlap="1" wp14:anchorId="47BD9B43" wp14:editId="695E6C3A">
          <wp:simplePos x="0" y="0"/>
          <wp:positionH relativeFrom="margin">
            <wp:align>left</wp:align>
          </wp:positionH>
          <wp:positionV relativeFrom="paragraph">
            <wp:posOffset>-395986</wp:posOffset>
          </wp:positionV>
          <wp:extent cx="1477645" cy="531495"/>
          <wp:effectExtent l="0" t="0" r="8255" b="1905"/>
          <wp:wrapSquare wrapText="bothSides"/>
          <wp:docPr id="29" name="Image 29" descr="C:\Users\abahuau\AppData\Local\Microsoft\Windows\INetCache\Content.Outlook\S74E6M90\mefsin + dgtreso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huau\AppData\Local\Microsoft\Windows\INetCache\Content.Outlook\S74E6M90\mefsin + dgtresor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53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234A"/>
    <w:multiLevelType w:val="hybridMultilevel"/>
    <w:tmpl w:val="1438EBE2"/>
    <w:lvl w:ilvl="0" w:tplc="70D28920">
      <w:start w:val="3"/>
      <w:numFmt w:val="bullet"/>
      <w:lvlText w:val="-"/>
      <w:lvlJc w:val="left"/>
      <w:pPr>
        <w:ind w:left="405" w:hanging="360"/>
      </w:pPr>
      <w:rPr>
        <w:rFonts w:ascii="Segoe UI" w:eastAsiaTheme="minorHAnsi" w:hAnsi="Segoe UI" w:cs="Segoe U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ADF4A82"/>
    <w:multiLevelType w:val="hybridMultilevel"/>
    <w:tmpl w:val="2CB811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275436B"/>
    <w:multiLevelType w:val="hybridMultilevel"/>
    <w:tmpl w:val="8C94A9F4"/>
    <w:lvl w:ilvl="0" w:tplc="0F6E63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215728"/>
    <w:multiLevelType w:val="hybridMultilevel"/>
    <w:tmpl w:val="8AB6022C"/>
    <w:lvl w:ilvl="0" w:tplc="FBC08CA8">
      <w:start w:val="1"/>
      <w:numFmt w:val="bullet"/>
      <w:lvlText w:val=""/>
      <w:lvlJc w:val="left"/>
      <w:pPr>
        <w:ind w:left="720" w:hanging="360"/>
      </w:pPr>
      <w:rPr>
        <w:rFonts w:ascii="Symbol" w:eastAsiaTheme="minorHAns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7F"/>
    <w:rsid w:val="00000623"/>
    <w:rsid w:val="00000987"/>
    <w:rsid w:val="00001195"/>
    <w:rsid w:val="00002D96"/>
    <w:rsid w:val="000037D5"/>
    <w:rsid w:val="000045E2"/>
    <w:rsid w:val="00004638"/>
    <w:rsid w:val="00005B94"/>
    <w:rsid w:val="00006EB5"/>
    <w:rsid w:val="00012775"/>
    <w:rsid w:val="0001307C"/>
    <w:rsid w:val="00013913"/>
    <w:rsid w:val="000139F9"/>
    <w:rsid w:val="00014B61"/>
    <w:rsid w:val="00015BFD"/>
    <w:rsid w:val="00017A75"/>
    <w:rsid w:val="00020EEB"/>
    <w:rsid w:val="0002120E"/>
    <w:rsid w:val="0002190A"/>
    <w:rsid w:val="00021F35"/>
    <w:rsid w:val="000234C4"/>
    <w:rsid w:val="0002462B"/>
    <w:rsid w:val="00025B9C"/>
    <w:rsid w:val="00025C50"/>
    <w:rsid w:val="00026745"/>
    <w:rsid w:val="0003229A"/>
    <w:rsid w:val="000330FF"/>
    <w:rsid w:val="000338F2"/>
    <w:rsid w:val="0003416D"/>
    <w:rsid w:val="0003464A"/>
    <w:rsid w:val="00034795"/>
    <w:rsid w:val="0003589F"/>
    <w:rsid w:val="00037DE6"/>
    <w:rsid w:val="00037E84"/>
    <w:rsid w:val="00040AA9"/>
    <w:rsid w:val="00045CDD"/>
    <w:rsid w:val="00045E8D"/>
    <w:rsid w:val="000469B5"/>
    <w:rsid w:val="0004700D"/>
    <w:rsid w:val="00047DF1"/>
    <w:rsid w:val="00050B28"/>
    <w:rsid w:val="0005154E"/>
    <w:rsid w:val="0005383B"/>
    <w:rsid w:val="00054469"/>
    <w:rsid w:val="00054602"/>
    <w:rsid w:val="0005557D"/>
    <w:rsid w:val="00055E4F"/>
    <w:rsid w:val="00056B53"/>
    <w:rsid w:val="00057226"/>
    <w:rsid w:val="00057503"/>
    <w:rsid w:val="00060A3F"/>
    <w:rsid w:val="00061736"/>
    <w:rsid w:val="00061954"/>
    <w:rsid w:val="00066AF1"/>
    <w:rsid w:val="00066C1A"/>
    <w:rsid w:val="00066D7A"/>
    <w:rsid w:val="000671D5"/>
    <w:rsid w:val="00067525"/>
    <w:rsid w:val="000708F5"/>
    <w:rsid w:val="0007452F"/>
    <w:rsid w:val="00074A32"/>
    <w:rsid w:val="00081054"/>
    <w:rsid w:val="000820DB"/>
    <w:rsid w:val="00083176"/>
    <w:rsid w:val="00083E2B"/>
    <w:rsid w:val="0008486E"/>
    <w:rsid w:val="00085BE7"/>
    <w:rsid w:val="0008628E"/>
    <w:rsid w:val="00086290"/>
    <w:rsid w:val="00087593"/>
    <w:rsid w:val="00087836"/>
    <w:rsid w:val="000901E5"/>
    <w:rsid w:val="000903C2"/>
    <w:rsid w:val="00090B27"/>
    <w:rsid w:val="00091831"/>
    <w:rsid w:val="000920B3"/>
    <w:rsid w:val="000924B4"/>
    <w:rsid w:val="00093386"/>
    <w:rsid w:val="00093EE3"/>
    <w:rsid w:val="00094450"/>
    <w:rsid w:val="0009489C"/>
    <w:rsid w:val="00095F9B"/>
    <w:rsid w:val="000A0948"/>
    <w:rsid w:val="000A1176"/>
    <w:rsid w:val="000A139E"/>
    <w:rsid w:val="000A184D"/>
    <w:rsid w:val="000A2636"/>
    <w:rsid w:val="000A2DEB"/>
    <w:rsid w:val="000A3888"/>
    <w:rsid w:val="000A417F"/>
    <w:rsid w:val="000B0C26"/>
    <w:rsid w:val="000B1053"/>
    <w:rsid w:val="000B3034"/>
    <w:rsid w:val="000B46CA"/>
    <w:rsid w:val="000C067E"/>
    <w:rsid w:val="000C2582"/>
    <w:rsid w:val="000C3BFB"/>
    <w:rsid w:val="000C4125"/>
    <w:rsid w:val="000C4220"/>
    <w:rsid w:val="000C4409"/>
    <w:rsid w:val="000C4B09"/>
    <w:rsid w:val="000C6002"/>
    <w:rsid w:val="000C63FB"/>
    <w:rsid w:val="000D4E9C"/>
    <w:rsid w:val="000D5066"/>
    <w:rsid w:val="000D7662"/>
    <w:rsid w:val="000E056E"/>
    <w:rsid w:val="000E0987"/>
    <w:rsid w:val="000E18E2"/>
    <w:rsid w:val="000E24DA"/>
    <w:rsid w:val="000E68BD"/>
    <w:rsid w:val="000E7C24"/>
    <w:rsid w:val="000E7CA6"/>
    <w:rsid w:val="000F34C8"/>
    <w:rsid w:val="000F3B50"/>
    <w:rsid w:val="000F79D4"/>
    <w:rsid w:val="00100A87"/>
    <w:rsid w:val="00100D89"/>
    <w:rsid w:val="001076E0"/>
    <w:rsid w:val="00107C85"/>
    <w:rsid w:val="001114F4"/>
    <w:rsid w:val="001118B6"/>
    <w:rsid w:val="00113BCA"/>
    <w:rsid w:val="0011459F"/>
    <w:rsid w:val="00115D2E"/>
    <w:rsid w:val="00115ED8"/>
    <w:rsid w:val="00117071"/>
    <w:rsid w:val="00117D8F"/>
    <w:rsid w:val="00122E37"/>
    <w:rsid w:val="00123EAE"/>
    <w:rsid w:val="00124179"/>
    <w:rsid w:val="00125A30"/>
    <w:rsid w:val="001312BE"/>
    <w:rsid w:val="00133EA7"/>
    <w:rsid w:val="00134038"/>
    <w:rsid w:val="00140E7C"/>
    <w:rsid w:val="0014180B"/>
    <w:rsid w:val="00141CA8"/>
    <w:rsid w:val="00142172"/>
    <w:rsid w:val="0014255F"/>
    <w:rsid w:val="001425A7"/>
    <w:rsid w:val="00142AD7"/>
    <w:rsid w:val="00144690"/>
    <w:rsid w:val="0014609A"/>
    <w:rsid w:val="00147FE0"/>
    <w:rsid w:val="00152DD3"/>
    <w:rsid w:val="001534FA"/>
    <w:rsid w:val="00155F2F"/>
    <w:rsid w:val="001600CF"/>
    <w:rsid w:val="00160A17"/>
    <w:rsid w:val="001610DA"/>
    <w:rsid w:val="001673B1"/>
    <w:rsid w:val="00171468"/>
    <w:rsid w:val="001732CA"/>
    <w:rsid w:val="00173B2D"/>
    <w:rsid w:val="00173F84"/>
    <w:rsid w:val="00180EC6"/>
    <w:rsid w:val="001817A7"/>
    <w:rsid w:val="001839CD"/>
    <w:rsid w:val="00183D4E"/>
    <w:rsid w:val="001859F7"/>
    <w:rsid w:val="00186158"/>
    <w:rsid w:val="0018673B"/>
    <w:rsid w:val="00186EBF"/>
    <w:rsid w:val="00187C2C"/>
    <w:rsid w:val="00187C91"/>
    <w:rsid w:val="00191166"/>
    <w:rsid w:val="001935AD"/>
    <w:rsid w:val="00193C39"/>
    <w:rsid w:val="001956F7"/>
    <w:rsid w:val="001959C3"/>
    <w:rsid w:val="00196354"/>
    <w:rsid w:val="00196A91"/>
    <w:rsid w:val="00196CBB"/>
    <w:rsid w:val="001973E8"/>
    <w:rsid w:val="001A1F1D"/>
    <w:rsid w:val="001A1F56"/>
    <w:rsid w:val="001A3D98"/>
    <w:rsid w:val="001A473D"/>
    <w:rsid w:val="001A5860"/>
    <w:rsid w:val="001A6065"/>
    <w:rsid w:val="001A6E2D"/>
    <w:rsid w:val="001B426A"/>
    <w:rsid w:val="001B4654"/>
    <w:rsid w:val="001B5AF5"/>
    <w:rsid w:val="001B5D56"/>
    <w:rsid w:val="001B742D"/>
    <w:rsid w:val="001C2E44"/>
    <w:rsid w:val="001C3751"/>
    <w:rsid w:val="001C4BBA"/>
    <w:rsid w:val="001C5B03"/>
    <w:rsid w:val="001C644C"/>
    <w:rsid w:val="001C6541"/>
    <w:rsid w:val="001D1913"/>
    <w:rsid w:val="001D23AD"/>
    <w:rsid w:val="001D2695"/>
    <w:rsid w:val="001D2A0E"/>
    <w:rsid w:val="001D47A7"/>
    <w:rsid w:val="001D6512"/>
    <w:rsid w:val="001D6980"/>
    <w:rsid w:val="001D739A"/>
    <w:rsid w:val="001E0211"/>
    <w:rsid w:val="001E035D"/>
    <w:rsid w:val="001E2068"/>
    <w:rsid w:val="001E3A57"/>
    <w:rsid w:val="001F0016"/>
    <w:rsid w:val="001F0990"/>
    <w:rsid w:val="001F100F"/>
    <w:rsid w:val="001F31F7"/>
    <w:rsid w:val="001F32B7"/>
    <w:rsid w:val="001F3E55"/>
    <w:rsid w:val="001F4277"/>
    <w:rsid w:val="00203F76"/>
    <w:rsid w:val="002045C5"/>
    <w:rsid w:val="002054E2"/>
    <w:rsid w:val="00206BA2"/>
    <w:rsid w:val="00210784"/>
    <w:rsid w:val="00211303"/>
    <w:rsid w:val="002141DF"/>
    <w:rsid w:val="0021496D"/>
    <w:rsid w:val="00215383"/>
    <w:rsid w:val="00215FBC"/>
    <w:rsid w:val="002179E0"/>
    <w:rsid w:val="00217B87"/>
    <w:rsid w:val="00223174"/>
    <w:rsid w:val="0022373A"/>
    <w:rsid w:val="00224D41"/>
    <w:rsid w:val="002256C2"/>
    <w:rsid w:val="002263D8"/>
    <w:rsid w:val="00227976"/>
    <w:rsid w:val="00234682"/>
    <w:rsid w:val="002371B5"/>
    <w:rsid w:val="00240603"/>
    <w:rsid w:val="00241BB1"/>
    <w:rsid w:val="00242401"/>
    <w:rsid w:val="002430B2"/>
    <w:rsid w:val="0024534E"/>
    <w:rsid w:val="00245CBB"/>
    <w:rsid w:val="00246989"/>
    <w:rsid w:val="0024709C"/>
    <w:rsid w:val="002501C4"/>
    <w:rsid w:val="002506D0"/>
    <w:rsid w:val="00250BF3"/>
    <w:rsid w:val="002515FD"/>
    <w:rsid w:val="00251D20"/>
    <w:rsid w:val="00254815"/>
    <w:rsid w:val="00256682"/>
    <w:rsid w:val="0025691B"/>
    <w:rsid w:val="0025717D"/>
    <w:rsid w:val="00257479"/>
    <w:rsid w:val="0025758E"/>
    <w:rsid w:val="002577B5"/>
    <w:rsid w:val="00262097"/>
    <w:rsid w:val="0026498D"/>
    <w:rsid w:val="00265F15"/>
    <w:rsid w:val="00272B23"/>
    <w:rsid w:val="00272DD4"/>
    <w:rsid w:val="00273460"/>
    <w:rsid w:val="00273E88"/>
    <w:rsid w:val="00274214"/>
    <w:rsid w:val="00274215"/>
    <w:rsid w:val="0027601D"/>
    <w:rsid w:val="002777EE"/>
    <w:rsid w:val="00277A35"/>
    <w:rsid w:val="00281D81"/>
    <w:rsid w:val="00282429"/>
    <w:rsid w:val="00283178"/>
    <w:rsid w:val="00283D37"/>
    <w:rsid w:val="002842D6"/>
    <w:rsid w:val="00285D72"/>
    <w:rsid w:val="00286A7C"/>
    <w:rsid w:val="002870F5"/>
    <w:rsid w:val="002874E0"/>
    <w:rsid w:val="0028756F"/>
    <w:rsid w:val="00287703"/>
    <w:rsid w:val="00290E09"/>
    <w:rsid w:val="002918F8"/>
    <w:rsid w:val="002931D9"/>
    <w:rsid w:val="00293D0B"/>
    <w:rsid w:val="0029509A"/>
    <w:rsid w:val="00295807"/>
    <w:rsid w:val="00295CF0"/>
    <w:rsid w:val="00296CCB"/>
    <w:rsid w:val="00296EFA"/>
    <w:rsid w:val="0029734E"/>
    <w:rsid w:val="002978E1"/>
    <w:rsid w:val="002A2D91"/>
    <w:rsid w:val="002A34E8"/>
    <w:rsid w:val="002A4CDD"/>
    <w:rsid w:val="002A51BF"/>
    <w:rsid w:val="002A5534"/>
    <w:rsid w:val="002A5EA8"/>
    <w:rsid w:val="002A6103"/>
    <w:rsid w:val="002A6168"/>
    <w:rsid w:val="002A6822"/>
    <w:rsid w:val="002A6FF8"/>
    <w:rsid w:val="002A7BE1"/>
    <w:rsid w:val="002B0EF6"/>
    <w:rsid w:val="002B1E8B"/>
    <w:rsid w:val="002B2160"/>
    <w:rsid w:val="002B49F5"/>
    <w:rsid w:val="002B5337"/>
    <w:rsid w:val="002B6765"/>
    <w:rsid w:val="002B67E4"/>
    <w:rsid w:val="002B6B9A"/>
    <w:rsid w:val="002B7DD2"/>
    <w:rsid w:val="002B7FAC"/>
    <w:rsid w:val="002C0C58"/>
    <w:rsid w:val="002C0E43"/>
    <w:rsid w:val="002C178F"/>
    <w:rsid w:val="002C241A"/>
    <w:rsid w:val="002C269E"/>
    <w:rsid w:val="002C2BF2"/>
    <w:rsid w:val="002C3FCE"/>
    <w:rsid w:val="002C577D"/>
    <w:rsid w:val="002C60F7"/>
    <w:rsid w:val="002C6874"/>
    <w:rsid w:val="002D0D9D"/>
    <w:rsid w:val="002D101E"/>
    <w:rsid w:val="002D22BB"/>
    <w:rsid w:val="002D30AD"/>
    <w:rsid w:val="002D5148"/>
    <w:rsid w:val="002D533E"/>
    <w:rsid w:val="002D62D3"/>
    <w:rsid w:val="002D724A"/>
    <w:rsid w:val="002D750D"/>
    <w:rsid w:val="002E0B83"/>
    <w:rsid w:val="002E0DAB"/>
    <w:rsid w:val="002E1052"/>
    <w:rsid w:val="002E1879"/>
    <w:rsid w:val="002E3F02"/>
    <w:rsid w:val="002E4285"/>
    <w:rsid w:val="002E641A"/>
    <w:rsid w:val="002E6AD8"/>
    <w:rsid w:val="002E77B5"/>
    <w:rsid w:val="002F2274"/>
    <w:rsid w:val="002F3524"/>
    <w:rsid w:val="002F4171"/>
    <w:rsid w:val="002F4D01"/>
    <w:rsid w:val="002F52E3"/>
    <w:rsid w:val="00303916"/>
    <w:rsid w:val="00304029"/>
    <w:rsid w:val="00304A5A"/>
    <w:rsid w:val="003058C5"/>
    <w:rsid w:val="003061DB"/>
    <w:rsid w:val="00306ECD"/>
    <w:rsid w:val="00310575"/>
    <w:rsid w:val="003111FC"/>
    <w:rsid w:val="0031137F"/>
    <w:rsid w:val="003119A5"/>
    <w:rsid w:val="00311AA6"/>
    <w:rsid w:val="00313D20"/>
    <w:rsid w:val="0031417F"/>
    <w:rsid w:val="00314DEE"/>
    <w:rsid w:val="00316C1B"/>
    <w:rsid w:val="00317931"/>
    <w:rsid w:val="00317B96"/>
    <w:rsid w:val="0032036F"/>
    <w:rsid w:val="0032133C"/>
    <w:rsid w:val="003213D0"/>
    <w:rsid w:val="00321B26"/>
    <w:rsid w:val="00324988"/>
    <w:rsid w:val="00326554"/>
    <w:rsid w:val="00326D73"/>
    <w:rsid w:val="00327170"/>
    <w:rsid w:val="00327816"/>
    <w:rsid w:val="003327AE"/>
    <w:rsid w:val="003338DE"/>
    <w:rsid w:val="003415F5"/>
    <w:rsid w:val="00342C8C"/>
    <w:rsid w:val="00343FD0"/>
    <w:rsid w:val="00344E74"/>
    <w:rsid w:val="00345A6B"/>
    <w:rsid w:val="0034706B"/>
    <w:rsid w:val="003503F4"/>
    <w:rsid w:val="00350EB8"/>
    <w:rsid w:val="00350FA9"/>
    <w:rsid w:val="00351600"/>
    <w:rsid w:val="00352153"/>
    <w:rsid w:val="003524F2"/>
    <w:rsid w:val="00352B13"/>
    <w:rsid w:val="0035468E"/>
    <w:rsid w:val="003555E6"/>
    <w:rsid w:val="00355671"/>
    <w:rsid w:val="003559D4"/>
    <w:rsid w:val="00356A39"/>
    <w:rsid w:val="003575FF"/>
    <w:rsid w:val="0036132D"/>
    <w:rsid w:val="00361884"/>
    <w:rsid w:val="00361BFA"/>
    <w:rsid w:val="0036347F"/>
    <w:rsid w:val="00365190"/>
    <w:rsid w:val="0036546B"/>
    <w:rsid w:val="00366A89"/>
    <w:rsid w:val="00367000"/>
    <w:rsid w:val="00370C38"/>
    <w:rsid w:val="00371B54"/>
    <w:rsid w:val="00372918"/>
    <w:rsid w:val="00374C43"/>
    <w:rsid w:val="00374CDB"/>
    <w:rsid w:val="00375AB7"/>
    <w:rsid w:val="00375C68"/>
    <w:rsid w:val="003768D1"/>
    <w:rsid w:val="00376C70"/>
    <w:rsid w:val="00380779"/>
    <w:rsid w:val="00382DA6"/>
    <w:rsid w:val="00382FA3"/>
    <w:rsid w:val="00391519"/>
    <w:rsid w:val="003923EB"/>
    <w:rsid w:val="00394274"/>
    <w:rsid w:val="00394C97"/>
    <w:rsid w:val="0039571A"/>
    <w:rsid w:val="003958A3"/>
    <w:rsid w:val="0039676C"/>
    <w:rsid w:val="003A0344"/>
    <w:rsid w:val="003A05AB"/>
    <w:rsid w:val="003A3DCD"/>
    <w:rsid w:val="003A3FE9"/>
    <w:rsid w:val="003A47AE"/>
    <w:rsid w:val="003A5086"/>
    <w:rsid w:val="003A5209"/>
    <w:rsid w:val="003A5304"/>
    <w:rsid w:val="003A6228"/>
    <w:rsid w:val="003A6867"/>
    <w:rsid w:val="003B024B"/>
    <w:rsid w:val="003B0614"/>
    <w:rsid w:val="003B1141"/>
    <w:rsid w:val="003B2502"/>
    <w:rsid w:val="003B3451"/>
    <w:rsid w:val="003B3757"/>
    <w:rsid w:val="003B3A3D"/>
    <w:rsid w:val="003B5C69"/>
    <w:rsid w:val="003B6444"/>
    <w:rsid w:val="003B6C61"/>
    <w:rsid w:val="003B6C9C"/>
    <w:rsid w:val="003B7E0C"/>
    <w:rsid w:val="003C06A2"/>
    <w:rsid w:val="003C1AE1"/>
    <w:rsid w:val="003C6660"/>
    <w:rsid w:val="003C7ED4"/>
    <w:rsid w:val="003D0926"/>
    <w:rsid w:val="003D2C1C"/>
    <w:rsid w:val="003D43E7"/>
    <w:rsid w:val="003D5A91"/>
    <w:rsid w:val="003D6E28"/>
    <w:rsid w:val="003D7F23"/>
    <w:rsid w:val="003E0D50"/>
    <w:rsid w:val="003E247F"/>
    <w:rsid w:val="003E321E"/>
    <w:rsid w:val="003E398D"/>
    <w:rsid w:val="003E4FCC"/>
    <w:rsid w:val="003E73D5"/>
    <w:rsid w:val="003F0583"/>
    <w:rsid w:val="003F1614"/>
    <w:rsid w:val="003F1E55"/>
    <w:rsid w:val="003F3BAF"/>
    <w:rsid w:val="003F433E"/>
    <w:rsid w:val="003F5875"/>
    <w:rsid w:val="003F5E73"/>
    <w:rsid w:val="003F69CB"/>
    <w:rsid w:val="00400059"/>
    <w:rsid w:val="0040035F"/>
    <w:rsid w:val="00400FF0"/>
    <w:rsid w:val="004014A1"/>
    <w:rsid w:val="00403B13"/>
    <w:rsid w:val="00406FDD"/>
    <w:rsid w:val="00411A7E"/>
    <w:rsid w:val="00412066"/>
    <w:rsid w:val="004121BE"/>
    <w:rsid w:val="00412E69"/>
    <w:rsid w:val="00413250"/>
    <w:rsid w:val="00415881"/>
    <w:rsid w:val="00415A82"/>
    <w:rsid w:val="00416D33"/>
    <w:rsid w:val="004210B7"/>
    <w:rsid w:val="00424924"/>
    <w:rsid w:val="00424AB4"/>
    <w:rsid w:val="00425773"/>
    <w:rsid w:val="004261EF"/>
    <w:rsid w:val="00426E1C"/>
    <w:rsid w:val="00427FBD"/>
    <w:rsid w:val="0043041C"/>
    <w:rsid w:val="00432791"/>
    <w:rsid w:val="004336BE"/>
    <w:rsid w:val="00434A40"/>
    <w:rsid w:val="0043513E"/>
    <w:rsid w:val="004356EB"/>
    <w:rsid w:val="00436FBE"/>
    <w:rsid w:val="004371FB"/>
    <w:rsid w:val="0044086F"/>
    <w:rsid w:val="00441BED"/>
    <w:rsid w:val="00442D65"/>
    <w:rsid w:val="00442F94"/>
    <w:rsid w:val="0044500D"/>
    <w:rsid w:val="004464FD"/>
    <w:rsid w:val="00447EAB"/>
    <w:rsid w:val="00450107"/>
    <w:rsid w:val="004505E8"/>
    <w:rsid w:val="0045212A"/>
    <w:rsid w:val="00453419"/>
    <w:rsid w:val="0045355C"/>
    <w:rsid w:val="004536A3"/>
    <w:rsid w:val="00453D06"/>
    <w:rsid w:val="00455171"/>
    <w:rsid w:val="004557CB"/>
    <w:rsid w:val="00457321"/>
    <w:rsid w:val="00460EF8"/>
    <w:rsid w:val="00463780"/>
    <w:rsid w:val="00463CBB"/>
    <w:rsid w:val="00463DCF"/>
    <w:rsid w:val="00464898"/>
    <w:rsid w:val="00465036"/>
    <w:rsid w:val="0046540A"/>
    <w:rsid w:val="004657EF"/>
    <w:rsid w:val="004668BD"/>
    <w:rsid w:val="00470CE6"/>
    <w:rsid w:val="004711DB"/>
    <w:rsid w:val="004716F8"/>
    <w:rsid w:val="00472C49"/>
    <w:rsid w:val="0047309E"/>
    <w:rsid w:val="00474C87"/>
    <w:rsid w:val="00474F14"/>
    <w:rsid w:val="00474FD9"/>
    <w:rsid w:val="00480B11"/>
    <w:rsid w:val="004813DE"/>
    <w:rsid w:val="00482B91"/>
    <w:rsid w:val="004839BC"/>
    <w:rsid w:val="00483C14"/>
    <w:rsid w:val="00484012"/>
    <w:rsid w:val="0048787B"/>
    <w:rsid w:val="00490F4E"/>
    <w:rsid w:val="00491D6F"/>
    <w:rsid w:val="004927C5"/>
    <w:rsid w:val="004928EA"/>
    <w:rsid w:val="00492F18"/>
    <w:rsid w:val="0049579C"/>
    <w:rsid w:val="00495CA1"/>
    <w:rsid w:val="00497284"/>
    <w:rsid w:val="004A06E6"/>
    <w:rsid w:val="004A17C1"/>
    <w:rsid w:val="004A1935"/>
    <w:rsid w:val="004A3587"/>
    <w:rsid w:val="004A382C"/>
    <w:rsid w:val="004A3FAD"/>
    <w:rsid w:val="004A6C73"/>
    <w:rsid w:val="004A6CC2"/>
    <w:rsid w:val="004A7353"/>
    <w:rsid w:val="004A7F09"/>
    <w:rsid w:val="004B1220"/>
    <w:rsid w:val="004B1BD8"/>
    <w:rsid w:val="004B1FF9"/>
    <w:rsid w:val="004B291C"/>
    <w:rsid w:val="004B2F77"/>
    <w:rsid w:val="004B3A04"/>
    <w:rsid w:val="004B43DA"/>
    <w:rsid w:val="004C2D58"/>
    <w:rsid w:val="004C5FF9"/>
    <w:rsid w:val="004C686F"/>
    <w:rsid w:val="004C70E6"/>
    <w:rsid w:val="004C7629"/>
    <w:rsid w:val="004C7FBE"/>
    <w:rsid w:val="004D153E"/>
    <w:rsid w:val="004D22AA"/>
    <w:rsid w:val="004D38C5"/>
    <w:rsid w:val="004D4B3D"/>
    <w:rsid w:val="004D4ECC"/>
    <w:rsid w:val="004D7BC7"/>
    <w:rsid w:val="004E103D"/>
    <w:rsid w:val="004E43EF"/>
    <w:rsid w:val="004E5091"/>
    <w:rsid w:val="004E53B5"/>
    <w:rsid w:val="004E75D7"/>
    <w:rsid w:val="004F2178"/>
    <w:rsid w:val="004F2591"/>
    <w:rsid w:val="004F3AF1"/>
    <w:rsid w:val="004F42D7"/>
    <w:rsid w:val="004F460E"/>
    <w:rsid w:val="005001BA"/>
    <w:rsid w:val="00500ABE"/>
    <w:rsid w:val="00501182"/>
    <w:rsid w:val="00501953"/>
    <w:rsid w:val="00502061"/>
    <w:rsid w:val="00503464"/>
    <w:rsid w:val="00503F99"/>
    <w:rsid w:val="005064D8"/>
    <w:rsid w:val="0051368A"/>
    <w:rsid w:val="00513D1E"/>
    <w:rsid w:val="00515103"/>
    <w:rsid w:val="00516CF9"/>
    <w:rsid w:val="0051776B"/>
    <w:rsid w:val="0052098A"/>
    <w:rsid w:val="00524CEF"/>
    <w:rsid w:val="00526BA3"/>
    <w:rsid w:val="0052788D"/>
    <w:rsid w:val="00531355"/>
    <w:rsid w:val="00531C01"/>
    <w:rsid w:val="005322C5"/>
    <w:rsid w:val="0053382F"/>
    <w:rsid w:val="00534433"/>
    <w:rsid w:val="00534564"/>
    <w:rsid w:val="00534E6C"/>
    <w:rsid w:val="00536090"/>
    <w:rsid w:val="0054151F"/>
    <w:rsid w:val="005431FF"/>
    <w:rsid w:val="0055101C"/>
    <w:rsid w:val="00551049"/>
    <w:rsid w:val="00551649"/>
    <w:rsid w:val="0055448E"/>
    <w:rsid w:val="00554935"/>
    <w:rsid w:val="0055609A"/>
    <w:rsid w:val="00557596"/>
    <w:rsid w:val="00557CCA"/>
    <w:rsid w:val="005620FF"/>
    <w:rsid w:val="00562F64"/>
    <w:rsid w:val="0056516B"/>
    <w:rsid w:val="00565721"/>
    <w:rsid w:val="00566913"/>
    <w:rsid w:val="00567962"/>
    <w:rsid w:val="00570D2E"/>
    <w:rsid w:val="005718CC"/>
    <w:rsid w:val="00571D71"/>
    <w:rsid w:val="005732DE"/>
    <w:rsid w:val="005775BB"/>
    <w:rsid w:val="00580112"/>
    <w:rsid w:val="005804EF"/>
    <w:rsid w:val="00583410"/>
    <w:rsid w:val="00585492"/>
    <w:rsid w:val="005929BA"/>
    <w:rsid w:val="00592A36"/>
    <w:rsid w:val="005935FA"/>
    <w:rsid w:val="00593BD2"/>
    <w:rsid w:val="00594D7A"/>
    <w:rsid w:val="00596EE2"/>
    <w:rsid w:val="005A09A1"/>
    <w:rsid w:val="005A27D0"/>
    <w:rsid w:val="005A3368"/>
    <w:rsid w:val="005A583B"/>
    <w:rsid w:val="005A60E6"/>
    <w:rsid w:val="005B0FF1"/>
    <w:rsid w:val="005B1A97"/>
    <w:rsid w:val="005B412A"/>
    <w:rsid w:val="005C10CF"/>
    <w:rsid w:val="005C58F8"/>
    <w:rsid w:val="005C7267"/>
    <w:rsid w:val="005C786F"/>
    <w:rsid w:val="005D2CE2"/>
    <w:rsid w:val="005D3A15"/>
    <w:rsid w:val="005D3BBB"/>
    <w:rsid w:val="005D4B26"/>
    <w:rsid w:val="005D4C98"/>
    <w:rsid w:val="005D5132"/>
    <w:rsid w:val="005E08EA"/>
    <w:rsid w:val="005E11FA"/>
    <w:rsid w:val="005E2D1B"/>
    <w:rsid w:val="005E77E3"/>
    <w:rsid w:val="005F0B7A"/>
    <w:rsid w:val="005F2979"/>
    <w:rsid w:val="005F38B2"/>
    <w:rsid w:val="005F3A6F"/>
    <w:rsid w:val="005F5C95"/>
    <w:rsid w:val="005F5E27"/>
    <w:rsid w:val="005F652F"/>
    <w:rsid w:val="00600B18"/>
    <w:rsid w:val="00600FC8"/>
    <w:rsid w:val="00601536"/>
    <w:rsid w:val="00601E62"/>
    <w:rsid w:val="00602306"/>
    <w:rsid w:val="00602FF9"/>
    <w:rsid w:val="0060347D"/>
    <w:rsid w:val="00605C39"/>
    <w:rsid w:val="00605DE7"/>
    <w:rsid w:val="00607C13"/>
    <w:rsid w:val="006113DB"/>
    <w:rsid w:val="0061153C"/>
    <w:rsid w:val="0061381C"/>
    <w:rsid w:val="00614BBB"/>
    <w:rsid w:val="006168FA"/>
    <w:rsid w:val="00616E3A"/>
    <w:rsid w:val="00616F83"/>
    <w:rsid w:val="00617589"/>
    <w:rsid w:val="006208B9"/>
    <w:rsid w:val="00620AB3"/>
    <w:rsid w:val="00620D9A"/>
    <w:rsid w:val="00621C62"/>
    <w:rsid w:val="006231E5"/>
    <w:rsid w:val="00624B66"/>
    <w:rsid w:val="00624DF9"/>
    <w:rsid w:val="00627AC3"/>
    <w:rsid w:val="006324B7"/>
    <w:rsid w:val="0063328E"/>
    <w:rsid w:val="00633B51"/>
    <w:rsid w:val="00634332"/>
    <w:rsid w:val="0063441C"/>
    <w:rsid w:val="00640044"/>
    <w:rsid w:val="006409CA"/>
    <w:rsid w:val="006409DA"/>
    <w:rsid w:val="00641021"/>
    <w:rsid w:val="0064208C"/>
    <w:rsid w:val="0064278D"/>
    <w:rsid w:val="00642959"/>
    <w:rsid w:val="00642E6D"/>
    <w:rsid w:val="00644913"/>
    <w:rsid w:val="0064566C"/>
    <w:rsid w:val="00645C97"/>
    <w:rsid w:val="0064623E"/>
    <w:rsid w:val="00647289"/>
    <w:rsid w:val="00647A21"/>
    <w:rsid w:val="006519E7"/>
    <w:rsid w:val="00652F95"/>
    <w:rsid w:val="006555F6"/>
    <w:rsid w:val="00661F0B"/>
    <w:rsid w:val="0066234A"/>
    <w:rsid w:val="006626F2"/>
    <w:rsid w:val="00662811"/>
    <w:rsid w:val="00662A08"/>
    <w:rsid w:val="00662C66"/>
    <w:rsid w:val="0066693F"/>
    <w:rsid w:val="00666ED4"/>
    <w:rsid w:val="0066788F"/>
    <w:rsid w:val="006702DC"/>
    <w:rsid w:val="006709F1"/>
    <w:rsid w:val="006714D4"/>
    <w:rsid w:val="00672612"/>
    <w:rsid w:val="00674D71"/>
    <w:rsid w:val="0067567D"/>
    <w:rsid w:val="00675CA6"/>
    <w:rsid w:val="00676EA6"/>
    <w:rsid w:val="006773F8"/>
    <w:rsid w:val="006817C7"/>
    <w:rsid w:val="00682E99"/>
    <w:rsid w:val="0068420C"/>
    <w:rsid w:val="0068497E"/>
    <w:rsid w:val="00684F26"/>
    <w:rsid w:val="006852D8"/>
    <w:rsid w:val="00686A79"/>
    <w:rsid w:val="00687041"/>
    <w:rsid w:val="00687F94"/>
    <w:rsid w:val="00692A2D"/>
    <w:rsid w:val="00696045"/>
    <w:rsid w:val="006965CB"/>
    <w:rsid w:val="006970E0"/>
    <w:rsid w:val="006971D1"/>
    <w:rsid w:val="006A0203"/>
    <w:rsid w:val="006A0916"/>
    <w:rsid w:val="006A0B32"/>
    <w:rsid w:val="006A0D9D"/>
    <w:rsid w:val="006A1A54"/>
    <w:rsid w:val="006B0717"/>
    <w:rsid w:val="006B114E"/>
    <w:rsid w:val="006B24A0"/>
    <w:rsid w:val="006B24D9"/>
    <w:rsid w:val="006B2527"/>
    <w:rsid w:val="006B2D5A"/>
    <w:rsid w:val="006C0019"/>
    <w:rsid w:val="006C0E0B"/>
    <w:rsid w:val="006C1D0F"/>
    <w:rsid w:val="006C1DF2"/>
    <w:rsid w:val="006C301D"/>
    <w:rsid w:val="006C6B3B"/>
    <w:rsid w:val="006C79D8"/>
    <w:rsid w:val="006C7BCA"/>
    <w:rsid w:val="006D085A"/>
    <w:rsid w:val="006D2360"/>
    <w:rsid w:val="006D47D9"/>
    <w:rsid w:val="006D53AF"/>
    <w:rsid w:val="006D5DBE"/>
    <w:rsid w:val="006D6FDC"/>
    <w:rsid w:val="006D79A0"/>
    <w:rsid w:val="006D7F04"/>
    <w:rsid w:val="006E2CA6"/>
    <w:rsid w:val="006E327F"/>
    <w:rsid w:val="006E3DE2"/>
    <w:rsid w:val="006E6BAD"/>
    <w:rsid w:val="006E7BA2"/>
    <w:rsid w:val="006E7BE0"/>
    <w:rsid w:val="006F0369"/>
    <w:rsid w:val="006F1120"/>
    <w:rsid w:val="006F1BC4"/>
    <w:rsid w:val="006F1DD0"/>
    <w:rsid w:val="006F27E4"/>
    <w:rsid w:val="006F2AF9"/>
    <w:rsid w:val="006F55C3"/>
    <w:rsid w:val="006F65D5"/>
    <w:rsid w:val="00700BD8"/>
    <w:rsid w:val="0070298F"/>
    <w:rsid w:val="00702AF0"/>
    <w:rsid w:val="0070331B"/>
    <w:rsid w:val="00705072"/>
    <w:rsid w:val="00705E87"/>
    <w:rsid w:val="00705FCB"/>
    <w:rsid w:val="007062DC"/>
    <w:rsid w:val="007109AA"/>
    <w:rsid w:val="007120D2"/>
    <w:rsid w:val="00712B8D"/>
    <w:rsid w:val="007145FE"/>
    <w:rsid w:val="00716828"/>
    <w:rsid w:val="00721B97"/>
    <w:rsid w:val="00721CC5"/>
    <w:rsid w:val="00721D98"/>
    <w:rsid w:val="0072264F"/>
    <w:rsid w:val="007227B5"/>
    <w:rsid w:val="00722D81"/>
    <w:rsid w:val="007230E7"/>
    <w:rsid w:val="00723998"/>
    <w:rsid w:val="00727392"/>
    <w:rsid w:val="00727A60"/>
    <w:rsid w:val="007323F5"/>
    <w:rsid w:val="007333A7"/>
    <w:rsid w:val="00733B02"/>
    <w:rsid w:val="00734EFD"/>
    <w:rsid w:val="00735E59"/>
    <w:rsid w:val="00736632"/>
    <w:rsid w:val="00736947"/>
    <w:rsid w:val="007378C7"/>
    <w:rsid w:val="00740255"/>
    <w:rsid w:val="007423AB"/>
    <w:rsid w:val="007423F4"/>
    <w:rsid w:val="00744234"/>
    <w:rsid w:val="00747D14"/>
    <w:rsid w:val="00750183"/>
    <w:rsid w:val="00751263"/>
    <w:rsid w:val="00752D84"/>
    <w:rsid w:val="00753605"/>
    <w:rsid w:val="00756C5C"/>
    <w:rsid w:val="007610D7"/>
    <w:rsid w:val="00764085"/>
    <w:rsid w:val="0076461D"/>
    <w:rsid w:val="007705AF"/>
    <w:rsid w:val="0077070A"/>
    <w:rsid w:val="00773112"/>
    <w:rsid w:val="0077379E"/>
    <w:rsid w:val="00774C5F"/>
    <w:rsid w:val="0077717E"/>
    <w:rsid w:val="007772B5"/>
    <w:rsid w:val="00781678"/>
    <w:rsid w:val="007818E4"/>
    <w:rsid w:val="0078222C"/>
    <w:rsid w:val="00782596"/>
    <w:rsid w:val="007837F6"/>
    <w:rsid w:val="00784C44"/>
    <w:rsid w:val="00784EB5"/>
    <w:rsid w:val="00786657"/>
    <w:rsid w:val="00787157"/>
    <w:rsid w:val="00792D42"/>
    <w:rsid w:val="00793F12"/>
    <w:rsid w:val="00793F88"/>
    <w:rsid w:val="007959C1"/>
    <w:rsid w:val="0079620B"/>
    <w:rsid w:val="00797A3A"/>
    <w:rsid w:val="007A06FD"/>
    <w:rsid w:val="007A117B"/>
    <w:rsid w:val="007A143B"/>
    <w:rsid w:val="007A199B"/>
    <w:rsid w:val="007A29F5"/>
    <w:rsid w:val="007A3258"/>
    <w:rsid w:val="007A4CA0"/>
    <w:rsid w:val="007A559D"/>
    <w:rsid w:val="007A55AE"/>
    <w:rsid w:val="007A56D3"/>
    <w:rsid w:val="007A5A17"/>
    <w:rsid w:val="007B1F5D"/>
    <w:rsid w:val="007B2646"/>
    <w:rsid w:val="007B3F80"/>
    <w:rsid w:val="007B4704"/>
    <w:rsid w:val="007B52D0"/>
    <w:rsid w:val="007B6845"/>
    <w:rsid w:val="007B6885"/>
    <w:rsid w:val="007B74EF"/>
    <w:rsid w:val="007C0560"/>
    <w:rsid w:val="007C0777"/>
    <w:rsid w:val="007C09F6"/>
    <w:rsid w:val="007C0CD2"/>
    <w:rsid w:val="007C3022"/>
    <w:rsid w:val="007C38B1"/>
    <w:rsid w:val="007C43EE"/>
    <w:rsid w:val="007C48B7"/>
    <w:rsid w:val="007C4A5A"/>
    <w:rsid w:val="007C4BFD"/>
    <w:rsid w:val="007C6F02"/>
    <w:rsid w:val="007C7794"/>
    <w:rsid w:val="007C7C5E"/>
    <w:rsid w:val="007D14E1"/>
    <w:rsid w:val="007D14F7"/>
    <w:rsid w:val="007D15D7"/>
    <w:rsid w:val="007D2893"/>
    <w:rsid w:val="007D3444"/>
    <w:rsid w:val="007D3C62"/>
    <w:rsid w:val="007D47D2"/>
    <w:rsid w:val="007D4D4B"/>
    <w:rsid w:val="007D552F"/>
    <w:rsid w:val="007D5C2F"/>
    <w:rsid w:val="007E22DE"/>
    <w:rsid w:val="007E28C9"/>
    <w:rsid w:val="007E2A89"/>
    <w:rsid w:val="007E541F"/>
    <w:rsid w:val="007E6796"/>
    <w:rsid w:val="007E721B"/>
    <w:rsid w:val="007E7DD6"/>
    <w:rsid w:val="007F02C7"/>
    <w:rsid w:val="007F25D6"/>
    <w:rsid w:val="007F2B46"/>
    <w:rsid w:val="007F3720"/>
    <w:rsid w:val="007F4ACF"/>
    <w:rsid w:val="007F5873"/>
    <w:rsid w:val="007F5E88"/>
    <w:rsid w:val="007F61B8"/>
    <w:rsid w:val="007F6C22"/>
    <w:rsid w:val="007F7263"/>
    <w:rsid w:val="007F7A0E"/>
    <w:rsid w:val="008004EA"/>
    <w:rsid w:val="00801767"/>
    <w:rsid w:val="00802DE1"/>
    <w:rsid w:val="00803272"/>
    <w:rsid w:val="00803666"/>
    <w:rsid w:val="00803F3D"/>
    <w:rsid w:val="0080559E"/>
    <w:rsid w:val="00805D7E"/>
    <w:rsid w:val="00807EE8"/>
    <w:rsid w:val="00811247"/>
    <w:rsid w:val="00811A97"/>
    <w:rsid w:val="00811C19"/>
    <w:rsid w:val="00811C33"/>
    <w:rsid w:val="00811C5D"/>
    <w:rsid w:val="00812ED6"/>
    <w:rsid w:val="008137B5"/>
    <w:rsid w:val="008148D1"/>
    <w:rsid w:val="0081592E"/>
    <w:rsid w:val="008160CA"/>
    <w:rsid w:val="00817D86"/>
    <w:rsid w:val="008214AE"/>
    <w:rsid w:val="00821F7E"/>
    <w:rsid w:val="008230DF"/>
    <w:rsid w:val="00823CDB"/>
    <w:rsid w:val="00826928"/>
    <w:rsid w:val="0082720E"/>
    <w:rsid w:val="008272CA"/>
    <w:rsid w:val="00830D44"/>
    <w:rsid w:val="00831AA4"/>
    <w:rsid w:val="00832480"/>
    <w:rsid w:val="008356D2"/>
    <w:rsid w:val="008433A0"/>
    <w:rsid w:val="008433E7"/>
    <w:rsid w:val="00846C59"/>
    <w:rsid w:val="0084720E"/>
    <w:rsid w:val="008479F7"/>
    <w:rsid w:val="00850051"/>
    <w:rsid w:val="00850287"/>
    <w:rsid w:val="00851824"/>
    <w:rsid w:val="00851B52"/>
    <w:rsid w:val="00851F02"/>
    <w:rsid w:val="008523A4"/>
    <w:rsid w:val="0085267F"/>
    <w:rsid w:val="00856964"/>
    <w:rsid w:val="00856C30"/>
    <w:rsid w:val="00860277"/>
    <w:rsid w:val="00860F4E"/>
    <w:rsid w:val="00861FF9"/>
    <w:rsid w:val="008624CE"/>
    <w:rsid w:val="008624FA"/>
    <w:rsid w:val="00863A8A"/>
    <w:rsid w:val="00866D9C"/>
    <w:rsid w:val="00867056"/>
    <w:rsid w:val="0087050E"/>
    <w:rsid w:val="008706F6"/>
    <w:rsid w:val="00870FA4"/>
    <w:rsid w:val="00871A1A"/>
    <w:rsid w:val="00873776"/>
    <w:rsid w:val="00873D67"/>
    <w:rsid w:val="00875F81"/>
    <w:rsid w:val="00877354"/>
    <w:rsid w:val="0088120E"/>
    <w:rsid w:val="008812FB"/>
    <w:rsid w:val="00881C59"/>
    <w:rsid w:val="00883408"/>
    <w:rsid w:val="00883FD0"/>
    <w:rsid w:val="0088403A"/>
    <w:rsid w:val="00884C6E"/>
    <w:rsid w:val="00885289"/>
    <w:rsid w:val="00885CF5"/>
    <w:rsid w:val="00885FE9"/>
    <w:rsid w:val="0088669C"/>
    <w:rsid w:val="00891F2E"/>
    <w:rsid w:val="00892003"/>
    <w:rsid w:val="008930DA"/>
    <w:rsid w:val="00893758"/>
    <w:rsid w:val="0089493B"/>
    <w:rsid w:val="008A035A"/>
    <w:rsid w:val="008A088C"/>
    <w:rsid w:val="008A6F46"/>
    <w:rsid w:val="008A79B7"/>
    <w:rsid w:val="008B0900"/>
    <w:rsid w:val="008B3DC8"/>
    <w:rsid w:val="008B4201"/>
    <w:rsid w:val="008B4A5C"/>
    <w:rsid w:val="008B4D8E"/>
    <w:rsid w:val="008B51F1"/>
    <w:rsid w:val="008B521E"/>
    <w:rsid w:val="008B740A"/>
    <w:rsid w:val="008C1D1C"/>
    <w:rsid w:val="008C2589"/>
    <w:rsid w:val="008C27F1"/>
    <w:rsid w:val="008C5097"/>
    <w:rsid w:val="008C53D9"/>
    <w:rsid w:val="008C58BD"/>
    <w:rsid w:val="008C6D16"/>
    <w:rsid w:val="008D21E3"/>
    <w:rsid w:val="008D30AA"/>
    <w:rsid w:val="008D36B5"/>
    <w:rsid w:val="008D423B"/>
    <w:rsid w:val="008D513F"/>
    <w:rsid w:val="008D6733"/>
    <w:rsid w:val="008D7200"/>
    <w:rsid w:val="008D7271"/>
    <w:rsid w:val="008D76FE"/>
    <w:rsid w:val="008E15BF"/>
    <w:rsid w:val="008E16AF"/>
    <w:rsid w:val="008E29CF"/>
    <w:rsid w:val="008E30F5"/>
    <w:rsid w:val="008E3E71"/>
    <w:rsid w:val="008E5F2D"/>
    <w:rsid w:val="008E6598"/>
    <w:rsid w:val="008E6D9E"/>
    <w:rsid w:val="008E7BB3"/>
    <w:rsid w:val="008F0E6C"/>
    <w:rsid w:val="008F2730"/>
    <w:rsid w:val="008F32D9"/>
    <w:rsid w:val="008F32F3"/>
    <w:rsid w:val="008F3308"/>
    <w:rsid w:val="008F3384"/>
    <w:rsid w:val="008F527B"/>
    <w:rsid w:val="00900306"/>
    <w:rsid w:val="009007D1"/>
    <w:rsid w:val="00900D37"/>
    <w:rsid w:val="00901536"/>
    <w:rsid w:val="00901A9E"/>
    <w:rsid w:val="00901C32"/>
    <w:rsid w:val="009032A8"/>
    <w:rsid w:val="0090584F"/>
    <w:rsid w:val="0090634F"/>
    <w:rsid w:val="00906B29"/>
    <w:rsid w:val="00910ADF"/>
    <w:rsid w:val="00911BC1"/>
    <w:rsid w:val="00911EC6"/>
    <w:rsid w:val="009120F6"/>
    <w:rsid w:val="009129F2"/>
    <w:rsid w:val="009132BA"/>
    <w:rsid w:val="00913444"/>
    <w:rsid w:val="0091474F"/>
    <w:rsid w:val="0091591C"/>
    <w:rsid w:val="009165D8"/>
    <w:rsid w:val="009168F2"/>
    <w:rsid w:val="0091757B"/>
    <w:rsid w:val="009200E6"/>
    <w:rsid w:val="00920553"/>
    <w:rsid w:val="009235DD"/>
    <w:rsid w:val="00923762"/>
    <w:rsid w:val="009246A7"/>
    <w:rsid w:val="009251AA"/>
    <w:rsid w:val="00925C32"/>
    <w:rsid w:val="009264F0"/>
    <w:rsid w:val="009318D1"/>
    <w:rsid w:val="00931AED"/>
    <w:rsid w:val="00931F10"/>
    <w:rsid w:val="009334B1"/>
    <w:rsid w:val="009334CD"/>
    <w:rsid w:val="009348FF"/>
    <w:rsid w:val="00935F00"/>
    <w:rsid w:val="00937E28"/>
    <w:rsid w:val="009412BF"/>
    <w:rsid w:val="00941E85"/>
    <w:rsid w:val="00941F67"/>
    <w:rsid w:val="00942D5E"/>
    <w:rsid w:val="009442BE"/>
    <w:rsid w:val="00945774"/>
    <w:rsid w:val="00946681"/>
    <w:rsid w:val="00947F09"/>
    <w:rsid w:val="00952269"/>
    <w:rsid w:val="00952990"/>
    <w:rsid w:val="009531E8"/>
    <w:rsid w:val="009538EE"/>
    <w:rsid w:val="009541E9"/>
    <w:rsid w:val="00954413"/>
    <w:rsid w:val="00961259"/>
    <w:rsid w:val="0096273D"/>
    <w:rsid w:val="00962C38"/>
    <w:rsid w:val="0096324B"/>
    <w:rsid w:val="00965137"/>
    <w:rsid w:val="00965142"/>
    <w:rsid w:val="00965757"/>
    <w:rsid w:val="00966F29"/>
    <w:rsid w:val="00967AD0"/>
    <w:rsid w:val="00971061"/>
    <w:rsid w:val="0097258F"/>
    <w:rsid w:val="009763B0"/>
    <w:rsid w:val="0097651E"/>
    <w:rsid w:val="00976D07"/>
    <w:rsid w:val="0097796A"/>
    <w:rsid w:val="00981CA5"/>
    <w:rsid w:val="00984040"/>
    <w:rsid w:val="009847C3"/>
    <w:rsid w:val="00985A0B"/>
    <w:rsid w:val="009864D6"/>
    <w:rsid w:val="00987AEE"/>
    <w:rsid w:val="00991C6B"/>
    <w:rsid w:val="00994CE3"/>
    <w:rsid w:val="00995EDC"/>
    <w:rsid w:val="0099609A"/>
    <w:rsid w:val="009978FF"/>
    <w:rsid w:val="009A1CF2"/>
    <w:rsid w:val="009A2052"/>
    <w:rsid w:val="009A26FE"/>
    <w:rsid w:val="009A3631"/>
    <w:rsid w:val="009A4B67"/>
    <w:rsid w:val="009A58A6"/>
    <w:rsid w:val="009A5EF7"/>
    <w:rsid w:val="009A6666"/>
    <w:rsid w:val="009A7021"/>
    <w:rsid w:val="009B1C1E"/>
    <w:rsid w:val="009B292A"/>
    <w:rsid w:val="009B35F3"/>
    <w:rsid w:val="009B39A3"/>
    <w:rsid w:val="009B4B0B"/>
    <w:rsid w:val="009B5556"/>
    <w:rsid w:val="009B5770"/>
    <w:rsid w:val="009B63F1"/>
    <w:rsid w:val="009B7F5E"/>
    <w:rsid w:val="009C0322"/>
    <w:rsid w:val="009C1D63"/>
    <w:rsid w:val="009C1DDC"/>
    <w:rsid w:val="009C2E21"/>
    <w:rsid w:val="009C3A0D"/>
    <w:rsid w:val="009C4C89"/>
    <w:rsid w:val="009C526E"/>
    <w:rsid w:val="009C5ADB"/>
    <w:rsid w:val="009C7B0C"/>
    <w:rsid w:val="009D0080"/>
    <w:rsid w:val="009D06BE"/>
    <w:rsid w:val="009D0C16"/>
    <w:rsid w:val="009D3344"/>
    <w:rsid w:val="009D3862"/>
    <w:rsid w:val="009D3E43"/>
    <w:rsid w:val="009D469F"/>
    <w:rsid w:val="009E00F0"/>
    <w:rsid w:val="009E1B84"/>
    <w:rsid w:val="009E2324"/>
    <w:rsid w:val="009E4A6B"/>
    <w:rsid w:val="009E63BF"/>
    <w:rsid w:val="009E6448"/>
    <w:rsid w:val="009E6F74"/>
    <w:rsid w:val="009E6FD4"/>
    <w:rsid w:val="009E77B2"/>
    <w:rsid w:val="009E7AB4"/>
    <w:rsid w:val="009F0217"/>
    <w:rsid w:val="009F0BF9"/>
    <w:rsid w:val="009F0EE2"/>
    <w:rsid w:val="009F1822"/>
    <w:rsid w:val="009F2E6B"/>
    <w:rsid w:val="009F3384"/>
    <w:rsid w:val="009F3BAB"/>
    <w:rsid w:val="009F659E"/>
    <w:rsid w:val="009F7A09"/>
    <w:rsid w:val="00A015A3"/>
    <w:rsid w:val="00A01727"/>
    <w:rsid w:val="00A03EB3"/>
    <w:rsid w:val="00A05F6E"/>
    <w:rsid w:val="00A064CF"/>
    <w:rsid w:val="00A07697"/>
    <w:rsid w:val="00A07A50"/>
    <w:rsid w:val="00A10F4E"/>
    <w:rsid w:val="00A117E1"/>
    <w:rsid w:val="00A121FC"/>
    <w:rsid w:val="00A12DF3"/>
    <w:rsid w:val="00A12E04"/>
    <w:rsid w:val="00A14524"/>
    <w:rsid w:val="00A14DBD"/>
    <w:rsid w:val="00A15844"/>
    <w:rsid w:val="00A158E0"/>
    <w:rsid w:val="00A15A66"/>
    <w:rsid w:val="00A163A0"/>
    <w:rsid w:val="00A17FA7"/>
    <w:rsid w:val="00A20C08"/>
    <w:rsid w:val="00A20EFA"/>
    <w:rsid w:val="00A22B7C"/>
    <w:rsid w:val="00A22D39"/>
    <w:rsid w:val="00A24AAD"/>
    <w:rsid w:val="00A24FE8"/>
    <w:rsid w:val="00A25C04"/>
    <w:rsid w:val="00A26D67"/>
    <w:rsid w:val="00A26ED6"/>
    <w:rsid w:val="00A2730A"/>
    <w:rsid w:val="00A27DDC"/>
    <w:rsid w:val="00A30C76"/>
    <w:rsid w:val="00A31266"/>
    <w:rsid w:val="00A340F1"/>
    <w:rsid w:val="00A3510D"/>
    <w:rsid w:val="00A35637"/>
    <w:rsid w:val="00A36147"/>
    <w:rsid w:val="00A37188"/>
    <w:rsid w:val="00A37F54"/>
    <w:rsid w:val="00A40163"/>
    <w:rsid w:val="00A403AD"/>
    <w:rsid w:val="00A414CA"/>
    <w:rsid w:val="00A45438"/>
    <w:rsid w:val="00A454CF"/>
    <w:rsid w:val="00A47922"/>
    <w:rsid w:val="00A47D88"/>
    <w:rsid w:val="00A51F22"/>
    <w:rsid w:val="00A53273"/>
    <w:rsid w:val="00A542E8"/>
    <w:rsid w:val="00A545D0"/>
    <w:rsid w:val="00A549C6"/>
    <w:rsid w:val="00A553AD"/>
    <w:rsid w:val="00A57A5E"/>
    <w:rsid w:val="00A618E8"/>
    <w:rsid w:val="00A63DAA"/>
    <w:rsid w:val="00A63F9A"/>
    <w:rsid w:val="00A64CB5"/>
    <w:rsid w:val="00A64FC0"/>
    <w:rsid w:val="00A65BBE"/>
    <w:rsid w:val="00A67186"/>
    <w:rsid w:val="00A72BD9"/>
    <w:rsid w:val="00A7322B"/>
    <w:rsid w:val="00A75CA8"/>
    <w:rsid w:val="00A7718C"/>
    <w:rsid w:val="00A81610"/>
    <w:rsid w:val="00A81718"/>
    <w:rsid w:val="00A8324B"/>
    <w:rsid w:val="00A8668D"/>
    <w:rsid w:val="00A86859"/>
    <w:rsid w:val="00A86935"/>
    <w:rsid w:val="00A87135"/>
    <w:rsid w:val="00A87422"/>
    <w:rsid w:val="00A9152F"/>
    <w:rsid w:val="00A91DD6"/>
    <w:rsid w:val="00A94CA7"/>
    <w:rsid w:val="00A96E19"/>
    <w:rsid w:val="00AA14CA"/>
    <w:rsid w:val="00AA1EF3"/>
    <w:rsid w:val="00AA1F92"/>
    <w:rsid w:val="00AA4376"/>
    <w:rsid w:val="00AA4535"/>
    <w:rsid w:val="00AA6D15"/>
    <w:rsid w:val="00AA71D7"/>
    <w:rsid w:val="00AB0D08"/>
    <w:rsid w:val="00AB3160"/>
    <w:rsid w:val="00AB5756"/>
    <w:rsid w:val="00AB58F7"/>
    <w:rsid w:val="00AB5F2E"/>
    <w:rsid w:val="00AB7894"/>
    <w:rsid w:val="00AC10AE"/>
    <w:rsid w:val="00AC3D73"/>
    <w:rsid w:val="00AC504D"/>
    <w:rsid w:val="00AC5185"/>
    <w:rsid w:val="00AC53A2"/>
    <w:rsid w:val="00AC5629"/>
    <w:rsid w:val="00AC6E36"/>
    <w:rsid w:val="00AD0A23"/>
    <w:rsid w:val="00AD1AD5"/>
    <w:rsid w:val="00AD27C5"/>
    <w:rsid w:val="00AD28D8"/>
    <w:rsid w:val="00AD55C3"/>
    <w:rsid w:val="00AE05D5"/>
    <w:rsid w:val="00AE222B"/>
    <w:rsid w:val="00AE2DC0"/>
    <w:rsid w:val="00AE2FC5"/>
    <w:rsid w:val="00AE336A"/>
    <w:rsid w:val="00AE5BD2"/>
    <w:rsid w:val="00AE692D"/>
    <w:rsid w:val="00AF242A"/>
    <w:rsid w:val="00AF2878"/>
    <w:rsid w:val="00AF36D0"/>
    <w:rsid w:val="00AF46B7"/>
    <w:rsid w:val="00AF4F01"/>
    <w:rsid w:val="00AF575C"/>
    <w:rsid w:val="00AF6875"/>
    <w:rsid w:val="00AF6A96"/>
    <w:rsid w:val="00AF73CD"/>
    <w:rsid w:val="00B022BF"/>
    <w:rsid w:val="00B032F1"/>
    <w:rsid w:val="00B052F2"/>
    <w:rsid w:val="00B0543E"/>
    <w:rsid w:val="00B05DAE"/>
    <w:rsid w:val="00B062A6"/>
    <w:rsid w:val="00B074F6"/>
    <w:rsid w:val="00B1068D"/>
    <w:rsid w:val="00B1113D"/>
    <w:rsid w:val="00B116D8"/>
    <w:rsid w:val="00B11803"/>
    <w:rsid w:val="00B12695"/>
    <w:rsid w:val="00B1646C"/>
    <w:rsid w:val="00B166AE"/>
    <w:rsid w:val="00B17690"/>
    <w:rsid w:val="00B17E3D"/>
    <w:rsid w:val="00B21DC8"/>
    <w:rsid w:val="00B23662"/>
    <w:rsid w:val="00B245A7"/>
    <w:rsid w:val="00B255E2"/>
    <w:rsid w:val="00B27113"/>
    <w:rsid w:val="00B277E3"/>
    <w:rsid w:val="00B30129"/>
    <w:rsid w:val="00B30561"/>
    <w:rsid w:val="00B30AF8"/>
    <w:rsid w:val="00B3121B"/>
    <w:rsid w:val="00B32072"/>
    <w:rsid w:val="00B33E59"/>
    <w:rsid w:val="00B33ECB"/>
    <w:rsid w:val="00B349B3"/>
    <w:rsid w:val="00B36F44"/>
    <w:rsid w:val="00B371C9"/>
    <w:rsid w:val="00B37267"/>
    <w:rsid w:val="00B3769C"/>
    <w:rsid w:val="00B37A1F"/>
    <w:rsid w:val="00B419F4"/>
    <w:rsid w:val="00B41F29"/>
    <w:rsid w:val="00B447CF"/>
    <w:rsid w:val="00B44B0F"/>
    <w:rsid w:val="00B44F1C"/>
    <w:rsid w:val="00B450ED"/>
    <w:rsid w:val="00B477CC"/>
    <w:rsid w:val="00B47D57"/>
    <w:rsid w:val="00B5223E"/>
    <w:rsid w:val="00B545BA"/>
    <w:rsid w:val="00B54D9D"/>
    <w:rsid w:val="00B606F4"/>
    <w:rsid w:val="00B60BE1"/>
    <w:rsid w:val="00B60F2D"/>
    <w:rsid w:val="00B61CC1"/>
    <w:rsid w:val="00B62217"/>
    <w:rsid w:val="00B653F5"/>
    <w:rsid w:val="00B66AD5"/>
    <w:rsid w:val="00B6755D"/>
    <w:rsid w:val="00B67B91"/>
    <w:rsid w:val="00B70ECF"/>
    <w:rsid w:val="00B71EE5"/>
    <w:rsid w:val="00B7377B"/>
    <w:rsid w:val="00B73928"/>
    <w:rsid w:val="00B74831"/>
    <w:rsid w:val="00B74A17"/>
    <w:rsid w:val="00B74CF0"/>
    <w:rsid w:val="00B74D25"/>
    <w:rsid w:val="00B758B6"/>
    <w:rsid w:val="00B76849"/>
    <w:rsid w:val="00B77957"/>
    <w:rsid w:val="00B802EA"/>
    <w:rsid w:val="00B80497"/>
    <w:rsid w:val="00B81246"/>
    <w:rsid w:val="00B82073"/>
    <w:rsid w:val="00B827D5"/>
    <w:rsid w:val="00B83606"/>
    <w:rsid w:val="00B838C6"/>
    <w:rsid w:val="00B83C4E"/>
    <w:rsid w:val="00B8414A"/>
    <w:rsid w:val="00B8609F"/>
    <w:rsid w:val="00B91081"/>
    <w:rsid w:val="00B94526"/>
    <w:rsid w:val="00B9477E"/>
    <w:rsid w:val="00B94C31"/>
    <w:rsid w:val="00B96466"/>
    <w:rsid w:val="00B9703C"/>
    <w:rsid w:val="00BA05E9"/>
    <w:rsid w:val="00BA14E5"/>
    <w:rsid w:val="00BA166E"/>
    <w:rsid w:val="00BA18E7"/>
    <w:rsid w:val="00BA378B"/>
    <w:rsid w:val="00BA5BA4"/>
    <w:rsid w:val="00BA5E7A"/>
    <w:rsid w:val="00BA6A59"/>
    <w:rsid w:val="00BB0BA6"/>
    <w:rsid w:val="00BB0FC8"/>
    <w:rsid w:val="00BB14DD"/>
    <w:rsid w:val="00BB1545"/>
    <w:rsid w:val="00BB1A74"/>
    <w:rsid w:val="00BB56E2"/>
    <w:rsid w:val="00BB66D8"/>
    <w:rsid w:val="00BB74D8"/>
    <w:rsid w:val="00BB76D5"/>
    <w:rsid w:val="00BC16EB"/>
    <w:rsid w:val="00BC4205"/>
    <w:rsid w:val="00BC4500"/>
    <w:rsid w:val="00BC6BDE"/>
    <w:rsid w:val="00BD03F9"/>
    <w:rsid w:val="00BD0F52"/>
    <w:rsid w:val="00BD1C75"/>
    <w:rsid w:val="00BD2EAB"/>
    <w:rsid w:val="00BD4BAD"/>
    <w:rsid w:val="00BD6882"/>
    <w:rsid w:val="00BD71F8"/>
    <w:rsid w:val="00BD7B61"/>
    <w:rsid w:val="00BE0038"/>
    <w:rsid w:val="00BE0AE2"/>
    <w:rsid w:val="00BE1054"/>
    <w:rsid w:val="00BE1BEF"/>
    <w:rsid w:val="00BE2433"/>
    <w:rsid w:val="00BE26FD"/>
    <w:rsid w:val="00BE3024"/>
    <w:rsid w:val="00BE305A"/>
    <w:rsid w:val="00BE5DCA"/>
    <w:rsid w:val="00BE650F"/>
    <w:rsid w:val="00BE67B5"/>
    <w:rsid w:val="00BE7F7D"/>
    <w:rsid w:val="00BF0B30"/>
    <w:rsid w:val="00BF22CA"/>
    <w:rsid w:val="00BF350D"/>
    <w:rsid w:val="00BF470B"/>
    <w:rsid w:val="00BF5B64"/>
    <w:rsid w:val="00BF6D05"/>
    <w:rsid w:val="00BF72BF"/>
    <w:rsid w:val="00BF77CD"/>
    <w:rsid w:val="00BF7A38"/>
    <w:rsid w:val="00C003BB"/>
    <w:rsid w:val="00C01C93"/>
    <w:rsid w:val="00C024C5"/>
    <w:rsid w:val="00C026E3"/>
    <w:rsid w:val="00C02F03"/>
    <w:rsid w:val="00C079BC"/>
    <w:rsid w:val="00C11927"/>
    <w:rsid w:val="00C11C00"/>
    <w:rsid w:val="00C12E81"/>
    <w:rsid w:val="00C1416D"/>
    <w:rsid w:val="00C14259"/>
    <w:rsid w:val="00C15E99"/>
    <w:rsid w:val="00C175A5"/>
    <w:rsid w:val="00C203CC"/>
    <w:rsid w:val="00C2061E"/>
    <w:rsid w:val="00C21084"/>
    <w:rsid w:val="00C2144C"/>
    <w:rsid w:val="00C21B3B"/>
    <w:rsid w:val="00C21B8F"/>
    <w:rsid w:val="00C22CC9"/>
    <w:rsid w:val="00C22D2A"/>
    <w:rsid w:val="00C25A6E"/>
    <w:rsid w:val="00C274DD"/>
    <w:rsid w:val="00C279F6"/>
    <w:rsid w:val="00C30685"/>
    <w:rsid w:val="00C328DC"/>
    <w:rsid w:val="00C33C9E"/>
    <w:rsid w:val="00C33CAD"/>
    <w:rsid w:val="00C3425F"/>
    <w:rsid w:val="00C34652"/>
    <w:rsid w:val="00C35809"/>
    <w:rsid w:val="00C41EED"/>
    <w:rsid w:val="00C423FA"/>
    <w:rsid w:val="00C42F1F"/>
    <w:rsid w:val="00C45D43"/>
    <w:rsid w:val="00C47194"/>
    <w:rsid w:val="00C47B49"/>
    <w:rsid w:val="00C47B54"/>
    <w:rsid w:val="00C5022C"/>
    <w:rsid w:val="00C50CA4"/>
    <w:rsid w:val="00C51B0A"/>
    <w:rsid w:val="00C51D43"/>
    <w:rsid w:val="00C53256"/>
    <w:rsid w:val="00C534D9"/>
    <w:rsid w:val="00C548F4"/>
    <w:rsid w:val="00C555D4"/>
    <w:rsid w:val="00C57034"/>
    <w:rsid w:val="00C627CC"/>
    <w:rsid w:val="00C62A63"/>
    <w:rsid w:val="00C63100"/>
    <w:rsid w:val="00C643CA"/>
    <w:rsid w:val="00C644AC"/>
    <w:rsid w:val="00C64B50"/>
    <w:rsid w:val="00C66CAB"/>
    <w:rsid w:val="00C66CBF"/>
    <w:rsid w:val="00C67D69"/>
    <w:rsid w:val="00C70055"/>
    <w:rsid w:val="00C71264"/>
    <w:rsid w:val="00C71627"/>
    <w:rsid w:val="00C71AA2"/>
    <w:rsid w:val="00C73E7C"/>
    <w:rsid w:val="00C744F1"/>
    <w:rsid w:val="00C75679"/>
    <w:rsid w:val="00C80462"/>
    <w:rsid w:val="00C819D0"/>
    <w:rsid w:val="00C82358"/>
    <w:rsid w:val="00C826B0"/>
    <w:rsid w:val="00C82B68"/>
    <w:rsid w:val="00C84E89"/>
    <w:rsid w:val="00C85D6E"/>
    <w:rsid w:val="00C85EE3"/>
    <w:rsid w:val="00C860C9"/>
    <w:rsid w:val="00C8684F"/>
    <w:rsid w:val="00C902E1"/>
    <w:rsid w:val="00C90FC4"/>
    <w:rsid w:val="00C91338"/>
    <w:rsid w:val="00C91DCB"/>
    <w:rsid w:val="00C91E9B"/>
    <w:rsid w:val="00C9274B"/>
    <w:rsid w:val="00C92F2D"/>
    <w:rsid w:val="00C94DE1"/>
    <w:rsid w:val="00C95E4A"/>
    <w:rsid w:val="00C97EAB"/>
    <w:rsid w:val="00CA0874"/>
    <w:rsid w:val="00CA2C61"/>
    <w:rsid w:val="00CA395C"/>
    <w:rsid w:val="00CA4717"/>
    <w:rsid w:val="00CA4821"/>
    <w:rsid w:val="00CA4B6D"/>
    <w:rsid w:val="00CA5508"/>
    <w:rsid w:val="00CA5C26"/>
    <w:rsid w:val="00CA62CE"/>
    <w:rsid w:val="00CA72C5"/>
    <w:rsid w:val="00CA751B"/>
    <w:rsid w:val="00CB065B"/>
    <w:rsid w:val="00CB06AB"/>
    <w:rsid w:val="00CB15C1"/>
    <w:rsid w:val="00CB1B46"/>
    <w:rsid w:val="00CB2B07"/>
    <w:rsid w:val="00CB5223"/>
    <w:rsid w:val="00CB549F"/>
    <w:rsid w:val="00CB5FB4"/>
    <w:rsid w:val="00CB6E2D"/>
    <w:rsid w:val="00CB714B"/>
    <w:rsid w:val="00CB7A4F"/>
    <w:rsid w:val="00CB7F5D"/>
    <w:rsid w:val="00CC0A40"/>
    <w:rsid w:val="00CC0FC5"/>
    <w:rsid w:val="00CC2766"/>
    <w:rsid w:val="00CC2EF5"/>
    <w:rsid w:val="00CC3B04"/>
    <w:rsid w:val="00CC3F61"/>
    <w:rsid w:val="00CC58A6"/>
    <w:rsid w:val="00CC746D"/>
    <w:rsid w:val="00CD1507"/>
    <w:rsid w:val="00CD4BE4"/>
    <w:rsid w:val="00CD613B"/>
    <w:rsid w:val="00CD7774"/>
    <w:rsid w:val="00CE0819"/>
    <w:rsid w:val="00CE533E"/>
    <w:rsid w:val="00CE6979"/>
    <w:rsid w:val="00CE7C07"/>
    <w:rsid w:val="00CF0C29"/>
    <w:rsid w:val="00CF11C6"/>
    <w:rsid w:val="00CF1707"/>
    <w:rsid w:val="00CF39E5"/>
    <w:rsid w:val="00CF4258"/>
    <w:rsid w:val="00CF466E"/>
    <w:rsid w:val="00CF5AC9"/>
    <w:rsid w:val="00CF7D3B"/>
    <w:rsid w:val="00D0065D"/>
    <w:rsid w:val="00D00C44"/>
    <w:rsid w:val="00D011C3"/>
    <w:rsid w:val="00D02854"/>
    <w:rsid w:val="00D03339"/>
    <w:rsid w:val="00D03624"/>
    <w:rsid w:val="00D05B1A"/>
    <w:rsid w:val="00D07673"/>
    <w:rsid w:val="00D13D9A"/>
    <w:rsid w:val="00D1701B"/>
    <w:rsid w:val="00D20839"/>
    <w:rsid w:val="00D20D23"/>
    <w:rsid w:val="00D224A3"/>
    <w:rsid w:val="00D24C7B"/>
    <w:rsid w:val="00D26289"/>
    <w:rsid w:val="00D26D3B"/>
    <w:rsid w:val="00D27E03"/>
    <w:rsid w:val="00D305CA"/>
    <w:rsid w:val="00D31218"/>
    <w:rsid w:val="00D344CB"/>
    <w:rsid w:val="00D3519B"/>
    <w:rsid w:val="00D4000F"/>
    <w:rsid w:val="00D407B3"/>
    <w:rsid w:val="00D4145F"/>
    <w:rsid w:val="00D43429"/>
    <w:rsid w:val="00D438AF"/>
    <w:rsid w:val="00D44A2F"/>
    <w:rsid w:val="00D4576A"/>
    <w:rsid w:val="00D46CBB"/>
    <w:rsid w:val="00D50ED9"/>
    <w:rsid w:val="00D526FD"/>
    <w:rsid w:val="00D53CBB"/>
    <w:rsid w:val="00D57AA6"/>
    <w:rsid w:val="00D57B63"/>
    <w:rsid w:val="00D57C65"/>
    <w:rsid w:val="00D61875"/>
    <w:rsid w:val="00D6231A"/>
    <w:rsid w:val="00D63AF7"/>
    <w:rsid w:val="00D63CCB"/>
    <w:rsid w:val="00D645E1"/>
    <w:rsid w:val="00D6715C"/>
    <w:rsid w:val="00D70A4B"/>
    <w:rsid w:val="00D70AA6"/>
    <w:rsid w:val="00D779AF"/>
    <w:rsid w:val="00D779B5"/>
    <w:rsid w:val="00D80454"/>
    <w:rsid w:val="00D80F8C"/>
    <w:rsid w:val="00D81E59"/>
    <w:rsid w:val="00D84E2C"/>
    <w:rsid w:val="00D8548F"/>
    <w:rsid w:val="00D90657"/>
    <w:rsid w:val="00D92812"/>
    <w:rsid w:val="00D92E98"/>
    <w:rsid w:val="00D97134"/>
    <w:rsid w:val="00D97825"/>
    <w:rsid w:val="00D979C6"/>
    <w:rsid w:val="00D97DD4"/>
    <w:rsid w:val="00DA0A3C"/>
    <w:rsid w:val="00DA1B5C"/>
    <w:rsid w:val="00DA389E"/>
    <w:rsid w:val="00DA7CDC"/>
    <w:rsid w:val="00DB1DC7"/>
    <w:rsid w:val="00DB2451"/>
    <w:rsid w:val="00DB2964"/>
    <w:rsid w:val="00DB2AB5"/>
    <w:rsid w:val="00DB326B"/>
    <w:rsid w:val="00DB382B"/>
    <w:rsid w:val="00DB5CE2"/>
    <w:rsid w:val="00DB63E5"/>
    <w:rsid w:val="00DB64E9"/>
    <w:rsid w:val="00DB7C4C"/>
    <w:rsid w:val="00DC03A0"/>
    <w:rsid w:val="00DC3463"/>
    <w:rsid w:val="00DC3C65"/>
    <w:rsid w:val="00DC428A"/>
    <w:rsid w:val="00DC7514"/>
    <w:rsid w:val="00DD1120"/>
    <w:rsid w:val="00DD1B56"/>
    <w:rsid w:val="00DD1EC8"/>
    <w:rsid w:val="00DD216C"/>
    <w:rsid w:val="00DD522D"/>
    <w:rsid w:val="00DD52FC"/>
    <w:rsid w:val="00DD5C60"/>
    <w:rsid w:val="00DD6079"/>
    <w:rsid w:val="00DE0F35"/>
    <w:rsid w:val="00DE1649"/>
    <w:rsid w:val="00DE204F"/>
    <w:rsid w:val="00DE2E51"/>
    <w:rsid w:val="00DE399B"/>
    <w:rsid w:val="00DE3B5A"/>
    <w:rsid w:val="00DE4116"/>
    <w:rsid w:val="00DE47F4"/>
    <w:rsid w:val="00DE52E6"/>
    <w:rsid w:val="00DE58AA"/>
    <w:rsid w:val="00DE6881"/>
    <w:rsid w:val="00DE759E"/>
    <w:rsid w:val="00DF079D"/>
    <w:rsid w:val="00DF079F"/>
    <w:rsid w:val="00DF1D30"/>
    <w:rsid w:val="00DF4354"/>
    <w:rsid w:val="00DF5B82"/>
    <w:rsid w:val="00DF61A6"/>
    <w:rsid w:val="00DF799D"/>
    <w:rsid w:val="00E00C7F"/>
    <w:rsid w:val="00E0164E"/>
    <w:rsid w:val="00E040A1"/>
    <w:rsid w:val="00E04401"/>
    <w:rsid w:val="00E113E4"/>
    <w:rsid w:val="00E114E1"/>
    <w:rsid w:val="00E12DE9"/>
    <w:rsid w:val="00E1302C"/>
    <w:rsid w:val="00E15167"/>
    <w:rsid w:val="00E151A6"/>
    <w:rsid w:val="00E159AD"/>
    <w:rsid w:val="00E1673C"/>
    <w:rsid w:val="00E20F4B"/>
    <w:rsid w:val="00E21EE7"/>
    <w:rsid w:val="00E2255B"/>
    <w:rsid w:val="00E22F30"/>
    <w:rsid w:val="00E23C55"/>
    <w:rsid w:val="00E25821"/>
    <w:rsid w:val="00E25E1F"/>
    <w:rsid w:val="00E26B97"/>
    <w:rsid w:val="00E30026"/>
    <w:rsid w:val="00E30E8E"/>
    <w:rsid w:val="00E322BB"/>
    <w:rsid w:val="00E3264B"/>
    <w:rsid w:val="00E328A6"/>
    <w:rsid w:val="00E3424E"/>
    <w:rsid w:val="00E34861"/>
    <w:rsid w:val="00E35D78"/>
    <w:rsid w:val="00E36804"/>
    <w:rsid w:val="00E37DF1"/>
    <w:rsid w:val="00E4113C"/>
    <w:rsid w:val="00E413BB"/>
    <w:rsid w:val="00E43E18"/>
    <w:rsid w:val="00E444BB"/>
    <w:rsid w:val="00E44B84"/>
    <w:rsid w:val="00E462EE"/>
    <w:rsid w:val="00E478DE"/>
    <w:rsid w:val="00E51674"/>
    <w:rsid w:val="00E51E6A"/>
    <w:rsid w:val="00E52373"/>
    <w:rsid w:val="00E52C96"/>
    <w:rsid w:val="00E5385C"/>
    <w:rsid w:val="00E541BE"/>
    <w:rsid w:val="00E549C5"/>
    <w:rsid w:val="00E55F0C"/>
    <w:rsid w:val="00E572B3"/>
    <w:rsid w:val="00E57811"/>
    <w:rsid w:val="00E617EF"/>
    <w:rsid w:val="00E6481D"/>
    <w:rsid w:val="00E64A61"/>
    <w:rsid w:val="00E65A42"/>
    <w:rsid w:val="00E673C2"/>
    <w:rsid w:val="00E720BB"/>
    <w:rsid w:val="00E72B29"/>
    <w:rsid w:val="00E74D79"/>
    <w:rsid w:val="00E74E0C"/>
    <w:rsid w:val="00E75D25"/>
    <w:rsid w:val="00E80B70"/>
    <w:rsid w:val="00E83254"/>
    <w:rsid w:val="00E8367B"/>
    <w:rsid w:val="00E841D6"/>
    <w:rsid w:val="00E846C7"/>
    <w:rsid w:val="00E84F2E"/>
    <w:rsid w:val="00E9086A"/>
    <w:rsid w:val="00E930C4"/>
    <w:rsid w:val="00E93959"/>
    <w:rsid w:val="00E94730"/>
    <w:rsid w:val="00E94A51"/>
    <w:rsid w:val="00E9697A"/>
    <w:rsid w:val="00E96BDD"/>
    <w:rsid w:val="00E96D27"/>
    <w:rsid w:val="00E97C6E"/>
    <w:rsid w:val="00EA02E7"/>
    <w:rsid w:val="00EA0B90"/>
    <w:rsid w:val="00EA2005"/>
    <w:rsid w:val="00EA2AB7"/>
    <w:rsid w:val="00EA6EC2"/>
    <w:rsid w:val="00EA7BCB"/>
    <w:rsid w:val="00EB145D"/>
    <w:rsid w:val="00EB577F"/>
    <w:rsid w:val="00EC075E"/>
    <w:rsid w:val="00EC0C3B"/>
    <w:rsid w:val="00EC0E8A"/>
    <w:rsid w:val="00EC2637"/>
    <w:rsid w:val="00EC7BF3"/>
    <w:rsid w:val="00EC7E0C"/>
    <w:rsid w:val="00ED0DE8"/>
    <w:rsid w:val="00ED19BF"/>
    <w:rsid w:val="00ED68DA"/>
    <w:rsid w:val="00ED695E"/>
    <w:rsid w:val="00ED7EAB"/>
    <w:rsid w:val="00EE00AB"/>
    <w:rsid w:val="00EE2B5D"/>
    <w:rsid w:val="00EE2DFE"/>
    <w:rsid w:val="00EE38DD"/>
    <w:rsid w:val="00EE3FB4"/>
    <w:rsid w:val="00EE4BDA"/>
    <w:rsid w:val="00EE4DBE"/>
    <w:rsid w:val="00EE5643"/>
    <w:rsid w:val="00EE74CB"/>
    <w:rsid w:val="00EE774C"/>
    <w:rsid w:val="00EE7872"/>
    <w:rsid w:val="00EF1517"/>
    <w:rsid w:val="00EF3BD5"/>
    <w:rsid w:val="00EF3D00"/>
    <w:rsid w:val="00EF45A4"/>
    <w:rsid w:val="00EF5B51"/>
    <w:rsid w:val="00EF605B"/>
    <w:rsid w:val="00F05A20"/>
    <w:rsid w:val="00F05D70"/>
    <w:rsid w:val="00F05FFD"/>
    <w:rsid w:val="00F06029"/>
    <w:rsid w:val="00F066B9"/>
    <w:rsid w:val="00F069B9"/>
    <w:rsid w:val="00F07501"/>
    <w:rsid w:val="00F0777B"/>
    <w:rsid w:val="00F12D53"/>
    <w:rsid w:val="00F138CA"/>
    <w:rsid w:val="00F14084"/>
    <w:rsid w:val="00F1625B"/>
    <w:rsid w:val="00F17785"/>
    <w:rsid w:val="00F17C00"/>
    <w:rsid w:val="00F2100D"/>
    <w:rsid w:val="00F21811"/>
    <w:rsid w:val="00F218A2"/>
    <w:rsid w:val="00F22B9B"/>
    <w:rsid w:val="00F22D2E"/>
    <w:rsid w:val="00F2316A"/>
    <w:rsid w:val="00F248AE"/>
    <w:rsid w:val="00F2517B"/>
    <w:rsid w:val="00F2576F"/>
    <w:rsid w:val="00F26F1B"/>
    <w:rsid w:val="00F272A6"/>
    <w:rsid w:val="00F31ED2"/>
    <w:rsid w:val="00F346C5"/>
    <w:rsid w:val="00F34A25"/>
    <w:rsid w:val="00F36F2E"/>
    <w:rsid w:val="00F37129"/>
    <w:rsid w:val="00F37B2A"/>
    <w:rsid w:val="00F37B67"/>
    <w:rsid w:val="00F404D3"/>
    <w:rsid w:val="00F40B8F"/>
    <w:rsid w:val="00F41539"/>
    <w:rsid w:val="00F41852"/>
    <w:rsid w:val="00F41BB4"/>
    <w:rsid w:val="00F420D9"/>
    <w:rsid w:val="00F422C7"/>
    <w:rsid w:val="00F42D7A"/>
    <w:rsid w:val="00F43111"/>
    <w:rsid w:val="00F44A13"/>
    <w:rsid w:val="00F46371"/>
    <w:rsid w:val="00F47CF8"/>
    <w:rsid w:val="00F52F42"/>
    <w:rsid w:val="00F533F8"/>
    <w:rsid w:val="00F53641"/>
    <w:rsid w:val="00F54AA8"/>
    <w:rsid w:val="00F54B1A"/>
    <w:rsid w:val="00F5533B"/>
    <w:rsid w:val="00F559B5"/>
    <w:rsid w:val="00F5715B"/>
    <w:rsid w:val="00F57957"/>
    <w:rsid w:val="00F624B3"/>
    <w:rsid w:val="00F64EE1"/>
    <w:rsid w:val="00F64F64"/>
    <w:rsid w:val="00F65D5A"/>
    <w:rsid w:val="00F66BFA"/>
    <w:rsid w:val="00F6738C"/>
    <w:rsid w:val="00F67C10"/>
    <w:rsid w:val="00F67E6F"/>
    <w:rsid w:val="00F702C0"/>
    <w:rsid w:val="00F70A43"/>
    <w:rsid w:val="00F73935"/>
    <w:rsid w:val="00F73C28"/>
    <w:rsid w:val="00F81C2D"/>
    <w:rsid w:val="00F81EF1"/>
    <w:rsid w:val="00F824EE"/>
    <w:rsid w:val="00F84525"/>
    <w:rsid w:val="00F8498A"/>
    <w:rsid w:val="00F8560F"/>
    <w:rsid w:val="00F8637B"/>
    <w:rsid w:val="00F86F8D"/>
    <w:rsid w:val="00F872DF"/>
    <w:rsid w:val="00F91274"/>
    <w:rsid w:val="00F92410"/>
    <w:rsid w:val="00F95D7C"/>
    <w:rsid w:val="00F969FA"/>
    <w:rsid w:val="00FA1F6F"/>
    <w:rsid w:val="00FA22EB"/>
    <w:rsid w:val="00FA410A"/>
    <w:rsid w:val="00FA476D"/>
    <w:rsid w:val="00FA6B8E"/>
    <w:rsid w:val="00FA7A82"/>
    <w:rsid w:val="00FB0E3D"/>
    <w:rsid w:val="00FB31E1"/>
    <w:rsid w:val="00FB4226"/>
    <w:rsid w:val="00FB452F"/>
    <w:rsid w:val="00FB4E04"/>
    <w:rsid w:val="00FB7D0D"/>
    <w:rsid w:val="00FC0F22"/>
    <w:rsid w:val="00FC139F"/>
    <w:rsid w:val="00FC13F4"/>
    <w:rsid w:val="00FC2DD4"/>
    <w:rsid w:val="00FC4135"/>
    <w:rsid w:val="00FC41A8"/>
    <w:rsid w:val="00FC449E"/>
    <w:rsid w:val="00FC4BF3"/>
    <w:rsid w:val="00FC5107"/>
    <w:rsid w:val="00FC5308"/>
    <w:rsid w:val="00FC5805"/>
    <w:rsid w:val="00FC6B1B"/>
    <w:rsid w:val="00FD05F6"/>
    <w:rsid w:val="00FD2AD4"/>
    <w:rsid w:val="00FD5A28"/>
    <w:rsid w:val="00FE52AC"/>
    <w:rsid w:val="00FE5E7D"/>
    <w:rsid w:val="00FE6362"/>
    <w:rsid w:val="00FE6FB9"/>
    <w:rsid w:val="00FF0884"/>
    <w:rsid w:val="00FF1971"/>
    <w:rsid w:val="00FF2013"/>
    <w:rsid w:val="00FF21A4"/>
    <w:rsid w:val="00FF2E3E"/>
    <w:rsid w:val="00FF38D4"/>
    <w:rsid w:val="00FF42F5"/>
    <w:rsid w:val="00FF539E"/>
    <w:rsid w:val="00FF5547"/>
    <w:rsid w:val="00FF781B"/>
    <w:rsid w:val="228975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5BAF6"/>
  <w15:chartTrackingRefBased/>
  <w15:docId w15:val="{A97BCFA1-36D6-46FC-A142-04B61236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4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33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5A0B"/>
    <w:pPr>
      <w:ind w:left="720"/>
      <w:contextualSpacing/>
    </w:pPr>
  </w:style>
  <w:style w:type="paragraph" w:styleId="Notedebasdepage">
    <w:name w:val="footnote text"/>
    <w:basedOn w:val="Normal"/>
    <w:link w:val="NotedebasdepageCar"/>
    <w:uiPriority w:val="99"/>
    <w:semiHidden/>
    <w:unhideWhenUsed/>
    <w:rsid w:val="008F32F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32F3"/>
    <w:rPr>
      <w:sz w:val="20"/>
      <w:szCs w:val="20"/>
    </w:rPr>
  </w:style>
  <w:style w:type="character" w:styleId="Appelnotedebasdep">
    <w:name w:val="footnote reference"/>
    <w:basedOn w:val="Policepardfaut"/>
    <w:uiPriority w:val="99"/>
    <w:semiHidden/>
    <w:unhideWhenUsed/>
    <w:rsid w:val="008F32F3"/>
    <w:rPr>
      <w:vertAlign w:val="superscript"/>
    </w:rPr>
  </w:style>
  <w:style w:type="character" w:styleId="Lienhypertexte">
    <w:name w:val="Hyperlink"/>
    <w:basedOn w:val="Policepardfaut"/>
    <w:uiPriority w:val="99"/>
    <w:unhideWhenUsed/>
    <w:rsid w:val="008F32F3"/>
    <w:rPr>
      <w:color w:val="0000FF"/>
      <w:u w:val="single"/>
    </w:rPr>
  </w:style>
  <w:style w:type="character" w:styleId="Lienhypertextesuivivisit">
    <w:name w:val="FollowedHyperlink"/>
    <w:basedOn w:val="Policepardfaut"/>
    <w:uiPriority w:val="99"/>
    <w:semiHidden/>
    <w:unhideWhenUsed/>
    <w:rsid w:val="00C85D6E"/>
    <w:rPr>
      <w:color w:val="954F72" w:themeColor="followedHyperlink"/>
      <w:u w:val="single"/>
    </w:rPr>
  </w:style>
  <w:style w:type="paragraph" w:styleId="En-tte">
    <w:name w:val="header"/>
    <w:basedOn w:val="Normal"/>
    <w:link w:val="En-tteCar"/>
    <w:uiPriority w:val="99"/>
    <w:unhideWhenUsed/>
    <w:rsid w:val="00F8560F"/>
    <w:pPr>
      <w:tabs>
        <w:tab w:val="center" w:pos="4536"/>
        <w:tab w:val="right" w:pos="9072"/>
      </w:tabs>
      <w:spacing w:after="0" w:line="240" w:lineRule="auto"/>
    </w:pPr>
  </w:style>
  <w:style w:type="character" w:customStyle="1" w:styleId="En-tteCar">
    <w:name w:val="En-tête Car"/>
    <w:basedOn w:val="Policepardfaut"/>
    <w:link w:val="En-tte"/>
    <w:uiPriority w:val="99"/>
    <w:rsid w:val="00F8560F"/>
  </w:style>
  <w:style w:type="paragraph" w:styleId="Pieddepage">
    <w:name w:val="footer"/>
    <w:basedOn w:val="Normal"/>
    <w:link w:val="PieddepageCar"/>
    <w:uiPriority w:val="99"/>
    <w:unhideWhenUsed/>
    <w:rsid w:val="00F856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60F"/>
  </w:style>
  <w:style w:type="paragraph" w:customStyle="1" w:styleId="paragraph">
    <w:name w:val="paragraph"/>
    <w:basedOn w:val="Normal"/>
    <w:rsid w:val="003113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31137F"/>
  </w:style>
  <w:style w:type="character" w:customStyle="1" w:styleId="eop">
    <w:name w:val="eop"/>
    <w:basedOn w:val="Policepardfaut"/>
    <w:rsid w:val="0031137F"/>
  </w:style>
  <w:style w:type="character" w:customStyle="1" w:styleId="scxw206420403">
    <w:name w:val="scxw206420403"/>
    <w:basedOn w:val="Policepardfaut"/>
    <w:rsid w:val="0031137F"/>
  </w:style>
  <w:style w:type="table" w:styleId="TableauGrille4-Accentuation3">
    <w:name w:val="Grid Table 4 Accent 3"/>
    <w:basedOn w:val="TableauNormal"/>
    <w:uiPriority w:val="49"/>
    <w:rsid w:val="00BA5E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54A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4AA8"/>
    <w:rPr>
      <w:rFonts w:ascii="Segoe UI" w:hAnsi="Segoe UI" w:cs="Segoe UI"/>
      <w:sz w:val="18"/>
      <w:szCs w:val="18"/>
    </w:rPr>
  </w:style>
  <w:style w:type="character" w:styleId="Marquedecommentaire">
    <w:name w:val="annotation reference"/>
    <w:basedOn w:val="Policepardfaut"/>
    <w:uiPriority w:val="99"/>
    <w:semiHidden/>
    <w:unhideWhenUsed/>
    <w:rsid w:val="00100D89"/>
    <w:rPr>
      <w:sz w:val="16"/>
      <w:szCs w:val="16"/>
    </w:rPr>
  </w:style>
  <w:style w:type="paragraph" w:styleId="Commentaire">
    <w:name w:val="annotation text"/>
    <w:basedOn w:val="Normal"/>
    <w:link w:val="CommentaireCar"/>
    <w:uiPriority w:val="99"/>
    <w:semiHidden/>
    <w:unhideWhenUsed/>
    <w:rsid w:val="00100D89"/>
    <w:pPr>
      <w:spacing w:line="240" w:lineRule="auto"/>
    </w:pPr>
    <w:rPr>
      <w:sz w:val="20"/>
      <w:szCs w:val="20"/>
    </w:rPr>
  </w:style>
  <w:style w:type="character" w:customStyle="1" w:styleId="CommentaireCar">
    <w:name w:val="Commentaire Car"/>
    <w:basedOn w:val="Policepardfaut"/>
    <w:link w:val="Commentaire"/>
    <w:uiPriority w:val="99"/>
    <w:semiHidden/>
    <w:rsid w:val="00100D89"/>
    <w:rPr>
      <w:sz w:val="20"/>
      <w:szCs w:val="20"/>
    </w:rPr>
  </w:style>
  <w:style w:type="paragraph" w:styleId="Objetducommentaire">
    <w:name w:val="annotation subject"/>
    <w:basedOn w:val="Commentaire"/>
    <w:next w:val="Commentaire"/>
    <w:link w:val="ObjetducommentaireCar"/>
    <w:uiPriority w:val="99"/>
    <w:semiHidden/>
    <w:unhideWhenUsed/>
    <w:rsid w:val="00100D89"/>
    <w:rPr>
      <w:b/>
      <w:bCs/>
    </w:rPr>
  </w:style>
  <w:style w:type="character" w:customStyle="1" w:styleId="ObjetducommentaireCar">
    <w:name w:val="Objet du commentaire Car"/>
    <w:basedOn w:val="CommentaireCar"/>
    <w:link w:val="Objetducommentaire"/>
    <w:uiPriority w:val="99"/>
    <w:semiHidden/>
    <w:rsid w:val="00100D89"/>
    <w:rPr>
      <w:b/>
      <w:bCs/>
      <w:sz w:val="20"/>
      <w:szCs w:val="20"/>
    </w:rPr>
  </w:style>
  <w:style w:type="paragraph" w:styleId="Lgende">
    <w:name w:val="caption"/>
    <w:basedOn w:val="Normal"/>
    <w:next w:val="Normal"/>
    <w:uiPriority w:val="35"/>
    <w:semiHidden/>
    <w:unhideWhenUsed/>
    <w:qFormat/>
    <w:rsid w:val="0036700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7264">
      <w:bodyDiv w:val="1"/>
      <w:marLeft w:val="0"/>
      <w:marRight w:val="0"/>
      <w:marTop w:val="0"/>
      <w:marBottom w:val="0"/>
      <w:divBdr>
        <w:top w:val="none" w:sz="0" w:space="0" w:color="auto"/>
        <w:left w:val="none" w:sz="0" w:space="0" w:color="auto"/>
        <w:bottom w:val="none" w:sz="0" w:space="0" w:color="auto"/>
        <w:right w:val="none" w:sz="0" w:space="0" w:color="auto"/>
      </w:divBdr>
    </w:div>
    <w:div w:id="381759984">
      <w:bodyDiv w:val="1"/>
      <w:marLeft w:val="0"/>
      <w:marRight w:val="0"/>
      <w:marTop w:val="0"/>
      <w:marBottom w:val="0"/>
      <w:divBdr>
        <w:top w:val="none" w:sz="0" w:space="0" w:color="auto"/>
        <w:left w:val="none" w:sz="0" w:space="0" w:color="auto"/>
        <w:bottom w:val="none" w:sz="0" w:space="0" w:color="auto"/>
        <w:right w:val="none" w:sz="0" w:space="0" w:color="auto"/>
      </w:divBdr>
      <w:divsChild>
        <w:div w:id="176122699">
          <w:marLeft w:val="0"/>
          <w:marRight w:val="0"/>
          <w:marTop w:val="0"/>
          <w:marBottom w:val="0"/>
          <w:divBdr>
            <w:top w:val="none" w:sz="0" w:space="0" w:color="auto"/>
            <w:left w:val="none" w:sz="0" w:space="0" w:color="auto"/>
            <w:bottom w:val="none" w:sz="0" w:space="0" w:color="auto"/>
            <w:right w:val="none" w:sz="0" w:space="0" w:color="auto"/>
          </w:divBdr>
          <w:divsChild>
            <w:div w:id="1261985816">
              <w:marLeft w:val="0"/>
              <w:marRight w:val="0"/>
              <w:marTop w:val="0"/>
              <w:marBottom w:val="0"/>
              <w:divBdr>
                <w:top w:val="none" w:sz="0" w:space="0" w:color="auto"/>
                <w:left w:val="none" w:sz="0" w:space="0" w:color="auto"/>
                <w:bottom w:val="none" w:sz="0" w:space="0" w:color="auto"/>
                <w:right w:val="none" w:sz="0" w:space="0" w:color="auto"/>
              </w:divBdr>
            </w:div>
          </w:divsChild>
        </w:div>
        <w:div w:id="716049486">
          <w:marLeft w:val="0"/>
          <w:marRight w:val="0"/>
          <w:marTop w:val="0"/>
          <w:marBottom w:val="0"/>
          <w:divBdr>
            <w:top w:val="none" w:sz="0" w:space="0" w:color="auto"/>
            <w:left w:val="none" w:sz="0" w:space="0" w:color="auto"/>
            <w:bottom w:val="none" w:sz="0" w:space="0" w:color="auto"/>
            <w:right w:val="none" w:sz="0" w:space="0" w:color="auto"/>
          </w:divBdr>
          <w:divsChild>
            <w:div w:id="1353264863">
              <w:marLeft w:val="0"/>
              <w:marRight w:val="0"/>
              <w:marTop w:val="0"/>
              <w:marBottom w:val="0"/>
              <w:divBdr>
                <w:top w:val="none" w:sz="0" w:space="0" w:color="auto"/>
                <w:left w:val="none" w:sz="0" w:space="0" w:color="auto"/>
                <w:bottom w:val="none" w:sz="0" w:space="0" w:color="auto"/>
                <w:right w:val="none" w:sz="0" w:space="0" w:color="auto"/>
              </w:divBdr>
            </w:div>
          </w:divsChild>
        </w:div>
        <w:div w:id="1937983938">
          <w:marLeft w:val="0"/>
          <w:marRight w:val="0"/>
          <w:marTop w:val="0"/>
          <w:marBottom w:val="0"/>
          <w:divBdr>
            <w:top w:val="none" w:sz="0" w:space="0" w:color="auto"/>
            <w:left w:val="none" w:sz="0" w:space="0" w:color="auto"/>
            <w:bottom w:val="none" w:sz="0" w:space="0" w:color="auto"/>
            <w:right w:val="none" w:sz="0" w:space="0" w:color="auto"/>
          </w:divBdr>
          <w:divsChild>
            <w:div w:id="117260879">
              <w:marLeft w:val="0"/>
              <w:marRight w:val="0"/>
              <w:marTop w:val="0"/>
              <w:marBottom w:val="0"/>
              <w:divBdr>
                <w:top w:val="none" w:sz="0" w:space="0" w:color="auto"/>
                <w:left w:val="none" w:sz="0" w:space="0" w:color="auto"/>
                <w:bottom w:val="none" w:sz="0" w:space="0" w:color="auto"/>
                <w:right w:val="none" w:sz="0" w:space="0" w:color="auto"/>
              </w:divBdr>
            </w:div>
          </w:divsChild>
        </w:div>
        <w:div w:id="1595550615">
          <w:marLeft w:val="0"/>
          <w:marRight w:val="0"/>
          <w:marTop w:val="0"/>
          <w:marBottom w:val="0"/>
          <w:divBdr>
            <w:top w:val="none" w:sz="0" w:space="0" w:color="auto"/>
            <w:left w:val="none" w:sz="0" w:space="0" w:color="auto"/>
            <w:bottom w:val="none" w:sz="0" w:space="0" w:color="auto"/>
            <w:right w:val="none" w:sz="0" w:space="0" w:color="auto"/>
          </w:divBdr>
          <w:divsChild>
            <w:div w:id="1189100117">
              <w:marLeft w:val="0"/>
              <w:marRight w:val="0"/>
              <w:marTop w:val="0"/>
              <w:marBottom w:val="0"/>
              <w:divBdr>
                <w:top w:val="none" w:sz="0" w:space="0" w:color="auto"/>
                <w:left w:val="none" w:sz="0" w:space="0" w:color="auto"/>
                <w:bottom w:val="none" w:sz="0" w:space="0" w:color="auto"/>
                <w:right w:val="none" w:sz="0" w:space="0" w:color="auto"/>
              </w:divBdr>
            </w:div>
          </w:divsChild>
        </w:div>
        <w:div w:id="1346830936">
          <w:marLeft w:val="0"/>
          <w:marRight w:val="0"/>
          <w:marTop w:val="0"/>
          <w:marBottom w:val="0"/>
          <w:divBdr>
            <w:top w:val="none" w:sz="0" w:space="0" w:color="auto"/>
            <w:left w:val="none" w:sz="0" w:space="0" w:color="auto"/>
            <w:bottom w:val="none" w:sz="0" w:space="0" w:color="auto"/>
            <w:right w:val="none" w:sz="0" w:space="0" w:color="auto"/>
          </w:divBdr>
          <w:divsChild>
            <w:div w:id="1697579931">
              <w:marLeft w:val="0"/>
              <w:marRight w:val="0"/>
              <w:marTop w:val="0"/>
              <w:marBottom w:val="0"/>
              <w:divBdr>
                <w:top w:val="none" w:sz="0" w:space="0" w:color="auto"/>
                <w:left w:val="none" w:sz="0" w:space="0" w:color="auto"/>
                <w:bottom w:val="none" w:sz="0" w:space="0" w:color="auto"/>
                <w:right w:val="none" w:sz="0" w:space="0" w:color="auto"/>
              </w:divBdr>
            </w:div>
          </w:divsChild>
        </w:div>
        <w:div w:id="1516916495">
          <w:marLeft w:val="0"/>
          <w:marRight w:val="0"/>
          <w:marTop w:val="0"/>
          <w:marBottom w:val="0"/>
          <w:divBdr>
            <w:top w:val="none" w:sz="0" w:space="0" w:color="auto"/>
            <w:left w:val="none" w:sz="0" w:space="0" w:color="auto"/>
            <w:bottom w:val="none" w:sz="0" w:space="0" w:color="auto"/>
            <w:right w:val="none" w:sz="0" w:space="0" w:color="auto"/>
          </w:divBdr>
          <w:divsChild>
            <w:div w:id="68887734">
              <w:marLeft w:val="0"/>
              <w:marRight w:val="0"/>
              <w:marTop w:val="0"/>
              <w:marBottom w:val="0"/>
              <w:divBdr>
                <w:top w:val="none" w:sz="0" w:space="0" w:color="auto"/>
                <w:left w:val="none" w:sz="0" w:space="0" w:color="auto"/>
                <w:bottom w:val="none" w:sz="0" w:space="0" w:color="auto"/>
                <w:right w:val="none" w:sz="0" w:space="0" w:color="auto"/>
              </w:divBdr>
            </w:div>
          </w:divsChild>
        </w:div>
        <w:div w:id="1826241129">
          <w:marLeft w:val="0"/>
          <w:marRight w:val="0"/>
          <w:marTop w:val="0"/>
          <w:marBottom w:val="0"/>
          <w:divBdr>
            <w:top w:val="none" w:sz="0" w:space="0" w:color="auto"/>
            <w:left w:val="none" w:sz="0" w:space="0" w:color="auto"/>
            <w:bottom w:val="none" w:sz="0" w:space="0" w:color="auto"/>
            <w:right w:val="none" w:sz="0" w:space="0" w:color="auto"/>
          </w:divBdr>
          <w:divsChild>
            <w:div w:id="99878114">
              <w:marLeft w:val="0"/>
              <w:marRight w:val="0"/>
              <w:marTop w:val="0"/>
              <w:marBottom w:val="0"/>
              <w:divBdr>
                <w:top w:val="none" w:sz="0" w:space="0" w:color="auto"/>
                <w:left w:val="none" w:sz="0" w:space="0" w:color="auto"/>
                <w:bottom w:val="none" w:sz="0" w:space="0" w:color="auto"/>
                <w:right w:val="none" w:sz="0" w:space="0" w:color="auto"/>
              </w:divBdr>
            </w:div>
          </w:divsChild>
        </w:div>
        <w:div w:id="1065909613">
          <w:marLeft w:val="0"/>
          <w:marRight w:val="0"/>
          <w:marTop w:val="0"/>
          <w:marBottom w:val="0"/>
          <w:divBdr>
            <w:top w:val="none" w:sz="0" w:space="0" w:color="auto"/>
            <w:left w:val="none" w:sz="0" w:space="0" w:color="auto"/>
            <w:bottom w:val="none" w:sz="0" w:space="0" w:color="auto"/>
            <w:right w:val="none" w:sz="0" w:space="0" w:color="auto"/>
          </w:divBdr>
          <w:divsChild>
            <w:div w:id="1676421358">
              <w:marLeft w:val="0"/>
              <w:marRight w:val="0"/>
              <w:marTop w:val="0"/>
              <w:marBottom w:val="0"/>
              <w:divBdr>
                <w:top w:val="none" w:sz="0" w:space="0" w:color="auto"/>
                <w:left w:val="none" w:sz="0" w:space="0" w:color="auto"/>
                <w:bottom w:val="none" w:sz="0" w:space="0" w:color="auto"/>
                <w:right w:val="none" w:sz="0" w:space="0" w:color="auto"/>
              </w:divBdr>
            </w:div>
          </w:divsChild>
        </w:div>
        <w:div w:id="416631840">
          <w:marLeft w:val="0"/>
          <w:marRight w:val="0"/>
          <w:marTop w:val="0"/>
          <w:marBottom w:val="0"/>
          <w:divBdr>
            <w:top w:val="none" w:sz="0" w:space="0" w:color="auto"/>
            <w:left w:val="none" w:sz="0" w:space="0" w:color="auto"/>
            <w:bottom w:val="none" w:sz="0" w:space="0" w:color="auto"/>
            <w:right w:val="none" w:sz="0" w:space="0" w:color="auto"/>
          </w:divBdr>
          <w:divsChild>
            <w:div w:id="2052144593">
              <w:marLeft w:val="0"/>
              <w:marRight w:val="0"/>
              <w:marTop w:val="0"/>
              <w:marBottom w:val="0"/>
              <w:divBdr>
                <w:top w:val="none" w:sz="0" w:space="0" w:color="auto"/>
                <w:left w:val="none" w:sz="0" w:space="0" w:color="auto"/>
                <w:bottom w:val="none" w:sz="0" w:space="0" w:color="auto"/>
                <w:right w:val="none" w:sz="0" w:space="0" w:color="auto"/>
              </w:divBdr>
            </w:div>
          </w:divsChild>
        </w:div>
        <w:div w:id="865413326">
          <w:marLeft w:val="0"/>
          <w:marRight w:val="0"/>
          <w:marTop w:val="0"/>
          <w:marBottom w:val="0"/>
          <w:divBdr>
            <w:top w:val="none" w:sz="0" w:space="0" w:color="auto"/>
            <w:left w:val="none" w:sz="0" w:space="0" w:color="auto"/>
            <w:bottom w:val="none" w:sz="0" w:space="0" w:color="auto"/>
            <w:right w:val="none" w:sz="0" w:space="0" w:color="auto"/>
          </w:divBdr>
          <w:divsChild>
            <w:div w:id="234166795">
              <w:marLeft w:val="0"/>
              <w:marRight w:val="0"/>
              <w:marTop w:val="0"/>
              <w:marBottom w:val="0"/>
              <w:divBdr>
                <w:top w:val="none" w:sz="0" w:space="0" w:color="auto"/>
                <w:left w:val="none" w:sz="0" w:space="0" w:color="auto"/>
                <w:bottom w:val="none" w:sz="0" w:space="0" w:color="auto"/>
                <w:right w:val="none" w:sz="0" w:space="0" w:color="auto"/>
              </w:divBdr>
            </w:div>
          </w:divsChild>
        </w:div>
        <w:div w:id="221990661">
          <w:marLeft w:val="0"/>
          <w:marRight w:val="0"/>
          <w:marTop w:val="0"/>
          <w:marBottom w:val="0"/>
          <w:divBdr>
            <w:top w:val="none" w:sz="0" w:space="0" w:color="auto"/>
            <w:left w:val="none" w:sz="0" w:space="0" w:color="auto"/>
            <w:bottom w:val="none" w:sz="0" w:space="0" w:color="auto"/>
            <w:right w:val="none" w:sz="0" w:space="0" w:color="auto"/>
          </w:divBdr>
          <w:divsChild>
            <w:div w:id="1776166902">
              <w:marLeft w:val="0"/>
              <w:marRight w:val="0"/>
              <w:marTop w:val="0"/>
              <w:marBottom w:val="0"/>
              <w:divBdr>
                <w:top w:val="none" w:sz="0" w:space="0" w:color="auto"/>
                <w:left w:val="none" w:sz="0" w:space="0" w:color="auto"/>
                <w:bottom w:val="none" w:sz="0" w:space="0" w:color="auto"/>
                <w:right w:val="none" w:sz="0" w:space="0" w:color="auto"/>
              </w:divBdr>
            </w:div>
          </w:divsChild>
        </w:div>
        <w:div w:id="1230535738">
          <w:marLeft w:val="0"/>
          <w:marRight w:val="0"/>
          <w:marTop w:val="0"/>
          <w:marBottom w:val="0"/>
          <w:divBdr>
            <w:top w:val="none" w:sz="0" w:space="0" w:color="auto"/>
            <w:left w:val="none" w:sz="0" w:space="0" w:color="auto"/>
            <w:bottom w:val="none" w:sz="0" w:space="0" w:color="auto"/>
            <w:right w:val="none" w:sz="0" w:space="0" w:color="auto"/>
          </w:divBdr>
          <w:divsChild>
            <w:div w:id="18702635">
              <w:marLeft w:val="0"/>
              <w:marRight w:val="0"/>
              <w:marTop w:val="0"/>
              <w:marBottom w:val="0"/>
              <w:divBdr>
                <w:top w:val="none" w:sz="0" w:space="0" w:color="auto"/>
                <w:left w:val="none" w:sz="0" w:space="0" w:color="auto"/>
                <w:bottom w:val="none" w:sz="0" w:space="0" w:color="auto"/>
                <w:right w:val="none" w:sz="0" w:space="0" w:color="auto"/>
              </w:divBdr>
            </w:div>
          </w:divsChild>
        </w:div>
        <w:div w:id="138427665">
          <w:marLeft w:val="0"/>
          <w:marRight w:val="0"/>
          <w:marTop w:val="0"/>
          <w:marBottom w:val="0"/>
          <w:divBdr>
            <w:top w:val="none" w:sz="0" w:space="0" w:color="auto"/>
            <w:left w:val="none" w:sz="0" w:space="0" w:color="auto"/>
            <w:bottom w:val="none" w:sz="0" w:space="0" w:color="auto"/>
            <w:right w:val="none" w:sz="0" w:space="0" w:color="auto"/>
          </w:divBdr>
          <w:divsChild>
            <w:div w:id="1576432074">
              <w:marLeft w:val="0"/>
              <w:marRight w:val="0"/>
              <w:marTop w:val="0"/>
              <w:marBottom w:val="0"/>
              <w:divBdr>
                <w:top w:val="none" w:sz="0" w:space="0" w:color="auto"/>
                <w:left w:val="none" w:sz="0" w:space="0" w:color="auto"/>
                <w:bottom w:val="none" w:sz="0" w:space="0" w:color="auto"/>
                <w:right w:val="none" w:sz="0" w:space="0" w:color="auto"/>
              </w:divBdr>
            </w:div>
          </w:divsChild>
        </w:div>
        <w:div w:id="402727745">
          <w:marLeft w:val="0"/>
          <w:marRight w:val="0"/>
          <w:marTop w:val="0"/>
          <w:marBottom w:val="0"/>
          <w:divBdr>
            <w:top w:val="none" w:sz="0" w:space="0" w:color="auto"/>
            <w:left w:val="none" w:sz="0" w:space="0" w:color="auto"/>
            <w:bottom w:val="none" w:sz="0" w:space="0" w:color="auto"/>
            <w:right w:val="none" w:sz="0" w:space="0" w:color="auto"/>
          </w:divBdr>
          <w:divsChild>
            <w:div w:id="1485271012">
              <w:marLeft w:val="0"/>
              <w:marRight w:val="0"/>
              <w:marTop w:val="0"/>
              <w:marBottom w:val="0"/>
              <w:divBdr>
                <w:top w:val="none" w:sz="0" w:space="0" w:color="auto"/>
                <w:left w:val="none" w:sz="0" w:space="0" w:color="auto"/>
                <w:bottom w:val="none" w:sz="0" w:space="0" w:color="auto"/>
                <w:right w:val="none" w:sz="0" w:space="0" w:color="auto"/>
              </w:divBdr>
            </w:div>
          </w:divsChild>
        </w:div>
        <w:div w:id="1911193503">
          <w:marLeft w:val="0"/>
          <w:marRight w:val="0"/>
          <w:marTop w:val="0"/>
          <w:marBottom w:val="0"/>
          <w:divBdr>
            <w:top w:val="none" w:sz="0" w:space="0" w:color="auto"/>
            <w:left w:val="none" w:sz="0" w:space="0" w:color="auto"/>
            <w:bottom w:val="none" w:sz="0" w:space="0" w:color="auto"/>
            <w:right w:val="none" w:sz="0" w:space="0" w:color="auto"/>
          </w:divBdr>
          <w:divsChild>
            <w:div w:id="88043017">
              <w:marLeft w:val="0"/>
              <w:marRight w:val="0"/>
              <w:marTop w:val="0"/>
              <w:marBottom w:val="0"/>
              <w:divBdr>
                <w:top w:val="none" w:sz="0" w:space="0" w:color="auto"/>
                <w:left w:val="none" w:sz="0" w:space="0" w:color="auto"/>
                <w:bottom w:val="none" w:sz="0" w:space="0" w:color="auto"/>
                <w:right w:val="none" w:sz="0" w:space="0" w:color="auto"/>
              </w:divBdr>
            </w:div>
          </w:divsChild>
        </w:div>
        <w:div w:id="526647546">
          <w:marLeft w:val="0"/>
          <w:marRight w:val="0"/>
          <w:marTop w:val="0"/>
          <w:marBottom w:val="0"/>
          <w:divBdr>
            <w:top w:val="none" w:sz="0" w:space="0" w:color="auto"/>
            <w:left w:val="none" w:sz="0" w:space="0" w:color="auto"/>
            <w:bottom w:val="none" w:sz="0" w:space="0" w:color="auto"/>
            <w:right w:val="none" w:sz="0" w:space="0" w:color="auto"/>
          </w:divBdr>
          <w:divsChild>
            <w:div w:id="928386617">
              <w:marLeft w:val="0"/>
              <w:marRight w:val="0"/>
              <w:marTop w:val="0"/>
              <w:marBottom w:val="0"/>
              <w:divBdr>
                <w:top w:val="none" w:sz="0" w:space="0" w:color="auto"/>
                <w:left w:val="none" w:sz="0" w:space="0" w:color="auto"/>
                <w:bottom w:val="none" w:sz="0" w:space="0" w:color="auto"/>
                <w:right w:val="none" w:sz="0" w:space="0" w:color="auto"/>
              </w:divBdr>
            </w:div>
          </w:divsChild>
        </w:div>
        <w:div w:id="1084716560">
          <w:marLeft w:val="0"/>
          <w:marRight w:val="0"/>
          <w:marTop w:val="0"/>
          <w:marBottom w:val="0"/>
          <w:divBdr>
            <w:top w:val="none" w:sz="0" w:space="0" w:color="auto"/>
            <w:left w:val="none" w:sz="0" w:space="0" w:color="auto"/>
            <w:bottom w:val="none" w:sz="0" w:space="0" w:color="auto"/>
            <w:right w:val="none" w:sz="0" w:space="0" w:color="auto"/>
          </w:divBdr>
          <w:divsChild>
            <w:div w:id="93477572">
              <w:marLeft w:val="0"/>
              <w:marRight w:val="0"/>
              <w:marTop w:val="0"/>
              <w:marBottom w:val="0"/>
              <w:divBdr>
                <w:top w:val="none" w:sz="0" w:space="0" w:color="auto"/>
                <w:left w:val="none" w:sz="0" w:space="0" w:color="auto"/>
                <w:bottom w:val="none" w:sz="0" w:space="0" w:color="auto"/>
                <w:right w:val="none" w:sz="0" w:space="0" w:color="auto"/>
              </w:divBdr>
            </w:div>
          </w:divsChild>
        </w:div>
        <w:div w:id="1322348034">
          <w:marLeft w:val="0"/>
          <w:marRight w:val="0"/>
          <w:marTop w:val="0"/>
          <w:marBottom w:val="0"/>
          <w:divBdr>
            <w:top w:val="none" w:sz="0" w:space="0" w:color="auto"/>
            <w:left w:val="none" w:sz="0" w:space="0" w:color="auto"/>
            <w:bottom w:val="none" w:sz="0" w:space="0" w:color="auto"/>
            <w:right w:val="none" w:sz="0" w:space="0" w:color="auto"/>
          </w:divBdr>
          <w:divsChild>
            <w:div w:id="2111392625">
              <w:marLeft w:val="0"/>
              <w:marRight w:val="0"/>
              <w:marTop w:val="0"/>
              <w:marBottom w:val="0"/>
              <w:divBdr>
                <w:top w:val="none" w:sz="0" w:space="0" w:color="auto"/>
                <w:left w:val="none" w:sz="0" w:space="0" w:color="auto"/>
                <w:bottom w:val="none" w:sz="0" w:space="0" w:color="auto"/>
                <w:right w:val="none" w:sz="0" w:space="0" w:color="auto"/>
              </w:divBdr>
            </w:div>
          </w:divsChild>
        </w:div>
        <w:div w:id="1939558758">
          <w:marLeft w:val="0"/>
          <w:marRight w:val="0"/>
          <w:marTop w:val="0"/>
          <w:marBottom w:val="0"/>
          <w:divBdr>
            <w:top w:val="none" w:sz="0" w:space="0" w:color="auto"/>
            <w:left w:val="none" w:sz="0" w:space="0" w:color="auto"/>
            <w:bottom w:val="none" w:sz="0" w:space="0" w:color="auto"/>
            <w:right w:val="none" w:sz="0" w:space="0" w:color="auto"/>
          </w:divBdr>
          <w:divsChild>
            <w:div w:id="1602683670">
              <w:marLeft w:val="0"/>
              <w:marRight w:val="0"/>
              <w:marTop w:val="0"/>
              <w:marBottom w:val="0"/>
              <w:divBdr>
                <w:top w:val="none" w:sz="0" w:space="0" w:color="auto"/>
                <w:left w:val="none" w:sz="0" w:space="0" w:color="auto"/>
                <w:bottom w:val="none" w:sz="0" w:space="0" w:color="auto"/>
                <w:right w:val="none" w:sz="0" w:space="0" w:color="auto"/>
              </w:divBdr>
            </w:div>
          </w:divsChild>
        </w:div>
        <w:div w:id="739865918">
          <w:marLeft w:val="0"/>
          <w:marRight w:val="0"/>
          <w:marTop w:val="0"/>
          <w:marBottom w:val="0"/>
          <w:divBdr>
            <w:top w:val="none" w:sz="0" w:space="0" w:color="auto"/>
            <w:left w:val="none" w:sz="0" w:space="0" w:color="auto"/>
            <w:bottom w:val="none" w:sz="0" w:space="0" w:color="auto"/>
            <w:right w:val="none" w:sz="0" w:space="0" w:color="auto"/>
          </w:divBdr>
          <w:divsChild>
            <w:div w:id="1657412291">
              <w:marLeft w:val="0"/>
              <w:marRight w:val="0"/>
              <w:marTop w:val="0"/>
              <w:marBottom w:val="0"/>
              <w:divBdr>
                <w:top w:val="none" w:sz="0" w:space="0" w:color="auto"/>
                <w:left w:val="none" w:sz="0" w:space="0" w:color="auto"/>
                <w:bottom w:val="none" w:sz="0" w:space="0" w:color="auto"/>
                <w:right w:val="none" w:sz="0" w:space="0" w:color="auto"/>
              </w:divBdr>
            </w:div>
          </w:divsChild>
        </w:div>
        <w:div w:id="990215746">
          <w:marLeft w:val="0"/>
          <w:marRight w:val="0"/>
          <w:marTop w:val="0"/>
          <w:marBottom w:val="0"/>
          <w:divBdr>
            <w:top w:val="none" w:sz="0" w:space="0" w:color="auto"/>
            <w:left w:val="none" w:sz="0" w:space="0" w:color="auto"/>
            <w:bottom w:val="none" w:sz="0" w:space="0" w:color="auto"/>
            <w:right w:val="none" w:sz="0" w:space="0" w:color="auto"/>
          </w:divBdr>
          <w:divsChild>
            <w:div w:id="2017070840">
              <w:marLeft w:val="0"/>
              <w:marRight w:val="0"/>
              <w:marTop w:val="0"/>
              <w:marBottom w:val="0"/>
              <w:divBdr>
                <w:top w:val="none" w:sz="0" w:space="0" w:color="auto"/>
                <w:left w:val="none" w:sz="0" w:space="0" w:color="auto"/>
                <w:bottom w:val="none" w:sz="0" w:space="0" w:color="auto"/>
                <w:right w:val="none" w:sz="0" w:space="0" w:color="auto"/>
              </w:divBdr>
            </w:div>
          </w:divsChild>
        </w:div>
        <w:div w:id="1395591241">
          <w:marLeft w:val="0"/>
          <w:marRight w:val="0"/>
          <w:marTop w:val="0"/>
          <w:marBottom w:val="0"/>
          <w:divBdr>
            <w:top w:val="none" w:sz="0" w:space="0" w:color="auto"/>
            <w:left w:val="none" w:sz="0" w:space="0" w:color="auto"/>
            <w:bottom w:val="none" w:sz="0" w:space="0" w:color="auto"/>
            <w:right w:val="none" w:sz="0" w:space="0" w:color="auto"/>
          </w:divBdr>
          <w:divsChild>
            <w:div w:id="1216743650">
              <w:marLeft w:val="0"/>
              <w:marRight w:val="0"/>
              <w:marTop w:val="0"/>
              <w:marBottom w:val="0"/>
              <w:divBdr>
                <w:top w:val="none" w:sz="0" w:space="0" w:color="auto"/>
                <w:left w:val="none" w:sz="0" w:space="0" w:color="auto"/>
                <w:bottom w:val="none" w:sz="0" w:space="0" w:color="auto"/>
                <w:right w:val="none" w:sz="0" w:space="0" w:color="auto"/>
              </w:divBdr>
            </w:div>
          </w:divsChild>
        </w:div>
        <w:div w:id="1284460879">
          <w:marLeft w:val="0"/>
          <w:marRight w:val="0"/>
          <w:marTop w:val="0"/>
          <w:marBottom w:val="0"/>
          <w:divBdr>
            <w:top w:val="none" w:sz="0" w:space="0" w:color="auto"/>
            <w:left w:val="none" w:sz="0" w:space="0" w:color="auto"/>
            <w:bottom w:val="none" w:sz="0" w:space="0" w:color="auto"/>
            <w:right w:val="none" w:sz="0" w:space="0" w:color="auto"/>
          </w:divBdr>
          <w:divsChild>
            <w:div w:id="1446922570">
              <w:marLeft w:val="0"/>
              <w:marRight w:val="0"/>
              <w:marTop w:val="0"/>
              <w:marBottom w:val="0"/>
              <w:divBdr>
                <w:top w:val="none" w:sz="0" w:space="0" w:color="auto"/>
                <w:left w:val="none" w:sz="0" w:space="0" w:color="auto"/>
                <w:bottom w:val="none" w:sz="0" w:space="0" w:color="auto"/>
                <w:right w:val="none" w:sz="0" w:space="0" w:color="auto"/>
              </w:divBdr>
            </w:div>
          </w:divsChild>
        </w:div>
        <w:div w:id="1834755944">
          <w:marLeft w:val="0"/>
          <w:marRight w:val="0"/>
          <w:marTop w:val="0"/>
          <w:marBottom w:val="0"/>
          <w:divBdr>
            <w:top w:val="none" w:sz="0" w:space="0" w:color="auto"/>
            <w:left w:val="none" w:sz="0" w:space="0" w:color="auto"/>
            <w:bottom w:val="none" w:sz="0" w:space="0" w:color="auto"/>
            <w:right w:val="none" w:sz="0" w:space="0" w:color="auto"/>
          </w:divBdr>
          <w:divsChild>
            <w:div w:id="1676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1771">
      <w:bodyDiv w:val="1"/>
      <w:marLeft w:val="0"/>
      <w:marRight w:val="0"/>
      <w:marTop w:val="0"/>
      <w:marBottom w:val="0"/>
      <w:divBdr>
        <w:top w:val="none" w:sz="0" w:space="0" w:color="auto"/>
        <w:left w:val="none" w:sz="0" w:space="0" w:color="auto"/>
        <w:bottom w:val="none" w:sz="0" w:space="0" w:color="auto"/>
        <w:right w:val="none" w:sz="0" w:space="0" w:color="auto"/>
      </w:divBdr>
      <w:divsChild>
        <w:div w:id="1051075090">
          <w:marLeft w:val="0"/>
          <w:marRight w:val="0"/>
          <w:marTop w:val="0"/>
          <w:marBottom w:val="0"/>
          <w:divBdr>
            <w:top w:val="none" w:sz="0" w:space="0" w:color="auto"/>
            <w:left w:val="none" w:sz="0" w:space="0" w:color="auto"/>
            <w:bottom w:val="none" w:sz="0" w:space="0" w:color="auto"/>
            <w:right w:val="none" w:sz="0" w:space="0" w:color="auto"/>
          </w:divBdr>
          <w:divsChild>
            <w:div w:id="758910521">
              <w:marLeft w:val="0"/>
              <w:marRight w:val="0"/>
              <w:marTop w:val="0"/>
              <w:marBottom w:val="0"/>
              <w:divBdr>
                <w:top w:val="none" w:sz="0" w:space="0" w:color="auto"/>
                <w:left w:val="none" w:sz="0" w:space="0" w:color="auto"/>
                <w:bottom w:val="none" w:sz="0" w:space="0" w:color="auto"/>
                <w:right w:val="none" w:sz="0" w:space="0" w:color="auto"/>
              </w:divBdr>
            </w:div>
          </w:divsChild>
        </w:div>
        <w:div w:id="89930391">
          <w:marLeft w:val="0"/>
          <w:marRight w:val="0"/>
          <w:marTop w:val="0"/>
          <w:marBottom w:val="0"/>
          <w:divBdr>
            <w:top w:val="none" w:sz="0" w:space="0" w:color="auto"/>
            <w:left w:val="none" w:sz="0" w:space="0" w:color="auto"/>
            <w:bottom w:val="none" w:sz="0" w:space="0" w:color="auto"/>
            <w:right w:val="none" w:sz="0" w:space="0" w:color="auto"/>
          </w:divBdr>
          <w:divsChild>
            <w:div w:id="361369388">
              <w:marLeft w:val="0"/>
              <w:marRight w:val="0"/>
              <w:marTop w:val="0"/>
              <w:marBottom w:val="0"/>
              <w:divBdr>
                <w:top w:val="none" w:sz="0" w:space="0" w:color="auto"/>
                <w:left w:val="none" w:sz="0" w:space="0" w:color="auto"/>
                <w:bottom w:val="none" w:sz="0" w:space="0" w:color="auto"/>
                <w:right w:val="none" w:sz="0" w:space="0" w:color="auto"/>
              </w:divBdr>
            </w:div>
          </w:divsChild>
        </w:div>
        <w:div w:id="351953375">
          <w:marLeft w:val="0"/>
          <w:marRight w:val="0"/>
          <w:marTop w:val="0"/>
          <w:marBottom w:val="0"/>
          <w:divBdr>
            <w:top w:val="none" w:sz="0" w:space="0" w:color="auto"/>
            <w:left w:val="none" w:sz="0" w:space="0" w:color="auto"/>
            <w:bottom w:val="none" w:sz="0" w:space="0" w:color="auto"/>
            <w:right w:val="none" w:sz="0" w:space="0" w:color="auto"/>
          </w:divBdr>
          <w:divsChild>
            <w:div w:id="958530798">
              <w:marLeft w:val="0"/>
              <w:marRight w:val="0"/>
              <w:marTop w:val="0"/>
              <w:marBottom w:val="0"/>
              <w:divBdr>
                <w:top w:val="none" w:sz="0" w:space="0" w:color="auto"/>
                <w:left w:val="none" w:sz="0" w:space="0" w:color="auto"/>
                <w:bottom w:val="none" w:sz="0" w:space="0" w:color="auto"/>
                <w:right w:val="none" w:sz="0" w:space="0" w:color="auto"/>
              </w:divBdr>
            </w:div>
          </w:divsChild>
        </w:div>
        <w:div w:id="1056201337">
          <w:marLeft w:val="0"/>
          <w:marRight w:val="0"/>
          <w:marTop w:val="0"/>
          <w:marBottom w:val="0"/>
          <w:divBdr>
            <w:top w:val="none" w:sz="0" w:space="0" w:color="auto"/>
            <w:left w:val="none" w:sz="0" w:space="0" w:color="auto"/>
            <w:bottom w:val="none" w:sz="0" w:space="0" w:color="auto"/>
            <w:right w:val="none" w:sz="0" w:space="0" w:color="auto"/>
          </w:divBdr>
          <w:divsChild>
            <w:div w:id="1081414258">
              <w:marLeft w:val="0"/>
              <w:marRight w:val="0"/>
              <w:marTop w:val="0"/>
              <w:marBottom w:val="0"/>
              <w:divBdr>
                <w:top w:val="none" w:sz="0" w:space="0" w:color="auto"/>
                <w:left w:val="none" w:sz="0" w:space="0" w:color="auto"/>
                <w:bottom w:val="none" w:sz="0" w:space="0" w:color="auto"/>
                <w:right w:val="none" w:sz="0" w:space="0" w:color="auto"/>
              </w:divBdr>
            </w:div>
          </w:divsChild>
        </w:div>
        <w:div w:id="1043360295">
          <w:marLeft w:val="0"/>
          <w:marRight w:val="0"/>
          <w:marTop w:val="0"/>
          <w:marBottom w:val="0"/>
          <w:divBdr>
            <w:top w:val="none" w:sz="0" w:space="0" w:color="auto"/>
            <w:left w:val="none" w:sz="0" w:space="0" w:color="auto"/>
            <w:bottom w:val="none" w:sz="0" w:space="0" w:color="auto"/>
            <w:right w:val="none" w:sz="0" w:space="0" w:color="auto"/>
          </w:divBdr>
          <w:divsChild>
            <w:div w:id="1691486981">
              <w:marLeft w:val="0"/>
              <w:marRight w:val="0"/>
              <w:marTop w:val="0"/>
              <w:marBottom w:val="0"/>
              <w:divBdr>
                <w:top w:val="none" w:sz="0" w:space="0" w:color="auto"/>
                <w:left w:val="none" w:sz="0" w:space="0" w:color="auto"/>
                <w:bottom w:val="none" w:sz="0" w:space="0" w:color="auto"/>
                <w:right w:val="none" w:sz="0" w:space="0" w:color="auto"/>
              </w:divBdr>
            </w:div>
          </w:divsChild>
        </w:div>
        <w:div w:id="1883135005">
          <w:marLeft w:val="0"/>
          <w:marRight w:val="0"/>
          <w:marTop w:val="0"/>
          <w:marBottom w:val="0"/>
          <w:divBdr>
            <w:top w:val="none" w:sz="0" w:space="0" w:color="auto"/>
            <w:left w:val="none" w:sz="0" w:space="0" w:color="auto"/>
            <w:bottom w:val="none" w:sz="0" w:space="0" w:color="auto"/>
            <w:right w:val="none" w:sz="0" w:space="0" w:color="auto"/>
          </w:divBdr>
          <w:divsChild>
            <w:div w:id="189801013">
              <w:marLeft w:val="0"/>
              <w:marRight w:val="0"/>
              <w:marTop w:val="0"/>
              <w:marBottom w:val="0"/>
              <w:divBdr>
                <w:top w:val="none" w:sz="0" w:space="0" w:color="auto"/>
                <w:left w:val="none" w:sz="0" w:space="0" w:color="auto"/>
                <w:bottom w:val="none" w:sz="0" w:space="0" w:color="auto"/>
                <w:right w:val="none" w:sz="0" w:space="0" w:color="auto"/>
              </w:divBdr>
            </w:div>
          </w:divsChild>
        </w:div>
        <w:div w:id="949244918">
          <w:marLeft w:val="0"/>
          <w:marRight w:val="0"/>
          <w:marTop w:val="0"/>
          <w:marBottom w:val="0"/>
          <w:divBdr>
            <w:top w:val="none" w:sz="0" w:space="0" w:color="auto"/>
            <w:left w:val="none" w:sz="0" w:space="0" w:color="auto"/>
            <w:bottom w:val="none" w:sz="0" w:space="0" w:color="auto"/>
            <w:right w:val="none" w:sz="0" w:space="0" w:color="auto"/>
          </w:divBdr>
          <w:divsChild>
            <w:div w:id="2010406440">
              <w:marLeft w:val="0"/>
              <w:marRight w:val="0"/>
              <w:marTop w:val="0"/>
              <w:marBottom w:val="0"/>
              <w:divBdr>
                <w:top w:val="none" w:sz="0" w:space="0" w:color="auto"/>
                <w:left w:val="none" w:sz="0" w:space="0" w:color="auto"/>
                <w:bottom w:val="none" w:sz="0" w:space="0" w:color="auto"/>
                <w:right w:val="none" w:sz="0" w:space="0" w:color="auto"/>
              </w:divBdr>
            </w:div>
          </w:divsChild>
        </w:div>
        <w:div w:id="1970281544">
          <w:marLeft w:val="0"/>
          <w:marRight w:val="0"/>
          <w:marTop w:val="0"/>
          <w:marBottom w:val="0"/>
          <w:divBdr>
            <w:top w:val="none" w:sz="0" w:space="0" w:color="auto"/>
            <w:left w:val="none" w:sz="0" w:space="0" w:color="auto"/>
            <w:bottom w:val="none" w:sz="0" w:space="0" w:color="auto"/>
            <w:right w:val="none" w:sz="0" w:space="0" w:color="auto"/>
          </w:divBdr>
          <w:divsChild>
            <w:div w:id="862599565">
              <w:marLeft w:val="0"/>
              <w:marRight w:val="0"/>
              <w:marTop w:val="0"/>
              <w:marBottom w:val="0"/>
              <w:divBdr>
                <w:top w:val="none" w:sz="0" w:space="0" w:color="auto"/>
                <w:left w:val="none" w:sz="0" w:space="0" w:color="auto"/>
                <w:bottom w:val="none" w:sz="0" w:space="0" w:color="auto"/>
                <w:right w:val="none" w:sz="0" w:space="0" w:color="auto"/>
              </w:divBdr>
            </w:div>
          </w:divsChild>
        </w:div>
        <w:div w:id="1522813455">
          <w:marLeft w:val="0"/>
          <w:marRight w:val="0"/>
          <w:marTop w:val="0"/>
          <w:marBottom w:val="0"/>
          <w:divBdr>
            <w:top w:val="none" w:sz="0" w:space="0" w:color="auto"/>
            <w:left w:val="none" w:sz="0" w:space="0" w:color="auto"/>
            <w:bottom w:val="none" w:sz="0" w:space="0" w:color="auto"/>
            <w:right w:val="none" w:sz="0" w:space="0" w:color="auto"/>
          </w:divBdr>
          <w:divsChild>
            <w:div w:id="419258834">
              <w:marLeft w:val="0"/>
              <w:marRight w:val="0"/>
              <w:marTop w:val="0"/>
              <w:marBottom w:val="0"/>
              <w:divBdr>
                <w:top w:val="none" w:sz="0" w:space="0" w:color="auto"/>
                <w:left w:val="none" w:sz="0" w:space="0" w:color="auto"/>
                <w:bottom w:val="none" w:sz="0" w:space="0" w:color="auto"/>
                <w:right w:val="none" w:sz="0" w:space="0" w:color="auto"/>
              </w:divBdr>
            </w:div>
          </w:divsChild>
        </w:div>
        <w:div w:id="1117211766">
          <w:marLeft w:val="0"/>
          <w:marRight w:val="0"/>
          <w:marTop w:val="0"/>
          <w:marBottom w:val="0"/>
          <w:divBdr>
            <w:top w:val="none" w:sz="0" w:space="0" w:color="auto"/>
            <w:left w:val="none" w:sz="0" w:space="0" w:color="auto"/>
            <w:bottom w:val="none" w:sz="0" w:space="0" w:color="auto"/>
            <w:right w:val="none" w:sz="0" w:space="0" w:color="auto"/>
          </w:divBdr>
          <w:divsChild>
            <w:div w:id="912282204">
              <w:marLeft w:val="0"/>
              <w:marRight w:val="0"/>
              <w:marTop w:val="0"/>
              <w:marBottom w:val="0"/>
              <w:divBdr>
                <w:top w:val="none" w:sz="0" w:space="0" w:color="auto"/>
                <w:left w:val="none" w:sz="0" w:space="0" w:color="auto"/>
                <w:bottom w:val="none" w:sz="0" w:space="0" w:color="auto"/>
                <w:right w:val="none" w:sz="0" w:space="0" w:color="auto"/>
              </w:divBdr>
            </w:div>
          </w:divsChild>
        </w:div>
        <w:div w:id="655573885">
          <w:marLeft w:val="0"/>
          <w:marRight w:val="0"/>
          <w:marTop w:val="0"/>
          <w:marBottom w:val="0"/>
          <w:divBdr>
            <w:top w:val="none" w:sz="0" w:space="0" w:color="auto"/>
            <w:left w:val="none" w:sz="0" w:space="0" w:color="auto"/>
            <w:bottom w:val="none" w:sz="0" w:space="0" w:color="auto"/>
            <w:right w:val="none" w:sz="0" w:space="0" w:color="auto"/>
          </w:divBdr>
          <w:divsChild>
            <w:div w:id="2013753483">
              <w:marLeft w:val="0"/>
              <w:marRight w:val="0"/>
              <w:marTop w:val="0"/>
              <w:marBottom w:val="0"/>
              <w:divBdr>
                <w:top w:val="none" w:sz="0" w:space="0" w:color="auto"/>
                <w:left w:val="none" w:sz="0" w:space="0" w:color="auto"/>
                <w:bottom w:val="none" w:sz="0" w:space="0" w:color="auto"/>
                <w:right w:val="none" w:sz="0" w:space="0" w:color="auto"/>
              </w:divBdr>
            </w:div>
          </w:divsChild>
        </w:div>
        <w:div w:id="743182496">
          <w:marLeft w:val="0"/>
          <w:marRight w:val="0"/>
          <w:marTop w:val="0"/>
          <w:marBottom w:val="0"/>
          <w:divBdr>
            <w:top w:val="none" w:sz="0" w:space="0" w:color="auto"/>
            <w:left w:val="none" w:sz="0" w:space="0" w:color="auto"/>
            <w:bottom w:val="none" w:sz="0" w:space="0" w:color="auto"/>
            <w:right w:val="none" w:sz="0" w:space="0" w:color="auto"/>
          </w:divBdr>
          <w:divsChild>
            <w:div w:id="747504104">
              <w:marLeft w:val="0"/>
              <w:marRight w:val="0"/>
              <w:marTop w:val="0"/>
              <w:marBottom w:val="0"/>
              <w:divBdr>
                <w:top w:val="none" w:sz="0" w:space="0" w:color="auto"/>
                <w:left w:val="none" w:sz="0" w:space="0" w:color="auto"/>
                <w:bottom w:val="none" w:sz="0" w:space="0" w:color="auto"/>
                <w:right w:val="none" w:sz="0" w:space="0" w:color="auto"/>
              </w:divBdr>
            </w:div>
          </w:divsChild>
        </w:div>
        <w:div w:id="2002806390">
          <w:marLeft w:val="0"/>
          <w:marRight w:val="0"/>
          <w:marTop w:val="0"/>
          <w:marBottom w:val="0"/>
          <w:divBdr>
            <w:top w:val="none" w:sz="0" w:space="0" w:color="auto"/>
            <w:left w:val="none" w:sz="0" w:space="0" w:color="auto"/>
            <w:bottom w:val="none" w:sz="0" w:space="0" w:color="auto"/>
            <w:right w:val="none" w:sz="0" w:space="0" w:color="auto"/>
          </w:divBdr>
          <w:divsChild>
            <w:div w:id="1511095535">
              <w:marLeft w:val="0"/>
              <w:marRight w:val="0"/>
              <w:marTop w:val="0"/>
              <w:marBottom w:val="0"/>
              <w:divBdr>
                <w:top w:val="none" w:sz="0" w:space="0" w:color="auto"/>
                <w:left w:val="none" w:sz="0" w:space="0" w:color="auto"/>
                <w:bottom w:val="none" w:sz="0" w:space="0" w:color="auto"/>
                <w:right w:val="none" w:sz="0" w:space="0" w:color="auto"/>
              </w:divBdr>
            </w:div>
          </w:divsChild>
        </w:div>
        <w:div w:id="1703044872">
          <w:marLeft w:val="0"/>
          <w:marRight w:val="0"/>
          <w:marTop w:val="0"/>
          <w:marBottom w:val="0"/>
          <w:divBdr>
            <w:top w:val="none" w:sz="0" w:space="0" w:color="auto"/>
            <w:left w:val="none" w:sz="0" w:space="0" w:color="auto"/>
            <w:bottom w:val="none" w:sz="0" w:space="0" w:color="auto"/>
            <w:right w:val="none" w:sz="0" w:space="0" w:color="auto"/>
          </w:divBdr>
          <w:divsChild>
            <w:div w:id="1791510782">
              <w:marLeft w:val="0"/>
              <w:marRight w:val="0"/>
              <w:marTop w:val="0"/>
              <w:marBottom w:val="0"/>
              <w:divBdr>
                <w:top w:val="none" w:sz="0" w:space="0" w:color="auto"/>
                <w:left w:val="none" w:sz="0" w:space="0" w:color="auto"/>
                <w:bottom w:val="none" w:sz="0" w:space="0" w:color="auto"/>
                <w:right w:val="none" w:sz="0" w:space="0" w:color="auto"/>
              </w:divBdr>
            </w:div>
          </w:divsChild>
        </w:div>
        <w:div w:id="422796694">
          <w:marLeft w:val="0"/>
          <w:marRight w:val="0"/>
          <w:marTop w:val="0"/>
          <w:marBottom w:val="0"/>
          <w:divBdr>
            <w:top w:val="none" w:sz="0" w:space="0" w:color="auto"/>
            <w:left w:val="none" w:sz="0" w:space="0" w:color="auto"/>
            <w:bottom w:val="none" w:sz="0" w:space="0" w:color="auto"/>
            <w:right w:val="none" w:sz="0" w:space="0" w:color="auto"/>
          </w:divBdr>
          <w:divsChild>
            <w:div w:id="1068842289">
              <w:marLeft w:val="0"/>
              <w:marRight w:val="0"/>
              <w:marTop w:val="0"/>
              <w:marBottom w:val="0"/>
              <w:divBdr>
                <w:top w:val="none" w:sz="0" w:space="0" w:color="auto"/>
                <w:left w:val="none" w:sz="0" w:space="0" w:color="auto"/>
                <w:bottom w:val="none" w:sz="0" w:space="0" w:color="auto"/>
                <w:right w:val="none" w:sz="0" w:space="0" w:color="auto"/>
              </w:divBdr>
            </w:div>
          </w:divsChild>
        </w:div>
        <w:div w:id="1120563419">
          <w:marLeft w:val="0"/>
          <w:marRight w:val="0"/>
          <w:marTop w:val="0"/>
          <w:marBottom w:val="0"/>
          <w:divBdr>
            <w:top w:val="none" w:sz="0" w:space="0" w:color="auto"/>
            <w:left w:val="none" w:sz="0" w:space="0" w:color="auto"/>
            <w:bottom w:val="none" w:sz="0" w:space="0" w:color="auto"/>
            <w:right w:val="none" w:sz="0" w:space="0" w:color="auto"/>
          </w:divBdr>
          <w:divsChild>
            <w:div w:id="1688091617">
              <w:marLeft w:val="0"/>
              <w:marRight w:val="0"/>
              <w:marTop w:val="0"/>
              <w:marBottom w:val="0"/>
              <w:divBdr>
                <w:top w:val="none" w:sz="0" w:space="0" w:color="auto"/>
                <w:left w:val="none" w:sz="0" w:space="0" w:color="auto"/>
                <w:bottom w:val="none" w:sz="0" w:space="0" w:color="auto"/>
                <w:right w:val="none" w:sz="0" w:space="0" w:color="auto"/>
              </w:divBdr>
            </w:div>
          </w:divsChild>
        </w:div>
        <w:div w:id="1949854196">
          <w:marLeft w:val="0"/>
          <w:marRight w:val="0"/>
          <w:marTop w:val="0"/>
          <w:marBottom w:val="0"/>
          <w:divBdr>
            <w:top w:val="none" w:sz="0" w:space="0" w:color="auto"/>
            <w:left w:val="none" w:sz="0" w:space="0" w:color="auto"/>
            <w:bottom w:val="none" w:sz="0" w:space="0" w:color="auto"/>
            <w:right w:val="none" w:sz="0" w:space="0" w:color="auto"/>
          </w:divBdr>
          <w:divsChild>
            <w:div w:id="640353450">
              <w:marLeft w:val="0"/>
              <w:marRight w:val="0"/>
              <w:marTop w:val="0"/>
              <w:marBottom w:val="0"/>
              <w:divBdr>
                <w:top w:val="none" w:sz="0" w:space="0" w:color="auto"/>
                <w:left w:val="none" w:sz="0" w:space="0" w:color="auto"/>
                <w:bottom w:val="none" w:sz="0" w:space="0" w:color="auto"/>
                <w:right w:val="none" w:sz="0" w:space="0" w:color="auto"/>
              </w:divBdr>
            </w:div>
          </w:divsChild>
        </w:div>
        <w:div w:id="1490438708">
          <w:marLeft w:val="0"/>
          <w:marRight w:val="0"/>
          <w:marTop w:val="0"/>
          <w:marBottom w:val="0"/>
          <w:divBdr>
            <w:top w:val="none" w:sz="0" w:space="0" w:color="auto"/>
            <w:left w:val="none" w:sz="0" w:space="0" w:color="auto"/>
            <w:bottom w:val="none" w:sz="0" w:space="0" w:color="auto"/>
            <w:right w:val="none" w:sz="0" w:space="0" w:color="auto"/>
          </w:divBdr>
          <w:divsChild>
            <w:div w:id="1697776943">
              <w:marLeft w:val="0"/>
              <w:marRight w:val="0"/>
              <w:marTop w:val="0"/>
              <w:marBottom w:val="0"/>
              <w:divBdr>
                <w:top w:val="none" w:sz="0" w:space="0" w:color="auto"/>
                <w:left w:val="none" w:sz="0" w:space="0" w:color="auto"/>
                <w:bottom w:val="none" w:sz="0" w:space="0" w:color="auto"/>
                <w:right w:val="none" w:sz="0" w:space="0" w:color="auto"/>
              </w:divBdr>
            </w:div>
          </w:divsChild>
        </w:div>
        <w:div w:id="558828446">
          <w:marLeft w:val="0"/>
          <w:marRight w:val="0"/>
          <w:marTop w:val="0"/>
          <w:marBottom w:val="0"/>
          <w:divBdr>
            <w:top w:val="none" w:sz="0" w:space="0" w:color="auto"/>
            <w:left w:val="none" w:sz="0" w:space="0" w:color="auto"/>
            <w:bottom w:val="none" w:sz="0" w:space="0" w:color="auto"/>
            <w:right w:val="none" w:sz="0" w:space="0" w:color="auto"/>
          </w:divBdr>
          <w:divsChild>
            <w:div w:id="1237473988">
              <w:marLeft w:val="0"/>
              <w:marRight w:val="0"/>
              <w:marTop w:val="0"/>
              <w:marBottom w:val="0"/>
              <w:divBdr>
                <w:top w:val="none" w:sz="0" w:space="0" w:color="auto"/>
                <w:left w:val="none" w:sz="0" w:space="0" w:color="auto"/>
                <w:bottom w:val="none" w:sz="0" w:space="0" w:color="auto"/>
                <w:right w:val="none" w:sz="0" w:space="0" w:color="auto"/>
              </w:divBdr>
            </w:div>
          </w:divsChild>
        </w:div>
        <w:div w:id="480972298">
          <w:marLeft w:val="0"/>
          <w:marRight w:val="0"/>
          <w:marTop w:val="0"/>
          <w:marBottom w:val="0"/>
          <w:divBdr>
            <w:top w:val="none" w:sz="0" w:space="0" w:color="auto"/>
            <w:left w:val="none" w:sz="0" w:space="0" w:color="auto"/>
            <w:bottom w:val="none" w:sz="0" w:space="0" w:color="auto"/>
            <w:right w:val="none" w:sz="0" w:space="0" w:color="auto"/>
          </w:divBdr>
          <w:divsChild>
            <w:div w:id="1071924376">
              <w:marLeft w:val="0"/>
              <w:marRight w:val="0"/>
              <w:marTop w:val="0"/>
              <w:marBottom w:val="0"/>
              <w:divBdr>
                <w:top w:val="none" w:sz="0" w:space="0" w:color="auto"/>
                <w:left w:val="none" w:sz="0" w:space="0" w:color="auto"/>
                <w:bottom w:val="none" w:sz="0" w:space="0" w:color="auto"/>
                <w:right w:val="none" w:sz="0" w:space="0" w:color="auto"/>
              </w:divBdr>
            </w:div>
          </w:divsChild>
        </w:div>
        <w:div w:id="1931229675">
          <w:marLeft w:val="0"/>
          <w:marRight w:val="0"/>
          <w:marTop w:val="0"/>
          <w:marBottom w:val="0"/>
          <w:divBdr>
            <w:top w:val="none" w:sz="0" w:space="0" w:color="auto"/>
            <w:left w:val="none" w:sz="0" w:space="0" w:color="auto"/>
            <w:bottom w:val="none" w:sz="0" w:space="0" w:color="auto"/>
            <w:right w:val="none" w:sz="0" w:space="0" w:color="auto"/>
          </w:divBdr>
          <w:divsChild>
            <w:div w:id="4524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3575">
      <w:bodyDiv w:val="1"/>
      <w:marLeft w:val="0"/>
      <w:marRight w:val="0"/>
      <w:marTop w:val="0"/>
      <w:marBottom w:val="0"/>
      <w:divBdr>
        <w:top w:val="none" w:sz="0" w:space="0" w:color="auto"/>
        <w:left w:val="none" w:sz="0" w:space="0" w:color="auto"/>
        <w:bottom w:val="none" w:sz="0" w:space="0" w:color="auto"/>
        <w:right w:val="none" w:sz="0" w:space="0" w:color="auto"/>
      </w:divBdr>
      <w:divsChild>
        <w:div w:id="1674140420">
          <w:marLeft w:val="0"/>
          <w:marRight w:val="0"/>
          <w:marTop w:val="0"/>
          <w:marBottom w:val="0"/>
          <w:divBdr>
            <w:top w:val="none" w:sz="0" w:space="0" w:color="auto"/>
            <w:left w:val="none" w:sz="0" w:space="0" w:color="auto"/>
            <w:bottom w:val="none" w:sz="0" w:space="0" w:color="auto"/>
            <w:right w:val="none" w:sz="0" w:space="0" w:color="auto"/>
          </w:divBdr>
          <w:divsChild>
            <w:div w:id="763842158">
              <w:marLeft w:val="-75"/>
              <w:marRight w:val="0"/>
              <w:marTop w:val="30"/>
              <w:marBottom w:val="30"/>
              <w:divBdr>
                <w:top w:val="none" w:sz="0" w:space="0" w:color="auto"/>
                <w:left w:val="none" w:sz="0" w:space="0" w:color="auto"/>
                <w:bottom w:val="none" w:sz="0" w:space="0" w:color="auto"/>
                <w:right w:val="none" w:sz="0" w:space="0" w:color="auto"/>
              </w:divBdr>
              <w:divsChild>
                <w:div w:id="2116556592">
                  <w:marLeft w:val="0"/>
                  <w:marRight w:val="0"/>
                  <w:marTop w:val="0"/>
                  <w:marBottom w:val="0"/>
                  <w:divBdr>
                    <w:top w:val="none" w:sz="0" w:space="0" w:color="auto"/>
                    <w:left w:val="none" w:sz="0" w:space="0" w:color="auto"/>
                    <w:bottom w:val="none" w:sz="0" w:space="0" w:color="auto"/>
                    <w:right w:val="none" w:sz="0" w:space="0" w:color="auto"/>
                  </w:divBdr>
                  <w:divsChild>
                    <w:div w:id="1253397249">
                      <w:marLeft w:val="0"/>
                      <w:marRight w:val="0"/>
                      <w:marTop w:val="0"/>
                      <w:marBottom w:val="0"/>
                      <w:divBdr>
                        <w:top w:val="none" w:sz="0" w:space="0" w:color="auto"/>
                        <w:left w:val="none" w:sz="0" w:space="0" w:color="auto"/>
                        <w:bottom w:val="none" w:sz="0" w:space="0" w:color="auto"/>
                        <w:right w:val="none" w:sz="0" w:space="0" w:color="auto"/>
                      </w:divBdr>
                    </w:div>
                  </w:divsChild>
                </w:div>
                <w:div w:id="607276831">
                  <w:marLeft w:val="0"/>
                  <w:marRight w:val="0"/>
                  <w:marTop w:val="0"/>
                  <w:marBottom w:val="0"/>
                  <w:divBdr>
                    <w:top w:val="none" w:sz="0" w:space="0" w:color="auto"/>
                    <w:left w:val="none" w:sz="0" w:space="0" w:color="auto"/>
                    <w:bottom w:val="none" w:sz="0" w:space="0" w:color="auto"/>
                    <w:right w:val="none" w:sz="0" w:space="0" w:color="auto"/>
                  </w:divBdr>
                  <w:divsChild>
                    <w:div w:id="563493933">
                      <w:marLeft w:val="0"/>
                      <w:marRight w:val="0"/>
                      <w:marTop w:val="0"/>
                      <w:marBottom w:val="0"/>
                      <w:divBdr>
                        <w:top w:val="none" w:sz="0" w:space="0" w:color="auto"/>
                        <w:left w:val="none" w:sz="0" w:space="0" w:color="auto"/>
                        <w:bottom w:val="none" w:sz="0" w:space="0" w:color="auto"/>
                        <w:right w:val="none" w:sz="0" w:space="0" w:color="auto"/>
                      </w:divBdr>
                    </w:div>
                  </w:divsChild>
                </w:div>
                <w:div w:id="418016811">
                  <w:marLeft w:val="0"/>
                  <w:marRight w:val="0"/>
                  <w:marTop w:val="0"/>
                  <w:marBottom w:val="0"/>
                  <w:divBdr>
                    <w:top w:val="none" w:sz="0" w:space="0" w:color="auto"/>
                    <w:left w:val="none" w:sz="0" w:space="0" w:color="auto"/>
                    <w:bottom w:val="none" w:sz="0" w:space="0" w:color="auto"/>
                    <w:right w:val="none" w:sz="0" w:space="0" w:color="auto"/>
                  </w:divBdr>
                  <w:divsChild>
                    <w:div w:id="1737626192">
                      <w:marLeft w:val="0"/>
                      <w:marRight w:val="0"/>
                      <w:marTop w:val="0"/>
                      <w:marBottom w:val="0"/>
                      <w:divBdr>
                        <w:top w:val="none" w:sz="0" w:space="0" w:color="auto"/>
                        <w:left w:val="none" w:sz="0" w:space="0" w:color="auto"/>
                        <w:bottom w:val="none" w:sz="0" w:space="0" w:color="auto"/>
                        <w:right w:val="none" w:sz="0" w:space="0" w:color="auto"/>
                      </w:divBdr>
                    </w:div>
                  </w:divsChild>
                </w:div>
                <w:div w:id="2137524932">
                  <w:marLeft w:val="0"/>
                  <w:marRight w:val="0"/>
                  <w:marTop w:val="0"/>
                  <w:marBottom w:val="0"/>
                  <w:divBdr>
                    <w:top w:val="none" w:sz="0" w:space="0" w:color="auto"/>
                    <w:left w:val="none" w:sz="0" w:space="0" w:color="auto"/>
                    <w:bottom w:val="none" w:sz="0" w:space="0" w:color="auto"/>
                    <w:right w:val="none" w:sz="0" w:space="0" w:color="auto"/>
                  </w:divBdr>
                  <w:divsChild>
                    <w:div w:id="287467651">
                      <w:marLeft w:val="0"/>
                      <w:marRight w:val="0"/>
                      <w:marTop w:val="0"/>
                      <w:marBottom w:val="0"/>
                      <w:divBdr>
                        <w:top w:val="none" w:sz="0" w:space="0" w:color="auto"/>
                        <w:left w:val="none" w:sz="0" w:space="0" w:color="auto"/>
                        <w:bottom w:val="none" w:sz="0" w:space="0" w:color="auto"/>
                        <w:right w:val="none" w:sz="0" w:space="0" w:color="auto"/>
                      </w:divBdr>
                    </w:div>
                  </w:divsChild>
                </w:div>
                <w:div w:id="1030030625">
                  <w:marLeft w:val="0"/>
                  <w:marRight w:val="0"/>
                  <w:marTop w:val="0"/>
                  <w:marBottom w:val="0"/>
                  <w:divBdr>
                    <w:top w:val="none" w:sz="0" w:space="0" w:color="auto"/>
                    <w:left w:val="none" w:sz="0" w:space="0" w:color="auto"/>
                    <w:bottom w:val="none" w:sz="0" w:space="0" w:color="auto"/>
                    <w:right w:val="none" w:sz="0" w:space="0" w:color="auto"/>
                  </w:divBdr>
                  <w:divsChild>
                    <w:div w:id="55785417">
                      <w:marLeft w:val="0"/>
                      <w:marRight w:val="0"/>
                      <w:marTop w:val="0"/>
                      <w:marBottom w:val="0"/>
                      <w:divBdr>
                        <w:top w:val="none" w:sz="0" w:space="0" w:color="auto"/>
                        <w:left w:val="none" w:sz="0" w:space="0" w:color="auto"/>
                        <w:bottom w:val="none" w:sz="0" w:space="0" w:color="auto"/>
                        <w:right w:val="none" w:sz="0" w:space="0" w:color="auto"/>
                      </w:divBdr>
                    </w:div>
                    <w:div w:id="854272732">
                      <w:marLeft w:val="0"/>
                      <w:marRight w:val="0"/>
                      <w:marTop w:val="0"/>
                      <w:marBottom w:val="0"/>
                      <w:divBdr>
                        <w:top w:val="none" w:sz="0" w:space="0" w:color="auto"/>
                        <w:left w:val="none" w:sz="0" w:space="0" w:color="auto"/>
                        <w:bottom w:val="none" w:sz="0" w:space="0" w:color="auto"/>
                        <w:right w:val="none" w:sz="0" w:space="0" w:color="auto"/>
                      </w:divBdr>
                    </w:div>
                    <w:div w:id="1031032329">
                      <w:marLeft w:val="0"/>
                      <w:marRight w:val="0"/>
                      <w:marTop w:val="0"/>
                      <w:marBottom w:val="0"/>
                      <w:divBdr>
                        <w:top w:val="none" w:sz="0" w:space="0" w:color="auto"/>
                        <w:left w:val="none" w:sz="0" w:space="0" w:color="auto"/>
                        <w:bottom w:val="none" w:sz="0" w:space="0" w:color="auto"/>
                        <w:right w:val="none" w:sz="0" w:space="0" w:color="auto"/>
                      </w:divBdr>
                    </w:div>
                  </w:divsChild>
                </w:div>
                <w:div w:id="1606575072">
                  <w:marLeft w:val="0"/>
                  <w:marRight w:val="0"/>
                  <w:marTop w:val="0"/>
                  <w:marBottom w:val="0"/>
                  <w:divBdr>
                    <w:top w:val="none" w:sz="0" w:space="0" w:color="auto"/>
                    <w:left w:val="none" w:sz="0" w:space="0" w:color="auto"/>
                    <w:bottom w:val="none" w:sz="0" w:space="0" w:color="auto"/>
                    <w:right w:val="none" w:sz="0" w:space="0" w:color="auto"/>
                  </w:divBdr>
                  <w:divsChild>
                    <w:div w:id="1538548906">
                      <w:marLeft w:val="0"/>
                      <w:marRight w:val="0"/>
                      <w:marTop w:val="0"/>
                      <w:marBottom w:val="0"/>
                      <w:divBdr>
                        <w:top w:val="none" w:sz="0" w:space="0" w:color="auto"/>
                        <w:left w:val="none" w:sz="0" w:space="0" w:color="auto"/>
                        <w:bottom w:val="none" w:sz="0" w:space="0" w:color="auto"/>
                        <w:right w:val="none" w:sz="0" w:space="0" w:color="auto"/>
                      </w:divBdr>
                    </w:div>
                    <w:div w:id="1725325683">
                      <w:marLeft w:val="0"/>
                      <w:marRight w:val="0"/>
                      <w:marTop w:val="0"/>
                      <w:marBottom w:val="0"/>
                      <w:divBdr>
                        <w:top w:val="none" w:sz="0" w:space="0" w:color="auto"/>
                        <w:left w:val="none" w:sz="0" w:space="0" w:color="auto"/>
                        <w:bottom w:val="none" w:sz="0" w:space="0" w:color="auto"/>
                        <w:right w:val="none" w:sz="0" w:space="0" w:color="auto"/>
                      </w:divBdr>
                    </w:div>
                    <w:div w:id="574821146">
                      <w:marLeft w:val="0"/>
                      <w:marRight w:val="0"/>
                      <w:marTop w:val="0"/>
                      <w:marBottom w:val="0"/>
                      <w:divBdr>
                        <w:top w:val="none" w:sz="0" w:space="0" w:color="auto"/>
                        <w:left w:val="none" w:sz="0" w:space="0" w:color="auto"/>
                        <w:bottom w:val="none" w:sz="0" w:space="0" w:color="auto"/>
                        <w:right w:val="none" w:sz="0" w:space="0" w:color="auto"/>
                      </w:divBdr>
                    </w:div>
                  </w:divsChild>
                </w:div>
                <w:div w:id="1498575508">
                  <w:marLeft w:val="0"/>
                  <w:marRight w:val="0"/>
                  <w:marTop w:val="0"/>
                  <w:marBottom w:val="0"/>
                  <w:divBdr>
                    <w:top w:val="none" w:sz="0" w:space="0" w:color="auto"/>
                    <w:left w:val="none" w:sz="0" w:space="0" w:color="auto"/>
                    <w:bottom w:val="none" w:sz="0" w:space="0" w:color="auto"/>
                    <w:right w:val="none" w:sz="0" w:space="0" w:color="auto"/>
                  </w:divBdr>
                  <w:divsChild>
                    <w:div w:id="513500766">
                      <w:marLeft w:val="0"/>
                      <w:marRight w:val="0"/>
                      <w:marTop w:val="0"/>
                      <w:marBottom w:val="0"/>
                      <w:divBdr>
                        <w:top w:val="none" w:sz="0" w:space="0" w:color="auto"/>
                        <w:left w:val="none" w:sz="0" w:space="0" w:color="auto"/>
                        <w:bottom w:val="none" w:sz="0" w:space="0" w:color="auto"/>
                        <w:right w:val="none" w:sz="0" w:space="0" w:color="auto"/>
                      </w:divBdr>
                    </w:div>
                  </w:divsChild>
                </w:div>
                <w:div w:id="680623644">
                  <w:marLeft w:val="0"/>
                  <w:marRight w:val="0"/>
                  <w:marTop w:val="0"/>
                  <w:marBottom w:val="0"/>
                  <w:divBdr>
                    <w:top w:val="none" w:sz="0" w:space="0" w:color="auto"/>
                    <w:left w:val="none" w:sz="0" w:space="0" w:color="auto"/>
                    <w:bottom w:val="none" w:sz="0" w:space="0" w:color="auto"/>
                    <w:right w:val="none" w:sz="0" w:space="0" w:color="auto"/>
                  </w:divBdr>
                  <w:divsChild>
                    <w:div w:id="984090439">
                      <w:marLeft w:val="0"/>
                      <w:marRight w:val="0"/>
                      <w:marTop w:val="0"/>
                      <w:marBottom w:val="0"/>
                      <w:divBdr>
                        <w:top w:val="none" w:sz="0" w:space="0" w:color="auto"/>
                        <w:left w:val="none" w:sz="0" w:space="0" w:color="auto"/>
                        <w:bottom w:val="none" w:sz="0" w:space="0" w:color="auto"/>
                        <w:right w:val="none" w:sz="0" w:space="0" w:color="auto"/>
                      </w:divBdr>
                    </w:div>
                  </w:divsChild>
                </w:div>
                <w:div w:id="1591432436">
                  <w:marLeft w:val="0"/>
                  <w:marRight w:val="0"/>
                  <w:marTop w:val="0"/>
                  <w:marBottom w:val="0"/>
                  <w:divBdr>
                    <w:top w:val="none" w:sz="0" w:space="0" w:color="auto"/>
                    <w:left w:val="none" w:sz="0" w:space="0" w:color="auto"/>
                    <w:bottom w:val="none" w:sz="0" w:space="0" w:color="auto"/>
                    <w:right w:val="none" w:sz="0" w:space="0" w:color="auto"/>
                  </w:divBdr>
                  <w:divsChild>
                    <w:div w:id="345056584">
                      <w:marLeft w:val="0"/>
                      <w:marRight w:val="0"/>
                      <w:marTop w:val="0"/>
                      <w:marBottom w:val="0"/>
                      <w:divBdr>
                        <w:top w:val="none" w:sz="0" w:space="0" w:color="auto"/>
                        <w:left w:val="none" w:sz="0" w:space="0" w:color="auto"/>
                        <w:bottom w:val="none" w:sz="0" w:space="0" w:color="auto"/>
                        <w:right w:val="none" w:sz="0" w:space="0" w:color="auto"/>
                      </w:divBdr>
                    </w:div>
                  </w:divsChild>
                </w:div>
                <w:div w:id="150489997">
                  <w:marLeft w:val="0"/>
                  <w:marRight w:val="0"/>
                  <w:marTop w:val="0"/>
                  <w:marBottom w:val="0"/>
                  <w:divBdr>
                    <w:top w:val="none" w:sz="0" w:space="0" w:color="auto"/>
                    <w:left w:val="none" w:sz="0" w:space="0" w:color="auto"/>
                    <w:bottom w:val="none" w:sz="0" w:space="0" w:color="auto"/>
                    <w:right w:val="none" w:sz="0" w:space="0" w:color="auto"/>
                  </w:divBdr>
                  <w:divsChild>
                    <w:div w:id="735325781">
                      <w:marLeft w:val="0"/>
                      <w:marRight w:val="0"/>
                      <w:marTop w:val="0"/>
                      <w:marBottom w:val="0"/>
                      <w:divBdr>
                        <w:top w:val="none" w:sz="0" w:space="0" w:color="auto"/>
                        <w:left w:val="none" w:sz="0" w:space="0" w:color="auto"/>
                        <w:bottom w:val="none" w:sz="0" w:space="0" w:color="auto"/>
                        <w:right w:val="none" w:sz="0" w:space="0" w:color="auto"/>
                      </w:divBdr>
                    </w:div>
                  </w:divsChild>
                </w:div>
                <w:div w:id="1712680940">
                  <w:marLeft w:val="0"/>
                  <w:marRight w:val="0"/>
                  <w:marTop w:val="0"/>
                  <w:marBottom w:val="0"/>
                  <w:divBdr>
                    <w:top w:val="none" w:sz="0" w:space="0" w:color="auto"/>
                    <w:left w:val="none" w:sz="0" w:space="0" w:color="auto"/>
                    <w:bottom w:val="none" w:sz="0" w:space="0" w:color="auto"/>
                    <w:right w:val="none" w:sz="0" w:space="0" w:color="auto"/>
                  </w:divBdr>
                  <w:divsChild>
                    <w:div w:id="167722771">
                      <w:marLeft w:val="0"/>
                      <w:marRight w:val="0"/>
                      <w:marTop w:val="0"/>
                      <w:marBottom w:val="0"/>
                      <w:divBdr>
                        <w:top w:val="none" w:sz="0" w:space="0" w:color="auto"/>
                        <w:left w:val="none" w:sz="0" w:space="0" w:color="auto"/>
                        <w:bottom w:val="none" w:sz="0" w:space="0" w:color="auto"/>
                        <w:right w:val="none" w:sz="0" w:space="0" w:color="auto"/>
                      </w:divBdr>
                    </w:div>
                  </w:divsChild>
                </w:div>
                <w:div w:id="809591033">
                  <w:marLeft w:val="0"/>
                  <w:marRight w:val="0"/>
                  <w:marTop w:val="0"/>
                  <w:marBottom w:val="0"/>
                  <w:divBdr>
                    <w:top w:val="none" w:sz="0" w:space="0" w:color="auto"/>
                    <w:left w:val="none" w:sz="0" w:space="0" w:color="auto"/>
                    <w:bottom w:val="none" w:sz="0" w:space="0" w:color="auto"/>
                    <w:right w:val="none" w:sz="0" w:space="0" w:color="auto"/>
                  </w:divBdr>
                  <w:divsChild>
                    <w:div w:id="1247229180">
                      <w:marLeft w:val="0"/>
                      <w:marRight w:val="0"/>
                      <w:marTop w:val="0"/>
                      <w:marBottom w:val="0"/>
                      <w:divBdr>
                        <w:top w:val="none" w:sz="0" w:space="0" w:color="auto"/>
                        <w:left w:val="none" w:sz="0" w:space="0" w:color="auto"/>
                        <w:bottom w:val="none" w:sz="0" w:space="0" w:color="auto"/>
                        <w:right w:val="none" w:sz="0" w:space="0" w:color="auto"/>
                      </w:divBdr>
                    </w:div>
                  </w:divsChild>
                </w:div>
                <w:div w:id="926380945">
                  <w:marLeft w:val="0"/>
                  <w:marRight w:val="0"/>
                  <w:marTop w:val="0"/>
                  <w:marBottom w:val="0"/>
                  <w:divBdr>
                    <w:top w:val="none" w:sz="0" w:space="0" w:color="auto"/>
                    <w:left w:val="none" w:sz="0" w:space="0" w:color="auto"/>
                    <w:bottom w:val="none" w:sz="0" w:space="0" w:color="auto"/>
                    <w:right w:val="none" w:sz="0" w:space="0" w:color="auto"/>
                  </w:divBdr>
                  <w:divsChild>
                    <w:div w:id="1214121152">
                      <w:marLeft w:val="0"/>
                      <w:marRight w:val="0"/>
                      <w:marTop w:val="0"/>
                      <w:marBottom w:val="0"/>
                      <w:divBdr>
                        <w:top w:val="none" w:sz="0" w:space="0" w:color="auto"/>
                        <w:left w:val="none" w:sz="0" w:space="0" w:color="auto"/>
                        <w:bottom w:val="none" w:sz="0" w:space="0" w:color="auto"/>
                        <w:right w:val="none" w:sz="0" w:space="0" w:color="auto"/>
                      </w:divBdr>
                    </w:div>
                  </w:divsChild>
                </w:div>
                <w:div w:id="1215849981">
                  <w:marLeft w:val="0"/>
                  <w:marRight w:val="0"/>
                  <w:marTop w:val="0"/>
                  <w:marBottom w:val="0"/>
                  <w:divBdr>
                    <w:top w:val="none" w:sz="0" w:space="0" w:color="auto"/>
                    <w:left w:val="none" w:sz="0" w:space="0" w:color="auto"/>
                    <w:bottom w:val="none" w:sz="0" w:space="0" w:color="auto"/>
                    <w:right w:val="none" w:sz="0" w:space="0" w:color="auto"/>
                  </w:divBdr>
                  <w:divsChild>
                    <w:div w:id="808590700">
                      <w:marLeft w:val="0"/>
                      <w:marRight w:val="0"/>
                      <w:marTop w:val="0"/>
                      <w:marBottom w:val="0"/>
                      <w:divBdr>
                        <w:top w:val="none" w:sz="0" w:space="0" w:color="auto"/>
                        <w:left w:val="none" w:sz="0" w:space="0" w:color="auto"/>
                        <w:bottom w:val="none" w:sz="0" w:space="0" w:color="auto"/>
                        <w:right w:val="none" w:sz="0" w:space="0" w:color="auto"/>
                      </w:divBdr>
                    </w:div>
                  </w:divsChild>
                </w:div>
                <w:div w:id="409549638">
                  <w:marLeft w:val="0"/>
                  <w:marRight w:val="0"/>
                  <w:marTop w:val="0"/>
                  <w:marBottom w:val="0"/>
                  <w:divBdr>
                    <w:top w:val="none" w:sz="0" w:space="0" w:color="auto"/>
                    <w:left w:val="none" w:sz="0" w:space="0" w:color="auto"/>
                    <w:bottom w:val="none" w:sz="0" w:space="0" w:color="auto"/>
                    <w:right w:val="none" w:sz="0" w:space="0" w:color="auto"/>
                  </w:divBdr>
                  <w:divsChild>
                    <w:div w:id="1065376491">
                      <w:marLeft w:val="0"/>
                      <w:marRight w:val="0"/>
                      <w:marTop w:val="0"/>
                      <w:marBottom w:val="0"/>
                      <w:divBdr>
                        <w:top w:val="none" w:sz="0" w:space="0" w:color="auto"/>
                        <w:left w:val="none" w:sz="0" w:space="0" w:color="auto"/>
                        <w:bottom w:val="none" w:sz="0" w:space="0" w:color="auto"/>
                        <w:right w:val="none" w:sz="0" w:space="0" w:color="auto"/>
                      </w:divBdr>
                    </w:div>
                  </w:divsChild>
                </w:div>
                <w:div w:id="2078089486">
                  <w:marLeft w:val="0"/>
                  <w:marRight w:val="0"/>
                  <w:marTop w:val="0"/>
                  <w:marBottom w:val="0"/>
                  <w:divBdr>
                    <w:top w:val="none" w:sz="0" w:space="0" w:color="auto"/>
                    <w:left w:val="none" w:sz="0" w:space="0" w:color="auto"/>
                    <w:bottom w:val="none" w:sz="0" w:space="0" w:color="auto"/>
                    <w:right w:val="none" w:sz="0" w:space="0" w:color="auto"/>
                  </w:divBdr>
                  <w:divsChild>
                    <w:div w:id="342170292">
                      <w:marLeft w:val="0"/>
                      <w:marRight w:val="0"/>
                      <w:marTop w:val="0"/>
                      <w:marBottom w:val="0"/>
                      <w:divBdr>
                        <w:top w:val="none" w:sz="0" w:space="0" w:color="auto"/>
                        <w:left w:val="none" w:sz="0" w:space="0" w:color="auto"/>
                        <w:bottom w:val="none" w:sz="0" w:space="0" w:color="auto"/>
                        <w:right w:val="none" w:sz="0" w:space="0" w:color="auto"/>
                      </w:divBdr>
                    </w:div>
                  </w:divsChild>
                </w:div>
                <w:div w:id="492067044">
                  <w:marLeft w:val="0"/>
                  <w:marRight w:val="0"/>
                  <w:marTop w:val="0"/>
                  <w:marBottom w:val="0"/>
                  <w:divBdr>
                    <w:top w:val="none" w:sz="0" w:space="0" w:color="auto"/>
                    <w:left w:val="none" w:sz="0" w:space="0" w:color="auto"/>
                    <w:bottom w:val="none" w:sz="0" w:space="0" w:color="auto"/>
                    <w:right w:val="none" w:sz="0" w:space="0" w:color="auto"/>
                  </w:divBdr>
                  <w:divsChild>
                    <w:div w:id="941035402">
                      <w:marLeft w:val="0"/>
                      <w:marRight w:val="0"/>
                      <w:marTop w:val="0"/>
                      <w:marBottom w:val="0"/>
                      <w:divBdr>
                        <w:top w:val="none" w:sz="0" w:space="0" w:color="auto"/>
                        <w:left w:val="none" w:sz="0" w:space="0" w:color="auto"/>
                        <w:bottom w:val="none" w:sz="0" w:space="0" w:color="auto"/>
                        <w:right w:val="none" w:sz="0" w:space="0" w:color="auto"/>
                      </w:divBdr>
                    </w:div>
                  </w:divsChild>
                </w:div>
                <w:div w:id="1102072820">
                  <w:marLeft w:val="0"/>
                  <w:marRight w:val="0"/>
                  <w:marTop w:val="0"/>
                  <w:marBottom w:val="0"/>
                  <w:divBdr>
                    <w:top w:val="none" w:sz="0" w:space="0" w:color="auto"/>
                    <w:left w:val="none" w:sz="0" w:space="0" w:color="auto"/>
                    <w:bottom w:val="none" w:sz="0" w:space="0" w:color="auto"/>
                    <w:right w:val="none" w:sz="0" w:space="0" w:color="auto"/>
                  </w:divBdr>
                  <w:divsChild>
                    <w:div w:id="1286233530">
                      <w:marLeft w:val="0"/>
                      <w:marRight w:val="0"/>
                      <w:marTop w:val="0"/>
                      <w:marBottom w:val="0"/>
                      <w:divBdr>
                        <w:top w:val="none" w:sz="0" w:space="0" w:color="auto"/>
                        <w:left w:val="none" w:sz="0" w:space="0" w:color="auto"/>
                        <w:bottom w:val="none" w:sz="0" w:space="0" w:color="auto"/>
                        <w:right w:val="none" w:sz="0" w:space="0" w:color="auto"/>
                      </w:divBdr>
                    </w:div>
                  </w:divsChild>
                </w:div>
                <w:div w:id="2054065">
                  <w:marLeft w:val="0"/>
                  <w:marRight w:val="0"/>
                  <w:marTop w:val="0"/>
                  <w:marBottom w:val="0"/>
                  <w:divBdr>
                    <w:top w:val="none" w:sz="0" w:space="0" w:color="auto"/>
                    <w:left w:val="none" w:sz="0" w:space="0" w:color="auto"/>
                    <w:bottom w:val="none" w:sz="0" w:space="0" w:color="auto"/>
                    <w:right w:val="none" w:sz="0" w:space="0" w:color="auto"/>
                  </w:divBdr>
                  <w:divsChild>
                    <w:div w:id="1559971905">
                      <w:marLeft w:val="0"/>
                      <w:marRight w:val="0"/>
                      <w:marTop w:val="0"/>
                      <w:marBottom w:val="0"/>
                      <w:divBdr>
                        <w:top w:val="none" w:sz="0" w:space="0" w:color="auto"/>
                        <w:left w:val="none" w:sz="0" w:space="0" w:color="auto"/>
                        <w:bottom w:val="none" w:sz="0" w:space="0" w:color="auto"/>
                        <w:right w:val="none" w:sz="0" w:space="0" w:color="auto"/>
                      </w:divBdr>
                    </w:div>
                  </w:divsChild>
                </w:div>
                <w:div w:id="1015231469">
                  <w:marLeft w:val="0"/>
                  <w:marRight w:val="0"/>
                  <w:marTop w:val="0"/>
                  <w:marBottom w:val="0"/>
                  <w:divBdr>
                    <w:top w:val="none" w:sz="0" w:space="0" w:color="auto"/>
                    <w:left w:val="none" w:sz="0" w:space="0" w:color="auto"/>
                    <w:bottom w:val="none" w:sz="0" w:space="0" w:color="auto"/>
                    <w:right w:val="none" w:sz="0" w:space="0" w:color="auto"/>
                  </w:divBdr>
                  <w:divsChild>
                    <w:div w:id="996031247">
                      <w:marLeft w:val="0"/>
                      <w:marRight w:val="0"/>
                      <w:marTop w:val="0"/>
                      <w:marBottom w:val="0"/>
                      <w:divBdr>
                        <w:top w:val="none" w:sz="0" w:space="0" w:color="auto"/>
                        <w:left w:val="none" w:sz="0" w:space="0" w:color="auto"/>
                        <w:bottom w:val="none" w:sz="0" w:space="0" w:color="auto"/>
                        <w:right w:val="none" w:sz="0" w:space="0" w:color="auto"/>
                      </w:divBdr>
                    </w:div>
                  </w:divsChild>
                </w:div>
                <w:div w:id="392510777">
                  <w:marLeft w:val="0"/>
                  <w:marRight w:val="0"/>
                  <w:marTop w:val="0"/>
                  <w:marBottom w:val="0"/>
                  <w:divBdr>
                    <w:top w:val="none" w:sz="0" w:space="0" w:color="auto"/>
                    <w:left w:val="none" w:sz="0" w:space="0" w:color="auto"/>
                    <w:bottom w:val="none" w:sz="0" w:space="0" w:color="auto"/>
                    <w:right w:val="none" w:sz="0" w:space="0" w:color="auto"/>
                  </w:divBdr>
                  <w:divsChild>
                    <w:div w:id="382490677">
                      <w:marLeft w:val="0"/>
                      <w:marRight w:val="0"/>
                      <w:marTop w:val="0"/>
                      <w:marBottom w:val="0"/>
                      <w:divBdr>
                        <w:top w:val="none" w:sz="0" w:space="0" w:color="auto"/>
                        <w:left w:val="none" w:sz="0" w:space="0" w:color="auto"/>
                        <w:bottom w:val="none" w:sz="0" w:space="0" w:color="auto"/>
                        <w:right w:val="none" w:sz="0" w:space="0" w:color="auto"/>
                      </w:divBdr>
                    </w:div>
                  </w:divsChild>
                </w:div>
                <w:div w:id="391973182">
                  <w:marLeft w:val="0"/>
                  <w:marRight w:val="0"/>
                  <w:marTop w:val="0"/>
                  <w:marBottom w:val="0"/>
                  <w:divBdr>
                    <w:top w:val="none" w:sz="0" w:space="0" w:color="auto"/>
                    <w:left w:val="none" w:sz="0" w:space="0" w:color="auto"/>
                    <w:bottom w:val="none" w:sz="0" w:space="0" w:color="auto"/>
                    <w:right w:val="none" w:sz="0" w:space="0" w:color="auto"/>
                  </w:divBdr>
                  <w:divsChild>
                    <w:div w:id="1020401639">
                      <w:marLeft w:val="0"/>
                      <w:marRight w:val="0"/>
                      <w:marTop w:val="0"/>
                      <w:marBottom w:val="0"/>
                      <w:divBdr>
                        <w:top w:val="none" w:sz="0" w:space="0" w:color="auto"/>
                        <w:left w:val="none" w:sz="0" w:space="0" w:color="auto"/>
                        <w:bottom w:val="none" w:sz="0" w:space="0" w:color="auto"/>
                        <w:right w:val="none" w:sz="0" w:space="0" w:color="auto"/>
                      </w:divBdr>
                    </w:div>
                  </w:divsChild>
                </w:div>
                <w:div w:id="130027047">
                  <w:marLeft w:val="0"/>
                  <w:marRight w:val="0"/>
                  <w:marTop w:val="0"/>
                  <w:marBottom w:val="0"/>
                  <w:divBdr>
                    <w:top w:val="none" w:sz="0" w:space="0" w:color="auto"/>
                    <w:left w:val="none" w:sz="0" w:space="0" w:color="auto"/>
                    <w:bottom w:val="none" w:sz="0" w:space="0" w:color="auto"/>
                    <w:right w:val="none" w:sz="0" w:space="0" w:color="auto"/>
                  </w:divBdr>
                  <w:divsChild>
                    <w:div w:id="154416929">
                      <w:marLeft w:val="0"/>
                      <w:marRight w:val="0"/>
                      <w:marTop w:val="0"/>
                      <w:marBottom w:val="0"/>
                      <w:divBdr>
                        <w:top w:val="none" w:sz="0" w:space="0" w:color="auto"/>
                        <w:left w:val="none" w:sz="0" w:space="0" w:color="auto"/>
                        <w:bottom w:val="none" w:sz="0" w:space="0" w:color="auto"/>
                        <w:right w:val="none" w:sz="0" w:space="0" w:color="auto"/>
                      </w:divBdr>
                    </w:div>
                  </w:divsChild>
                </w:div>
                <w:div w:id="784425109">
                  <w:marLeft w:val="0"/>
                  <w:marRight w:val="0"/>
                  <w:marTop w:val="0"/>
                  <w:marBottom w:val="0"/>
                  <w:divBdr>
                    <w:top w:val="none" w:sz="0" w:space="0" w:color="auto"/>
                    <w:left w:val="none" w:sz="0" w:space="0" w:color="auto"/>
                    <w:bottom w:val="none" w:sz="0" w:space="0" w:color="auto"/>
                    <w:right w:val="none" w:sz="0" w:space="0" w:color="auto"/>
                  </w:divBdr>
                  <w:divsChild>
                    <w:div w:id="1845824681">
                      <w:marLeft w:val="0"/>
                      <w:marRight w:val="0"/>
                      <w:marTop w:val="0"/>
                      <w:marBottom w:val="0"/>
                      <w:divBdr>
                        <w:top w:val="none" w:sz="0" w:space="0" w:color="auto"/>
                        <w:left w:val="none" w:sz="0" w:space="0" w:color="auto"/>
                        <w:bottom w:val="none" w:sz="0" w:space="0" w:color="auto"/>
                        <w:right w:val="none" w:sz="0" w:space="0" w:color="auto"/>
                      </w:divBdr>
                    </w:div>
                  </w:divsChild>
                </w:div>
                <w:div w:id="485822699">
                  <w:marLeft w:val="0"/>
                  <w:marRight w:val="0"/>
                  <w:marTop w:val="0"/>
                  <w:marBottom w:val="0"/>
                  <w:divBdr>
                    <w:top w:val="none" w:sz="0" w:space="0" w:color="auto"/>
                    <w:left w:val="none" w:sz="0" w:space="0" w:color="auto"/>
                    <w:bottom w:val="none" w:sz="0" w:space="0" w:color="auto"/>
                    <w:right w:val="none" w:sz="0" w:space="0" w:color="auto"/>
                  </w:divBdr>
                  <w:divsChild>
                    <w:div w:id="1714578610">
                      <w:marLeft w:val="0"/>
                      <w:marRight w:val="0"/>
                      <w:marTop w:val="0"/>
                      <w:marBottom w:val="0"/>
                      <w:divBdr>
                        <w:top w:val="none" w:sz="0" w:space="0" w:color="auto"/>
                        <w:left w:val="none" w:sz="0" w:space="0" w:color="auto"/>
                        <w:bottom w:val="none" w:sz="0" w:space="0" w:color="auto"/>
                        <w:right w:val="none" w:sz="0" w:space="0" w:color="auto"/>
                      </w:divBdr>
                    </w:div>
                  </w:divsChild>
                </w:div>
                <w:div w:id="600379991">
                  <w:marLeft w:val="0"/>
                  <w:marRight w:val="0"/>
                  <w:marTop w:val="0"/>
                  <w:marBottom w:val="0"/>
                  <w:divBdr>
                    <w:top w:val="none" w:sz="0" w:space="0" w:color="auto"/>
                    <w:left w:val="none" w:sz="0" w:space="0" w:color="auto"/>
                    <w:bottom w:val="none" w:sz="0" w:space="0" w:color="auto"/>
                    <w:right w:val="none" w:sz="0" w:space="0" w:color="auto"/>
                  </w:divBdr>
                  <w:divsChild>
                    <w:div w:id="189882819">
                      <w:marLeft w:val="0"/>
                      <w:marRight w:val="0"/>
                      <w:marTop w:val="0"/>
                      <w:marBottom w:val="0"/>
                      <w:divBdr>
                        <w:top w:val="none" w:sz="0" w:space="0" w:color="auto"/>
                        <w:left w:val="none" w:sz="0" w:space="0" w:color="auto"/>
                        <w:bottom w:val="none" w:sz="0" w:space="0" w:color="auto"/>
                        <w:right w:val="none" w:sz="0" w:space="0" w:color="auto"/>
                      </w:divBdr>
                    </w:div>
                  </w:divsChild>
                </w:div>
                <w:div w:id="972977761">
                  <w:marLeft w:val="0"/>
                  <w:marRight w:val="0"/>
                  <w:marTop w:val="0"/>
                  <w:marBottom w:val="0"/>
                  <w:divBdr>
                    <w:top w:val="none" w:sz="0" w:space="0" w:color="auto"/>
                    <w:left w:val="none" w:sz="0" w:space="0" w:color="auto"/>
                    <w:bottom w:val="none" w:sz="0" w:space="0" w:color="auto"/>
                    <w:right w:val="none" w:sz="0" w:space="0" w:color="auto"/>
                  </w:divBdr>
                  <w:divsChild>
                    <w:div w:id="445972828">
                      <w:marLeft w:val="0"/>
                      <w:marRight w:val="0"/>
                      <w:marTop w:val="0"/>
                      <w:marBottom w:val="0"/>
                      <w:divBdr>
                        <w:top w:val="none" w:sz="0" w:space="0" w:color="auto"/>
                        <w:left w:val="none" w:sz="0" w:space="0" w:color="auto"/>
                        <w:bottom w:val="none" w:sz="0" w:space="0" w:color="auto"/>
                        <w:right w:val="none" w:sz="0" w:space="0" w:color="auto"/>
                      </w:divBdr>
                    </w:div>
                  </w:divsChild>
                </w:div>
                <w:div w:id="996109893">
                  <w:marLeft w:val="0"/>
                  <w:marRight w:val="0"/>
                  <w:marTop w:val="0"/>
                  <w:marBottom w:val="0"/>
                  <w:divBdr>
                    <w:top w:val="none" w:sz="0" w:space="0" w:color="auto"/>
                    <w:left w:val="none" w:sz="0" w:space="0" w:color="auto"/>
                    <w:bottom w:val="none" w:sz="0" w:space="0" w:color="auto"/>
                    <w:right w:val="none" w:sz="0" w:space="0" w:color="auto"/>
                  </w:divBdr>
                  <w:divsChild>
                    <w:div w:id="296843601">
                      <w:marLeft w:val="0"/>
                      <w:marRight w:val="0"/>
                      <w:marTop w:val="0"/>
                      <w:marBottom w:val="0"/>
                      <w:divBdr>
                        <w:top w:val="none" w:sz="0" w:space="0" w:color="auto"/>
                        <w:left w:val="none" w:sz="0" w:space="0" w:color="auto"/>
                        <w:bottom w:val="none" w:sz="0" w:space="0" w:color="auto"/>
                        <w:right w:val="none" w:sz="0" w:space="0" w:color="auto"/>
                      </w:divBdr>
                    </w:div>
                  </w:divsChild>
                </w:div>
                <w:div w:id="1864636995">
                  <w:marLeft w:val="0"/>
                  <w:marRight w:val="0"/>
                  <w:marTop w:val="0"/>
                  <w:marBottom w:val="0"/>
                  <w:divBdr>
                    <w:top w:val="none" w:sz="0" w:space="0" w:color="auto"/>
                    <w:left w:val="none" w:sz="0" w:space="0" w:color="auto"/>
                    <w:bottom w:val="none" w:sz="0" w:space="0" w:color="auto"/>
                    <w:right w:val="none" w:sz="0" w:space="0" w:color="auto"/>
                  </w:divBdr>
                  <w:divsChild>
                    <w:div w:id="1885436569">
                      <w:marLeft w:val="0"/>
                      <w:marRight w:val="0"/>
                      <w:marTop w:val="0"/>
                      <w:marBottom w:val="0"/>
                      <w:divBdr>
                        <w:top w:val="none" w:sz="0" w:space="0" w:color="auto"/>
                        <w:left w:val="none" w:sz="0" w:space="0" w:color="auto"/>
                        <w:bottom w:val="none" w:sz="0" w:space="0" w:color="auto"/>
                        <w:right w:val="none" w:sz="0" w:space="0" w:color="auto"/>
                      </w:divBdr>
                    </w:div>
                  </w:divsChild>
                </w:div>
                <w:div w:id="1398749790">
                  <w:marLeft w:val="0"/>
                  <w:marRight w:val="0"/>
                  <w:marTop w:val="0"/>
                  <w:marBottom w:val="0"/>
                  <w:divBdr>
                    <w:top w:val="none" w:sz="0" w:space="0" w:color="auto"/>
                    <w:left w:val="none" w:sz="0" w:space="0" w:color="auto"/>
                    <w:bottom w:val="none" w:sz="0" w:space="0" w:color="auto"/>
                    <w:right w:val="none" w:sz="0" w:space="0" w:color="auto"/>
                  </w:divBdr>
                  <w:divsChild>
                    <w:div w:id="304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5848">
          <w:marLeft w:val="0"/>
          <w:marRight w:val="0"/>
          <w:marTop w:val="0"/>
          <w:marBottom w:val="0"/>
          <w:divBdr>
            <w:top w:val="none" w:sz="0" w:space="0" w:color="auto"/>
            <w:left w:val="none" w:sz="0" w:space="0" w:color="auto"/>
            <w:bottom w:val="none" w:sz="0" w:space="0" w:color="auto"/>
            <w:right w:val="none" w:sz="0" w:space="0" w:color="auto"/>
          </w:divBdr>
        </w:div>
        <w:div w:id="1547988591">
          <w:marLeft w:val="0"/>
          <w:marRight w:val="0"/>
          <w:marTop w:val="0"/>
          <w:marBottom w:val="0"/>
          <w:divBdr>
            <w:top w:val="none" w:sz="0" w:space="0" w:color="auto"/>
            <w:left w:val="none" w:sz="0" w:space="0" w:color="auto"/>
            <w:bottom w:val="none" w:sz="0" w:space="0" w:color="auto"/>
            <w:right w:val="none" w:sz="0" w:space="0" w:color="auto"/>
          </w:divBdr>
        </w:div>
        <w:div w:id="1086262970">
          <w:marLeft w:val="0"/>
          <w:marRight w:val="0"/>
          <w:marTop w:val="0"/>
          <w:marBottom w:val="0"/>
          <w:divBdr>
            <w:top w:val="none" w:sz="0" w:space="0" w:color="auto"/>
            <w:left w:val="none" w:sz="0" w:space="0" w:color="auto"/>
            <w:bottom w:val="none" w:sz="0" w:space="0" w:color="auto"/>
            <w:right w:val="none" w:sz="0" w:space="0" w:color="auto"/>
          </w:divBdr>
        </w:div>
        <w:div w:id="1939560877">
          <w:marLeft w:val="0"/>
          <w:marRight w:val="0"/>
          <w:marTop w:val="0"/>
          <w:marBottom w:val="0"/>
          <w:divBdr>
            <w:top w:val="none" w:sz="0" w:space="0" w:color="auto"/>
            <w:left w:val="none" w:sz="0" w:space="0" w:color="auto"/>
            <w:bottom w:val="none" w:sz="0" w:space="0" w:color="auto"/>
            <w:right w:val="none" w:sz="0" w:space="0" w:color="auto"/>
          </w:divBdr>
        </w:div>
        <w:div w:id="1991210477">
          <w:marLeft w:val="0"/>
          <w:marRight w:val="0"/>
          <w:marTop w:val="0"/>
          <w:marBottom w:val="0"/>
          <w:divBdr>
            <w:top w:val="none" w:sz="0" w:space="0" w:color="auto"/>
            <w:left w:val="none" w:sz="0" w:space="0" w:color="auto"/>
            <w:bottom w:val="none" w:sz="0" w:space="0" w:color="auto"/>
            <w:right w:val="none" w:sz="0" w:space="0" w:color="auto"/>
          </w:divBdr>
        </w:div>
        <w:div w:id="564994434">
          <w:marLeft w:val="0"/>
          <w:marRight w:val="0"/>
          <w:marTop w:val="0"/>
          <w:marBottom w:val="0"/>
          <w:divBdr>
            <w:top w:val="none" w:sz="0" w:space="0" w:color="auto"/>
            <w:left w:val="none" w:sz="0" w:space="0" w:color="auto"/>
            <w:bottom w:val="none" w:sz="0" w:space="0" w:color="auto"/>
            <w:right w:val="none" w:sz="0" w:space="0" w:color="auto"/>
          </w:divBdr>
        </w:div>
        <w:div w:id="298845792">
          <w:marLeft w:val="0"/>
          <w:marRight w:val="0"/>
          <w:marTop w:val="0"/>
          <w:marBottom w:val="0"/>
          <w:divBdr>
            <w:top w:val="none" w:sz="0" w:space="0" w:color="auto"/>
            <w:left w:val="none" w:sz="0" w:space="0" w:color="auto"/>
            <w:bottom w:val="none" w:sz="0" w:space="0" w:color="auto"/>
            <w:right w:val="none" w:sz="0" w:space="0" w:color="auto"/>
          </w:divBdr>
        </w:div>
        <w:div w:id="506527790">
          <w:marLeft w:val="0"/>
          <w:marRight w:val="0"/>
          <w:marTop w:val="0"/>
          <w:marBottom w:val="0"/>
          <w:divBdr>
            <w:top w:val="none" w:sz="0" w:space="0" w:color="auto"/>
            <w:left w:val="none" w:sz="0" w:space="0" w:color="auto"/>
            <w:bottom w:val="none" w:sz="0" w:space="0" w:color="auto"/>
            <w:right w:val="none" w:sz="0" w:space="0" w:color="auto"/>
          </w:divBdr>
        </w:div>
        <w:div w:id="2026319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ub/economic-bulletin/focus/2023/html/ecb.ebbox202304_03~705befadac.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tolivieribattestini\Downloads\1810000501-sanssymbole.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r>
              <a:rPr lang="fr-FR" sz="1100" b="1">
                <a:latin typeface="Segoe UI" panose="020B0502040204020203" pitchFamily="34" charset="0"/>
                <a:cs typeface="Segoe UI" panose="020B0502040204020203" pitchFamily="34" charset="0"/>
              </a:rPr>
              <a:t>Evolution</a:t>
            </a:r>
            <a:r>
              <a:rPr lang="fr-FR" sz="1100" b="1" baseline="0">
                <a:latin typeface="Segoe UI" panose="020B0502040204020203" pitchFamily="34" charset="0"/>
                <a:cs typeface="Segoe UI" panose="020B0502040204020203" pitchFamily="34" charset="0"/>
              </a:rPr>
              <a:t> de l'i</a:t>
            </a:r>
            <a:r>
              <a:rPr lang="fr-FR" sz="1100" b="1">
                <a:latin typeface="Segoe UI" panose="020B0502040204020203" pitchFamily="34" charset="0"/>
                <a:cs typeface="Segoe UI" panose="020B0502040204020203" pitchFamily="34" charset="0"/>
              </a:rPr>
              <a:t>nflation</a:t>
            </a:r>
            <a:r>
              <a:rPr lang="fr-FR" sz="1100" b="1" baseline="0">
                <a:latin typeface="Segoe UI" panose="020B0502040204020203" pitchFamily="34" charset="0"/>
                <a:cs typeface="Segoe UI" panose="020B0502040204020203" pitchFamily="34" charset="0"/>
              </a:rPr>
              <a:t> globale et de l'inflation alimentaire annuelle sur les dix dernières années</a:t>
            </a:r>
            <a:endParaRPr lang="fr-FR" sz="1100" b="1">
              <a:latin typeface="Segoe UI" panose="020B0502040204020203" pitchFamily="34" charset="0"/>
              <a:cs typeface="Segoe UI" panose="020B0502040204020203"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title>
    <c:autoTitleDeleted val="0"/>
    <c:plotArea>
      <c:layout/>
      <c:barChart>
        <c:barDir val="col"/>
        <c:grouping val="clustered"/>
        <c:varyColors val="0"/>
        <c:ser>
          <c:idx val="0"/>
          <c:order val="0"/>
          <c:tx>
            <c:strRef>
              <c:f>Feuil1!$B$21</c:f>
              <c:strCache>
                <c:ptCount val="1"/>
                <c:pt idx="0">
                  <c:v>Inflation globale</c:v>
                </c:pt>
              </c:strCache>
            </c:strRef>
          </c:tx>
          <c:spPr>
            <a:solidFill>
              <a:schemeClr val="accent1">
                <a:lumMod val="50000"/>
              </a:schemeClr>
            </a:solidFill>
            <a:ln>
              <a:noFill/>
            </a:ln>
            <a:effectLst/>
          </c:spPr>
          <c:invertIfNegative val="0"/>
          <c:cat>
            <c:numRef>
              <c:f>Feuil1!$A$22:$A$32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Feuil1!$B$22:$B$32</c:f>
              <c:numCache>
                <c:formatCode>0.0%</c:formatCode>
                <c:ptCount val="11"/>
                <c:pt idx="0">
                  <c:v>9.0386195562859317E-3</c:v>
                </c:pt>
                <c:pt idx="1">
                  <c:v>1.9543973941368087E-2</c:v>
                </c:pt>
                <c:pt idx="2">
                  <c:v>1.1182108626198062E-2</c:v>
                </c:pt>
                <c:pt idx="3">
                  <c:v>1.4218009478673022E-2</c:v>
                </c:pt>
                <c:pt idx="4">
                  <c:v>1.5576323987538832E-2</c:v>
                </c:pt>
                <c:pt idx="5">
                  <c:v>2.3006134969325132E-2</c:v>
                </c:pt>
                <c:pt idx="6">
                  <c:v>1.9490254872563728E-2</c:v>
                </c:pt>
                <c:pt idx="7">
                  <c:v>7.3529411764705621E-3</c:v>
                </c:pt>
                <c:pt idx="8">
                  <c:v>3.3576642335766405E-2</c:v>
                </c:pt>
                <c:pt idx="9">
                  <c:v>6.7796610169491567E-2</c:v>
                </c:pt>
                <c:pt idx="10">
                  <c:v>3.9021164021163957E-2</c:v>
                </c:pt>
              </c:numCache>
            </c:numRef>
          </c:val>
          <c:extLst>
            <c:ext xmlns:c16="http://schemas.microsoft.com/office/drawing/2014/chart" uri="{C3380CC4-5D6E-409C-BE32-E72D297353CC}">
              <c16:uniqueId val="{00000000-F908-4D1D-AA4B-39F01E3AD01C}"/>
            </c:ext>
          </c:extLst>
        </c:ser>
        <c:ser>
          <c:idx val="1"/>
          <c:order val="1"/>
          <c:tx>
            <c:strRef>
              <c:f>Feuil1!$C$21</c:f>
              <c:strCache>
                <c:ptCount val="1"/>
                <c:pt idx="0">
                  <c:v>Inflation alimentaire</c:v>
                </c:pt>
              </c:strCache>
            </c:strRef>
          </c:tx>
          <c:spPr>
            <a:solidFill>
              <a:schemeClr val="accent4"/>
            </a:solidFill>
            <a:ln>
              <a:noFill/>
            </a:ln>
            <a:effectLst/>
          </c:spPr>
          <c:invertIfNegative val="0"/>
          <c:cat>
            <c:numRef>
              <c:f>Feuil1!$A$22:$A$32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Feuil1!$C$22:$C$32</c:f>
              <c:numCache>
                <c:formatCode>0.0%</c:formatCode>
                <c:ptCount val="11"/>
                <c:pt idx="0">
                  <c:v>1.2232415902140525E-2</c:v>
                </c:pt>
                <c:pt idx="1">
                  <c:v>2.3413897280966767E-2</c:v>
                </c:pt>
                <c:pt idx="2">
                  <c:v>3.6900369003689981E-2</c:v>
                </c:pt>
                <c:pt idx="3">
                  <c:v>1.4946619217081736E-2</c:v>
                </c:pt>
                <c:pt idx="4">
                  <c:v>7.0126227208966441E-4</c:v>
                </c:pt>
                <c:pt idx="5">
                  <c:v>1.822004204625105E-2</c:v>
                </c:pt>
                <c:pt idx="6">
                  <c:v>3.3723331039229087E-2</c:v>
                </c:pt>
                <c:pt idx="7">
                  <c:v>2.3302263648468768E-2</c:v>
                </c:pt>
                <c:pt idx="8">
                  <c:v>2.4723487312947379E-2</c:v>
                </c:pt>
                <c:pt idx="9">
                  <c:v>8.8888888888888795E-2</c:v>
                </c:pt>
                <c:pt idx="10">
                  <c:v>7.4635568513119699E-2</c:v>
                </c:pt>
              </c:numCache>
            </c:numRef>
          </c:val>
          <c:extLst>
            <c:ext xmlns:c16="http://schemas.microsoft.com/office/drawing/2014/chart" uri="{C3380CC4-5D6E-409C-BE32-E72D297353CC}">
              <c16:uniqueId val="{00000001-F908-4D1D-AA4B-39F01E3AD01C}"/>
            </c:ext>
          </c:extLst>
        </c:ser>
        <c:dLbls>
          <c:showLegendKey val="0"/>
          <c:showVal val="0"/>
          <c:showCatName val="0"/>
          <c:showSerName val="0"/>
          <c:showPercent val="0"/>
          <c:showBubbleSize val="0"/>
        </c:dLbls>
        <c:gapWidth val="219"/>
        <c:overlap val="-27"/>
        <c:axId val="1924439071"/>
        <c:axId val="1924438239"/>
      </c:barChart>
      <c:catAx>
        <c:axId val="1924439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24438239"/>
        <c:crosses val="autoZero"/>
        <c:auto val="1"/>
        <c:lblAlgn val="ctr"/>
        <c:lblOffset val="100"/>
        <c:noMultiLvlLbl val="0"/>
      </c:catAx>
      <c:valAx>
        <c:axId val="1924438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24439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accent5"/>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0AF66281ED04F889F33DC2B9A2971" ma:contentTypeVersion="1" ma:contentTypeDescription="Crée un document." ma:contentTypeScope="" ma:versionID="bd0c8bbc0a66310ddbeeb24206e8cd55">
  <xsd:schema xmlns:xsd="http://www.w3.org/2001/XMLSchema" xmlns:xs="http://www.w3.org/2001/XMLSchema" xmlns:p="http://schemas.microsoft.com/office/2006/metadata/properties" xmlns:ns2="bfe99318-635b-4cf1-833a-fa7152d6ad6c" targetNamespace="http://schemas.microsoft.com/office/2006/metadata/properties" ma:root="true" ma:fieldsID="1dbdbe2809fdffdd0c375b6fbfee89e2" ns2:_="">
    <xsd:import namespace="bfe99318-635b-4cf1-833a-fa7152d6ad6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99318-635b-4cf1-833a-fa7152d6ad6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818F2-E324-425D-BB8A-80A3A95D8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99318-635b-4cf1-833a-fa7152d6a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61B58-6620-4284-B14C-967598E12E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9B3851-F8AF-411E-8691-DFEC0C96F929}">
  <ds:schemaRefs>
    <ds:schemaRef ds:uri="http://schemas.openxmlformats.org/officeDocument/2006/bibliography"/>
  </ds:schemaRefs>
</ds:datastoreItem>
</file>

<file path=customXml/itemProps4.xml><?xml version="1.0" encoding="utf-8"?>
<ds:datastoreItem xmlns:ds="http://schemas.openxmlformats.org/officeDocument/2006/customXml" ds:itemID="{15588E02-07BA-4397-A3CA-312B33868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2334</Words>
  <Characters>12841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BAHUAU Auriane</dc:creator>
  <cp:keywords/>
  <dc:description/>
  <cp:lastModifiedBy>OLIVIERI-BATTESTINI Jean-Toussaint</cp:lastModifiedBy>
  <cp:revision>4</cp:revision>
  <cp:lastPrinted>2024-02-01T16:36:00Z</cp:lastPrinted>
  <dcterms:created xsi:type="dcterms:W3CDTF">2024-03-04T14:56:00Z</dcterms:created>
  <dcterms:modified xsi:type="dcterms:W3CDTF">2024-03-04T15:00:00Z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0x01010016D0AF66281ED04F889F33DC2B9A2971</vt:lpwstr>
  </property>
</Properties>
</file>