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47ED" w14:textId="732164B7" w:rsidR="007A09E1" w:rsidRDefault="007A09E1" w:rsidP="007A09E1">
      <w:pPr>
        <w:pStyle w:val="Titre1"/>
        <w:rPr>
          <w:noProof/>
        </w:rPr>
      </w:pPr>
      <w:bookmarkStart w:id="0" w:name="_Toc211613068"/>
      <w:bookmarkStart w:id="1" w:name="_Toc211870457"/>
      <w:bookmarkStart w:id="2" w:name="_Toc211870858"/>
      <w:bookmarkStart w:id="3" w:name="_Toc212458893"/>
      <w:bookmarkStart w:id="4" w:name="_Toc212627558"/>
      <w:bookmarkStart w:id="5" w:name="_Toc212826046"/>
      <w:bookmarkStart w:id="6" w:name="_Toc213009293"/>
      <w:bookmarkStart w:id="7" w:name="_Toc213150751"/>
      <w:bookmarkStart w:id="8" w:name="_Toc213151306"/>
      <w:bookmarkStart w:id="9" w:name="_Toc213230618"/>
      <w:bookmarkStart w:id="10" w:name="_Toc207812691"/>
      <w:bookmarkStart w:id="11" w:name="_Toc207812814"/>
      <w:bookmarkStart w:id="12" w:name="_Toc211612441"/>
      <w:bookmarkStart w:id="13" w:name="_Toc211612795"/>
      <w:bookmarkStart w:id="14" w:name="_Toc213247006"/>
      <w:bookmarkStart w:id="15" w:name="_Toc213247359"/>
      <w:r w:rsidRPr="004C416F">
        <w:rPr>
          <w:noProof/>
        </w:rPr>
        <w:drawing>
          <wp:anchor distT="0" distB="0" distL="114300" distR="114300" simplePos="0" relativeHeight="251658240" behindDoc="1" locked="0" layoutInCell="1" allowOverlap="1" wp14:anchorId="0DC30D5A" wp14:editId="6321B8AA">
            <wp:simplePos x="0" y="0"/>
            <wp:positionH relativeFrom="page">
              <wp:align>left</wp:align>
            </wp:positionH>
            <wp:positionV relativeFrom="paragraph">
              <wp:posOffset>-902763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4"/>
      <w:bookmarkEnd w:id="15"/>
    </w:p>
    <w:p w14:paraId="6102A0B1" w14:textId="77777777" w:rsidR="007A09E1" w:rsidRDefault="007A09E1" w:rsidP="007A09E1">
      <w:pPr>
        <w:pStyle w:val="Titre1"/>
        <w:rPr>
          <w:noProof/>
        </w:rPr>
      </w:pPr>
    </w:p>
    <w:p w14:paraId="6159D50B" w14:textId="50A20833" w:rsidR="007A09E1" w:rsidRDefault="007A09E1" w:rsidP="007A09E1">
      <w:pPr>
        <w:pStyle w:val="Titre1"/>
      </w:pPr>
    </w:p>
    <w:p w14:paraId="47F98B07" w14:textId="497E1892" w:rsidR="007A09E1" w:rsidRDefault="007A09E1" w:rsidP="007A09E1">
      <w:pPr>
        <w:pStyle w:val="Titre1"/>
        <w:jc w:val="right"/>
      </w:pPr>
      <w:bookmarkStart w:id="16" w:name="_Toc211613069"/>
      <w:bookmarkStart w:id="17" w:name="_Toc211870458"/>
      <w:bookmarkStart w:id="18" w:name="_Toc211870859"/>
      <w:bookmarkStart w:id="19" w:name="_Toc212458894"/>
      <w:bookmarkStart w:id="20" w:name="_Toc212627559"/>
      <w:bookmarkStart w:id="21" w:name="_Toc212826047"/>
      <w:bookmarkStart w:id="22" w:name="_Toc213009294"/>
      <w:bookmarkStart w:id="23" w:name="_Toc213150752"/>
      <w:bookmarkStart w:id="24" w:name="_Toc213151307"/>
      <w:bookmarkStart w:id="25" w:name="_Toc213230619"/>
      <w:bookmarkStart w:id="26" w:name="_Toc213247007"/>
      <w:bookmarkStart w:id="27" w:name="_Toc213247360"/>
      <w:r>
        <w:t>Octobre 2025</w:t>
      </w:r>
      <w:bookmarkEnd w:id="16"/>
      <w:bookmarkEnd w:id="17"/>
      <w:bookmarkEnd w:id="18"/>
      <w:bookmarkEnd w:id="19"/>
      <w:bookmarkEnd w:id="20"/>
      <w:bookmarkEnd w:id="21"/>
      <w:bookmarkEnd w:id="22"/>
      <w:bookmarkEnd w:id="23"/>
      <w:bookmarkEnd w:id="24"/>
      <w:bookmarkEnd w:id="25"/>
      <w:bookmarkEnd w:id="26"/>
      <w:bookmarkEnd w:id="27"/>
    </w:p>
    <w:p w14:paraId="0F1B31AF" w14:textId="77777777" w:rsidR="00A37817" w:rsidRDefault="007A09E1" w:rsidP="007A09E1">
      <w:pPr>
        <w:pStyle w:val="Titre1"/>
        <w:jc w:val="center"/>
        <w:rPr>
          <w:noProof/>
        </w:rPr>
      </w:pPr>
      <w:bookmarkStart w:id="28" w:name="_Toc207887158"/>
      <w:bookmarkStart w:id="29" w:name="_Toc207887316"/>
      <w:bookmarkStart w:id="30" w:name="_Toc211613070"/>
      <w:bookmarkStart w:id="31" w:name="_Toc211870459"/>
      <w:bookmarkStart w:id="32" w:name="_Toc211870860"/>
      <w:bookmarkStart w:id="33" w:name="_Toc212458895"/>
      <w:bookmarkStart w:id="34" w:name="_Toc212627560"/>
      <w:bookmarkStart w:id="35" w:name="_Toc212826048"/>
      <w:bookmarkStart w:id="36" w:name="_Toc213009295"/>
      <w:bookmarkStart w:id="37" w:name="_Toc213150753"/>
      <w:bookmarkStart w:id="38" w:name="_Toc213151308"/>
      <w:bookmarkStart w:id="39" w:name="_Toc213230620"/>
      <w:bookmarkStart w:id="40" w:name="_Toc213247008"/>
      <w:bookmarkStart w:id="41" w:name="_Toc213247361"/>
      <w:bookmarkEnd w:id="10"/>
      <w:bookmarkEnd w:id="11"/>
      <w:bookmarkEnd w:id="12"/>
      <w:bookmarkEnd w:id="28"/>
      <w:bookmarkEnd w:id="29"/>
      <w:r>
        <w:t>Sommaire</w:t>
      </w:r>
      <w:bookmarkEnd w:id="30"/>
      <w:bookmarkEnd w:id="31"/>
      <w:bookmarkEnd w:id="32"/>
      <w:bookmarkEnd w:id="33"/>
      <w:bookmarkEnd w:id="34"/>
      <w:bookmarkEnd w:id="35"/>
      <w:bookmarkEnd w:id="36"/>
      <w:bookmarkEnd w:id="37"/>
      <w:bookmarkEnd w:id="38"/>
      <w:bookmarkEnd w:id="39"/>
      <w:bookmarkEnd w:id="40"/>
      <w:bookmarkEnd w:id="41"/>
      <w:r w:rsidR="00AD70F9">
        <w:fldChar w:fldCharType="begin"/>
      </w:r>
      <w:r w:rsidR="00AD70F9">
        <w:instrText xml:space="preserve"> TOC \o "1-2" \n \h \z \u </w:instrText>
      </w:r>
      <w:r w:rsidR="00AD70F9">
        <w:fldChar w:fldCharType="separate"/>
      </w:r>
    </w:p>
    <w:bookmarkEnd w:id="13"/>
    <w:p w14:paraId="6D135320" w14:textId="0E7B39C8" w:rsidR="00A37817" w:rsidRDefault="00A37817">
      <w:pPr>
        <w:pStyle w:val="TM1"/>
        <w:rPr>
          <w:rFonts w:asciiTheme="minorHAnsi" w:eastAsiaTheme="minorEastAsia" w:hAnsiTheme="minorHAnsi" w:cstheme="minorBidi"/>
          <w:b w:val="0"/>
          <w:color w:val="auto"/>
          <w:sz w:val="22"/>
          <w:szCs w:val="22"/>
          <w:lang w:eastAsia="fr-FR"/>
        </w:rPr>
      </w:pPr>
      <w:r w:rsidRPr="005B57E7">
        <w:rPr>
          <w:rStyle w:val="Lienhypertexte"/>
        </w:rPr>
        <w:fldChar w:fldCharType="begin"/>
      </w:r>
      <w:r w:rsidRPr="005B57E7">
        <w:rPr>
          <w:rStyle w:val="Lienhypertexte"/>
        </w:rPr>
        <w:instrText xml:space="preserve"> </w:instrText>
      </w:r>
      <w:r>
        <w:instrText>HYPERLINK \l "_Toc213247362"</w:instrText>
      </w:r>
      <w:r w:rsidRPr="005B57E7">
        <w:rPr>
          <w:rStyle w:val="Lienhypertexte"/>
        </w:rPr>
        <w:instrText xml:space="preserve"> </w:instrText>
      </w:r>
      <w:r w:rsidRPr="005B57E7">
        <w:rPr>
          <w:rStyle w:val="Lienhypertexte"/>
        </w:rPr>
      </w:r>
      <w:r w:rsidRPr="005B57E7">
        <w:rPr>
          <w:rStyle w:val="Lienhypertexte"/>
        </w:rPr>
        <w:fldChar w:fldCharType="separate"/>
      </w:r>
      <w:r w:rsidRPr="005B57E7">
        <w:rPr>
          <w:rStyle w:val="Lienhypertexte"/>
        </w:rPr>
        <w:t>Région</w:t>
      </w:r>
      <w:r w:rsidRPr="005B57E7">
        <w:rPr>
          <w:rStyle w:val="Lienhypertexte"/>
        </w:rPr>
        <w:fldChar w:fldCharType="end"/>
      </w:r>
    </w:p>
    <w:p w14:paraId="1968E6EB" w14:textId="2C9D6638" w:rsidR="00A37817" w:rsidRDefault="00A37817">
      <w:pPr>
        <w:pStyle w:val="TM2"/>
        <w:rPr>
          <w:rFonts w:asciiTheme="minorHAnsi" w:eastAsiaTheme="minorEastAsia" w:hAnsiTheme="minorHAnsi" w:cstheme="minorBidi"/>
          <w:sz w:val="22"/>
          <w:szCs w:val="22"/>
          <w:lang w:eastAsia="fr-FR"/>
        </w:rPr>
      </w:pPr>
      <w:hyperlink w:anchor="_Toc213247363" w:history="1">
        <w:r w:rsidRPr="005B57E7">
          <w:rPr>
            <w:rStyle w:val="Lienhypertexte"/>
          </w:rPr>
          <w:t>Financement – La Banque africaine de développement (BAD) obtient 7,89 Md FCFA pour soutenir les systèmes alimentaires.</w:t>
        </w:r>
      </w:hyperlink>
    </w:p>
    <w:p w14:paraId="686F7540" w14:textId="6F84E170" w:rsidR="00A37817" w:rsidRDefault="00A37817">
      <w:pPr>
        <w:pStyle w:val="TM2"/>
        <w:rPr>
          <w:rFonts w:asciiTheme="minorHAnsi" w:eastAsiaTheme="minorEastAsia" w:hAnsiTheme="minorHAnsi" w:cstheme="minorBidi"/>
          <w:sz w:val="22"/>
          <w:szCs w:val="22"/>
          <w:lang w:eastAsia="fr-FR"/>
        </w:rPr>
      </w:pPr>
      <w:hyperlink w:anchor="_Toc213247364" w:history="1">
        <w:r w:rsidRPr="005B57E7">
          <w:rPr>
            <w:rStyle w:val="Lienhypertexte"/>
          </w:rPr>
          <w:t>CEDEAO – Un Ivoirien nommé à la tête du Département économique et agricole.</w:t>
        </w:r>
      </w:hyperlink>
    </w:p>
    <w:p w14:paraId="16F1F4B7" w14:textId="65CB2403" w:rsidR="00A37817" w:rsidRDefault="00A37817">
      <w:pPr>
        <w:pStyle w:val="TM2"/>
        <w:rPr>
          <w:rFonts w:asciiTheme="minorHAnsi" w:eastAsiaTheme="minorEastAsia" w:hAnsiTheme="minorHAnsi" w:cstheme="minorBidi"/>
          <w:sz w:val="22"/>
          <w:szCs w:val="22"/>
          <w:lang w:eastAsia="fr-FR"/>
        </w:rPr>
      </w:pPr>
      <w:hyperlink w:anchor="_Toc213247365" w:history="1">
        <w:r w:rsidRPr="005B57E7">
          <w:rPr>
            <w:rStyle w:val="Lienhypertexte"/>
          </w:rPr>
          <w:t>Déforestation – Appel à maintenir l’entrée en vigueur du règlement contre la déforestation et la dégradation des forêts (RDUE) en décembre 2025.</w:t>
        </w:r>
      </w:hyperlink>
    </w:p>
    <w:p w14:paraId="5B45C980" w14:textId="2A96F9AD" w:rsidR="00A37817" w:rsidRDefault="00A37817">
      <w:pPr>
        <w:pStyle w:val="TM2"/>
        <w:rPr>
          <w:rFonts w:asciiTheme="minorHAnsi" w:eastAsiaTheme="minorEastAsia" w:hAnsiTheme="minorHAnsi" w:cstheme="minorBidi"/>
          <w:sz w:val="22"/>
          <w:szCs w:val="22"/>
          <w:lang w:eastAsia="fr-FR"/>
        </w:rPr>
      </w:pPr>
      <w:hyperlink w:anchor="_Toc213247366" w:history="1">
        <w:r w:rsidRPr="005B57E7">
          <w:rPr>
            <w:rStyle w:val="Lienhypertexte"/>
          </w:rPr>
          <w:t>Climat – Les exploitations familiales face au défi de l’adaptation.</w:t>
        </w:r>
      </w:hyperlink>
    </w:p>
    <w:p w14:paraId="1F50161C" w14:textId="66B20419" w:rsidR="00A37817" w:rsidRDefault="00A37817">
      <w:pPr>
        <w:pStyle w:val="TM2"/>
        <w:rPr>
          <w:rFonts w:asciiTheme="minorHAnsi" w:eastAsiaTheme="minorEastAsia" w:hAnsiTheme="minorHAnsi" w:cstheme="minorBidi"/>
          <w:sz w:val="22"/>
          <w:szCs w:val="22"/>
          <w:lang w:eastAsia="fr-FR"/>
        </w:rPr>
      </w:pPr>
      <w:hyperlink w:anchor="_Toc213247367" w:history="1">
        <w:r w:rsidRPr="005B57E7">
          <w:rPr>
            <w:rStyle w:val="Lienhypertexte"/>
          </w:rPr>
          <w:t>Coton – Les pays d’Afrique de l’Ouest doivent diversifier leurs débouchés.</w:t>
        </w:r>
      </w:hyperlink>
    </w:p>
    <w:p w14:paraId="5E6CE525" w14:textId="769F506E" w:rsidR="00A37817" w:rsidRDefault="00A37817">
      <w:pPr>
        <w:pStyle w:val="TM2"/>
        <w:rPr>
          <w:rFonts w:asciiTheme="minorHAnsi" w:eastAsiaTheme="minorEastAsia" w:hAnsiTheme="minorHAnsi" w:cstheme="minorBidi"/>
          <w:sz w:val="22"/>
          <w:szCs w:val="22"/>
          <w:lang w:eastAsia="fr-FR"/>
        </w:rPr>
      </w:pPr>
      <w:hyperlink w:anchor="_Toc213247368" w:history="1">
        <w:r w:rsidRPr="005B57E7">
          <w:rPr>
            <w:rStyle w:val="Lienhypertexte"/>
          </w:rPr>
          <w:t>Coton – 100 000 tonnes de stocks invendus.</w:t>
        </w:r>
      </w:hyperlink>
    </w:p>
    <w:p w14:paraId="129FA665" w14:textId="465CB8BF" w:rsidR="00A37817" w:rsidRDefault="00A37817">
      <w:pPr>
        <w:pStyle w:val="TM2"/>
        <w:rPr>
          <w:rFonts w:asciiTheme="minorHAnsi" w:eastAsiaTheme="minorEastAsia" w:hAnsiTheme="minorHAnsi" w:cstheme="minorBidi"/>
          <w:sz w:val="22"/>
          <w:szCs w:val="22"/>
          <w:lang w:eastAsia="fr-FR"/>
        </w:rPr>
      </w:pPr>
      <w:hyperlink w:anchor="_Toc213247369" w:history="1">
        <w:r w:rsidRPr="005B57E7">
          <w:rPr>
            <w:rStyle w:val="Lienhypertexte"/>
          </w:rPr>
          <w:t>Pêche continentale – Les 5 pays les plus dépendants en 2022.</w:t>
        </w:r>
      </w:hyperlink>
    </w:p>
    <w:p w14:paraId="11BF1E07" w14:textId="1B7ED2B8" w:rsidR="00A37817" w:rsidRDefault="00A37817">
      <w:pPr>
        <w:pStyle w:val="TM2"/>
        <w:rPr>
          <w:rFonts w:asciiTheme="minorHAnsi" w:eastAsiaTheme="minorEastAsia" w:hAnsiTheme="minorHAnsi" w:cstheme="minorBidi"/>
          <w:sz w:val="22"/>
          <w:szCs w:val="22"/>
          <w:lang w:eastAsia="fr-FR"/>
        </w:rPr>
      </w:pPr>
      <w:hyperlink w:anchor="_Toc213247370" w:history="1">
        <w:r w:rsidRPr="005B57E7">
          <w:rPr>
            <w:rStyle w:val="Lienhypertexte"/>
          </w:rPr>
          <w:t>Pastoralisme – Le Projet régional d’appui au pastoralisme au Sahel-Phase 2 (PRAPS-2) renforce la résilience au Sahel.</w:t>
        </w:r>
      </w:hyperlink>
    </w:p>
    <w:p w14:paraId="6BEFA1E5" w14:textId="5B61CCF0" w:rsidR="00A37817" w:rsidRDefault="00A37817">
      <w:pPr>
        <w:pStyle w:val="TM2"/>
        <w:rPr>
          <w:rFonts w:asciiTheme="minorHAnsi" w:eastAsiaTheme="minorEastAsia" w:hAnsiTheme="minorHAnsi" w:cstheme="minorBidi"/>
          <w:sz w:val="22"/>
          <w:szCs w:val="22"/>
          <w:lang w:eastAsia="fr-FR"/>
        </w:rPr>
      </w:pPr>
      <w:hyperlink w:anchor="_Toc213247371" w:history="1">
        <w:r w:rsidRPr="005B57E7">
          <w:rPr>
            <w:rStyle w:val="Lienhypertexte"/>
          </w:rPr>
          <w:t>Porc – Coordination régionale renforcée contre la peste porcine africaine (PPA).</w:t>
        </w:r>
      </w:hyperlink>
    </w:p>
    <w:p w14:paraId="6322C699" w14:textId="65E3CCCB" w:rsidR="00A37817" w:rsidRDefault="00A37817">
      <w:pPr>
        <w:pStyle w:val="TM2"/>
        <w:rPr>
          <w:rFonts w:asciiTheme="minorHAnsi" w:eastAsiaTheme="minorEastAsia" w:hAnsiTheme="minorHAnsi" w:cstheme="minorBidi"/>
          <w:sz w:val="22"/>
          <w:szCs w:val="22"/>
          <w:lang w:eastAsia="fr-FR"/>
        </w:rPr>
      </w:pPr>
      <w:hyperlink w:anchor="_Toc213247372" w:history="1">
        <w:r w:rsidRPr="005B57E7">
          <w:rPr>
            <w:rStyle w:val="Lienhypertexte"/>
          </w:rPr>
          <w:t>Pesticides – Vers une harmonisation régionale en Afrique de l’Ouest.</w:t>
        </w:r>
      </w:hyperlink>
    </w:p>
    <w:p w14:paraId="4829D7E3" w14:textId="4BE6173E" w:rsidR="00A37817" w:rsidRDefault="00A37817">
      <w:pPr>
        <w:pStyle w:val="TM1"/>
        <w:rPr>
          <w:rFonts w:asciiTheme="minorHAnsi" w:eastAsiaTheme="minorEastAsia" w:hAnsiTheme="minorHAnsi" w:cstheme="minorBidi"/>
          <w:b w:val="0"/>
          <w:color w:val="auto"/>
          <w:sz w:val="22"/>
          <w:szCs w:val="22"/>
          <w:lang w:eastAsia="fr-FR"/>
        </w:rPr>
      </w:pPr>
      <w:hyperlink w:anchor="_Toc213247373" w:history="1">
        <w:r w:rsidRPr="005B57E7">
          <w:rPr>
            <w:rStyle w:val="Lienhypertexte"/>
          </w:rPr>
          <w:t>Côte d’Ivoire</w:t>
        </w:r>
      </w:hyperlink>
    </w:p>
    <w:p w14:paraId="084C066C" w14:textId="5E2341CC" w:rsidR="00A37817" w:rsidRDefault="00A37817">
      <w:pPr>
        <w:pStyle w:val="TM2"/>
        <w:rPr>
          <w:rFonts w:asciiTheme="minorHAnsi" w:eastAsiaTheme="minorEastAsia" w:hAnsiTheme="minorHAnsi" w:cstheme="minorBidi"/>
          <w:sz w:val="22"/>
          <w:szCs w:val="22"/>
          <w:lang w:eastAsia="fr-FR"/>
        </w:rPr>
      </w:pPr>
      <w:hyperlink w:anchor="_Toc213247374" w:history="1">
        <w:r w:rsidRPr="005B57E7">
          <w:rPr>
            <w:rStyle w:val="Lienhypertexte"/>
          </w:rPr>
          <w:t>Cacao – Forte correction des prix sur le marché mondial.</w:t>
        </w:r>
      </w:hyperlink>
    </w:p>
    <w:p w14:paraId="679F0060" w14:textId="5CA956C2" w:rsidR="00A37817" w:rsidRDefault="00A37817">
      <w:pPr>
        <w:pStyle w:val="TM2"/>
        <w:rPr>
          <w:rFonts w:asciiTheme="minorHAnsi" w:eastAsiaTheme="minorEastAsia" w:hAnsiTheme="minorHAnsi" w:cstheme="minorBidi"/>
          <w:sz w:val="22"/>
          <w:szCs w:val="22"/>
          <w:lang w:eastAsia="fr-FR"/>
        </w:rPr>
      </w:pPr>
      <w:hyperlink w:anchor="_Toc213247375" w:history="1">
        <w:r w:rsidRPr="005B57E7">
          <w:rPr>
            <w:rStyle w:val="Lienhypertexte"/>
          </w:rPr>
          <w:t>Café-cacao – Prix bord champ record à 2 800 FCFA/kg pour le cacao et à 1 700 FCFA/kg pour le café.</w:t>
        </w:r>
      </w:hyperlink>
    </w:p>
    <w:p w14:paraId="59DE43FB" w14:textId="21FC3508" w:rsidR="00A37817" w:rsidRDefault="00A37817">
      <w:pPr>
        <w:pStyle w:val="TM2"/>
        <w:rPr>
          <w:rFonts w:asciiTheme="minorHAnsi" w:eastAsiaTheme="minorEastAsia" w:hAnsiTheme="minorHAnsi" w:cstheme="minorBidi"/>
          <w:sz w:val="22"/>
          <w:szCs w:val="22"/>
          <w:lang w:eastAsia="fr-FR"/>
        </w:rPr>
      </w:pPr>
      <w:hyperlink w:anchor="_Toc213247376" w:history="1">
        <w:r w:rsidRPr="005B57E7">
          <w:rPr>
            <w:rStyle w:val="Lienhypertexte"/>
          </w:rPr>
          <w:t>Cacao – L’alliance avec le Ghana sous pression.</w:t>
        </w:r>
      </w:hyperlink>
    </w:p>
    <w:p w14:paraId="3EE2DD9C" w14:textId="6DFF5A6D" w:rsidR="00A37817" w:rsidRDefault="00A37817">
      <w:pPr>
        <w:pStyle w:val="TM2"/>
        <w:rPr>
          <w:rFonts w:asciiTheme="minorHAnsi" w:eastAsiaTheme="minorEastAsia" w:hAnsiTheme="minorHAnsi" w:cstheme="minorBidi"/>
          <w:sz w:val="22"/>
          <w:szCs w:val="22"/>
          <w:lang w:eastAsia="fr-FR"/>
        </w:rPr>
      </w:pPr>
      <w:hyperlink w:anchor="_Toc213247377" w:history="1">
        <w:r w:rsidRPr="005B57E7">
          <w:rPr>
            <w:rStyle w:val="Lienhypertexte"/>
          </w:rPr>
          <w:t>Cacao – Coordination entre Abidjan et Accra sur les prix bord champ.</w:t>
        </w:r>
      </w:hyperlink>
    </w:p>
    <w:p w14:paraId="205C72F4" w14:textId="5392CC92" w:rsidR="00A37817" w:rsidRDefault="00A37817">
      <w:pPr>
        <w:pStyle w:val="TM2"/>
        <w:rPr>
          <w:rFonts w:asciiTheme="minorHAnsi" w:eastAsiaTheme="minorEastAsia" w:hAnsiTheme="minorHAnsi" w:cstheme="minorBidi"/>
          <w:sz w:val="22"/>
          <w:szCs w:val="22"/>
          <w:lang w:eastAsia="fr-FR"/>
        </w:rPr>
      </w:pPr>
      <w:hyperlink w:anchor="_Toc213247378" w:history="1">
        <w:r w:rsidRPr="005B57E7">
          <w:rPr>
            <w:rStyle w:val="Lienhypertexte"/>
          </w:rPr>
          <w:t>Cacao – Un système de commercialisation qui n’est pas profitable aux producteurs.</w:t>
        </w:r>
      </w:hyperlink>
    </w:p>
    <w:p w14:paraId="15B2C6D8" w14:textId="5220BD95" w:rsidR="00A37817" w:rsidRDefault="00A37817">
      <w:pPr>
        <w:pStyle w:val="TM2"/>
        <w:rPr>
          <w:rFonts w:asciiTheme="minorHAnsi" w:eastAsiaTheme="minorEastAsia" w:hAnsiTheme="minorHAnsi" w:cstheme="minorBidi"/>
          <w:sz w:val="22"/>
          <w:szCs w:val="22"/>
          <w:lang w:eastAsia="fr-FR"/>
        </w:rPr>
      </w:pPr>
      <w:hyperlink w:anchor="_Toc213247379" w:history="1">
        <w:r w:rsidRPr="005B57E7">
          <w:rPr>
            <w:rStyle w:val="Lienhypertexte"/>
          </w:rPr>
          <w:t>Cacao – 40% des fèves tracé en 2024/2025.</w:t>
        </w:r>
      </w:hyperlink>
    </w:p>
    <w:p w14:paraId="06831BE6" w14:textId="58E20567" w:rsidR="00A37817" w:rsidRDefault="00A37817">
      <w:pPr>
        <w:pStyle w:val="TM2"/>
        <w:rPr>
          <w:rFonts w:asciiTheme="minorHAnsi" w:eastAsiaTheme="minorEastAsia" w:hAnsiTheme="minorHAnsi" w:cstheme="minorBidi"/>
          <w:sz w:val="22"/>
          <w:szCs w:val="22"/>
          <w:lang w:eastAsia="fr-FR"/>
        </w:rPr>
      </w:pPr>
      <w:hyperlink w:anchor="_Toc213247380" w:history="1">
        <w:r w:rsidRPr="005B57E7">
          <w:rPr>
            <w:rStyle w:val="Lienhypertexte"/>
          </w:rPr>
          <w:t>Cacao – Intrants gratuits et semences améliorées.</w:t>
        </w:r>
      </w:hyperlink>
    </w:p>
    <w:p w14:paraId="6ED1E858" w14:textId="0D1FFC33" w:rsidR="00A37817" w:rsidRDefault="00A37817">
      <w:pPr>
        <w:pStyle w:val="TM2"/>
        <w:rPr>
          <w:rFonts w:asciiTheme="minorHAnsi" w:eastAsiaTheme="minorEastAsia" w:hAnsiTheme="minorHAnsi" w:cstheme="minorBidi"/>
          <w:sz w:val="22"/>
          <w:szCs w:val="22"/>
          <w:lang w:eastAsia="fr-FR"/>
        </w:rPr>
      </w:pPr>
      <w:hyperlink w:anchor="_Toc213247381" w:history="1">
        <w:r w:rsidRPr="005B57E7">
          <w:rPr>
            <w:rStyle w:val="Lienhypertexte"/>
          </w:rPr>
          <w:t>Cacao – Déclin historique dans la région du N’Zi.</w:t>
        </w:r>
      </w:hyperlink>
    </w:p>
    <w:p w14:paraId="05CB751A" w14:textId="651452C2" w:rsidR="00A37817" w:rsidRDefault="00A37817">
      <w:pPr>
        <w:pStyle w:val="TM2"/>
        <w:rPr>
          <w:rFonts w:asciiTheme="minorHAnsi" w:eastAsiaTheme="minorEastAsia" w:hAnsiTheme="minorHAnsi" w:cstheme="minorBidi"/>
          <w:sz w:val="22"/>
          <w:szCs w:val="22"/>
          <w:lang w:eastAsia="fr-FR"/>
        </w:rPr>
      </w:pPr>
      <w:hyperlink w:anchor="_Toc213247382" w:history="1">
        <w:r w:rsidRPr="005B57E7">
          <w:rPr>
            <w:rStyle w:val="Lienhypertexte"/>
          </w:rPr>
          <w:t>Café-cacao – Société Générale Côte d’Ivoire renforce son appui à la filière.</w:t>
        </w:r>
      </w:hyperlink>
    </w:p>
    <w:p w14:paraId="6958271B" w14:textId="41272D13" w:rsidR="00A37817" w:rsidRDefault="00A37817">
      <w:pPr>
        <w:pStyle w:val="TM2"/>
        <w:rPr>
          <w:rFonts w:asciiTheme="minorHAnsi" w:eastAsiaTheme="minorEastAsia" w:hAnsiTheme="minorHAnsi" w:cstheme="minorBidi"/>
          <w:sz w:val="22"/>
          <w:szCs w:val="22"/>
          <w:lang w:eastAsia="fr-FR"/>
        </w:rPr>
      </w:pPr>
      <w:hyperlink w:anchor="_Toc213247383" w:history="1">
        <w:r w:rsidRPr="005B57E7">
          <w:rPr>
            <w:rStyle w:val="Lienhypertexte"/>
          </w:rPr>
          <w:t>Cacao – Mars obtient une licence d’utilisation des outils de Courtes répétitions palindromiques groupées et régulièrement espacées (CRISPR) pour des cacaoyers OGM.</w:t>
        </w:r>
      </w:hyperlink>
    </w:p>
    <w:p w14:paraId="75E12DA4" w14:textId="6D9A2ECB" w:rsidR="00A37817" w:rsidRDefault="00A37817">
      <w:pPr>
        <w:pStyle w:val="TM2"/>
        <w:rPr>
          <w:rFonts w:asciiTheme="minorHAnsi" w:eastAsiaTheme="minorEastAsia" w:hAnsiTheme="minorHAnsi" w:cstheme="minorBidi"/>
          <w:sz w:val="22"/>
          <w:szCs w:val="22"/>
          <w:lang w:eastAsia="fr-FR"/>
        </w:rPr>
      </w:pPr>
      <w:hyperlink w:anchor="_Toc213247384" w:history="1">
        <w:r w:rsidRPr="005B57E7">
          <w:rPr>
            <w:rStyle w:val="Lienhypertexte"/>
          </w:rPr>
          <w:t>Café – Ratification du le nouvel accord de l’Organisation inter-africaine du café.</w:t>
        </w:r>
      </w:hyperlink>
    </w:p>
    <w:p w14:paraId="5AA0EFED" w14:textId="1DD21090" w:rsidR="00A37817" w:rsidRDefault="00A37817">
      <w:pPr>
        <w:pStyle w:val="TM2"/>
        <w:rPr>
          <w:rFonts w:asciiTheme="minorHAnsi" w:eastAsiaTheme="minorEastAsia" w:hAnsiTheme="minorHAnsi" w:cstheme="minorBidi"/>
          <w:sz w:val="22"/>
          <w:szCs w:val="22"/>
          <w:lang w:eastAsia="fr-FR"/>
        </w:rPr>
      </w:pPr>
      <w:hyperlink w:anchor="_Toc213247385" w:history="1">
        <w:r w:rsidRPr="005B57E7">
          <w:rPr>
            <w:rStyle w:val="Lienhypertexte"/>
          </w:rPr>
          <w:t>Café – Foncier et crédits sont des freins à la reprise de la filière.</w:t>
        </w:r>
      </w:hyperlink>
    </w:p>
    <w:p w14:paraId="6B2140F8" w14:textId="010C2256" w:rsidR="00A37817" w:rsidRDefault="00A37817">
      <w:pPr>
        <w:pStyle w:val="TM2"/>
        <w:rPr>
          <w:rFonts w:asciiTheme="minorHAnsi" w:eastAsiaTheme="minorEastAsia" w:hAnsiTheme="minorHAnsi" w:cstheme="minorBidi"/>
          <w:sz w:val="22"/>
          <w:szCs w:val="22"/>
          <w:lang w:eastAsia="fr-FR"/>
        </w:rPr>
      </w:pPr>
      <w:hyperlink w:anchor="_Toc213247386" w:history="1">
        <w:r w:rsidRPr="005B57E7">
          <w:rPr>
            <w:rStyle w:val="Lienhypertexte"/>
          </w:rPr>
          <w:t>Anacarde – Promotion de la pâte d’amande de cajou.</w:t>
        </w:r>
      </w:hyperlink>
    </w:p>
    <w:p w14:paraId="75C65D2E" w14:textId="675B1D5E" w:rsidR="00A37817" w:rsidRDefault="00A37817">
      <w:pPr>
        <w:pStyle w:val="TM2"/>
        <w:rPr>
          <w:rFonts w:asciiTheme="minorHAnsi" w:eastAsiaTheme="minorEastAsia" w:hAnsiTheme="minorHAnsi" w:cstheme="minorBidi"/>
          <w:sz w:val="22"/>
          <w:szCs w:val="22"/>
          <w:lang w:eastAsia="fr-FR"/>
        </w:rPr>
      </w:pPr>
      <w:hyperlink w:anchor="_Toc213247387" w:history="1">
        <w:r w:rsidRPr="005B57E7">
          <w:rPr>
            <w:rStyle w:val="Lienhypertexte"/>
          </w:rPr>
          <w:t>Anacarde – 6</w:t>
        </w:r>
        <w:r w:rsidRPr="005B57E7">
          <w:rPr>
            <w:rStyle w:val="Lienhypertexte"/>
            <w:vertAlign w:val="superscript"/>
          </w:rPr>
          <w:t>ème</w:t>
        </w:r>
        <w:r w:rsidRPr="005B57E7">
          <w:rPr>
            <w:rStyle w:val="Lienhypertexte"/>
          </w:rPr>
          <w:t xml:space="preserve"> édition des Journées nationales des exportateurs de cajou (JNEC) prévue du 20 au 26 janvier 2026.</w:t>
        </w:r>
      </w:hyperlink>
    </w:p>
    <w:p w14:paraId="55F1ADEA" w14:textId="01BE8FB5" w:rsidR="00A37817" w:rsidRDefault="00A37817">
      <w:pPr>
        <w:pStyle w:val="TM2"/>
        <w:rPr>
          <w:rFonts w:asciiTheme="minorHAnsi" w:eastAsiaTheme="minorEastAsia" w:hAnsiTheme="minorHAnsi" w:cstheme="minorBidi"/>
          <w:sz w:val="22"/>
          <w:szCs w:val="22"/>
          <w:lang w:eastAsia="fr-FR"/>
        </w:rPr>
      </w:pPr>
      <w:hyperlink w:anchor="_Toc213247388" w:history="1">
        <w:r w:rsidRPr="005B57E7">
          <w:rPr>
            <w:rStyle w:val="Lienhypertexte"/>
          </w:rPr>
          <w:t>Sucre – La société de sucrerie africaine de Côte d’Ivoire (SUCAF-CI) plaide pour un nouveau contrat-plan.</w:t>
        </w:r>
      </w:hyperlink>
    </w:p>
    <w:p w14:paraId="33A9BBC1" w14:textId="1FB7A6A1" w:rsidR="00A37817" w:rsidRDefault="00A37817">
      <w:pPr>
        <w:pStyle w:val="TM2"/>
        <w:rPr>
          <w:rFonts w:asciiTheme="minorHAnsi" w:eastAsiaTheme="minorEastAsia" w:hAnsiTheme="minorHAnsi" w:cstheme="minorBidi"/>
          <w:sz w:val="22"/>
          <w:szCs w:val="22"/>
          <w:lang w:eastAsia="fr-FR"/>
        </w:rPr>
      </w:pPr>
      <w:hyperlink w:anchor="_Toc213247389" w:history="1">
        <w:r w:rsidRPr="005B57E7">
          <w:rPr>
            <w:rStyle w:val="Lienhypertexte"/>
          </w:rPr>
          <w:t>Sucre – SUCAF-CI vise plus de 120 000 tonnes pour la campagne 2025-2026.</w:t>
        </w:r>
      </w:hyperlink>
    </w:p>
    <w:p w14:paraId="1194BB79" w14:textId="4863B6BE" w:rsidR="00A37817" w:rsidRDefault="00A37817">
      <w:pPr>
        <w:pStyle w:val="TM2"/>
        <w:rPr>
          <w:rFonts w:asciiTheme="minorHAnsi" w:eastAsiaTheme="minorEastAsia" w:hAnsiTheme="minorHAnsi" w:cstheme="minorBidi"/>
          <w:sz w:val="22"/>
          <w:szCs w:val="22"/>
          <w:lang w:eastAsia="fr-FR"/>
        </w:rPr>
      </w:pPr>
      <w:hyperlink w:anchor="_Toc213247390" w:history="1">
        <w:r w:rsidRPr="005B57E7">
          <w:rPr>
            <w:rStyle w:val="Lienhypertexte"/>
          </w:rPr>
          <w:t>Sucre – La distillerie de Badikaha bientôt opérationnelle.</w:t>
        </w:r>
      </w:hyperlink>
    </w:p>
    <w:p w14:paraId="11E8DB10" w14:textId="5A327260" w:rsidR="00A37817" w:rsidRDefault="00A37817">
      <w:pPr>
        <w:pStyle w:val="TM2"/>
        <w:rPr>
          <w:rFonts w:asciiTheme="minorHAnsi" w:eastAsiaTheme="minorEastAsia" w:hAnsiTheme="minorHAnsi" w:cstheme="minorBidi"/>
          <w:sz w:val="22"/>
          <w:szCs w:val="22"/>
          <w:lang w:eastAsia="fr-FR"/>
        </w:rPr>
      </w:pPr>
      <w:hyperlink w:anchor="_Toc213247391" w:history="1">
        <w:r w:rsidRPr="005B57E7">
          <w:rPr>
            <w:rStyle w:val="Lienhypertexte"/>
          </w:rPr>
          <w:t>Sucre – Construction d’une voie express pour les zones sucrières.</w:t>
        </w:r>
      </w:hyperlink>
    </w:p>
    <w:p w14:paraId="2D28C0F1" w14:textId="20CDFD36" w:rsidR="00A37817" w:rsidRDefault="00A37817">
      <w:pPr>
        <w:pStyle w:val="TM2"/>
        <w:rPr>
          <w:rFonts w:asciiTheme="minorHAnsi" w:eastAsiaTheme="minorEastAsia" w:hAnsiTheme="minorHAnsi" w:cstheme="minorBidi"/>
          <w:sz w:val="22"/>
          <w:szCs w:val="22"/>
          <w:lang w:eastAsia="fr-FR"/>
        </w:rPr>
      </w:pPr>
      <w:hyperlink w:anchor="_Toc213247392" w:history="1">
        <w:r w:rsidRPr="005B57E7">
          <w:rPr>
            <w:rStyle w:val="Lienhypertexte"/>
          </w:rPr>
          <w:t>Hévéa – L’Association des professionnels du caoutchouc naturel de Côte d’Ivoire (APROMAC) actualise son projet pour renforcer la compétitivité du secteur.</w:t>
        </w:r>
      </w:hyperlink>
    </w:p>
    <w:p w14:paraId="0F7EA602" w14:textId="203C2EC8" w:rsidR="00A37817" w:rsidRDefault="00A37817">
      <w:pPr>
        <w:pStyle w:val="TM2"/>
        <w:rPr>
          <w:rFonts w:asciiTheme="minorHAnsi" w:eastAsiaTheme="minorEastAsia" w:hAnsiTheme="minorHAnsi" w:cstheme="minorBidi"/>
          <w:sz w:val="22"/>
          <w:szCs w:val="22"/>
          <w:lang w:eastAsia="fr-FR"/>
        </w:rPr>
      </w:pPr>
      <w:hyperlink w:anchor="_Toc213247393" w:history="1">
        <w:r w:rsidRPr="005B57E7">
          <w:rPr>
            <w:rStyle w:val="Lienhypertexte"/>
          </w:rPr>
          <w:t>Hévéa – Le marché asiatique, principale destination du caoutchouc naturel ivoirien.</w:t>
        </w:r>
      </w:hyperlink>
    </w:p>
    <w:p w14:paraId="08B36702" w14:textId="60198F75" w:rsidR="00A37817" w:rsidRDefault="00A37817">
      <w:pPr>
        <w:pStyle w:val="TM2"/>
        <w:rPr>
          <w:rFonts w:asciiTheme="minorHAnsi" w:eastAsiaTheme="minorEastAsia" w:hAnsiTheme="minorHAnsi" w:cstheme="minorBidi"/>
          <w:sz w:val="22"/>
          <w:szCs w:val="22"/>
          <w:lang w:eastAsia="fr-FR"/>
        </w:rPr>
      </w:pPr>
      <w:hyperlink w:anchor="_Toc213247394" w:history="1">
        <w:r w:rsidRPr="005B57E7">
          <w:rPr>
            <w:rStyle w:val="Lienhypertexte"/>
          </w:rPr>
          <w:t>Hévéa – Olam Agri récompense près de 200 planteurs et coopératives lors de la 15</w:t>
        </w:r>
        <w:r w:rsidRPr="005B57E7">
          <w:rPr>
            <w:rStyle w:val="Lienhypertexte"/>
            <w:rFonts w:ascii="Courier New" w:hAnsi="Courier New" w:cs="Courier New"/>
          </w:rPr>
          <w:t>ᵉ</w:t>
        </w:r>
        <w:r w:rsidRPr="005B57E7">
          <w:rPr>
            <w:rStyle w:val="Lienhypertexte"/>
          </w:rPr>
          <w:t xml:space="preserve"> édition du programme Gouassou.</w:t>
        </w:r>
      </w:hyperlink>
    </w:p>
    <w:p w14:paraId="658367C1" w14:textId="008C8682" w:rsidR="00A37817" w:rsidRDefault="00A37817">
      <w:pPr>
        <w:pStyle w:val="TM2"/>
        <w:rPr>
          <w:rFonts w:asciiTheme="minorHAnsi" w:eastAsiaTheme="minorEastAsia" w:hAnsiTheme="minorHAnsi" w:cstheme="minorBidi"/>
          <w:sz w:val="22"/>
          <w:szCs w:val="22"/>
          <w:lang w:eastAsia="fr-FR"/>
        </w:rPr>
      </w:pPr>
      <w:hyperlink w:anchor="_Toc213247395" w:history="1">
        <w:r w:rsidRPr="005B57E7">
          <w:rPr>
            <w:rStyle w:val="Lienhypertexte"/>
          </w:rPr>
          <w:t>Palmier à huile – Stratégie décennale 245,9 Md FCFA validée.</w:t>
        </w:r>
      </w:hyperlink>
    </w:p>
    <w:p w14:paraId="7D304182" w14:textId="6426549B" w:rsidR="00A37817" w:rsidRDefault="00A37817">
      <w:pPr>
        <w:pStyle w:val="TM2"/>
        <w:rPr>
          <w:rFonts w:asciiTheme="minorHAnsi" w:eastAsiaTheme="minorEastAsia" w:hAnsiTheme="minorHAnsi" w:cstheme="minorBidi"/>
          <w:sz w:val="22"/>
          <w:szCs w:val="22"/>
          <w:lang w:eastAsia="fr-FR"/>
        </w:rPr>
      </w:pPr>
      <w:hyperlink w:anchor="_Toc213247396" w:history="1">
        <w:r w:rsidRPr="005B57E7">
          <w:rPr>
            <w:rStyle w:val="Lienhypertexte"/>
          </w:rPr>
          <w:t>Riz – L’irrigation est nécessaire pour atteindre l’autosuffisance.</w:t>
        </w:r>
      </w:hyperlink>
    </w:p>
    <w:p w14:paraId="3F4E15BB" w14:textId="6DAD5B14" w:rsidR="00A37817" w:rsidRDefault="00A37817">
      <w:pPr>
        <w:pStyle w:val="TM2"/>
        <w:rPr>
          <w:rFonts w:asciiTheme="minorHAnsi" w:eastAsiaTheme="minorEastAsia" w:hAnsiTheme="minorHAnsi" w:cstheme="minorBidi"/>
          <w:sz w:val="22"/>
          <w:szCs w:val="22"/>
          <w:lang w:eastAsia="fr-FR"/>
        </w:rPr>
      </w:pPr>
      <w:hyperlink w:anchor="_Toc213247397" w:history="1">
        <w:r w:rsidRPr="005B57E7">
          <w:rPr>
            <w:rStyle w:val="Lienhypertexte"/>
          </w:rPr>
          <w:t>Interprofession – Bamba Mamadou élu à la tête de l’interprofession de l’oignon, de la mangue et du karité.</w:t>
        </w:r>
      </w:hyperlink>
    </w:p>
    <w:p w14:paraId="31A48A5D" w14:textId="4A1A511F" w:rsidR="00A37817" w:rsidRDefault="00A37817">
      <w:pPr>
        <w:pStyle w:val="TM2"/>
        <w:rPr>
          <w:rFonts w:asciiTheme="minorHAnsi" w:eastAsiaTheme="minorEastAsia" w:hAnsiTheme="minorHAnsi" w:cstheme="minorBidi"/>
          <w:sz w:val="22"/>
          <w:szCs w:val="22"/>
          <w:lang w:eastAsia="fr-FR"/>
        </w:rPr>
      </w:pPr>
      <w:hyperlink w:anchor="_Toc213247398" w:history="1">
        <w:r w:rsidRPr="005B57E7">
          <w:rPr>
            <w:rStyle w:val="Lienhypertexte"/>
          </w:rPr>
          <w:t>Gouvernance – Lancement du processus de la nouvelle Chambre d’agriculture.</w:t>
        </w:r>
      </w:hyperlink>
    </w:p>
    <w:p w14:paraId="105CED0D" w14:textId="15DEC60F" w:rsidR="00A37817" w:rsidRDefault="00A37817">
      <w:pPr>
        <w:pStyle w:val="TM2"/>
        <w:rPr>
          <w:rFonts w:asciiTheme="minorHAnsi" w:eastAsiaTheme="minorEastAsia" w:hAnsiTheme="minorHAnsi" w:cstheme="minorBidi"/>
          <w:sz w:val="22"/>
          <w:szCs w:val="22"/>
          <w:lang w:eastAsia="fr-FR"/>
        </w:rPr>
      </w:pPr>
      <w:hyperlink w:anchor="_Toc213247399" w:history="1">
        <w:r w:rsidRPr="005B57E7">
          <w:rPr>
            <w:rStyle w:val="Lienhypertexte"/>
          </w:rPr>
          <w:t>Elevage – Protocole avec Vet’Tronic pour un projet pilote d’identification et d’enregistrement des animaux de rente et de compagnie.</w:t>
        </w:r>
      </w:hyperlink>
    </w:p>
    <w:p w14:paraId="57FEC857" w14:textId="0670AC76" w:rsidR="00A37817" w:rsidRDefault="00A37817">
      <w:pPr>
        <w:pStyle w:val="TM2"/>
        <w:rPr>
          <w:rFonts w:asciiTheme="minorHAnsi" w:eastAsiaTheme="minorEastAsia" w:hAnsiTheme="minorHAnsi" w:cstheme="minorBidi"/>
          <w:sz w:val="22"/>
          <w:szCs w:val="22"/>
          <w:lang w:eastAsia="fr-FR"/>
        </w:rPr>
      </w:pPr>
      <w:hyperlink w:anchor="_Toc213247400" w:history="1">
        <w:r w:rsidRPr="005B57E7">
          <w:rPr>
            <w:rStyle w:val="Lienhypertexte"/>
          </w:rPr>
          <w:t>Porc – Financement de 50 M FCFA à la Société ivoirienne d’abattage et de charcuterie (SIVAC).</w:t>
        </w:r>
      </w:hyperlink>
    </w:p>
    <w:p w14:paraId="6458896B" w14:textId="0A9856D5" w:rsidR="00A37817" w:rsidRDefault="00A37817">
      <w:pPr>
        <w:pStyle w:val="TM2"/>
        <w:rPr>
          <w:rFonts w:asciiTheme="minorHAnsi" w:eastAsiaTheme="minorEastAsia" w:hAnsiTheme="minorHAnsi" w:cstheme="minorBidi"/>
          <w:sz w:val="22"/>
          <w:szCs w:val="22"/>
          <w:lang w:eastAsia="fr-FR"/>
        </w:rPr>
      </w:pPr>
      <w:hyperlink w:anchor="_Toc213247401" w:history="1">
        <w:r w:rsidRPr="005B57E7">
          <w:rPr>
            <w:rStyle w:val="Lienhypertexte"/>
          </w:rPr>
          <w:t>Porc – Importation de 35 reproducteurs.</w:t>
        </w:r>
      </w:hyperlink>
    </w:p>
    <w:p w14:paraId="339CC994" w14:textId="0D130DAF" w:rsidR="00A37817" w:rsidRDefault="00A37817">
      <w:pPr>
        <w:pStyle w:val="TM2"/>
        <w:rPr>
          <w:rFonts w:asciiTheme="minorHAnsi" w:eastAsiaTheme="minorEastAsia" w:hAnsiTheme="minorHAnsi" w:cstheme="minorBidi"/>
          <w:sz w:val="22"/>
          <w:szCs w:val="22"/>
          <w:lang w:eastAsia="fr-FR"/>
        </w:rPr>
      </w:pPr>
      <w:hyperlink w:anchor="_Toc213247402" w:history="1">
        <w:r w:rsidRPr="005B57E7">
          <w:rPr>
            <w:rStyle w:val="Lienhypertexte"/>
          </w:rPr>
          <w:t>Aquaculture – Des pisciculteurs formés à la production de semences de silure et de tilapia.</w:t>
        </w:r>
      </w:hyperlink>
    </w:p>
    <w:p w14:paraId="20EE0856" w14:textId="45346650" w:rsidR="00A37817" w:rsidRDefault="00A37817">
      <w:pPr>
        <w:pStyle w:val="TM2"/>
        <w:rPr>
          <w:rFonts w:asciiTheme="minorHAnsi" w:eastAsiaTheme="minorEastAsia" w:hAnsiTheme="minorHAnsi" w:cstheme="minorBidi"/>
          <w:sz w:val="22"/>
          <w:szCs w:val="22"/>
          <w:lang w:eastAsia="fr-FR"/>
        </w:rPr>
      </w:pPr>
      <w:hyperlink w:anchor="_Toc213247403" w:history="1">
        <w:r w:rsidRPr="005B57E7">
          <w:rPr>
            <w:rStyle w:val="Lienhypertexte"/>
          </w:rPr>
          <w:t>Aquaculture – Importation de 100 000 alevins par la Société de transformation industrielle en Côte d’Ivoire (SN SOTICI).</w:t>
        </w:r>
      </w:hyperlink>
    </w:p>
    <w:p w14:paraId="66C28F5A" w14:textId="3FB962A1" w:rsidR="00A37817" w:rsidRDefault="00A37817">
      <w:pPr>
        <w:pStyle w:val="TM2"/>
        <w:rPr>
          <w:rFonts w:asciiTheme="minorHAnsi" w:eastAsiaTheme="minorEastAsia" w:hAnsiTheme="minorHAnsi" w:cstheme="minorBidi"/>
          <w:sz w:val="22"/>
          <w:szCs w:val="22"/>
          <w:lang w:eastAsia="fr-FR"/>
        </w:rPr>
      </w:pPr>
      <w:hyperlink w:anchor="_Toc213247404" w:history="1">
        <w:r w:rsidRPr="005B57E7">
          <w:rPr>
            <w:rStyle w:val="Lienhypertexte"/>
          </w:rPr>
          <w:t>Semences – Le rapport de l’Indice africain de l’accès aux semences (TASAI) souligne les progrès et défis du système semencier ivoirien.</w:t>
        </w:r>
      </w:hyperlink>
    </w:p>
    <w:p w14:paraId="51024DCE" w14:textId="7738FB72" w:rsidR="00A37817" w:rsidRDefault="00A37817">
      <w:pPr>
        <w:pStyle w:val="TM2"/>
        <w:rPr>
          <w:rFonts w:asciiTheme="minorHAnsi" w:eastAsiaTheme="minorEastAsia" w:hAnsiTheme="minorHAnsi" w:cstheme="minorBidi"/>
          <w:sz w:val="22"/>
          <w:szCs w:val="22"/>
          <w:lang w:eastAsia="fr-FR"/>
        </w:rPr>
      </w:pPr>
      <w:hyperlink w:anchor="_Toc213247405" w:history="1">
        <w:r w:rsidRPr="005B57E7">
          <w:rPr>
            <w:rStyle w:val="Lienhypertexte"/>
          </w:rPr>
          <w:t>Semences – Des producteurs de manioc formés pour renforcer la qualité des semences.</w:t>
        </w:r>
      </w:hyperlink>
    </w:p>
    <w:p w14:paraId="606FB711" w14:textId="5C4DC963" w:rsidR="00A37817" w:rsidRDefault="00A37817">
      <w:pPr>
        <w:pStyle w:val="TM2"/>
        <w:rPr>
          <w:rFonts w:asciiTheme="minorHAnsi" w:eastAsiaTheme="minorEastAsia" w:hAnsiTheme="minorHAnsi" w:cstheme="minorBidi"/>
          <w:sz w:val="22"/>
          <w:szCs w:val="22"/>
          <w:lang w:eastAsia="fr-FR"/>
        </w:rPr>
      </w:pPr>
      <w:hyperlink w:anchor="_Toc213247406" w:history="1">
        <w:r w:rsidRPr="005B57E7">
          <w:rPr>
            <w:rStyle w:val="Lienhypertexte"/>
          </w:rPr>
          <w:t>Engrais – Transformation des boues de vidange en engrais.</w:t>
        </w:r>
      </w:hyperlink>
    </w:p>
    <w:p w14:paraId="38CF0235" w14:textId="716389B3" w:rsidR="00A37817" w:rsidRDefault="00A37817">
      <w:pPr>
        <w:pStyle w:val="TM2"/>
        <w:rPr>
          <w:rFonts w:asciiTheme="minorHAnsi" w:eastAsiaTheme="minorEastAsia" w:hAnsiTheme="minorHAnsi" w:cstheme="minorBidi"/>
          <w:sz w:val="22"/>
          <w:szCs w:val="22"/>
          <w:lang w:eastAsia="fr-FR"/>
        </w:rPr>
      </w:pPr>
      <w:hyperlink w:anchor="_Toc213247407" w:history="1">
        <w:r w:rsidRPr="005B57E7">
          <w:rPr>
            <w:rStyle w:val="Lienhypertexte"/>
          </w:rPr>
          <w:t>Pêche – La flotte chinoise accusée de pillage en Côte d’Ivoire comme dans tout le Golfe de Guinée.</w:t>
        </w:r>
      </w:hyperlink>
    </w:p>
    <w:p w14:paraId="78948ED5" w14:textId="18E666BE" w:rsidR="00A37817" w:rsidRDefault="00A37817">
      <w:pPr>
        <w:pStyle w:val="TM2"/>
        <w:rPr>
          <w:rFonts w:asciiTheme="minorHAnsi" w:eastAsiaTheme="minorEastAsia" w:hAnsiTheme="minorHAnsi" w:cstheme="minorBidi"/>
          <w:sz w:val="22"/>
          <w:szCs w:val="22"/>
          <w:lang w:eastAsia="fr-FR"/>
        </w:rPr>
      </w:pPr>
      <w:hyperlink w:anchor="_Toc213247408" w:history="1">
        <w:r w:rsidRPr="005B57E7">
          <w:rPr>
            <w:rStyle w:val="Lienhypertexte"/>
          </w:rPr>
          <w:t>Agro-industrie – Projet de réduction des pertes post-récolte.</w:t>
        </w:r>
      </w:hyperlink>
    </w:p>
    <w:p w14:paraId="76386A93" w14:textId="573E21BF" w:rsidR="00A37817" w:rsidRDefault="00A37817">
      <w:pPr>
        <w:pStyle w:val="TM2"/>
        <w:rPr>
          <w:rFonts w:asciiTheme="minorHAnsi" w:eastAsiaTheme="minorEastAsia" w:hAnsiTheme="minorHAnsi" w:cstheme="minorBidi"/>
          <w:sz w:val="22"/>
          <w:szCs w:val="22"/>
          <w:lang w:eastAsia="fr-FR"/>
        </w:rPr>
      </w:pPr>
      <w:hyperlink w:anchor="_Toc213247409" w:history="1">
        <w:r w:rsidRPr="005B57E7">
          <w:rPr>
            <w:rStyle w:val="Lienhypertexte"/>
          </w:rPr>
          <w:t>Pertes agricoles – Campagne d’information de l’Autorité de régulation du système de récépissés d’entreposage (ARRE).</w:t>
        </w:r>
      </w:hyperlink>
    </w:p>
    <w:p w14:paraId="6D5D8A80" w14:textId="203E29DB" w:rsidR="00A37817" w:rsidRDefault="00A37817">
      <w:pPr>
        <w:pStyle w:val="TM2"/>
        <w:rPr>
          <w:rFonts w:asciiTheme="minorHAnsi" w:eastAsiaTheme="minorEastAsia" w:hAnsiTheme="minorHAnsi" w:cstheme="minorBidi"/>
          <w:sz w:val="22"/>
          <w:szCs w:val="22"/>
          <w:lang w:eastAsia="fr-FR"/>
        </w:rPr>
      </w:pPr>
      <w:hyperlink w:anchor="_Toc213247410" w:history="1">
        <w:r w:rsidRPr="005B57E7">
          <w:rPr>
            <w:rStyle w:val="Lienhypertexte"/>
          </w:rPr>
          <w:t>Assurance– L’État forme les producteurs à l’assurance indicielle face aux aléas climatiques.</w:t>
        </w:r>
      </w:hyperlink>
    </w:p>
    <w:p w14:paraId="38974F81" w14:textId="08434EA0" w:rsidR="00A37817" w:rsidRDefault="00A37817">
      <w:pPr>
        <w:pStyle w:val="TM2"/>
        <w:rPr>
          <w:rFonts w:asciiTheme="minorHAnsi" w:eastAsiaTheme="minorEastAsia" w:hAnsiTheme="minorHAnsi" w:cstheme="minorBidi"/>
          <w:sz w:val="22"/>
          <w:szCs w:val="22"/>
          <w:lang w:eastAsia="fr-FR"/>
        </w:rPr>
      </w:pPr>
      <w:hyperlink w:anchor="_Toc213247411" w:history="1">
        <w:r w:rsidRPr="005B57E7">
          <w:rPr>
            <w:rStyle w:val="Lienhypertexte"/>
          </w:rPr>
          <w:t>Sécurité alimentaire – La Corée du Sud octroie 9,3 M USD au Programme alimentaire mondial (PAM).</w:t>
        </w:r>
      </w:hyperlink>
    </w:p>
    <w:p w14:paraId="1FD1DD35" w14:textId="4AC94324" w:rsidR="00A37817" w:rsidRDefault="00A37817">
      <w:pPr>
        <w:pStyle w:val="TM2"/>
        <w:rPr>
          <w:rFonts w:asciiTheme="minorHAnsi" w:eastAsiaTheme="minorEastAsia" w:hAnsiTheme="minorHAnsi" w:cstheme="minorBidi"/>
          <w:sz w:val="22"/>
          <w:szCs w:val="22"/>
          <w:lang w:eastAsia="fr-FR"/>
        </w:rPr>
      </w:pPr>
      <w:hyperlink w:anchor="_Toc213247412" w:history="1">
        <w:r w:rsidRPr="005B57E7">
          <w:rPr>
            <w:rStyle w:val="Lienhypertexte"/>
          </w:rPr>
          <w:t>Sécurité sanitaire – Destruction de 9 tonnes de produits avicoles importés illégalement de Chine.</w:t>
        </w:r>
      </w:hyperlink>
    </w:p>
    <w:p w14:paraId="51200FD2" w14:textId="7081558D" w:rsidR="00A37817" w:rsidRDefault="00A37817">
      <w:pPr>
        <w:pStyle w:val="TM2"/>
        <w:rPr>
          <w:rFonts w:asciiTheme="minorHAnsi" w:eastAsiaTheme="minorEastAsia" w:hAnsiTheme="minorHAnsi" w:cstheme="minorBidi"/>
          <w:sz w:val="22"/>
          <w:szCs w:val="22"/>
          <w:lang w:eastAsia="fr-FR"/>
        </w:rPr>
      </w:pPr>
      <w:hyperlink w:anchor="_Toc213247413" w:history="1">
        <w:r w:rsidRPr="005B57E7">
          <w:rPr>
            <w:rStyle w:val="Lienhypertexte"/>
          </w:rPr>
          <w:t>Bioénergie – Lancement de l’axe 2 du projet Valorisation de la biomasse-énergie et promotion de la cuisson propre en Côte d’Ivoire (VABICUI).</w:t>
        </w:r>
      </w:hyperlink>
    </w:p>
    <w:p w14:paraId="560BD5C3" w14:textId="411DDF25" w:rsidR="00A37817" w:rsidRDefault="00A37817">
      <w:pPr>
        <w:pStyle w:val="TM2"/>
        <w:rPr>
          <w:rFonts w:asciiTheme="minorHAnsi" w:eastAsiaTheme="minorEastAsia" w:hAnsiTheme="minorHAnsi" w:cstheme="minorBidi"/>
          <w:sz w:val="22"/>
          <w:szCs w:val="22"/>
          <w:lang w:eastAsia="fr-FR"/>
        </w:rPr>
      </w:pPr>
      <w:hyperlink w:anchor="_Toc213247414" w:history="1">
        <w:r w:rsidRPr="005B57E7">
          <w:rPr>
            <w:rStyle w:val="Lienhypertexte"/>
          </w:rPr>
          <w:t>Travail des enfants – Groupes de Services Communautaires, 95% de réussite au CEPE à Biakou.</w:t>
        </w:r>
      </w:hyperlink>
    </w:p>
    <w:p w14:paraId="1F1477F4" w14:textId="39B910E4" w:rsidR="00A37817" w:rsidRDefault="00A37817">
      <w:pPr>
        <w:pStyle w:val="TM2"/>
        <w:rPr>
          <w:rFonts w:asciiTheme="minorHAnsi" w:eastAsiaTheme="minorEastAsia" w:hAnsiTheme="minorHAnsi" w:cstheme="minorBidi"/>
          <w:sz w:val="22"/>
          <w:szCs w:val="22"/>
          <w:lang w:eastAsia="fr-FR"/>
        </w:rPr>
      </w:pPr>
      <w:hyperlink w:anchor="_Toc213247415" w:history="1">
        <w:r w:rsidRPr="005B57E7">
          <w:rPr>
            <w:rStyle w:val="Lienhypertexte"/>
          </w:rPr>
          <w:t>Forêt – Reboisement scolaire à Tortiya.</w:t>
        </w:r>
      </w:hyperlink>
    </w:p>
    <w:p w14:paraId="6F4A8482" w14:textId="5801E087" w:rsidR="00A37817" w:rsidRDefault="00A37817">
      <w:pPr>
        <w:pStyle w:val="TM2"/>
        <w:rPr>
          <w:rFonts w:asciiTheme="minorHAnsi" w:eastAsiaTheme="minorEastAsia" w:hAnsiTheme="minorHAnsi" w:cstheme="minorBidi"/>
          <w:sz w:val="22"/>
          <w:szCs w:val="22"/>
          <w:lang w:eastAsia="fr-FR"/>
        </w:rPr>
      </w:pPr>
      <w:hyperlink w:anchor="_Toc213247416" w:history="1">
        <w:r w:rsidRPr="005B57E7">
          <w:rPr>
            <w:rStyle w:val="Lienhypertexte"/>
          </w:rPr>
          <w:t>Formation - 50 restaurateurs formés aux standards internationaux.</w:t>
        </w:r>
      </w:hyperlink>
    </w:p>
    <w:p w14:paraId="18CA6A43" w14:textId="7A76FA1B" w:rsidR="00A37817" w:rsidRDefault="00A37817">
      <w:pPr>
        <w:pStyle w:val="TM2"/>
        <w:rPr>
          <w:rFonts w:asciiTheme="minorHAnsi" w:eastAsiaTheme="minorEastAsia" w:hAnsiTheme="minorHAnsi" w:cstheme="minorBidi"/>
          <w:sz w:val="22"/>
          <w:szCs w:val="22"/>
          <w:lang w:eastAsia="fr-FR"/>
        </w:rPr>
      </w:pPr>
      <w:hyperlink w:anchor="_Toc213247417" w:history="1">
        <w:r w:rsidRPr="005B57E7">
          <w:rPr>
            <w:rStyle w:val="Lienhypertexte"/>
          </w:rPr>
          <w:t>Formation – Un lycée professionnel forme les jeunes au maraîchage.</w:t>
        </w:r>
      </w:hyperlink>
    </w:p>
    <w:p w14:paraId="285B49B5" w14:textId="7D75BA13" w:rsidR="00A37817" w:rsidRDefault="00A37817">
      <w:pPr>
        <w:pStyle w:val="TM2"/>
        <w:rPr>
          <w:rFonts w:asciiTheme="minorHAnsi" w:eastAsiaTheme="minorEastAsia" w:hAnsiTheme="minorHAnsi" w:cstheme="minorBidi"/>
          <w:sz w:val="22"/>
          <w:szCs w:val="22"/>
          <w:lang w:eastAsia="fr-FR"/>
        </w:rPr>
      </w:pPr>
      <w:hyperlink w:anchor="_Toc213247418" w:history="1">
        <w:r w:rsidRPr="005B57E7">
          <w:rPr>
            <w:rStyle w:val="Lienhypertexte"/>
          </w:rPr>
          <w:t>Exportation – La Côte d’Ivoire veut augmenter ses exportations à destination des États-Unis.</w:t>
        </w:r>
      </w:hyperlink>
    </w:p>
    <w:p w14:paraId="51277587" w14:textId="7C8A53F6" w:rsidR="00A37817" w:rsidRDefault="00A37817">
      <w:pPr>
        <w:pStyle w:val="TM2"/>
        <w:rPr>
          <w:rFonts w:asciiTheme="minorHAnsi" w:eastAsiaTheme="minorEastAsia" w:hAnsiTheme="minorHAnsi" w:cstheme="minorBidi"/>
          <w:sz w:val="22"/>
          <w:szCs w:val="22"/>
          <w:lang w:eastAsia="fr-FR"/>
        </w:rPr>
      </w:pPr>
      <w:hyperlink w:anchor="_Toc213247419" w:history="1">
        <w:r w:rsidRPr="005B57E7">
          <w:rPr>
            <w:rStyle w:val="Lienhypertexte"/>
          </w:rPr>
          <w:t>Gastronomie – 150 chefs cuisiniers formés à Abidjan sur la fiche technique de cuisine.</w:t>
        </w:r>
      </w:hyperlink>
    </w:p>
    <w:p w14:paraId="71D48E89" w14:textId="38D33CA5" w:rsidR="00A37817" w:rsidRDefault="00A37817">
      <w:pPr>
        <w:pStyle w:val="TM2"/>
        <w:rPr>
          <w:rFonts w:asciiTheme="minorHAnsi" w:eastAsiaTheme="minorEastAsia" w:hAnsiTheme="minorHAnsi" w:cstheme="minorBidi"/>
          <w:sz w:val="22"/>
          <w:szCs w:val="22"/>
          <w:lang w:eastAsia="fr-FR"/>
        </w:rPr>
      </w:pPr>
      <w:hyperlink w:anchor="_Toc213247420" w:history="1">
        <w:r w:rsidRPr="005B57E7">
          <w:rPr>
            <w:rStyle w:val="Lienhypertexte"/>
          </w:rPr>
          <w:t>Vie des sociétés – CFAO devenu unique actionnaire d’Adialéa se recentre sur la Côte d’Ivoire.</w:t>
        </w:r>
      </w:hyperlink>
    </w:p>
    <w:p w14:paraId="026D1D74" w14:textId="6002F640" w:rsidR="00A37817" w:rsidRDefault="00A37817">
      <w:pPr>
        <w:pStyle w:val="TM2"/>
        <w:rPr>
          <w:rFonts w:asciiTheme="minorHAnsi" w:eastAsiaTheme="minorEastAsia" w:hAnsiTheme="minorHAnsi" w:cstheme="minorBidi"/>
          <w:sz w:val="22"/>
          <w:szCs w:val="22"/>
          <w:lang w:eastAsia="fr-FR"/>
        </w:rPr>
      </w:pPr>
      <w:hyperlink w:anchor="_Toc213247421" w:history="1">
        <w:r w:rsidRPr="005B57E7">
          <w:rPr>
            <w:rStyle w:val="Lienhypertexte"/>
          </w:rPr>
          <w:t>Vie des sociétés – Facilité de financement de 100 M EUR de la Banque africaine de développement (BAD) pour la société Sucres et denrées (SUCDEN).</w:t>
        </w:r>
      </w:hyperlink>
    </w:p>
    <w:p w14:paraId="2F0F8C09" w14:textId="653BBC83" w:rsidR="00A37817" w:rsidRDefault="00A37817">
      <w:pPr>
        <w:pStyle w:val="TM2"/>
        <w:rPr>
          <w:rFonts w:asciiTheme="minorHAnsi" w:eastAsiaTheme="minorEastAsia" w:hAnsiTheme="minorHAnsi" w:cstheme="minorBidi"/>
          <w:sz w:val="22"/>
          <w:szCs w:val="22"/>
          <w:lang w:eastAsia="fr-FR"/>
        </w:rPr>
      </w:pPr>
      <w:hyperlink w:anchor="_Toc213247422" w:history="1">
        <w:r w:rsidRPr="005B57E7">
          <w:rPr>
            <w:rStyle w:val="Lienhypertexte"/>
          </w:rPr>
          <w:t>Vie des sociétés – Résultat net en recul de Nestlé CI.</w:t>
        </w:r>
      </w:hyperlink>
    </w:p>
    <w:p w14:paraId="027C0526" w14:textId="2770587D" w:rsidR="00A37817" w:rsidRDefault="00A37817">
      <w:pPr>
        <w:pStyle w:val="TM2"/>
        <w:rPr>
          <w:rFonts w:asciiTheme="minorHAnsi" w:eastAsiaTheme="minorEastAsia" w:hAnsiTheme="minorHAnsi" w:cstheme="minorBidi"/>
          <w:sz w:val="22"/>
          <w:szCs w:val="22"/>
          <w:lang w:eastAsia="fr-FR"/>
        </w:rPr>
      </w:pPr>
      <w:hyperlink w:anchor="_Toc213247423" w:history="1">
        <w:r w:rsidRPr="005B57E7">
          <w:rPr>
            <w:rStyle w:val="Lienhypertexte"/>
          </w:rPr>
          <w:t>Vie des sociétés – Bayer promeut une agriculture durable et inclusive pour renforcer la sécurité alimentaire.</w:t>
        </w:r>
      </w:hyperlink>
    </w:p>
    <w:p w14:paraId="6ADE3F0B" w14:textId="342B7552" w:rsidR="00A37817" w:rsidRDefault="00A37817">
      <w:pPr>
        <w:pStyle w:val="TM1"/>
        <w:rPr>
          <w:rFonts w:asciiTheme="minorHAnsi" w:eastAsiaTheme="minorEastAsia" w:hAnsiTheme="minorHAnsi" w:cstheme="minorBidi"/>
          <w:b w:val="0"/>
          <w:color w:val="auto"/>
          <w:sz w:val="22"/>
          <w:szCs w:val="22"/>
          <w:lang w:eastAsia="fr-FR"/>
        </w:rPr>
      </w:pPr>
      <w:hyperlink w:anchor="_Toc213247424" w:history="1">
        <w:r w:rsidRPr="005B57E7">
          <w:rPr>
            <w:rStyle w:val="Lienhypertexte"/>
          </w:rPr>
          <w:t>Sénégal</w:t>
        </w:r>
      </w:hyperlink>
    </w:p>
    <w:p w14:paraId="6B258AB2" w14:textId="058DFF70" w:rsidR="00A37817" w:rsidRDefault="00A37817">
      <w:pPr>
        <w:pStyle w:val="TM2"/>
        <w:rPr>
          <w:rFonts w:asciiTheme="minorHAnsi" w:eastAsiaTheme="minorEastAsia" w:hAnsiTheme="minorHAnsi" w:cstheme="minorBidi"/>
          <w:sz w:val="22"/>
          <w:szCs w:val="22"/>
          <w:lang w:eastAsia="fr-FR"/>
        </w:rPr>
      </w:pPr>
      <w:hyperlink w:anchor="_Toc213247425" w:history="1">
        <w:r w:rsidRPr="005B57E7">
          <w:rPr>
            <w:rStyle w:val="Lienhypertexte"/>
          </w:rPr>
          <w:t>Campagne agricole – Des récoltes record.</w:t>
        </w:r>
      </w:hyperlink>
    </w:p>
    <w:p w14:paraId="1A46CF9E" w14:textId="4A419C48" w:rsidR="00A37817" w:rsidRDefault="00A37817">
      <w:pPr>
        <w:pStyle w:val="TM2"/>
        <w:rPr>
          <w:rFonts w:asciiTheme="minorHAnsi" w:eastAsiaTheme="minorEastAsia" w:hAnsiTheme="minorHAnsi" w:cstheme="minorBidi"/>
          <w:sz w:val="22"/>
          <w:szCs w:val="22"/>
          <w:lang w:eastAsia="fr-FR"/>
        </w:rPr>
      </w:pPr>
      <w:hyperlink w:anchor="_Toc213247426" w:history="1">
        <w:r w:rsidRPr="005B57E7">
          <w:rPr>
            <w:rStyle w:val="Lienhypertexte"/>
          </w:rPr>
          <w:t>Engrais – Volume record de 105 000 tonnes livrées.</w:t>
        </w:r>
      </w:hyperlink>
    </w:p>
    <w:p w14:paraId="2997AB1B" w14:textId="17F6BC69" w:rsidR="00A37817" w:rsidRDefault="00A37817">
      <w:pPr>
        <w:pStyle w:val="TM2"/>
        <w:rPr>
          <w:rFonts w:asciiTheme="minorHAnsi" w:eastAsiaTheme="minorEastAsia" w:hAnsiTheme="minorHAnsi" w:cstheme="minorBidi"/>
          <w:sz w:val="22"/>
          <w:szCs w:val="22"/>
          <w:lang w:eastAsia="fr-FR"/>
        </w:rPr>
      </w:pPr>
      <w:hyperlink w:anchor="_Toc213247427" w:history="1">
        <w:r w:rsidRPr="005B57E7">
          <w:rPr>
            <w:rStyle w:val="Lienhypertexte"/>
          </w:rPr>
          <w:t>Souveraineté alimentaire – Le ministre de l’agriculture, de la souveraineté alimentaire et de l’élevage, le Dr Mabouba Diagne, réaffirme les ambitions agricoles du pays.</w:t>
        </w:r>
      </w:hyperlink>
    </w:p>
    <w:p w14:paraId="3A8BE1F5" w14:textId="6E5567F1" w:rsidR="00A37817" w:rsidRDefault="00A37817">
      <w:pPr>
        <w:pStyle w:val="TM2"/>
        <w:rPr>
          <w:rFonts w:asciiTheme="minorHAnsi" w:eastAsiaTheme="minorEastAsia" w:hAnsiTheme="minorHAnsi" w:cstheme="minorBidi"/>
          <w:sz w:val="22"/>
          <w:szCs w:val="22"/>
          <w:lang w:eastAsia="fr-FR"/>
        </w:rPr>
      </w:pPr>
      <w:hyperlink w:anchor="_Toc213247428" w:history="1">
        <w:r w:rsidRPr="005B57E7">
          <w:rPr>
            <w:rStyle w:val="Lienhypertexte"/>
          </w:rPr>
          <w:t>Agropoles – Le gouvernement mise sur l’industrialisation territoriale.</w:t>
        </w:r>
      </w:hyperlink>
    </w:p>
    <w:p w14:paraId="236841DB" w14:textId="4DA1A346" w:rsidR="00A37817" w:rsidRDefault="00A37817">
      <w:pPr>
        <w:pStyle w:val="TM2"/>
        <w:rPr>
          <w:rFonts w:asciiTheme="minorHAnsi" w:eastAsiaTheme="minorEastAsia" w:hAnsiTheme="minorHAnsi" w:cstheme="minorBidi"/>
          <w:sz w:val="22"/>
          <w:szCs w:val="22"/>
          <w:lang w:eastAsia="fr-FR"/>
        </w:rPr>
      </w:pPr>
      <w:hyperlink w:anchor="_Toc213247429" w:history="1">
        <w:r w:rsidRPr="005B57E7">
          <w:rPr>
            <w:rStyle w:val="Lienhypertexte"/>
          </w:rPr>
          <w:t>Foncier – Fort potentiel de terres agricoles inexploitées.</w:t>
        </w:r>
      </w:hyperlink>
    </w:p>
    <w:p w14:paraId="71B33DD4" w14:textId="4FDB5D51" w:rsidR="00A37817" w:rsidRDefault="00A37817">
      <w:pPr>
        <w:pStyle w:val="TM2"/>
        <w:rPr>
          <w:rFonts w:asciiTheme="minorHAnsi" w:eastAsiaTheme="minorEastAsia" w:hAnsiTheme="minorHAnsi" w:cstheme="minorBidi"/>
          <w:sz w:val="22"/>
          <w:szCs w:val="22"/>
          <w:lang w:eastAsia="fr-FR"/>
        </w:rPr>
      </w:pPr>
      <w:hyperlink w:anchor="_Toc213247430" w:history="1">
        <w:r w:rsidRPr="005B57E7">
          <w:rPr>
            <w:rStyle w:val="Lienhypertexte"/>
          </w:rPr>
          <w:t>Emploi – Les volontaires de l’agriculture alertent sur leurs conditions.</w:t>
        </w:r>
      </w:hyperlink>
    </w:p>
    <w:p w14:paraId="0457F4F7" w14:textId="31815D2E" w:rsidR="00A37817" w:rsidRDefault="00A37817">
      <w:pPr>
        <w:pStyle w:val="TM2"/>
        <w:rPr>
          <w:rFonts w:asciiTheme="minorHAnsi" w:eastAsiaTheme="minorEastAsia" w:hAnsiTheme="minorHAnsi" w:cstheme="minorBidi"/>
          <w:sz w:val="22"/>
          <w:szCs w:val="22"/>
          <w:lang w:eastAsia="fr-FR"/>
        </w:rPr>
      </w:pPr>
      <w:hyperlink w:anchor="_Toc213247431" w:history="1">
        <w:r w:rsidRPr="005B57E7">
          <w:rPr>
            <w:rStyle w:val="Lienhypertexte"/>
          </w:rPr>
          <w:t>Réinsertion – Partenariat inédit entre agriculture et justice.</w:t>
        </w:r>
      </w:hyperlink>
    </w:p>
    <w:p w14:paraId="3D5D6074" w14:textId="209236DB" w:rsidR="00A37817" w:rsidRDefault="00A37817">
      <w:pPr>
        <w:pStyle w:val="TM2"/>
        <w:rPr>
          <w:rFonts w:asciiTheme="minorHAnsi" w:eastAsiaTheme="minorEastAsia" w:hAnsiTheme="minorHAnsi" w:cstheme="minorBidi"/>
          <w:sz w:val="22"/>
          <w:szCs w:val="22"/>
          <w:lang w:eastAsia="fr-FR"/>
        </w:rPr>
      </w:pPr>
      <w:hyperlink w:anchor="_Toc213247432" w:history="1">
        <w:r w:rsidRPr="005B57E7">
          <w:rPr>
            <w:rStyle w:val="Lienhypertexte"/>
          </w:rPr>
          <w:t>Migration – 95 saisonniers en partance pour l’Espagne.</w:t>
        </w:r>
      </w:hyperlink>
    </w:p>
    <w:p w14:paraId="424A08E0" w14:textId="0F249239" w:rsidR="00A37817" w:rsidRDefault="00A37817">
      <w:pPr>
        <w:pStyle w:val="TM2"/>
        <w:rPr>
          <w:rFonts w:asciiTheme="minorHAnsi" w:eastAsiaTheme="minorEastAsia" w:hAnsiTheme="minorHAnsi" w:cstheme="minorBidi"/>
          <w:sz w:val="22"/>
          <w:szCs w:val="22"/>
          <w:lang w:eastAsia="fr-FR"/>
        </w:rPr>
      </w:pPr>
      <w:hyperlink w:anchor="_Toc213247433" w:history="1">
        <w:r w:rsidRPr="005B57E7">
          <w:rPr>
            <w:rStyle w:val="Lienhypertexte"/>
          </w:rPr>
          <w:t>Arachide – Projet d’unité industrielle de transformation.</w:t>
        </w:r>
      </w:hyperlink>
    </w:p>
    <w:p w14:paraId="2D433ED6" w14:textId="6C828D98" w:rsidR="00A37817" w:rsidRDefault="00A37817">
      <w:pPr>
        <w:pStyle w:val="TM2"/>
        <w:rPr>
          <w:rFonts w:asciiTheme="minorHAnsi" w:eastAsiaTheme="minorEastAsia" w:hAnsiTheme="minorHAnsi" w:cstheme="minorBidi"/>
          <w:sz w:val="22"/>
          <w:szCs w:val="22"/>
          <w:lang w:eastAsia="fr-FR"/>
        </w:rPr>
      </w:pPr>
      <w:hyperlink w:anchor="_Toc213247434" w:history="1">
        <w:r w:rsidRPr="005B57E7">
          <w:rPr>
            <w:rStyle w:val="Lienhypertexte"/>
          </w:rPr>
          <w:t>Semences – Une stratégie nationale pour la souveraineté et l’autonomie semencière.</w:t>
        </w:r>
      </w:hyperlink>
    </w:p>
    <w:p w14:paraId="07CE59D5" w14:textId="0CDE70D1" w:rsidR="00A37817" w:rsidRDefault="00A37817">
      <w:pPr>
        <w:pStyle w:val="TM2"/>
        <w:rPr>
          <w:rFonts w:asciiTheme="minorHAnsi" w:eastAsiaTheme="minorEastAsia" w:hAnsiTheme="minorHAnsi" w:cstheme="minorBidi"/>
          <w:sz w:val="22"/>
          <w:szCs w:val="22"/>
          <w:lang w:eastAsia="fr-FR"/>
        </w:rPr>
      </w:pPr>
      <w:hyperlink w:anchor="_Toc213247435" w:history="1">
        <w:r w:rsidRPr="005B57E7">
          <w:rPr>
            <w:rStyle w:val="Lienhypertexte"/>
          </w:rPr>
          <w:t>Riz – Crise de commercialisation dans la vallée du fleuve Sénégal.</w:t>
        </w:r>
      </w:hyperlink>
    </w:p>
    <w:p w14:paraId="1258FBCD" w14:textId="675614C4" w:rsidR="00A37817" w:rsidRDefault="00A37817">
      <w:pPr>
        <w:pStyle w:val="TM2"/>
        <w:rPr>
          <w:rFonts w:asciiTheme="minorHAnsi" w:eastAsiaTheme="minorEastAsia" w:hAnsiTheme="minorHAnsi" w:cstheme="minorBidi"/>
          <w:sz w:val="22"/>
          <w:szCs w:val="22"/>
          <w:lang w:eastAsia="fr-FR"/>
        </w:rPr>
      </w:pPr>
      <w:hyperlink w:anchor="_Toc213247436" w:history="1">
        <w:r w:rsidRPr="005B57E7">
          <w:rPr>
            <w:rStyle w:val="Lienhypertexte"/>
          </w:rPr>
          <w:t>Riz – Accès aux financements principal obstacle au développement de la filière dans la vallée du fleuve Sénégal.</w:t>
        </w:r>
      </w:hyperlink>
    </w:p>
    <w:p w14:paraId="7AC09C85" w14:textId="5E84837F" w:rsidR="00A37817" w:rsidRDefault="00A37817">
      <w:pPr>
        <w:pStyle w:val="TM2"/>
        <w:rPr>
          <w:rFonts w:asciiTheme="minorHAnsi" w:eastAsiaTheme="minorEastAsia" w:hAnsiTheme="minorHAnsi" w:cstheme="minorBidi"/>
          <w:sz w:val="22"/>
          <w:szCs w:val="22"/>
          <w:lang w:eastAsia="fr-FR"/>
        </w:rPr>
      </w:pPr>
      <w:hyperlink w:anchor="_Toc213247437" w:history="1">
        <w:r w:rsidRPr="005B57E7">
          <w:rPr>
            <w:rStyle w:val="Lienhypertexte"/>
          </w:rPr>
          <w:t>Riz – La Société d’aménagement et d’exploitation des terres du delta du fleuve Sénégal et de la Falémé (SAED) lance un programme de réhabilitation de 9 000 ha.</w:t>
        </w:r>
      </w:hyperlink>
    </w:p>
    <w:p w14:paraId="4A418B3C" w14:textId="79F75497" w:rsidR="00A37817" w:rsidRDefault="00A37817">
      <w:pPr>
        <w:pStyle w:val="TM2"/>
        <w:rPr>
          <w:rFonts w:asciiTheme="minorHAnsi" w:eastAsiaTheme="minorEastAsia" w:hAnsiTheme="minorHAnsi" w:cstheme="minorBidi"/>
          <w:sz w:val="22"/>
          <w:szCs w:val="22"/>
          <w:lang w:eastAsia="fr-FR"/>
        </w:rPr>
      </w:pPr>
      <w:hyperlink w:anchor="_Toc213247438" w:history="1">
        <w:r w:rsidRPr="005B57E7">
          <w:rPr>
            <w:rStyle w:val="Lienhypertexte"/>
          </w:rPr>
          <w:t>Riz – Modèle de double culture dans le cadre du projet de développement rural de Savoigne (PDRS).</w:t>
        </w:r>
      </w:hyperlink>
    </w:p>
    <w:p w14:paraId="4F874C72" w14:textId="49B6BB36" w:rsidR="00A37817" w:rsidRDefault="00A37817">
      <w:pPr>
        <w:pStyle w:val="TM2"/>
        <w:rPr>
          <w:rFonts w:asciiTheme="minorHAnsi" w:eastAsiaTheme="minorEastAsia" w:hAnsiTheme="minorHAnsi" w:cstheme="minorBidi"/>
          <w:sz w:val="22"/>
          <w:szCs w:val="22"/>
          <w:lang w:eastAsia="fr-FR"/>
        </w:rPr>
      </w:pPr>
      <w:hyperlink w:anchor="_Toc213247439" w:history="1">
        <w:r w:rsidRPr="005B57E7">
          <w:rPr>
            <w:rStyle w:val="Lienhypertexte"/>
          </w:rPr>
          <w:t>Riz – Inondations et pertes agricoles dans le nord.</w:t>
        </w:r>
      </w:hyperlink>
    </w:p>
    <w:p w14:paraId="148C8E7A" w14:textId="5D2701BB" w:rsidR="00A37817" w:rsidRDefault="00A37817">
      <w:pPr>
        <w:pStyle w:val="TM2"/>
        <w:rPr>
          <w:rFonts w:asciiTheme="minorHAnsi" w:eastAsiaTheme="minorEastAsia" w:hAnsiTheme="minorHAnsi" w:cstheme="minorBidi"/>
          <w:sz w:val="22"/>
          <w:szCs w:val="22"/>
          <w:lang w:eastAsia="fr-FR"/>
        </w:rPr>
      </w:pPr>
      <w:hyperlink w:anchor="_Toc213247440" w:history="1">
        <w:r w:rsidRPr="005B57E7">
          <w:rPr>
            <w:rStyle w:val="Lienhypertexte"/>
          </w:rPr>
          <w:t>Maïs – Rebond attendu de la production nationale.</w:t>
        </w:r>
      </w:hyperlink>
    </w:p>
    <w:p w14:paraId="6F42A8B9" w14:textId="3C6B5336" w:rsidR="00A37817" w:rsidRDefault="00A37817">
      <w:pPr>
        <w:pStyle w:val="TM2"/>
        <w:rPr>
          <w:rFonts w:asciiTheme="minorHAnsi" w:eastAsiaTheme="minorEastAsia" w:hAnsiTheme="minorHAnsi" w:cstheme="minorBidi"/>
          <w:sz w:val="22"/>
          <w:szCs w:val="22"/>
          <w:lang w:eastAsia="fr-FR"/>
        </w:rPr>
      </w:pPr>
      <w:hyperlink w:anchor="_Toc213247441" w:history="1">
        <w:r w:rsidRPr="005B57E7">
          <w:rPr>
            <w:rStyle w:val="Lienhypertexte"/>
          </w:rPr>
          <w:t>Coton – Forte hausse des rendements.</w:t>
        </w:r>
      </w:hyperlink>
    </w:p>
    <w:p w14:paraId="6B4FA935" w14:textId="27500F13" w:rsidR="00A37817" w:rsidRDefault="00A37817">
      <w:pPr>
        <w:pStyle w:val="TM2"/>
        <w:rPr>
          <w:rFonts w:asciiTheme="minorHAnsi" w:eastAsiaTheme="minorEastAsia" w:hAnsiTheme="minorHAnsi" w:cstheme="minorBidi"/>
          <w:sz w:val="22"/>
          <w:szCs w:val="22"/>
          <w:lang w:eastAsia="fr-FR"/>
        </w:rPr>
      </w:pPr>
      <w:hyperlink w:anchor="_Toc213247442" w:history="1">
        <w:r w:rsidRPr="005B57E7">
          <w:rPr>
            <w:rStyle w:val="Lienhypertexte"/>
          </w:rPr>
          <w:t>Sésame – Une filière en croissance.</w:t>
        </w:r>
      </w:hyperlink>
    </w:p>
    <w:p w14:paraId="6A1B3496" w14:textId="6AD9627E" w:rsidR="00A37817" w:rsidRDefault="00A37817">
      <w:pPr>
        <w:pStyle w:val="TM2"/>
        <w:rPr>
          <w:rFonts w:asciiTheme="minorHAnsi" w:eastAsiaTheme="minorEastAsia" w:hAnsiTheme="minorHAnsi" w:cstheme="minorBidi"/>
          <w:sz w:val="22"/>
          <w:szCs w:val="22"/>
          <w:lang w:eastAsia="fr-FR"/>
        </w:rPr>
      </w:pPr>
      <w:hyperlink w:anchor="_Toc213247443" w:history="1">
        <w:r w:rsidRPr="005B57E7">
          <w:rPr>
            <w:rStyle w:val="Lienhypertexte"/>
          </w:rPr>
          <w:t>Maraîchage – Le Cayor se positionne comme nouveau pôle de production nationale.</w:t>
        </w:r>
      </w:hyperlink>
    </w:p>
    <w:p w14:paraId="30BD52B5" w14:textId="2CB16B8F" w:rsidR="00A37817" w:rsidRDefault="00A37817">
      <w:pPr>
        <w:pStyle w:val="TM2"/>
        <w:rPr>
          <w:rFonts w:asciiTheme="minorHAnsi" w:eastAsiaTheme="minorEastAsia" w:hAnsiTheme="minorHAnsi" w:cstheme="minorBidi"/>
          <w:sz w:val="22"/>
          <w:szCs w:val="22"/>
          <w:lang w:eastAsia="fr-FR"/>
        </w:rPr>
      </w:pPr>
      <w:hyperlink w:anchor="_Toc213247444" w:history="1">
        <w:r w:rsidRPr="005B57E7">
          <w:rPr>
            <w:rStyle w:val="Lienhypertexte"/>
          </w:rPr>
          <w:t>Maraîchage – La culture de l’oignon devient un levier d’autonomisation pour les femmes rurales.</w:t>
        </w:r>
      </w:hyperlink>
    </w:p>
    <w:p w14:paraId="6A1AB907" w14:textId="71BD6FDC" w:rsidR="00A37817" w:rsidRDefault="00A37817">
      <w:pPr>
        <w:pStyle w:val="TM2"/>
        <w:rPr>
          <w:rFonts w:asciiTheme="minorHAnsi" w:eastAsiaTheme="minorEastAsia" w:hAnsiTheme="minorHAnsi" w:cstheme="minorBidi"/>
          <w:sz w:val="22"/>
          <w:szCs w:val="22"/>
          <w:lang w:eastAsia="fr-FR"/>
        </w:rPr>
      </w:pPr>
      <w:hyperlink w:anchor="_Toc213247445" w:history="1">
        <w:r w:rsidRPr="005B57E7">
          <w:rPr>
            <w:rStyle w:val="Lienhypertexte"/>
          </w:rPr>
          <w:t>Madd – Baisse de production.</w:t>
        </w:r>
      </w:hyperlink>
    </w:p>
    <w:p w14:paraId="1E392221" w14:textId="44A61A94" w:rsidR="00A37817" w:rsidRDefault="00A37817">
      <w:pPr>
        <w:pStyle w:val="TM2"/>
        <w:rPr>
          <w:rFonts w:asciiTheme="minorHAnsi" w:eastAsiaTheme="minorEastAsia" w:hAnsiTheme="minorHAnsi" w:cstheme="minorBidi"/>
          <w:sz w:val="22"/>
          <w:szCs w:val="22"/>
          <w:lang w:eastAsia="fr-FR"/>
        </w:rPr>
      </w:pPr>
      <w:hyperlink w:anchor="_Toc213247446" w:history="1">
        <w:r w:rsidRPr="005B57E7">
          <w:rPr>
            <w:rStyle w:val="Lienhypertexte"/>
          </w:rPr>
          <w:t>Semences – Adaptation au changement climatique.</w:t>
        </w:r>
      </w:hyperlink>
    </w:p>
    <w:p w14:paraId="10DF04A3" w14:textId="19B487C4" w:rsidR="00A37817" w:rsidRDefault="00A37817">
      <w:pPr>
        <w:pStyle w:val="TM2"/>
        <w:rPr>
          <w:rFonts w:asciiTheme="minorHAnsi" w:eastAsiaTheme="minorEastAsia" w:hAnsiTheme="minorHAnsi" w:cstheme="minorBidi"/>
          <w:sz w:val="22"/>
          <w:szCs w:val="22"/>
          <w:lang w:eastAsia="fr-FR"/>
        </w:rPr>
      </w:pPr>
      <w:hyperlink w:anchor="_Toc213247447" w:history="1">
        <w:r w:rsidRPr="005B57E7">
          <w:rPr>
            <w:rStyle w:val="Lienhypertexte"/>
          </w:rPr>
          <w:t>Semences – Le Projet d’appui au développement des filières semencières dans le bassin du fleuve Sénégal (PAFISEM) renforce la production locale.</w:t>
        </w:r>
      </w:hyperlink>
    </w:p>
    <w:p w14:paraId="56C1A0FA" w14:textId="67C0CB2A" w:rsidR="00A37817" w:rsidRDefault="00A37817">
      <w:pPr>
        <w:pStyle w:val="TM2"/>
        <w:rPr>
          <w:rFonts w:asciiTheme="minorHAnsi" w:eastAsiaTheme="minorEastAsia" w:hAnsiTheme="minorHAnsi" w:cstheme="minorBidi"/>
          <w:sz w:val="22"/>
          <w:szCs w:val="22"/>
          <w:lang w:eastAsia="fr-FR"/>
        </w:rPr>
      </w:pPr>
      <w:hyperlink w:anchor="_Toc213247448" w:history="1">
        <w:r w:rsidRPr="005B57E7">
          <w:rPr>
            <w:rStyle w:val="Lienhypertexte"/>
          </w:rPr>
          <w:t>Pêche – Instauration d’un repos biologique pour la préservation des ressources marines.</w:t>
        </w:r>
      </w:hyperlink>
    </w:p>
    <w:p w14:paraId="5D4986C3" w14:textId="0DF75443" w:rsidR="00A37817" w:rsidRDefault="00A37817">
      <w:pPr>
        <w:pStyle w:val="TM2"/>
        <w:rPr>
          <w:rFonts w:asciiTheme="minorHAnsi" w:eastAsiaTheme="minorEastAsia" w:hAnsiTheme="minorHAnsi" w:cstheme="minorBidi"/>
          <w:sz w:val="22"/>
          <w:szCs w:val="22"/>
          <w:lang w:eastAsia="fr-FR"/>
        </w:rPr>
      </w:pPr>
      <w:hyperlink w:anchor="_Toc213247449" w:history="1">
        <w:r w:rsidRPr="005B57E7">
          <w:rPr>
            <w:rStyle w:val="Lienhypertexte"/>
          </w:rPr>
          <w:t>Pêche – Publication des licences 2025.</w:t>
        </w:r>
      </w:hyperlink>
    </w:p>
    <w:p w14:paraId="68C3CEEA" w14:textId="0CFFB421" w:rsidR="00A37817" w:rsidRDefault="00A37817">
      <w:pPr>
        <w:pStyle w:val="TM2"/>
        <w:rPr>
          <w:rFonts w:asciiTheme="minorHAnsi" w:eastAsiaTheme="minorEastAsia" w:hAnsiTheme="minorHAnsi" w:cstheme="minorBidi"/>
          <w:sz w:val="22"/>
          <w:szCs w:val="22"/>
          <w:lang w:eastAsia="fr-FR"/>
        </w:rPr>
      </w:pPr>
      <w:hyperlink w:anchor="_Toc213247450" w:history="1">
        <w:r w:rsidRPr="005B57E7">
          <w:rPr>
            <w:rStyle w:val="Lienhypertexte"/>
          </w:rPr>
          <w:t>Pêche – Des récifs artificiels pour restaurer les ressources halieutiques.</w:t>
        </w:r>
      </w:hyperlink>
    </w:p>
    <w:p w14:paraId="3AE5CC50" w14:textId="58E17E10" w:rsidR="00A37817" w:rsidRDefault="00A37817">
      <w:pPr>
        <w:pStyle w:val="TM2"/>
        <w:rPr>
          <w:rFonts w:asciiTheme="minorHAnsi" w:eastAsiaTheme="minorEastAsia" w:hAnsiTheme="minorHAnsi" w:cstheme="minorBidi"/>
          <w:sz w:val="22"/>
          <w:szCs w:val="22"/>
          <w:lang w:eastAsia="fr-FR"/>
        </w:rPr>
      </w:pPr>
      <w:hyperlink w:anchor="_Toc213247451" w:history="1">
        <w:r w:rsidRPr="005B57E7">
          <w:rPr>
            <w:rStyle w:val="Lienhypertexte"/>
          </w:rPr>
          <w:t>Aquaculture – 30 000 alevins pour renforcer la production.</w:t>
        </w:r>
      </w:hyperlink>
    </w:p>
    <w:p w14:paraId="1CDBE2B8" w14:textId="7AF2E89E" w:rsidR="00A37817" w:rsidRDefault="00A37817">
      <w:pPr>
        <w:pStyle w:val="TM2"/>
        <w:rPr>
          <w:rFonts w:asciiTheme="minorHAnsi" w:eastAsiaTheme="minorEastAsia" w:hAnsiTheme="minorHAnsi" w:cstheme="minorBidi"/>
          <w:sz w:val="22"/>
          <w:szCs w:val="22"/>
          <w:lang w:eastAsia="fr-FR"/>
        </w:rPr>
      </w:pPr>
      <w:hyperlink w:anchor="_Toc213247452" w:history="1">
        <w:r w:rsidRPr="005B57E7">
          <w:rPr>
            <w:rStyle w:val="Lienhypertexte"/>
          </w:rPr>
          <w:t>Ostréiculture – Mise en service du bassin de dégorgement de Nema Bah.</w:t>
        </w:r>
      </w:hyperlink>
    </w:p>
    <w:p w14:paraId="3A957586" w14:textId="5E0E134F" w:rsidR="00A37817" w:rsidRDefault="00A37817">
      <w:pPr>
        <w:pStyle w:val="TM2"/>
        <w:rPr>
          <w:rFonts w:asciiTheme="minorHAnsi" w:eastAsiaTheme="minorEastAsia" w:hAnsiTheme="minorHAnsi" w:cstheme="minorBidi"/>
          <w:sz w:val="22"/>
          <w:szCs w:val="22"/>
          <w:lang w:eastAsia="fr-FR"/>
        </w:rPr>
      </w:pPr>
      <w:hyperlink w:anchor="_Toc213247453" w:history="1">
        <w:r w:rsidRPr="005B57E7">
          <w:rPr>
            <w:rStyle w:val="Lienhypertexte"/>
          </w:rPr>
          <w:t>Élevage – Sensibilisation sur la fièvre de la vallée du Rift.</w:t>
        </w:r>
      </w:hyperlink>
    </w:p>
    <w:p w14:paraId="12CA76DD" w14:textId="0BBCC7B9" w:rsidR="00A37817" w:rsidRDefault="00A37817">
      <w:pPr>
        <w:pStyle w:val="TM2"/>
        <w:rPr>
          <w:rFonts w:asciiTheme="minorHAnsi" w:eastAsiaTheme="minorEastAsia" w:hAnsiTheme="minorHAnsi" w:cstheme="minorBidi"/>
          <w:sz w:val="22"/>
          <w:szCs w:val="22"/>
          <w:lang w:eastAsia="fr-FR"/>
        </w:rPr>
      </w:pPr>
      <w:hyperlink w:anchor="_Toc213247454" w:history="1">
        <w:r w:rsidRPr="005B57E7">
          <w:rPr>
            <w:rStyle w:val="Lienhypertexte"/>
          </w:rPr>
          <w:t>Élevage – Premiers résultats du Programme national de développement intégré de l’élevage au Sénégal (PNDIES).</w:t>
        </w:r>
      </w:hyperlink>
    </w:p>
    <w:p w14:paraId="7C3EC650" w14:textId="0B34C164" w:rsidR="00A37817" w:rsidRDefault="00A37817">
      <w:pPr>
        <w:pStyle w:val="TM2"/>
        <w:rPr>
          <w:rFonts w:asciiTheme="minorHAnsi" w:eastAsiaTheme="minorEastAsia" w:hAnsiTheme="minorHAnsi" w:cstheme="minorBidi"/>
          <w:sz w:val="22"/>
          <w:szCs w:val="22"/>
          <w:lang w:eastAsia="fr-FR"/>
        </w:rPr>
      </w:pPr>
      <w:hyperlink w:anchor="_Toc213247455" w:history="1">
        <w:r w:rsidRPr="005B57E7">
          <w:rPr>
            <w:rStyle w:val="Lienhypertexte"/>
          </w:rPr>
          <w:t>Élevage – Projet de nouveaux périmètres fourragers et centre de production bovine.</w:t>
        </w:r>
      </w:hyperlink>
    </w:p>
    <w:p w14:paraId="0F4AD697" w14:textId="5041D3CE" w:rsidR="00A37817" w:rsidRDefault="00A37817">
      <w:pPr>
        <w:pStyle w:val="TM2"/>
        <w:rPr>
          <w:rFonts w:asciiTheme="minorHAnsi" w:eastAsiaTheme="minorEastAsia" w:hAnsiTheme="minorHAnsi" w:cstheme="minorBidi"/>
          <w:sz w:val="22"/>
          <w:szCs w:val="22"/>
          <w:lang w:eastAsia="fr-FR"/>
        </w:rPr>
      </w:pPr>
      <w:hyperlink w:anchor="_Toc213247456" w:history="1">
        <w:r w:rsidRPr="005B57E7">
          <w:rPr>
            <w:rStyle w:val="Lienhypertexte"/>
          </w:rPr>
          <w:t>Pastoralisme – Résultat à mi-parcours du Projet régional d’appui au pastoralisme au Sahel.</w:t>
        </w:r>
      </w:hyperlink>
    </w:p>
    <w:p w14:paraId="45170525" w14:textId="0383195C" w:rsidR="00A37817" w:rsidRDefault="00A37817">
      <w:pPr>
        <w:pStyle w:val="TM2"/>
        <w:rPr>
          <w:rFonts w:asciiTheme="minorHAnsi" w:eastAsiaTheme="minorEastAsia" w:hAnsiTheme="minorHAnsi" w:cstheme="minorBidi"/>
          <w:sz w:val="22"/>
          <w:szCs w:val="22"/>
          <w:lang w:eastAsia="fr-FR"/>
        </w:rPr>
      </w:pPr>
      <w:hyperlink w:anchor="_Toc213247457" w:history="1">
        <w:r w:rsidRPr="005B57E7">
          <w:rPr>
            <w:rStyle w:val="Lienhypertexte"/>
          </w:rPr>
          <w:t>Volaille – Offensive contre les importations frauduleuses de viande.</w:t>
        </w:r>
      </w:hyperlink>
    </w:p>
    <w:p w14:paraId="1F2D2F50" w14:textId="13D0BF48" w:rsidR="00A37817" w:rsidRDefault="00A37817">
      <w:pPr>
        <w:pStyle w:val="TM2"/>
        <w:rPr>
          <w:rFonts w:asciiTheme="minorHAnsi" w:eastAsiaTheme="minorEastAsia" w:hAnsiTheme="minorHAnsi" w:cstheme="minorBidi"/>
          <w:sz w:val="22"/>
          <w:szCs w:val="22"/>
          <w:lang w:eastAsia="fr-FR"/>
        </w:rPr>
      </w:pPr>
      <w:hyperlink w:anchor="_Toc213247458" w:history="1">
        <w:r w:rsidRPr="005B57E7">
          <w:rPr>
            <w:rStyle w:val="Lienhypertexte"/>
            <w:b/>
          </w:rPr>
          <w:t>Halal – Ambition visant à positionner le Sénégal comme pôle de référence du halal en Afrique.</w:t>
        </w:r>
      </w:hyperlink>
    </w:p>
    <w:p w14:paraId="237CE5DC" w14:textId="1F0FD6E7" w:rsidR="00A37817" w:rsidRDefault="00A37817">
      <w:pPr>
        <w:pStyle w:val="TM2"/>
        <w:rPr>
          <w:rFonts w:asciiTheme="minorHAnsi" w:eastAsiaTheme="minorEastAsia" w:hAnsiTheme="minorHAnsi" w:cstheme="minorBidi"/>
          <w:sz w:val="22"/>
          <w:szCs w:val="22"/>
          <w:lang w:eastAsia="fr-FR"/>
        </w:rPr>
      </w:pPr>
      <w:hyperlink w:anchor="_Toc213247459" w:history="1">
        <w:r w:rsidRPr="005B57E7">
          <w:rPr>
            <w:rStyle w:val="Lienhypertexte"/>
          </w:rPr>
          <w:t>Agroforesterie – Le projet Galileo renforce la résilience des communautés rurales.</w:t>
        </w:r>
      </w:hyperlink>
    </w:p>
    <w:p w14:paraId="098ADB94" w14:textId="4015A37C" w:rsidR="00A37817" w:rsidRDefault="00A37817">
      <w:pPr>
        <w:pStyle w:val="TM2"/>
        <w:rPr>
          <w:rFonts w:asciiTheme="minorHAnsi" w:eastAsiaTheme="minorEastAsia" w:hAnsiTheme="minorHAnsi" w:cstheme="minorBidi"/>
          <w:sz w:val="22"/>
          <w:szCs w:val="22"/>
          <w:lang w:eastAsia="fr-FR"/>
        </w:rPr>
      </w:pPr>
      <w:hyperlink w:anchor="_Toc213247460" w:history="1">
        <w:r w:rsidRPr="005B57E7">
          <w:rPr>
            <w:rStyle w:val="Lienhypertexte"/>
          </w:rPr>
          <w:t>Agroforesterie – Innovations locales pour la résilience climatique.</w:t>
        </w:r>
      </w:hyperlink>
    </w:p>
    <w:p w14:paraId="2F166827" w14:textId="05E8D6A9" w:rsidR="00A37817" w:rsidRDefault="00A37817">
      <w:pPr>
        <w:pStyle w:val="TM2"/>
        <w:rPr>
          <w:rFonts w:asciiTheme="minorHAnsi" w:eastAsiaTheme="minorEastAsia" w:hAnsiTheme="minorHAnsi" w:cstheme="minorBidi"/>
          <w:sz w:val="22"/>
          <w:szCs w:val="22"/>
          <w:lang w:eastAsia="fr-FR"/>
        </w:rPr>
      </w:pPr>
      <w:hyperlink w:anchor="_Toc213247461" w:history="1">
        <w:r w:rsidRPr="005B57E7">
          <w:rPr>
            <w:rStyle w:val="Lienhypertexte"/>
          </w:rPr>
          <w:t>Agroécologie – Formations.</w:t>
        </w:r>
      </w:hyperlink>
    </w:p>
    <w:p w14:paraId="09A65A2B" w14:textId="4FFE38B3" w:rsidR="00A37817" w:rsidRDefault="00A37817">
      <w:pPr>
        <w:pStyle w:val="TM2"/>
        <w:rPr>
          <w:rFonts w:asciiTheme="minorHAnsi" w:eastAsiaTheme="minorEastAsia" w:hAnsiTheme="minorHAnsi" w:cstheme="minorBidi"/>
          <w:sz w:val="22"/>
          <w:szCs w:val="22"/>
          <w:lang w:eastAsia="fr-FR"/>
        </w:rPr>
      </w:pPr>
      <w:hyperlink w:anchor="_Toc213247462" w:history="1">
        <w:r w:rsidRPr="005B57E7">
          <w:rPr>
            <w:rStyle w:val="Lienhypertexte"/>
          </w:rPr>
          <w:t>Infrastructure – Relance du port de Ziguinchor et dragage du fleuve Casamance.</w:t>
        </w:r>
      </w:hyperlink>
    </w:p>
    <w:p w14:paraId="4DDDC75D" w14:textId="25CBDF63" w:rsidR="00A37817" w:rsidRDefault="00A37817">
      <w:pPr>
        <w:pStyle w:val="TM2"/>
        <w:rPr>
          <w:rFonts w:asciiTheme="minorHAnsi" w:eastAsiaTheme="minorEastAsia" w:hAnsiTheme="minorHAnsi" w:cstheme="minorBidi"/>
          <w:sz w:val="22"/>
          <w:szCs w:val="22"/>
          <w:lang w:eastAsia="fr-FR"/>
        </w:rPr>
      </w:pPr>
      <w:hyperlink w:anchor="_Toc213247463" w:history="1">
        <w:r w:rsidRPr="005B57E7">
          <w:rPr>
            <w:rStyle w:val="Lienhypertexte"/>
          </w:rPr>
          <w:t>Coopération bilatérale – Appuie du Japon au secteur agricole et à la formation technique.</w:t>
        </w:r>
      </w:hyperlink>
    </w:p>
    <w:p w14:paraId="503606E9" w14:textId="1E06C742" w:rsidR="00A37817" w:rsidRDefault="00A37817">
      <w:pPr>
        <w:pStyle w:val="TM2"/>
        <w:rPr>
          <w:rFonts w:asciiTheme="minorHAnsi" w:eastAsiaTheme="minorEastAsia" w:hAnsiTheme="minorHAnsi" w:cstheme="minorBidi"/>
          <w:sz w:val="22"/>
          <w:szCs w:val="22"/>
          <w:lang w:eastAsia="fr-FR"/>
        </w:rPr>
      </w:pPr>
      <w:hyperlink w:anchor="_Toc213247464" w:history="1">
        <w:r w:rsidRPr="005B57E7">
          <w:rPr>
            <w:rStyle w:val="Lienhypertexte"/>
          </w:rPr>
          <w:t>Evènement - Célébration de la journée mondiale de l’alimentation.</w:t>
        </w:r>
      </w:hyperlink>
    </w:p>
    <w:p w14:paraId="43B40777" w14:textId="5AE04377" w:rsidR="00A37817" w:rsidRDefault="00A37817">
      <w:pPr>
        <w:pStyle w:val="TM2"/>
        <w:rPr>
          <w:rFonts w:asciiTheme="minorHAnsi" w:eastAsiaTheme="minorEastAsia" w:hAnsiTheme="minorHAnsi" w:cstheme="minorBidi"/>
          <w:sz w:val="22"/>
          <w:szCs w:val="22"/>
          <w:lang w:eastAsia="fr-FR"/>
        </w:rPr>
      </w:pPr>
      <w:hyperlink w:anchor="_Toc213247465" w:history="1">
        <w:r w:rsidRPr="005B57E7">
          <w:rPr>
            <w:rStyle w:val="Lienhypertexte"/>
          </w:rPr>
          <w:t>Vie des sociétés – La Société nationale de commercialisation des oléagineux (SONACOS) relance son usine de Ziguinchor.</w:t>
        </w:r>
      </w:hyperlink>
    </w:p>
    <w:p w14:paraId="6C8F2C81" w14:textId="6DFF5816" w:rsidR="00A37817" w:rsidRDefault="00A37817">
      <w:pPr>
        <w:pStyle w:val="TM2"/>
        <w:rPr>
          <w:rFonts w:asciiTheme="minorHAnsi" w:eastAsiaTheme="minorEastAsia" w:hAnsiTheme="minorHAnsi" w:cstheme="minorBidi"/>
          <w:sz w:val="22"/>
          <w:szCs w:val="22"/>
          <w:lang w:eastAsia="fr-FR"/>
        </w:rPr>
      </w:pPr>
      <w:hyperlink w:anchor="_Toc213247466" w:history="1">
        <w:r w:rsidRPr="005B57E7">
          <w:rPr>
            <w:rStyle w:val="Lienhypertexte"/>
          </w:rPr>
          <w:t>Vie des sociétés – Expansion de la Laiterie du Berger.</w:t>
        </w:r>
      </w:hyperlink>
    </w:p>
    <w:p w14:paraId="4BAB4D9E" w14:textId="60A5B2FC" w:rsidR="00A37817" w:rsidRDefault="00A37817">
      <w:pPr>
        <w:pStyle w:val="TM2"/>
        <w:rPr>
          <w:rFonts w:asciiTheme="minorHAnsi" w:eastAsiaTheme="minorEastAsia" w:hAnsiTheme="minorHAnsi" w:cstheme="minorBidi"/>
          <w:sz w:val="22"/>
          <w:szCs w:val="22"/>
          <w:lang w:eastAsia="fr-FR"/>
        </w:rPr>
      </w:pPr>
      <w:hyperlink w:anchor="_Toc213247467" w:history="1">
        <w:r w:rsidRPr="005B57E7">
          <w:rPr>
            <w:rStyle w:val="Lienhypertexte"/>
          </w:rPr>
          <w:t>Vie des sociétés – IINDORAMA va investir 126 Mds FCFA.</w:t>
        </w:r>
      </w:hyperlink>
    </w:p>
    <w:p w14:paraId="05CD90E0" w14:textId="05E1E089" w:rsidR="00A37817" w:rsidRDefault="00A37817">
      <w:pPr>
        <w:pStyle w:val="TM1"/>
        <w:rPr>
          <w:rFonts w:asciiTheme="minorHAnsi" w:eastAsiaTheme="minorEastAsia" w:hAnsiTheme="minorHAnsi" w:cstheme="minorBidi"/>
          <w:b w:val="0"/>
          <w:color w:val="auto"/>
          <w:sz w:val="22"/>
          <w:szCs w:val="22"/>
          <w:lang w:eastAsia="fr-FR"/>
        </w:rPr>
      </w:pPr>
      <w:hyperlink w:anchor="_Toc213247468" w:history="1">
        <w:r w:rsidRPr="005B57E7">
          <w:rPr>
            <w:rStyle w:val="Lienhypertexte"/>
          </w:rPr>
          <w:t>Bénin</w:t>
        </w:r>
      </w:hyperlink>
    </w:p>
    <w:p w14:paraId="3A3B991F" w14:textId="6558D4EB" w:rsidR="00A37817" w:rsidRDefault="00A37817">
      <w:pPr>
        <w:pStyle w:val="TM2"/>
        <w:rPr>
          <w:rFonts w:asciiTheme="minorHAnsi" w:eastAsiaTheme="minorEastAsia" w:hAnsiTheme="minorHAnsi" w:cstheme="minorBidi"/>
          <w:sz w:val="22"/>
          <w:szCs w:val="22"/>
          <w:lang w:eastAsia="fr-FR"/>
        </w:rPr>
      </w:pPr>
      <w:hyperlink w:anchor="_Toc213247469" w:history="1">
        <w:r w:rsidRPr="005B57E7">
          <w:rPr>
            <w:rStyle w:val="Lienhypertexte"/>
          </w:rPr>
          <w:t>Agriculture et agroalimentaire – Note sur le secteur.</w:t>
        </w:r>
      </w:hyperlink>
    </w:p>
    <w:p w14:paraId="1B6E1980" w14:textId="75D1568E" w:rsidR="00A37817" w:rsidRDefault="00A37817">
      <w:pPr>
        <w:pStyle w:val="TM2"/>
        <w:rPr>
          <w:rFonts w:asciiTheme="minorHAnsi" w:eastAsiaTheme="minorEastAsia" w:hAnsiTheme="minorHAnsi" w:cstheme="minorBidi"/>
          <w:sz w:val="22"/>
          <w:szCs w:val="22"/>
          <w:lang w:eastAsia="fr-FR"/>
        </w:rPr>
      </w:pPr>
      <w:hyperlink w:anchor="_Toc213247470" w:history="1">
        <w:r w:rsidRPr="005B57E7">
          <w:rPr>
            <w:rStyle w:val="Lienhypertexte"/>
          </w:rPr>
          <w:t>Politique agricole – Le Bénin champion de la transformation agricole.</w:t>
        </w:r>
      </w:hyperlink>
    </w:p>
    <w:p w14:paraId="69D4F1CE" w14:textId="452026D6" w:rsidR="00A37817" w:rsidRDefault="00A37817">
      <w:pPr>
        <w:pStyle w:val="TM2"/>
        <w:rPr>
          <w:rFonts w:asciiTheme="minorHAnsi" w:eastAsiaTheme="minorEastAsia" w:hAnsiTheme="minorHAnsi" w:cstheme="minorBidi"/>
          <w:sz w:val="22"/>
          <w:szCs w:val="22"/>
          <w:lang w:eastAsia="fr-FR"/>
        </w:rPr>
      </w:pPr>
      <w:hyperlink w:anchor="_Toc213247471" w:history="1">
        <w:r w:rsidRPr="005B57E7">
          <w:rPr>
            <w:rStyle w:val="Lienhypertexte"/>
          </w:rPr>
          <w:t>Coton – Lancement de la campagne de commercialisation 2025-2026.</w:t>
        </w:r>
      </w:hyperlink>
    </w:p>
    <w:p w14:paraId="294D4F6B" w14:textId="02321457" w:rsidR="00A37817" w:rsidRDefault="00A37817">
      <w:pPr>
        <w:pStyle w:val="TM2"/>
        <w:rPr>
          <w:rFonts w:asciiTheme="minorHAnsi" w:eastAsiaTheme="minorEastAsia" w:hAnsiTheme="minorHAnsi" w:cstheme="minorBidi"/>
          <w:sz w:val="22"/>
          <w:szCs w:val="22"/>
          <w:lang w:eastAsia="fr-FR"/>
        </w:rPr>
      </w:pPr>
      <w:hyperlink w:anchor="_Toc213247472" w:history="1">
        <w:r w:rsidRPr="005B57E7">
          <w:rPr>
            <w:rStyle w:val="Lienhypertexte"/>
          </w:rPr>
          <w:t>Soja – Renforcement de l’encadrement technique des producteurs.</w:t>
        </w:r>
      </w:hyperlink>
    </w:p>
    <w:p w14:paraId="15EC7EB6" w14:textId="6159EDA6" w:rsidR="00A37817" w:rsidRDefault="00A37817">
      <w:pPr>
        <w:pStyle w:val="TM2"/>
        <w:rPr>
          <w:rFonts w:asciiTheme="minorHAnsi" w:eastAsiaTheme="minorEastAsia" w:hAnsiTheme="minorHAnsi" w:cstheme="minorBidi"/>
          <w:sz w:val="22"/>
          <w:szCs w:val="22"/>
          <w:lang w:eastAsia="fr-FR"/>
        </w:rPr>
      </w:pPr>
      <w:hyperlink w:anchor="_Toc213247473" w:history="1">
        <w:r w:rsidRPr="005B57E7">
          <w:rPr>
            <w:rStyle w:val="Lienhypertexte"/>
          </w:rPr>
          <w:t>Soja – Unité de transformation.</w:t>
        </w:r>
      </w:hyperlink>
    </w:p>
    <w:p w14:paraId="2CC5C07E" w14:textId="3BA8B991" w:rsidR="00A37817" w:rsidRDefault="00A37817">
      <w:pPr>
        <w:pStyle w:val="TM2"/>
        <w:rPr>
          <w:rFonts w:asciiTheme="minorHAnsi" w:eastAsiaTheme="minorEastAsia" w:hAnsiTheme="minorHAnsi" w:cstheme="minorBidi"/>
          <w:sz w:val="22"/>
          <w:szCs w:val="22"/>
          <w:lang w:eastAsia="fr-FR"/>
        </w:rPr>
      </w:pPr>
      <w:hyperlink w:anchor="_Toc213247474" w:history="1">
        <w:r w:rsidRPr="005B57E7">
          <w:rPr>
            <w:rStyle w:val="Lienhypertexte"/>
          </w:rPr>
          <w:t>Riz – Création d’une interprofession.</w:t>
        </w:r>
      </w:hyperlink>
    </w:p>
    <w:p w14:paraId="39767A57" w14:textId="05AE5609" w:rsidR="00A37817" w:rsidRDefault="00A37817">
      <w:pPr>
        <w:pStyle w:val="TM2"/>
        <w:rPr>
          <w:rFonts w:asciiTheme="minorHAnsi" w:eastAsiaTheme="minorEastAsia" w:hAnsiTheme="minorHAnsi" w:cstheme="minorBidi"/>
          <w:sz w:val="22"/>
          <w:szCs w:val="22"/>
          <w:lang w:eastAsia="fr-FR"/>
        </w:rPr>
      </w:pPr>
      <w:hyperlink w:anchor="_Toc213247475" w:history="1">
        <w:r w:rsidRPr="005B57E7">
          <w:rPr>
            <w:rStyle w:val="Lienhypertexte"/>
          </w:rPr>
          <w:t>Riz – Partenariat avec la Suisse.</w:t>
        </w:r>
      </w:hyperlink>
    </w:p>
    <w:p w14:paraId="114029E9" w14:textId="5CE6967A" w:rsidR="00A37817" w:rsidRDefault="00A37817">
      <w:pPr>
        <w:pStyle w:val="TM2"/>
        <w:rPr>
          <w:rFonts w:asciiTheme="minorHAnsi" w:eastAsiaTheme="minorEastAsia" w:hAnsiTheme="minorHAnsi" w:cstheme="minorBidi"/>
          <w:sz w:val="22"/>
          <w:szCs w:val="22"/>
          <w:lang w:eastAsia="fr-FR"/>
        </w:rPr>
      </w:pPr>
      <w:hyperlink w:anchor="_Toc213247476" w:history="1">
        <w:r w:rsidRPr="005B57E7">
          <w:rPr>
            <w:rStyle w:val="Lienhypertexte"/>
          </w:rPr>
          <w:t>Oignon – Crise de mévente liée aux importations massives.</w:t>
        </w:r>
      </w:hyperlink>
    </w:p>
    <w:p w14:paraId="65947C00" w14:textId="2DA52625" w:rsidR="00A37817" w:rsidRDefault="00A37817">
      <w:pPr>
        <w:pStyle w:val="TM2"/>
        <w:rPr>
          <w:rFonts w:asciiTheme="minorHAnsi" w:eastAsiaTheme="minorEastAsia" w:hAnsiTheme="minorHAnsi" w:cstheme="minorBidi"/>
          <w:sz w:val="22"/>
          <w:szCs w:val="22"/>
          <w:lang w:eastAsia="fr-FR"/>
        </w:rPr>
      </w:pPr>
      <w:hyperlink w:anchor="_Toc213247477" w:history="1">
        <w:r w:rsidRPr="005B57E7">
          <w:rPr>
            <w:rStyle w:val="Lienhypertexte"/>
          </w:rPr>
          <w:t>Semences – Nouvelles variétés maraîchères.</w:t>
        </w:r>
      </w:hyperlink>
    </w:p>
    <w:p w14:paraId="0C65FA39" w14:textId="45BA2E27" w:rsidR="00A37817" w:rsidRDefault="00A37817">
      <w:pPr>
        <w:pStyle w:val="TM2"/>
        <w:rPr>
          <w:rFonts w:asciiTheme="minorHAnsi" w:eastAsiaTheme="minorEastAsia" w:hAnsiTheme="minorHAnsi" w:cstheme="minorBidi"/>
          <w:sz w:val="22"/>
          <w:szCs w:val="22"/>
          <w:lang w:eastAsia="fr-FR"/>
        </w:rPr>
      </w:pPr>
      <w:hyperlink w:anchor="_Toc213247478" w:history="1">
        <w:r w:rsidRPr="005B57E7">
          <w:rPr>
            <w:rStyle w:val="Lienhypertexte"/>
          </w:rPr>
          <w:t>Semences – 8</w:t>
        </w:r>
        <w:r w:rsidRPr="005B57E7">
          <w:rPr>
            <w:rStyle w:val="Lienhypertexte"/>
            <w:vertAlign w:val="superscript"/>
          </w:rPr>
          <w:t>ème</w:t>
        </w:r>
        <w:r w:rsidRPr="005B57E7">
          <w:rPr>
            <w:rStyle w:val="Lienhypertexte"/>
          </w:rPr>
          <w:t xml:space="preserve"> foire des semences locales et des mets du terroir.</w:t>
        </w:r>
      </w:hyperlink>
    </w:p>
    <w:p w14:paraId="3F3D179A" w14:textId="3C428815" w:rsidR="00A37817" w:rsidRDefault="00A37817">
      <w:pPr>
        <w:pStyle w:val="TM2"/>
        <w:rPr>
          <w:rFonts w:asciiTheme="minorHAnsi" w:eastAsiaTheme="minorEastAsia" w:hAnsiTheme="minorHAnsi" w:cstheme="minorBidi"/>
          <w:sz w:val="22"/>
          <w:szCs w:val="22"/>
          <w:lang w:eastAsia="fr-FR"/>
        </w:rPr>
      </w:pPr>
      <w:hyperlink w:anchor="_Toc213247479" w:history="1">
        <w:r w:rsidRPr="005B57E7">
          <w:rPr>
            <w:rStyle w:val="Lienhypertexte"/>
          </w:rPr>
          <w:t>Plantain – Une culture stratégique en expansion.</w:t>
        </w:r>
      </w:hyperlink>
    </w:p>
    <w:p w14:paraId="25BF3FF2" w14:textId="32E3C101" w:rsidR="00A37817" w:rsidRDefault="00A37817">
      <w:pPr>
        <w:pStyle w:val="TM2"/>
        <w:rPr>
          <w:rFonts w:asciiTheme="minorHAnsi" w:eastAsiaTheme="minorEastAsia" w:hAnsiTheme="minorHAnsi" w:cstheme="minorBidi"/>
          <w:sz w:val="22"/>
          <w:szCs w:val="22"/>
          <w:lang w:eastAsia="fr-FR"/>
        </w:rPr>
      </w:pPr>
      <w:hyperlink w:anchor="_Toc213247480" w:history="1">
        <w:r w:rsidRPr="005B57E7">
          <w:rPr>
            <w:rStyle w:val="Lienhypertexte"/>
          </w:rPr>
          <w:t>Karité – Hausse de la taxe à l’exportation.</w:t>
        </w:r>
      </w:hyperlink>
    </w:p>
    <w:p w14:paraId="3504E7F4" w14:textId="751D5112" w:rsidR="00A37817" w:rsidRDefault="00A37817">
      <w:pPr>
        <w:pStyle w:val="TM2"/>
        <w:rPr>
          <w:rFonts w:asciiTheme="minorHAnsi" w:eastAsiaTheme="minorEastAsia" w:hAnsiTheme="minorHAnsi" w:cstheme="minorBidi"/>
          <w:sz w:val="22"/>
          <w:szCs w:val="22"/>
          <w:lang w:eastAsia="fr-FR"/>
        </w:rPr>
      </w:pPr>
      <w:hyperlink w:anchor="_Toc213247481" w:history="1">
        <w:r w:rsidRPr="005B57E7">
          <w:rPr>
            <w:rStyle w:val="Lienhypertexte"/>
          </w:rPr>
          <w:t>Ovin – Lancement d’un projet pour la production durable d’agneaux.</w:t>
        </w:r>
      </w:hyperlink>
    </w:p>
    <w:p w14:paraId="18434898" w14:textId="49828B92" w:rsidR="00A37817" w:rsidRDefault="00A37817">
      <w:pPr>
        <w:pStyle w:val="TM2"/>
        <w:rPr>
          <w:rFonts w:asciiTheme="minorHAnsi" w:eastAsiaTheme="minorEastAsia" w:hAnsiTheme="minorHAnsi" w:cstheme="minorBidi"/>
          <w:sz w:val="22"/>
          <w:szCs w:val="22"/>
          <w:lang w:eastAsia="fr-FR"/>
        </w:rPr>
      </w:pPr>
      <w:hyperlink w:anchor="_Toc213247482" w:history="1">
        <w:r w:rsidRPr="005B57E7">
          <w:rPr>
            <w:rStyle w:val="Lienhypertexte"/>
          </w:rPr>
          <w:t>Aviculture – Appel à projets du Fonds national de développement agricole (FNDA) pour stimuler la production nationale.</w:t>
        </w:r>
      </w:hyperlink>
    </w:p>
    <w:p w14:paraId="6844B799" w14:textId="6A63F6EF" w:rsidR="00A37817" w:rsidRDefault="00A37817">
      <w:pPr>
        <w:pStyle w:val="TM2"/>
        <w:rPr>
          <w:rFonts w:asciiTheme="minorHAnsi" w:eastAsiaTheme="minorEastAsia" w:hAnsiTheme="minorHAnsi" w:cstheme="minorBidi"/>
          <w:sz w:val="22"/>
          <w:szCs w:val="22"/>
          <w:lang w:eastAsia="fr-FR"/>
        </w:rPr>
      </w:pPr>
      <w:hyperlink w:anchor="_Toc213247483" w:history="1">
        <w:r w:rsidRPr="005B57E7">
          <w:rPr>
            <w:rStyle w:val="Lienhypertexte"/>
          </w:rPr>
          <w:t>Volaille – Débat sur la transformation semi-industrielle.</w:t>
        </w:r>
      </w:hyperlink>
    </w:p>
    <w:p w14:paraId="2F445441" w14:textId="17C7C9CA" w:rsidR="00A37817" w:rsidRDefault="00A37817">
      <w:pPr>
        <w:pStyle w:val="TM2"/>
        <w:rPr>
          <w:rFonts w:asciiTheme="minorHAnsi" w:eastAsiaTheme="minorEastAsia" w:hAnsiTheme="minorHAnsi" w:cstheme="minorBidi"/>
          <w:sz w:val="22"/>
          <w:szCs w:val="22"/>
          <w:lang w:eastAsia="fr-FR"/>
        </w:rPr>
      </w:pPr>
      <w:hyperlink w:anchor="_Toc213247484" w:history="1">
        <w:r w:rsidRPr="005B57E7">
          <w:rPr>
            <w:rStyle w:val="Lienhypertexte"/>
          </w:rPr>
          <w:t>IGP – Le Gari Sohoui de Savalou et l’Huile Azimi d’Agonlin obtiennent le label.</w:t>
        </w:r>
      </w:hyperlink>
    </w:p>
    <w:p w14:paraId="6B611C20" w14:textId="7F261835" w:rsidR="00A37817" w:rsidRDefault="00A37817">
      <w:pPr>
        <w:pStyle w:val="TM2"/>
        <w:rPr>
          <w:rFonts w:asciiTheme="minorHAnsi" w:eastAsiaTheme="minorEastAsia" w:hAnsiTheme="minorHAnsi" w:cstheme="minorBidi"/>
          <w:sz w:val="22"/>
          <w:szCs w:val="22"/>
          <w:lang w:eastAsia="fr-FR"/>
        </w:rPr>
      </w:pPr>
      <w:hyperlink w:anchor="_Toc213247485" w:history="1">
        <w:r w:rsidRPr="005B57E7">
          <w:rPr>
            <w:rStyle w:val="Lienhypertexte"/>
          </w:rPr>
          <w:t>Ananas – L’IGP « Pain de sucre » séduit à l’Expo Osaka 2025.</w:t>
        </w:r>
      </w:hyperlink>
    </w:p>
    <w:p w14:paraId="0780E1A7" w14:textId="6A8DFA56" w:rsidR="00A37817" w:rsidRDefault="00A37817">
      <w:pPr>
        <w:pStyle w:val="TM2"/>
        <w:rPr>
          <w:rFonts w:asciiTheme="minorHAnsi" w:eastAsiaTheme="minorEastAsia" w:hAnsiTheme="minorHAnsi" w:cstheme="minorBidi"/>
          <w:sz w:val="22"/>
          <w:szCs w:val="22"/>
          <w:lang w:eastAsia="fr-FR"/>
        </w:rPr>
      </w:pPr>
      <w:hyperlink w:anchor="_Toc213247486" w:history="1">
        <w:r w:rsidRPr="005B57E7">
          <w:rPr>
            <w:rStyle w:val="Lienhypertexte"/>
          </w:rPr>
          <w:t>Entreprenariat – 126 M de FCFA pour l’installation de 13 promoteurs agricoles dans le cadre du Programme Agrostudies.</w:t>
        </w:r>
      </w:hyperlink>
    </w:p>
    <w:p w14:paraId="765D780A" w14:textId="4707245A" w:rsidR="00A37817" w:rsidRDefault="00A37817">
      <w:pPr>
        <w:pStyle w:val="TM1"/>
        <w:rPr>
          <w:rFonts w:asciiTheme="minorHAnsi" w:eastAsiaTheme="minorEastAsia" w:hAnsiTheme="minorHAnsi" w:cstheme="minorBidi"/>
          <w:b w:val="0"/>
          <w:color w:val="auto"/>
          <w:sz w:val="22"/>
          <w:szCs w:val="22"/>
          <w:lang w:eastAsia="fr-FR"/>
        </w:rPr>
      </w:pPr>
      <w:hyperlink w:anchor="_Toc213247487" w:history="1">
        <w:r w:rsidRPr="005B57E7">
          <w:rPr>
            <w:rStyle w:val="Lienhypertexte"/>
          </w:rPr>
          <w:t>Burkina Faso</w:t>
        </w:r>
      </w:hyperlink>
    </w:p>
    <w:p w14:paraId="7AD3168F" w14:textId="42EAD856" w:rsidR="00A37817" w:rsidRDefault="00A37817">
      <w:pPr>
        <w:pStyle w:val="TM2"/>
        <w:rPr>
          <w:rFonts w:asciiTheme="minorHAnsi" w:eastAsiaTheme="minorEastAsia" w:hAnsiTheme="minorHAnsi" w:cstheme="minorBidi"/>
          <w:sz w:val="22"/>
          <w:szCs w:val="22"/>
          <w:lang w:eastAsia="fr-FR"/>
        </w:rPr>
      </w:pPr>
      <w:hyperlink w:anchor="_Toc213247488" w:history="1">
        <w:r w:rsidRPr="005B57E7">
          <w:rPr>
            <w:rStyle w:val="Lienhypertexte"/>
          </w:rPr>
          <w:t>Sécurité alimentaire – 2,7 M de personnes demeurent en situation d’insécurité alimentaire.</w:t>
        </w:r>
      </w:hyperlink>
    </w:p>
    <w:p w14:paraId="0F1560C4" w14:textId="5BB49CE2" w:rsidR="00A37817" w:rsidRDefault="00A37817">
      <w:pPr>
        <w:pStyle w:val="TM2"/>
        <w:rPr>
          <w:rFonts w:asciiTheme="minorHAnsi" w:eastAsiaTheme="minorEastAsia" w:hAnsiTheme="minorHAnsi" w:cstheme="minorBidi"/>
          <w:sz w:val="22"/>
          <w:szCs w:val="22"/>
          <w:lang w:eastAsia="fr-FR"/>
        </w:rPr>
      </w:pPr>
      <w:hyperlink w:anchor="_Toc213247489" w:history="1">
        <w:r w:rsidRPr="005B57E7">
          <w:rPr>
            <w:rStyle w:val="Lienhypertexte"/>
          </w:rPr>
          <w:t>Foncier – Adoption de la loi sur la réorganisation agraire et foncière.</w:t>
        </w:r>
      </w:hyperlink>
    </w:p>
    <w:p w14:paraId="422DF993" w14:textId="278A1800" w:rsidR="00A37817" w:rsidRDefault="00A37817">
      <w:pPr>
        <w:pStyle w:val="TM2"/>
        <w:rPr>
          <w:rFonts w:asciiTheme="minorHAnsi" w:eastAsiaTheme="minorEastAsia" w:hAnsiTheme="minorHAnsi" w:cstheme="minorBidi"/>
          <w:sz w:val="22"/>
          <w:szCs w:val="22"/>
          <w:lang w:eastAsia="fr-FR"/>
        </w:rPr>
      </w:pPr>
      <w:hyperlink w:anchor="_Toc213247490" w:history="1">
        <w:r w:rsidRPr="005B57E7">
          <w:rPr>
            <w:rStyle w:val="Lienhypertexte"/>
          </w:rPr>
          <w:t>Coton – Reprise d’activité de la Société de Fabrication de Coton Burkinabè (SO.FA.CO-B).</w:t>
        </w:r>
      </w:hyperlink>
    </w:p>
    <w:p w14:paraId="78CC42FB" w14:textId="396FED9D" w:rsidR="00A37817" w:rsidRDefault="00A37817">
      <w:pPr>
        <w:pStyle w:val="TM2"/>
        <w:rPr>
          <w:rFonts w:asciiTheme="minorHAnsi" w:eastAsiaTheme="minorEastAsia" w:hAnsiTheme="minorHAnsi" w:cstheme="minorBidi"/>
          <w:sz w:val="22"/>
          <w:szCs w:val="22"/>
          <w:lang w:eastAsia="fr-FR"/>
        </w:rPr>
      </w:pPr>
      <w:hyperlink w:anchor="_Toc213247491" w:history="1">
        <w:r w:rsidRPr="005B57E7">
          <w:rPr>
            <w:rStyle w:val="Lienhypertexte"/>
          </w:rPr>
          <w:t>Sucre – Relance publique de la Société sucrière de la Comoé (SOSUCO).</w:t>
        </w:r>
      </w:hyperlink>
    </w:p>
    <w:p w14:paraId="4F329B6E" w14:textId="68D8F691" w:rsidR="00A37817" w:rsidRDefault="00A37817">
      <w:pPr>
        <w:pStyle w:val="TM2"/>
        <w:rPr>
          <w:rFonts w:asciiTheme="minorHAnsi" w:eastAsiaTheme="minorEastAsia" w:hAnsiTheme="minorHAnsi" w:cstheme="minorBidi"/>
          <w:sz w:val="22"/>
          <w:szCs w:val="22"/>
          <w:lang w:eastAsia="fr-FR"/>
        </w:rPr>
      </w:pPr>
      <w:hyperlink w:anchor="_Toc213247492" w:history="1">
        <w:r w:rsidRPr="005B57E7">
          <w:rPr>
            <w:rStyle w:val="Lienhypertexte"/>
          </w:rPr>
          <w:t>Riz – La Société des Mines de Sanbrado (SOMISA) soutient la production.</w:t>
        </w:r>
      </w:hyperlink>
    </w:p>
    <w:p w14:paraId="6381BBBA" w14:textId="2493AD20" w:rsidR="00A37817" w:rsidRDefault="00A37817">
      <w:pPr>
        <w:pStyle w:val="TM2"/>
        <w:rPr>
          <w:rFonts w:asciiTheme="minorHAnsi" w:eastAsiaTheme="minorEastAsia" w:hAnsiTheme="minorHAnsi" w:cstheme="minorBidi"/>
          <w:sz w:val="22"/>
          <w:szCs w:val="22"/>
          <w:lang w:eastAsia="fr-FR"/>
        </w:rPr>
      </w:pPr>
      <w:hyperlink w:anchor="_Toc213247493" w:history="1">
        <w:r w:rsidRPr="005B57E7">
          <w:rPr>
            <w:rStyle w:val="Lienhypertexte"/>
          </w:rPr>
          <w:t>Semences – Formation à la production.</w:t>
        </w:r>
      </w:hyperlink>
    </w:p>
    <w:p w14:paraId="030BB693" w14:textId="5CA69B75" w:rsidR="00A37817" w:rsidRDefault="00A37817">
      <w:pPr>
        <w:pStyle w:val="TM2"/>
        <w:rPr>
          <w:rFonts w:asciiTheme="minorHAnsi" w:eastAsiaTheme="minorEastAsia" w:hAnsiTheme="minorHAnsi" w:cstheme="minorBidi"/>
          <w:sz w:val="22"/>
          <w:szCs w:val="22"/>
          <w:lang w:eastAsia="fr-FR"/>
        </w:rPr>
      </w:pPr>
      <w:hyperlink w:anchor="_Toc213247494" w:history="1">
        <w:r w:rsidRPr="005B57E7">
          <w:rPr>
            <w:rStyle w:val="Lienhypertexte"/>
          </w:rPr>
          <w:t>Aviculture – Série de mesures gouvernementales pour l’autonomie de la filière.</w:t>
        </w:r>
      </w:hyperlink>
    </w:p>
    <w:p w14:paraId="7367DD5F" w14:textId="5FB9E2ED" w:rsidR="00A37817" w:rsidRDefault="00A37817">
      <w:pPr>
        <w:pStyle w:val="TM2"/>
        <w:rPr>
          <w:rFonts w:asciiTheme="minorHAnsi" w:eastAsiaTheme="minorEastAsia" w:hAnsiTheme="minorHAnsi" w:cstheme="minorBidi"/>
          <w:sz w:val="22"/>
          <w:szCs w:val="22"/>
          <w:lang w:eastAsia="fr-FR"/>
        </w:rPr>
      </w:pPr>
      <w:hyperlink w:anchor="_Toc213247495" w:history="1">
        <w:r w:rsidRPr="005B57E7">
          <w:rPr>
            <w:rStyle w:val="Lienhypertexte"/>
          </w:rPr>
          <w:t>Sécheresse – Création du Centre régional de l’eau pour l’Afrique (CREA).</w:t>
        </w:r>
      </w:hyperlink>
    </w:p>
    <w:p w14:paraId="72A479A6" w14:textId="304556DB" w:rsidR="00A37817" w:rsidRDefault="00A37817">
      <w:pPr>
        <w:pStyle w:val="TM2"/>
        <w:rPr>
          <w:rFonts w:asciiTheme="minorHAnsi" w:eastAsiaTheme="minorEastAsia" w:hAnsiTheme="minorHAnsi" w:cstheme="minorBidi"/>
          <w:sz w:val="22"/>
          <w:szCs w:val="22"/>
          <w:lang w:eastAsia="fr-FR"/>
        </w:rPr>
      </w:pPr>
      <w:hyperlink w:anchor="_Toc213247496" w:history="1">
        <w:r w:rsidRPr="005B57E7">
          <w:rPr>
            <w:rStyle w:val="Lienhypertexte"/>
          </w:rPr>
          <w:t>Agroforesterie – Restaurations des terres dégradées grâce aux arbres fertilitaires.</w:t>
        </w:r>
      </w:hyperlink>
    </w:p>
    <w:p w14:paraId="2ADBDB0E" w14:textId="00C4D999" w:rsidR="00A37817" w:rsidRDefault="00A37817">
      <w:pPr>
        <w:pStyle w:val="TM2"/>
        <w:rPr>
          <w:rFonts w:asciiTheme="minorHAnsi" w:eastAsiaTheme="minorEastAsia" w:hAnsiTheme="minorHAnsi" w:cstheme="minorBidi"/>
          <w:sz w:val="22"/>
          <w:szCs w:val="22"/>
          <w:lang w:eastAsia="fr-FR"/>
        </w:rPr>
      </w:pPr>
      <w:hyperlink w:anchor="_Toc213247497" w:history="1">
        <w:r w:rsidRPr="005B57E7">
          <w:rPr>
            <w:rStyle w:val="Lienhypertexte"/>
          </w:rPr>
          <w:t>Assurance – Partenariat avec le Maroc.</w:t>
        </w:r>
      </w:hyperlink>
    </w:p>
    <w:p w14:paraId="4F6F6467" w14:textId="13A791C9" w:rsidR="00A37817" w:rsidRDefault="00A37817">
      <w:pPr>
        <w:pStyle w:val="TM2"/>
        <w:rPr>
          <w:rFonts w:asciiTheme="minorHAnsi" w:eastAsiaTheme="minorEastAsia" w:hAnsiTheme="minorHAnsi" w:cstheme="minorBidi"/>
          <w:sz w:val="22"/>
          <w:szCs w:val="22"/>
          <w:lang w:eastAsia="fr-FR"/>
        </w:rPr>
      </w:pPr>
      <w:hyperlink w:anchor="_Toc213247498" w:history="1">
        <w:r w:rsidRPr="005B57E7">
          <w:rPr>
            <w:rStyle w:val="Lienhypertexte"/>
          </w:rPr>
          <w:t>Intrants – Démonstration de l’efficacité des nouvelles technologies agricoles.</w:t>
        </w:r>
      </w:hyperlink>
    </w:p>
    <w:p w14:paraId="7F6BA5B8" w14:textId="28E987B4" w:rsidR="00A37817" w:rsidRDefault="00A37817">
      <w:pPr>
        <w:pStyle w:val="TM2"/>
        <w:rPr>
          <w:rFonts w:asciiTheme="minorHAnsi" w:eastAsiaTheme="minorEastAsia" w:hAnsiTheme="minorHAnsi" w:cstheme="minorBidi"/>
          <w:sz w:val="22"/>
          <w:szCs w:val="22"/>
          <w:lang w:eastAsia="fr-FR"/>
        </w:rPr>
      </w:pPr>
      <w:hyperlink w:anchor="_Toc213247499" w:history="1">
        <w:r w:rsidRPr="005B57E7">
          <w:rPr>
            <w:rStyle w:val="Lienhypertexte"/>
          </w:rPr>
          <w:t>Tabac – Mise en place du Système de marquage, d’authentification, de suivi et de traçabilité (SMAT).</w:t>
        </w:r>
      </w:hyperlink>
    </w:p>
    <w:p w14:paraId="5FC19008" w14:textId="1E8E5118" w:rsidR="00A37817" w:rsidRDefault="00A37817">
      <w:pPr>
        <w:pStyle w:val="TM2"/>
        <w:rPr>
          <w:rFonts w:asciiTheme="minorHAnsi" w:eastAsiaTheme="minorEastAsia" w:hAnsiTheme="minorHAnsi" w:cstheme="minorBidi"/>
          <w:sz w:val="22"/>
          <w:szCs w:val="22"/>
          <w:lang w:eastAsia="fr-FR"/>
        </w:rPr>
      </w:pPr>
      <w:hyperlink w:anchor="_Toc213247500" w:history="1">
        <w:r w:rsidRPr="005B57E7">
          <w:rPr>
            <w:rStyle w:val="Lienhypertexte"/>
          </w:rPr>
          <w:t>Gastronomie – Deuxième édition du Carrefour international de la gastronomie du Faso (CIGAF).</w:t>
        </w:r>
      </w:hyperlink>
    </w:p>
    <w:p w14:paraId="1FBF7D6B" w14:textId="59DC9462" w:rsidR="00A37817" w:rsidRDefault="00A37817">
      <w:pPr>
        <w:pStyle w:val="TM1"/>
        <w:rPr>
          <w:rFonts w:asciiTheme="minorHAnsi" w:eastAsiaTheme="minorEastAsia" w:hAnsiTheme="minorHAnsi" w:cstheme="minorBidi"/>
          <w:b w:val="0"/>
          <w:color w:val="auto"/>
          <w:sz w:val="22"/>
          <w:szCs w:val="22"/>
          <w:lang w:eastAsia="fr-FR"/>
        </w:rPr>
      </w:pPr>
      <w:hyperlink w:anchor="_Toc213247501" w:history="1">
        <w:r w:rsidRPr="005B57E7">
          <w:rPr>
            <w:rStyle w:val="Lienhypertexte"/>
          </w:rPr>
          <w:t>Cap Vert</w:t>
        </w:r>
      </w:hyperlink>
    </w:p>
    <w:p w14:paraId="103B24AD" w14:textId="5E8C9259" w:rsidR="00A37817" w:rsidRDefault="00A37817">
      <w:pPr>
        <w:pStyle w:val="TM2"/>
        <w:rPr>
          <w:rFonts w:asciiTheme="minorHAnsi" w:eastAsiaTheme="minorEastAsia" w:hAnsiTheme="minorHAnsi" w:cstheme="minorBidi"/>
          <w:sz w:val="22"/>
          <w:szCs w:val="22"/>
          <w:lang w:eastAsia="fr-FR"/>
        </w:rPr>
      </w:pPr>
      <w:hyperlink w:anchor="_Toc213247502" w:history="1">
        <w:r w:rsidRPr="005B57E7">
          <w:rPr>
            <w:rStyle w:val="Lienhypertexte"/>
          </w:rPr>
          <w:t>Evènement – Première participation au Salon international CONXEMAR en Espagne.</w:t>
        </w:r>
      </w:hyperlink>
    </w:p>
    <w:p w14:paraId="47FABA2B" w14:textId="4DDBC23C" w:rsidR="00A37817" w:rsidRDefault="00A37817">
      <w:pPr>
        <w:pStyle w:val="TM1"/>
        <w:rPr>
          <w:rFonts w:asciiTheme="minorHAnsi" w:eastAsiaTheme="minorEastAsia" w:hAnsiTheme="minorHAnsi" w:cstheme="minorBidi"/>
          <w:b w:val="0"/>
          <w:color w:val="auto"/>
          <w:sz w:val="22"/>
          <w:szCs w:val="22"/>
          <w:lang w:eastAsia="fr-FR"/>
        </w:rPr>
      </w:pPr>
      <w:hyperlink w:anchor="_Toc213247503" w:history="1">
        <w:r w:rsidRPr="005B57E7">
          <w:rPr>
            <w:rStyle w:val="Lienhypertexte"/>
          </w:rPr>
          <w:t>Gambie</w:t>
        </w:r>
      </w:hyperlink>
    </w:p>
    <w:p w14:paraId="78C4DBBC" w14:textId="4F72D87D" w:rsidR="00A37817" w:rsidRDefault="00A37817">
      <w:pPr>
        <w:pStyle w:val="TM2"/>
        <w:rPr>
          <w:rFonts w:asciiTheme="minorHAnsi" w:eastAsiaTheme="minorEastAsia" w:hAnsiTheme="minorHAnsi" w:cstheme="minorBidi"/>
          <w:sz w:val="22"/>
          <w:szCs w:val="22"/>
          <w:lang w:eastAsia="fr-FR"/>
        </w:rPr>
      </w:pPr>
      <w:hyperlink w:anchor="_Toc213247504" w:history="1">
        <w:r w:rsidRPr="005B57E7">
          <w:rPr>
            <w:rStyle w:val="Lienhypertexte"/>
          </w:rPr>
          <w:t>Céréales – Les bénéficiaires du projet GAFSP saluent ses impacts.</w:t>
        </w:r>
      </w:hyperlink>
    </w:p>
    <w:p w14:paraId="332EAC84" w14:textId="77994133" w:rsidR="00A37817" w:rsidRDefault="00A37817">
      <w:pPr>
        <w:pStyle w:val="TM2"/>
        <w:rPr>
          <w:rFonts w:asciiTheme="minorHAnsi" w:eastAsiaTheme="minorEastAsia" w:hAnsiTheme="minorHAnsi" w:cstheme="minorBidi"/>
          <w:sz w:val="22"/>
          <w:szCs w:val="22"/>
          <w:lang w:eastAsia="fr-FR"/>
        </w:rPr>
      </w:pPr>
      <w:hyperlink w:anchor="_Toc213247505" w:history="1">
        <w:r w:rsidRPr="005B57E7">
          <w:rPr>
            <w:rStyle w:val="Lienhypertexte"/>
          </w:rPr>
          <w:t>Maraîchage – 15 M USD par an en importations d’oignons.</w:t>
        </w:r>
      </w:hyperlink>
    </w:p>
    <w:p w14:paraId="209D091D" w14:textId="0B2C6D4F" w:rsidR="00A37817" w:rsidRDefault="00A37817">
      <w:pPr>
        <w:pStyle w:val="TM2"/>
        <w:rPr>
          <w:rFonts w:asciiTheme="minorHAnsi" w:eastAsiaTheme="minorEastAsia" w:hAnsiTheme="minorHAnsi" w:cstheme="minorBidi"/>
          <w:sz w:val="22"/>
          <w:szCs w:val="22"/>
          <w:lang w:eastAsia="fr-FR"/>
        </w:rPr>
      </w:pPr>
      <w:hyperlink w:anchor="_Toc213247506" w:history="1">
        <w:r w:rsidRPr="005B57E7">
          <w:rPr>
            <w:rStyle w:val="Lienhypertexte"/>
          </w:rPr>
          <w:t>Financement – Le projet GAMIRSALEP renforce les capacités pour le crédit agricole.</w:t>
        </w:r>
      </w:hyperlink>
    </w:p>
    <w:p w14:paraId="43736A1D" w14:textId="7FBCC585" w:rsidR="00A37817" w:rsidRDefault="00A37817">
      <w:pPr>
        <w:pStyle w:val="TM2"/>
        <w:rPr>
          <w:rFonts w:asciiTheme="minorHAnsi" w:eastAsiaTheme="minorEastAsia" w:hAnsiTheme="minorHAnsi" w:cstheme="minorBidi"/>
          <w:sz w:val="22"/>
          <w:szCs w:val="22"/>
          <w:lang w:eastAsia="fr-FR"/>
        </w:rPr>
      </w:pPr>
      <w:hyperlink w:anchor="_Toc213247507" w:history="1">
        <w:r w:rsidRPr="005B57E7">
          <w:rPr>
            <w:rStyle w:val="Lienhypertexte"/>
          </w:rPr>
          <w:t>Engrais – Programme pour améliorer la commercialisation d’engrais organiques.</w:t>
        </w:r>
      </w:hyperlink>
    </w:p>
    <w:p w14:paraId="3DBAA670" w14:textId="7E0737FE" w:rsidR="00A37817" w:rsidRDefault="00A37817">
      <w:pPr>
        <w:pStyle w:val="TM1"/>
        <w:rPr>
          <w:rFonts w:asciiTheme="minorHAnsi" w:eastAsiaTheme="minorEastAsia" w:hAnsiTheme="minorHAnsi" w:cstheme="minorBidi"/>
          <w:b w:val="0"/>
          <w:color w:val="auto"/>
          <w:sz w:val="22"/>
          <w:szCs w:val="22"/>
          <w:lang w:eastAsia="fr-FR"/>
        </w:rPr>
      </w:pPr>
      <w:hyperlink w:anchor="_Toc213247508" w:history="1">
        <w:r w:rsidRPr="005B57E7">
          <w:rPr>
            <w:rStyle w:val="Lienhypertexte"/>
          </w:rPr>
          <w:t>Guinée</w:t>
        </w:r>
      </w:hyperlink>
    </w:p>
    <w:p w14:paraId="3C8FF09A" w14:textId="607F4295" w:rsidR="00A37817" w:rsidRDefault="00A37817">
      <w:pPr>
        <w:pStyle w:val="TM2"/>
        <w:rPr>
          <w:rFonts w:asciiTheme="minorHAnsi" w:eastAsiaTheme="minorEastAsia" w:hAnsiTheme="minorHAnsi" w:cstheme="minorBidi"/>
          <w:sz w:val="22"/>
          <w:szCs w:val="22"/>
          <w:lang w:eastAsia="fr-FR"/>
        </w:rPr>
      </w:pPr>
      <w:hyperlink w:anchor="_Toc213247509" w:history="1">
        <w:r w:rsidRPr="005B57E7">
          <w:rPr>
            <w:rStyle w:val="Lienhypertexte"/>
          </w:rPr>
          <w:t>Palmier à huile et hévéa – Des planteurs suspendent la livraison de leurs produits.</w:t>
        </w:r>
      </w:hyperlink>
    </w:p>
    <w:p w14:paraId="790E1C95" w14:textId="266B99D6" w:rsidR="00A37817" w:rsidRDefault="00A37817">
      <w:pPr>
        <w:pStyle w:val="TM2"/>
        <w:rPr>
          <w:rFonts w:asciiTheme="minorHAnsi" w:eastAsiaTheme="minorEastAsia" w:hAnsiTheme="minorHAnsi" w:cstheme="minorBidi"/>
          <w:sz w:val="22"/>
          <w:szCs w:val="22"/>
          <w:lang w:eastAsia="fr-FR"/>
        </w:rPr>
      </w:pPr>
      <w:hyperlink w:anchor="_Toc213247510" w:history="1">
        <w:r w:rsidRPr="005B57E7">
          <w:rPr>
            <w:rStyle w:val="Lienhypertexte"/>
          </w:rPr>
          <w:t>Élevage – Les éleveurs transhumants sommés de quitter la Guinée.</w:t>
        </w:r>
      </w:hyperlink>
    </w:p>
    <w:p w14:paraId="2D6B7BC3" w14:textId="627117B8" w:rsidR="00A37817" w:rsidRDefault="00A37817">
      <w:pPr>
        <w:pStyle w:val="TM2"/>
        <w:rPr>
          <w:rFonts w:asciiTheme="minorHAnsi" w:eastAsiaTheme="minorEastAsia" w:hAnsiTheme="minorHAnsi" w:cstheme="minorBidi"/>
          <w:sz w:val="22"/>
          <w:szCs w:val="22"/>
          <w:lang w:eastAsia="fr-FR"/>
        </w:rPr>
      </w:pPr>
      <w:hyperlink w:anchor="_Toc213247511" w:history="1">
        <w:r w:rsidRPr="005B57E7">
          <w:rPr>
            <w:rStyle w:val="Lienhypertexte"/>
          </w:rPr>
          <w:t>Élevage – Plus de 700 têtes de bétail abattues lors d’affrontements.</w:t>
        </w:r>
      </w:hyperlink>
    </w:p>
    <w:p w14:paraId="0F77B698" w14:textId="6D3F383D" w:rsidR="00A37817" w:rsidRDefault="00A37817">
      <w:pPr>
        <w:pStyle w:val="TM2"/>
        <w:rPr>
          <w:rFonts w:asciiTheme="minorHAnsi" w:eastAsiaTheme="minorEastAsia" w:hAnsiTheme="minorHAnsi" w:cstheme="minorBidi"/>
          <w:sz w:val="22"/>
          <w:szCs w:val="22"/>
          <w:lang w:eastAsia="fr-FR"/>
        </w:rPr>
      </w:pPr>
      <w:hyperlink w:anchor="_Toc213247512" w:history="1">
        <w:r w:rsidRPr="005B57E7">
          <w:rPr>
            <w:rStyle w:val="Lienhypertexte"/>
          </w:rPr>
          <w:t>Volaille – Forte hausse des prix du poulet importé sur le marché guinéen.</w:t>
        </w:r>
      </w:hyperlink>
    </w:p>
    <w:p w14:paraId="7EA49505" w14:textId="76DA8922" w:rsidR="00A37817" w:rsidRDefault="00A37817">
      <w:pPr>
        <w:pStyle w:val="TM2"/>
        <w:rPr>
          <w:rFonts w:asciiTheme="minorHAnsi" w:eastAsiaTheme="minorEastAsia" w:hAnsiTheme="minorHAnsi" w:cstheme="minorBidi"/>
          <w:sz w:val="22"/>
          <w:szCs w:val="22"/>
          <w:lang w:eastAsia="fr-FR"/>
        </w:rPr>
      </w:pPr>
      <w:hyperlink w:anchor="_Toc213247513" w:history="1">
        <w:r w:rsidRPr="005B57E7">
          <w:rPr>
            <w:rStyle w:val="Lienhypertexte"/>
          </w:rPr>
          <w:t>Pêche – Adoption du Projet Guinée KOUNKI.</w:t>
        </w:r>
      </w:hyperlink>
    </w:p>
    <w:p w14:paraId="0AF5DCAD" w14:textId="7D396233" w:rsidR="00A37817" w:rsidRDefault="00A37817">
      <w:pPr>
        <w:pStyle w:val="TM2"/>
        <w:rPr>
          <w:rFonts w:asciiTheme="minorHAnsi" w:eastAsiaTheme="minorEastAsia" w:hAnsiTheme="minorHAnsi" w:cstheme="minorBidi"/>
          <w:sz w:val="22"/>
          <w:szCs w:val="22"/>
          <w:lang w:eastAsia="fr-FR"/>
        </w:rPr>
      </w:pPr>
      <w:hyperlink w:anchor="_Toc213247514" w:history="1">
        <w:r w:rsidRPr="005B57E7">
          <w:rPr>
            <w:rStyle w:val="Lienhypertexte"/>
          </w:rPr>
          <w:t>IGP – L’ananas Baronne de Friguiagbé obtient le label.</w:t>
        </w:r>
      </w:hyperlink>
    </w:p>
    <w:p w14:paraId="151F9611" w14:textId="4CA81D71" w:rsidR="00A37817" w:rsidRDefault="00A37817">
      <w:pPr>
        <w:pStyle w:val="TM2"/>
        <w:rPr>
          <w:rFonts w:asciiTheme="minorHAnsi" w:eastAsiaTheme="minorEastAsia" w:hAnsiTheme="minorHAnsi" w:cstheme="minorBidi"/>
          <w:sz w:val="22"/>
          <w:szCs w:val="22"/>
          <w:lang w:eastAsia="fr-FR"/>
        </w:rPr>
      </w:pPr>
      <w:hyperlink w:anchor="_Toc213247515" w:history="1">
        <w:r w:rsidRPr="005B57E7">
          <w:rPr>
            <w:rStyle w:val="Lienhypertexte"/>
          </w:rPr>
          <w:t>Financement – Le Fonds de Développement Agricole (FODA) accorde 16 Md GNF à 45 projets agricoles.</w:t>
        </w:r>
      </w:hyperlink>
    </w:p>
    <w:p w14:paraId="77CCCD02" w14:textId="4F329F5B" w:rsidR="00A37817" w:rsidRDefault="00A37817">
      <w:pPr>
        <w:pStyle w:val="TM2"/>
        <w:rPr>
          <w:rFonts w:asciiTheme="minorHAnsi" w:eastAsiaTheme="minorEastAsia" w:hAnsiTheme="minorHAnsi" w:cstheme="minorBidi"/>
          <w:sz w:val="22"/>
          <w:szCs w:val="22"/>
          <w:lang w:eastAsia="fr-FR"/>
        </w:rPr>
      </w:pPr>
      <w:hyperlink w:anchor="_Toc213247516" w:history="1">
        <w:r w:rsidRPr="005B57E7">
          <w:rPr>
            <w:rStyle w:val="Lienhypertexte"/>
          </w:rPr>
          <w:t>Financement – Renforcement du financement des PME agroalimentaires.</w:t>
        </w:r>
      </w:hyperlink>
    </w:p>
    <w:p w14:paraId="06E1C6D5" w14:textId="122A02CA" w:rsidR="00A37817" w:rsidRDefault="00A37817">
      <w:pPr>
        <w:pStyle w:val="TM2"/>
        <w:rPr>
          <w:rFonts w:asciiTheme="minorHAnsi" w:eastAsiaTheme="minorEastAsia" w:hAnsiTheme="minorHAnsi" w:cstheme="minorBidi"/>
          <w:sz w:val="22"/>
          <w:szCs w:val="22"/>
          <w:lang w:eastAsia="fr-FR"/>
        </w:rPr>
      </w:pPr>
      <w:hyperlink w:anchor="_Toc213247517" w:history="1">
        <w:r w:rsidRPr="005B57E7">
          <w:rPr>
            <w:rStyle w:val="Lienhypertexte"/>
          </w:rPr>
          <w:t>Mécanisation – Le Programme alimentaire mondial (PAM) équipe 60 coopératives agricoles.</w:t>
        </w:r>
      </w:hyperlink>
    </w:p>
    <w:p w14:paraId="1E958BA8" w14:textId="1FE709E6" w:rsidR="00A37817" w:rsidRDefault="00A37817">
      <w:pPr>
        <w:pStyle w:val="TM2"/>
        <w:rPr>
          <w:rFonts w:asciiTheme="minorHAnsi" w:eastAsiaTheme="minorEastAsia" w:hAnsiTheme="minorHAnsi" w:cstheme="minorBidi"/>
          <w:sz w:val="22"/>
          <w:szCs w:val="22"/>
          <w:lang w:eastAsia="fr-FR"/>
        </w:rPr>
      </w:pPr>
      <w:hyperlink w:anchor="_Toc213247518" w:history="1">
        <w:r w:rsidRPr="005B57E7">
          <w:rPr>
            <w:rStyle w:val="Lienhypertexte"/>
          </w:rPr>
          <w:t>Compostage – 130 maraîchers formés.</w:t>
        </w:r>
      </w:hyperlink>
    </w:p>
    <w:p w14:paraId="6A1B814C" w14:textId="503BF8F9" w:rsidR="00A37817" w:rsidRDefault="00A37817">
      <w:pPr>
        <w:pStyle w:val="TM2"/>
        <w:rPr>
          <w:rFonts w:asciiTheme="minorHAnsi" w:eastAsiaTheme="minorEastAsia" w:hAnsiTheme="minorHAnsi" w:cstheme="minorBidi"/>
          <w:sz w:val="22"/>
          <w:szCs w:val="22"/>
          <w:lang w:eastAsia="fr-FR"/>
        </w:rPr>
      </w:pPr>
      <w:hyperlink w:anchor="_Toc213247519" w:history="1">
        <w:r w:rsidRPr="005B57E7">
          <w:rPr>
            <w:rStyle w:val="Lienhypertexte"/>
          </w:rPr>
          <w:t>Vie des sociétés – Amnesty dénonce des abus à la Société guinéenne de palmiers à huile et d’hévéas (SOGUIPAH).</w:t>
        </w:r>
      </w:hyperlink>
    </w:p>
    <w:p w14:paraId="3C3C3593" w14:textId="3F6A04DD" w:rsidR="00A37817" w:rsidRDefault="00A37817">
      <w:pPr>
        <w:pStyle w:val="TM1"/>
        <w:rPr>
          <w:rFonts w:asciiTheme="minorHAnsi" w:eastAsiaTheme="minorEastAsia" w:hAnsiTheme="minorHAnsi" w:cstheme="minorBidi"/>
          <w:b w:val="0"/>
          <w:color w:val="auto"/>
          <w:sz w:val="22"/>
          <w:szCs w:val="22"/>
          <w:lang w:eastAsia="fr-FR"/>
        </w:rPr>
      </w:pPr>
      <w:hyperlink w:anchor="_Toc213247520" w:history="1">
        <w:r w:rsidRPr="005B57E7">
          <w:rPr>
            <w:rStyle w:val="Lienhypertexte"/>
          </w:rPr>
          <w:t>Guinée Bissau</w:t>
        </w:r>
      </w:hyperlink>
    </w:p>
    <w:p w14:paraId="6CE010A1" w14:textId="575BA997" w:rsidR="00A37817" w:rsidRDefault="00A37817">
      <w:pPr>
        <w:pStyle w:val="TM2"/>
        <w:rPr>
          <w:rFonts w:asciiTheme="minorHAnsi" w:eastAsiaTheme="minorEastAsia" w:hAnsiTheme="minorHAnsi" w:cstheme="minorBidi"/>
          <w:sz w:val="22"/>
          <w:szCs w:val="22"/>
          <w:lang w:eastAsia="fr-FR"/>
        </w:rPr>
      </w:pPr>
      <w:hyperlink w:anchor="_Toc213247521" w:history="1">
        <w:r w:rsidRPr="005B57E7">
          <w:rPr>
            <w:rStyle w:val="Lienhypertexte"/>
          </w:rPr>
          <w:t>Agriculture et agroalimentaire – Note sur le secteur.</w:t>
        </w:r>
      </w:hyperlink>
    </w:p>
    <w:p w14:paraId="6AEAF496" w14:textId="17E5DEAE" w:rsidR="00A37817" w:rsidRDefault="00A37817">
      <w:pPr>
        <w:pStyle w:val="TM2"/>
        <w:rPr>
          <w:rFonts w:asciiTheme="minorHAnsi" w:eastAsiaTheme="minorEastAsia" w:hAnsiTheme="minorHAnsi" w:cstheme="minorBidi"/>
          <w:sz w:val="22"/>
          <w:szCs w:val="22"/>
          <w:lang w:eastAsia="fr-FR"/>
        </w:rPr>
      </w:pPr>
      <w:hyperlink w:anchor="_Toc213247522" w:history="1">
        <w:r w:rsidRPr="005B57E7">
          <w:rPr>
            <w:rStyle w:val="Lienhypertexte"/>
          </w:rPr>
          <w:t>Anacarde – Les prévisions tablent sur 250 000 tonnes d’exportations en 2025.</w:t>
        </w:r>
      </w:hyperlink>
    </w:p>
    <w:p w14:paraId="52B60152" w14:textId="552D6029" w:rsidR="00A37817" w:rsidRDefault="00A37817">
      <w:pPr>
        <w:pStyle w:val="TM1"/>
        <w:rPr>
          <w:rFonts w:asciiTheme="minorHAnsi" w:eastAsiaTheme="minorEastAsia" w:hAnsiTheme="minorHAnsi" w:cstheme="minorBidi"/>
          <w:b w:val="0"/>
          <w:color w:val="auto"/>
          <w:sz w:val="22"/>
          <w:szCs w:val="22"/>
          <w:lang w:eastAsia="fr-FR"/>
        </w:rPr>
      </w:pPr>
      <w:hyperlink w:anchor="_Toc213247523" w:history="1">
        <w:r w:rsidRPr="005B57E7">
          <w:rPr>
            <w:rStyle w:val="Lienhypertexte"/>
          </w:rPr>
          <w:t>Libéria</w:t>
        </w:r>
      </w:hyperlink>
    </w:p>
    <w:p w14:paraId="2B5D971C" w14:textId="42357020" w:rsidR="00A37817" w:rsidRDefault="00A37817">
      <w:pPr>
        <w:pStyle w:val="TM2"/>
        <w:rPr>
          <w:rFonts w:asciiTheme="minorHAnsi" w:eastAsiaTheme="minorEastAsia" w:hAnsiTheme="minorHAnsi" w:cstheme="minorBidi"/>
          <w:sz w:val="22"/>
          <w:szCs w:val="22"/>
          <w:lang w:eastAsia="fr-FR"/>
        </w:rPr>
      </w:pPr>
      <w:hyperlink w:anchor="_Toc213247524" w:history="1">
        <w:r w:rsidRPr="005B57E7">
          <w:rPr>
            <w:rStyle w:val="Lienhypertexte"/>
          </w:rPr>
          <w:t>Sol – L’Union européenne finance un projet de gestion durable des terres.</w:t>
        </w:r>
      </w:hyperlink>
    </w:p>
    <w:p w14:paraId="407ACB5D" w14:textId="0F290237" w:rsidR="00A37817" w:rsidRDefault="00A37817">
      <w:pPr>
        <w:pStyle w:val="TM2"/>
        <w:rPr>
          <w:rFonts w:asciiTheme="minorHAnsi" w:eastAsiaTheme="minorEastAsia" w:hAnsiTheme="minorHAnsi" w:cstheme="minorBidi"/>
          <w:sz w:val="22"/>
          <w:szCs w:val="22"/>
          <w:lang w:eastAsia="fr-FR"/>
        </w:rPr>
      </w:pPr>
      <w:hyperlink w:anchor="_Toc213247525" w:history="1">
        <w:r w:rsidRPr="005B57E7">
          <w:rPr>
            <w:rStyle w:val="Lienhypertexte"/>
          </w:rPr>
          <w:t>Sol – Feuille de route du Liberia National Soil Information System (LiNSIS).</w:t>
        </w:r>
      </w:hyperlink>
    </w:p>
    <w:p w14:paraId="41D87F7C" w14:textId="3AADA7D9" w:rsidR="00A37817" w:rsidRDefault="00A37817">
      <w:pPr>
        <w:pStyle w:val="TM2"/>
        <w:rPr>
          <w:rFonts w:asciiTheme="minorHAnsi" w:eastAsiaTheme="minorEastAsia" w:hAnsiTheme="minorHAnsi" w:cstheme="minorBidi"/>
          <w:sz w:val="22"/>
          <w:szCs w:val="22"/>
          <w:lang w:eastAsia="fr-FR"/>
        </w:rPr>
      </w:pPr>
      <w:hyperlink w:anchor="_Toc213247526" w:history="1">
        <w:r w:rsidRPr="005B57E7">
          <w:rPr>
            <w:rStyle w:val="Lienhypertexte"/>
          </w:rPr>
          <w:t>Foncier – L’Organisation des Nations unies pour l’alimentation et l’agriculture (FAO) appelle à des réformes visant à clarifier les droits fonciers et forestiers.</w:t>
        </w:r>
      </w:hyperlink>
    </w:p>
    <w:p w14:paraId="299F8394" w14:textId="13E2F80F" w:rsidR="00A37817" w:rsidRDefault="00A37817">
      <w:pPr>
        <w:pStyle w:val="TM2"/>
        <w:rPr>
          <w:rFonts w:asciiTheme="minorHAnsi" w:eastAsiaTheme="minorEastAsia" w:hAnsiTheme="minorHAnsi" w:cstheme="minorBidi"/>
          <w:sz w:val="22"/>
          <w:szCs w:val="22"/>
          <w:lang w:eastAsia="fr-FR"/>
        </w:rPr>
      </w:pPr>
      <w:hyperlink w:anchor="_Toc213247527" w:history="1">
        <w:r w:rsidRPr="005B57E7">
          <w:rPr>
            <w:rStyle w:val="Lienhypertexte"/>
          </w:rPr>
          <w:t>Sécurité alimentaire – Lancement de la campagne « Nourrir la Nation » de la World Foundation International Multipurpose Agriculture Cooperative (WFI-MAC).</w:t>
        </w:r>
      </w:hyperlink>
    </w:p>
    <w:p w14:paraId="67877BD6" w14:textId="5FBFA1C8" w:rsidR="00A37817" w:rsidRDefault="00A37817">
      <w:pPr>
        <w:pStyle w:val="TM2"/>
        <w:rPr>
          <w:rFonts w:asciiTheme="minorHAnsi" w:eastAsiaTheme="minorEastAsia" w:hAnsiTheme="minorHAnsi" w:cstheme="minorBidi"/>
          <w:sz w:val="22"/>
          <w:szCs w:val="22"/>
          <w:lang w:eastAsia="fr-FR"/>
        </w:rPr>
      </w:pPr>
      <w:hyperlink w:anchor="_Toc213247528" w:history="1">
        <w:r w:rsidRPr="005B57E7">
          <w:rPr>
            <w:rStyle w:val="Lienhypertexte"/>
          </w:rPr>
          <w:t>Nutrition – Près de 30% des enfants libériens souffrent de retard de croissance.</w:t>
        </w:r>
      </w:hyperlink>
    </w:p>
    <w:p w14:paraId="53A6ADFD" w14:textId="1F59DCB4" w:rsidR="00A37817" w:rsidRDefault="00A37817">
      <w:pPr>
        <w:pStyle w:val="TM2"/>
        <w:rPr>
          <w:rFonts w:asciiTheme="minorHAnsi" w:eastAsiaTheme="minorEastAsia" w:hAnsiTheme="minorHAnsi" w:cstheme="minorBidi"/>
          <w:sz w:val="22"/>
          <w:szCs w:val="22"/>
          <w:lang w:eastAsia="fr-FR"/>
        </w:rPr>
      </w:pPr>
      <w:hyperlink w:anchor="_Toc213247529" w:history="1">
        <w:r w:rsidRPr="005B57E7">
          <w:rPr>
            <w:rStyle w:val="Lienhypertexte"/>
          </w:rPr>
          <w:t>Riz – Lancement de la campagne des récoltes.</w:t>
        </w:r>
      </w:hyperlink>
    </w:p>
    <w:p w14:paraId="3C6D964E" w14:textId="75418C82" w:rsidR="00A37817" w:rsidRDefault="00A37817">
      <w:pPr>
        <w:pStyle w:val="TM2"/>
        <w:rPr>
          <w:rFonts w:asciiTheme="minorHAnsi" w:eastAsiaTheme="minorEastAsia" w:hAnsiTheme="minorHAnsi" w:cstheme="minorBidi"/>
          <w:sz w:val="22"/>
          <w:szCs w:val="22"/>
          <w:lang w:eastAsia="fr-FR"/>
        </w:rPr>
      </w:pPr>
      <w:hyperlink w:anchor="_Toc213247530" w:history="1">
        <w:r w:rsidRPr="005B57E7">
          <w:rPr>
            <w:rStyle w:val="Lienhypertexte"/>
          </w:rPr>
          <w:t>Riz – Feuille de route pour renforcer la production nationale.</w:t>
        </w:r>
      </w:hyperlink>
    </w:p>
    <w:p w14:paraId="532C0E8B" w14:textId="2E080ADA" w:rsidR="00A37817" w:rsidRDefault="00A37817">
      <w:pPr>
        <w:pStyle w:val="TM2"/>
        <w:rPr>
          <w:rFonts w:asciiTheme="minorHAnsi" w:eastAsiaTheme="minorEastAsia" w:hAnsiTheme="minorHAnsi" w:cstheme="minorBidi"/>
          <w:sz w:val="22"/>
          <w:szCs w:val="22"/>
          <w:lang w:eastAsia="fr-FR"/>
        </w:rPr>
      </w:pPr>
      <w:hyperlink w:anchor="_Toc213247531" w:history="1">
        <w:r w:rsidRPr="005B57E7">
          <w:rPr>
            <w:rStyle w:val="Lienhypertexte"/>
          </w:rPr>
          <w:t>Riz – Trois cabinets conseils américains mandatés pour réformer le marché libérien.</w:t>
        </w:r>
      </w:hyperlink>
    </w:p>
    <w:p w14:paraId="5C36CD07" w14:textId="435574FB" w:rsidR="00A37817" w:rsidRDefault="00A37817">
      <w:pPr>
        <w:pStyle w:val="TM2"/>
        <w:rPr>
          <w:rFonts w:asciiTheme="minorHAnsi" w:eastAsiaTheme="minorEastAsia" w:hAnsiTheme="minorHAnsi" w:cstheme="minorBidi"/>
          <w:sz w:val="22"/>
          <w:szCs w:val="22"/>
          <w:lang w:eastAsia="fr-FR"/>
        </w:rPr>
      </w:pPr>
      <w:hyperlink w:anchor="_Toc213247532" w:history="1">
        <w:r w:rsidRPr="005B57E7">
          <w:rPr>
            <w:rStyle w:val="Lienhypertexte"/>
          </w:rPr>
          <w:t>Riz – Lancement du projet Gbedin Agro-Business.</w:t>
        </w:r>
      </w:hyperlink>
    </w:p>
    <w:p w14:paraId="3D6459EA" w14:textId="7975D61C" w:rsidR="00A37817" w:rsidRDefault="00A37817">
      <w:pPr>
        <w:pStyle w:val="TM2"/>
        <w:rPr>
          <w:rFonts w:asciiTheme="minorHAnsi" w:eastAsiaTheme="minorEastAsia" w:hAnsiTheme="minorHAnsi" w:cstheme="minorBidi"/>
          <w:sz w:val="22"/>
          <w:szCs w:val="22"/>
          <w:lang w:eastAsia="fr-FR"/>
        </w:rPr>
      </w:pPr>
      <w:hyperlink w:anchor="_Toc213247533" w:history="1">
        <w:r w:rsidRPr="005B57E7">
          <w:rPr>
            <w:rStyle w:val="Lienhypertexte"/>
          </w:rPr>
          <w:t>Riz – Prévision de récolte record de paddy dans le comté de Nimba.</w:t>
        </w:r>
      </w:hyperlink>
    </w:p>
    <w:p w14:paraId="4DDA2DB7" w14:textId="025AFADF" w:rsidR="00A37817" w:rsidRDefault="00A37817">
      <w:pPr>
        <w:pStyle w:val="TM2"/>
        <w:rPr>
          <w:rFonts w:asciiTheme="minorHAnsi" w:eastAsiaTheme="minorEastAsia" w:hAnsiTheme="minorHAnsi" w:cstheme="minorBidi"/>
          <w:sz w:val="22"/>
          <w:szCs w:val="22"/>
          <w:lang w:eastAsia="fr-FR"/>
        </w:rPr>
      </w:pPr>
      <w:hyperlink w:anchor="_Toc213247534" w:history="1">
        <w:r w:rsidRPr="005B57E7">
          <w:rPr>
            <w:rStyle w:val="Lienhypertexte"/>
          </w:rPr>
          <w:t>Riz – Plus de cent agriculteurs formés.</w:t>
        </w:r>
      </w:hyperlink>
    </w:p>
    <w:p w14:paraId="461898CD" w14:textId="5B4C747E" w:rsidR="00A37817" w:rsidRDefault="00A37817">
      <w:pPr>
        <w:pStyle w:val="TM2"/>
        <w:rPr>
          <w:rFonts w:asciiTheme="minorHAnsi" w:eastAsiaTheme="minorEastAsia" w:hAnsiTheme="minorHAnsi" w:cstheme="minorBidi"/>
          <w:sz w:val="22"/>
          <w:szCs w:val="22"/>
          <w:lang w:eastAsia="fr-FR"/>
        </w:rPr>
      </w:pPr>
      <w:hyperlink w:anchor="_Toc213247535" w:history="1">
        <w:r w:rsidRPr="005B57E7">
          <w:rPr>
            <w:rStyle w:val="Lienhypertexte"/>
          </w:rPr>
          <w:t>Palmier à huile –La levée du moratoire sur les activités de Golden Veroleum Liberia fortement critiquée.</w:t>
        </w:r>
      </w:hyperlink>
    </w:p>
    <w:p w14:paraId="38AAC9B7" w14:textId="584659A3" w:rsidR="00A37817" w:rsidRDefault="00A37817">
      <w:pPr>
        <w:pStyle w:val="TM2"/>
        <w:rPr>
          <w:rFonts w:asciiTheme="minorHAnsi" w:eastAsiaTheme="minorEastAsia" w:hAnsiTheme="minorHAnsi" w:cstheme="minorBidi"/>
          <w:sz w:val="22"/>
          <w:szCs w:val="22"/>
          <w:lang w:eastAsia="fr-FR"/>
        </w:rPr>
      </w:pPr>
      <w:hyperlink w:anchor="_Toc213247536" w:history="1">
        <w:r w:rsidRPr="005B57E7">
          <w:rPr>
            <w:rStyle w:val="Lienhypertexte"/>
          </w:rPr>
          <w:t>Hévéa – L’International Finance Corporation (IFC) critiquée pour avoir retardé un rapport accablant sur Salala Rubber.</w:t>
        </w:r>
      </w:hyperlink>
    </w:p>
    <w:p w14:paraId="0B0931C6" w14:textId="27A144EA" w:rsidR="00A37817" w:rsidRDefault="00A37817">
      <w:pPr>
        <w:pStyle w:val="TM2"/>
        <w:rPr>
          <w:rFonts w:asciiTheme="minorHAnsi" w:eastAsiaTheme="minorEastAsia" w:hAnsiTheme="minorHAnsi" w:cstheme="minorBidi"/>
          <w:sz w:val="22"/>
          <w:szCs w:val="22"/>
          <w:lang w:eastAsia="fr-FR"/>
        </w:rPr>
      </w:pPr>
      <w:hyperlink w:anchor="_Toc213247537" w:history="1">
        <w:r w:rsidRPr="005B57E7">
          <w:rPr>
            <w:rStyle w:val="Lienhypertexte"/>
          </w:rPr>
          <w:t>Café – Relance la culture du Coffee Liberica.</w:t>
        </w:r>
      </w:hyperlink>
    </w:p>
    <w:p w14:paraId="7AC7268F" w14:textId="7C5573DA" w:rsidR="00A37817" w:rsidRDefault="00A37817">
      <w:pPr>
        <w:pStyle w:val="TM2"/>
        <w:rPr>
          <w:rFonts w:asciiTheme="minorHAnsi" w:eastAsiaTheme="minorEastAsia" w:hAnsiTheme="minorHAnsi" w:cstheme="minorBidi"/>
          <w:sz w:val="22"/>
          <w:szCs w:val="22"/>
          <w:lang w:eastAsia="fr-FR"/>
        </w:rPr>
      </w:pPr>
      <w:hyperlink w:anchor="_Toc213247538" w:history="1">
        <w:r w:rsidRPr="005B57E7">
          <w:rPr>
            <w:rStyle w:val="Lienhypertexte"/>
          </w:rPr>
          <w:t>Cacao – Déforestation de grande ampleur.</w:t>
        </w:r>
      </w:hyperlink>
    </w:p>
    <w:p w14:paraId="451F2D8A" w14:textId="43E586DF" w:rsidR="00A37817" w:rsidRDefault="00A37817">
      <w:pPr>
        <w:pStyle w:val="TM2"/>
        <w:rPr>
          <w:rFonts w:asciiTheme="minorHAnsi" w:eastAsiaTheme="minorEastAsia" w:hAnsiTheme="minorHAnsi" w:cstheme="minorBidi"/>
          <w:sz w:val="22"/>
          <w:szCs w:val="22"/>
          <w:lang w:eastAsia="fr-FR"/>
        </w:rPr>
      </w:pPr>
      <w:hyperlink w:anchor="_Toc213247539" w:history="1">
        <w:r w:rsidRPr="005B57E7">
          <w:rPr>
            <w:rStyle w:val="Lienhypertexte"/>
          </w:rPr>
          <w:t>Cacao – Polémique autour d’un bail foncier.</w:t>
        </w:r>
      </w:hyperlink>
    </w:p>
    <w:p w14:paraId="5822EF0F" w14:textId="15976E1D" w:rsidR="00A37817" w:rsidRDefault="00A37817">
      <w:pPr>
        <w:pStyle w:val="TM2"/>
        <w:rPr>
          <w:rFonts w:asciiTheme="minorHAnsi" w:eastAsiaTheme="minorEastAsia" w:hAnsiTheme="minorHAnsi" w:cstheme="minorBidi"/>
          <w:sz w:val="22"/>
          <w:szCs w:val="22"/>
          <w:lang w:eastAsia="fr-FR"/>
        </w:rPr>
      </w:pPr>
      <w:hyperlink w:anchor="_Toc213247540" w:history="1">
        <w:r w:rsidRPr="005B57E7">
          <w:rPr>
            <w:rStyle w:val="Lienhypertexte"/>
          </w:rPr>
          <w:t>Semences – Livraison de semences de base à l’Institut central de recherche agricole (CARI).</w:t>
        </w:r>
      </w:hyperlink>
    </w:p>
    <w:p w14:paraId="4F39E9D1" w14:textId="4A27BE81" w:rsidR="00A37817" w:rsidRDefault="00A37817">
      <w:pPr>
        <w:pStyle w:val="TM2"/>
        <w:rPr>
          <w:rFonts w:asciiTheme="minorHAnsi" w:eastAsiaTheme="minorEastAsia" w:hAnsiTheme="minorHAnsi" w:cstheme="minorBidi"/>
          <w:sz w:val="22"/>
          <w:szCs w:val="22"/>
          <w:lang w:eastAsia="fr-FR"/>
        </w:rPr>
      </w:pPr>
      <w:hyperlink w:anchor="_Toc213247541" w:history="1">
        <w:r w:rsidRPr="005B57E7">
          <w:rPr>
            <w:rStyle w:val="Lienhypertexte"/>
          </w:rPr>
          <w:t>Pêche – Appui financier pour les mareyeuses.</w:t>
        </w:r>
      </w:hyperlink>
    </w:p>
    <w:p w14:paraId="7BCBC8D2" w14:textId="0DD93E11" w:rsidR="00A37817" w:rsidRDefault="00A37817">
      <w:pPr>
        <w:pStyle w:val="TM2"/>
        <w:rPr>
          <w:rFonts w:asciiTheme="minorHAnsi" w:eastAsiaTheme="minorEastAsia" w:hAnsiTheme="minorHAnsi" w:cstheme="minorBidi"/>
          <w:sz w:val="22"/>
          <w:szCs w:val="22"/>
          <w:lang w:eastAsia="fr-FR"/>
        </w:rPr>
      </w:pPr>
      <w:hyperlink w:anchor="_Toc213247542" w:history="1">
        <w:r w:rsidRPr="005B57E7">
          <w:rPr>
            <w:rStyle w:val="Lienhypertexte"/>
          </w:rPr>
          <w:t>Financement – Mission d’évaluation du Fonds international de développement agricole (FIDA).</w:t>
        </w:r>
      </w:hyperlink>
    </w:p>
    <w:p w14:paraId="53E40E95" w14:textId="39FC4B56" w:rsidR="00A37817" w:rsidRDefault="00A37817">
      <w:pPr>
        <w:pStyle w:val="TM2"/>
        <w:rPr>
          <w:rFonts w:asciiTheme="minorHAnsi" w:eastAsiaTheme="minorEastAsia" w:hAnsiTheme="minorHAnsi" w:cstheme="minorBidi"/>
          <w:sz w:val="22"/>
          <w:szCs w:val="22"/>
          <w:lang w:eastAsia="fr-FR"/>
        </w:rPr>
      </w:pPr>
      <w:hyperlink w:anchor="_Toc213247543" w:history="1">
        <w:r w:rsidRPr="005B57E7">
          <w:rPr>
            <w:rStyle w:val="Lienhypertexte"/>
          </w:rPr>
          <w:t>Agroforesterie – Partners In Development (PADEV) promeut la diversification des activités agricoles.</w:t>
        </w:r>
      </w:hyperlink>
    </w:p>
    <w:p w14:paraId="6F10525A" w14:textId="054F3EE8" w:rsidR="00A37817" w:rsidRDefault="00A37817">
      <w:pPr>
        <w:pStyle w:val="TM2"/>
        <w:rPr>
          <w:rFonts w:asciiTheme="minorHAnsi" w:eastAsiaTheme="minorEastAsia" w:hAnsiTheme="minorHAnsi" w:cstheme="minorBidi"/>
          <w:sz w:val="22"/>
          <w:szCs w:val="22"/>
          <w:lang w:eastAsia="fr-FR"/>
        </w:rPr>
      </w:pPr>
      <w:hyperlink w:anchor="_Toc213247544" w:history="1">
        <w:r w:rsidRPr="005B57E7">
          <w:rPr>
            <w:rStyle w:val="Lienhypertexte"/>
          </w:rPr>
          <w:t>Forêt – Plus de 17</w:t>
        </w:r>
        <w:r w:rsidRPr="005B57E7">
          <w:rPr>
            <w:rStyle w:val="Lienhypertexte"/>
            <w:rFonts w:ascii="Calibri" w:hAnsi="Calibri" w:cs="Calibri"/>
          </w:rPr>
          <w:t> </w:t>
        </w:r>
        <w:r w:rsidRPr="005B57E7">
          <w:rPr>
            <w:rStyle w:val="Lienhypertexte"/>
          </w:rPr>
          <w:t>000 grumes abandonnées.</w:t>
        </w:r>
      </w:hyperlink>
    </w:p>
    <w:p w14:paraId="603439EF" w14:textId="76FE36E7" w:rsidR="00A37817" w:rsidRDefault="00A37817">
      <w:pPr>
        <w:pStyle w:val="TM2"/>
        <w:rPr>
          <w:rFonts w:asciiTheme="minorHAnsi" w:eastAsiaTheme="minorEastAsia" w:hAnsiTheme="minorHAnsi" w:cstheme="minorBidi"/>
          <w:sz w:val="22"/>
          <w:szCs w:val="22"/>
          <w:lang w:eastAsia="fr-FR"/>
        </w:rPr>
      </w:pPr>
      <w:hyperlink w:anchor="_Toc213247545" w:history="1">
        <w:r w:rsidRPr="005B57E7">
          <w:rPr>
            <w:rStyle w:val="Lienhypertexte"/>
          </w:rPr>
          <w:t>Formation – Réouverture du centre agricole Tumutu.</w:t>
        </w:r>
      </w:hyperlink>
    </w:p>
    <w:p w14:paraId="4E9F6DC0" w14:textId="6F79A356" w:rsidR="00A37817" w:rsidRDefault="00A37817">
      <w:pPr>
        <w:pStyle w:val="TM2"/>
        <w:rPr>
          <w:rFonts w:asciiTheme="minorHAnsi" w:eastAsiaTheme="minorEastAsia" w:hAnsiTheme="minorHAnsi" w:cstheme="minorBidi"/>
          <w:sz w:val="22"/>
          <w:szCs w:val="22"/>
          <w:lang w:eastAsia="fr-FR"/>
        </w:rPr>
      </w:pPr>
      <w:hyperlink w:anchor="_Toc213247546" w:history="1">
        <w:r w:rsidRPr="005B57E7">
          <w:rPr>
            <w:rStyle w:val="Lienhypertexte"/>
          </w:rPr>
          <w:t>Innovation – Atelier sur l’intelligence artificielle générative.</w:t>
        </w:r>
      </w:hyperlink>
    </w:p>
    <w:p w14:paraId="5542361E" w14:textId="3C34B768" w:rsidR="00A37817" w:rsidRDefault="00A37817">
      <w:pPr>
        <w:pStyle w:val="TM1"/>
        <w:rPr>
          <w:rFonts w:asciiTheme="minorHAnsi" w:eastAsiaTheme="minorEastAsia" w:hAnsiTheme="minorHAnsi" w:cstheme="minorBidi"/>
          <w:b w:val="0"/>
          <w:color w:val="auto"/>
          <w:sz w:val="22"/>
          <w:szCs w:val="22"/>
          <w:lang w:eastAsia="fr-FR"/>
        </w:rPr>
      </w:pPr>
      <w:hyperlink w:anchor="_Toc213247547" w:history="1">
        <w:r w:rsidRPr="005B57E7">
          <w:rPr>
            <w:rStyle w:val="Lienhypertexte"/>
          </w:rPr>
          <w:t>Mali</w:t>
        </w:r>
      </w:hyperlink>
    </w:p>
    <w:p w14:paraId="6822EECB" w14:textId="6418E276" w:rsidR="00A37817" w:rsidRDefault="00A37817">
      <w:pPr>
        <w:pStyle w:val="TM2"/>
        <w:rPr>
          <w:rFonts w:asciiTheme="minorHAnsi" w:eastAsiaTheme="minorEastAsia" w:hAnsiTheme="minorHAnsi" w:cstheme="minorBidi"/>
          <w:sz w:val="22"/>
          <w:szCs w:val="22"/>
          <w:lang w:eastAsia="fr-FR"/>
        </w:rPr>
      </w:pPr>
      <w:hyperlink w:anchor="_Toc213247548" w:history="1">
        <w:r w:rsidRPr="005B57E7">
          <w:rPr>
            <w:rStyle w:val="Lienhypertexte"/>
          </w:rPr>
          <w:t>Aide alimentaire – 112 000 élèves affectés par la suspension des cantines scolaires.</w:t>
        </w:r>
      </w:hyperlink>
    </w:p>
    <w:p w14:paraId="1F2FD00B" w14:textId="14598E55" w:rsidR="00A37817" w:rsidRDefault="00A37817">
      <w:pPr>
        <w:pStyle w:val="TM2"/>
        <w:rPr>
          <w:rFonts w:asciiTheme="minorHAnsi" w:eastAsiaTheme="minorEastAsia" w:hAnsiTheme="minorHAnsi" w:cstheme="minorBidi"/>
          <w:sz w:val="22"/>
          <w:szCs w:val="22"/>
          <w:lang w:eastAsia="fr-FR"/>
        </w:rPr>
      </w:pPr>
      <w:hyperlink w:anchor="_Toc213247549" w:history="1">
        <w:r w:rsidRPr="005B57E7">
          <w:rPr>
            <w:rStyle w:val="Lienhypertexte"/>
          </w:rPr>
          <w:t>Coton – La mévente fragilise le budget.</w:t>
        </w:r>
      </w:hyperlink>
    </w:p>
    <w:p w14:paraId="084CF7DD" w14:textId="43134EC2" w:rsidR="00A37817" w:rsidRDefault="00A37817">
      <w:pPr>
        <w:pStyle w:val="TM2"/>
        <w:rPr>
          <w:rFonts w:asciiTheme="minorHAnsi" w:eastAsiaTheme="minorEastAsia" w:hAnsiTheme="minorHAnsi" w:cstheme="minorBidi"/>
          <w:sz w:val="22"/>
          <w:szCs w:val="22"/>
          <w:lang w:eastAsia="fr-FR"/>
        </w:rPr>
      </w:pPr>
      <w:hyperlink w:anchor="_Toc213247550" w:history="1">
        <w:r w:rsidRPr="005B57E7">
          <w:rPr>
            <w:rStyle w:val="Lienhypertexte"/>
          </w:rPr>
          <w:t>Coton – Projet d’une nouvelle usine d’égrenage.</w:t>
        </w:r>
      </w:hyperlink>
    </w:p>
    <w:p w14:paraId="0BCD7FCD" w14:textId="4EFA5085" w:rsidR="00A37817" w:rsidRDefault="00A37817">
      <w:pPr>
        <w:pStyle w:val="TM2"/>
        <w:rPr>
          <w:rFonts w:asciiTheme="minorHAnsi" w:eastAsiaTheme="minorEastAsia" w:hAnsiTheme="minorHAnsi" w:cstheme="minorBidi"/>
          <w:sz w:val="22"/>
          <w:szCs w:val="22"/>
          <w:lang w:eastAsia="fr-FR"/>
        </w:rPr>
      </w:pPr>
      <w:hyperlink w:anchor="_Toc213247551" w:history="1">
        <w:r w:rsidRPr="005B57E7">
          <w:rPr>
            <w:rStyle w:val="Lienhypertexte"/>
          </w:rPr>
          <w:t>Coton – Le Mali plaide pour une filière équitable et durable à Rome.</w:t>
        </w:r>
      </w:hyperlink>
    </w:p>
    <w:p w14:paraId="65AC9CE2" w14:textId="543E5CF3" w:rsidR="00A37817" w:rsidRDefault="00A37817">
      <w:pPr>
        <w:pStyle w:val="TM2"/>
        <w:rPr>
          <w:rFonts w:asciiTheme="minorHAnsi" w:eastAsiaTheme="minorEastAsia" w:hAnsiTheme="minorHAnsi" w:cstheme="minorBidi"/>
          <w:sz w:val="22"/>
          <w:szCs w:val="22"/>
          <w:lang w:eastAsia="fr-FR"/>
        </w:rPr>
      </w:pPr>
      <w:hyperlink w:anchor="_Toc213247552" w:history="1">
        <w:r w:rsidRPr="005B57E7">
          <w:rPr>
            <w:rStyle w:val="Lienhypertexte"/>
          </w:rPr>
          <w:t>Coton – Projet d’usine de vêtements.</w:t>
        </w:r>
      </w:hyperlink>
    </w:p>
    <w:p w14:paraId="2A0B79E5" w14:textId="22A5D5E5" w:rsidR="00A37817" w:rsidRDefault="00A37817">
      <w:pPr>
        <w:pStyle w:val="TM2"/>
        <w:rPr>
          <w:rFonts w:asciiTheme="minorHAnsi" w:eastAsiaTheme="minorEastAsia" w:hAnsiTheme="minorHAnsi" w:cstheme="minorBidi"/>
          <w:sz w:val="22"/>
          <w:szCs w:val="22"/>
          <w:lang w:eastAsia="fr-FR"/>
        </w:rPr>
      </w:pPr>
      <w:hyperlink w:anchor="_Toc213247553" w:history="1">
        <w:r w:rsidRPr="005B57E7">
          <w:rPr>
            <w:rStyle w:val="Lienhypertexte"/>
          </w:rPr>
          <w:t>Sésame – Une filière porteuse.</w:t>
        </w:r>
      </w:hyperlink>
    </w:p>
    <w:p w14:paraId="15502055" w14:textId="06617F1A" w:rsidR="00A37817" w:rsidRDefault="00A37817">
      <w:pPr>
        <w:pStyle w:val="TM2"/>
        <w:rPr>
          <w:rFonts w:asciiTheme="minorHAnsi" w:eastAsiaTheme="minorEastAsia" w:hAnsiTheme="minorHAnsi" w:cstheme="minorBidi"/>
          <w:sz w:val="22"/>
          <w:szCs w:val="22"/>
          <w:lang w:eastAsia="fr-FR"/>
        </w:rPr>
      </w:pPr>
      <w:hyperlink w:anchor="_Toc213247554" w:history="1">
        <w:r w:rsidRPr="005B57E7">
          <w:rPr>
            <w:rStyle w:val="Lienhypertexte"/>
          </w:rPr>
          <w:t>Élevage – Campagne nationale contre la Peste des Petits Ruminants (PPR).</w:t>
        </w:r>
      </w:hyperlink>
    </w:p>
    <w:p w14:paraId="3DF52410" w14:textId="270B47E8" w:rsidR="00A37817" w:rsidRDefault="00A37817">
      <w:pPr>
        <w:pStyle w:val="TM2"/>
        <w:rPr>
          <w:rFonts w:asciiTheme="minorHAnsi" w:eastAsiaTheme="minorEastAsia" w:hAnsiTheme="minorHAnsi" w:cstheme="minorBidi"/>
          <w:sz w:val="22"/>
          <w:szCs w:val="22"/>
          <w:lang w:eastAsia="fr-FR"/>
        </w:rPr>
      </w:pPr>
      <w:hyperlink w:anchor="_Toc213247555" w:history="1">
        <w:r w:rsidRPr="005B57E7">
          <w:rPr>
            <w:rStyle w:val="Lienhypertexte"/>
          </w:rPr>
          <w:t>Pêche – Adhésion à l’Accord sur les subventions de l’Organisation mondiale du commerce (OMC).</w:t>
        </w:r>
      </w:hyperlink>
    </w:p>
    <w:p w14:paraId="007542B9" w14:textId="7D0CCA7D" w:rsidR="00A37817" w:rsidRDefault="00A37817">
      <w:pPr>
        <w:pStyle w:val="TM2"/>
        <w:rPr>
          <w:rFonts w:asciiTheme="minorHAnsi" w:eastAsiaTheme="minorEastAsia" w:hAnsiTheme="minorHAnsi" w:cstheme="minorBidi"/>
          <w:sz w:val="22"/>
          <w:szCs w:val="22"/>
          <w:lang w:eastAsia="fr-FR"/>
        </w:rPr>
      </w:pPr>
      <w:hyperlink w:anchor="_Toc213247556" w:history="1">
        <w:r w:rsidRPr="005B57E7">
          <w:rPr>
            <w:rStyle w:val="Lienhypertexte"/>
          </w:rPr>
          <w:t>Évènement – Le Marché des innovations et technologies agricoles (MITA) 2025 met à l’honneur les technologies pour les sols africains.</w:t>
        </w:r>
      </w:hyperlink>
    </w:p>
    <w:p w14:paraId="2D8D5C92" w14:textId="7FAB7806" w:rsidR="00A37817" w:rsidRDefault="00A37817">
      <w:pPr>
        <w:pStyle w:val="TM1"/>
        <w:rPr>
          <w:rFonts w:asciiTheme="minorHAnsi" w:eastAsiaTheme="minorEastAsia" w:hAnsiTheme="minorHAnsi" w:cstheme="minorBidi"/>
          <w:b w:val="0"/>
          <w:color w:val="auto"/>
          <w:sz w:val="22"/>
          <w:szCs w:val="22"/>
          <w:lang w:eastAsia="fr-FR"/>
        </w:rPr>
      </w:pPr>
      <w:hyperlink w:anchor="_Toc213247557" w:history="1">
        <w:r w:rsidRPr="005B57E7">
          <w:rPr>
            <w:rStyle w:val="Lienhypertexte"/>
          </w:rPr>
          <w:t>Mauritanie</w:t>
        </w:r>
      </w:hyperlink>
    </w:p>
    <w:p w14:paraId="23250AB5" w14:textId="5A7FDEA0" w:rsidR="00A37817" w:rsidRDefault="00A37817">
      <w:pPr>
        <w:pStyle w:val="TM2"/>
        <w:rPr>
          <w:rFonts w:asciiTheme="minorHAnsi" w:eastAsiaTheme="minorEastAsia" w:hAnsiTheme="minorHAnsi" w:cstheme="minorBidi"/>
          <w:sz w:val="22"/>
          <w:szCs w:val="22"/>
          <w:lang w:eastAsia="fr-FR"/>
        </w:rPr>
      </w:pPr>
      <w:hyperlink w:anchor="_Toc213247558" w:history="1">
        <w:r w:rsidRPr="005B57E7">
          <w:rPr>
            <w:rStyle w:val="Lienhypertexte"/>
          </w:rPr>
          <w:t>Pêche – La crise mauritanienne alerte la région.</w:t>
        </w:r>
      </w:hyperlink>
    </w:p>
    <w:p w14:paraId="5F189389" w14:textId="091B28C8" w:rsidR="00A37817" w:rsidRDefault="00A37817">
      <w:pPr>
        <w:pStyle w:val="TM2"/>
        <w:rPr>
          <w:rFonts w:asciiTheme="minorHAnsi" w:eastAsiaTheme="minorEastAsia" w:hAnsiTheme="minorHAnsi" w:cstheme="minorBidi"/>
          <w:sz w:val="22"/>
          <w:szCs w:val="22"/>
          <w:lang w:eastAsia="fr-FR"/>
        </w:rPr>
      </w:pPr>
      <w:hyperlink w:anchor="_Toc213247559" w:history="1">
        <w:r w:rsidRPr="005B57E7">
          <w:rPr>
            <w:rStyle w:val="Lienhypertexte"/>
          </w:rPr>
          <w:t>Elevage – Nouvelle stratégie nationale pour la relance du secteur.</w:t>
        </w:r>
      </w:hyperlink>
    </w:p>
    <w:p w14:paraId="4CE0E5CB" w14:textId="5A50C9E2" w:rsidR="00A37817" w:rsidRDefault="00A37817">
      <w:pPr>
        <w:pStyle w:val="TM2"/>
        <w:rPr>
          <w:rFonts w:asciiTheme="minorHAnsi" w:eastAsiaTheme="minorEastAsia" w:hAnsiTheme="minorHAnsi" w:cstheme="minorBidi"/>
          <w:sz w:val="22"/>
          <w:szCs w:val="22"/>
          <w:lang w:eastAsia="fr-FR"/>
        </w:rPr>
      </w:pPr>
      <w:hyperlink w:anchor="_Toc213247560" w:history="1">
        <w:r w:rsidRPr="005B57E7">
          <w:rPr>
            <w:rStyle w:val="Lienhypertexte"/>
          </w:rPr>
          <w:t>Elevage – L’arrêt de la transhumance vers le Mali menace le cheptel mauritanien.</w:t>
        </w:r>
      </w:hyperlink>
    </w:p>
    <w:p w14:paraId="6ADC7802" w14:textId="7256967E" w:rsidR="00A37817" w:rsidRDefault="00A37817">
      <w:pPr>
        <w:pStyle w:val="TM2"/>
        <w:rPr>
          <w:rFonts w:asciiTheme="minorHAnsi" w:eastAsiaTheme="minorEastAsia" w:hAnsiTheme="minorHAnsi" w:cstheme="minorBidi"/>
          <w:sz w:val="22"/>
          <w:szCs w:val="22"/>
          <w:lang w:eastAsia="fr-FR"/>
        </w:rPr>
      </w:pPr>
      <w:hyperlink w:anchor="_Toc213247561" w:history="1">
        <w:r w:rsidRPr="005B57E7">
          <w:rPr>
            <w:rStyle w:val="Lienhypertexte"/>
          </w:rPr>
          <w:t>Elevage – Protection des pâturages contre les incendies.</w:t>
        </w:r>
      </w:hyperlink>
    </w:p>
    <w:p w14:paraId="26F4C7B5" w14:textId="4AEA2DF8" w:rsidR="00A37817" w:rsidRDefault="00A37817">
      <w:pPr>
        <w:pStyle w:val="TM2"/>
        <w:rPr>
          <w:rFonts w:asciiTheme="minorHAnsi" w:eastAsiaTheme="minorEastAsia" w:hAnsiTheme="minorHAnsi" w:cstheme="minorBidi"/>
          <w:sz w:val="22"/>
          <w:szCs w:val="22"/>
          <w:lang w:eastAsia="fr-FR"/>
        </w:rPr>
      </w:pPr>
      <w:hyperlink w:anchor="_Toc213247562" w:history="1">
        <w:r w:rsidRPr="005B57E7">
          <w:rPr>
            <w:rStyle w:val="Lienhypertexte"/>
          </w:rPr>
          <w:t>Maraîchage – Lancement de la campagne 2025-2026.</w:t>
        </w:r>
      </w:hyperlink>
    </w:p>
    <w:p w14:paraId="179E42A6" w14:textId="2F6E5F4F" w:rsidR="00A37817" w:rsidRDefault="00A37817">
      <w:pPr>
        <w:pStyle w:val="TM2"/>
        <w:rPr>
          <w:rFonts w:asciiTheme="minorHAnsi" w:eastAsiaTheme="minorEastAsia" w:hAnsiTheme="minorHAnsi" w:cstheme="minorBidi"/>
          <w:sz w:val="22"/>
          <w:szCs w:val="22"/>
          <w:lang w:eastAsia="fr-FR"/>
        </w:rPr>
      </w:pPr>
      <w:hyperlink w:anchor="_Toc213247563" w:history="1">
        <w:r w:rsidRPr="005B57E7">
          <w:rPr>
            <w:rStyle w:val="Lienhypertexte"/>
          </w:rPr>
          <w:t>Céréales – Coopération mauritano-égyptienne pour améliorer la productivité.</w:t>
        </w:r>
      </w:hyperlink>
    </w:p>
    <w:p w14:paraId="2D6F9041" w14:textId="37C009E9" w:rsidR="00A37817" w:rsidRDefault="00A37817">
      <w:pPr>
        <w:pStyle w:val="TM2"/>
        <w:rPr>
          <w:rFonts w:asciiTheme="minorHAnsi" w:eastAsiaTheme="minorEastAsia" w:hAnsiTheme="minorHAnsi" w:cstheme="minorBidi"/>
          <w:sz w:val="22"/>
          <w:szCs w:val="22"/>
          <w:lang w:eastAsia="fr-FR"/>
        </w:rPr>
      </w:pPr>
      <w:hyperlink w:anchor="_Toc213247564" w:history="1">
        <w:r w:rsidRPr="005B57E7">
          <w:rPr>
            <w:rStyle w:val="Lienhypertexte"/>
          </w:rPr>
          <w:t>Irrigation – Inspection du projet “Al-Rafed Sokam”.</w:t>
        </w:r>
      </w:hyperlink>
    </w:p>
    <w:p w14:paraId="2BFDDF10" w14:textId="537F886E" w:rsidR="00A37817" w:rsidRDefault="00A37817">
      <w:pPr>
        <w:pStyle w:val="TM2"/>
        <w:rPr>
          <w:rFonts w:asciiTheme="minorHAnsi" w:eastAsiaTheme="minorEastAsia" w:hAnsiTheme="minorHAnsi" w:cstheme="minorBidi"/>
          <w:sz w:val="22"/>
          <w:szCs w:val="22"/>
          <w:lang w:eastAsia="fr-FR"/>
        </w:rPr>
      </w:pPr>
      <w:hyperlink w:anchor="_Toc213247565" w:history="1">
        <w:r w:rsidRPr="005B57E7">
          <w:rPr>
            <w:rStyle w:val="Lienhypertexte"/>
          </w:rPr>
          <w:t>Sécheresse – Oasis menacées par le réchauffement climatique.</w:t>
        </w:r>
      </w:hyperlink>
    </w:p>
    <w:p w14:paraId="45632D4C" w14:textId="7D09BE01" w:rsidR="00A37817" w:rsidRDefault="00A37817">
      <w:pPr>
        <w:pStyle w:val="TM2"/>
        <w:rPr>
          <w:rFonts w:asciiTheme="minorHAnsi" w:eastAsiaTheme="minorEastAsia" w:hAnsiTheme="minorHAnsi" w:cstheme="minorBidi"/>
          <w:sz w:val="22"/>
          <w:szCs w:val="22"/>
          <w:lang w:eastAsia="fr-FR"/>
        </w:rPr>
      </w:pPr>
      <w:hyperlink w:anchor="_Toc213247566" w:history="1">
        <w:r w:rsidRPr="005B57E7">
          <w:rPr>
            <w:rStyle w:val="Lienhypertexte"/>
          </w:rPr>
          <w:t>Evènement – Premier salon international des produits halieutiques mauritaniens.</w:t>
        </w:r>
      </w:hyperlink>
    </w:p>
    <w:p w14:paraId="08CD9734" w14:textId="028AC7A7" w:rsidR="00A37817" w:rsidRDefault="00A37817">
      <w:pPr>
        <w:pStyle w:val="TM1"/>
        <w:rPr>
          <w:rFonts w:asciiTheme="minorHAnsi" w:eastAsiaTheme="minorEastAsia" w:hAnsiTheme="minorHAnsi" w:cstheme="minorBidi"/>
          <w:b w:val="0"/>
          <w:color w:val="auto"/>
          <w:sz w:val="22"/>
          <w:szCs w:val="22"/>
          <w:lang w:eastAsia="fr-FR"/>
        </w:rPr>
      </w:pPr>
      <w:hyperlink w:anchor="_Toc213247567" w:history="1">
        <w:r w:rsidRPr="005B57E7">
          <w:rPr>
            <w:rStyle w:val="Lienhypertexte"/>
          </w:rPr>
          <w:t>Niger</w:t>
        </w:r>
      </w:hyperlink>
    </w:p>
    <w:p w14:paraId="522E4A28" w14:textId="7B8C8D69" w:rsidR="00A37817" w:rsidRDefault="00A37817">
      <w:pPr>
        <w:pStyle w:val="TM2"/>
        <w:rPr>
          <w:rFonts w:asciiTheme="minorHAnsi" w:eastAsiaTheme="minorEastAsia" w:hAnsiTheme="minorHAnsi" w:cstheme="minorBidi"/>
          <w:sz w:val="22"/>
          <w:szCs w:val="22"/>
          <w:lang w:eastAsia="fr-FR"/>
        </w:rPr>
      </w:pPr>
      <w:hyperlink w:anchor="_Toc213247568" w:history="1">
        <w:r w:rsidRPr="005B57E7">
          <w:rPr>
            <w:rStyle w:val="Lienhypertexte"/>
          </w:rPr>
          <w:t>Sécurité alimentaire – Mesures de protection de la production locale.</w:t>
        </w:r>
      </w:hyperlink>
    </w:p>
    <w:p w14:paraId="54DFB713" w14:textId="2E81E4B4" w:rsidR="00A37817" w:rsidRDefault="00A37817">
      <w:pPr>
        <w:pStyle w:val="TM2"/>
        <w:rPr>
          <w:rFonts w:asciiTheme="minorHAnsi" w:eastAsiaTheme="minorEastAsia" w:hAnsiTheme="minorHAnsi" w:cstheme="minorBidi"/>
          <w:sz w:val="22"/>
          <w:szCs w:val="22"/>
          <w:lang w:eastAsia="fr-FR"/>
        </w:rPr>
      </w:pPr>
      <w:hyperlink w:anchor="_Toc213247569" w:history="1">
        <w:r w:rsidRPr="005B57E7">
          <w:rPr>
            <w:rStyle w:val="Lienhypertexte"/>
          </w:rPr>
          <w:t>Élevage – Le Niger et le Tchad unis pour la santé animale transfrontalière.</w:t>
        </w:r>
      </w:hyperlink>
    </w:p>
    <w:p w14:paraId="257F25E0" w14:textId="62C5A6EE" w:rsidR="00A37817" w:rsidRDefault="00A37817">
      <w:pPr>
        <w:pStyle w:val="TM2"/>
        <w:rPr>
          <w:rFonts w:asciiTheme="minorHAnsi" w:eastAsiaTheme="minorEastAsia" w:hAnsiTheme="minorHAnsi" w:cstheme="minorBidi"/>
          <w:sz w:val="22"/>
          <w:szCs w:val="22"/>
          <w:lang w:eastAsia="fr-FR"/>
        </w:rPr>
      </w:pPr>
      <w:hyperlink w:anchor="_Toc213247570" w:history="1">
        <w:r w:rsidRPr="005B57E7">
          <w:rPr>
            <w:rStyle w:val="Lienhypertexte"/>
          </w:rPr>
          <w:t>Élevage – Création d’un centre national pour améliorer la production animale.</w:t>
        </w:r>
      </w:hyperlink>
    </w:p>
    <w:p w14:paraId="19DCD147" w14:textId="033B7812" w:rsidR="00A37817" w:rsidRDefault="00A37817">
      <w:pPr>
        <w:pStyle w:val="TM1"/>
        <w:rPr>
          <w:rFonts w:asciiTheme="minorHAnsi" w:eastAsiaTheme="minorEastAsia" w:hAnsiTheme="minorHAnsi" w:cstheme="minorBidi"/>
          <w:b w:val="0"/>
          <w:color w:val="auto"/>
          <w:sz w:val="22"/>
          <w:szCs w:val="22"/>
          <w:lang w:eastAsia="fr-FR"/>
        </w:rPr>
      </w:pPr>
      <w:hyperlink w:anchor="_Toc213247571" w:history="1">
        <w:r w:rsidRPr="005B57E7">
          <w:rPr>
            <w:rStyle w:val="Lienhypertexte"/>
          </w:rPr>
          <w:t>Sierra Leone</w:t>
        </w:r>
      </w:hyperlink>
    </w:p>
    <w:p w14:paraId="47554E89" w14:textId="30666466" w:rsidR="00A37817" w:rsidRDefault="00A37817">
      <w:pPr>
        <w:pStyle w:val="TM2"/>
        <w:rPr>
          <w:rFonts w:asciiTheme="minorHAnsi" w:eastAsiaTheme="minorEastAsia" w:hAnsiTheme="minorHAnsi" w:cstheme="minorBidi"/>
          <w:sz w:val="22"/>
          <w:szCs w:val="22"/>
          <w:lang w:eastAsia="fr-FR"/>
        </w:rPr>
      </w:pPr>
      <w:hyperlink w:anchor="_Toc213247572" w:history="1">
        <w:r w:rsidRPr="005B57E7">
          <w:rPr>
            <w:rStyle w:val="Lienhypertexte"/>
          </w:rPr>
          <w:t>Engrais – Financement de 2,25 M USD pour renforcer la productivité agricole.</w:t>
        </w:r>
      </w:hyperlink>
    </w:p>
    <w:p w14:paraId="2EB2AB06" w14:textId="53561BC3" w:rsidR="00A37817" w:rsidRDefault="00A37817">
      <w:pPr>
        <w:pStyle w:val="TM2"/>
        <w:rPr>
          <w:rFonts w:asciiTheme="minorHAnsi" w:eastAsiaTheme="minorEastAsia" w:hAnsiTheme="minorHAnsi" w:cstheme="minorBidi"/>
          <w:sz w:val="22"/>
          <w:szCs w:val="22"/>
          <w:lang w:eastAsia="fr-FR"/>
        </w:rPr>
      </w:pPr>
      <w:hyperlink w:anchor="_Toc213247573" w:history="1">
        <w:r w:rsidRPr="005B57E7">
          <w:rPr>
            <w:rStyle w:val="Lienhypertexte"/>
          </w:rPr>
          <w:t>Financement – Appui aux entreprises agricoles et aux femmes.</w:t>
        </w:r>
      </w:hyperlink>
    </w:p>
    <w:p w14:paraId="1757C313" w14:textId="5F8E4BE5" w:rsidR="00A37817" w:rsidRDefault="00A37817">
      <w:pPr>
        <w:pStyle w:val="TM2"/>
        <w:rPr>
          <w:rFonts w:asciiTheme="minorHAnsi" w:eastAsiaTheme="minorEastAsia" w:hAnsiTheme="minorHAnsi" w:cstheme="minorBidi"/>
          <w:sz w:val="22"/>
          <w:szCs w:val="22"/>
          <w:lang w:eastAsia="fr-FR"/>
        </w:rPr>
      </w:pPr>
      <w:hyperlink w:anchor="_Toc213247574" w:history="1">
        <w:r w:rsidRPr="005B57E7">
          <w:rPr>
            <w:rStyle w:val="Lienhypertexte"/>
          </w:rPr>
          <w:t>Financement – Le Document stratégie pays de la Banque africaine de développement priorise un soutien aux chaînes de valeur agricole.</w:t>
        </w:r>
      </w:hyperlink>
    </w:p>
    <w:p w14:paraId="1CE364BB" w14:textId="08D7D679" w:rsidR="00A37817" w:rsidRDefault="00A37817">
      <w:pPr>
        <w:pStyle w:val="TM1"/>
        <w:rPr>
          <w:rFonts w:asciiTheme="minorHAnsi" w:eastAsiaTheme="minorEastAsia" w:hAnsiTheme="minorHAnsi" w:cstheme="minorBidi"/>
          <w:b w:val="0"/>
          <w:color w:val="auto"/>
          <w:sz w:val="22"/>
          <w:szCs w:val="22"/>
          <w:lang w:eastAsia="fr-FR"/>
        </w:rPr>
      </w:pPr>
      <w:hyperlink w:anchor="_Toc213247575" w:history="1">
        <w:r w:rsidRPr="005B57E7">
          <w:rPr>
            <w:rStyle w:val="Lienhypertexte"/>
          </w:rPr>
          <w:t>Togo</w:t>
        </w:r>
      </w:hyperlink>
    </w:p>
    <w:p w14:paraId="5A9C0F95" w14:textId="7D91D8EC" w:rsidR="00A37817" w:rsidRDefault="00A37817">
      <w:pPr>
        <w:pStyle w:val="TM2"/>
        <w:rPr>
          <w:rFonts w:asciiTheme="minorHAnsi" w:eastAsiaTheme="minorEastAsia" w:hAnsiTheme="minorHAnsi" w:cstheme="minorBidi"/>
          <w:sz w:val="22"/>
          <w:szCs w:val="22"/>
          <w:lang w:eastAsia="fr-FR"/>
        </w:rPr>
      </w:pPr>
      <w:hyperlink w:anchor="_Toc213247576" w:history="1">
        <w:r w:rsidRPr="005B57E7">
          <w:rPr>
            <w:rStyle w:val="Lienhypertexte"/>
          </w:rPr>
          <w:t>Remaniement ministériel – M. Antoine Lekpa Gbégbeni reconduit comme ministre de l’agriculture, de la pêche, des ressources animales et de la souveraineté alimentaire.</w:t>
        </w:r>
      </w:hyperlink>
    </w:p>
    <w:p w14:paraId="300EA311" w14:textId="1717D817" w:rsidR="00A37817" w:rsidRDefault="00A37817">
      <w:pPr>
        <w:pStyle w:val="TM2"/>
        <w:rPr>
          <w:rFonts w:asciiTheme="minorHAnsi" w:eastAsiaTheme="minorEastAsia" w:hAnsiTheme="minorHAnsi" w:cstheme="minorBidi"/>
          <w:sz w:val="22"/>
          <w:szCs w:val="22"/>
          <w:lang w:eastAsia="fr-FR"/>
        </w:rPr>
      </w:pPr>
      <w:hyperlink w:anchor="_Toc213247577" w:history="1">
        <w:r w:rsidRPr="005B57E7">
          <w:rPr>
            <w:rStyle w:val="Lienhypertexte"/>
          </w:rPr>
          <w:t>Politique agricole – Croissance soutenue des productions agricoles.</w:t>
        </w:r>
      </w:hyperlink>
    </w:p>
    <w:p w14:paraId="3C929825" w14:textId="3BB58F29" w:rsidR="00A37817" w:rsidRDefault="00A37817">
      <w:pPr>
        <w:pStyle w:val="TM2"/>
        <w:rPr>
          <w:rFonts w:asciiTheme="minorHAnsi" w:eastAsiaTheme="minorEastAsia" w:hAnsiTheme="minorHAnsi" w:cstheme="minorBidi"/>
          <w:sz w:val="22"/>
          <w:szCs w:val="22"/>
          <w:lang w:eastAsia="fr-FR"/>
        </w:rPr>
      </w:pPr>
      <w:hyperlink w:anchor="_Toc213247578" w:history="1">
        <w:r w:rsidRPr="005B57E7">
          <w:rPr>
            <w:rStyle w:val="Lienhypertexte"/>
          </w:rPr>
          <w:t>Terres agricoles – Hausse des superficies cultivées.</w:t>
        </w:r>
      </w:hyperlink>
    </w:p>
    <w:p w14:paraId="5EE39C88" w14:textId="5FBE2CA6" w:rsidR="00A37817" w:rsidRDefault="00A37817">
      <w:pPr>
        <w:pStyle w:val="TM2"/>
        <w:rPr>
          <w:rFonts w:asciiTheme="minorHAnsi" w:eastAsiaTheme="minorEastAsia" w:hAnsiTheme="minorHAnsi" w:cstheme="minorBidi"/>
          <w:sz w:val="22"/>
          <w:szCs w:val="22"/>
          <w:lang w:eastAsia="fr-FR"/>
        </w:rPr>
      </w:pPr>
      <w:hyperlink w:anchor="_Toc213247579" w:history="1">
        <w:r w:rsidRPr="005B57E7">
          <w:rPr>
            <w:rStyle w:val="Lienhypertexte"/>
          </w:rPr>
          <w:t>Sécurité alimentaire – Initiatives numériques et appuis territoriaux pour renforcer la sécurité alimentaire dans la région des Savanes.</w:t>
        </w:r>
      </w:hyperlink>
    </w:p>
    <w:p w14:paraId="5CF8E61F" w14:textId="7A65C1A2" w:rsidR="00A37817" w:rsidRDefault="00A37817">
      <w:pPr>
        <w:pStyle w:val="TM2"/>
        <w:rPr>
          <w:rFonts w:asciiTheme="minorHAnsi" w:eastAsiaTheme="minorEastAsia" w:hAnsiTheme="minorHAnsi" w:cstheme="minorBidi"/>
          <w:sz w:val="22"/>
          <w:szCs w:val="22"/>
          <w:lang w:eastAsia="fr-FR"/>
        </w:rPr>
      </w:pPr>
      <w:hyperlink w:anchor="_Toc213247580" w:history="1">
        <w:r w:rsidRPr="005B57E7">
          <w:rPr>
            <w:rStyle w:val="Lienhypertexte"/>
          </w:rPr>
          <w:t>Coton – Feuille de route 2025-2030 en préparation.</w:t>
        </w:r>
      </w:hyperlink>
    </w:p>
    <w:p w14:paraId="53A10F7F" w14:textId="37856A6B" w:rsidR="00A37817" w:rsidRDefault="00A37817">
      <w:pPr>
        <w:pStyle w:val="TM2"/>
        <w:rPr>
          <w:rFonts w:asciiTheme="minorHAnsi" w:eastAsiaTheme="minorEastAsia" w:hAnsiTheme="minorHAnsi" w:cstheme="minorBidi"/>
          <w:sz w:val="22"/>
          <w:szCs w:val="22"/>
          <w:lang w:eastAsia="fr-FR"/>
        </w:rPr>
      </w:pPr>
      <w:hyperlink w:anchor="_Toc213247581" w:history="1">
        <w:r w:rsidRPr="005B57E7">
          <w:rPr>
            <w:rStyle w:val="Lienhypertexte"/>
          </w:rPr>
          <w:t>Palmier à huile – Coopération Togo-Malaisie pour le développement de la filière.</w:t>
        </w:r>
      </w:hyperlink>
    </w:p>
    <w:p w14:paraId="64DC6BFA" w14:textId="6AB3119B" w:rsidR="00A37817" w:rsidRDefault="00A37817">
      <w:pPr>
        <w:pStyle w:val="TM2"/>
        <w:rPr>
          <w:rFonts w:asciiTheme="minorHAnsi" w:eastAsiaTheme="minorEastAsia" w:hAnsiTheme="minorHAnsi" w:cstheme="minorBidi"/>
          <w:sz w:val="22"/>
          <w:szCs w:val="22"/>
          <w:lang w:eastAsia="fr-FR"/>
        </w:rPr>
      </w:pPr>
      <w:hyperlink w:anchor="_Toc213247582" w:history="1">
        <w:r w:rsidRPr="005B57E7">
          <w:rPr>
            <w:rStyle w:val="Lienhypertexte"/>
          </w:rPr>
          <w:t>Soja – Baisse du prix plancher pour la campagne 2025-2026.</w:t>
        </w:r>
      </w:hyperlink>
    </w:p>
    <w:p w14:paraId="772744C9" w14:textId="00054A09" w:rsidR="00A37817" w:rsidRDefault="00A37817">
      <w:pPr>
        <w:pStyle w:val="TM2"/>
        <w:rPr>
          <w:rFonts w:asciiTheme="minorHAnsi" w:eastAsiaTheme="minorEastAsia" w:hAnsiTheme="minorHAnsi" w:cstheme="minorBidi"/>
          <w:sz w:val="22"/>
          <w:szCs w:val="22"/>
          <w:lang w:eastAsia="fr-FR"/>
        </w:rPr>
      </w:pPr>
      <w:hyperlink w:anchor="_Toc213247583" w:history="1">
        <w:r w:rsidRPr="005B57E7">
          <w:rPr>
            <w:rStyle w:val="Lienhypertexte"/>
          </w:rPr>
          <w:t>Cacao-café – Les prix indicatifs ajustés en début de campagne.</w:t>
        </w:r>
      </w:hyperlink>
    </w:p>
    <w:p w14:paraId="3886D399" w14:textId="257BF695" w:rsidR="00A37817" w:rsidRDefault="00A37817">
      <w:pPr>
        <w:pStyle w:val="TM2"/>
        <w:rPr>
          <w:rFonts w:asciiTheme="minorHAnsi" w:eastAsiaTheme="minorEastAsia" w:hAnsiTheme="minorHAnsi" w:cstheme="minorBidi"/>
          <w:sz w:val="22"/>
          <w:szCs w:val="22"/>
          <w:lang w:eastAsia="fr-FR"/>
        </w:rPr>
      </w:pPr>
      <w:hyperlink w:anchor="_Toc213247584" w:history="1">
        <w:r w:rsidRPr="005B57E7">
          <w:rPr>
            <w:rStyle w:val="Lienhypertexte"/>
          </w:rPr>
          <w:t>Café-cacao – Les exportations bondissent de 50%.</w:t>
        </w:r>
      </w:hyperlink>
    </w:p>
    <w:p w14:paraId="277062BC" w14:textId="283B4D13" w:rsidR="00A37817" w:rsidRDefault="00A37817">
      <w:pPr>
        <w:pStyle w:val="TM2"/>
        <w:rPr>
          <w:rFonts w:asciiTheme="minorHAnsi" w:eastAsiaTheme="minorEastAsia" w:hAnsiTheme="minorHAnsi" w:cstheme="minorBidi"/>
          <w:sz w:val="22"/>
          <w:szCs w:val="22"/>
          <w:lang w:eastAsia="fr-FR"/>
        </w:rPr>
      </w:pPr>
      <w:hyperlink w:anchor="_Toc213247585" w:history="1">
        <w:r w:rsidRPr="005B57E7">
          <w:rPr>
            <w:rStyle w:val="Lienhypertexte"/>
          </w:rPr>
          <w:t>Cacao – Financements pour la transition verte des coopératives.</w:t>
        </w:r>
      </w:hyperlink>
    </w:p>
    <w:p w14:paraId="1D888B15" w14:textId="1466D892" w:rsidR="00A37817" w:rsidRDefault="00A37817">
      <w:pPr>
        <w:pStyle w:val="TM2"/>
        <w:rPr>
          <w:rFonts w:asciiTheme="minorHAnsi" w:eastAsiaTheme="minorEastAsia" w:hAnsiTheme="minorHAnsi" w:cstheme="minorBidi"/>
          <w:sz w:val="22"/>
          <w:szCs w:val="22"/>
          <w:lang w:eastAsia="fr-FR"/>
        </w:rPr>
      </w:pPr>
      <w:hyperlink w:anchor="_Toc213247586" w:history="1">
        <w:r w:rsidRPr="005B57E7">
          <w:rPr>
            <w:rStyle w:val="Lienhypertexte"/>
          </w:rPr>
          <w:t>Élevage – Projet Sécurité sanitaire et économique des acteurs des filières d’élevage (SAFE) pour sécuriser les filières lait et viande.</w:t>
        </w:r>
      </w:hyperlink>
    </w:p>
    <w:p w14:paraId="1A4C74BB" w14:textId="34D6FEFE" w:rsidR="00A37817" w:rsidRDefault="00A37817">
      <w:pPr>
        <w:pStyle w:val="TM2"/>
        <w:rPr>
          <w:rFonts w:asciiTheme="minorHAnsi" w:eastAsiaTheme="minorEastAsia" w:hAnsiTheme="minorHAnsi" w:cstheme="minorBidi"/>
          <w:sz w:val="22"/>
          <w:szCs w:val="22"/>
          <w:lang w:eastAsia="fr-FR"/>
        </w:rPr>
      </w:pPr>
      <w:hyperlink w:anchor="_Toc213247587" w:history="1">
        <w:r w:rsidRPr="005B57E7">
          <w:rPr>
            <w:rStyle w:val="Lienhypertexte"/>
          </w:rPr>
          <w:t>Aviculture – Les éleveurs en difficulté.</w:t>
        </w:r>
      </w:hyperlink>
    </w:p>
    <w:p w14:paraId="0226E415" w14:textId="44B66DAA" w:rsidR="00A37817" w:rsidRDefault="00A37817">
      <w:pPr>
        <w:pStyle w:val="TM2"/>
        <w:rPr>
          <w:rFonts w:asciiTheme="minorHAnsi" w:eastAsiaTheme="minorEastAsia" w:hAnsiTheme="minorHAnsi" w:cstheme="minorBidi"/>
          <w:sz w:val="22"/>
          <w:szCs w:val="22"/>
          <w:lang w:eastAsia="fr-FR"/>
        </w:rPr>
      </w:pPr>
      <w:hyperlink w:anchor="_Toc213247588" w:history="1">
        <w:r w:rsidRPr="005B57E7">
          <w:rPr>
            <w:rStyle w:val="Lienhypertexte"/>
          </w:rPr>
          <w:t>Forêt – Actualisation des données forestières au Togo.</w:t>
        </w:r>
      </w:hyperlink>
    </w:p>
    <w:p w14:paraId="2908AB4F" w14:textId="1A9B37D6" w:rsidR="00A37817" w:rsidRDefault="00A37817">
      <w:pPr>
        <w:pStyle w:val="TM2"/>
        <w:rPr>
          <w:rFonts w:asciiTheme="minorHAnsi" w:eastAsiaTheme="minorEastAsia" w:hAnsiTheme="minorHAnsi" w:cstheme="minorBidi"/>
          <w:sz w:val="22"/>
          <w:szCs w:val="22"/>
          <w:lang w:eastAsia="fr-FR"/>
        </w:rPr>
      </w:pPr>
      <w:hyperlink w:anchor="_Toc213247589" w:history="1">
        <w:r w:rsidRPr="005B57E7">
          <w:rPr>
            <w:rStyle w:val="Lienhypertexte"/>
          </w:rPr>
          <w:t>Agroforesterie – L’Organisation des Nations unies pour l’alimentation et l’agriculture (FAO) soutient la restauration des terres et la production durable.</w:t>
        </w:r>
      </w:hyperlink>
    </w:p>
    <w:p w14:paraId="4CA0B996" w14:textId="284025C7" w:rsidR="00A37817" w:rsidRDefault="00A37817">
      <w:pPr>
        <w:pStyle w:val="TM2"/>
        <w:rPr>
          <w:rFonts w:asciiTheme="minorHAnsi" w:eastAsiaTheme="minorEastAsia" w:hAnsiTheme="minorHAnsi" w:cstheme="minorBidi"/>
          <w:sz w:val="22"/>
          <w:szCs w:val="22"/>
          <w:lang w:eastAsia="fr-FR"/>
        </w:rPr>
      </w:pPr>
      <w:hyperlink w:anchor="_Toc213247590" w:history="1">
        <w:r w:rsidRPr="005B57E7">
          <w:rPr>
            <w:rStyle w:val="Lienhypertexte"/>
          </w:rPr>
          <w:t>Agroécologie – Le Réseau national des acteurs en agroécologie du Togo (RéNAAT) évalue son projet de production climato-intelligente.</w:t>
        </w:r>
      </w:hyperlink>
    </w:p>
    <w:p w14:paraId="4CFC8FB3" w14:textId="5F529853" w:rsidR="00A37817" w:rsidRDefault="00A37817">
      <w:pPr>
        <w:pStyle w:val="TM2"/>
        <w:rPr>
          <w:rFonts w:asciiTheme="minorHAnsi" w:eastAsiaTheme="minorEastAsia" w:hAnsiTheme="minorHAnsi" w:cstheme="minorBidi"/>
          <w:sz w:val="22"/>
          <w:szCs w:val="22"/>
          <w:lang w:eastAsia="fr-FR"/>
        </w:rPr>
      </w:pPr>
      <w:hyperlink w:anchor="_Toc213247591" w:history="1">
        <w:r w:rsidRPr="005B57E7">
          <w:rPr>
            <w:rStyle w:val="Lienhypertexte"/>
          </w:rPr>
          <w:t>Agroécologie – La phase 2 du programme transition des systèmes agricoles et alimentaires sur les territoires ruraux (TERSAA II) renforce la transition agroécologique.</w:t>
        </w:r>
      </w:hyperlink>
    </w:p>
    <w:p w14:paraId="1021A890" w14:textId="708B84F3" w:rsidR="00A37817" w:rsidRDefault="00A37817">
      <w:pPr>
        <w:pStyle w:val="TM2"/>
        <w:rPr>
          <w:rFonts w:asciiTheme="minorHAnsi" w:eastAsiaTheme="minorEastAsia" w:hAnsiTheme="minorHAnsi" w:cstheme="minorBidi"/>
          <w:sz w:val="22"/>
          <w:szCs w:val="22"/>
          <w:lang w:eastAsia="fr-FR"/>
        </w:rPr>
      </w:pPr>
      <w:hyperlink w:anchor="_Toc213247592" w:history="1">
        <w:r w:rsidRPr="005B57E7">
          <w:rPr>
            <w:rStyle w:val="Lienhypertexte"/>
          </w:rPr>
          <w:t>Mécanisation – 100 jeunes formés par l’INFA.</w:t>
        </w:r>
      </w:hyperlink>
    </w:p>
    <w:p w14:paraId="764C4A51" w14:textId="28580E44" w:rsidR="00A37817" w:rsidRDefault="00A37817">
      <w:pPr>
        <w:pStyle w:val="TM2"/>
        <w:rPr>
          <w:rFonts w:asciiTheme="minorHAnsi" w:eastAsiaTheme="minorEastAsia" w:hAnsiTheme="minorHAnsi" w:cstheme="minorBidi"/>
          <w:sz w:val="22"/>
          <w:szCs w:val="22"/>
          <w:lang w:eastAsia="fr-FR"/>
        </w:rPr>
      </w:pPr>
      <w:hyperlink w:anchor="_Toc213247593" w:history="1">
        <w:r w:rsidRPr="005B57E7">
          <w:rPr>
            <w:rStyle w:val="Lienhypertexte"/>
          </w:rPr>
          <w:t>Mécanisation – 20 Md FCFA de la Banque ouest-africaine de développement (BOAD).</w:t>
        </w:r>
      </w:hyperlink>
    </w:p>
    <w:p w14:paraId="67CBF37E" w14:textId="7B2E1770" w:rsidR="00A37817" w:rsidRDefault="00A37817">
      <w:pPr>
        <w:pStyle w:val="TM2"/>
        <w:rPr>
          <w:rFonts w:asciiTheme="minorHAnsi" w:eastAsiaTheme="minorEastAsia" w:hAnsiTheme="minorHAnsi" w:cstheme="minorBidi"/>
          <w:sz w:val="22"/>
          <w:szCs w:val="22"/>
          <w:lang w:eastAsia="fr-FR"/>
        </w:rPr>
      </w:pPr>
      <w:hyperlink w:anchor="_Toc213247594" w:history="1">
        <w:r w:rsidRPr="005B57E7">
          <w:rPr>
            <w:rStyle w:val="Lienhypertexte"/>
          </w:rPr>
          <w:t>Formation – Les étudiants de l’Institut national de formation agricole (INFA) formés aux techniques de carbonisation à la meule à cheminée de type casamançais.</w:t>
        </w:r>
      </w:hyperlink>
    </w:p>
    <w:p w14:paraId="16492289" w14:textId="47601910" w:rsidR="00A37817" w:rsidRDefault="00A37817">
      <w:pPr>
        <w:pStyle w:val="TM2"/>
        <w:rPr>
          <w:rFonts w:asciiTheme="minorHAnsi" w:eastAsiaTheme="minorEastAsia" w:hAnsiTheme="minorHAnsi" w:cstheme="minorBidi"/>
          <w:sz w:val="22"/>
          <w:szCs w:val="22"/>
          <w:lang w:eastAsia="fr-FR"/>
        </w:rPr>
      </w:pPr>
      <w:hyperlink w:anchor="_Toc213247595" w:history="1">
        <w:r w:rsidRPr="005B57E7">
          <w:rPr>
            <w:rStyle w:val="Lienhypertexte"/>
          </w:rPr>
          <w:t>Transformation – Dix nouvelles unités industrielles pour valoriser les productions locales.</w:t>
        </w:r>
      </w:hyperlink>
    </w:p>
    <w:p w14:paraId="0EBE9B9E" w14:textId="54B09655" w:rsidR="00A37817" w:rsidRDefault="00A37817">
      <w:pPr>
        <w:pStyle w:val="TM2"/>
        <w:rPr>
          <w:rFonts w:asciiTheme="minorHAnsi" w:eastAsiaTheme="minorEastAsia" w:hAnsiTheme="minorHAnsi" w:cstheme="minorBidi"/>
          <w:sz w:val="22"/>
          <w:szCs w:val="22"/>
          <w:lang w:eastAsia="fr-FR"/>
        </w:rPr>
      </w:pPr>
      <w:hyperlink w:anchor="_Toc213247596" w:history="1">
        <w:r w:rsidRPr="005B57E7">
          <w:rPr>
            <w:rStyle w:val="Lienhypertexte"/>
          </w:rPr>
          <w:t>Pesticides – Des produits agricoles avec des résidus supérieurs aux normes internationales.</w:t>
        </w:r>
      </w:hyperlink>
    </w:p>
    <w:p w14:paraId="4164B891" w14:textId="0A71621C" w:rsidR="00A37817" w:rsidRDefault="00A37817">
      <w:pPr>
        <w:pStyle w:val="TM2"/>
        <w:rPr>
          <w:rFonts w:asciiTheme="minorHAnsi" w:eastAsiaTheme="minorEastAsia" w:hAnsiTheme="minorHAnsi" w:cstheme="minorBidi"/>
          <w:sz w:val="22"/>
          <w:szCs w:val="22"/>
          <w:lang w:eastAsia="fr-FR"/>
        </w:rPr>
      </w:pPr>
      <w:hyperlink w:anchor="_Toc213247597" w:history="1">
        <w:r w:rsidRPr="005B57E7">
          <w:rPr>
            <w:rStyle w:val="Lienhypertexte"/>
          </w:rPr>
          <w:t>Intrants – L’entreprise turque Yeşil Vadi Tarım annonce son implantation.</w:t>
        </w:r>
      </w:hyperlink>
    </w:p>
    <w:p w14:paraId="5009670B" w14:textId="79226F6A" w:rsidR="00A37817" w:rsidRDefault="00A37817">
      <w:pPr>
        <w:pStyle w:val="TM2"/>
        <w:rPr>
          <w:rFonts w:asciiTheme="minorHAnsi" w:eastAsiaTheme="minorEastAsia" w:hAnsiTheme="minorHAnsi" w:cstheme="minorBidi"/>
          <w:sz w:val="22"/>
          <w:szCs w:val="22"/>
          <w:lang w:eastAsia="fr-FR"/>
        </w:rPr>
      </w:pPr>
      <w:hyperlink w:anchor="_Toc213247598" w:history="1">
        <w:r w:rsidRPr="005B57E7">
          <w:rPr>
            <w:rStyle w:val="Lienhypertexte"/>
          </w:rPr>
          <w:t>Evènement – 3</w:t>
        </w:r>
        <w:r w:rsidRPr="005B57E7">
          <w:rPr>
            <w:rStyle w:val="Lienhypertexte"/>
            <w:vertAlign w:val="superscript"/>
          </w:rPr>
          <w:t>ème</w:t>
        </w:r>
        <w:r w:rsidRPr="005B57E7">
          <w:rPr>
            <w:rStyle w:val="Lienhypertexte"/>
          </w:rPr>
          <w:t xml:space="preserve"> édition de BlueInvest Africa.</w:t>
        </w:r>
      </w:hyperlink>
    </w:p>
    <w:p w14:paraId="13C2FF12" w14:textId="138DE290" w:rsidR="00A37817" w:rsidRDefault="00A37817">
      <w:pPr>
        <w:pStyle w:val="TM2"/>
        <w:rPr>
          <w:rFonts w:asciiTheme="minorHAnsi" w:eastAsiaTheme="minorEastAsia" w:hAnsiTheme="minorHAnsi" w:cstheme="minorBidi"/>
          <w:sz w:val="22"/>
          <w:szCs w:val="22"/>
          <w:lang w:eastAsia="fr-FR"/>
        </w:rPr>
      </w:pPr>
      <w:hyperlink w:anchor="_Toc213247599" w:history="1">
        <w:r w:rsidRPr="005B57E7">
          <w:rPr>
            <w:rStyle w:val="Lienhypertexte"/>
          </w:rPr>
          <w:t>Evènement – 5</w:t>
        </w:r>
        <w:r w:rsidRPr="005B57E7">
          <w:rPr>
            <w:rStyle w:val="Lienhypertexte"/>
            <w:vertAlign w:val="superscript"/>
          </w:rPr>
          <w:t>ème</w:t>
        </w:r>
        <w:r w:rsidRPr="005B57E7">
          <w:rPr>
            <w:rStyle w:val="Lienhypertexte"/>
          </w:rPr>
          <w:t xml:space="preserve"> édition des journées café-cacao.</w:t>
        </w:r>
      </w:hyperlink>
    </w:p>
    <w:p w14:paraId="694217DB" w14:textId="2DB425DB" w:rsidR="00A3385A" w:rsidRPr="00A0177C" w:rsidRDefault="00AD70F9" w:rsidP="00A0177C">
      <w:pPr>
        <w:rPr>
          <w:b/>
          <w:szCs w:val="32"/>
        </w:rPr>
      </w:pPr>
      <w:r>
        <w:fldChar w:fldCharType="end"/>
      </w:r>
      <w:bookmarkStart w:id="42" w:name="_Hlk210202632"/>
    </w:p>
    <w:p w14:paraId="20465007" w14:textId="497A05EC" w:rsidR="00086E8B" w:rsidRPr="00086E8B" w:rsidRDefault="00086E8B" w:rsidP="00086E8B">
      <w:pPr>
        <w:spacing w:after="0"/>
        <w:rPr>
          <w:rFonts w:eastAsia="Calibri" w:cs="Times New Roman"/>
          <w:color w:val="0070C0"/>
          <w:szCs w:val="20"/>
          <w:u w:val="single"/>
        </w:rPr>
      </w:pPr>
      <w:r w:rsidRPr="00086E8B">
        <w:rPr>
          <w:rFonts w:eastAsia="Calibri" w:cs="Times New Roman"/>
          <w:b/>
          <w:szCs w:val="20"/>
        </w:rPr>
        <w:t>Sources des articles</w:t>
      </w:r>
      <w:r w:rsidRPr="00086E8B">
        <w:rPr>
          <w:rFonts w:ascii="Calibri" w:eastAsia="Calibri" w:hAnsi="Calibri" w:cs="Calibri"/>
          <w:b/>
          <w:szCs w:val="20"/>
        </w:rPr>
        <w:t> </w:t>
      </w:r>
      <w:r w:rsidRPr="00086E8B">
        <w:rPr>
          <w:rFonts w:eastAsia="Calibri" w:cs="Times New Roman"/>
          <w:b/>
          <w:szCs w:val="20"/>
        </w:rPr>
        <w:t>:</w:t>
      </w:r>
      <w:r w:rsidRPr="00086E8B">
        <w:rPr>
          <w:rFonts w:eastAsia="Calibri" w:cs="Times New Roman"/>
          <w:szCs w:val="20"/>
        </w:rPr>
        <w:t xml:space="preserve"> </w:t>
      </w:r>
      <w:hyperlink r:id="rId9" w:history="1">
        <w:r w:rsidRPr="00086E8B">
          <w:rPr>
            <w:rFonts w:eastAsia="Calibri" w:cs="Times New Roman"/>
            <w:color w:val="2F5496" w:themeColor="accent1" w:themeShade="BF"/>
            <w:szCs w:val="20"/>
            <w:u w:val="single"/>
          </w:rPr>
          <w:t>https://www.aip.ci</w:t>
        </w:r>
      </w:hyperlink>
      <w:r w:rsidRPr="00086E8B">
        <w:rPr>
          <w:rFonts w:eastAsia="Calibri" w:cs="Times New Roman"/>
          <w:color w:val="2F5496" w:themeColor="accent1" w:themeShade="BF"/>
          <w:szCs w:val="20"/>
        </w:rPr>
        <w:t xml:space="preserve">, </w:t>
      </w:r>
      <w:hyperlink r:id="rId10" w:history="1">
        <w:r w:rsidRPr="00086E8B">
          <w:rPr>
            <w:rFonts w:eastAsia="Calibri" w:cs="Times New Roman"/>
            <w:color w:val="2F5496" w:themeColor="accent1" w:themeShade="BF"/>
            <w:szCs w:val="20"/>
            <w:u w:val="single"/>
          </w:rPr>
          <w:t>https://aps.sn</w:t>
        </w:r>
      </w:hyperlink>
      <w:r w:rsidRPr="00086E8B">
        <w:rPr>
          <w:rFonts w:eastAsia="Calibri" w:cs="Times New Roman"/>
          <w:color w:val="2F5496" w:themeColor="accent1" w:themeShade="BF"/>
          <w:szCs w:val="20"/>
        </w:rPr>
        <w:t xml:space="preserve">, </w:t>
      </w:r>
      <w:hyperlink r:id="rId11" w:history="1">
        <w:r w:rsidRPr="00086E8B">
          <w:rPr>
            <w:rFonts w:eastAsia="Calibri" w:cs="Times New Roman"/>
            <w:color w:val="2F5496" w:themeColor="accent1" w:themeShade="BF"/>
            <w:szCs w:val="20"/>
            <w:u w:val="single"/>
          </w:rPr>
          <w:t>https://www.aib.media</w:t>
        </w:r>
      </w:hyperlink>
      <w:r w:rsidRPr="00086E8B">
        <w:rPr>
          <w:rFonts w:eastAsia="Calibri" w:cs="Times New Roman"/>
          <w:color w:val="2F5496" w:themeColor="accent1" w:themeShade="BF"/>
          <w:szCs w:val="20"/>
        </w:rPr>
        <w:t xml:space="preserve">, </w:t>
      </w:r>
      <w:hyperlink r:id="rId12" w:history="1">
        <w:r w:rsidRPr="00086E8B">
          <w:rPr>
            <w:rFonts w:eastAsia="Calibri" w:cs="Times New Roman"/>
            <w:color w:val="2F5496" w:themeColor="accent1" w:themeShade="BF"/>
            <w:szCs w:val="20"/>
            <w:u w:val="single"/>
          </w:rPr>
          <w:t>https://agpguinee.com</w:t>
        </w:r>
      </w:hyperlink>
      <w:r w:rsidRPr="00086E8B">
        <w:rPr>
          <w:rFonts w:eastAsia="Calibri" w:cs="Times New Roman"/>
          <w:color w:val="2F5496" w:themeColor="accent1" w:themeShade="BF"/>
          <w:szCs w:val="20"/>
        </w:rPr>
        <w:t xml:space="preserve">, </w:t>
      </w:r>
      <w:hyperlink r:id="rId13" w:history="1">
        <w:r w:rsidRPr="00086E8B">
          <w:rPr>
            <w:rFonts w:eastAsia="Calibri" w:cs="Times New Roman"/>
            <w:color w:val="2F5496" w:themeColor="accent1" w:themeShade="BF"/>
            <w:szCs w:val="20"/>
            <w:u w:val="single"/>
          </w:rPr>
          <w:t>https://atop.tg</w:t>
        </w:r>
      </w:hyperlink>
      <w:r w:rsidRPr="00086E8B">
        <w:rPr>
          <w:rFonts w:eastAsia="Calibri" w:cs="Times New Roman"/>
          <w:color w:val="2F5496" w:themeColor="accent1" w:themeShade="BF"/>
          <w:szCs w:val="20"/>
        </w:rPr>
        <w:t xml:space="preserve">, </w:t>
      </w:r>
      <w:hyperlink r:id="rId14" w:history="1">
        <w:r w:rsidRPr="00086E8B">
          <w:rPr>
            <w:rFonts w:eastAsia="Calibri" w:cs="Times New Roman"/>
            <w:color w:val="2F5496" w:themeColor="accent1" w:themeShade="BF"/>
            <w:szCs w:val="20"/>
            <w:u w:val="single"/>
          </w:rPr>
          <w:t>https://fr.apanews.net</w:t>
        </w:r>
      </w:hyperlink>
      <w:r w:rsidRPr="00086E8B">
        <w:rPr>
          <w:rFonts w:eastAsia="Calibri" w:cs="Times New Roman"/>
          <w:color w:val="2F5496" w:themeColor="accent1" w:themeShade="BF"/>
          <w:szCs w:val="20"/>
        </w:rPr>
        <w:t xml:space="preserve">, </w:t>
      </w:r>
      <w:hyperlink r:id="rId15" w:history="1">
        <w:r w:rsidRPr="00086E8B">
          <w:rPr>
            <w:rFonts w:eastAsia="Calibri" w:cs="Times New Roman"/>
            <w:color w:val="2F5496" w:themeColor="accent1" w:themeShade="BF"/>
            <w:szCs w:val="20"/>
            <w:u w:val="single"/>
          </w:rPr>
          <w:t>https://news.abidjan.net</w:t>
        </w:r>
      </w:hyperlink>
      <w:r w:rsidRPr="00086E8B">
        <w:rPr>
          <w:rFonts w:eastAsia="Calibri" w:cs="Times New Roman"/>
          <w:color w:val="2F5496" w:themeColor="accent1" w:themeShade="BF"/>
          <w:szCs w:val="20"/>
        </w:rPr>
        <w:t xml:space="preserve">, </w:t>
      </w:r>
      <w:hyperlink r:id="rId16" w:history="1">
        <w:r w:rsidRPr="00086E8B">
          <w:rPr>
            <w:rFonts w:eastAsia="Calibri" w:cs="Times New Roman"/>
            <w:color w:val="2F5496" w:themeColor="accent1" w:themeShade="BF"/>
            <w:szCs w:val="20"/>
            <w:u w:val="single"/>
          </w:rPr>
          <w:t>https://www.7info.ci</w:t>
        </w:r>
      </w:hyperlink>
      <w:r w:rsidRPr="00086E8B">
        <w:rPr>
          <w:rFonts w:eastAsia="Calibri" w:cs="Times New Roman"/>
          <w:color w:val="2F5496" w:themeColor="accent1" w:themeShade="BF"/>
          <w:szCs w:val="20"/>
        </w:rPr>
        <w:t xml:space="preserve">, </w:t>
      </w:r>
      <w:hyperlink r:id="rId17" w:history="1">
        <w:r w:rsidRPr="00086E8B">
          <w:rPr>
            <w:rFonts w:eastAsia="Calibri" w:cs="Times New Roman"/>
            <w:color w:val="2F5496" w:themeColor="accent1" w:themeShade="BF"/>
            <w:szCs w:val="20"/>
            <w:u w:val="single"/>
          </w:rPr>
          <w:t>https://connectionivoirienne.net</w:t>
        </w:r>
      </w:hyperlink>
      <w:r w:rsidRPr="00086E8B">
        <w:rPr>
          <w:rFonts w:eastAsia="Calibri" w:cs="Times New Roman"/>
          <w:color w:val="2F5496" w:themeColor="accent1" w:themeShade="BF"/>
          <w:szCs w:val="20"/>
        </w:rPr>
        <w:t xml:space="preserve">, </w:t>
      </w:r>
      <w:hyperlink r:id="rId18" w:history="1">
        <w:r w:rsidRPr="00086E8B">
          <w:rPr>
            <w:rFonts w:eastAsia="Calibri" w:cs="Times New Roman"/>
            <w:color w:val="2F5496" w:themeColor="accent1" w:themeShade="BF"/>
            <w:szCs w:val="20"/>
            <w:u w:val="single"/>
          </w:rPr>
          <w:t>https://www.linfodrome.com</w:t>
        </w:r>
      </w:hyperlink>
      <w:r w:rsidRPr="00086E8B">
        <w:rPr>
          <w:rFonts w:eastAsia="Calibri" w:cs="Times New Roman"/>
          <w:color w:val="2F5496" w:themeColor="accent1" w:themeShade="BF"/>
          <w:szCs w:val="20"/>
        </w:rPr>
        <w:t xml:space="preserve">, </w:t>
      </w:r>
      <w:hyperlink r:id="rId19" w:history="1">
        <w:r w:rsidRPr="00086E8B">
          <w:rPr>
            <w:rFonts w:eastAsia="Calibri" w:cs="Times New Roman"/>
            <w:color w:val="2F5496" w:themeColor="accent1" w:themeShade="BF"/>
            <w:szCs w:val="20"/>
            <w:u w:val="single"/>
          </w:rPr>
          <w:t>https://www.seneweb.com/news/Economie/</w:t>
        </w:r>
      </w:hyperlink>
      <w:r w:rsidRPr="00086E8B">
        <w:rPr>
          <w:rFonts w:eastAsia="Calibri" w:cs="Times New Roman"/>
          <w:color w:val="2F5496" w:themeColor="accent1" w:themeShade="BF"/>
          <w:szCs w:val="20"/>
        </w:rPr>
        <w:t xml:space="preserve">, </w:t>
      </w:r>
      <w:hyperlink r:id="rId20" w:history="1">
        <w:r w:rsidRPr="00086E8B">
          <w:rPr>
            <w:rFonts w:eastAsia="Calibri" w:cs="Times New Roman"/>
            <w:color w:val="2F5496" w:themeColor="accent1" w:themeShade="BF"/>
            <w:szCs w:val="20"/>
            <w:u w:val="single"/>
          </w:rPr>
          <w:t>https://www.rfi.fr</w:t>
        </w:r>
      </w:hyperlink>
      <w:r w:rsidRPr="00086E8B">
        <w:rPr>
          <w:rFonts w:eastAsia="Calibri" w:cs="Times New Roman"/>
          <w:color w:val="2F5496" w:themeColor="accent1" w:themeShade="BF"/>
          <w:szCs w:val="20"/>
        </w:rPr>
        <w:t xml:space="preserve">, </w:t>
      </w:r>
      <w:hyperlink r:id="rId21" w:history="1">
        <w:r w:rsidRPr="00086E8B">
          <w:rPr>
            <w:rFonts w:eastAsia="Calibri" w:cs="Times New Roman"/>
            <w:color w:val="2F5496" w:themeColor="accent1" w:themeShade="BF"/>
            <w:szCs w:val="20"/>
            <w:u w:val="single"/>
          </w:rPr>
          <w:t>https://www.koaci.com</w:t>
        </w:r>
      </w:hyperlink>
      <w:r w:rsidRPr="00086E8B">
        <w:rPr>
          <w:rFonts w:eastAsia="Calibri" w:cs="Times New Roman"/>
          <w:color w:val="2F5496" w:themeColor="accent1" w:themeShade="BF"/>
          <w:szCs w:val="20"/>
        </w:rPr>
        <w:t xml:space="preserve">, </w:t>
      </w:r>
      <w:hyperlink r:id="rId22" w:history="1">
        <w:r w:rsidRPr="00086E8B">
          <w:rPr>
            <w:rFonts w:eastAsia="Calibri" w:cs="Times New Roman"/>
            <w:color w:val="2F5496" w:themeColor="accent1" w:themeShade="BF"/>
            <w:szCs w:val="20"/>
            <w:u w:val="single"/>
          </w:rPr>
          <w:t>https://www.jeuneafrique.com</w:t>
        </w:r>
      </w:hyperlink>
      <w:r w:rsidRPr="00086E8B">
        <w:rPr>
          <w:rFonts w:eastAsia="Calibri" w:cs="Times New Roman"/>
          <w:color w:val="2F5496" w:themeColor="accent1" w:themeShade="BF"/>
          <w:szCs w:val="20"/>
          <w:u w:val="single"/>
        </w:rPr>
        <w:t>,</w:t>
      </w:r>
      <w:r w:rsidRPr="00086E8B">
        <w:rPr>
          <w:rFonts w:ascii="Calibri" w:eastAsia="Calibri" w:hAnsi="Calibri" w:cs="Times New Roman"/>
          <w:color w:val="2F5496" w:themeColor="accent1" w:themeShade="BF"/>
          <w:sz w:val="22"/>
        </w:rPr>
        <w:t xml:space="preserve"> </w:t>
      </w:r>
      <w:hyperlink r:id="rId23" w:history="1">
        <w:r w:rsidRPr="00086E8B">
          <w:rPr>
            <w:rFonts w:eastAsia="Calibri" w:cs="Times New Roman"/>
            <w:color w:val="2F5496" w:themeColor="accent1" w:themeShade="BF"/>
            <w:szCs w:val="20"/>
            <w:u w:val="single"/>
          </w:rPr>
          <w:t>https://yop.l-frii.com</w:t>
        </w:r>
      </w:hyperlink>
      <w:r w:rsidRPr="00086E8B">
        <w:rPr>
          <w:rFonts w:eastAsia="Calibri" w:cs="Times New Roman"/>
          <w:color w:val="2F5496" w:themeColor="accent1" w:themeShade="BF"/>
          <w:szCs w:val="20"/>
          <w:u w:val="single"/>
        </w:rPr>
        <w:t xml:space="preserve">,   </w:t>
      </w:r>
      <w:hyperlink r:id="rId24" w:history="1">
        <w:r w:rsidRPr="00086E8B">
          <w:rPr>
            <w:rFonts w:eastAsia="Calibri" w:cs="Times New Roman"/>
            <w:color w:val="2F5496" w:themeColor="accent1" w:themeShade="BF"/>
            <w:szCs w:val="20"/>
            <w:u w:val="single"/>
          </w:rPr>
          <w:t>https://www.moa.gov.lr/media/press-releases</w:t>
        </w:r>
      </w:hyperlink>
      <w:r w:rsidR="00CD2EF5" w:rsidRPr="003D0B01">
        <w:rPr>
          <w:rFonts w:eastAsia="Calibri" w:cs="Times New Roman"/>
          <w:color w:val="2F5496" w:themeColor="accent1" w:themeShade="BF"/>
          <w:szCs w:val="20"/>
        </w:rPr>
        <w:t xml:space="preserve">, </w:t>
      </w:r>
      <w:hyperlink r:id="rId25" w:history="1">
        <w:r w:rsidR="00CD2EF5" w:rsidRPr="00086E8B">
          <w:rPr>
            <w:rStyle w:val="Mentionnonrsolue"/>
            <w:rFonts w:eastAsia="Calibri" w:cs="Times New Roman"/>
            <w:color w:val="2F5496" w:themeColor="accent1" w:themeShade="BF"/>
            <w:szCs w:val="20"/>
          </w:rPr>
          <w:t>https://agriculture.gouv.tg</w:t>
        </w:r>
      </w:hyperlink>
      <w:r w:rsidR="00CD2EF5" w:rsidRPr="003D0B01">
        <w:rPr>
          <w:rFonts w:eastAsia="Calibri" w:cs="Times New Roman"/>
          <w:color w:val="2F5496" w:themeColor="accent1" w:themeShade="BF"/>
          <w:szCs w:val="20"/>
        </w:rPr>
        <w:t xml:space="preserve">, </w:t>
      </w:r>
      <w:hyperlink r:id="rId26" w:history="1">
        <w:r w:rsidR="00CD2EF5" w:rsidRPr="00086E8B">
          <w:rPr>
            <w:rStyle w:val="Mentionnonrsolue"/>
            <w:rFonts w:eastAsia="Calibri" w:cs="Times New Roman"/>
            <w:color w:val="2F5496" w:themeColor="accent1" w:themeShade="BF"/>
            <w:szCs w:val="20"/>
          </w:rPr>
          <w:t>https://www.governo.cv/</w:t>
        </w:r>
      </w:hyperlink>
      <w:r w:rsidRPr="00086E8B">
        <w:rPr>
          <w:rFonts w:eastAsia="Calibri" w:cs="Times New Roman"/>
          <w:color w:val="2F5496" w:themeColor="accent1" w:themeShade="BF"/>
          <w:szCs w:val="20"/>
          <w:u w:val="single"/>
        </w:rPr>
        <w:t xml:space="preserve">, </w:t>
      </w:r>
      <w:hyperlink r:id="rId27" w:history="1">
        <w:r w:rsidRPr="00086E8B">
          <w:rPr>
            <w:rFonts w:eastAsia="Calibri" w:cs="Times New Roman"/>
            <w:color w:val="2F5496" w:themeColor="accent1" w:themeShade="BF"/>
            <w:szCs w:val="20"/>
            <w:u w:val="single"/>
          </w:rPr>
          <w:t>https://presidence.gov.gn/actualite/</w:t>
        </w:r>
      </w:hyperlink>
      <w:r w:rsidR="00CD2EF5" w:rsidRPr="003D0B01">
        <w:rPr>
          <w:rFonts w:eastAsia="Calibri" w:cs="Times New Roman"/>
          <w:color w:val="2F5496" w:themeColor="accent1" w:themeShade="BF"/>
          <w:szCs w:val="20"/>
        </w:rPr>
        <w:t xml:space="preserve">, </w:t>
      </w:r>
      <w:hyperlink r:id="rId28" w:history="1">
        <w:r w:rsidR="00CD2EF5" w:rsidRPr="00086E8B">
          <w:rPr>
            <w:rStyle w:val="Mentionnonrsolue"/>
            <w:rFonts w:eastAsia="Calibri" w:cs="Times New Roman"/>
            <w:color w:val="2F5496" w:themeColor="accent1" w:themeShade="BF"/>
            <w:szCs w:val="20"/>
          </w:rPr>
          <w:t>https://www.africain.info/</w:t>
        </w:r>
      </w:hyperlink>
      <w:r w:rsidRPr="00086E8B">
        <w:rPr>
          <w:rFonts w:eastAsia="Calibri" w:cs="Times New Roman"/>
          <w:color w:val="2F5496" w:themeColor="accent1" w:themeShade="BF"/>
          <w:szCs w:val="20"/>
          <w:u w:val="single"/>
        </w:rPr>
        <w:t xml:space="preserve">  </w:t>
      </w:r>
      <w:hyperlink r:id="rId29" w:history="1">
        <w:r w:rsidRPr="00086E8B">
          <w:rPr>
            <w:rFonts w:eastAsia="Calibri" w:cs="Times New Roman"/>
            <w:color w:val="2F5496" w:themeColor="accent1" w:themeShade="BF"/>
            <w:szCs w:val="20"/>
            <w:u w:val="single"/>
          </w:rPr>
          <w:t>https://www.cridem.org/C_InfoCat.php?cat=16</w:t>
        </w:r>
      </w:hyperlink>
    </w:p>
    <w:p w14:paraId="3F614085" w14:textId="77777777" w:rsidR="00A0177C" w:rsidRPr="0040555B" w:rsidRDefault="00A0177C" w:rsidP="006C1591">
      <w:pPr>
        <w:pStyle w:val="Titre1"/>
        <w:spacing w:before="0"/>
        <w:rPr>
          <w:sz w:val="20"/>
          <w:szCs w:val="20"/>
        </w:rPr>
      </w:pPr>
      <w:bookmarkStart w:id="43" w:name="_Toc207812030"/>
      <w:bookmarkStart w:id="44" w:name="_Toc207812898"/>
      <w:bookmarkStart w:id="45" w:name="_Toc207813060"/>
      <w:bookmarkStart w:id="46" w:name="_Toc207887317"/>
    </w:p>
    <w:p w14:paraId="3FA2FE52" w14:textId="731D1FFE" w:rsidR="00A527C8" w:rsidRDefault="009D0F96" w:rsidP="006C1591">
      <w:pPr>
        <w:pStyle w:val="Titre1"/>
        <w:spacing w:before="0"/>
      </w:pPr>
      <w:bookmarkStart w:id="47" w:name="_Toc213247362"/>
      <w:r w:rsidRPr="00B31C19">
        <w:t>Région</w:t>
      </w:r>
      <w:bookmarkStart w:id="48" w:name="_Toc207806845"/>
      <w:bookmarkStart w:id="49" w:name="_Toc207806911"/>
      <w:bookmarkStart w:id="50" w:name="_Toc207807290"/>
      <w:bookmarkEnd w:id="43"/>
      <w:bookmarkEnd w:id="44"/>
      <w:bookmarkEnd w:id="45"/>
      <w:bookmarkEnd w:id="46"/>
      <w:bookmarkEnd w:id="47"/>
    </w:p>
    <w:p w14:paraId="502DD483" w14:textId="1A0EA442" w:rsidR="00733D84" w:rsidRPr="009A2E71" w:rsidRDefault="00733D84" w:rsidP="006C1591">
      <w:pPr>
        <w:pStyle w:val="Titre2"/>
        <w:spacing w:before="0"/>
      </w:pPr>
      <w:bookmarkStart w:id="51" w:name="_Toc213247363"/>
      <w:r w:rsidRPr="009A2E71">
        <w:t xml:space="preserve">Financement – La </w:t>
      </w:r>
      <w:r w:rsidR="0008652A" w:rsidRPr="009A2E71">
        <w:t>Banque africaine de développement (</w:t>
      </w:r>
      <w:r w:rsidRPr="009A2E71">
        <w:t>B</w:t>
      </w:r>
      <w:r w:rsidR="0008652A" w:rsidRPr="009A2E71">
        <w:t>AD)</w:t>
      </w:r>
      <w:r w:rsidRPr="009A2E71">
        <w:t xml:space="preserve"> obtient 7,89 Md FCFA pour soutenir les systèmes alimentaires.</w:t>
      </w:r>
      <w:bookmarkEnd w:id="51"/>
    </w:p>
    <w:p w14:paraId="54C3334C" w14:textId="3EC03C50" w:rsidR="00733D84" w:rsidRPr="009A2E71" w:rsidRDefault="00733D84" w:rsidP="006C1591">
      <w:pPr>
        <w:spacing w:after="0"/>
      </w:pPr>
      <w:r w:rsidRPr="009A2E71">
        <w:t xml:space="preserve">Le groupe de la </w:t>
      </w:r>
      <w:r w:rsidR="0008652A" w:rsidRPr="009A2E71">
        <w:t xml:space="preserve">BAD </w:t>
      </w:r>
      <w:r w:rsidRPr="009A2E71">
        <w:t xml:space="preserve">a reçu une allocation de 14 M USD, soit 7,89 Md FCFA, octroyée par le secteur privé dans le cadre du programme mondial pour l’agriculture et la sécurité alimentaire. Ce financement, aligné sur les engagements africains pour transformer les systèmes alimentaires, profitera à plus de 1,5 M de petits exploitants agricoles et à 500 distributeurs d’intrants et coopératives. Il constitue la première opération du guichet de financement de l’investissement dans les entreprises (Business </w:t>
      </w:r>
      <w:proofErr w:type="spellStart"/>
      <w:r w:rsidRPr="009A2E71">
        <w:t>investment</w:t>
      </w:r>
      <w:proofErr w:type="spellEnd"/>
      <w:r w:rsidRPr="009A2E71">
        <w:t xml:space="preserve"> </w:t>
      </w:r>
      <w:proofErr w:type="spellStart"/>
      <w:r w:rsidRPr="009A2E71">
        <w:t>financing</w:t>
      </w:r>
      <w:proofErr w:type="spellEnd"/>
      <w:r w:rsidRPr="009A2E71">
        <w:t xml:space="preserve"> </w:t>
      </w:r>
      <w:proofErr w:type="spellStart"/>
      <w:r w:rsidRPr="009A2E71">
        <w:t>track</w:t>
      </w:r>
      <w:proofErr w:type="spellEnd"/>
      <w:r w:rsidRPr="009A2E71">
        <w:t xml:space="preserve"> – </w:t>
      </w:r>
      <w:proofErr w:type="spellStart"/>
      <w:r w:rsidRPr="009A2E71">
        <w:t>Bift</w:t>
      </w:r>
      <w:proofErr w:type="spellEnd"/>
      <w:r w:rsidRPr="009A2E71">
        <w:t>), lancé en 2024 pour mobiliser jusqu’à 200 M USD du secteur privé. Les fonds serviront à créer un mécanisme de partage des risques pour inciter les banques locales à financer les fournisseurs d’intrants agricoles, contribuant ainsi à élargir l’accès aux semences certifiées, engrais organiques et équipements de mécanisation.</w:t>
      </w:r>
    </w:p>
    <w:p w14:paraId="4ACE8BA4" w14:textId="26ADFDED" w:rsidR="00E13834" w:rsidRPr="009A2E71" w:rsidRDefault="00E13834" w:rsidP="006C1591">
      <w:pPr>
        <w:pStyle w:val="Titre2"/>
        <w:spacing w:before="0"/>
      </w:pPr>
      <w:bookmarkStart w:id="52" w:name="_Toc213247364"/>
      <w:r w:rsidRPr="009A2E71">
        <w:lastRenderedPageBreak/>
        <w:t>CEDEAO – Un Ivoirien nommé à la tête du Département économique et agricole.</w:t>
      </w:r>
      <w:bookmarkEnd w:id="52"/>
    </w:p>
    <w:p w14:paraId="4365F8F8" w14:textId="4722A577" w:rsidR="00450FFC" w:rsidRPr="009A2E71" w:rsidRDefault="00730C82" w:rsidP="006C1591">
      <w:pPr>
        <w:spacing w:after="0"/>
      </w:pPr>
      <w:r w:rsidRPr="009A2E71">
        <w:t xml:space="preserve">Le </w:t>
      </w:r>
      <w:r w:rsidR="00E13834" w:rsidRPr="009A2E71">
        <w:t xml:space="preserve">Dr </w:t>
      </w:r>
      <w:proofErr w:type="spellStart"/>
      <w:r w:rsidR="00E13834" w:rsidRPr="009A2E71">
        <w:t>Kalilou</w:t>
      </w:r>
      <w:proofErr w:type="spellEnd"/>
      <w:r w:rsidR="00E13834" w:rsidRPr="009A2E71">
        <w:t xml:space="preserve"> Sylla, de nationalité ivoirienne, a pris fonction le 1</w:t>
      </w:r>
      <w:r w:rsidRPr="009A2E71">
        <w:rPr>
          <w:vertAlign w:val="superscript"/>
        </w:rPr>
        <w:t>er</w:t>
      </w:r>
      <w:r w:rsidR="00E13834" w:rsidRPr="009A2E71">
        <w:t xml:space="preserve"> octobre à Abuja comme Commissaire en charge du Département des Affaires économiques et de l’Agriculture de la Communauté économique des États de l’Afrique de l’Ouest (CEDEAO), en remplacement de </w:t>
      </w:r>
      <w:r w:rsidRPr="009A2E71">
        <w:t xml:space="preserve">l’ivoirienne Mme </w:t>
      </w:r>
      <w:proofErr w:type="spellStart"/>
      <w:r w:rsidR="00E13834" w:rsidRPr="009A2E71">
        <w:t>Massandjé</w:t>
      </w:r>
      <w:proofErr w:type="spellEnd"/>
      <w:r w:rsidR="00E13834" w:rsidRPr="009A2E71">
        <w:t xml:space="preserve"> Touré-</w:t>
      </w:r>
      <w:proofErr w:type="spellStart"/>
      <w:r w:rsidR="00E13834" w:rsidRPr="009A2E71">
        <w:t>Litse</w:t>
      </w:r>
      <w:proofErr w:type="spellEnd"/>
      <w:r w:rsidR="00E13834" w:rsidRPr="009A2E71">
        <w:t xml:space="preserve">. Titulaire d’un doctorat en économie de l’Université Félix Houphouët-Boigny d’Abidjan, il totalise 27 années d’expérience dans le commerce extérieur, l’intégration régionale et le développement agricole. Ancien Directeur général du commerce extérieur en Côte d’Ivoire et ex-Responsable du cabinet du Commissaire aux politiques macroéconomiques à la CEDEAO entre 2007 et 2012, il a également dirigé le Réseau des organisations paysannes et des producteurs agricoles de l’Afrique de l’Ouest (ROPPA) et la </w:t>
      </w:r>
      <w:proofErr w:type="spellStart"/>
      <w:r w:rsidR="00E13834" w:rsidRPr="009A2E71">
        <w:t>Panafrican</w:t>
      </w:r>
      <w:proofErr w:type="spellEnd"/>
      <w:r w:rsidR="00E13834" w:rsidRPr="009A2E71">
        <w:t xml:space="preserve"> Farmers </w:t>
      </w:r>
      <w:proofErr w:type="spellStart"/>
      <w:r w:rsidR="00E13834" w:rsidRPr="009A2E71">
        <w:t>Organization</w:t>
      </w:r>
      <w:proofErr w:type="spellEnd"/>
      <w:r w:rsidR="00E13834" w:rsidRPr="009A2E71">
        <w:t xml:space="preserve"> (PAFO). Spécialiste reconnu des politiques macroéconomiques, commerciales et agricoles, il entend accélérer la transformation agricole, promouvoir la sécurité alimentaire, stimuler le commerce régional et renforcer la compétitivité des économies de la sous-région.</w:t>
      </w:r>
    </w:p>
    <w:p w14:paraId="255614A8" w14:textId="1838A81A" w:rsidR="00A76524" w:rsidRDefault="00A76524" w:rsidP="006C1591">
      <w:pPr>
        <w:spacing w:after="0"/>
      </w:pPr>
    </w:p>
    <w:p w14:paraId="04FCF76B" w14:textId="77777777" w:rsidR="009A2E71" w:rsidRPr="009A2E71" w:rsidRDefault="009A2E71" w:rsidP="009A2E71">
      <w:pPr>
        <w:pStyle w:val="Titre2"/>
        <w:spacing w:before="0"/>
      </w:pPr>
      <w:bookmarkStart w:id="53" w:name="_Toc213247365"/>
      <w:r w:rsidRPr="009A2E71">
        <w:t>Déforestation – Appel à maintenir l’entrée en vigueur du règlement contre la déforestation et la dégradation des forêts (RDUE) en décembre 2025.</w:t>
      </w:r>
      <w:bookmarkEnd w:id="53"/>
    </w:p>
    <w:p w14:paraId="77AC70C0" w14:textId="77777777" w:rsidR="009A2E71" w:rsidRPr="009A2E71" w:rsidRDefault="009A2E71" w:rsidP="009A2E71">
      <w:pPr>
        <w:spacing w:after="0"/>
      </w:pPr>
      <w:r w:rsidRPr="009A2E71">
        <w:t xml:space="preserve">Des multinationales de l’agroalimentaire, des programmes de certification et des ONG, dont Nestlé, </w:t>
      </w:r>
      <w:proofErr w:type="spellStart"/>
      <w:r w:rsidRPr="009A2E71">
        <w:t>Olam</w:t>
      </w:r>
      <w:proofErr w:type="spellEnd"/>
      <w:r w:rsidRPr="009A2E71">
        <w:t xml:space="preserve"> Agri, Ferrero, </w:t>
      </w:r>
      <w:proofErr w:type="spellStart"/>
      <w:r w:rsidRPr="009A2E71">
        <w:t>Fair</w:t>
      </w:r>
      <w:proofErr w:type="spellEnd"/>
      <w:r w:rsidRPr="009A2E71">
        <w:t xml:space="preserve"> Trade </w:t>
      </w:r>
      <w:proofErr w:type="spellStart"/>
      <w:r w:rsidRPr="009A2E71">
        <w:t>Advocacy</w:t>
      </w:r>
      <w:proofErr w:type="spellEnd"/>
      <w:r w:rsidRPr="009A2E71">
        <w:t xml:space="preserve"> Office, Voice Cocoa Network et l’Alliance pour la Préservation des Forêts, ont appelé le 2 octobre l’Union européenne à ne pas retarder l’entrée en vigueur du RDUE prévue en décembre 2025. Dans une lettre adressée à Jessika </w:t>
      </w:r>
      <w:proofErr w:type="spellStart"/>
      <w:r w:rsidRPr="009A2E71">
        <w:t>Roswall</w:t>
      </w:r>
      <w:proofErr w:type="spellEnd"/>
      <w:r w:rsidRPr="009A2E71">
        <w:t>, Commissaire européenne à l’Environnement, et signée par 19 entités, le report évoqué à décembre 2026 est jugé de nature à fragiliser la préservation des forêts et la crédibilité des engagements réglementaires. La Commission européenne invoque des contraintes techniques liées à la préparation du système informatique de surveillance des forêts et aux volumes d’informations attendus. Les importateurs devront fournir les coordonnées géographiques et des images satellitaires des zones d’approvisionnement afin d’attester l’absence de déboisement. Le 1</w:t>
      </w:r>
      <w:r w:rsidRPr="009A2E71">
        <w:rPr>
          <w:vertAlign w:val="superscript"/>
        </w:rPr>
        <w:t>er</w:t>
      </w:r>
      <w:r w:rsidRPr="009A2E71">
        <w:t xml:space="preserve"> octobre, la Commissaire a indiqué que les problèmes techniques ne seraient pas résolus avant la fin de l’année. L’application initialement prévue fin 2024 avait déjà été repoussée au 30 décembre 2025 sous la pression de partenaires commerciaux, dont les États-Unis d’Amérique, le Brésil et l’Indonésie, ainsi que de la Commission européenne qui mettait en avant un manque de préparation des partenaires internationaux. Les signataires estiment que les entreprises se sont déjà préparées et suggèrent des délais de grâce pouvant aller jusqu’à six mois et une suspension des amendes en cas d’obstacles techniques. Un nouveau report laisserait cependant aux pays africains exportateurs un temps supplémentaire pour améliorer les dispositifs nationaux de traçabilité, des pays producteurs de cacao ayant demandé deux ans additionnels fin septembre 2024 à Abidjan. Selon un rapport d’avril 2025 du Commonwealth, l’Afrique subsaharienne risque de perdre jusqu’à 11 Md USD de recettes d’exportation annuelles avec l’entrée en vigueur du RDUE, les petits exploitants étant les plus vulnérables en raison des coûts de conformité.</w:t>
      </w:r>
    </w:p>
    <w:p w14:paraId="50959B9A" w14:textId="5BEFC274" w:rsidR="009A2E71" w:rsidRDefault="009A2E71" w:rsidP="006C1591">
      <w:pPr>
        <w:spacing w:after="0"/>
      </w:pPr>
    </w:p>
    <w:p w14:paraId="478046C1" w14:textId="77777777" w:rsidR="00E07327" w:rsidRPr="009A2E71" w:rsidRDefault="00E07327" w:rsidP="00E07327">
      <w:pPr>
        <w:pStyle w:val="Titre2"/>
        <w:spacing w:before="0"/>
      </w:pPr>
      <w:bookmarkStart w:id="54" w:name="_Toc213247366"/>
      <w:r w:rsidRPr="009A2E71">
        <w:t>Climat – Les exploitations familiales face au défi de l’adaptation.</w:t>
      </w:r>
      <w:bookmarkEnd w:id="54"/>
    </w:p>
    <w:p w14:paraId="1F274710" w14:textId="77777777" w:rsidR="00E07327" w:rsidRPr="009A2E71" w:rsidRDefault="00E07327" w:rsidP="00E07327">
      <w:pPr>
        <w:spacing w:after="0"/>
      </w:pPr>
      <w:r w:rsidRPr="009A2E71">
        <w:t xml:space="preserve">Selon une étude du réseau des organisations paysannes et de producteurs de l’Afrique de l’Ouest (ROPPA), 11 Md USD par an sont nécessaires pour permettre aux exploitations familiales agricoles de la région de s’adapter aux effets du changement climatique. Les résultats, présentés le 23 octobre, montrent que 8,66 Md USD seraient destinés à encourager les </w:t>
      </w:r>
      <w:r w:rsidRPr="009A2E71">
        <w:lastRenderedPageBreak/>
        <w:t>pratiques durables comme l’agroécologie, 2,26 Md USD au renforcement des systèmes d’alerte et de sécurité, et 0,19 Md USD aux services numériques tels que les prévisions météorologiques localisées. Le président du ROPPA, Ibrahima Coulibaly, dénonce la mauvaise utilisation des fonds publics, souvent accaparés par les administrations au détriment des petits producteurs. Il plaide pour des mécanismes de financement simplifiés et adaptés aux réalités rurales, afin de renforcer la résilience et l’autosuffisance alimentaire des exploitations familiales.</w:t>
      </w:r>
    </w:p>
    <w:p w14:paraId="1803B203" w14:textId="77777777" w:rsidR="00E07327" w:rsidRDefault="00E07327" w:rsidP="006C1591">
      <w:pPr>
        <w:spacing w:after="0"/>
      </w:pPr>
    </w:p>
    <w:p w14:paraId="392A8E53" w14:textId="77777777" w:rsidR="00E07327" w:rsidRPr="009A2E71" w:rsidRDefault="00E07327" w:rsidP="00E07327">
      <w:pPr>
        <w:pStyle w:val="Titre2"/>
        <w:spacing w:before="0"/>
      </w:pPr>
      <w:bookmarkStart w:id="55" w:name="_Toc213247367"/>
      <w:r w:rsidRPr="009A2E71">
        <w:t>Coton – Les pays d’Afrique de l’Ouest doivent diversifier leurs débouchés.</w:t>
      </w:r>
      <w:bookmarkEnd w:id="55"/>
    </w:p>
    <w:p w14:paraId="30A2D534" w14:textId="153E61A2" w:rsidR="00E07327" w:rsidRDefault="00E07327" w:rsidP="00E07327">
      <w:pPr>
        <w:spacing w:after="0"/>
      </w:pPr>
      <w:r w:rsidRPr="009A2E71">
        <w:t>Réunie à Deauville les 29 et 30 septembre, l’Association française cotonnière (</w:t>
      </w:r>
      <w:proofErr w:type="spellStart"/>
      <w:r w:rsidRPr="009A2E71">
        <w:t>Afcot</w:t>
      </w:r>
      <w:proofErr w:type="spellEnd"/>
      <w:r w:rsidRPr="009A2E71">
        <w:t xml:space="preserve">) a placé au centre des échanges un coton africain très dépendant du Bangladesh, où environ six balles sur dix sont expédiées et où la part de marché est passée de 37% à 40% l’an dernier. L’Afrique n’a pas saisi l’opportunité de 250 000 tonnes liée à la chute des exportations indiennes, tandis que le Brésil a renforcé sa position au Bangladesh en faisant passer sa part de 16% à 24% selon Cotton Outlook. Le coton brésilien exerce une pression accrue grâce à un coût de production faible, des rendements élevés, une disponibilité parfois plus rapide que l’offre africaine et une qualité standard, y compris pour la qualité </w:t>
      </w:r>
      <w:proofErr w:type="spellStart"/>
      <w:r w:rsidRPr="009A2E71">
        <w:t>Pima</w:t>
      </w:r>
      <w:proofErr w:type="spellEnd"/>
      <w:r w:rsidRPr="009A2E71">
        <w:t xml:space="preserve">. Sa production a augmenté de 72% en quatre ans pour atteindre 4 M de tonnes et a contribué en 2024-2025 à une hausse de 1,3 M de tonnes de la production mondiale, dans un contexte de baisse lente des prix. Un projet de loi </w:t>
      </w:r>
      <w:proofErr w:type="spellStart"/>
      <w:r w:rsidRPr="009A2E71">
        <w:t>Buying</w:t>
      </w:r>
      <w:proofErr w:type="spellEnd"/>
      <w:r w:rsidRPr="009A2E71">
        <w:t xml:space="preserve"> American Cotton pourrait aussi infléchir la donne et, par anticipation, les achats de coton américain du Bangladesh ont progressé de 20% cette année, tandis que ceux du Vietnam ont augmenté de 70%. L’Inde apparaît comme une opportunité, ses importations ayant plus que triplé en 2024-2025 en raison d’un déficit structurel de la filature et de l’habillement. La suspension des droits d’importation annoncée le 18 août jusqu’à la fin de l’année a créé une fenêtre courte durant laquelle le Brésil a multiplié ses exportations par 12 et la zone franc ses ventes par cinq. Les filateurs indiens restent très sensibles au prix, ce qui impose des efforts commerciaux soutenus pour privilégier l’offre africaine face à la concurrence brésilienne, et plusieurs intervenants estiment que la qualité seule ne suffira plus si les rendements demeurent inférieurs à 1 tonne</w:t>
      </w:r>
      <w:r>
        <w:t>/</w:t>
      </w:r>
      <w:r w:rsidRPr="009A2E71">
        <w:t>ha.</w:t>
      </w:r>
    </w:p>
    <w:p w14:paraId="7C6BB200" w14:textId="0A727BC6" w:rsidR="00E07327" w:rsidRDefault="00E07327" w:rsidP="006C1591">
      <w:pPr>
        <w:spacing w:after="0"/>
      </w:pPr>
    </w:p>
    <w:p w14:paraId="4D8841F4" w14:textId="77777777" w:rsidR="008A66E1" w:rsidRPr="009A2E71" w:rsidRDefault="008A66E1" w:rsidP="008A66E1">
      <w:pPr>
        <w:pStyle w:val="Titre2"/>
        <w:spacing w:before="0"/>
      </w:pPr>
      <w:bookmarkStart w:id="56" w:name="_Toc213247368"/>
      <w:r w:rsidRPr="009A2E71">
        <w:t>Coton – 100 000 tonnes de stocks invendus.</w:t>
      </w:r>
      <w:bookmarkEnd w:id="56"/>
    </w:p>
    <w:p w14:paraId="7F5713C4" w14:textId="77777777" w:rsidR="008A66E1" w:rsidRPr="009A2E71" w:rsidRDefault="008A66E1" w:rsidP="008A66E1">
      <w:pPr>
        <w:spacing w:after="0"/>
      </w:pPr>
      <w:r w:rsidRPr="009A2E71">
        <w:t>La baisse des cours mondiaux fragilise les marges des négociants. Selon M. Kassoum Koné, président de l’association cotonnière africaine (ACA), entre 200 000 et 300 000 tonnes de coton africain restent invendues. Cette situation inédite résulte du coût de revient élevé du coton ouest-africain, devenu moins compétitif face aux productions brésiliennes et américaines.  Les sociétés cotonnières, confrontées à un stockage prolongé et à des entrepôts saturés, peinent à rembourser leurs crédits et doivent renégocier leurs financements pour la prochaine campagne. Les opérateurs logistiques, notamment au port de Lomé, signalent un ralentissement marqué de l’activité. Les experts redoutent une décote du coton invendu lorsque la nouvelle récolte arrivera sur le marché, accentuant la pression sur l’ensemble de la chaîne cotonnière.</w:t>
      </w:r>
    </w:p>
    <w:p w14:paraId="65031F7D" w14:textId="77777777" w:rsidR="008A66E1" w:rsidRPr="009A2E71" w:rsidRDefault="008A66E1" w:rsidP="006C1591">
      <w:pPr>
        <w:spacing w:after="0"/>
      </w:pPr>
    </w:p>
    <w:p w14:paraId="2C61A538" w14:textId="1D364378" w:rsidR="004A0A76" w:rsidRPr="009A2E71" w:rsidRDefault="004A0A76" w:rsidP="006C1591">
      <w:pPr>
        <w:pStyle w:val="Titre2"/>
        <w:spacing w:before="0"/>
      </w:pPr>
      <w:bookmarkStart w:id="57" w:name="_Toc213247369"/>
      <w:r w:rsidRPr="009A2E71">
        <w:t>Pêche continentale – Les 5 pays les plus dépendant</w:t>
      </w:r>
      <w:r w:rsidR="00A37817">
        <w:t>s</w:t>
      </w:r>
      <w:r w:rsidRPr="009A2E71">
        <w:t xml:space="preserve"> en 2022.</w:t>
      </w:r>
      <w:bookmarkEnd w:id="57"/>
    </w:p>
    <w:p w14:paraId="14840122" w14:textId="3514DAD1" w:rsidR="00E77027" w:rsidRDefault="004A0A76" w:rsidP="006C1591">
      <w:pPr>
        <w:spacing w:after="0"/>
      </w:pPr>
      <w:r w:rsidRPr="009A2E71">
        <w:t xml:space="preserve">En Afrique de l’Ouest, la pêche maritime représente près de 90% des captures, mais la pêche continentale, essentiellement destinée aux marchés locaux, reste clé pour la sécurité alimentaire. La région s’appuie sur le lac Tchad, les fleuves Niger et Sénégal et de nombreux cours d’eau et lacs, et une étude publiée le 22 septembre par la Banque africaine de </w:t>
      </w:r>
      <w:r w:rsidRPr="009A2E71">
        <w:lastRenderedPageBreak/>
        <w:t xml:space="preserve">développement souligne que ces pêcheries majoritairement artisanales reposent sur des techniques élaborées peu dépendantes des technologies importées ou de l’énergie, ce qui les rend </w:t>
      </w:r>
      <w:r w:rsidR="002913E7" w:rsidRPr="009A2E71">
        <w:t xml:space="preserve">économiquement </w:t>
      </w:r>
      <w:r w:rsidRPr="009A2E71">
        <w:t>résilientes. Au Niger, pays enclavé, les captures continentales ont atteint 47 670 tonnes en 2022, soit environ 99% des prises locales, avec un potentiel de plus de 410 000 h</w:t>
      </w:r>
      <w:r w:rsidR="002913E7" w:rsidRPr="009A2E71">
        <w:t>a</w:t>
      </w:r>
      <w:r w:rsidRPr="009A2E71">
        <w:t xml:space="preserve"> d’eaux de surface répartis entre le fleuve Niger et ses affluents ainsi que le lac Tchad, et plus de 700 000 personnes vivant directement de la pêche. Au Burkina Faso, les pêcheries continentales ont fourni 30 044 tonnes en 2022, soit environ 97% d’une offre totale estimée à 30 938 tonnes, pour un réseau de plus de 200 000 h</w:t>
      </w:r>
      <w:r w:rsidR="002913E7" w:rsidRPr="009A2E71">
        <w:t>a</w:t>
      </w:r>
      <w:r w:rsidRPr="009A2E71">
        <w:t xml:space="preserve"> d’eaux de surface et plus de 2 000 barrages, et environ 22 000 personnes engagées en 2018 dont 19% de femmes. Au Mali, les captures issues des eaux continentales se sont élevées à 110 366 tonnes en 2022, soit près de 93% d’un total local estimé à 119 000 tonnes, la filière s’appuyant sur les fleuves Sénégal et Niger et leurs affluents, et mobilisant environ 150 000 pêcheurs pour quelque 500 000 emplois. Au Bénin, la dépendance est plus modérée avec 29 575 tonnes de captures continentales, soit environ 36% d’une offre locale proche de 80 655 tonnes, l’aquaculture restant embryonnaire et les pêcheries s’organisant autour d’un réseau hydrographique d’environ 130 000 h</w:t>
      </w:r>
      <w:r w:rsidR="00BF41EF" w:rsidRPr="009A2E71">
        <w:t>a</w:t>
      </w:r>
      <w:r w:rsidRPr="009A2E71">
        <w:t>, pour plus de 200 000 emplois directs et indirects.</w:t>
      </w:r>
    </w:p>
    <w:p w14:paraId="7C1B6182" w14:textId="416ADA91" w:rsidR="0024021E" w:rsidRDefault="0024021E" w:rsidP="006C1591">
      <w:pPr>
        <w:spacing w:after="0"/>
      </w:pPr>
    </w:p>
    <w:p w14:paraId="692E20B6" w14:textId="77777777" w:rsidR="0024021E" w:rsidRPr="009A2E71" w:rsidRDefault="0024021E" w:rsidP="0024021E">
      <w:pPr>
        <w:pStyle w:val="Titre2"/>
        <w:spacing w:before="0"/>
      </w:pPr>
      <w:bookmarkStart w:id="58" w:name="_Toc213247370"/>
      <w:r w:rsidRPr="009A2E71">
        <w:t>Pastoralisme – Le Projet régional d’appui au pastoralisme au Sahel-Phase 2 (PRAPS-2) renforce la résilience au Sahel.</w:t>
      </w:r>
      <w:bookmarkEnd w:id="58"/>
    </w:p>
    <w:p w14:paraId="3B4FC82A" w14:textId="1FD7E8A1" w:rsidR="0024021E" w:rsidRDefault="0024021E" w:rsidP="006C1591">
      <w:pPr>
        <w:spacing w:after="0"/>
      </w:pPr>
      <w:r w:rsidRPr="009A2E71">
        <w:t>Le PRAPS-2 a tenu, du 27 au 30 octobre à Nouakchott, une rencontre régionale consacrée à la capitalisation des expériences sur les cultures fourragères et la sécurisation foncière dans ses six pays d’intervention : Burkina Faso, Mali, Mauritanie, Niger, Sénégal et Tchad. Financé à hauteur de 297,73 Md FCFA (517 M USD) par la Banque mondiale et les États participants, et coordonné par le Comité permanent inter-États de lutte contre la sécheresse dans le Sahel (CILSS), le projet a permis d’atteindre une production de 9 000 tonnes de matière sèche de fourrage cultivé, avec une cible de plus de 22 000 tonnes d’ici 2027. Les travaux ont mis en avant la diversité des modèles technico-économiques adoptés, combinant cultures pluviales et irriguées, ainsi qu’un fort ancrage communautaire impliquant coopératives et groupements de jeunes et de femmes. Ces acquis constituent une base pour orienter les politiques publiques vers un pastoralisme durable et sécurisé.</w:t>
      </w:r>
    </w:p>
    <w:p w14:paraId="7C6277C0" w14:textId="6898FB08" w:rsidR="00E07327" w:rsidRDefault="00E07327" w:rsidP="006C1591">
      <w:pPr>
        <w:spacing w:after="0"/>
      </w:pPr>
    </w:p>
    <w:p w14:paraId="017DCBC1" w14:textId="77777777" w:rsidR="00E07327" w:rsidRPr="009A2E71" w:rsidRDefault="00E07327" w:rsidP="00E07327">
      <w:pPr>
        <w:pStyle w:val="Titre2"/>
        <w:spacing w:before="0"/>
      </w:pPr>
      <w:bookmarkStart w:id="59" w:name="_Toc213247371"/>
      <w:r w:rsidRPr="009A2E71">
        <w:t>Porc – Coordination régionale renforcée contre la peste porcine africaine (PPA).</w:t>
      </w:r>
      <w:bookmarkEnd w:id="59"/>
    </w:p>
    <w:p w14:paraId="4FE34C87" w14:textId="09F23BF7" w:rsidR="00E07327" w:rsidRPr="009A2E71" w:rsidRDefault="00E07327" w:rsidP="006C1591">
      <w:pPr>
        <w:spacing w:after="0"/>
      </w:pPr>
      <w:r w:rsidRPr="009A2E71">
        <w:t>L’Union africaine, à travers son bureau interafricain des ressources animales (UA-IBAR), a organisé du 14 au 16 octobre à Lomé une réunion du groupe permanent d’experts sur la PPA du Cadre mondial pour le contrôle progressif des maladies animales transfrontalières (GF-</w:t>
      </w:r>
      <w:proofErr w:type="spellStart"/>
      <w:r w:rsidRPr="009A2E71">
        <w:t>TADs</w:t>
      </w:r>
      <w:proofErr w:type="spellEnd"/>
      <w:r w:rsidRPr="009A2E71">
        <w:t xml:space="preserve">) pour l’Afrique, couplée à un atelier régional sur la coordination, le partenariat et le plaidoyer en faveur du financement de la stratégie régionale de lutte contre la maladie. L’événement a réuni des représentants des États membres des communautés économiques régionales (CEDEAO, SADC, CEEAC, IGAD/ICPALD) ainsi que des partenaires techniques et financiers, dont la FAO, l’organisation mondiale de la santé animale (OMSA), l’Institut international de recherche en élevage (ILRI) et le Centre panafricain de vaccination vétérinaire de l’Union africaine (UA-PANVAC). Les échanges ont porté sur le renforcement des synergies entre institutions africaines, organisations internationales et gouvernements afin de garantir une réponse concertée et intégrée à la PPA. Le Bureau interafricain des ressources animales de l’Union africaine (UA-IBAR) promeut une approche fondée sur la mobilisation de financements publics et privés, le renforcement des services vétérinaires, le soutien à la recherche sur les </w:t>
      </w:r>
      <w:r w:rsidRPr="009A2E71">
        <w:lastRenderedPageBreak/>
        <w:t>vaccins et la coordination régionale. Le thème de cette cinquième réunion, « Vaccins et vaccination contre la PPA », traduit la volonté d’accélérer la mise au point d’un vaccin sûr et efficace pour limiter l’impact de la maladie sur la filière porcine africaine et la sécurité alimentaire.</w:t>
      </w:r>
    </w:p>
    <w:p w14:paraId="4B11F137" w14:textId="77777777" w:rsidR="00260F8D" w:rsidRPr="009A2E71" w:rsidRDefault="00260F8D" w:rsidP="006C1591">
      <w:pPr>
        <w:spacing w:after="0"/>
      </w:pPr>
    </w:p>
    <w:p w14:paraId="2D56CFAE" w14:textId="77777777" w:rsidR="009A2E71" w:rsidRPr="009A2E71" w:rsidRDefault="009A2E71" w:rsidP="009A2E71">
      <w:pPr>
        <w:pStyle w:val="Titre2"/>
        <w:spacing w:before="0"/>
      </w:pPr>
      <w:bookmarkStart w:id="60" w:name="_Toc213247372"/>
      <w:r w:rsidRPr="009A2E71">
        <w:t>Pesticides – Vers une harmonisation régionale en Afrique de l’Ouest.</w:t>
      </w:r>
      <w:bookmarkEnd w:id="60"/>
    </w:p>
    <w:p w14:paraId="720A44F8" w14:textId="1732956F" w:rsidR="009A2E71" w:rsidRPr="009A2E71" w:rsidRDefault="009A2E71" w:rsidP="006C1591">
      <w:pPr>
        <w:spacing w:after="0"/>
      </w:pPr>
      <w:r w:rsidRPr="009A2E71">
        <w:t>Des experts phytosanitaires et des représentants institutionnels de plusieurs pays d’Afrique de l’Ouest se sont réunis à Lomé pour travailler sur l’harmonisation des procédures d’homologation des pesticides. L’objectif est de limiter l’usage de produits toxiques, responsables de risques sanitaires graves et de la dégradation environnementale, tout en renforçant la compétitivité des filières agricoles sur les marchés internationaux. Durant cinq jours, les participants élaborent une liste commune de produits autorisés selon des critères de sécurité sanitaire, d’impact environnemental et d’efficacité agronomique. L’initiative, portée notamment par le comité permanent inter-États de lutte contre la sécheresse dans le Sahel (CILSS), vise à garantir une utilisation plus responsable des intrants chimiques et à préserver la qualité des productions agricoles exportées.</w:t>
      </w:r>
    </w:p>
    <w:p w14:paraId="407266D6" w14:textId="77777777" w:rsidR="006B60B2" w:rsidRPr="009A2E71" w:rsidRDefault="006B60B2" w:rsidP="006C1591">
      <w:pPr>
        <w:spacing w:after="0"/>
      </w:pPr>
    </w:p>
    <w:p w14:paraId="2C357964" w14:textId="0B89C5C2" w:rsidR="00E13834" w:rsidRPr="009A2E71" w:rsidRDefault="009D0F96" w:rsidP="006C1591">
      <w:pPr>
        <w:pStyle w:val="Titre1"/>
        <w:spacing w:before="0"/>
      </w:pPr>
      <w:bookmarkStart w:id="61" w:name="_Toc207812033"/>
      <w:bookmarkStart w:id="62" w:name="_Toc207812901"/>
      <w:bookmarkStart w:id="63" w:name="_Toc207813063"/>
      <w:bookmarkStart w:id="64" w:name="_Toc213247373"/>
      <w:r w:rsidRPr="009A2E71">
        <w:t>Côte d’Ivoi</w:t>
      </w:r>
      <w:bookmarkEnd w:id="48"/>
      <w:bookmarkEnd w:id="49"/>
      <w:bookmarkEnd w:id="50"/>
      <w:r w:rsidRPr="009A2E71">
        <w:t>re</w:t>
      </w:r>
      <w:bookmarkStart w:id="65" w:name="_Toc207812036"/>
      <w:bookmarkStart w:id="66" w:name="_Toc207812904"/>
      <w:bookmarkStart w:id="67" w:name="_Toc207813066"/>
      <w:bookmarkEnd w:id="61"/>
      <w:bookmarkEnd w:id="62"/>
      <w:bookmarkEnd w:id="63"/>
      <w:bookmarkEnd w:id="64"/>
    </w:p>
    <w:p w14:paraId="0B724AB7" w14:textId="77777777" w:rsidR="002B29AD" w:rsidRPr="009A2E71" w:rsidRDefault="002B29AD" w:rsidP="002B29AD">
      <w:pPr>
        <w:pStyle w:val="Titre2"/>
        <w:spacing w:before="0"/>
      </w:pPr>
      <w:bookmarkStart w:id="68" w:name="_Toc213247374"/>
      <w:r w:rsidRPr="009A2E71">
        <w:t>Cacao – Forte correction des prix sur le marché mondial.</w:t>
      </w:r>
      <w:bookmarkEnd w:id="68"/>
    </w:p>
    <w:p w14:paraId="3AA8F957" w14:textId="318AA873" w:rsidR="002B29AD" w:rsidRDefault="002B29AD" w:rsidP="002B29AD">
      <w:pPr>
        <w:spacing w:after="0"/>
      </w:pPr>
      <w:r w:rsidRPr="009A2E71">
        <w:t>Après une envolée record en 2024, les cours du cacao connaissent une chute de plus de 50% en octobre, autour de 5 893 USD la tonne contre plus de 12 000 USD un an plus tôt. Cette baisse, la plus marquée depuis vingt mois, résulte d’une production en hausse en Afrique de l’Ouest et d’une demande atone chez les chocolatiers et transformateurs, dont l’activité recule respectivement de 10% et 17,1%. Ainsi, en Côte d’Ivoire, les exportations ont diminué de 31,6% depuis le début de la campagne 2025-2026. Les fonds spéculatifs, anticipant la baisse, ont accentué la volatilité en revendant leurs positions. Les analystes prévoient pour 2025-2026 un excédent mondial estimé à 325 000 tonnes, traduisant un rééquilibrage du marché, sans toutefois un retour aux niveaux d’avant 2023. Le secteur, confronté au vieillissement des plantations et au changement climatique, reste structurellement sous tension malgré la hausse des prix aux producteurs en Côte d’Ivoire et au Ghana.</w:t>
      </w:r>
    </w:p>
    <w:p w14:paraId="2F6D0185" w14:textId="03E01892" w:rsidR="00A36D94" w:rsidRDefault="00A36D94" w:rsidP="002B29AD">
      <w:pPr>
        <w:spacing w:after="0"/>
      </w:pPr>
    </w:p>
    <w:p w14:paraId="18B8665E" w14:textId="77777777" w:rsidR="00A36D94" w:rsidRPr="009A2E71" w:rsidRDefault="00A36D94" w:rsidP="00A36D94">
      <w:pPr>
        <w:pStyle w:val="Titre2"/>
        <w:spacing w:before="0"/>
      </w:pPr>
      <w:bookmarkStart w:id="69" w:name="_Toc213247375"/>
      <w:r w:rsidRPr="009A2E71">
        <w:t>Café-cacao – Prix bord champ record à 2 800 FCFA/kg pour le cacao et à 1 700 FCFA/kg pour le café.</w:t>
      </w:r>
      <w:bookmarkEnd w:id="69"/>
    </w:p>
    <w:p w14:paraId="753BD2C0" w14:textId="77777777" w:rsidR="00A36D94" w:rsidRPr="009A2E71" w:rsidRDefault="00A36D94" w:rsidP="00A36D94">
      <w:pPr>
        <w:spacing w:after="0"/>
      </w:pPr>
      <w:r w:rsidRPr="009A2E71">
        <w:t>Le 1</w:t>
      </w:r>
      <w:r w:rsidRPr="009A2E71">
        <w:rPr>
          <w:vertAlign w:val="superscript"/>
        </w:rPr>
        <w:t>er</w:t>
      </w:r>
      <w:r w:rsidRPr="009A2E71">
        <w:t xml:space="preserve"> octobre 2025, le Président de la République, M. Alassane Ouattara, a annoncé que le prix bord champs était fixé pour la campagne 2025-2026 à 2 800 FCFA/kg pour le cacao </w:t>
      </w:r>
      <w:bookmarkStart w:id="70" w:name="_Hlk211421217"/>
      <w:r w:rsidRPr="009A2E71">
        <w:t>et à 1 700 FCFA/kg pour le café</w:t>
      </w:r>
      <w:bookmarkEnd w:id="70"/>
      <w:r w:rsidRPr="009A2E71">
        <w:t>. La filière pèse environ 15 à 20% du PIB et procure des revenus directs ou indirects à près de 6 M de personnes, les exportations de fèves et de produits transformés représentant près de 80% des recettes d’exportation. En allouant 60 à 68% du prix coût, assurance et fret (CAF) international aux producteurs, l’exécutif vise une redistribution plus équitable et la limitation de la contrebande vers le Ghana où le prix officiel est de 4,6 USD/kg. Les marchés à terme ont connu une forte volatilité en 2025, avec un repli d’environ 25% des contrats négociés sur l’Intercontinental Exchange (ICE) en mars après des sommets atteints au premier trimestre.</w:t>
      </w:r>
    </w:p>
    <w:p w14:paraId="13110F35" w14:textId="77777777" w:rsidR="00A36D94" w:rsidRPr="009A2E71" w:rsidRDefault="00A36D94" w:rsidP="00A36D94">
      <w:pPr>
        <w:spacing w:after="0"/>
      </w:pPr>
      <w:r w:rsidRPr="009A2E71">
        <w:t xml:space="preserve">Au 30 juin 2025, les revenus cumulés des producteurs atteignaient 2 967,272 Md FCFA, en hausse de 70,75% sur un an, dont 2 930,024 Md FCFA pour le cacao contre 1 663,973 Md FCFA </w:t>
      </w:r>
      <w:r w:rsidRPr="009A2E71">
        <w:lastRenderedPageBreak/>
        <w:t>un an plus tôt, soit +76,09%, alors que le café recule à 37,248 Md FCFA contre 73,775 Md FCFA, soit −49,51%. Les prix garantis ont soutenu cette trajectoire avec 1 800 FCFA/kg en campagne principale 2024-2025 pour le cacao contre 1 000 FCFA/kg l’année précédente, puis 2 200 FCFA/kg en campagne intermédiaire, et une revalorisation du café de 900 FCFA/kg à 1 500 FCFA/kg en 2024-2025, soit +66,67%. Côté volumes, après une chute à 1,67 M de tonnes en 2023-2024, la production de cacao se redresse d’octobre 2024 à juin 2025 à 1 578 743 tonnes contre 1 528 943 tonnes, soit +3,26%, avec des exportations à 1 507 588 tonnes contre 1 488 741 tonnes, soit +1,27%, tandis que le café plonge à 24 832 tonnes contre 81 972 tonnes, soit −69,71%, et des exportations à 24 657 tonnes contre 56 515 tonnes, soit −56,37%.</w:t>
      </w:r>
    </w:p>
    <w:p w14:paraId="108116AF" w14:textId="77777777" w:rsidR="00A36D94" w:rsidRPr="009A2E71" w:rsidRDefault="00A36D94" w:rsidP="00A36D94">
      <w:pPr>
        <w:spacing w:after="0"/>
      </w:pPr>
      <w:r w:rsidRPr="009A2E71">
        <w:t xml:space="preserve">La transformation locale progresse avec un taux de 39% au 30 juin 2025, soit 536 017 tonnes, dans un contexte de capacités installées d’environ 1 115 000 tonnes, renforcées par l’entrée en activité du complexe TRANSCAO PK 24 à </w:t>
      </w:r>
      <w:proofErr w:type="spellStart"/>
      <w:r w:rsidRPr="009A2E71">
        <w:t>Akoupé-Zeudji</w:t>
      </w:r>
      <w:proofErr w:type="spellEnd"/>
      <w:r w:rsidRPr="009A2E71">
        <w:t xml:space="preserve"> doté d’une capacité de 50 000 tonnes. Pour le café, les capacités de torréfaction restent modestes entre 7 000 et 19 000 tonnes, avec 11 164 tonnes transformées en 2024-2025 et un taux de 66% lié à la faiblesse de la production.</w:t>
      </w:r>
    </w:p>
    <w:p w14:paraId="434FF46B" w14:textId="77777777" w:rsidR="00A36D94" w:rsidRPr="009A2E71" w:rsidRDefault="00A36D94" w:rsidP="00A36D94">
      <w:pPr>
        <w:spacing w:after="0"/>
      </w:pPr>
      <w:r w:rsidRPr="009A2E71">
        <w:t>Le pilier durabilité s’appuie sur la traçabilité et la norme ARS 1000, avec un Système national de traçabilité (SNT) qui a produit un million de cartes dont 900 000 distribuées et la digitalisation des achats dans 1 000 coopératives, et sur des investissements sociaux par le Fonds d’investissement en milieu rural (FIMR) ayant en particulier réalisé 10 949 km de pistes, investit dans la scolarisation, la santé, ainsi que l’électrification de 33 villages. Le recensement des producteurs (RPCCV 2021) signale un vieillissement de la main-d’œuvre avec un âge moyen de 44 ans, 15,37% de jeunes de 18 à 35 ans détenant 12,71% des superficies et 5% de femmes, un niveau d’éducation faible chez les jeunes dont plus de 61% sans scolarité, et une inclusion financière limitée avec 55,5% sans services formels, 0,49% utilisant les banques, 0,33% la microfinance et 38,68% le Mobile money. L’enjeu est d’attirer et de former une nouvelle génération pour consolider productivité, valeur ajoutée et durabilité.</w:t>
      </w:r>
    </w:p>
    <w:p w14:paraId="6D60733A" w14:textId="77777777" w:rsidR="00A36D94" w:rsidRPr="009A2E71" w:rsidRDefault="00A36D94" w:rsidP="00A36D94">
      <w:pPr>
        <w:spacing w:after="0"/>
      </w:pPr>
    </w:p>
    <w:p w14:paraId="25479B21" w14:textId="77777777" w:rsidR="00A36D94" w:rsidRPr="009A2E71" w:rsidRDefault="00A36D94" w:rsidP="00A36D94">
      <w:pPr>
        <w:pStyle w:val="Titre2"/>
        <w:spacing w:before="0"/>
      </w:pPr>
      <w:bookmarkStart w:id="71" w:name="_Toc213247376"/>
      <w:r w:rsidRPr="009A2E71">
        <w:t>Cacao – L’alliance avec le Ghana sous pression.</w:t>
      </w:r>
      <w:bookmarkEnd w:id="71"/>
    </w:p>
    <w:p w14:paraId="4717003A" w14:textId="77777777" w:rsidR="00A36D94" w:rsidRPr="009A2E71" w:rsidRDefault="00A36D94" w:rsidP="00A36D94">
      <w:pPr>
        <w:spacing w:after="0"/>
      </w:pPr>
      <w:r w:rsidRPr="009A2E71">
        <w:t xml:space="preserve">La Côte d’Ivoire et le Ghana, associés depuis 2018 à travers le Conseil café cacao (CCC) et le Ghana Cocoa </w:t>
      </w:r>
      <w:proofErr w:type="spellStart"/>
      <w:r w:rsidRPr="009A2E71">
        <w:t>Board</w:t>
      </w:r>
      <w:proofErr w:type="spellEnd"/>
      <w:r w:rsidRPr="009A2E71">
        <w:t xml:space="preserve"> (</w:t>
      </w:r>
      <w:proofErr w:type="spellStart"/>
      <w:r w:rsidRPr="009A2E71">
        <w:t>Cocobod</w:t>
      </w:r>
      <w:proofErr w:type="spellEnd"/>
      <w:r w:rsidRPr="009A2E71">
        <w:t>), visent une harmonisation de politique axée sur la qualité des fèves, la durabilité et la transformation locale, l’alliance étant parfois qualifiée d</w:t>
      </w:r>
      <w:proofErr w:type="gramStart"/>
      <w:r w:rsidRPr="009A2E71">
        <w:t>’«</w:t>
      </w:r>
      <w:proofErr w:type="gramEnd"/>
      <w:r w:rsidRPr="009A2E71">
        <w:t xml:space="preserve"> </w:t>
      </w:r>
      <w:proofErr w:type="spellStart"/>
      <w:r w:rsidRPr="009A2E71">
        <w:t>Opep</w:t>
      </w:r>
      <w:proofErr w:type="spellEnd"/>
      <w:r w:rsidRPr="009A2E71">
        <w:t xml:space="preserve"> du cacao », en référence à l’Organisation des pays exportateurs de pétrole (OPEP). Des signaux de tension apparaissent toutefois avec la montée de l’Équateur : pour 2025-2026, le </w:t>
      </w:r>
      <w:proofErr w:type="spellStart"/>
      <w:r w:rsidRPr="009A2E71">
        <w:t>Cocobod</w:t>
      </w:r>
      <w:proofErr w:type="spellEnd"/>
      <w:r w:rsidRPr="009A2E71">
        <w:t xml:space="preserve"> anticipe 650 000 tonnes pour le Ghana contre une prévision de 570 000 tonnes pour l’Équateur, mais ce dernier vise 650 000 tonnes à l’horizon 2026-2027, ce qui pourrait inverser le classement dès la saison suivante. Côté ivoirien, la récolte 2025-2026 est attendue autour de 1,8 M de tonnes et le CCC indique environ 400 Md FCFA de recettes par saison. Mis sous pression par une baisse d’environ 20% de la production et une dégradation de la qualité des fèves liée au réchauffement climatique et au vieillissement des plantations, le CCC autorise les exportateurs à distribuer de nouveaux plants aux cultivateurs à partir d’octobre pour la campagne 2025-2026, une pratique suspendue depuis l’arrivée de M. Yves Brahima Koné à la tête du régulateur en juillet 2017 dans une logique de plafonnement à 2 M de tonnes par an. Le CCC a informé les principaux acteurs, notamment le Groupement professionnel des exportateurs de café et de cacao de Côte d’Ivoire (</w:t>
      </w:r>
      <w:proofErr w:type="spellStart"/>
      <w:r w:rsidRPr="009A2E71">
        <w:t>Gepex</w:t>
      </w:r>
      <w:proofErr w:type="spellEnd"/>
      <w:r w:rsidRPr="009A2E71">
        <w:t xml:space="preserve">), présidé par Lionel Soulard qui dirige localement Cargill, tandis que Barry Callebaut prévoit de mettre environ 3,5 M de plants à disposition des coopératives de sa chaîne de valeur. Parallèlement, le régulateur rattache à ses </w:t>
      </w:r>
      <w:r w:rsidRPr="009A2E71">
        <w:lastRenderedPageBreak/>
        <w:t>services l’unité cacao du Centre national de recherche agronomique (CNRA), à l’origine de la variété « Mercedes », réputée résistante aux maladies et annonçant un rendement de 3</w:t>
      </w:r>
      <w:r w:rsidRPr="009A2E71">
        <w:rPr>
          <w:rFonts w:ascii="Calibri" w:hAnsi="Calibri" w:cs="Calibri"/>
        </w:rPr>
        <w:t> </w:t>
      </w:r>
      <w:r w:rsidRPr="009A2E71">
        <w:t>tonnes/ha contre 300 kg/ha, avec l</w:t>
      </w:r>
      <w:r w:rsidRPr="009A2E71">
        <w:rPr>
          <w:rFonts w:cs="Marianne"/>
        </w:rPr>
        <w:t>’</w:t>
      </w:r>
      <w:r w:rsidRPr="009A2E71">
        <w:t>objectif d</w:t>
      </w:r>
      <w:r w:rsidRPr="009A2E71">
        <w:rPr>
          <w:rFonts w:cs="Marianne"/>
        </w:rPr>
        <w:t>’</w:t>
      </w:r>
      <w:r w:rsidRPr="009A2E71">
        <w:t>en allouer d</w:t>
      </w:r>
      <w:r w:rsidRPr="009A2E71">
        <w:rPr>
          <w:rFonts w:cs="Marianne"/>
        </w:rPr>
        <w:t>’</w:t>
      </w:r>
      <w:r w:rsidRPr="009A2E71">
        <w:t>importantes quantit</w:t>
      </w:r>
      <w:r w:rsidRPr="009A2E71">
        <w:rPr>
          <w:rFonts w:cs="Marianne"/>
        </w:rPr>
        <w:t>é</w:t>
      </w:r>
      <w:r w:rsidRPr="009A2E71">
        <w:t xml:space="preserve">s aux planteurs. Le Ghana table </w:t>
      </w:r>
      <w:r w:rsidRPr="009A2E71">
        <w:rPr>
          <w:rFonts w:cs="Marianne"/>
        </w:rPr>
        <w:t>é</w:t>
      </w:r>
      <w:r w:rsidRPr="009A2E71">
        <w:t>galement sur une relance par la distribution amorcée en 2022 d’environ 140</w:t>
      </w:r>
      <w:r w:rsidRPr="009A2E71">
        <w:rPr>
          <w:rFonts w:ascii="Calibri" w:hAnsi="Calibri" w:cs="Calibri"/>
        </w:rPr>
        <w:t> </w:t>
      </w:r>
      <w:r w:rsidRPr="009A2E71">
        <w:t>M de plants. Des professionnels saluent la diversification des origines tout en rappelant que les f</w:t>
      </w:r>
      <w:r w:rsidRPr="009A2E71">
        <w:rPr>
          <w:rFonts w:cs="Marianne"/>
        </w:rPr>
        <w:t>è</w:t>
      </w:r>
      <w:r w:rsidRPr="009A2E71">
        <w:t>ves ouest-africaines sont jug</w:t>
      </w:r>
      <w:r w:rsidRPr="009A2E71">
        <w:rPr>
          <w:rFonts w:cs="Marianne"/>
        </w:rPr>
        <w:t>é</w:t>
      </w:r>
      <w:r w:rsidRPr="009A2E71">
        <w:t>es de meilleure qualit</w:t>
      </w:r>
      <w:r w:rsidRPr="009A2E71">
        <w:rPr>
          <w:rFonts w:cs="Marianne"/>
        </w:rPr>
        <w:t>é</w:t>
      </w:r>
      <w:r w:rsidRPr="009A2E71">
        <w:t xml:space="preserve"> et que les sols </w:t>
      </w:r>
      <w:r w:rsidRPr="009A2E71">
        <w:rPr>
          <w:rFonts w:cs="Marianne"/>
        </w:rPr>
        <w:t>é</w:t>
      </w:r>
      <w:r w:rsidRPr="009A2E71">
        <w:t>quatoriens pr</w:t>
      </w:r>
      <w:r w:rsidRPr="009A2E71">
        <w:rPr>
          <w:rFonts w:cs="Marianne"/>
        </w:rPr>
        <w:t>é</w:t>
      </w:r>
      <w:r w:rsidRPr="009A2E71">
        <w:t>sentent des teneurs en cadmium. Des précédents invitent à la prudence sur la pérennité des nouveaux entrants, l’Indonésie étant passée d’environ 600 000 à 700 000 tonnes à près de 160 000 tonnes.</w:t>
      </w:r>
    </w:p>
    <w:p w14:paraId="58709699" w14:textId="77777777" w:rsidR="00A36D94" w:rsidRPr="009A2E71" w:rsidRDefault="00A36D94" w:rsidP="00A36D94">
      <w:pPr>
        <w:spacing w:after="0"/>
      </w:pPr>
    </w:p>
    <w:p w14:paraId="724E4A24" w14:textId="77777777" w:rsidR="00A36D94" w:rsidRPr="009A2E71" w:rsidRDefault="00A36D94" w:rsidP="00A36D94">
      <w:pPr>
        <w:pStyle w:val="Titre2"/>
        <w:spacing w:before="0"/>
      </w:pPr>
      <w:bookmarkStart w:id="72" w:name="_Toc213247377"/>
      <w:r w:rsidRPr="009A2E71">
        <w:t>Cacao – Coordination entre Abidjan et Accra sur les prix bord champ.</w:t>
      </w:r>
      <w:bookmarkEnd w:id="72"/>
    </w:p>
    <w:p w14:paraId="407F29C2" w14:textId="77777777" w:rsidR="00A36D94" w:rsidRPr="009A2E71" w:rsidRDefault="00A36D94" w:rsidP="00A36D94">
      <w:pPr>
        <w:spacing w:after="0"/>
      </w:pPr>
      <w:r w:rsidRPr="009A2E71">
        <w:t>Avant l’annonce des nouveaux prix du cacao, les autorités ivoiriennes et ghanéennes ont coordonné leurs décisions par l’intermédiaire de l’Initiative cacao Côte d’Ivoire Ghana (</w:t>
      </w:r>
      <w:proofErr w:type="spellStart"/>
      <w:r w:rsidRPr="009A2E71">
        <w:t>Iccig</w:t>
      </w:r>
      <w:proofErr w:type="spellEnd"/>
      <w:r w:rsidRPr="009A2E71">
        <w:t xml:space="preserve">), créée en 2021 pour harmoniser la régulation des deux filières et améliorer les revenus des producteurs. Sous la supervision de sa directrice technique, la Ghanéenne </w:t>
      </w:r>
      <w:proofErr w:type="spellStart"/>
      <w:r w:rsidRPr="009A2E71">
        <w:t>Tawiah</w:t>
      </w:r>
      <w:proofErr w:type="spellEnd"/>
      <w:r w:rsidRPr="009A2E71">
        <w:t xml:space="preserve"> </w:t>
      </w:r>
      <w:proofErr w:type="spellStart"/>
      <w:r w:rsidRPr="009A2E71">
        <w:t>Agyarko-Kwarteng</w:t>
      </w:r>
      <w:proofErr w:type="spellEnd"/>
      <w:r w:rsidRPr="009A2E71">
        <w:t>, l’</w:t>
      </w:r>
      <w:proofErr w:type="spellStart"/>
      <w:r w:rsidRPr="009A2E71">
        <w:t>Iccig</w:t>
      </w:r>
      <w:proofErr w:type="spellEnd"/>
      <w:r w:rsidRPr="009A2E71">
        <w:t xml:space="preserve"> a évalué les écarts de prix afin d’éviter toute incitation à la contrebande, en intégrant les paramètres d’inflation, de coût du transport et du pétrole, de qualité des fèves et de demande mondiale. Les hypothèses de prix ont été préparées côté ivoirien par le comité matières premières de la présidence, avec le Conseil café-cacao (CCC), et côté ghanéen par le comité d’examen des prix à la production (PPRC) du ministère des Finances, appuyé par le Ghana Cocoa </w:t>
      </w:r>
      <w:proofErr w:type="spellStart"/>
      <w:r w:rsidRPr="009A2E71">
        <w:t>Board</w:t>
      </w:r>
      <w:proofErr w:type="spellEnd"/>
      <w:r w:rsidRPr="009A2E71">
        <w:t xml:space="preserve"> (</w:t>
      </w:r>
      <w:proofErr w:type="spellStart"/>
      <w:r w:rsidRPr="009A2E71">
        <w:t>Cocobod</w:t>
      </w:r>
      <w:proofErr w:type="spellEnd"/>
      <w:r w:rsidRPr="009A2E71">
        <w:t>). Le 1er octobre, le prix bord champ en Côte d’Ivoire a été fixé à 2 800 FCFA/kg, soit une hausse de 56%. Au Ghana, le 2 octobre, il a été fixé à 56,64 cedis/kg, soit 3,92 EUR, en progression de 27 à 100% selon les zones. L’</w:t>
      </w:r>
      <w:proofErr w:type="spellStart"/>
      <w:r w:rsidRPr="009A2E71">
        <w:t>Iccig</w:t>
      </w:r>
      <w:proofErr w:type="spellEnd"/>
      <w:r w:rsidRPr="009A2E71">
        <w:t xml:space="preserve"> a ensuite précisé que les échanges préparatoires avaient impliqué les directeurs du CCC et du </w:t>
      </w:r>
      <w:proofErr w:type="spellStart"/>
      <w:r w:rsidRPr="009A2E71">
        <w:t>Cocobod</w:t>
      </w:r>
      <w:proofErr w:type="spellEnd"/>
      <w:r w:rsidRPr="009A2E71">
        <w:t>, qui ont informé leurs présidents respectifs.</w:t>
      </w:r>
    </w:p>
    <w:p w14:paraId="6971D9DB" w14:textId="77777777" w:rsidR="00A36D94" w:rsidRPr="009A2E71" w:rsidRDefault="00A36D94" w:rsidP="00A36D94">
      <w:pPr>
        <w:spacing w:after="0"/>
      </w:pPr>
    </w:p>
    <w:p w14:paraId="4FBF935B" w14:textId="77777777" w:rsidR="00A36D94" w:rsidRPr="009A2E71" w:rsidRDefault="00A36D94" w:rsidP="00A36D94">
      <w:pPr>
        <w:pStyle w:val="Titre2"/>
        <w:spacing w:before="0"/>
      </w:pPr>
      <w:bookmarkStart w:id="73" w:name="_Toc213247378"/>
      <w:r w:rsidRPr="009A2E71">
        <w:t>Cacao – Un système de commercialisation qui n’est pas profitable aux producteurs.</w:t>
      </w:r>
      <w:bookmarkEnd w:id="73"/>
    </w:p>
    <w:p w14:paraId="0384DA03" w14:textId="77777777" w:rsidR="00A36D94" w:rsidRPr="009A2E71" w:rsidRDefault="00A36D94" w:rsidP="00A36D94">
      <w:pPr>
        <w:spacing w:after="0"/>
      </w:pPr>
      <w:r w:rsidRPr="009A2E71">
        <w:t xml:space="preserve">L’économiste Guillaume </w:t>
      </w:r>
      <w:proofErr w:type="spellStart"/>
      <w:r w:rsidRPr="009A2E71">
        <w:t>Liby</w:t>
      </w:r>
      <w:proofErr w:type="spellEnd"/>
      <w:r w:rsidRPr="009A2E71">
        <w:t xml:space="preserve">, ancien directeur général de United Bank for </w:t>
      </w:r>
      <w:proofErr w:type="spellStart"/>
      <w:r w:rsidRPr="009A2E71">
        <w:t>Africa</w:t>
      </w:r>
      <w:proofErr w:type="spellEnd"/>
      <w:r w:rsidRPr="009A2E71">
        <w:t xml:space="preserve"> (UBA) Côte d’Ivoire et actuel directeur général du quotidien « Notre Voie », estime que le système de commercialisation du pays n’est pas profitable aux producteurs. Il indique avoir prédit en 2024 le niveau de prix actuel et le présente comme la conséquence logique de l’état du marché du cacao. Selon lui, un pays qui pèse près de 50% de l’offre mondiale ne devrait pas dépendre des marchés à terme pour fixer son prix. Les marchés à terme conviennent à des produits à offre hétérogène comme le pétrole, où personne ne domine même si l’Organisation des pays exportateurs de pétrole (OPEP) a créé un cartel. Il soutient que la Côte d’Ivoire devrait indiquer son prix à ses acheteurs ou s’accorder avec le Ghana, ces deux pays représentant ensemble plus de 60% de l’offre mondiale, afin de moduler le prix en fonction du coût de revient et d’améliorer la rémunération des producteurs.</w:t>
      </w:r>
    </w:p>
    <w:p w14:paraId="1AAC514D" w14:textId="77777777" w:rsidR="00A36D94" w:rsidRPr="009A2E71" w:rsidRDefault="00A36D94" w:rsidP="00A36D94">
      <w:pPr>
        <w:spacing w:after="0"/>
      </w:pPr>
    </w:p>
    <w:p w14:paraId="5FB7B0E4" w14:textId="6B259E49" w:rsidR="00A36D94" w:rsidRPr="009A2E71" w:rsidRDefault="00A36D94" w:rsidP="00A36D94">
      <w:pPr>
        <w:pStyle w:val="Titre2"/>
        <w:spacing w:before="0"/>
      </w:pPr>
      <w:bookmarkStart w:id="74" w:name="_Toc213247379"/>
      <w:r w:rsidRPr="009A2E71">
        <w:t>Cacao – 40% des fèves tracé en 2024/2025.</w:t>
      </w:r>
      <w:bookmarkEnd w:id="74"/>
    </w:p>
    <w:p w14:paraId="250A0454" w14:textId="77777777" w:rsidR="00A36D94" w:rsidRPr="009A2E71" w:rsidRDefault="00A36D94" w:rsidP="00A36D94">
      <w:pPr>
        <w:spacing w:after="0"/>
        <w:rPr>
          <w:rStyle w:val="Marquedecommentaire"/>
        </w:rPr>
      </w:pPr>
      <w:r w:rsidRPr="009A2E71">
        <w:t xml:space="preserve">Pour la saison 2024/2025, la Côte d’Ivoire a pu tracer 40% de ses fèves de cacao selon l’édition 2025 du « Baromètre du cacao » publiée le 8 octobre par Voice Network. Les auteurs attribuent ce niveau à la fragmentation de la chaîne de commercialisation intérieure dominée par des intermédiaires informels, ce qui limite les contacts directs entre négociants et transformateurs d’une part et producteurs d’autre part et complique la responsabilisation en matière de déforestation et d’autres enjeux environnementaux. Ce constat fait écho à une étude de 2023 </w:t>
      </w:r>
      <w:r w:rsidRPr="009A2E71">
        <w:lastRenderedPageBreak/>
        <w:t xml:space="preserve">menée par la plateforme </w:t>
      </w:r>
      <w:proofErr w:type="spellStart"/>
      <w:r w:rsidRPr="009A2E71">
        <w:t>Trase</w:t>
      </w:r>
      <w:proofErr w:type="spellEnd"/>
      <w:r w:rsidRPr="009A2E71">
        <w:t xml:space="preserve"> et l’Université catholique de Louvain (</w:t>
      </w:r>
      <w:proofErr w:type="spellStart"/>
      <w:r w:rsidRPr="009A2E71">
        <w:t>UCLouvain</w:t>
      </w:r>
      <w:proofErr w:type="spellEnd"/>
      <w:r w:rsidRPr="009A2E71">
        <w:t>) estimant qu’en 2019 environ 55% du cacao exporté, soit près de 1 M de tonnes, n’était pas traçable. Le rapport paraît alors que la Commission européenne plaide pour un report à 2026 de la loi de l’Union européenne interdisant les importations de produits agricoles issus de la déforestation. La traçabilité demeure stratégique pour la filière ivoirienne car l’Union européenne absorbe 55% des expéditions de cacao et de produits dérivés. Les autorités ont engagé des mesures dédiées avec l’adoption en septembre 2023 d’un Système national de traçabilité du café-cacao fondé sur une plateforme d’enregistrement et un étiquetage des sacs, un recensement des producteurs et de leurs vergers d’avril 2019 à décembre 2020, puis le lancement en 2022 par le Conseil du café-cacao (CCC) de cartes d’identification des exploitants. Depuis, près de 855 000 cartes ont été distribuées sur 993 000 agriculteurs répertoriés et plus de 3,2 M d’ha de café et de cacao. Le 1</w:t>
      </w:r>
      <w:r w:rsidRPr="009A2E71">
        <w:rPr>
          <w:vertAlign w:val="superscript"/>
        </w:rPr>
        <w:t>er</w:t>
      </w:r>
      <w:r w:rsidRPr="009A2E71">
        <w:t xml:space="preserve"> octobre, le CCC a annoncé que 113 sociétés coopératives sur 210 coopératives et acheteurs codifiés disposent du système national de traçabilité en prélude à la campagne 2025-2026. Testé pendant deux ans en cinq phases pilotes, le dispositif deviendra obligatoire à partir de janvier 2026 en conformité avec les exigences de l’Union européenne. Le système permet de suivre le cacao depuis la parcelle jusqu’à l’entrée de l’usine à l’aide de la carte du producteur, de la géolocalisation des plantations, de terminaux portatifs (TPE) et d’une plateforme de gestion accessible aux coopératives et aux autorités. Deux nouveaux modules ont été intégrés, le préenregistrement des producteurs non encore recensés et une option de paiement en espèces destinée à rassurer les planteurs hésitants face aux moyens de paiement numériques. </w:t>
      </w:r>
    </w:p>
    <w:p w14:paraId="0C54DAC4" w14:textId="77777777" w:rsidR="00A36D94" w:rsidRPr="009A2E71" w:rsidRDefault="00A36D94" w:rsidP="00A36D94">
      <w:pPr>
        <w:spacing w:after="0"/>
      </w:pPr>
    </w:p>
    <w:p w14:paraId="2E595949" w14:textId="77777777" w:rsidR="00A36D94" w:rsidRPr="009A2E71" w:rsidRDefault="00A36D94" w:rsidP="00A36D94">
      <w:pPr>
        <w:pStyle w:val="Titre2"/>
        <w:spacing w:before="0"/>
      </w:pPr>
      <w:bookmarkStart w:id="75" w:name="_Toc213247380"/>
      <w:r w:rsidRPr="009A2E71">
        <w:t>Cacao – Intrants gratuits et semences améliorées.</w:t>
      </w:r>
      <w:bookmarkEnd w:id="75"/>
    </w:p>
    <w:p w14:paraId="471B56EE" w14:textId="0A4B4389" w:rsidR="00A36D94" w:rsidRPr="009A2E71" w:rsidRDefault="00A36D94" w:rsidP="002B29AD">
      <w:pPr>
        <w:spacing w:after="0"/>
      </w:pPr>
      <w:r w:rsidRPr="009A2E71">
        <w:t xml:space="preserve">En réponse aux pertes liées aux maladies et ravageurs, le Conseil du Café-Cacao (CCC) a déployé un programme de distribution gratuite d’intrants via coopératives et acheteurs, avec des opérations de traitement planifiées et un encadrement technique. Plus d’1 M d’ha ont été traités à l’insecticide et 345 000 ha au fongicide, tandis que des formations pratiques ont été dispensées aux applicateurs pour une utilisation sûre des produits. Le renouvellement des vergers s’appuie sur le Centre national de recherche agronomique (CNRA) avec des semences améliorées à meilleurs rendements et résistances, notamment face au </w:t>
      </w:r>
      <w:proofErr w:type="spellStart"/>
      <w:r w:rsidRPr="009A2E71">
        <w:t>swollen</w:t>
      </w:r>
      <w:proofErr w:type="spellEnd"/>
      <w:r w:rsidRPr="009A2E71">
        <w:t xml:space="preserve"> shoot, afin d’augmenter les récoltes et les revenus. Dans le cadre du Recensement des producteurs de cacao et de leurs vergers (RPCCV), une quantité d’intrant pouvant couvrir près de 10 000 ha a été distribuée à plus de 25 000 producteurs à travers les 13 délégations régionales, l’opération se poursuivant pour une couverture nationale. À moyen terme, le CCC prévoit un centre de recherche ultramoderne à Divo pour développer des variétés plus performantes et adaptées aux aléas climatiques. Les autorités soulignent que la hausse des prix ne se traduira en gains durables que si l’entretien, le traitement et le renouvellement des vergers sont poursuivis de manière rigoureuse.</w:t>
      </w:r>
    </w:p>
    <w:p w14:paraId="2140A02E" w14:textId="512EA7DD" w:rsidR="002B29AD" w:rsidRDefault="002B29AD" w:rsidP="002B29AD">
      <w:pPr>
        <w:spacing w:after="0"/>
      </w:pPr>
    </w:p>
    <w:p w14:paraId="73428A1B" w14:textId="77777777" w:rsidR="007929F8" w:rsidRPr="009A2E71" w:rsidRDefault="007929F8" w:rsidP="007929F8">
      <w:pPr>
        <w:pStyle w:val="Titre2"/>
        <w:spacing w:before="0"/>
        <w:rPr>
          <w:rStyle w:val="Titre2Car"/>
          <w:b/>
        </w:rPr>
      </w:pPr>
      <w:bookmarkStart w:id="76" w:name="_Toc213247381"/>
      <w:r w:rsidRPr="009A2E71">
        <w:rPr>
          <w:rStyle w:val="Titre2Car"/>
          <w:b/>
        </w:rPr>
        <w:t>Cacao – Déclin historique dans la région du N’Zi.</w:t>
      </w:r>
      <w:bookmarkEnd w:id="76"/>
    </w:p>
    <w:p w14:paraId="05EAA407" w14:textId="0B389116" w:rsidR="007929F8" w:rsidRDefault="007929F8" w:rsidP="002B29AD">
      <w:pPr>
        <w:spacing w:after="0"/>
      </w:pPr>
      <w:r w:rsidRPr="009A2E71">
        <w:t xml:space="preserve">Dans la région du N’Zi, autrefois cœur de la production ivoirienne de cacao, la campagne lancée début octobre tourne au ralenti. L’ancienne boucle du cacao, qui représentait près de 25% de la production nationale dans les années 1970, ne pèse plus que 2%. Le déclin s’explique par la baisse des rendements liée à la déforestation, au vieillissement des plantations et à la raréfaction des pluies. Beaucoup de planteurs ont migré vers les zones forestières de l’Ouest, tandis que ceux restés à Dimbokro se sont reconvertis dans d’autres cultures comme le palmier </w:t>
      </w:r>
      <w:r w:rsidRPr="009A2E71">
        <w:lastRenderedPageBreak/>
        <w:t>à huile, l’hévéa ou l’anacardier. Importée des savanes du Nord, cette dernière culture, moins dépendante de la pluviométrie, représente une alternative prometteuse : la région du N’Zi aurait produit plus de 4 000 tonnes de noix de cajou en 2023.</w:t>
      </w:r>
    </w:p>
    <w:p w14:paraId="35AA37B0" w14:textId="6692CF94" w:rsidR="007929F8" w:rsidRDefault="007929F8" w:rsidP="002B29AD">
      <w:pPr>
        <w:spacing w:after="0"/>
      </w:pPr>
    </w:p>
    <w:p w14:paraId="3C776C91" w14:textId="77777777" w:rsidR="00A36D94" w:rsidRPr="009A2E71" w:rsidRDefault="00A36D94" w:rsidP="00A36D94">
      <w:pPr>
        <w:pStyle w:val="Titre2"/>
        <w:spacing w:before="0"/>
      </w:pPr>
      <w:bookmarkStart w:id="77" w:name="_Toc213247382"/>
      <w:r w:rsidRPr="009A2E71">
        <w:t>Café-cacao – Société Générale Côte d’Ivoire renforce son appui à la filière.</w:t>
      </w:r>
      <w:bookmarkEnd w:id="77"/>
    </w:p>
    <w:p w14:paraId="4C8CB9F6" w14:textId="77777777" w:rsidR="00A36D94" w:rsidRPr="009A2E71" w:rsidRDefault="00A36D94" w:rsidP="00A36D94">
      <w:pPr>
        <w:spacing w:after="0"/>
      </w:pPr>
      <w:r w:rsidRPr="009A2E71">
        <w:t xml:space="preserve">Société Générale Côte d’Ivoire (SGCI) a conduit du 25 au 27 septembre à San Pedro une mission d’échanges avec les acteurs de la filière café-cacao, en prélude à la campagne 2025-2026. Menée par le Directeur général adjoint en charge de la Clientèle des entreprises et des paiements, M. Brice </w:t>
      </w:r>
      <w:proofErr w:type="spellStart"/>
      <w:r w:rsidRPr="009A2E71">
        <w:t>Oble</w:t>
      </w:r>
      <w:proofErr w:type="spellEnd"/>
      <w:r w:rsidRPr="009A2E71">
        <w:t xml:space="preserve">, cette rencontre a réuni exportateurs, coopératives et partenaires autour des principaux enjeux du secteur : volatilité des cours mondiaux, baisse de la production, ralentissement de la demande, adaptation climatique et amélioration des conditions de vie des producteurs. Acteur historique du financement de la filière, SGCI a octroyé plus de 602 Md FCFA de lignes de crédit à une cinquantaine d’entreprises et de PME. Elle a également lancé le produit « Pack Coopérative », doté de 50 Md FCFA supplémentaires, en hausse de 52% par rapport à la campagne 2024-2025. </w:t>
      </w:r>
    </w:p>
    <w:p w14:paraId="29325FA0" w14:textId="77777777" w:rsidR="00A36D94" w:rsidRPr="009A2E71" w:rsidRDefault="00A36D94" w:rsidP="002B29AD">
      <w:pPr>
        <w:spacing w:after="0"/>
      </w:pPr>
    </w:p>
    <w:p w14:paraId="474DCB5E" w14:textId="77777777" w:rsidR="002B29AD" w:rsidRPr="009A2E71" w:rsidRDefault="002B29AD" w:rsidP="002B29AD">
      <w:pPr>
        <w:pStyle w:val="Titre2"/>
        <w:spacing w:before="0"/>
      </w:pPr>
      <w:bookmarkStart w:id="78" w:name="_Toc213247383"/>
      <w:r w:rsidRPr="009A2E71">
        <w:t>Cacao – Mars obtient une licence d’utilisation des outils de Courtes répétitions palindromiques groupées et régulièrement espacées (CRISPR) pour des cacaoyers OGM.</w:t>
      </w:r>
      <w:bookmarkEnd w:id="78"/>
    </w:p>
    <w:p w14:paraId="65F52CE3" w14:textId="046AA043" w:rsidR="002B29AD" w:rsidRDefault="002B29AD" w:rsidP="002B29AD">
      <w:pPr>
        <w:spacing w:after="0"/>
      </w:pPr>
      <w:r w:rsidRPr="009A2E71">
        <w:t xml:space="preserve">Mars a obtenu début août auprès de </w:t>
      </w:r>
      <w:proofErr w:type="spellStart"/>
      <w:r w:rsidRPr="009A2E71">
        <w:t>Pairwise</w:t>
      </w:r>
      <w:proofErr w:type="spellEnd"/>
      <w:r w:rsidRPr="009A2E71">
        <w:t xml:space="preserve"> une licence </w:t>
      </w:r>
      <w:bookmarkStart w:id="79" w:name="_Hlk211203997"/>
      <w:r w:rsidRPr="009A2E71">
        <w:t xml:space="preserve">d’utilisation des outils de CRISPR </w:t>
      </w:r>
      <w:bookmarkEnd w:id="79"/>
      <w:r w:rsidRPr="009A2E71">
        <w:t xml:space="preserve">afin de mener des travaux de recherche et développement sur le cacaoyer en vue d’améliorer l’adaptation climatique, la résistance aux maladies et l’usage des ressources. Le groupe, leader mondial du chocolat avec environ 50 Md USD de chiffre d’affaires en 2023, s’intéresse à cette voie depuis longtemps avec, en 2010, la participation au séquençage du génome du cacaoyer </w:t>
      </w:r>
      <w:proofErr w:type="spellStart"/>
      <w:r w:rsidRPr="009A2E71">
        <w:t>Matina</w:t>
      </w:r>
      <w:proofErr w:type="spellEnd"/>
      <w:r w:rsidRPr="009A2E71">
        <w:t xml:space="preserve"> 1-6 aux côtés du département de l’Agriculture des États-Unis (USDA) et d’International Business Machines (IBM), puis en 2018 l’annonce d’un investissement de 1 Md USD pour utiliser CRISPR/Cas9 sur le cacaoyer. Des chercheurs rappellent toutefois la difficulté à combiner arômes, résistance aux maladies, croissance rapide et rendements, et soulignent qu’aucune culture commerciale de cacaoyers organisme génétiquement modifié (OGM) n’a été annoncée à ce jour. Le débat réglementaire pourrait accélérer la donne en Europe, la Commission européenne étudiant une déréglementation des nouvelles techniques génomiques. Si elle était adoptée, des produits chocolatés issus d’OGM pourraient circuler sans identification spécifique selon les scénarios envisagés par les partisans de cette évolution.</w:t>
      </w:r>
    </w:p>
    <w:p w14:paraId="0992D461" w14:textId="60EA3CE4" w:rsidR="00A36D94" w:rsidRDefault="00A36D94" w:rsidP="002B29AD">
      <w:pPr>
        <w:spacing w:after="0"/>
      </w:pPr>
    </w:p>
    <w:p w14:paraId="47F1DD48" w14:textId="77777777" w:rsidR="00A36D94" w:rsidRPr="009A2E71" w:rsidRDefault="00A36D94" w:rsidP="00A36D94">
      <w:pPr>
        <w:pStyle w:val="Titre2"/>
        <w:spacing w:before="0"/>
      </w:pPr>
      <w:bookmarkStart w:id="80" w:name="_Toc213247384"/>
      <w:r w:rsidRPr="009A2E71">
        <w:t xml:space="preserve">Café – Ratification du le nouvel accord de l’Organisation </w:t>
      </w:r>
      <w:proofErr w:type="spellStart"/>
      <w:r w:rsidRPr="009A2E71">
        <w:t>inter-africaine</w:t>
      </w:r>
      <w:proofErr w:type="spellEnd"/>
      <w:r w:rsidRPr="009A2E71">
        <w:t xml:space="preserve"> du café.</w:t>
      </w:r>
      <w:bookmarkEnd w:id="80"/>
    </w:p>
    <w:p w14:paraId="152EE4C0" w14:textId="6538C23D" w:rsidR="00A36D94" w:rsidRDefault="00A36D94" w:rsidP="002B29AD">
      <w:pPr>
        <w:spacing w:after="0"/>
      </w:pPr>
      <w:r w:rsidRPr="009A2E71">
        <w:t>Le gouvernement a adopté le 1</w:t>
      </w:r>
      <w:r w:rsidRPr="009A2E71">
        <w:rPr>
          <w:vertAlign w:val="superscript"/>
        </w:rPr>
        <w:t>er</w:t>
      </w:r>
      <w:r w:rsidRPr="009A2E71">
        <w:t xml:space="preserve"> octobre un décret ratifiant l’Accord portant création de l’Organisation </w:t>
      </w:r>
      <w:proofErr w:type="spellStart"/>
      <w:r w:rsidRPr="009A2E71">
        <w:t>inter-africaine</w:t>
      </w:r>
      <w:proofErr w:type="spellEnd"/>
      <w:r w:rsidRPr="009A2E71">
        <w:t xml:space="preserve"> du café (OIAC), adopté le 20 novembre 2020 lors de la 60</w:t>
      </w:r>
      <w:r w:rsidRPr="009A2E71">
        <w:rPr>
          <w:vertAlign w:val="superscript"/>
        </w:rPr>
        <w:t>ème</w:t>
      </w:r>
      <w:r w:rsidRPr="009A2E71">
        <w:t xml:space="preserve"> Assemblée générale de l’organisation. Ce nouvel accord remplace celui de 1960 et vise à adapter la gouvernance de la filière caféière aux nouveaux défis, notamment la durabilité économique et environnementale du secteur. Il redéfinit les objectifs de l’OIAC et institue de nouveaux organes, dont le Fonds de développement du café africain, destiné à soutenir la modernisation et la résilience des producteurs. Cette ratification intervient après l’approbation parlementaire du 11 juin 2025, confirmant l’engagement de la Côte d’Ivoire à renforcer sa coopération régionale dans la filière caféière.</w:t>
      </w:r>
    </w:p>
    <w:p w14:paraId="7665E16D" w14:textId="17398244" w:rsidR="002B29AD" w:rsidRDefault="002B29AD" w:rsidP="002B29AD">
      <w:pPr>
        <w:spacing w:after="0"/>
      </w:pPr>
    </w:p>
    <w:p w14:paraId="4B423866" w14:textId="77777777" w:rsidR="007929F8" w:rsidRPr="009A2E71" w:rsidRDefault="007929F8" w:rsidP="007929F8">
      <w:pPr>
        <w:pStyle w:val="Titre2"/>
        <w:spacing w:before="0"/>
      </w:pPr>
      <w:bookmarkStart w:id="81" w:name="_Toc213247385"/>
      <w:r w:rsidRPr="009A2E71">
        <w:lastRenderedPageBreak/>
        <w:t>Café – Foncier et crédits sont des freins à la reprise de la filière.</w:t>
      </w:r>
      <w:bookmarkEnd w:id="81"/>
    </w:p>
    <w:p w14:paraId="467A8AEE" w14:textId="77777777" w:rsidR="007929F8" w:rsidRPr="009A2E71" w:rsidRDefault="007929F8" w:rsidP="007929F8">
      <w:pPr>
        <w:spacing w:after="0"/>
      </w:pPr>
      <w:r w:rsidRPr="009A2E71">
        <w:t xml:space="preserve">La durabilité de la caféiculture ivoirienne est au cœur des réflexions du Dr Denis </w:t>
      </w:r>
      <w:proofErr w:type="spellStart"/>
      <w:r w:rsidRPr="009A2E71">
        <w:t>Seudieu</w:t>
      </w:r>
      <w:proofErr w:type="spellEnd"/>
      <w:r w:rsidRPr="009A2E71">
        <w:t>, ancien économiste en chef de l’organisation internationale du café (OIC). Jadis premier producteur africain avec plus de 200 000 tonnes par an, la Côte d’Ivoire ne représente plus qu’environ 1% de la production mondiale, classée au 15</w:t>
      </w:r>
      <w:r w:rsidRPr="009A2E71">
        <w:rPr>
          <w:vertAlign w:val="superscript"/>
        </w:rPr>
        <w:t>ème</w:t>
      </w:r>
      <w:r w:rsidRPr="009A2E71">
        <w:t xml:space="preserve"> rang. Le déclin du secteur s’explique par la faible productivité, l’absence d’encadrement technique et le manque d’accès au financement. Les producteurs, souvent sans garanties foncières, peinent à obtenir des crédits, entraînant un entretien limité des plantations et une baisse de qualité. Le renforcement des coopératives agricoles et la relance coordonnée par le conseil du café et cacao (CCC) sont jugés essentiels pour bâtir une filière durable, fondée sur des revenus décents et la transformation locale.</w:t>
      </w:r>
    </w:p>
    <w:p w14:paraId="2431E86E" w14:textId="77777777" w:rsidR="00A36D94" w:rsidRDefault="00A36D94" w:rsidP="00A36D94">
      <w:pPr>
        <w:pStyle w:val="Titre2"/>
        <w:spacing w:before="0"/>
      </w:pPr>
    </w:p>
    <w:p w14:paraId="65F9B2E8" w14:textId="20B6E9BE" w:rsidR="00A36D94" w:rsidRPr="009A2E71" w:rsidRDefault="00A36D94" w:rsidP="00A36D94">
      <w:pPr>
        <w:pStyle w:val="Titre2"/>
        <w:spacing w:before="0"/>
      </w:pPr>
      <w:bookmarkStart w:id="82" w:name="_Toc213247386"/>
      <w:r w:rsidRPr="009A2E71">
        <w:t>Anacarde – Promotion de la pâte d’amande de cajou.</w:t>
      </w:r>
      <w:bookmarkEnd w:id="82"/>
    </w:p>
    <w:p w14:paraId="37515E60" w14:textId="77777777" w:rsidR="00A36D94" w:rsidRPr="009A2E71" w:rsidRDefault="00A36D94" w:rsidP="00A36D94">
      <w:pPr>
        <w:spacing w:after="0"/>
      </w:pPr>
      <w:r w:rsidRPr="009A2E71">
        <w:t>Le Conseil du Coton et de l’Anacarde a organisé les 29 et 30 septembre une caravane de promotion consacrée à la pâte d’amande de cajou, produit de la transformation locale. Déployée dans dix communes, cette initiative portée par la direction de la communication et du marketing visait à faire découvrir ce produit aux consommateurs et à encourager sa consommation. Plus de 1 500 gadgets et 1 000 pots de 100 g de pâte ont été distribués, suscitant un fort engouement auprès des commerçantes, considérées comme des actrices clés de la distribution et de la promotion des produits locaux. L’opération s’inscrit dans la stratégie de valorisation de la filière anacarde, de stimulation de la consommation nationale et d’appui à l’autonomisation des femmes commerçantes. Elle reflète l’ambition du Conseil de faire de la pâte d’amande de cajou un symbole du savoir-faire ivoirien et un levier durable de développement économique.</w:t>
      </w:r>
    </w:p>
    <w:p w14:paraId="38675DDA" w14:textId="77777777" w:rsidR="00A36D94" w:rsidRPr="009A2E71" w:rsidRDefault="00A36D94" w:rsidP="00A36D94">
      <w:pPr>
        <w:spacing w:after="0"/>
      </w:pPr>
    </w:p>
    <w:p w14:paraId="7088523A" w14:textId="1B8632F4" w:rsidR="00A36D94" w:rsidRPr="009A2E71" w:rsidRDefault="00A36D94" w:rsidP="00A36D94">
      <w:pPr>
        <w:pStyle w:val="Titre2"/>
        <w:spacing w:before="0"/>
      </w:pPr>
      <w:bookmarkStart w:id="83" w:name="_Toc213247387"/>
      <w:r w:rsidRPr="009A2E71">
        <w:t>Anacarde – 6</w:t>
      </w:r>
      <w:r w:rsidRPr="009A2E71">
        <w:rPr>
          <w:vertAlign w:val="superscript"/>
        </w:rPr>
        <w:t>ème</w:t>
      </w:r>
      <w:r w:rsidRPr="009A2E71">
        <w:t xml:space="preserve"> édition des Journées nationales des exportateurs de cajou (JNEC) prévue du 20 au 26 janvier 2026.</w:t>
      </w:r>
      <w:bookmarkEnd w:id="83"/>
    </w:p>
    <w:p w14:paraId="38C779B3" w14:textId="77777777" w:rsidR="00A36D94" w:rsidRPr="009A2E71" w:rsidRDefault="00A36D94" w:rsidP="00A36D94">
      <w:pPr>
        <w:spacing w:after="0"/>
      </w:pPr>
      <w:r w:rsidRPr="009A2E71">
        <w:t>L’association des exportateurs de cajou de Côte d’Ivoire (AEC-CI), présidée par N’</w:t>
      </w:r>
      <w:proofErr w:type="spellStart"/>
      <w:r w:rsidRPr="009A2E71">
        <w:t>guettia</w:t>
      </w:r>
      <w:proofErr w:type="spellEnd"/>
      <w:r w:rsidRPr="009A2E71">
        <w:t xml:space="preserve"> </w:t>
      </w:r>
      <w:proofErr w:type="spellStart"/>
      <w:r w:rsidRPr="009A2E71">
        <w:t>Assouman</w:t>
      </w:r>
      <w:proofErr w:type="spellEnd"/>
      <w:r w:rsidRPr="009A2E71">
        <w:t>, organisera du 20 au 22 janvier 2026 à Abidjan la sixième édition des JNEC sur le thème « Quelle politique d’exportation pour un meilleur revenu au producteur de noix de cajou et une transformation plus compétitive en Côte d’Ivoire ? ». L’événement, soutenu par le vice-président, M. Issa Konaté, vise à concilier les ambitions nationales de transformation avec la viabilité économique des exportateurs dans un contexte de rémunération faible des producteurs. Le programme prévoit quatre panels animés par des experts sur la qualité du produit, la transformation locale, le financement et la gouvernance institutionnelle, ainsi que des sessions dédiées aux femmes de la filière et des rencontres B to B. Créées il y a près de dix ans, les JNEC constituent un cadre stratégique de dialogue et un levier pour la compétitivité et la durabilité de la filière anacarde.</w:t>
      </w:r>
    </w:p>
    <w:p w14:paraId="542AB110" w14:textId="49B9EF29" w:rsidR="000445D1" w:rsidRDefault="000445D1" w:rsidP="006C1591">
      <w:pPr>
        <w:spacing w:after="0"/>
      </w:pPr>
    </w:p>
    <w:p w14:paraId="674990E6" w14:textId="5BD1A4E3" w:rsidR="007929F8" w:rsidRPr="009A2E71" w:rsidRDefault="007929F8" w:rsidP="007929F8">
      <w:pPr>
        <w:pStyle w:val="Titre2"/>
        <w:spacing w:before="0"/>
      </w:pPr>
      <w:bookmarkStart w:id="84" w:name="_Toc213247388"/>
      <w:r w:rsidRPr="009A2E71">
        <w:t xml:space="preserve">Sucre – La </w:t>
      </w:r>
      <w:r w:rsidR="00A0177C" w:rsidRPr="00A0177C">
        <w:t xml:space="preserve">société de sucrerie africaine de Côte d’Ivoire </w:t>
      </w:r>
      <w:r w:rsidR="00A0177C">
        <w:t>(</w:t>
      </w:r>
      <w:r w:rsidRPr="009A2E71">
        <w:t>SUCAF-CI</w:t>
      </w:r>
      <w:r w:rsidR="00A0177C">
        <w:t>)</w:t>
      </w:r>
      <w:r w:rsidRPr="009A2E71">
        <w:t xml:space="preserve"> plaide pour un nouveau contrat-plan.</w:t>
      </w:r>
      <w:bookmarkEnd w:id="84"/>
    </w:p>
    <w:p w14:paraId="7D18C4FE" w14:textId="28EF1573" w:rsidR="007929F8" w:rsidRDefault="007929F8" w:rsidP="006C1591">
      <w:pPr>
        <w:spacing w:after="0"/>
      </w:pPr>
      <w:r w:rsidRPr="009A2E71">
        <w:t xml:space="preserve">La SUCAF-CI a demandé la mise en place d’un nouveau contrat-plan entre l’État et l’industrie sucrière afin de soutenir ses projets d’expansion et de modernisation. L’appel a été formulé par le directeur général M. Anthony </w:t>
      </w:r>
      <w:proofErr w:type="spellStart"/>
      <w:r w:rsidRPr="009A2E71">
        <w:t>Ahiaba</w:t>
      </w:r>
      <w:proofErr w:type="spellEnd"/>
      <w:r w:rsidRPr="009A2E71">
        <w:t xml:space="preserve"> lors du lancement de </w:t>
      </w:r>
      <w:bookmarkStart w:id="85" w:name="_Hlk212913065"/>
      <w:r w:rsidRPr="009A2E71">
        <w:t xml:space="preserve">la campagne sucrière </w:t>
      </w:r>
      <w:bookmarkEnd w:id="85"/>
      <w:r w:rsidRPr="009A2E71">
        <w:t>2025-2026, présidée par le ministre d’État, ministre de l’agriculture, du développement rural et des productions vivr</w:t>
      </w:r>
      <w:r>
        <w:t>i</w:t>
      </w:r>
      <w:r w:rsidRPr="009A2E71">
        <w:t xml:space="preserve">ères, M. </w:t>
      </w:r>
      <w:proofErr w:type="spellStart"/>
      <w:r w:rsidRPr="009A2E71">
        <w:t>Kobenan</w:t>
      </w:r>
      <w:proofErr w:type="spellEnd"/>
      <w:r w:rsidRPr="009A2E71">
        <w:t xml:space="preserve"> Kouassi </w:t>
      </w:r>
      <w:proofErr w:type="spellStart"/>
      <w:r w:rsidRPr="009A2E71">
        <w:t>Adjoumani</w:t>
      </w:r>
      <w:proofErr w:type="spellEnd"/>
      <w:r>
        <w:t>,</w:t>
      </w:r>
      <w:r w:rsidRPr="009A2E71">
        <w:t xml:space="preserve"> la campagne sucrière vise 1,17 M de </w:t>
      </w:r>
      <w:r w:rsidRPr="009A2E71">
        <w:lastRenderedPageBreak/>
        <w:t>tonnes de cannes à sucre pour 120 000 tonnes de sucre. Le précédent contrat-plan 2021-2025, d’un montant global de 151 Md FCFA, dont 71,3 Md pour la SUCAF-CI et 79,7 Md pour S</w:t>
      </w:r>
      <w:r>
        <w:t>UCRIVOIRE</w:t>
      </w:r>
      <w:r w:rsidRPr="009A2E71">
        <w:t xml:space="preserve">, avait permis des avancées notables dans les domaines agricole et industriel, notamment l’amélioration des rendements, la modernisation des unités de transformation et la montée en qualité du sucre produit localement. En retour, l’État avait protégé le marché intérieur par une interdiction d’importation de sucre sur cinq ans et un dispositif de contrôle contre la fraude. La SUCAF-CI est engagée dans plusieurs investissements supplémentaires, terminant la construction de sa distillerie de </w:t>
      </w:r>
      <w:proofErr w:type="spellStart"/>
      <w:r w:rsidRPr="009A2E71">
        <w:t>Badikaha</w:t>
      </w:r>
      <w:proofErr w:type="spellEnd"/>
      <w:r w:rsidRPr="009A2E71">
        <w:t>, ainsi que la production de maïs et la modernisation du processus sucrier. L’entreprise estime qu’un nouveau contrat-plan offrirait la stabilité nécessaire pour renforcer la compétitivité du secteur, stimuler la production locale et consolider la sécurité alimentaire nationale.</w:t>
      </w:r>
    </w:p>
    <w:p w14:paraId="4DAAB412" w14:textId="31A79D8D" w:rsidR="007929F8" w:rsidRDefault="007929F8" w:rsidP="006C1591">
      <w:pPr>
        <w:spacing w:after="0"/>
      </w:pPr>
    </w:p>
    <w:p w14:paraId="2C470C92" w14:textId="77777777" w:rsidR="007929F8" w:rsidRPr="009A2E71" w:rsidRDefault="007929F8" w:rsidP="007929F8">
      <w:pPr>
        <w:pStyle w:val="Titre2"/>
        <w:spacing w:before="0"/>
      </w:pPr>
      <w:bookmarkStart w:id="86" w:name="_Toc213247389"/>
      <w:r w:rsidRPr="009A2E71">
        <w:t>Sucre – SUCAF-CI vise plus de 120 000 tonnes pour la campagne 2025-2026.</w:t>
      </w:r>
      <w:bookmarkEnd w:id="86"/>
    </w:p>
    <w:p w14:paraId="3CBA171A" w14:textId="77777777" w:rsidR="007929F8" w:rsidRPr="009A2E71" w:rsidRDefault="007929F8" w:rsidP="007929F8">
      <w:pPr>
        <w:spacing w:after="0"/>
      </w:pPr>
      <w:r w:rsidRPr="009A2E71">
        <w:t xml:space="preserve">La société des sucreries de </w:t>
      </w:r>
      <w:proofErr w:type="spellStart"/>
      <w:r w:rsidRPr="009A2E71">
        <w:t>Ferké</w:t>
      </w:r>
      <w:proofErr w:type="spellEnd"/>
      <w:r w:rsidRPr="009A2E71">
        <w:t xml:space="preserve"> 2, filiale du Groupe SUCAF-CI, ambitionne de produire plus de 120 000 tonnes de sucre à partir de 1,17 M tonnes de cannes pour la campagne 2025-2026Le directeur général du groupe, M. Anthony </w:t>
      </w:r>
      <w:proofErr w:type="spellStart"/>
      <w:r w:rsidRPr="009A2E71">
        <w:t>Ahiaho</w:t>
      </w:r>
      <w:proofErr w:type="spellEnd"/>
      <w:r w:rsidRPr="009A2E71">
        <w:t>, a salué la relance de la production et le soutien de l’État, exprimant l’espoir de dépasser les objectifs fixés. Après un recul enregistré en 2024, la société mise sur la mécanisation et la digitalisation pour améliorer les performances agricoles. Le contrat-plan signé avec le gouvernement, arrivant à échéance en décembre 2025, devrait être reconduit pour soutenir la compétitivité et préserver les emplois du secteur sucrier.</w:t>
      </w:r>
    </w:p>
    <w:p w14:paraId="0653F90D" w14:textId="77777777" w:rsidR="007929F8" w:rsidRDefault="007929F8" w:rsidP="006C1591">
      <w:pPr>
        <w:spacing w:after="0"/>
      </w:pPr>
    </w:p>
    <w:p w14:paraId="61B75D71" w14:textId="77777777" w:rsidR="007929F8" w:rsidRPr="009A2E71" w:rsidRDefault="007929F8" w:rsidP="007929F8">
      <w:pPr>
        <w:pStyle w:val="Titre2"/>
        <w:spacing w:before="0"/>
      </w:pPr>
      <w:bookmarkStart w:id="87" w:name="_Toc213247390"/>
      <w:r w:rsidRPr="009A2E71">
        <w:t xml:space="preserve">Sucre – La distillerie de </w:t>
      </w:r>
      <w:proofErr w:type="spellStart"/>
      <w:r w:rsidRPr="009A2E71">
        <w:t>Badikaha</w:t>
      </w:r>
      <w:proofErr w:type="spellEnd"/>
      <w:r w:rsidRPr="009A2E71">
        <w:t xml:space="preserve"> bientôt opérationnelle.</w:t>
      </w:r>
      <w:bookmarkEnd w:id="87"/>
    </w:p>
    <w:p w14:paraId="52889FAD" w14:textId="77777777" w:rsidR="007929F8" w:rsidRPr="009A2E71" w:rsidRDefault="007929F8" w:rsidP="007929F8">
      <w:pPr>
        <w:spacing w:after="0"/>
      </w:pPr>
      <w:r w:rsidRPr="009A2E71">
        <w:t xml:space="preserve">Les travaux de construction de la distillerie de </w:t>
      </w:r>
      <w:bookmarkStart w:id="88" w:name="_Hlk212912280"/>
      <w:r w:rsidRPr="009A2E71">
        <w:t xml:space="preserve">la société de sucrerie africaine de Côte d’Ivoire </w:t>
      </w:r>
      <w:bookmarkEnd w:id="88"/>
      <w:r w:rsidRPr="009A2E71">
        <w:t xml:space="preserve">(SUCAF-CI) à </w:t>
      </w:r>
      <w:proofErr w:type="spellStart"/>
      <w:r w:rsidRPr="009A2E71">
        <w:t>Badikaha</w:t>
      </w:r>
      <w:proofErr w:type="spellEnd"/>
      <w:r w:rsidRPr="009A2E71">
        <w:t xml:space="preserve">, dans la région du </w:t>
      </w:r>
      <w:proofErr w:type="spellStart"/>
      <w:r w:rsidRPr="009A2E71">
        <w:t>Hambol</w:t>
      </w:r>
      <w:proofErr w:type="spellEnd"/>
      <w:r w:rsidRPr="009A2E71">
        <w:t xml:space="preserve">, sont achevés à près de 90%. Ce projet industriel de 18 Md FCFA s’inscrit dans la stratégie de diversification et de valorisation des sous-produits de la canne à sucre engagée par la SUCAF-CI, filiale du groupe français société d’organisation, de management et de développement des industries alimentaires et agricoles (SOMDIAA). Édifiée sur un site de 2,3 ha, l’usine doit entrer en service en mars 2026 avec une capacité annuelle de 12 M de litres d’alcool extra-neutre (AEN) à 96%, destiné aux industriels locaux. Cette distillerie contribuera à réduire les importations, renforcer l’autosuffisance nationale et soutenir la compétitivité du secteur agro-industriel. Selon le directeur général M. Anthony </w:t>
      </w:r>
      <w:proofErr w:type="spellStart"/>
      <w:r w:rsidRPr="009A2E71">
        <w:t>Ahiaba</w:t>
      </w:r>
      <w:proofErr w:type="spellEnd"/>
      <w:r w:rsidRPr="009A2E71">
        <w:t>, le projet repose sur un modèle d’économie circulaire durable basé sur la réutilisation de la mélasse issue des sucreries et devrait générer une centaine d’emplois.</w:t>
      </w:r>
    </w:p>
    <w:p w14:paraId="73875D57" w14:textId="77777777" w:rsidR="007929F8" w:rsidRPr="009A2E71" w:rsidRDefault="007929F8" w:rsidP="006C1591">
      <w:pPr>
        <w:spacing w:after="0"/>
      </w:pPr>
    </w:p>
    <w:p w14:paraId="4C396A07" w14:textId="06897BB1" w:rsidR="00376710" w:rsidRPr="009A2E71" w:rsidRDefault="00A767BD" w:rsidP="006C1591">
      <w:pPr>
        <w:pStyle w:val="Titre2"/>
        <w:spacing w:before="0"/>
      </w:pPr>
      <w:bookmarkStart w:id="89" w:name="_Toc213247391"/>
      <w:r w:rsidRPr="009A2E71">
        <w:t xml:space="preserve">Sucre </w:t>
      </w:r>
      <w:r w:rsidR="00376710" w:rsidRPr="009A2E71">
        <w:t>– Construction d’une voie express pour les zones sucrières.</w:t>
      </w:r>
      <w:bookmarkEnd w:id="89"/>
    </w:p>
    <w:p w14:paraId="51A5610A" w14:textId="770C827C" w:rsidR="00376710" w:rsidRDefault="00376710" w:rsidP="006C1591">
      <w:pPr>
        <w:spacing w:after="0"/>
      </w:pPr>
      <w:r w:rsidRPr="009A2E71">
        <w:t xml:space="preserve">Une voie express de 50 km reliant </w:t>
      </w:r>
      <w:proofErr w:type="spellStart"/>
      <w:r w:rsidRPr="009A2E71">
        <w:t>Badikaha</w:t>
      </w:r>
      <w:proofErr w:type="spellEnd"/>
      <w:r w:rsidRPr="009A2E71">
        <w:t xml:space="preserve"> à </w:t>
      </w:r>
      <w:proofErr w:type="spellStart"/>
      <w:r w:rsidRPr="009A2E71">
        <w:t>Karakoro</w:t>
      </w:r>
      <w:proofErr w:type="spellEnd"/>
      <w:r w:rsidRPr="009A2E71">
        <w:t xml:space="preserve"> est en construction dans les régions du </w:t>
      </w:r>
      <w:proofErr w:type="spellStart"/>
      <w:r w:rsidRPr="009A2E71">
        <w:t>Hambol</w:t>
      </w:r>
      <w:proofErr w:type="spellEnd"/>
      <w:r w:rsidRPr="009A2E71">
        <w:t xml:space="preserve"> et du </w:t>
      </w:r>
      <w:proofErr w:type="spellStart"/>
      <w:r w:rsidRPr="009A2E71">
        <w:t>Poro</w:t>
      </w:r>
      <w:proofErr w:type="spellEnd"/>
      <w:r w:rsidRPr="009A2E71">
        <w:t xml:space="preserve"> afin de désenclaver les zones sucrières. Ce projet soutient notamment les activités de</w:t>
      </w:r>
      <w:r w:rsidR="00A767BD" w:rsidRPr="009A2E71">
        <w:t xml:space="preserve"> la société de sucrerie africaine de Côte d’Ivoire (</w:t>
      </w:r>
      <w:r w:rsidRPr="009A2E71">
        <w:t>SUCAF-CI</w:t>
      </w:r>
      <w:r w:rsidR="00A767BD" w:rsidRPr="009A2E71">
        <w:t>)</w:t>
      </w:r>
      <w:r w:rsidRPr="009A2E71">
        <w:t xml:space="preserve"> dont plusieurs sites sont situés à proximité du tracé. Les travaux se concentrent actuellement à </w:t>
      </w:r>
      <w:proofErr w:type="spellStart"/>
      <w:r w:rsidRPr="009A2E71">
        <w:t>Kouroukouna</w:t>
      </w:r>
      <w:proofErr w:type="spellEnd"/>
      <w:r w:rsidRPr="009A2E71">
        <w:t xml:space="preserve">, point de jonction stratégique vers le site 2 de la SUCAF-CI. La route, qui reliera la Nationale A3 à Korhogo en passant par la sous-préfecture de </w:t>
      </w:r>
      <w:proofErr w:type="spellStart"/>
      <w:r w:rsidRPr="009A2E71">
        <w:t>Karakoro</w:t>
      </w:r>
      <w:proofErr w:type="spellEnd"/>
      <w:r w:rsidRPr="009A2E71">
        <w:t>, facilitera l’accès à plusieurs localités isolées pendant la saison des pluies</w:t>
      </w:r>
      <w:r w:rsidR="00A767BD" w:rsidRPr="009A2E71">
        <w:t xml:space="preserve"> et </w:t>
      </w:r>
      <w:r w:rsidRPr="009A2E71">
        <w:t>contribuera à renforcer la compétitivité des filières agricoles et sucrières, tout en favorisant les échanges commerciaux entre le Centre et le Nord du pays. Ce chantier s’inscrit dans la stratégie nationale de modernisation du réseau routier et de dynamisation des pôles économiques régionaux.</w:t>
      </w:r>
    </w:p>
    <w:p w14:paraId="21C5182A" w14:textId="77777777" w:rsidR="00A36D94" w:rsidRPr="009A2E71" w:rsidRDefault="00A36D94" w:rsidP="00A36D94">
      <w:pPr>
        <w:pStyle w:val="Titre2"/>
        <w:spacing w:before="0"/>
      </w:pPr>
      <w:bookmarkStart w:id="90" w:name="_Toc213247392"/>
      <w:r w:rsidRPr="009A2E71">
        <w:lastRenderedPageBreak/>
        <w:t>Hévéa – L’Association des professionnels du caoutchouc naturel de Côte d’Ivoire (APROMAC) actualise son projet pour renforcer la compétitivité du secteur.</w:t>
      </w:r>
      <w:bookmarkEnd w:id="90"/>
    </w:p>
    <w:p w14:paraId="213CBE01" w14:textId="77777777" w:rsidR="00A36D94" w:rsidRPr="009A2E71" w:rsidRDefault="00A36D94" w:rsidP="00A36D94">
      <w:pPr>
        <w:spacing w:after="0"/>
      </w:pPr>
      <w:r w:rsidRPr="009A2E71">
        <w:t>Les acteurs de la filière hévéa se sont réunis du 23 au 25 septembre lors d’un atelier d’actualisation du 7</w:t>
      </w:r>
      <w:r w:rsidRPr="009A2E71">
        <w:rPr>
          <w:vertAlign w:val="superscript"/>
        </w:rPr>
        <w:t>ème</w:t>
      </w:r>
      <w:r w:rsidRPr="009A2E71">
        <w:t xml:space="preserve"> Projet Hévéa, élaboré entre 2010 et 2011 par le Bureau national d’études techniques et de développement (BNETD). Organisé par </w:t>
      </w:r>
      <w:bookmarkStart w:id="91" w:name="_Hlk211782842"/>
      <w:r w:rsidRPr="009A2E71">
        <w:t>l’</w:t>
      </w:r>
      <w:bookmarkEnd w:id="91"/>
      <w:r w:rsidRPr="009A2E71">
        <w:t xml:space="preserve">APROMAC, l’atelier visait à corriger le déséquilibre entre la production nationale et la capacité d’usinage, et à redéfinir les priorités du secteur. Les participants – producteurs, usiniers, chercheurs et partenaires techniques – ont identifié la compétitivité, la transformation industrielle, la durabilité environnementale et l’inclusion sociale comme axes majeurs. Le président du Conseil d’administration de l’APROMAC, M. Charles-Emmanuel </w:t>
      </w:r>
      <w:proofErr w:type="spellStart"/>
      <w:r w:rsidRPr="009A2E71">
        <w:t>Yacé</w:t>
      </w:r>
      <w:proofErr w:type="spellEnd"/>
      <w:r w:rsidRPr="009A2E71">
        <w:t xml:space="preserve">, a affirmé que le projet révisé constituera une boussole pour moderniser et rendre la filière plus durable, avec l’objectif de replanter 500 000 ha d’hévéa d’ici 2036. Créée en 1975 et devenue Organisation interprofessionnelle agricole en 2020, l’APROMAC joue un rôle central dans la régulation et la promotion de la filière </w:t>
      </w:r>
      <w:proofErr w:type="spellStart"/>
      <w:r w:rsidRPr="009A2E71">
        <w:t>hévéicole</w:t>
      </w:r>
      <w:proofErr w:type="spellEnd"/>
      <w:r w:rsidRPr="009A2E71">
        <w:t>.</w:t>
      </w:r>
    </w:p>
    <w:p w14:paraId="3251EF6D" w14:textId="2A11804D" w:rsidR="00A36D94" w:rsidRDefault="00A36D94" w:rsidP="00A36D94">
      <w:pPr>
        <w:spacing w:after="0"/>
      </w:pPr>
    </w:p>
    <w:p w14:paraId="5D675237" w14:textId="77777777" w:rsidR="00A36D94" w:rsidRPr="009A2E71" w:rsidRDefault="00A36D94" w:rsidP="00A36D94">
      <w:pPr>
        <w:pStyle w:val="Titre2"/>
        <w:spacing w:before="0"/>
      </w:pPr>
      <w:bookmarkStart w:id="92" w:name="_Toc213247393"/>
      <w:r w:rsidRPr="009A2E71">
        <w:t>Hévéa – Le marché asiatique, principale destination du caoutchouc naturel ivoirien.</w:t>
      </w:r>
      <w:bookmarkEnd w:id="92"/>
    </w:p>
    <w:p w14:paraId="5FC9E916" w14:textId="77777777" w:rsidR="00A36D94" w:rsidRPr="009A2E71" w:rsidRDefault="00A36D94" w:rsidP="00A36D94">
      <w:pPr>
        <w:spacing w:after="0"/>
      </w:pPr>
      <w:r w:rsidRPr="009A2E71">
        <w:t xml:space="preserve">La Côte d’Ivoire, troisième producteur mondial et premier d’Afrique, exporte l’essentiel de son caoutchouc naturel vers l’Asie, notamment la Chine, la Corée du Sud et la Malaisie, qui concentrent près de 89% de la transformation mondiale. Le latex, récolté dans les plantations d’hévéa, est transformé selon la norme internationalement reconnue TSR 10 avant d’être expédié depuis Abidjan ou </w:t>
      </w:r>
      <w:proofErr w:type="spellStart"/>
      <w:r w:rsidRPr="009A2E71">
        <w:t>San-Pédro</w:t>
      </w:r>
      <w:proofErr w:type="spellEnd"/>
      <w:r w:rsidRPr="009A2E71">
        <w:t xml:space="preserve">. Mainland Group, l’un des principaux acteurs du secteur, exploite cinq usines réparties sur le territoire pour une capacité totale de 480 000 tonnes par an, soit environ 30% de la capacité nationale. Ce groupe mise sur la qualité du caoutchouc ivoirien, dont le taux d’impuretés, compris entre 0,02 et 0,03%, est inférieur aux standards exigés. L’entreprise met également l’accent sur la durabilité à travers un suivi </w:t>
      </w:r>
      <w:proofErr w:type="gramStart"/>
      <w:r w:rsidRPr="009A2E71">
        <w:t>qualité rigoureux</w:t>
      </w:r>
      <w:proofErr w:type="gramEnd"/>
      <w:r w:rsidRPr="009A2E71">
        <w:t>, des stations de traitement des eaux usées et des actions sociales dans les zones de production. Dans un marché dominé par les bourses de Singapour et de Tokyo, le groupe diversifie ses débouchés vers l’Europe et l’Amérique, tout en soutenant la stratégie nationale de montée en gamme industrielle et de transformation locale de la filière.</w:t>
      </w:r>
    </w:p>
    <w:p w14:paraId="7C73C46A" w14:textId="77777777" w:rsidR="00A36D94" w:rsidRPr="009A2E71" w:rsidRDefault="00A36D94" w:rsidP="00A36D94">
      <w:pPr>
        <w:spacing w:after="0"/>
      </w:pPr>
    </w:p>
    <w:p w14:paraId="0C5AF1E2" w14:textId="77777777" w:rsidR="00A36D94" w:rsidRPr="009A2E71" w:rsidRDefault="00A36D94" w:rsidP="00A36D94">
      <w:pPr>
        <w:pStyle w:val="Titre2"/>
        <w:spacing w:before="0"/>
      </w:pPr>
      <w:bookmarkStart w:id="93" w:name="_Toc213247394"/>
      <w:r w:rsidRPr="009A2E71">
        <w:t xml:space="preserve">Hévéa – </w:t>
      </w:r>
      <w:proofErr w:type="spellStart"/>
      <w:r w:rsidRPr="009A2E71">
        <w:t>Olam</w:t>
      </w:r>
      <w:proofErr w:type="spellEnd"/>
      <w:r w:rsidRPr="009A2E71">
        <w:t xml:space="preserve"> Agri récompense près de 200 planteurs et coopératives lors de la 15</w:t>
      </w:r>
      <w:r w:rsidRPr="009A2E71">
        <w:rPr>
          <w:rFonts w:ascii="Courier New" w:hAnsi="Courier New" w:cs="Courier New"/>
        </w:rPr>
        <w:t>ᵉ</w:t>
      </w:r>
      <w:r w:rsidRPr="009A2E71">
        <w:t xml:space="preserve"> édition du programme </w:t>
      </w:r>
      <w:proofErr w:type="spellStart"/>
      <w:r w:rsidRPr="009A2E71">
        <w:t>Gouassou</w:t>
      </w:r>
      <w:proofErr w:type="spellEnd"/>
      <w:r w:rsidRPr="009A2E71">
        <w:t>.</w:t>
      </w:r>
      <w:bookmarkEnd w:id="93"/>
    </w:p>
    <w:p w14:paraId="17FE10F1" w14:textId="77777777" w:rsidR="00A36D94" w:rsidRPr="009A2E71" w:rsidRDefault="00A36D94" w:rsidP="00A36D94">
      <w:pPr>
        <w:spacing w:after="0"/>
      </w:pPr>
      <w:r w:rsidRPr="009A2E71">
        <w:t xml:space="preserve">Les 7 et 9 octobre, </w:t>
      </w:r>
      <w:proofErr w:type="spellStart"/>
      <w:r w:rsidRPr="009A2E71">
        <w:t>Olam</w:t>
      </w:r>
      <w:proofErr w:type="spellEnd"/>
      <w:r w:rsidRPr="009A2E71">
        <w:t xml:space="preserve"> Agri </w:t>
      </w:r>
      <w:proofErr w:type="spellStart"/>
      <w:r w:rsidRPr="009A2E71">
        <w:t>Rubber</w:t>
      </w:r>
      <w:proofErr w:type="spellEnd"/>
      <w:r w:rsidRPr="009A2E71">
        <w:t xml:space="preserve"> Côte d’Ivoire a distingué 198 planteurs et coopératives d’hévéa dans le cadre de la 15</w:t>
      </w:r>
      <w:r w:rsidRPr="009A2E71">
        <w:rPr>
          <w:vertAlign w:val="superscript"/>
        </w:rPr>
        <w:t>ème</w:t>
      </w:r>
      <w:r w:rsidRPr="009A2E71">
        <w:t xml:space="preserve"> édition du programme «</w:t>
      </w:r>
      <w:r w:rsidRPr="009A2E71">
        <w:rPr>
          <w:rFonts w:ascii="Calibri" w:hAnsi="Calibri" w:cs="Calibri"/>
        </w:rPr>
        <w:t> </w:t>
      </w:r>
      <w:proofErr w:type="spellStart"/>
      <w:r w:rsidRPr="009A2E71">
        <w:t>Gouassou</w:t>
      </w:r>
      <w:proofErr w:type="spellEnd"/>
      <w:r w:rsidRPr="009A2E71">
        <w:rPr>
          <w:rFonts w:ascii="Calibri" w:hAnsi="Calibri" w:cs="Calibri"/>
        </w:rPr>
        <w:t> </w:t>
      </w:r>
      <w:r w:rsidRPr="009A2E71">
        <w:rPr>
          <w:rFonts w:cs="Marianne"/>
        </w:rPr>
        <w:t>»</w:t>
      </w:r>
      <w:r w:rsidRPr="009A2E71">
        <w:t>, une initiative lancée en 2017 pour valoriser la performance, la fidélité et la qualité des productions de caoutchouc naturel. 13,9 M FCFA ont été distribués, accompagnés de 2 313 kits scolaires, 2 714 sacs, 21 motos, 23 ordinateurs et 36 smartphones. Selon M. Kouakou Moïse, directeur du développement des affaires d’</w:t>
      </w:r>
      <w:proofErr w:type="spellStart"/>
      <w:r w:rsidRPr="009A2E71">
        <w:t>Olam</w:t>
      </w:r>
      <w:proofErr w:type="spellEnd"/>
      <w:r w:rsidRPr="009A2E71">
        <w:t xml:space="preserve"> Agri </w:t>
      </w:r>
      <w:proofErr w:type="spellStart"/>
      <w:r w:rsidRPr="009A2E71">
        <w:t>Rubber</w:t>
      </w:r>
      <w:proofErr w:type="spellEnd"/>
      <w:r w:rsidRPr="009A2E71">
        <w:t xml:space="preserve"> CI, le programme soutient les producteurs pendant les périodes critiques de l’intersaison et de la rentrée scolaire, tout en renforçant la cohésion communautaire. Depuis sa création, ce programme a permis la distribution de plus de 15 000 kits scolaires, l’équipement de 50 000 ha en outils de saignée, le transport de 300 000 tonnes de caoutchouc naturel et le versement de plus de 70 M FCFA en appuis directs. </w:t>
      </w:r>
    </w:p>
    <w:p w14:paraId="08DCBCFA" w14:textId="77777777" w:rsidR="00A36D94" w:rsidRPr="009A2E71" w:rsidRDefault="00A36D94" w:rsidP="00A36D94">
      <w:pPr>
        <w:spacing w:after="0"/>
      </w:pPr>
    </w:p>
    <w:p w14:paraId="174A8AFB" w14:textId="77777777" w:rsidR="00A36D94" w:rsidRPr="009A2E71" w:rsidRDefault="00A36D94" w:rsidP="00A36D94">
      <w:pPr>
        <w:pStyle w:val="Titre2"/>
        <w:spacing w:before="0"/>
      </w:pPr>
      <w:bookmarkStart w:id="94" w:name="_Toc213247395"/>
      <w:r w:rsidRPr="009A2E71">
        <w:t>Palmier à huile – Stratégie décennale 245,9 Md FCFA validée.</w:t>
      </w:r>
      <w:bookmarkEnd w:id="94"/>
    </w:p>
    <w:p w14:paraId="21C26F97" w14:textId="77777777" w:rsidR="00A36D94" w:rsidRPr="009A2E71" w:rsidRDefault="00A36D94" w:rsidP="00A36D94">
      <w:pPr>
        <w:spacing w:after="0"/>
      </w:pPr>
      <w:r w:rsidRPr="009A2E71">
        <w:t>La Côte d’Ivoire est le 2</w:t>
      </w:r>
      <w:r w:rsidRPr="009A2E71">
        <w:rPr>
          <w:vertAlign w:val="superscript"/>
        </w:rPr>
        <w:t>ème</w:t>
      </w:r>
      <w:r w:rsidRPr="009A2E71">
        <w:t xml:space="preserve"> producteur africain d’huile de palme brute derrière le Nigeria, mais le 1</w:t>
      </w:r>
      <w:r w:rsidRPr="009A2E71">
        <w:rPr>
          <w:vertAlign w:val="superscript"/>
        </w:rPr>
        <w:t>er</w:t>
      </w:r>
      <w:r w:rsidRPr="009A2E71">
        <w:t xml:space="preserve"> exportateur du continent. Le pays exporte près de 25% de sa production vers le Mali, le Burkina Faso, le Niger, le Ghana et le Nigeria. Selon le Département américain de l’Agriculture </w:t>
      </w:r>
      <w:r w:rsidRPr="009A2E71">
        <w:lastRenderedPageBreak/>
        <w:t>(USDA), la production s’est établie en moyenne à 573 000 tonnes par an entre 2021 et 2024. Le dernier rapport de l’USDA indique que les huileries disposent d’une capacité d’absorption estimée à 152% du potentiel de production actuel, révélant un déficit de régimes de palme de 52%, ce qui a conduit le CHPC, depuis le 3 juin, à suspendre les nouvelles autorisations d’installation ou d’extension des unités de première transformation. Pour renforcer ce leadership, la filière mise notamment sur le renforcement de sa compétitivité régionale. Aussi, le ministère de l’agriculture a validé début octobre une stratégie décennale de 245,9 Md FCFA pour redynamiser la filière palmier à huile, financée par le Conseil Hévéa-Palmier à Huile-Coco (CHPC) et élaborée par le Bureau national d’études techniques et de développement (BNETD). La feuille de route vise une filière performante et durable dans un secteur qui mobilise plus de 220 000 emplois et 45 000 exploitants, sur 350 000 ha de plantations pour une production annuelle d’environ 500 000 tonnes d’huile de palme brute, positionnant le pays comme deuxième producteur africain et septième mondial. Le diagnostic met en avant des vergers vieillissants, une productivité villageoise faible, des contraintes foncières et un accès limité à des financements adaptés, dans un contexte de concurrence des huiles asiatiques et d’exigences accrues de durabilité et de traçabilité. Le principal axe de la prévoit que plus de 60% des investissements soient destinés à la restructuration et à la replantation des vergers villageois, tandis que les autres axes portent sur la compétitivité commerciale, la durabilité environnementale et la mise en place de mécanismes de financement adaptés. Le ministère appelle à une forte synergie public-privé, aucune précision n’ayant été fournie à ce stade sur les modalités concrètes de mobilisation des ressources financières.</w:t>
      </w:r>
    </w:p>
    <w:p w14:paraId="4A7CF86F" w14:textId="77777777" w:rsidR="00A767BD" w:rsidRPr="009A2E71" w:rsidRDefault="00A767BD" w:rsidP="006C1591">
      <w:pPr>
        <w:spacing w:after="0"/>
      </w:pPr>
    </w:p>
    <w:p w14:paraId="223F9C99" w14:textId="52146F98" w:rsidR="00817A49" w:rsidRPr="009A2E71" w:rsidRDefault="00817A49" w:rsidP="006C1591">
      <w:pPr>
        <w:pStyle w:val="Titre2"/>
        <w:spacing w:before="0"/>
      </w:pPr>
      <w:bookmarkStart w:id="95" w:name="_Toc213247396"/>
      <w:r w:rsidRPr="009A2E71">
        <w:t>Riz – L’irrigation est nécessaire pour atteindre l’autosuffisance.</w:t>
      </w:r>
      <w:bookmarkEnd w:id="95"/>
    </w:p>
    <w:p w14:paraId="337F4CE9" w14:textId="438BA53E" w:rsidR="00817A49" w:rsidRDefault="00817A49" w:rsidP="006C1591">
      <w:pPr>
        <w:spacing w:after="0"/>
      </w:pPr>
      <w:r w:rsidRPr="009A2E71">
        <w:t>La Côte d’Ivoire vise l’autosuffisance en riz, avec une production prévue de 1,8 M de tonnes de riz blanchi en 2025 selon l’agence ivoirienne de développement de la filière rizicole (</w:t>
      </w:r>
      <w:proofErr w:type="spellStart"/>
      <w:r w:rsidRPr="009A2E71">
        <w:t>Aderiz</w:t>
      </w:r>
      <w:proofErr w:type="spellEnd"/>
      <w:r w:rsidRPr="009A2E71">
        <w:t>), soit 85% de la demande nationale. Mais seuls 3% des rizières sont irriguées. À M’</w:t>
      </w:r>
      <w:proofErr w:type="spellStart"/>
      <w:r w:rsidRPr="009A2E71">
        <w:t>Bahiakro</w:t>
      </w:r>
      <w:proofErr w:type="spellEnd"/>
      <w:r w:rsidRPr="009A2E71">
        <w:t xml:space="preserve">, où 450 ha sont aménagés, la coopérative </w:t>
      </w:r>
      <w:proofErr w:type="spellStart"/>
      <w:r w:rsidRPr="009A2E71">
        <w:t>Ayué</w:t>
      </w:r>
      <w:proofErr w:type="spellEnd"/>
      <w:r w:rsidRPr="009A2E71">
        <w:t xml:space="preserve"> N’</w:t>
      </w:r>
      <w:proofErr w:type="spellStart"/>
      <w:r w:rsidRPr="009A2E71">
        <w:t>zi</w:t>
      </w:r>
      <w:proofErr w:type="spellEnd"/>
      <w:r w:rsidRPr="009A2E71">
        <w:t xml:space="preserve"> n’exploite que la moitié des surfaces, la production atteignant 80 tonnes en 2024, trente fois moins que le potentiel si l’irrigation fonctionnait. Les coûts de pompage, estimés à 40 000 FCFA par ha, limitent son usage. L’</w:t>
      </w:r>
      <w:proofErr w:type="spellStart"/>
      <w:r w:rsidRPr="009A2E71">
        <w:t>Aderiz</w:t>
      </w:r>
      <w:proofErr w:type="spellEnd"/>
      <w:r w:rsidRPr="009A2E71">
        <w:t xml:space="preserve"> plaide pour des prises d’eau simples et légères le long des rivières, dont le coût par </w:t>
      </w:r>
      <w:r w:rsidR="00473FD2" w:rsidRPr="009A2E71">
        <w:t>ha</w:t>
      </w:r>
      <w:r w:rsidRPr="009A2E71">
        <w:t xml:space="preserve"> varie entre 800 000 et 2 M FCFA, contre 35 M FCFA pour un aménagement par barrage. Les producteurs espèrent ces solutions pour réduire la dépendance aux importations, évaluées à 1,6 M de tonnes en 2024.</w:t>
      </w:r>
    </w:p>
    <w:p w14:paraId="5F4F1EE0" w14:textId="15EC182C" w:rsidR="007929F8" w:rsidRDefault="007929F8" w:rsidP="006C1591">
      <w:pPr>
        <w:spacing w:after="0"/>
      </w:pPr>
    </w:p>
    <w:p w14:paraId="634B6A44" w14:textId="77777777" w:rsidR="007929F8" w:rsidRPr="009A2E71" w:rsidRDefault="007929F8" w:rsidP="007929F8">
      <w:pPr>
        <w:pStyle w:val="Titre2"/>
        <w:spacing w:before="0"/>
      </w:pPr>
      <w:bookmarkStart w:id="96" w:name="_Toc213247397"/>
      <w:r w:rsidRPr="009A2E71">
        <w:t>Interprofession – Bamba Mamadou élu à la tête de l’interprofession de l’oignon, de la mangue et du karité.</w:t>
      </w:r>
      <w:bookmarkEnd w:id="96"/>
    </w:p>
    <w:p w14:paraId="5F38AC3D" w14:textId="77777777" w:rsidR="007929F8" w:rsidRPr="009A2E71" w:rsidRDefault="007929F8" w:rsidP="007929F8">
      <w:pPr>
        <w:spacing w:after="0"/>
      </w:pPr>
      <w:r w:rsidRPr="009A2E71">
        <w:t>Les transformateurs et exportateurs de l’oignon, de la mangue et du karité ont désigné M. Bamba Mamadou comme président de leur interprofession, lors d’une rencontre tenue le 22 octobre à Bouaké par la fédération nationale des transformateurs et exportateurs de ces produits (</w:t>
      </w:r>
      <w:proofErr w:type="spellStart"/>
      <w:r w:rsidRPr="009A2E71">
        <w:t>Fenatramab</w:t>
      </w:r>
      <w:proofErr w:type="spellEnd"/>
      <w:r w:rsidRPr="009A2E71">
        <w:t>-Ci). Ce choix consensuel intervient dans un contexte de défis liés à la structuration des filières et à la recherche de nouveaux débouchés. Le nouveau président a promis de renforcer la cohésion entre les acteurs, de moderniser la transformation locale et d’améliorer les revenus des producteurs. Il entend également renforcer les capacités techniques des membres et développer des partenariats avec les acteurs publics et privés pour accroître la compétitivité du secteur.</w:t>
      </w:r>
    </w:p>
    <w:p w14:paraId="3EC55B7F" w14:textId="3BC02BFD" w:rsidR="006002B4" w:rsidRDefault="006002B4" w:rsidP="006C1591">
      <w:pPr>
        <w:spacing w:after="0"/>
      </w:pPr>
    </w:p>
    <w:p w14:paraId="773AE343" w14:textId="76C78988" w:rsidR="00D65491" w:rsidRPr="009A2E71" w:rsidRDefault="00D65491" w:rsidP="006C1591">
      <w:pPr>
        <w:pStyle w:val="Titre2"/>
        <w:spacing w:before="0"/>
      </w:pPr>
      <w:bookmarkStart w:id="97" w:name="_Toc213247398"/>
      <w:r w:rsidRPr="009A2E71">
        <w:lastRenderedPageBreak/>
        <w:t xml:space="preserve">Gouvernance – </w:t>
      </w:r>
      <w:r w:rsidR="006003FA">
        <w:t>Lancement du p</w:t>
      </w:r>
      <w:r w:rsidRPr="009A2E71">
        <w:t>rocessus de la nouvelle Chambre d’agriculture.</w:t>
      </w:r>
      <w:bookmarkEnd w:id="97"/>
    </w:p>
    <w:p w14:paraId="2815B2ED" w14:textId="31E7BE1C" w:rsidR="00D65491" w:rsidRPr="009A2E71" w:rsidRDefault="00260F8D" w:rsidP="006C1591">
      <w:pPr>
        <w:spacing w:after="0"/>
      </w:pPr>
      <w:r w:rsidRPr="009A2E71">
        <w:t>L</w:t>
      </w:r>
      <w:r w:rsidR="00D65491" w:rsidRPr="009A2E71">
        <w:t>e ministre d’État</w:t>
      </w:r>
      <w:r w:rsidRPr="009A2E71">
        <w:t xml:space="preserve">, </w:t>
      </w:r>
      <w:bookmarkStart w:id="98" w:name="_Hlk212912871"/>
      <w:r w:rsidRPr="009A2E71">
        <w:t>ministre de l’agriculture, du développement rural et des productions vivr</w:t>
      </w:r>
      <w:r w:rsidR="006003FA">
        <w:t>i</w:t>
      </w:r>
      <w:r w:rsidRPr="009A2E71">
        <w:t>ères,</w:t>
      </w:r>
      <w:r w:rsidR="00D65491" w:rsidRPr="009A2E71">
        <w:t xml:space="preserve"> </w:t>
      </w:r>
      <w:r w:rsidR="00A346D7" w:rsidRPr="009A2E71">
        <w:t xml:space="preserve">M. </w:t>
      </w:r>
      <w:proofErr w:type="spellStart"/>
      <w:r w:rsidR="00D65491" w:rsidRPr="009A2E71">
        <w:t>Kobenan</w:t>
      </w:r>
      <w:proofErr w:type="spellEnd"/>
      <w:r w:rsidR="00D65491" w:rsidRPr="009A2E71">
        <w:t xml:space="preserve"> Kouassi </w:t>
      </w:r>
      <w:bookmarkEnd w:id="98"/>
      <w:proofErr w:type="spellStart"/>
      <w:r w:rsidR="00D65491" w:rsidRPr="009A2E71">
        <w:t>Adjoumani</w:t>
      </w:r>
      <w:proofErr w:type="spellEnd"/>
      <w:r w:rsidR="00D65491" w:rsidRPr="009A2E71">
        <w:t xml:space="preserve"> a lancé le </w:t>
      </w:r>
      <w:r w:rsidRPr="009A2E71">
        <w:t xml:space="preserve">7 octobre </w:t>
      </w:r>
      <w:r w:rsidR="00D65491" w:rsidRPr="009A2E71">
        <w:t xml:space="preserve">processus de mise en place de la nouvelle Chambre d’agriculture, présentée comme un instrument institutionnel au service de la gouvernance du monde rural. Le ministre a rappelé la période difficile 2000-2010 marquée par la baisse des productions, la chute des revenus, l’insécurité alimentaire et la montée de la pauvreté, puis les progrès enregistrés grâce au Programme national d’investissement agricole (PNIA). En 2024, la production a doublé par rapport à 2011 pour le riz, le manioc et le maïs, elle a crû de plus de 50% pour la banane plantain et de 30 à 40% pour d’autres cultures vivrières. La Chambre devra assurer représentation, concertation, orientation, plaidoyer et appui au développement, avec une meilleure représentativité et une adaptation aux exigences de compétitivité, de durabilité, du foncier, de la sécurité alimentaire et du changement climatique. La relance institutionnelle a été saluée par la Chambre nationale d’agriculture, dont le représentant </w:t>
      </w:r>
      <w:r w:rsidR="00A346D7" w:rsidRPr="009A2E71">
        <w:t xml:space="preserve">M. </w:t>
      </w:r>
      <w:r w:rsidR="00D65491" w:rsidRPr="009A2E71">
        <w:t xml:space="preserve">Bamba Sindou a rappelé les efforts engagés depuis 2001 en matière d’assainissement financier, de réforme des textes et de mobilisation des acteurs, tout en annonçant les prochaines étapes de constitution de la nouvelle Assemblée. </w:t>
      </w:r>
    </w:p>
    <w:p w14:paraId="73C29DE6" w14:textId="7FAE7E7E" w:rsidR="006B60B2" w:rsidRPr="009A2E71" w:rsidRDefault="006B60B2" w:rsidP="006C1591">
      <w:pPr>
        <w:spacing w:after="0"/>
      </w:pPr>
    </w:p>
    <w:p w14:paraId="5F98B9F2" w14:textId="7716B018" w:rsidR="00D65491" w:rsidRPr="009A2E71" w:rsidRDefault="00D65491" w:rsidP="006C1591">
      <w:pPr>
        <w:pStyle w:val="Titre2"/>
        <w:spacing w:before="0"/>
      </w:pPr>
      <w:bookmarkStart w:id="99" w:name="_Toc213247399"/>
      <w:r w:rsidRPr="009A2E71">
        <w:t xml:space="preserve">Elevage – Protocole avec </w:t>
      </w:r>
      <w:proofErr w:type="spellStart"/>
      <w:r w:rsidRPr="009A2E71">
        <w:t>Vet’Tronic</w:t>
      </w:r>
      <w:proofErr w:type="spellEnd"/>
      <w:r w:rsidR="00AF1746" w:rsidRPr="009A2E71">
        <w:t xml:space="preserve"> pour un projet pilote d’identification et d’enregistrement des animaux de rente et de compagnie</w:t>
      </w:r>
      <w:r w:rsidRPr="009A2E71">
        <w:t>.</w:t>
      </w:r>
      <w:bookmarkEnd w:id="99"/>
    </w:p>
    <w:p w14:paraId="012270BB" w14:textId="54B8A0CC" w:rsidR="00D65491" w:rsidRPr="009A2E71" w:rsidRDefault="00D65491" w:rsidP="006C1591">
      <w:pPr>
        <w:spacing w:after="0"/>
      </w:pPr>
      <w:r w:rsidRPr="009A2E71">
        <w:t xml:space="preserve">Le ministère des </w:t>
      </w:r>
      <w:r w:rsidR="00AF1746" w:rsidRPr="009A2E71">
        <w:t>r</w:t>
      </w:r>
      <w:r w:rsidRPr="009A2E71">
        <w:t xml:space="preserve">essources animales et halieutiques a signé </w:t>
      </w:r>
      <w:r w:rsidR="00EB7A0B" w:rsidRPr="009A2E71">
        <w:t xml:space="preserve">le 29 septembre, </w:t>
      </w:r>
      <w:r w:rsidRPr="009A2E71">
        <w:t xml:space="preserve">un protocole d’accord avec l’entreprise française </w:t>
      </w:r>
      <w:proofErr w:type="spellStart"/>
      <w:r w:rsidRPr="009A2E71">
        <w:t>Vet’Tronic</w:t>
      </w:r>
      <w:proofErr w:type="spellEnd"/>
      <w:r w:rsidRPr="009A2E71">
        <w:t xml:space="preserve">, spécialisée dans l’identification électronique par puces, afin de cadrer </w:t>
      </w:r>
      <w:bookmarkStart w:id="100" w:name="_Hlk211205985"/>
      <w:r w:rsidRPr="009A2E71">
        <w:t>un projet pilote d’identification et d’enregistrement des animaux de rente et de compagnie</w:t>
      </w:r>
      <w:bookmarkEnd w:id="100"/>
      <w:r w:rsidRPr="009A2E71">
        <w:t xml:space="preserve">. L’initiative vise à renforcer la gestion du secteur par un meilleur contrôle sanitaire, l’identification étant une obligation légale qui permet de reconnaître le propriétaire et d’établir un lien formel, d’assurer la traçabilité, de suivre la santé des animaux, de renforcer la sécurité des populations, de protéger l’environnement et de mieux encadrer les pratiques commerciales et les importations. Les modalités de démarrage et la durée de la phase pilote seront précisées ultérieurement. Le projet doit contribuer à une gestion intelligente, préventive et réactive de la santé animale pour limiter les pertes économiques et accroître la résilience face aux épizooties. Entre 2015 et 2023, le pays a connu cinq épizooties de peste porcine africaine (PPA) pour des pertes directes estimées à 9,2 Md FCFA. En avril 2024, un foyer de PPA déclaré dans le département de Daloa, </w:t>
      </w:r>
      <w:r w:rsidR="00092284" w:rsidRPr="009A2E71">
        <w:t xml:space="preserve">avait entraîné l’abattage de </w:t>
      </w:r>
      <w:r w:rsidRPr="009A2E71">
        <w:t xml:space="preserve">plus de 100 000 porcs et </w:t>
      </w:r>
      <w:r w:rsidR="00092284" w:rsidRPr="009A2E71">
        <w:t>d</w:t>
      </w:r>
      <w:r w:rsidRPr="009A2E71">
        <w:t>es pertes financières estimées à 20 Md FCFA.</w:t>
      </w:r>
    </w:p>
    <w:p w14:paraId="4ECAA2C3" w14:textId="77777777" w:rsidR="00FD705E" w:rsidRPr="009A2E71" w:rsidRDefault="00FD705E" w:rsidP="006C1591">
      <w:pPr>
        <w:spacing w:after="0"/>
      </w:pPr>
    </w:p>
    <w:p w14:paraId="5FC75C5A" w14:textId="62E6DFC8" w:rsidR="006C07BA" w:rsidRPr="009A2E71" w:rsidRDefault="006C07BA" w:rsidP="006C1591">
      <w:pPr>
        <w:pStyle w:val="Titre2"/>
        <w:spacing w:before="0"/>
      </w:pPr>
      <w:bookmarkStart w:id="101" w:name="_Toc213247400"/>
      <w:r w:rsidRPr="009A2E71">
        <w:t xml:space="preserve">Porc – Financement de 50 M FCFA à la </w:t>
      </w:r>
      <w:r w:rsidR="00E80AE2" w:rsidRPr="009A2E71">
        <w:t>Société ivoirienne d’abattage et de charcuterie (</w:t>
      </w:r>
      <w:r w:rsidRPr="009A2E71">
        <w:t>SIVAC</w:t>
      </w:r>
      <w:r w:rsidR="00E80AE2" w:rsidRPr="009A2E71">
        <w:t>)</w:t>
      </w:r>
      <w:r w:rsidRPr="009A2E71">
        <w:t>.</w:t>
      </w:r>
      <w:bookmarkEnd w:id="101"/>
    </w:p>
    <w:p w14:paraId="1C5994F0" w14:textId="587528FB" w:rsidR="006C07BA" w:rsidRPr="009A2E71" w:rsidRDefault="006C07BA" w:rsidP="006C1591">
      <w:pPr>
        <w:spacing w:after="0"/>
      </w:pPr>
      <w:r w:rsidRPr="009A2E71">
        <w:t xml:space="preserve">La Société de développement des ressources animales et halieutiques (SODERA) a accordé </w:t>
      </w:r>
      <w:r w:rsidR="00E80AE2" w:rsidRPr="009A2E71">
        <w:t xml:space="preserve">le 2 octobre </w:t>
      </w:r>
      <w:r w:rsidRPr="009A2E71">
        <w:t>un appui de 50 M FCFA à la SIVAC</w:t>
      </w:r>
      <w:r w:rsidR="00E80AE2" w:rsidRPr="009A2E71">
        <w:t>.</w:t>
      </w:r>
      <w:r w:rsidR="00C41E54" w:rsidRPr="009A2E71">
        <w:t xml:space="preserve"> </w:t>
      </w:r>
      <w:r w:rsidR="00E80AE2" w:rsidRPr="009A2E71">
        <w:t xml:space="preserve">Le </w:t>
      </w:r>
      <w:r w:rsidRPr="009A2E71">
        <w:t>président du conseil d’administration</w:t>
      </w:r>
      <w:r w:rsidR="00E80AE2" w:rsidRPr="009A2E71">
        <w:t xml:space="preserve"> de la SIVAC,</w:t>
      </w:r>
      <w:r w:rsidRPr="009A2E71">
        <w:t xml:space="preserve"> </w:t>
      </w:r>
      <w:r w:rsidR="00E80AE2" w:rsidRPr="009A2E71">
        <w:t xml:space="preserve">M. </w:t>
      </w:r>
      <w:proofErr w:type="spellStart"/>
      <w:r w:rsidRPr="009A2E71">
        <w:t>Boka</w:t>
      </w:r>
      <w:proofErr w:type="spellEnd"/>
      <w:r w:rsidRPr="009A2E71">
        <w:t xml:space="preserve"> Yao Daniel, </w:t>
      </w:r>
      <w:r w:rsidR="00E80AE2" w:rsidRPr="009A2E71">
        <w:t>a souligné que l</w:t>
      </w:r>
      <w:r w:rsidRPr="009A2E71">
        <w:t xml:space="preserve">’appui vise à renforcer les capacités de </w:t>
      </w:r>
      <w:r w:rsidR="00E80AE2" w:rsidRPr="009A2E71">
        <w:t xml:space="preserve">son </w:t>
      </w:r>
      <w:r w:rsidRPr="009A2E71">
        <w:t>entreprise et à contribuer à l’autosuffisance</w:t>
      </w:r>
      <w:r w:rsidR="00E80AE2" w:rsidRPr="009A2E71">
        <w:t xml:space="preserve"> en protéine animale.</w:t>
      </w:r>
      <w:r w:rsidR="00B27413" w:rsidRPr="009A2E71">
        <w:t xml:space="preserve"> </w:t>
      </w:r>
      <w:r w:rsidR="00E80AE2" w:rsidRPr="009A2E71">
        <w:t>L</w:t>
      </w:r>
      <w:r w:rsidRPr="009A2E71">
        <w:t xml:space="preserve">a SIVAC a pour mission la gestion de l’abattoir de porcs de Yopougon et le développement de la filière. Créée le 8 juin 1990 par l’État de Côte d’Ivoire et des partenaires français, la SIVAC a connu des difficultés à partir de 1996, avant une relance de ses activités </w:t>
      </w:r>
      <w:r w:rsidR="00B27413" w:rsidRPr="009A2E71">
        <w:t xml:space="preserve">à partir </w:t>
      </w:r>
      <w:r w:rsidRPr="009A2E71">
        <w:t>de 2021.</w:t>
      </w:r>
    </w:p>
    <w:p w14:paraId="61A90ED8" w14:textId="77777777" w:rsidR="00E80AE2" w:rsidRPr="009A2E71" w:rsidRDefault="00E80AE2" w:rsidP="006C1591">
      <w:pPr>
        <w:spacing w:after="0"/>
      </w:pPr>
    </w:p>
    <w:p w14:paraId="20B033BC" w14:textId="478838B6" w:rsidR="00804A3E" w:rsidRPr="009A2E71" w:rsidRDefault="00804A3E" w:rsidP="006C1591">
      <w:pPr>
        <w:pStyle w:val="Titre2"/>
        <w:spacing w:before="0"/>
      </w:pPr>
      <w:bookmarkStart w:id="102" w:name="_Toc213247401"/>
      <w:r w:rsidRPr="009A2E71">
        <w:t xml:space="preserve">Porc – </w:t>
      </w:r>
      <w:r w:rsidR="001731B3" w:rsidRPr="009A2E71">
        <w:t xml:space="preserve">Importation de </w:t>
      </w:r>
      <w:r w:rsidRPr="009A2E71">
        <w:t>35 reproducteurs.</w:t>
      </w:r>
      <w:bookmarkEnd w:id="102"/>
    </w:p>
    <w:p w14:paraId="22BD875E" w14:textId="1D7D1448" w:rsidR="00804A3E" w:rsidRPr="009A2E71" w:rsidRDefault="00804A3E" w:rsidP="006C1591">
      <w:pPr>
        <w:spacing w:after="0"/>
      </w:pPr>
      <w:r w:rsidRPr="009A2E71">
        <w:t xml:space="preserve">Le ministère des </w:t>
      </w:r>
      <w:r w:rsidR="001731B3" w:rsidRPr="009A2E71">
        <w:t>r</w:t>
      </w:r>
      <w:r w:rsidRPr="009A2E71">
        <w:t xml:space="preserve">essources animales et halieutiques (MIRAH), via le Projet de développement de la filière porcine (Pro-Porc), a réceptionné le 8 octobre à l’aéroport Félix Houphouët-Boigny </w:t>
      </w:r>
      <w:r w:rsidRPr="009A2E71">
        <w:lastRenderedPageBreak/>
        <w:t xml:space="preserve">d’Abidjan 35 porcs reproducteurs de race pure en provenance de France, dont sept mâles et 28 femelles, afin de renforcer la capacité du centre génétique du projet et de répondre à la demande des éleveurs. Provenant de la structure française AXIOM et issus des races Piétrain, </w:t>
      </w:r>
      <w:proofErr w:type="spellStart"/>
      <w:r w:rsidRPr="009A2E71">
        <w:t>Landrace</w:t>
      </w:r>
      <w:proofErr w:type="spellEnd"/>
      <w:r w:rsidRPr="009A2E71">
        <w:t xml:space="preserve"> et Large White, les animaux seront élevés au Centre d’application et de spécialisation aux métiers de la filière porcine (CAS-Porc) à Agboville, puis engraissés jusqu’à huit mois avant leur mise en reproduction. La coordinat</w:t>
      </w:r>
      <w:r w:rsidR="001731B3" w:rsidRPr="009A2E71">
        <w:t xml:space="preserve">rice du programme, Mme </w:t>
      </w:r>
      <w:r w:rsidRPr="009A2E71">
        <w:t xml:space="preserve">Monique </w:t>
      </w:r>
      <w:proofErr w:type="spellStart"/>
      <w:r w:rsidRPr="009A2E71">
        <w:t>Gueu</w:t>
      </w:r>
      <w:proofErr w:type="spellEnd"/>
      <w:r w:rsidR="001731B3" w:rsidRPr="009A2E71">
        <w:t>,</w:t>
      </w:r>
      <w:r w:rsidRPr="009A2E71">
        <w:t xml:space="preserve"> précise que les nouveaux sujets seront croisés avec des races locales pour diffuser des reproducteurs améliorés caractérisés par une forte prolificité, une croissance rapide, un indice de consommation réduit, une meilleure conformation des carcasses et de bonnes qualités maternelles. Cette opération </w:t>
      </w:r>
      <w:r w:rsidR="001731B3" w:rsidRPr="009A2E71">
        <w:t xml:space="preserve">fait suite à une première importation de 50 reproducteurs le 28 novembre 2023, dont la descendance est en cours de diffusion avec plus de 400 reproducteurs distribués en 2025. Par comparaison, un porc local adulte atteint en moyenne 60 kg et met bas cinq à six porcelets, alors que ces races européennes peuvent atteindre 110 kg à maturité et donner en moyenne 15 porcelets vivants par portée. Le renforcement génétique vise à réduire un déficit persistant entre une production annuelle d’environ 11 000 tonnes et une consommation estimée à 100 000 tonnes, dans un contexte où, selon la FAO, les importations de viande porcine et produits dérivés ont progressé en moyenne de 21,41% par an sur la période 2019 à 2023, passant de 55 712 tonnes à 121 055 tonnes, et où le cheptel porcin comptait environ 464 006 têtes en 2023. Le projet Pro-Porc </w:t>
      </w:r>
      <w:r w:rsidRPr="009A2E71">
        <w:t xml:space="preserve">s’inscrit dans la relance d’une filière qui a subi </w:t>
      </w:r>
      <w:r w:rsidR="001731B3" w:rsidRPr="009A2E71">
        <w:t xml:space="preserve">des pertes importantes </w:t>
      </w:r>
      <w:r w:rsidRPr="009A2E71">
        <w:t>en 2024</w:t>
      </w:r>
      <w:r w:rsidR="001731B3" w:rsidRPr="009A2E71">
        <w:t xml:space="preserve"> avec</w:t>
      </w:r>
      <w:r w:rsidRPr="009A2E71">
        <w:t xml:space="preserve"> l’abattage de plus de 100 000 têtes </w:t>
      </w:r>
      <w:r w:rsidR="001731B3" w:rsidRPr="009A2E71">
        <w:t xml:space="preserve">à cause d’une épidémie de </w:t>
      </w:r>
      <w:r w:rsidRPr="009A2E71">
        <w:t xml:space="preserve">peste porcine africaine, avec environ 20 Md FCFA de pertes économiques. </w:t>
      </w:r>
    </w:p>
    <w:p w14:paraId="75905B41" w14:textId="77777777" w:rsidR="00FD705E" w:rsidRPr="009A2E71" w:rsidRDefault="00FD705E" w:rsidP="006C1591">
      <w:pPr>
        <w:spacing w:after="0"/>
      </w:pPr>
    </w:p>
    <w:p w14:paraId="3BF8D19B" w14:textId="77777777" w:rsidR="0085028C" w:rsidRPr="009A2E71" w:rsidRDefault="0085028C" w:rsidP="006C1591">
      <w:pPr>
        <w:pStyle w:val="Titre2"/>
        <w:spacing w:before="0"/>
      </w:pPr>
      <w:bookmarkStart w:id="103" w:name="_Toc213247402"/>
      <w:r w:rsidRPr="009A2E71">
        <w:t>Aquaculture – Des pisciculteurs formés à la production de semences de silure et de tilapia.</w:t>
      </w:r>
      <w:bookmarkEnd w:id="103"/>
    </w:p>
    <w:p w14:paraId="538E0292" w14:textId="77777777" w:rsidR="0085028C" w:rsidRPr="009A2E71" w:rsidRDefault="0085028C" w:rsidP="006C1591">
      <w:pPr>
        <w:spacing w:after="0"/>
      </w:pPr>
      <w:r w:rsidRPr="009A2E71">
        <w:t xml:space="preserve">Du 9 au 14 octobre, des pisciculteurs venus de plusieurs régions du pays ont pris part à une formation pratique sur la production de semences de tilapia et de silure, dans le cadre du projet « Technologies pour la transformation de l’agriculture africaine » (TAAT II), composante « Fish compact ». Mise en œuvre par l’organisation </w:t>
      </w:r>
      <w:proofErr w:type="spellStart"/>
      <w:r w:rsidRPr="009A2E71">
        <w:t>Interaquacole</w:t>
      </w:r>
      <w:proofErr w:type="spellEnd"/>
      <w:r w:rsidRPr="009A2E71">
        <w:t xml:space="preserve"> à travers le projet Watch Fish et financée par la Banque africaine de développement (BAD), cette initiative vise à renforcer les capacités techniques des producteurs et à diversifier les espèces élevées. Selon M. </w:t>
      </w:r>
      <w:proofErr w:type="spellStart"/>
      <w:r w:rsidRPr="009A2E71">
        <w:t>Salif</w:t>
      </w:r>
      <w:proofErr w:type="spellEnd"/>
      <w:r w:rsidRPr="009A2E71">
        <w:t xml:space="preserve"> Sawadogo, président du Comité d’administration de l’Interprofession aquacole (INTERAQUA), l’objectif est de développer la production de larves et d’alevins de silure pour répondre à la demande croissante. Les participants ont été formés aux techniques d’extraction et d’éclosion des œufs, à la sélection des géniteurs et à la reproduction contrôlée. Cette formation, saluée par les acteurs de la filière, marque une étape dans la diffusion des technologies aquacoles du programme TAAT II, qui ambitionne d’accroître la productivité agricole africaine et de renforcer la sécurité alimentaire.</w:t>
      </w:r>
    </w:p>
    <w:p w14:paraId="0A057E06" w14:textId="77777777" w:rsidR="0085028C" w:rsidRPr="009A2E71" w:rsidRDefault="0085028C" w:rsidP="006C1591">
      <w:pPr>
        <w:spacing w:after="0"/>
      </w:pPr>
    </w:p>
    <w:p w14:paraId="4DD0A7DF" w14:textId="5AAFCFF6" w:rsidR="00B946F3" w:rsidRPr="009A2E71" w:rsidRDefault="00B946F3" w:rsidP="006C1591">
      <w:pPr>
        <w:pStyle w:val="Titre2"/>
        <w:spacing w:before="0"/>
      </w:pPr>
      <w:bookmarkStart w:id="104" w:name="_Toc213247403"/>
      <w:r w:rsidRPr="009A2E71">
        <w:t xml:space="preserve">Aquaculture – </w:t>
      </w:r>
      <w:r w:rsidR="00784421" w:rsidRPr="009A2E71">
        <w:t xml:space="preserve">Importation de </w:t>
      </w:r>
      <w:r w:rsidRPr="009A2E71">
        <w:t>100 000 alevins p</w:t>
      </w:r>
      <w:r w:rsidR="00784421" w:rsidRPr="009A2E71">
        <w:t>ar la Société de transformation industrielle en Côte d’Ivoire (</w:t>
      </w:r>
      <w:r w:rsidRPr="009A2E71">
        <w:t>SN SOTICI</w:t>
      </w:r>
      <w:r w:rsidR="00784421" w:rsidRPr="009A2E71">
        <w:t>)</w:t>
      </w:r>
      <w:r w:rsidRPr="009A2E71">
        <w:t>.</w:t>
      </w:r>
      <w:bookmarkEnd w:id="104"/>
    </w:p>
    <w:p w14:paraId="51B6FA8B" w14:textId="6FC6371A" w:rsidR="000739D1" w:rsidRPr="009A2E71" w:rsidRDefault="00784421" w:rsidP="006C1591">
      <w:pPr>
        <w:spacing w:after="0"/>
      </w:pPr>
      <w:r w:rsidRPr="009A2E71">
        <w:t>L</w:t>
      </w:r>
      <w:r w:rsidR="00B946F3" w:rsidRPr="009A2E71">
        <w:t xml:space="preserve">e ministre des Ressources animales et halieutiques, </w:t>
      </w:r>
      <w:r w:rsidRPr="009A2E71">
        <w:t xml:space="preserve">M. </w:t>
      </w:r>
      <w:r w:rsidR="00B946F3" w:rsidRPr="009A2E71">
        <w:t xml:space="preserve">Sidi </w:t>
      </w:r>
      <w:proofErr w:type="spellStart"/>
      <w:r w:rsidR="00B946F3" w:rsidRPr="009A2E71">
        <w:t>Tiémoko</w:t>
      </w:r>
      <w:proofErr w:type="spellEnd"/>
      <w:r w:rsidR="00B946F3" w:rsidRPr="009A2E71">
        <w:t xml:space="preserve"> Touré, a remis </w:t>
      </w:r>
      <w:r w:rsidRPr="009A2E71">
        <w:t xml:space="preserve">le 17 septembre </w:t>
      </w:r>
      <w:r w:rsidR="00B946F3" w:rsidRPr="009A2E71">
        <w:t xml:space="preserve">une attestation d’importation d’alevins et un agrément provisoire à </w:t>
      </w:r>
      <w:bookmarkStart w:id="105" w:name="_Hlk211242683"/>
      <w:r w:rsidR="00B946F3" w:rsidRPr="009A2E71">
        <w:t xml:space="preserve">la </w:t>
      </w:r>
      <w:bookmarkEnd w:id="105"/>
      <w:r w:rsidR="00B946F3" w:rsidRPr="009A2E71">
        <w:t xml:space="preserve">SN SOTICI. Selon une note d’information transmise le 2 octobre, ces autorisations permettront à l’entreprise d’implanter une ferme aquacole à Bingerville et d’introduire 100 000 alevins de tilapia de souche Gift en provenance de Thaïlande pour le démarrage de ses activités. </w:t>
      </w:r>
      <w:r w:rsidRPr="009A2E71">
        <w:t xml:space="preserve">Selon son directeur général, M. </w:t>
      </w:r>
      <w:proofErr w:type="spellStart"/>
      <w:r w:rsidRPr="009A2E71">
        <w:t>Omais</w:t>
      </w:r>
      <w:proofErr w:type="spellEnd"/>
      <w:r w:rsidRPr="009A2E71">
        <w:t xml:space="preserve"> Ramzi, l</w:t>
      </w:r>
      <w:r w:rsidR="00B946F3" w:rsidRPr="009A2E71">
        <w:t>a société vise une production annuelle de 1 000 tonnes de tilapia marchands</w:t>
      </w:r>
      <w:r w:rsidRPr="009A2E71">
        <w:t xml:space="preserve"> et</w:t>
      </w:r>
      <w:r w:rsidR="00B946F3" w:rsidRPr="009A2E71">
        <w:t xml:space="preserve"> la création de 65 emplois. </w:t>
      </w:r>
    </w:p>
    <w:p w14:paraId="24124496" w14:textId="77777777" w:rsidR="0085028C" w:rsidRPr="009A2E71" w:rsidRDefault="0085028C" w:rsidP="006C1591">
      <w:pPr>
        <w:pStyle w:val="Titre2"/>
        <w:spacing w:before="0"/>
      </w:pPr>
      <w:bookmarkStart w:id="106" w:name="_Toc213247404"/>
      <w:r w:rsidRPr="009A2E71">
        <w:lastRenderedPageBreak/>
        <w:t>Semences – Le rapport de l’Indice africain de l’accès aux semences (TASAI) souligne les progrès et défis du système semencier ivoirien.</w:t>
      </w:r>
      <w:bookmarkEnd w:id="106"/>
    </w:p>
    <w:p w14:paraId="6BDDFF30" w14:textId="77777777" w:rsidR="0085028C" w:rsidRPr="009A2E71" w:rsidRDefault="0085028C" w:rsidP="006C1591">
      <w:pPr>
        <w:spacing w:after="0"/>
      </w:pPr>
      <w:r w:rsidRPr="009A2E71">
        <w:t>Le</w:t>
      </w:r>
      <w:bookmarkStart w:id="107" w:name="_Hlk211784182"/>
      <w:r w:rsidRPr="009A2E71">
        <w:t xml:space="preserve"> TASAI </w:t>
      </w:r>
      <w:bookmarkEnd w:id="107"/>
      <w:r w:rsidRPr="009A2E71">
        <w:t xml:space="preserve">a présenté le 2 octobre son rapport 2024 sur la performance du secteur semencier en Côte d’Ivoire, en présence des acteurs publics et privés engagés pour une agriculture plus compétitive et durable. L’étude, centrée sur quatre cultures stratégiques – riz, maïs, soja et sorgho – révèle une production nationale de 5 493 tonnes de semences certifiées en 2024, réparties entre 36 variétés disponibles sur le marché, dont 17 de maïs (10 hybrides), 13 de riz, 5 de sorgho et 2 de soja. Le pays compte aujourd’hui huit sélectionneurs de semences, dont sept au Centre national de recherche agronomique (CNRA) et un issu du secteur privé. Malgré ces avancées, le rapport pointe plusieurs défis, notamment la faible adoption des variétés améliorées, la prolifération de semences contrefaites et les limites du contrôle qualité. Selon le chercheur de TASAI, le Dr Coulibaly </w:t>
      </w:r>
      <w:proofErr w:type="spellStart"/>
      <w:r w:rsidRPr="009A2E71">
        <w:t>Sifolo</w:t>
      </w:r>
      <w:proofErr w:type="spellEnd"/>
      <w:r w:rsidRPr="009A2E71">
        <w:t>, la Côte d’Ivoire doit se doter d’une politique semencière plus robuste et renforcer la professionnalisation du secteur, en impliquant davantage les opérateurs privés. Il rappelle que la qualité des semences contribue à plus de 40% de la productivité agricole nationale. Le rapport recommande un partenariat renforcé entre l’État, la recherche et les acteurs économiques pour garantir un accès équitable à des semences certifiées, adaptées aux conditions locales et essentielles à la souveraineté alimentaire d’ici 2030. Créé en 2015, TASAI évalue la compétitivité et la durabilité des systèmes semenciers africains à travers 22 indicateurs regroupés en cinq catégories : recherche et développement, compétitivité de l’industrie, politiques et réglementations, appui institutionnel et services aux petits exploitants agricoles.</w:t>
      </w:r>
    </w:p>
    <w:p w14:paraId="3E93C654" w14:textId="77777777" w:rsidR="0085028C" w:rsidRPr="009A2E71" w:rsidRDefault="0085028C" w:rsidP="006C1591">
      <w:pPr>
        <w:spacing w:after="0"/>
      </w:pPr>
    </w:p>
    <w:p w14:paraId="1F7BB5F9" w14:textId="77777777" w:rsidR="0085028C" w:rsidRPr="009A2E71" w:rsidRDefault="0085028C" w:rsidP="006C1591">
      <w:pPr>
        <w:pStyle w:val="Titre2"/>
        <w:spacing w:before="0"/>
      </w:pPr>
      <w:bookmarkStart w:id="108" w:name="_Toc213247405"/>
      <w:r w:rsidRPr="009A2E71">
        <w:t>Semences – Des producteurs de manioc formés pour renforcer la qualité des semences.</w:t>
      </w:r>
      <w:bookmarkEnd w:id="108"/>
    </w:p>
    <w:p w14:paraId="6800CBC0" w14:textId="77777777" w:rsidR="0085028C" w:rsidRPr="009A2E71" w:rsidRDefault="0085028C" w:rsidP="006C1591">
      <w:pPr>
        <w:spacing w:after="0"/>
      </w:pPr>
      <w:r w:rsidRPr="009A2E71">
        <w:t>Une quarantaine de producteurs semenciers de manioc venus de plusieurs localités de l’Ouest ont pris part à un atelier de formation à Man du 1</w:t>
      </w:r>
      <w:r w:rsidRPr="009A2E71">
        <w:rPr>
          <w:vertAlign w:val="superscript"/>
        </w:rPr>
        <w:t>er</w:t>
      </w:r>
      <w:r w:rsidRPr="009A2E71">
        <w:t xml:space="preserve"> au 3 octobre, organisé par le Centre national de recherche agronomique (CNRA) dans le cadre du Programme de production alimentaire d’urgence (2PAU-CI). Cette session, quatrième étape d’un programme national après Yamoussoukro, Daloa et Abengourou, visait à renforcer les capacités techniques des semenciers en matière de production de semences de qualité, de gestion des parcs à bois et d’identification des variétés. Selon le Dr </w:t>
      </w:r>
      <w:proofErr w:type="spellStart"/>
      <w:r w:rsidRPr="009A2E71">
        <w:t>Dibi</w:t>
      </w:r>
      <w:proofErr w:type="spellEnd"/>
      <w:r w:rsidRPr="009A2E71">
        <w:t xml:space="preserve"> Konan, directeur régional de la station CNRA-Bouaké, l’objectif est de doter les producteurs d’itinéraires techniques innovants afin d’améliorer la productivité du manioc et de soutenir la sécurité alimentaire nationale. Les modules de formation ont porté sur la distinction variétale, la lutte contre les ravageurs et maladies, ainsi que les pratiques culturales adaptées. Une phase pratique sur le terrain a permis aux participants d’appliquer les connaissances acquises, notamment en matière de piquetage et de reconnaissance des symptômes phytosanitaires. Le CNRA met actuellement à disposition une dizaine de variétés améliorées de manioc pour accroître la production et répondre à la demande locale et régionale. Financé par la Banque africaine de développement (BAD) en partenariat avec le gouvernement ivoirien, le 2PAU-CI vise à accroître la production nationale de riz, de maïs et de manioc, à réduire la dépendance aux importations et à renforcer la souveraineté alimentaire du pays.</w:t>
      </w:r>
    </w:p>
    <w:p w14:paraId="01956ABB" w14:textId="77777777" w:rsidR="0085028C" w:rsidRPr="009A2E71" w:rsidRDefault="0085028C" w:rsidP="006C1591">
      <w:pPr>
        <w:spacing w:after="0"/>
      </w:pPr>
    </w:p>
    <w:p w14:paraId="478A11CB" w14:textId="1D2CD7BF" w:rsidR="00C34AE1" w:rsidRPr="009A2E71" w:rsidRDefault="00C34AE1" w:rsidP="006C1591">
      <w:pPr>
        <w:pStyle w:val="Titre2"/>
        <w:spacing w:before="0"/>
      </w:pPr>
      <w:bookmarkStart w:id="109" w:name="_Toc213247406"/>
      <w:r w:rsidRPr="009A2E71">
        <w:t>Engrais</w:t>
      </w:r>
      <w:r w:rsidR="007E72D1" w:rsidRPr="009A2E71">
        <w:t xml:space="preserve"> </w:t>
      </w:r>
      <w:r w:rsidRPr="009A2E71">
        <w:t xml:space="preserve">– </w:t>
      </w:r>
      <w:r w:rsidR="00EB7A0B" w:rsidRPr="009A2E71">
        <w:t>Transformation des b</w:t>
      </w:r>
      <w:r w:rsidRPr="009A2E71">
        <w:t>oues</w:t>
      </w:r>
      <w:r w:rsidR="00EB7A0B" w:rsidRPr="009A2E71">
        <w:t xml:space="preserve"> de vidange</w:t>
      </w:r>
      <w:r w:rsidRPr="009A2E71">
        <w:t xml:space="preserve"> en engrais.</w:t>
      </w:r>
      <w:bookmarkEnd w:id="109"/>
    </w:p>
    <w:p w14:paraId="41928DEA" w14:textId="77B6A6FA" w:rsidR="00C34AE1" w:rsidRPr="009A2E71" w:rsidRDefault="00EB7A0B" w:rsidP="006C1591">
      <w:pPr>
        <w:spacing w:after="0"/>
      </w:pPr>
      <w:r w:rsidRPr="009A2E71">
        <w:t>L</w:t>
      </w:r>
      <w:r w:rsidR="00C34AE1" w:rsidRPr="009A2E71">
        <w:t xml:space="preserve">a Station </w:t>
      </w:r>
      <w:r w:rsidRPr="009A2E71">
        <w:t xml:space="preserve">pilote </w:t>
      </w:r>
      <w:r w:rsidR="00C34AE1" w:rsidRPr="009A2E71">
        <w:t>de traitement des boues de vidange (STBV) de Koumassi</w:t>
      </w:r>
      <w:r w:rsidRPr="009A2E71">
        <w:t>,</w:t>
      </w:r>
      <w:r w:rsidR="00C34AE1" w:rsidRPr="009A2E71">
        <w:t xml:space="preserve"> sous l’égide de l’Office national de l’assainissement et du drainage (ONAD)</w:t>
      </w:r>
      <w:r w:rsidRPr="009A2E71">
        <w:t>, transforme des boues de vidange en engrais naturel</w:t>
      </w:r>
      <w:r w:rsidR="00C34AE1" w:rsidRPr="009A2E71">
        <w:t xml:space="preserve">. Le procédé combine dégrillage, floculation, séparation des phases puis </w:t>
      </w:r>
      <w:r w:rsidR="00C34AE1" w:rsidRPr="009A2E71">
        <w:lastRenderedPageBreak/>
        <w:t xml:space="preserve">séchage solaire de deux semaines qui hygiénise la boue et fournit un fertilisant prêt à l’emploi, tandis que les vidangeurs sont désormais orientés vers la station plutôt que vers des décharges sauvages. Cette STBV pilote complète cinq stations traditionnelles déjà opérationnelles à Korhogo, Katiola, Bouaké, San Pedro et Anyama. Porté par l’Université Félix Houphouët-Boigny avec l’appui de la Fondation Gates, le programme de renforcement des capacités en assainissement inclusif (ISC-hub) a organisé dix sessions, conçu 48 modules et formé 110 professionnels avec un </w:t>
      </w:r>
      <w:r w:rsidRPr="009A2E71">
        <w:t xml:space="preserve">encadrement </w:t>
      </w:r>
      <w:r w:rsidR="00C34AE1" w:rsidRPr="009A2E71">
        <w:t xml:space="preserve">de quatre à six mois. L’offre académique élargie </w:t>
      </w:r>
      <w:r w:rsidR="00965ED4" w:rsidRPr="009A2E71">
        <w:t xml:space="preserve">a été </w:t>
      </w:r>
      <w:r w:rsidR="00C34AE1" w:rsidRPr="009A2E71">
        <w:t>déjà adopté</w:t>
      </w:r>
      <w:r w:rsidR="00965ED4" w:rsidRPr="009A2E71">
        <w:t>e</w:t>
      </w:r>
      <w:r w:rsidR="00C34AE1" w:rsidRPr="009A2E71">
        <w:t xml:space="preserve"> par plus de cinq universités. Les retombées économiques incluent la mobilisation de 14 M FCFA par une bénéficiaire et l’obtention d’un marché de 40 M FCFA par une autre. Les autorités visent à passer à l’échelle en impliquant mairies, agriculteurs et acteurs de la formation avec l’appui de partenaires comme la Banque africaine de développement, afin d’améliorer l’assainissement, la productivité agricole et l’emploi vert.</w:t>
      </w:r>
    </w:p>
    <w:p w14:paraId="28EA4603" w14:textId="77777777" w:rsidR="00FD705E" w:rsidRPr="009A2E71" w:rsidRDefault="00FD705E" w:rsidP="006C1591">
      <w:pPr>
        <w:spacing w:after="0"/>
      </w:pPr>
    </w:p>
    <w:p w14:paraId="6D78EE29" w14:textId="77777777" w:rsidR="0085028C" w:rsidRPr="009A2E71" w:rsidRDefault="0085028C" w:rsidP="006C1591">
      <w:pPr>
        <w:pStyle w:val="Titre2"/>
        <w:spacing w:before="0"/>
      </w:pPr>
      <w:bookmarkStart w:id="110" w:name="_Toc213247407"/>
      <w:r w:rsidRPr="009A2E71">
        <w:t>Pêche – La flotte chinoise accusée de pillage en Côte d’Ivoire comme dans tout le Golfe de Guinée.</w:t>
      </w:r>
      <w:bookmarkEnd w:id="110"/>
    </w:p>
    <w:p w14:paraId="53558BA9" w14:textId="08D499DF" w:rsidR="0085028C" w:rsidRPr="009A2E71" w:rsidRDefault="0085028C" w:rsidP="006C1591">
      <w:pPr>
        <w:spacing w:after="0"/>
      </w:pPr>
      <w:r w:rsidRPr="009A2E71">
        <w:t xml:space="preserve">Malgré une surveillance accrue, des navires chinois continuent d’opérer illégalement, menaçant la sécurité alimentaire et économique de la Côte d’Ivoire, où la production a chuté d’environ 40% entre 2010 et 2020, tandis que la raréfaction du poisson fragilise la principale source de protéines animales du pays. Pour y faire face, le gouvernement ivoirien a renforcé la surveillance maritime, mis en place des zones protégées et signé un protocole avec la Commission européenne autorisant la pêche de 6 100 tonnes sur quatre ans, contre un appui de 2,9 M EUR. Selon l’Overseas </w:t>
      </w:r>
      <w:proofErr w:type="spellStart"/>
      <w:r w:rsidRPr="009A2E71">
        <w:t>Development</w:t>
      </w:r>
      <w:proofErr w:type="spellEnd"/>
      <w:r w:rsidRPr="009A2E71">
        <w:t xml:space="preserve"> Institute (ODI), environ 17 000 navires chinois sillonnaient le Golfe de Guinée en 2020, dont 40% des prises seraient illégales. Ces flottes utilisent des pavillons de complaisance et désactivent leurs systèmes de suivi pour échapper aux contrôles. Les pertes économiques liées à cette pêche illicite sont évaluées à 11,5 Md USD par an, dont 2,3 Md </w:t>
      </w:r>
      <w:r w:rsidR="00A37817">
        <w:t xml:space="preserve">USD </w:t>
      </w:r>
      <w:r w:rsidRPr="009A2E71">
        <w:t>pour les pays du Golfe de Guinée.</w:t>
      </w:r>
    </w:p>
    <w:p w14:paraId="13DBBA79" w14:textId="77777777" w:rsidR="0085028C" w:rsidRPr="009A2E71" w:rsidRDefault="0085028C" w:rsidP="006C1591">
      <w:pPr>
        <w:spacing w:after="0"/>
      </w:pPr>
    </w:p>
    <w:p w14:paraId="1096B96A" w14:textId="77777777" w:rsidR="0085028C" w:rsidRPr="009A2E71" w:rsidRDefault="0085028C" w:rsidP="006C1591">
      <w:pPr>
        <w:pStyle w:val="Titre2"/>
        <w:spacing w:before="0"/>
      </w:pPr>
      <w:bookmarkStart w:id="111" w:name="_Toc213247408"/>
      <w:r w:rsidRPr="009A2E71">
        <w:t>Agro-industrie – Projet de réduction des pertes post-récolte.</w:t>
      </w:r>
      <w:bookmarkEnd w:id="111"/>
    </w:p>
    <w:p w14:paraId="0153D46E" w14:textId="77777777" w:rsidR="0085028C" w:rsidRPr="009A2E71" w:rsidRDefault="0085028C" w:rsidP="006C1591">
      <w:pPr>
        <w:spacing w:after="0"/>
      </w:pPr>
      <w:r w:rsidRPr="009A2E71">
        <w:t xml:space="preserve">Le président du Conseil d’administration de la Société ivoirienne des technologies tropicales (I2T), M. </w:t>
      </w:r>
      <w:proofErr w:type="spellStart"/>
      <w:r w:rsidRPr="009A2E71">
        <w:t>Kafana</w:t>
      </w:r>
      <w:proofErr w:type="spellEnd"/>
      <w:r w:rsidRPr="009A2E71">
        <w:t xml:space="preserve"> </w:t>
      </w:r>
      <w:proofErr w:type="spellStart"/>
      <w:r w:rsidRPr="009A2E71">
        <w:t>Sitionni</w:t>
      </w:r>
      <w:proofErr w:type="spellEnd"/>
      <w:r w:rsidRPr="009A2E71">
        <w:t xml:space="preserve"> </w:t>
      </w:r>
      <w:proofErr w:type="spellStart"/>
      <w:r w:rsidRPr="009A2E71">
        <w:t>Gnénin</w:t>
      </w:r>
      <w:proofErr w:type="spellEnd"/>
      <w:r w:rsidRPr="009A2E71">
        <w:t xml:space="preserve">, a présenté les grandes lignes du projet de réduction des pertes post-récolte, élaboré en partenariat avec l’entreprise canadienne O5 Technologies. Ce programme, estimé à plus 1 124 Md FCFA, vise à réduire de moitié les pertes post-récolte à l’horizon 2029, en agissant sur le stockage, la conservation et la logistique. Il prévoit la construction de 24 infrastructures modernes à travers le pays, dont 8 centres de traitement et de conditionnement, 8 centres de groupage et 8 centres de distribution, destinés à mieux gérer la chaîne d’approvisionnement des produits vivriers, céréaliers et fruitiers, notamment le maïs, le manioc, l’igname, l’anacarde et la noix de cola. Ce projet de partenariat public-privé (PPP), dont l’État est partie prenante via l’I2T, ambitionne de créer plus de 75 000 emplois directs et indirects, de générer plus de 7 Md USD de revenus annuels et d’accroître le PIB national de 7% d’ici 2030. Les premières infrastructures devraient être opérationnelles avant la fin de l’année 2026, après la phase de levée de fonds et d’installation institutionnelle. Selon M. </w:t>
      </w:r>
      <w:proofErr w:type="spellStart"/>
      <w:r w:rsidRPr="009A2E71">
        <w:t>Kafana</w:t>
      </w:r>
      <w:proofErr w:type="spellEnd"/>
      <w:r w:rsidRPr="009A2E71">
        <w:t xml:space="preserve"> </w:t>
      </w:r>
      <w:proofErr w:type="spellStart"/>
      <w:r w:rsidRPr="009A2E71">
        <w:t>Sitionni</w:t>
      </w:r>
      <w:proofErr w:type="spellEnd"/>
      <w:r w:rsidRPr="009A2E71">
        <w:t xml:space="preserve"> </w:t>
      </w:r>
      <w:proofErr w:type="spellStart"/>
      <w:r w:rsidRPr="009A2E71">
        <w:t>Gnénin</w:t>
      </w:r>
      <w:proofErr w:type="spellEnd"/>
      <w:r w:rsidRPr="009A2E71">
        <w:t xml:space="preserve">, la réduction des pertes post-récolte pourrait rapporter plus de 20 M USD aux producteurs de maïs et améliorer durablement la sécurité alimentaire du pays. </w:t>
      </w:r>
    </w:p>
    <w:p w14:paraId="080926ED" w14:textId="77777777" w:rsidR="0085028C" w:rsidRPr="009A2E71" w:rsidRDefault="0085028C" w:rsidP="006C1591">
      <w:pPr>
        <w:spacing w:after="0"/>
      </w:pPr>
    </w:p>
    <w:p w14:paraId="7C9458A6" w14:textId="2360BD39" w:rsidR="00B946F3" w:rsidRPr="009A2E71" w:rsidRDefault="006003FA" w:rsidP="006C1591">
      <w:pPr>
        <w:pStyle w:val="Titre2"/>
        <w:spacing w:before="0"/>
      </w:pPr>
      <w:bookmarkStart w:id="112" w:name="_Toc213247409"/>
      <w:r>
        <w:lastRenderedPageBreak/>
        <w:t>Pertes agricoles</w:t>
      </w:r>
      <w:r w:rsidR="00B946F3" w:rsidRPr="009A2E71">
        <w:t xml:space="preserve"> – </w:t>
      </w:r>
      <w:r w:rsidR="00772544" w:rsidRPr="009A2E71">
        <w:t>Campagne d’information de l’Autorité de régulation du système de récépissés d’entreposage (ARRE)</w:t>
      </w:r>
      <w:r w:rsidR="00B946F3" w:rsidRPr="009A2E71">
        <w:t>.</w:t>
      </w:r>
      <w:bookmarkEnd w:id="112"/>
    </w:p>
    <w:p w14:paraId="6D99156A" w14:textId="27D37AE0" w:rsidR="00826009" w:rsidRDefault="00772544" w:rsidP="006C1591">
      <w:pPr>
        <w:spacing w:after="0"/>
      </w:pPr>
      <w:bookmarkStart w:id="113" w:name="_Hlk211243413"/>
      <w:r w:rsidRPr="009A2E71">
        <w:t>L</w:t>
      </w:r>
      <w:r w:rsidR="00B946F3" w:rsidRPr="009A2E71">
        <w:t xml:space="preserve">’Autorité de régulation du système de récépissés d’entreposage (ARRE) </w:t>
      </w:r>
      <w:bookmarkEnd w:id="113"/>
      <w:r w:rsidR="00B946F3" w:rsidRPr="009A2E71">
        <w:t xml:space="preserve">a </w:t>
      </w:r>
      <w:r w:rsidRPr="009A2E71">
        <w:t xml:space="preserve">lancé le 8 octobre </w:t>
      </w:r>
      <w:r w:rsidR="00B946F3" w:rsidRPr="009A2E71">
        <w:t>une campagne d’information et de sensibilisation des organisations agricoles et des opérateurs économiques sur le système de récépissés d’entreposage (SRE). L’objectif affiché est de réduire les pertes agricoles et d’augmenter les revenus des producteurs en renforçant l’appropriation et l’utilisation du SRE par les acteurs locaux. La direction générale, conduite par le Pr Koffi N’</w:t>
      </w:r>
      <w:proofErr w:type="spellStart"/>
      <w:r w:rsidR="00B946F3" w:rsidRPr="009A2E71">
        <w:t>goran</w:t>
      </w:r>
      <w:proofErr w:type="spellEnd"/>
      <w:r w:rsidR="00B946F3" w:rsidRPr="009A2E71">
        <w:t xml:space="preserve"> Justin, présente le SRE comme un mécanisme mis en place par le gouvernement pour soutenir le financement durable de l’agriculture et la transformation des matières premières. Le programme prévoit dans l</w:t>
      </w:r>
      <w:r w:rsidRPr="009A2E71">
        <w:t>a région du</w:t>
      </w:r>
      <w:r w:rsidR="00B946F3" w:rsidRPr="009A2E71">
        <w:t xml:space="preserve"> </w:t>
      </w:r>
      <w:proofErr w:type="spellStart"/>
      <w:r w:rsidR="00B946F3" w:rsidRPr="009A2E71">
        <w:t>Tchologo</w:t>
      </w:r>
      <w:proofErr w:type="spellEnd"/>
      <w:r w:rsidR="00B946F3" w:rsidRPr="009A2E71">
        <w:t xml:space="preserve"> la construction de sept entrepôts offrant une capacité de stockage de plus de 150 000 tonnes de produits agricoles, avec 3 000 emplois directs et plus de 10 000 emplois indirects, pour un financement public et partenaires de plus de 5 Md FCFA. Les participants ont été informés de mesures incitatives pour les producteurs, notamment la gratuité de stockage. </w:t>
      </w:r>
      <w:r w:rsidRPr="009A2E71">
        <w:t>P</w:t>
      </w:r>
      <w:r w:rsidR="00B946F3" w:rsidRPr="009A2E71">
        <w:t>lusieurs autres grandes régions agricoles bénéficieront d’entrepôts dans le même programme.</w:t>
      </w:r>
    </w:p>
    <w:p w14:paraId="771D992C" w14:textId="0E1AA6E1" w:rsidR="006003FA" w:rsidRDefault="006003FA" w:rsidP="006C1591">
      <w:pPr>
        <w:spacing w:after="0"/>
      </w:pPr>
    </w:p>
    <w:p w14:paraId="32F46398" w14:textId="77777777" w:rsidR="00B4281C" w:rsidRPr="009A2E71" w:rsidRDefault="00B4281C" w:rsidP="00B4281C">
      <w:pPr>
        <w:pStyle w:val="Titre2"/>
        <w:spacing w:before="0"/>
      </w:pPr>
      <w:bookmarkStart w:id="114" w:name="_Toc213247410"/>
      <w:r w:rsidRPr="009A2E71">
        <w:t>Assurance– L’État forme les producteurs à l’assurance indicielle face aux aléas climatiques.</w:t>
      </w:r>
      <w:bookmarkEnd w:id="114"/>
    </w:p>
    <w:p w14:paraId="649D8DF1" w14:textId="77777777" w:rsidR="00B4281C" w:rsidRPr="009A2E71" w:rsidRDefault="00B4281C" w:rsidP="00B4281C">
      <w:pPr>
        <w:spacing w:after="0"/>
      </w:pPr>
      <w:r w:rsidRPr="009A2E71">
        <w:t>Le ministère d’État, ministère de l’agriculture, du développement rural et des productions vivrières (MADERPV) a organisé du 6 au 8 octobre un atelier de sensibilisation et de renforcement des capacités des acteurs de la filière coton sur l’assurance indicielle. Selon M. Bernard Comoé, directeur général de la planification, des statistiques et des projets du MADERPV, ce mécanisme innovant permet de compenser les pertes financières lorsque les rendements sont affectés par les aléas climatiques. L’initiative vise à promouvoir une meilleure gestion des risques climatiques et à préparer l’extension progressive du dispositif à d’autres filières stratégiques, notamment le palmier à huile, l’anacarde, le riz et le maïs. L’État prévoit d’accompagner cette transition par des subventions pour faciliter l’adhésion des producteurs. Cette démarche s’inscrit dans la stratégie nationale de résilience climatique, afin de sécuriser les revenus agricoles et de renforcer la durabilité du secteur cotonnier.</w:t>
      </w:r>
    </w:p>
    <w:p w14:paraId="0B5B3A95" w14:textId="77777777" w:rsidR="00B4281C" w:rsidRPr="009A2E71" w:rsidRDefault="00B4281C" w:rsidP="00B4281C">
      <w:pPr>
        <w:spacing w:after="0"/>
      </w:pPr>
    </w:p>
    <w:p w14:paraId="45E32C69" w14:textId="77777777" w:rsidR="00B4281C" w:rsidRPr="009A2E71" w:rsidRDefault="00B4281C" w:rsidP="00B4281C">
      <w:pPr>
        <w:pStyle w:val="Titre2"/>
        <w:spacing w:before="0"/>
      </w:pPr>
      <w:bookmarkStart w:id="115" w:name="_Toc213247411"/>
      <w:r>
        <w:t>Sécurité alimentaire</w:t>
      </w:r>
      <w:r w:rsidRPr="009A2E71">
        <w:t xml:space="preserve"> – La Corée du Sud octroie 9,3 M USD au </w:t>
      </w:r>
      <w:r>
        <w:t>Programme alimentaire mondial (</w:t>
      </w:r>
      <w:r w:rsidRPr="009A2E71">
        <w:t>PAM</w:t>
      </w:r>
      <w:r>
        <w:t>)</w:t>
      </w:r>
      <w:r w:rsidRPr="009A2E71">
        <w:t>.</w:t>
      </w:r>
      <w:bookmarkEnd w:id="115"/>
    </w:p>
    <w:p w14:paraId="372BA085" w14:textId="77777777" w:rsidR="00B4281C" w:rsidRPr="009A2E71" w:rsidRDefault="00B4281C" w:rsidP="00B4281C">
      <w:pPr>
        <w:spacing w:after="0"/>
      </w:pPr>
      <w:r w:rsidRPr="009A2E71">
        <w:t xml:space="preserve">Le PAM a annoncé, le 14 octobre, une contribution de 9,3 M USD du gouvernement sud-coréen, par l’intermédiaire de son agence de coopération internationale (KOICA), pour soutenir la lutte contre l’insécurité alimentaire et améliorer la nutrition dans le nord de la Côte d’Ivoire. Ce financement, prévu pour la période 2025-2029, vise à fournir des repas nutritifs issus de la production locale à 50 000 élèves de 200 écoles primaires situées dans les régions de </w:t>
      </w:r>
      <w:proofErr w:type="spellStart"/>
      <w:r w:rsidRPr="009A2E71">
        <w:t>Bagoué</w:t>
      </w:r>
      <w:proofErr w:type="spellEnd"/>
      <w:r w:rsidRPr="009A2E71">
        <w:t xml:space="preserve">, </w:t>
      </w:r>
      <w:proofErr w:type="spellStart"/>
      <w:r w:rsidRPr="009A2E71">
        <w:t>Bounkani</w:t>
      </w:r>
      <w:proofErr w:type="spellEnd"/>
      <w:r w:rsidRPr="009A2E71">
        <w:t xml:space="preserve">, </w:t>
      </w:r>
      <w:proofErr w:type="spellStart"/>
      <w:r w:rsidRPr="009A2E71">
        <w:t>Poro</w:t>
      </w:r>
      <w:proofErr w:type="spellEnd"/>
      <w:r w:rsidRPr="009A2E71">
        <w:t xml:space="preserve"> et </w:t>
      </w:r>
      <w:proofErr w:type="spellStart"/>
      <w:r w:rsidRPr="009A2E71">
        <w:t>Tchologo</w:t>
      </w:r>
      <w:proofErr w:type="spellEnd"/>
      <w:r w:rsidRPr="009A2E71">
        <w:t xml:space="preserve">, régions particulièrement vulnérables aux crises alimentaires. Le projet comprend également un appui à 100 groupements de petits producteurs afin de renforcer les circuits d’approvisionnement locaux et d’encourager la production vivrière durable. </w:t>
      </w:r>
    </w:p>
    <w:p w14:paraId="1FB9E922" w14:textId="77777777" w:rsidR="00B4281C" w:rsidRPr="009A2E71" w:rsidRDefault="00B4281C" w:rsidP="00B4281C">
      <w:pPr>
        <w:spacing w:after="0"/>
      </w:pPr>
    </w:p>
    <w:p w14:paraId="3A317686" w14:textId="77777777" w:rsidR="00B4281C" w:rsidRPr="009A2E71" w:rsidRDefault="00B4281C" w:rsidP="00B4281C">
      <w:pPr>
        <w:pStyle w:val="Titre2"/>
        <w:spacing w:before="0"/>
      </w:pPr>
      <w:bookmarkStart w:id="116" w:name="_Toc213247412"/>
      <w:r w:rsidRPr="009A2E71">
        <w:t xml:space="preserve">Sécurité </w:t>
      </w:r>
      <w:r>
        <w:t>sani</w:t>
      </w:r>
      <w:r w:rsidRPr="009A2E71">
        <w:t>taire – Destruction de 9 tonnes de produits avicoles importés illégalement de Chine.</w:t>
      </w:r>
      <w:bookmarkEnd w:id="116"/>
    </w:p>
    <w:p w14:paraId="169CBCDD" w14:textId="3895321C" w:rsidR="00B4281C" w:rsidRPr="009A2E71" w:rsidRDefault="00B4281C" w:rsidP="00B4281C">
      <w:pPr>
        <w:spacing w:after="0"/>
      </w:pPr>
      <w:r>
        <w:t>L</w:t>
      </w:r>
      <w:r w:rsidRPr="009A2E71">
        <w:t xml:space="preserve">a sous-direction de l’hygiène et de la sécurité sanitaire des aliments de la Direction des services vétérinaires et du bien-être animal (DSVBA) au sein du ministère des ressources animales et halieutiques (MIRAH) a procédé </w:t>
      </w:r>
      <w:r>
        <w:t xml:space="preserve">le 9 octobre </w:t>
      </w:r>
      <w:r w:rsidRPr="009A2E71">
        <w:t xml:space="preserve">à la destruction de 481 cartons de </w:t>
      </w:r>
      <w:r w:rsidRPr="009A2E71">
        <w:lastRenderedPageBreak/>
        <w:t>viande de volaille, soit près de 9 tonnes, importés illégalement de Chine. Ces produits ont été introduits en violation de la restriction réglementaire de 2016, qui interdit provisoirement l’importation de viande de poulet en Côte d’Ivoire afin de prévenir la grippe aviaire. La société incriminée, bien qu’agréée pour importer de la viande et du poisson, n’était pas autorisée à introduire des produits avicoles. La levée partielle des restrictions, concernant certains produits de volaille cuits ou transformés, demeure en attente de validation.</w:t>
      </w:r>
    </w:p>
    <w:p w14:paraId="2F80BFCF" w14:textId="77777777" w:rsidR="00B4281C" w:rsidRDefault="00B4281C" w:rsidP="006C1591">
      <w:pPr>
        <w:spacing w:after="0"/>
      </w:pPr>
    </w:p>
    <w:p w14:paraId="773706CF" w14:textId="77777777" w:rsidR="006003FA" w:rsidRPr="009A2E71" w:rsidRDefault="006003FA" w:rsidP="006003FA">
      <w:pPr>
        <w:pStyle w:val="Titre2"/>
        <w:spacing w:before="0"/>
      </w:pPr>
      <w:bookmarkStart w:id="117" w:name="_Toc213247413"/>
      <w:r w:rsidRPr="009A2E71">
        <w:t>Bioénergie – Lancement de l’axe 2 du projet Valorisation de la biomasse-énergie et promotion de la cuisson propre en Côte d’Ivoire (VABICUI).</w:t>
      </w:r>
      <w:bookmarkEnd w:id="117"/>
    </w:p>
    <w:p w14:paraId="3B2EAB01" w14:textId="0CFEA51D" w:rsidR="006003FA" w:rsidRPr="009A2E71" w:rsidRDefault="006003FA" w:rsidP="006C1591">
      <w:pPr>
        <w:spacing w:after="0"/>
      </w:pPr>
      <w:r w:rsidRPr="009A2E71">
        <w:t xml:space="preserve">La réunion de </w:t>
      </w:r>
      <w:bookmarkStart w:id="118" w:name="_Hlk211243254"/>
      <w:r w:rsidRPr="009A2E71">
        <w:t>lancement de l’axe 2 du projet VABICUI</w:t>
      </w:r>
      <w:bookmarkEnd w:id="118"/>
      <w:r w:rsidRPr="009A2E71">
        <w:t>, financé par l’Union européenne et piloté par l’Agence belge de développement (ENABEL), s’est tenue le 2 octobre à la Confédération générale des entreprises de Côte d’Ivoire (CGECI). Doté de 4,9 M EUR sur la période 2024-2028 et inscrit dans l’initiative Team Europe Transition bas carbone, le projet vise la réduction des émissions de gaz à effet de serre par la valorisation des déchets agricoles et la promotion de solutions de cuisson propres, accessibles et respectueuses de l’environnement. L’axe 2, mis en œuvre par la Chambre de commerce européenne en Côte d’Ivoire (EUROCHAM), doit dynamiser le secteur privé, améliorer le cadre des affaires, renforcer le cadre réglementaire, stimuler les partenariats et créer un guichet physique et digital d’information et d’opportunités. Le contexte national recense 15 à 17 M de tonnes de déchets agricoles par an encore peu valorisés et des objectifs publics fixés à 45% d’énergies renouvelables en 2030 dont 16% issus de la biomasse et à 50% d’accès à la cuisson propre, ce programme ayant été officiellement lancé en avril 2025.</w:t>
      </w:r>
    </w:p>
    <w:p w14:paraId="4209627D" w14:textId="77777777" w:rsidR="00B4281C" w:rsidRPr="009A2E71" w:rsidRDefault="00B4281C" w:rsidP="00B4281C">
      <w:pPr>
        <w:spacing w:after="0"/>
      </w:pPr>
    </w:p>
    <w:p w14:paraId="7D143DA2" w14:textId="77777777" w:rsidR="00B4281C" w:rsidRPr="009A2E71" w:rsidRDefault="00B4281C" w:rsidP="00B4281C">
      <w:pPr>
        <w:pStyle w:val="Titre2"/>
        <w:spacing w:before="0"/>
      </w:pPr>
      <w:bookmarkStart w:id="119" w:name="_Toc213247414"/>
      <w:r w:rsidRPr="009A2E71">
        <w:t xml:space="preserve">Travail des enfants – Groupes de Services Communautaires, 95% de réussite au CEPE à </w:t>
      </w:r>
      <w:proofErr w:type="spellStart"/>
      <w:r w:rsidRPr="009A2E71">
        <w:t>Biakou</w:t>
      </w:r>
      <w:proofErr w:type="spellEnd"/>
      <w:r w:rsidRPr="009A2E71">
        <w:t>.</w:t>
      </w:r>
      <w:bookmarkEnd w:id="119"/>
    </w:p>
    <w:p w14:paraId="0C8D6318" w14:textId="77777777" w:rsidR="00B4281C" w:rsidRPr="009A2E71" w:rsidRDefault="00B4281C" w:rsidP="00B4281C">
      <w:pPr>
        <w:spacing w:after="0"/>
      </w:pPr>
      <w:r w:rsidRPr="009A2E71">
        <w:t xml:space="preserve">Le Comité National de Surveillance des Actions de Lutte contre la Traite, l’Exploitation et le travail des Enfants (CNS) signale une régression du travail des enfants en Côte d’Ivoire dans la </w:t>
      </w:r>
      <w:proofErr w:type="spellStart"/>
      <w:r w:rsidRPr="009A2E71">
        <w:t>cacaoculture</w:t>
      </w:r>
      <w:proofErr w:type="spellEnd"/>
      <w:r w:rsidRPr="009A2E71">
        <w:t>, portée notamment par les Groupes de Services Communautaires (GSC) implantés par la Fondation International Cocoa Initiative (ICI) et ses partenaires. Ces dispositifs communautaires offrent une alternative concrète au travail des enfants en renforçant l’accès à une main d’œuvre adulte, en améliorant l’organisation des travaux agricoles et en soutenant la scolarisation. Les GSC rassemblent des travailleurs adultes formés et équipés pour fournir des services agricoles à bas coût, augmentant la disponibilité d’une main d’œuvre adulte et réduisant le recours aux enfants pour le défrichage, le ramassage et le cabossage du cacao. Ainsi à Gly, dans le département de Guitry, un GSC contrôle l’absence d’enfants dans les champs et pratique des tarifs de désherbage indicatifs à 20 000 FCFA à crédit ou 15 000 FCFA au comptant par ha, en alternative aux prix pratiqués par des prestataires tiers de 25 000 à 30</w:t>
      </w:r>
      <w:r w:rsidRPr="009A2E71">
        <w:rPr>
          <w:rFonts w:ascii="Calibri" w:hAnsi="Calibri" w:cs="Calibri"/>
        </w:rPr>
        <w:t> </w:t>
      </w:r>
      <w:r w:rsidRPr="009A2E71">
        <w:t>000 FCFA.  L’Organisation internationale du Travail (OIT) et le Fonds des Nations unies pour l’enfance (UNICEF) estiment qu’en 2024 environ 138 M d’enfants étaient victimes du travail des enfants, dont 54 M en travaux dangereux. L’agriculture concentre 61% des cas, devant les services 27% et l’industrie 13%. Depuis 2000, le total a reculé de 246 M à 138 M, mais le rythme demeure insuffisant. L’Afrique subsaharienne regroupe près des deux tiers des enfants concernés, soit environ 87 M, la prévalence passant de 23,9% à 21,5% sans baisse du nombre total en raison de la démographie.</w:t>
      </w:r>
    </w:p>
    <w:p w14:paraId="503E9EF4" w14:textId="77777777" w:rsidR="00B4281C" w:rsidRDefault="00B4281C" w:rsidP="006C1591">
      <w:pPr>
        <w:spacing w:after="0"/>
      </w:pPr>
    </w:p>
    <w:p w14:paraId="24756FB2" w14:textId="77777777" w:rsidR="006003FA" w:rsidRPr="009A2E71" w:rsidRDefault="006003FA" w:rsidP="006003FA">
      <w:pPr>
        <w:pStyle w:val="Titre2"/>
        <w:spacing w:before="0"/>
      </w:pPr>
      <w:bookmarkStart w:id="120" w:name="_Toc213247415"/>
      <w:r w:rsidRPr="009A2E71">
        <w:lastRenderedPageBreak/>
        <w:t xml:space="preserve">Forêt – Reboisement scolaire à </w:t>
      </w:r>
      <w:proofErr w:type="spellStart"/>
      <w:r w:rsidRPr="009A2E71">
        <w:t>Tortiya</w:t>
      </w:r>
      <w:proofErr w:type="spellEnd"/>
      <w:r w:rsidRPr="009A2E71">
        <w:t>.</w:t>
      </w:r>
      <w:bookmarkEnd w:id="120"/>
    </w:p>
    <w:p w14:paraId="77623302" w14:textId="64B1572B" w:rsidR="006003FA" w:rsidRDefault="006003FA" w:rsidP="006C1591">
      <w:pPr>
        <w:spacing w:after="0"/>
      </w:pPr>
      <w:r w:rsidRPr="009A2E71">
        <w:t xml:space="preserve">Cent vingt plants de tecks ont été mis en terre à l’école primaire publique Kouadio Koné 1 de </w:t>
      </w:r>
      <w:proofErr w:type="spellStart"/>
      <w:r w:rsidRPr="009A2E71">
        <w:t>Tortiya</w:t>
      </w:r>
      <w:proofErr w:type="spellEnd"/>
      <w:r w:rsidRPr="009A2E71">
        <w:t xml:space="preserve">, dans le cadre du projet national « Une école, 5 hectares » initié par le ministère des eaux et forêts (MEF) pour restaurer le couvert forestier ivoirien. L’activité, conduite par le directeur de l’établissement M. </w:t>
      </w:r>
      <w:proofErr w:type="spellStart"/>
      <w:r w:rsidRPr="009A2E71">
        <w:t>Zianie</w:t>
      </w:r>
      <w:proofErr w:type="spellEnd"/>
      <w:r w:rsidRPr="009A2E71">
        <w:t xml:space="preserve"> Donald et supervisée par le lieutenant Cédric Boileau, chef du poste local des eaux et forêts, a mobilisé enseignants, élèves et autorités locales. Cette opération s’inscrit dans la stratégie nationale de reboisement et de lutte contre la déforestation et les feux de brousse. Le directeur a salué une initiative éducative et environnementale qui sensibilise les élèves à la préservation des ressources naturelles et à la responsabilité écologique. Le reboisement scolaire contribue également à l’embellissement des établissements, à la création d’espaces d’ombrage et, à long terme, à la génération de ressources économiques locales.</w:t>
      </w:r>
    </w:p>
    <w:p w14:paraId="2736D600" w14:textId="77777777" w:rsidR="006003FA" w:rsidRPr="009A2E71" w:rsidRDefault="006003FA" w:rsidP="006C1591">
      <w:pPr>
        <w:spacing w:after="0"/>
      </w:pPr>
    </w:p>
    <w:p w14:paraId="5B3C3816" w14:textId="75A59D86" w:rsidR="00266388" w:rsidRPr="009A2E71" w:rsidRDefault="00533083" w:rsidP="006C1591">
      <w:pPr>
        <w:pStyle w:val="Titre2"/>
        <w:spacing w:before="0"/>
      </w:pPr>
      <w:bookmarkStart w:id="121" w:name="_Toc213247416"/>
      <w:r w:rsidRPr="009A2E71">
        <w:t xml:space="preserve">Formation - </w:t>
      </w:r>
      <w:r w:rsidR="00266388" w:rsidRPr="009A2E71">
        <w:t xml:space="preserve">50 restaurateurs </w:t>
      </w:r>
      <w:r w:rsidRPr="009A2E71">
        <w:t xml:space="preserve">formés </w:t>
      </w:r>
      <w:r w:rsidR="00266388" w:rsidRPr="009A2E71">
        <w:t>aux standards internationaux.</w:t>
      </w:r>
      <w:bookmarkEnd w:id="121"/>
    </w:p>
    <w:p w14:paraId="38867F41" w14:textId="185C3878" w:rsidR="00266388" w:rsidRPr="009A2E71" w:rsidRDefault="00266388" w:rsidP="006C1591">
      <w:pPr>
        <w:spacing w:after="0"/>
      </w:pPr>
      <w:r w:rsidRPr="009A2E71">
        <w:t xml:space="preserve">Le Comité national de la Zone de libre-échange continentale africaine (CN-ZLECAF) et le ministère du </w:t>
      </w:r>
      <w:r w:rsidR="00533083" w:rsidRPr="009A2E71">
        <w:t>t</w:t>
      </w:r>
      <w:r w:rsidRPr="009A2E71">
        <w:t xml:space="preserve">ourisme et des </w:t>
      </w:r>
      <w:r w:rsidR="00533083" w:rsidRPr="009A2E71">
        <w:t>l</w:t>
      </w:r>
      <w:r w:rsidRPr="009A2E71">
        <w:t xml:space="preserve">oisirs ont réuni </w:t>
      </w:r>
      <w:r w:rsidR="00533083" w:rsidRPr="009A2E71">
        <w:t xml:space="preserve">le 30 septembre </w:t>
      </w:r>
      <w:r w:rsidRPr="009A2E71">
        <w:t>au lycée professionnel hôtelier de la Riviera Golf cinquante restaurateurs et traiteurs pour une session de deux jours</w:t>
      </w:r>
      <w:r w:rsidR="00533083" w:rsidRPr="009A2E71">
        <w:t>,</w:t>
      </w:r>
      <w:r w:rsidRPr="009A2E71">
        <w:t xml:space="preserve"> consacrée aux standards internationaux. Le programme a couvert les techniques culinaires, l’hygiène alimentaire, la gestion et la relation clients afin de mieux positionner la gastronomie ivoirienne à l’export. Dans la stratégie nationale qui fait de 2025 </w:t>
      </w:r>
      <w:r w:rsidR="00533083" w:rsidRPr="009A2E71">
        <w:t>«</w:t>
      </w:r>
      <w:r w:rsidR="00C41E54" w:rsidRPr="009A2E71">
        <w:t xml:space="preserve"> l’</w:t>
      </w:r>
      <w:r w:rsidRPr="009A2E71">
        <w:t>année de la gastronomie ivoirienne », les organisateurs visent l’amélioration de la qualité de service et la compréhension des mécanismes de la ZLECAF. Selon la coordination du Comité national, la montée en compétence des professionnels et la sensibilisation aux opportunités et exigences de l’accord doivent permettre d’accroître la compétitivité des établissements et de renforcer l’attractivité de l’offre ivoirienne sur les marchés extérieurs.</w:t>
      </w:r>
    </w:p>
    <w:p w14:paraId="6E573CB5" w14:textId="1DF5C044" w:rsidR="00FD705E" w:rsidRDefault="00FD705E" w:rsidP="006C1591">
      <w:pPr>
        <w:spacing w:after="0"/>
      </w:pPr>
    </w:p>
    <w:p w14:paraId="15BA2A99" w14:textId="77777777" w:rsidR="006003FA" w:rsidRPr="009A2E71" w:rsidRDefault="006003FA" w:rsidP="006003FA">
      <w:pPr>
        <w:pStyle w:val="Titre2"/>
        <w:spacing w:before="0"/>
        <w:rPr>
          <w:rStyle w:val="Titre2Car"/>
          <w:b/>
        </w:rPr>
      </w:pPr>
      <w:bookmarkStart w:id="122" w:name="_Toc213247417"/>
      <w:r w:rsidRPr="009A2E71">
        <w:rPr>
          <w:rStyle w:val="Titre2Car"/>
          <w:b/>
        </w:rPr>
        <w:t>Formation – Un lycée professionnel forme les jeunes au maraîchage.</w:t>
      </w:r>
      <w:bookmarkEnd w:id="122"/>
    </w:p>
    <w:p w14:paraId="2200E95B" w14:textId="77777777" w:rsidR="006003FA" w:rsidRPr="009A2E71" w:rsidRDefault="006003FA" w:rsidP="006003FA">
      <w:pPr>
        <w:spacing w:after="0"/>
      </w:pPr>
      <w:r w:rsidRPr="009A2E71">
        <w:t xml:space="preserve">Dans le centre du pays, le lycée professionnel agricole de </w:t>
      </w:r>
      <w:proofErr w:type="spellStart"/>
      <w:r w:rsidRPr="009A2E71">
        <w:t>Botro</w:t>
      </w:r>
      <w:proofErr w:type="spellEnd"/>
      <w:r w:rsidRPr="009A2E71">
        <w:t>, forme gratuitement les jeunes aux techniques maraîchères depuis deux ans. Sur un champ-école de 20 ha, les élèves cultivent tomate, aubergine, concombre et courgette tout en apprenant les étapes clés de la production : préparation du terrain, entretien de la pépinière, suivi des récoltes et gestion de la vente. L’établissement vise à faire de ses élèves de véritables entrepreneurs agricoles, capables de rentabiliser leurs activités. Plus de la moitié des deux premières promotions sont déjà en activité, bien que confrontées à la difficulté d’obtenir des financements bancaires.</w:t>
      </w:r>
    </w:p>
    <w:p w14:paraId="1804FD43" w14:textId="77777777" w:rsidR="006003FA" w:rsidRPr="009A2E71" w:rsidRDefault="006003FA" w:rsidP="006003FA">
      <w:pPr>
        <w:spacing w:after="0"/>
      </w:pPr>
    </w:p>
    <w:p w14:paraId="1274A578" w14:textId="271F5148" w:rsidR="006003FA" w:rsidRPr="009A2E71" w:rsidRDefault="006003FA" w:rsidP="006003FA">
      <w:pPr>
        <w:pStyle w:val="Titre2"/>
        <w:spacing w:before="0"/>
      </w:pPr>
      <w:bookmarkStart w:id="123" w:name="_Toc213247418"/>
      <w:r w:rsidRPr="009A2E71">
        <w:t>Exportation –</w:t>
      </w:r>
      <w:r w:rsidR="00B4281C">
        <w:t xml:space="preserve"> </w:t>
      </w:r>
      <w:r w:rsidRPr="009A2E71">
        <w:t>La Côte d’Ivoire veut augmenter ses exportations à destination des États-Unis.</w:t>
      </w:r>
      <w:bookmarkEnd w:id="123"/>
    </w:p>
    <w:p w14:paraId="1FFCB3EE" w14:textId="77777777" w:rsidR="006003FA" w:rsidRPr="009A2E71" w:rsidRDefault="006003FA" w:rsidP="006003FA">
      <w:pPr>
        <w:spacing w:after="0"/>
      </w:pPr>
      <w:r w:rsidRPr="009A2E71">
        <w:t xml:space="preserve">L’ambassade de Côte d’Ivoire aux États-Unis a organisé le 15 octobre un webinaire consacré à l’exportation agricole vers le marché américain, à l’initiative de M. Siaka Traoré, conseiller commercial. L’événement, intitulé « Exportation agricole : les conditions d’accès au marché américain ? », a réuni plus de 75 dirigeants et entrepreneurs agricoles ivoiriens. Animé par M. Coulibaly Séverin </w:t>
      </w:r>
      <w:proofErr w:type="spellStart"/>
      <w:r w:rsidRPr="009A2E71">
        <w:t>Didiélhin</w:t>
      </w:r>
      <w:proofErr w:type="spellEnd"/>
      <w:r w:rsidRPr="009A2E71">
        <w:t xml:space="preserve">, spécialiste du commerce international, et M. </w:t>
      </w:r>
      <w:proofErr w:type="spellStart"/>
      <w:r w:rsidRPr="009A2E71">
        <w:t>Biokou</w:t>
      </w:r>
      <w:proofErr w:type="spellEnd"/>
      <w:r w:rsidRPr="009A2E71">
        <w:t xml:space="preserve"> Mathieu </w:t>
      </w:r>
      <w:proofErr w:type="spellStart"/>
      <w:r w:rsidRPr="009A2E71">
        <w:t>Djayeola</w:t>
      </w:r>
      <w:proofErr w:type="spellEnd"/>
      <w:r w:rsidRPr="009A2E71">
        <w:t xml:space="preserve">, directeur de Falcon </w:t>
      </w:r>
      <w:proofErr w:type="spellStart"/>
      <w:r w:rsidRPr="009A2E71">
        <w:t>Analytica</w:t>
      </w:r>
      <w:proofErr w:type="spellEnd"/>
      <w:r w:rsidRPr="009A2E71">
        <w:t xml:space="preserve">, le webinaire a abordé les exigences de la Food and Drug Administration (FDA) et du U.S. </w:t>
      </w:r>
      <w:proofErr w:type="spellStart"/>
      <w:r w:rsidRPr="009A2E71">
        <w:t>Department</w:t>
      </w:r>
      <w:proofErr w:type="spellEnd"/>
      <w:r w:rsidRPr="009A2E71">
        <w:t xml:space="preserve"> of Agriculture (USDA), les pratiques d’exportation et la sélection de produits à fort potentiel comme le cacao, l’anacarde, le manioc, le karité ou les produits halieutiques. Ce rendez-vous marque le lancement d’un </w:t>
      </w:r>
      <w:r w:rsidRPr="009A2E71">
        <w:lastRenderedPageBreak/>
        <w:t>programme de formation en ligne soutenu par CI-Export et la chambre de commerce et d’industrie de Côte d’Ivoire pour renforcer la compétitivité des exportateurs ivoiriens.</w:t>
      </w:r>
    </w:p>
    <w:p w14:paraId="77DDB928" w14:textId="77777777" w:rsidR="006003FA" w:rsidRPr="009A2E71" w:rsidRDefault="006003FA" w:rsidP="006C1591">
      <w:pPr>
        <w:spacing w:after="0"/>
      </w:pPr>
    </w:p>
    <w:p w14:paraId="6F5C7900" w14:textId="77777777" w:rsidR="0085028C" w:rsidRPr="009A2E71" w:rsidRDefault="0085028C" w:rsidP="006C1591">
      <w:pPr>
        <w:pStyle w:val="Titre2"/>
        <w:spacing w:before="0"/>
      </w:pPr>
      <w:bookmarkStart w:id="124" w:name="_Toc213247419"/>
      <w:r w:rsidRPr="009A2E71">
        <w:t>Gastronomie – 150 chefs cuisiniers formés à Abidjan sur la fiche technique de cuisine.</w:t>
      </w:r>
      <w:bookmarkEnd w:id="124"/>
    </w:p>
    <w:p w14:paraId="499AD85B" w14:textId="77777777" w:rsidR="0085028C" w:rsidRPr="009A2E71" w:rsidRDefault="0085028C" w:rsidP="006C1591">
      <w:pPr>
        <w:spacing w:after="0"/>
      </w:pPr>
      <w:r w:rsidRPr="009A2E71">
        <w:t xml:space="preserve">La Direction de la coopération et de la professionnalisation du ministère du tourisme et des loisirs a lancé le 7 octobre la deuxième session de formation sur l’élaboration de la fiche technique de cuisine, à laquelle participent cent cinquante chefs cuisiniers et assimilés. Cette session, organisée sur trois jours à raison de cinquante participants par jour, vise à doter les professionnels des outils nécessaires pour standardiser les plats, maîtriser les coûts de production et préserver l’authenticité du patrimoine culinaire ivoirien. Représentant le ministre, le directeur général de l’industrie touristique et hôtelière, le Dr </w:t>
      </w:r>
      <w:proofErr w:type="spellStart"/>
      <w:r w:rsidRPr="009A2E71">
        <w:t>Klo</w:t>
      </w:r>
      <w:proofErr w:type="spellEnd"/>
      <w:r w:rsidRPr="009A2E71">
        <w:t xml:space="preserve"> </w:t>
      </w:r>
      <w:proofErr w:type="spellStart"/>
      <w:r w:rsidRPr="009A2E71">
        <w:t>Fagama</w:t>
      </w:r>
      <w:proofErr w:type="spellEnd"/>
      <w:r w:rsidRPr="009A2E71">
        <w:t>, a indiqué que cette initiative s’inscrit dans la stratégie nationale de transformation de la cuisine ivoirienne en gastronomie reconnue, à la fois comme levier d’attractivité touristique et vecteur de développement dans le cadre de «</w:t>
      </w:r>
      <w:r w:rsidRPr="009A2E71">
        <w:rPr>
          <w:rFonts w:ascii="Calibri" w:hAnsi="Calibri" w:cs="Calibri"/>
        </w:rPr>
        <w:t> </w:t>
      </w:r>
      <w:r w:rsidRPr="009A2E71">
        <w:t>l’Année de la gastronomie ivoirienne et du tourisme gastronomique</w:t>
      </w:r>
      <w:r w:rsidRPr="009A2E71">
        <w:rPr>
          <w:rFonts w:ascii="Calibri" w:hAnsi="Calibri" w:cs="Calibri"/>
        </w:rPr>
        <w:t> </w:t>
      </w:r>
      <w:r w:rsidRPr="009A2E71">
        <w:rPr>
          <w:rFonts w:cs="Marianne"/>
        </w:rPr>
        <w:t>»</w:t>
      </w:r>
      <w:r w:rsidRPr="009A2E71">
        <w:t xml:space="preserve"> proclamée pour 2025. Les fiches techniques codifiées serviront de supports pédagogiques dans les écoles hôtelières et établissements de formation, et permettront la codification et la standardisation de neuf mets emblématiques au cours de l’année 2025. L’objectif du ministère vise la création d’un répertoire culinaire national de cinquante mets emblématiques, socle de la gastronomie ivoirienne.</w:t>
      </w:r>
    </w:p>
    <w:p w14:paraId="546AEF80" w14:textId="77777777" w:rsidR="0085028C" w:rsidRPr="009A2E71" w:rsidRDefault="0085028C" w:rsidP="006C1591">
      <w:pPr>
        <w:spacing w:after="0"/>
      </w:pPr>
    </w:p>
    <w:p w14:paraId="20DA5E13" w14:textId="6F1184A5" w:rsidR="00266388" w:rsidRPr="009A2E71" w:rsidRDefault="00B4281C" w:rsidP="006C1591">
      <w:pPr>
        <w:pStyle w:val="Titre2"/>
        <w:spacing w:before="0"/>
      </w:pPr>
      <w:bookmarkStart w:id="125" w:name="_Toc213247420"/>
      <w:r>
        <w:t>Vie des sociétés</w:t>
      </w:r>
      <w:r w:rsidR="00266388" w:rsidRPr="009A2E71">
        <w:t xml:space="preserve"> – </w:t>
      </w:r>
      <w:r w:rsidR="00E03D3F" w:rsidRPr="009A2E71">
        <w:t xml:space="preserve">CFAO </w:t>
      </w:r>
      <w:r w:rsidR="00D20E54" w:rsidRPr="009A2E71">
        <w:t xml:space="preserve">devenu </w:t>
      </w:r>
      <w:r w:rsidR="00E03D3F" w:rsidRPr="009A2E71">
        <w:t xml:space="preserve">unique actionnaire </w:t>
      </w:r>
      <w:r w:rsidR="00266388" w:rsidRPr="009A2E71">
        <w:t>d’</w:t>
      </w:r>
      <w:proofErr w:type="spellStart"/>
      <w:r w:rsidR="00266388" w:rsidRPr="009A2E71">
        <w:t>Adialéa</w:t>
      </w:r>
      <w:proofErr w:type="spellEnd"/>
      <w:r w:rsidR="00E03D3F" w:rsidRPr="009A2E71">
        <w:t xml:space="preserve"> se recentre sur la Côte d’Ivoire</w:t>
      </w:r>
      <w:r w:rsidR="00266388" w:rsidRPr="009A2E71">
        <w:t>.</w:t>
      </w:r>
      <w:bookmarkEnd w:id="125"/>
    </w:p>
    <w:p w14:paraId="723A56CE" w14:textId="59246236" w:rsidR="00266388" w:rsidRDefault="00E03D3F" w:rsidP="006C1591">
      <w:pPr>
        <w:spacing w:after="0"/>
      </w:pPr>
      <w:r w:rsidRPr="009A2E71">
        <w:t xml:space="preserve">La </w:t>
      </w:r>
      <w:r w:rsidR="00266388" w:rsidRPr="009A2E71">
        <w:t>CFAO</w:t>
      </w:r>
      <w:r w:rsidRPr="009A2E71">
        <w:t xml:space="preserve"> est devenu en juillet dernier </w:t>
      </w:r>
      <w:r w:rsidR="00266388" w:rsidRPr="009A2E71">
        <w:t>l’unique propriétaire</w:t>
      </w:r>
      <w:r w:rsidR="00475E4C" w:rsidRPr="009A2E71">
        <w:t xml:space="preserve"> d’</w:t>
      </w:r>
      <w:proofErr w:type="spellStart"/>
      <w:r w:rsidR="00475E4C" w:rsidRPr="009A2E71">
        <w:t>Adialéa</w:t>
      </w:r>
      <w:proofErr w:type="spellEnd"/>
      <w:r w:rsidR="00475E4C" w:rsidRPr="009A2E71">
        <w:t>, coentreprise créée en 2013 avec Carrefour qui lui a cédé en juillet dernier ses 5% de parts restantes</w:t>
      </w:r>
      <w:r w:rsidR="00266388" w:rsidRPr="009A2E71">
        <w:t>. Les réorganisations menées entre juillet et août concentrent désormais</w:t>
      </w:r>
      <w:r w:rsidR="00475E4C" w:rsidRPr="009A2E71">
        <w:t xml:space="preserve"> </w:t>
      </w:r>
      <w:proofErr w:type="spellStart"/>
      <w:r w:rsidR="00475E4C" w:rsidRPr="009A2E71">
        <w:t>Adiléa</w:t>
      </w:r>
      <w:proofErr w:type="spellEnd"/>
      <w:r w:rsidR="00266388" w:rsidRPr="009A2E71">
        <w:t xml:space="preserve"> </w:t>
      </w:r>
      <w:r w:rsidR="00475E4C" w:rsidRPr="009A2E71">
        <w:t xml:space="preserve">et ses </w:t>
      </w:r>
      <w:r w:rsidR="00266388" w:rsidRPr="009A2E71">
        <w:t xml:space="preserve">2 800 salariés sur </w:t>
      </w:r>
      <w:r w:rsidR="00475E4C" w:rsidRPr="009A2E71">
        <w:t xml:space="preserve">les </w:t>
      </w:r>
      <w:r w:rsidR="00266388" w:rsidRPr="009A2E71">
        <w:t xml:space="preserve">marchés </w:t>
      </w:r>
      <w:r w:rsidR="00475E4C" w:rsidRPr="009A2E71">
        <w:t xml:space="preserve">de </w:t>
      </w:r>
      <w:r w:rsidR="00266388" w:rsidRPr="009A2E71">
        <w:t>la Côte d’Ivoire et</w:t>
      </w:r>
      <w:r w:rsidR="00475E4C" w:rsidRPr="009A2E71">
        <w:t xml:space="preserve"> du</w:t>
      </w:r>
      <w:r w:rsidR="00266388" w:rsidRPr="009A2E71">
        <w:t xml:space="preserve"> et réoriente</w:t>
      </w:r>
      <w:r w:rsidR="00475E4C" w:rsidRPr="009A2E71">
        <w:t>nt</w:t>
      </w:r>
      <w:r w:rsidR="00266388" w:rsidRPr="009A2E71">
        <w:t xml:space="preserve"> son modèle vers des formats plus compacts, Carrefour et Carrefour </w:t>
      </w:r>
      <w:proofErr w:type="spellStart"/>
      <w:r w:rsidR="00266388" w:rsidRPr="009A2E71">
        <w:t>Market</w:t>
      </w:r>
      <w:proofErr w:type="spellEnd"/>
      <w:r w:rsidR="00266388" w:rsidRPr="009A2E71">
        <w:t xml:space="preserve">, jugés mieux adaptés aux réalités locales et à la concurrence de l’informel. </w:t>
      </w:r>
      <w:r w:rsidR="00D20E54" w:rsidRPr="009A2E71">
        <w:t xml:space="preserve">Au Sénégal, où la position n’était pas dominante face à Auchan, les magasins ont été cédés à EDK, qui se place parmi les principaux distributeurs du pays par le nombre de points de vente. </w:t>
      </w:r>
      <w:r w:rsidR="00266388" w:rsidRPr="009A2E71">
        <w:t xml:space="preserve">En Côte d’Ivoire, l’opérateur affronte des acteurs historiques comme </w:t>
      </w:r>
      <w:proofErr w:type="spellStart"/>
      <w:r w:rsidR="00266388" w:rsidRPr="009A2E71">
        <w:t>Prosuma</w:t>
      </w:r>
      <w:proofErr w:type="spellEnd"/>
      <w:r w:rsidR="00266388" w:rsidRPr="009A2E71">
        <w:t xml:space="preserve"> (enseignes Casino, Mandarine, Bon Prix) et </w:t>
      </w:r>
      <w:proofErr w:type="spellStart"/>
      <w:r w:rsidR="00266388" w:rsidRPr="009A2E71">
        <w:t>Retail</w:t>
      </w:r>
      <w:proofErr w:type="spellEnd"/>
      <w:r w:rsidR="00266388" w:rsidRPr="009A2E71">
        <w:t xml:space="preserve"> Holding, société mère de </w:t>
      </w:r>
      <w:proofErr w:type="spellStart"/>
      <w:r w:rsidR="00266388" w:rsidRPr="009A2E71">
        <w:t>Label’Vie</w:t>
      </w:r>
      <w:proofErr w:type="spellEnd"/>
      <w:r w:rsidR="00266388" w:rsidRPr="009A2E71">
        <w:t xml:space="preserve">, qui exploite CDCI et ses 121 supermarchés King Cash dans une quarantaine de villes. </w:t>
      </w:r>
      <w:proofErr w:type="spellStart"/>
      <w:r w:rsidR="00266388" w:rsidRPr="009A2E71">
        <w:t>Adialéa</w:t>
      </w:r>
      <w:proofErr w:type="spellEnd"/>
      <w:r w:rsidR="00266388" w:rsidRPr="009A2E71">
        <w:t xml:space="preserve"> opère à Abidjan et prévoit des ouvertures à l’intérieur du pays avec un approvisionnement privilégiant les circuits courts afin de limiter les importations aux seuls produits indisponibles localement. Le développement du hard discount sous l’enseigne </w:t>
      </w:r>
      <w:proofErr w:type="spellStart"/>
      <w:r w:rsidR="00266388" w:rsidRPr="009A2E71">
        <w:t>Supeco</w:t>
      </w:r>
      <w:proofErr w:type="spellEnd"/>
      <w:r w:rsidR="00266388" w:rsidRPr="009A2E71">
        <w:t xml:space="preserve"> est gelé, tout en maintenant cinq </w:t>
      </w:r>
      <w:r w:rsidRPr="009A2E71">
        <w:t xml:space="preserve">magasins </w:t>
      </w:r>
      <w:r w:rsidR="00266388" w:rsidRPr="009A2E71">
        <w:t xml:space="preserve">en Côte d’Ivoire. L’objectif communiqué est d’atteindre 1 Md EUR de chiffre d’affaires </w:t>
      </w:r>
      <w:r w:rsidR="00475E4C" w:rsidRPr="009A2E71">
        <w:t>CFAO Consumer ayant atteint 200 M EUR de chiffre d’affaires en 2024.</w:t>
      </w:r>
    </w:p>
    <w:p w14:paraId="63D8A8C0" w14:textId="77777777" w:rsidR="002B29AD" w:rsidRPr="009A2E71" w:rsidRDefault="002B29AD" w:rsidP="006C1591">
      <w:pPr>
        <w:spacing w:after="0"/>
      </w:pPr>
    </w:p>
    <w:p w14:paraId="0649F2D4" w14:textId="77777777" w:rsidR="00826009" w:rsidRPr="009A2E71" w:rsidRDefault="00826009" w:rsidP="006C1591">
      <w:pPr>
        <w:pStyle w:val="Titre2"/>
        <w:spacing w:before="0"/>
      </w:pPr>
      <w:bookmarkStart w:id="126" w:name="_Toc213247421"/>
      <w:r w:rsidRPr="009A2E71">
        <w:t>Vie des sociétés – Facilité de financement de 100 M EUR de la Banque africaine de développement (BAD) pour la société Sucres et denrées (SUCDEN).</w:t>
      </w:r>
      <w:bookmarkEnd w:id="126"/>
    </w:p>
    <w:p w14:paraId="3AA9ADC1" w14:textId="6E66C5DA" w:rsidR="00826009" w:rsidRDefault="00826009" w:rsidP="006C1591">
      <w:pPr>
        <w:spacing w:after="0"/>
      </w:pPr>
      <w:r w:rsidRPr="009A2E71">
        <w:t xml:space="preserve">La BAD a annoncé le 29 septembre l’approbation par son conseil d’administration d’une facilité de financement de matières premières agricoles de 100 M EUR au profit de SUCDEN, visant le renforcement des chaînes de valeur agricole. Ce projet sera également co-financé à hauteur de 25 M EUR par le fonds </w:t>
      </w:r>
      <w:proofErr w:type="spellStart"/>
      <w:r w:rsidRPr="009A2E71">
        <w:t>Africa</w:t>
      </w:r>
      <w:proofErr w:type="spellEnd"/>
      <w:r w:rsidRPr="009A2E71">
        <w:t xml:space="preserve"> Growing </w:t>
      </w:r>
      <w:proofErr w:type="spellStart"/>
      <w:r w:rsidRPr="009A2E71">
        <w:t>Together</w:t>
      </w:r>
      <w:proofErr w:type="spellEnd"/>
      <w:r w:rsidRPr="009A2E71">
        <w:t xml:space="preserve"> </w:t>
      </w:r>
      <w:proofErr w:type="spellStart"/>
      <w:r w:rsidRPr="009A2E71">
        <w:t>Fund</w:t>
      </w:r>
      <w:proofErr w:type="spellEnd"/>
      <w:r w:rsidRPr="009A2E71">
        <w:t xml:space="preserve"> (AGTF), un fonds de cofinancement entre la BAD et la Banque populaire de Chine et à hauteur de 10 M USD par le Fonds de financement catalytique des petites et moyennes entreprises agroalimentaires (ACFM). </w:t>
      </w:r>
      <w:r w:rsidRPr="009A2E71">
        <w:lastRenderedPageBreak/>
        <w:t>Renouvelable sur deux ans, la facilité vise notamment à élargir les arrangements de préfinancement avec les coopératives et fournisseurs locaux et doit bénéficier à plus de 50 000 petits producteurs.</w:t>
      </w:r>
    </w:p>
    <w:p w14:paraId="77C1361A" w14:textId="47D00767" w:rsidR="002B29AD" w:rsidRDefault="002B29AD" w:rsidP="006C1591">
      <w:pPr>
        <w:spacing w:after="0"/>
      </w:pPr>
    </w:p>
    <w:p w14:paraId="48A9BAFA" w14:textId="651B3513" w:rsidR="002B29AD" w:rsidRPr="009A2E71" w:rsidRDefault="002B29AD" w:rsidP="002B29AD">
      <w:pPr>
        <w:pStyle w:val="Titre2"/>
        <w:spacing w:before="0"/>
      </w:pPr>
      <w:bookmarkStart w:id="127" w:name="_Toc213247422"/>
      <w:r w:rsidRPr="009A2E71">
        <w:t xml:space="preserve">Vie des </w:t>
      </w:r>
      <w:r w:rsidR="00B4197A">
        <w:t>société</w:t>
      </w:r>
      <w:r w:rsidRPr="009A2E71">
        <w:t>s – Résultat net en recul de Nestlé CI.</w:t>
      </w:r>
      <w:bookmarkEnd w:id="127"/>
    </w:p>
    <w:p w14:paraId="3276D3D3" w14:textId="13EA7C1F" w:rsidR="002B29AD" w:rsidRPr="009A2E71" w:rsidRDefault="002B29AD" w:rsidP="002B29AD">
      <w:pPr>
        <w:spacing w:after="0"/>
      </w:pPr>
      <w:r w:rsidRPr="009A2E71">
        <w:t>Nestlé Côte d’Ivoire, filiale du groupe suisse Nestlé, a enregistré une baisse de 21,3% de son résultat net au troisième trimestre 2025, à 11,9 Md FCFA, en raison de la hausse du coût des intrants et d’un contexte économique exigeant. Le chiffre d’affaires a progressé de 1,36% à 173,4 Md FCFA, tandis que le résultat des activités ordinaires s’est replié de 15,9% à 19,7</w:t>
      </w:r>
      <w:r w:rsidR="00A37817">
        <w:t> </w:t>
      </w:r>
      <w:r w:rsidRPr="009A2E71">
        <w:t>Md</w:t>
      </w:r>
      <w:r w:rsidR="00A37817">
        <w:t> </w:t>
      </w:r>
      <w:r w:rsidRPr="009A2E71">
        <w:t xml:space="preserve">FCFA, sous l’effet d’une inflation persistante sur les matières premières, notamment le lait et les céréales. Après une année 2024 marquée par une hausse de 9,6% du bénéfice net, la filiale ivoirienne confirme un ralentissement amorcé dès le premier semestre 2025. Selon le directeur général M. Mohamad </w:t>
      </w:r>
      <w:proofErr w:type="spellStart"/>
      <w:r w:rsidRPr="009A2E71">
        <w:t>Itani</w:t>
      </w:r>
      <w:proofErr w:type="spellEnd"/>
      <w:r w:rsidRPr="009A2E71">
        <w:t xml:space="preserve">, l’entreprise reste sur une trajectoire positive et poursuit ses efforts de réduction des coûts tout en maintenant ses investissements, notamment avec le lancement d’un nouveau format de </w:t>
      </w:r>
      <w:proofErr w:type="spellStart"/>
      <w:r w:rsidRPr="009A2E71">
        <w:t>Cerelac</w:t>
      </w:r>
      <w:proofErr w:type="spellEnd"/>
      <w:r w:rsidRPr="009A2E71">
        <w:t xml:space="preserve"> et la modernisation de ses usines à Yopougon et Zone 4. Nestlé CI anticipe une amélioration progressive de sa profitabilité à partir du quatrième trimestre 2025 grâce à la stabilisation des marchés ouest-africains.</w:t>
      </w:r>
    </w:p>
    <w:p w14:paraId="6B4A3707" w14:textId="77777777" w:rsidR="002B29AD" w:rsidRDefault="002B29AD" w:rsidP="006C1591">
      <w:pPr>
        <w:spacing w:after="0"/>
      </w:pPr>
    </w:p>
    <w:p w14:paraId="63B01650" w14:textId="5EE9BEDD" w:rsidR="002B29AD" w:rsidRPr="002B29AD" w:rsidRDefault="002B29AD" w:rsidP="002B29AD">
      <w:pPr>
        <w:spacing w:after="0"/>
        <w:rPr>
          <w:b/>
          <w:bCs/>
        </w:rPr>
      </w:pPr>
      <w:r w:rsidRPr="002B29AD">
        <w:rPr>
          <w:b/>
          <w:bCs/>
        </w:rPr>
        <w:t>Vie des sociétés – Repli boursier pour Barry Callebaut.</w:t>
      </w:r>
    </w:p>
    <w:p w14:paraId="7554DEB7" w14:textId="77777777" w:rsidR="002B29AD" w:rsidRDefault="002B29AD" w:rsidP="002B29AD">
      <w:pPr>
        <w:spacing w:after="0"/>
      </w:pPr>
      <w:r>
        <w:t>Le groupe subit de plein fouet la flambée des prix du cacao, multipliés par quatre l’an dernier, ce qui a aussi quadruplé sa dette. Incapable de répercuter la hausse sur ses clients, il fait face à une demande de chocolat en recul et à une valorisation boursière réduite à 7,5 Md USD, contre 13 Md trois ans plus tôt. Des rumeurs évoquent un possible retrait de la Bourse de Zurich.</w:t>
      </w:r>
    </w:p>
    <w:p w14:paraId="38EFB712" w14:textId="77777777" w:rsidR="002B29AD" w:rsidRPr="009A2E71" w:rsidRDefault="002B29AD" w:rsidP="006C1591">
      <w:pPr>
        <w:spacing w:after="0"/>
      </w:pPr>
    </w:p>
    <w:p w14:paraId="37860D79" w14:textId="11AD2769" w:rsidR="006003FA" w:rsidRPr="009A2E71" w:rsidRDefault="006003FA" w:rsidP="006003FA">
      <w:pPr>
        <w:pStyle w:val="Titre2"/>
        <w:spacing w:before="0"/>
      </w:pPr>
      <w:bookmarkStart w:id="128" w:name="_Toc213247423"/>
      <w:r>
        <w:t xml:space="preserve">Vie des sociétés </w:t>
      </w:r>
      <w:r w:rsidRPr="009A2E71">
        <w:t>– Bayer promeut une agriculture durable et inclusive pour renforcer la sécurité alimentaire.</w:t>
      </w:r>
      <w:bookmarkEnd w:id="128"/>
    </w:p>
    <w:p w14:paraId="77EA21C6" w14:textId="09E38901" w:rsidR="0085028C" w:rsidRDefault="006003FA" w:rsidP="006C1591">
      <w:pPr>
        <w:spacing w:after="0"/>
      </w:pPr>
      <w:r w:rsidRPr="009A2E71">
        <w:t xml:space="preserve">À l’occasion de la Journée mondiale de l’alimentation, célébrée le 16 octobre, la responsable de la division </w:t>
      </w:r>
      <w:proofErr w:type="spellStart"/>
      <w:r w:rsidRPr="009A2E71">
        <w:t>Crop</w:t>
      </w:r>
      <w:proofErr w:type="spellEnd"/>
      <w:r w:rsidRPr="009A2E71">
        <w:t xml:space="preserve"> Science de Bayer pour l’Afrique de l’Ouest et Centrale, Mme Amandine Berthoud, a présenté la vision et les engagements de l’entreprise en faveur de la sécurité alimentaire et de l’innovation agricole en Côte d’Ivoire. Selon elle, face à la croissance démographique et aux effets du changement climatique, l’agriculture ivoirienne doit se transformer pour devenir plus technologique, plus verte et plus résiliente. Bayer déploie plusieurs initiatives concrètes, dont le programme </w:t>
      </w:r>
      <w:proofErr w:type="spellStart"/>
      <w:r w:rsidRPr="009A2E71">
        <w:t>Better</w:t>
      </w:r>
      <w:proofErr w:type="spellEnd"/>
      <w:r w:rsidRPr="009A2E71">
        <w:t xml:space="preserve"> Life </w:t>
      </w:r>
      <w:proofErr w:type="spellStart"/>
      <w:r w:rsidRPr="009A2E71">
        <w:t>Farming</w:t>
      </w:r>
      <w:proofErr w:type="spellEnd"/>
      <w:r w:rsidRPr="009A2E71">
        <w:t xml:space="preserve"> (BLF), avec 32 centres opérationnels qui forment les petits producteurs à de nouvelles pratiques et facilitent leur accès aux intrants de qualité, au financement et à l’accompagnement technique. L’objectif est de les aider à passer d’une agriculture de subsistance à une agriculture entrepreneuriale, plus productive et durable. Parallèlement, Bayer participe au Abidjan </w:t>
      </w:r>
      <w:proofErr w:type="spellStart"/>
      <w:r w:rsidRPr="009A2E71">
        <w:t>Legacy</w:t>
      </w:r>
      <w:proofErr w:type="spellEnd"/>
      <w:r w:rsidRPr="009A2E71">
        <w:t xml:space="preserve"> Program, un projet gouvernemental destiné à promouvoir la modernisation des pratiques agricoles, la vulgarisation des technologies et l’inclusion des jeunes et des femmes dans la chaîne de valeur. L’entreprise mise également sur l’éducation agricole à travers le programme Safe Use </w:t>
      </w:r>
      <w:proofErr w:type="spellStart"/>
      <w:r w:rsidRPr="009A2E71">
        <w:t>Ambassador</w:t>
      </w:r>
      <w:proofErr w:type="spellEnd"/>
      <w:r w:rsidRPr="009A2E71">
        <w:t xml:space="preserve">, conduit en partenariat avec l’Institut national polytechnique Félix Houphouët-Boigny (INPHB), qui forme des étudiants agronomes aux bonnes pratiques environnementales et à l’utilisation sécurisée des produits agricoles. Pour M. Amandine Berthoud, l’innovation scientifique reste un levier essentiel de cette transformation : les semences hybrides de maïs DEKALB permettent déjà d’atteindre jusqu’à 10 tonnes/ha, contre 1,5 tonne en moyenne, </w:t>
      </w:r>
      <w:r w:rsidRPr="009A2E71">
        <w:lastRenderedPageBreak/>
        <w:t>améliorant ainsi les rendements et les revenus tout en renforçant la résilience face aux aléas climatiques. Bayer réaffirme ainsi son engagement à travailler avec les pouvoirs publics, les institutions financières et les organisations professionnelles, dont la Fédération des producteurs de maïs de Côte d’Ivoire (FEPMACI), pour faire de l’agriculture un moteur durable de croissance et de sécurité alimentaire.</w:t>
      </w:r>
    </w:p>
    <w:p w14:paraId="7001E517" w14:textId="77777777" w:rsidR="002B29AD" w:rsidRPr="009A2E71" w:rsidRDefault="002B29AD" w:rsidP="006C1591">
      <w:pPr>
        <w:spacing w:after="0"/>
      </w:pPr>
    </w:p>
    <w:p w14:paraId="4E760DEE" w14:textId="074B6DA8" w:rsidR="006778B4" w:rsidRPr="009A2E71" w:rsidRDefault="009D0F96" w:rsidP="006C1591">
      <w:pPr>
        <w:pStyle w:val="Titre1"/>
        <w:spacing w:before="0"/>
      </w:pPr>
      <w:bookmarkStart w:id="129" w:name="_Toc213247424"/>
      <w:r w:rsidRPr="009A2E71">
        <w:t>Sénégal</w:t>
      </w:r>
      <w:bookmarkEnd w:id="65"/>
      <w:bookmarkEnd w:id="66"/>
      <w:bookmarkEnd w:id="67"/>
      <w:bookmarkEnd w:id="129"/>
    </w:p>
    <w:p w14:paraId="4CBDCC6E" w14:textId="77777777" w:rsidR="00B4197A" w:rsidRPr="009A2E71" w:rsidRDefault="00B4197A" w:rsidP="00B4197A">
      <w:pPr>
        <w:pStyle w:val="Titre2"/>
        <w:spacing w:before="0"/>
      </w:pPr>
      <w:bookmarkStart w:id="130" w:name="_Toc213247425"/>
      <w:r w:rsidRPr="009A2E71">
        <w:t>Campagne agricole – Des récoltes record.</w:t>
      </w:r>
      <w:bookmarkEnd w:id="130"/>
    </w:p>
    <w:p w14:paraId="621ECBBE" w14:textId="42B5A052" w:rsidR="002B2ABB" w:rsidRPr="009A2E71" w:rsidRDefault="00B4197A" w:rsidP="002B2ABB">
      <w:pPr>
        <w:spacing w:after="0"/>
      </w:pPr>
      <w:r w:rsidRPr="009A2E71">
        <w:t>La campagne agricole 2024-2025 se distingue par de bonnes performances dans plusieurs filières. Les rendements du riz dans la vallée du fleuve Sénégal atteignent entre 7 et 10 tonnes/ha pour une production totale estimée à 492 626 tonnes, tandis que la pomme de terre culmine à 250 000 tonnes et l’oignon à 450 000 tonnes, positionnant le pays comme leader régional. La production de coton a doublé en deux ans pour atteindre 25 000 tonnes, celle de la banane dépasse 112 000 tonnes, et l’arachide pourrait franchir le cap des 900 000 tonnes selon la direction de l’analyse, de la prévision et des statistiques agricoles (DAPSA). Ces résultats sont attribués à la politique de distribution de 105 000 tonnes de semences certifiées, de 120 000 tonnes d’urée, ainsi qu’à la création de coopératives d’utilisation de matériel agricole (CUMA) et du dispositif « Allô Tracteurs ». Le gouvernement prévoit également de développer la transformation locale et d’impliquer les anciens militaires à travers la future brigade de la souveraineté alimentaire, afin de consolider la sécurité alimentaire et la valeur ajoutée nationale.</w:t>
      </w:r>
      <w:r w:rsidR="002B2ABB">
        <w:t xml:space="preserve"> Ces bons résultats interviennent après une précédente campagne moins réussie comme l’a </w:t>
      </w:r>
      <w:r w:rsidR="004C4C60">
        <w:t>souligné</w:t>
      </w:r>
      <w:r w:rsidR="002B2ABB">
        <w:t xml:space="preserve"> l</w:t>
      </w:r>
      <w:r w:rsidR="002B2ABB" w:rsidRPr="009A2E71">
        <w:t xml:space="preserve">a </w:t>
      </w:r>
      <w:r w:rsidR="004C4C60">
        <w:t>r</w:t>
      </w:r>
      <w:r w:rsidR="002B2ABB" w:rsidRPr="009A2E71">
        <w:t xml:space="preserve">evue annuelle conjointe 2025 (RAC-2025) du ministère de l’économie, du plan et de la coopération </w:t>
      </w:r>
      <w:r w:rsidR="004C4C60">
        <w:t>rappelant qu’</w:t>
      </w:r>
      <w:r w:rsidR="002B2ABB" w:rsidRPr="009A2E71">
        <w:t>en 2024 l’agriculture a souffert de conditions climatiques défavorables, avec une production céréalière ramenée à 2,31 M de tonnes, soit 48% des besoins nationaux. La filière arachidière s’</w:t>
      </w:r>
      <w:r w:rsidR="004C4C60">
        <w:t>était</w:t>
      </w:r>
      <w:r w:rsidR="002B2ABB" w:rsidRPr="009A2E71">
        <w:t xml:space="preserve"> contractée, tandis que l’horticulture a</w:t>
      </w:r>
      <w:r w:rsidR="004C4C60">
        <w:t>vait</w:t>
      </w:r>
      <w:r w:rsidR="002B2ABB" w:rsidRPr="009A2E71">
        <w:t xml:space="preserve"> progressé de 3%. L’élevage et la pêche s</w:t>
      </w:r>
      <w:r w:rsidR="004C4C60">
        <w:t>’étaient</w:t>
      </w:r>
      <w:r w:rsidR="002B2ABB" w:rsidRPr="009A2E71">
        <w:t xml:space="preserve"> redressés, la production de viande couvrant 93% des besoins et les débarquements de la pêche artisanale étaient en hausse de 3,8%. </w:t>
      </w:r>
    </w:p>
    <w:p w14:paraId="7695FB62" w14:textId="77777777" w:rsidR="00014ADE" w:rsidRDefault="00014ADE" w:rsidP="00014ADE">
      <w:pPr>
        <w:tabs>
          <w:tab w:val="left" w:pos="2270"/>
        </w:tabs>
        <w:spacing w:after="0"/>
      </w:pPr>
    </w:p>
    <w:p w14:paraId="6155B73C" w14:textId="6D3DCAB2" w:rsidR="00014ADE" w:rsidRPr="00014ADE" w:rsidRDefault="00014ADE" w:rsidP="00014ADE">
      <w:pPr>
        <w:tabs>
          <w:tab w:val="left" w:pos="2270"/>
        </w:tabs>
        <w:spacing w:after="0"/>
        <w:rPr>
          <w:b/>
          <w:bCs/>
        </w:rPr>
      </w:pPr>
      <w:r w:rsidRPr="00014ADE">
        <w:rPr>
          <w:b/>
          <w:bCs/>
        </w:rPr>
        <w:t>Production – Hausse attendue pour la campagne 2025-2026.</w:t>
      </w:r>
    </w:p>
    <w:p w14:paraId="30635197" w14:textId="77777777" w:rsidR="00014ADE" w:rsidRDefault="00014ADE" w:rsidP="00014ADE">
      <w:pPr>
        <w:tabs>
          <w:tab w:val="left" w:pos="2270"/>
        </w:tabs>
        <w:spacing w:after="0"/>
      </w:pPr>
      <w:r>
        <w:t>La Direction régionale du développement rural (DRDR) anticipe une hausse de 15 à 25% pour les céréales et de 20 à 25% pour l’arachide, avec des premières récoltes jugées encourageantes. La progression attendue est attribuée à une pluviométrie excédentaire à normale selon les départements, à une augmentation du nombre de jours de pluie par rapport à l’an dernier et à de meilleures conditions de distribution des intrants. Les autorités ont maintenu la subvention et relevé significativement les quantités d’engrais organiques et de phosphate naturel, tout en intensifiant la production via des coopératives agricoles communautaires (CAC). Sur le plan phytosanitaire, la situation est globalement calme malgré des infestations observées sur le maïs, le mil, l’arachide, le niébé et le sésame dans certaines localités.</w:t>
      </w:r>
    </w:p>
    <w:p w14:paraId="599F1C5C" w14:textId="62C1C886" w:rsidR="002B2ABB" w:rsidRDefault="002B2ABB" w:rsidP="00226282">
      <w:pPr>
        <w:tabs>
          <w:tab w:val="left" w:pos="2270"/>
        </w:tabs>
        <w:spacing w:after="0"/>
      </w:pPr>
    </w:p>
    <w:p w14:paraId="6CFB7600" w14:textId="77777777" w:rsidR="00A773B9" w:rsidRPr="009A2E71" w:rsidRDefault="00A773B9" w:rsidP="00A773B9">
      <w:pPr>
        <w:pStyle w:val="Titre2"/>
        <w:spacing w:before="0"/>
      </w:pPr>
      <w:bookmarkStart w:id="131" w:name="_Toc213247426"/>
      <w:r w:rsidRPr="009A2E71">
        <w:t>Engrais – Volume record de 105 000 tonnes livrées.</w:t>
      </w:r>
      <w:bookmarkEnd w:id="131"/>
    </w:p>
    <w:p w14:paraId="05EAD271" w14:textId="77777777" w:rsidR="00A773B9" w:rsidRPr="009A2E71" w:rsidRDefault="00A773B9" w:rsidP="00A773B9">
      <w:pPr>
        <w:spacing w:after="0"/>
      </w:pPr>
      <w:r w:rsidRPr="009A2E71">
        <w:t xml:space="preserve">Les Industries chimiques du Sénégal (ICS) ont annoncé le 30 septembre avoir livré 105 000 tonnes d’engrais aux distributeurs agréés pour la campagne agricole 2025-2026, en nette hausse par rapport aux 70 000 tonnes de la campagne précédente, avec 93 000 tonnes expédiées entre juin et juillet 2025 afin d’assurer un approvisionnement régulier. L’entreprise </w:t>
      </w:r>
      <w:r w:rsidRPr="009A2E71">
        <w:lastRenderedPageBreak/>
        <w:t xml:space="preserve">qui exploite de l’acide phosphorique à Darou </w:t>
      </w:r>
      <w:proofErr w:type="spellStart"/>
      <w:r w:rsidRPr="009A2E71">
        <w:t>Khoudoss</w:t>
      </w:r>
      <w:proofErr w:type="spellEnd"/>
      <w:r w:rsidRPr="009A2E71">
        <w:t xml:space="preserve"> a également abaissé certains tarifs, le sac de NPK 15-15-15 destiné au maïs passant de 9 500 FCFA en 2024 à 8 500 FCFA en 2025 et le NPK 6-20-10 pour l’arachide de 6 500 FCFA à 6 000 FCFA. Les ICS avaient par ailleurs lancé le 22 juillet le Programme des ICS pour le soutien à l’agriculture (PICSA) visant à renforcer la performance du secteur par des formations, la distribution d’intrants et le développement des capacités des producteurs, une première phase ayant concerné 60 exploitants répartis dans cinq zones agroécologiques et huit régions du pays, de Thiès à Ziguinchor, dans la perspective d’un accompagnement durable à la politique nationale de souveraineté alimentaire.</w:t>
      </w:r>
    </w:p>
    <w:p w14:paraId="3F36B910" w14:textId="77777777" w:rsidR="00A773B9" w:rsidRDefault="00A773B9" w:rsidP="00226282">
      <w:pPr>
        <w:tabs>
          <w:tab w:val="left" w:pos="2270"/>
        </w:tabs>
        <w:spacing w:after="0"/>
      </w:pPr>
    </w:p>
    <w:p w14:paraId="5B2E9397" w14:textId="7E8DE70F" w:rsidR="00226282" w:rsidRPr="009A2E71" w:rsidRDefault="00226282" w:rsidP="00226282">
      <w:pPr>
        <w:pStyle w:val="Titre2"/>
        <w:spacing w:before="0"/>
      </w:pPr>
      <w:bookmarkStart w:id="132" w:name="_Toc213247427"/>
      <w:r w:rsidRPr="009A2E71">
        <w:t xml:space="preserve">Souveraineté alimentaire – Le ministre </w:t>
      </w:r>
      <w:r w:rsidR="000B5E1A" w:rsidRPr="000B5E1A">
        <w:t xml:space="preserve">de l’agriculture, de la souveraineté alimentaire et de l’élevage, le Dr </w:t>
      </w:r>
      <w:proofErr w:type="spellStart"/>
      <w:r w:rsidR="000B5E1A" w:rsidRPr="000B5E1A">
        <w:t>Mabouba</w:t>
      </w:r>
      <w:proofErr w:type="spellEnd"/>
      <w:r w:rsidR="000B5E1A" w:rsidRPr="000B5E1A">
        <w:t xml:space="preserve"> Diagne, réaffirm</w:t>
      </w:r>
      <w:r w:rsidR="000B5E1A">
        <w:t>e</w:t>
      </w:r>
      <w:r w:rsidR="000B5E1A" w:rsidRPr="000B5E1A">
        <w:t xml:space="preserve"> </w:t>
      </w:r>
      <w:r w:rsidR="000B5E1A">
        <w:t>les</w:t>
      </w:r>
      <w:r w:rsidR="000B5E1A" w:rsidRPr="000B5E1A">
        <w:t xml:space="preserve"> ambition</w:t>
      </w:r>
      <w:r w:rsidR="000B5E1A">
        <w:t>s</w:t>
      </w:r>
      <w:r w:rsidR="000B5E1A" w:rsidRPr="000B5E1A">
        <w:t xml:space="preserve"> </w:t>
      </w:r>
      <w:r w:rsidR="000B5E1A">
        <w:t>agricoles du pays.</w:t>
      </w:r>
      <w:bookmarkEnd w:id="132"/>
    </w:p>
    <w:p w14:paraId="24E0DF4C" w14:textId="1EEDB26A" w:rsidR="00226282" w:rsidRDefault="00226282" w:rsidP="00226282">
      <w:pPr>
        <w:spacing w:after="0"/>
      </w:pPr>
      <w:r w:rsidRPr="009A2E71">
        <w:t xml:space="preserve">En marge du Forum </w:t>
      </w:r>
      <w:r w:rsidRPr="009A2E71">
        <w:rPr>
          <w:i/>
          <w:iCs/>
        </w:rPr>
        <w:t xml:space="preserve">Invest in </w:t>
      </w:r>
      <w:proofErr w:type="spellStart"/>
      <w:r w:rsidRPr="009A2E71">
        <w:rPr>
          <w:i/>
          <w:iCs/>
        </w:rPr>
        <w:t>Senegal</w:t>
      </w:r>
      <w:proofErr w:type="spellEnd"/>
      <w:r w:rsidRPr="009A2E71">
        <w:rPr>
          <w:i/>
          <w:iCs/>
        </w:rPr>
        <w:t xml:space="preserve"> 2025</w:t>
      </w:r>
      <w:r w:rsidRPr="009A2E71">
        <w:t xml:space="preserve"> (FII Sénégal) qui s’est tenu les 7 et 8 octobre, </w:t>
      </w:r>
      <w:bookmarkStart w:id="133" w:name="_Hlk213004113"/>
      <w:r w:rsidRPr="009A2E71">
        <w:t xml:space="preserve">le Dr </w:t>
      </w:r>
      <w:proofErr w:type="spellStart"/>
      <w:r w:rsidRPr="009A2E71">
        <w:t>Mabouba</w:t>
      </w:r>
      <w:proofErr w:type="spellEnd"/>
      <w:r w:rsidRPr="009A2E71">
        <w:t xml:space="preserve"> Diagne, a réaffirmé son ambition</w:t>
      </w:r>
      <w:bookmarkEnd w:id="133"/>
      <w:r w:rsidRPr="009A2E71">
        <w:t xml:space="preserve"> de transformer structurellement le secteur agricole à travers les objectifs de réduire de 20% les importations de maïs d’ici 2026, aménager 17</w:t>
      </w:r>
      <w:r w:rsidRPr="009A2E71">
        <w:rPr>
          <w:rFonts w:ascii="Calibri" w:hAnsi="Calibri" w:cs="Calibri"/>
        </w:rPr>
        <w:t> </w:t>
      </w:r>
      <w:r w:rsidRPr="009A2E71">
        <w:t>000 ha supplémentaires, et créer des milliers d’emplois ruraux durables. S’exprimant lors d’un panel sur le thème « Accélérer la transformation agricole du Sénégal » organisé dans le cadre de l’</w:t>
      </w:r>
      <w:proofErr w:type="spellStart"/>
      <w:r w:rsidRPr="009A2E71">
        <w:rPr>
          <w:i/>
          <w:iCs/>
        </w:rPr>
        <w:t>Africa</w:t>
      </w:r>
      <w:proofErr w:type="spellEnd"/>
      <w:r w:rsidRPr="009A2E71">
        <w:rPr>
          <w:i/>
          <w:iCs/>
        </w:rPr>
        <w:t xml:space="preserve"> Agriculture Accelerator Program</w:t>
      </w:r>
      <w:r w:rsidRPr="009A2E71">
        <w:t xml:space="preserve"> (AAAP), le ministre a précisé que cette dynamique vise produire au Sénégal ce que le Sénégal consomme, en mobilisant l’ensemble des acteurs publics et privés autour d’une agriculture moderne, résiliente et compétitive. Le programme AAAP, aligné sur le </w:t>
      </w:r>
      <w:r w:rsidRPr="009A2E71">
        <w:rPr>
          <w:i/>
          <w:iCs/>
        </w:rPr>
        <w:t>Plan Sénégal 2050</w:t>
      </w:r>
      <w:r w:rsidRPr="009A2E71">
        <w:t xml:space="preserve">, repose sur cinq leviers majeurs : accroissement de la productivité, financement sécurisé, contractualisation durable, digitalisation des filières via la plateforme </w:t>
      </w:r>
      <w:proofErr w:type="spellStart"/>
      <w:r w:rsidRPr="009A2E71">
        <w:t>Tolbi</w:t>
      </w:r>
      <w:proofErr w:type="spellEnd"/>
      <w:r w:rsidRPr="009A2E71">
        <w:t xml:space="preserve"> OS, et renforcement des capacités de stockage et de transformation. Les premiers résultats pilotes, observés à Kolda et Mbour, montrent déjà des rendements doublés sur plus de 250 ha cultivés et une hausse notable des revenus des producteurs. En synergie avec cette initiative, le ministre a également présenté le programme </w:t>
      </w:r>
      <w:proofErr w:type="spellStart"/>
      <w:r w:rsidRPr="009A2E71">
        <w:t>AgriConnect</w:t>
      </w:r>
      <w:proofErr w:type="spellEnd"/>
      <w:r w:rsidRPr="009A2E71">
        <w:t xml:space="preserve">, développé en partenariat avec le Groupe de la Banque mondiale et le ministère MASAE. Inscrite dans l’Agenda « Sénégal 2050 », la stratégie du MASAE repose sur une approche intégrée favorisant les coopératives communautaires, le développement de grands périmètres agricoles dotés de technologies modernes d’irrigation et la création de la plateforme </w:t>
      </w:r>
      <w:proofErr w:type="spellStart"/>
      <w:r w:rsidRPr="009A2E71">
        <w:t>AgriConnect</w:t>
      </w:r>
      <w:proofErr w:type="spellEnd"/>
      <w:r w:rsidRPr="009A2E71">
        <w:t xml:space="preserve"> destinée à relier les acteurs publics, privés et les partenaires techniques et financiers. Ce cadre fédérateur aligne plusieurs programmes agricoles nationaux (PRAPS2, DREVE, FSRP, PCAE et CAC) autour d’un objectif commun de modernisation des filières agricoles et d’élevage. Selon le ministre, </w:t>
      </w:r>
      <w:proofErr w:type="spellStart"/>
      <w:r w:rsidRPr="009A2E71">
        <w:t>AgriConnect</w:t>
      </w:r>
      <w:proofErr w:type="spellEnd"/>
      <w:r w:rsidRPr="009A2E71">
        <w:t xml:space="preserve"> favorisera une syndication stratégique entre les principaux bailleurs (BAD, BID, AFD, FIDA, Banque mondiale/IFC, BOAD et FAO), afin d’optimiser la coordination, mutualiser les ressources et renforcer l’impact sur le terrain. Le ministre a insisté sur l’importance de la digitalisation des intrants, de la résilience climatique et de la contractualisation tripartite entre producteurs, industriels et banques, tout en annonçant la structuration de plus de 500 coopératives agricoles communautaires (CAC) capables de générer chacune plus de 2 000 emplois durables. Ces initiatives s’inscrivent dans la stratégie d’intégration régionale et de montée en puissance des chaînes de valeur agricoles et agroalimentaires du Sénégal. Selon le ministre, la mise en œuvre de cette ambition nécessitera 2 000 Md FCFA sur dix ans, mobilisés via la plateforme </w:t>
      </w:r>
      <w:proofErr w:type="spellStart"/>
      <w:r w:rsidRPr="009A2E71">
        <w:t>AgriConnect</w:t>
      </w:r>
      <w:proofErr w:type="spellEnd"/>
      <w:r w:rsidRPr="009A2E71">
        <w:t xml:space="preserve"> afin d’éviter la dispersion des initiatives. L’État s’engage à assurer une gouvernance rigoureuse, une redevabilité mesurable et une participation active du secteur privé et des collectivités locales.</w:t>
      </w:r>
    </w:p>
    <w:p w14:paraId="1FE251E5" w14:textId="486C794F" w:rsidR="00A773B9" w:rsidRDefault="00A773B9" w:rsidP="00226282">
      <w:pPr>
        <w:spacing w:after="0"/>
      </w:pPr>
    </w:p>
    <w:p w14:paraId="359A05E1" w14:textId="77777777" w:rsidR="00B4197A" w:rsidRPr="009A2E71" w:rsidRDefault="00B4197A" w:rsidP="00B4197A">
      <w:pPr>
        <w:pStyle w:val="Titre2"/>
        <w:spacing w:before="0"/>
      </w:pPr>
      <w:bookmarkStart w:id="134" w:name="_Toc213247428"/>
      <w:r w:rsidRPr="009A2E71">
        <w:lastRenderedPageBreak/>
        <w:t>Agropoles – Le gouvernement mise sur l’industrialisation territoriale.</w:t>
      </w:r>
      <w:bookmarkEnd w:id="134"/>
    </w:p>
    <w:p w14:paraId="500D81B3" w14:textId="22F4CE5C" w:rsidR="00B4197A" w:rsidRPr="009A2E71" w:rsidRDefault="00B4197A" w:rsidP="00B4197A">
      <w:pPr>
        <w:spacing w:after="0"/>
      </w:pPr>
      <w:r w:rsidRPr="009A2E71">
        <w:t xml:space="preserve">Le programme national de développement des agropoles du Sénégal (PNDAS) vise à bâtir des pôles agro-industriels intégrés sur l’ensemble du territoire pour transformer localement les productions agricoles, créer des emplois et réduire les importations. Cinq zones sont ciblées : Centre, Nord, Sud, Ouest et Est, avec des financements totalisant plus de 400 Md FCFA, soutenus par la Banque africaine de développement (BAD), la Banque islamique de développement (BID), </w:t>
      </w:r>
      <w:proofErr w:type="spellStart"/>
      <w:r w:rsidRPr="009A2E71">
        <w:t>Enabel</w:t>
      </w:r>
      <w:proofErr w:type="spellEnd"/>
      <w:r w:rsidRPr="009A2E71">
        <w:t xml:space="preserve"> et l’État. Selon les prévisions gouvernementales, les pôles Sud et Centre généreront environ 350 000 emplois directs et indirects. Le Premier ministre, M. Ousmane </w:t>
      </w:r>
      <w:proofErr w:type="spellStart"/>
      <w:r w:rsidRPr="009A2E71">
        <w:t>Sonko</w:t>
      </w:r>
      <w:proofErr w:type="spellEnd"/>
      <w:r w:rsidRPr="009A2E71">
        <w:t xml:space="preserve">, et le ministre de l’industrie, M. Serigne </w:t>
      </w:r>
      <w:proofErr w:type="spellStart"/>
      <w:r w:rsidRPr="009A2E71">
        <w:t>Guèye</w:t>
      </w:r>
      <w:proofErr w:type="spellEnd"/>
      <w:r w:rsidRPr="009A2E71">
        <w:t xml:space="preserve"> Diop, ont souligné que les agropoles constituent la véritable politique industrielle du gouvernement, permettant de transformer les produits locaux à forte valeur ajoutée, à l’image de l’anacarde dont le prix peut être multiplié par vingt après transformation. Le taux actuel de transformation agricole, inférieur à 15%, montre le potentiel à exploiter. Le pôle Sud réserve 50% des emplois aux femmes et 60% aux jeunes, avec un partenariat de 190 M FCFA signé avec la Compagnie nationale d’assurance agricole du Sénégal (CNAAS). Ce programme, inscrit dans la vision Sénégal 2050, ambitionne de faire des agropoles un moteur de la souveraineté alimentaire et du développement industriel durable.</w:t>
      </w:r>
    </w:p>
    <w:p w14:paraId="6ED8916E" w14:textId="49FF5132" w:rsidR="00B4197A" w:rsidRDefault="00B4197A" w:rsidP="006C1591">
      <w:pPr>
        <w:pStyle w:val="Titre2"/>
        <w:spacing w:before="0"/>
      </w:pPr>
    </w:p>
    <w:p w14:paraId="5420D7DD" w14:textId="77777777" w:rsidR="00A773B9" w:rsidRPr="009A2E71" w:rsidRDefault="00A773B9" w:rsidP="00A773B9">
      <w:pPr>
        <w:pStyle w:val="Titre2"/>
        <w:spacing w:before="0"/>
      </w:pPr>
      <w:bookmarkStart w:id="135" w:name="_Toc213247429"/>
      <w:r w:rsidRPr="009A2E71">
        <w:t>Foncier – Fort potentiel de terres agricoles inexploitées.</w:t>
      </w:r>
      <w:bookmarkEnd w:id="135"/>
    </w:p>
    <w:p w14:paraId="62DACF0B" w14:textId="08D5E62D" w:rsidR="00A773B9" w:rsidRDefault="00A773B9" w:rsidP="00A773B9">
      <w:pPr>
        <w:spacing w:after="0"/>
      </w:pPr>
      <w:r w:rsidRPr="009A2E71">
        <w:t xml:space="preserve">Le Sénégal dispose de 6,5 M d’ha de terres agricoles inexploitées, concentrées dans le sud et le sud-est, selon M. Mbaye Sylla </w:t>
      </w:r>
      <w:proofErr w:type="spellStart"/>
      <w:r w:rsidRPr="009A2E71">
        <w:t>Khouma</w:t>
      </w:r>
      <w:proofErr w:type="spellEnd"/>
      <w:r w:rsidRPr="009A2E71">
        <w:t xml:space="preserve">, président du conseil d’administration de l’institut sénégalais de recherches agricoles (ISRA). Sur 9,8 M d’ha de terres cultivables, seulement 100 000 ha sont exploités toute l’année, tandis qu’environ 3,5 M d’ha ne le sont que durant quatre mois. Ce potentiel, soutenu par d’importantes réserves d’eau et une forte exposition solaire, doit être valorisé pour renforcer la souveraineté alimentaire nationale. M. </w:t>
      </w:r>
      <w:proofErr w:type="spellStart"/>
      <w:r w:rsidRPr="009A2E71">
        <w:t>Khouma</w:t>
      </w:r>
      <w:proofErr w:type="spellEnd"/>
      <w:r w:rsidRPr="009A2E71">
        <w:t xml:space="preserve"> a plaidé pour une réorientation des investissements agricoles vers les zones à fort potentiel et souligné le rôle essentiel de la recherche pour améliorer les pratiques et atteindre l’autosuffisance, alors que le pays dépense plus de 1 070 Md FCFA par an pour les importations alimentaires. Les journées portes ouvertes de l’ISRA à </w:t>
      </w:r>
      <w:proofErr w:type="spellStart"/>
      <w:r w:rsidRPr="009A2E71">
        <w:t>Djibélor</w:t>
      </w:r>
      <w:proofErr w:type="spellEnd"/>
      <w:r w:rsidRPr="009A2E71">
        <w:t xml:space="preserve"> ont également mis en avant la collaboration entre chercheurs, producteurs et autorités locales pour accroître la productivité et développer la station de recherche de </w:t>
      </w:r>
      <w:proofErr w:type="spellStart"/>
      <w:r w:rsidRPr="009A2E71">
        <w:t>Séfa</w:t>
      </w:r>
      <w:proofErr w:type="spellEnd"/>
      <w:r w:rsidRPr="009A2E71">
        <w:t>, destinée à renforcer la production nationale de semences.</w:t>
      </w:r>
    </w:p>
    <w:p w14:paraId="10EC0EBD" w14:textId="77777777" w:rsidR="00A773B9" w:rsidRPr="00A773B9" w:rsidRDefault="00A773B9" w:rsidP="00A773B9">
      <w:pPr>
        <w:spacing w:after="0"/>
      </w:pPr>
    </w:p>
    <w:p w14:paraId="0769AEB8" w14:textId="77777777" w:rsidR="006778B4" w:rsidRPr="009A2E71" w:rsidRDefault="006778B4" w:rsidP="006C1591">
      <w:pPr>
        <w:pStyle w:val="Titre2"/>
        <w:spacing w:before="0"/>
      </w:pPr>
      <w:bookmarkStart w:id="136" w:name="_Toc213247430"/>
      <w:r w:rsidRPr="009A2E71">
        <w:t>Emploi – Les volontaires de l’agriculture alertent sur leurs conditions.</w:t>
      </w:r>
      <w:bookmarkEnd w:id="136"/>
    </w:p>
    <w:p w14:paraId="7C608BE7" w14:textId="39423678" w:rsidR="006778B4" w:rsidRDefault="006778B4" w:rsidP="006C1591">
      <w:pPr>
        <w:spacing w:after="0"/>
      </w:pPr>
      <w:r w:rsidRPr="009A2E71">
        <w:t>Les 1 000 volontaires de l’agriculture, formés au centre national d’entraînement tactique du capitaine Mbaye Diagne de Thiès et déployés dans les communes pour appuyer les dynamiques rurales, dénoncent leurs conditions de travail précaires. Après plus de deux mois de mission, ils affirment ne pas avoir perçu leurs indemnités et manquent des équipements nécessaires à leurs tâches, tels que tablettes connectées, équipements de protection individuelle, moyens de transport et de communication. Dans un communiqué transmis à la presse, ils signalent des difficultés financières les empêchant de subvenir à leurs besoins essentiels, notamment le logement et la nourriture. Cette situation, selon eux, compromet leur motivation et leur capacité à accompagner efficacement les producteurs et les élus locaux. Les volontaires appellent les autorités à une intervention urgente pour régulariser leur statut et leur permettre de poursuivre leurs activités au service du monde rural.</w:t>
      </w:r>
    </w:p>
    <w:p w14:paraId="3C3074A2" w14:textId="29F738EE" w:rsidR="00A773B9" w:rsidRDefault="00A773B9" w:rsidP="006C1591">
      <w:pPr>
        <w:spacing w:after="0"/>
      </w:pPr>
    </w:p>
    <w:p w14:paraId="55D28545" w14:textId="03833663" w:rsidR="00A773B9" w:rsidRPr="009A2E71" w:rsidRDefault="00A773B9" w:rsidP="00A773B9">
      <w:pPr>
        <w:pStyle w:val="Titre2"/>
        <w:spacing w:before="0"/>
      </w:pPr>
      <w:bookmarkStart w:id="137" w:name="_Toc213247431"/>
      <w:r>
        <w:lastRenderedPageBreak/>
        <w:t>Réinsertion</w:t>
      </w:r>
      <w:r w:rsidRPr="009A2E71">
        <w:t xml:space="preserve"> – Partenariat inédit entre agriculture et justice.</w:t>
      </w:r>
      <w:bookmarkEnd w:id="137"/>
    </w:p>
    <w:p w14:paraId="084F808F" w14:textId="3C6E8852" w:rsidR="00A773B9" w:rsidRDefault="00A773B9" w:rsidP="00A773B9">
      <w:pPr>
        <w:spacing w:after="0"/>
      </w:pPr>
      <w:r w:rsidRPr="009A2E71">
        <w:t>Le ministère de l’agriculture, de la souveraineté alimentaire et de l’élevage et le ministère de la justice ont signé une convention visant à lier réinsertion sociale et développement agricole. Ce partenariat inédit prévoit la formation et l’insertion des détenus dans les métiers de l’agriculture et de l’élevage, la valorisation des terres sous-exploitées, la production locale de denrées pour améliorer les conditions de vie en détention, ainsi que la préparation à la réinsertion des détenus à travers l’acquisition de compétences.</w:t>
      </w:r>
    </w:p>
    <w:p w14:paraId="77709883" w14:textId="77777777" w:rsidR="00A0177C" w:rsidRDefault="00A0177C" w:rsidP="00A773B9">
      <w:pPr>
        <w:spacing w:after="0"/>
      </w:pPr>
    </w:p>
    <w:p w14:paraId="7DD9721F" w14:textId="77777777" w:rsidR="00434972" w:rsidRPr="009A2E71" w:rsidRDefault="00434972" w:rsidP="00434972">
      <w:pPr>
        <w:pStyle w:val="Titre2"/>
        <w:spacing w:before="0"/>
      </w:pPr>
      <w:bookmarkStart w:id="138" w:name="_Toc213247432"/>
      <w:r w:rsidRPr="009A2E71">
        <w:t>Migration – 95 saisonniers en partance pour l’Espagne.</w:t>
      </w:r>
      <w:bookmarkEnd w:id="138"/>
    </w:p>
    <w:p w14:paraId="4ED913A5" w14:textId="2B60BCF7" w:rsidR="00434972" w:rsidRPr="009A2E71" w:rsidRDefault="00434972" w:rsidP="00A773B9">
      <w:pPr>
        <w:spacing w:after="0"/>
      </w:pPr>
      <w:r w:rsidRPr="009A2E71">
        <w:t>Quatre-vingt-quinze travailleurs saisonniers, dont 83 hommes et 12 femmes, ont quitté Dakar dans le cadre du programme de migration circulaire pour un séjour de neuf mois en Espagne. Le secrétaire d’État aux Sénégalais de l’extérieur, M. Amadou Chérif Diouf, a rappelé l’objectif : permettre à des jeunes de partir acquérir de l’expérience et des revenus puis de revenir pour contribuer au pays, en privilégiant des voies légales. Il a précisé que la durée maximale autorisée est de neuf mois, avec la possibilité de changer d’entreprise sans dépasser ce plafond. Les autorités soulignent des résultats jugés probants des précédents départs avec un taux de retour déclaré de 100%, notamment un groupe de 40 travailleurs revenus à l’issue de leur contrat. Une sélection rigoureuse a été opérée et des entreprises espagnoles ont indiqué leur intention d’accueillir davantage de saisonniers lors des prochaines campagnes.</w:t>
      </w:r>
    </w:p>
    <w:p w14:paraId="79714D40" w14:textId="42C73572" w:rsidR="006778B4" w:rsidRPr="009A2E71" w:rsidRDefault="006778B4" w:rsidP="006C1591">
      <w:pPr>
        <w:spacing w:after="0"/>
      </w:pPr>
    </w:p>
    <w:p w14:paraId="539EDB72" w14:textId="77777777" w:rsidR="00014ADE" w:rsidRPr="009A2E71" w:rsidRDefault="00014ADE" w:rsidP="00014ADE">
      <w:pPr>
        <w:pStyle w:val="Titre2"/>
        <w:spacing w:before="0"/>
      </w:pPr>
      <w:bookmarkStart w:id="139" w:name="_Toc213247433"/>
      <w:r w:rsidRPr="009A2E71">
        <w:t>Arachide – Projet d’unité industrielle de transformation.</w:t>
      </w:r>
      <w:bookmarkEnd w:id="139"/>
    </w:p>
    <w:p w14:paraId="105575B7" w14:textId="77777777" w:rsidR="00014ADE" w:rsidRPr="009A2E71" w:rsidRDefault="00014ADE" w:rsidP="00014ADE">
      <w:pPr>
        <w:spacing w:after="0"/>
      </w:pPr>
      <w:r w:rsidRPr="009A2E71">
        <w:t xml:space="preserve">Un projet d’implantation d’une unité moderne de transformation de l’arachide et de ses dérivés a été lancé au sein de la Zone économique spéciale (ZES) de Touba Terminal. Le complexe comprendra un port sec d’une capacité de 100 000 conteneurs, un parc industriel et logistique de 250 ha, une bourse agricole, un parc solaire de 50 MW et des infrastructures résidentielles. Selon M. El Hadj </w:t>
      </w:r>
      <w:proofErr w:type="spellStart"/>
      <w:r w:rsidRPr="009A2E71">
        <w:t>Ndane</w:t>
      </w:r>
      <w:proofErr w:type="spellEnd"/>
      <w:r w:rsidRPr="009A2E71">
        <w:t xml:space="preserve"> Diagne, directeur général de la Société nationale de commercialisation des oléagineux du Sénégal (SONACOS SA), ce projet vise à renforcer le rôle de l’entreprise comme leader national de la filière arachidière et à accroître sa compétitivité régionale. Pour M. Khadim </w:t>
      </w:r>
      <w:proofErr w:type="spellStart"/>
      <w:r w:rsidRPr="009A2E71">
        <w:t>Kébé</w:t>
      </w:r>
      <w:proofErr w:type="spellEnd"/>
      <w:r w:rsidRPr="009A2E71">
        <w:t>, président de Focus Investment Group, l’implantation de la SONACOS dans cet écosystème intégré confirme la vision de faire de Touba un hub économique majeur en Afrique de l’Ouest.</w:t>
      </w:r>
    </w:p>
    <w:p w14:paraId="3991A407" w14:textId="77777777" w:rsidR="00014ADE" w:rsidRPr="009A2E71" w:rsidRDefault="00014ADE" w:rsidP="00014ADE">
      <w:pPr>
        <w:spacing w:after="0"/>
      </w:pPr>
    </w:p>
    <w:p w14:paraId="58DDC7D8" w14:textId="77777777" w:rsidR="00014ADE" w:rsidRPr="009A2E71" w:rsidRDefault="00014ADE" w:rsidP="00014ADE">
      <w:pPr>
        <w:pStyle w:val="Titre2"/>
        <w:spacing w:before="0"/>
      </w:pPr>
      <w:bookmarkStart w:id="140" w:name="_Toc213247434"/>
      <w:r w:rsidRPr="009A2E71">
        <w:t>Semences – Une stratégie nationale pour la souveraineté et l’autonomie semencière.</w:t>
      </w:r>
      <w:bookmarkEnd w:id="140"/>
    </w:p>
    <w:p w14:paraId="4F489AFC" w14:textId="77777777" w:rsidR="00014ADE" w:rsidRPr="009A2E71" w:rsidRDefault="00014ADE" w:rsidP="00014ADE">
      <w:pPr>
        <w:spacing w:after="0"/>
      </w:pPr>
      <w:r w:rsidRPr="009A2E71">
        <w:t xml:space="preserve">Un atelier national sur la Stratégie de souveraineté semencière 2025-2034, réunissant décideurs, chercheurs et organisations paysannes a été lancé pour définir la feuille de route d’une autosuffisance en semences à l’horizon 2050. Cette initiative vise à renforcer la production nationale, réduire la dépendance aux importations et stimuler l’emploi agricole. Le plan décennal, élaboré par les acteurs du secteur, s’articule autour de quatre axes majeurs : le renforcement de la gouvernance et de la coordination du système semencier national, l’amélioration de la disponibilité, de la qualité et de la traçabilité des semences certifiées, la stimulation de l’investissement privé et étranger dans la production et la distribution, ainsi que la modernisation des outils de certification et de suivi par la digitalisation. Selon le Dr Alpha Ba, ministre secrétaire d’État chargé des coopératives et de l’encadrement paysan, le document servira à coordonner les actions, mobiliser les ressources et impliquer tous les acteurs dans un contexte où les semences certifiées ne couvrent encore que 6% des céréales et 15% de l’arachide et du maraîchage. Le ministre de l’agriculture et de la souveraineté </w:t>
      </w:r>
      <w:r w:rsidRPr="009A2E71">
        <w:lastRenderedPageBreak/>
        <w:t xml:space="preserve">alimentaire, le Dr </w:t>
      </w:r>
      <w:proofErr w:type="spellStart"/>
      <w:r w:rsidRPr="009A2E71">
        <w:t>Mabouba</w:t>
      </w:r>
      <w:proofErr w:type="spellEnd"/>
      <w:r w:rsidRPr="009A2E71">
        <w:t xml:space="preserve"> Diagne, a précisé que cette démarche vise à faire du Sénégal un pays producteur, exportateur et régulateur de ses propres semences certifiées. D’après lui, l’enjeu est aussi de réduire les importations, qui coûtent chaque année entre 20 et 30 Md FCFA pour les semences horticoles. Dès la campagne 2025/2026, des actions prioritaires seront engagées, dont une vaste campagne nationale de sensibilisation à l’utilisation des semences certifiées, la constitution d’un stock tampon de semences de base et de semences certifiées R1, ainsi que la création d’un fonds d’appui au secteur semencier et de pôles régionaux de production et de distribution. Dans le prolongement de cette stratégie, le ministre a salué la ferme Qualité végétale sénégalaise (QVS) pour son rôle dans la reconstitution du capital semencier arachidier. Exploitant 33 ha avec maîtrise de l’eau et des périmètres irrigués, QVS, en partenariat avec l’Institut sénégalais de recherche agricole (ISRA), atteint des rendements de 5 à 6 tonnes/ha contre une moyenne nationale de 3 tonnes/ha, illustrant le potentiel d’une agriculture performante.</w:t>
      </w:r>
    </w:p>
    <w:p w14:paraId="5D696DCB" w14:textId="77777777" w:rsidR="00014ADE" w:rsidRDefault="00014ADE" w:rsidP="006C1591">
      <w:pPr>
        <w:spacing w:after="0"/>
      </w:pPr>
    </w:p>
    <w:p w14:paraId="0DFCB9A7" w14:textId="77777777" w:rsidR="00B4197A" w:rsidRPr="009A2E71" w:rsidRDefault="00B4197A" w:rsidP="00B4197A">
      <w:pPr>
        <w:pStyle w:val="Titre2"/>
        <w:spacing w:before="0"/>
      </w:pPr>
      <w:bookmarkStart w:id="141" w:name="_Toc213247435"/>
      <w:r w:rsidRPr="009A2E71">
        <w:t>Riz – Crise de commercialisation dans la vallée du fleuve Sénégal.</w:t>
      </w:r>
      <w:bookmarkEnd w:id="141"/>
    </w:p>
    <w:p w14:paraId="336AF883" w14:textId="77777777" w:rsidR="00B4197A" w:rsidRPr="009A2E71" w:rsidRDefault="00B4197A" w:rsidP="00B4197A">
      <w:pPr>
        <w:spacing w:after="0"/>
      </w:pPr>
      <w:r w:rsidRPr="009A2E71">
        <w:t xml:space="preserve">Le comité interprofessionnel du riz (CIRIZ) a signalé une mévente de plus de 350 000 tonnes de riz dans le département de Dagana, dans la vallée du fleuve Sénégal, une situation jugée catastrophique par les producteurs. Ainsi, plus de 60 000 tonnes de riz blanc et 300 000 tonnes de riz paddy sont actuellement stockées sans débouchés, compromettant la préparation des prochaines campagnes agricoles. Selon le président du CIRIZ, M. Ousseynou Ndiaye, la baisse des prix sur le marché et la concurrence des importations empêchent les riziculteurs d’écouler leurs stocks, les tarifs de 300 à 310 FCFA le kg fixés par le gouvernement étant jugés trop bas pour couvrir les coûts de production. Selon le porte-parole des producteurs du département, M. </w:t>
      </w:r>
      <w:proofErr w:type="spellStart"/>
      <w:r w:rsidRPr="009A2E71">
        <w:t>Adiouma</w:t>
      </w:r>
      <w:proofErr w:type="spellEnd"/>
      <w:r w:rsidRPr="009A2E71">
        <w:t xml:space="preserve"> </w:t>
      </w:r>
      <w:proofErr w:type="spellStart"/>
      <w:r w:rsidRPr="009A2E71">
        <w:t>Boh</w:t>
      </w:r>
      <w:proofErr w:type="spellEnd"/>
      <w:r w:rsidRPr="009A2E71">
        <w:t>, seule une intervention rapide de l’État peut éviter l’effondrement de la filière, les producteurs étant confrontés à des difficultés de trésorerie qui freinent les opérations de traitement, de fertilisation et d’entretien. Les acteurs demandent la mise en œuvre urgente des mesures prévues dans le contrat-programme d’environ 1 000 Md FCFA récemment signé avec le gouvernement, visant à atteindre 75% d’autosuffisance en riz. Cette situation, si elle perdure, menace directement les revenus de milliers de producteurs et les objectifs nationaux de sécurité alimentaire.</w:t>
      </w:r>
    </w:p>
    <w:p w14:paraId="29CC7FF3" w14:textId="34DC8193" w:rsidR="00B4197A" w:rsidRDefault="00B4197A" w:rsidP="00B4197A">
      <w:pPr>
        <w:pStyle w:val="Titre2"/>
        <w:spacing w:before="0"/>
      </w:pPr>
    </w:p>
    <w:p w14:paraId="7FE51905" w14:textId="77777777" w:rsidR="00A773B9" w:rsidRPr="009A2E71" w:rsidRDefault="00A773B9" w:rsidP="00A773B9">
      <w:pPr>
        <w:pStyle w:val="Titre2"/>
        <w:spacing w:before="0"/>
      </w:pPr>
      <w:bookmarkStart w:id="142" w:name="_Toc213247436"/>
      <w:r w:rsidRPr="009A2E71">
        <w:t>Riz – Accès aux financements principal obstacle au développement de la filière dans la vallée du fleuve Sénégal.</w:t>
      </w:r>
      <w:bookmarkEnd w:id="142"/>
    </w:p>
    <w:p w14:paraId="0A63A8E4" w14:textId="4482F411" w:rsidR="00A773B9" w:rsidRDefault="00A773B9" w:rsidP="00A773B9">
      <w:pPr>
        <w:spacing w:after="0"/>
      </w:pPr>
      <w:r w:rsidRPr="009A2E71">
        <w:t>L’accès au financement reste le principal obstacle au développement de la culture du riz dans la vallée du fleuve Sénégal, selon M. Ousseynou Ndiaye, président du Comité interprofessionnel de la filière riz (CIRIZ). Il a indiqué que le crédit bancaire ne couvre que 15% de la production, soulignant la nécessité de prioriser ce volet dans le cadre du Projet de résilience et de développement communautaire de la vallée du fleuve Sénégal (PRCV-VF). M. Ndiaye a également insisté sur la mise en œuvre effective des actions phytosanitaires et sur la coordination des initiatives pour éviter les doublons entre projets. Les contraintes observées dans les zones de Dagana, du Delta et de Podor sont similaires, tandis que la concurrence du riz importé affecte l’ensemble de la vallée. Il a enfin dénoncé la perception selon laquelle le riz local serait de moindre qualité, affirmant au contraire que le produit local est désormais reconnu comme supérieur, bien que plus coûteux. Le PRCV-VF vise à accompagner les chaînes de valeur du riz, de l’oignon et de la tomate pour renforcer la compétitivité de ces filières.</w:t>
      </w:r>
    </w:p>
    <w:p w14:paraId="6EDA0538" w14:textId="77777777" w:rsidR="00A773B9" w:rsidRPr="00A773B9" w:rsidRDefault="00A773B9" w:rsidP="00A773B9">
      <w:pPr>
        <w:spacing w:after="0"/>
      </w:pPr>
    </w:p>
    <w:p w14:paraId="2938A691" w14:textId="21EC7AA5" w:rsidR="004C4C60" w:rsidRPr="009A2E71" w:rsidRDefault="004C4C60" w:rsidP="004C4C60">
      <w:pPr>
        <w:pStyle w:val="Titre2"/>
        <w:spacing w:before="0"/>
      </w:pPr>
      <w:bookmarkStart w:id="143" w:name="_Toc213247437"/>
      <w:r>
        <w:lastRenderedPageBreak/>
        <w:t xml:space="preserve">Riz </w:t>
      </w:r>
      <w:r w:rsidRPr="009A2E71">
        <w:t>– La Société d’aménagement et d’exploitation des terres du delta du fleuve Sénégal et de la Falémé (SAED) lance un programme de réhabilitation de 9 000 ha.</w:t>
      </w:r>
      <w:bookmarkEnd w:id="143"/>
    </w:p>
    <w:p w14:paraId="7D5AE0A3" w14:textId="77777777" w:rsidR="004C4C60" w:rsidRPr="009A2E71" w:rsidRDefault="004C4C60" w:rsidP="004C4C60">
      <w:pPr>
        <w:spacing w:after="0"/>
      </w:pPr>
      <w:r w:rsidRPr="009A2E71">
        <w:t xml:space="preserve">La SAED a annoncé, dans le cadre du Projet de production de riz irrigué (PPRI), la réhabilitation et l’aménagement de 9 000 ha de terres irriguées entre Saint-Louis, Dagana et Podor. Financé à plus de 44 Md FCFA par l’Agence japonaise de coopération internationale (JICA) et l’État sénégalais, le projet vise à renforcer la souveraineté alimentaire et à moderniser durablement la production rizicole dans la vallée. Selon M. Djibril </w:t>
      </w:r>
      <w:proofErr w:type="spellStart"/>
      <w:r w:rsidRPr="009A2E71">
        <w:t>Sall</w:t>
      </w:r>
      <w:proofErr w:type="spellEnd"/>
      <w:r w:rsidRPr="009A2E71">
        <w:t>, délégué local de la SAED, les travaux débuteront en janvier 2026, après la finalisation de la première phase portant sur 2 500 ha. Les producteurs temporairement affectés seront priorisés pour les recrutements sur les chantiers. Le projet comprend également la construction de pistes de production, de magasins de stockage et le renforcement de la mécanisation et des capacités techniques des acteurs agricoles.</w:t>
      </w:r>
    </w:p>
    <w:p w14:paraId="595FB3F2" w14:textId="77777777" w:rsidR="004C4C60" w:rsidRDefault="004C4C60" w:rsidP="006C1591">
      <w:pPr>
        <w:pStyle w:val="Titre2"/>
        <w:spacing w:before="0"/>
      </w:pPr>
    </w:p>
    <w:p w14:paraId="3B12C90D" w14:textId="296D18DE" w:rsidR="002A24FF" w:rsidRPr="009A2E71" w:rsidRDefault="002A24FF" w:rsidP="006C1591">
      <w:pPr>
        <w:pStyle w:val="Titre2"/>
        <w:spacing w:before="0"/>
      </w:pPr>
      <w:bookmarkStart w:id="144" w:name="_Toc213247438"/>
      <w:r w:rsidRPr="009A2E71">
        <w:t>Riz –</w:t>
      </w:r>
      <w:r w:rsidR="00473FD2" w:rsidRPr="009A2E71">
        <w:t xml:space="preserve"> </w:t>
      </w:r>
      <w:r w:rsidR="004C6369" w:rsidRPr="009A2E71">
        <w:t>M</w:t>
      </w:r>
      <w:r w:rsidRPr="009A2E71">
        <w:t xml:space="preserve">odèle de double culture </w:t>
      </w:r>
      <w:r w:rsidR="004C6369" w:rsidRPr="009A2E71">
        <w:t xml:space="preserve">dans le cadre </w:t>
      </w:r>
      <w:r w:rsidRPr="009A2E71">
        <w:t xml:space="preserve">du </w:t>
      </w:r>
      <w:r w:rsidR="004C6369" w:rsidRPr="009A2E71">
        <w:t xml:space="preserve">projet de développement rural de </w:t>
      </w:r>
      <w:proofErr w:type="spellStart"/>
      <w:r w:rsidR="004C6369" w:rsidRPr="009A2E71">
        <w:t>Savoigne</w:t>
      </w:r>
      <w:proofErr w:type="spellEnd"/>
      <w:r w:rsidR="004C6369" w:rsidRPr="009A2E71">
        <w:t xml:space="preserve"> (</w:t>
      </w:r>
      <w:r w:rsidRPr="009A2E71">
        <w:t>PDRS</w:t>
      </w:r>
      <w:r w:rsidR="004C6369" w:rsidRPr="009A2E71">
        <w:t>)</w:t>
      </w:r>
      <w:r w:rsidRPr="009A2E71">
        <w:t>.</w:t>
      </w:r>
      <w:bookmarkEnd w:id="144"/>
    </w:p>
    <w:p w14:paraId="5AB7D18F" w14:textId="2AA6B3A0" w:rsidR="002A24FF" w:rsidRDefault="002A24FF" w:rsidP="006C1591">
      <w:pPr>
        <w:spacing w:after="0"/>
      </w:pPr>
      <w:r w:rsidRPr="009A2E71">
        <w:t>Le PDRS, mis en œuvre depuis avril 2023 avec l’appui de la SAED, de la Banque arabe pour le développement économique en Afrique (BADEA) et de l’État, a réussi la double culture intégrale sur une même parcelle dans la vallée du fleuve Sénégal. Ce dispositif a permis de valoriser 320 ha en saison sèche chaude puis 305 ha en hivernage, soit un total de 625 ha en 2025 correspondant à une intensité culturale de 1,9. Le projet, qui vise la riziculture irriguée sur 394 ha a dégagé des rendements moyens de 8,86 tonne</w:t>
      </w:r>
      <w:r w:rsidR="00473FD2" w:rsidRPr="009A2E71">
        <w:t>s/ha</w:t>
      </w:r>
      <w:r w:rsidRPr="009A2E71">
        <w:t>, soit une production de 2 835 tonnes de paddy et 1 843 tonnes de riz blanc pour un bénéfice total de 285 M FCFA. Le financement global des deux campagnes, assuré principalement par le PAMECAS et la SFA, s’est élevé à 277 M FCFA. Le PDRS, fondé sur l’organisation des producteurs en groupements, la formation technique, la planification culturale et le multi-partenariat institutionnel, illustre un modèle agricole intensif appelé à être répliqué sur l’ensemble de la vallée du fleuve pour atteindre l’autosuffisance nationale en riz.</w:t>
      </w:r>
    </w:p>
    <w:p w14:paraId="5845B7F9" w14:textId="2BFA2BBC" w:rsidR="004C4C60" w:rsidRDefault="004C4C60" w:rsidP="006C1591">
      <w:pPr>
        <w:spacing w:after="0"/>
      </w:pPr>
    </w:p>
    <w:p w14:paraId="7923E543" w14:textId="77777777" w:rsidR="004C4C60" w:rsidRPr="009A2E71" w:rsidRDefault="004C4C60" w:rsidP="004C4C60">
      <w:pPr>
        <w:pStyle w:val="Titre2"/>
        <w:spacing w:before="0"/>
      </w:pPr>
      <w:bookmarkStart w:id="145" w:name="_Toc213247439"/>
      <w:r w:rsidRPr="009A2E71">
        <w:t>Riz – Inondations et pertes agricoles dans le nord.</w:t>
      </w:r>
      <w:bookmarkEnd w:id="145"/>
    </w:p>
    <w:p w14:paraId="376C9208" w14:textId="449F8AD3" w:rsidR="004C4C60" w:rsidRPr="009A2E71" w:rsidRDefault="004C4C60" w:rsidP="006C1591">
      <w:pPr>
        <w:spacing w:after="0"/>
      </w:pPr>
      <w:r w:rsidRPr="009A2E71">
        <w:t xml:space="preserve">À Podor, les récentes inondations le long du fleuve Sénégal ont endommagé 323 ha de cultures, sur un total de 508 ha submergés, selon El Hadji </w:t>
      </w:r>
      <w:proofErr w:type="spellStart"/>
      <w:r w:rsidRPr="009A2E71">
        <w:t>Mbargou</w:t>
      </w:r>
      <w:proofErr w:type="spellEnd"/>
      <w:r w:rsidRPr="009A2E71">
        <w:t xml:space="preserve"> Lô, délégué local de la société nationale d’aménagement et d’exploitation des terres du delta du fleuve Sénégal (SAED). Parmi les superficies touchées, 355 ha étaient consacrés à la riziculture, et 1 903 ha prévus pour la contre-saison froide ne pourront pas être exploités. La SAED estime que ces dégâts auront un impact significatif sur la production agricole et appelle à renforcer les ouvrages de protection ainsi que les réseaux d’irrigation. En collaboration avec le génie militaire, l’institution poursuit les efforts de prévention et d’assistance aux populations affectées, tout en maintenant la campagne agricole en cours.</w:t>
      </w:r>
    </w:p>
    <w:p w14:paraId="0E9102A3" w14:textId="77777777" w:rsidR="00B4197A" w:rsidRDefault="00B4197A" w:rsidP="00B4197A">
      <w:pPr>
        <w:pStyle w:val="Titre2"/>
        <w:spacing w:before="0"/>
      </w:pPr>
    </w:p>
    <w:p w14:paraId="0989F5C9" w14:textId="2B9858BD" w:rsidR="00B4197A" w:rsidRPr="009A2E71" w:rsidRDefault="00B4197A" w:rsidP="00B4197A">
      <w:pPr>
        <w:pStyle w:val="Titre2"/>
        <w:spacing w:before="0"/>
      </w:pPr>
      <w:bookmarkStart w:id="146" w:name="_Toc213247440"/>
      <w:r w:rsidRPr="009A2E71">
        <w:t>Maïs – Rebond attendu de la production nationale.</w:t>
      </w:r>
      <w:bookmarkEnd w:id="146"/>
    </w:p>
    <w:p w14:paraId="0CA6DE5D" w14:textId="77777777" w:rsidR="00B4197A" w:rsidRPr="009A2E71" w:rsidRDefault="00B4197A" w:rsidP="00B4197A">
      <w:pPr>
        <w:spacing w:after="0"/>
      </w:pPr>
      <w:r w:rsidRPr="009A2E71">
        <w:t xml:space="preserve">L’interprofession maïs (IMAIS) anticipe une hausse de la production pour la campagne 2025/2026, après une saison 2024/2025 marquée par un recul de 12,7% à 495 571 tonnes et une baisse de 4,3% des superficies à 164 906 ha, selon les données de l’agence nationale de la statistique et de la démographie (ANSD). M. </w:t>
      </w:r>
      <w:proofErr w:type="spellStart"/>
      <w:r w:rsidRPr="009A2E71">
        <w:t>Nimna</w:t>
      </w:r>
      <w:proofErr w:type="spellEnd"/>
      <w:r w:rsidRPr="009A2E71">
        <w:t xml:space="preserve"> </w:t>
      </w:r>
      <w:proofErr w:type="spellStart"/>
      <w:r w:rsidRPr="009A2E71">
        <w:t>Diayté</w:t>
      </w:r>
      <w:proofErr w:type="spellEnd"/>
      <w:r w:rsidRPr="009A2E71">
        <w:t xml:space="preserve">, président de l’IMAIS, a indiqué que les cultures observées dans les régions de Kaolack, Kaffrine, Sédhiou, Kolda, Tambacounda et Kédougou présentent de bons rendements, laissant espérer une récolte abondante. Cette </w:t>
      </w:r>
      <w:r w:rsidRPr="009A2E71">
        <w:lastRenderedPageBreak/>
        <w:t>reprise s’inscrit dans un contexte de budget agricole renforcé, destiné notamment à améliorer l’accès aux intrants subventionnés et à développer l’usage des semences hybrides. Elle soutient également la stratégie nationale de réduction de la dépendance aux importations, qui ont progressé de 59% depuis 2020 pour atteindre 512 740 tonnes en 2024.</w:t>
      </w:r>
    </w:p>
    <w:p w14:paraId="78AD4E0E" w14:textId="77777777" w:rsidR="00B4197A" w:rsidRPr="009A2E71" w:rsidRDefault="00B4197A" w:rsidP="00B4197A">
      <w:pPr>
        <w:spacing w:after="0"/>
      </w:pPr>
    </w:p>
    <w:p w14:paraId="1D170D07" w14:textId="77777777" w:rsidR="00B4197A" w:rsidRPr="009A2E71" w:rsidRDefault="00B4197A" w:rsidP="00B4197A">
      <w:pPr>
        <w:pStyle w:val="Titre2"/>
        <w:spacing w:before="0"/>
      </w:pPr>
      <w:bookmarkStart w:id="147" w:name="_Toc213247441"/>
      <w:r w:rsidRPr="009A2E71">
        <w:t>Coton – Forte hausse des rendements.</w:t>
      </w:r>
      <w:bookmarkEnd w:id="147"/>
    </w:p>
    <w:p w14:paraId="185B823D" w14:textId="354ABA8E" w:rsidR="00B4197A" w:rsidRDefault="00B4197A" w:rsidP="00B4197A">
      <w:pPr>
        <w:spacing w:after="0"/>
      </w:pPr>
      <w:r w:rsidRPr="009A2E71">
        <w:t xml:space="preserve">Le Sénégal enregistre une nette progression de sa filière cotonnière pour la campagne 2025-2026, avec une hausse des rendements estimée à 60% par rapport à l’année précédente, selon le ministre de l’agriculture, de la souveraineté alimentaire et de l’élevage, le Dr </w:t>
      </w:r>
      <w:proofErr w:type="spellStart"/>
      <w:r w:rsidRPr="009A2E71">
        <w:t>Mabouba</w:t>
      </w:r>
      <w:proofErr w:type="spellEnd"/>
      <w:r w:rsidRPr="009A2E71">
        <w:t xml:space="preserve"> Diagne qui pourrait placer le Sénégal parmi les meilleurs rendements d’Afrique de l’Ouest. D’après la société de développement et des fibres textiles (SODEFITEX), les superficies emblavées atteignent 21 355 ha, soit une augmentation de 70%, exploitées par 16 151 producteurs engagés dans 1 251 groupements. Après plusieurs années de crise parasitaire, la production nationale pourrait ainsi s’élever à 25 000 tonnes de coton graine contre 15 000 lors de la campagne précédente. Le ministre a salué l’appui scientifique de l’institut sénégalais de recherches agricoles (ISRA) dans cette dynamique et souligné l’importance de la mécanisation et de la maîtrise de l’eau pour soutenir la production toute l’année. Il a annoncé la préparation d’un plan de développement agricole intégré pour la région de Tambacounda (PDAIT), un contrat-programme pour la filière coton et la création de plusieurs coopératives d’utilisation de matériel agricole (CUMA) dédiées aux jeunes et aux femmes.</w:t>
      </w:r>
    </w:p>
    <w:p w14:paraId="0EE3A08C" w14:textId="4484F1A2" w:rsidR="00226282" w:rsidRDefault="00226282" w:rsidP="00B4197A">
      <w:pPr>
        <w:spacing w:after="0"/>
      </w:pPr>
    </w:p>
    <w:p w14:paraId="1F0E4FBA" w14:textId="77777777" w:rsidR="00226282" w:rsidRPr="009A2E71" w:rsidRDefault="00226282" w:rsidP="00226282">
      <w:pPr>
        <w:pStyle w:val="Titre2"/>
        <w:spacing w:before="0"/>
      </w:pPr>
      <w:bookmarkStart w:id="148" w:name="_Toc213247442"/>
      <w:r w:rsidRPr="009A2E71">
        <w:t>Sésame – Une filière en croissance.</w:t>
      </w:r>
      <w:bookmarkEnd w:id="148"/>
    </w:p>
    <w:p w14:paraId="0871114A" w14:textId="725A5897" w:rsidR="004C4C60" w:rsidRDefault="00226282" w:rsidP="00B4197A">
      <w:pPr>
        <w:spacing w:after="0"/>
      </w:pPr>
      <w:r w:rsidRPr="009A2E71">
        <w:t>La culture du sésame poursuit son expansion grâce à une forte demande internationale et à ses atouts agronomiques, notamment sa résistance à la sécheresse. La saison en cours s’annonce prometteuse, avec de bons rendements observés dans les régions du Sine Saloum et de Kaolack, soutenus par une pluviométrie équilibrée. Selon la fédération nationale des producteurs de sésame, l’introduction de variétés à haut rendement pourrait faire passer la productivité de 250 kg à 350 kg/ha. L’usage d’engrais exclusivement biologique contribue à réduire les coûts de production, tandis que les volumes récoltés pourraient atteindre 20 000 tonnes cette année. Malgré cette progression, le pays ne figure qu’au 28</w:t>
      </w:r>
      <w:r w:rsidRPr="009A2E71">
        <w:rPr>
          <w:vertAlign w:val="superscript"/>
        </w:rPr>
        <w:t>ème</w:t>
      </w:r>
      <w:r w:rsidRPr="009A2E71">
        <w:t xml:space="preserve"> rang mondial des exportateurs, loin derrière le Soudan, le Nigeria, le Mali et le Burkina Faso. Le principal défi reste le développement de la transformation industrielle, aujourd’hui limitée à deux unités artisanales en Casamance, alors que le potentiel économique de la filière reste élevé avec un prix de 400 FCFA/kg.</w:t>
      </w:r>
    </w:p>
    <w:p w14:paraId="68F101EB" w14:textId="6746E7CE" w:rsidR="00B4197A" w:rsidRDefault="00B4197A" w:rsidP="00B4197A">
      <w:pPr>
        <w:pStyle w:val="Titre2"/>
        <w:spacing w:before="0"/>
      </w:pPr>
    </w:p>
    <w:p w14:paraId="4035AE05" w14:textId="77777777" w:rsidR="00226282" w:rsidRPr="009A2E71" w:rsidRDefault="00226282" w:rsidP="00226282">
      <w:pPr>
        <w:pStyle w:val="Titre2"/>
        <w:spacing w:before="0"/>
      </w:pPr>
      <w:bookmarkStart w:id="149" w:name="_Toc213247443"/>
      <w:r w:rsidRPr="009A2E71">
        <w:t xml:space="preserve">Maraîchage – Le </w:t>
      </w:r>
      <w:proofErr w:type="spellStart"/>
      <w:r w:rsidRPr="009A2E71">
        <w:t>Cayor</w:t>
      </w:r>
      <w:proofErr w:type="spellEnd"/>
      <w:r w:rsidRPr="009A2E71">
        <w:t xml:space="preserve"> se positionne comme nouveau pôle de production nationale.</w:t>
      </w:r>
      <w:bookmarkEnd w:id="149"/>
    </w:p>
    <w:p w14:paraId="2637A806" w14:textId="0F059E75" w:rsidR="00226282" w:rsidRDefault="00226282" w:rsidP="00226282">
      <w:pPr>
        <w:spacing w:after="0"/>
      </w:pPr>
      <w:r w:rsidRPr="009A2E71">
        <w:t xml:space="preserve">Face à l’essoufflement de la culture maraîchère dans la zone des Niayes, l’arrondissement de Mérina </w:t>
      </w:r>
      <w:proofErr w:type="spellStart"/>
      <w:r w:rsidRPr="009A2E71">
        <w:t>Dakhar</w:t>
      </w:r>
      <w:proofErr w:type="spellEnd"/>
      <w:r w:rsidRPr="009A2E71">
        <w:t xml:space="preserve">, dans le </w:t>
      </w:r>
      <w:proofErr w:type="spellStart"/>
      <w:r w:rsidRPr="009A2E71">
        <w:t>Cayor</w:t>
      </w:r>
      <w:proofErr w:type="spellEnd"/>
      <w:r w:rsidRPr="009A2E71">
        <w:t xml:space="preserve">, s’impose comme un nouveau centre de production grâce à ses ressources en eau, ses sols arables et sa main-d’œuvre disponible. Soutenue par le programme d’appui au programme national d’investissement agricole du Sénégal (PAPSEN), financé par la coopération italienne, la zone bénéficie de 400 ha de fermes horticoles et arboricoles irriguées, dont 195 ha dans le département de Tivaouane. À ce jour, 19 fermes sont fonctionnelles, réparties entre quatre communes, dont plusieurs dotées de poulaillers. Le PAPSEN, lancé en 2012, vise à accroître la production agricole, améliorer les revenus ruraux et réduire la pauvreté. Les exploitations encadrées produisent déjà des volumes significatifs de gombo, tomate, oignon, pastèque et aubergine. Les femmes regroupées au sein des groupements d’intérêt </w:t>
      </w:r>
      <w:r w:rsidRPr="009A2E71">
        <w:lastRenderedPageBreak/>
        <w:t xml:space="preserve">économique (GIE) bénéficient d’un appui matériel et technique, favorisant l’autonomisation et la réduction de l’exode. En parallèle, le projet d’appui régional à l’initiative pour l’irrigation au Sahel (PARIIS) renforce les investissements dans la zone, orientant le </w:t>
      </w:r>
      <w:proofErr w:type="spellStart"/>
      <w:r w:rsidRPr="009A2E71">
        <w:t>Cayor</w:t>
      </w:r>
      <w:proofErr w:type="spellEnd"/>
      <w:r w:rsidRPr="009A2E71">
        <w:t xml:space="preserve"> vers la souveraineté alimentaire en légumes. Les autorités locales appellent à la réhabilitation de l’axe </w:t>
      </w:r>
      <w:proofErr w:type="spellStart"/>
      <w:r w:rsidRPr="009A2E71">
        <w:t>Mékhé-Thilmakha</w:t>
      </w:r>
      <w:proofErr w:type="spellEnd"/>
      <w:r w:rsidRPr="009A2E71">
        <w:t xml:space="preserve"> pour soutenir cette dynamique économique.</w:t>
      </w:r>
    </w:p>
    <w:p w14:paraId="659C9CE2" w14:textId="443B74A6" w:rsidR="00014ADE" w:rsidRDefault="00014ADE" w:rsidP="00226282">
      <w:pPr>
        <w:spacing w:after="0"/>
      </w:pPr>
    </w:p>
    <w:p w14:paraId="0EC278BE" w14:textId="77777777" w:rsidR="00014ADE" w:rsidRPr="009A2E71" w:rsidRDefault="00014ADE" w:rsidP="00014ADE">
      <w:pPr>
        <w:pStyle w:val="Titre2"/>
        <w:spacing w:before="0"/>
      </w:pPr>
      <w:bookmarkStart w:id="150" w:name="_Toc213247444"/>
      <w:r w:rsidRPr="009A2E71">
        <w:t>Maraîchage – La culture de l’oignon devient un levier d’autonomisation pour les femmes rurales.</w:t>
      </w:r>
      <w:bookmarkEnd w:id="150"/>
    </w:p>
    <w:p w14:paraId="37F6E962" w14:textId="1A6D23E9" w:rsidR="00014ADE" w:rsidRDefault="00014ADE" w:rsidP="00226282">
      <w:pPr>
        <w:spacing w:after="0"/>
      </w:pPr>
      <w:r w:rsidRPr="009A2E71">
        <w:t>Des femmes misent sur la culture de l’oignon pour renforcer leur autonomie économique, avec l’appui du Projet de réhabilitation et d’extension des périmètres irrigués villageois (PREPIV). Mis en œuvre par la Société nationale d’aménagement et d’exploitation des terres du delta du fleuve Sénégal et de la Falémé (SAED) avec un financement de 23 Md FCFA de la Banque mondiale et de l’État du Sénégal, ce projet vise la réhabilitation de 3 165 ha, la construction de 65 km de pistes rurales et l’édification de 12 magasins de stockage. Regroupées en Groupements d’intérêt économique (GIE), les femmes développent une filière oignon « durable et rentable ». Elles plaident pour des aménagements supplémentaires et des chambres froides afin de limiter les pertes post-récolte, estimées à près d’un quart de la production. Selon la SAED, plus de 40 ha seront prochainement aménagés pour répondre à leurs besoins.</w:t>
      </w:r>
    </w:p>
    <w:p w14:paraId="2ED2B0BD" w14:textId="4B2E6520" w:rsidR="00226282" w:rsidRDefault="00226282" w:rsidP="00226282">
      <w:pPr>
        <w:spacing w:after="0"/>
      </w:pPr>
    </w:p>
    <w:p w14:paraId="3504AB30" w14:textId="77777777" w:rsidR="004C4C60" w:rsidRPr="009A2E71" w:rsidRDefault="004C4C60" w:rsidP="004C4C60">
      <w:pPr>
        <w:pStyle w:val="Titre2"/>
        <w:spacing w:before="0"/>
      </w:pPr>
      <w:bookmarkStart w:id="151" w:name="_Toc213247445"/>
      <w:proofErr w:type="spellStart"/>
      <w:r w:rsidRPr="009A2E71">
        <w:t>Madd</w:t>
      </w:r>
      <w:proofErr w:type="spellEnd"/>
      <w:r w:rsidRPr="009A2E71">
        <w:t xml:space="preserve"> – Baisse de production.</w:t>
      </w:r>
      <w:bookmarkEnd w:id="151"/>
    </w:p>
    <w:p w14:paraId="0F2823D6" w14:textId="77777777" w:rsidR="004C4C60" w:rsidRPr="009A2E71" w:rsidRDefault="004C4C60" w:rsidP="004C4C60">
      <w:pPr>
        <w:spacing w:after="0"/>
      </w:pPr>
      <w:r w:rsidRPr="009A2E71">
        <w:t xml:space="preserve">Le </w:t>
      </w:r>
      <w:proofErr w:type="spellStart"/>
      <w:r w:rsidRPr="009A2E71">
        <w:t>madd</w:t>
      </w:r>
      <w:proofErr w:type="spellEnd"/>
      <w:r w:rsidRPr="009A2E71">
        <w:t xml:space="preserve"> de Casamance, récemment reconnu comme indication géographique protégée (IGP), suscite un intérêt croissant des industriels et des acteurs du secteur privé, malgré une baisse de la production en 2025. Selon Mme Mariama </w:t>
      </w:r>
      <w:proofErr w:type="spellStart"/>
      <w:r w:rsidRPr="009A2E71">
        <w:t>Diémé</w:t>
      </w:r>
      <w:proofErr w:type="spellEnd"/>
      <w:r w:rsidRPr="009A2E71">
        <w:t xml:space="preserve">, chargée du développement organisationnel du projet de mise en place de l’IGP, la collecte au sein de l’Association est estimée à 15 tonnes contre 36 tonnes l’an dernier, en raison de la rareté de la ressource et de la concurrence des acheteurs informels. Elle précise toutefois que plus de 30 tonnes ont été collectées de manière organisée grâce à la structuration de la filière et aux prestations de services offertes à des acteurs extérieurs. La labellisation du fruit, connu sous le nom scientifique </w:t>
      </w:r>
      <w:r w:rsidRPr="009A2E71">
        <w:rPr>
          <w:i/>
          <w:iCs/>
        </w:rPr>
        <w:t>Saba senegalensis</w:t>
      </w:r>
      <w:r w:rsidRPr="009A2E71">
        <w:t xml:space="preserve">, a amélioré la valeur marchande du produit et favorisé l’autonomisation économique des femmes impliquées dans la cueillette et la transformation. Sur le plan environnemental, plus de 1 800 plants, dont du </w:t>
      </w:r>
      <w:proofErr w:type="spellStart"/>
      <w:r w:rsidRPr="009A2E71">
        <w:t>madd</w:t>
      </w:r>
      <w:proofErr w:type="spellEnd"/>
      <w:r w:rsidRPr="009A2E71">
        <w:t xml:space="preserve">, des manguiers et des agrumes, ont été reboisés dans les communes de </w:t>
      </w:r>
      <w:proofErr w:type="spellStart"/>
      <w:r w:rsidRPr="009A2E71">
        <w:t>Nyassia</w:t>
      </w:r>
      <w:proofErr w:type="spellEnd"/>
      <w:r w:rsidRPr="009A2E71">
        <w:t xml:space="preserve"> et d’</w:t>
      </w:r>
      <w:proofErr w:type="spellStart"/>
      <w:r w:rsidRPr="009A2E71">
        <w:t>Enampor</w:t>
      </w:r>
      <w:proofErr w:type="spellEnd"/>
      <w:r w:rsidRPr="009A2E71">
        <w:t xml:space="preserve"> pour préserver la ressource. Les populations sont invitées à adopter des pratiques responsables afin de respecter le cahier des charges de l’IGP et de garantir la durabilité de la filière.</w:t>
      </w:r>
    </w:p>
    <w:p w14:paraId="11F38297" w14:textId="77777777" w:rsidR="004C4C60" w:rsidRPr="009A2E71" w:rsidRDefault="004C4C60" w:rsidP="004C4C60">
      <w:pPr>
        <w:spacing w:after="0"/>
      </w:pPr>
    </w:p>
    <w:p w14:paraId="2D297448" w14:textId="7219F5A0" w:rsidR="00B4197A" w:rsidRPr="009A2E71" w:rsidRDefault="00B4197A" w:rsidP="00B4197A">
      <w:pPr>
        <w:pStyle w:val="Titre2"/>
        <w:spacing w:before="0"/>
      </w:pPr>
      <w:bookmarkStart w:id="152" w:name="_Toc213247446"/>
      <w:r w:rsidRPr="009A2E71">
        <w:t>Semences – Adaptation au changement climatique.</w:t>
      </w:r>
      <w:bookmarkEnd w:id="152"/>
    </w:p>
    <w:p w14:paraId="138E833A" w14:textId="79B89523" w:rsidR="00B4197A" w:rsidRDefault="00B4197A" w:rsidP="00B4197A">
      <w:pPr>
        <w:spacing w:after="0"/>
      </w:pPr>
      <w:r w:rsidRPr="009A2E71">
        <w:t xml:space="preserve">Soutenues par le projet Accélérer l’impact de la recherche climatique du CGIAR en Afrique (AICCRA) et par l’Agence nationale de conseil agricole et rural (ANCAR), plusieurs coopératives sénégalaises se distinguent par leurs innovations climato-intelligentes, adoptant des semences adaptées et de nouvelles méthodes de production. Financé par la Banque mondiale et coordonné par le centre international de recherche sur l’élevage (ILRI) et le centre international d’agriculture tropicale (CIAT), le projet accompagne les producteurs de Thiel, </w:t>
      </w:r>
      <w:proofErr w:type="spellStart"/>
      <w:r w:rsidRPr="009A2E71">
        <w:t>Méouane</w:t>
      </w:r>
      <w:proofErr w:type="spellEnd"/>
      <w:r w:rsidRPr="009A2E71">
        <w:t xml:space="preserve"> et </w:t>
      </w:r>
      <w:proofErr w:type="spellStart"/>
      <w:r w:rsidRPr="009A2E71">
        <w:t>Mabo</w:t>
      </w:r>
      <w:proofErr w:type="spellEnd"/>
      <w:r w:rsidRPr="009A2E71">
        <w:t xml:space="preserve"> dans la multiplication et la diffusion de variétés de mil, d’arachide et de niébé résistantes aux aléas climatiques. Un système communautaire de partage des récoltes assure la continuité des campagnes et renforce la confiance des acheteurs. Selon la coordination du projet, les </w:t>
      </w:r>
      <w:r w:rsidRPr="009A2E71">
        <w:lastRenderedPageBreak/>
        <w:t>gains de rendement atteignent 33% à 54% pour le mil, le taux d’égrenage de l’arachide est passé de 46% à 98% et plus de 9 800 agriculteurs, dont 33% de femmes, bénéficient désormais d’un meilleur accès aux variétés.</w:t>
      </w:r>
    </w:p>
    <w:p w14:paraId="2D1C4436" w14:textId="77777777" w:rsidR="000B5E1A" w:rsidRDefault="000B5E1A" w:rsidP="000B5E1A">
      <w:pPr>
        <w:pStyle w:val="Titre2"/>
        <w:spacing w:before="0"/>
      </w:pPr>
    </w:p>
    <w:p w14:paraId="1B99AA56" w14:textId="6259E111" w:rsidR="000B5E1A" w:rsidRPr="009A2E71" w:rsidRDefault="000B5E1A" w:rsidP="000B5E1A">
      <w:pPr>
        <w:pStyle w:val="Titre2"/>
        <w:spacing w:before="0"/>
      </w:pPr>
      <w:bookmarkStart w:id="153" w:name="_Toc213247447"/>
      <w:r w:rsidRPr="009A2E71">
        <w:t>Semences – Le Projet d’appui au développement des filières semencières dans le bassin du fleuve Sénégal (PAFISEM) renforce la production locale.</w:t>
      </w:r>
      <w:bookmarkEnd w:id="153"/>
    </w:p>
    <w:p w14:paraId="71286959" w14:textId="77777777" w:rsidR="000B5E1A" w:rsidRPr="009A2E71" w:rsidRDefault="000B5E1A" w:rsidP="000B5E1A">
      <w:pPr>
        <w:spacing w:after="0"/>
      </w:pPr>
      <w:r w:rsidRPr="009A2E71">
        <w:t>La 4</w:t>
      </w:r>
      <w:r w:rsidRPr="009A2E71">
        <w:rPr>
          <w:vertAlign w:val="superscript"/>
        </w:rPr>
        <w:t>ème</w:t>
      </w:r>
      <w:r w:rsidRPr="009A2E71">
        <w:t xml:space="preserve"> session du comité de pilotage du PAFISEM s’est tenue au siège de </w:t>
      </w:r>
      <w:bookmarkStart w:id="154" w:name="_Hlk211787147"/>
      <w:r w:rsidRPr="009A2E71">
        <w:t xml:space="preserve">l’Organisation pour la mise en valeur du fleuve Sénégal </w:t>
      </w:r>
      <w:bookmarkEnd w:id="154"/>
      <w:r w:rsidRPr="009A2E71">
        <w:t xml:space="preserve">(OMVS). Financé depuis 2019 par l’Agence italienne de coopération pour le développement (AICS), le projet vise à accroître la production locale de semences de qualité, à structurer les filières et à promouvoir une agriculture durable dans les pays riverains du fleuve Sénégal. Présidée par Mohamed </w:t>
      </w:r>
      <w:proofErr w:type="spellStart"/>
      <w:r w:rsidRPr="009A2E71">
        <w:t>Ould</w:t>
      </w:r>
      <w:proofErr w:type="spellEnd"/>
      <w:r w:rsidRPr="009A2E71">
        <w:t xml:space="preserve"> Abdel </w:t>
      </w:r>
      <w:proofErr w:type="spellStart"/>
      <w:r w:rsidRPr="009A2E71">
        <w:t>Vettah</w:t>
      </w:r>
      <w:proofErr w:type="spellEnd"/>
      <w:r w:rsidRPr="009A2E71">
        <w:t>, haut-commissaire de l’OMVS, la session a mis en avant des avancées majeures en matière de sécurité alimentaire et de production certifiée. Selon lui, les semences de qualité peuvent augmenter les rendements agricoles de 20 à 40%, tout en renforçant la résilience face aux maladies et aux changements climatiques. M. Giovanni Grandi, directeur régional de l’AICS, a réaffirmé l’engagement de l’Italie à soutenir le développement durable du bassin du Sénégal à travers une gestion responsable de l’eau et un appui technique renforcé. Les partenaires souhaitent prolonger le projet afin de consolider ses impacts et d’en faire un programme autonome au service des acteurs du secteur semencier.</w:t>
      </w:r>
    </w:p>
    <w:p w14:paraId="3AA7AB43" w14:textId="77777777" w:rsidR="000B5E1A" w:rsidRPr="009A2E71" w:rsidRDefault="000B5E1A" w:rsidP="000B5E1A">
      <w:pPr>
        <w:spacing w:after="0"/>
      </w:pPr>
    </w:p>
    <w:p w14:paraId="4D61F265" w14:textId="77777777" w:rsidR="000B5E1A" w:rsidRPr="009A2E71" w:rsidRDefault="000B5E1A" w:rsidP="000B5E1A">
      <w:pPr>
        <w:pStyle w:val="Titre2"/>
        <w:spacing w:before="0"/>
      </w:pPr>
      <w:bookmarkStart w:id="155" w:name="_Toc213247448"/>
      <w:r w:rsidRPr="009A2E71">
        <w:t>Pêche – Instauration d’un repos biologique pour la préservation des ressources marines.</w:t>
      </w:r>
      <w:bookmarkEnd w:id="155"/>
    </w:p>
    <w:p w14:paraId="419CEA5A" w14:textId="77777777" w:rsidR="000B5E1A" w:rsidRPr="009A2E71" w:rsidRDefault="000B5E1A" w:rsidP="000B5E1A">
      <w:pPr>
        <w:spacing w:after="0"/>
      </w:pPr>
      <w:r w:rsidRPr="009A2E71">
        <w:t>Le ministère des pêches et de l’économie maritime a instauré une période annuelle de repos biologique pour les chalutiers de pêche démersale et pélagique côtière, fixée du 1</w:t>
      </w:r>
      <w:r w:rsidRPr="009A2E71">
        <w:rPr>
          <w:vertAlign w:val="superscript"/>
        </w:rPr>
        <w:t>er</w:t>
      </w:r>
      <w:r w:rsidRPr="009A2E71">
        <w:t xml:space="preserve"> au 31 octobre. Cette mesure vise à préserver les ressources halieutiques et à garantir une exploitation durable des écosystèmes marins. Durant cette période, toute activité de pêche ou connexe est interdite, sauf autorisation spéciale délivrée aux navires titulaires d’une licence valide dans un autre pays. Les contrevenants s’exposent à des sanctions allant jusqu’au retrait ou au non-renouvellement de leur licence. L’arrêté exclut la zone commune entre le Sénégal et la Guinée-Bissau, où les navires autorisés devront embarquer un observateur. Ce texte remplace celui de 2006 qui régissait jusque-là les périodes de repos biologique pour la pêche industrielle.</w:t>
      </w:r>
    </w:p>
    <w:p w14:paraId="7C54BA96" w14:textId="77777777" w:rsidR="00014ADE" w:rsidRPr="009A2E71" w:rsidRDefault="00014ADE" w:rsidP="00014ADE">
      <w:pPr>
        <w:spacing w:after="0"/>
      </w:pPr>
    </w:p>
    <w:p w14:paraId="59870E7E" w14:textId="77777777" w:rsidR="00014ADE" w:rsidRPr="009A2E71" w:rsidRDefault="00014ADE" w:rsidP="00014ADE">
      <w:pPr>
        <w:pStyle w:val="Titre2"/>
        <w:spacing w:before="0"/>
      </w:pPr>
      <w:bookmarkStart w:id="156" w:name="_Toc213247449"/>
      <w:r w:rsidRPr="009A2E71">
        <w:t>Pêche – Publication des licences 2025.</w:t>
      </w:r>
      <w:bookmarkEnd w:id="156"/>
    </w:p>
    <w:p w14:paraId="0075A2D5" w14:textId="1EA7BBE1" w:rsidR="000B5E1A" w:rsidRPr="00014ADE" w:rsidRDefault="00014ADE" w:rsidP="006C1591">
      <w:pPr>
        <w:spacing w:after="0"/>
        <w:rPr>
          <w:sz w:val="16"/>
          <w:szCs w:val="16"/>
        </w:rPr>
      </w:pPr>
      <w:r w:rsidRPr="009A2E71">
        <w:t>Le ministère des pêches et de l’économie maritime a rendu publique le 3 octobre la liste des 105 navires autorisés à opérer dans les eaux sénégalaises en 2025, avec un objectif affiché de transparence et de gestion durable des ressources. Le communiqué annonce des innovations de procédure avec une nouvelle base de données pour le suivi des licences, l’adoption d’un format de licence plus sécurisé défini par arrêté ministériel et une mise à jour de la liste des navires afin d’en fiabiliser le contenu. Pour la pêche thonière, quatre nouvelles licences sont attribuées, dont une confirmée et trois en attente d’achèvement des formalités administratives prévues par la réglementation. La publication ouverte de la liste constitue une rupture avec des pratiques antérieures d’accès restreint et vise à renforcer la confiance des acteurs, notamment les pêcheurs artisans, à réduire les risques de corruption et à assurer une meilleure traçabilité de la politique maritime.</w:t>
      </w:r>
    </w:p>
    <w:p w14:paraId="426E5E51" w14:textId="77777777" w:rsidR="00014ADE" w:rsidRPr="009A2E71" w:rsidRDefault="00014ADE" w:rsidP="006C1591">
      <w:pPr>
        <w:spacing w:after="0"/>
      </w:pPr>
    </w:p>
    <w:p w14:paraId="6ECF5746" w14:textId="77777777" w:rsidR="00E60B36" w:rsidRPr="009A2E71" w:rsidRDefault="00E60B36" w:rsidP="006C1591">
      <w:pPr>
        <w:pStyle w:val="Titre2"/>
        <w:spacing w:before="0"/>
      </w:pPr>
      <w:bookmarkStart w:id="157" w:name="_Toc213247450"/>
      <w:r w:rsidRPr="009A2E71">
        <w:lastRenderedPageBreak/>
        <w:t>Pêche – Des récifs artificiels pour restaurer les ressources halieutiques.</w:t>
      </w:r>
      <w:bookmarkEnd w:id="157"/>
    </w:p>
    <w:p w14:paraId="235414E3" w14:textId="6A22308C" w:rsidR="00E60B36" w:rsidRPr="009A2E71" w:rsidRDefault="00E60B36" w:rsidP="006C1591">
      <w:pPr>
        <w:spacing w:after="0"/>
      </w:pPr>
      <w:r w:rsidRPr="009A2E71">
        <w:t xml:space="preserve">La ministre des pêches et de l’économie maritime, </w:t>
      </w:r>
      <w:r w:rsidR="004E7068" w:rsidRPr="009A2E71">
        <w:t xml:space="preserve">la </w:t>
      </w:r>
      <w:r w:rsidRPr="009A2E71">
        <w:t xml:space="preserve">Dr Fatou Diouf, a visité le port autonome de Dakar où sont entreposés les récifs artificiels destinés à la région de Saint-Louis. Financé à hauteur de 3,2 Md FCFA par BP, </w:t>
      </w:r>
      <w:proofErr w:type="spellStart"/>
      <w:r w:rsidRPr="009A2E71">
        <w:t>Kosmos</w:t>
      </w:r>
      <w:proofErr w:type="spellEnd"/>
      <w:r w:rsidRPr="009A2E71">
        <w:t xml:space="preserve"> Energy et </w:t>
      </w:r>
      <w:proofErr w:type="spellStart"/>
      <w:r w:rsidRPr="009A2E71">
        <w:t>Petrosen</w:t>
      </w:r>
      <w:proofErr w:type="spellEnd"/>
      <w:r w:rsidRPr="009A2E71">
        <w:t xml:space="preserve"> dans le cadre des mesures de mitigation du projet gazier Grand Tortue </w:t>
      </w:r>
      <w:proofErr w:type="spellStart"/>
      <w:r w:rsidRPr="009A2E71">
        <w:t>Ahmeyim</w:t>
      </w:r>
      <w:proofErr w:type="spellEnd"/>
      <w:r w:rsidRPr="009A2E71">
        <w:t xml:space="preserve"> (GTA), ce programme vise la régénération des produits halieutiques et la protection de la biodiversité marine. Les structures sous-marines, qui seront déployées à Saint-Louis, créeront de nouvelles zones de frayère et renforceront la pêche artisanale. Selon la ministre, cette initiative marque une étape importante dans la stratégie nationale de préservation des écosystèmes côtiers et de promotion d’une économie bleue durable.</w:t>
      </w:r>
    </w:p>
    <w:p w14:paraId="492EDEAE" w14:textId="26218AF6" w:rsidR="00226282" w:rsidRDefault="00226282" w:rsidP="006C1591">
      <w:pPr>
        <w:spacing w:after="0"/>
      </w:pPr>
    </w:p>
    <w:p w14:paraId="39BD89FE" w14:textId="77777777" w:rsidR="00B4197A" w:rsidRPr="009A2E71" w:rsidRDefault="00B4197A" w:rsidP="00B4197A">
      <w:pPr>
        <w:pStyle w:val="Titre2"/>
        <w:spacing w:before="0"/>
      </w:pPr>
      <w:bookmarkStart w:id="158" w:name="_Toc213247451"/>
      <w:r w:rsidRPr="009A2E71">
        <w:t>Aquaculture – 30 000 alevins pour renforcer la production.</w:t>
      </w:r>
      <w:bookmarkEnd w:id="158"/>
    </w:p>
    <w:p w14:paraId="3763B34F" w14:textId="3C2A8270" w:rsidR="00B4197A" w:rsidRDefault="00B4197A" w:rsidP="00B4197A">
      <w:pPr>
        <w:spacing w:after="0"/>
      </w:pPr>
      <w:r w:rsidRPr="009A2E71">
        <w:t>L’agence nationale de l’aquaculture (ANA) a lancé un programme d’empoissonnement dans la région de Kaffrine avec la distribution de 30 000 alevins issus de l’antenne Nord de Richard-</w:t>
      </w:r>
      <w:proofErr w:type="spellStart"/>
      <w:r w:rsidRPr="009A2E71">
        <w:t>Toll</w:t>
      </w:r>
      <w:proofErr w:type="spellEnd"/>
      <w:r w:rsidRPr="009A2E71">
        <w:t>. Cette opération, coordonnée par le bureau régional de l’ANA à Kaffrine, a permis d’appuyer cinq fermes piscicoles chacune recevant 5 000 alevins. Les 5 000 alevins restants ont été attribués à de petites exploitations locales afin de stimuler la relance de leurs activités. L’initiative s’inscrit dans la stratégie nationale de développement de l’aquaculture comme moteur de croissance économique, de création d’emplois ruraux et de sécurité alimentaire durable. Elle vise à positionner Kaffrine comme un futur pôle aquacole, grâce à la collaboration entre acteurs publics, privés et communautaires.</w:t>
      </w:r>
    </w:p>
    <w:p w14:paraId="45DAD688" w14:textId="7765030F" w:rsidR="00226282" w:rsidRDefault="00226282" w:rsidP="00B4197A">
      <w:pPr>
        <w:spacing w:after="0"/>
      </w:pPr>
    </w:p>
    <w:p w14:paraId="3CAFA7ED" w14:textId="77777777" w:rsidR="00226282" w:rsidRPr="009A2E71" w:rsidRDefault="00226282" w:rsidP="00226282">
      <w:pPr>
        <w:pStyle w:val="Titre2"/>
        <w:spacing w:before="0"/>
      </w:pPr>
      <w:bookmarkStart w:id="159" w:name="_Toc213247452"/>
      <w:r w:rsidRPr="009A2E71">
        <w:t>Ostréiculture – Mise en service du bassin de dégorgement de Nema Bah.</w:t>
      </w:r>
      <w:bookmarkEnd w:id="159"/>
    </w:p>
    <w:p w14:paraId="7933469D" w14:textId="16895394" w:rsidR="00226282" w:rsidRPr="009A2E71" w:rsidRDefault="00226282" w:rsidP="00B4197A">
      <w:pPr>
        <w:spacing w:after="0"/>
      </w:pPr>
      <w:r w:rsidRPr="009A2E71">
        <w:t xml:space="preserve">Le bassin de dégorgement à huîtres de Nema Bah, dans la commune de </w:t>
      </w:r>
      <w:proofErr w:type="spellStart"/>
      <w:r w:rsidRPr="009A2E71">
        <w:t>Toubacouta</w:t>
      </w:r>
      <w:proofErr w:type="spellEnd"/>
      <w:r w:rsidRPr="009A2E71">
        <w:t xml:space="preserve">, sera bientôt mis en service afin d’assurer une production de qualité et de renforcer les normes sanitaires, a annoncé le directeur général de l’Agence nationale d’aquaculture (ANA), M. Samba Ka. Ce dispositif, soutenu par le programme </w:t>
      </w:r>
      <w:r w:rsidRPr="009A2E71">
        <w:rPr>
          <w:i/>
          <w:iCs/>
        </w:rPr>
        <w:t>Emplois verts du Sine-Saloum</w:t>
      </w:r>
      <w:r w:rsidRPr="009A2E71">
        <w:t xml:space="preserve"> financé par l’organisation internationale du travail (OIT), permettra un traitement plus efficace des huîtres et une amélioration de la filière ostréicole. L’ANA a également remis du matériel moderne aux groupements d’intérêt économique (GIE) Yoni </w:t>
      </w:r>
      <w:proofErr w:type="spellStart"/>
      <w:r w:rsidRPr="009A2E71">
        <w:t>Diofor</w:t>
      </w:r>
      <w:proofErr w:type="spellEnd"/>
      <w:r w:rsidRPr="009A2E71">
        <w:t xml:space="preserve"> et </w:t>
      </w:r>
      <w:proofErr w:type="spellStart"/>
      <w:r w:rsidRPr="009A2E71">
        <w:t>Mbogayif</w:t>
      </w:r>
      <w:proofErr w:type="spellEnd"/>
      <w:r w:rsidRPr="009A2E71">
        <w:t xml:space="preserve"> pour renforcer le captage et le grossissement des huîtres dans le delta du Saloum. La secrétaire générale du GIE Yoni </w:t>
      </w:r>
      <w:proofErr w:type="spellStart"/>
      <w:r w:rsidRPr="009A2E71">
        <w:t>Diofor</w:t>
      </w:r>
      <w:proofErr w:type="spellEnd"/>
      <w:r w:rsidRPr="009A2E71">
        <w:t xml:space="preserve">, </w:t>
      </w:r>
      <w:proofErr w:type="spellStart"/>
      <w:r w:rsidRPr="009A2E71">
        <w:t>Gnima</w:t>
      </w:r>
      <w:proofErr w:type="spellEnd"/>
      <w:r w:rsidRPr="009A2E71">
        <w:t xml:space="preserve"> Diouf, a souligné que cette modernisation soutient l’autonomisation des femmes productrices et leur offre de meilleures perspectives économiques, avec une production d’huîtres fraîches plus rentable.</w:t>
      </w:r>
    </w:p>
    <w:p w14:paraId="06E2B5F8" w14:textId="4EB2FE28" w:rsidR="00B4197A" w:rsidRDefault="00B4197A" w:rsidP="00B4197A">
      <w:pPr>
        <w:spacing w:after="0"/>
      </w:pPr>
    </w:p>
    <w:p w14:paraId="707C025F" w14:textId="77777777" w:rsidR="00226282" w:rsidRPr="009A2E71" w:rsidRDefault="00226282" w:rsidP="00226282">
      <w:pPr>
        <w:pStyle w:val="Titre2"/>
        <w:spacing w:before="0"/>
      </w:pPr>
      <w:bookmarkStart w:id="160" w:name="_Toc213247453"/>
      <w:r w:rsidRPr="009A2E71">
        <w:t>Élevage – Sensibilisation sur la fièvre de la vallée du Rift.</w:t>
      </w:r>
      <w:bookmarkEnd w:id="160"/>
    </w:p>
    <w:p w14:paraId="6073FC1B" w14:textId="6E403BC4" w:rsidR="00226282" w:rsidRDefault="00226282" w:rsidP="00226282">
      <w:pPr>
        <w:spacing w:after="0"/>
      </w:pPr>
      <w:r w:rsidRPr="009A2E71">
        <w:t xml:space="preserve">Un atelier de deux jours a été organisé par le Conseil national de la Maison des éleveurs du Sénégal (CNMDE) sur les mesures préventives contre la fièvre de la vallée du Rift et le renforcement des capacités des leaders locaux. La rencontre a réuni des éleveurs venus de plusieurs régions du sud et du centre du pays afin d’échanger sur le leadership, la prévention de la maladie et la cohabitation entre éleveurs et agriculteurs à la fin de l’hivernage. Le président de l’association des éleveurs de Kolda, M. Mamadou Baldé, a indiqué que la maladie touche actuellement 6 des 14 régions du Sénégal et que la sensibilisation reste essentielle pour réduire les risques de propagation et de conflits liés à la gestion du bétail. Bien que la région de Kolda soit encore épargnée, les autorités locales maintiennent une surveillance renforcée </w:t>
      </w:r>
      <w:r w:rsidRPr="009A2E71">
        <w:lastRenderedPageBreak/>
        <w:t xml:space="preserve">sur les mouvements d’animaux, notamment dans les zones de passage et les marchés hebdomadaires de </w:t>
      </w:r>
      <w:proofErr w:type="spellStart"/>
      <w:r w:rsidRPr="009A2E71">
        <w:t>Diaobé</w:t>
      </w:r>
      <w:proofErr w:type="spellEnd"/>
      <w:r w:rsidRPr="009A2E71">
        <w:t xml:space="preserve"> et </w:t>
      </w:r>
      <w:proofErr w:type="spellStart"/>
      <w:r w:rsidRPr="009A2E71">
        <w:t>Saré</w:t>
      </w:r>
      <w:proofErr w:type="spellEnd"/>
      <w:r w:rsidRPr="009A2E71">
        <w:t xml:space="preserve"> Yoba.</w:t>
      </w:r>
    </w:p>
    <w:p w14:paraId="63C20C23" w14:textId="77777777" w:rsidR="00014ADE" w:rsidRDefault="00014ADE" w:rsidP="00014ADE">
      <w:pPr>
        <w:pStyle w:val="Titre2"/>
        <w:spacing w:before="0"/>
      </w:pPr>
    </w:p>
    <w:p w14:paraId="094F012F" w14:textId="3CE2CC3D" w:rsidR="00014ADE" w:rsidRPr="009A2E71" w:rsidRDefault="00014ADE" w:rsidP="00014ADE">
      <w:pPr>
        <w:pStyle w:val="Titre2"/>
        <w:spacing w:before="0"/>
      </w:pPr>
      <w:bookmarkStart w:id="161" w:name="_Toc213247454"/>
      <w:r w:rsidRPr="009A2E71">
        <w:t>Élevage – Premiers résultats du Programme national de développement intégré de l’élevage au Sénégal (PNDIES).</w:t>
      </w:r>
      <w:bookmarkEnd w:id="161"/>
    </w:p>
    <w:p w14:paraId="3141C797" w14:textId="413582AC" w:rsidR="00014ADE" w:rsidRDefault="00014ADE" w:rsidP="00226282">
      <w:pPr>
        <w:spacing w:after="0"/>
      </w:pPr>
      <w:bookmarkStart w:id="162" w:name="_Hlk211246859"/>
      <w:r w:rsidRPr="009A2E71">
        <w:t>Le PNDIES</w:t>
      </w:r>
      <w:bookmarkEnd w:id="162"/>
      <w:r w:rsidRPr="009A2E71">
        <w:t xml:space="preserve"> prévoit, dans sa première phase, la création de sept parcs de vaccination, d’une plateforme de production ovine et de plusieurs infrastructures visant à renforcer la compétitivité de la chaîne de valeur animale dans la région de Diourbel d’ici à 2028. Selon M. Ibrahima Ndiaye, chargé du suivi-évaluation du PNDIES, les réalisations concernent notamment la construction de trois postes vétérinaires, du marché à bétail de Mbacké et d’une mini-unité d’abattage et de valorisation de la volaille. Le projet inclut aussi la réhabilitation du service départemental de l’élevage et la reconstruction de l’aire d’abattage de Bambey. Pour le coordonnateur du PNDIES-P1, le Dr Dame Sow, l’objectif est de développer des chaînes de valeur animales compétitives, climato-résilientes et pourvoyeuses d’emplois pour les jeunes et les femmes, tout en contribuant à la souveraineté alimentaire nationale. Le programme vise à accroître la productivité animale dans les quatorze régions, à professionnaliser les acteurs et à renforcer la protection du cheptel par l’achat de vaccins. Il cible les filières bétail, viande, lait, apiculture, culture fourragère et aviculture rurale, avec la création attendue de 3 500 entreprises et 18 000 emplois d’ici à 2028, ainsi que de multiples unités de production et de transformation animale. S’agissant de l’amélioration génétique du cheptel, il est prévu l’acquisition de 16 taureaux reproducteurs pour la relance de la production de semences, de 5 000 génisses gestantes, de 3 000 géniteurs ovins, 3 000 brebis et 250 couples porcins. Le projet prévoit également la construction de 20 magasins de stockage d’aliments de bétail, 20 unités de compaction et de fabrication d’aliments, et la création de 60 mini-unités de production laitière.</w:t>
      </w:r>
    </w:p>
    <w:p w14:paraId="63CC6305" w14:textId="32FFA7A9" w:rsidR="00014ADE" w:rsidRDefault="00014ADE" w:rsidP="00226282">
      <w:pPr>
        <w:spacing w:after="0"/>
      </w:pPr>
    </w:p>
    <w:p w14:paraId="02122538" w14:textId="77777777" w:rsidR="00014ADE" w:rsidRPr="009A2E71" w:rsidRDefault="00014ADE" w:rsidP="00014ADE">
      <w:pPr>
        <w:pStyle w:val="Titre2"/>
        <w:spacing w:before="0"/>
      </w:pPr>
      <w:bookmarkStart w:id="163" w:name="_Toc213247455"/>
      <w:r w:rsidRPr="009A2E71">
        <w:t>Élevage – Projet de nouveaux périmètres fourragers et centre de production bovine.</w:t>
      </w:r>
      <w:bookmarkEnd w:id="163"/>
    </w:p>
    <w:p w14:paraId="14CFC701" w14:textId="0F0293CF" w:rsidR="00014ADE" w:rsidRDefault="00014ADE" w:rsidP="00226282">
      <w:pPr>
        <w:spacing w:after="0"/>
      </w:pPr>
      <w:r w:rsidRPr="009A2E71">
        <w:t xml:space="preserve">Le Programme national pour le développement intégré de l’élevage au Sénégal (PNDIES-PI) prévoit la création de périmètres fourragers et d’un centre de production bovine dans les communes de </w:t>
      </w:r>
      <w:proofErr w:type="spellStart"/>
      <w:r w:rsidRPr="009A2E71">
        <w:t>Boulel</w:t>
      </w:r>
      <w:proofErr w:type="spellEnd"/>
      <w:r w:rsidRPr="009A2E71">
        <w:t xml:space="preserve"> et de </w:t>
      </w:r>
      <w:proofErr w:type="spellStart"/>
      <w:r w:rsidRPr="009A2E71">
        <w:t>Lour</w:t>
      </w:r>
      <w:proofErr w:type="spellEnd"/>
      <w:r w:rsidRPr="009A2E71">
        <w:t xml:space="preserve"> Escale, dans la région de Kaffrine. Selon son coordonnateur, M. Dame Sow, cette initiative, mise en œuvre par le ministère de l’agriculture, de la souveraineté alimentaire et de l’élevage, vise à renforcer la souveraineté alimentaire et à développer des chaînes de valeur animales compétitives et climato-résilientes. Le projet, couvrant la période 2024-2029, prévoit également l’implantation d’une coopérative agricole sur 100 ha à </w:t>
      </w:r>
      <w:proofErr w:type="spellStart"/>
      <w:r w:rsidRPr="009A2E71">
        <w:t>Lour</w:t>
      </w:r>
      <w:proofErr w:type="spellEnd"/>
      <w:r w:rsidRPr="009A2E71">
        <w:t xml:space="preserve"> Escale, dotée d’un forage et d’infrastructures de production animale, ainsi que l’installation d’un centre de production bovine sur le site des domaines agricoles communautaires (DAC) de </w:t>
      </w:r>
      <w:proofErr w:type="spellStart"/>
      <w:r w:rsidRPr="009A2E71">
        <w:t>Boulel</w:t>
      </w:r>
      <w:proofErr w:type="spellEnd"/>
      <w:r w:rsidRPr="009A2E71">
        <w:t>. Ces aménagements devraient créer plusieurs emplois directs et indirects, notamment pour les jeunes et les femmes.</w:t>
      </w:r>
    </w:p>
    <w:p w14:paraId="6BCF7958" w14:textId="256D8D67" w:rsidR="00226282" w:rsidRDefault="00226282" w:rsidP="00226282">
      <w:pPr>
        <w:spacing w:after="0"/>
      </w:pPr>
    </w:p>
    <w:p w14:paraId="523844DE" w14:textId="77777777" w:rsidR="000B5E1A" w:rsidRPr="009A2E71" w:rsidRDefault="000B5E1A" w:rsidP="000B5E1A">
      <w:pPr>
        <w:pStyle w:val="Titre2"/>
        <w:spacing w:before="0"/>
      </w:pPr>
      <w:bookmarkStart w:id="164" w:name="_Toc213247456"/>
      <w:r w:rsidRPr="009A2E71">
        <w:t>Pastoralisme – Résultat à mi-parcours du Projet régional d’appui au pastoralisme au Sahel.</w:t>
      </w:r>
      <w:bookmarkEnd w:id="164"/>
    </w:p>
    <w:p w14:paraId="53B6CB85" w14:textId="77777777" w:rsidR="000B5E1A" w:rsidRPr="009A2E71" w:rsidRDefault="000B5E1A" w:rsidP="000B5E1A">
      <w:pPr>
        <w:spacing w:after="0"/>
      </w:pPr>
      <w:r w:rsidRPr="009A2E71">
        <w:t xml:space="preserve">À mi-parcours de sa mise en œuvre, le </w:t>
      </w:r>
      <w:bookmarkStart w:id="165" w:name="_Hlk211786949"/>
      <w:r w:rsidRPr="009A2E71">
        <w:t xml:space="preserve">Projet régional d’appui au pastoralisme au Sahel </w:t>
      </w:r>
      <w:bookmarkEnd w:id="165"/>
      <w:r w:rsidRPr="009A2E71">
        <w:t xml:space="preserve">– Phase 2 au Sénégal (PRAPS2-SN) a organisé une caravane de presse pour valoriser ses réalisations en faveur des communautés pastorales et agropastorales. Le projet soutient la culture fourragère, la production laitière, la modernisation des infrastructures et la formation des acteurs. A </w:t>
      </w:r>
      <w:proofErr w:type="spellStart"/>
      <w:r w:rsidRPr="009A2E71">
        <w:t>Ndam</w:t>
      </w:r>
      <w:proofErr w:type="spellEnd"/>
      <w:r w:rsidRPr="009A2E71">
        <w:t xml:space="preserve">, un périmètre fourrager a été aménagé grâce à un appui de 16 M FCFA pour l’installation d’un système d’irrigation solaire, améliorant la productivité laitière et les revenus familiaux. À </w:t>
      </w:r>
      <w:proofErr w:type="spellStart"/>
      <w:r w:rsidRPr="009A2E71">
        <w:lastRenderedPageBreak/>
        <w:t>Lour</w:t>
      </w:r>
      <w:proofErr w:type="spellEnd"/>
      <w:r w:rsidRPr="009A2E71">
        <w:t xml:space="preserve"> Escale, une ferme laitière, a été financée à 60% pour un montant total de 17 M FCFA. Elle produit 20 litres de lait par jour avec un objectif de 60 litres. À </w:t>
      </w:r>
      <w:proofErr w:type="spellStart"/>
      <w:r w:rsidRPr="009A2E71">
        <w:t>Ndioum</w:t>
      </w:r>
      <w:proofErr w:type="spellEnd"/>
      <w:r w:rsidRPr="009A2E71">
        <w:t xml:space="preserve">, un entrepreneur a mis en place une ferme intégrée et une boucherie moderne grâce à un appui de 9,5 M FCFA, créant 10 emplois locaux. Le marché à bétail de </w:t>
      </w:r>
      <w:proofErr w:type="spellStart"/>
      <w:r w:rsidRPr="009A2E71">
        <w:t>Bondji</w:t>
      </w:r>
      <w:proofErr w:type="spellEnd"/>
      <w:r w:rsidRPr="009A2E71">
        <w:t xml:space="preserve">, construit pour 107 M FCFA, peut accueillir 3 000 petits ruminants et 1 000 bovins dans un cadre sécurisé. Le projet a également permis la construction du poste vétérinaire de </w:t>
      </w:r>
      <w:proofErr w:type="spellStart"/>
      <w:r w:rsidRPr="009A2E71">
        <w:t>Missirah</w:t>
      </w:r>
      <w:proofErr w:type="spellEnd"/>
      <w:r w:rsidRPr="009A2E71">
        <w:t xml:space="preserve"> </w:t>
      </w:r>
      <w:proofErr w:type="spellStart"/>
      <w:r w:rsidRPr="009A2E71">
        <w:t>Wadène</w:t>
      </w:r>
      <w:proofErr w:type="spellEnd"/>
      <w:r w:rsidRPr="009A2E71">
        <w:t>, financé à hauteur de 39 M FCFA, et la formation de 140 femmes et jeunes à la transformation agroalimentaire, tandis que 399 apprenants suivent actuellement une formation.</w:t>
      </w:r>
    </w:p>
    <w:p w14:paraId="26AA831C" w14:textId="77777777" w:rsidR="000B5E1A" w:rsidRPr="009A2E71" w:rsidRDefault="000B5E1A" w:rsidP="000B5E1A">
      <w:pPr>
        <w:spacing w:after="0"/>
      </w:pPr>
    </w:p>
    <w:p w14:paraId="5275D737" w14:textId="77777777" w:rsidR="00226282" w:rsidRPr="009A2E71" w:rsidRDefault="00226282" w:rsidP="00226282">
      <w:pPr>
        <w:pStyle w:val="Titre2"/>
        <w:spacing w:before="0"/>
      </w:pPr>
      <w:bookmarkStart w:id="166" w:name="_Toc213247457"/>
      <w:r w:rsidRPr="009A2E71">
        <w:t>Volaille – Offensive contre les importations frauduleuses de viande.</w:t>
      </w:r>
      <w:bookmarkEnd w:id="166"/>
    </w:p>
    <w:p w14:paraId="6BF288C5" w14:textId="406476FC" w:rsidR="00226282" w:rsidRDefault="00226282" w:rsidP="00226282">
      <w:pPr>
        <w:spacing w:after="0"/>
      </w:pPr>
      <w:r w:rsidRPr="009A2E71">
        <w:t xml:space="preserve">Le ministre de l’agriculture, de la souveraineté alimentaire et de l’élevage a réuni les représentants des ministères des finances et du budget, du commerce et de l’industrie, ainsi que l’interprofession de la filière avicole du Sénégal (IPAS), afin de trouver des solutions durables face à la recrudescence des importations frauduleuses de viande de volaille. Cette rencontre a permis d’évaluer les menaces qui pèsent sur une filière stratégique employant près de 50 000 personnes et générant plus de 450 Md FCFA par an, avec une production estimée à 80 M de poulets de chair et 800 M d’œufs. Le ministre, le Dr. </w:t>
      </w:r>
      <w:proofErr w:type="spellStart"/>
      <w:r w:rsidRPr="009A2E71">
        <w:t>Mabouba</w:t>
      </w:r>
      <w:proofErr w:type="spellEnd"/>
      <w:r w:rsidRPr="009A2E71">
        <w:t xml:space="preserve"> Diagne, et le président de l’IPAS, le Dr El Hadji Mamadou Diouf, ont souligné la nécessité de protéger ce secteur clé pour la souveraineté alimentaire. Les douanes, par la voix du colonel Kane, ont réaffirmé leur engagement à renforcer la surveillance des frontières en coordination avec les forces de défense et de sécurité. À l’issue des échanges, plusieurs mesures correctives ont été proposées, dont la révision de l’arrêté interministériel de 2005 interdisant l’importation de produits avicoles et de matériel avicole usagé, afin de mieux encadrer le marché et défendre la filière nationale.</w:t>
      </w:r>
    </w:p>
    <w:p w14:paraId="693566A1" w14:textId="71A4345D" w:rsidR="00A773B9" w:rsidRDefault="00A773B9" w:rsidP="00226282">
      <w:pPr>
        <w:spacing w:after="0"/>
      </w:pPr>
    </w:p>
    <w:p w14:paraId="2D7D919C" w14:textId="77777777" w:rsidR="00A773B9" w:rsidRPr="009A2E71" w:rsidRDefault="00A773B9" w:rsidP="00A773B9">
      <w:pPr>
        <w:keepNext/>
        <w:keepLines/>
        <w:spacing w:after="0"/>
        <w:outlineLvl w:val="1"/>
        <w:rPr>
          <w:rFonts w:eastAsiaTheme="majorEastAsia" w:cstheme="majorBidi"/>
          <w:b/>
          <w:szCs w:val="26"/>
        </w:rPr>
      </w:pPr>
      <w:bookmarkStart w:id="167" w:name="_Toc210839610"/>
      <w:bookmarkStart w:id="168" w:name="_Toc213247458"/>
      <w:r w:rsidRPr="009A2E71">
        <w:rPr>
          <w:rFonts w:eastAsiaTheme="majorEastAsia" w:cstheme="majorBidi"/>
          <w:b/>
          <w:szCs w:val="26"/>
        </w:rPr>
        <w:t>Halal – Ambition visant à positionner le Sénégal comme pôle de référence du halal en Afrique.</w:t>
      </w:r>
      <w:bookmarkEnd w:id="167"/>
      <w:bookmarkEnd w:id="168"/>
    </w:p>
    <w:p w14:paraId="4547E018" w14:textId="77777777" w:rsidR="00A773B9" w:rsidRPr="009A2E71" w:rsidRDefault="00A773B9" w:rsidP="00A773B9">
      <w:pPr>
        <w:spacing w:after="0"/>
      </w:pPr>
      <w:r w:rsidRPr="009A2E71">
        <w:t xml:space="preserve">Du 16 au 20 septembre, l’Agence de Développement et d’Encadrement des Petites et Moyennes Entreprises (ADEPME) a conduit en Malaisie une mission avec quinze PME sénégalaises pour des rencontres institutionnelles avec SME Corporation Malaysia (SME Corp. Malaysia), la Halal </w:t>
      </w:r>
      <w:proofErr w:type="spellStart"/>
      <w:r w:rsidRPr="009A2E71">
        <w:t>Development</w:t>
      </w:r>
      <w:proofErr w:type="spellEnd"/>
      <w:r w:rsidRPr="009A2E71">
        <w:t xml:space="preserve"> Corporation (HDC) et Malaysia </w:t>
      </w:r>
      <w:proofErr w:type="spellStart"/>
      <w:r w:rsidRPr="009A2E71">
        <w:t>External</w:t>
      </w:r>
      <w:proofErr w:type="spellEnd"/>
      <w:r w:rsidRPr="009A2E71">
        <w:t xml:space="preserve"> Trade </w:t>
      </w:r>
      <w:proofErr w:type="spellStart"/>
      <w:r w:rsidRPr="009A2E71">
        <w:t>Development</w:t>
      </w:r>
      <w:proofErr w:type="spellEnd"/>
      <w:r w:rsidRPr="009A2E71">
        <w:t xml:space="preserve"> Corporation (MATRADE) afin d’identifier des axes de coopération et d’esquisser une feuille de route pour structurer un cadre national de l’économie halal. L’ADEPME présente cette démarche comme l’ouverture d’une nouvelle ambition visant à positionner le Sénégal comme pôle de référence du halal en Afrique en s’inspirant de l’expérience malaisienne.</w:t>
      </w:r>
    </w:p>
    <w:p w14:paraId="43CD2471" w14:textId="77777777" w:rsidR="00226282" w:rsidRPr="009A2E71" w:rsidRDefault="00226282" w:rsidP="00B4197A">
      <w:pPr>
        <w:spacing w:after="0"/>
      </w:pPr>
    </w:p>
    <w:p w14:paraId="34827979" w14:textId="296525DD" w:rsidR="004F4990" w:rsidRPr="009A2E71" w:rsidRDefault="004F4990" w:rsidP="006C1591">
      <w:pPr>
        <w:pStyle w:val="Titre2"/>
        <w:spacing w:before="0"/>
      </w:pPr>
      <w:bookmarkStart w:id="169" w:name="_Toc213247459"/>
      <w:r w:rsidRPr="009A2E71">
        <w:t>Agroforesterie – Le projet Galileo renforce la résilience des communautés rurales.</w:t>
      </w:r>
      <w:bookmarkEnd w:id="169"/>
    </w:p>
    <w:p w14:paraId="3A61A919" w14:textId="0A3E0BF2" w:rsidR="00E948C4" w:rsidRDefault="004F4990" w:rsidP="006C1591">
      <w:pPr>
        <w:spacing w:after="0"/>
      </w:pPr>
      <w:r w:rsidRPr="009A2E71">
        <w:t xml:space="preserve">Le projet Galileo, mis en œuvre à </w:t>
      </w:r>
      <w:proofErr w:type="spellStart"/>
      <w:r w:rsidRPr="009A2E71">
        <w:t>Niakhar</w:t>
      </w:r>
      <w:proofErr w:type="spellEnd"/>
      <w:r w:rsidRPr="009A2E71">
        <w:t xml:space="preserve"> dans la région de Fatick pour la période 2025–2028, a présenté ses « livings </w:t>
      </w:r>
      <w:proofErr w:type="spellStart"/>
      <w:r w:rsidRPr="009A2E71">
        <w:t>labs</w:t>
      </w:r>
      <w:proofErr w:type="spellEnd"/>
      <w:r w:rsidRPr="009A2E71">
        <w:t xml:space="preserve"> », une méthode participative d’expérimentation et d’évaluation d’innovations agroforestières destinées à renforcer la résilience des populations rurales face au changement climatique. Selon </w:t>
      </w:r>
      <w:r w:rsidR="0016073E" w:rsidRPr="009A2E71">
        <w:t xml:space="preserve">M. </w:t>
      </w:r>
      <w:r w:rsidRPr="009A2E71">
        <w:t xml:space="preserve">Olivier </w:t>
      </w:r>
      <w:proofErr w:type="spellStart"/>
      <w:r w:rsidRPr="009A2E71">
        <w:t>Roupsard</w:t>
      </w:r>
      <w:proofErr w:type="spellEnd"/>
      <w:r w:rsidRPr="009A2E71">
        <w:t xml:space="preserve"> du centre de coopération internationale en recherche agronomique pour le développement (CIRAD), l’objectif est de promouvoir des systèmes intégrant arbres, cultures et élevage pour améliorer les conditions de vie et créer des emplois adaptés à la saison sèche tout en préservant la biodiversité. Le projet vise à exploiter les potentialités des espèces forestières capables de fournir à la fois fourrage et fruits, favorisant ainsi une production continue et une meilleure alimentation du cheptel. Pour sa part, </w:t>
      </w:r>
      <w:r w:rsidR="0016073E" w:rsidRPr="009A2E71">
        <w:t xml:space="preserve">M. </w:t>
      </w:r>
      <w:r w:rsidRPr="009A2E71">
        <w:t xml:space="preserve">Cherif Siaka Sembene Mané de l’institut sénégalais de recherches agricoles (ISRA) a </w:t>
      </w:r>
      <w:r w:rsidRPr="009A2E71">
        <w:lastRenderedPageBreak/>
        <w:t xml:space="preserve">précisé que la création de groupes « livings </w:t>
      </w:r>
      <w:proofErr w:type="spellStart"/>
      <w:r w:rsidRPr="009A2E71">
        <w:t>labs</w:t>
      </w:r>
      <w:proofErr w:type="spellEnd"/>
      <w:r w:rsidRPr="009A2E71">
        <w:t xml:space="preserve"> » constitue une première étape avant la mise en œuvre des solutions locales identifiées à partir d’un diagnostic territorial. Les autorités locales encouragent les populations à s’approprier ces initiatives pour assurer une production agricole durable tout au long de l’année.</w:t>
      </w:r>
      <w:r w:rsidR="0016073E" w:rsidRPr="009A2E71">
        <w:t xml:space="preserve"> Coordonné par le CIRAD, et financé par le programme Horizon Europe de l’Union européenne et la Confédération suisse, le projet « Renforcer les moyens de subsistance ruraux et la résilience au changement climatique en Afrique : une agroforesterie innovante intégrant les populations, les arbres, les cultures et le bétail », nommé Galil</w:t>
      </w:r>
      <w:r w:rsidR="00D30F29" w:rsidRPr="009A2E71">
        <w:t xml:space="preserve">eo a été lancé </w:t>
      </w:r>
      <w:r w:rsidR="0016073E" w:rsidRPr="009A2E71">
        <w:t>au Sénégal</w:t>
      </w:r>
      <w:r w:rsidR="00D30F29" w:rsidRPr="009A2E71">
        <w:t xml:space="preserve"> au début de l’année 2025</w:t>
      </w:r>
      <w:r w:rsidR="0016073E" w:rsidRPr="009A2E71">
        <w:t>.</w:t>
      </w:r>
    </w:p>
    <w:p w14:paraId="095D0BE6" w14:textId="1C7615C0" w:rsidR="00226282" w:rsidRDefault="00226282" w:rsidP="006C1591">
      <w:pPr>
        <w:spacing w:after="0"/>
      </w:pPr>
    </w:p>
    <w:p w14:paraId="2B2EFC69" w14:textId="77777777" w:rsidR="00226282" w:rsidRPr="009A2E71" w:rsidRDefault="00226282" w:rsidP="00226282">
      <w:pPr>
        <w:pStyle w:val="Titre2"/>
        <w:spacing w:before="0"/>
        <w:rPr>
          <w:rStyle w:val="Titre2Car"/>
          <w:b/>
        </w:rPr>
      </w:pPr>
      <w:bookmarkStart w:id="170" w:name="_Toc213247460"/>
      <w:r w:rsidRPr="009A2E71">
        <w:rPr>
          <w:rStyle w:val="Titre2Car"/>
          <w:b/>
        </w:rPr>
        <w:t>Agroforesterie – Innovations locales pour la résilience climatique.</w:t>
      </w:r>
      <w:bookmarkEnd w:id="170"/>
    </w:p>
    <w:p w14:paraId="4496232F" w14:textId="77777777" w:rsidR="00226282" w:rsidRPr="009A2E71" w:rsidRDefault="00226282" w:rsidP="00226282">
      <w:pPr>
        <w:spacing w:after="0"/>
        <w:rPr>
          <w:rFonts w:eastAsiaTheme="majorEastAsia" w:cstheme="majorBidi"/>
          <w:b/>
          <w:szCs w:val="26"/>
        </w:rPr>
      </w:pPr>
      <w:r w:rsidRPr="009A2E71">
        <w:t xml:space="preserve">Le projet Galileo, mené à </w:t>
      </w:r>
      <w:proofErr w:type="spellStart"/>
      <w:r w:rsidRPr="009A2E71">
        <w:t>Niakhar</w:t>
      </w:r>
      <w:proofErr w:type="spellEnd"/>
      <w:r w:rsidRPr="009A2E71">
        <w:t xml:space="preserve"> dans la région de Fatick pour la période 2025-2028, expérimente la méthode des « livings </w:t>
      </w:r>
      <w:proofErr w:type="spellStart"/>
      <w:r w:rsidRPr="009A2E71">
        <w:t>labs</w:t>
      </w:r>
      <w:proofErr w:type="spellEnd"/>
      <w:r w:rsidRPr="009A2E71">
        <w:t xml:space="preserve"> » afin d’évaluer et de diffuser des innovations agroforestières destinées à renforcer la résilience des ménages ruraux face au changement climatique. Selon M. Olivier </w:t>
      </w:r>
      <w:proofErr w:type="spellStart"/>
      <w:r w:rsidRPr="009A2E71">
        <w:t>Roupsard</w:t>
      </w:r>
      <w:proofErr w:type="spellEnd"/>
      <w:r w:rsidRPr="009A2E71">
        <w:t xml:space="preserve"> du centre de coopération internationale en recherche agronomique pour le développement (CIRAD), l’objectif est de promouvoir l’intégration des arbres, des cultures et de l’élevage pour améliorer les moyens de subsistance et créer des emplois en saison sèche, notamment grâce à la valorisation du fourrage et des fruits issus des arbres. M. Cherif Siaka Sembene Mané de l’institut sénégalais de recherches agricoles (ISRA) a précisé que la création de groupes « livings </w:t>
      </w:r>
      <w:proofErr w:type="spellStart"/>
      <w:r w:rsidRPr="009A2E71">
        <w:t>labs</w:t>
      </w:r>
      <w:proofErr w:type="spellEnd"/>
      <w:r w:rsidRPr="009A2E71">
        <w:t xml:space="preserve"> » marque la première étape d’un processus associant diagnostic territorial, définition des priorités et élaboration de solutions adaptées. Les autorités locales ont appelé les populations à s’approprier le projet pour renforcer la production agricole tout au long de l’année.</w:t>
      </w:r>
    </w:p>
    <w:p w14:paraId="4ED09026" w14:textId="77777777" w:rsidR="00226282" w:rsidRPr="009A2E71" w:rsidRDefault="00226282" w:rsidP="00226282">
      <w:pPr>
        <w:spacing w:after="0"/>
      </w:pPr>
    </w:p>
    <w:p w14:paraId="3236E5FC" w14:textId="77777777" w:rsidR="00226282" w:rsidRPr="009A2E71" w:rsidRDefault="00226282" w:rsidP="00226282">
      <w:pPr>
        <w:pStyle w:val="Titre2"/>
        <w:spacing w:before="0"/>
      </w:pPr>
      <w:bookmarkStart w:id="171" w:name="_Toc213247461"/>
      <w:r w:rsidRPr="009A2E71">
        <w:t>Agroécologie – Formations.</w:t>
      </w:r>
      <w:bookmarkEnd w:id="171"/>
    </w:p>
    <w:p w14:paraId="792D253D" w14:textId="38FAA9E1" w:rsidR="00226282" w:rsidRPr="009A2E71" w:rsidRDefault="00226282" w:rsidP="006C1591">
      <w:pPr>
        <w:spacing w:after="0"/>
      </w:pPr>
      <w:r w:rsidRPr="009A2E71">
        <w:t xml:space="preserve">Dans la région de Kaffrine, des centaines de femmes issues de plus de 50 groupements d’intérêt économique (GIE) ont été formées à l’agroécologie et à l’usage des engrais organiques par le projet d’autonomisation et de financement vert des femmes (PAFIV). Financé par l’agence belge de coopération internationale et mis en œuvre par Caritas Kaolack, l’organisation non gouvernementale (ONG) </w:t>
      </w:r>
      <w:proofErr w:type="spellStart"/>
      <w:r w:rsidRPr="009A2E71">
        <w:t>Eclosio</w:t>
      </w:r>
      <w:proofErr w:type="spellEnd"/>
      <w:r w:rsidRPr="009A2E71">
        <w:t xml:space="preserve"> et l’université du Sine-Saloum El Hadji-Ibrahima-</w:t>
      </w:r>
      <w:proofErr w:type="spellStart"/>
      <w:r w:rsidRPr="009A2E71">
        <w:t>Niass</w:t>
      </w:r>
      <w:proofErr w:type="spellEnd"/>
      <w:r w:rsidRPr="009A2E71">
        <w:t>, le projet exploite 27 champs-écoles destinés à promouvoir l’emploi de biofertilisants locaux en alternative aux engrais chimiques. Les participantes y utilisent du fumier, de l’urée liquide organique et d’autres engrais naturels permettant de réduire l’impact du changement climatique. Les résultats observés sont jugés encourageants, les femmes signalant une amélioration de leurs rendements agricoles et de leur autonomie économique.</w:t>
      </w:r>
    </w:p>
    <w:p w14:paraId="7648450C" w14:textId="77777777" w:rsidR="00CE4144" w:rsidRPr="009A2E71" w:rsidRDefault="00CE4144" w:rsidP="006C1591">
      <w:pPr>
        <w:spacing w:after="0"/>
      </w:pPr>
    </w:p>
    <w:p w14:paraId="43FC59E6" w14:textId="77777777" w:rsidR="00226282" w:rsidRPr="009A2E71" w:rsidRDefault="00226282" w:rsidP="00226282">
      <w:pPr>
        <w:pStyle w:val="Titre2"/>
        <w:spacing w:before="0"/>
      </w:pPr>
      <w:bookmarkStart w:id="172" w:name="_Toc213247462"/>
      <w:r w:rsidRPr="009A2E71">
        <w:t>Infrastructure – Relance du port de Ziguinchor et dragage du fleuve Casamance.</w:t>
      </w:r>
      <w:bookmarkEnd w:id="172"/>
    </w:p>
    <w:p w14:paraId="2C16CED6" w14:textId="343A00CB" w:rsidR="00226282" w:rsidRPr="009A2E71" w:rsidRDefault="00226282" w:rsidP="006C1591">
      <w:pPr>
        <w:spacing w:after="0"/>
      </w:pPr>
      <w:r w:rsidRPr="009A2E71">
        <w:t xml:space="preserve">Le directeur général du consortium sénégalais des affaires maritimes (COSAMA), M. Baba </w:t>
      </w:r>
      <w:proofErr w:type="spellStart"/>
      <w:r w:rsidRPr="009A2E71">
        <w:t>Tall</w:t>
      </w:r>
      <w:proofErr w:type="spellEnd"/>
      <w:r w:rsidRPr="009A2E71">
        <w:t xml:space="preserve">, a présenté à Ziguinchor un plan de redressement du port et de désenclavement des régions du Sud par voie maritime. Il a indiqué que la relance de l’activité portuaire dépend de la réussite du projet de dragage du fleuve Casamance, prévu dans le plan 2026 de l’agence nationale des affaires maritimes (ANAM), qui prévoit d’augmenter la profondeur de navigation de 5 à plus de 8 mètres. Les études techniques sont déjà engagées, selon les autorités concernées. En parallèle, COSAMA prépare la mise en place d’un dispositif logistique pour le transport maritime des noix d’anacarde et d’autres produits agricoles, afin de soutenir les opérateurs économiques et d’améliorer la fluidité des échanges dans la région. Ces actions s’inscrivent </w:t>
      </w:r>
      <w:r w:rsidRPr="009A2E71">
        <w:lastRenderedPageBreak/>
        <w:t>dans la stratégie gouvernementale de relance économique du Sud et de valorisation du potentiel agro-industriel de la Casamance.</w:t>
      </w:r>
    </w:p>
    <w:p w14:paraId="444FB0CC" w14:textId="1C11F05D" w:rsidR="00540135" w:rsidRDefault="00540135" w:rsidP="006C1591">
      <w:pPr>
        <w:spacing w:after="0"/>
      </w:pPr>
    </w:p>
    <w:p w14:paraId="218A1151" w14:textId="77777777" w:rsidR="00A773B9" w:rsidRPr="009A2E71" w:rsidRDefault="00A773B9" w:rsidP="00A773B9">
      <w:pPr>
        <w:pStyle w:val="Titre2"/>
        <w:spacing w:before="0"/>
      </w:pPr>
      <w:bookmarkStart w:id="173" w:name="_Toc213247463"/>
      <w:r w:rsidRPr="009A2E71">
        <w:t>Coopération bilatérale – Appuie du Japon au secteur agricole et à la formation technique.</w:t>
      </w:r>
      <w:bookmarkEnd w:id="173"/>
    </w:p>
    <w:p w14:paraId="48C7271E" w14:textId="77777777" w:rsidR="00A773B9" w:rsidRPr="009A2E71" w:rsidRDefault="00A773B9" w:rsidP="00A773B9">
      <w:pPr>
        <w:spacing w:after="0"/>
      </w:pPr>
      <w:r w:rsidRPr="009A2E71">
        <w:t xml:space="preserve">Le Sénégal et le Japon ont signé deux accords le 10 octobre au ministère de l’économie, du plan et de la coopération, en présence du ministre M. </w:t>
      </w:r>
      <w:proofErr w:type="spellStart"/>
      <w:r w:rsidRPr="009A2E71">
        <w:t>Rahmane</w:t>
      </w:r>
      <w:proofErr w:type="spellEnd"/>
      <w:r w:rsidRPr="009A2E71">
        <w:t xml:space="preserve"> </w:t>
      </w:r>
      <w:proofErr w:type="spellStart"/>
      <w:r w:rsidRPr="009A2E71">
        <w:t>Sarr</w:t>
      </w:r>
      <w:proofErr w:type="spellEnd"/>
      <w:r w:rsidRPr="009A2E71">
        <w:t xml:space="preserve"> et de l’ambassadeur du Japon, SE M. Akamatsu Takeshi. Le premier accord, d’un montant de 240 M JPY soit environ 892,8 M FCFA, financera la fourniture de machines agricoles destinées à renforcer la mécanisation dans le Sénégal oriental et en Casamance au profit de la Société de développement agricole et industriel (SODAGRI). Le second, évalué à 3 464 M de JPY soit près de 12,9 Md FCFA, concerne la construction de l’annexe du Centre de formation professionnelle et technique Sénégal–Japon (CFPT/SJ) à Diamniadio, avec deux nouvelles filières en énergies renouvelables et en maintenance industrielle.</w:t>
      </w:r>
    </w:p>
    <w:p w14:paraId="773ECE63" w14:textId="77777777" w:rsidR="00A773B9" w:rsidRPr="009A2E71" w:rsidRDefault="00A773B9" w:rsidP="006C1591">
      <w:pPr>
        <w:spacing w:after="0"/>
      </w:pPr>
    </w:p>
    <w:p w14:paraId="067D2B32" w14:textId="34F96801" w:rsidR="00274A48" w:rsidRPr="009A2E71" w:rsidRDefault="00D066E5" w:rsidP="006C1591">
      <w:pPr>
        <w:pStyle w:val="Titre2"/>
        <w:spacing w:before="0"/>
      </w:pPr>
      <w:bookmarkStart w:id="174" w:name="_Toc213247464"/>
      <w:r w:rsidRPr="009A2E71">
        <w:t xml:space="preserve">Evènement - </w:t>
      </w:r>
      <w:r w:rsidR="008F1989" w:rsidRPr="009A2E71">
        <w:t>C</w:t>
      </w:r>
      <w:r w:rsidRPr="009A2E71">
        <w:t>élébration de la journée mondiale de l’alimentation</w:t>
      </w:r>
      <w:r w:rsidR="00274A48" w:rsidRPr="009A2E71">
        <w:t>.</w:t>
      </w:r>
      <w:bookmarkEnd w:id="174"/>
    </w:p>
    <w:p w14:paraId="2148E578" w14:textId="55E2B184" w:rsidR="00A95E3D" w:rsidRPr="009A2E71" w:rsidRDefault="00274A48" w:rsidP="006C1591">
      <w:pPr>
        <w:spacing w:after="0"/>
      </w:pPr>
      <w:r w:rsidRPr="009A2E71">
        <w:t xml:space="preserve">La </w:t>
      </w:r>
      <w:bookmarkStart w:id="175" w:name="_Hlk212565489"/>
      <w:r w:rsidRPr="009A2E71">
        <w:t>célébration de la journée mondiale de l’alimentation</w:t>
      </w:r>
      <w:bookmarkEnd w:id="175"/>
      <w:r w:rsidRPr="009A2E71">
        <w:t xml:space="preserve"> (JMA) et du 80</w:t>
      </w:r>
      <w:r w:rsidR="008F1989" w:rsidRPr="009A2E71">
        <w:rPr>
          <w:vertAlign w:val="superscript"/>
        </w:rPr>
        <w:t>ème</w:t>
      </w:r>
      <w:r w:rsidRPr="009A2E71">
        <w:t xml:space="preserve"> anniversaire de l’organisation des Nations unies pour l’alimentation et l’agriculture (FAO) a transformé la gare de Dakar en vitrine du terroir et en tribune pour la souveraineté alimentaire. Autorités nationales et partenaires des Nations unies ont appelé à une mobilisation collective contre la faim, sous le thème « Main dans la main pour des aliments et un avenir meilleurs ». Le directeur de cabinet du ministre de l’agriculture, de la souveraineté alimentaire et de l’élevage, </w:t>
      </w:r>
      <w:r w:rsidR="008F1989" w:rsidRPr="009A2E71">
        <w:t xml:space="preserve">M. </w:t>
      </w:r>
      <w:r w:rsidRPr="009A2E71">
        <w:t xml:space="preserve">Ibrahima </w:t>
      </w:r>
      <w:proofErr w:type="spellStart"/>
      <w:r w:rsidRPr="009A2E71">
        <w:t>Diouck</w:t>
      </w:r>
      <w:proofErr w:type="spellEnd"/>
      <w:r w:rsidRPr="009A2E71">
        <w:t xml:space="preserve">, a souligné que la souveraineté alimentaire constitue un projet national nécessitant l’engagement de tous. La coordinatrice résidente des Nations unies, </w:t>
      </w:r>
      <w:r w:rsidR="008F1989" w:rsidRPr="009A2E71">
        <w:t xml:space="preserve">Mme </w:t>
      </w:r>
      <w:r w:rsidRPr="009A2E71">
        <w:t xml:space="preserve">Aminata </w:t>
      </w:r>
      <w:proofErr w:type="spellStart"/>
      <w:r w:rsidRPr="009A2E71">
        <w:t>Maiga</w:t>
      </w:r>
      <w:proofErr w:type="spellEnd"/>
      <w:r w:rsidRPr="009A2E71">
        <w:t>, a insisté sur la nécessité d’une action unie des décideurs, producteurs, chercheurs et citoyens. Le Sénégal a réaffirmé son engagement à renforcer la production, la transformation et la valorisation des produits locaux, avec un plan national d’adaptation au changement climatique en préparation.</w:t>
      </w:r>
    </w:p>
    <w:p w14:paraId="74C0EA25" w14:textId="77777777" w:rsidR="00A95E3D" w:rsidRPr="009A2E71" w:rsidRDefault="00A95E3D" w:rsidP="006C1591">
      <w:pPr>
        <w:spacing w:after="0"/>
      </w:pPr>
    </w:p>
    <w:p w14:paraId="55324958" w14:textId="77777777" w:rsidR="00434972" w:rsidRPr="009A2E71" w:rsidRDefault="00434972" w:rsidP="00434972">
      <w:pPr>
        <w:pStyle w:val="Titre2"/>
        <w:spacing w:before="0"/>
      </w:pPr>
      <w:bookmarkStart w:id="176" w:name="_Toc213247465"/>
      <w:r>
        <w:t xml:space="preserve">Vie des sociétés </w:t>
      </w:r>
      <w:r w:rsidRPr="009A2E71">
        <w:t>– La Société nationale de commercialisation des oléagineux (SONACOS) relance son usine de Ziguinchor.</w:t>
      </w:r>
      <w:bookmarkEnd w:id="176"/>
    </w:p>
    <w:p w14:paraId="05349ACD" w14:textId="77777777" w:rsidR="00434972" w:rsidRPr="009A2E71" w:rsidRDefault="00434972" w:rsidP="00434972">
      <w:pPr>
        <w:spacing w:after="0"/>
      </w:pPr>
      <w:r w:rsidRPr="009A2E71">
        <w:t xml:space="preserve">Le ministre de l’industrie et du commerce, M. Serigne </w:t>
      </w:r>
      <w:proofErr w:type="spellStart"/>
      <w:r w:rsidRPr="009A2E71">
        <w:t>Guèye</w:t>
      </w:r>
      <w:proofErr w:type="spellEnd"/>
      <w:r w:rsidRPr="009A2E71">
        <w:t xml:space="preserve"> Diop, s’est félicité du redémarrage de l’usine de </w:t>
      </w:r>
      <w:bookmarkStart w:id="177" w:name="_Hlk211788289"/>
      <w:r w:rsidRPr="009A2E71">
        <w:t xml:space="preserve">la SONACOS </w:t>
      </w:r>
      <w:bookmarkEnd w:id="177"/>
      <w:r w:rsidRPr="009A2E71">
        <w:t>à Ziguinchor, après plusieurs années d’arrêt. Selon le ministre, cette relance marque une étape décisive pour réduire les importations d’huile, estimées à près de 200 000 tonnes par an, et pour restaurer la capacité de production nationale. Le ministre a annoncé un plan de modernisation et de diversification des activités incluant l’utilisation d’autres matières premières telles que l’huile de palme, le soja, le tournesol et le maïs, ainsi que la production d’aliments de bétail et de produits dérivés. Ce plan global de redressement industriel, conduit avec le conseil d’administration de la SONACOS, vise à moderniser les quatre principaux sites de l’entreprise à Ziguinchor, Diourbel, Kaolack et Dakar afin de relancer durablement la filière oléagineuse.</w:t>
      </w:r>
    </w:p>
    <w:p w14:paraId="4E23582E" w14:textId="77777777" w:rsidR="00434972" w:rsidRPr="009A2E71" w:rsidRDefault="00434972" w:rsidP="00434972">
      <w:pPr>
        <w:spacing w:after="0"/>
      </w:pPr>
    </w:p>
    <w:p w14:paraId="40432870" w14:textId="77777777" w:rsidR="00434972" w:rsidRPr="009A2E71" w:rsidRDefault="00434972" w:rsidP="00434972">
      <w:pPr>
        <w:pStyle w:val="Titre2"/>
        <w:spacing w:before="0"/>
      </w:pPr>
      <w:bookmarkStart w:id="178" w:name="_Toc213247466"/>
      <w:r>
        <w:t>Vie des sociétés</w:t>
      </w:r>
      <w:r w:rsidRPr="009A2E71">
        <w:t xml:space="preserve"> – Expansion de la Laiterie du Berger.</w:t>
      </w:r>
      <w:bookmarkEnd w:id="178"/>
    </w:p>
    <w:p w14:paraId="6B732055" w14:textId="77777777" w:rsidR="00434972" w:rsidRPr="009A2E71" w:rsidRDefault="00434972" w:rsidP="00434972">
      <w:pPr>
        <w:spacing w:after="0"/>
      </w:pPr>
      <w:r w:rsidRPr="009A2E71">
        <w:t xml:space="preserve">L’entreprise sénégalaise la Laiterie du Berger prévoit de doubler ses capacités de production avec l’ouverture début 2026 d’une deuxième usine à </w:t>
      </w:r>
      <w:proofErr w:type="spellStart"/>
      <w:r w:rsidRPr="009A2E71">
        <w:t>Sandiara</w:t>
      </w:r>
      <w:proofErr w:type="spellEnd"/>
      <w:r w:rsidRPr="009A2E71">
        <w:t xml:space="preserve">, pour un investissement de 12 Md FCFA. Soutenue par le groupe français Danone depuis 2009, la société a bâti un modèle agro-industriel fondé sur la valorisation du lait local, collecté auprès de 3 800 éleveurs, pour </w:t>
      </w:r>
      <w:r w:rsidRPr="009A2E71">
        <w:lastRenderedPageBreak/>
        <w:t>une production annuelle de 27 000 tonnes et un chiffre d’affaires de 25 Md FCFA en 2024. Malgré un recours majoritaire à la poudre importée, la part du lait local atteint 35% en valeur, portée par des gammes premium. La laiterie, rentable depuis 2017, contribue à structurer la filière via des mini-fermes pilotes et des formations d’éleveurs. Son modèle, salué par la fondation Mastercard et jugé duplicable dans d’autres pays de l’UEMOA, illustre la possibilité d’une production laitière locale compétitive au Sahel.</w:t>
      </w:r>
    </w:p>
    <w:p w14:paraId="01F75AE5" w14:textId="77777777" w:rsidR="00434972" w:rsidRDefault="00434972" w:rsidP="006C1591">
      <w:pPr>
        <w:pStyle w:val="Titre2"/>
        <w:spacing w:before="0"/>
      </w:pPr>
    </w:p>
    <w:p w14:paraId="4A7780EF" w14:textId="3AAC604E" w:rsidR="00C37FC6" w:rsidRPr="009A2E71" w:rsidRDefault="000B5E1A" w:rsidP="006C1591">
      <w:pPr>
        <w:pStyle w:val="Titre2"/>
        <w:spacing w:before="0"/>
      </w:pPr>
      <w:bookmarkStart w:id="179" w:name="_Toc213247467"/>
      <w:r>
        <w:t>Vie des sociétés</w:t>
      </w:r>
      <w:r w:rsidR="00C37FC6" w:rsidRPr="009A2E71">
        <w:t xml:space="preserve"> –</w:t>
      </w:r>
      <w:r w:rsidR="00C51CCD" w:rsidRPr="009A2E71">
        <w:t xml:space="preserve"> </w:t>
      </w:r>
      <w:r w:rsidR="00C37FC6" w:rsidRPr="009A2E71">
        <w:t>I</w:t>
      </w:r>
      <w:r w:rsidR="00A60064" w:rsidRPr="009A2E71">
        <w:t xml:space="preserve">INDORAMA va investir </w:t>
      </w:r>
      <w:r w:rsidR="00C37FC6" w:rsidRPr="009A2E71">
        <w:t xml:space="preserve">126 </w:t>
      </w:r>
      <w:r w:rsidR="00C51CCD" w:rsidRPr="009A2E71">
        <w:t>Mds</w:t>
      </w:r>
      <w:r w:rsidR="00C37FC6" w:rsidRPr="009A2E71">
        <w:t xml:space="preserve"> FCFA.</w:t>
      </w:r>
      <w:bookmarkEnd w:id="179"/>
    </w:p>
    <w:p w14:paraId="659A2F88" w14:textId="1844B86D" w:rsidR="00C37FC6" w:rsidRPr="009A2E71" w:rsidRDefault="00C37FC6" w:rsidP="006C1591">
      <w:pPr>
        <w:spacing w:after="0"/>
      </w:pPr>
      <w:r w:rsidRPr="009A2E71">
        <w:t xml:space="preserve">À l’occasion du Forum </w:t>
      </w:r>
      <w:r w:rsidRPr="009A2E71">
        <w:rPr>
          <w:i/>
          <w:iCs/>
        </w:rPr>
        <w:t xml:space="preserve">Invest in </w:t>
      </w:r>
      <w:proofErr w:type="spellStart"/>
      <w:r w:rsidRPr="009A2E71">
        <w:rPr>
          <w:i/>
          <w:iCs/>
        </w:rPr>
        <w:t>Senegal</w:t>
      </w:r>
      <w:proofErr w:type="spellEnd"/>
      <w:r w:rsidRPr="009A2E71">
        <w:t xml:space="preserve"> (FII Sénégal 2025), le groupe</w:t>
      </w:r>
      <w:r w:rsidR="00A60064" w:rsidRPr="009A2E71">
        <w:t xml:space="preserve"> singapourien INDORAMA</w:t>
      </w:r>
      <w:r w:rsidRPr="009A2E71">
        <w:t xml:space="preserve">, à travers sa filiale les Industries chimiques du Sénégal (ICS), a conclu avec l’Agence pour la promotion des investissements et des grands travaux (APIX) un accord d’investissement d’un montant global de 126 </w:t>
      </w:r>
      <w:r w:rsidR="00C51CCD" w:rsidRPr="009A2E71">
        <w:t>Md</w:t>
      </w:r>
      <w:r w:rsidRPr="009A2E71">
        <w:t xml:space="preserve"> FCFA</w:t>
      </w:r>
      <w:r w:rsidR="00A60064" w:rsidRPr="009A2E71">
        <w:t xml:space="preserve"> </w:t>
      </w:r>
      <w:r w:rsidR="00BC5C66" w:rsidRPr="009A2E71">
        <w:t>P</w:t>
      </w:r>
      <w:r w:rsidRPr="009A2E71">
        <w:t xml:space="preserve">lusieurs projets </w:t>
      </w:r>
      <w:r w:rsidR="00BC5C66" w:rsidRPr="009A2E71">
        <w:t xml:space="preserve">s’échelonneront entre 2026 et 2028 et </w:t>
      </w:r>
      <w:r w:rsidRPr="009A2E71">
        <w:t>prévoi</w:t>
      </w:r>
      <w:r w:rsidR="00BC5C66" w:rsidRPr="009A2E71">
        <w:t>en</w:t>
      </w:r>
      <w:r w:rsidRPr="009A2E71">
        <w:t xml:space="preserve">t la réhabilitation et l’extension de l’usine d’engrais des ICS pour porter la capacité à 400 000 tonnes par an, la construction d’une nouvelle unité de production de Single Super Phosphate (SSP) d’une capacité de 350 000 tonnes (15 </w:t>
      </w:r>
      <w:r w:rsidR="00C51CCD" w:rsidRPr="009A2E71">
        <w:t>Md</w:t>
      </w:r>
      <w:r w:rsidRPr="009A2E71">
        <w:t xml:space="preserve"> FCFA), ainsi qu’une unité de valorisation du phosphate par flottation de 400 000 tonnes (31 </w:t>
      </w:r>
      <w:r w:rsidR="00C51CCD" w:rsidRPr="009A2E71">
        <w:t>Md</w:t>
      </w:r>
      <w:r w:rsidRPr="009A2E71">
        <w:t xml:space="preserve"> FCFA). Le plan d’investissement inclut également la modernisation du système de flottation et de séparation magnétique (15 </w:t>
      </w:r>
      <w:r w:rsidR="00C51CCD" w:rsidRPr="009A2E71">
        <w:t>Md</w:t>
      </w:r>
      <w:r w:rsidRPr="009A2E71">
        <w:t xml:space="preserve"> FCFA), l’augmentation de la production d’acide phosphorique à 660 000 tonnes par an (32 </w:t>
      </w:r>
      <w:r w:rsidR="00C51CCD" w:rsidRPr="009A2E71">
        <w:t>Md</w:t>
      </w:r>
      <w:r w:rsidRPr="009A2E71">
        <w:t xml:space="preserve"> FCFA) et la construction d’une nouvelle usine d’acide sulfurique d’une capacité de 700 tonnes par jour (17 </w:t>
      </w:r>
      <w:r w:rsidR="00C51CCD" w:rsidRPr="009A2E71">
        <w:t>Md</w:t>
      </w:r>
      <w:r w:rsidRPr="009A2E71">
        <w:t xml:space="preserve"> FCFA). </w:t>
      </w:r>
    </w:p>
    <w:p w14:paraId="3C59B246" w14:textId="77777777" w:rsidR="003C57D4" w:rsidRPr="009A2E71" w:rsidRDefault="003C57D4" w:rsidP="006C1591">
      <w:pPr>
        <w:spacing w:after="0"/>
      </w:pPr>
    </w:p>
    <w:p w14:paraId="52DC6DE0" w14:textId="3DD6C68D" w:rsidR="00076A6A" w:rsidRPr="009A2E71" w:rsidRDefault="009D0F96" w:rsidP="006C1591">
      <w:pPr>
        <w:pStyle w:val="Titre1"/>
        <w:spacing w:before="0"/>
      </w:pPr>
      <w:bookmarkStart w:id="180" w:name="_Toc207812039"/>
      <w:bookmarkStart w:id="181" w:name="_Toc207812907"/>
      <w:bookmarkStart w:id="182" w:name="_Toc207813069"/>
      <w:bookmarkStart w:id="183" w:name="_Toc213247468"/>
      <w:r w:rsidRPr="009A2E71">
        <w:t>Bénin</w:t>
      </w:r>
      <w:bookmarkEnd w:id="180"/>
      <w:bookmarkEnd w:id="181"/>
      <w:bookmarkEnd w:id="182"/>
      <w:bookmarkEnd w:id="183"/>
    </w:p>
    <w:p w14:paraId="4C014129" w14:textId="415B50BE" w:rsidR="00FF6F37" w:rsidRDefault="00FF6F37" w:rsidP="003D5FE7">
      <w:pPr>
        <w:pStyle w:val="Titre2"/>
        <w:spacing w:before="0"/>
      </w:pPr>
      <w:bookmarkStart w:id="184" w:name="_Hlk213230392"/>
      <w:bookmarkStart w:id="185" w:name="_Toc213247469"/>
      <w:r>
        <w:t>Agriculture et agroalimentaire – Note sur le secteur.</w:t>
      </w:r>
      <w:bookmarkEnd w:id="185"/>
    </w:p>
    <w:p w14:paraId="020C9C27" w14:textId="77777777" w:rsidR="00815C50" w:rsidRDefault="00893A62" w:rsidP="00FF6F37">
      <w:pPr>
        <w:spacing w:after="0" w:line="240" w:lineRule="auto"/>
        <w:rPr>
          <w:szCs w:val="20"/>
        </w:rPr>
      </w:pPr>
      <w:r w:rsidRPr="00893A62">
        <w:rPr>
          <w:szCs w:val="20"/>
        </w:rPr>
        <w:t>L’agriculture est un pilier de l’économie béninoise de par sa contribution au PIB</w:t>
      </w:r>
      <w:r>
        <w:rPr>
          <w:szCs w:val="20"/>
        </w:rPr>
        <w:t xml:space="preserve"> (24,2%) et</w:t>
      </w:r>
      <w:r w:rsidRPr="00893A62">
        <w:rPr>
          <w:szCs w:val="20"/>
        </w:rPr>
        <w:t xml:space="preserve"> à l’emploi</w:t>
      </w:r>
      <w:r>
        <w:rPr>
          <w:szCs w:val="20"/>
        </w:rPr>
        <w:t xml:space="preserve"> (2,3 M d’actifs)</w:t>
      </w:r>
      <w:r w:rsidRPr="00893A62">
        <w:rPr>
          <w:szCs w:val="20"/>
        </w:rPr>
        <w:t>.</w:t>
      </w:r>
      <w:r w:rsidRPr="00893A62">
        <w:t xml:space="preserve"> </w:t>
      </w:r>
      <w:r>
        <w:rPr>
          <w:szCs w:val="20"/>
        </w:rPr>
        <w:t>L</w:t>
      </w:r>
      <w:r w:rsidRPr="00893A62">
        <w:rPr>
          <w:szCs w:val="20"/>
        </w:rPr>
        <w:t>a production des cultures vivrières</w:t>
      </w:r>
      <w:r w:rsidR="00667E20">
        <w:rPr>
          <w:szCs w:val="20"/>
        </w:rPr>
        <w:t xml:space="preserve"> (principalement manioc, igname, maïs, riz) </w:t>
      </w:r>
      <w:r>
        <w:rPr>
          <w:szCs w:val="20"/>
        </w:rPr>
        <w:t>est</w:t>
      </w:r>
      <w:r w:rsidRPr="00893A62">
        <w:rPr>
          <w:szCs w:val="20"/>
        </w:rPr>
        <w:t xml:space="preserve"> en hausse</w:t>
      </w:r>
      <w:r>
        <w:rPr>
          <w:szCs w:val="20"/>
        </w:rPr>
        <w:t xml:space="preserve"> ces dernières années</w:t>
      </w:r>
      <w:r w:rsidRPr="00893A62">
        <w:rPr>
          <w:szCs w:val="20"/>
        </w:rPr>
        <w:t>.</w:t>
      </w:r>
      <w:r w:rsidRPr="00893A62">
        <w:t xml:space="preserve"> </w:t>
      </w:r>
      <w:r w:rsidRPr="00893A62">
        <w:rPr>
          <w:szCs w:val="20"/>
        </w:rPr>
        <w:t>Cette augmentation est toutefois la conséquence de l’accroissement des superficies associées, les rendements étant globalement en baisse</w:t>
      </w:r>
      <w:r>
        <w:rPr>
          <w:szCs w:val="20"/>
        </w:rPr>
        <w:t>.</w:t>
      </w:r>
      <w:r w:rsidR="00667E20">
        <w:rPr>
          <w:szCs w:val="20"/>
        </w:rPr>
        <w:t xml:space="preserve"> La production de soja est en forte progression avec 652 000 tonnes attendues pour la campagne 2024-2025.</w:t>
      </w:r>
      <w:r w:rsidR="00667E20" w:rsidRPr="00667E20">
        <w:t xml:space="preserve"> </w:t>
      </w:r>
      <w:r w:rsidR="00667E20" w:rsidRPr="00667E20">
        <w:rPr>
          <w:szCs w:val="20"/>
        </w:rPr>
        <w:t xml:space="preserve">Les cultures de rente </w:t>
      </w:r>
      <w:r w:rsidR="008B5EB7">
        <w:rPr>
          <w:szCs w:val="20"/>
        </w:rPr>
        <w:t xml:space="preserve">(coton, anacarde, ananas, palmier à huile) </w:t>
      </w:r>
      <w:r w:rsidR="00667E20" w:rsidRPr="00667E20">
        <w:rPr>
          <w:szCs w:val="20"/>
        </w:rPr>
        <w:t>sont également en plein développement.</w:t>
      </w:r>
      <w:r w:rsidR="00667E20">
        <w:rPr>
          <w:szCs w:val="20"/>
        </w:rPr>
        <w:t xml:space="preserve"> Le Bénin est ainsi le 1</w:t>
      </w:r>
      <w:r w:rsidR="00667E20" w:rsidRPr="00667E20">
        <w:rPr>
          <w:szCs w:val="20"/>
          <w:vertAlign w:val="superscript"/>
        </w:rPr>
        <w:t>er</w:t>
      </w:r>
      <w:r w:rsidR="00667E20">
        <w:rPr>
          <w:szCs w:val="20"/>
        </w:rPr>
        <w:t xml:space="preserve"> producteur de coton d’Afrique de l’Ouest avec 6</w:t>
      </w:r>
      <w:r w:rsidR="008B5EB7">
        <w:rPr>
          <w:szCs w:val="20"/>
        </w:rPr>
        <w:t>3</w:t>
      </w:r>
      <w:r w:rsidR="00667E20">
        <w:rPr>
          <w:szCs w:val="20"/>
        </w:rPr>
        <w:t xml:space="preserve">7 000 tonnes </w:t>
      </w:r>
      <w:r w:rsidR="008B5EB7">
        <w:rPr>
          <w:szCs w:val="20"/>
        </w:rPr>
        <w:t>produit</w:t>
      </w:r>
      <w:r w:rsidR="00667E20">
        <w:rPr>
          <w:szCs w:val="20"/>
        </w:rPr>
        <w:t xml:space="preserve">es pour </w:t>
      </w:r>
      <w:r w:rsidR="008B5EB7">
        <w:rPr>
          <w:szCs w:val="20"/>
        </w:rPr>
        <w:t xml:space="preserve">la campagne 2024-2025.  </w:t>
      </w:r>
      <w:r w:rsidR="00667E20" w:rsidRPr="00667E20">
        <w:rPr>
          <w:szCs w:val="20"/>
        </w:rPr>
        <w:t>La majorité des cultures de rentes sont exportées, en partie après transformation, et contribuent à une grande partie des recettes nationales.</w:t>
      </w:r>
      <w:r w:rsidR="008B5EB7" w:rsidRPr="008B5EB7">
        <w:t xml:space="preserve"> La Zone Industrielle de </w:t>
      </w:r>
      <w:proofErr w:type="spellStart"/>
      <w:r w:rsidR="008B5EB7" w:rsidRPr="008B5EB7">
        <w:t>Glo-Djigbé</w:t>
      </w:r>
      <w:proofErr w:type="spellEnd"/>
      <w:r w:rsidR="008B5EB7" w:rsidRPr="008B5EB7">
        <w:t xml:space="preserve"> (GDIZ) joue un rôle clé dans la stratégie actuelle de renforcement des capacités de transformation.</w:t>
      </w:r>
    </w:p>
    <w:p w14:paraId="67357298" w14:textId="30F354E5" w:rsidR="00FF6F37" w:rsidRPr="008B5EB7" w:rsidRDefault="00FF6F37" w:rsidP="00FF6F37">
      <w:pPr>
        <w:spacing w:after="0" w:line="240" w:lineRule="auto"/>
        <w:rPr>
          <w:szCs w:val="20"/>
        </w:rPr>
      </w:pPr>
      <w:r w:rsidRPr="00C01581">
        <w:rPr>
          <w:szCs w:val="20"/>
        </w:rPr>
        <w:t xml:space="preserve">La note </w:t>
      </w:r>
      <w:r w:rsidRPr="00C01581">
        <w:rPr>
          <w:bCs/>
          <w:szCs w:val="20"/>
        </w:rPr>
        <w:t>est disponible auprès du Conseiller aux affaires agricoles pour les pays d’Afrique de l’Ouest (hors Ghana et Nigéria)</w:t>
      </w:r>
      <w:r>
        <w:rPr>
          <w:bCs/>
          <w:szCs w:val="20"/>
        </w:rPr>
        <w:t xml:space="preserve"> et sur le site internet du SER de Côte d’Ivoire</w:t>
      </w:r>
      <w:r w:rsidRPr="00C01581">
        <w:rPr>
          <w:bCs/>
          <w:szCs w:val="20"/>
        </w:rPr>
        <w:t>.</w:t>
      </w:r>
    </w:p>
    <w:bookmarkEnd w:id="184"/>
    <w:p w14:paraId="5262326F" w14:textId="77777777" w:rsidR="00FF6F37" w:rsidRPr="00FF6F37" w:rsidRDefault="00FF6F37" w:rsidP="00FF6F37">
      <w:pPr>
        <w:spacing w:after="0"/>
      </w:pPr>
    </w:p>
    <w:p w14:paraId="7DED7B19" w14:textId="75D6C99B" w:rsidR="003D5FE7" w:rsidRPr="009A2E71" w:rsidRDefault="003D5FE7" w:rsidP="003D5FE7">
      <w:pPr>
        <w:pStyle w:val="Titre2"/>
        <w:spacing w:before="0"/>
      </w:pPr>
      <w:bookmarkStart w:id="186" w:name="_Toc213247470"/>
      <w:r w:rsidRPr="009A2E71">
        <w:t>Politique agricole – Le Bénin champion de la transformation agricole.</w:t>
      </w:r>
      <w:bookmarkEnd w:id="186"/>
    </w:p>
    <w:p w14:paraId="1A987AF3" w14:textId="6F26DF65" w:rsidR="003D5FE7" w:rsidRDefault="003D5FE7" w:rsidP="003D5FE7">
      <w:pPr>
        <w:spacing w:after="0"/>
      </w:pPr>
      <w:r w:rsidRPr="009A2E71">
        <w:t>Le Bénin s’est hissé au premier rang de la Communauté économique des États de l’Afrique de l’Ouest (CEDEAO) et à la cinquième place du continent africain selon la 5</w:t>
      </w:r>
      <w:r w:rsidRPr="009A2E71">
        <w:rPr>
          <w:vertAlign w:val="superscript"/>
        </w:rPr>
        <w:t>ème</w:t>
      </w:r>
      <w:r w:rsidRPr="009A2E71">
        <w:t xml:space="preserve"> revue biennale de l’Union africaine (UA) dans le domaine de la transformation agricole. Entre 2015 et 2024, le pays a obtenu un score de 7,15/10, en progression de 66% par rapport à 2015, grâce à des réformes structurelles et à une hausse des investissements publics qui ont atteint 10,89% des dépenses générales de l’État. Ces efforts ont permis une forte croissance des productions : coton (638 000 tonnes, premier producteur africain), soja (652 454 tonnes), riz (525 000 tonnes), maïs (2 M tonnes), anacarde (213 000 tonnes), ananas (483 539 tonnes), poisson (229 </w:t>
      </w:r>
      <w:r w:rsidRPr="009A2E71">
        <w:lastRenderedPageBreak/>
        <w:t xml:space="preserve">000 tonnes) et viande (225 000 tonnes). La zone industrielle de </w:t>
      </w:r>
      <w:proofErr w:type="spellStart"/>
      <w:r w:rsidRPr="009A2E71">
        <w:t>Glo-Djigbé</w:t>
      </w:r>
      <w:proofErr w:type="spellEnd"/>
      <w:r w:rsidRPr="009A2E71">
        <w:t xml:space="preserve"> (GDIZ) joue un rôle clé dans la transformation, avec des capacités de 360 000 tonnes pour le soja, 185 000 tonnes pour la noix de cajou et 40 000 tonnes pour la fibre de coton, consolidant le positionnement du pays comme leader régional de l’agro-industrie.</w:t>
      </w:r>
    </w:p>
    <w:p w14:paraId="41550B25" w14:textId="7699622E" w:rsidR="003D5FE7" w:rsidRDefault="003D5FE7" w:rsidP="003D5FE7">
      <w:pPr>
        <w:spacing w:after="0"/>
      </w:pPr>
    </w:p>
    <w:p w14:paraId="5D51DC9D" w14:textId="77777777" w:rsidR="003D5FE7" w:rsidRPr="009A2E71" w:rsidRDefault="003D5FE7" w:rsidP="003D5FE7">
      <w:pPr>
        <w:pStyle w:val="Titre2"/>
        <w:spacing w:before="0"/>
      </w:pPr>
      <w:bookmarkStart w:id="187" w:name="_Toc213247471"/>
      <w:r w:rsidRPr="009A2E71">
        <w:t>Coton – Lancement de la campagne de commercialisation 2025-2026.</w:t>
      </w:r>
      <w:bookmarkEnd w:id="187"/>
    </w:p>
    <w:p w14:paraId="75587372" w14:textId="49A26494" w:rsidR="003D5FE7" w:rsidRPr="009A2E71" w:rsidRDefault="003D5FE7" w:rsidP="003D5FE7">
      <w:pPr>
        <w:spacing w:after="0"/>
      </w:pPr>
      <w:r w:rsidRPr="009A2E71">
        <w:t>La campagne de commercialisation du coton graine 2025-2026 a été officiellement lancée le 17 octobre. Le prix d’achat du coton varie selon la qualité et le type de production : 360 FCFA/kg pour le coton biologique de premier choix et 310 FCFA pour le deuxième choix, tandis que le coton conventionnel se négocie à 300 FCFA le premier choix et 250 FCFA le second choix. Les prévisions de production pour cette saison dépasseraient les 647 000 tonnes, contre 637 063 tonnes lors de la campagne précédente, confirmant la progression constante de la filière cotonnière béninoise.</w:t>
      </w:r>
    </w:p>
    <w:p w14:paraId="63FCA20F" w14:textId="08AA6C2C" w:rsidR="006A31EB" w:rsidRDefault="006A31EB" w:rsidP="006C1591">
      <w:pPr>
        <w:spacing w:after="0"/>
      </w:pPr>
    </w:p>
    <w:p w14:paraId="2E64877F" w14:textId="77777777" w:rsidR="003D5FE7" w:rsidRPr="009A2E71" w:rsidRDefault="003D5FE7" w:rsidP="003D5FE7">
      <w:pPr>
        <w:pStyle w:val="Titre2"/>
        <w:spacing w:before="0"/>
      </w:pPr>
      <w:bookmarkStart w:id="188" w:name="_Toc213247472"/>
      <w:r w:rsidRPr="009A2E71">
        <w:t>Soja – Renforcement de l’encadrement technique des producteurs.</w:t>
      </w:r>
      <w:bookmarkEnd w:id="188"/>
    </w:p>
    <w:p w14:paraId="61AEE6E8" w14:textId="7C1DFDF6" w:rsidR="003D5FE7" w:rsidRDefault="003D5FE7" w:rsidP="003D5FE7">
      <w:pPr>
        <w:spacing w:after="0"/>
      </w:pPr>
      <w:r w:rsidRPr="009A2E71">
        <w:t>Le ministère de l’agriculture prévoit la mise en place d’un dispositif renforcé d’encadrement des producteurs de soja dans le cadre du programme national de développement du soja (PNDF Soja). Ce mécanisme couvrira cinq pôles de développement agricole répartis sur vingt communes. Il mobilisera des équipes spécialisées en conseil agricole chargées d’assurer un suivi rapproché des exploitants à travers le diagnostic des exploitations, la formation, le conseil individualisé et l’évaluation des performances à chaque campagne. L’objectif est d’améliorer la productivité, d’harmoniser les pratiques et de valoriser les compétences locales pour renforcer la professionnalisation du secteur.</w:t>
      </w:r>
    </w:p>
    <w:p w14:paraId="25A4D1BC" w14:textId="77777777" w:rsidR="003D5FE7" w:rsidRPr="009A2E71" w:rsidRDefault="003D5FE7" w:rsidP="003D5FE7">
      <w:pPr>
        <w:spacing w:after="0"/>
      </w:pPr>
    </w:p>
    <w:p w14:paraId="034E7DB8" w14:textId="77777777" w:rsidR="003D5FE7" w:rsidRPr="009A2E71" w:rsidRDefault="003D5FE7" w:rsidP="003D5FE7">
      <w:pPr>
        <w:pStyle w:val="Titre2"/>
        <w:spacing w:before="0"/>
      </w:pPr>
      <w:bookmarkStart w:id="189" w:name="_Toc213247473"/>
      <w:r w:rsidRPr="009A2E71">
        <w:t>Soja – Unité de transformation.</w:t>
      </w:r>
      <w:bookmarkEnd w:id="189"/>
    </w:p>
    <w:p w14:paraId="7539B5AF" w14:textId="73626479" w:rsidR="003D5FE7" w:rsidRDefault="003D5FE7" w:rsidP="003D5FE7">
      <w:pPr>
        <w:spacing w:after="0"/>
      </w:pPr>
      <w:r w:rsidRPr="009A2E71">
        <w:t xml:space="preserve">À </w:t>
      </w:r>
      <w:proofErr w:type="spellStart"/>
      <w:r w:rsidRPr="009A2E71">
        <w:t>Serhounguè</w:t>
      </w:r>
      <w:proofErr w:type="spellEnd"/>
      <w:r w:rsidRPr="009A2E71">
        <w:t xml:space="preserve">, dans la commune de </w:t>
      </w:r>
      <w:proofErr w:type="spellStart"/>
      <w:r w:rsidRPr="009A2E71">
        <w:t>Cobly</w:t>
      </w:r>
      <w:proofErr w:type="spellEnd"/>
      <w:r w:rsidRPr="009A2E71">
        <w:t xml:space="preserve"> (</w:t>
      </w:r>
      <w:proofErr w:type="spellStart"/>
      <w:r w:rsidRPr="009A2E71">
        <w:t>Atacora</w:t>
      </w:r>
      <w:proofErr w:type="spellEnd"/>
      <w:r w:rsidRPr="009A2E71">
        <w:t xml:space="preserve">), 43 femmes regroupées au sein de la Coopérative villageoise des transformatrices de soja </w:t>
      </w:r>
      <w:proofErr w:type="spellStart"/>
      <w:r w:rsidRPr="009A2E71">
        <w:rPr>
          <w:i/>
          <w:iCs/>
        </w:rPr>
        <w:t>Tiribena</w:t>
      </w:r>
      <w:proofErr w:type="spellEnd"/>
      <w:r w:rsidRPr="009A2E71">
        <w:t xml:space="preserve"> (CVTS) ont inauguré leur nouvelle unité de transformation, financée grâce aux subventions du Fonds national de développement agricole (FNDA) et à l’appui de la Coopération suisse. D’un coût total de plus de 100 M FCFA, l’infrastructure comprend entre autres un bâtiment de production et une aire de séchage. L’Union départementale des producteurs </w:t>
      </w:r>
      <w:proofErr w:type="spellStart"/>
      <w:r w:rsidRPr="009A2E71">
        <w:t>Atacora-Donga</w:t>
      </w:r>
      <w:proofErr w:type="spellEnd"/>
      <w:r w:rsidRPr="009A2E71">
        <w:t xml:space="preserve"> (UDP/AD) a assuré l’accompagnement technique et le suivi communautaire du projet, veillant à la transparence et à la participation locale dans la mise en œuvre.</w:t>
      </w:r>
    </w:p>
    <w:p w14:paraId="2CCEAC80" w14:textId="77777777" w:rsidR="00240592" w:rsidRPr="009A2E71" w:rsidRDefault="00240592" w:rsidP="00240592">
      <w:pPr>
        <w:spacing w:after="0"/>
      </w:pPr>
    </w:p>
    <w:p w14:paraId="0FBC7369" w14:textId="77777777" w:rsidR="00240592" w:rsidRPr="009A2E71" w:rsidRDefault="00240592" w:rsidP="00240592">
      <w:pPr>
        <w:pStyle w:val="Titre2"/>
        <w:spacing w:before="0"/>
      </w:pPr>
      <w:bookmarkStart w:id="190" w:name="_Toc213247474"/>
      <w:r w:rsidRPr="009A2E71">
        <w:t>Riz – Création d’une interprofession.</w:t>
      </w:r>
      <w:bookmarkEnd w:id="190"/>
    </w:p>
    <w:p w14:paraId="4BA42C81" w14:textId="77777777" w:rsidR="00240592" w:rsidRPr="009A2E71" w:rsidRDefault="00240592" w:rsidP="00240592">
      <w:pPr>
        <w:spacing w:after="0"/>
      </w:pPr>
      <w:r w:rsidRPr="009A2E71">
        <w:t xml:space="preserve">L’Interprofession de la filière riz (IFRIZ-B) a été créée le 30 septembre à l’issue d’une assemblée générale constitutive avec pour missions de défendre les intérêts collectifs auprès de l’État et des partenaires, d’améliorer la compétitivité, la qualité et la promotion du riz local. Cette structuration doit renforcer la légitimité de la filière pour relever les enjeux d’autosuffisance alors que le Projet de développement intégré des chaînes de valeurs agricoles (PDI-CVA) signale des contraintes persistantes, notamment une coordination insuffisante entre acteurs, un déficit d’infrastructures de transformation, un accès limité à des intrants de qualité, un manque de concertation le long de la chaîne de valeur et l’absence d’un accord-cadre avec l’État. Selon la Direction de la statistique agricole (DSA), la production de paddy a augmenté de 31% entre 2018 et 2023 pour atteindre 490 000 tonnes, avec un pic de 525 000 tonnes en 2022, mais elle ne couvre pas encore les besoins du marché en riz usiné. La Chambre de </w:t>
      </w:r>
      <w:r w:rsidRPr="009A2E71">
        <w:lastRenderedPageBreak/>
        <w:t>commerce et d’industrie du Bénin (CCIB) estime, dans un rapport de 2024, qu’en 2023 la récolte a permis environ 350 000 tonnes de riz usiné pour des besoins proches de 600 000 tonnes, l’écart étant comblé par des importations majoritairement en provenance d’Asie, notamment d’Inde. Les autorités visent presque un doublement de la production locale de paddy pour atteindre 1 M de tonnes dans les prochaines années et la création de l’IFRIZ-B doit fournir un cadre de concertation et d’action pour soutenir cet objectif.</w:t>
      </w:r>
    </w:p>
    <w:p w14:paraId="20B570D7" w14:textId="6BB6BDBF" w:rsidR="00240592" w:rsidRDefault="00240592" w:rsidP="003D5FE7">
      <w:pPr>
        <w:spacing w:after="0"/>
      </w:pPr>
    </w:p>
    <w:p w14:paraId="692EBA62" w14:textId="77777777" w:rsidR="00240592" w:rsidRPr="009A2E71" w:rsidRDefault="00240592" w:rsidP="00240592">
      <w:pPr>
        <w:pStyle w:val="Titre2"/>
        <w:spacing w:before="0"/>
      </w:pPr>
      <w:bookmarkStart w:id="191" w:name="_Toc213247475"/>
      <w:r w:rsidRPr="009A2E71">
        <w:t>Riz – Partenariat avec la Suisse.</w:t>
      </w:r>
      <w:bookmarkEnd w:id="191"/>
    </w:p>
    <w:p w14:paraId="40B137B0" w14:textId="77777777" w:rsidR="00240592" w:rsidRPr="009A2E71" w:rsidRDefault="00240592" w:rsidP="00240592">
      <w:pPr>
        <w:spacing w:after="0"/>
      </w:pPr>
      <w:r w:rsidRPr="009A2E71">
        <w:t>Dans le cadre de leur partenariat pour le développement agricole, le Fonds national de développement agricole (FNDA) et la Coopération suisse intensifient leurs investissements dans la filière riz au nord du Bénin où deux projets viennent d’être concrétisés.  Une coopérative villageoise de producteurs de riz a bénéficié d’un aménagement de 100 ha de bas-fonds, combinant réhabilitation et nouveaux aménagements, afin de renforcer la production de riz et de cultures maraîchères. Les travaux ont porté sur le dessouchage, la confection de diguettes, l’ouverture de pistes, la construction d’ouvrages hydrauliques et de dix aires de séchage. Un magasin de stockage de 500 tonnes, un forage à haut débit, un château d’eau solaire de 10 m³ et un système d’irrigation ont également été réalisés. Une autre coopérative villageoise de producteurs de riz dispose désormais d’une unité moderne de transformation d’un coût global de 109,7 M FCFA, financée à 93,5 M FCFA par le FNDA et la Coopération suisse. L’infrastructure comprend entre autres un bâtiment équipé d’une décortiqueuse, un forage avec mini-château d’eau et une aire de séchage.</w:t>
      </w:r>
    </w:p>
    <w:p w14:paraId="0D0482AB" w14:textId="77777777" w:rsidR="003D5FE7" w:rsidRPr="009A2E71" w:rsidRDefault="003D5FE7" w:rsidP="006C1591">
      <w:pPr>
        <w:spacing w:after="0"/>
      </w:pPr>
    </w:p>
    <w:p w14:paraId="054BCF30" w14:textId="77777777" w:rsidR="006A31EB" w:rsidRPr="009A2E71" w:rsidRDefault="006A31EB" w:rsidP="006C1591">
      <w:pPr>
        <w:pStyle w:val="Titre2"/>
        <w:spacing w:before="0"/>
      </w:pPr>
      <w:bookmarkStart w:id="192" w:name="_Toc213247476"/>
      <w:r w:rsidRPr="009A2E71">
        <w:t>Oignon – Crise de mévente liée aux importations massives.</w:t>
      </w:r>
      <w:bookmarkEnd w:id="192"/>
    </w:p>
    <w:p w14:paraId="1DC1BDEA" w14:textId="3D493729" w:rsidR="006A31EB" w:rsidRPr="009A2E71" w:rsidRDefault="009020DB" w:rsidP="006C1591">
      <w:pPr>
        <w:spacing w:after="0"/>
      </w:pPr>
      <w:r w:rsidRPr="009A2E71">
        <w:t>L</w:t>
      </w:r>
      <w:r w:rsidR="006A31EB" w:rsidRPr="009A2E71">
        <w:t xml:space="preserve">es producteurs d’oignons sont confrontés à une crise marquée par la mévente de leur production locale et la détérioration de plusieurs tonnes de récoltes, faute de débouchés. </w:t>
      </w:r>
      <w:r w:rsidRPr="009A2E71">
        <w:t>D</w:t>
      </w:r>
      <w:r w:rsidR="006A31EB" w:rsidRPr="009A2E71">
        <w:t>es acteurs de la filière</w:t>
      </w:r>
      <w:r w:rsidRPr="009A2E71">
        <w:t xml:space="preserve"> </w:t>
      </w:r>
      <w:r w:rsidR="006A31EB" w:rsidRPr="009A2E71">
        <w:t xml:space="preserve">ont dénoncé </w:t>
      </w:r>
      <w:r w:rsidRPr="009A2E71">
        <w:t xml:space="preserve">le 23 octobre </w:t>
      </w:r>
      <w:r w:rsidR="006A31EB" w:rsidRPr="009A2E71">
        <w:t xml:space="preserve">la saturation du marché national causée par les importations en provenance du Nigeria. </w:t>
      </w:r>
      <w:r w:rsidRPr="009A2E71">
        <w:t>C</w:t>
      </w:r>
      <w:r w:rsidR="006A31EB" w:rsidRPr="009A2E71">
        <w:t>ette concurrence a</w:t>
      </w:r>
      <w:r w:rsidRPr="009A2E71">
        <w:t>urait</w:t>
      </w:r>
      <w:r w:rsidR="006A31EB" w:rsidRPr="009A2E71">
        <w:t xml:space="preserve"> provoqué un effondrement des prix. Les producteurs appellent l’État à réguler les importations, à soutenir les acteurs locaux et à mettre en place des infrastructures de stockage et de conservation pour limiter les pertes post-récolte.</w:t>
      </w:r>
    </w:p>
    <w:p w14:paraId="535FE2FE" w14:textId="31B91189" w:rsidR="003D5FE7" w:rsidRDefault="003D5FE7" w:rsidP="003D5FE7">
      <w:pPr>
        <w:pStyle w:val="Titre2"/>
        <w:spacing w:before="0"/>
      </w:pPr>
    </w:p>
    <w:p w14:paraId="08D6001E" w14:textId="77777777" w:rsidR="00240592" w:rsidRPr="009A2E71" w:rsidRDefault="00240592" w:rsidP="00240592">
      <w:pPr>
        <w:pStyle w:val="Titre2"/>
        <w:spacing w:before="0"/>
      </w:pPr>
      <w:bookmarkStart w:id="193" w:name="_Toc213247477"/>
      <w:r w:rsidRPr="009A2E71">
        <w:t>Semences – Nouvelles variétés maraîchères.</w:t>
      </w:r>
      <w:bookmarkEnd w:id="193"/>
    </w:p>
    <w:p w14:paraId="14CF2557" w14:textId="77777777" w:rsidR="00240592" w:rsidRPr="009A2E71" w:rsidRDefault="00240592" w:rsidP="00240592">
      <w:pPr>
        <w:spacing w:after="0"/>
      </w:pPr>
      <w:r w:rsidRPr="009A2E71">
        <w:t>L’Institut national des recherches agricoles du Bénin (INRAB) a annoncé, le 9 octobre, l’homologation d’une cinquantaine de nouvelles variétés de légumes destinées à renforcer la productivité. Ce travail, conduit depuis 2022 par le Programme de recherches sur les cultures maraîchères du Centre de recherches agricoles en horticulture, vise à diversifier l’offre et à améliorer la qualité des semences disponibles. Les variétés reconnues comprennent onze types de tomate, onze de piment, neuf de gombo, quatorze d’amarante et cinq de crincrin. Ces variétés, à pollinisation libre, répondent aux besoins des producteurs, transformateurs, semenciers et consommateurs, en offrant une meilleure adaptation aux conditions locales.</w:t>
      </w:r>
    </w:p>
    <w:p w14:paraId="1B9A0E3E" w14:textId="77777777" w:rsidR="001B4E22" w:rsidRDefault="001B4E22" w:rsidP="001B4E22">
      <w:pPr>
        <w:pStyle w:val="Titre2"/>
        <w:spacing w:before="0"/>
      </w:pPr>
    </w:p>
    <w:p w14:paraId="4CAD18C3" w14:textId="1DD5513B" w:rsidR="001B4E22" w:rsidRPr="009A2E71" w:rsidRDefault="001B4E22" w:rsidP="001B4E22">
      <w:pPr>
        <w:pStyle w:val="Titre2"/>
        <w:spacing w:before="0"/>
      </w:pPr>
      <w:bookmarkStart w:id="194" w:name="_Toc213247478"/>
      <w:r w:rsidRPr="009A2E71">
        <w:t>Semences – 8</w:t>
      </w:r>
      <w:r w:rsidRPr="009A2E71">
        <w:rPr>
          <w:vertAlign w:val="superscript"/>
        </w:rPr>
        <w:t>ème</w:t>
      </w:r>
      <w:r w:rsidRPr="009A2E71">
        <w:t xml:space="preserve"> foire des semences locales et des mets du terroir.</w:t>
      </w:r>
      <w:bookmarkEnd w:id="194"/>
    </w:p>
    <w:p w14:paraId="69D8350C" w14:textId="002110C8" w:rsidR="00240592" w:rsidRDefault="001B4E22" w:rsidP="00240592">
      <w:pPr>
        <w:spacing w:after="0"/>
      </w:pPr>
      <w:r w:rsidRPr="009A2E71">
        <w:t>La 8</w:t>
      </w:r>
      <w:r w:rsidRPr="009A2E71">
        <w:rPr>
          <w:vertAlign w:val="superscript"/>
        </w:rPr>
        <w:t>ème</w:t>
      </w:r>
      <w:r w:rsidRPr="009A2E71">
        <w:t xml:space="preserve"> édition de la Foire semencière, agroécologique et de restauration des mets locaux en voie de disparition (FSA-RML8) s’est tenue du 17 au 19 octobre. Organisée par JINUKUN, plateforme digitale de promotion de produits et services agricoles, en partenariat avec le Réseau national pour une gestion durable des ressources génétiques au Bénin et soutenue par </w:t>
      </w:r>
      <w:r w:rsidRPr="009A2E71">
        <w:lastRenderedPageBreak/>
        <w:t>l’Alliance pour la souveraineté alimentaire en Afrique (AFSA), cette rencontre avait pour objectif de promouvoir les semences locales et les mets traditionnels, piliers de l’identité culturelle et alimentaire du pays. Placée sous le thème « Pour une souveraineté alimentaire avérée, promouvoir l’agroécologie », la foire vise à renforcer l’autonomie alimentaire nationale à travers des pratiques agricoles durables et respectueuses de l’environnement. Elle entend sensibiliser sur l’importance de préserver les variétés endogènes, adaptées aux conditions climatiques locales et essentielles à la sécurité alimentaire et à la biodiversité. L’évènement a servi également de cadre de dialogue sur les politiques agricoles, avec des échanges autour de la Zone de libre-échange continentale africaine (ZLECAF) et des droits de propriété intellectuelle appliqués aux semences. Véritable vitrine de l’agroécologie béninoise, la FSA-RML8 s’impose comme un levier de promotion du patrimoine agricole et culinaire africain.</w:t>
      </w:r>
    </w:p>
    <w:p w14:paraId="19FFBBDF" w14:textId="77777777" w:rsidR="001B4E22" w:rsidRPr="009A2E71" w:rsidRDefault="001B4E22" w:rsidP="00240592">
      <w:pPr>
        <w:spacing w:after="0"/>
      </w:pPr>
    </w:p>
    <w:p w14:paraId="26780146" w14:textId="77777777" w:rsidR="00240592" w:rsidRPr="009A2E71" w:rsidRDefault="00240592" w:rsidP="00240592">
      <w:pPr>
        <w:pStyle w:val="Titre2"/>
        <w:spacing w:before="0"/>
      </w:pPr>
      <w:bookmarkStart w:id="195" w:name="_Toc213247479"/>
      <w:r w:rsidRPr="009A2E71">
        <w:t>Plantain – Une culture stratégique en expansion.</w:t>
      </w:r>
      <w:bookmarkEnd w:id="195"/>
    </w:p>
    <w:p w14:paraId="64D5B431" w14:textId="77777777" w:rsidR="00240592" w:rsidRPr="009A2E71" w:rsidRDefault="00240592" w:rsidP="00240592">
      <w:pPr>
        <w:spacing w:after="0"/>
      </w:pPr>
      <w:r w:rsidRPr="009A2E71">
        <w:t xml:space="preserve">La banane plantain devient une culture de plus en plus stratégique au Bénin, portée par une consommation nationale en hausse constante. Malgré son importance dans l’alimentation locale et sur les marchés, la production nationale reste insuffisante pour répondre à la demande tout au long de l’année. Selon l’Institut International d’Agriculture Tropicale (IITA), la majorité des exploitations sont familiales, peu mécanisées et dépendantes des conditions climatiques. La culture se concentre surtout dans le sud du pays où les sols riches et le climat humide favorisent les rendements. Les variétés locales </w:t>
      </w:r>
      <w:proofErr w:type="spellStart"/>
      <w:r w:rsidRPr="009A2E71">
        <w:t>Aloga</w:t>
      </w:r>
      <w:proofErr w:type="spellEnd"/>
      <w:r w:rsidRPr="009A2E71">
        <w:t xml:space="preserve">, </w:t>
      </w:r>
      <w:proofErr w:type="spellStart"/>
      <w:r w:rsidRPr="009A2E71">
        <w:t>Gnivlan</w:t>
      </w:r>
      <w:proofErr w:type="spellEnd"/>
      <w:r w:rsidRPr="009A2E71">
        <w:t xml:space="preserve"> et </w:t>
      </w:r>
      <w:proofErr w:type="spellStart"/>
      <w:r w:rsidRPr="009A2E71">
        <w:t>Sotoumou</w:t>
      </w:r>
      <w:proofErr w:type="spellEnd"/>
      <w:r w:rsidRPr="009A2E71">
        <w:t xml:space="preserve"> sont les plus répandues, tandis que les variétés </w:t>
      </w:r>
      <w:proofErr w:type="spellStart"/>
      <w:r w:rsidRPr="009A2E71">
        <w:t>Aloga</w:t>
      </w:r>
      <w:proofErr w:type="spellEnd"/>
      <w:r w:rsidRPr="009A2E71">
        <w:t xml:space="preserve"> et </w:t>
      </w:r>
      <w:proofErr w:type="spellStart"/>
      <w:r w:rsidRPr="009A2E71">
        <w:t>Adjangan</w:t>
      </w:r>
      <w:proofErr w:type="spellEnd"/>
      <w:r w:rsidRPr="009A2E71">
        <w:t xml:space="preserve"> se distinguent par leur productivité et leur tolérance aux stress biotiques. Une meilleure formation des producteurs et leur organisation en coopératives permettraient d’améliorer la compétitivité et la durabilité de la filière.</w:t>
      </w:r>
    </w:p>
    <w:p w14:paraId="756EACDD" w14:textId="77777777" w:rsidR="00240592" w:rsidRPr="009A2E71" w:rsidRDefault="00240592" w:rsidP="00240592">
      <w:pPr>
        <w:spacing w:after="0"/>
      </w:pPr>
    </w:p>
    <w:p w14:paraId="2D4C9FA4" w14:textId="77777777" w:rsidR="00240592" w:rsidRPr="009A2E71" w:rsidRDefault="00240592" w:rsidP="00240592">
      <w:pPr>
        <w:pStyle w:val="Titre2"/>
        <w:spacing w:before="0"/>
      </w:pPr>
      <w:bookmarkStart w:id="196" w:name="_Toc213247480"/>
      <w:r w:rsidRPr="009A2E71">
        <w:t>Karité – Hausse de la taxe à l’exportation.</w:t>
      </w:r>
      <w:bookmarkEnd w:id="196"/>
    </w:p>
    <w:p w14:paraId="47E2C037" w14:textId="1452CB4B" w:rsidR="00240592" w:rsidRDefault="00240592" w:rsidP="00240592">
      <w:pPr>
        <w:spacing w:after="0"/>
      </w:pPr>
      <w:r w:rsidRPr="009A2E71">
        <w:t xml:space="preserve">À la suite du lancement de la campagne 2025 de commercialisation des amandes de karité, l’Association nationale des transformateurs de karité du Bénin (ANTK), membre de l’Interprofession karité du Bénin (IKB), a salué la décision du gouvernement d’augmenter la taxe à l’exportation sur les amandes brutes. Selon l’organisation, cette mesure permettra de renforcer la compétitivité du beurre de karité béninois sur le marché mondial, en facilitant l’approvisionnement des transformateurs locaux à des prix plus raisonnables. L’ANTK souligne que les unités de transformation nationales disposent désormais de capacités suffisantes pour traiter l’ensemble de la production du pays. </w:t>
      </w:r>
    </w:p>
    <w:p w14:paraId="474DC1EE" w14:textId="77777777" w:rsidR="00240592" w:rsidRPr="00240592" w:rsidRDefault="00240592" w:rsidP="00240592">
      <w:pPr>
        <w:spacing w:after="0"/>
      </w:pPr>
    </w:p>
    <w:p w14:paraId="29D14ED8" w14:textId="104F4AC7" w:rsidR="003D5FE7" w:rsidRPr="009A2E71" w:rsidRDefault="003D5FE7" w:rsidP="003D5FE7">
      <w:pPr>
        <w:pStyle w:val="Titre2"/>
        <w:spacing w:before="0"/>
      </w:pPr>
      <w:bookmarkStart w:id="197" w:name="_Toc213247481"/>
      <w:r>
        <w:t>Ovin</w:t>
      </w:r>
      <w:r w:rsidRPr="009A2E71">
        <w:t xml:space="preserve"> – Lancement d’un projet pour la production durable d’agneaux.</w:t>
      </w:r>
      <w:bookmarkEnd w:id="197"/>
    </w:p>
    <w:p w14:paraId="5DCA6CAA" w14:textId="77777777" w:rsidR="003D5FE7" w:rsidRPr="009A2E71" w:rsidRDefault="003D5FE7" w:rsidP="003D5FE7">
      <w:pPr>
        <w:spacing w:after="0"/>
      </w:pPr>
      <w:r w:rsidRPr="009A2E71">
        <w:t xml:space="preserve">La Bonne Viande, en partenariat avec l’association de communication environnementale et de développement durable (ACED) et avec le cofinancement de l’agence allemande de coopération internationale (GIZ), a lancé à Abomey-Calavi le projet de production durable d’agneaux (PPAD), destiné à renforcer la filière ovine au Bénin. Ce programme vise à structurer une chaîne de valeur durable pour la production de viande d’agneaux de qualité, tout en contribuant au développement économique, social et environnemental des communautés. Selon M. Christian </w:t>
      </w:r>
      <w:proofErr w:type="spellStart"/>
      <w:r w:rsidRPr="009A2E71">
        <w:t>Dovonou</w:t>
      </w:r>
      <w:proofErr w:type="spellEnd"/>
      <w:r w:rsidRPr="009A2E71">
        <w:t xml:space="preserve">, promoteur de La Bonne Viande, le projet entend professionnaliser l’élevage ovin, secteur qui représente environ 14% du PIB agricole. Il prévoit la formation de 200 jeunes et femmes pour favoriser la création de micro-entreprises et promouvoir l’égalité des chances dans le secteur. </w:t>
      </w:r>
    </w:p>
    <w:p w14:paraId="32CCCBF0" w14:textId="77777777" w:rsidR="00240592" w:rsidRPr="009A2E71" w:rsidRDefault="00240592" w:rsidP="00240592">
      <w:pPr>
        <w:pStyle w:val="Titre2"/>
        <w:spacing w:before="0"/>
      </w:pPr>
      <w:bookmarkStart w:id="198" w:name="_Toc213247482"/>
      <w:r w:rsidRPr="009A2E71">
        <w:lastRenderedPageBreak/>
        <w:t>Aviculture – Appel à projets du Fonds national de développement agricole (FNDA) pour stimuler la production nationale.</w:t>
      </w:r>
      <w:bookmarkEnd w:id="198"/>
    </w:p>
    <w:p w14:paraId="75B884C9" w14:textId="77777777" w:rsidR="00240592" w:rsidRPr="009A2E71" w:rsidRDefault="00240592" w:rsidP="00240592">
      <w:pPr>
        <w:spacing w:after="0"/>
      </w:pPr>
      <w:r w:rsidRPr="009A2E71">
        <w:t xml:space="preserve">Le FNDA a lancé en septembre un appel à projets pour financer des initiatives d’investissement agricole et de services non financiers. L’appel à projet prévoit des subventions intégrales ou partielles destinées aux mairies, associations intercommunales, exploitants agricoles, organisations professionnelles agricoles (OPA) et micros, petites et moyennes entreprises (MPME) actives dans les domaines prioritaires que sont l’investissement agricole, la recherche appliquée, le renforcement de capacités, la certification et la mise en marché. L’aviculture occupe une place centrale, le secteur étant reconnu stratégique pour la sécurité alimentaire et la création d’emplois. L’initiative doit permettre aux entreprises avicoles de s’agrandir, de se moderniser et de renforcer leur compétitivité. Cette orientation vise à réduire la dépendance aux importations de poulets congelés et à renforcer l’autosuffisance alimentaire. Selon M. Léon </w:t>
      </w:r>
      <w:proofErr w:type="spellStart"/>
      <w:r w:rsidRPr="009A2E71">
        <w:t>Anago</w:t>
      </w:r>
      <w:proofErr w:type="spellEnd"/>
      <w:r w:rsidRPr="009A2E71">
        <w:t xml:space="preserve">, président de l’Interprofession avicole du Bénin (IAB), un partenariat est déjà engagé avec le FNDA à travers une convention de formation de plus de 300 agriculteurs. </w:t>
      </w:r>
    </w:p>
    <w:p w14:paraId="139AC15E" w14:textId="77777777" w:rsidR="00240592" w:rsidRPr="009A2E71" w:rsidRDefault="00240592" w:rsidP="006C1591">
      <w:pPr>
        <w:spacing w:after="0"/>
      </w:pPr>
    </w:p>
    <w:p w14:paraId="108EC011" w14:textId="57B611A4" w:rsidR="006A31EB" w:rsidRPr="009A2E71" w:rsidRDefault="006A31EB" w:rsidP="006C1591">
      <w:pPr>
        <w:pStyle w:val="Titre2"/>
        <w:spacing w:before="0"/>
      </w:pPr>
      <w:bookmarkStart w:id="199" w:name="_Toc213247483"/>
      <w:r w:rsidRPr="009A2E71">
        <w:t>Volaille – Débat sur la transformation semi-industrielle.</w:t>
      </w:r>
      <w:bookmarkEnd w:id="199"/>
    </w:p>
    <w:p w14:paraId="548D89D7" w14:textId="1572E3AF" w:rsidR="006A31EB" w:rsidRPr="009A2E71" w:rsidRDefault="006A31EB" w:rsidP="006C1591">
      <w:pPr>
        <w:spacing w:after="0"/>
      </w:pPr>
      <w:r w:rsidRPr="009A2E71">
        <w:t xml:space="preserve">La chambre de commerce et d’industrie du Bénin (CCI Bénin) a organisé un débat économique consacré aux opportunités de la transformation semi-industrielle et industrielle de la viande de volaille. L’événement a réuni experts, entrepreneurs et représentants publics autour des enjeux de structuration et de modernisation de la filière. Selon </w:t>
      </w:r>
      <w:r w:rsidR="009020DB" w:rsidRPr="009A2E71">
        <w:t xml:space="preserve">M. </w:t>
      </w:r>
      <w:r w:rsidRPr="009A2E71">
        <w:t xml:space="preserve">Raymond </w:t>
      </w:r>
      <w:proofErr w:type="spellStart"/>
      <w:r w:rsidRPr="009A2E71">
        <w:t>Adjakpa</w:t>
      </w:r>
      <w:proofErr w:type="spellEnd"/>
      <w:r w:rsidRPr="009A2E71">
        <w:t xml:space="preserve"> </w:t>
      </w:r>
      <w:proofErr w:type="spellStart"/>
      <w:r w:rsidRPr="009A2E71">
        <w:t>Abilé</w:t>
      </w:r>
      <w:proofErr w:type="spellEnd"/>
      <w:r w:rsidRPr="009A2E71">
        <w:t xml:space="preserve">, secrétaire général de la CCI Bénin, le développement de la transformation locale constitue un levier pour créer des chaînes de valeur intégrées, réduire les importations et renforcer la sécurité alimentaire. Le coordonnateur de l’observatoire du commerce, de l’industrie et des services (OCIS), </w:t>
      </w:r>
      <w:r w:rsidR="009020DB" w:rsidRPr="009A2E71">
        <w:t xml:space="preserve">M. </w:t>
      </w:r>
      <w:r w:rsidRPr="009A2E71">
        <w:t xml:space="preserve">Hyppolyte </w:t>
      </w:r>
      <w:proofErr w:type="spellStart"/>
      <w:r w:rsidRPr="009A2E71">
        <w:t>Koukou</w:t>
      </w:r>
      <w:proofErr w:type="spellEnd"/>
      <w:r w:rsidRPr="009A2E71">
        <w:t xml:space="preserve">, a rappelé que le pays a importé en 2022 près de 133 000 tonnes de viande de volaille pour une valeur de 68,6 Md FCFA, contre une production locale de 9 675 tonnes, soulignant la dépendance du marché. Les participants ont appelé à l’adoption d’une feuille de route pour encadrer la restriction progressive des importations, la modernisation des abattoirs, l’amélioration de la chaîne du froid et </w:t>
      </w:r>
      <w:r w:rsidR="009020DB" w:rsidRPr="009A2E71">
        <w:t xml:space="preserve">le </w:t>
      </w:r>
      <w:r w:rsidRPr="009A2E71">
        <w:t xml:space="preserve">renforcement du financement des éleveurs </w:t>
      </w:r>
      <w:r w:rsidR="009020DB" w:rsidRPr="009A2E71">
        <w:t xml:space="preserve">pour </w:t>
      </w:r>
      <w:r w:rsidRPr="009A2E71">
        <w:t>dynamiser durablement la filière avicole.</w:t>
      </w:r>
    </w:p>
    <w:p w14:paraId="26F6ECF9" w14:textId="77777777" w:rsidR="006A31EB" w:rsidRPr="009A2E71" w:rsidRDefault="006A31EB" w:rsidP="006C1591">
      <w:pPr>
        <w:spacing w:after="0"/>
      </w:pPr>
    </w:p>
    <w:p w14:paraId="3D14DA5B" w14:textId="47001DC8" w:rsidR="00D03E17" w:rsidRPr="009A2E71" w:rsidRDefault="006822F8" w:rsidP="006C1591">
      <w:pPr>
        <w:pStyle w:val="Titre2"/>
        <w:spacing w:before="0"/>
      </w:pPr>
      <w:bookmarkStart w:id="200" w:name="_Toc213247484"/>
      <w:r w:rsidRPr="009A2E71">
        <w:t>IGP</w:t>
      </w:r>
      <w:r w:rsidR="00D03E17" w:rsidRPr="009A2E71">
        <w:t xml:space="preserve"> – Le Gari </w:t>
      </w:r>
      <w:proofErr w:type="spellStart"/>
      <w:r w:rsidR="00D03E17" w:rsidRPr="009A2E71">
        <w:t>Sohoui</w:t>
      </w:r>
      <w:proofErr w:type="spellEnd"/>
      <w:r w:rsidR="00D03E17" w:rsidRPr="009A2E71">
        <w:t xml:space="preserve"> de Savalou et l’Huile </w:t>
      </w:r>
      <w:proofErr w:type="spellStart"/>
      <w:r w:rsidR="00946AB2" w:rsidRPr="009A2E71">
        <w:t>Azimi</w:t>
      </w:r>
      <w:proofErr w:type="spellEnd"/>
      <w:r w:rsidR="00946AB2" w:rsidRPr="009A2E71">
        <w:t xml:space="preserve"> </w:t>
      </w:r>
      <w:r w:rsidR="00D03E17" w:rsidRPr="009A2E71">
        <w:t>d’</w:t>
      </w:r>
      <w:proofErr w:type="spellStart"/>
      <w:r w:rsidR="00D03E17" w:rsidRPr="009A2E71">
        <w:t>Agonlin</w:t>
      </w:r>
      <w:proofErr w:type="spellEnd"/>
      <w:r w:rsidR="00D03E17" w:rsidRPr="009A2E71">
        <w:t xml:space="preserve"> obtiennent le label.</w:t>
      </w:r>
      <w:bookmarkEnd w:id="200"/>
    </w:p>
    <w:p w14:paraId="0FBC126A" w14:textId="0109C1C6" w:rsidR="00BD15D5" w:rsidRPr="009A2E71" w:rsidRDefault="00D03E17" w:rsidP="006C1591">
      <w:pPr>
        <w:spacing w:after="0"/>
      </w:pPr>
      <w:r w:rsidRPr="009A2E71">
        <w:t xml:space="preserve">Le Bénin vient d’enrichir sa liste de produits labellisés en </w:t>
      </w:r>
      <w:r w:rsidR="006822F8" w:rsidRPr="009A2E71">
        <w:t>i</w:t>
      </w:r>
      <w:r w:rsidRPr="009A2E71">
        <w:t xml:space="preserve">ndication géographique protégée (IGP) avec le Gari </w:t>
      </w:r>
      <w:proofErr w:type="spellStart"/>
      <w:r w:rsidRPr="009A2E71">
        <w:t>Sohoui</w:t>
      </w:r>
      <w:proofErr w:type="spellEnd"/>
      <w:r w:rsidRPr="009A2E71">
        <w:t xml:space="preserve"> de Savalou</w:t>
      </w:r>
      <w:r w:rsidR="00946AB2" w:rsidRPr="009A2E71">
        <w:t xml:space="preserve"> (semoule de manioc)</w:t>
      </w:r>
      <w:r w:rsidRPr="009A2E71">
        <w:t xml:space="preserve"> et l’Huile </w:t>
      </w:r>
      <w:proofErr w:type="spellStart"/>
      <w:r w:rsidR="00946AB2" w:rsidRPr="009A2E71">
        <w:t>Azimi</w:t>
      </w:r>
      <w:proofErr w:type="spellEnd"/>
      <w:r w:rsidR="00946AB2" w:rsidRPr="009A2E71">
        <w:t xml:space="preserve"> </w:t>
      </w:r>
      <w:r w:rsidRPr="009A2E71">
        <w:t>d’</w:t>
      </w:r>
      <w:proofErr w:type="spellStart"/>
      <w:r w:rsidRPr="009A2E71">
        <w:t>Agonlin</w:t>
      </w:r>
      <w:proofErr w:type="spellEnd"/>
      <w:r w:rsidR="00946AB2" w:rsidRPr="009A2E71">
        <w:t xml:space="preserve"> (huile d’arachide)</w:t>
      </w:r>
      <w:r w:rsidRPr="009A2E71">
        <w:t>, officiellement enregistrés par l’Organisation africaine de la propriété intellectuelle (OAPI) lors d’une cérémonie à Cotonou le 18 octobre. Ces deux produits emblématiques, issus du savoir-faire des communautés du Zou et des Collines, rejoignent l’Ananas Pain de Sucre du Plateau d’</w:t>
      </w:r>
      <w:proofErr w:type="spellStart"/>
      <w:r w:rsidRPr="009A2E71">
        <w:t>Allada</w:t>
      </w:r>
      <w:proofErr w:type="spellEnd"/>
      <w:r w:rsidRPr="009A2E71">
        <w:t xml:space="preserve"> déjà protégé. L’obtention du label, soutenue par le projet régional PAMPIG 2 et financée par l’Agence française de développement (AFD), vise à protéger l’identité locale tout en renforçant la compétitivité et la reconnaissance internationale des producteurs. Selon la ministre de l’industrie et du commerce, </w:t>
      </w:r>
      <w:r w:rsidR="00946AB2" w:rsidRPr="009A2E71">
        <w:t xml:space="preserve">Mme </w:t>
      </w:r>
      <w:r w:rsidRPr="009A2E71">
        <w:t xml:space="preserve">Alimatou </w:t>
      </w:r>
      <w:proofErr w:type="spellStart"/>
      <w:r w:rsidRPr="009A2E71">
        <w:t>Shadiya</w:t>
      </w:r>
      <w:proofErr w:type="spellEnd"/>
      <w:r w:rsidRPr="009A2E71">
        <w:t xml:space="preserve"> </w:t>
      </w:r>
      <w:proofErr w:type="spellStart"/>
      <w:r w:rsidRPr="009A2E71">
        <w:t>Assouman</w:t>
      </w:r>
      <w:proofErr w:type="spellEnd"/>
      <w:r w:rsidRPr="009A2E71">
        <w:t>, les indications géographiques constituent « un instrument de croissance économique et de valorisation des savoir-faire ». Avec désormais trois produits reconnus, le Bénin s’impose comme un modèle africain en matière de valorisation des produits du terroir et de promotion du</w:t>
      </w:r>
      <w:r w:rsidR="00946AB2" w:rsidRPr="009A2E71">
        <w:t> « </w:t>
      </w:r>
      <w:r w:rsidRPr="009A2E71">
        <w:t>produire local</w:t>
      </w:r>
      <w:r w:rsidR="00946AB2" w:rsidRPr="009A2E71">
        <w:t> »</w:t>
      </w:r>
      <w:r w:rsidRPr="009A2E71">
        <w:t>.</w:t>
      </w:r>
    </w:p>
    <w:p w14:paraId="0067DEC3" w14:textId="77777777" w:rsidR="00BD15D5" w:rsidRPr="009A2E71" w:rsidRDefault="00BD15D5" w:rsidP="006C1591">
      <w:pPr>
        <w:spacing w:after="0"/>
      </w:pPr>
    </w:p>
    <w:p w14:paraId="795B860A" w14:textId="77777777" w:rsidR="00240592" w:rsidRPr="009A2E71" w:rsidRDefault="00240592" w:rsidP="00240592">
      <w:pPr>
        <w:pStyle w:val="Titre2"/>
        <w:spacing w:before="0"/>
      </w:pPr>
      <w:bookmarkStart w:id="201" w:name="_Toc213247485"/>
      <w:r w:rsidRPr="009A2E71">
        <w:lastRenderedPageBreak/>
        <w:t>Ananas – L’IGP « Pain de sucre » séduit à l’Expo Osaka 2025.</w:t>
      </w:r>
      <w:bookmarkEnd w:id="201"/>
    </w:p>
    <w:p w14:paraId="6923F2EF" w14:textId="2FD1A918" w:rsidR="00240592" w:rsidRDefault="00240592" w:rsidP="00240592">
      <w:pPr>
        <w:spacing w:after="0"/>
      </w:pPr>
      <w:r w:rsidRPr="009A2E71">
        <w:t>A l’occasion de la semaine de dégustation de l’Exposition Universelle Osaka 2025organisée du 29 septembre au 4 octobre, le public japonais et asiatique a pu découvrir la saveur de l’ananas Pain de sucre du Bénin. L’événement, coordonné par Bénin Tourisme et l’Agence de promotion des investissements et des exportations (</w:t>
      </w:r>
      <w:proofErr w:type="spellStart"/>
      <w:r w:rsidRPr="009A2E71">
        <w:t>APIEx</w:t>
      </w:r>
      <w:proofErr w:type="spellEnd"/>
      <w:r w:rsidRPr="009A2E71">
        <w:t>), a attiré de nombreux visiteurs venus apprécier ce fruit cultivé sur le plateau d’</w:t>
      </w:r>
      <w:proofErr w:type="spellStart"/>
      <w:r w:rsidRPr="009A2E71">
        <w:t>Allada</w:t>
      </w:r>
      <w:proofErr w:type="spellEnd"/>
      <w:r w:rsidRPr="009A2E71">
        <w:t>. Reconnu pour sa faible acidité, sa chair juteuse et sa traçabilité, l’ananas Pain de sucre illustre le savoir-faire agricole béninois. Ce produit qui a obtenu une Indication Géographique Protégée (IGP) délivrée par l’Organisation Africaine de la Propriété Intellectuelle (OAPI) en 2020, s’impose aujourd’hui comme un fleuron de l’agriculture locale. Sa production est passée de 472 514 tonnes en 2022 à 483 539 tonnes en 2024, avec une prévision de 511 000 tonnes pour 2025.</w:t>
      </w:r>
    </w:p>
    <w:p w14:paraId="1950CF65" w14:textId="77777777" w:rsidR="00240592" w:rsidRPr="00240592" w:rsidRDefault="00240592" w:rsidP="00240592">
      <w:pPr>
        <w:spacing w:after="0"/>
      </w:pPr>
    </w:p>
    <w:p w14:paraId="30090312" w14:textId="3C13CFC7" w:rsidR="00FF1F7F" w:rsidRPr="009A2E71" w:rsidRDefault="00A67D59" w:rsidP="006C1591">
      <w:pPr>
        <w:pStyle w:val="Titre2"/>
        <w:spacing w:before="0"/>
      </w:pPr>
      <w:bookmarkStart w:id="202" w:name="_Toc213247486"/>
      <w:r w:rsidRPr="009A2E71">
        <w:t>Entreprenariat</w:t>
      </w:r>
      <w:r w:rsidR="00FF1F7F" w:rsidRPr="009A2E71">
        <w:t xml:space="preserve"> –</w:t>
      </w:r>
      <w:r w:rsidR="00561C75" w:rsidRPr="009A2E71">
        <w:t xml:space="preserve"> 126 M de FCFA pour l’installation de 13 promoteurs agricoles dans le cadre du P</w:t>
      </w:r>
      <w:r w:rsidR="00FF1F7F" w:rsidRPr="009A2E71">
        <w:t xml:space="preserve">rogramme </w:t>
      </w:r>
      <w:proofErr w:type="spellStart"/>
      <w:r w:rsidR="00FF1F7F" w:rsidRPr="009A2E71">
        <w:t>Agrostudies</w:t>
      </w:r>
      <w:proofErr w:type="spellEnd"/>
      <w:r w:rsidR="00FF1F7F" w:rsidRPr="009A2E71">
        <w:t>.</w:t>
      </w:r>
      <w:bookmarkEnd w:id="202"/>
    </w:p>
    <w:p w14:paraId="64C79B6F" w14:textId="3484E9FB" w:rsidR="00FF1F7F" w:rsidRPr="009A2E71" w:rsidRDefault="00FF1F7F" w:rsidP="006C1591">
      <w:pPr>
        <w:spacing w:after="0"/>
      </w:pPr>
      <w:r w:rsidRPr="009A2E71">
        <w:t xml:space="preserve">Le Fonds national de développement agricole (FNDA), avec l’appui de la Coopération suisse, a signé le 7 octobre les conventions de financement de 13 jeunes promoteurs agricoles issus de la quatrième cohorte du programme </w:t>
      </w:r>
      <w:proofErr w:type="spellStart"/>
      <w:r w:rsidRPr="009A2E71">
        <w:t>Agrostudies</w:t>
      </w:r>
      <w:proofErr w:type="spellEnd"/>
      <w:r w:rsidRPr="009A2E71">
        <w:t xml:space="preserve">. Cette initiative vise à favoriser l’installation et l’entrepreneuriat agricole de jeunes diplômés ayant effectué un stage professionnel de 11 mois en Israël, au cours duquel ils ont acquis des compétences techniques et de gestion. Selon le directeur général du FNDA, </w:t>
      </w:r>
      <w:r w:rsidR="00561C75" w:rsidRPr="009A2E71">
        <w:t xml:space="preserve">M. </w:t>
      </w:r>
      <w:r w:rsidRPr="009A2E71">
        <w:t xml:space="preserve">Nicolas </w:t>
      </w:r>
      <w:proofErr w:type="spellStart"/>
      <w:r w:rsidRPr="009A2E71">
        <w:t>Ahouissoussi</w:t>
      </w:r>
      <w:proofErr w:type="spellEnd"/>
      <w:r w:rsidRPr="009A2E71">
        <w:t xml:space="preserve">, cette signature concrétise l’engagement du gouvernement de soutenir les jeunes à leur retour de stage afin de transformer leurs projets en entreprises viables. Chaque bénéficiaire recevra environ 10 </w:t>
      </w:r>
      <w:r w:rsidR="00561C75" w:rsidRPr="009A2E71">
        <w:t xml:space="preserve">M </w:t>
      </w:r>
      <w:r w:rsidRPr="009A2E71">
        <w:t>FCFA</w:t>
      </w:r>
      <w:r w:rsidR="00561C75" w:rsidRPr="009A2E71">
        <w:t xml:space="preserve"> </w:t>
      </w:r>
      <w:r w:rsidRPr="009A2E71">
        <w:t>destinés à l’achat d’équipements et à la construction d’infrastructures, notamment par la Société nationale de mécanisation agricole (</w:t>
      </w:r>
      <w:proofErr w:type="spellStart"/>
      <w:r w:rsidRPr="009A2E71">
        <w:t>SoNaMA</w:t>
      </w:r>
      <w:proofErr w:type="spellEnd"/>
      <w:r w:rsidRPr="009A2E71">
        <w:t xml:space="preserve">). </w:t>
      </w:r>
      <w:bookmarkStart w:id="203" w:name="_Hlk211248582"/>
      <w:r w:rsidRPr="009A2E71">
        <w:t xml:space="preserve">Le directeur de cabinet du ministère de </w:t>
      </w:r>
      <w:bookmarkStart w:id="204" w:name="_Hlk211248522"/>
      <w:r w:rsidRPr="009A2E71">
        <w:t>l’</w:t>
      </w:r>
      <w:r w:rsidR="00561C75" w:rsidRPr="009A2E71">
        <w:t>a</w:t>
      </w:r>
      <w:r w:rsidRPr="009A2E71">
        <w:t>griculture, de l’</w:t>
      </w:r>
      <w:r w:rsidR="00561C75" w:rsidRPr="009A2E71">
        <w:t>é</w:t>
      </w:r>
      <w:r w:rsidRPr="009A2E71">
        <w:t xml:space="preserve">levage et de la </w:t>
      </w:r>
      <w:r w:rsidR="00561C75" w:rsidRPr="009A2E71">
        <w:t>p</w:t>
      </w:r>
      <w:r w:rsidRPr="009A2E71">
        <w:t xml:space="preserve">êche (MAEP), </w:t>
      </w:r>
      <w:bookmarkEnd w:id="204"/>
      <w:r w:rsidR="00561C75" w:rsidRPr="009A2E71">
        <w:t xml:space="preserve">M. </w:t>
      </w:r>
      <w:r w:rsidRPr="009A2E71">
        <w:t xml:space="preserve">Dossa </w:t>
      </w:r>
      <w:proofErr w:type="spellStart"/>
      <w:r w:rsidRPr="009A2E71">
        <w:t>Aguemon</w:t>
      </w:r>
      <w:proofErr w:type="spellEnd"/>
      <w:r w:rsidRPr="009A2E71">
        <w:t>, a insisté sur la responsabilité dans l’utilisation des fonds publics et encouragé les bénéficiaires à faire preuve de rigueur et d’innovation</w:t>
      </w:r>
      <w:bookmarkEnd w:id="203"/>
      <w:r w:rsidRPr="009A2E71">
        <w:t xml:space="preserve">. Le ministre de </w:t>
      </w:r>
      <w:r w:rsidR="00561C75" w:rsidRPr="009A2E71">
        <w:t>l’agriculture, de l’élevage et de la pêche (MAEP),</w:t>
      </w:r>
      <w:r w:rsidRPr="009A2E71">
        <w:t xml:space="preserve"> </w:t>
      </w:r>
      <w:r w:rsidR="00561C75" w:rsidRPr="009A2E71">
        <w:t>M</w:t>
      </w:r>
      <w:r w:rsidR="00867CC8" w:rsidRPr="009A2E71">
        <w:t>.</w:t>
      </w:r>
      <w:r w:rsidR="00561C75" w:rsidRPr="009A2E71">
        <w:t xml:space="preserve"> </w:t>
      </w:r>
      <w:r w:rsidRPr="009A2E71">
        <w:t xml:space="preserve">Gaston </w:t>
      </w:r>
      <w:proofErr w:type="spellStart"/>
      <w:r w:rsidRPr="009A2E71">
        <w:t>Dossouhoui</w:t>
      </w:r>
      <w:proofErr w:type="spellEnd"/>
      <w:r w:rsidRPr="009A2E71">
        <w:t xml:space="preserve">, a souligné que les compétences acquises à l’étranger doivent servir à transformer l’agriculture nationale en moteur de richesse et d’emploi. </w:t>
      </w:r>
      <w:r w:rsidR="00270241" w:rsidRPr="009A2E71">
        <w:t xml:space="preserve">Le directeur de cabinet du ministre, M. Dossa </w:t>
      </w:r>
      <w:proofErr w:type="spellStart"/>
      <w:r w:rsidR="00270241" w:rsidRPr="009A2E71">
        <w:t>Aguemon</w:t>
      </w:r>
      <w:proofErr w:type="spellEnd"/>
      <w:r w:rsidR="00270241" w:rsidRPr="009A2E71">
        <w:t>, a insisté pour sa part sur la responsabilité dans l’utilisation des fonds publics et encouragé les bénéficiaires à faire preuve de rigueur et d’innovation. A</w:t>
      </w:r>
      <w:r w:rsidRPr="009A2E71">
        <w:t xml:space="preserve"> travers cette action, le FNDA confirme son rôle dans la promotion de l’entrepreneuriat agricole et le programme </w:t>
      </w:r>
      <w:proofErr w:type="spellStart"/>
      <w:r w:rsidRPr="009A2E71">
        <w:t>Agrostudies</w:t>
      </w:r>
      <w:proofErr w:type="spellEnd"/>
      <w:r w:rsidRPr="009A2E71">
        <w:t xml:space="preserve"> </w:t>
      </w:r>
      <w:r w:rsidR="00270241" w:rsidRPr="009A2E71">
        <w:t xml:space="preserve">permet </w:t>
      </w:r>
      <w:r w:rsidRPr="009A2E71">
        <w:t>l’émergence d’une nouvelle génération de producteurs béninois.</w:t>
      </w:r>
    </w:p>
    <w:p w14:paraId="20ABA2A1" w14:textId="77777777" w:rsidR="00FD705E" w:rsidRPr="009A2E71" w:rsidRDefault="00FD705E" w:rsidP="006C1591">
      <w:pPr>
        <w:spacing w:after="0"/>
      </w:pPr>
    </w:p>
    <w:p w14:paraId="4B07C5FC" w14:textId="64F75ED6" w:rsidR="009D0F96" w:rsidRPr="009A2E71" w:rsidRDefault="009D0F96" w:rsidP="006C1591">
      <w:pPr>
        <w:pStyle w:val="Titre1"/>
        <w:spacing w:before="0"/>
      </w:pPr>
      <w:bookmarkStart w:id="205" w:name="_Toc207812042"/>
      <w:bookmarkStart w:id="206" w:name="_Toc207812910"/>
      <w:bookmarkStart w:id="207" w:name="_Toc207813072"/>
      <w:bookmarkStart w:id="208" w:name="_Toc213247487"/>
      <w:r w:rsidRPr="009A2E71">
        <w:t>Burkina Faso</w:t>
      </w:r>
      <w:bookmarkEnd w:id="205"/>
      <w:bookmarkEnd w:id="206"/>
      <w:bookmarkEnd w:id="207"/>
      <w:bookmarkEnd w:id="208"/>
    </w:p>
    <w:p w14:paraId="520DC87E" w14:textId="77777777" w:rsidR="00FC045E" w:rsidRPr="009A2E71" w:rsidRDefault="00FC045E" w:rsidP="00FC045E">
      <w:pPr>
        <w:pStyle w:val="Titre2"/>
        <w:spacing w:before="0"/>
      </w:pPr>
      <w:bookmarkStart w:id="209" w:name="_Toc213247488"/>
      <w:r w:rsidRPr="009A2E71">
        <w:t>Sécurité alimentaire – 2,7 M de personnes demeurent en situation d’insécurité alimentaire.</w:t>
      </w:r>
      <w:bookmarkEnd w:id="209"/>
    </w:p>
    <w:p w14:paraId="75D178AA" w14:textId="77777777" w:rsidR="00FC045E" w:rsidRDefault="00FC045E" w:rsidP="00FC045E">
      <w:pPr>
        <w:spacing w:after="0"/>
      </w:pPr>
      <w:r w:rsidRPr="009A2E71">
        <w:t xml:space="preserve">À l’occasion de la Journée mondiale de l’alimentation 2025, célébrée sous le thème « Main dans la main pour des aliments et un avenir meilleurs », le directeur pays de The Hunger Project-Burkina Faso (THP-BF) a lancé un appel à la mobilisation collective pour éradiquer la faim et la malnutrition. Au Burkina Faso, près de 2,7 M de personnes demeurent en situation d’insécurité alimentaire. Le directeur projet de THB-BF a salué les efforts du gouvernement à travers l’Offensive agropastorale et halieutique (OAPH), l’Initiative présidentielle pour la production agricole et l’autosuffisance alimentaire (IP-P3A) et le programme « Un repas équilibré par jour pour chaque enfant en âge scolaire ». Il a aussi mis en avant la stratégie de THP-BF, axée sur la </w:t>
      </w:r>
      <w:r w:rsidRPr="009A2E71">
        <w:lastRenderedPageBreak/>
        <w:t>gouvernance locale, la nutrition maternelle et infantile, et la transformation locale. L’organisation invite les acteurs publics et privés à conjuguer leurs efforts pour bâtir un système alimentaire durable et souverain fondé sur la production et la consommation locales.</w:t>
      </w:r>
    </w:p>
    <w:p w14:paraId="5C33E77E" w14:textId="77777777" w:rsidR="00FC045E" w:rsidRDefault="00FC045E" w:rsidP="00FC045E">
      <w:pPr>
        <w:pStyle w:val="Titre2"/>
        <w:spacing w:before="0"/>
      </w:pPr>
    </w:p>
    <w:p w14:paraId="755CAB14" w14:textId="000F0B5F" w:rsidR="00FC045E" w:rsidRPr="009A2E71" w:rsidRDefault="00FC045E" w:rsidP="00FC045E">
      <w:pPr>
        <w:pStyle w:val="Titre2"/>
        <w:spacing w:before="0"/>
      </w:pPr>
      <w:bookmarkStart w:id="210" w:name="_Toc213247489"/>
      <w:r w:rsidRPr="009A2E71">
        <w:t>Foncier – Adoption de la loi sur la réorganisation agraire et foncière.</w:t>
      </w:r>
      <w:bookmarkEnd w:id="210"/>
    </w:p>
    <w:p w14:paraId="7F1C1FAA" w14:textId="77777777" w:rsidR="00FC045E" w:rsidRPr="009A2E71" w:rsidRDefault="00FC045E" w:rsidP="00FC045E">
      <w:pPr>
        <w:spacing w:after="0"/>
      </w:pPr>
      <w:r w:rsidRPr="009A2E71">
        <w:t xml:space="preserve">Les députés de l’Assemblée législative de transition ont adopté à l’unanimité, le 21 octobre, la loi portant réorganisation agraire et foncière. Le texte renforce la souveraineté de l’État sur le domaine foncier national en consacrant sa propriété pleine et entière des terres. Il interdit la cession définitive des terres rurales à des étrangers sauf en cas de réciprocité, et introduit le recours au bail emphytéotique de 18 à 99 ans pour les terres agricoles aménagées. La réforme, présentée par le ministre de l’économie et des finances, M. Aboubakar </w:t>
      </w:r>
      <w:proofErr w:type="spellStart"/>
      <w:r w:rsidRPr="009A2E71">
        <w:t>Nacanabo</w:t>
      </w:r>
      <w:proofErr w:type="spellEnd"/>
      <w:r w:rsidRPr="009A2E71">
        <w:t>, vise à corriger les insuffisances de la loi de 2012 en matière de gouvernance foncière, de transparence et de mobilisation des terres pour des projets d’intérêt national. Elle prévoit aussi la possibilité d’expropriations d’urgence et la désignation d’un gestionnaire unique du domaine foncier de l’État.</w:t>
      </w:r>
    </w:p>
    <w:p w14:paraId="74F7B145" w14:textId="77777777" w:rsidR="00FC045E" w:rsidRPr="009A2E71" w:rsidRDefault="00FC045E" w:rsidP="00FC045E">
      <w:pPr>
        <w:spacing w:after="0"/>
      </w:pPr>
    </w:p>
    <w:p w14:paraId="5D588F4A" w14:textId="77777777" w:rsidR="00FC045E" w:rsidRPr="009A2E71" w:rsidRDefault="00FC045E" w:rsidP="00FC045E">
      <w:pPr>
        <w:pStyle w:val="Titre2"/>
        <w:spacing w:before="0"/>
      </w:pPr>
      <w:bookmarkStart w:id="211" w:name="_Toc213247490"/>
      <w:r w:rsidRPr="009A2E71">
        <w:t>Coton – Reprise d’activité de la Société de Fabrication de Coton Burkinabè (SO.FA.CO-B).</w:t>
      </w:r>
      <w:bookmarkEnd w:id="211"/>
    </w:p>
    <w:p w14:paraId="297DE107" w14:textId="77777777" w:rsidR="00FC045E" w:rsidRPr="009A2E71" w:rsidRDefault="00FC045E" w:rsidP="00FC045E">
      <w:pPr>
        <w:spacing w:after="0"/>
      </w:pPr>
      <w:r w:rsidRPr="009A2E71">
        <w:t xml:space="preserve">Le Président du Faso, le Capitaine Ibrahim Traoré, a visité le 17 octobre </w:t>
      </w:r>
      <w:bookmarkStart w:id="212" w:name="_Hlk211849284"/>
      <w:r w:rsidRPr="009A2E71">
        <w:t xml:space="preserve">la </w:t>
      </w:r>
      <w:bookmarkEnd w:id="212"/>
      <w:r w:rsidRPr="009A2E71">
        <w:t xml:space="preserve">SO.FA.CO-B, entreprise, spécialisée dans la production de coton hydrophile médical, qui a repris ses activités grâce au soutien des autorités dans le cadre de la politique nationale d’industrialisation. En félicitant la promotrice, la Dr Céline </w:t>
      </w:r>
      <w:proofErr w:type="spellStart"/>
      <w:r w:rsidRPr="009A2E71">
        <w:t>Kontyaré</w:t>
      </w:r>
      <w:proofErr w:type="spellEnd"/>
      <w:r w:rsidRPr="009A2E71">
        <w:t>/</w:t>
      </w:r>
      <w:proofErr w:type="spellStart"/>
      <w:r w:rsidRPr="009A2E71">
        <w:t>Kobeané</w:t>
      </w:r>
      <w:proofErr w:type="spellEnd"/>
      <w:r w:rsidRPr="009A2E71">
        <w:t xml:space="preserve">, le Chef de l’État a réaffirmé sa volonté de promouvoir une industrialisation fondée sur le triptyque « produire, transformer et consommer ». Il a salué la persévérance de l’équipe et souligné que la SO.FA.CO-B constitue, selon ses mots, « un des symboles du début de notre émancipation sanitaire ». </w:t>
      </w:r>
    </w:p>
    <w:p w14:paraId="238C5527" w14:textId="77777777" w:rsidR="00FC045E" w:rsidRDefault="00FC045E" w:rsidP="006C1591">
      <w:pPr>
        <w:pStyle w:val="Titre2"/>
        <w:spacing w:before="0"/>
      </w:pPr>
    </w:p>
    <w:p w14:paraId="752EEAD2" w14:textId="78BA70F5" w:rsidR="008A144C" w:rsidRPr="009A2E71" w:rsidRDefault="008A144C" w:rsidP="006C1591">
      <w:pPr>
        <w:pStyle w:val="Titre2"/>
        <w:spacing w:before="0"/>
      </w:pPr>
      <w:bookmarkStart w:id="213" w:name="_Toc213247491"/>
      <w:r w:rsidRPr="009A2E71">
        <w:t xml:space="preserve">Sucre – Relance publique de </w:t>
      </w:r>
      <w:r w:rsidR="0031295C" w:rsidRPr="009A2E71">
        <w:t>la Société sucrière de la Comoé (</w:t>
      </w:r>
      <w:r w:rsidRPr="009A2E71">
        <w:t>SOSUCO</w:t>
      </w:r>
      <w:r w:rsidR="0031295C" w:rsidRPr="009A2E71">
        <w:t>)</w:t>
      </w:r>
      <w:r w:rsidRPr="009A2E71">
        <w:t>.</w:t>
      </w:r>
      <w:bookmarkEnd w:id="213"/>
    </w:p>
    <w:p w14:paraId="23F370D4" w14:textId="1D6009AD" w:rsidR="008A144C" w:rsidRPr="009A2E71" w:rsidRDefault="008A144C" w:rsidP="006C1591">
      <w:pPr>
        <w:spacing w:after="0"/>
      </w:pPr>
      <w:r w:rsidRPr="009A2E71">
        <w:t xml:space="preserve">Le gouvernement burkinabè a décidé, lors du conseil des ministres du 16 octobre, d’augmenter le capital social de </w:t>
      </w:r>
      <w:bookmarkStart w:id="214" w:name="_Hlk212915897"/>
      <w:r w:rsidRPr="009A2E71">
        <w:t xml:space="preserve">la </w:t>
      </w:r>
      <w:bookmarkEnd w:id="214"/>
      <w:r w:rsidRPr="009A2E71">
        <w:t>SOSUCO à 11,63 Md FCFA, contre 8,1 Md FCFA auparavant, à travers la création de 349 011 actions de 10 000 FCFA chacune. L’État détient désormais 70% du capital, soit 8,14 Md FCFA, contre 30% pour le secteur privé. Cette opération consacre la transformation de la SOSUCO en société d’économie mixte à participation publique majoritaire et marque sa reprise en main par l’État. L’entreprise, implantée à Banfora, demeure un pilier industriel de la filière sucrière nationale, couvrant la culture de la canne, la production et la commercialisation du sucre, ainsi que la valorisation énergétique de la mélasse. Le gouvernement mise sur cette relance pour restaurer l’autosuffisance en sucre, réduire les importations et créer un millier d’emplois saisonniers.</w:t>
      </w:r>
    </w:p>
    <w:p w14:paraId="2B104413" w14:textId="77777777" w:rsidR="00FC045E" w:rsidRDefault="00FC045E" w:rsidP="00FC045E">
      <w:pPr>
        <w:pStyle w:val="Titre2"/>
        <w:spacing w:before="0"/>
      </w:pPr>
    </w:p>
    <w:p w14:paraId="038EE269" w14:textId="45A376C5" w:rsidR="00FC045E" w:rsidRPr="009A2E71" w:rsidRDefault="00FC045E" w:rsidP="00FC045E">
      <w:pPr>
        <w:pStyle w:val="Titre2"/>
        <w:spacing w:before="0"/>
      </w:pPr>
      <w:bookmarkStart w:id="215" w:name="_Toc213247492"/>
      <w:r w:rsidRPr="009A2E71">
        <w:t xml:space="preserve">Riz – La Société des Mines de </w:t>
      </w:r>
      <w:proofErr w:type="spellStart"/>
      <w:r w:rsidRPr="009A2E71">
        <w:t>Sanbrado</w:t>
      </w:r>
      <w:proofErr w:type="spellEnd"/>
      <w:r w:rsidRPr="009A2E71">
        <w:t xml:space="preserve"> (SOMISA) soutient la production.</w:t>
      </w:r>
      <w:bookmarkEnd w:id="215"/>
    </w:p>
    <w:p w14:paraId="1B907DEF" w14:textId="77777777" w:rsidR="00FC045E" w:rsidRPr="009A2E71" w:rsidRDefault="00FC045E" w:rsidP="00FC045E">
      <w:pPr>
        <w:spacing w:after="0"/>
      </w:pPr>
      <w:r w:rsidRPr="009A2E71">
        <w:t>L</w:t>
      </w:r>
      <w:bookmarkStart w:id="216" w:name="_Hlk211849788"/>
      <w:r w:rsidRPr="009A2E71">
        <w:t xml:space="preserve">a Société des Mines de </w:t>
      </w:r>
      <w:proofErr w:type="spellStart"/>
      <w:r w:rsidRPr="009A2E71">
        <w:t>Sanbrado</w:t>
      </w:r>
      <w:proofErr w:type="spellEnd"/>
      <w:r w:rsidRPr="009A2E71">
        <w:t xml:space="preserve"> </w:t>
      </w:r>
      <w:bookmarkEnd w:id="216"/>
      <w:r w:rsidRPr="009A2E71">
        <w:t xml:space="preserve">(SOMISA) a organisé le 14 octobre une visite de champs de maïs et de rizières, activité qui s’inscrit dans le cadre du projet « Un ménage impacté, avec 0,25 ha de riz produit », qui vise à renforcer la sécurité alimentaire des ménages affectés par la mine. D’un coût global de 10,58 M FCFA, le projet a permis d’aménager 20 ha de bas-fonds au profit de 41 ménages, chacun disposant d’une superficie de 0,25 à 0,40 ha et bénéficiant d’un appui en labours, semences, engrais et suivi technique. Environ 120 tonnes de riz sont attendues de cette campagne. Les rizières de la variété TS2 et les champs de maïs « </w:t>
      </w:r>
      <w:proofErr w:type="spellStart"/>
      <w:r w:rsidRPr="009A2E71">
        <w:t>Komsaya</w:t>
      </w:r>
      <w:proofErr w:type="spellEnd"/>
      <w:r w:rsidRPr="009A2E71">
        <w:t xml:space="preserve"> » ont démontré un fort potentiel, avec des rendements de 6 à 9 t/ha selon les conditions. SOMISA a également </w:t>
      </w:r>
      <w:r w:rsidRPr="009A2E71">
        <w:lastRenderedPageBreak/>
        <w:t>investi 1,28 M FCFA pour la mise en place d’outils de vulgarisation agricole auprès de huit producteurs, portant à 11,86 M FCFA le montant total injecté pour soutenir la production agricole locale.</w:t>
      </w:r>
    </w:p>
    <w:p w14:paraId="113BFE9D" w14:textId="77777777" w:rsidR="00FC045E" w:rsidRPr="009A2E71" w:rsidRDefault="00FC045E" w:rsidP="00FC045E">
      <w:pPr>
        <w:spacing w:after="0"/>
      </w:pPr>
    </w:p>
    <w:p w14:paraId="62251F5B" w14:textId="77777777" w:rsidR="00FC045E" w:rsidRPr="009A2E71" w:rsidRDefault="00FC045E" w:rsidP="00FC045E">
      <w:pPr>
        <w:pStyle w:val="Titre2"/>
        <w:spacing w:before="0"/>
      </w:pPr>
      <w:bookmarkStart w:id="217" w:name="_Toc213247493"/>
      <w:r w:rsidRPr="009A2E71">
        <w:t>Semences – Formation à la production.</w:t>
      </w:r>
      <w:bookmarkEnd w:id="217"/>
    </w:p>
    <w:p w14:paraId="4530CD03" w14:textId="77777777" w:rsidR="00FC045E" w:rsidRPr="009A2E71" w:rsidRDefault="00FC045E" w:rsidP="00FC045E">
      <w:pPr>
        <w:spacing w:after="0"/>
      </w:pPr>
      <w:r w:rsidRPr="009A2E71">
        <w:t xml:space="preserve">Quinze producteurs agricoles de la commune de Boudry, dans le Ganzourgou, ont achevé le 18 octobre une formation de cinq jours sur les techniques de production, de conditionnement et de conservation des semences. Organisée par la direction régionale de l’agriculture, des ressources animales et halieutiques de </w:t>
      </w:r>
      <w:proofErr w:type="spellStart"/>
      <w:r w:rsidRPr="009A2E71">
        <w:t>Oubri</w:t>
      </w:r>
      <w:proofErr w:type="spellEnd"/>
      <w:r w:rsidRPr="009A2E71">
        <w:t xml:space="preserve"> avec l’appui financier de la société des mines de </w:t>
      </w:r>
      <w:proofErr w:type="spellStart"/>
      <w:r w:rsidRPr="009A2E71">
        <w:t>Sanbrado</w:t>
      </w:r>
      <w:proofErr w:type="spellEnd"/>
      <w:r w:rsidRPr="009A2E71">
        <w:t xml:space="preserve"> (SOMISA), l’activité visait à renforcer les capacités techniques des producteurs pour améliorer la qualité et la disponibilité des semences locales. Les bénéficiaires ont été jugés aptes à produire des semences améliorées de sorgho, maïs, mil, riz, niébé, sésame, arachide et soja. Le coût global de la formation est estimé à plus de 3 M FCFA. SOMISA a inscrit cette action dans la continuité de son programme lancé en 2022, qui avait permis de récolter 30 tonnes de semences certifiées rachetées par la mine pour soutenir d’autres producteurs.</w:t>
      </w:r>
    </w:p>
    <w:p w14:paraId="0F71221F" w14:textId="77777777" w:rsidR="004A0010" w:rsidRPr="009A2E71" w:rsidRDefault="004A0010" w:rsidP="006C1591">
      <w:pPr>
        <w:spacing w:after="0"/>
      </w:pPr>
    </w:p>
    <w:p w14:paraId="3F815E4F" w14:textId="77777777" w:rsidR="008B13CD" w:rsidRPr="009A2E71" w:rsidRDefault="008B13CD" w:rsidP="006C1591">
      <w:pPr>
        <w:pStyle w:val="Titre2"/>
        <w:spacing w:before="0"/>
      </w:pPr>
      <w:bookmarkStart w:id="218" w:name="_Toc213247494"/>
      <w:r w:rsidRPr="009A2E71">
        <w:t>Aviculture – Série de mesures gouvernementales pour l’autonomie de la filière.</w:t>
      </w:r>
      <w:bookmarkEnd w:id="218"/>
    </w:p>
    <w:p w14:paraId="1E299E32" w14:textId="3E7F155E" w:rsidR="008B13CD" w:rsidRPr="009A2E71" w:rsidRDefault="008B13CD" w:rsidP="006C1591">
      <w:pPr>
        <w:spacing w:after="0"/>
      </w:pPr>
      <w:r w:rsidRPr="009A2E71">
        <w:t>Le gouvernement a enclenché, ce mois d’octobre, une série de mesures</w:t>
      </w:r>
      <w:r w:rsidR="001E207C" w:rsidRPr="009A2E71">
        <w:t>,</w:t>
      </w:r>
      <w:r w:rsidRPr="009A2E71">
        <w:t xml:space="preserve"> destinée à consolider la filière avicole nationale et à promouvoir la souveraineté alimentaire</w:t>
      </w:r>
      <w:r w:rsidR="001E207C" w:rsidRPr="009A2E71">
        <w:t xml:space="preserve">, </w:t>
      </w:r>
      <w:r w:rsidRPr="009A2E71">
        <w:t>débuté</w:t>
      </w:r>
      <w:r w:rsidR="00BB53F9" w:rsidRPr="009A2E71">
        <w:t>e</w:t>
      </w:r>
      <w:r w:rsidRPr="009A2E71">
        <w:t xml:space="preserve"> le 3 octobre, avec l’annonce de la suspension temporaire de l’importation de poussins de chair, décidée par le ministère de l’</w:t>
      </w:r>
      <w:r w:rsidR="00BB53F9" w:rsidRPr="009A2E71">
        <w:t>a</w:t>
      </w:r>
      <w:r w:rsidRPr="009A2E71">
        <w:t xml:space="preserve">griculture, des </w:t>
      </w:r>
      <w:r w:rsidR="00BB53F9" w:rsidRPr="009A2E71">
        <w:t>r</w:t>
      </w:r>
      <w:r w:rsidRPr="009A2E71">
        <w:t>essources animales et halieutiques. Cette décision repose sur une évaluation nationale ayant conclu à la capacité suffisante de la production locale pour répondre à la demande. Elle concerne toutes les races ou souches destinées à la production de viande et vise à protéger la filière avicole, réduire la dépendance extérieure et stimuler la compétitivité des producteurs burkinab</w:t>
      </w:r>
      <w:r w:rsidR="00BB53F9" w:rsidRPr="009A2E71">
        <w:t>és</w:t>
      </w:r>
      <w:r w:rsidRPr="009A2E71">
        <w:t>. Entre 2020 et 2024, le pays avait importé en moyenne 736 000 USD de poussins de chair, atteignant un pic de 1,06 M USD en 2024, principalement en provenance du Maroc, de Belgique, de France et de Turquie. Dans la foulée, le 8 octobre, le ministère a réuni les principaux acteurs du secteur pour une concertation sur la fixation du prix plafond du poussin de chair local</w:t>
      </w:r>
      <w:r w:rsidR="00BB53F9" w:rsidRPr="009A2E71">
        <w:t xml:space="preserve"> afin d’</w:t>
      </w:r>
      <w:r w:rsidRPr="009A2E71">
        <w:t>organiser le marché intérieur et</w:t>
      </w:r>
      <w:r w:rsidR="001919D7" w:rsidRPr="009A2E71">
        <w:t xml:space="preserve"> de</w:t>
      </w:r>
      <w:r w:rsidRPr="009A2E71">
        <w:t xml:space="preserve"> prévenir toute flambée des prix consécutive à la suspension des importations. Les échanges ont permis de poser les bases d’un cadre de régulation concerté, garantissant des tarifs accessibles aux éleveurs tout en soutenant la rentabilité des couvoirs. Le 10 octobre, le ministre d’État, </w:t>
      </w:r>
      <w:r w:rsidR="001919D7" w:rsidRPr="009A2E71">
        <w:t xml:space="preserve">le </w:t>
      </w:r>
      <w:r w:rsidRPr="009A2E71">
        <w:t xml:space="preserve">Commandant Ismaël </w:t>
      </w:r>
      <w:proofErr w:type="spellStart"/>
      <w:r w:rsidRPr="009A2E71">
        <w:t>Sombié</w:t>
      </w:r>
      <w:proofErr w:type="spellEnd"/>
      <w:r w:rsidRPr="009A2E71">
        <w:t xml:space="preserve">, a effectué une tournée d’inspection dans </w:t>
      </w:r>
      <w:r w:rsidR="001919D7" w:rsidRPr="009A2E71">
        <w:t xml:space="preserve">certains </w:t>
      </w:r>
      <w:r w:rsidRPr="009A2E71">
        <w:t xml:space="preserve">couvoirs </w:t>
      </w:r>
      <w:r w:rsidR="001919D7" w:rsidRPr="009A2E71">
        <w:t xml:space="preserve">pour </w:t>
      </w:r>
      <w:r w:rsidRPr="009A2E71">
        <w:t xml:space="preserve">évaluer les capacités nationales de production et rassurer les acteurs de la filière quant à la capacité du pays à subvenir à ses propres besoins. La ferme Mariama, implantée sur quatre </w:t>
      </w:r>
      <w:r w:rsidR="00473FD2" w:rsidRPr="009A2E71">
        <w:t>ha</w:t>
      </w:r>
      <w:r w:rsidRPr="009A2E71">
        <w:t xml:space="preserve">, prévoit une production annuelle de 10,4 M de poussins, tandis que la ferme </w:t>
      </w:r>
      <w:proofErr w:type="spellStart"/>
      <w:r w:rsidRPr="009A2E71">
        <w:t>Tapsoba</w:t>
      </w:r>
      <w:proofErr w:type="spellEnd"/>
      <w:r w:rsidRPr="009A2E71">
        <w:t xml:space="preserve"> et frères affiche une capacité estimée à 6 M de poussins par an. Le ministre a souligné que le Burkina </w:t>
      </w:r>
      <w:r w:rsidR="001919D7" w:rsidRPr="009A2E71">
        <w:t xml:space="preserve">Faso </w:t>
      </w:r>
      <w:r w:rsidRPr="009A2E71">
        <w:t xml:space="preserve">dispose désormais d’un potentiel suffisant pour réduire durablement les importations, tout en insistant sur le respect strict des normes de biosécurité. Il a encouragé les promoteurs à recourir au fonds </w:t>
      </w:r>
      <w:proofErr w:type="spellStart"/>
      <w:r w:rsidRPr="009A2E71">
        <w:t>Dumu</w:t>
      </w:r>
      <w:proofErr w:type="spellEnd"/>
      <w:r w:rsidRPr="009A2E71">
        <w:t xml:space="preserve"> Ka Fa pour renforcer leurs capacités techniques et financières. Enfin, le 14 </w:t>
      </w:r>
      <w:r w:rsidR="00CE4144" w:rsidRPr="009A2E71">
        <w:t>octobre,</w:t>
      </w:r>
      <w:r w:rsidRPr="009A2E71">
        <w:t xml:space="preserve"> le gouvernement a rendu publique une grille officielle de prix plafonds pour la vente des poussins de chair locaux, fixée conjointement par les ministères du </w:t>
      </w:r>
      <w:r w:rsidR="001919D7" w:rsidRPr="009A2E71">
        <w:t>c</w:t>
      </w:r>
      <w:r w:rsidRPr="009A2E71">
        <w:t>ommerce et de l’</w:t>
      </w:r>
      <w:r w:rsidR="001919D7" w:rsidRPr="009A2E71">
        <w:t>a</w:t>
      </w:r>
      <w:r w:rsidRPr="009A2E71">
        <w:t xml:space="preserve">griculture. Les tarifs, applicables pour une durée de six mois renouvelables, varient selon les souches : 300 FCFA pour le coquelet, 450 FCFA pour le Bleue de Hollande, 600 FCFA pour le poussin local amélioré ou métissé, 700 FCFA pour les souches </w:t>
      </w:r>
      <w:proofErr w:type="spellStart"/>
      <w:r w:rsidRPr="009A2E71">
        <w:t>Kuroiler</w:t>
      </w:r>
      <w:proofErr w:type="spellEnd"/>
      <w:r w:rsidRPr="009A2E71">
        <w:t xml:space="preserve">, Goliath et </w:t>
      </w:r>
      <w:proofErr w:type="spellStart"/>
      <w:r w:rsidRPr="009A2E71">
        <w:t>Sasso</w:t>
      </w:r>
      <w:proofErr w:type="spellEnd"/>
      <w:r w:rsidRPr="009A2E71">
        <w:t xml:space="preserve"> roux ou blanc, et 750 FCFA pour les races Poussin du Faso, </w:t>
      </w:r>
      <w:proofErr w:type="spellStart"/>
      <w:r w:rsidRPr="009A2E71">
        <w:t>Kuroiler</w:t>
      </w:r>
      <w:proofErr w:type="spellEnd"/>
      <w:r w:rsidRPr="009A2E71">
        <w:t xml:space="preserve"> 1er, </w:t>
      </w:r>
      <w:proofErr w:type="spellStart"/>
      <w:r w:rsidRPr="009A2E71">
        <w:t>Noiler</w:t>
      </w:r>
      <w:proofErr w:type="spellEnd"/>
      <w:r w:rsidRPr="009A2E71">
        <w:t xml:space="preserve">, </w:t>
      </w:r>
      <w:proofErr w:type="spellStart"/>
      <w:r w:rsidRPr="009A2E71">
        <w:t>Sasso</w:t>
      </w:r>
      <w:proofErr w:type="spellEnd"/>
      <w:r w:rsidRPr="009A2E71">
        <w:t xml:space="preserve">, </w:t>
      </w:r>
      <w:r w:rsidRPr="009A2E71">
        <w:lastRenderedPageBreak/>
        <w:t xml:space="preserve">Cobb 500, Ross 308 et </w:t>
      </w:r>
      <w:proofErr w:type="spellStart"/>
      <w:r w:rsidRPr="009A2E71">
        <w:t>Beldi</w:t>
      </w:r>
      <w:proofErr w:type="spellEnd"/>
      <w:r w:rsidRPr="009A2E71">
        <w:t xml:space="preserve">. Les prix peuvent être librement négociés, à condition de ne pas dépasser les plafonds fixés, et tout manquement expose les contrevenants à des sanctions prévues par la réglementation en vigueur. </w:t>
      </w:r>
    </w:p>
    <w:p w14:paraId="791E70C6" w14:textId="77777777" w:rsidR="00BB53F9" w:rsidRPr="009A2E71" w:rsidRDefault="00BB53F9" w:rsidP="006C1591">
      <w:pPr>
        <w:spacing w:after="0"/>
      </w:pPr>
    </w:p>
    <w:p w14:paraId="290CBD27" w14:textId="4F372F4A" w:rsidR="009A1868" w:rsidRPr="009A2E71" w:rsidRDefault="009A1868" w:rsidP="006C1591">
      <w:pPr>
        <w:pStyle w:val="Titre2"/>
        <w:spacing w:before="0"/>
      </w:pPr>
      <w:bookmarkStart w:id="219" w:name="_Hlk211422152"/>
      <w:bookmarkStart w:id="220" w:name="_Toc213247495"/>
      <w:r w:rsidRPr="009A2E71">
        <w:t>Sécheresse – Création du Centre régional de l’eau pour l’Afrique (CREA).</w:t>
      </w:r>
      <w:bookmarkEnd w:id="220"/>
    </w:p>
    <w:p w14:paraId="68C14700" w14:textId="0498C10A" w:rsidR="009A1868" w:rsidRPr="009A2E71" w:rsidRDefault="009A1868" w:rsidP="006C1591">
      <w:pPr>
        <w:spacing w:after="0"/>
      </w:pPr>
      <w:r w:rsidRPr="009A2E71">
        <w:t>À l’issue d’un forum ouest-africain de deux jours tenu à Ouagadougou, un protocole d’accord a été signé le 30 septembre entre le groupe de la Banque mondiale, le gouvernement du Burkina Faso et l’Institut international d’ingénierie de l’eau et de l’environnement (2iE) pour créer le CREA, hébergé au 2iE. L’événement rassemblait des décideurs du Burkina Faso, du Tchad, du Mali, de la Mauritanie, du Niger et du Sénégal, avec l’appui d’experts du Maroc et du Brésil. Le CREA doit réunir les partenaires, consolider l’expertise technique et proposer des formations pour aider les institutions à déployer des systèmes d’alerte précoce, renforcer la planification et l’allocation de l’eau et coordonner la gestion de la sécheresse en complément des programmes nationaux et des initiatives régionales. Le forum, première activité du programme Impact Défier la sécheresse de l’académie du groupe de la Banque mondiale, a rappelé que les conditions de sécheresse extrêmes ont augmenté de plus de 230% sur les cinq dernières années et que, dans certains pays sahéliens, ces pressions pourraient réduire la croissance annuelle jusqu’à 6% d’ici 2050. Les secteurs dépendants de l’eau soutiennent 1,7 Md d’emplois dans le monde, ce qui renforce l’argument en faveur d’investissements de résilience hydrique.</w:t>
      </w:r>
    </w:p>
    <w:bookmarkEnd w:id="219"/>
    <w:p w14:paraId="42E30AA3" w14:textId="31E6E5D6" w:rsidR="009A1868" w:rsidRPr="009A2E71" w:rsidRDefault="009A1868" w:rsidP="006C1591">
      <w:pPr>
        <w:spacing w:after="0"/>
      </w:pPr>
    </w:p>
    <w:p w14:paraId="33597892" w14:textId="51245DF4" w:rsidR="00FF1F7F" w:rsidRPr="009A2E71" w:rsidRDefault="00FF1F7F" w:rsidP="006C1591">
      <w:pPr>
        <w:pStyle w:val="Titre2"/>
        <w:spacing w:before="0"/>
      </w:pPr>
      <w:bookmarkStart w:id="221" w:name="_Toc213247496"/>
      <w:r w:rsidRPr="009A2E71">
        <w:t xml:space="preserve">Agroforesterie – Restaurations des terres dégradées grâce aux arbres </w:t>
      </w:r>
      <w:proofErr w:type="spellStart"/>
      <w:r w:rsidRPr="009A2E71">
        <w:t>fertilitaires</w:t>
      </w:r>
      <w:proofErr w:type="spellEnd"/>
      <w:r w:rsidRPr="009A2E71">
        <w:t>.</w:t>
      </w:r>
      <w:bookmarkEnd w:id="221"/>
    </w:p>
    <w:p w14:paraId="414E395D" w14:textId="4B37AFE8" w:rsidR="00AE0446" w:rsidRPr="009A2E71" w:rsidRDefault="00FF1F7F" w:rsidP="006C1591">
      <w:pPr>
        <w:spacing w:after="0"/>
      </w:pPr>
      <w:r w:rsidRPr="009A2E71">
        <w:t xml:space="preserve">Dans </w:t>
      </w:r>
      <w:r w:rsidR="008F2446" w:rsidRPr="009A2E71">
        <w:t>d</w:t>
      </w:r>
      <w:r w:rsidRPr="009A2E71">
        <w:t xml:space="preserve">es communes rurales des groupements </w:t>
      </w:r>
      <w:r w:rsidR="008F2446" w:rsidRPr="009A2E71">
        <w:t xml:space="preserve">de femmes </w:t>
      </w:r>
      <w:r w:rsidRPr="009A2E71">
        <w:t xml:space="preserve">réhabilitent des terres agricoles dégradées en recourant aux « arbres </w:t>
      </w:r>
      <w:proofErr w:type="spellStart"/>
      <w:r w:rsidRPr="009A2E71">
        <w:t>fertilitaires</w:t>
      </w:r>
      <w:proofErr w:type="spellEnd"/>
      <w:r w:rsidRPr="009A2E71">
        <w:t xml:space="preserve"> », une technique ancestrale remise au goût du jour par l’Association pour la promotion des arbres </w:t>
      </w:r>
      <w:proofErr w:type="spellStart"/>
      <w:r w:rsidRPr="009A2E71">
        <w:t>fertilitaires</w:t>
      </w:r>
      <w:proofErr w:type="spellEnd"/>
      <w:r w:rsidRPr="009A2E71">
        <w:t xml:space="preserve">, de l’agroforesterie et de la foresterie (APAF). Ces arbres fixateurs d’azote, tels que le Faidherbia </w:t>
      </w:r>
      <w:proofErr w:type="spellStart"/>
      <w:r w:rsidRPr="009A2E71">
        <w:t>albida</w:t>
      </w:r>
      <w:proofErr w:type="spellEnd"/>
      <w:r w:rsidRPr="009A2E71">
        <w:t xml:space="preserve"> (</w:t>
      </w:r>
      <w:proofErr w:type="spellStart"/>
      <w:r w:rsidRPr="009A2E71">
        <w:t>Zaanga</w:t>
      </w:r>
      <w:proofErr w:type="spellEnd"/>
      <w:r w:rsidRPr="009A2E71">
        <w:t xml:space="preserve">), l’Albizia </w:t>
      </w:r>
      <w:proofErr w:type="spellStart"/>
      <w:r w:rsidRPr="009A2E71">
        <w:t>chinensis</w:t>
      </w:r>
      <w:proofErr w:type="spellEnd"/>
      <w:r w:rsidRPr="009A2E71">
        <w:t xml:space="preserve">, le </w:t>
      </w:r>
      <w:proofErr w:type="spellStart"/>
      <w:r w:rsidRPr="009A2E71">
        <w:t>Ferruginea</w:t>
      </w:r>
      <w:proofErr w:type="spellEnd"/>
      <w:r w:rsidRPr="009A2E71">
        <w:t xml:space="preserve"> ou encore le </w:t>
      </w:r>
      <w:proofErr w:type="spellStart"/>
      <w:r w:rsidRPr="009A2E71">
        <w:t>Gliricidia</w:t>
      </w:r>
      <w:proofErr w:type="spellEnd"/>
      <w:r w:rsidRPr="009A2E71">
        <w:t xml:space="preserve"> </w:t>
      </w:r>
      <w:proofErr w:type="spellStart"/>
      <w:r w:rsidRPr="009A2E71">
        <w:t>sepium</w:t>
      </w:r>
      <w:proofErr w:type="spellEnd"/>
      <w:r w:rsidRPr="009A2E71">
        <w:t xml:space="preserve">, enrichissent naturellement les sols et améliorent les rendements des cultures de niébé, mil, sorgho ou maraîchage. Selon </w:t>
      </w:r>
      <w:r w:rsidR="008F2446" w:rsidRPr="009A2E71">
        <w:t xml:space="preserve">le </w:t>
      </w:r>
      <w:r w:rsidRPr="009A2E71">
        <w:t xml:space="preserve">Dr Cheick </w:t>
      </w:r>
      <w:proofErr w:type="spellStart"/>
      <w:r w:rsidRPr="009A2E71">
        <w:t>Zouré</w:t>
      </w:r>
      <w:proofErr w:type="spellEnd"/>
      <w:r w:rsidRPr="009A2E71">
        <w:t>, enseignant-chercheur à l’université Joseph-</w:t>
      </w:r>
      <w:proofErr w:type="spellStart"/>
      <w:r w:rsidRPr="009A2E71">
        <w:t>Ki-Zerbo</w:t>
      </w:r>
      <w:proofErr w:type="spellEnd"/>
      <w:r w:rsidRPr="009A2E71">
        <w:t>, ces arbres permettent d’accroître la fertilité des sols de 30 à 60 % en capturant l’azote, le potassium et le phosphore. Encadrées par l’APAF, les femmes apprennent les techniques de plantation, d’arrosage et de taille nécessaires à la réussite de cette approche agroforestière. Plusieurs dizaines d’h</w:t>
      </w:r>
      <w:r w:rsidR="008F2446" w:rsidRPr="009A2E71">
        <w:t>a</w:t>
      </w:r>
      <w:r w:rsidRPr="009A2E71">
        <w:t xml:space="preserve"> ont déjà été restaurés, favorisant le retour d’abeilles et d’oiseaux et la relance de la biodiversité. Soutenue par l’APAF et ses partenaires, cette initiative illustre comment les femmes rurales burkinabè participent activement à la lutte contre la dégradation des sols et au renforcement de la sécurité alimentaire au Sahel.</w:t>
      </w:r>
    </w:p>
    <w:p w14:paraId="690CB1B8" w14:textId="313D5D73" w:rsidR="00FD705E" w:rsidRDefault="00FD705E" w:rsidP="006C1591">
      <w:pPr>
        <w:spacing w:after="0"/>
      </w:pPr>
    </w:p>
    <w:p w14:paraId="3CFF1232" w14:textId="77777777" w:rsidR="00FC045E" w:rsidRPr="009A2E71" w:rsidRDefault="00FC045E" w:rsidP="00FC045E">
      <w:pPr>
        <w:pStyle w:val="Titre2"/>
        <w:spacing w:before="0"/>
      </w:pPr>
      <w:bookmarkStart w:id="222" w:name="_Toc213247497"/>
      <w:r w:rsidRPr="009A2E71">
        <w:t>Assurance – Partenariat avec le Maroc.</w:t>
      </w:r>
      <w:bookmarkEnd w:id="222"/>
    </w:p>
    <w:p w14:paraId="2069EFB8" w14:textId="77777777" w:rsidR="00FC045E" w:rsidRPr="009A2E71" w:rsidRDefault="00FC045E" w:rsidP="00FC045E">
      <w:pPr>
        <w:spacing w:after="0"/>
      </w:pPr>
      <w:r w:rsidRPr="009A2E71">
        <w:t xml:space="preserve">Le Maroc et le Burkina Faso ont réaffirmé leur volonté de renforcer la coopération dans le domaine de l’assurance agricole dans le cadre d’une mission d’échanges qui s’est déroulée du 13 au 17 octobre 2025 à Rabat. La mission, conduite par la Direction des assurances du Burkina Faso et accueillie par l’Autorité de contrôle des assurances et de la prévoyance sociale (ACAPS), a porté sur la mise en place d’un dispositif d’assurance agricole adapté aux risques climatiques. Les discussions ont permis un partage d’expériences sur le cadre réglementaire marocain et les mécanismes de gestion des risques, fondés sur la collaboration entre acteurs publics et privés. Appuyée par le Programme des Nations Unies pour le développement </w:t>
      </w:r>
      <w:r w:rsidRPr="009A2E71">
        <w:lastRenderedPageBreak/>
        <w:t>(PNUD), cette initiative vise à renforcer les capacités institutionnelles du Burkina Faso et à moderniser son système d’assurance agricole.</w:t>
      </w:r>
    </w:p>
    <w:p w14:paraId="1A36E37D" w14:textId="77777777" w:rsidR="00FC045E" w:rsidRPr="009A2E71" w:rsidRDefault="00FC045E" w:rsidP="006C1591">
      <w:pPr>
        <w:spacing w:after="0"/>
      </w:pPr>
    </w:p>
    <w:p w14:paraId="0AC5EABA" w14:textId="16E518B1" w:rsidR="003E2D9B" w:rsidRPr="009A2E71" w:rsidRDefault="003E2D9B" w:rsidP="006C1591">
      <w:pPr>
        <w:pStyle w:val="Titre2"/>
        <w:spacing w:before="0"/>
      </w:pPr>
      <w:bookmarkStart w:id="223" w:name="_Toc213247498"/>
      <w:r w:rsidRPr="009A2E71">
        <w:t>Intrants – Démonstration de l’efficacité des nouvelles technologies agricoles.</w:t>
      </w:r>
      <w:bookmarkEnd w:id="223"/>
    </w:p>
    <w:p w14:paraId="65CA89BB" w14:textId="210839D4" w:rsidR="003E2D9B" w:rsidRPr="009A2E71" w:rsidRDefault="003E2D9B" w:rsidP="006C1591">
      <w:pPr>
        <w:spacing w:after="0"/>
      </w:pPr>
      <w:r w:rsidRPr="009A2E71">
        <w:t xml:space="preserve">L’Association des grossistes et détaillants d’intrants agricoles du Burkina Faso (AGRODIA) a organisé, le 7 octobre, une visite des champs expérimentaux du Centre de transfert des technologies agricoles (CTTA) de </w:t>
      </w:r>
      <w:proofErr w:type="spellStart"/>
      <w:r w:rsidRPr="009A2E71">
        <w:t>Samandeni</w:t>
      </w:r>
      <w:proofErr w:type="spellEnd"/>
      <w:r w:rsidRPr="009A2E71">
        <w:t>, en collaboration avec la société SAPHYTO. Cette visite</w:t>
      </w:r>
      <w:r w:rsidR="008F2446" w:rsidRPr="009A2E71">
        <w:t xml:space="preserve"> </w:t>
      </w:r>
      <w:r w:rsidRPr="009A2E71">
        <w:t>a permis de constater les résultats prometteurs obtenus sur une superficie de 4 h</w:t>
      </w:r>
      <w:r w:rsidR="008F2446" w:rsidRPr="009A2E71">
        <w:t>a</w:t>
      </w:r>
      <w:r w:rsidRPr="009A2E71">
        <w:t xml:space="preserve"> cultivée en maïs, sorgho, riz, niébé, soja et arachide. Selon le vice-président d’AGRODIA, </w:t>
      </w:r>
      <w:r w:rsidR="008F2446" w:rsidRPr="009A2E71">
        <w:t xml:space="preserve">M. </w:t>
      </w:r>
      <w:r w:rsidRPr="009A2E71">
        <w:t xml:space="preserve">Adama </w:t>
      </w:r>
      <w:proofErr w:type="spellStart"/>
      <w:r w:rsidRPr="009A2E71">
        <w:t>Zoromé</w:t>
      </w:r>
      <w:proofErr w:type="spellEnd"/>
      <w:r w:rsidRPr="009A2E71">
        <w:t xml:space="preserve">, </w:t>
      </w:r>
      <w:r w:rsidR="008F2446" w:rsidRPr="009A2E71">
        <w:t>l</w:t>
      </w:r>
      <w:r w:rsidRPr="009A2E71">
        <w:t xml:space="preserve">es rendements témoignent de la qualité des intrants fournis par l’association et de l’application rigoureuse des conseils techniques. Le directeur général de SAPHYTO, </w:t>
      </w:r>
      <w:r w:rsidR="008F2446" w:rsidRPr="009A2E71">
        <w:t xml:space="preserve">M. </w:t>
      </w:r>
      <w:r w:rsidRPr="009A2E71">
        <w:t xml:space="preserve">August </w:t>
      </w:r>
      <w:proofErr w:type="spellStart"/>
      <w:r w:rsidRPr="009A2E71">
        <w:t>Thiombiano</w:t>
      </w:r>
      <w:proofErr w:type="spellEnd"/>
      <w:r w:rsidRPr="009A2E71">
        <w:t xml:space="preserve">, a rappelé que les deux structures collaborent depuis plus de vingt ans et qu’une nouvelle convention a été signée pour introduire des produits innovants, notamment des engrais liquides jusque-là utilisés principalement dans la filière coton. </w:t>
      </w:r>
    </w:p>
    <w:p w14:paraId="449D887B" w14:textId="77777777" w:rsidR="00187324" w:rsidRPr="009A2E71" w:rsidRDefault="00187324" w:rsidP="006C1591">
      <w:pPr>
        <w:spacing w:after="0"/>
      </w:pPr>
    </w:p>
    <w:p w14:paraId="12756DE2" w14:textId="4D56DEBC" w:rsidR="003E2D9B" w:rsidRPr="009A2E71" w:rsidRDefault="003E2D9B" w:rsidP="006C1591">
      <w:pPr>
        <w:pStyle w:val="Titre2"/>
        <w:spacing w:before="0"/>
      </w:pPr>
      <w:bookmarkStart w:id="224" w:name="_Toc213247499"/>
      <w:r w:rsidRPr="009A2E71">
        <w:t xml:space="preserve">Tabac – </w:t>
      </w:r>
      <w:r w:rsidR="000471FB" w:rsidRPr="009A2E71">
        <w:t>Mise en place du Système de marquage, d’authentification, de suivi et de traçabilité (SMAT)</w:t>
      </w:r>
      <w:r w:rsidRPr="009A2E71">
        <w:t>.</w:t>
      </w:r>
      <w:bookmarkEnd w:id="224"/>
    </w:p>
    <w:p w14:paraId="3E05349E" w14:textId="2A9CFC12" w:rsidR="003E2D9B" w:rsidRDefault="003E2D9B" w:rsidP="006C1591">
      <w:pPr>
        <w:spacing w:after="0"/>
      </w:pPr>
      <w:r w:rsidRPr="009A2E71">
        <w:t xml:space="preserve">La société KAPEO SA a inauguré, le 7 octobre, le </w:t>
      </w:r>
      <w:bookmarkStart w:id="225" w:name="_Hlk211250380"/>
      <w:r w:rsidRPr="009A2E71">
        <w:t>Système de marquage, d’authentification, de suivi et de traçabilité (SMAT)</w:t>
      </w:r>
      <w:bookmarkEnd w:id="225"/>
      <w:r w:rsidRPr="009A2E71">
        <w:t xml:space="preserve"> des produits du tabac, en partenariat avec l’entreprise SIRI produits et compagnie, première unité à appliquer ce dispositif. Cette innovation s’inscrit dans le cadre des engagements du Burkina Faso envers la convention-cadre de l’Organisation mondiale de la santé (OMS) pour la lutte antitabac, ratifiée en 2006, qui impose aux États parties la mise en place de systèmes de traçabilité afin de combattre le commerce illicite. Basé sur un marquage sécurisé apposé sur chaque paquet, le système permet aux consommateurs de vérifier l’authenticité des produits par un scan via smartphone, tandis que les autorités peuvent suivre en temps réel la production et la distribution. Le dispositif vise à réduire le taux de ventes illégales de 35% à moins de 5% d’ici cinq ans, tout en protégeant les recettes fiscales et la santé publique. Pour la directrice générale de SIRI, Mme Sawadogo</w:t>
      </w:r>
      <w:r w:rsidR="000471FB" w:rsidRPr="009A2E71">
        <w:t xml:space="preserve"> </w:t>
      </w:r>
      <w:proofErr w:type="spellStart"/>
      <w:r w:rsidRPr="009A2E71">
        <w:t>Sirima</w:t>
      </w:r>
      <w:proofErr w:type="spellEnd"/>
      <w:r w:rsidRPr="009A2E71">
        <w:t xml:space="preserve"> </w:t>
      </w:r>
      <w:proofErr w:type="spellStart"/>
      <w:r w:rsidRPr="009A2E71">
        <w:t>Nemouna</w:t>
      </w:r>
      <w:proofErr w:type="spellEnd"/>
      <w:r w:rsidRPr="009A2E71">
        <w:t>, cette initiative marque une avancée majeure pour l’industrie du tabac, en instaurant un commerce plus régulé et une production transparente. Le lancement du SMAT, fruit d’une collaboration étroite entre KAPEO SA, les services techniques de l’État et les partenaires technologiques, illustre la volonté du gouvernement de moderniser la régulation économique et de renforcer la lutte contre la fraude.</w:t>
      </w:r>
    </w:p>
    <w:p w14:paraId="637EF72F" w14:textId="0198B3AC" w:rsidR="00FC045E" w:rsidRDefault="00FC045E" w:rsidP="006C1591">
      <w:pPr>
        <w:spacing w:after="0"/>
      </w:pPr>
    </w:p>
    <w:p w14:paraId="12D2EC75" w14:textId="77777777" w:rsidR="00FC045E" w:rsidRPr="009A2E71" w:rsidRDefault="00FC045E" w:rsidP="00FC045E">
      <w:pPr>
        <w:pStyle w:val="Titre2"/>
        <w:spacing w:before="0"/>
      </w:pPr>
      <w:bookmarkStart w:id="226" w:name="_Toc213247500"/>
      <w:r w:rsidRPr="009A2E71">
        <w:t>Gastronomie – Deuxième édition du Carrefour international de la gastronomie du Faso (CIGAF).</w:t>
      </w:r>
      <w:bookmarkEnd w:id="226"/>
    </w:p>
    <w:p w14:paraId="5A318C6C" w14:textId="2A6E9DD6" w:rsidR="00FC045E" w:rsidRPr="009A2E71" w:rsidRDefault="00FC045E" w:rsidP="006C1591">
      <w:pPr>
        <w:spacing w:after="0"/>
      </w:pPr>
      <w:r w:rsidRPr="009A2E71">
        <w:t>La deuxième édition du CIGAF s’est ouverte le 27 octobre à Ouagadougou, sous le thème « La gastronomie, vecteur de valorisation culturelle et d’unité des peuples ». L’événement, qui se tient jusqu’au 1</w:t>
      </w:r>
      <w:r w:rsidRPr="009A2E71">
        <w:rPr>
          <w:vertAlign w:val="superscript"/>
        </w:rPr>
        <w:t>er</w:t>
      </w:r>
      <w:r w:rsidRPr="009A2E71">
        <w:t xml:space="preserve"> novembre, réunit des chefs cuisiniers et acteurs de la gastronomie issus de 26 pays, dont la Turquie, le Nigeria, la France, la Tunisie, l’Afrique du Sud et le Ghana. Selon le représentant du ministère de la communication, de la culture, des arts et du tourisme, M. Moussa Dicko, cette rencontre constitue une vitrine de valorisation du patrimoine culinaire et culturel burkinabè. Pour le président du comité d’organisation, M. Benjamin Compaoré, le CIGAF ambitionne de faire de la gastronomie un levier de développement national et un outil de rayonnement international.</w:t>
      </w:r>
    </w:p>
    <w:p w14:paraId="5E57AFE1" w14:textId="77777777" w:rsidR="00867CC8" w:rsidRPr="009A2E71" w:rsidRDefault="00867CC8" w:rsidP="006C1591">
      <w:pPr>
        <w:spacing w:after="0"/>
      </w:pPr>
      <w:bookmarkStart w:id="227" w:name="_Toc207812045"/>
      <w:bookmarkStart w:id="228" w:name="_Toc207812913"/>
      <w:bookmarkStart w:id="229" w:name="_Toc207813075"/>
    </w:p>
    <w:p w14:paraId="6E01C583" w14:textId="3D91C3E4" w:rsidR="006A28EF" w:rsidRPr="009A2E71" w:rsidRDefault="009D0F96" w:rsidP="006C1591">
      <w:pPr>
        <w:pStyle w:val="Titre1"/>
        <w:spacing w:before="0"/>
      </w:pPr>
      <w:bookmarkStart w:id="230" w:name="_Toc213247501"/>
      <w:r w:rsidRPr="009A2E71">
        <w:lastRenderedPageBreak/>
        <w:t>Cap Ver</w:t>
      </w:r>
      <w:bookmarkEnd w:id="227"/>
      <w:bookmarkEnd w:id="228"/>
      <w:bookmarkEnd w:id="229"/>
      <w:r w:rsidR="00CE4144" w:rsidRPr="009A2E71">
        <w:t>t</w:t>
      </w:r>
      <w:bookmarkEnd w:id="230"/>
    </w:p>
    <w:p w14:paraId="2DC107D4" w14:textId="088F8691" w:rsidR="00FF1CAB" w:rsidRPr="009A2E71" w:rsidRDefault="00FF1CAB" w:rsidP="006C1591">
      <w:pPr>
        <w:pStyle w:val="Titre2"/>
        <w:spacing w:before="0"/>
      </w:pPr>
      <w:bookmarkStart w:id="231" w:name="_Toc207812048"/>
      <w:bookmarkStart w:id="232" w:name="_Toc207812916"/>
      <w:bookmarkStart w:id="233" w:name="_Toc207813078"/>
      <w:bookmarkStart w:id="234" w:name="_Toc213247502"/>
      <w:r w:rsidRPr="009A2E71">
        <w:t>Evènement – Première participation au Salon international CONXEMAR en Espagne.</w:t>
      </w:r>
      <w:bookmarkEnd w:id="234"/>
    </w:p>
    <w:p w14:paraId="3E92737F" w14:textId="1935CB03" w:rsidR="00FF1CAB" w:rsidRPr="009A2E71" w:rsidRDefault="00FF1CAB" w:rsidP="006C1591">
      <w:pPr>
        <w:spacing w:after="0"/>
      </w:pPr>
      <w:r w:rsidRPr="009A2E71">
        <w:t xml:space="preserve">Le Cap-Vert </w:t>
      </w:r>
      <w:r w:rsidR="00FD3895" w:rsidRPr="009A2E71">
        <w:t xml:space="preserve">a </w:t>
      </w:r>
      <w:r w:rsidRPr="009A2E71">
        <w:t>particip</w:t>
      </w:r>
      <w:r w:rsidR="00FD3895" w:rsidRPr="009A2E71">
        <w:t>é</w:t>
      </w:r>
      <w:r w:rsidRPr="009A2E71">
        <w:t xml:space="preserve"> pour la première fois au Salon international CONXEMAR, l’un des plus grands événements mondiaux dédiés à la pêche, à l’aquaculture et à la transformation des produits de la mer</w:t>
      </w:r>
      <w:r w:rsidR="00FD3895" w:rsidRPr="009A2E71">
        <w:t xml:space="preserve"> qui s’est tenu </w:t>
      </w:r>
      <w:r w:rsidRPr="009A2E71">
        <w:t xml:space="preserve">du 7 au 9 octobre à Vigo, en Espagne. La délégation capverdienne, conduite par Carlos Monteiro, Directeur national de la pêche et de l’aquaculture (DNPA), </w:t>
      </w:r>
      <w:r w:rsidR="00FD3895" w:rsidRPr="009A2E71">
        <w:t xml:space="preserve">a </w:t>
      </w:r>
      <w:r w:rsidRPr="009A2E71">
        <w:t>représent</w:t>
      </w:r>
      <w:r w:rsidR="00FD3895" w:rsidRPr="009A2E71">
        <w:t>é</w:t>
      </w:r>
      <w:r w:rsidRPr="009A2E71">
        <w:t xml:space="preserve"> le pays avec la participation de cinq entreprises nationales et de l’Institut de la Mer. Outre l’exposition de produits et services, la délégation </w:t>
      </w:r>
      <w:r w:rsidR="00FD3895" w:rsidRPr="009A2E71">
        <w:t xml:space="preserve">a mis </w:t>
      </w:r>
      <w:r w:rsidRPr="009A2E71">
        <w:t xml:space="preserve">en avant les opportunités d’investissement dans le secteur maritime, notamment les chantiers navals, la Zone économique maritime spéciale, ENAPOR (Ports du Cap-Vert) et SUCLA (entreprise de services logistiques). Selon la DNPA, cette participation </w:t>
      </w:r>
      <w:r w:rsidR="00FD3895" w:rsidRPr="009A2E71">
        <w:t xml:space="preserve">a </w:t>
      </w:r>
      <w:r w:rsidRPr="009A2E71">
        <w:t>constitu</w:t>
      </w:r>
      <w:r w:rsidR="00FD3895" w:rsidRPr="009A2E71">
        <w:t>é</w:t>
      </w:r>
      <w:r w:rsidRPr="009A2E71">
        <w:t xml:space="preserve"> une occasion stratégique de renforcer la visibilité du Cap-Vert à l’international et d’affirmer son positionnement dans l’Atlantique comme hub maritime et économique. </w:t>
      </w:r>
    </w:p>
    <w:p w14:paraId="47A95028" w14:textId="77777777" w:rsidR="00FD705E" w:rsidRPr="009A2E71" w:rsidRDefault="00FD705E" w:rsidP="006C1591">
      <w:pPr>
        <w:spacing w:after="0"/>
      </w:pPr>
    </w:p>
    <w:p w14:paraId="0EE5EBFF" w14:textId="157F315D" w:rsidR="00FD705E" w:rsidRPr="009A2E71" w:rsidRDefault="009D0F96" w:rsidP="006C1591">
      <w:pPr>
        <w:pStyle w:val="Titre1"/>
        <w:spacing w:before="0"/>
      </w:pPr>
      <w:bookmarkStart w:id="235" w:name="_Toc213247503"/>
      <w:r w:rsidRPr="009A2E71">
        <w:t>Gambi</w:t>
      </w:r>
      <w:bookmarkEnd w:id="231"/>
      <w:bookmarkEnd w:id="232"/>
      <w:bookmarkEnd w:id="233"/>
      <w:r w:rsidR="00343386" w:rsidRPr="009A2E71">
        <w:t>e</w:t>
      </w:r>
      <w:bookmarkEnd w:id="235"/>
    </w:p>
    <w:p w14:paraId="736AA6C6" w14:textId="07F47EA0" w:rsidR="00CF1606" w:rsidRPr="009A2E71" w:rsidRDefault="00CF1606" w:rsidP="006C1591">
      <w:pPr>
        <w:pStyle w:val="Titre2"/>
        <w:spacing w:before="0"/>
      </w:pPr>
      <w:bookmarkStart w:id="236" w:name="_Toc213247504"/>
      <w:r w:rsidRPr="009A2E71">
        <w:t>Céréales – Les bénéficiaires du projet GAFSP saluent ses impacts.</w:t>
      </w:r>
      <w:bookmarkEnd w:id="236"/>
    </w:p>
    <w:p w14:paraId="4B957295" w14:textId="3C891427" w:rsidR="00CF1606" w:rsidRDefault="00CF1606" w:rsidP="006C1591">
      <w:pPr>
        <w:spacing w:after="0"/>
      </w:pPr>
      <w:r w:rsidRPr="009A2E71">
        <w:t xml:space="preserve">Les producteurs soutenus par le projet </w:t>
      </w:r>
      <w:proofErr w:type="spellStart"/>
      <w:r w:rsidR="00BC5A07" w:rsidRPr="009A2E71">
        <w:rPr>
          <w:i/>
          <w:iCs/>
        </w:rPr>
        <w:t>G</w:t>
      </w:r>
      <w:r w:rsidRPr="009A2E71">
        <w:rPr>
          <w:i/>
          <w:iCs/>
        </w:rPr>
        <w:t>ambia</w:t>
      </w:r>
      <w:proofErr w:type="spellEnd"/>
      <w:r w:rsidRPr="009A2E71">
        <w:rPr>
          <w:i/>
          <w:iCs/>
        </w:rPr>
        <w:t xml:space="preserve"> agriculture and </w:t>
      </w:r>
      <w:proofErr w:type="spellStart"/>
      <w:r w:rsidRPr="009A2E71">
        <w:rPr>
          <w:i/>
          <w:iCs/>
        </w:rPr>
        <w:t>food</w:t>
      </w:r>
      <w:proofErr w:type="spellEnd"/>
      <w:r w:rsidRPr="009A2E71">
        <w:rPr>
          <w:i/>
          <w:iCs/>
        </w:rPr>
        <w:t xml:space="preserve"> </w:t>
      </w:r>
      <w:proofErr w:type="spellStart"/>
      <w:r w:rsidRPr="009A2E71">
        <w:rPr>
          <w:i/>
          <w:iCs/>
        </w:rPr>
        <w:t>security</w:t>
      </w:r>
      <w:proofErr w:type="spellEnd"/>
      <w:r w:rsidRPr="009A2E71">
        <w:rPr>
          <w:i/>
          <w:iCs/>
        </w:rPr>
        <w:t xml:space="preserve"> </w:t>
      </w:r>
      <w:proofErr w:type="spellStart"/>
      <w:r w:rsidRPr="009A2E71">
        <w:rPr>
          <w:i/>
          <w:iCs/>
        </w:rPr>
        <w:t>project</w:t>
      </w:r>
      <w:proofErr w:type="spellEnd"/>
      <w:r w:rsidRPr="009A2E71">
        <w:t xml:space="preserve"> (GAFSP), mis en œuvre par le ministère de l’agriculture, ont exprimé leur satisfaction face aux résultats obtenus dans les régions du fleuve supérieur et du fleuve central. Le projet a appuyé les exploitants en semences, engrais et services de labour couvrant plus de 170 ha de riz. Selon </w:t>
      </w:r>
      <w:r w:rsidR="00BC5A07" w:rsidRPr="009A2E71">
        <w:t xml:space="preserve">M. </w:t>
      </w:r>
      <w:r w:rsidRPr="009A2E71">
        <w:t xml:space="preserve">Peter </w:t>
      </w:r>
      <w:proofErr w:type="spellStart"/>
      <w:r w:rsidRPr="009A2E71">
        <w:t>Baldeh</w:t>
      </w:r>
      <w:proofErr w:type="spellEnd"/>
      <w:r w:rsidRPr="009A2E71">
        <w:t xml:space="preserve">, président de l’association nationale des riziculteurs, les récoltes sont jugées excellentes et le projet contribue à l’objectif d’autosuffisance en riz à l’horizon 2030. D’autres bénéficiaires, comme les producteurs de maïs appuyés par la construction d’un magasin de stockage à Barrow </w:t>
      </w:r>
      <w:proofErr w:type="spellStart"/>
      <w:r w:rsidRPr="009A2E71">
        <w:t>Kunda</w:t>
      </w:r>
      <w:proofErr w:type="spellEnd"/>
      <w:r w:rsidRPr="009A2E71">
        <w:t xml:space="preserve">, soulignent une hausse sensible des rendements. Le président de l’organisation nationale de coordination des associations paysannes de Gambie (NACOFAG), </w:t>
      </w:r>
      <w:r w:rsidR="00BC5A07" w:rsidRPr="009A2E71">
        <w:t xml:space="preserve">M. </w:t>
      </w:r>
      <w:r w:rsidRPr="009A2E71">
        <w:t xml:space="preserve">Musa </w:t>
      </w:r>
      <w:proofErr w:type="spellStart"/>
      <w:r w:rsidRPr="009A2E71">
        <w:t>Sowe</w:t>
      </w:r>
      <w:proofErr w:type="spellEnd"/>
      <w:r w:rsidRPr="009A2E71">
        <w:t>, a salué l’impact de ces interventions sur la sécurité alimentaire et les revenus ruraux.</w:t>
      </w:r>
    </w:p>
    <w:p w14:paraId="71D6EDB0" w14:textId="5D696AC1" w:rsidR="00D64C56" w:rsidRDefault="00D64C56" w:rsidP="006C1591">
      <w:pPr>
        <w:spacing w:after="0"/>
      </w:pPr>
    </w:p>
    <w:p w14:paraId="74587A84" w14:textId="77777777" w:rsidR="00D64C56" w:rsidRPr="009A2E71" w:rsidRDefault="00D64C56" w:rsidP="00D64C56">
      <w:pPr>
        <w:pStyle w:val="Titre2"/>
        <w:spacing w:before="0"/>
      </w:pPr>
      <w:bookmarkStart w:id="237" w:name="_Toc213247505"/>
      <w:r w:rsidRPr="009A2E71">
        <w:t>Maraîchage – 15 M USD par an en importations d’oignons.</w:t>
      </w:r>
      <w:bookmarkEnd w:id="237"/>
    </w:p>
    <w:p w14:paraId="303144A8" w14:textId="045DABE8" w:rsidR="00D64C56" w:rsidRPr="009A2E71" w:rsidRDefault="00D64C56" w:rsidP="006C1591">
      <w:pPr>
        <w:spacing w:after="0"/>
      </w:pPr>
      <w:r w:rsidRPr="009A2E71">
        <w:t xml:space="preserve">Une rencontre sur le thème « Convergence nationale sur la mise en marché des oignons locaux en Gambie » a réuni le 15 octobre les acteurs des chaînes de valeur agricole – producteurs, commerçants, institutions de microfinance et autorités publiques – afin d’évaluer les défis persistants du secteur et de proposer des solutions durables. Cette rencontre était organisée dans le cadre du projet </w:t>
      </w:r>
      <w:proofErr w:type="spellStart"/>
      <w:r w:rsidRPr="009A2E71">
        <w:rPr>
          <w:i/>
          <w:iCs/>
        </w:rPr>
        <w:t>Resilience</w:t>
      </w:r>
      <w:proofErr w:type="spellEnd"/>
      <w:r w:rsidRPr="009A2E71">
        <w:rPr>
          <w:i/>
          <w:iCs/>
        </w:rPr>
        <w:t xml:space="preserve"> of Organizations for Transformative </w:t>
      </w:r>
      <w:proofErr w:type="spellStart"/>
      <w:r w:rsidRPr="009A2E71">
        <w:rPr>
          <w:i/>
          <w:iCs/>
        </w:rPr>
        <w:t>Smallholder</w:t>
      </w:r>
      <w:proofErr w:type="spellEnd"/>
      <w:r w:rsidRPr="009A2E71">
        <w:rPr>
          <w:i/>
          <w:iCs/>
        </w:rPr>
        <w:t xml:space="preserve"> Agriculture Project</w:t>
      </w:r>
      <w:r w:rsidRPr="009A2E71">
        <w:t xml:space="preserve"> (ROOTS). Selon son directeur du projet, M. Mamour </w:t>
      </w:r>
      <w:proofErr w:type="spellStart"/>
      <w:r w:rsidRPr="009A2E71">
        <w:t>Jagne</w:t>
      </w:r>
      <w:proofErr w:type="spellEnd"/>
      <w:r w:rsidRPr="009A2E71">
        <w:t xml:space="preserve">, cette initiative s’inscrit dans les efforts visant à accroître la productivité agricole et à améliorer l’accès des petits exploitants aux marchés. Le représentant du ministère du commerce, le Dr Jerry </w:t>
      </w:r>
      <w:proofErr w:type="spellStart"/>
      <w:r w:rsidRPr="009A2E71">
        <w:t>Sanyang</w:t>
      </w:r>
      <w:proofErr w:type="spellEnd"/>
      <w:r w:rsidRPr="009A2E71">
        <w:t xml:space="preserve">, a rappelé que la Gambie dépense environ </w:t>
      </w:r>
      <w:bookmarkStart w:id="238" w:name="_Hlk211851276"/>
      <w:r w:rsidRPr="009A2E71">
        <w:t>15 M USD par an en importations d’oignons</w:t>
      </w:r>
      <w:bookmarkEnd w:id="238"/>
      <w:r w:rsidRPr="009A2E71">
        <w:t>, soulignant l’urgence de renforcer la production locale. Le forum a permis d’identifier des pistes pour réduire les pertes post-récolte, stabiliser les prix et consolider la contribution de la filière oignon à la sécurité alimentaire nationale.</w:t>
      </w:r>
    </w:p>
    <w:p w14:paraId="14ABBA4E" w14:textId="77777777" w:rsidR="006A28EF" w:rsidRPr="009A2E71" w:rsidRDefault="006A28EF" w:rsidP="006C1591">
      <w:pPr>
        <w:spacing w:after="0"/>
      </w:pPr>
    </w:p>
    <w:p w14:paraId="357D98EC" w14:textId="1A671A0D" w:rsidR="009701E3" w:rsidRPr="009A2E71" w:rsidRDefault="009701E3" w:rsidP="006C1591">
      <w:pPr>
        <w:pStyle w:val="Titre2"/>
        <w:spacing w:before="0"/>
      </w:pPr>
      <w:bookmarkStart w:id="239" w:name="_Toc213247506"/>
      <w:r w:rsidRPr="009A2E71">
        <w:lastRenderedPageBreak/>
        <w:t>Financement – Le projet GAMIRSALEP renforce les capacités pour le crédit agricole.</w:t>
      </w:r>
      <w:bookmarkEnd w:id="239"/>
    </w:p>
    <w:p w14:paraId="2E606DDA" w14:textId="3FB48436" w:rsidR="009701E3" w:rsidRPr="009A2E71" w:rsidRDefault="00137E30" w:rsidP="006C1591">
      <w:pPr>
        <w:spacing w:after="0"/>
      </w:pPr>
      <w:r w:rsidRPr="009A2E71">
        <w:t>L</w:t>
      </w:r>
      <w:r w:rsidR="009701E3" w:rsidRPr="009A2E71">
        <w:t xml:space="preserve">e projet </w:t>
      </w:r>
      <w:proofErr w:type="spellStart"/>
      <w:r w:rsidR="009701E3" w:rsidRPr="009A2E71">
        <w:rPr>
          <w:i/>
          <w:iCs/>
        </w:rPr>
        <w:t>Gambia</w:t>
      </w:r>
      <w:proofErr w:type="spellEnd"/>
      <w:r w:rsidR="009701E3" w:rsidRPr="009A2E71">
        <w:rPr>
          <w:i/>
          <w:iCs/>
        </w:rPr>
        <w:t xml:space="preserve"> </w:t>
      </w:r>
      <w:proofErr w:type="spellStart"/>
      <w:r w:rsidR="009701E3" w:rsidRPr="009A2E71">
        <w:rPr>
          <w:i/>
          <w:iCs/>
        </w:rPr>
        <w:t>Incentive-Based</w:t>
      </w:r>
      <w:proofErr w:type="spellEnd"/>
      <w:r w:rsidR="009701E3" w:rsidRPr="009A2E71">
        <w:rPr>
          <w:i/>
          <w:iCs/>
        </w:rPr>
        <w:t xml:space="preserve"> Risk Sharing System for Agricultural </w:t>
      </w:r>
      <w:proofErr w:type="spellStart"/>
      <w:r w:rsidR="009701E3" w:rsidRPr="009A2E71">
        <w:rPr>
          <w:i/>
          <w:iCs/>
        </w:rPr>
        <w:t>Lending</w:t>
      </w:r>
      <w:proofErr w:type="spellEnd"/>
      <w:r w:rsidR="009701E3" w:rsidRPr="009A2E71">
        <w:rPr>
          <w:i/>
          <w:iCs/>
        </w:rPr>
        <w:t xml:space="preserve"> Establishment Project</w:t>
      </w:r>
      <w:r w:rsidR="009701E3" w:rsidRPr="009A2E71">
        <w:t xml:space="preserve"> (GAMIRSALEP) a organisé </w:t>
      </w:r>
      <w:r w:rsidRPr="009A2E71">
        <w:t xml:space="preserve">le 30 septembre </w:t>
      </w:r>
      <w:r w:rsidR="009701E3" w:rsidRPr="009A2E71">
        <w:t>une session destinée aux formateurs du secteur agricole</w:t>
      </w:r>
      <w:r w:rsidRPr="009A2E71">
        <w:t xml:space="preserve"> afin d’améliorer leurs compétences en gouvernance, digitalisation et évaluation des projets agricoles.</w:t>
      </w:r>
      <w:r w:rsidR="009701E3" w:rsidRPr="009A2E71">
        <w:t xml:space="preserve"> L’objectif </w:t>
      </w:r>
      <w:r w:rsidRPr="009A2E71">
        <w:t xml:space="preserve">est </w:t>
      </w:r>
      <w:r w:rsidR="009701E3" w:rsidRPr="009A2E71">
        <w:t xml:space="preserve">d’améliorer </w:t>
      </w:r>
      <w:r w:rsidRPr="009A2E71">
        <w:t xml:space="preserve">au final </w:t>
      </w:r>
      <w:r w:rsidR="009701E3" w:rsidRPr="009A2E71">
        <w:t>l’accès au financement et la gestion des risques liés au crédit agricole</w:t>
      </w:r>
      <w:r w:rsidR="00B17EDC" w:rsidRPr="009A2E71">
        <w:t>. L</w:t>
      </w:r>
      <w:r w:rsidR="009701E3" w:rsidRPr="009A2E71">
        <w:t xml:space="preserve">ancé en 2021, le GAMIRSALEP repose sur deux composantes principales : un mécanisme de garantie de crédit et une unité d’assistance technique visant à appuyer à la fois les institutions financières et les acteurs des chaînes de valeur agricoles. Selon le consultant du projet, </w:t>
      </w:r>
      <w:r w:rsidRPr="009A2E71">
        <w:t xml:space="preserve">M. </w:t>
      </w:r>
      <w:r w:rsidR="009701E3" w:rsidRPr="009A2E71">
        <w:t xml:space="preserve">Muhamed Gillen, cette approche intégrée doit permettre d’accroître les prêts agricoles et d’attirer davantage d’investissements dans le secteur. Le secrétaire permanent du ministère de l’Agriculture, </w:t>
      </w:r>
      <w:r w:rsidR="001E0A81" w:rsidRPr="009A2E71">
        <w:t xml:space="preserve">M. </w:t>
      </w:r>
      <w:proofErr w:type="spellStart"/>
      <w:r w:rsidR="009701E3" w:rsidRPr="009A2E71">
        <w:t>Alhgie</w:t>
      </w:r>
      <w:proofErr w:type="spellEnd"/>
      <w:r w:rsidR="009701E3" w:rsidRPr="009A2E71">
        <w:t xml:space="preserve"> </w:t>
      </w:r>
      <w:proofErr w:type="spellStart"/>
      <w:r w:rsidR="009701E3" w:rsidRPr="009A2E71">
        <w:t>Nyangado</w:t>
      </w:r>
      <w:proofErr w:type="spellEnd"/>
      <w:r w:rsidR="009701E3" w:rsidRPr="009A2E71">
        <w:t>, a salué cette initiative, soulignant qu’elle contribuera à lever les obstacles structurels, notamment le manque de garanties, et à renforcer la résilience du système financier agricole gambien.</w:t>
      </w:r>
    </w:p>
    <w:p w14:paraId="59B63B63" w14:textId="77777777" w:rsidR="001E0A81" w:rsidRPr="009A2E71" w:rsidRDefault="001E0A81" w:rsidP="006C1591">
      <w:pPr>
        <w:spacing w:after="0"/>
      </w:pPr>
    </w:p>
    <w:p w14:paraId="097CC6B2" w14:textId="1D480936" w:rsidR="009701E3" w:rsidRPr="009A2E71" w:rsidRDefault="001E0A81" w:rsidP="006C1591">
      <w:pPr>
        <w:pStyle w:val="Titre2"/>
        <w:spacing w:before="0"/>
      </w:pPr>
      <w:bookmarkStart w:id="240" w:name="_Toc213247507"/>
      <w:r w:rsidRPr="009A2E71">
        <w:t xml:space="preserve">Engrais </w:t>
      </w:r>
      <w:r w:rsidR="009701E3" w:rsidRPr="009A2E71">
        <w:t>–</w:t>
      </w:r>
      <w:r w:rsidRPr="009A2E71">
        <w:t xml:space="preserve"> Programme pour améliorer la c</w:t>
      </w:r>
      <w:r w:rsidR="009701E3" w:rsidRPr="009A2E71">
        <w:t>ommercialisation d’engrais organiques.</w:t>
      </w:r>
      <w:bookmarkEnd w:id="240"/>
    </w:p>
    <w:p w14:paraId="683FE4B1" w14:textId="51C54101" w:rsidR="001E0A81" w:rsidRPr="009A2E71" w:rsidRDefault="009701E3" w:rsidP="006C1591">
      <w:pPr>
        <w:spacing w:after="0"/>
      </w:pPr>
      <w:proofErr w:type="spellStart"/>
      <w:r w:rsidRPr="009A2E71">
        <w:t>ActionAid</w:t>
      </w:r>
      <w:proofErr w:type="spellEnd"/>
      <w:r w:rsidRPr="009A2E71">
        <w:t xml:space="preserve"> International The </w:t>
      </w:r>
      <w:proofErr w:type="spellStart"/>
      <w:r w:rsidRPr="009A2E71">
        <w:t>Gambia</w:t>
      </w:r>
      <w:proofErr w:type="spellEnd"/>
      <w:r w:rsidRPr="009A2E71">
        <w:t xml:space="preserve">, avec l’appui financier de l’Union européenne, a organisé une formation dans le cadre du projet </w:t>
      </w:r>
      <w:proofErr w:type="spellStart"/>
      <w:r w:rsidRPr="009A2E71">
        <w:rPr>
          <w:i/>
          <w:iCs/>
        </w:rPr>
        <w:t>Strengthening</w:t>
      </w:r>
      <w:proofErr w:type="spellEnd"/>
      <w:r w:rsidRPr="009A2E71">
        <w:rPr>
          <w:i/>
          <w:iCs/>
        </w:rPr>
        <w:t xml:space="preserve"> CSO Support and </w:t>
      </w:r>
      <w:proofErr w:type="spellStart"/>
      <w:r w:rsidRPr="009A2E71">
        <w:rPr>
          <w:i/>
          <w:iCs/>
        </w:rPr>
        <w:t>Advocacy</w:t>
      </w:r>
      <w:proofErr w:type="spellEnd"/>
      <w:r w:rsidRPr="009A2E71">
        <w:rPr>
          <w:i/>
          <w:iCs/>
        </w:rPr>
        <w:t xml:space="preserve"> for </w:t>
      </w:r>
      <w:proofErr w:type="spellStart"/>
      <w:r w:rsidRPr="009A2E71">
        <w:rPr>
          <w:i/>
          <w:iCs/>
        </w:rPr>
        <w:t>Sustainable</w:t>
      </w:r>
      <w:proofErr w:type="spellEnd"/>
      <w:r w:rsidRPr="009A2E71">
        <w:rPr>
          <w:i/>
          <w:iCs/>
        </w:rPr>
        <w:t xml:space="preserve"> Production and Use of </w:t>
      </w:r>
      <w:proofErr w:type="spellStart"/>
      <w:r w:rsidRPr="009A2E71">
        <w:rPr>
          <w:i/>
          <w:iCs/>
        </w:rPr>
        <w:t>Organic</w:t>
      </w:r>
      <w:proofErr w:type="spellEnd"/>
      <w:r w:rsidRPr="009A2E71">
        <w:rPr>
          <w:i/>
          <w:iCs/>
        </w:rPr>
        <w:t xml:space="preserve"> Fertiliser in The </w:t>
      </w:r>
      <w:proofErr w:type="spellStart"/>
      <w:r w:rsidRPr="009A2E71">
        <w:rPr>
          <w:i/>
          <w:iCs/>
        </w:rPr>
        <w:t>Gambia</w:t>
      </w:r>
      <w:proofErr w:type="spellEnd"/>
      <w:r w:rsidRPr="009A2E71">
        <w:t xml:space="preserve"> (SAPOF). L’initiative vise à renforcer les liens entre producteurs agricoles, entreprises privées, transporteurs et fournisseurs de matières premières afin de créer un marché national structuré autour de la production et de la distribution d’engrais organiques. Selon le coordinateur du projet, </w:t>
      </w:r>
      <w:r w:rsidR="001E0A81" w:rsidRPr="009A2E71">
        <w:t xml:space="preserve">M. </w:t>
      </w:r>
      <w:proofErr w:type="spellStart"/>
      <w:r w:rsidRPr="009A2E71">
        <w:t>Saikou</w:t>
      </w:r>
      <w:proofErr w:type="spellEnd"/>
      <w:r w:rsidRPr="009A2E71">
        <w:t xml:space="preserve"> F. Bah, l’objectif est de transformer la fabrication d’engrais organiques en une activité rentable et durable, en intégrant les agriculteurs aux circuits commerciaux. La formation a également présenté des outils numériques pour faciliter la vente et le partage d’informations de marché</w:t>
      </w:r>
    </w:p>
    <w:p w14:paraId="7B3A08EE" w14:textId="77777777" w:rsidR="008C0A52" w:rsidRPr="009A2E71" w:rsidRDefault="008C0A52" w:rsidP="006C1591">
      <w:pPr>
        <w:spacing w:after="0"/>
      </w:pPr>
    </w:p>
    <w:p w14:paraId="530F3B29" w14:textId="300D73A0" w:rsidR="00FF1CAB" w:rsidRPr="009A2E71" w:rsidRDefault="009D0F96" w:rsidP="006C1591">
      <w:pPr>
        <w:pStyle w:val="Titre1"/>
        <w:spacing w:before="0"/>
      </w:pPr>
      <w:bookmarkStart w:id="241" w:name="_Toc207812051"/>
      <w:bookmarkStart w:id="242" w:name="_Toc207812919"/>
      <w:bookmarkStart w:id="243" w:name="_Toc207813081"/>
      <w:bookmarkStart w:id="244" w:name="_Toc213247508"/>
      <w:r w:rsidRPr="009A2E71">
        <w:t>Guinée</w:t>
      </w:r>
      <w:bookmarkEnd w:id="241"/>
      <w:bookmarkEnd w:id="242"/>
      <w:bookmarkEnd w:id="243"/>
      <w:bookmarkEnd w:id="244"/>
    </w:p>
    <w:p w14:paraId="363F6622" w14:textId="77777777" w:rsidR="00D64C56" w:rsidRPr="009A2E71" w:rsidRDefault="00D64C56" w:rsidP="00D64C56">
      <w:pPr>
        <w:pStyle w:val="Titre2"/>
        <w:spacing w:before="0"/>
      </w:pPr>
      <w:bookmarkStart w:id="245" w:name="_Toc213247509"/>
      <w:r w:rsidRPr="009A2E71">
        <w:t>Palmier à huile et hévéa – Des planteurs suspendent la livraison de leurs produits.</w:t>
      </w:r>
      <w:bookmarkEnd w:id="245"/>
    </w:p>
    <w:p w14:paraId="393E0882" w14:textId="77777777" w:rsidR="00D64C56" w:rsidRPr="009A2E71" w:rsidRDefault="00D64C56" w:rsidP="00D64C56">
      <w:pPr>
        <w:spacing w:after="0"/>
      </w:pPr>
      <w:r w:rsidRPr="009A2E71">
        <w:t xml:space="preserve">Des planteurs de palmier à huile et d’hévéa de la préfecture de Yomou, ont déclenché une grève le 7 octobre pour protester contre le non-paiement de leurs arriérés. Ils ont suspendu toute livraison de fruits de palme et de latex à la Société guinéenne de palmiers à huile et d’hévéas (SOGUIPAH). Le mouvement, conduit par l’Union des planteurs de </w:t>
      </w:r>
      <w:proofErr w:type="spellStart"/>
      <w:r w:rsidRPr="009A2E71">
        <w:t>Diécké</w:t>
      </w:r>
      <w:proofErr w:type="spellEnd"/>
      <w:r w:rsidRPr="009A2E71">
        <w:t>, réclame le règlement de cinq mois d’arriérés de salaire et des ristournes impayées depuis 2013, ainsi qu’une révision de la convention entre la communauté et l’entreprise. Les planteurs exigent également une participation aux négociations sur les prix, un calendrier fixe de paiement et la suppression des prélèvements jugés injustifiés. La direction de la SOGUIPAH n’a pas réagi publiquement à ces revendications.</w:t>
      </w:r>
    </w:p>
    <w:p w14:paraId="7A588275" w14:textId="77777777" w:rsidR="00D64C56" w:rsidRPr="009A2E71" w:rsidRDefault="00D64C56" w:rsidP="00D64C56">
      <w:pPr>
        <w:spacing w:after="0"/>
      </w:pPr>
    </w:p>
    <w:p w14:paraId="3091CC86" w14:textId="77777777" w:rsidR="00D64C56" w:rsidRPr="009A2E71" w:rsidRDefault="00D64C56" w:rsidP="00D64C56">
      <w:pPr>
        <w:pStyle w:val="Titre2"/>
        <w:spacing w:before="0"/>
      </w:pPr>
      <w:bookmarkStart w:id="246" w:name="_Toc213247510"/>
      <w:r w:rsidRPr="009A2E71">
        <w:t>Élevage – Les éleveurs transhumants sommés de quitter la Guinée.</w:t>
      </w:r>
      <w:bookmarkEnd w:id="246"/>
    </w:p>
    <w:p w14:paraId="645FFAA2" w14:textId="77777777" w:rsidR="00D64C56" w:rsidRPr="009A2E71" w:rsidRDefault="00D64C56" w:rsidP="00D64C56">
      <w:pPr>
        <w:spacing w:after="0"/>
      </w:pPr>
      <w:r w:rsidRPr="009A2E71">
        <w:t>Le gouvernement a ordonné aux éleveurs transhumants présents sur le territoire national de quitter immédiatement la Guinée, selon un communiqué diffusé le 13 octobre à la télévision nationale. Cette mesure fait suite au non-respect de la décision interdisant la transhumance du 1</w:t>
      </w:r>
      <w:r w:rsidRPr="009A2E71">
        <w:rPr>
          <w:vertAlign w:val="superscript"/>
        </w:rPr>
        <w:t>er</w:t>
      </w:r>
      <w:r w:rsidRPr="009A2E71">
        <w:t xml:space="preserve"> janvier 2025 au 1</w:t>
      </w:r>
      <w:r w:rsidRPr="009A2E71">
        <w:rPr>
          <w:vertAlign w:val="superscript"/>
        </w:rPr>
        <w:t>er</w:t>
      </w:r>
      <w:r w:rsidRPr="009A2E71">
        <w:t xml:space="preserve"> mars 2026. Elle ne concerne pas les animaux destinés à la commercialisation ou à la consommation, qui restent soumis à une autorisation préalable d’importation délivrée par le ministère de l’Agriculture et de l’Élevage.</w:t>
      </w:r>
    </w:p>
    <w:p w14:paraId="3CBAAAE8" w14:textId="77777777" w:rsidR="00D64C56" w:rsidRPr="009A2E71" w:rsidRDefault="00D64C56" w:rsidP="00D64C56">
      <w:pPr>
        <w:spacing w:after="0"/>
      </w:pPr>
    </w:p>
    <w:p w14:paraId="04B79DFC" w14:textId="2AFE5603" w:rsidR="00CF1606" w:rsidRPr="009A2E71" w:rsidRDefault="00CF1606" w:rsidP="006C1591">
      <w:pPr>
        <w:pStyle w:val="Titre2"/>
        <w:spacing w:before="0"/>
      </w:pPr>
      <w:bookmarkStart w:id="247" w:name="_Toc213247511"/>
      <w:r w:rsidRPr="009A2E71">
        <w:lastRenderedPageBreak/>
        <w:t>Élevage – Plus de 700 têtes de bétail abattues lors d’affrontements.</w:t>
      </w:r>
      <w:bookmarkEnd w:id="247"/>
    </w:p>
    <w:p w14:paraId="13D933BD" w14:textId="475BBAB7" w:rsidR="00CF1606" w:rsidRPr="009A2E71" w:rsidRDefault="00CF1606" w:rsidP="006C1591">
      <w:pPr>
        <w:spacing w:after="0"/>
      </w:pPr>
      <w:r w:rsidRPr="009A2E71">
        <w:t xml:space="preserve">La préfecture de Lola connaît une grave crise agro-pastorale après des affrontements entre éleveurs et agriculteurs ayant entraîné l’abattage de plus de 700 têtes de bétail. Ces violences ont provoqué une </w:t>
      </w:r>
      <w:r w:rsidR="00BC5A07" w:rsidRPr="009A2E71">
        <w:t xml:space="preserve">augmentation </w:t>
      </w:r>
      <w:r w:rsidRPr="009A2E71">
        <w:t>des prix, le kilogramme de viande passant de 40 000 à 45 000 GNF et le litre de lait atteignant 15 000 GNF. Malgré la visite du ministre de l’élevage,</w:t>
      </w:r>
      <w:r w:rsidR="00BC5A07" w:rsidRPr="009A2E71">
        <w:t xml:space="preserve"> M.</w:t>
      </w:r>
      <w:r w:rsidRPr="009A2E71">
        <w:t xml:space="preserve"> Félix </w:t>
      </w:r>
      <w:proofErr w:type="spellStart"/>
      <w:r w:rsidRPr="009A2E71">
        <w:t>Lamah</w:t>
      </w:r>
      <w:proofErr w:type="spellEnd"/>
      <w:r w:rsidRPr="009A2E71">
        <w:t>, les éleveurs affirment que la situation reste tendue et que les mesures concrètes tardent à venir. Les organisations pastorales appellent le gouvernement à agir d’urgence pour rétablir la paix et protéger les moyens de subsistance des éleveurs dans un contexte de pression foncière croissante.</w:t>
      </w:r>
    </w:p>
    <w:p w14:paraId="10E65972" w14:textId="77777777" w:rsidR="00BC5A07" w:rsidRPr="009A2E71" w:rsidRDefault="00BC5A07" w:rsidP="006C1591">
      <w:pPr>
        <w:spacing w:after="0"/>
      </w:pPr>
    </w:p>
    <w:p w14:paraId="523DC8F4" w14:textId="77777777" w:rsidR="00CF1606" w:rsidRPr="009A2E71" w:rsidRDefault="00CF1606" w:rsidP="006C1591">
      <w:pPr>
        <w:pStyle w:val="Titre2"/>
        <w:spacing w:before="0"/>
      </w:pPr>
      <w:bookmarkStart w:id="248" w:name="_Toc213247512"/>
      <w:r w:rsidRPr="009A2E71">
        <w:t>Volaille – Forte hausse des prix du poulet importé sur le marché guinéen.</w:t>
      </w:r>
      <w:bookmarkEnd w:id="248"/>
    </w:p>
    <w:p w14:paraId="70D1D327" w14:textId="067FE7EF" w:rsidR="00ED6702" w:rsidRPr="009A2E71" w:rsidRDefault="00CF1606" w:rsidP="006C1591">
      <w:pPr>
        <w:spacing w:after="0"/>
      </w:pPr>
      <w:r w:rsidRPr="009A2E71">
        <w:t>Le prix du poulet importé connaît une flambée sur les marchés de Conakry, où le kilo de cuisse se vend désormais 30 000 GNF contre 25 000 auparavant, et le carton entre 225 000 et 230</w:t>
      </w:r>
      <w:r w:rsidR="00BC5A07" w:rsidRPr="009A2E71">
        <w:t> </w:t>
      </w:r>
      <w:r w:rsidRPr="009A2E71">
        <w:t>000 GNF, au lieu de 200 000 fixés dans le protocole d’accord du 8 juillet 2025. Selon le collectif national des importateurs et distributeurs de produits congelés (CONID-PEC), cette hausse s’explique par la congestion du port de Conakry, les retards d’approvisionnement, l’augmentation du fret maritime et la dépréciation de la devise. Les importateurs évoquent des coûts supplémentaires dépassant 100 M GNF par mois en électricité et demandent une révision des prix plafonds, ainsi qu’une réduction des taxes et frais portuaires. De son côté, le ministère du commerce attribue la situation à une forte demande et à des spéculations sur certains produits, tout en assurant qu’une révision progressive des prix est envisagée pour stabiliser le marché.</w:t>
      </w:r>
    </w:p>
    <w:p w14:paraId="360282B3" w14:textId="77777777" w:rsidR="00BC5A07" w:rsidRPr="009A2E71" w:rsidRDefault="00BC5A07" w:rsidP="006C1591">
      <w:pPr>
        <w:spacing w:after="0"/>
      </w:pPr>
    </w:p>
    <w:p w14:paraId="0F05BD22" w14:textId="249E6200" w:rsidR="00ED6702" w:rsidRDefault="00ED6702" w:rsidP="00ED6702">
      <w:pPr>
        <w:pStyle w:val="Titre2"/>
        <w:spacing w:before="0"/>
      </w:pPr>
      <w:bookmarkStart w:id="249" w:name="_Toc213247513"/>
      <w:r>
        <w:t>Pêche – Adoption du Projet Guinée KOUNKI.</w:t>
      </w:r>
      <w:bookmarkEnd w:id="249"/>
    </w:p>
    <w:p w14:paraId="6114B2CD" w14:textId="559B64F0" w:rsidR="00ED6702" w:rsidRDefault="00ED6702" w:rsidP="00ED6702">
      <w:pPr>
        <w:spacing w:after="0"/>
      </w:pPr>
      <w:r w:rsidRPr="00ED6702">
        <w:t>Le Conseil national de la transition (CNT) a adopté</w:t>
      </w:r>
      <w:r>
        <w:t xml:space="preserve"> le </w:t>
      </w:r>
      <w:r w:rsidRPr="00ED6702">
        <w:t>30 octobre</w:t>
      </w:r>
      <w:r>
        <w:t xml:space="preserve"> l’accord concernant le </w:t>
      </w:r>
      <w:bookmarkStart w:id="250" w:name="_Hlk213150321"/>
      <w:r>
        <w:t>Projet Guinée KOUNKI</w:t>
      </w:r>
      <w:bookmarkEnd w:id="250"/>
      <w:r w:rsidR="00A0177C">
        <w:t xml:space="preserve"> qui </w:t>
      </w:r>
      <w:r>
        <w:t xml:space="preserve">vise à dynamiser la pêche artisanale et l’aquaculture à travers la réhabilitation de six débarcadères, la création de quatre pôles aquacoles et la mise en place d’un fonds de garantie destiné aux micros, petites et moyennes entreprises du secteur. Il prévoit également la formation des pêcheurs, la promotion du contenu local, la préservation des mangroves et la lutte contre la pêche illicite. </w:t>
      </w:r>
      <w:r w:rsidR="00A0177C" w:rsidRPr="00A0177C">
        <w:t>La pêche représente un pilier majeur de l’économie guinéenne, contribuant à hauteur de 4,5% du PIB national et générant plus de 238</w:t>
      </w:r>
      <w:r w:rsidR="00A0177C">
        <w:t> </w:t>
      </w:r>
      <w:r w:rsidR="00A0177C" w:rsidRPr="00A0177C">
        <w:t xml:space="preserve">000 emplois directs. </w:t>
      </w:r>
      <w:r w:rsidR="00BD76C1">
        <w:t xml:space="preserve">Le </w:t>
      </w:r>
      <w:r w:rsidR="00BD76C1" w:rsidRPr="00BD76C1">
        <w:t>projet K</w:t>
      </w:r>
      <w:r w:rsidR="00BD76C1">
        <w:t>OUNKI</w:t>
      </w:r>
      <w:r w:rsidR="00BD76C1" w:rsidRPr="00BD76C1">
        <w:t xml:space="preserve"> bénéficie d’un financement diversifié, comprenant un prêt souverain de 13,119 </w:t>
      </w:r>
      <w:r w:rsidR="00BD76C1">
        <w:t xml:space="preserve">Md </w:t>
      </w:r>
      <w:r w:rsidR="00BD76C1" w:rsidRPr="00BD76C1">
        <w:t xml:space="preserve">FCFA et une subvention de 2,623 </w:t>
      </w:r>
      <w:r w:rsidR="00BD76C1">
        <w:t xml:space="preserve">Md </w:t>
      </w:r>
      <w:r w:rsidR="00BD76C1" w:rsidRPr="00BD76C1">
        <w:t>FCFA (4</w:t>
      </w:r>
      <w:r w:rsidR="00BD76C1">
        <w:t xml:space="preserve"> M EUR</w:t>
      </w:r>
      <w:r w:rsidR="00BD76C1" w:rsidRPr="00BD76C1">
        <w:t xml:space="preserve">) de l’AFD, via le Contrat de Désendettement et de Développement (C2D). À cela s’ajoute un cofinancement majeur de la Banque mondiale, qui apporte 57,350 </w:t>
      </w:r>
      <w:r w:rsidR="00BD76C1">
        <w:t xml:space="preserve">Md </w:t>
      </w:r>
      <w:r w:rsidR="00BD76C1" w:rsidRPr="00BD76C1">
        <w:t xml:space="preserve">FCFA, ainsi qu’un soutien de 2,867 </w:t>
      </w:r>
      <w:r w:rsidR="00BD76C1">
        <w:t xml:space="preserve">M </w:t>
      </w:r>
      <w:r w:rsidR="00BD76C1" w:rsidRPr="00BD76C1">
        <w:t xml:space="preserve">FCFA du fonds fiduciaire PROBLUE. </w:t>
      </w:r>
      <w:r>
        <w:t xml:space="preserve">Le CNT a recommandé le retrait du montant de 4 M </w:t>
      </w:r>
      <w:r w:rsidR="00BD76C1">
        <w:t>d’EUR</w:t>
      </w:r>
      <w:r>
        <w:t xml:space="preserve"> prévu au titre du </w:t>
      </w:r>
      <w:r w:rsidR="00BD76C1" w:rsidRPr="00BD76C1">
        <w:t>C2D</w:t>
      </w:r>
      <w:r>
        <w:t>, afin de le réaffecter à d’autres priorités nationales.</w:t>
      </w:r>
    </w:p>
    <w:p w14:paraId="424AE354" w14:textId="77777777" w:rsidR="00ED6702" w:rsidRPr="00ED6702" w:rsidRDefault="00ED6702" w:rsidP="00ED6702">
      <w:pPr>
        <w:spacing w:after="0"/>
      </w:pPr>
    </w:p>
    <w:p w14:paraId="76810F19" w14:textId="73F166E8" w:rsidR="00FA7EE1" w:rsidRPr="009A2E71" w:rsidRDefault="00FA7EE1" w:rsidP="006C1591">
      <w:pPr>
        <w:pStyle w:val="Titre2"/>
        <w:spacing w:before="0"/>
      </w:pPr>
      <w:bookmarkStart w:id="251" w:name="_Toc213247514"/>
      <w:r w:rsidRPr="009A2E71">
        <w:t xml:space="preserve">IGP – L’ananas Baronne de </w:t>
      </w:r>
      <w:proofErr w:type="spellStart"/>
      <w:r w:rsidRPr="009A2E71">
        <w:t>Friguiagbé</w:t>
      </w:r>
      <w:proofErr w:type="spellEnd"/>
      <w:r w:rsidRPr="009A2E71">
        <w:t xml:space="preserve"> obtient le label.</w:t>
      </w:r>
      <w:bookmarkEnd w:id="251"/>
    </w:p>
    <w:p w14:paraId="0596E546" w14:textId="228C3071" w:rsidR="00FA7EE1" w:rsidRPr="009A2E71" w:rsidRDefault="00FA7EE1" w:rsidP="006C1591">
      <w:pPr>
        <w:spacing w:after="0"/>
      </w:pPr>
      <w:r w:rsidRPr="009A2E71">
        <w:t xml:space="preserve">L’ananas Baronne de </w:t>
      </w:r>
      <w:proofErr w:type="spellStart"/>
      <w:r w:rsidRPr="009A2E71">
        <w:t>Friguiagbé</w:t>
      </w:r>
      <w:proofErr w:type="spellEnd"/>
      <w:r w:rsidRPr="009A2E71">
        <w:t xml:space="preserve"> a officiellement obtenu le label d’indication géographique protégée (IGP) délivré par l’organisation africaine de la propriété intellectuelle (OAPI), lors d’une cérémonie organisée le 22 octobre à Conakry. Cette reconnaissance, inscrite au registre spécial de l’OAPI comme 21</w:t>
      </w:r>
      <w:r w:rsidR="00BC5A07" w:rsidRPr="009A2E71">
        <w:t>ème</w:t>
      </w:r>
      <w:r w:rsidRPr="009A2E71">
        <w:t xml:space="preserve"> IGP du continent, garantit l’authenticité et la traçabilité du fruit cultivé dans la région de </w:t>
      </w:r>
      <w:proofErr w:type="spellStart"/>
      <w:r w:rsidRPr="009A2E71">
        <w:t>Friguiagbé</w:t>
      </w:r>
      <w:proofErr w:type="spellEnd"/>
      <w:r w:rsidRPr="009A2E71">
        <w:t xml:space="preserve">, réputée pour ses sols fertiles et son climat favorable. Le processus de labellisation, initié en 2021 dans le cadre du projet d’appui à la promotion des </w:t>
      </w:r>
      <w:r w:rsidRPr="009A2E71">
        <w:lastRenderedPageBreak/>
        <w:t xml:space="preserve">indications géographiques en Afrique (PAMPIG2) soutenu par l’agence française de développement (AFD), fait de ce fruit le deuxième produit guinéen à obtenir une IGP après le café </w:t>
      </w:r>
      <w:proofErr w:type="spellStart"/>
      <w:r w:rsidRPr="009A2E71">
        <w:t>Ziama</w:t>
      </w:r>
      <w:proofErr w:type="spellEnd"/>
      <w:r w:rsidRPr="009A2E71">
        <w:t xml:space="preserve">-Macenta. Selon la ministre de l’industrie et des PME, </w:t>
      </w:r>
      <w:proofErr w:type="spellStart"/>
      <w:r w:rsidRPr="009A2E71">
        <w:t>Diaka</w:t>
      </w:r>
      <w:proofErr w:type="spellEnd"/>
      <w:r w:rsidRPr="009A2E71">
        <w:t xml:space="preserve"> Sidibé, cette distinction s’inscrit dans la stratégie « Made in </w:t>
      </w:r>
      <w:proofErr w:type="spellStart"/>
      <w:r w:rsidRPr="009A2E71">
        <w:t>Guinea</w:t>
      </w:r>
      <w:proofErr w:type="spellEnd"/>
      <w:r w:rsidRPr="009A2E71">
        <w:t xml:space="preserve"> » du programme </w:t>
      </w:r>
      <w:proofErr w:type="spellStart"/>
      <w:r w:rsidRPr="009A2E71">
        <w:t>Simandou</w:t>
      </w:r>
      <w:proofErr w:type="spellEnd"/>
      <w:r w:rsidRPr="009A2E71">
        <w:t xml:space="preserve"> 2040, axée sur la valorisation du patrimoine national et la création de chaînes de valeur locales.</w:t>
      </w:r>
    </w:p>
    <w:p w14:paraId="698BB6F9" w14:textId="77777777" w:rsidR="00BC5A07" w:rsidRPr="009A2E71" w:rsidRDefault="00BC5A07" w:rsidP="006C1591">
      <w:pPr>
        <w:spacing w:after="0"/>
      </w:pPr>
    </w:p>
    <w:p w14:paraId="6060A8A3" w14:textId="77777777" w:rsidR="00D64C56" w:rsidRPr="009A2E71" w:rsidRDefault="00D64C56" w:rsidP="00D64C56">
      <w:pPr>
        <w:pStyle w:val="Titre2"/>
        <w:spacing w:before="0"/>
      </w:pPr>
      <w:bookmarkStart w:id="252" w:name="_Toc213247515"/>
      <w:r w:rsidRPr="009A2E71">
        <w:t>Financement – Le Fonds de Développement Agricole (FODA) accorde 16 Md GNF à 45 projets agricoles.</w:t>
      </w:r>
      <w:bookmarkEnd w:id="252"/>
    </w:p>
    <w:p w14:paraId="52392FA9" w14:textId="0B3D9C95" w:rsidR="00D64C56" w:rsidRPr="009A2E71" w:rsidRDefault="00D64C56" w:rsidP="006C1591">
      <w:pPr>
        <w:spacing w:after="0"/>
      </w:pPr>
      <w:r w:rsidRPr="009A2E71">
        <w:t xml:space="preserve">Le FODA a signé, le 9 octobre, des conventions de financement d’un montant global de 16,7 Md de GNF avec 45 promoteurs agricoles sélectionnés pour la campagne 2025. La cérémonie s’est tenue en présence de la ministre de l’agriculture, Mme Mariama Ciré Sylla, du ministre de l’économie et des finances, M. </w:t>
      </w:r>
      <w:proofErr w:type="spellStart"/>
      <w:r w:rsidRPr="009A2E71">
        <w:t>Mourana</w:t>
      </w:r>
      <w:proofErr w:type="spellEnd"/>
      <w:r w:rsidRPr="009A2E71">
        <w:t xml:space="preserve"> Soumah, et de la directrice générale par intérim du FODA, Mme Safiatou Barry. Les projets financés couvrent plus de 1 160 ha de cultures vivrières et maraîchères, l’installation de 714 000 poules pondeuses, l’élevage de 400 porcs, la transformation de 300 tonnes de riz et de fonio, ainsi que la valorisation du manioc. 33,3% de femmes et 26,2% de jeunes entrepreneurs se retrouvent parmi les bénéficiaires, ainsi que 16,7% de PME agricoles et 7,1% d’organisations professionnelles.</w:t>
      </w:r>
    </w:p>
    <w:p w14:paraId="5945A197" w14:textId="77777777" w:rsidR="00D64C56" w:rsidRDefault="00D64C56" w:rsidP="00D64C56">
      <w:pPr>
        <w:pStyle w:val="Titre2"/>
        <w:spacing w:before="0"/>
      </w:pPr>
    </w:p>
    <w:p w14:paraId="3AC82286" w14:textId="42F8AE5B" w:rsidR="00D64C56" w:rsidRPr="009A2E71" w:rsidRDefault="00D64C56" w:rsidP="00D64C56">
      <w:pPr>
        <w:pStyle w:val="Titre2"/>
        <w:spacing w:before="0"/>
      </w:pPr>
      <w:bookmarkStart w:id="253" w:name="_Toc213247516"/>
      <w:r w:rsidRPr="009A2E71">
        <w:t>Financement – Renforcement du financement des PME agroalimentaires.</w:t>
      </w:r>
      <w:bookmarkEnd w:id="253"/>
    </w:p>
    <w:p w14:paraId="2AE13809" w14:textId="77777777" w:rsidR="00D64C56" w:rsidRPr="009A2E71" w:rsidRDefault="00D64C56" w:rsidP="00D64C56">
      <w:pPr>
        <w:spacing w:after="0"/>
      </w:pPr>
      <w:r w:rsidRPr="009A2E71">
        <w:t>La Banque européenne d’investissement (BEI), par l’intermédiaire de BEI Monde, a signé un accord de 20 M EUR avec Vista Gui pour soutenir les petites et moyennes entreprises du secteur agroalimentaire. Cette opération, financée avec l’appui du Fonds européen pour le développement durable plus (FEDD+), s’inscrit dans la stratégie Global Gateway de l’Union européenne. Elle vise à améliorer l’accès au crédit pour les entreprises des chaînes de valeur agricoles, notamment celles de la noix de cajou, des céréales, du fonio et du riz. En Guinée, le programme TRANSFORM accompagnera 100 entreprises agroalimentaires à fort potentiel afin d’accroître leur productivité et leur financement, avec la participation de Vista Gui au comité de pilotage. L’initiative intègre également un dispositif d’assistance technique destiné à renforcer les capacités des banques locales, à développer des produits financiers sensibles au genre et à aligner les pratiques environnementales sur les normes de la BEI.</w:t>
      </w:r>
    </w:p>
    <w:p w14:paraId="553D6DB1" w14:textId="77777777" w:rsidR="00AE7317" w:rsidRPr="009A2E71" w:rsidRDefault="00AE7317" w:rsidP="006C1591">
      <w:pPr>
        <w:spacing w:after="0"/>
      </w:pPr>
    </w:p>
    <w:p w14:paraId="0E0E0C33" w14:textId="53B105D0" w:rsidR="00FF1CAB" w:rsidRPr="009A2E71" w:rsidRDefault="00832CC5" w:rsidP="006C1591">
      <w:pPr>
        <w:pStyle w:val="Titre2"/>
        <w:spacing w:before="0"/>
      </w:pPr>
      <w:bookmarkStart w:id="254" w:name="_Toc213247517"/>
      <w:r w:rsidRPr="009A2E71">
        <w:t>Mécanisation</w:t>
      </w:r>
      <w:r w:rsidR="00FF1CAB" w:rsidRPr="009A2E71">
        <w:t xml:space="preserve"> – Le </w:t>
      </w:r>
      <w:r w:rsidR="00FD3895" w:rsidRPr="009A2E71">
        <w:t>Programme alimentaire mondial (</w:t>
      </w:r>
      <w:r w:rsidR="00FF1CAB" w:rsidRPr="009A2E71">
        <w:t>PAM</w:t>
      </w:r>
      <w:r w:rsidR="00FD3895" w:rsidRPr="009A2E71">
        <w:t>)</w:t>
      </w:r>
      <w:r w:rsidR="00FF1CAB" w:rsidRPr="009A2E71">
        <w:t xml:space="preserve"> équipe 60 coopératives agricoles</w:t>
      </w:r>
      <w:r w:rsidRPr="009A2E71">
        <w:t>.</w:t>
      </w:r>
      <w:bookmarkEnd w:id="254"/>
    </w:p>
    <w:p w14:paraId="2C9B95A5" w14:textId="6A6AEF12" w:rsidR="00FF1CAB" w:rsidRPr="009A2E71" w:rsidRDefault="00FF1CAB" w:rsidP="006C1591">
      <w:pPr>
        <w:spacing w:after="0"/>
      </w:pPr>
      <w:r w:rsidRPr="009A2E71">
        <w:t xml:space="preserve">Sous financement de la Banque mondiale, le PAM a remis, le 9 octobre, des matériels agricoles à 60 coopératives opérant dans les préfectures de Boké et Boffa. Ce don, </w:t>
      </w:r>
      <w:r w:rsidR="00FD3895" w:rsidRPr="009A2E71">
        <w:t>qui s’</w:t>
      </w:r>
      <w:r w:rsidRPr="009A2E71">
        <w:t>inscrit dans le cadre du Projet de résilience agricole, compren</w:t>
      </w:r>
      <w:r w:rsidR="00FD3895" w:rsidRPr="009A2E71">
        <w:t>ait</w:t>
      </w:r>
      <w:r w:rsidRPr="009A2E71">
        <w:t xml:space="preserve"> des motos-tricycles,</w:t>
      </w:r>
      <w:r w:rsidR="00FD3895" w:rsidRPr="009A2E71">
        <w:t xml:space="preserve"> des</w:t>
      </w:r>
      <w:r w:rsidRPr="009A2E71">
        <w:t xml:space="preserve"> batteuses, </w:t>
      </w:r>
      <w:r w:rsidR="00FD3895" w:rsidRPr="009A2E71">
        <w:t xml:space="preserve">des </w:t>
      </w:r>
      <w:r w:rsidRPr="009A2E71">
        <w:t xml:space="preserve">décortiqueuses, </w:t>
      </w:r>
      <w:r w:rsidR="00FD3895" w:rsidRPr="009A2E71">
        <w:t xml:space="preserve">des </w:t>
      </w:r>
      <w:r w:rsidRPr="009A2E71">
        <w:t xml:space="preserve">kits d’étuvage du riz et </w:t>
      </w:r>
      <w:r w:rsidR="0057416F" w:rsidRPr="009A2E71">
        <w:t xml:space="preserve">des </w:t>
      </w:r>
      <w:r w:rsidRPr="009A2E71">
        <w:t xml:space="preserve">tracteurs. Selon M. </w:t>
      </w:r>
      <w:proofErr w:type="spellStart"/>
      <w:r w:rsidRPr="009A2E71">
        <w:t>Saa</w:t>
      </w:r>
      <w:proofErr w:type="spellEnd"/>
      <w:r w:rsidRPr="009A2E71">
        <w:t xml:space="preserve"> Kissi </w:t>
      </w:r>
      <w:proofErr w:type="spellStart"/>
      <w:r w:rsidRPr="009A2E71">
        <w:t>Kamano</w:t>
      </w:r>
      <w:proofErr w:type="spellEnd"/>
      <w:r w:rsidRPr="009A2E71">
        <w:t xml:space="preserve"> du PAM, cette initiative vise à renforcer les capacités opérationnelles des producteurs locaux, à développer le contenu local et à répondre aux besoins des sociétés minières actives dans la région. </w:t>
      </w:r>
    </w:p>
    <w:p w14:paraId="18C7EB2E" w14:textId="77777777" w:rsidR="00D64C56" w:rsidRDefault="00D64C56" w:rsidP="00D64C56">
      <w:pPr>
        <w:pStyle w:val="Titre2"/>
        <w:spacing w:before="0"/>
      </w:pPr>
    </w:p>
    <w:p w14:paraId="0A8363FD" w14:textId="52BF87C1" w:rsidR="00D64C56" w:rsidRPr="009A2E71" w:rsidRDefault="00D64C56" w:rsidP="00D64C56">
      <w:pPr>
        <w:pStyle w:val="Titre2"/>
        <w:spacing w:before="0"/>
      </w:pPr>
      <w:bookmarkStart w:id="255" w:name="_Toc213247518"/>
      <w:r w:rsidRPr="009A2E71">
        <w:t>Compostage – 130 maraîchers formés.</w:t>
      </w:r>
      <w:bookmarkEnd w:id="255"/>
    </w:p>
    <w:p w14:paraId="6D9F913D" w14:textId="77777777" w:rsidR="00D64C56" w:rsidRPr="009A2E71" w:rsidRDefault="00D64C56" w:rsidP="00D64C56">
      <w:pPr>
        <w:spacing w:after="0"/>
      </w:pPr>
      <w:r w:rsidRPr="009A2E71">
        <w:t xml:space="preserve">Un atelier de formation et de restitution a permis de renforcer les capacités de 130 maraîchers aux techniques de compostage. L’initiative, portée par International </w:t>
      </w:r>
      <w:proofErr w:type="spellStart"/>
      <w:r w:rsidRPr="009A2E71">
        <w:t>Research</w:t>
      </w:r>
      <w:proofErr w:type="spellEnd"/>
      <w:r w:rsidRPr="009A2E71">
        <w:t xml:space="preserve"> &amp; Exchanges </w:t>
      </w:r>
      <w:proofErr w:type="spellStart"/>
      <w:r w:rsidRPr="009A2E71">
        <w:t>Board</w:t>
      </w:r>
      <w:proofErr w:type="spellEnd"/>
      <w:r w:rsidRPr="009A2E71">
        <w:t xml:space="preserve"> (IREX) et Collaboration for Community Impact (CCI) Guinée, vise à améliorer la productivité agricole tout en préservant l’environnement. Le projet, appuyé par un coopérant américain et un consultant international, s’inscrit dans le cadre du programme national </w:t>
      </w:r>
      <w:r w:rsidRPr="009A2E71">
        <w:lastRenderedPageBreak/>
        <w:t>Simandou2040 et du Programme des solutions communautaires du Département d’État américain. La formation a également sensibilisé plus de 500 acteurs et posé les bases d’une future unité semi-industrielle de compostage, favorisant la valorisation des déchets organiques et la promotion de l’agroécologie locale.</w:t>
      </w:r>
    </w:p>
    <w:p w14:paraId="1D93B112" w14:textId="77777777" w:rsidR="00D64C56" w:rsidRPr="009A2E71" w:rsidRDefault="00D64C56" w:rsidP="00D64C56">
      <w:pPr>
        <w:spacing w:after="0"/>
      </w:pPr>
    </w:p>
    <w:p w14:paraId="7846F96E" w14:textId="77777777" w:rsidR="00D64C56" w:rsidRPr="009A2E71" w:rsidRDefault="00D64C56" w:rsidP="00D64C56">
      <w:pPr>
        <w:pStyle w:val="Titre2"/>
        <w:spacing w:before="0"/>
      </w:pPr>
      <w:bookmarkStart w:id="256" w:name="_Toc213247519"/>
      <w:r w:rsidRPr="009A2E71">
        <w:t>Vie des sociétés – Amnesty dénonce des abus à la Société guinéenne de palmiers à huile et d’hévéas (SOGUIPAH).</w:t>
      </w:r>
      <w:bookmarkEnd w:id="256"/>
    </w:p>
    <w:p w14:paraId="686FD86B" w14:textId="7E6A0E88" w:rsidR="00D64C56" w:rsidRPr="009A2E71" w:rsidRDefault="00D64C56" w:rsidP="006C1591">
      <w:pPr>
        <w:spacing w:after="0"/>
      </w:pPr>
      <w:r w:rsidRPr="009A2E71">
        <w:t xml:space="preserve">Amnesty International a publié le 23 octobre un rapport dénonçant des atteintes aux droits humains au sein de la </w:t>
      </w:r>
      <w:bookmarkStart w:id="257" w:name="_Hlk212916093"/>
      <w:r w:rsidRPr="009A2E71">
        <w:t xml:space="preserve">Société guinéenne de palmiers à huile et d’hévéas </w:t>
      </w:r>
      <w:bookmarkEnd w:id="257"/>
      <w:r w:rsidRPr="009A2E71">
        <w:t xml:space="preserve">(SOGUIPAH), entreprise publique implantée à </w:t>
      </w:r>
      <w:proofErr w:type="spellStart"/>
      <w:r w:rsidRPr="009A2E71">
        <w:t>Diécké</w:t>
      </w:r>
      <w:proofErr w:type="spellEnd"/>
      <w:r w:rsidRPr="009A2E71">
        <w:t xml:space="preserve">. L’organisation y relève des salaires inférieurs au salaire minimum interprofessionnel obligatoire, un manque d’équipements de protection pour les travailleurs exposés à des produits chimiques, ainsi qu’une multiplication d’accidents du travail. Le rapport mentionne aussi des expulsions de terres non indemnisées à </w:t>
      </w:r>
      <w:proofErr w:type="spellStart"/>
      <w:r w:rsidRPr="009A2E71">
        <w:t>Galakpaye</w:t>
      </w:r>
      <w:proofErr w:type="spellEnd"/>
      <w:r w:rsidRPr="009A2E71">
        <w:t xml:space="preserve"> et à Ballan, ainsi qu’un climat d’omerta marqué par la peur des représailles. Amnesty interpelle les autorités guinéennes sur ces violations, alors que la société est présentée comme un modèle de développement agricole dans le cadre du programme </w:t>
      </w:r>
      <w:proofErr w:type="spellStart"/>
      <w:r w:rsidRPr="009A2E71">
        <w:t>Simandou</w:t>
      </w:r>
      <w:proofErr w:type="spellEnd"/>
      <w:r w:rsidRPr="009A2E71">
        <w:t xml:space="preserve"> 2040.</w:t>
      </w:r>
    </w:p>
    <w:p w14:paraId="4B6F5690" w14:textId="77777777" w:rsidR="00FD705E" w:rsidRPr="009A2E71" w:rsidRDefault="00FD705E" w:rsidP="006C1591">
      <w:pPr>
        <w:spacing w:after="0"/>
      </w:pPr>
    </w:p>
    <w:p w14:paraId="41D15E47" w14:textId="34A72FA6" w:rsidR="00AE0446" w:rsidRPr="009A2E71" w:rsidRDefault="009D0F96" w:rsidP="006C1591">
      <w:pPr>
        <w:pStyle w:val="Titre1"/>
        <w:spacing w:before="0"/>
      </w:pPr>
      <w:bookmarkStart w:id="258" w:name="_Toc207812054"/>
      <w:bookmarkStart w:id="259" w:name="_Toc207812922"/>
      <w:bookmarkStart w:id="260" w:name="_Toc207813084"/>
      <w:bookmarkStart w:id="261" w:name="_Toc213247520"/>
      <w:r w:rsidRPr="009A2E71">
        <w:t>Guinée Bissau</w:t>
      </w:r>
      <w:bookmarkEnd w:id="258"/>
      <w:bookmarkEnd w:id="259"/>
      <w:bookmarkEnd w:id="260"/>
      <w:bookmarkEnd w:id="261"/>
    </w:p>
    <w:p w14:paraId="42D292D5" w14:textId="77777777" w:rsidR="00EB6FB9" w:rsidRDefault="00EB6FB9" w:rsidP="00EB6FB9">
      <w:pPr>
        <w:pStyle w:val="Titre2"/>
        <w:spacing w:before="0"/>
      </w:pPr>
      <w:bookmarkStart w:id="262" w:name="_Toc213247521"/>
      <w:r>
        <w:t>Agriculture et agroalimentaire – Note sur le secteur.</w:t>
      </w:r>
      <w:bookmarkEnd w:id="262"/>
    </w:p>
    <w:p w14:paraId="46B72F10" w14:textId="56CFA078" w:rsidR="00EB6FB9" w:rsidRPr="00564DD2" w:rsidRDefault="00EB6FB9" w:rsidP="00EB6FB9">
      <w:pPr>
        <w:spacing w:after="0" w:line="240" w:lineRule="auto"/>
        <w:rPr>
          <w:rFonts w:eastAsia="Marianne" w:cs="Arial"/>
          <w:szCs w:val="20"/>
        </w:rPr>
      </w:pPr>
      <w:r w:rsidRPr="00EB6FB9">
        <w:rPr>
          <w:rFonts w:eastAsia="Marianne" w:cs="Arial"/>
          <w:szCs w:val="20"/>
        </w:rPr>
        <w:t>L’agriculture contribue à plus de 35% du PIB</w:t>
      </w:r>
      <w:r w:rsidRPr="00564DD2">
        <w:rPr>
          <w:rFonts w:eastAsia="Marianne" w:cs="Arial"/>
          <w:szCs w:val="20"/>
        </w:rPr>
        <w:t xml:space="preserve"> (36,8% en 2024) et occupe la moitié de la population active.</w:t>
      </w:r>
      <w:r>
        <w:rPr>
          <w:rFonts w:eastAsia="Marianne" w:cs="Arial"/>
          <w:szCs w:val="20"/>
        </w:rPr>
        <w:t xml:space="preserve"> Elle </w:t>
      </w:r>
      <w:r w:rsidRPr="00EB6FB9">
        <w:rPr>
          <w:rFonts w:eastAsia="Marianne" w:cs="Arial"/>
          <w:szCs w:val="20"/>
        </w:rPr>
        <w:t>fait face à de nombreux défis</w:t>
      </w:r>
      <w:r w:rsidRPr="00564DD2">
        <w:rPr>
          <w:rFonts w:eastAsia="Marianne" w:cs="Arial"/>
          <w:szCs w:val="20"/>
        </w:rPr>
        <w:t xml:space="preserve"> de productivité, de rendement, d’adaptation au changement climatique (classé 183</w:t>
      </w:r>
      <w:r w:rsidRPr="00564DD2">
        <w:rPr>
          <w:rFonts w:eastAsia="Marianne" w:cs="Arial"/>
          <w:szCs w:val="20"/>
          <w:vertAlign w:val="superscript"/>
        </w:rPr>
        <w:t>ème</w:t>
      </w:r>
      <w:r w:rsidRPr="00564DD2">
        <w:rPr>
          <w:rFonts w:eastAsia="Marianne" w:cs="Arial"/>
          <w:szCs w:val="20"/>
        </w:rPr>
        <w:t xml:space="preserve"> pays sur 187 en termes de vulnérabilité aux risques climatiques) et de financement.</w:t>
      </w:r>
      <w:r>
        <w:rPr>
          <w:rFonts w:eastAsia="Marianne" w:cs="Arial"/>
          <w:szCs w:val="20"/>
        </w:rPr>
        <w:t xml:space="preserve"> </w:t>
      </w:r>
      <w:r w:rsidRPr="00EB6FB9">
        <w:rPr>
          <w:rFonts w:eastAsia="Marianne" w:cs="Arial"/>
          <w:szCs w:val="20"/>
        </w:rPr>
        <w:t>Priorité du gouvernement et des bailleurs de fonds,</w:t>
      </w:r>
      <w:r w:rsidRPr="00564DD2">
        <w:rPr>
          <w:rFonts w:eastAsia="Marianne" w:cs="Arial"/>
          <w:szCs w:val="20"/>
        </w:rPr>
        <w:t xml:space="preserve"> le secteur agricole constitue un levier de croissance pour développer de nouveaux partenariats.</w:t>
      </w:r>
      <w:r>
        <w:rPr>
          <w:rFonts w:eastAsia="Marianne" w:cs="Arial"/>
          <w:szCs w:val="20"/>
        </w:rPr>
        <w:t xml:space="preserve"> </w:t>
      </w:r>
      <w:r w:rsidRPr="00EB6FB9">
        <w:rPr>
          <w:rFonts w:eastAsia="Marianne" w:cs="Arial"/>
          <w:szCs w:val="20"/>
        </w:rPr>
        <w:t>L’activité agricole et économique reste essentiellement tributaire de la culture de rente de la noix de cajou, cultivée surtout de manière artisanale et exportée à l’état brut. La récolte de noix de cajou s’est établie à 260 000 tonnes en 2023</w:t>
      </w:r>
      <w:r>
        <w:rPr>
          <w:rFonts w:eastAsia="Marianne" w:cs="Arial"/>
          <w:szCs w:val="20"/>
        </w:rPr>
        <w:t xml:space="preserve">. </w:t>
      </w:r>
      <w:r w:rsidRPr="00EB6FB9">
        <w:rPr>
          <w:rFonts w:cs="Segoe UI Symbol"/>
          <w:szCs w:val="20"/>
        </w:rPr>
        <w:t>D</w:t>
      </w:r>
      <w:r w:rsidRPr="00EB6FB9">
        <w:rPr>
          <w:rFonts w:eastAsia="Marianne" w:cs="Arial"/>
          <w:szCs w:val="20"/>
        </w:rPr>
        <w:t>es opportunités existent</w:t>
      </w:r>
      <w:r w:rsidRPr="00564DD2">
        <w:rPr>
          <w:rFonts w:eastAsia="Marianne" w:cs="Arial"/>
          <w:b/>
          <w:bCs/>
          <w:szCs w:val="20"/>
        </w:rPr>
        <w:t xml:space="preserve"> </w:t>
      </w:r>
      <w:r w:rsidRPr="00564DD2">
        <w:rPr>
          <w:rFonts w:eastAsia="Marianne" w:cs="Arial"/>
          <w:szCs w:val="20"/>
        </w:rPr>
        <w:t>dans le</w:t>
      </w:r>
      <w:r w:rsidRPr="00564DD2">
        <w:t xml:space="preserve"> </w:t>
      </w:r>
      <w:r w:rsidRPr="00564DD2">
        <w:rPr>
          <w:rFonts w:eastAsia="Marianne" w:cs="Arial"/>
          <w:szCs w:val="20"/>
        </w:rPr>
        <w:t>développement des chaînes de valeur, en particulier pour la noix de cajou, ainsi que les cultures vivrières (riz, manioc, banane plantain) et les filières animales (principalement volailles), dans les petits équipements agricoles et dans les intrants (semences végétales).</w:t>
      </w:r>
      <w:r>
        <w:rPr>
          <w:rFonts w:eastAsia="Marianne" w:cs="Arial"/>
          <w:szCs w:val="20"/>
        </w:rPr>
        <w:t xml:space="preserve"> </w:t>
      </w:r>
      <w:r w:rsidRPr="00EB6FB9">
        <w:rPr>
          <w:rFonts w:eastAsia="Marianne" w:cs="Arial"/>
          <w:szCs w:val="20"/>
        </w:rPr>
        <w:t>La balance commerciale de produits agricoles et alimentaires</w:t>
      </w:r>
      <w:r w:rsidRPr="00EB6FB9">
        <w:t xml:space="preserve"> </w:t>
      </w:r>
      <w:r w:rsidRPr="00EB6FB9">
        <w:rPr>
          <w:rFonts w:eastAsia="Marianne" w:cs="Arial"/>
          <w:szCs w:val="20"/>
        </w:rPr>
        <w:t>structurellement excédentaire grâce aux exportations de noix de cajou brutes.</w:t>
      </w:r>
      <w:r w:rsidRPr="00564DD2">
        <w:rPr>
          <w:rFonts w:eastAsia="Marianne" w:cs="Arial"/>
          <w:szCs w:val="20"/>
        </w:rPr>
        <w:t xml:space="preserve"> Les échanges bilatéraux avec la France restent très modestes.</w:t>
      </w:r>
    </w:p>
    <w:p w14:paraId="7BA3FE47" w14:textId="77777777" w:rsidR="00EB6FB9" w:rsidRPr="008B5EB7" w:rsidRDefault="00EB6FB9" w:rsidP="00EB6FB9">
      <w:pPr>
        <w:spacing w:after="0" w:line="240" w:lineRule="auto"/>
        <w:rPr>
          <w:szCs w:val="20"/>
        </w:rPr>
      </w:pPr>
      <w:r w:rsidRPr="00C01581">
        <w:rPr>
          <w:szCs w:val="20"/>
        </w:rPr>
        <w:t xml:space="preserve">La note </w:t>
      </w:r>
      <w:r w:rsidRPr="00C01581">
        <w:rPr>
          <w:bCs/>
          <w:szCs w:val="20"/>
        </w:rPr>
        <w:t>est disponible auprès du Conseiller aux affaires agricoles pour les pays d’Afrique de l’Ouest (hors Ghana et Nigéria)</w:t>
      </w:r>
      <w:r>
        <w:rPr>
          <w:bCs/>
          <w:szCs w:val="20"/>
        </w:rPr>
        <w:t xml:space="preserve"> et sur le site internet du SER de Côte d’Ivoire</w:t>
      </w:r>
      <w:r w:rsidRPr="00C01581">
        <w:rPr>
          <w:bCs/>
          <w:szCs w:val="20"/>
        </w:rPr>
        <w:t>.</w:t>
      </w:r>
    </w:p>
    <w:p w14:paraId="403FD5E9" w14:textId="77777777" w:rsidR="00EB6FB9" w:rsidRDefault="00EB6FB9" w:rsidP="006C1591">
      <w:pPr>
        <w:pStyle w:val="Titre2"/>
        <w:spacing w:before="0"/>
      </w:pPr>
    </w:p>
    <w:p w14:paraId="49EF4B9C" w14:textId="12A78902" w:rsidR="00951B89" w:rsidRPr="009A2E71" w:rsidRDefault="00951B89" w:rsidP="006C1591">
      <w:pPr>
        <w:pStyle w:val="Titre2"/>
        <w:spacing w:before="0"/>
      </w:pPr>
      <w:bookmarkStart w:id="263" w:name="_Toc213247522"/>
      <w:r w:rsidRPr="009A2E71">
        <w:t>Anacarde – Les prévisions tablent sur 250 000 tonnes d’exportations en 2025.</w:t>
      </w:r>
      <w:bookmarkEnd w:id="263"/>
    </w:p>
    <w:p w14:paraId="0CDBBB64" w14:textId="7A895BD1" w:rsidR="00972829" w:rsidRPr="009A2E71" w:rsidRDefault="00951B89" w:rsidP="006C1591">
      <w:pPr>
        <w:spacing w:after="0"/>
      </w:pPr>
      <w:r w:rsidRPr="009A2E71">
        <w:t xml:space="preserve">La filière anacarde, pilier de l’économie de la Guinée-Bissau, prévoit d’atteindre 250 000 tonnes exportées en 2025, selon le directeur général du </w:t>
      </w:r>
      <w:r w:rsidR="00456998" w:rsidRPr="009A2E71">
        <w:t>c</w:t>
      </w:r>
      <w:r w:rsidRPr="009A2E71">
        <w:t xml:space="preserve">ommerce extérieur, </w:t>
      </w:r>
      <w:r w:rsidR="00456998" w:rsidRPr="009A2E71">
        <w:t xml:space="preserve">M. </w:t>
      </w:r>
      <w:r w:rsidRPr="009A2E71">
        <w:t>Lassana Fati. À ce jour, 180 000 tonnes ont déjà quitté le pays, grâce à une hausse du prix au producteur passée de 410 à 550 FCFA le kilo. Cette revalorisation, conjuguée au renforcement des contrôles frontaliers et au dragage du port de Bissau désormais capable de gérer 3 000 tonnes par jour, soutient la croissance du secteur. Les ventes auraient généré plus de 300 M USD, confirmant le rôle de l’anacarde comme principale source de recettes extérieures, avec 93% des exportations nationales. M. Fati a appelé les producteurs à écouler leurs stocks et mis en garde contre les exportations clandestines.</w:t>
      </w:r>
    </w:p>
    <w:p w14:paraId="02944B67" w14:textId="77777777" w:rsidR="008A144C" w:rsidRPr="009A2E71" w:rsidRDefault="008A144C" w:rsidP="006C1591">
      <w:pPr>
        <w:spacing w:after="0"/>
      </w:pPr>
    </w:p>
    <w:p w14:paraId="0892B9F6" w14:textId="0E1D663E" w:rsidR="00832CC5" w:rsidRPr="009A2E71" w:rsidRDefault="009D0F96" w:rsidP="006C1591">
      <w:pPr>
        <w:pStyle w:val="Titre1"/>
        <w:spacing w:before="0"/>
      </w:pPr>
      <w:bookmarkStart w:id="264" w:name="_Toc207812057"/>
      <w:bookmarkStart w:id="265" w:name="_Toc207812925"/>
      <w:bookmarkStart w:id="266" w:name="_Toc207813087"/>
      <w:bookmarkStart w:id="267" w:name="_Toc213247523"/>
      <w:r w:rsidRPr="009A2E71">
        <w:t>Libéria</w:t>
      </w:r>
      <w:bookmarkEnd w:id="264"/>
      <w:bookmarkEnd w:id="265"/>
      <w:bookmarkEnd w:id="266"/>
      <w:bookmarkEnd w:id="267"/>
    </w:p>
    <w:p w14:paraId="1987653E" w14:textId="77777777" w:rsidR="005C7E32" w:rsidRPr="009A2E71" w:rsidRDefault="005C7E32" w:rsidP="005C7E32">
      <w:pPr>
        <w:pStyle w:val="Titre2"/>
        <w:spacing w:before="0"/>
      </w:pPr>
      <w:bookmarkStart w:id="268" w:name="_Toc213247524"/>
      <w:r w:rsidRPr="009A2E71">
        <w:t>Sol – L’Union européenne finance un projet de gestion durable des terres.</w:t>
      </w:r>
      <w:bookmarkEnd w:id="268"/>
    </w:p>
    <w:p w14:paraId="7A43A807" w14:textId="0BBA5AA5" w:rsidR="005C7E32" w:rsidRDefault="005C7E32" w:rsidP="005C7E32">
      <w:pPr>
        <w:spacing w:after="0"/>
      </w:pPr>
      <w:r w:rsidRPr="009A2E71">
        <w:t xml:space="preserve">L’Union européenne a lancé le projet Soils4Liberia, d’un montant de 4,6 M USD, destiné à améliorer la gestion des sols et des terres dans le pays. Mis en œuvre par l’Institut international d’agriculture tropicale (IITA), le programme soutient la création du </w:t>
      </w:r>
      <w:r w:rsidRPr="009A2E71">
        <w:rPr>
          <w:i/>
          <w:iCs/>
        </w:rPr>
        <w:t xml:space="preserve">Liberia Land and </w:t>
      </w:r>
      <w:proofErr w:type="spellStart"/>
      <w:r w:rsidRPr="009A2E71">
        <w:rPr>
          <w:i/>
          <w:iCs/>
        </w:rPr>
        <w:t>Soil</w:t>
      </w:r>
      <w:proofErr w:type="spellEnd"/>
      <w:r w:rsidRPr="009A2E71">
        <w:rPr>
          <w:i/>
          <w:iCs/>
        </w:rPr>
        <w:t xml:space="preserve"> Information System</w:t>
      </w:r>
      <w:r w:rsidRPr="009A2E71">
        <w:t xml:space="preserve">, une plateforme numérique de données sur les ressources foncières et pédologiques. Il vise à renforcer la productivité agricole, la planification de l’usage des terres et la résilience climatique. Le projet, d’une durée de quatre ans, appuie plusieurs institutions nationales dont le ministère de l’agriculture, le centre de recherche agricole (CARI), l’université du Liberia, la Liberia Land </w:t>
      </w:r>
      <w:proofErr w:type="spellStart"/>
      <w:r w:rsidRPr="009A2E71">
        <w:t>Authority</w:t>
      </w:r>
      <w:proofErr w:type="spellEnd"/>
      <w:r w:rsidRPr="009A2E71">
        <w:t xml:space="preserve"> et la Forest </w:t>
      </w:r>
      <w:proofErr w:type="spellStart"/>
      <w:r w:rsidRPr="009A2E71">
        <w:t>Development</w:t>
      </w:r>
      <w:proofErr w:type="spellEnd"/>
      <w:r w:rsidRPr="009A2E71">
        <w:t xml:space="preserve"> </w:t>
      </w:r>
      <w:proofErr w:type="spellStart"/>
      <w:r w:rsidRPr="009A2E71">
        <w:t>Authority</w:t>
      </w:r>
      <w:proofErr w:type="spellEnd"/>
      <w:r w:rsidRPr="009A2E71">
        <w:t>. Des centaines de professionnels et chercheurs bénéficieront de formations en cartographie, fertilité et conservation des sols. L’Union européenne souligne que cette initiative contribuera à une agriculture plus durable et fondée sur la connaissance.</w:t>
      </w:r>
    </w:p>
    <w:p w14:paraId="07342AA9" w14:textId="77554A24" w:rsidR="00C7107B" w:rsidRDefault="00C7107B" w:rsidP="005C7E32">
      <w:pPr>
        <w:spacing w:after="0"/>
      </w:pPr>
    </w:p>
    <w:p w14:paraId="2F9B3CEC" w14:textId="77777777" w:rsidR="00C7107B" w:rsidRPr="009A2E71" w:rsidRDefault="00C7107B" w:rsidP="00C7107B">
      <w:pPr>
        <w:pStyle w:val="Titre2"/>
        <w:spacing w:before="0"/>
      </w:pPr>
      <w:bookmarkStart w:id="269" w:name="_Toc213247525"/>
      <w:r w:rsidRPr="009A2E71">
        <w:t xml:space="preserve">Sol – Feuille de route du Liberia National </w:t>
      </w:r>
      <w:proofErr w:type="spellStart"/>
      <w:r w:rsidRPr="009A2E71">
        <w:t>Soil</w:t>
      </w:r>
      <w:proofErr w:type="spellEnd"/>
      <w:r w:rsidRPr="009A2E71">
        <w:t xml:space="preserve"> Information System (</w:t>
      </w:r>
      <w:proofErr w:type="spellStart"/>
      <w:r w:rsidRPr="009A2E71">
        <w:t>LiNSIS</w:t>
      </w:r>
      <w:proofErr w:type="spellEnd"/>
      <w:r w:rsidRPr="009A2E71">
        <w:t>).</w:t>
      </w:r>
      <w:bookmarkEnd w:id="269"/>
    </w:p>
    <w:p w14:paraId="717CF110" w14:textId="77777777" w:rsidR="00C7107B" w:rsidRPr="009A2E71" w:rsidRDefault="00C7107B" w:rsidP="00C7107B">
      <w:pPr>
        <w:spacing w:after="0"/>
      </w:pPr>
      <w:r w:rsidRPr="009A2E71">
        <w:t xml:space="preserve">Le « </w:t>
      </w:r>
      <w:proofErr w:type="spellStart"/>
      <w:r w:rsidRPr="009A2E71">
        <w:t>Fertilizer</w:t>
      </w:r>
      <w:proofErr w:type="spellEnd"/>
      <w:r w:rsidRPr="009A2E71">
        <w:t xml:space="preserve"> and </w:t>
      </w:r>
      <w:proofErr w:type="spellStart"/>
      <w:r w:rsidRPr="009A2E71">
        <w:t>Soil</w:t>
      </w:r>
      <w:proofErr w:type="spellEnd"/>
      <w:r w:rsidRPr="009A2E71">
        <w:t xml:space="preserve"> </w:t>
      </w:r>
      <w:proofErr w:type="spellStart"/>
      <w:r w:rsidRPr="009A2E71">
        <w:t>Health</w:t>
      </w:r>
      <w:proofErr w:type="spellEnd"/>
      <w:r w:rsidRPr="009A2E71">
        <w:t xml:space="preserve"> Hub for West </w:t>
      </w:r>
      <w:proofErr w:type="spellStart"/>
      <w:r w:rsidRPr="009A2E71">
        <w:t>Africa</w:t>
      </w:r>
      <w:proofErr w:type="spellEnd"/>
      <w:r w:rsidRPr="009A2E71">
        <w:t xml:space="preserve"> and the Sahel », sous-programme lancé en 2024 par ECOWAS, a tenu un atelier de trois jours, coordonné par l’International Institute of Tropical Agriculture (IITA) pour élaborer la feuille de route du </w:t>
      </w:r>
      <w:bookmarkStart w:id="270" w:name="_Hlk211261010"/>
      <w:proofErr w:type="spellStart"/>
      <w:r w:rsidRPr="009A2E71">
        <w:t>LiNSIS</w:t>
      </w:r>
      <w:bookmarkEnd w:id="270"/>
      <w:proofErr w:type="spellEnd"/>
      <w:r w:rsidRPr="009A2E71">
        <w:t xml:space="preserve"> et stimuler l’investissement en santé des sols et en usage approprié des engrais. Le dispositif associe le ministère de l’agriculture, le Central Agricultural </w:t>
      </w:r>
      <w:proofErr w:type="spellStart"/>
      <w:r w:rsidRPr="009A2E71">
        <w:t>Research</w:t>
      </w:r>
      <w:proofErr w:type="spellEnd"/>
      <w:r w:rsidRPr="009A2E71">
        <w:t xml:space="preserve"> Institute (CARI), l’Université du Liberia et des partenaires techniques, avec un appui de l’Union européenne à travers le projet Soils4Liberia et d’ISRIC – World </w:t>
      </w:r>
      <w:proofErr w:type="spellStart"/>
      <w:r w:rsidRPr="009A2E71">
        <w:t>Soil</w:t>
      </w:r>
      <w:proofErr w:type="spellEnd"/>
      <w:r w:rsidRPr="009A2E71">
        <w:t xml:space="preserve"> Information (ISRIC). Les priorités portent sur la mise en place d’essais d’omission nutritive (NOT) sur 50 parcelles paysannes ciblant le riz pour générer des recommandations d’engrais spécifiques aux sites, l’équipement et la montée en capacité d’un laboratoire fonctionnel à l’Université du Liberia, la définition d’outils et de protocoles d’échantillonnage pour une enquête nationale et le déploiement d’une cartographie numérique des sols. Le pays ne dispose pas de carte numérique ni de données récentes, le dernier inventaire national remontant aux années 1970, et l’absence de laboratoire opérationnel freine la production de données critiques. Le Hub s’appuie aussi sur la Banque mondiale via « </w:t>
      </w:r>
      <w:proofErr w:type="spellStart"/>
      <w:r w:rsidRPr="009A2E71">
        <w:t>Accelerating</w:t>
      </w:r>
      <w:proofErr w:type="spellEnd"/>
      <w:r w:rsidRPr="009A2E71">
        <w:t xml:space="preserve"> Impacts of CGIAR </w:t>
      </w:r>
      <w:proofErr w:type="spellStart"/>
      <w:r w:rsidRPr="009A2E71">
        <w:t>Climate</w:t>
      </w:r>
      <w:proofErr w:type="spellEnd"/>
      <w:r w:rsidRPr="009A2E71">
        <w:t xml:space="preserve"> </w:t>
      </w:r>
      <w:proofErr w:type="spellStart"/>
      <w:r w:rsidRPr="009A2E71">
        <w:t>Research</w:t>
      </w:r>
      <w:proofErr w:type="spellEnd"/>
      <w:r w:rsidRPr="009A2E71">
        <w:t xml:space="preserve"> for </w:t>
      </w:r>
      <w:proofErr w:type="spellStart"/>
      <w:r w:rsidRPr="009A2E71">
        <w:t>Africa</w:t>
      </w:r>
      <w:proofErr w:type="spellEnd"/>
      <w:r w:rsidRPr="009A2E71">
        <w:t xml:space="preserve"> » de la Consultative Group on International Agricultural </w:t>
      </w:r>
      <w:proofErr w:type="spellStart"/>
      <w:r w:rsidRPr="009A2E71">
        <w:t>Research</w:t>
      </w:r>
      <w:proofErr w:type="spellEnd"/>
      <w:r w:rsidRPr="009A2E71">
        <w:t xml:space="preserve"> (CGIAR) (AICCRA) et sur le cadre </w:t>
      </w:r>
      <w:proofErr w:type="spellStart"/>
      <w:r w:rsidRPr="009A2E71">
        <w:t>AgWise</w:t>
      </w:r>
      <w:proofErr w:type="spellEnd"/>
      <w:r w:rsidRPr="009A2E71">
        <w:t xml:space="preserve"> </w:t>
      </w:r>
      <w:proofErr w:type="spellStart"/>
      <w:r w:rsidRPr="009A2E71">
        <w:t>Decision</w:t>
      </w:r>
      <w:proofErr w:type="spellEnd"/>
      <w:r w:rsidRPr="009A2E71">
        <w:t xml:space="preserve"> Support Framework pour fournir des recommandations fondées sur les données. L’objectif est de combler les lacunes d’investissement et de politique publique, de réduire les recommandations d’engrais uniformes peu performantes et de renforcer durablement les capacités nationales afin d’améliorer la productivité et la sécurité alimentaire.</w:t>
      </w:r>
    </w:p>
    <w:p w14:paraId="226DF588" w14:textId="77777777" w:rsidR="005C7E32" w:rsidRDefault="005C7E32" w:rsidP="005C7E32">
      <w:pPr>
        <w:pStyle w:val="Titre2"/>
        <w:spacing w:before="0"/>
      </w:pPr>
    </w:p>
    <w:p w14:paraId="03FCC72F" w14:textId="6D6A4F37" w:rsidR="005C7E32" w:rsidRPr="009A2E71" w:rsidRDefault="005C7E32" w:rsidP="005C7E32">
      <w:pPr>
        <w:pStyle w:val="Titre2"/>
        <w:spacing w:before="0"/>
      </w:pPr>
      <w:bookmarkStart w:id="271" w:name="_Toc213247526"/>
      <w:r w:rsidRPr="009A2E71">
        <w:t>Foncier – L’Organisation des Nations unies pour l’alimentation et l’agriculture (FAO) appelle à des réformes visant à clarifier les droits fonciers et forestiers.</w:t>
      </w:r>
      <w:bookmarkEnd w:id="271"/>
    </w:p>
    <w:p w14:paraId="13720D60" w14:textId="77777777" w:rsidR="005C7E32" w:rsidRPr="009A2E71" w:rsidRDefault="005C7E32" w:rsidP="005C7E32">
      <w:pPr>
        <w:spacing w:after="0"/>
      </w:pPr>
      <w:r w:rsidRPr="009A2E71">
        <w:t xml:space="preserve">La FAO a réaffirmé son engagement à renforcer la gouvernance des ressources naturelles au Liberia en </w:t>
      </w:r>
      <w:bookmarkStart w:id="272" w:name="_Hlk211258226"/>
      <w:r w:rsidRPr="009A2E71">
        <w:t>appelant à des réformes visant à clarifier les droits fonciers et forestiers</w:t>
      </w:r>
      <w:bookmarkEnd w:id="272"/>
      <w:r w:rsidRPr="009A2E71">
        <w:t xml:space="preserve"> des communautés locales. Lors d’un atelier de validation tenu dans le cadre du projet de gestion communautaire des forêts et des aires protégées (CBFM), la FAO a présenté une analyse juridique visant à harmoniser les lois sur l’environnement et le foncier pour en améliorer la cohérence. Le représentant par intérim de la FAO, le Dr Ibrahim Ahmed, a salué les progrès </w:t>
      </w:r>
      <w:r w:rsidRPr="009A2E71">
        <w:lastRenderedPageBreak/>
        <w:t xml:space="preserve">législatifs accomplis à travers la </w:t>
      </w:r>
      <w:r w:rsidRPr="009A2E71">
        <w:rPr>
          <w:i/>
          <w:iCs/>
        </w:rPr>
        <w:t xml:space="preserve">Land </w:t>
      </w:r>
      <w:proofErr w:type="spellStart"/>
      <w:r w:rsidRPr="009A2E71">
        <w:rPr>
          <w:i/>
          <w:iCs/>
        </w:rPr>
        <w:t>Rights</w:t>
      </w:r>
      <w:proofErr w:type="spellEnd"/>
      <w:r w:rsidRPr="009A2E71">
        <w:rPr>
          <w:i/>
          <w:iCs/>
        </w:rPr>
        <w:t xml:space="preserve"> </w:t>
      </w:r>
      <w:proofErr w:type="spellStart"/>
      <w:r w:rsidRPr="009A2E71">
        <w:rPr>
          <w:i/>
          <w:iCs/>
        </w:rPr>
        <w:t>Act</w:t>
      </w:r>
      <w:proofErr w:type="spellEnd"/>
      <w:r w:rsidRPr="009A2E71">
        <w:t xml:space="preserve"> et la </w:t>
      </w:r>
      <w:r w:rsidRPr="009A2E71">
        <w:rPr>
          <w:i/>
          <w:iCs/>
        </w:rPr>
        <w:t xml:space="preserve">Community </w:t>
      </w:r>
      <w:proofErr w:type="spellStart"/>
      <w:r w:rsidRPr="009A2E71">
        <w:rPr>
          <w:i/>
          <w:iCs/>
        </w:rPr>
        <w:t>Rights</w:t>
      </w:r>
      <w:proofErr w:type="spellEnd"/>
      <w:r w:rsidRPr="009A2E71">
        <w:rPr>
          <w:i/>
          <w:iCs/>
        </w:rPr>
        <w:t xml:space="preserve"> Law</w:t>
      </w:r>
      <w:r w:rsidRPr="009A2E71">
        <w:t xml:space="preserve">, tout en soulignant la nécessité de mieux définir les droits sur le carbone et de renforcer la coordination entre la Liberia Land </w:t>
      </w:r>
      <w:proofErr w:type="spellStart"/>
      <w:r w:rsidRPr="009A2E71">
        <w:t>Authority</w:t>
      </w:r>
      <w:proofErr w:type="spellEnd"/>
      <w:r w:rsidRPr="009A2E71">
        <w:t xml:space="preserve"> (LLA) et la </w:t>
      </w:r>
      <w:proofErr w:type="spellStart"/>
      <w:r w:rsidRPr="009A2E71">
        <w:t>Forestry</w:t>
      </w:r>
      <w:proofErr w:type="spellEnd"/>
      <w:r w:rsidRPr="009A2E71">
        <w:t xml:space="preserve"> </w:t>
      </w:r>
      <w:proofErr w:type="spellStart"/>
      <w:r w:rsidRPr="009A2E71">
        <w:t>Development</w:t>
      </w:r>
      <w:proofErr w:type="spellEnd"/>
      <w:r w:rsidRPr="009A2E71">
        <w:t xml:space="preserve"> </w:t>
      </w:r>
      <w:proofErr w:type="spellStart"/>
      <w:r w:rsidRPr="009A2E71">
        <w:t>Authority</w:t>
      </w:r>
      <w:proofErr w:type="spellEnd"/>
      <w:r w:rsidRPr="009A2E71">
        <w:t xml:space="preserve"> (FDA). La représentante de l’Union européenne, Mme Maria </w:t>
      </w:r>
      <w:proofErr w:type="spellStart"/>
      <w:r w:rsidRPr="009A2E71">
        <w:t>Wisnubst</w:t>
      </w:r>
      <w:proofErr w:type="spellEnd"/>
      <w:r w:rsidRPr="009A2E71">
        <w:t>, a salué le rôle de la FAO dans la promotion de la législation forestière et confirmé la poursuite du partenariat avec l’organisation pour soutenir les réformes juridiques en matière de gestion foncière et forestière.</w:t>
      </w:r>
    </w:p>
    <w:p w14:paraId="1977D14D" w14:textId="77777777" w:rsidR="005C7E32" w:rsidRPr="009A2E71" w:rsidRDefault="005C7E32" w:rsidP="005C7E32">
      <w:pPr>
        <w:spacing w:after="0"/>
      </w:pPr>
    </w:p>
    <w:p w14:paraId="24A53E02" w14:textId="77777777" w:rsidR="005C7E32" w:rsidRPr="009A2E71" w:rsidRDefault="005C7E32" w:rsidP="005C7E32">
      <w:pPr>
        <w:pStyle w:val="Titre2"/>
        <w:spacing w:before="0"/>
      </w:pPr>
      <w:bookmarkStart w:id="273" w:name="_Toc213247527"/>
      <w:r w:rsidRPr="009A2E71">
        <w:t xml:space="preserve">Sécurité alimentaire – Lancement de la campagne « Nourrir la Nation » de la World </w:t>
      </w:r>
      <w:proofErr w:type="spellStart"/>
      <w:r w:rsidRPr="009A2E71">
        <w:t>Foundation</w:t>
      </w:r>
      <w:proofErr w:type="spellEnd"/>
      <w:r w:rsidRPr="009A2E71">
        <w:t xml:space="preserve"> International Multipurpose Agriculture </w:t>
      </w:r>
      <w:proofErr w:type="spellStart"/>
      <w:r w:rsidRPr="009A2E71">
        <w:t>Cooperative</w:t>
      </w:r>
      <w:proofErr w:type="spellEnd"/>
      <w:r w:rsidRPr="009A2E71">
        <w:t xml:space="preserve"> (WFI-MAC).</w:t>
      </w:r>
      <w:bookmarkEnd w:id="273"/>
    </w:p>
    <w:p w14:paraId="72488DB1" w14:textId="3321D82E" w:rsidR="005C7E32" w:rsidRPr="009A2E71" w:rsidRDefault="005C7E32" w:rsidP="005C7E32">
      <w:pPr>
        <w:spacing w:after="0"/>
      </w:pPr>
      <w:bookmarkStart w:id="274" w:name="_Hlk211257604"/>
      <w:r w:rsidRPr="009A2E71">
        <w:t xml:space="preserve">WFI-MAC </w:t>
      </w:r>
      <w:bookmarkEnd w:id="274"/>
      <w:r w:rsidRPr="009A2E71">
        <w:t xml:space="preserve">a annoncé le lancement le 30 octobre de son initiative nationale phare intitulée </w:t>
      </w:r>
      <w:proofErr w:type="spellStart"/>
      <w:r w:rsidRPr="005C7E32">
        <w:rPr>
          <w:i/>
          <w:iCs/>
        </w:rPr>
        <w:t>Operation</w:t>
      </w:r>
      <w:proofErr w:type="spellEnd"/>
      <w:r w:rsidRPr="005C7E32">
        <w:rPr>
          <w:i/>
          <w:iCs/>
        </w:rPr>
        <w:t xml:space="preserve"> </w:t>
      </w:r>
      <w:proofErr w:type="spellStart"/>
      <w:r w:rsidRPr="005C7E32">
        <w:rPr>
          <w:i/>
          <w:iCs/>
        </w:rPr>
        <w:t>Feed</w:t>
      </w:r>
      <w:proofErr w:type="spellEnd"/>
      <w:r w:rsidRPr="005C7E32">
        <w:rPr>
          <w:i/>
          <w:iCs/>
        </w:rPr>
        <w:t xml:space="preserve"> the Nation</w:t>
      </w:r>
      <w:r>
        <w:rPr>
          <w:i/>
          <w:iCs/>
        </w:rPr>
        <w:t xml:space="preserve"> -</w:t>
      </w:r>
      <w:r w:rsidRPr="005C7E32">
        <w:rPr>
          <w:i/>
          <w:iCs/>
        </w:rPr>
        <w:t xml:space="preserve"> Liberia</w:t>
      </w:r>
      <w:r w:rsidRPr="009A2E71">
        <w:t xml:space="preserve"> un programme quinquennal visant à renforcer la sécurité alimentaire, autonomiser les agriculteurs et réduire la dépendance du pays aux importations alimentaires. Présentée par le directeur général, M. Lincoln Z. Cooper, cette campagne s’inscrit dans l’Agenda ARREST du gouvernement et repose sur une stratégie 2025-2030 axée sur l’agriculture climato-intelligente, l’accès aux semences et intrants de qualité, la création de centres de transformation agroalimentaire dans les quinze comtés et le développement d’un registre national des producteurs. WFI-MAC qui compte plus de 52 500 membres, collabore avec des femmes, des jeunes et des producteurs à faibles ressources à travers des partenariats communautaires. Le président du conseil exécutif, le Dr John </w:t>
      </w:r>
      <w:proofErr w:type="spellStart"/>
      <w:r w:rsidRPr="009A2E71">
        <w:t>Wulu</w:t>
      </w:r>
      <w:proofErr w:type="spellEnd"/>
      <w:r w:rsidRPr="009A2E71">
        <w:t>, a réaffirmé l’engagement du mouvement à n’exclure aucun producteur et à faire de l’agriculture un moteur de croissance et d’emplois. Le lancement s’est fait en présence de représentants gouvernementaux et de partenaires internationaux, dont la Banque mondiale, l’Union européenne et les Nations unies.</w:t>
      </w:r>
    </w:p>
    <w:p w14:paraId="6470BDA1" w14:textId="77777777" w:rsidR="005C7E32" w:rsidRPr="009A2E71" w:rsidRDefault="005C7E32" w:rsidP="005C7E32">
      <w:pPr>
        <w:spacing w:after="0"/>
      </w:pPr>
    </w:p>
    <w:p w14:paraId="5427ACEB" w14:textId="77777777" w:rsidR="005C7E32" w:rsidRPr="009A2E71" w:rsidRDefault="005C7E32" w:rsidP="005C7E32">
      <w:pPr>
        <w:pStyle w:val="Titre2"/>
        <w:spacing w:before="0"/>
      </w:pPr>
      <w:bookmarkStart w:id="275" w:name="_Hlk211420353"/>
      <w:bookmarkStart w:id="276" w:name="_Toc213247528"/>
      <w:r w:rsidRPr="009A2E71">
        <w:t>Nutrition – Près de 30% des enfants libériens souffrent de retard de croissance.</w:t>
      </w:r>
      <w:bookmarkEnd w:id="276"/>
    </w:p>
    <w:p w14:paraId="11218EA3" w14:textId="77777777" w:rsidR="005C7E32" w:rsidRPr="009A2E71" w:rsidRDefault="005C7E32" w:rsidP="005C7E32">
      <w:pPr>
        <w:spacing w:after="0"/>
      </w:pPr>
      <w:r w:rsidRPr="009A2E71">
        <w:t xml:space="preserve">Le dialogue politique sur la gouvernance nutritionnelle, organisé par UN Nutrition et </w:t>
      </w:r>
      <w:proofErr w:type="spellStart"/>
      <w:r w:rsidRPr="009A2E71">
        <w:t>Scaling</w:t>
      </w:r>
      <w:proofErr w:type="spellEnd"/>
      <w:r w:rsidRPr="009A2E71">
        <w:t xml:space="preserve"> Up Nutrition (SUN) Liberia, a réuni des représentants du Parlement, du gouvernement, des agences onusiennes et de la société civile afin de renforcer l’engagement législatif sur la nutrition. La malnutrition infantile touche près de 30% des enfants de moins de cinq ans au Liberia. La sénatrice Mme </w:t>
      </w:r>
      <w:proofErr w:type="spellStart"/>
      <w:r w:rsidRPr="009A2E71">
        <w:t>Dabah</w:t>
      </w:r>
      <w:proofErr w:type="spellEnd"/>
      <w:r w:rsidRPr="009A2E71">
        <w:t xml:space="preserve"> M. </w:t>
      </w:r>
      <w:proofErr w:type="spellStart"/>
      <w:r w:rsidRPr="009A2E71">
        <w:t>Varpilah</w:t>
      </w:r>
      <w:proofErr w:type="spellEnd"/>
      <w:r w:rsidRPr="009A2E71">
        <w:t xml:space="preserve"> a rappelé que malgré les progrès réalisés depuis l’adhésion du pays au Mouvement SUN en 2014, la gouvernance nutritionnelle exige des lois, des financements et un suivi rigoureux. Le représentant du coordonnateur résidant des Nations unies, M. Christian </w:t>
      </w:r>
      <w:proofErr w:type="spellStart"/>
      <w:r w:rsidRPr="009A2E71">
        <w:t>Mukosa</w:t>
      </w:r>
      <w:proofErr w:type="spellEnd"/>
      <w:r w:rsidRPr="009A2E71">
        <w:t>, a souligné la nécessité de faire de la nutrition une priorité politique et budgétaire, tandis que le ministère de l’agriculture a mis en avant l’importance de l’agriculture en matière de nutrition et de fortification alimentaire. Les participants ont appelé les parlementaires à adopter rapidement le projet de loi sur le Code de commercialisation des substituts du lait maternel (BMS) et à intégrer durablement la nutrition dans l’Agenda pour un développement inclusif (AAID) du gouvernement.</w:t>
      </w:r>
      <w:bookmarkEnd w:id="275"/>
    </w:p>
    <w:p w14:paraId="5285911D" w14:textId="77777777" w:rsidR="005C7E32" w:rsidRDefault="005C7E32" w:rsidP="005C7E32">
      <w:pPr>
        <w:pStyle w:val="Titre2"/>
        <w:spacing w:before="0"/>
      </w:pPr>
    </w:p>
    <w:p w14:paraId="36F8A0E6" w14:textId="035AEEBE" w:rsidR="005C7E32" w:rsidRPr="009A2E71" w:rsidRDefault="005C7E32" w:rsidP="005C7E32">
      <w:pPr>
        <w:pStyle w:val="Titre2"/>
        <w:spacing w:before="0"/>
      </w:pPr>
      <w:bookmarkStart w:id="277" w:name="_Toc213247529"/>
      <w:r w:rsidRPr="009A2E71">
        <w:t>Riz – Lancement de la campagne des récoltes.</w:t>
      </w:r>
      <w:bookmarkEnd w:id="277"/>
    </w:p>
    <w:p w14:paraId="149D2FEC" w14:textId="691CF82C" w:rsidR="005C7E32" w:rsidRPr="009A2E71" w:rsidRDefault="005C7E32" w:rsidP="005C7E32">
      <w:pPr>
        <w:spacing w:after="0"/>
      </w:pPr>
      <w:r w:rsidRPr="009A2E71">
        <w:t xml:space="preserve">Le ministre de l’agriculture, M. J. Alexander </w:t>
      </w:r>
      <w:proofErr w:type="spellStart"/>
      <w:proofErr w:type="gramStart"/>
      <w:r w:rsidRPr="009A2E71">
        <w:t>Nuetah,a</w:t>
      </w:r>
      <w:proofErr w:type="spellEnd"/>
      <w:proofErr w:type="gramEnd"/>
      <w:r w:rsidRPr="009A2E71">
        <w:t xml:space="preserve"> lancé la campagne nationale de récolte du riz 2025 et a annoncé l’ouverture de trois centres de mécanisation pour faciliter l’accès des producteurs aux équipements agricoles. Parallèlement, le projet «</w:t>
      </w:r>
      <w:r w:rsidRPr="009A2E71">
        <w:rPr>
          <w:rFonts w:ascii="Calibri" w:hAnsi="Calibri" w:cs="Calibri"/>
        </w:rPr>
        <w:t> </w:t>
      </w:r>
      <w:proofErr w:type="spellStart"/>
      <w:r w:rsidRPr="009A2E71">
        <w:t>Gbadin</w:t>
      </w:r>
      <w:proofErr w:type="spellEnd"/>
      <w:r w:rsidRPr="009A2E71">
        <w:t xml:space="preserve"> Rice</w:t>
      </w:r>
      <w:r w:rsidRPr="009A2E71">
        <w:rPr>
          <w:rFonts w:ascii="Calibri" w:hAnsi="Calibri" w:cs="Calibri"/>
        </w:rPr>
        <w:t> </w:t>
      </w:r>
      <w:r w:rsidRPr="009A2E71">
        <w:rPr>
          <w:rFonts w:cs="Marianne"/>
        </w:rPr>
        <w:t>»</w:t>
      </w:r>
      <w:r w:rsidRPr="009A2E71">
        <w:t xml:space="preserve">, conduit par </w:t>
      </w:r>
      <w:proofErr w:type="spellStart"/>
      <w:r w:rsidRPr="009A2E71">
        <w:t>Gbadin</w:t>
      </w:r>
      <w:proofErr w:type="spellEnd"/>
      <w:r w:rsidRPr="009A2E71">
        <w:t xml:space="preserve"> Agro-Business Inc., a été relancé sur 400 ha, avec une production attendue de 600 tonnes et un appui logistique gouvernemental destiné à réduire les coûts de culture. Dans le comté de </w:t>
      </w:r>
      <w:proofErr w:type="spellStart"/>
      <w:r w:rsidRPr="009A2E71">
        <w:t>Margibi</w:t>
      </w:r>
      <w:proofErr w:type="spellEnd"/>
      <w:r w:rsidRPr="009A2E71">
        <w:t xml:space="preserve">, l’Institut de formation des enseignants ruraux de </w:t>
      </w:r>
      <w:proofErr w:type="spellStart"/>
      <w:r w:rsidRPr="009A2E71">
        <w:t>Kakata</w:t>
      </w:r>
      <w:proofErr w:type="spellEnd"/>
      <w:r w:rsidRPr="009A2E71">
        <w:t xml:space="preserve"> (KRTTI) a récolté </w:t>
      </w:r>
      <w:r w:rsidRPr="009A2E71">
        <w:lastRenderedPageBreak/>
        <w:t>3,8 ha de riz bas-fond financés à hauteur de 5 000 USD dans le cadre d’un programme d’urgence. Ces initiatives traduisent la volonté d’accroître l’autosuffisance alimentaire.</w:t>
      </w:r>
    </w:p>
    <w:p w14:paraId="6D443DAF" w14:textId="77777777" w:rsidR="005C7E32" w:rsidRPr="009A2E71" w:rsidRDefault="005C7E32" w:rsidP="005C7E32">
      <w:pPr>
        <w:spacing w:after="0"/>
      </w:pPr>
    </w:p>
    <w:p w14:paraId="6DFF5151" w14:textId="3CB281C9" w:rsidR="005C7E32" w:rsidRPr="009A2E71" w:rsidRDefault="005C7E32" w:rsidP="005C7E32">
      <w:pPr>
        <w:pStyle w:val="Titre2"/>
        <w:spacing w:before="0"/>
      </w:pPr>
      <w:bookmarkStart w:id="278" w:name="_Toc213247530"/>
      <w:r w:rsidRPr="009A2E71">
        <w:t>Riz –</w:t>
      </w:r>
      <w:r w:rsidR="00C7107B">
        <w:t xml:space="preserve"> </w:t>
      </w:r>
      <w:r w:rsidRPr="009A2E71">
        <w:t>Feuille de route pour renforcer la production nationale.</w:t>
      </w:r>
      <w:bookmarkEnd w:id="278"/>
    </w:p>
    <w:p w14:paraId="76DF7C3F" w14:textId="05AE7169" w:rsidR="005C7E32" w:rsidRDefault="005C7E32" w:rsidP="005C7E32">
      <w:pPr>
        <w:spacing w:after="0"/>
      </w:pPr>
      <w:r w:rsidRPr="009A2E71">
        <w:t xml:space="preserve">Le ministère de l’agriculture, avec l’appui de l’Union européenne, prépare une feuille de route destinée à relancer la production nationale de riz et à améliorer la compétitivité de la filière. Ce plan, élaboré à la suite d’un dialogue réunissant producteurs, transformateurs, commerçants et acteurs de la chaîne de valeur, vise à identifier les défis du secteur et à proposer des mesures d’incitation adaptées. L’Union européenne s’est engagée à accorder un appui budgétaire de 21 M EUR en 2025 pour soutenir cette initiative. Selon le vice-ministre du plan et du développement agricole, M. David </w:t>
      </w:r>
      <w:proofErr w:type="spellStart"/>
      <w:r w:rsidRPr="009A2E71">
        <w:t>Akoi</w:t>
      </w:r>
      <w:proofErr w:type="spellEnd"/>
      <w:r w:rsidRPr="009A2E71">
        <w:t>, la stratégie inclura la réhabilitation des infrastructures d’irrigation, la fourniture d’intrants et l’amélioration de la gouvernance du secteur. Le gouvernement a également porté son allocation budgétaire à 30 M USD en 2025 pour renforcer l’appui aux agriculteurs, confirmant sa volonté de réduire la dépendance alimentaire et de stimuler la production nationale de riz.</w:t>
      </w:r>
    </w:p>
    <w:p w14:paraId="104185B1" w14:textId="77777777" w:rsidR="00C7107B" w:rsidRPr="009A2E71" w:rsidRDefault="00C7107B" w:rsidP="005C7E32">
      <w:pPr>
        <w:spacing w:after="0"/>
      </w:pPr>
    </w:p>
    <w:p w14:paraId="29657F3C" w14:textId="77777777" w:rsidR="00C7107B" w:rsidRPr="009A2E71" w:rsidRDefault="00C7107B" w:rsidP="00C7107B">
      <w:pPr>
        <w:pStyle w:val="Titre2"/>
        <w:spacing w:before="0"/>
      </w:pPr>
      <w:bookmarkStart w:id="279" w:name="_Toc213247531"/>
      <w:r w:rsidRPr="009A2E71">
        <w:t>Riz – Trois cabinets conseils américains mandatés pour réformer le marché libérien.</w:t>
      </w:r>
      <w:bookmarkEnd w:id="279"/>
    </w:p>
    <w:p w14:paraId="35CEE7C1" w14:textId="77777777" w:rsidR="00C7107B" w:rsidRDefault="00C7107B" w:rsidP="00C7107B">
      <w:pPr>
        <w:spacing w:after="0"/>
      </w:pPr>
      <w:r w:rsidRPr="009A2E71">
        <w:t>Le gouvernement du Liberia a mandaté trois cabinets de conseil américains – JNC Capital Inc., Fattah Capital Advisory LLC et Blackwood – pour identifier les acteurs accusés de manipuler le marché national du riz et proposer des réformes. Ces sociétés, rémunérées plus de 1 M USD, doivent conseiller sur la restructuration des réseaux d’importation et de distribution, définir un cadre légal anticorruption et renforcer les partenariats techniques avec les agences américaines. Le secteur, longtemps dominé par un petit nombre d’importateurs puissants, souffre de pratiques opaques et de marges excessives. Le riz couvre près de 20% de la consommation alimentaire nationale et près de la moitié de l’apport calorique des ménages, alors que la production locale ne satisfait qu’un tiers de la demande. Les autorités espèrent qu’une gouvernance plus transparente atténuera l’insécurité alimentaire, qui touche environ la moitié des 5,5 M d’habitants.</w:t>
      </w:r>
    </w:p>
    <w:p w14:paraId="76AE6569" w14:textId="77777777" w:rsidR="005C7E32" w:rsidRPr="009A2E71" w:rsidRDefault="005C7E32" w:rsidP="005C7E32">
      <w:pPr>
        <w:spacing w:after="0"/>
      </w:pPr>
    </w:p>
    <w:p w14:paraId="1B7555F9" w14:textId="77777777" w:rsidR="005C7E32" w:rsidRPr="009A2E71" w:rsidRDefault="005C7E32" w:rsidP="005C7E32">
      <w:pPr>
        <w:pStyle w:val="Titre2"/>
        <w:spacing w:before="0"/>
      </w:pPr>
      <w:bookmarkStart w:id="280" w:name="_Toc213247532"/>
      <w:r w:rsidRPr="009A2E71">
        <w:t xml:space="preserve">Riz – Lancement du projet </w:t>
      </w:r>
      <w:proofErr w:type="spellStart"/>
      <w:r w:rsidRPr="009A2E71">
        <w:t>Gbedin</w:t>
      </w:r>
      <w:proofErr w:type="spellEnd"/>
      <w:r w:rsidRPr="009A2E71">
        <w:t xml:space="preserve"> Agro-Business.</w:t>
      </w:r>
      <w:bookmarkEnd w:id="280"/>
    </w:p>
    <w:p w14:paraId="7F6FE96D" w14:textId="6D7873E5" w:rsidR="005C7E32" w:rsidRPr="009A2E71" w:rsidRDefault="005C7E32" w:rsidP="005C7E32">
      <w:pPr>
        <w:spacing w:after="0"/>
      </w:pPr>
      <w:r w:rsidRPr="009A2E71">
        <w:t xml:space="preserve">Le ministre de l’agriculture, le Dr Alexander </w:t>
      </w:r>
      <w:proofErr w:type="spellStart"/>
      <w:r w:rsidRPr="009A2E71">
        <w:t>Nuetah</w:t>
      </w:r>
      <w:proofErr w:type="spellEnd"/>
      <w:r w:rsidRPr="009A2E71">
        <w:t xml:space="preserve">, a lancé le projet rizicole </w:t>
      </w:r>
      <w:proofErr w:type="spellStart"/>
      <w:r w:rsidRPr="009A2E71">
        <w:t>Gbedin</w:t>
      </w:r>
      <w:proofErr w:type="spellEnd"/>
      <w:r w:rsidRPr="009A2E71">
        <w:t xml:space="preserve"> Agro-Business </w:t>
      </w:r>
      <w:proofErr w:type="spellStart"/>
      <w:r w:rsidRPr="009A2E71">
        <w:t>Incorporated</w:t>
      </w:r>
      <w:proofErr w:type="spellEnd"/>
      <w:r w:rsidRPr="009A2E71">
        <w:t xml:space="preserve">. Le projet, dirigé par M. Samuel Brown, vise à accroître la production nationale et à réduire la dépendance aux importations de riz, qui ont chuté de 25% % à 50% par rapport au début du mandat du ministre. Le ministre a réaffirmé l’engagement du gouvernement à soutenir les agriculteurs en renforçant les investissements, notamment par la mise à disposition de matériel agricole moderne et la création prochaine d’une Banque agricole destinée à faciliter l’accès aux prêts et aux équipements. Trois centres de services d’équipement seront également ouverts dans le comté de Nimba pour appuyer les producteurs. </w:t>
      </w:r>
      <w:proofErr w:type="spellStart"/>
      <w:r w:rsidRPr="009A2E71">
        <w:t>M.Samuel</w:t>
      </w:r>
      <w:proofErr w:type="spellEnd"/>
      <w:r w:rsidRPr="009A2E71">
        <w:t xml:space="preserve"> Brown a salué le soutien des autorités et annoncé la mise sur le marché de sacs de 25 kg de riz au prix de 20 USD afin de renforcer la sécurité alimentaire et la durabilité de la filière.</w:t>
      </w:r>
    </w:p>
    <w:p w14:paraId="58D5578B" w14:textId="77777777" w:rsidR="005C7E32" w:rsidRDefault="005C7E32" w:rsidP="005C7E32">
      <w:pPr>
        <w:pStyle w:val="Titre2"/>
        <w:spacing w:before="0"/>
      </w:pPr>
    </w:p>
    <w:p w14:paraId="1A492C63" w14:textId="4102FA6C" w:rsidR="005C7E32" w:rsidRPr="009A2E71" w:rsidRDefault="005C7E32" w:rsidP="005C7E32">
      <w:pPr>
        <w:pStyle w:val="Titre2"/>
        <w:spacing w:before="0"/>
      </w:pPr>
      <w:bookmarkStart w:id="281" w:name="_Toc213247533"/>
      <w:r w:rsidRPr="009A2E71">
        <w:t>Riz –</w:t>
      </w:r>
      <w:r w:rsidR="00C7107B">
        <w:t xml:space="preserve"> </w:t>
      </w:r>
      <w:r w:rsidRPr="009A2E71">
        <w:t>Prévision de récolte record de paddy dans le comté de Nimba.</w:t>
      </w:r>
      <w:bookmarkEnd w:id="281"/>
    </w:p>
    <w:p w14:paraId="66991861" w14:textId="321AC1D5" w:rsidR="005C7E32" w:rsidRPr="009A2E71" w:rsidRDefault="005C7E32" w:rsidP="005C7E32">
      <w:pPr>
        <w:spacing w:after="0"/>
      </w:pPr>
      <w:r w:rsidRPr="009A2E71">
        <w:t xml:space="preserve">La Liberia Farmers </w:t>
      </w:r>
      <w:proofErr w:type="spellStart"/>
      <w:r w:rsidRPr="009A2E71">
        <w:t>Development</w:t>
      </w:r>
      <w:proofErr w:type="spellEnd"/>
      <w:r w:rsidRPr="009A2E71">
        <w:t xml:space="preserve"> Corporation (LIFADCO) prévoit de récolter environ 5 000 tonnes de riz paddy cette saison. L’organisation travaille avec plus de 200 coopératives regroupant près de 10 000 producteurs. Malgré cette réussite, ses responsables soulignent de </w:t>
      </w:r>
      <w:r w:rsidRPr="009A2E71">
        <w:lastRenderedPageBreak/>
        <w:t xml:space="preserve">fortes contraintes liées à l’absence de matériel agricole moderne, les travaux de labour et de préparation des terres étant réalisés manuellement. LIFADCO réclame un appui pour la mise en place de systèmes d’irrigation et de barrages, ainsi que la création d’un pôle agricole à </w:t>
      </w:r>
      <w:proofErr w:type="spellStart"/>
      <w:r w:rsidRPr="009A2E71">
        <w:t>Buutuo</w:t>
      </w:r>
      <w:proofErr w:type="spellEnd"/>
      <w:r w:rsidRPr="009A2E71">
        <w:t xml:space="preserve"> afin de faciliter l’accès des exploitants aux équipements. Le ministère de l’agriculture prévoit déjà trois hubs agricoles dans la région, mais leur couverture des zones les plus isolées reste incertaine.</w:t>
      </w:r>
    </w:p>
    <w:p w14:paraId="5018991F" w14:textId="0A6F9B49" w:rsidR="005C7E32" w:rsidRDefault="005C7E32" w:rsidP="005C7E32">
      <w:pPr>
        <w:spacing w:after="0"/>
      </w:pPr>
    </w:p>
    <w:p w14:paraId="3F35F967" w14:textId="77777777" w:rsidR="005C7E32" w:rsidRPr="009A2E71" w:rsidRDefault="005C7E32" w:rsidP="005C7E32">
      <w:pPr>
        <w:pStyle w:val="Titre2"/>
        <w:spacing w:before="0"/>
      </w:pPr>
      <w:bookmarkStart w:id="282" w:name="_Toc213247534"/>
      <w:r w:rsidRPr="009A2E71">
        <w:t>Riz – Plus de cent agriculteurs formés.</w:t>
      </w:r>
      <w:bookmarkEnd w:id="282"/>
    </w:p>
    <w:p w14:paraId="14ADB0C6" w14:textId="77777777" w:rsidR="005C7E32" w:rsidRPr="009A2E71" w:rsidRDefault="005C7E32" w:rsidP="005C7E32">
      <w:pPr>
        <w:spacing w:after="0"/>
      </w:pPr>
      <w:r w:rsidRPr="009A2E71">
        <w:t xml:space="preserve">Plus de 100 producteurs ont participé à un programme d’échanges agricoles organisé par le Community of Hope Agriculture Project (CHAP), avec l’appui de </w:t>
      </w:r>
      <w:proofErr w:type="spellStart"/>
      <w:r w:rsidRPr="009A2E71">
        <w:t>Concern</w:t>
      </w:r>
      <w:proofErr w:type="spellEnd"/>
      <w:r w:rsidRPr="009A2E71">
        <w:t xml:space="preserve"> Worldwide et d’Irish </w:t>
      </w:r>
      <w:proofErr w:type="spellStart"/>
      <w:r w:rsidRPr="009A2E71">
        <w:t>Aid</w:t>
      </w:r>
      <w:proofErr w:type="spellEnd"/>
      <w:r w:rsidRPr="009A2E71">
        <w:t>. L’initiative, centrée sur la méthode de Système de riziculture intensive (SRI), vise à accroître les rendements rizicoles. Pendant quatre jours, les agriculteurs ont visité des exploitations partenaires pour partager leurs expériences et apprendre des pratiques innovantes de production durable. Les participants ont salué l’impact du projet sur leurs revenus, leur sécurité alimentaire et leur autonomie, affirmant que le SRI a amélioré la productivité tout en réduisant les intrants. Les promoteurs du programme encouragent la diffusion de ces pratiques au sein des communautés pour pérenniser les acquis.</w:t>
      </w:r>
    </w:p>
    <w:p w14:paraId="666352ED" w14:textId="77777777" w:rsidR="005C7E32" w:rsidRPr="009A2E71" w:rsidRDefault="005C7E32" w:rsidP="005C7E32">
      <w:pPr>
        <w:spacing w:after="0"/>
      </w:pPr>
    </w:p>
    <w:p w14:paraId="6DA3FE5F" w14:textId="220D53F7" w:rsidR="00130136" w:rsidRPr="009A2E71" w:rsidRDefault="00130136" w:rsidP="006C1591">
      <w:pPr>
        <w:pStyle w:val="Titre2"/>
        <w:spacing w:before="0"/>
      </w:pPr>
      <w:bookmarkStart w:id="283" w:name="_Toc213247535"/>
      <w:r w:rsidRPr="009A2E71">
        <w:t>Palmier</w:t>
      </w:r>
      <w:r w:rsidR="004A6C1C" w:rsidRPr="009A2E71">
        <w:t xml:space="preserve"> à huile</w:t>
      </w:r>
      <w:r w:rsidRPr="009A2E71">
        <w:t xml:space="preserve"> –</w:t>
      </w:r>
      <w:r w:rsidR="004A6C1C" w:rsidRPr="009A2E71">
        <w:t>L</w:t>
      </w:r>
      <w:r w:rsidRPr="009A2E71">
        <w:t xml:space="preserve">a levée du moratoire sur les activités de Golden </w:t>
      </w:r>
      <w:proofErr w:type="spellStart"/>
      <w:r w:rsidRPr="009A2E71">
        <w:t>Veroleum</w:t>
      </w:r>
      <w:proofErr w:type="spellEnd"/>
      <w:r w:rsidRPr="009A2E71">
        <w:t xml:space="preserve"> Liberia</w:t>
      </w:r>
      <w:r w:rsidR="004A6C1C" w:rsidRPr="009A2E71">
        <w:t xml:space="preserve"> fortement critiquée</w:t>
      </w:r>
      <w:r w:rsidRPr="009A2E71">
        <w:t>.</w:t>
      </w:r>
      <w:bookmarkEnd w:id="283"/>
    </w:p>
    <w:p w14:paraId="47626531" w14:textId="77777777" w:rsidR="00130136" w:rsidRPr="009A2E71" w:rsidRDefault="00130136" w:rsidP="006C1591">
      <w:pPr>
        <w:spacing w:after="0"/>
      </w:pPr>
      <w:r w:rsidRPr="009A2E71">
        <w:t xml:space="preserve">Des organisations de la société civile libérienne et internationale appellent la Table ronde sur l’huile de palme durable (RSPO) à rétablir l’ordre de suspension imposé à Golden </w:t>
      </w:r>
      <w:proofErr w:type="spellStart"/>
      <w:r w:rsidRPr="009A2E71">
        <w:t>Veroleum</w:t>
      </w:r>
      <w:proofErr w:type="spellEnd"/>
      <w:r w:rsidRPr="009A2E71">
        <w:t xml:space="preserve"> Liberia (GVL), accusée d’avoir détruit plus de 1 000 ha de forêts, profané des sites sacrés et violé les droits fonciers communautaires. La RSPO avait levé en juin 2025 ce moratoire, malgré les conclusions du High Carbon Stock </w:t>
      </w:r>
      <w:proofErr w:type="spellStart"/>
      <w:r w:rsidRPr="009A2E71">
        <w:t>Approach</w:t>
      </w:r>
      <w:proofErr w:type="spellEnd"/>
      <w:r w:rsidRPr="009A2E71">
        <w:t xml:space="preserve"> (HCSA) confirmant la responsabilité de GVL dans la déforestation et le non-respect du consentement libre, préalable et éclairé des communautés. Filiale du groupe indonésien Golden Agri </w:t>
      </w:r>
      <w:proofErr w:type="spellStart"/>
      <w:r w:rsidRPr="009A2E71">
        <w:t>Resources</w:t>
      </w:r>
      <w:proofErr w:type="spellEnd"/>
      <w:r w:rsidRPr="009A2E71">
        <w:t>, GVL n’aurait toujours pas restauré les zones forestières ni renégocié les accords fonciers. Les ONG rappellent que l’entreprise fournit des marques mondiales telles que Unilever, Nestlé et Procter &amp; Gamble, et dénoncent l’inaction des organismes de certification face aux atteintes environnementales et sociales persistantes.</w:t>
      </w:r>
    </w:p>
    <w:p w14:paraId="694C35C0" w14:textId="77777777" w:rsidR="00C7107B" w:rsidRDefault="00C7107B" w:rsidP="00C7107B">
      <w:pPr>
        <w:pStyle w:val="Titre2"/>
        <w:spacing w:before="0"/>
      </w:pPr>
    </w:p>
    <w:p w14:paraId="77188A3E" w14:textId="53C936E8" w:rsidR="00C7107B" w:rsidRPr="009A2E71" w:rsidRDefault="00C7107B" w:rsidP="00C7107B">
      <w:pPr>
        <w:pStyle w:val="Titre2"/>
        <w:spacing w:before="0"/>
      </w:pPr>
      <w:bookmarkStart w:id="284" w:name="_Toc213247536"/>
      <w:r w:rsidRPr="009A2E71">
        <w:t xml:space="preserve">Hévéa – L’International Finance Corporation (IFC) critiquée pour avoir retardé un rapport accablant sur </w:t>
      </w:r>
      <w:proofErr w:type="spellStart"/>
      <w:r w:rsidRPr="009A2E71">
        <w:t>Salala</w:t>
      </w:r>
      <w:proofErr w:type="spellEnd"/>
      <w:r w:rsidRPr="009A2E71">
        <w:t xml:space="preserve"> </w:t>
      </w:r>
      <w:proofErr w:type="spellStart"/>
      <w:r w:rsidRPr="009A2E71">
        <w:t>Rubber</w:t>
      </w:r>
      <w:proofErr w:type="spellEnd"/>
      <w:r w:rsidRPr="009A2E71">
        <w:t>.</w:t>
      </w:r>
      <w:bookmarkEnd w:id="284"/>
    </w:p>
    <w:p w14:paraId="037C54AE" w14:textId="77777777" w:rsidR="00C7107B" w:rsidRPr="009A2E71" w:rsidRDefault="00C7107B" w:rsidP="00C7107B">
      <w:pPr>
        <w:spacing w:after="0"/>
      </w:pPr>
      <w:r w:rsidRPr="009A2E71">
        <w:t xml:space="preserve">L’IFC, bras d’investissement privé de la Banque mondiale, est accusée d’avoir retardé de plus d’un an la publication d’un rapport interne sur les violations environnementales et sociales liées à la plantation de caoutchouc </w:t>
      </w:r>
      <w:proofErr w:type="spellStart"/>
      <w:r w:rsidRPr="009A2E71">
        <w:t>Salala</w:t>
      </w:r>
      <w:proofErr w:type="spellEnd"/>
      <w:r w:rsidRPr="009A2E71">
        <w:t xml:space="preserve"> </w:t>
      </w:r>
      <w:proofErr w:type="spellStart"/>
      <w:r w:rsidRPr="009A2E71">
        <w:t>Rubber</w:t>
      </w:r>
      <w:proofErr w:type="spellEnd"/>
      <w:r w:rsidRPr="009A2E71">
        <w:t xml:space="preserve"> Corporation (SRC) au Liberia. Selon une enquête du Consortium international des journalistes d’investigation (ICIJ), ce délai a permis à l’ancien propriétaire, le groupe luxembourgeois </w:t>
      </w:r>
      <w:proofErr w:type="spellStart"/>
      <w:r w:rsidRPr="009A2E71">
        <w:t>Socfin</w:t>
      </w:r>
      <w:proofErr w:type="spellEnd"/>
      <w:r w:rsidRPr="009A2E71">
        <w:t>, de vendre l’exploitation avant la diffusion du rapport en mars 2025. L’enquête interne finalisée en décembre 2023, reproche à l’IFC d’avoir failli à son devoir de diligence dans l’évaluation et le suivi des risques environnementaux et sociaux. Des avocats et représentants communautaires estiment que ce retard a contribué à aggraver les préjudices subis par les travailleurs et les habitants, qui dénoncent désormais une dégradation des conditions de vie sur le site.</w:t>
      </w:r>
    </w:p>
    <w:p w14:paraId="285C55CF" w14:textId="36128A1A" w:rsidR="00130136" w:rsidRPr="009A2E71" w:rsidRDefault="00130136" w:rsidP="006C1591">
      <w:pPr>
        <w:spacing w:after="0"/>
      </w:pPr>
    </w:p>
    <w:p w14:paraId="45DE2DC2" w14:textId="4CEF2B5F" w:rsidR="00130136" w:rsidRPr="009A2E71" w:rsidRDefault="00130136" w:rsidP="006C1591">
      <w:pPr>
        <w:pStyle w:val="Titre2"/>
        <w:spacing w:before="0"/>
      </w:pPr>
      <w:bookmarkStart w:id="285" w:name="_Toc213247537"/>
      <w:r w:rsidRPr="009A2E71">
        <w:lastRenderedPageBreak/>
        <w:t>Café –</w:t>
      </w:r>
      <w:r w:rsidR="004A6C1C" w:rsidRPr="009A2E71">
        <w:t xml:space="preserve"> R</w:t>
      </w:r>
      <w:r w:rsidRPr="009A2E71">
        <w:t xml:space="preserve">elance la culture du Coffee </w:t>
      </w:r>
      <w:proofErr w:type="spellStart"/>
      <w:r w:rsidRPr="009A2E71">
        <w:t>Liberica</w:t>
      </w:r>
      <w:proofErr w:type="spellEnd"/>
      <w:r w:rsidRPr="009A2E71">
        <w:t>.</w:t>
      </w:r>
      <w:bookmarkEnd w:id="285"/>
    </w:p>
    <w:p w14:paraId="15E190AA" w14:textId="176C013D" w:rsidR="005C7E32" w:rsidRDefault="00130136" w:rsidP="006C1591">
      <w:pPr>
        <w:spacing w:after="0"/>
      </w:pPr>
      <w:r w:rsidRPr="009A2E71">
        <w:t xml:space="preserve">L’Autorité de régulation des produits agricoles du Liberia (LACRA) a lancé un programme national de conservation et de distribution du Coffee </w:t>
      </w:r>
      <w:proofErr w:type="spellStart"/>
      <w:r w:rsidRPr="009A2E71">
        <w:t>Liberica</w:t>
      </w:r>
      <w:proofErr w:type="spellEnd"/>
      <w:r w:rsidRPr="009A2E71">
        <w:t xml:space="preserve">, une variété locale menacée réputée pour son arôme et sa valeur nutritive. L’initiative prévoit la production et la distribution gratuites d’environ 1 M de plants sur six mois dans cinq comtés, avec un appui technique de l’Union européenne. Un système numérique de traçabilité permettra d’enregistrer chaque producteur et d’assurer la conformité avec les règles environnementales et la réglementation européenne sur la déforestation. La LACRA a également formé des inspecteurs à la qualité et prévoit de créer des centres de fermentation dans les zones cacaoyères pour renforcer la valeur des exportations. L’institution affirme que le Coffee </w:t>
      </w:r>
      <w:proofErr w:type="spellStart"/>
      <w:r w:rsidRPr="009A2E71">
        <w:t>Liberica</w:t>
      </w:r>
      <w:proofErr w:type="spellEnd"/>
      <w:r w:rsidRPr="009A2E71">
        <w:t>, résilient face au climat et très productif, pourrait devenir un pilier des revenus agricoles nationaux.</w:t>
      </w:r>
    </w:p>
    <w:p w14:paraId="28C1334C" w14:textId="16E33677" w:rsidR="005C7E32" w:rsidRDefault="005C7E32" w:rsidP="005C7E32">
      <w:pPr>
        <w:spacing w:after="0"/>
      </w:pPr>
    </w:p>
    <w:p w14:paraId="1F24553A" w14:textId="234C9A3D" w:rsidR="00C7107B" w:rsidRPr="009A2E71" w:rsidRDefault="00C7107B" w:rsidP="00C7107B">
      <w:pPr>
        <w:pStyle w:val="Titre2"/>
        <w:spacing w:before="0"/>
      </w:pPr>
      <w:bookmarkStart w:id="286" w:name="_Toc213247538"/>
      <w:r w:rsidRPr="009A2E71">
        <w:t>Cacao –</w:t>
      </w:r>
      <w:r>
        <w:t xml:space="preserve"> </w:t>
      </w:r>
      <w:r w:rsidRPr="009A2E71">
        <w:t>Déforestation de grande ampleur.</w:t>
      </w:r>
      <w:bookmarkEnd w:id="286"/>
    </w:p>
    <w:p w14:paraId="4FE667B7" w14:textId="77777777" w:rsidR="00C7107B" w:rsidRPr="009A2E71" w:rsidRDefault="00C7107B" w:rsidP="00C7107B">
      <w:pPr>
        <w:spacing w:after="0"/>
      </w:pPr>
      <w:r w:rsidRPr="009A2E71">
        <w:t xml:space="preserve">Une enquête de Initiatives for Community </w:t>
      </w:r>
      <w:proofErr w:type="spellStart"/>
      <w:r w:rsidRPr="009A2E71">
        <w:t>Development</w:t>
      </w:r>
      <w:proofErr w:type="spellEnd"/>
      <w:r w:rsidRPr="009A2E71">
        <w:t xml:space="preserve"> and Forest Conservation Association (IDEF) révèle une déforestation illégale de grande ampleur dans le sud-est du Liberia, où des producteurs ivoiriens défrichent massivement les forêts primaires pour établir de nouvelles plantations de cacao. Selon la FAO, le Liberia abrite encore 40% des forêts primaires d’Afrique de l’Ouest, mais a perdu 23% de son couvert végétal depuis l’an 2000, dont 150 000 ha sur la seule année 2022. Le rapport de l’IDEF dénonce également des pratiques de travail forcé et l’emploi de mineurs dans les zones de Grand </w:t>
      </w:r>
      <w:proofErr w:type="spellStart"/>
      <w:r w:rsidRPr="009A2E71">
        <w:t>Gedeh</w:t>
      </w:r>
      <w:proofErr w:type="spellEnd"/>
      <w:r w:rsidRPr="009A2E71">
        <w:t xml:space="preserve">, où plus de 38 000 nouveaux producteurs ont été recensés, un chiffre probablement sous-estimé. Ces activités, souvent illégales, provoquent des tensions foncières et sociales, notamment dans le district de </w:t>
      </w:r>
      <w:proofErr w:type="spellStart"/>
      <w:r w:rsidRPr="009A2E71">
        <w:t>Gbarzon</w:t>
      </w:r>
      <w:proofErr w:type="spellEnd"/>
      <w:r w:rsidRPr="009A2E71">
        <w:t>. Cette expansion incontrôlée survient alors que l’Union européenne envisage de retarder une nouvelle fois la mise en œuvre de sa réglementation sur la déforestation (RDUE), qui vise à interdire l’importation de produits agricoles issus de forêts détruites après 2020. La délégation de l’Union européenne à Monrovia a prévenu que la crédibilité du Liberia comme exportateur de cacao durable pourrait être compromise sans mesures urgentes de régulation et de traçabilité.</w:t>
      </w:r>
    </w:p>
    <w:p w14:paraId="25AD3325" w14:textId="77777777" w:rsidR="00C7107B" w:rsidRPr="009A2E71" w:rsidRDefault="00C7107B" w:rsidP="005C7E32">
      <w:pPr>
        <w:spacing w:after="0"/>
      </w:pPr>
    </w:p>
    <w:p w14:paraId="16D9A3B5" w14:textId="77777777" w:rsidR="005C7E32" w:rsidRPr="009A2E71" w:rsidRDefault="005C7E32" w:rsidP="005C7E32">
      <w:pPr>
        <w:pStyle w:val="Titre2"/>
        <w:spacing w:before="0"/>
      </w:pPr>
      <w:bookmarkStart w:id="287" w:name="_Toc213247539"/>
      <w:r w:rsidRPr="009A2E71">
        <w:t>Cacao – Polémique autour d’un bail foncier.</w:t>
      </w:r>
      <w:bookmarkEnd w:id="287"/>
    </w:p>
    <w:p w14:paraId="4FEBEBC8" w14:textId="2729D57C" w:rsidR="005C7E32" w:rsidRPr="009A2E71" w:rsidRDefault="005C7E32" w:rsidP="006C1591">
      <w:pPr>
        <w:spacing w:after="0"/>
      </w:pPr>
      <w:r w:rsidRPr="009A2E71">
        <w:t xml:space="preserve">Un accord de bail de 30 ans portant sur 500 acres de terres agricoles destinées à la culture du cacao, signé entre le superintendant du comté de Grand </w:t>
      </w:r>
      <w:proofErr w:type="spellStart"/>
      <w:r w:rsidRPr="009A2E71">
        <w:t>Gedeh</w:t>
      </w:r>
      <w:proofErr w:type="spellEnd"/>
      <w:r w:rsidRPr="009A2E71">
        <w:t xml:space="preserve">, M. Alex Grant, et l’investisseur burkinabè M. Boubou </w:t>
      </w:r>
      <w:proofErr w:type="spellStart"/>
      <w:r w:rsidRPr="009A2E71">
        <w:t>Sebu</w:t>
      </w:r>
      <w:proofErr w:type="spellEnd"/>
      <w:r w:rsidRPr="009A2E71">
        <w:t xml:space="preserve">, suscite de vives critiques. L’investisseur s’était engagé à verser 600 000 USD sur la durée du contrat, dont 150 000 USD pour les dix premières années, au profit du fonds de développement du comté. L’accord est contesté par plusieurs élus qui dénoncent une décision unilatérale prise sans consultation des autorités locales ni des communautés concernées, en violation de la Land Right </w:t>
      </w:r>
      <w:proofErr w:type="spellStart"/>
      <w:r w:rsidRPr="009A2E71">
        <w:t>Act</w:t>
      </w:r>
      <w:proofErr w:type="spellEnd"/>
      <w:r w:rsidRPr="009A2E71">
        <w:t xml:space="preserve"> et de sa section sur la délimitation participative des terres coutumières. Des discussions sont en cours entre les autorités locales, la Liberia Land </w:t>
      </w:r>
      <w:proofErr w:type="spellStart"/>
      <w:r w:rsidRPr="009A2E71">
        <w:t>Authority</w:t>
      </w:r>
      <w:proofErr w:type="spellEnd"/>
      <w:r w:rsidRPr="009A2E71">
        <w:t xml:space="preserve"> (LLA) et la population pour revoir ou révoquer le contrat.</w:t>
      </w:r>
    </w:p>
    <w:p w14:paraId="18B76EF2" w14:textId="2643FA69" w:rsidR="00130136" w:rsidRDefault="00130136" w:rsidP="006C1591">
      <w:pPr>
        <w:spacing w:after="0"/>
      </w:pPr>
    </w:p>
    <w:p w14:paraId="1613B34E" w14:textId="77777777" w:rsidR="00C7107B" w:rsidRPr="009A2E71" w:rsidRDefault="00C7107B" w:rsidP="00C7107B">
      <w:pPr>
        <w:pStyle w:val="Titre2"/>
        <w:spacing w:before="0"/>
      </w:pPr>
      <w:bookmarkStart w:id="288" w:name="_Toc213247540"/>
      <w:r w:rsidRPr="009A2E71">
        <w:t>Semences – Livraison de semences de base à l’Institut central de recherche agricole (CARI).</w:t>
      </w:r>
      <w:bookmarkEnd w:id="288"/>
    </w:p>
    <w:p w14:paraId="0CD26246" w14:textId="77777777" w:rsidR="00C7107B" w:rsidRPr="009A2E71" w:rsidRDefault="00C7107B" w:rsidP="00C7107B">
      <w:pPr>
        <w:spacing w:after="0"/>
      </w:pPr>
      <w:r w:rsidRPr="009A2E71">
        <w:t xml:space="preserve">Le ministère de l’agriculture a remis plus de vingt variétés de semences de base, totalisant plus de 300 grammes, </w:t>
      </w:r>
      <w:bookmarkStart w:id="289" w:name="_Hlk211258352"/>
      <w:r w:rsidRPr="009A2E71">
        <w:t xml:space="preserve">au CARI </w:t>
      </w:r>
      <w:bookmarkEnd w:id="289"/>
      <w:r w:rsidRPr="009A2E71">
        <w:t xml:space="preserve">pour des tests d’adaptabilité, de résistance et de multiplication. Les semences, issues du Kenya et d’autres pays, comprennent notamment les variétés de riz </w:t>
      </w:r>
      <w:proofErr w:type="spellStart"/>
      <w:r w:rsidRPr="009A2E71">
        <w:t>Wachangu</w:t>
      </w:r>
      <w:proofErr w:type="spellEnd"/>
      <w:r w:rsidRPr="009A2E71">
        <w:t xml:space="preserve">, </w:t>
      </w:r>
      <w:proofErr w:type="spellStart"/>
      <w:r w:rsidRPr="009A2E71">
        <w:t>Kafaci</w:t>
      </w:r>
      <w:proofErr w:type="spellEnd"/>
      <w:r w:rsidRPr="009A2E71">
        <w:t xml:space="preserve"> 1, 2, 3, KR842, ainsi que des variétés de niébé destinées à la production d’aliments pour animaux et des noix tigrées à usages multiples. Cette initiative s’inscrit dans le </w:t>
      </w:r>
      <w:r w:rsidRPr="009A2E71">
        <w:lastRenderedPageBreak/>
        <w:t>cadre du Plan national de développement agricole visant à accroître la productivité du riz, renforcer la sécurité alimentaire et développer la production d’aliments pour volailles. Le CARI, qui n’avait pas reçu de semences de base depuis plus de quinze ans, a salué cette livraison et s’est engagé à appliquer les technologies nécessaires pour multiplier les semences et produire du matériel certifié à destination des agriculteurs libériens.</w:t>
      </w:r>
    </w:p>
    <w:p w14:paraId="18EA42D2" w14:textId="77777777" w:rsidR="00C7107B" w:rsidRPr="009A2E71" w:rsidRDefault="00C7107B" w:rsidP="006C1591">
      <w:pPr>
        <w:spacing w:after="0"/>
      </w:pPr>
    </w:p>
    <w:p w14:paraId="1F722699" w14:textId="77777777" w:rsidR="002566EB" w:rsidRPr="009A2E71" w:rsidRDefault="002566EB" w:rsidP="006C1591">
      <w:pPr>
        <w:pStyle w:val="Titre2"/>
        <w:spacing w:before="0"/>
        <w:rPr>
          <w:rStyle w:val="Lienhypertexte"/>
          <w:color w:val="auto"/>
          <w:u w:val="none"/>
        </w:rPr>
      </w:pPr>
      <w:bookmarkStart w:id="290" w:name="_Toc213247541"/>
      <w:r w:rsidRPr="009A2E71">
        <w:rPr>
          <w:rStyle w:val="Lienhypertexte"/>
          <w:color w:val="auto"/>
          <w:u w:val="none"/>
        </w:rPr>
        <w:t>Pêche –</w:t>
      </w:r>
      <w:r w:rsidR="00250D1A" w:rsidRPr="009A2E71">
        <w:rPr>
          <w:rStyle w:val="Lienhypertexte"/>
          <w:color w:val="auto"/>
          <w:u w:val="none"/>
        </w:rPr>
        <w:t xml:space="preserve"> Appui financier pour les mareyeuses</w:t>
      </w:r>
      <w:r w:rsidRPr="009A2E71">
        <w:rPr>
          <w:rStyle w:val="Lienhypertexte"/>
          <w:color w:val="auto"/>
          <w:u w:val="none"/>
        </w:rPr>
        <w:t>.</w:t>
      </w:r>
      <w:bookmarkEnd w:id="290"/>
    </w:p>
    <w:p w14:paraId="058E154D" w14:textId="47830F4C" w:rsidR="002566EB" w:rsidRPr="009A2E71" w:rsidRDefault="002566EB" w:rsidP="006C1591">
      <w:pPr>
        <w:spacing w:after="0"/>
      </w:pPr>
      <w:r w:rsidRPr="009A2E71">
        <w:t>Plusieurs centaines de femmes des communautés côtières du Liberia bénéficient d’un appui financier et technique dans le cadre du Projet de gestion durable des pêches (LSMFP), financé par la Banque mondiale à hauteur de 2 M USD et mis en œuvre par l’Autorité nationale des pêches et de l’aquaculture (</w:t>
      </w:r>
      <w:proofErr w:type="spellStart"/>
      <w:r w:rsidRPr="009A2E71">
        <w:t>NaFAA</w:t>
      </w:r>
      <w:proofErr w:type="spellEnd"/>
      <w:r w:rsidRPr="009A2E71">
        <w:t>) et l’organisation Conservation International. Lancé en mars 2025, le programme renforce les capacités de femmes mareyeuses dans quatre comtés côtiers à travers la formation, la gestion de microcrédits et la diversification de revenus. Les bénéficiaires utilisent les subventions, allant jusqu’à 400 USD, pour développer leurs activités et mutualiser des fonds dans des associations telles que « Fish for Living », qui redistribue des prêts internes à 2% d’intérêt sur trois mois. Ce dispositif favorise la stabilité économique et la reconnaissance du rôle des femmes dans la filière halieutique.</w:t>
      </w:r>
    </w:p>
    <w:p w14:paraId="47D2DCFB" w14:textId="77777777" w:rsidR="006268D0" w:rsidRPr="009A2E71" w:rsidRDefault="006268D0" w:rsidP="006C1591">
      <w:pPr>
        <w:spacing w:after="0"/>
      </w:pPr>
    </w:p>
    <w:p w14:paraId="1F40B3BE" w14:textId="0D1C3A45" w:rsidR="00187324" w:rsidRPr="009A2E71" w:rsidRDefault="00187324" w:rsidP="006C1591">
      <w:pPr>
        <w:pStyle w:val="Titre2"/>
        <w:spacing w:before="0"/>
      </w:pPr>
      <w:bookmarkStart w:id="291" w:name="_Toc213247542"/>
      <w:r w:rsidRPr="009A2E71">
        <w:t>Financement – Mission d’évaluation du Fonds international de développement agricole (FIDA).</w:t>
      </w:r>
      <w:bookmarkEnd w:id="291"/>
    </w:p>
    <w:p w14:paraId="63444FD6" w14:textId="205A32B8" w:rsidR="00187324" w:rsidRPr="009A2E71" w:rsidRDefault="00187324" w:rsidP="006C1591">
      <w:pPr>
        <w:spacing w:after="0"/>
      </w:pPr>
      <w:r w:rsidRPr="009A2E71">
        <w:t xml:space="preserve">Le ministère de l’agriculture a accueilli une mission de supervision </w:t>
      </w:r>
      <w:bookmarkStart w:id="292" w:name="_Hlk211256645"/>
      <w:r w:rsidRPr="009A2E71">
        <w:t xml:space="preserve">du FIDA </w:t>
      </w:r>
      <w:bookmarkEnd w:id="292"/>
      <w:r w:rsidRPr="009A2E71">
        <w:t xml:space="preserve">chargée d’évaluer les progrès du Projet de vulgarisation des cultures pérennes (TCEP II) et du Projet de renforcement de la résilience climatique (BCRP) dans les comtés de </w:t>
      </w:r>
      <w:proofErr w:type="spellStart"/>
      <w:r w:rsidRPr="009A2E71">
        <w:t>Bong</w:t>
      </w:r>
      <w:proofErr w:type="spellEnd"/>
      <w:r w:rsidRPr="009A2E71">
        <w:t xml:space="preserve">, Nimba et Lofa. Conduite par le consultant David </w:t>
      </w:r>
      <w:proofErr w:type="spellStart"/>
      <w:r w:rsidRPr="009A2E71">
        <w:t>Doolan</w:t>
      </w:r>
      <w:proofErr w:type="spellEnd"/>
      <w:r w:rsidRPr="009A2E71">
        <w:t xml:space="preserve">, la mission regroupait huit experts spécialisés en finances, passation de marchés, genre, environnement, chaîne de valeur du riz et infrastructures rurales, notamment les routes de desserte agricole. Les équipes ont visité durant deux semaines les sites de mise en œuvre, rencontré des agriculteurs et des coopératives, et examiné les projets d’infrastructures (89 km de routes achevées ainsi que 19 km en réhabilitation). Le ministre de l’agriculture, le Dr J. Alexander </w:t>
      </w:r>
      <w:proofErr w:type="spellStart"/>
      <w:r w:rsidRPr="009A2E71">
        <w:t>Nuetah</w:t>
      </w:r>
      <w:proofErr w:type="spellEnd"/>
      <w:r w:rsidRPr="009A2E71">
        <w:t>, a réaffirmé l’engagement du ministère à appliquer les recommandations issues de l’évaluation afin d’assurer la durabilité des projets. Ces initiatives soutenues par le FIDA visent à améliorer les moyens de subsistance des petits producteurs de cacao, de riz, de légumes et de poissons grâce à la vulgarisation, aux infrastructures et à l’agriculture climato-intelligente pour renforcer la sécurité alimentaire et la résilience rurale.</w:t>
      </w:r>
    </w:p>
    <w:p w14:paraId="3F58800E" w14:textId="77777777" w:rsidR="006268D0" w:rsidRPr="009A2E71" w:rsidRDefault="006268D0" w:rsidP="006C1591">
      <w:pPr>
        <w:spacing w:after="0"/>
      </w:pPr>
    </w:p>
    <w:p w14:paraId="2EB3CD63" w14:textId="50007320" w:rsidR="00EF7160" w:rsidRPr="009A2E71" w:rsidRDefault="00EF7160" w:rsidP="006C1591">
      <w:pPr>
        <w:pStyle w:val="Titre2"/>
        <w:spacing w:before="0"/>
      </w:pPr>
      <w:bookmarkStart w:id="293" w:name="_Toc213247543"/>
      <w:r w:rsidRPr="009A2E71">
        <w:t xml:space="preserve">Agroforesterie – </w:t>
      </w:r>
      <w:proofErr w:type="spellStart"/>
      <w:r w:rsidR="001F70B0" w:rsidRPr="009A2E71">
        <w:t>Partners</w:t>
      </w:r>
      <w:proofErr w:type="spellEnd"/>
      <w:r w:rsidR="001F70B0" w:rsidRPr="009A2E71">
        <w:t xml:space="preserve"> In </w:t>
      </w:r>
      <w:proofErr w:type="spellStart"/>
      <w:r w:rsidR="001F70B0" w:rsidRPr="009A2E71">
        <w:t>Development</w:t>
      </w:r>
      <w:proofErr w:type="spellEnd"/>
      <w:r w:rsidR="001F70B0" w:rsidRPr="009A2E71">
        <w:t xml:space="preserve"> (PADEV) promeut la diversification des activités agricoles.</w:t>
      </w:r>
      <w:bookmarkEnd w:id="293"/>
    </w:p>
    <w:p w14:paraId="48511236" w14:textId="2F8E2EF6" w:rsidR="00832CC5" w:rsidRPr="009A2E71" w:rsidRDefault="00EF7160" w:rsidP="006C1591">
      <w:pPr>
        <w:spacing w:after="0"/>
      </w:pPr>
      <w:r w:rsidRPr="009A2E71">
        <w:t>L’organisation PADEV prévoit de fournir à une vingtaine d’agriculteurs des communautés situées autour du parc national de Grebo-</w:t>
      </w:r>
      <w:proofErr w:type="spellStart"/>
      <w:r w:rsidRPr="009A2E71">
        <w:t>Krahn</w:t>
      </w:r>
      <w:proofErr w:type="spellEnd"/>
      <w:r w:rsidRPr="009A2E71">
        <w:t xml:space="preserve"> (GKNP) 6 000 rejets de plantain et plus de 100</w:t>
      </w:r>
      <w:r w:rsidR="00933690" w:rsidRPr="009A2E71">
        <w:rPr>
          <w:rFonts w:ascii="Calibri" w:hAnsi="Calibri" w:cs="Calibri"/>
        </w:rPr>
        <w:t> </w:t>
      </w:r>
      <w:r w:rsidRPr="009A2E71">
        <w:t xml:space="preserve">000 semis de piment dans le cadre du projet de gestion communautaire des forêts et des aires protégées (CBFM), soutenu par le Programme des Nations unies pour le développement (PNUD) et financé par l’ambassade de Suède au Liberia. Cette initiative vise à renforcer la sécurité alimentaire et à stimuler la production locale dans les comtés de Grand </w:t>
      </w:r>
      <w:proofErr w:type="spellStart"/>
      <w:r w:rsidRPr="009A2E71">
        <w:t>Gedeh</w:t>
      </w:r>
      <w:proofErr w:type="spellEnd"/>
      <w:r w:rsidRPr="009A2E71">
        <w:t xml:space="preserve"> et River Gee. PADEV a également acquis des outils agricoles et déployé des agents de vulgarisation dans plusieurs districts afin d’aider les producteurs à adopter des pratiques agricoles régénératives et à faibles émissions. Le programme </w:t>
      </w:r>
      <w:bookmarkStart w:id="294" w:name="_Hlk211257180"/>
      <w:r w:rsidRPr="009A2E71">
        <w:t>promeut la diversification</w:t>
      </w:r>
      <w:bookmarkEnd w:id="294"/>
      <w:r w:rsidRPr="009A2E71">
        <w:t xml:space="preserve"> des moyens de subsistance, notamment à travers les associations d’épargne et de crédit villageoises (</w:t>
      </w:r>
      <w:proofErr w:type="spellStart"/>
      <w:r w:rsidRPr="009A2E71">
        <w:t>VSLAs</w:t>
      </w:r>
      <w:proofErr w:type="spellEnd"/>
      <w:r w:rsidRPr="009A2E71">
        <w:t xml:space="preserve">), l’apiculture </w:t>
      </w:r>
      <w:r w:rsidRPr="009A2E71">
        <w:lastRenderedPageBreak/>
        <w:t>durable et la valorisation des produits forestiers non ligneux (</w:t>
      </w:r>
      <w:proofErr w:type="spellStart"/>
      <w:r w:rsidRPr="009A2E71">
        <w:t>NTFPs</w:t>
      </w:r>
      <w:proofErr w:type="spellEnd"/>
      <w:r w:rsidRPr="009A2E71">
        <w:t xml:space="preserve">). En 2024, environ 450 membres des communautés forestières avaient déjà généré plus de 3 </w:t>
      </w:r>
      <w:r w:rsidR="001F70B0" w:rsidRPr="009A2E71">
        <w:t xml:space="preserve">M </w:t>
      </w:r>
      <w:r w:rsidR="0086354C">
        <w:t>GPB</w:t>
      </w:r>
      <w:r w:rsidRPr="009A2E71">
        <w:t xml:space="preserve"> grâce à des activités agricoles et artisanales. PADEV entend poursuivre son appui en partenariat avec les autorités locales et la </w:t>
      </w:r>
      <w:proofErr w:type="spellStart"/>
      <w:r w:rsidRPr="009A2E71">
        <w:t>Forestry</w:t>
      </w:r>
      <w:proofErr w:type="spellEnd"/>
      <w:r w:rsidRPr="009A2E71">
        <w:t xml:space="preserve"> </w:t>
      </w:r>
      <w:proofErr w:type="spellStart"/>
      <w:r w:rsidRPr="009A2E71">
        <w:t>Development</w:t>
      </w:r>
      <w:proofErr w:type="spellEnd"/>
      <w:r w:rsidRPr="009A2E71">
        <w:t xml:space="preserve"> </w:t>
      </w:r>
      <w:proofErr w:type="spellStart"/>
      <w:r w:rsidRPr="009A2E71">
        <w:t>Authority</w:t>
      </w:r>
      <w:proofErr w:type="spellEnd"/>
      <w:r w:rsidRPr="009A2E71">
        <w:t xml:space="preserve"> (FDA) pour consolider les pratiques agricoles durables et autonomiser les exploitants.</w:t>
      </w:r>
    </w:p>
    <w:p w14:paraId="155C814B" w14:textId="77777777" w:rsidR="00FD705E" w:rsidRPr="009A2E71" w:rsidRDefault="00FD705E" w:rsidP="006C1591">
      <w:pPr>
        <w:spacing w:after="0"/>
      </w:pPr>
    </w:p>
    <w:p w14:paraId="1AC97985" w14:textId="449935F1" w:rsidR="00EF7160" w:rsidRPr="009A2E71" w:rsidRDefault="00EF7160" w:rsidP="006C1591">
      <w:pPr>
        <w:pStyle w:val="Titre2"/>
        <w:spacing w:before="0"/>
      </w:pPr>
      <w:bookmarkStart w:id="295" w:name="_Toc213247544"/>
      <w:r w:rsidRPr="009A2E71">
        <w:t>Forêt –</w:t>
      </w:r>
      <w:r w:rsidR="00163785" w:rsidRPr="009A2E71">
        <w:t xml:space="preserve"> Plus de 17</w:t>
      </w:r>
      <w:r w:rsidR="00824D55" w:rsidRPr="009A2E71">
        <w:rPr>
          <w:rFonts w:ascii="Calibri" w:hAnsi="Calibri" w:cs="Calibri"/>
        </w:rPr>
        <w:t> </w:t>
      </w:r>
      <w:r w:rsidR="00163785" w:rsidRPr="009A2E71">
        <w:t>000</w:t>
      </w:r>
      <w:r w:rsidR="00824D55" w:rsidRPr="009A2E71">
        <w:t xml:space="preserve"> </w:t>
      </w:r>
      <w:r w:rsidRPr="009A2E71">
        <w:t xml:space="preserve">grumes </w:t>
      </w:r>
      <w:r w:rsidR="00163785" w:rsidRPr="009A2E71">
        <w:t>abandonnées</w:t>
      </w:r>
      <w:r w:rsidRPr="009A2E71">
        <w:t>.</w:t>
      </w:r>
      <w:bookmarkEnd w:id="295"/>
    </w:p>
    <w:p w14:paraId="3E47A434" w14:textId="326DD85F" w:rsidR="00EF7160" w:rsidRPr="0086354C" w:rsidRDefault="00EF7160" w:rsidP="006C1591">
      <w:pPr>
        <w:spacing w:after="0"/>
        <w:rPr>
          <w:rStyle w:val="Lienhypertexte"/>
          <w:color w:val="auto"/>
          <w:u w:val="none"/>
        </w:rPr>
      </w:pPr>
      <w:r w:rsidRPr="009A2E71">
        <w:t xml:space="preserve">Entre 2019 et 2024, au moins cinq entreprises, dont Alpha </w:t>
      </w:r>
      <w:proofErr w:type="spellStart"/>
      <w:r w:rsidRPr="009A2E71">
        <w:t>Logging</w:t>
      </w:r>
      <w:proofErr w:type="spellEnd"/>
      <w:r w:rsidRPr="009A2E71">
        <w:t xml:space="preserve">, </w:t>
      </w:r>
      <w:proofErr w:type="spellStart"/>
      <w:r w:rsidRPr="009A2E71">
        <w:t>Mandra</w:t>
      </w:r>
      <w:proofErr w:type="spellEnd"/>
      <w:r w:rsidRPr="009A2E71">
        <w:t xml:space="preserve"> </w:t>
      </w:r>
      <w:proofErr w:type="spellStart"/>
      <w:r w:rsidRPr="009A2E71">
        <w:t>Forestry</w:t>
      </w:r>
      <w:proofErr w:type="spellEnd"/>
      <w:r w:rsidRPr="009A2E71">
        <w:t xml:space="preserve">, International Consultant Capital (ICC), </w:t>
      </w:r>
      <w:proofErr w:type="spellStart"/>
      <w:r w:rsidRPr="009A2E71">
        <w:t>Masayaha</w:t>
      </w:r>
      <w:proofErr w:type="spellEnd"/>
      <w:r w:rsidRPr="009A2E71">
        <w:t xml:space="preserve"> </w:t>
      </w:r>
      <w:proofErr w:type="spellStart"/>
      <w:r w:rsidRPr="009A2E71">
        <w:t>Logging</w:t>
      </w:r>
      <w:proofErr w:type="spellEnd"/>
      <w:r w:rsidRPr="009A2E71">
        <w:t xml:space="preserve"> et </w:t>
      </w:r>
      <w:proofErr w:type="spellStart"/>
      <w:r w:rsidRPr="009A2E71">
        <w:t>Sing</w:t>
      </w:r>
      <w:proofErr w:type="spellEnd"/>
      <w:r w:rsidRPr="009A2E71">
        <w:t xml:space="preserve"> </w:t>
      </w:r>
      <w:proofErr w:type="spellStart"/>
      <w:r w:rsidRPr="009A2E71">
        <w:t>Africa</w:t>
      </w:r>
      <w:proofErr w:type="spellEnd"/>
      <w:r w:rsidRPr="009A2E71">
        <w:t xml:space="preserve"> Plantation, ont laissé pourrir plus de 17 000 grumes à travers le pays, représentant une valeur marchande estimée à plus de 20 M USD. </w:t>
      </w:r>
      <w:r w:rsidR="00163785" w:rsidRPr="009A2E71">
        <w:t xml:space="preserve">Ces grumes abandonnées qui gisent dans les forêts du Liberia, témoignent d’une crise croissante du secteur forestier marquée par le gaspillage, la négligence et l’absence de contrôle. </w:t>
      </w:r>
      <w:r w:rsidRPr="009A2E71">
        <w:t xml:space="preserve">Selon le règlement 116-17 de la </w:t>
      </w:r>
      <w:proofErr w:type="spellStart"/>
      <w:r w:rsidRPr="009A2E71">
        <w:t>Forestry</w:t>
      </w:r>
      <w:proofErr w:type="spellEnd"/>
      <w:r w:rsidRPr="009A2E71">
        <w:t xml:space="preserve"> </w:t>
      </w:r>
      <w:proofErr w:type="spellStart"/>
      <w:r w:rsidRPr="009A2E71">
        <w:t>Development</w:t>
      </w:r>
      <w:proofErr w:type="spellEnd"/>
      <w:r w:rsidRPr="009A2E71">
        <w:t xml:space="preserve"> </w:t>
      </w:r>
      <w:proofErr w:type="spellStart"/>
      <w:r w:rsidRPr="009A2E71">
        <w:t>Authority</w:t>
      </w:r>
      <w:proofErr w:type="spellEnd"/>
      <w:r w:rsidRPr="009A2E71">
        <w:t xml:space="preserve"> (FDA), ces bois auraient dû faire l’objet d’enquêtes et de saisies dans les dix jours suivant leur abandon, mais peu d’actions ont été entreprises. Cette inaction a privé les communautés de revenus issus des redevances sociales et foncières et a entraîné pour l’État d</w:t>
      </w:r>
      <w:r w:rsidR="001F70B0" w:rsidRPr="009A2E71">
        <w:t>’important</w:t>
      </w:r>
      <w:r w:rsidRPr="009A2E71">
        <w:t xml:space="preserve">es pertes fiscales. Les organisations de suivi forestier et les médias estiment que ce phénomène, présent dans onze comtés, s’accompagne de soupçons d’exportations illégales, de corruption et d’un manque de volonté politique au sein de la FDA. Les conséquences sont également environnementales, les grumes abandonnées favorisant les inondations, la dégradation des sols et les émissions de carbone, compromettant les engagements </w:t>
      </w:r>
      <w:r w:rsidRPr="0086354C">
        <w:t xml:space="preserve">climatiques </w:t>
      </w:r>
      <w:r w:rsidRPr="0086354C">
        <w:rPr>
          <w:rStyle w:val="Lienhypertexte"/>
          <w:color w:val="auto"/>
          <w:u w:val="none"/>
        </w:rPr>
        <w:t>du pays.</w:t>
      </w:r>
    </w:p>
    <w:p w14:paraId="117891F8" w14:textId="77777777" w:rsidR="00FD705E" w:rsidRPr="009A2E71" w:rsidRDefault="00FD705E" w:rsidP="006C1591">
      <w:pPr>
        <w:spacing w:after="0"/>
        <w:rPr>
          <w:rStyle w:val="Lienhypertexte"/>
        </w:rPr>
      </w:pPr>
    </w:p>
    <w:p w14:paraId="48463C45" w14:textId="560F2B58" w:rsidR="00A23CC6" w:rsidRPr="009A2E71" w:rsidRDefault="00A23CC6" w:rsidP="006C1591">
      <w:pPr>
        <w:pStyle w:val="Titre2"/>
        <w:spacing w:before="0"/>
      </w:pPr>
      <w:bookmarkStart w:id="296" w:name="_Toc213247545"/>
      <w:r w:rsidRPr="009A2E71">
        <w:t xml:space="preserve">Formation – Réouverture du centre agricole </w:t>
      </w:r>
      <w:proofErr w:type="spellStart"/>
      <w:r w:rsidRPr="009A2E71">
        <w:t>Tumutu</w:t>
      </w:r>
      <w:proofErr w:type="spellEnd"/>
      <w:r w:rsidRPr="009A2E71">
        <w:t>.</w:t>
      </w:r>
      <w:bookmarkEnd w:id="296"/>
    </w:p>
    <w:p w14:paraId="49830359" w14:textId="15EDDD8D" w:rsidR="00A23CC6" w:rsidRPr="009A2E71" w:rsidRDefault="00A23CC6" w:rsidP="006C1591">
      <w:pPr>
        <w:spacing w:after="0"/>
      </w:pPr>
      <w:r w:rsidRPr="009A2E71">
        <w:t xml:space="preserve">Le ministre de la </w:t>
      </w:r>
      <w:r w:rsidR="006841C7" w:rsidRPr="009A2E71">
        <w:t>j</w:t>
      </w:r>
      <w:r w:rsidRPr="009A2E71">
        <w:t xml:space="preserve">eunesse et des </w:t>
      </w:r>
      <w:r w:rsidR="006841C7" w:rsidRPr="009A2E71">
        <w:t>s</w:t>
      </w:r>
      <w:r w:rsidRPr="009A2E71">
        <w:t>ports</w:t>
      </w:r>
      <w:r w:rsidR="006841C7" w:rsidRPr="009A2E71">
        <w:t>,</w:t>
      </w:r>
      <w:r w:rsidRPr="009A2E71">
        <w:t xml:space="preserve"> </w:t>
      </w:r>
      <w:r w:rsidR="006841C7" w:rsidRPr="009A2E71">
        <w:t xml:space="preserve">M. J. Cole </w:t>
      </w:r>
      <w:proofErr w:type="spellStart"/>
      <w:r w:rsidR="006841C7" w:rsidRPr="009A2E71">
        <w:t>Bangalu</w:t>
      </w:r>
      <w:proofErr w:type="spellEnd"/>
      <w:r w:rsidR="006841C7" w:rsidRPr="009A2E71">
        <w:t xml:space="preserve">, </w:t>
      </w:r>
      <w:r w:rsidRPr="009A2E71">
        <w:t xml:space="preserve">a annoncé la réouverture du </w:t>
      </w:r>
      <w:proofErr w:type="spellStart"/>
      <w:r w:rsidRPr="009A2E71">
        <w:t>Tumutu</w:t>
      </w:r>
      <w:proofErr w:type="spellEnd"/>
      <w:r w:rsidRPr="009A2E71">
        <w:t xml:space="preserve"> Agricultural and </w:t>
      </w:r>
      <w:proofErr w:type="spellStart"/>
      <w:r w:rsidRPr="009A2E71">
        <w:t>Vocational</w:t>
      </w:r>
      <w:proofErr w:type="spellEnd"/>
      <w:r w:rsidRPr="009A2E71">
        <w:t xml:space="preserve"> Training Center (TAVTC) à </w:t>
      </w:r>
      <w:proofErr w:type="spellStart"/>
      <w:r w:rsidRPr="009A2E71">
        <w:t>Salala</w:t>
      </w:r>
      <w:proofErr w:type="spellEnd"/>
      <w:r w:rsidRPr="009A2E71">
        <w:t xml:space="preserve">, dans le comté de </w:t>
      </w:r>
      <w:proofErr w:type="spellStart"/>
      <w:r w:rsidRPr="009A2E71">
        <w:t>Bong</w:t>
      </w:r>
      <w:proofErr w:type="spellEnd"/>
      <w:r w:rsidRPr="009A2E71">
        <w:t>. Créé en 1978, ce centre de formation agricole et professionnelle avait formé des milliers de jeunes Libériens dans les domaines de la production végétale, de l’élevage et de l’aquaculture avant sa fermeture. Le ministre a indiqué que cette relance s’inscrit dans la stratégie nationale visant à doter les jeunes de compétences pratiques favorisant l’autonomie et la croissance économique rurale. Le nouveau programme mettra l’accent sur l’apprentissage par la pratique et sur des projets communautaires de production agricole. La réouverture d</w:t>
      </w:r>
      <w:r w:rsidR="006841C7" w:rsidRPr="009A2E71">
        <w:t>u centre agricole</w:t>
      </w:r>
      <w:r w:rsidRPr="009A2E71">
        <w:t xml:space="preserve"> </w:t>
      </w:r>
      <w:proofErr w:type="spellStart"/>
      <w:r w:rsidRPr="009A2E71">
        <w:t>Tumutu</w:t>
      </w:r>
      <w:proofErr w:type="spellEnd"/>
      <w:r w:rsidRPr="009A2E71">
        <w:t xml:space="preserve"> intervient dans un contexte de fort chômage des jeunes et de besoin accru de formations décentralisées. Les autorités comptent faire du centre un pôle de référence pour l’emploi rural et la réduction de la dépendance alimentaire, à condition d’assurer un financement régulier, un encadrement qualifié et des débouchés économiques pour les diplômés.</w:t>
      </w:r>
    </w:p>
    <w:p w14:paraId="73C9B140" w14:textId="382A5CCE" w:rsidR="00FD705E" w:rsidRPr="009A2E71" w:rsidRDefault="00FD705E" w:rsidP="006C1591">
      <w:pPr>
        <w:spacing w:after="0"/>
      </w:pPr>
    </w:p>
    <w:p w14:paraId="17D4670E" w14:textId="77777777" w:rsidR="00627CA7" w:rsidRPr="009A2E71" w:rsidRDefault="00627CA7" w:rsidP="006C1591">
      <w:pPr>
        <w:pStyle w:val="Titre2"/>
        <w:spacing w:before="0"/>
      </w:pPr>
      <w:bookmarkStart w:id="297" w:name="_Toc213247546"/>
      <w:r w:rsidRPr="009A2E71">
        <w:t>Innovation – Atelier sur l’intelligence artificielle générative.</w:t>
      </w:r>
      <w:bookmarkEnd w:id="297"/>
    </w:p>
    <w:p w14:paraId="4A825349" w14:textId="77777777" w:rsidR="00627CA7" w:rsidRPr="009A2E71" w:rsidRDefault="00627CA7" w:rsidP="006C1591">
      <w:pPr>
        <w:spacing w:after="0"/>
      </w:pPr>
      <w:r w:rsidRPr="009A2E71">
        <w:t xml:space="preserve">Le ministère de l’agriculture et le Forum libérien pour les services de conseil agricole (LIFAAS) ont organisé un atelier d’une journée consacré à l’intelligence artificielle (IA) générative afin d’explorer comment ces technologies peuvent combler les lacunes en matière de vulgarisation et améliorer la fourniture de services de conseil agricole. L’événement a réuni des agents de vulgarisation, des organisations de la société civile, des coopératives et des acteurs privés pour discuter de la manière dont l’IA peut accroître la productivité, la rentabilité et l’accès à l’information des agriculteurs, notamment dans les zones reculées. Le conseiller du LIFAAS, le Dr Moses </w:t>
      </w:r>
      <w:proofErr w:type="spellStart"/>
      <w:r w:rsidRPr="009A2E71">
        <w:t>Zinnah</w:t>
      </w:r>
      <w:proofErr w:type="spellEnd"/>
      <w:r w:rsidRPr="009A2E71">
        <w:t xml:space="preserve">, a souligné que la technologie peut aider à réduire le ratio actuel d’un agent </w:t>
      </w:r>
      <w:r w:rsidRPr="009A2E71">
        <w:lastRenderedPageBreak/>
        <w:t>de vulgarisation pour plus de 40 000 agriculteurs et s’inspirer d’expériences menées au Malawi et au Kenya. M. Eliot-Jones Garcia, analyste principal à l’Institut international de recherche sur les politiques alimentaires (IFPRI), a insisté sur la conception de systèmes d’IA reflétant les réalités du terrain et intégrant l’expertise des agents de vulgarisation. Les participants ont exprimé leur optimisme quant au potentiel de l’IA à renforcer le système de vulgarisation du Liberia et à rendre les connaissances agricoles plus accessibles et adaptées aux contextes locaux.</w:t>
      </w:r>
    </w:p>
    <w:p w14:paraId="28E29146" w14:textId="77777777" w:rsidR="00FD705E" w:rsidRPr="009A2E71" w:rsidRDefault="00FD705E" w:rsidP="006C1591">
      <w:pPr>
        <w:spacing w:after="0"/>
      </w:pPr>
    </w:p>
    <w:p w14:paraId="4BF5DD7C" w14:textId="7C48A86E" w:rsidR="0086354C" w:rsidRPr="009A2E71" w:rsidRDefault="009D0F96" w:rsidP="008A66E1">
      <w:pPr>
        <w:pStyle w:val="Titre1"/>
        <w:spacing w:before="0"/>
      </w:pPr>
      <w:bookmarkStart w:id="298" w:name="_Toc207812060"/>
      <w:bookmarkStart w:id="299" w:name="_Toc207812928"/>
      <w:bookmarkStart w:id="300" w:name="_Toc207813090"/>
      <w:bookmarkStart w:id="301" w:name="_Toc213247547"/>
      <w:r w:rsidRPr="009A2E71">
        <w:t>Mali</w:t>
      </w:r>
      <w:bookmarkEnd w:id="298"/>
      <w:bookmarkEnd w:id="299"/>
      <w:bookmarkEnd w:id="300"/>
      <w:bookmarkEnd w:id="301"/>
    </w:p>
    <w:p w14:paraId="790D60AA" w14:textId="77777777" w:rsidR="008A66E1" w:rsidRPr="009A2E71" w:rsidRDefault="008A66E1" w:rsidP="008A66E1">
      <w:pPr>
        <w:pStyle w:val="Titre2"/>
        <w:spacing w:before="0"/>
      </w:pPr>
      <w:bookmarkStart w:id="302" w:name="_Toc213247548"/>
      <w:r w:rsidRPr="009A2E71">
        <w:t>Aide alimentaire – 112 000 élèves affectés par la suspension des cantines scolaires.</w:t>
      </w:r>
      <w:bookmarkEnd w:id="302"/>
    </w:p>
    <w:p w14:paraId="11425338" w14:textId="387F4FC1" w:rsidR="008A66E1" w:rsidRDefault="008A66E1" w:rsidP="008A66E1">
      <w:pPr>
        <w:spacing w:after="0"/>
      </w:pPr>
      <w:r w:rsidRPr="009A2E71">
        <w:t>Le Centre national des cantines scolaires (CNCS) du Mali et le Programme alimentaire mondial (PAM) ont rappelé qu’une suspension « temporaire » des repas scolaires est effective dans 400 établissements depuis octobre 2024, affectant directement environ 112 000 élèves, majoritairement des filles, dans le nord et le centre du pays. Cette interruption, due à des contraintes financières et opérationnelles, concerne 60% des écoles soutenues par le CNCS et le PAM. Les deux institutions lancent un appel urgent à un financement de 17,3 M USD afin de garantir la continuité du programme, soulignant que la suspension risque de compromettre les avancées obtenues en matière d’éducation, de sécurité alimentaire et de stabilité sociale. Avant cette crise, les repas scolaires avaient permis d’atteindre un taux de rétention de 98% dans 700 écoles et d’améliorer la nutrition de près de 200 000 élèves. Le Mali, déjà confronté à une grave insécurité alimentaire et à un contexte socioéconomique fragile, compte actuellement 2,3 M de personnes nécessitant une aide alimentaire et nutritionnelle.</w:t>
      </w:r>
    </w:p>
    <w:p w14:paraId="072372BD" w14:textId="77777777" w:rsidR="008A66E1" w:rsidRPr="009A2E71" w:rsidRDefault="008A66E1" w:rsidP="008A66E1">
      <w:pPr>
        <w:spacing w:after="0"/>
      </w:pPr>
    </w:p>
    <w:p w14:paraId="4DB19DAD" w14:textId="0618DB21" w:rsidR="008A144C" w:rsidRPr="009A2E71" w:rsidRDefault="00A41103" w:rsidP="006C1591">
      <w:pPr>
        <w:pStyle w:val="Titre2"/>
        <w:spacing w:before="0"/>
      </w:pPr>
      <w:bookmarkStart w:id="303" w:name="_Toc213247549"/>
      <w:r w:rsidRPr="009A2E71">
        <w:t>Coton</w:t>
      </w:r>
      <w:r w:rsidR="008A144C" w:rsidRPr="009A2E71">
        <w:t xml:space="preserve"> –</w:t>
      </w:r>
      <w:r w:rsidRPr="009A2E71">
        <w:t xml:space="preserve"> La mévente </w:t>
      </w:r>
      <w:r w:rsidR="008A144C" w:rsidRPr="009A2E71">
        <w:t>fragilise le budget.</w:t>
      </w:r>
      <w:bookmarkEnd w:id="303"/>
    </w:p>
    <w:p w14:paraId="31FAC546" w14:textId="63D9BCC8" w:rsidR="008A144C" w:rsidRPr="009A2E71" w:rsidRDefault="008A144C" w:rsidP="006C1591">
      <w:pPr>
        <w:spacing w:after="0"/>
      </w:pPr>
      <w:r w:rsidRPr="009A2E71">
        <w:t>Le Mali fait face à un double choc économique lié à la baisse simultanée de la production aurifère et à la mévente du coton, deux piliers de son budget national. Le coton, deuxième source de devises du pays, subit une crise de compétitivité avec près de 100 000 tonnes bloquées dans les ports africains en raison des prix mondiaux en baisse et de la concurrence brésilienne. Cette conjoncture met sous tension les finances publiques et contraint le gouvernement à envisager un élargissement de l’assiette fiscale et un contrôle accru de la dépense publique, tout en relançant la diversification économique et minière.</w:t>
      </w:r>
    </w:p>
    <w:p w14:paraId="7E046769" w14:textId="77777777" w:rsidR="008A66E1" w:rsidRDefault="008A66E1" w:rsidP="008A66E1">
      <w:pPr>
        <w:pStyle w:val="Titre2"/>
        <w:spacing w:before="0"/>
      </w:pPr>
    </w:p>
    <w:p w14:paraId="6E9A9EF3" w14:textId="4AECEB1C" w:rsidR="008A66E1" w:rsidRPr="009A2E71" w:rsidRDefault="008A66E1" w:rsidP="008A66E1">
      <w:pPr>
        <w:pStyle w:val="Titre2"/>
        <w:spacing w:before="0"/>
      </w:pPr>
      <w:bookmarkStart w:id="304" w:name="_Toc213247550"/>
      <w:r w:rsidRPr="009A2E71">
        <w:t>Coton – Projet d’une nouvelle usine d’égrenage.</w:t>
      </w:r>
      <w:bookmarkEnd w:id="304"/>
    </w:p>
    <w:p w14:paraId="3CD0C9D0" w14:textId="77777777" w:rsidR="008A66E1" w:rsidRPr="009A2E71" w:rsidRDefault="008A66E1" w:rsidP="008A66E1">
      <w:pPr>
        <w:spacing w:after="0"/>
      </w:pPr>
      <w:r w:rsidRPr="009A2E71">
        <w:t xml:space="preserve">Le gouvernement a approuvé le 15 octobre en Conseil des ministres, la cession gratuite d’un terrain de 50 ha à la Compagnie malienne pour le développement des textiles (CMDT) pour la construction d’une nouvelle unité d’égrenage à </w:t>
      </w:r>
      <w:proofErr w:type="spellStart"/>
      <w:r w:rsidRPr="009A2E71">
        <w:t>Kokofata</w:t>
      </w:r>
      <w:proofErr w:type="spellEnd"/>
      <w:r w:rsidRPr="009A2E71">
        <w:t>. Ce projet vise à renforcer la transformation nationale du coton graine, soutenir la filière cotonnière et améliorer les revenus des producteurs. La CMDT dispose déjà de 18 usines d’une capacité cumulée de 4 300 tonnes par jour. La future unité s’inscrit dans la stratégie nationale de valorisation du coton, deuxième produit d’exportation du pays après l’or, qui a généré 69,7 M USD de recettes en 2024. Les prévisions pour la campagne 2025–2026 portent sur 282 000 tonnes de coton graine.</w:t>
      </w:r>
    </w:p>
    <w:p w14:paraId="30DAFC04" w14:textId="77777777" w:rsidR="008A66E1" w:rsidRPr="009A2E71" w:rsidRDefault="008A66E1" w:rsidP="008A66E1">
      <w:pPr>
        <w:spacing w:after="0"/>
      </w:pPr>
    </w:p>
    <w:p w14:paraId="5C02FBEB" w14:textId="77777777" w:rsidR="008A66E1" w:rsidRPr="009A2E71" w:rsidRDefault="008A66E1" w:rsidP="008A66E1">
      <w:pPr>
        <w:pStyle w:val="Titre2"/>
        <w:spacing w:before="0"/>
      </w:pPr>
      <w:bookmarkStart w:id="305" w:name="_Toc213247551"/>
      <w:r w:rsidRPr="009A2E71">
        <w:t>Coton – Le Mali plaide pour une filière équitable et durable à Rome.</w:t>
      </w:r>
      <w:bookmarkEnd w:id="305"/>
    </w:p>
    <w:p w14:paraId="798757BC" w14:textId="77777777" w:rsidR="008A66E1" w:rsidRPr="009A2E71" w:rsidRDefault="008A66E1" w:rsidP="008A66E1">
      <w:pPr>
        <w:spacing w:after="0"/>
      </w:pPr>
      <w:r w:rsidRPr="009A2E71">
        <w:t xml:space="preserve">À l’occasion de la Journée mondiale du coton, célébrée le 7 octobre au siège de la FAO à Rome, le ministre malien de l’industrie et du commerce, M. Moussa Alassane Diallo, également </w:t>
      </w:r>
      <w:r w:rsidRPr="009A2E71">
        <w:lastRenderedPageBreak/>
        <w:t xml:space="preserve">coordinateur du Groupe C4+ (Mali, Bénin, Burkina Faso, Tchad, rejoints par la Côte d’Ivoire), a défendu la cause d’un commerce plus juste et d’une production cotonnière durable. Dans son intervention, il a rappelé que le coton représente 11,3 % des recettes d’exportation du Mali et fait vivre près de 4 M de personnes. Le ministre a appelé l’Organisation mondiale du commerce (OMC) à respecter les engagements pris lors des conférences de Hong Kong, Bali et Nairobi pour corriger les distorsions créées par les subventions aux producteurs des pays industrialisés. La rencontre a également valorisé la créativité africaine à travers des défilés de mode dirigés par le créateur nigérien </w:t>
      </w:r>
      <w:proofErr w:type="spellStart"/>
      <w:r w:rsidRPr="009A2E71">
        <w:t>Alphadi</w:t>
      </w:r>
      <w:proofErr w:type="spellEnd"/>
      <w:r w:rsidRPr="009A2E71">
        <w:t>, illustrant la volonté de promouvoir la transformation locale et la création d’emplois durables.</w:t>
      </w:r>
    </w:p>
    <w:p w14:paraId="583DC0AE" w14:textId="77777777" w:rsidR="008A66E1" w:rsidRPr="009A2E71" w:rsidRDefault="008A66E1" w:rsidP="008A66E1">
      <w:pPr>
        <w:spacing w:after="0"/>
      </w:pPr>
    </w:p>
    <w:p w14:paraId="5415B6F1" w14:textId="77777777" w:rsidR="008A66E1" w:rsidRPr="009A2E71" w:rsidRDefault="008A66E1" w:rsidP="008A66E1">
      <w:pPr>
        <w:pStyle w:val="Titre2"/>
        <w:spacing w:before="0"/>
      </w:pPr>
      <w:bookmarkStart w:id="306" w:name="_Toc213247552"/>
      <w:r w:rsidRPr="009A2E71">
        <w:t>Coton – Projet d’usine de vêtements.</w:t>
      </w:r>
      <w:bookmarkEnd w:id="306"/>
    </w:p>
    <w:p w14:paraId="60180C52" w14:textId="77777777" w:rsidR="008A66E1" w:rsidRPr="009A2E71" w:rsidRDefault="008A66E1" w:rsidP="008A66E1">
      <w:pPr>
        <w:spacing w:after="0"/>
      </w:pPr>
      <w:r w:rsidRPr="009A2E71">
        <w:t xml:space="preserve">Des investisseurs marocains conduits par l’entreprise marocaine </w:t>
      </w:r>
      <w:proofErr w:type="spellStart"/>
      <w:r w:rsidRPr="009A2E71">
        <w:t>Twins</w:t>
      </w:r>
      <w:proofErr w:type="spellEnd"/>
      <w:r w:rsidRPr="009A2E71">
        <w:t xml:space="preserve"> Shop ont présenté le 30 septembre au ministre de l’industrie et du commerce une étude de faisabilité pour un projet baptisé « Modal Tex 2025 », qui pourrait être opérationnel à la fin de l’année prochaine et qui viserait à implanter une unité capable de produire 1 000 vêtements par jour afin de structurer une filière locale adossée au coton. Le Mali a produit environ 690 000 tonnes de coton graine en 2023-2024, en tête du Programme régional de production intégrée du coton en Afrique (PR-PICA) devant le Bénin à 600 063 tonnes, les deux pays représentant 60% de la production cotonnière de l’UEMOA. Pour 2024-2025, une prévision à 569 300 tonnes suggère un recul de 17% lié à la réduction des superficies et à des conditions climatiques défavorables, avec 623 042 ha cultivés. Porté avec l’Agence pour la promotion des investissements (API-Mali), le projet entend s’appuyer sur le savoir-faire industriel marocain, la maîtrise technique et les accès aux marchés. La concrétisation repose sur la validation de l’étude et du plan d’investissement, le montage financier, la finalisation des partenariats techniques, la sécurisation juridique, le choix des technologies, le recrutement et la formation, ainsi que l’intégration dans les chaînes d’approvisionnement et les dispositifs d’exportation.</w:t>
      </w:r>
    </w:p>
    <w:p w14:paraId="7BB5D524" w14:textId="77777777" w:rsidR="0086354C" w:rsidRDefault="0086354C" w:rsidP="006C1591">
      <w:pPr>
        <w:pStyle w:val="Titre2"/>
        <w:spacing w:before="0"/>
      </w:pPr>
    </w:p>
    <w:p w14:paraId="03EAE7F8" w14:textId="7CAC5E98" w:rsidR="008A144C" w:rsidRPr="009A2E71" w:rsidRDefault="008A144C" w:rsidP="006C1591">
      <w:pPr>
        <w:pStyle w:val="Titre2"/>
        <w:spacing w:before="0"/>
      </w:pPr>
      <w:bookmarkStart w:id="307" w:name="_Toc213247553"/>
      <w:r w:rsidRPr="009A2E71">
        <w:t>Sésame – Une filière porteuse.</w:t>
      </w:r>
      <w:bookmarkEnd w:id="307"/>
    </w:p>
    <w:p w14:paraId="14041115" w14:textId="02696630" w:rsidR="008A144C" w:rsidRPr="009A2E71" w:rsidRDefault="008A144C" w:rsidP="006C1591">
      <w:pPr>
        <w:spacing w:after="0"/>
      </w:pPr>
      <w:r w:rsidRPr="009A2E71">
        <w:t xml:space="preserve">Le sésame, plante oléagineuse aux vertus nutritionnelles reconnues, s’impose comme une source croissante de revenus au Mali. Selon </w:t>
      </w:r>
      <w:r w:rsidR="00FB772F" w:rsidRPr="009A2E71">
        <w:t xml:space="preserve">M. </w:t>
      </w:r>
      <w:r w:rsidRPr="009A2E71">
        <w:t>Soumaïla Coulibaly, président de l’interprofession de la filière sésame, la production nationale atteint environ 70 000 tonnes par an et fait vivre 500 000 familles rurales. La filière compte plus de 200 coopératives, une soixantaine d’unités de transformation et une vingtaine d’entreprises de commercialisation et d’exportation. Les superficies exploitées couvrent près de 50 000 ha, avec un potentiel estimé à 100 000 tonnes par an. Les acteurs du secteur appellent à un meilleur accompagnement public pour renforcer la transformation locale et la visibilité d’un produit à fort potentiel économique et nutritionnel.</w:t>
      </w:r>
    </w:p>
    <w:p w14:paraId="427B9C8A" w14:textId="5F15EDE4" w:rsidR="00242B56" w:rsidRDefault="00242B56" w:rsidP="006C1591">
      <w:pPr>
        <w:spacing w:after="0"/>
      </w:pPr>
    </w:p>
    <w:p w14:paraId="21A6D145" w14:textId="77777777" w:rsidR="008A66E1" w:rsidRPr="009A2E71" w:rsidRDefault="008A66E1" w:rsidP="008A66E1">
      <w:pPr>
        <w:pStyle w:val="Titre2"/>
        <w:spacing w:before="0"/>
      </w:pPr>
      <w:bookmarkStart w:id="308" w:name="_Toc213247554"/>
      <w:r w:rsidRPr="009A2E71">
        <w:t xml:space="preserve">Élevage – Campagne nationale contre la Peste des Petits Ruminants </w:t>
      </w:r>
      <w:r>
        <w:t>(</w:t>
      </w:r>
      <w:r w:rsidRPr="009A2E71">
        <w:t>PPR</w:t>
      </w:r>
      <w:r>
        <w:t>)</w:t>
      </w:r>
      <w:r w:rsidRPr="009A2E71">
        <w:t>.</w:t>
      </w:r>
      <w:bookmarkEnd w:id="308"/>
    </w:p>
    <w:p w14:paraId="17B70748" w14:textId="77777777" w:rsidR="008A66E1" w:rsidRPr="009A2E71" w:rsidRDefault="008A66E1" w:rsidP="008A66E1">
      <w:pPr>
        <w:spacing w:after="0"/>
      </w:pPr>
      <w:r w:rsidRPr="009A2E71">
        <w:t xml:space="preserve">Le ministre de l’élevage et de la pêche, M. </w:t>
      </w:r>
      <w:proofErr w:type="spellStart"/>
      <w:r w:rsidRPr="009A2E71">
        <w:t>Youba</w:t>
      </w:r>
      <w:proofErr w:type="spellEnd"/>
      <w:r w:rsidRPr="009A2E71">
        <w:t xml:space="preserve"> Ba, a lancé le 9 octobre la campagne spéciale de vaccination et de marquage contre la </w:t>
      </w:r>
      <w:bookmarkStart w:id="309" w:name="_Hlk213008252"/>
      <w:r w:rsidRPr="009A2E71">
        <w:t xml:space="preserve">Peste des Petits Ruminants </w:t>
      </w:r>
      <w:bookmarkEnd w:id="309"/>
      <w:r w:rsidRPr="009A2E71">
        <w:t>(PPR) pour la période 2025–2026. L’opération, appuyée par le Projet régional d’appui au pastoralisme au Sahel – Phase 2 (PRAPS-2) financé par la Banque mondiale et le gouvernement malien, vise la vaccination et le marquage de 15 M de têtes sur l’ensemble du territoire. Elle s’inscrit dans la stratégie nationale d’éradication de la maladie d’ici 2030, conformément à l’initiative conjointe de l’Organisation mondiale de la santé animale (OMSA) et de la FAO.</w:t>
      </w:r>
    </w:p>
    <w:p w14:paraId="6754211D" w14:textId="77777777" w:rsidR="008A66E1" w:rsidRPr="009A2E71" w:rsidRDefault="008A66E1" w:rsidP="006C1591">
      <w:pPr>
        <w:spacing w:after="0"/>
      </w:pPr>
    </w:p>
    <w:p w14:paraId="75E4CA7D" w14:textId="1697F93D" w:rsidR="002566EB" w:rsidRPr="009A2E71" w:rsidRDefault="002566EB" w:rsidP="006C1591">
      <w:pPr>
        <w:pStyle w:val="Titre2"/>
        <w:spacing w:before="0"/>
      </w:pPr>
      <w:bookmarkStart w:id="310" w:name="_Toc213247555"/>
      <w:r w:rsidRPr="009A2E71">
        <w:t>Pêche –</w:t>
      </w:r>
      <w:r w:rsidR="0023257E" w:rsidRPr="009A2E71">
        <w:t xml:space="preserve"> Adhésion </w:t>
      </w:r>
      <w:r w:rsidRPr="009A2E71">
        <w:t xml:space="preserve">à l’Accord sur les subventions de </w:t>
      </w:r>
      <w:r w:rsidR="0023257E" w:rsidRPr="009A2E71">
        <w:t>l’Organisation mondiale du commerce (</w:t>
      </w:r>
      <w:r w:rsidRPr="009A2E71">
        <w:t>OMC</w:t>
      </w:r>
      <w:r w:rsidR="0023257E" w:rsidRPr="009A2E71">
        <w:t>)</w:t>
      </w:r>
      <w:r w:rsidRPr="009A2E71">
        <w:t>.</w:t>
      </w:r>
      <w:bookmarkEnd w:id="310"/>
    </w:p>
    <w:p w14:paraId="25FAD55E" w14:textId="0EF4118E" w:rsidR="0023257E" w:rsidRPr="009A2E71" w:rsidRDefault="002566EB" w:rsidP="006C1591">
      <w:pPr>
        <w:spacing w:after="0"/>
      </w:pPr>
      <w:r w:rsidRPr="009A2E71">
        <w:t>Le Mali est devenu le 114</w:t>
      </w:r>
      <w:r w:rsidR="0023257E" w:rsidRPr="009A2E71">
        <w:rPr>
          <w:vertAlign w:val="superscript"/>
        </w:rPr>
        <w:t>ème</w:t>
      </w:r>
      <w:r w:rsidR="0023257E" w:rsidRPr="009A2E71">
        <w:t xml:space="preserve"> </w:t>
      </w:r>
      <w:r w:rsidRPr="009A2E71">
        <w:t>membre (OMC) à ratifier l’Accord sur les subventions à la pêche, en déposant son instrument d’acceptation le 8 octobre. Entré en vigueur le 15 septembre, cet accord multilatéral vise à préserver les ressources halieutiques en interdisant les subventions favorisant la pêche illégale, non déclarée ou non réglementée, ainsi que la surexploitation des stocks. Selon l’OMC, près de 35,5% des stocks mondiaux sont actuellement surexploités et les subventions marines atteignent environ 35 Md USD par an, dont 22 Md jugés nocifs.</w:t>
      </w:r>
    </w:p>
    <w:p w14:paraId="41A45373" w14:textId="77777777" w:rsidR="00250D1A" w:rsidRPr="009A2E71" w:rsidRDefault="00250D1A" w:rsidP="006C1591">
      <w:pPr>
        <w:spacing w:after="0"/>
      </w:pPr>
    </w:p>
    <w:p w14:paraId="3FB38C52" w14:textId="77777777" w:rsidR="008A66E1" w:rsidRPr="009A2E71" w:rsidRDefault="008A66E1" w:rsidP="008A66E1">
      <w:pPr>
        <w:pStyle w:val="Titre2"/>
        <w:spacing w:before="0"/>
      </w:pPr>
      <w:bookmarkStart w:id="311" w:name="_Hlk211420439"/>
      <w:bookmarkStart w:id="312" w:name="_Toc213247556"/>
      <w:r w:rsidRPr="009A2E71">
        <w:t>Évènement – Le Marché des innovations et technologies agricoles (MITA) 2025 met à l’honneur les technologies pour les sols africains.</w:t>
      </w:r>
      <w:bookmarkEnd w:id="312"/>
    </w:p>
    <w:p w14:paraId="661B0EE9" w14:textId="77777777" w:rsidR="008A66E1" w:rsidRPr="009A2E71" w:rsidRDefault="008A66E1" w:rsidP="008A66E1">
      <w:pPr>
        <w:spacing w:after="0"/>
      </w:pPr>
      <w:r w:rsidRPr="009A2E71">
        <w:t>Le conseil ouest et centre africain pour la recherche et le développement agricoles (</w:t>
      </w:r>
      <w:proofErr w:type="spellStart"/>
      <w:r w:rsidRPr="009A2E71">
        <w:t>Coraf</w:t>
      </w:r>
      <w:proofErr w:type="spellEnd"/>
      <w:r w:rsidRPr="009A2E71">
        <w:t xml:space="preserve">) a organisé du 20 au 24 octobre à Bamako la cinquième édition du MITA, en partenariat avec l’institut d’économie rurale (IER) du Mali. Placé sous le thème « Facilitation de l’accès aux technologies et innovations agricoles de gestion intégrée des sols », l’événement a réuni décideurs, chercheurs, secteur privé et producteurs autour de plus de 100 solutions éprouvées pour restaurer la fertilité des sols. Parmi elles figurent des biofertilisants augmentant les rendements de 40%, un système de compostage rapide réduisant les coûts d’engrais de 60%, du biochar favorisant la séquestration du carbone et des capteurs intelligents pour une gestion précise des nutriments. Les ministres de l’agriculture de douze pays bénéficiaires du programme de résilience des systèmes alimentaires (PRSA/FSRP) devaient débattre des mécanismes de financement pour accélérer l’adoption de ces innovations. Le </w:t>
      </w:r>
      <w:proofErr w:type="spellStart"/>
      <w:r w:rsidRPr="009A2E71">
        <w:t>Coraf</w:t>
      </w:r>
      <w:proofErr w:type="spellEnd"/>
      <w:r w:rsidRPr="009A2E71">
        <w:t xml:space="preserve"> estime que ces technologies pourraient contribuer à régénérer 50 M d’ha de terres dégradées et à renforcer durablement la sécurité alimentaire en Afrique de l’Ouest et du Centre.</w:t>
      </w:r>
    </w:p>
    <w:bookmarkEnd w:id="311"/>
    <w:p w14:paraId="102D3E4F" w14:textId="77777777" w:rsidR="00FD705E" w:rsidRPr="009A2E71" w:rsidRDefault="00FD705E" w:rsidP="006C1591">
      <w:pPr>
        <w:spacing w:after="0"/>
      </w:pPr>
    </w:p>
    <w:p w14:paraId="3436A45A" w14:textId="74210C55" w:rsidR="0003644E" w:rsidRPr="009A2E71" w:rsidRDefault="009D0F96" w:rsidP="006C1591">
      <w:pPr>
        <w:pStyle w:val="Titre1"/>
        <w:spacing w:before="0"/>
      </w:pPr>
      <w:bookmarkStart w:id="313" w:name="_Toc207812063"/>
      <w:bookmarkStart w:id="314" w:name="_Toc207812931"/>
      <w:bookmarkStart w:id="315" w:name="_Toc207813093"/>
      <w:bookmarkStart w:id="316" w:name="_Toc213247557"/>
      <w:r w:rsidRPr="009A2E71">
        <w:t>Mauritanie</w:t>
      </w:r>
      <w:bookmarkEnd w:id="313"/>
      <w:bookmarkEnd w:id="314"/>
      <w:bookmarkEnd w:id="315"/>
      <w:bookmarkEnd w:id="316"/>
    </w:p>
    <w:p w14:paraId="3CE5538F" w14:textId="77777777" w:rsidR="0024021E" w:rsidRPr="009A2E71" w:rsidRDefault="0024021E" w:rsidP="0024021E">
      <w:pPr>
        <w:pStyle w:val="Titre2"/>
        <w:spacing w:before="0"/>
      </w:pPr>
      <w:bookmarkStart w:id="317" w:name="_Toc213247558"/>
      <w:r w:rsidRPr="009A2E71">
        <w:t>Pêche – La crise mauritanienne alerte la région.</w:t>
      </w:r>
      <w:bookmarkEnd w:id="317"/>
    </w:p>
    <w:p w14:paraId="44C35E87" w14:textId="77777777" w:rsidR="0024021E" w:rsidRPr="009A2E71" w:rsidRDefault="0024021E" w:rsidP="0024021E">
      <w:pPr>
        <w:spacing w:after="0"/>
      </w:pPr>
      <w:r w:rsidRPr="009A2E71">
        <w:t>La crise structurelle qui secoue aujourd’hui la pêche mauritanienne inquiète au-delà de ses frontières. À Nouadhibou, capitale économique et poumon halieutique du pays, les poissons se font rares. La surexploitation des ressources, conjuguée à la dépendance croissante de l’industrie nationale à la farine et à l’huile de poisson (FHP), a provoqué un effondrement sans précédent de la production. Les exportations d’</w:t>
      </w:r>
      <w:proofErr w:type="spellStart"/>
      <w:r w:rsidRPr="009A2E71">
        <w:t>Omaurci</w:t>
      </w:r>
      <w:proofErr w:type="spellEnd"/>
      <w:r w:rsidRPr="009A2E71">
        <w:t xml:space="preserve"> SA, l’un des principaux acteurs du secteur, sont passées de près de 13 000 tonnes en 2020 à peine un peu plus de 5 500 tonnes en 2024. Deux tiers des usines locales ont fermé leurs portes avec un impact sur des milliers d’emplois. Le modèle halieutique mauritanien, longtemps fondé sur la rentabilité rapide de la transformation industrielle, semble aujourd’hui à bout de souffle. Cette situation, qui combine catastrophe écologique et choc économique, agit comme un signal d’alarme pour les pays voisins, notamment le Maroc, deuxième acteur régional de la pêche pélagique. Sur les côtes marocaines, et particulièrement dans le Sud, des signes préoccupants apparaissent : les débarquements de sardines à Dakhla auraient chuté de moitié, tandis que les volumes nationaux seraient en baisse de 20% en moyenne, selon plusieurs sources du secteur. La crise mauritanienne met en lumière la nécessité d’une approche concertée de la gestion des stocks pélagiques migrateurs, partagés entre le Maroc, la Mauritanie, le Sénégal, la Gambie et la Guinée-Bissau. Une gouvernance régionale renforcée, fondée sur la transparence scientifique, </w:t>
      </w:r>
      <w:r w:rsidRPr="009A2E71">
        <w:lastRenderedPageBreak/>
        <w:t>la traçabilité et le respect des périodes de repos biologique, apparaît indispensable pour préserver la durabilité de l’un des principaux bassins halieutiques du continent.</w:t>
      </w:r>
    </w:p>
    <w:p w14:paraId="160E491F" w14:textId="77777777" w:rsidR="0024021E" w:rsidRPr="009A2E71" w:rsidRDefault="0024021E" w:rsidP="0024021E">
      <w:pPr>
        <w:spacing w:after="0"/>
      </w:pPr>
    </w:p>
    <w:p w14:paraId="0D02BE99" w14:textId="65671FEA" w:rsidR="0024021E" w:rsidRPr="009A2E71" w:rsidRDefault="0024021E" w:rsidP="0024021E">
      <w:pPr>
        <w:pStyle w:val="Titre2"/>
        <w:spacing w:before="0"/>
      </w:pPr>
      <w:bookmarkStart w:id="318" w:name="_Toc213247559"/>
      <w:r>
        <w:t>E</w:t>
      </w:r>
      <w:r w:rsidRPr="009A2E71">
        <w:t>levage – Nouvelle stratégie nationale pour la relance du secteur.</w:t>
      </w:r>
      <w:bookmarkEnd w:id="318"/>
    </w:p>
    <w:p w14:paraId="3D56B37F" w14:textId="77777777" w:rsidR="0024021E" w:rsidRPr="009A2E71" w:rsidRDefault="0024021E" w:rsidP="0024021E">
      <w:pPr>
        <w:spacing w:after="0"/>
      </w:pPr>
      <w:r w:rsidRPr="009A2E71">
        <w:t xml:space="preserve">Le ministre de l’élevage, M. </w:t>
      </w:r>
      <w:proofErr w:type="spellStart"/>
      <w:r w:rsidRPr="009A2E71">
        <w:t>Sid’Ahmed</w:t>
      </w:r>
      <w:proofErr w:type="spellEnd"/>
      <w:r w:rsidRPr="009A2E71">
        <w:t xml:space="preserve"> </w:t>
      </w:r>
      <w:proofErr w:type="spellStart"/>
      <w:r w:rsidRPr="009A2E71">
        <w:t>Ould</w:t>
      </w:r>
      <w:proofErr w:type="spellEnd"/>
      <w:r w:rsidRPr="009A2E71">
        <w:t xml:space="preserve"> Mohamed, a présenté en Conseil des ministres une communication sur la relance du secteur, jugé essentiel pour la sécurité alimentaire et la croissance rurale. Cette stratégie vise à moderniser l’élevage mauritanien à travers une approche combinant transhumance et systèmes semi-intensifs, la mise en œuvre d’une politique claire et la formation de ressources humaines qualifiées. Elle prévoit également la réhabilitation des infrastructures, la création d’un bassin laitier autour de l’usine de Néma en partenariat avec la Société mauritanienne des produits laitiers, ainsi qu’un mécanisme de maintenance intégré pour en assurer la durabilité. L’élevage, qui représente environ 1,3 M de camélidés, 1,4 M de bovins et 12 M de petits ruminants, génère chaque année 67 000 tonnes de viande et 360 000 tonnes de lait. Cette politique ambitionne d’accroître la productivité et de renforcer la résilience des ménages pastoraux.</w:t>
      </w:r>
    </w:p>
    <w:p w14:paraId="7C76F41F" w14:textId="77777777" w:rsidR="0024021E" w:rsidRDefault="0024021E" w:rsidP="0024021E">
      <w:pPr>
        <w:pStyle w:val="Titre2"/>
        <w:spacing w:before="0"/>
      </w:pPr>
    </w:p>
    <w:p w14:paraId="4C056678" w14:textId="5A86A2D5" w:rsidR="0024021E" w:rsidRPr="009A2E71" w:rsidRDefault="0024021E" w:rsidP="0024021E">
      <w:pPr>
        <w:pStyle w:val="Titre2"/>
        <w:spacing w:before="0"/>
      </w:pPr>
      <w:bookmarkStart w:id="319" w:name="_Toc213247560"/>
      <w:r>
        <w:t>Elevag</w:t>
      </w:r>
      <w:r w:rsidRPr="009A2E71">
        <w:t>e – L’arrêt de la transhumance vers le Mali menace le cheptel mauritanien.</w:t>
      </w:r>
      <w:bookmarkEnd w:id="319"/>
    </w:p>
    <w:p w14:paraId="4DAB1FD1" w14:textId="7A8032E8" w:rsidR="0024021E" w:rsidRPr="009A2E71" w:rsidRDefault="0024021E" w:rsidP="0024021E">
      <w:pPr>
        <w:spacing w:after="0"/>
      </w:pPr>
      <w:r w:rsidRPr="009A2E71">
        <w:t xml:space="preserve">La décision du Mali de fermer ses frontières à la transhumance du bétail mauritanien suscite de fortes inquiétudes. Environ 70% des 30 M de têtes du cheptel national s’alimentent habituellement dans les pâturages maliens. Cette mesure prive les éleveurs des zones de </w:t>
      </w:r>
      <w:proofErr w:type="spellStart"/>
      <w:r w:rsidRPr="009A2E71">
        <w:t>Hodh</w:t>
      </w:r>
      <w:proofErr w:type="spellEnd"/>
      <w:r w:rsidRPr="009A2E71">
        <w:t xml:space="preserve"> El </w:t>
      </w:r>
      <w:proofErr w:type="spellStart"/>
      <w:r w:rsidRPr="009A2E71">
        <w:t>Charghi</w:t>
      </w:r>
      <w:proofErr w:type="spellEnd"/>
      <w:r w:rsidRPr="009A2E71">
        <w:t xml:space="preserve">, </w:t>
      </w:r>
      <w:proofErr w:type="spellStart"/>
      <w:r w:rsidRPr="009A2E71">
        <w:t>Hodh</w:t>
      </w:r>
      <w:proofErr w:type="spellEnd"/>
      <w:r w:rsidRPr="009A2E71">
        <w:t xml:space="preserve"> El Gharbi, </w:t>
      </w:r>
      <w:proofErr w:type="spellStart"/>
      <w:r w:rsidRPr="009A2E71">
        <w:t>Assaba</w:t>
      </w:r>
      <w:proofErr w:type="spellEnd"/>
      <w:r w:rsidRPr="009A2E71">
        <w:t xml:space="preserve"> et </w:t>
      </w:r>
      <w:proofErr w:type="spellStart"/>
      <w:r w:rsidRPr="009A2E71">
        <w:t>Guidimakha</w:t>
      </w:r>
      <w:proofErr w:type="spellEnd"/>
      <w:r w:rsidRPr="009A2E71">
        <w:t xml:space="preserve"> d’accès aux prairies saisonnières, compromettant l’équilibre économique et social de ces régions. Le secteur de l’élevage, qui représente plus de 10% du PIB et 70% de la valeur ajoutée rurale, risque d’être gravement affecté. Les organisations pastorales appellent les autorités et les partenaires techniques à mettre en œuvre en urgence des programmes d’alimentation fourragère et d’accès à l’eau afin d’éviter des pertes massives de bétail.</w:t>
      </w:r>
    </w:p>
    <w:p w14:paraId="58434D30" w14:textId="1F45225A" w:rsidR="002F7D45" w:rsidRDefault="002F7D45" w:rsidP="006C1591">
      <w:pPr>
        <w:spacing w:after="0"/>
      </w:pPr>
    </w:p>
    <w:p w14:paraId="7E46D4A5" w14:textId="791F1F68" w:rsidR="0024021E" w:rsidRPr="009A2E71" w:rsidRDefault="0024021E" w:rsidP="0024021E">
      <w:pPr>
        <w:pStyle w:val="Titre2"/>
        <w:spacing w:before="0"/>
      </w:pPr>
      <w:bookmarkStart w:id="320" w:name="_Toc213247561"/>
      <w:r>
        <w:t>E</w:t>
      </w:r>
      <w:r w:rsidRPr="009A2E71">
        <w:t>levage – Protection des pâturages contre les incendies.</w:t>
      </w:r>
      <w:bookmarkEnd w:id="320"/>
    </w:p>
    <w:p w14:paraId="7E58BB85" w14:textId="77777777" w:rsidR="0024021E" w:rsidRPr="009A2E71" w:rsidRDefault="0024021E" w:rsidP="0024021E">
      <w:pPr>
        <w:spacing w:after="0"/>
      </w:pPr>
      <w:r w:rsidRPr="009A2E71">
        <w:t>Le ministre de l’élevage</w:t>
      </w:r>
      <w:bookmarkStart w:id="321" w:name="_Hlk211854234"/>
      <w:r w:rsidRPr="009A2E71">
        <w:t xml:space="preserve">, M. </w:t>
      </w:r>
      <w:proofErr w:type="spellStart"/>
      <w:r w:rsidRPr="009A2E71">
        <w:t>Sid’Ahmed</w:t>
      </w:r>
      <w:proofErr w:type="spellEnd"/>
      <w:r w:rsidRPr="009A2E71">
        <w:t xml:space="preserve"> </w:t>
      </w:r>
      <w:proofErr w:type="spellStart"/>
      <w:r w:rsidRPr="009A2E71">
        <w:t>Ould</w:t>
      </w:r>
      <w:proofErr w:type="spellEnd"/>
      <w:r w:rsidRPr="009A2E71">
        <w:t xml:space="preserve"> Mohamed, </w:t>
      </w:r>
      <w:bookmarkEnd w:id="321"/>
      <w:r w:rsidRPr="009A2E71">
        <w:t xml:space="preserve">a présidé une réunion avec les acteurs du secteur dans le cadre de la campagne nationale de sensibilisation contre les incendies saisonniers. Il a souligné l’importance de préserver les pâturages, essentiels à la résilience face aux sécheresses et a appelé à une surveillance accrue des zones pastorales et à l’entretien des lignes </w:t>
      </w:r>
      <w:proofErr w:type="spellStart"/>
      <w:r w:rsidRPr="009A2E71">
        <w:t>pare-feux</w:t>
      </w:r>
      <w:proofErr w:type="spellEnd"/>
      <w:r w:rsidRPr="009A2E71">
        <w:t xml:space="preserve">. Les éleveurs ont réclamé la fourniture de fourrage, leur implication dans le traçage des lignes de protection et un plan clair pour la relance de la laiterie de Néma. La wilaya du </w:t>
      </w:r>
      <w:proofErr w:type="spellStart"/>
      <w:r w:rsidRPr="009A2E71">
        <w:t>Hodh</w:t>
      </w:r>
      <w:proofErr w:type="spellEnd"/>
      <w:r w:rsidRPr="009A2E71">
        <w:t xml:space="preserve"> </w:t>
      </w:r>
      <w:proofErr w:type="spellStart"/>
      <w:r w:rsidRPr="009A2E71">
        <w:t>Charghi</w:t>
      </w:r>
      <w:proofErr w:type="spellEnd"/>
      <w:r w:rsidRPr="009A2E71">
        <w:t xml:space="preserve"> concentre plus du tiers du cheptel national, faisant de la prévention des incendies une priorité stratégique pour la sécurité alimentaire et le développement pastoral.</w:t>
      </w:r>
    </w:p>
    <w:p w14:paraId="3A43A3DF" w14:textId="77777777" w:rsidR="0024021E" w:rsidRPr="009A2E71" w:rsidRDefault="0024021E" w:rsidP="006C1591">
      <w:pPr>
        <w:spacing w:after="0"/>
      </w:pPr>
    </w:p>
    <w:p w14:paraId="55F045A5" w14:textId="309C9CEA" w:rsidR="00A527C8" w:rsidRPr="009A2E71" w:rsidRDefault="00A527C8" w:rsidP="006C1591">
      <w:pPr>
        <w:pStyle w:val="Titre2"/>
        <w:spacing w:before="0"/>
      </w:pPr>
      <w:bookmarkStart w:id="322" w:name="_Toc213247562"/>
      <w:r w:rsidRPr="009A2E71">
        <w:t>Maraîchage – Lancement de la campagne 2025-2026.</w:t>
      </w:r>
      <w:bookmarkEnd w:id="322"/>
    </w:p>
    <w:p w14:paraId="7A70BE37" w14:textId="5D1E2424" w:rsidR="00A527C8" w:rsidRPr="009A2E71" w:rsidRDefault="00A527C8" w:rsidP="006C1591">
      <w:pPr>
        <w:spacing w:after="0"/>
      </w:pPr>
      <w:r w:rsidRPr="009A2E71">
        <w:t xml:space="preserve">Le président </w:t>
      </w:r>
      <w:r w:rsidR="004A2C09" w:rsidRPr="009A2E71">
        <w:t xml:space="preserve">mauritanien, M. </w:t>
      </w:r>
      <w:r w:rsidRPr="009A2E71">
        <w:t xml:space="preserve">Mohamed </w:t>
      </w:r>
      <w:proofErr w:type="spellStart"/>
      <w:r w:rsidRPr="009A2E71">
        <w:t>Ould</w:t>
      </w:r>
      <w:proofErr w:type="spellEnd"/>
      <w:r w:rsidRPr="009A2E71">
        <w:t xml:space="preserve"> Cheikh El </w:t>
      </w:r>
      <w:proofErr w:type="spellStart"/>
      <w:r w:rsidRPr="009A2E71">
        <w:t>Ghazouani</w:t>
      </w:r>
      <w:proofErr w:type="spellEnd"/>
      <w:r w:rsidR="004A2C09" w:rsidRPr="009A2E71">
        <w:t>,</w:t>
      </w:r>
      <w:r w:rsidR="007318A1">
        <w:t xml:space="preserve"> </w:t>
      </w:r>
      <w:r w:rsidRPr="009A2E71">
        <w:t xml:space="preserve">a lancé à Rosso la campagne nationale maraîchère 2025-2026 et posé la première pierre du canal de </w:t>
      </w:r>
      <w:proofErr w:type="spellStart"/>
      <w:r w:rsidRPr="009A2E71">
        <w:t>Socam</w:t>
      </w:r>
      <w:proofErr w:type="spellEnd"/>
      <w:r w:rsidRPr="009A2E71">
        <w:t>. Cette campagne vise l’autosuffisance en produits maraîchers, considérés comme un pilier de la souveraineté alimentaire nationale. Le projet du canal, long de 34 km et alimenté par le fleuve Sénégal, doit irriguer environ 16 000 ha de terres agricoles afin d’accroître les surfaces cultivées, renforcer la production locale de légumes et de céréales et améliorer la gestion de l’eau. L’infrastructure contribuera à la modernisation des systèmes d’irrigation et à la valorisation durable des terres fertiles du Trarza, au bénéfice des producteurs et des communautés rurales.</w:t>
      </w:r>
      <w:r w:rsidR="006C17C0" w:rsidRPr="009A2E71">
        <w:t xml:space="preserve">  </w:t>
      </w:r>
      <w:r w:rsidRPr="009A2E71">
        <w:lastRenderedPageBreak/>
        <w:t xml:space="preserve">La wilaya du Trarza </w:t>
      </w:r>
      <w:r w:rsidR="006C17C0" w:rsidRPr="009A2E71">
        <w:t xml:space="preserve">est le </w:t>
      </w:r>
      <w:r w:rsidRPr="009A2E71">
        <w:t>principal pôle maraîcher d</w:t>
      </w:r>
      <w:r w:rsidR="006C17C0" w:rsidRPr="009A2E71">
        <w:t xml:space="preserve">u pays </w:t>
      </w:r>
      <w:r w:rsidRPr="009A2E71">
        <w:t xml:space="preserve">grâce au doublement des superficies cultivées et à un accompagnement accru des producteurs. Selon le coordinateur régional des maraîchers, </w:t>
      </w:r>
      <w:r w:rsidR="006C17C0" w:rsidRPr="009A2E71">
        <w:t xml:space="preserve">M. </w:t>
      </w:r>
      <w:r w:rsidRPr="009A2E71">
        <w:t xml:space="preserve">Mohamed </w:t>
      </w:r>
      <w:proofErr w:type="spellStart"/>
      <w:r w:rsidRPr="009A2E71">
        <w:t>Ould</w:t>
      </w:r>
      <w:proofErr w:type="spellEnd"/>
      <w:r w:rsidRPr="009A2E71">
        <w:t xml:space="preserve"> Moro, la filière est passée de 200 h</w:t>
      </w:r>
      <w:r w:rsidR="006C17C0" w:rsidRPr="009A2E71">
        <w:t>a</w:t>
      </w:r>
      <w:r w:rsidRPr="009A2E71">
        <w:t xml:space="preserve"> cultivés à près de 6 800 h</w:t>
      </w:r>
      <w:r w:rsidR="006C17C0" w:rsidRPr="009A2E71">
        <w:t>a</w:t>
      </w:r>
      <w:r w:rsidRPr="009A2E71">
        <w:t xml:space="preserve"> lors de la dernière campagne, avec une capacité d’exportation estimée à 400 tonnes de légumes par jour en période de récolte. Soutenus par l’État en semences, engrais et équipements horticoles, les producteurs appellent toutefois à renforcer les appuis en matière de commercialisation, de stockage frigorifique et de régulation du foncier agricole face à la spéculation. La mise à disposition de terres accessibles et la construction d’ouvrages de protection contre les inondations sont jugées essentielles pour stabiliser la production et assurer une offre continue de légumes sur le marché national.</w:t>
      </w:r>
    </w:p>
    <w:p w14:paraId="786ACC43" w14:textId="77777777" w:rsidR="007E3D9F" w:rsidRPr="009A2E71" w:rsidRDefault="007E3D9F" w:rsidP="006C1591">
      <w:pPr>
        <w:spacing w:after="0"/>
      </w:pPr>
    </w:p>
    <w:p w14:paraId="4139AE99" w14:textId="77777777" w:rsidR="00433F7B" w:rsidRPr="009A2E71" w:rsidRDefault="00433F7B" w:rsidP="006C1591">
      <w:pPr>
        <w:pStyle w:val="Titre2"/>
        <w:spacing w:before="0"/>
      </w:pPr>
      <w:bookmarkStart w:id="323" w:name="_Toc213247563"/>
      <w:r w:rsidRPr="009A2E71">
        <w:t>Céréales – Coopération mauritano-égyptienne pour améliorer la productivité.</w:t>
      </w:r>
      <w:bookmarkEnd w:id="323"/>
    </w:p>
    <w:p w14:paraId="04C6DE93" w14:textId="1B0FEDC2" w:rsidR="00433F7B" w:rsidRPr="009A2E71" w:rsidRDefault="00433F7B" w:rsidP="006C1591">
      <w:pPr>
        <w:spacing w:after="0"/>
      </w:pPr>
      <w:r w:rsidRPr="009A2E71">
        <w:t>Le ministre mauritanien de l’</w:t>
      </w:r>
      <w:r w:rsidR="007330DE" w:rsidRPr="009A2E71">
        <w:t>a</w:t>
      </w:r>
      <w:r w:rsidRPr="009A2E71">
        <w:t xml:space="preserve">griculture et de la </w:t>
      </w:r>
      <w:r w:rsidR="007330DE" w:rsidRPr="009A2E71">
        <w:t>s</w:t>
      </w:r>
      <w:r w:rsidRPr="009A2E71">
        <w:t xml:space="preserve">ouveraineté alimentaire, </w:t>
      </w:r>
      <w:r w:rsidR="007330DE" w:rsidRPr="009A2E71">
        <w:t xml:space="preserve">M. </w:t>
      </w:r>
      <w:r w:rsidRPr="009A2E71">
        <w:t xml:space="preserve">Sidi Ahmed </w:t>
      </w:r>
      <w:proofErr w:type="spellStart"/>
      <w:r w:rsidRPr="009A2E71">
        <w:t>Ould</w:t>
      </w:r>
      <w:proofErr w:type="spellEnd"/>
      <w:r w:rsidRPr="009A2E71">
        <w:t xml:space="preserve"> </w:t>
      </w:r>
      <w:proofErr w:type="spellStart"/>
      <w:r w:rsidRPr="009A2E71">
        <w:t>Abah</w:t>
      </w:r>
      <w:proofErr w:type="spellEnd"/>
      <w:r w:rsidRPr="009A2E71">
        <w:t xml:space="preserve">, a rencontré son homologue égyptien, </w:t>
      </w:r>
      <w:r w:rsidR="007330DE" w:rsidRPr="009A2E71">
        <w:t xml:space="preserve">M. </w:t>
      </w:r>
      <w:proofErr w:type="spellStart"/>
      <w:r w:rsidRPr="009A2E71">
        <w:t>Alaa</w:t>
      </w:r>
      <w:proofErr w:type="spellEnd"/>
      <w:r w:rsidRPr="009A2E71">
        <w:t xml:space="preserve"> Farouk, le 14 octobre afin d’examiner les possibilités de coopération entre leurs centres de recherche agricole.</w:t>
      </w:r>
      <w:r w:rsidR="007330DE" w:rsidRPr="009A2E71">
        <w:t xml:space="preserve"> La Mauritanie veut renforcer la productivité de ses cultures céréalières en s’inspirant de l’expérience égyptienne.</w:t>
      </w:r>
      <w:r w:rsidRPr="009A2E71">
        <w:t xml:space="preserve"> Les discussions ont porté sur l’amélioration de la productivité du riz, du blé et du maïs, ainsi que sur la création à Nouakchott d’une antenne du Centre de recherche agricole égyptien pour favoriser le transfert de technologies. Cette initiative s’inscrit dans la stratégie nationale visant à réduire la dépendance aux importations de blé, alors que la Mauritanie développe depuis 2023 une filière locale en partenariat avec le programme Arab </w:t>
      </w:r>
      <w:proofErr w:type="spellStart"/>
      <w:r w:rsidRPr="009A2E71">
        <w:t>Africa</w:t>
      </w:r>
      <w:proofErr w:type="spellEnd"/>
      <w:r w:rsidRPr="009A2E71">
        <w:t xml:space="preserve"> Trade Bridges (AATB), le Centre arabe pour les études des zones arides et des terres sèches (ACSAD) et la Société internationale islamique de financement du commerce (ITFC). En mars 2024, un premier essai de culture de blé sur 200 ha dans la région du Trarza a affiché des rendements de 4 à 5 tonnes</w:t>
      </w:r>
      <w:r w:rsidR="007330DE" w:rsidRPr="009A2E71">
        <w:t>/ha</w:t>
      </w:r>
      <w:r w:rsidRPr="009A2E71">
        <w:t>. L’expérience égyptienne, fondée sur la recherche et la maîtrise de l’irrigation, sert de référence régionale.</w:t>
      </w:r>
    </w:p>
    <w:p w14:paraId="60ADDEEE" w14:textId="77777777" w:rsidR="007E3D9F" w:rsidRPr="009A2E71" w:rsidRDefault="007E3D9F" w:rsidP="006C1591">
      <w:pPr>
        <w:spacing w:after="0"/>
      </w:pPr>
    </w:p>
    <w:p w14:paraId="530CF828" w14:textId="3CF04CA7" w:rsidR="00741935" w:rsidRPr="009A2E71" w:rsidRDefault="00741935" w:rsidP="006C1591">
      <w:pPr>
        <w:pStyle w:val="Titre2"/>
        <w:spacing w:before="0"/>
      </w:pPr>
      <w:bookmarkStart w:id="324" w:name="_Toc213247564"/>
      <w:r w:rsidRPr="009A2E71">
        <w:t>Irrigation – Inspection du projet “Al-</w:t>
      </w:r>
      <w:proofErr w:type="spellStart"/>
      <w:r w:rsidRPr="009A2E71">
        <w:t>Rafed</w:t>
      </w:r>
      <w:proofErr w:type="spellEnd"/>
      <w:r w:rsidRPr="009A2E71">
        <w:t xml:space="preserve"> </w:t>
      </w:r>
      <w:proofErr w:type="spellStart"/>
      <w:r w:rsidRPr="009A2E71">
        <w:t>Sokam</w:t>
      </w:r>
      <w:proofErr w:type="spellEnd"/>
      <w:r w:rsidRPr="009A2E71">
        <w:t>”.</w:t>
      </w:r>
      <w:bookmarkEnd w:id="324"/>
    </w:p>
    <w:p w14:paraId="3398F5FE" w14:textId="3AF7CA78" w:rsidR="00741935" w:rsidRPr="009A2E71" w:rsidRDefault="00741935" w:rsidP="006C1591">
      <w:pPr>
        <w:spacing w:after="0"/>
      </w:pPr>
      <w:r w:rsidRPr="009A2E71">
        <w:t xml:space="preserve">Le </w:t>
      </w:r>
      <w:r w:rsidR="00D631A3" w:rsidRPr="009A2E71">
        <w:t xml:space="preserve">nouveau </w:t>
      </w:r>
      <w:r w:rsidRPr="009A2E71">
        <w:t>ministre de l’</w:t>
      </w:r>
      <w:r w:rsidR="00D631A3" w:rsidRPr="009A2E71">
        <w:t>a</w:t>
      </w:r>
      <w:r w:rsidRPr="009A2E71">
        <w:t xml:space="preserve">griculture et de la </w:t>
      </w:r>
      <w:r w:rsidR="00D631A3" w:rsidRPr="009A2E71">
        <w:t>s</w:t>
      </w:r>
      <w:r w:rsidRPr="009A2E71">
        <w:t xml:space="preserve">ouveraineté alimentaire, </w:t>
      </w:r>
      <w:r w:rsidR="00D631A3" w:rsidRPr="009A2E71">
        <w:t xml:space="preserve">M. </w:t>
      </w:r>
      <w:proofErr w:type="spellStart"/>
      <w:r w:rsidRPr="009A2E71">
        <w:t>Sid’Ahmed</w:t>
      </w:r>
      <w:proofErr w:type="spellEnd"/>
      <w:r w:rsidRPr="009A2E71">
        <w:t xml:space="preserve"> </w:t>
      </w:r>
      <w:proofErr w:type="spellStart"/>
      <w:r w:rsidRPr="009A2E71">
        <w:t>Ould</w:t>
      </w:r>
      <w:proofErr w:type="spellEnd"/>
      <w:r w:rsidRPr="009A2E71">
        <w:t xml:space="preserve"> </w:t>
      </w:r>
      <w:proofErr w:type="spellStart"/>
      <w:r w:rsidRPr="009A2E71">
        <w:t>Bouh</w:t>
      </w:r>
      <w:proofErr w:type="spellEnd"/>
      <w:r w:rsidRPr="009A2E71">
        <w:t xml:space="preserve">, a effectué une visite d’inspection du projet de développement agricole </w:t>
      </w:r>
      <w:r w:rsidR="00D631A3" w:rsidRPr="009A2E71">
        <w:t>« </w:t>
      </w:r>
      <w:r w:rsidRPr="009A2E71">
        <w:t>Al-</w:t>
      </w:r>
      <w:proofErr w:type="spellStart"/>
      <w:r w:rsidRPr="009A2E71">
        <w:t>Rafed</w:t>
      </w:r>
      <w:proofErr w:type="spellEnd"/>
      <w:r w:rsidRPr="009A2E71">
        <w:t xml:space="preserve"> </w:t>
      </w:r>
      <w:proofErr w:type="spellStart"/>
      <w:r w:rsidRPr="009A2E71">
        <w:t>Sokam</w:t>
      </w:r>
      <w:proofErr w:type="spellEnd"/>
      <w:r w:rsidR="00D631A3" w:rsidRPr="009A2E71">
        <w:t> »</w:t>
      </w:r>
      <w:r w:rsidRPr="009A2E71">
        <w:t xml:space="preserve">, qui s’étend sur 34 km dans la wilaya du Trarza. Accompagné des responsables de la Société nationale de développement rural (SONADER) et de la Société nationale d’aménagement agricole et des travaux (SNAAT), le ministre a examiné le tracé de l’axe hydraulique </w:t>
      </w:r>
      <w:proofErr w:type="spellStart"/>
      <w:r w:rsidRPr="009A2E71">
        <w:t>Sokam</w:t>
      </w:r>
      <w:proofErr w:type="spellEnd"/>
      <w:r w:rsidRPr="009A2E71">
        <w:t xml:space="preserve"> destiné à irriguer plus de 8 000 h</w:t>
      </w:r>
      <w:r w:rsidR="00D631A3" w:rsidRPr="009A2E71">
        <w:t>a</w:t>
      </w:r>
      <w:r w:rsidRPr="009A2E71">
        <w:t xml:space="preserve"> de nouvelles terres et à améliorer le système d’irrigation de 3 800 h</w:t>
      </w:r>
      <w:r w:rsidR="00D631A3" w:rsidRPr="009A2E71">
        <w:t>a</w:t>
      </w:r>
      <w:r w:rsidRPr="009A2E71">
        <w:t xml:space="preserve"> déjà réhabilités. Financé sur fonds propres de l’État et réalisé en huit mois, le projet vise à accroître la production agricole, créer des emplois ruraux et améliorer les conditions de vie des populations locales du Trarza.</w:t>
      </w:r>
    </w:p>
    <w:p w14:paraId="5ADCE5F9" w14:textId="77777777" w:rsidR="00FD705E" w:rsidRPr="009A2E71" w:rsidRDefault="00FD705E" w:rsidP="006C1591">
      <w:pPr>
        <w:spacing w:after="0"/>
      </w:pPr>
    </w:p>
    <w:p w14:paraId="159570BA" w14:textId="655F2EA2" w:rsidR="00741935" w:rsidRPr="009A2E71" w:rsidRDefault="00741935" w:rsidP="006C1591">
      <w:pPr>
        <w:pStyle w:val="Titre2"/>
        <w:spacing w:before="0"/>
      </w:pPr>
      <w:bookmarkStart w:id="325" w:name="_Toc213247565"/>
      <w:r w:rsidRPr="009A2E71">
        <w:t>Sécheresse – Oasis menacées par le réchauffement climatique</w:t>
      </w:r>
      <w:r w:rsidR="00680B68" w:rsidRPr="009A2E71">
        <w:t>.</w:t>
      </w:r>
      <w:bookmarkEnd w:id="325"/>
    </w:p>
    <w:p w14:paraId="14EA9C3C" w14:textId="3308F0CA" w:rsidR="00824D55" w:rsidRPr="009A2E71" w:rsidRDefault="00741935" w:rsidP="006C1591">
      <w:pPr>
        <w:spacing w:after="0"/>
      </w:pPr>
      <w:r w:rsidRPr="009A2E71">
        <w:t>Les oasis du Sahara mauritanien sont aujourd’hui en péril face au manque de précipitations dû au changement climatique. Une menace d’ampleur pour les cultivateurs, notamment de dattes, dans un pays qui compte moins de 0,5% de terres arables. De quoi mettre en péril les moyens de subsistance de dizaines de milliers de personnes, dépendant depuis des siècles des cultures oasiennes.</w:t>
      </w:r>
    </w:p>
    <w:p w14:paraId="790A3598" w14:textId="77777777" w:rsidR="00824D55" w:rsidRPr="009A2E71" w:rsidRDefault="00824D55" w:rsidP="006C1591">
      <w:pPr>
        <w:spacing w:after="0"/>
      </w:pPr>
    </w:p>
    <w:p w14:paraId="13F40CD6" w14:textId="12990F3F" w:rsidR="00B90FBA" w:rsidRPr="009A2E71" w:rsidRDefault="00B90FBA" w:rsidP="006C1591">
      <w:pPr>
        <w:pStyle w:val="Titre2"/>
        <w:spacing w:before="0"/>
      </w:pPr>
      <w:bookmarkStart w:id="326" w:name="_Toc213247566"/>
      <w:r w:rsidRPr="009A2E71">
        <w:lastRenderedPageBreak/>
        <w:t>Evènement – Premier salon international des produits halieutiques mauritaniens.</w:t>
      </w:r>
      <w:bookmarkEnd w:id="326"/>
    </w:p>
    <w:p w14:paraId="2A754F5C" w14:textId="154C04F4" w:rsidR="00B90FBA" w:rsidRPr="009A2E71" w:rsidRDefault="00B90FBA" w:rsidP="006C1591">
      <w:pPr>
        <w:spacing w:after="0"/>
      </w:pPr>
      <w:r w:rsidRPr="009A2E71">
        <w:t xml:space="preserve">Le gouvernement a lancé à Nouadhibou le premier salon international des produits halieutiques. L’événement, présidé par le secrétaire général du ministère de la </w:t>
      </w:r>
      <w:r w:rsidR="002E1E90" w:rsidRPr="009A2E71">
        <w:t>p</w:t>
      </w:r>
      <w:r w:rsidRPr="009A2E71">
        <w:t xml:space="preserve">êche, </w:t>
      </w:r>
      <w:r w:rsidR="002E1E90" w:rsidRPr="009A2E71">
        <w:t xml:space="preserve">M. </w:t>
      </w:r>
      <w:r w:rsidRPr="009A2E71">
        <w:t>Sidi Ali Sidi Boubacar, vise à promouvoir les produits du secteur à l’échelle nationale et internationale. Il réunit entreprises du domaine, institutions financières et acteurs de l’investissement, autour de la présentation des innovations, de l’échange d’expériences et de la recherche de nouveaux débouchés commerciaux.</w:t>
      </w:r>
    </w:p>
    <w:p w14:paraId="2066BC17" w14:textId="77777777" w:rsidR="00680B68" w:rsidRPr="009A2E71" w:rsidRDefault="00680B68" w:rsidP="006C1591">
      <w:pPr>
        <w:spacing w:after="0"/>
      </w:pPr>
    </w:p>
    <w:p w14:paraId="72D9E41C" w14:textId="241525A7" w:rsidR="007717E2" w:rsidRPr="009A2E71" w:rsidRDefault="007717E2" w:rsidP="006C1591">
      <w:pPr>
        <w:pStyle w:val="Titre1"/>
        <w:spacing w:before="0"/>
      </w:pPr>
      <w:bookmarkStart w:id="327" w:name="_Toc213247567"/>
      <w:r w:rsidRPr="009A2E71">
        <w:t>Niger</w:t>
      </w:r>
      <w:bookmarkEnd w:id="327"/>
    </w:p>
    <w:p w14:paraId="5238AE22" w14:textId="76417078" w:rsidR="007717E2" w:rsidRPr="009A2E71" w:rsidRDefault="00FB772F" w:rsidP="006C1591">
      <w:pPr>
        <w:pStyle w:val="Titre2"/>
        <w:spacing w:before="0"/>
      </w:pPr>
      <w:bookmarkStart w:id="328" w:name="_Toc213247568"/>
      <w:r w:rsidRPr="009A2E71">
        <w:t>Sécurité alimentaire</w:t>
      </w:r>
      <w:r w:rsidR="007717E2" w:rsidRPr="009A2E71">
        <w:t xml:space="preserve"> –</w:t>
      </w:r>
      <w:r w:rsidRPr="009A2E71">
        <w:t xml:space="preserve"> Mesures de p</w:t>
      </w:r>
      <w:r w:rsidR="007717E2" w:rsidRPr="009A2E71">
        <w:t xml:space="preserve">rotection de </w:t>
      </w:r>
      <w:r w:rsidRPr="009A2E71">
        <w:t>l</w:t>
      </w:r>
      <w:r w:rsidR="007717E2" w:rsidRPr="009A2E71">
        <w:t>a production locale.</w:t>
      </w:r>
      <w:bookmarkEnd w:id="328"/>
    </w:p>
    <w:p w14:paraId="637D27F7" w14:textId="7D030B9C" w:rsidR="007717E2" w:rsidRPr="009A2E71" w:rsidRDefault="007717E2" w:rsidP="006C1591">
      <w:pPr>
        <w:spacing w:after="0"/>
      </w:pPr>
      <w:r w:rsidRPr="009A2E71">
        <w:t>Le gouvernement nigérien a adopté, en conseil des ministres du 22 octobre, plusieurs mesures destinées à soutenir la production nationale et à garantir la sécurité alimentaire. Une ordonnance instaure des quotas d’importation pour les produits similaires à ceux fabriqués localement afin de limiter la concurrence étrangère et de stimuler l’investissement. Un décret impose désormais aux institutions publiques, entreprises d’État et organismes subventionnés d’acheter en priorité des produits nigériens, sauf en cas d’indisponibilité. Parallèlement, l’interdiction d’exporter les céréales est reconduite pour stabiliser les prix et sécuriser l’approvisionnement intérieur, avec une exception pour les échanges au sein de l’Alliance des États du Sahel (AES), regroupant le Burkina Faso et le Mali.</w:t>
      </w:r>
      <w:r w:rsidR="001C3C0F" w:rsidRPr="009A2E71">
        <w:t xml:space="preserve"> Cette reconduction, après un bilan jugé positif, vise à sécuriser le mil, le sorgho, le maïs et le riz destinés aux filières de la meunerie, de l’aviculture et de la transformation. Son efficacité repose sur la mobilisation des services du commerce et des autorités locales pour contrôler les flux, renforcer la traçabilité et éviter les détournements. Le dispositif doit s’articuler avec les stocks stratégiques et les ventes à prix modérés afin de protéger les ménages vulnérables, tandis qu’un tableau de bord de suivi des stocks et des prix permettra d’ajuster l’application en temps réel.</w:t>
      </w:r>
    </w:p>
    <w:p w14:paraId="0FE9A1CE" w14:textId="77777777" w:rsidR="00FB772F" w:rsidRPr="009A2E71" w:rsidRDefault="00FB772F" w:rsidP="006C1591">
      <w:pPr>
        <w:spacing w:after="0"/>
      </w:pPr>
    </w:p>
    <w:p w14:paraId="04B48603" w14:textId="77777777" w:rsidR="007717E2" w:rsidRPr="009A2E71" w:rsidRDefault="007717E2" w:rsidP="006C1591">
      <w:pPr>
        <w:pStyle w:val="Titre2"/>
        <w:spacing w:before="0"/>
      </w:pPr>
      <w:bookmarkStart w:id="329" w:name="_Toc213247569"/>
      <w:r w:rsidRPr="009A2E71">
        <w:t>Élevage – Le Niger et le Tchad unis pour la santé animale transfrontalière.</w:t>
      </w:r>
      <w:bookmarkEnd w:id="329"/>
    </w:p>
    <w:p w14:paraId="1C85E26E" w14:textId="0CBFD214" w:rsidR="007717E2" w:rsidRPr="009A2E71" w:rsidRDefault="007717E2" w:rsidP="006C1591">
      <w:pPr>
        <w:spacing w:after="0"/>
      </w:pPr>
      <w:r w:rsidRPr="009A2E71">
        <w:t>Les ministres de l’</w:t>
      </w:r>
      <w:r w:rsidR="00FB772F" w:rsidRPr="009A2E71">
        <w:t>a</w:t>
      </w:r>
      <w:r w:rsidRPr="009A2E71">
        <w:t>griculture et de l’</w:t>
      </w:r>
      <w:r w:rsidR="00FB772F" w:rsidRPr="009A2E71">
        <w:t>é</w:t>
      </w:r>
      <w:r w:rsidRPr="009A2E71">
        <w:t xml:space="preserve">levage du Niger, le colonel </w:t>
      </w:r>
      <w:proofErr w:type="spellStart"/>
      <w:r w:rsidRPr="009A2E71">
        <w:t>Mahaman</w:t>
      </w:r>
      <w:proofErr w:type="spellEnd"/>
      <w:r w:rsidRPr="009A2E71">
        <w:t xml:space="preserve"> Elhadj Ousmane, et du Tchad, le professeur </w:t>
      </w:r>
      <w:proofErr w:type="spellStart"/>
      <w:r w:rsidRPr="009A2E71">
        <w:t>Abderahim</w:t>
      </w:r>
      <w:proofErr w:type="spellEnd"/>
      <w:r w:rsidRPr="009A2E71">
        <w:t xml:space="preserve"> </w:t>
      </w:r>
      <w:proofErr w:type="spellStart"/>
      <w:r w:rsidRPr="009A2E71">
        <w:t>Awat</w:t>
      </w:r>
      <w:proofErr w:type="spellEnd"/>
      <w:r w:rsidRPr="009A2E71">
        <w:t xml:space="preserve"> </w:t>
      </w:r>
      <w:proofErr w:type="spellStart"/>
      <w:r w:rsidRPr="009A2E71">
        <w:t>Atteib</w:t>
      </w:r>
      <w:proofErr w:type="spellEnd"/>
      <w:r w:rsidRPr="009A2E71">
        <w:t xml:space="preserve">, ont lancé le 28 octobre à </w:t>
      </w:r>
      <w:proofErr w:type="spellStart"/>
      <w:r w:rsidRPr="009A2E71">
        <w:t>Sayam</w:t>
      </w:r>
      <w:proofErr w:type="spellEnd"/>
      <w:r w:rsidRPr="009A2E71">
        <w:t xml:space="preserve"> (région de Diffa) une campagne conjointe de vaccination du cheptel contre la péripneumonie contagieuse bovine (PPCB), la peste des petits ruminants (PPR) et la pasteurellose cameline. Cette initiative vise à renforcer la coopération sanitaire et pastorale entre les deux pays et à protéger les moyens de subsistance des communautés frontalières. Elle s’inscrit dans la continuité du partenariat entamé en 2023, marqué par des campagnes coordonnées de vaccination qui ont déjà réduit les cas de maladies infectieuses. Des échanges techniques entre services vétérinaires, organisations d’éleveurs et autorités locales sont également prévus pour améliorer la gestion de la transhumance et la sécurité pastorale dans le bassin du lac Tchad.</w:t>
      </w:r>
    </w:p>
    <w:p w14:paraId="1F083D16" w14:textId="77777777" w:rsidR="00FB772F" w:rsidRPr="009A2E71" w:rsidRDefault="00FB772F" w:rsidP="006C1591">
      <w:pPr>
        <w:spacing w:after="0"/>
      </w:pPr>
    </w:p>
    <w:p w14:paraId="39E26C27" w14:textId="77777777" w:rsidR="007717E2" w:rsidRPr="009A2E71" w:rsidRDefault="007717E2" w:rsidP="006C1591">
      <w:pPr>
        <w:pStyle w:val="Titre2"/>
        <w:spacing w:before="0"/>
      </w:pPr>
      <w:bookmarkStart w:id="330" w:name="_Toc213247570"/>
      <w:r w:rsidRPr="009A2E71">
        <w:t>Élevage – Création d’un centre national pour améliorer la production animale.</w:t>
      </w:r>
      <w:bookmarkEnd w:id="330"/>
    </w:p>
    <w:p w14:paraId="3E5BD8BA" w14:textId="2BE024A9" w:rsidR="007717E2" w:rsidRPr="009A2E71" w:rsidRDefault="007717E2" w:rsidP="006C1591">
      <w:pPr>
        <w:spacing w:after="0"/>
      </w:pPr>
      <w:r w:rsidRPr="009A2E71">
        <w:t xml:space="preserve">Le gouvernement du Niger a approuvé le 11 octobre en </w:t>
      </w:r>
      <w:r w:rsidR="001C3C0F" w:rsidRPr="009A2E71">
        <w:t>c</w:t>
      </w:r>
      <w:r w:rsidRPr="009A2E71">
        <w:t xml:space="preserve">onseil des ministres un décret portant création du centre national d’amélioration de la production animale et une ordonnance relative à l’amélioration de la production animale. Ces textes visent à moderniser les techniques d’élevage, renforcer les performances des races locales et réduire la dépendance du pays aux importations de lait et de produits laitiers. L’objectif est d’accroître la production de lait, de viande, de cuirs et de peaux, tout en sécurisant et aménageant les espaces pastoraux. </w:t>
      </w:r>
      <w:r w:rsidRPr="009A2E71">
        <w:lastRenderedPageBreak/>
        <w:t>Ce dispositif s’inscrit dans la stratégie de développement durable de l’élevage (SDDEL 2013-2035) qui cherche à accroître les productions animales et à renforcer la résilience du cheptel face aux défis climatiques, sécuritaires et financiers.</w:t>
      </w:r>
    </w:p>
    <w:p w14:paraId="5A523BDA" w14:textId="77777777" w:rsidR="007717E2" w:rsidRPr="009A2E71" w:rsidRDefault="007717E2" w:rsidP="006C1591">
      <w:pPr>
        <w:spacing w:after="0"/>
      </w:pPr>
    </w:p>
    <w:p w14:paraId="1DADBC97" w14:textId="0723E3E0" w:rsidR="00120CB3" w:rsidRPr="009A2E71" w:rsidRDefault="00433F7B" w:rsidP="006C1591">
      <w:pPr>
        <w:pStyle w:val="Titre1"/>
        <w:spacing w:before="0"/>
      </w:pPr>
      <w:bookmarkStart w:id="331" w:name="_Toc213247571"/>
      <w:r w:rsidRPr="009A2E71">
        <w:t>Sierra Leone</w:t>
      </w:r>
      <w:bookmarkEnd w:id="331"/>
    </w:p>
    <w:p w14:paraId="6664BDD6" w14:textId="77777777" w:rsidR="007717E2" w:rsidRPr="009A2E71" w:rsidRDefault="007717E2" w:rsidP="006C1591">
      <w:pPr>
        <w:pStyle w:val="Titre2"/>
        <w:spacing w:before="0"/>
      </w:pPr>
      <w:bookmarkStart w:id="332" w:name="_Toc213247572"/>
      <w:r w:rsidRPr="009A2E71">
        <w:t>Engrais – Financement de 2,25 M USD pour renforcer la productivité agricole.</w:t>
      </w:r>
      <w:bookmarkEnd w:id="332"/>
    </w:p>
    <w:p w14:paraId="06E9BA5B" w14:textId="50EB2AC1" w:rsidR="007717E2" w:rsidRPr="009A2E71" w:rsidRDefault="007717E2" w:rsidP="006C1591">
      <w:pPr>
        <w:spacing w:after="0"/>
      </w:pPr>
      <w:r w:rsidRPr="009A2E71">
        <w:t xml:space="preserve">La Banque africaine de développement a approuvé un financement de 2,25 M USD en faveur du projet </w:t>
      </w:r>
      <w:proofErr w:type="spellStart"/>
      <w:r w:rsidRPr="009A2E71">
        <w:rPr>
          <w:i/>
          <w:iCs/>
        </w:rPr>
        <w:t>Fostering</w:t>
      </w:r>
      <w:proofErr w:type="spellEnd"/>
      <w:r w:rsidRPr="009A2E71">
        <w:rPr>
          <w:i/>
          <w:iCs/>
        </w:rPr>
        <w:t xml:space="preserve"> </w:t>
      </w:r>
      <w:proofErr w:type="spellStart"/>
      <w:r w:rsidRPr="009A2E71">
        <w:rPr>
          <w:i/>
          <w:iCs/>
        </w:rPr>
        <w:t>Africa’s</w:t>
      </w:r>
      <w:proofErr w:type="spellEnd"/>
      <w:r w:rsidRPr="009A2E71">
        <w:rPr>
          <w:i/>
          <w:iCs/>
        </w:rPr>
        <w:t xml:space="preserve"> Agricultural </w:t>
      </w:r>
      <w:proofErr w:type="spellStart"/>
      <w:r w:rsidRPr="009A2E71">
        <w:rPr>
          <w:i/>
          <w:iCs/>
        </w:rPr>
        <w:t>Productivity</w:t>
      </w:r>
      <w:proofErr w:type="spellEnd"/>
      <w:r w:rsidRPr="009A2E71">
        <w:rPr>
          <w:i/>
          <w:iCs/>
        </w:rPr>
        <w:t xml:space="preserve"> </w:t>
      </w:r>
      <w:proofErr w:type="spellStart"/>
      <w:r w:rsidRPr="009A2E71">
        <w:rPr>
          <w:i/>
          <w:iCs/>
        </w:rPr>
        <w:t>through</w:t>
      </w:r>
      <w:proofErr w:type="spellEnd"/>
      <w:r w:rsidRPr="009A2E71">
        <w:rPr>
          <w:i/>
          <w:iCs/>
        </w:rPr>
        <w:t xml:space="preserve"> </w:t>
      </w:r>
      <w:proofErr w:type="spellStart"/>
      <w:r w:rsidRPr="009A2E71">
        <w:rPr>
          <w:i/>
          <w:iCs/>
        </w:rPr>
        <w:t>Fertilizer</w:t>
      </w:r>
      <w:proofErr w:type="spellEnd"/>
      <w:r w:rsidRPr="009A2E71">
        <w:rPr>
          <w:i/>
          <w:iCs/>
        </w:rPr>
        <w:t xml:space="preserve"> Value Chain </w:t>
      </w:r>
      <w:proofErr w:type="spellStart"/>
      <w:r w:rsidRPr="009A2E71">
        <w:rPr>
          <w:i/>
          <w:iCs/>
        </w:rPr>
        <w:t>Financing</w:t>
      </w:r>
      <w:proofErr w:type="spellEnd"/>
      <w:r w:rsidRPr="009A2E71">
        <w:t xml:space="preserve"> (FOSTER) mis en œuvre par l’organisation </w:t>
      </w:r>
      <w:proofErr w:type="spellStart"/>
      <w:r w:rsidRPr="009A2E71">
        <w:t>Welthungerhilfe</w:t>
      </w:r>
      <w:proofErr w:type="spellEnd"/>
      <w:r w:rsidRPr="009A2E71">
        <w:t xml:space="preserve">. L’initiative vise à améliorer la sécurité alimentaire et les rendements agricoles en facilitant l’accès des petits exploitants à des engrais de qualité grâce à des dispositifs de crédit et de garantie innovants. Le paquet comprend une garantie partielle de crédit de 1,5 M USD du mécanisme africain de financement des engrais (AFFM), une subvention de 700 000 USD pour la gestion de la santé des sols et un appui en nature de 50 000 USD de </w:t>
      </w:r>
      <w:proofErr w:type="spellStart"/>
      <w:r w:rsidRPr="009A2E71">
        <w:t>Welthungerhilfe</w:t>
      </w:r>
      <w:proofErr w:type="spellEnd"/>
      <w:r w:rsidRPr="009A2E71">
        <w:t>. Le projet prévoit de mobiliser environ 9 M USD d’investissements privés, permettant la distribution de 9 500 tonnes d’engrais à plus de 126 000 producteurs dont 40% de femmes et 10% de jeunes. Prévu de décembre 2025 à novembre 2028, FOSTER doit accroître les taux d’application d’engrais de 2,8 kg à 35 kg par ha et augmenter jusqu’à 30% les rendements de cultures comme le riz, l’oignon, la tomate et le soja.</w:t>
      </w:r>
    </w:p>
    <w:p w14:paraId="68D41344" w14:textId="77777777" w:rsidR="001C3C0F" w:rsidRPr="009A2E71" w:rsidRDefault="001C3C0F" w:rsidP="006C1591">
      <w:pPr>
        <w:spacing w:after="0"/>
      </w:pPr>
    </w:p>
    <w:p w14:paraId="449274F2" w14:textId="77777777" w:rsidR="000F7AB3" w:rsidRPr="009A2E71" w:rsidRDefault="000F7AB3" w:rsidP="006C1591">
      <w:pPr>
        <w:pStyle w:val="Titre2"/>
        <w:spacing w:before="0"/>
      </w:pPr>
      <w:bookmarkStart w:id="333" w:name="_Toc213247573"/>
      <w:r w:rsidRPr="009A2E71">
        <w:t>Financement – Appui aux entreprises agricoles et aux femmes.</w:t>
      </w:r>
      <w:bookmarkEnd w:id="333"/>
    </w:p>
    <w:p w14:paraId="1B836F96" w14:textId="3B498AAB" w:rsidR="000F7AB3" w:rsidRPr="009A2E71" w:rsidRDefault="000F7AB3" w:rsidP="006C1591">
      <w:pPr>
        <w:spacing w:after="0"/>
      </w:pPr>
      <w:r w:rsidRPr="009A2E71">
        <w:t>La Banque européenne d’investissement (BEI), via BEI Monde, a signé un prêt de 10 M EUR avec Vista Bank (SL) pour renforcer le financement des petites et moyennes entreprises du secteur agricole. L’opération, soutenue par le Fonds européen pour le développement durable plus (FEDD+), s’intègre dans la stratégie Global Gateway de l’Union européenne. En Sierra Leone, l’initiative Salone Access to Finance, menée par la délégation de l’U</w:t>
      </w:r>
      <w:r w:rsidR="001C3C0F" w:rsidRPr="009A2E71">
        <w:t>nion européenne</w:t>
      </w:r>
      <w:r w:rsidRPr="009A2E71">
        <w:t>, prévoit un mécanisme de subvention pour encourager les prêts aux micros, petites et moyennes entreprises agricoles, notamment celles clientes de Vista Bank (SL). Au moins 30% des fonds cibleront les entreprises dirigées par des femmes et 50% soutiendront celles créées ou employant des jeunes. Un programme d’assistance technique complétera le dispositif pour améliorer les capacités de prêt et promouvoir des pratiques durables conformes aux standards de la BEI.</w:t>
      </w:r>
    </w:p>
    <w:p w14:paraId="4B11E492" w14:textId="77777777" w:rsidR="007717E2" w:rsidRPr="009A2E71" w:rsidRDefault="007717E2" w:rsidP="006C1591">
      <w:pPr>
        <w:spacing w:after="0"/>
      </w:pPr>
    </w:p>
    <w:p w14:paraId="358D7E7D" w14:textId="4CE54EB5" w:rsidR="00433F7B" w:rsidRPr="009A2E71" w:rsidRDefault="00433F7B" w:rsidP="006C1591">
      <w:pPr>
        <w:pStyle w:val="Titre2"/>
        <w:spacing w:before="0"/>
      </w:pPr>
      <w:bookmarkStart w:id="334" w:name="_Toc213247574"/>
      <w:r w:rsidRPr="009A2E71">
        <w:t xml:space="preserve">Financement – </w:t>
      </w:r>
      <w:r w:rsidR="00804C09" w:rsidRPr="009A2E71">
        <w:t>Le Document stratégie pays de la Banque africaine de développement priorise un soutien aux chaînes de valeur agricole</w:t>
      </w:r>
      <w:r w:rsidRPr="009A2E71">
        <w:t>.</w:t>
      </w:r>
      <w:bookmarkEnd w:id="334"/>
    </w:p>
    <w:p w14:paraId="2E92ACFA" w14:textId="3871652D" w:rsidR="00433F7B" w:rsidRPr="009A2E71" w:rsidRDefault="00433F7B" w:rsidP="006C1591">
      <w:pPr>
        <w:spacing w:after="0"/>
      </w:pPr>
      <w:r w:rsidRPr="009A2E71">
        <w:t xml:space="preserve">La </w:t>
      </w:r>
      <w:bookmarkStart w:id="335" w:name="_Hlk211854634"/>
      <w:r w:rsidRPr="009A2E71">
        <w:t xml:space="preserve">Banque africaine de développement </w:t>
      </w:r>
      <w:bookmarkEnd w:id="335"/>
      <w:r w:rsidRPr="009A2E71">
        <w:t xml:space="preserve">(BAD) a approuvé un Document de stratégie pays pour la Sierra Leone couvrant la période 2025-2030, avec un engagement d’environ 500 M USD destiné à renforcer la résilience économique, la croissance durable et l’inclusion. Ce plan repose sur deux priorités : le développement d’infrastructures durables pour stimuler la compétitivité du secteur privé et le soutien </w:t>
      </w:r>
      <w:r w:rsidR="00804C09" w:rsidRPr="009A2E71">
        <w:t xml:space="preserve">aux </w:t>
      </w:r>
      <w:r w:rsidRPr="009A2E71">
        <w:t>chaîne</w:t>
      </w:r>
      <w:r w:rsidR="00804C09" w:rsidRPr="009A2E71">
        <w:t>s</w:t>
      </w:r>
      <w:r w:rsidRPr="009A2E71">
        <w:t xml:space="preserve"> de valeur agricole afin de favoriser la création d’emplois et la sécurité alimentaire. Le financement global, estimé à 2,1 Md USD avec les cofinancements, s’aligne sur le Plan national de développement 2021-2025 et la Vision 2030 du pays. Les initiatives incluent </w:t>
      </w:r>
      <w:r w:rsidR="007330DE" w:rsidRPr="009A2E71">
        <w:t xml:space="preserve">en particulier </w:t>
      </w:r>
      <w:r w:rsidRPr="009A2E71">
        <w:t xml:space="preserve">la transformation agro-industrielle </w:t>
      </w:r>
      <w:r w:rsidR="00804C09" w:rsidRPr="009A2E71">
        <w:t xml:space="preserve">et </w:t>
      </w:r>
      <w:r w:rsidRPr="009A2E71">
        <w:t>vis</w:t>
      </w:r>
      <w:r w:rsidR="00804C09" w:rsidRPr="009A2E71">
        <w:t>e</w:t>
      </w:r>
      <w:r w:rsidRPr="009A2E71">
        <w:t xml:space="preserve"> à réduire la dépendance alimentaire, estimée à 70%. La stratégie prévoit la création de plus de 500 000 emplois, notamment pour les femmes et les jeunes, grâce à des programmes tels </w:t>
      </w:r>
      <w:r w:rsidRPr="009A2E71">
        <w:lastRenderedPageBreak/>
        <w:t xml:space="preserve">qu’AFAWA (« Affirmative Finance Action for </w:t>
      </w:r>
      <w:proofErr w:type="spellStart"/>
      <w:r w:rsidRPr="009A2E71">
        <w:t>Women</w:t>
      </w:r>
      <w:proofErr w:type="spellEnd"/>
      <w:r w:rsidRPr="009A2E71">
        <w:t xml:space="preserve"> in </w:t>
      </w:r>
      <w:proofErr w:type="spellStart"/>
      <w:r w:rsidRPr="009A2E71">
        <w:t>Africa</w:t>
      </w:r>
      <w:proofErr w:type="spellEnd"/>
      <w:r w:rsidRPr="009A2E71">
        <w:t xml:space="preserve"> ») et à l’intégration d’outils numériques dans la chaîne d’approvisionnement. Le DSP s’inscrit dans la Stratégie décennale du Groupe de la Banque et l’Agenda 2063 de l’Union africaine, tout en soutenant la mise en œuvre de la </w:t>
      </w:r>
      <w:proofErr w:type="spellStart"/>
      <w:r w:rsidRPr="009A2E71">
        <w:t>ZLECAf</w:t>
      </w:r>
      <w:proofErr w:type="spellEnd"/>
      <w:r w:rsidRPr="009A2E71">
        <w:t xml:space="preserve"> et la transition vers une économie verte.</w:t>
      </w:r>
    </w:p>
    <w:p w14:paraId="714331CE" w14:textId="77777777" w:rsidR="002634C4" w:rsidRPr="009A2E71" w:rsidRDefault="002634C4" w:rsidP="006C1591">
      <w:pPr>
        <w:spacing w:after="0"/>
      </w:pPr>
    </w:p>
    <w:p w14:paraId="6CA8A1D6" w14:textId="588F1162" w:rsidR="00406F4D" w:rsidRPr="009A2E71" w:rsidRDefault="00433F7B" w:rsidP="006C1591">
      <w:pPr>
        <w:pStyle w:val="Titre1"/>
        <w:spacing w:before="0"/>
      </w:pPr>
      <w:bookmarkStart w:id="336" w:name="_Toc213247575"/>
      <w:r w:rsidRPr="009A2E71">
        <w:t>Togo</w:t>
      </w:r>
      <w:bookmarkEnd w:id="336"/>
    </w:p>
    <w:p w14:paraId="5DC3A624" w14:textId="77777777" w:rsidR="00D201B4" w:rsidRPr="009A2E71" w:rsidRDefault="00D201B4" w:rsidP="00D201B4">
      <w:pPr>
        <w:pStyle w:val="Titre2"/>
        <w:spacing w:before="0"/>
      </w:pPr>
      <w:bookmarkStart w:id="337" w:name="_Toc213247576"/>
      <w:r w:rsidRPr="009A2E71">
        <w:t xml:space="preserve">Remaniement ministériel – M. Antoine </w:t>
      </w:r>
      <w:proofErr w:type="spellStart"/>
      <w:r w:rsidRPr="009A2E71">
        <w:t>Lekpa</w:t>
      </w:r>
      <w:proofErr w:type="spellEnd"/>
      <w:r w:rsidRPr="009A2E71">
        <w:t xml:space="preserve"> </w:t>
      </w:r>
      <w:proofErr w:type="spellStart"/>
      <w:r w:rsidRPr="009A2E71">
        <w:t>Gbégbeni</w:t>
      </w:r>
      <w:proofErr w:type="spellEnd"/>
      <w:r w:rsidRPr="009A2E71">
        <w:t xml:space="preserve"> reconduit comme ministre de l’agriculture, de la pêche, des ressources animales et de la souveraineté alimentaire.</w:t>
      </w:r>
      <w:bookmarkEnd w:id="337"/>
    </w:p>
    <w:p w14:paraId="35C9977C" w14:textId="77777777" w:rsidR="00D201B4" w:rsidRPr="009A2E71" w:rsidRDefault="00D201B4" w:rsidP="00D201B4">
      <w:pPr>
        <w:spacing w:after="0"/>
      </w:pPr>
      <w:r w:rsidRPr="009A2E71">
        <w:t xml:space="preserve">À la faveur de la nouvelle Constitution, votée en 2024–2025, qui a fait basculer le Togo d’un régime présidentiel à un régime parlementaire, une phase transitoire s’est imposée pour réorganiser les portefeuilles et assurer la continuité de l’État jusqu’à la mise en place d’un nouvel attelage gouvernemental. C’est dans ce cadre qu’a eu lieu, le 9 octobre, la passation de charges entre le Général </w:t>
      </w:r>
      <w:proofErr w:type="spellStart"/>
      <w:r w:rsidRPr="009A2E71">
        <w:t>Damehame</w:t>
      </w:r>
      <w:proofErr w:type="spellEnd"/>
      <w:r w:rsidRPr="009A2E71">
        <w:t xml:space="preserve"> </w:t>
      </w:r>
      <w:proofErr w:type="spellStart"/>
      <w:r w:rsidRPr="009A2E71">
        <w:t>Yark</w:t>
      </w:r>
      <w:proofErr w:type="spellEnd"/>
      <w:r w:rsidRPr="009A2E71">
        <w:t xml:space="preserve">, qui pilotait le ministère transitoire des ressources halieutiques, animales et de la réglementation de la transhumance, et M. Antoine </w:t>
      </w:r>
      <w:proofErr w:type="spellStart"/>
      <w:r w:rsidRPr="009A2E71">
        <w:t>Lékpa</w:t>
      </w:r>
      <w:proofErr w:type="spellEnd"/>
      <w:r w:rsidRPr="009A2E71">
        <w:t xml:space="preserve"> </w:t>
      </w:r>
      <w:proofErr w:type="spellStart"/>
      <w:r w:rsidRPr="009A2E71">
        <w:t>Gbegbeni</w:t>
      </w:r>
      <w:proofErr w:type="spellEnd"/>
      <w:r w:rsidRPr="009A2E71">
        <w:t>, nommé à la tête d’un ministère recomposé et élargi</w:t>
      </w:r>
      <w:r w:rsidRPr="009A2E71">
        <w:rPr>
          <w:rFonts w:ascii="Calibri" w:hAnsi="Calibri" w:cs="Calibri"/>
        </w:rPr>
        <w:t> </w:t>
      </w:r>
      <w:r w:rsidRPr="009A2E71">
        <w:t xml:space="preserve">: Agriculture, Pêche, Ressources animales et Souveraineté alimentaire. M. </w:t>
      </w:r>
      <w:proofErr w:type="spellStart"/>
      <w:r w:rsidRPr="009A2E71">
        <w:t>Gbegbeni</w:t>
      </w:r>
      <w:proofErr w:type="spellEnd"/>
      <w:r w:rsidRPr="009A2E71">
        <w:t>, cadre du parti au pouvoir l’Union pour la République (UNIR), a déjà tenu le ministère de l’agriculture (2020–2024) après un passage au ministère de l’eau et de l’hydraulique villageoise. Auparavant, il a dirigé la Société togolaise des eaux et a également siégé à l’Assemblée nationale.</w:t>
      </w:r>
    </w:p>
    <w:p w14:paraId="11C532D0" w14:textId="77777777" w:rsidR="00D201B4" w:rsidRPr="009A2E71" w:rsidRDefault="00D201B4" w:rsidP="00D201B4">
      <w:pPr>
        <w:spacing w:after="0"/>
      </w:pPr>
    </w:p>
    <w:p w14:paraId="3DF6C4AB" w14:textId="04CCBEFF" w:rsidR="0002520B" w:rsidRPr="009A2E71" w:rsidRDefault="0002520B" w:rsidP="0002520B">
      <w:pPr>
        <w:pStyle w:val="Titre2"/>
        <w:spacing w:before="0"/>
      </w:pPr>
      <w:bookmarkStart w:id="338" w:name="_Toc213247577"/>
      <w:r w:rsidRPr="009A2E71">
        <w:t xml:space="preserve">Politique </w:t>
      </w:r>
      <w:r>
        <w:t>agricole</w:t>
      </w:r>
      <w:r w:rsidRPr="009A2E71">
        <w:t xml:space="preserve"> – Croissance soutenue des productions agricoles.</w:t>
      </w:r>
      <w:bookmarkEnd w:id="338"/>
    </w:p>
    <w:p w14:paraId="3EE3A79C" w14:textId="77777777" w:rsidR="0002520B" w:rsidRPr="009A2E71" w:rsidRDefault="0002520B" w:rsidP="0002520B">
      <w:pPr>
        <w:spacing w:after="0"/>
      </w:pPr>
      <w:r w:rsidRPr="009A2E71">
        <w:t xml:space="preserve">Entre 2020 et 2024, les réformes et investissements engagés dans le cadre de la feuille de route gouvernementale Togo2025 ont permis une nette progression de la production agricole nationale. Selon le directeur des grands projets agricoles et de la transformation agroindustrielle, M. </w:t>
      </w:r>
      <w:proofErr w:type="spellStart"/>
      <w:r w:rsidRPr="009A2E71">
        <w:t>Kodjogan</w:t>
      </w:r>
      <w:proofErr w:type="spellEnd"/>
      <w:r w:rsidRPr="009A2E71">
        <w:t xml:space="preserve"> </w:t>
      </w:r>
      <w:proofErr w:type="spellStart"/>
      <w:r w:rsidRPr="009A2E71">
        <w:t>Anani</w:t>
      </w:r>
      <w:proofErr w:type="spellEnd"/>
      <w:r w:rsidRPr="009A2E71">
        <w:t xml:space="preserve"> </w:t>
      </w:r>
      <w:proofErr w:type="spellStart"/>
      <w:r w:rsidRPr="009A2E71">
        <w:t>Kpadenou</w:t>
      </w:r>
      <w:proofErr w:type="spellEnd"/>
      <w:r w:rsidRPr="009A2E71">
        <w:t>, la production céréalière a augmenté de 15%, celle des légumes de 13% et des légumineuses de 31%. Les filières café et cacao ont enregistré des croissances respectives de 25% et 26%, tandis que la production animale a progressé de 36% pour les volailles, 26% pour les ovins, 36% pour les caprins et 4% pour les bovins. La production halieutique, incluant la pêche et l’aquaculture, a également connu une hausse de 38%. Ces performances, portées par la réforme foncière et le développement de l’agropole pilote de Kara, ont permis d’élever la couverture des besoins alimentaires de 136% à 153%, tout en générant plus d’un million de tonnes d’excédents.</w:t>
      </w:r>
    </w:p>
    <w:p w14:paraId="3EA1EAFB" w14:textId="77777777" w:rsidR="0002520B" w:rsidRPr="009A2E71" w:rsidRDefault="0002520B" w:rsidP="0002520B">
      <w:pPr>
        <w:spacing w:after="0"/>
      </w:pPr>
    </w:p>
    <w:p w14:paraId="553B02F8" w14:textId="6E6EE8FF" w:rsidR="00D201B4" w:rsidRPr="009A2E71" w:rsidRDefault="00D201B4" w:rsidP="00D201B4">
      <w:pPr>
        <w:pStyle w:val="Titre2"/>
        <w:spacing w:before="0"/>
      </w:pPr>
      <w:bookmarkStart w:id="339" w:name="_Toc213247578"/>
      <w:r>
        <w:t>Terres agricoles</w:t>
      </w:r>
      <w:r w:rsidRPr="009A2E71">
        <w:t xml:space="preserve"> – Hausse des superficies cultivées.</w:t>
      </w:r>
      <w:bookmarkEnd w:id="339"/>
    </w:p>
    <w:p w14:paraId="53EDC0C7" w14:textId="77777777" w:rsidR="00D201B4" w:rsidRPr="009A2E71" w:rsidRDefault="00D201B4" w:rsidP="00D201B4">
      <w:pPr>
        <w:spacing w:after="0"/>
      </w:pPr>
      <w:r w:rsidRPr="009A2E71">
        <w:t>Entre 2020 et 2024, les superficies cultivées sont passées de 2,19 M ha à 2,46 M ha, soit une progression de 12,21%. Cette évolution traduit les efforts soutenus du gouvernement pour accompagner les producteurs, moderniser les techniques et sécuriser l’accès à la terre. Plusieurs projets structurants ont été déployés avec l’appui de partenaires techniques et financiers afin d’améliorer les rendements, renforcer les capacités des exploitants et rendre les filières plus résilientes face aux chocs climatiques et économiques. Ce dynamisme consolide la souveraineté alimentaire tout en stimulant la croissance du secteur.</w:t>
      </w:r>
    </w:p>
    <w:p w14:paraId="63098694" w14:textId="77777777" w:rsidR="00D201B4" w:rsidRPr="009A2E71" w:rsidRDefault="00D201B4" w:rsidP="00D201B4">
      <w:pPr>
        <w:spacing w:after="0"/>
      </w:pPr>
    </w:p>
    <w:p w14:paraId="7F7CD85E" w14:textId="77777777" w:rsidR="00D201B4" w:rsidRPr="009A2E71" w:rsidRDefault="00D201B4" w:rsidP="00D201B4">
      <w:pPr>
        <w:spacing w:after="0"/>
      </w:pPr>
      <w:r w:rsidRPr="009A2E71">
        <w:rPr>
          <w:b/>
          <w:bCs/>
        </w:rPr>
        <w:t>Sécurité alimentaire – Taux de couverture des besoins alimentaires à 153%.</w:t>
      </w:r>
    </w:p>
    <w:p w14:paraId="738590F8" w14:textId="77777777" w:rsidR="00D201B4" w:rsidRPr="009A2E71" w:rsidRDefault="00D201B4" w:rsidP="00D201B4">
      <w:pPr>
        <w:spacing w:after="0"/>
      </w:pPr>
      <w:r w:rsidRPr="009A2E71">
        <w:t xml:space="preserve">Entre 2020 et 2024, </w:t>
      </w:r>
      <w:bookmarkStart w:id="340" w:name="_Hlk212573838"/>
      <w:r w:rsidRPr="009A2E71">
        <w:t>le taux de couverture des besoins alimentaires est passé de 136% à 153%</w:t>
      </w:r>
      <w:bookmarkEnd w:id="340"/>
      <w:r w:rsidRPr="009A2E71">
        <w:t>, générant un excédent de 1,37 M tonnes de produits vivriers. Dans le même temps, la sous-</w:t>
      </w:r>
      <w:r w:rsidRPr="009A2E71">
        <w:lastRenderedPageBreak/>
        <w:t xml:space="preserve">alimentation a reculé de 22,1% à 12,8% et la malnutrition aiguë à 5,7%, contre 6,5% quatre ans plus tôt. Ces avancées traduisent la volonté des autorités de faire de la production nationale un levier central de la sécurité alimentaire et de la croissance économique. Le gouvernement mise sur le programme pour la modernisation de l’agriculture au Togo pour transformer durablement les systèmes agroalimentaires et renforcer leur résilience. </w:t>
      </w:r>
    </w:p>
    <w:p w14:paraId="2E95FD87" w14:textId="77777777" w:rsidR="00D201B4" w:rsidRDefault="00D201B4" w:rsidP="00D201B4">
      <w:pPr>
        <w:pStyle w:val="Titre2"/>
        <w:spacing w:before="0"/>
      </w:pPr>
    </w:p>
    <w:p w14:paraId="01A62768" w14:textId="66177FFD" w:rsidR="00D201B4" w:rsidRPr="009A2E71" w:rsidRDefault="00D201B4" w:rsidP="00D201B4">
      <w:pPr>
        <w:pStyle w:val="Titre2"/>
        <w:spacing w:before="0"/>
      </w:pPr>
      <w:bookmarkStart w:id="341" w:name="_Toc213247579"/>
      <w:r w:rsidRPr="009A2E71">
        <w:t>Sécurité alimentaire – Initiatives numériques et appuis territoriaux pour renforcer la sécurité alimentaire dans la région des Savanes.</w:t>
      </w:r>
      <w:bookmarkEnd w:id="341"/>
    </w:p>
    <w:p w14:paraId="5E427BC0" w14:textId="77777777" w:rsidR="00D201B4" w:rsidRPr="009A2E71" w:rsidRDefault="00D201B4" w:rsidP="00D201B4">
      <w:pPr>
        <w:spacing w:after="0"/>
      </w:pPr>
      <w:r w:rsidRPr="009A2E71">
        <w:t>Le programme de résilience du système alimentaire en Afrique de l’Ouest (FSRP Togo) et le fonds régional pour la stabilisation et le développement (FSRD) multiplient leurs actions en faveur de la durabilité et de la sécurité alimentaire au Togo, notamment dans la région des Savanes. Face aux aléas climatiques qui fragilisent la production agricole, le FSRP soutient la mise en place de solutions numériques innovantes pour renforcer la capacité d’adaptation des producteurs. Le système d’information hydro agro météorologique (SIHAM), piloté par l’agence nationale de la météorologie du Togo (ANAMET), permet aux producteurs d’accéder via SMS ou appel vocal en langue locale aux prévisions pluviométriques et agrométéorologiques de leur zone. Déployé à titre pilote en 2024 auprès de 1 014 producteurs, le dispositif est étendu pour atteindre au moins 200 000 bénéficiaires dans les zones d’aménagement agricole planifié (ZAAP) et au-delà. L’agence nationale de la protection civile (ANPC) a également développé, avec l’appui du FSRP, une base de données nationale sur les catastrophes et une application web et mobile d’alerte précoce pour la diffusion d’informations multirisques en temps réel. Le programme accompagne en outre l’interprofession soja dans la mise en œuvre de la plateforme numérique intrantscifs.com, dédiée à la veille informationnelle sur l’offre et la demande d’intrants, l’amélioration de la coordination avec les fournisseurs et le suivi des prix des matières premières. Ces outils numériques contribuent à faire du digital un levier stratégique pour une agriculture plus résiliente, durable et productive face au changement climatique. Dans la même logique de renforcement de la résilience locale, le FSRD, initié par la commission de la communauté économique des États de l’Afrique de l’Ouest (CEDEAO) et financé par le ministère fédéral allemand de la coopération économique et du développement (BMZ), a soutenu 2 500 bénéficiaires dans la région des Savanes. Le projet, mis en œuvre de mai 2024 à octobre 2025, a appuyé des femmes et des jeunes dans les filières laitière, maraîchère, piscicole et avicole, Les bénéficiaires ont reçu des formations, des équipements et des appuis financiers pour développer leurs activités, avec des impacts concrets sur les conditions de vie, notamment dans la transformation laitière et la commercialisation des produits halieutiques. La composante technique du FSRD au Togo est assurée par la coopération allemande (GIZ) et les ONG vétérinaires sans frontières Suisse (VSF-Suisse) et gestion de l’environnement et valorisation des produits agropastoraux et forestiers (GEVAPAF).</w:t>
      </w:r>
    </w:p>
    <w:p w14:paraId="1D61A4FA" w14:textId="77777777" w:rsidR="00D201B4" w:rsidRDefault="00D201B4" w:rsidP="00D201B4">
      <w:pPr>
        <w:pStyle w:val="Titre2"/>
        <w:spacing w:before="0"/>
      </w:pPr>
    </w:p>
    <w:p w14:paraId="43B3D5CC" w14:textId="22E7457E" w:rsidR="00D201B4" w:rsidRPr="009A2E71" w:rsidRDefault="00D201B4" w:rsidP="00D201B4">
      <w:pPr>
        <w:pStyle w:val="Titre2"/>
        <w:spacing w:before="0"/>
      </w:pPr>
      <w:bookmarkStart w:id="342" w:name="_Toc213247580"/>
      <w:r w:rsidRPr="009A2E71">
        <w:t>Coton – Feuille de route 2025-2030 en préparation.</w:t>
      </w:r>
      <w:bookmarkEnd w:id="342"/>
    </w:p>
    <w:p w14:paraId="651DC41B" w14:textId="77777777" w:rsidR="00D201B4" w:rsidRPr="009A2E71" w:rsidRDefault="00D201B4" w:rsidP="00D201B4">
      <w:pPr>
        <w:spacing w:after="0"/>
      </w:pPr>
      <w:r w:rsidRPr="009A2E71">
        <w:t xml:space="preserve">Les acteurs de la filière coton travaillent à l’élaboration d’une feuille de route couvrant la période 2025-2030 afin de relancer durablement la production nationale. Producteurs, experts et représentants institutionnels se sont réunis du 28 au 30 octobre dans le cadre d’un atelier organisé par la nouvelle société cotonnière du Togo (NSCT) en collaboration avec la fédération nationale des groupements de producteurs de coton (FNGPC). Les travaux visent à identifier les principaux obstacles, proposer des solutions concrètes et renforcer la gouvernance de la </w:t>
      </w:r>
      <w:r w:rsidRPr="009A2E71">
        <w:lastRenderedPageBreak/>
        <w:t xml:space="preserve">chaîne de valeur. La feuille de route définira les actions prioritaires, les responsabilités de chaque acteur et un mécanisme de suivi-évaluation. Les discussions portent notamment sur la remobilisation des </w:t>
      </w:r>
      <w:proofErr w:type="spellStart"/>
      <w:r w:rsidRPr="009A2E71">
        <w:t>cotonculteurs</w:t>
      </w:r>
      <w:proofErr w:type="spellEnd"/>
      <w:r w:rsidRPr="009A2E71">
        <w:t xml:space="preserve">, la productivité face au changement climatique, la logistique, l’égrenage, la commercialisation et le financement du secteur. Le président du conseil d’administration (PCA) de la FNGPC a salué les efforts du gouvernement pour la revalorisation du prix d’achat du coton graine à 300 FCFA et la stabilisation des coûts des intrants, tout en appelant à une remobilisation générale afin d’atteindre d’ici à 2030 une production annuelle comprise entre 150 000 et 200 000 tonnes de coton graine. Cette initiative intervient dans un contexte de faibles performances depuis la reprise de la filière en 2020 par le groupe singapourien </w:t>
      </w:r>
      <w:proofErr w:type="spellStart"/>
      <w:r w:rsidRPr="009A2E71">
        <w:t>Olam</w:t>
      </w:r>
      <w:proofErr w:type="spellEnd"/>
      <w:r w:rsidRPr="009A2E71">
        <w:t xml:space="preserve">, la production ayant rarement dépassé 60 000 tonnes, hormis un rebond à 67 000 tonnes en 2023-2024. Pour 2025-2026, les </w:t>
      </w:r>
      <w:proofErr w:type="spellStart"/>
      <w:r w:rsidRPr="009A2E71">
        <w:t>cotonculteurs</w:t>
      </w:r>
      <w:proofErr w:type="spellEnd"/>
      <w:r w:rsidRPr="009A2E71">
        <w:t xml:space="preserve"> visent 92 500 tonnes, soit une hausse de plus de 50% par rapport à la récolte précédente.</w:t>
      </w:r>
    </w:p>
    <w:p w14:paraId="0F341CDA" w14:textId="77777777" w:rsidR="00D201B4" w:rsidRDefault="00D201B4" w:rsidP="00D201B4">
      <w:pPr>
        <w:pStyle w:val="Titre2"/>
        <w:spacing w:before="0"/>
      </w:pPr>
    </w:p>
    <w:p w14:paraId="24EDF131" w14:textId="26D3320E" w:rsidR="00D201B4" w:rsidRPr="009A2E71" w:rsidRDefault="00D201B4" w:rsidP="00D201B4">
      <w:pPr>
        <w:pStyle w:val="Titre2"/>
        <w:spacing w:before="0"/>
      </w:pPr>
      <w:bookmarkStart w:id="343" w:name="_Toc213247581"/>
      <w:r w:rsidRPr="009A2E71">
        <w:t>Palmier à huile – Coopération Togo-Malaisie pour le développement de la filière.</w:t>
      </w:r>
      <w:bookmarkEnd w:id="343"/>
    </w:p>
    <w:p w14:paraId="65B4D6F6" w14:textId="32028C75" w:rsidR="00D201B4" w:rsidRPr="009A2E71" w:rsidRDefault="00D201B4" w:rsidP="00D201B4">
      <w:pPr>
        <w:spacing w:after="0"/>
      </w:pPr>
      <w:r w:rsidRPr="009A2E71">
        <w:t>La Malaisie, deuxième producteur mondial d’huile de palme, souhaite renforcer sa coopération avec le Togo pour relancer la production locale et en faire un levier de transformation agro-industrielle et d’exportation. Les bases de ce partenariat ont été examinées à Lomé lors d’une rencontre entre la délégation de la représentation diplomatique malaisienne et la chambre de commerce et d’industrie du Togo (CCI-Togo). Au cours des échanges, les opportunités d’affaires et d’investissement au Togo ont été présentées, et la partie malaisienne a annoncé la venue prochaine d’opérateurs économiques pour une visite de terrain à la plateforme industrielle d’</w:t>
      </w:r>
      <w:proofErr w:type="spellStart"/>
      <w:r w:rsidRPr="009A2E71">
        <w:t>Adétikopé</w:t>
      </w:r>
      <w:proofErr w:type="spellEnd"/>
      <w:r w:rsidRPr="009A2E71">
        <w:t xml:space="preserve"> (PIA). L’organisation d’une journée économique Togo-Malaisie et la mise en place de missions économiques croisées sont également prévues afin de favoriser les partenariats entre les deux pays. Les échanges commerciaux entre le Togo et la Malaisie ont progressé de 30% en 2024, et ce nouveau cadre de coopération vise à renforcer leurs relations économiques tout en soutenant la sécurité alimentaire et l’industrialisation nationale.</w:t>
      </w:r>
    </w:p>
    <w:p w14:paraId="65A78098" w14:textId="77777777" w:rsidR="00D201B4" w:rsidRPr="009A2E71" w:rsidRDefault="00D201B4" w:rsidP="00D201B4">
      <w:pPr>
        <w:spacing w:after="0"/>
      </w:pPr>
    </w:p>
    <w:p w14:paraId="65FD3044" w14:textId="77777777" w:rsidR="00D201B4" w:rsidRPr="009A2E71" w:rsidRDefault="00D201B4" w:rsidP="00D201B4">
      <w:pPr>
        <w:pStyle w:val="Titre2"/>
        <w:spacing w:before="0"/>
      </w:pPr>
      <w:bookmarkStart w:id="344" w:name="_Toc213247582"/>
      <w:r w:rsidRPr="009A2E71">
        <w:t>Soja – Baisse du prix plancher pour la campagne 2025-2026.</w:t>
      </w:r>
      <w:bookmarkEnd w:id="344"/>
    </w:p>
    <w:p w14:paraId="3D3193DE" w14:textId="77777777" w:rsidR="00D201B4" w:rsidRPr="009A2E71" w:rsidRDefault="00D201B4" w:rsidP="00D201B4">
      <w:pPr>
        <w:spacing w:after="0"/>
      </w:pPr>
      <w:r w:rsidRPr="009A2E71">
        <w:t>Le prix plancher du soja bord champ est fixé à 220 FCFA/kg pour la campagne 2025-2026, contre 250 FCFA la saison précédente. L’annonce a été faite à l’occasion du lancement officiel de la campagne de commercialisation organisé par le conseil interprofessionnel de la filière soja du Togo (CIFS-Togo) en collaboration avec le gouvernement. Les acteurs de la filière, dont la fédération nationale des coopératives productrices de soja (FNCPS), l’association togolaise des transformateurs de soja (ATTS) et l’association nationale des commerçants-exportateurs du soja (ANCES), ont signé des accords fixant le prix, le volume de commercialisation à 200 000 tonnes et les modalités d’acheminement. La baisse du prix reflète la tendance du marché international, tandis que les autorités appellent à renforcer les capacités productives, la gouvernance et la durabilité du secteur.</w:t>
      </w:r>
    </w:p>
    <w:p w14:paraId="075F95BF" w14:textId="77777777" w:rsidR="0002520B" w:rsidRDefault="0002520B" w:rsidP="00D201B4">
      <w:pPr>
        <w:pStyle w:val="Titre2"/>
        <w:spacing w:before="0"/>
      </w:pPr>
    </w:p>
    <w:p w14:paraId="3B8BC71C" w14:textId="77777777" w:rsidR="00D201B4" w:rsidRPr="009A2E71" w:rsidRDefault="00D201B4" w:rsidP="00D201B4">
      <w:pPr>
        <w:pStyle w:val="Titre2"/>
        <w:spacing w:before="0"/>
      </w:pPr>
      <w:bookmarkStart w:id="345" w:name="_Toc213247583"/>
      <w:r w:rsidRPr="009A2E71">
        <w:t>Cacao-café – Les prix indicatifs ajustés en début de campagne.</w:t>
      </w:r>
      <w:bookmarkEnd w:id="345"/>
    </w:p>
    <w:p w14:paraId="7C6261B9" w14:textId="77777777" w:rsidR="00D201B4" w:rsidRPr="009A2E71" w:rsidRDefault="00D201B4" w:rsidP="00D201B4">
      <w:pPr>
        <w:spacing w:after="0"/>
      </w:pPr>
      <w:r w:rsidRPr="009A2E71">
        <w:t>Le ministère du commerce, de l’artisanat et de la consommation locale et le Comité de coordination pour les filières café et cacao (CCFCC) ont fixé pour le début de la campagne les prix indicatifs du kilogramme du café sain robusta à 1 575 FCFA et celui du cacao qualité supérieure à 2 405 FCFA. Par rapport à la période précédente, le prix du cacao recule de 210</w:t>
      </w:r>
      <w:r w:rsidRPr="009A2E71">
        <w:rPr>
          <w:rFonts w:ascii="Calibri" w:hAnsi="Calibri" w:cs="Calibri"/>
        </w:rPr>
        <w:t> </w:t>
      </w:r>
      <w:r w:rsidRPr="009A2E71">
        <w:t>FCFA par kilogramme, tandis que celui du caf</w:t>
      </w:r>
      <w:r w:rsidRPr="009A2E71">
        <w:rPr>
          <w:rFonts w:cs="Marianne"/>
        </w:rPr>
        <w:t>é</w:t>
      </w:r>
      <w:r w:rsidRPr="009A2E71">
        <w:t xml:space="preserve"> progresse de 415 FCFA. Ces prix indicatifs sont calcul</w:t>
      </w:r>
      <w:r w:rsidRPr="009A2E71">
        <w:rPr>
          <w:rFonts w:cs="Marianne"/>
        </w:rPr>
        <w:t>é</w:t>
      </w:r>
      <w:r w:rsidRPr="009A2E71">
        <w:t xml:space="preserve">s en fonction des </w:t>
      </w:r>
      <w:r w:rsidRPr="009A2E71">
        <w:rPr>
          <w:rFonts w:cs="Marianne"/>
        </w:rPr>
        <w:t>é</w:t>
      </w:r>
      <w:r w:rsidRPr="009A2E71">
        <w:t>ch</w:t>
      </w:r>
      <w:r w:rsidRPr="009A2E71">
        <w:rPr>
          <w:rFonts w:cs="Marianne"/>
        </w:rPr>
        <w:t>é</w:t>
      </w:r>
      <w:r w:rsidRPr="009A2E71">
        <w:t>ances de janvier 2026 pour le caf</w:t>
      </w:r>
      <w:r w:rsidRPr="009A2E71">
        <w:rPr>
          <w:rFonts w:cs="Marianne"/>
        </w:rPr>
        <w:t>é</w:t>
      </w:r>
      <w:r w:rsidRPr="009A2E71">
        <w:t xml:space="preserve"> et de d</w:t>
      </w:r>
      <w:r w:rsidRPr="009A2E71">
        <w:rPr>
          <w:rFonts w:cs="Marianne"/>
        </w:rPr>
        <w:t>é</w:t>
      </w:r>
      <w:r w:rsidRPr="009A2E71">
        <w:t xml:space="preserve">cembre 2025 </w:t>
      </w:r>
      <w:r w:rsidRPr="009A2E71">
        <w:lastRenderedPageBreak/>
        <w:t>pour le cacao, afin de garantir une r</w:t>
      </w:r>
      <w:r w:rsidRPr="009A2E71">
        <w:rPr>
          <w:rFonts w:cs="Marianne"/>
        </w:rPr>
        <w:t>é</w:t>
      </w:r>
      <w:r w:rsidRPr="009A2E71">
        <w:t>f</w:t>
      </w:r>
      <w:r w:rsidRPr="009A2E71">
        <w:rPr>
          <w:rFonts w:cs="Marianne"/>
        </w:rPr>
        <w:t>é</w:t>
      </w:r>
      <w:r w:rsidRPr="009A2E71">
        <w:t>rence officielle et de limiter les incertitudes liées aux fluctuations des marchés mondiaux. La campagne de commercialisation 2025–2026, lancée le 26 septembre à Kpalimé, concerne principalement les régions de la Centrale, de la Kara et des Plateaux. Le café et le cacao, bien que produits en volumes modestes, restent des cultures de rente essentielles qui génèrent des devises et représentent environ 1,4% du PIB et 5,5% du secteur agricole. Les producteurs anticipent de bonnes récoltes mais signalent une volatilité marquée des cours, avec une tendance baissière observée depuis le début de septembre et un repli des prix bord champ d’environ 3 800 FCFA/kg à près de 3 000 FCFA/kg. L’entrée de multiples acheteurs au démarrage de la campagne pourrait raviver la concurrence et soutenir une remontée des prix, tandis que les acteurs sont appelés à renforcer la lutte contre la contrebande. Les disponibilités de fèves de qualité s’étalent généralement d’octobre à décembre, parfois jusqu’en janvier, et les prochaines semaines seront déterminantes pour l’issue de la campagne 2025.</w:t>
      </w:r>
    </w:p>
    <w:p w14:paraId="724D0CF6" w14:textId="77777777" w:rsidR="007318A1" w:rsidRDefault="007318A1" w:rsidP="0002520B">
      <w:pPr>
        <w:pStyle w:val="Titre2"/>
        <w:spacing w:before="0"/>
      </w:pPr>
    </w:p>
    <w:p w14:paraId="34415C56" w14:textId="755FABC1" w:rsidR="0002520B" w:rsidRPr="009A2E71" w:rsidRDefault="0002520B" w:rsidP="0002520B">
      <w:pPr>
        <w:pStyle w:val="Titre2"/>
        <w:spacing w:before="0"/>
      </w:pPr>
      <w:bookmarkStart w:id="346" w:name="_Toc213247584"/>
      <w:r w:rsidRPr="009A2E71">
        <w:t>Café-cacao – Les exportations bondissent de 50%.</w:t>
      </w:r>
      <w:bookmarkEnd w:id="346"/>
    </w:p>
    <w:p w14:paraId="4A8025C9" w14:textId="77777777" w:rsidR="0002520B" w:rsidRPr="009A2E71" w:rsidRDefault="0002520B" w:rsidP="0002520B">
      <w:pPr>
        <w:spacing w:after="0"/>
      </w:pPr>
      <w:r w:rsidRPr="009A2E71">
        <w:t>Le Comité de coordination de la filière café-cacao (CCFCC) a présenté un bilan très positif : les exportations atteignent 4 400 tonnes de café et 24 000 tonnes de cacao, contre respectivement 2 618 et 11 182 tonnes l’an dernier. Cette hausse de près de 50 % traduit la mise en œuvre des Plans de développement des filières (PDCC), axés sur la productivité, la qualité, la transformation locale et la lutte contre la contrebande. Le renforcement des contrôles et la professionnalisation du secteur consolident cette dynamique de reprise.</w:t>
      </w:r>
    </w:p>
    <w:p w14:paraId="41F92736" w14:textId="77777777" w:rsidR="00D201B4" w:rsidRPr="009A2E71" w:rsidRDefault="00D201B4" w:rsidP="00D201B4">
      <w:pPr>
        <w:pStyle w:val="Titre2"/>
        <w:spacing w:before="0"/>
      </w:pPr>
    </w:p>
    <w:p w14:paraId="0E620F92" w14:textId="77777777" w:rsidR="00D201B4" w:rsidRPr="009A2E71" w:rsidRDefault="00D201B4" w:rsidP="00D201B4">
      <w:pPr>
        <w:pStyle w:val="Titre2"/>
        <w:spacing w:before="0"/>
      </w:pPr>
      <w:bookmarkStart w:id="347" w:name="_Toc213247585"/>
      <w:r w:rsidRPr="009A2E71">
        <w:t>Cacao – Financements pour la transition verte des coopératives.</w:t>
      </w:r>
      <w:bookmarkEnd w:id="347"/>
    </w:p>
    <w:p w14:paraId="62FC1C6B" w14:textId="77777777" w:rsidR="00D201B4" w:rsidRPr="009A2E71" w:rsidRDefault="00D201B4" w:rsidP="00D201B4">
      <w:pPr>
        <w:spacing w:after="0"/>
      </w:pPr>
      <w:r w:rsidRPr="009A2E71">
        <w:t>Les coopératives de cacao togolaises certifiées commerce équitable sont désormais éligibles à un nouveau mécanisme de financement mis en place dans le cadre du programme équité 3, cofinancé par l’Agence française de développement (AFD) et le fonds français pour l’environnement mondial (FFEM). Coordonné par agronomes et vétérinaires sans frontières (AVSF), l’appel vise à soutenir la transition agroécologique et la lutte contre la déforestation dans les filières équitables d’Afrique de l’Ouest, notamment au Togo, au Ghana et en Côte d’Ivoire. Chaque projet pourra bénéficier d’une subvention allant jusqu’à 60 000 EUR, sur une durée de 24 à 36 mois. Les actions attendues concernent la traçabilité zéro déforestation, la diversification des cultures, la transformation durable et l’inclusion des femmes et des jeunes producteurs. Au moins six coopératives de cacao et huit d’autres filières seront retenues afin de renforcer la durabilité économique et environnementale des organisations paysannes et de favoriser des modèles reproductibles à l’échelle régionale. Pour le Togo, cette initiative représente une opportunité de consolider la compétitivité d’un secteur en relance, dont les exportations ont progressé de 50% lors de la campagne 2024-2025, atteignant 4 400 tonnes contre 2 618 tonnes en 2023-2024, dans le cadre d’une stratégie nationale axée sur la qualité, la production biologique et la diversification des marchés.</w:t>
      </w:r>
    </w:p>
    <w:p w14:paraId="342D2A12" w14:textId="77777777" w:rsidR="00D201B4" w:rsidRDefault="00D201B4" w:rsidP="006C1591">
      <w:pPr>
        <w:pStyle w:val="Titre2"/>
        <w:spacing w:before="0"/>
      </w:pPr>
    </w:p>
    <w:p w14:paraId="06C38337" w14:textId="5D5AF3A6" w:rsidR="000E0D3C" w:rsidRPr="009A2E71" w:rsidRDefault="000E0D3C" w:rsidP="006C1591">
      <w:pPr>
        <w:pStyle w:val="Titre2"/>
        <w:spacing w:before="0"/>
      </w:pPr>
      <w:bookmarkStart w:id="348" w:name="_Toc213247586"/>
      <w:r w:rsidRPr="009A2E71">
        <w:t xml:space="preserve">Élevage – </w:t>
      </w:r>
      <w:r w:rsidR="007318A1">
        <w:t>P</w:t>
      </w:r>
      <w:r w:rsidRPr="009A2E71">
        <w:t xml:space="preserve">rojet </w:t>
      </w:r>
      <w:r w:rsidR="007318A1">
        <w:t>S</w:t>
      </w:r>
      <w:r w:rsidR="007318A1" w:rsidRPr="009A2E71">
        <w:t xml:space="preserve">écurité sanitaire et économique des acteurs des filières d’élevage </w:t>
      </w:r>
      <w:r w:rsidR="007318A1">
        <w:t>(</w:t>
      </w:r>
      <w:r w:rsidRPr="009A2E71">
        <w:t>SAFE</w:t>
      </w:r>
      <w:r w:rsidR="007318A1">
        <w:t>)</w:t>
      </w:r>
      <w:r w:rsidRPr="009A2E71">
        <w:t xml:space="preserve"> pour sécuriser les filières lait et viande.</w:t>
      </w:r>
      <w:bookmarkEnd w:id="348"/>
    </w:p>
    <w:p w14:paraId="158D8BD5" w14:textId="54FE22E4" w:rsidR="000E0D3C" w:rsidRPr="009A2E71" w:rsidRDefault="000E0D3C" w:rsidP="006C1591">
      <w:pPr>
        <w:spacing w:after="0"/>
      </w:pPr>
      <w:r w:rsidRPr="009A2E71">
        <w:t xml:space="preserve">Vétérinaires sans frontières Suisse (VSF-Suisse) a lancé le projet SAFE afin de renforcer la résilience des filières lait et viande de chèvre au Togo. D’un coût global estimé à environ 150 M FCFA et d’une durée de deux ans, l’initiative couvre </w:t>
      </w:r>
      <w:r w:rsidR="001C3C0F" w:rsidRPr="009A2E71">
        <w:t xml:space="preserve">six </w:t>
      </w:r>
      <w:r w:rsidRPr="009A2E71">
        <w:t>préfecture</w:t>
      </w:r>
      <w:r w:rsidR="001C3C0F" w:rsidRPr="009A2E71">
        <w:t xml:space="preserve">s et </w:t>
      </w:r>
      <w:r w:rsidRPr="009A2E71">
        <w:t xml:space="preserve">vise à améliorer les revenus des producteurs, à renforcer la santé animale et à sécuriser la qualité sanitaire des </w:t>
      </w:r>
      <w:r w:rsidRPr="009A2E71">
        <w:lastRenderedPageBreak/>
        <w:t>produits issus de l’élevage. Le projet prévoit la construction de mini-laiteries pour traiter, transformer et stocker le lait dans de meilleures conditions, ainsi que la formation des acteurs aux bonnes pratiques d’hygiène et de manipulation des produits. SAFE comprend également la mise en place de services vétérinaires de proximité, la vaccination des troupeaux contre la peste des petits ruminants et l’équipement de certaines préfectures en frigos pour la conservation des vaccins. L’approche « une seule santé » est intégrée au programme à travers des actions de sensibilisation, des études sur les maladies animales et la promotion du bien-être animal.</w:t>
      </w:r>
    </w:p>
    <w:p w14:paraId="00FCC60B" w14:textId="77777777" w:rsidR="00D201B4" w:rsidRDefault="00D201B4" w:rsidP="00D201B4">
      <w:pPr>
        <w:pStyle w:val="Titre2"/>
        <w:spacing w:before="0"/>
      </w:pPr>
    </w:p>
    <w:p w14:paraId="6776AB3C" w14:textId="59997161" w:rsidR="00D201B4" w:rsidRPr="009A2E71" w:rsidRDefault="00D201B4" w:rsidP="00D201B4">
      <w:pPr>
        <w:pStyle w:val="Titre2"/>
        <w:spacing w:before="0"/>
      </w:pPr>
      <w:bookmarkStart w:id="349" w:name="_Toc213247587"/>
      <w:r w:rsidRPr="009A2E71">
        <w:t>Aviculture –</w:t>
      </w:r>
      <w:r w:rsidR="007318A1">
        <w:t xml:space="preserve"> Les éleveurs en difficulté</w:t>
      </w:r>
      <w:r w:rsidRPr="009A2E71">
        <w:t>.</w:t>
      </w:r>
      <w:bookmarkEnd w:id="349"/>
    </w:p>
    <w:p w14:paraId="4E9402EC" w14:textId="35190197" w:rsidR="00D201B4" w:rsidRPr="009A2E71" w:rsidRDefault="00815C50" w:rsidP="005172B7">
      <w:pPr>
        <w:spacing w:after="0"/>
      </w:pPr>
      <w:r>
        <w:t>Alors que la filière avicole avait connu un essor important ces dernières années, la production enregistrant une progression de 36% sur les cinq dernières années, passant de 28 M à plus de 38 M de têtes, selon les données du ministère de l'</w:t>
      </w:r>
      <w:r w:rsidR="005172B7">
        <w:t>é</w:t>
      </w:r>
      <w:r>
        <w:t>levage, l</w:t>
      </w:r>
      <w:r w:rsidR="00D201B4" w:rsidRPr="009A2E71">
        <w:t xml:space="preserve">a filière avicole connaitrait </w:t>
      </w:r>
      <w:r w:rsidR="005172B7">
        <w:t xml:space="preserve">maintenant </w:t>
      </w:r>
      <w:r w:rsidR="00D201B4" w:rsidRPr="009A2E71">
        <w:t xml:space="preserve">une régression, affectant à la fois la production de poulets de chair et d’œufs. </w:t>
      </w:r>
      <w:r w:rsidR="005172B7">
        <w:t xml:space="preserve">La </w:t>
      </w:r>
      <w:r w:rsidR="005172B7" w:rsidRPr="005172B7">
        <w:t>dynamique repos</w:t>
      </w:r>
      <w:r w:rsidR="005172B7">
        <w:t>ait</w:t>
      </w:r>
      <w:r w:rsidR="005172B7" w:rsidRPr="005172B7">
        <w:t xml:space="preserve"> en grande partie sur un tissu de petits producteurs, principalement en milieu périurbain, avec des capacités de production limitées</w:t>
      </w:r>
      <w:r w:rsidR="005172B7">
        <w:t xml:space="preserve">. Mais </w:t>
      </w:r>
      <w:r w:rsidR="005172B7" w:rsidRPr="005172B7">
        <w:t xml:space="preserve">la filière reste confrontée à une </w:t>
      </w:r>
      <w:r w:rsidR="005172B7">
        <w:t xml:space="preserve">forte </w:t>
      </w:r>
      <w:r w:rsidR="005172B7" w:rsidRPr="005172B7">
        <w:t>concurrence étrangère, notamment via des importations incontrôlées qui fragilisent les producteurs. Les autorités ont imposé un quota minimum de 10% d’approvisionnement local avant toute importation. Toutefois, des circuits informels continuent d’inonder le marché</w:t>
      </w:r>
      <w:r w:rsidR="005172B7">
        <w:t>.</w:t>
      </w:r>
      <w:r w:rsidR="005172B7" w:rsidRPr="005172B7">
        <w:t xml:space="preserve"> </w:t>
      </w:r>
      <w:r w:rsidR="005172B7">
        <w:t>Aussi, d</w:t>
      </w:r>
      <w:r w:rsidR="00D201B4" w:rsidRPr="009A2E71">
        <w:t xml:space="preserve">e nombreuses exploitations </w:t>
      </w:r>
      <w:r w:rsidR="005172B7">
        <w:t>auraient</w:t>
      </w:r>
      <w:r w:rsidR="00D201B4" w:rsidRPr="009A2E71">
        <w:t xml:space="preserve"> réduit leurs effectifs ou cessé toute activité, provoquant une hausse notable des prix sur le marché. Le président de l’association nationale des professions avicoles du Togo (ANPAT), </w:t>
      </w:r>
      <w:proofErr w:type="spellStart"/>
      <w:r w:rsidR="00D201B4" w:rsidRPr="009A2E71">
        <w:t>Winsou</w:t>
      </w:r>
      <w:proofErr w:type="spellEnd"/>
      <w:r w:rsidR="00D201B4" w:rsidRPr="009A2E71">
        <w:t xml:space="preserve"> </w:t>
      </w:r>
      <w:proofErr w:type="spellStart"/>
      <w:r w:rsidR="00D201B4" w:rsidRPr="009A2E71">
        <w:t>Moussou</w:t>
      </w:r>
      <w:proofErr w:type="spellEnd"/>
      <w:r w:rsidR="00D201B4" w:rsidRPr="009A2E71">
        <w:t>, souligne qu</w:t>
      </w:r>
      <w:r w:rsidR="005172B7">
        <w:t xml:space="preserve">’outre </w:t>
      </w:r>
      <w:r w:rsidR="005172B7" w:rsidRPr="005172B7">
        <w:t>la concurrence des importations</w:t>
      </w:r>
      <w:r w:rsidR="005172B7">
        <w:t>,</w:t>
      </w:r>
      <w:r w:rsidR="00D201B4" w:rsidRPr="009A2E71">
        <w:t xml:space="preserve"> la vétusté des infrastructures</w:t>
      </w:r>
      <w:r w:rsidR="005172B7">
        <w:t xml:space="preserve"> et</w:t>
      </w:r>
      <w:r w:rsidR="00D201B4" w:rsidRPr="009A2E71">
        <w:t xml:space="preserve"> le manque de moyens financiers</w:t>
      </w:r>
      <w:r w:rsidR="005172B7">
        <w:t xml:space="preserve">, </w:t>
      </w:r>
      <w:r w:rsidR="00D201B4" w:rsidRPr="009A2E71">
        <w:t>freinent le redressement du secteur. Le prix du poussin d’un jour est passé de 500 FCFA à 900 FCFA, aggravant la situation pour les éleveurs déjà confrontés à la flambée du coût de l’aliment. Face à ces difficultés, les acteurs appellent à un appui public accru pour faciliter l’accès au crédit et renforcer les capacités de production afin de relancer durablement la filière.</w:t>
      </w:r>
      <w:r w:rsidR="005172B7" w:rsidRPr="005172B7">
        <w:t xml:space="preserve"> </w:t>
      </w:r>
      <w:r w:rsidR="00E96D1D">
        <w:t xml:space="preserve">Le </w:t>
      </w:r>
      <w:r w:rsidR="005172B7">
        <w:t xml:space="preserve">gouvernement opte pour </w:t>
      </w:r>
      <w:r w:rsidR="00E96D1D">
        <w:t xml:space="preserve">l’instant sur </w:t>
      </w:r>
      <w:r w:rsidR="005172B7">
        <w:t>un renforcement des compétences techniques des acteurs du secteur. Le Centre d’Excellence Régional sur les Sciences Aviaires (CERSA), basé à l’Université de Lomé,</w:t>
      </w:r>
      <w:r w:rsidR="00E96D1D">
        <w:t xml:space="preserve"> a ainsi formé p</w:t>
      </w:r>
      <w:r w:rsidR="005172B7">
        <w:t>lus de 3 000 techniciens avicoles.</w:t>
      </w:r>
    </w:p>
    <w:p w14:paraId="788AE306" w14:textId="77777777" w:rsidR="001C3C0F" w:rsidRPr="009A2E71" w:rsidRDefault="001C3C0F" w:rsidP="006C1591">
      <w:pPr>
        <w:spacing w:after="0"/>
      </w:pPr>
    </w:p>
    <w:p w14:paraId="3F65F315" w14:textId="0FE67C77" w:rsidR="0002520B" w:rsidRPr="009A2E71" w:rsidRDefault="0002520B" w:rsidP="0002520B">
      <w:pPr>
        <w:pStyle w:val="Titre2"/>
        <w:spacing w:before="0"/>
      </w:pPr>
      <w:bookmarkStart w:id="350" w:name="_Toc213247588"/>
      <w:r w:rsidRPr="009A2E71">
        <w:t>Forêt – Actualisation des données forestières au Togo.</w:t>
      </w:r>
      <w:bookmarkEnd w:id="350"/>
    </w:p>
    <w:p w14:paraId="452B4E69" w14:textId="77777777" w:rsidR="0002520B" w:rsidRPr="009A2E71" w:rsidRDefault="0002520B" w:rsidP="0002520B">
      <w:pPr>
        <w:spacing w:after="0"/>
      </w:pPr>
      <w:r w:rsidRPr="009A2E71">
        <w:t xml:space="preserve">Le ministre de l’environnement, des ressources forestières, de la protection côtière et du changement climatique, M. </w:t>
      </w:r>
      <w:proofErr w:type="spellStart"/>
      <w:r w:rsidRPr="009A2E71">
        <w:t>Komla</w:t>
      </w:r>
      <w:proofErr w:type="spellEnd"/>
      <w:r w:rsidRPr="009A2E71">
        <w:t xml:space="preserve"> </w:t>
      </w:r>
      <w:proofErr w:type="spellStart"/>
      <w:r w:rsidRPr="009A2E71">
        <w:t>Dodzi</w:t>
      </w:r>
      <w:proofErr w:type="spellEnd"/>
      <w:r w:rsidRPr="009A2E71">
        <w:t xml:space="preserve"> </w:t>
      </w:r>
      <w:proofErr w:type="spellStart"/>
      <w:r w:rsidRPr="009A2E71">
        <w:t>Kokoroko</w:t>
      </w:r>
      <w:proofErr w:type="spellEnd"/>
      <w:r w:rsidRPr="009A2E71">
        <w:t>, a lancé l’actualisation de la base de données forestières du pays. Par un communiqué du 16 octobre, il a invité les détenteurs de permis de coupe et d’autorisations d’importation ou de transport de produits forestiers à déposer, dans un délai de huit jours ouvrés, des copies certifiées de leurs documents auprès des directions régionales et préfectorales de l’environnement. Cette démarche vise à fiabiliser les statistiques forestières nationales et à renforcer la transparence dans la gestion des ressources naturelles. L’initiative s’inscrit dans la stratégie nationale engagée depuis 2020 pour étendre le couvert forestier, avec pour objectif la plantation d’un milliard d’arbres d’ici à 2030.</w:t>
      </w:r>
    </w:p>
    <w:p w14:paraId="296BED8F" w14:textId="77777777" w:rsidR="0002520B" w:rsidRPr="009A2E71" w:rsidRDefault="0002520B" w:rsidP="0002520B">
      <w:pPr>
        <w:spacing w:after="0"/>
      </w:pPr>
    </w:p>
    <w:p w14:paraId="2C855181" w14:textId="77777777" w:rsidR="0002520B" w:rsidRPr="009A2E71" w:rsidRDefault="0002520B" w:rsidP="0002520B">
      <w:pPr>
        <w:pStyle w:val="Titre2"/>
        <w:spacing w:before="0"/>
      </w:pPr>
      <w:bookmarkStart w:id="351" w:name="_Toc213247589"/>
      <w:r w:rsidRPr="009A2E71">
        <w:t>Agroforesterie – L’Organisation des Nations unies pour l’alimentation et l’agriculture (FAO) soutient la restauration des terres et la production durable.</w:t>
      </w:r>
      <w:bookmarkEnd w:id="351"/>
    </w:p>
    <w:p w14:paraId="11949171" w14:textId="77777777" w:rsidR="0002520B" w:rsidRPr="009A2E71" w:rsidRDefault="0002520B" w:rsidP="0002520B">
      <w:pPr>
        <w:spacing w:after="0"/>
      </w:pPr>
      <w:bookmarkStart w:id="352" w:name="_Hlk211262762"/>
      <w:r w:rsidRPr="009A2E71">
        <w:t xml:space="preserve">La </w:t>
      </w:r>
      <w:bookmarkEnd w:id="352"/>
      <w:r w:rsidRPr="009A2E71">
        <w:t xml:space="preserve">FAO renforce son appui aux producteurs togolais à travers le mécanisme « Forêt et Paysan ». Plusieurs organisations locales bénéficient de subventions directes pour améliorer les </w:t>
      </w:r>
      <w:r w:rsidRPr="009A2E71">
        <w:lastRenderedPageBreak/>
        <w:t>rendements tout en préservant les ressources naturelles. Ce programme vise à restaurer les terres dégradées et à renforcer la sécurité alimentaire grâce à des pratiques agricoles durables. Près de 84% des financements sont consacrés à la restauration des sols, à la production de plants, au reboisement et à la promotion de l’agroforesterie comme levier majeur de gestion durable des terres. Les fonds appuient aussi des filières rurales telles que l’apiculture, le reboisement communautaire et la transformation des produits agricoles.</w:t>
      </w:r>
    </w:p>
    <w:p w14:paraId="0B9C4BC9" w14:textId="77777777" w:rsidR="0002520B" w:rsidRPr="009A2E71" w:rsidRDefault="0002520B" w:rsidP="0002520B">
      <w:pPr>
        <w:spacing w:after="0"/>
      </w:pPr>
    </w:p>
    <w:p w14:paraId="0614062F" w14:textId="77777777" w:rsidR="0002520B" w:rsidRPr="009A2E71" w:rsidRDefault="0002520B" w:rsidP="0002520B">
      <w:pPr>
        <w:pStyle w:val="Titre2"/>
        <w:spacing w:before="0"/>
      </w:pPr>
      <w:bookmarkStart w:id="353" w:name="_Toc213247590"/>
      <w:r w:rsidRPr="009A2E71">
        <w:t>Agroécologie – Le Réseau national des acteurs en agroécologie du Togo (</w:t>
      </w:r>
      <w:proofErr w:type="spellStart"/>
      <w:r w:rsidRPr="009A2E71">
        <w:t>RéNAAT</w:t>
      </w:r>
      <w:proofErr w:type="spellEnd"/>
      <w:r w:rsidRPr="009A2E71">
        <w:t>) évalue son projet de production climato-intelligente.</w:t>
      </w:r>
      <w:bookmarkEnd w:id="353"/>
    </w:p>
    <w:p w14:paraId="493DFA56" w14:textId="77777777" w:rsidR="0002520B" w:rsidRPr="009A2E71" w:rsidRDefault="0002520B" w:rsidP="0002520B">
      <w:pPr>
        <w:spacing w:after="0"/>
      </w:pPr>
      <w:r w:rsidRPr="009A2E71">
        <w:t xml:space="preserve">Le </w:t>
      </w:r>
      <w:proofErr w:type="spellStart"/>
      <w:r w:rsidRPr="009A2E71">
        <w:t>RéNAAT</w:t>
      </w:r>
      <w:proofErr w:type="spellEnd"/>
      <w:r w:rsidRPr="009A2E71">
        <w:t xml:space="preserve"> a tenu un atelier de bilan du Projet de promotion des pratiques climato-intelligentes de production au Togo – Disponibilisation des intrants organiques alternatifs à l’échelle nationale (DIOAT), mis en œuvre de juin 2023 à juillet 2025. L’initiative a permis la mise en place de centres de production de fumure organique, leur équipement en matériels adaptés et la formation de producteurs et de jeunes sur la fabrication et le compostage. Soutenu par l’Agence française de développement (AFD), le Réseau international de formation agricole et rural (RIFAR) et l’Association Terre Humanisme (TH), le projet visait à diffuser les bonnes pratiques d’agroécologie et à renforcer la synergie entre acteurs. Les participants ont salué les résultats obtenus tout en appelant à un meilleur accompagnement institutionnel pour rapprocher les intrants organiques des producteurs et réduire les coûts de production.</w:t>
      </w:r>
    </w:p>
    <w:p w14:paraId="041AC98D" w14:textId="77777777" w:rsidR="001C3C0F" w:rsidRPr="009A2E71" w:rsidRDefault="001C3C0F" w:rsidP="006C1591">
      <w:pPr>
        <w:pStyle w:val="Titre2"/>
        <w:spacing w:before="0"/>
      </w:pPr>
    </w:p>
    <w:p w14:paraId="0657F72A" w14:textId="2A142320" w:rsidR="000E0D3C" w:rsidRPr="009A2E71" w:rsidRDefault="00F008AB" w:rsidP="006C1591">
      <w:pPr>
        <w:pStyle w:val="Titre2"/>
        <w:spacing w:before="0"/>
      </w:pPr>
      <w:bookmarkStart w:id="354" w:name="_Toc213247591"/>
      <w:r w:rsidRPr="009A2E71">
        <w:t>Agroécologie</w:t>
      </w:r>
      <w:r w:rsidR="000E0D3C" w:rsidRPr="009A2E71">
        <w:t xml:space="preserve"> – L</w:t>
      </w:r>
      <w:r w:rsidRPr="009A2E71">
        <w:t>a phase 2 du</w:t>
      </w:r>
      <w:r w:rsidR="000E0D3C" w:rsidRPr="009A2E71">
        <w:t xml:space="preserve"> programme </w:t>
      </w:r>
      <w:r w:rsidRPr="009A2E71">
        <w:t>transition des systèmes agricoles et alimentaires sur les territoires ruraux (</w:t>
      </w:r>
      <w:r w:rsidR="000E0D3C" w:rsidRPr="009A2E71">
        <w:t>TERSAA II</w:t>
      </w:r>
      <w:r w:rsidRPr="009A2E71">
        <w:t>)</w:t>
      </w:r>
      <w:r w:rsidR="000E0D3C" w:rsidRPr="009A2E71">
        <w:t xml:space="preserve"> renforce la transition agroécologique.</w:t>
      </w:r>
      <w:bookmarkEnd w:id="354"/>
    </w:p>
    <w:p w14:paraId="77B1B216" w14:textId="2C67D5D7" w:rsidR="000E0D3C" w:rsidRPr="009A2E71" w:rsidRDefault="00F008AB" w:rsidP="006C1591">
      <w:pPr>
        <w:spacing w:after="0"/>
      </w:pPr>
      <w:r w:rsidRPr="009A2E71">
        <w:t xml:space="preserve">Le lancement de </w:t>
      </w:r>
      <w:r w:rsidR="000E0D3C" w:rsidRPr="009A2E71">
        <w:t>TERSAA</w:t>
      </w:r>
      <w:r w:rsidRPr="009A2E71">
        <w:t xml:space="preserve"> II</w:t>
      </w:r>
      <w:r w:rsidR="000E0D3C" w:rsidRPr="009A2E71">
        <w:t xml:space="preserve"> portée par l’organisation Acting for Life (AFL)</w:t>
      </w:r>
      <w:r w:rsidRPr="009A2E71">
        <w:t xml:space="preserve"> vise à </w:t>
      </w:r>
      <w:r w:rsidR="000E0D3C" w:rsidRPr="009A2E71">
        <w:t xml:space="preserve">renforcer la résilience des systèmes agricoles et alimentaires face au changement climatique. </w:t>
      </w:r>
      <w:r w:rsidRPr="009A2E71">
        <w:t xml:space="preserve">D’un montant de 1,7 M EUR et prévu sur trois ans, de juin 2025 à mai 2028, le programme est financé avec l’appui de l’agence française de développement (AFD), de la fondation Air France et de la fondation de France. Cette nouvelle phase consolide les acquis de TERSAA I (2021-2025) et soutient 31 organisations de producteurs pour faciliter leur accès au marché. Le programme encourage également le « consommer local » et l’intégration des collectivités territoriales dans la gestion durable des ressources naturelles. </w:t>
      </w:r>
      <w:r w:rsidR="000E0D3C" w:rsidRPr="009A2E71">
        <w:t>Il intervient dans quatre pays, dont le Togo et le Bénin, et vise directement 8</w:t>
      </w:r>
      <w:r w:rsidRPr="009A2E71">
        <w:t xml:space="preserve"> </w:t>
      </w:r>
      <w:r w:rsidR="000E0D3C" w:rsidRPr="009A2E71">
        <w:t>593 producteurs et transformateurs, dont 50% de femmes, tout en bénéficiant indirectement à environ 750 000 personnes. TERSAA II prévoit la formation de 1</w:t>
      </w:r>
      <w:r w:rsidRPr="009A2E71">
        <w:t xml:space="preserve"> </w:t>
      </w:r>
      <w:r w:rsidR="000E0D3C" w:rsidRPr="009A2E71">
        <w:t>235 producteurs, l’extension des pratiques agroécologiques sur 95 ha supplémentaires et la création de trois labels de confiance pour valoriser les produits locaux.</w:t>
      </w:r>
    </w:p>
    <w:p w14:paraId="292FD165" w14:textId="15EC7C2C" w:rsidR="000D6FF5" w:rsidRPr="009A2E71" w:rsidRDefault="000D6FF5" w:rsidP="006C1591">
      <w:pPr>
        <w:spacing w:after="0"/>
      </w:pPr>
    </w:p>
    <w:p w14:paraId="1334CE34" w14:textId="77777777" w:rsidR="00CC7C9F" w:rsidRPr="009A2E71" w:rsidRDefault="00CC7C9F" w:rsidP="006C1591">
      <w:pPr>
        <w:pStyle w:val="Titre2"/>
        <w:spacing w:before="0"/>
      </w:pPr>
      <w:bookmarkStart w:id="355" w:name="_Toc213247592"/>
      <w:r w:rsidRPr="009A2E71">
        <w:t>Mécanisation – 100 jeunes formés par l’INFA.</w:t>
      </w:r>
      <w:bookmarkEnd w:id="355"/>
    </w:p>
    <w:p w14:paraId="6BD763A6" w14:textId="77777777" w:rsidR="00CC7C9F" w:rsidRPr="009A2E71" w:rsidRDefault="00CC7C9F" w:rsidP="006C1591">
      <w:pPr>
        <w:spacing w:after="0"/>
      </w:pPr>
      <w:r w:rsidRPr="009A2E71">
        <w:t xml:space="preserve">L’Institut national de formation agricole (INFA) de </w:t>
      </w:r>
      <w:proofErr w:type="spellStart"/>
      <w:r w:rsidRPr="009A2E71">
        <w:t>Tové</w:t>
      </w:r>
      <w:proofErr w:type="spellEnd"/>
      <w:r w:rsidRPr="009A2E71">
        <w:t xml:space="preserve"> a certifié cinquante jeunes le 7 octobre à l’issue d’une formation en conduite et maintenance de tracteurs agricoles, portant à 100 le nombre total de bénéficiaires dans le cadre du programme national de mécanisation agricole et de promotion de l’emploi des jeunes. Ce programme, initié par le ministère chargé de l’Agriculture en collaboration avec l’Agence nationale pour l’emploi (ANPE), visait à renforcer les compétences techniques des jeunes ruraux en conduite, attelage, entretien de tracteurs, labour, semis et gyro-broyage. L’objectif est de constituer une main-d’œuvre qualifiée pour la gestion et la maintenance des équipements des Centres régionaux de mécanisation agricole (CRMA). Selon le directeur général de l’ANPE, M. Kossi </w:t>
      </w:r>
      <w:proofErr w:type="spellStart"/>
      <w:r w:rsidRPr="009A2E71">
        <w:t>Tsiglo</w:t>
      </w:r>
      <w:proofErr w:type="spellEnd"/>
      <w:r w:rsidRPr="009A2E71">
        <w:t xml:space="preserve">, cette initiative contribue à </w:t>
      </w:r>
      <w:r w:rsidRPr="009A2E71">
        <w:lastRenderedPageBreak/>
        <w:t>sécuriser les investissements agricoles, améliorer la productivité et créer des emplois qualifiés dans les zones rurales.</w:t>
      </w:r>
    </w:p>
    <w:p w14:paraId="4116D170" w14:textId="77777777" w:rsidR="00CC7C9F" w:rsidRPr="009A2E71" w:rsidRDefault="00CC7C9F" w:rsidP="006C1591">
      <w:pPr>
        <w:spacing w:after="0"/>
      </w:pPr>
    </w:p>
    <w:p w14:paraId="7A2F206B" w14:textId="533897BD" w:rsidR="00433F7B" w:rsidRPr="009A2E71" w:rsidRDefault="00433F7B" w:rsidP="006C1591">
      <w:pPr>
        <w:pStyle w:val="Titre2"/>
        <w:spacing w:before="0"/>
      </w:pPr>
      <w:bookmarkStart w:id="356" w:name="_Toc213247593"/>
      <w:r w:rsidRPr="009A2E71">
        <w:t xml:space="preserve">Mécanisation – 20 Md FCFA de la </w:t>
      </w:r>
      <w:r w:rsidR="00063B48" w:rsidRPr="009A2E71">
        <w:t>Banque ouest-africaine de développement (BOAD)</w:t>
      </w:r>
      <w:r w:rsidRPr="009A2E71">
        <w:t>.</w:t>
      </w:r>
      <w:bookmarkEnd w:id="356"/>
    </w:p>
    <w:p w14:paraId="7CFBAFBD" w14:textId="7AD67E1A" w:rsidR="00433F7B" w:rsidRPr="009A2E71" w:rsidRDefault="00433F7B" w:rsidP="006C1591">
      <w:pPr>
        <w:spacing w:after="0"/>
      </w:pPr>
      <w:r w:rsidRPr="009A2E71">
        <w:t>La BOAD a accordé un financement de 20 Md FCFA pour la phase 1 du programme national de mécanisation agricole et d’irrigation. Annoncée le 9 octobre à l’issue de la 148</w:t>
      </w:r>
      <w:r w:rsidR="00063B48" w:rsidRPr="009A2E71">
        <w:rPr>
          <w:vertAlign w:val="superscript"/>
        </w:rPr>
        <w:t>ème</w:t>
      </w:r>
      <w:r w:rsidRPr="009A2E71">
        <w:t xml:space="preserve"> session du Conseil d’administration de la Banque à Lomé, cette opération vise à renforcer les capacités opérationnelles des Centres régionaux de mécanisation agricole (CRMA) par l’acquisition d’équipements tels que des tracteurs, semoirs, moissonneuses-batteuses et systèmes d’irrigation. Le financement permettra également d’étendre ces centres, déjà implantés à Kara et Kpalimé depuis 2023, à d’autres régions du pays afin de soutenir la productivité, la sécurité alimentaire et l’emploi rural. L’initiative s’inscrit dans le Plan national de développement agricole et la Feuille de route gouvernementale 2025, en cohérence avec le Plan stratégique </w:t>
      </w:r>
      <w:proofErr w:type="spellStart"/>
      <w:r w:rsidRPr="009A2E71">
        <w:t>Djoliba</w:t>
      </w:r>
      <w:proofErr w:type="spellEnd"/>
      <w:r w:rsidRPr="009A2E71">
        <w:t xml:space="preserve"> de la BOAD, qui renforce l’appui aux infrastructures productives et à la transformation économique des États membres de l’UEMOA.</w:t>
      </w:r>
    </w:p>
    <w:p w14:paraId="796956C1" w14:textId="77777777" w:rsidR="0002520B" w:rsidRDefault="0002520B" w:rsidP="0002520B">
      <w:pPr>
        <w:pStyle w:val="Titre2"/>
        <w:spacing w:before="0"/>
      </w:pPr>
    </w:p>
    <w:p w14:paraId="69DCF584" w14:textId="659AA99A" w:rsidR="0002520B" w:rsidRPr="009A2E71" w:rsidRDefault="0002520B" w:rsidP="0002520B">
      <w:pPr>
        <w:pStyle w:val="Titre2"/>
        <w:spacing w:before="0"/>
      </w:pPr>
      <w:bookmarkStart w:id="357" w:name="_Toc213247594"/>
      <w:r w:rsidRPr="009A2E71">
        <w:t>Formation – Les étudiants de l’Institut national de formation agricole (INFA) formés aux techniques de carbonisation à la meule à cheminée de type casamançais.</w:t>
      </w:r>
      <w:bookmarkEnd w:id="357"/>
    </w:p>
    <w:p w14:paraId="5CC3BE4A" w14:textId="77777777" w:rsidR="0002520B" w:rsidRPr="009A2E71" w:rsidRDefault="0002520B" w:rsidP="0002520B">
      <w:pPr>
        <w:spacing w:after="0"/>
      </w:pPr>
      <w:r w:rsidRPr="009A2E71">
        <w:t xml:space="preserve">Les étudiants en foresterie, eau et environnement de </w:t>
      </w:r>
      <w:bookmarkStart w:id="358" w:name="_Hlk211264145"/>
      <w:r w:rsidRPr="009A2E71">
        <w:t>l’Institut national de formation agricole (INFA)</w:t>
      </w:r>
      <w:bookmarkEnd w:id="358"/>
      <w:r w:rsidRPr="009A2E71">
        <w:t xml:space="preserve"> de </w:t>
      </w:r>
      <w:proofErr w:type="spellStart"/>
      <w:r w:rsidRPr="009A2E71">
        <w:t>Tové</w:t>
      </w:r>
      <w:proofErr w:type="spellEnd"/>
      <w:r w:rsidRPr="009A2E71">
        <w:t xml:space="preserve"> ont été formés aux techniques de carbonisation traditionnelle et moderne à la meule à cheminée de type casamançais lors de séances pratiques tenues entre septembre et octobre. La dernière session, consacrée à une évaluation, a permis de vérifier leur maîtrise de cette méthode, qui offre un rendement supérieur et réduit la pression sur les ressources forestières. Selon la direction de l’INFA, la meule à cheminée de type casamançais permet de produire un charbon de meilleure qualité, d’économiser du bois et de récupérer le liquide pyroligneux pour un usage agricole. Elle contribue également à limiter les émissions de gaz à effet de serre et à renforcer la lutte contre le changement climatique. La formation vise à doter les étudiants de compétences pratiques pour diffuser ces techniques durables et promouvoir une gestion responsable des forêts.</w:t>
      </w:r>
    </w:p>
    <w:p w14:paraId="5C6807F4" w14:textId="77777777" w:rsidR="0002520B" w:rsidRPr="009A2E71" w:rsidRDefault="0002520B" w:rsidP="0002520B">
      <w:pPr>
        <w:spacing w:after="0"/>
      </w:pPr>
    </w:p>
    <w:p w14:paraId="1E060B23" w14:textId="77777777" w:rsidR="0002520B" w:rsidRPr="009A2E71" w:rsidRDefault="0002520B" w:rsidP="0002520B">
      <w:pPr>
        <w:pStyle w:val="Titre2"/>
        <w:spacing w:before="0"/>
      </w:pPr>
      <w:bookmarkStart w:id="359" w:name="_Toc213247595"/>
      <w:r w:rsidRPr="009A2E71">
        <w:t>Transformation – Dix nouvelles unités industrielles pour valoriser les productions locales.</w:t>
      </w:r>
      <w:bookmarkEnd w:id="359"/>
    </w:p>
    <w:p w14:paraId="68E5FBFA" w14:textId="77777777" w:rsidR="0002520B" w:rsidRPr="009A2E71" w:rsidRDefault="0002520B" w:rsidP="0002520B">
      <w:pPr>
        <w:spacing w:after="0"/>
      </w:pPr>
      <w:r w:rsidRPr="009A2E71">
        <w:t>Les pouvoirs publics, avec l’appui de la Banque africaine de développement (BAD) et de plusieurs partenaires au développement, préparent la mise en place de dix unités de transformation agricole sur l’ensemble du territoire. Financé à hauteur de 6 M USD par la BAD dans le cadre du Programme de renforcement de la résilience à l’insécurité alimentaire et nutritionnelle au Sahel (P2-P2RS), le projet vise à renforcer la sécurité alimentaire et à structurer des chaînes de valeur solides entre producteurs, transformateurs et commerçants. Les unités industrielles, spécialisées notamment dans la transformation du riz, des fruits et des légumes, intégreront l’emballage et l’étiquetage pour répondre aux standards régionaux et internationaux. Ce dispositif contribuera à la valorisation des produits locaux, à la promotion des exportations régionales et à la création d’emplois en milieu rural.</w:t>
      </w:r>
    </w:p>
    <w:p w14:paraId="4402EF77" w14:textId="77777777" w:rsidR="00433F7B" w:rsidRPr="009A2E71" w:rsidRDefault="00433F7B" w:rsidP="006C1591">
      <w:pPr>
        <w:spacing w:after="0"/>
      </w:pPr>
    </w:p>
    <w:p w14:paraId="688E81D2" w14:textId="77777777" w:rsidR="00CC7C9F" w:rsidRPr="009A2E71" w:rsidRDefault="00CC7C9F" w:rsidP="006C1591">
      <w:pPr>
        <w:pStyle w:val="Titre2"/>
        <w:spacing w:before="0"/>
      </w:pPr>
      <w:bookmarkStart w:id="360" w:name="_Toc213247596"/>
      <w:r w:rsidRPr="009A2E71">
        <w:t>Pesticides – Des produits agricoles avec des résidus supérieurs aux normes internationales.</w:t>
      </w:r>
      <w:bookmarkEnd w:id="360"/>
    </w:p>
    <w:p w14:paraId="3E173127" w14:textId="77777777" w:rsidR="00CC7C9F" w:rsidRPr="009A2E71" w:rsidRDefault="00CC7C9F" w:rsidP="006C1591">
      <w:pPr>
        <w:spacing w:after="0"/>
      </w:pPr>
      <w:r w:rsidRPr="009A2E71">
        <w:t xml:space="preserve">Près d’un tiers des fruits et légumes vendus au Togo contiennent des résidus de pesticides supérieurs aux normes internationales, dont certains produits interdits. Cette utilisation inappropriée des intrants, confirmée par une étude nationale menée dans les cinq régions du </w:t>
      </w:r>
      <w:r w:rsidRPr="009A2E71">
        <w:lastRenderedPageBreak/>
        <w:t>pays et présentée à Lomé lors d’un atelier organisé par l’Organisation des Nations unies pour l’alimentation et l’agriculture (FAO) et le ministère de l’environnement, menace la compétitivité agricole togolaise. Le non-respect des standards pourrait entraîner des restrictions commerciales sur des filières clés comme le café, le cacao, le coton et le maraîchage. La FAO appelle à renforcer la traçabilité, la formation des producteurs et les capacités des laboratoires, tandis que les organisations paysannes encouragent la rotation des cultures pour réduire la dépendance aux pesticides et préserver la crédibilité économique du “Made in Togo”.</w:t>
      </w:r>
    </w:p>
    <w:p w14:paraId="1AC5732C" w14:textId="46C861D3" w:rsidR="00CC7C9F" w:rsidRDefault="00CC7C9F" w:rsidP="006C1591">
      <w:pPr>
        <w:spacing w:after="0"/>
      </w:pPr>
    </w:p>
    <w:p w14:paraId="367E1D2F" w14:textId="77777777" w:rsidR="0002520B" w:rsidRPr="009A2E71" w:rsidRDefault="0002520B" w:rsidP="0002520B">
      <w:pPr>
        <w:pStyle w:val="Titre2"/>
        <w:spacing w:before="0"/>
      </w:pPr>
      <w:bookmarkStart w:id="361" w:name="_Toc213247597"/>
      <w:r w:rsidRPr="009A2E71">
        <w:t xml:space="preserve">Intrants – L’entreprise turque </w:t>
      </w:r>
      <w:proofErr w:type="spellStart"/>
      <w:r w:rsidRPr="009A2E71">
        <w:t>Yeşil</w:t>
      </w:r>
      <w:proofErr w:type="spellEnd"/>
      <w:r w:rsidRPr="009A2E71">
        <w:t xml:space="preserve"> </w:t>
      </w:r>
      <w:proofErr w:type="spellStart"/>
      <w:r w:rsidRPr="009A2E71">
        <w:t>Vadi</w:t>
      </w:r>
      <w:proofErr w:type="spellEnd"/>
      <w:r w:rsidRPr="009A2E71">
        <w:t xml:space="preserve"> </w:t>
      </w:r>
      <w:proofErr w:type="spellStart"/>
      <w:r w:rsidRPr="009A2E71">
        <w:t>Tarım</w:t>
      </w:r>
      <w:proofErr w:type="spellEnd"/>
      <w:r w:rsidRPr="009A2E71">
        <w:t xml:space="preserve"> annonce son implantation.</w:t>
      </w:r>
      <w:bookmarkEnd w:id="361"/>
    </w:p>
    <w:p w14:paraId="1F325D35" w14:textId="77777777" w:rsidR="0002520B" w:rsidRPr="009A2E71" w:rsidRDefault="0002520B" w:rsidP="0002520B">
      <w:pPr>
        <w:spacing w:after="0"/>
      </w:pPr>
      <w:r w:rsidRPr="009A2E71">
        <w:t xml:space="preserve">La société turque </w:t>
      </w:r>
      <w:proofErr w:type="spellStart"/>
      <w:r w:rsidRPr="009A2E71">
        <w:t>Yeşil</w:t>
      </w:r>
      <w:proofErr w:type="spellEnd"/>
      <w:r w:rsidRPr="009A2E71">
        <w:t xml:space="preserve"> </w:t>
      </w:r>
      <w:proofErr w:type="spellStart"/>
      <w:r w:rsidRPr="009A2E71">
        <w:t>Vadi</w:t>
      </w:r>
      <w:proofErr w:type="spellEnd"/>
      <w:r w:rsidRPr="009A2E71">
        <w:t xml:space="preserve"> </w:t>
      </w:r>
      <w:proofErr w:type="spellStart"/>
      <w:r w:rsidRPr="009A2E71">
        <w:t>Tarım</w:t>
      </w:r>
      <w:proofErr w:type="spellEnd"/>
      <w:r w:rsidRPr="009A2E71">
        <w:t xml:space="preserve"> a </w:t>
      </w:r>
      <w:bookmarkStart w:id="362" w:name="_Hlk212917149"/>
      <w:r w:rsidRPr="009A2E71">
        <w:t xml:space="preserve">annoncé son implantation </w:t>
      </w:r>
      <w:bookmarkEnd w:id="362"/>
      <w:r w:rsidRPr="009A2E71">
        <w:t xml:space="preserve">sur le marché togolais avec son produit </w:t>
      </w:r>
      <w:proofErr w:type="spellStart"/>
      <w:r w:rsidRPr="009A2E71">
        <w:t>LombriCompost</w:t>
      </w:r>
      <w:proofErr w:type="spellEnd"/>
      <w:r w:rsidRPr="009A2E71">
        <w:t>, un engrais 100% biologique déjà présent au Mali, au Sénégal, en Guinée, au Niger et au Ghana. Utilisable en culture maraîchère et céréalière, cet engrais naturel vise à améliorer la fertilité des sols et à accroître les rendements agricoles de 30 à 40%. L’entreprise justifie son choix par la politique des autorités togolaises en faveur d’une agriculture durable et par la demande croissante pour des solutions écologiques.</w:t>
      </w:r>
    </w:p>
    <w:p w14:paraId="105DABE7" w14:textId="77777777" w:rsidR="0002520B" w:rsidRPr="009A2E71" w:rsidRDefault="0002520B" w:rsidP="006C1591">
      <w:pPr>
        <w:spacing w:after="0"/>
      </w:pPr>
    </w:p>
    <w:p w14:paraId="225B61CC" w14:textId="73C36594" w:rsidR="00120CB3" w:rsidRPr="009A2E71" w:rsidRDefault="00120CB3" w:rsidP="006C1591">
      <w:pPr>
        <w:pStyle w:val="Titre2"/>
        <w:spacing w:before="0"/>
      </w:pPr>
      <w:bookmarkStart w:id="363" w:name="_Toc213247598"/>
      <w:r w:rsidRPr="009A2E71">
        <w:t>Evènement – 3</w:t>
      </w:r>
      <w:r w:rsidRPr="009A2E71">
        <w:rPr>
          <w:vertAlign w:val="superscript"/>
        </w:rPr>
        <w:t>ème</w:t>
      </w:r>
      <w:r w:rsidRPr="009A2E71">
        <w:t xml:space="preserve"> édition de </w:t>
      </w:r>
      <w:proofErr w:type="spellStart"/>
      <w:r w:rsidRPr="009A2E71">
        <w:t>BlueInvest</w:t>
      </w:r>
      <w:proofErr w:type="spellEnd"/>
      <w:r w:rsidRPr="009A2E71">
        <w:t xml:space="preserve"> </w:t>
      </w:r>
      <w:proofErr w:type="spellStart"/>
      <w:r w:rsidRPr="009A2E71">
        <w:t>Africa</w:t>
      </w:r>
      <w:proofErr w:type="spellEnd"/>
      <w:r w:rsidRPr="009A2E71">
        <w:t>.</w:t>
      </w:r>
      <w:bookmarkEnd w:id="363"/>
    </w:p>
    <w:p w14:paraId="26C38F1A" w14:textId="77777777" w:rsidR="00120CB3" w:rsidRPr="009A2E71" w:rsidRDefault="00120CB3" w:rsidP="006C1591">
      <w:pPr>
        <w:spacing w:after="0"/>
      </w:pPr>
      <w:r w:rsidRPr="009A2E71">
        <w:t>La 3</w:t>
      </w:r>
      <w:r w:rsidRPr="009A2E71">
        <w:rPr>
          <w:vertAlign w:val="superscript"/>
        </w:rPr>
        <w:t>ème</w:t>
      </w:r>
      <w:r w:rsidRPr="009A2E71">
        <w:t xml:space="preserve"> édition de </w:t>
      </w:r>
      <w:proofErr w:type="spellStart"/>
      <w:r w:rsidRPr="009A2E71">
        <w:t>BlueInvest</w:t>
      </w:r>
      <w:proofErr w:type="spellEnd"/>
      <w:r w:rsidRPr="009A2E71">
        <w:t xml:space="preserve"> </w:t>
      </w:r>
      <w:proofErr w:type="spellStart"/>
      <w:r w:rsidRPr="009A2E71">
        <w:t>Africa</w:t>
      </w:r>
      <w:proofErr w:type="spellEnd"/>
      <w:r w:rsidRPr="009A2E71">
        <w:t xml:space="preserve"> s’est tenue les 15 et 16 octobre à Lomé, sous l’égide du ministère de l’industrie et de la promotion des investissements et de la délégation de l’Union européenne au Togo. Initié par l’Union européenne en 2022, cet événement international vise à promouvoir l’entrepreneuriat africain et le développement durable des secteurs maritimes et côtiers, en favorisant le financement de projets innovants et les partenariats entre porteurs africains et investisseurs internationaux. Organisée dans le cadre de la stratégie Global Gateway, cette édition est la première en Afrique de l’Ouest et dans un pays francophone après les Seychelles en 2022 et le Kenya en 2024. Le programme comprenait des sessions sur la pêche durable, le transport maritime, l’aquaculture, les énergies marines renouvelables et l’innovation technologique, ainsi que des rencontres B2B et des présentations de start-up africaines devant des investisseurs.</w:t>
      </w:r>
    </w:p>
    <w:p w14:paraId="45DAB331" w14:textId="77777777" w:rsidR="00120CB3" w:rsidRPr="009A2E71" w:rsidRDefault="00120CB3" w:rsidP="006C1591">
      <w:pPr>
        <w:spacing w:after="0"/>
      </w:pPr>
    </w:p>
    <w:p w14:paraId="35E9A2E0" w14:textId="12FF7389" w:rsidR="00F05F23" w:rsidRPr="009A2E71" w:rsidRDefault="001F684F" w:rsidP="006C1591">
      <w:pPr>
        <w:pStyle w:val="Titre2"/>
        <w:spacing w:before="0"/>
      </w:pPr>
      <w:bookmarkStart w:id="364" w:name="_Toc213247599"/>
      <w:r w:rsidRPr="009A2E71">
        <w:t xml:space="preserve">Evènement </w:t>
      </w:r>
      <w:r w:rsidR="00F05F23" w:rsidRPr="009A2E71">
        <w:t xml:space="preserve">– </w:t>
      </w:r>
      <w:r w:rsidRPr="009A2E71">
        <w:t>5</w:t>
      </w:r>
      <w:r w:rsidRPr="009A2E71">
        <w:rPr>
          <w:vertAlign w:val="superscript"/>
        </w:rPr>
        <w:t>ème</w:t>
      </w:r>
      <w:r w:rsidRPr="009A2E71">
        <w:t xml:space="preserve"> édition des journées café-cacao</w:t>
      </w:r>
      <w:r w:rsidR="00F05F23" w:rsidRPr="009A2E71">
        <w:t>.</w:t>
      </w:r>
      <w:bookmarkEnd w:id="364"/>
    </w:p>
    <w:p w14:paraId="591FC07E" w14:textId="55E998C9" w:rsidR="00A95E3D" w:rsidRDefault="00F05F23" w:rsidP="006C1591">
      <w:pPr>
        <w:spacing w:after="0"/>
      </w:pPr>
      <w:r w:rsidRPr="009A2E71">
        <w:t>Le Togo a célébré la Journée Internationale du Café et la Journée Mondiale du Cacao et du Chocolat lors d’une cinquième édition organisée par le Comité de Coordination pour les Filières Café et Cacao (CCFCC), en partenariat avec l’Organisation Interafricaine du Café (OIAC). L’événement</w:t>
      </w:r>
      <w:r w:rsidR="001F684F" w:rsidRPr="009A2E71">
        <w:t xml:space="preserve"> </w:t>
      </w:r>
      <w:r w:rsidRPr="009A2E71">
        <w:t xml:space="preserve">a mis en </w:t>
      </w:r>
      <w:r w:rsidR="001F684F" w:rsidRPr="009A2E71">
        <w:t>avant</w:t>
      </w:r>
      <w:r w:rsidRPr="009A2E71">
        <w:t xml:space="preserve"> les progrès du pays dans la transformation durable des filières. Ces journées s’inscrivent dans la stratégie nationale de promotion du « Consommer local » et dans les Plans de Développement des Filières Café et Cacao adoptés en 2024, visant une production compétitive et durable d’ici 2030. Le CCFCC a salué les transformateurs locaux tels que CHOCO-TOGO, Café des Moines, Café KUMA, DENYIGBA CACAO, MISCAO et Café Kara, ainsi que la coopérative Kawa-Togo, symbole du renouveau porté par les jeunes baristas togolais.</w:t>
      </w:r>
      <w:r w:rsidR="001F684F" w:rsidRPr="009A2E71">
        <w:t xml:space="preserve"> L</w:t>
      </w:r>
      <w:r w:rsidRPr="009A2E71">
        <w:t>’engagement d</w:t>
      </w:r>
      <w:r w:rsidR="001F684F" w:rsidRPr="009A2E71">
        <w:t>es autorités</w:t>
      </w:r>
      <w:r w:rsidRPr="009A2E71">
        <w:t xml:space="preserve"> pays pour une rémunération équitable des producteurs et une filière café-cacao durable </w:t>
      </w:r>
      <w:r w:rsidR="001F684F" w:rsidRPr="009A2E71">
        <w:t>a été réaffirmé</w:t>
      </w:r>
      <w:r w:rsidRPr="009A2E71">
        <w:t>.</w:t>
      </w:r>
    </w:p>
    <w:p w14:paraId="57F2727F" w14:textId="5469E3C5" w:rsidR="00A95E3D" w:rsidRDefault="0040555B" w:rsidP="006C1591">
      <w:pPr>
        <w:spacing w:after="0"/>
      </w:pPr>
      <w:r w:rsidRPr="000D15A5">
        <w:rPr>
          <w:noProof/>
        </w:rPr>
        <mc:AlternateContent>
          <mc:Choice Requires="wps">
            <w:drawing>
              <wp:anchor distT="0" distB="0" distL="114300" distR="114300" simplePos="0" relativeHeight="251660288" behindDoc="1" locked="0" layoutInCell="1" allowOverlap="1" wp14:anchorId="644824E0" wp14:editId="7D53EDB4">
                <wp:simplePos x="0" y="0"/>
                <wp:positionH relativeFrom="page">
                  <wp:align>left</wp:align>
                </wp:positionH>
                <wp:positionV relativeFrom="page">
                  <wp:align>bottom</wp:align>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C35F3ED" w14:textId="77777777" w:rsidR="00120CB3" w:rsidRPr="00EE5287" w:rsidRDefault="00120CB3" w:rsidP="00120CB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0" w:history="1">
                              <w:r w:rsidRPr="00EE5287">
                                <w:rPr>
                                  <w:rStyle w:val="Mentionnonrsolue"/>
                                  <w:szCs w:val="20"/>
                                </w:rPr>
                                <w:t>www.tresor.economie.gouv.fr/tresor-international</w:t>
                              </w:r>
                            </w:hyperlink>
                          </w:p>
                          <w:p w14:paraId="5CDB8790" w14:textId="77777777" w:rsidR="00120CB3" w:rsidRPr="00EE5287" w:rsidRDefault="00120CB3" w:rsidP="00120CB3">
                            <w:pPr>
                              <w:ind w:left="709" w:right="866"/>
                              <w:rPr>
                                <w:rStyle w:val="Mentionnonrsolu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CEC8F8D" w14:textId="77777777" w:rsidR="00120CB3" w:rsidRPr="00EE5287" w:rsidRDefault="00120CB3" w:rsidP="00120CB3">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824E0" id="Rectangle 3" o:spid="_x0000_s1026" style="position:absolute;left:0;text-align:left;margin-left:0;margin-top:0;width:597.4pt;height:132.1pt;z-index:-25165619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" fillcolor="#fbe769" stroked="f" strokeweight="1pt">
                <v:textbox>
                  <w:txbxContent>
                    <w:p w14:paraId="1C35F3ED" w14:textId="77777777" w:rsidR="00120CB3" w:rsidRPr="00EE5287" w:rsidRDefault="00120CB3" w:rsidP="00120CB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1" w:history="1">
                        <w:r w:rsidRPr="00EE5287">
                          <w:rPr>
                            <w:rStyle w:val="Mentionnonrsolue"/>
                            <w:szCs w:val="20"/>
                          </w:rPr>
                          <w:t>www.tresor.economie.gouv.fr/tresor-international</w:t>
                        </w:r>
                      </w:hyperlink>
                    </w:p>
                    <w:p w14:paraId="5CDB8790" w14:textId="77777777" w:rsidR="00120CB3" w:rsidRPr="00EE5287" w:rsidRDefault="00120CB3" w:rsidP="00120CB3">
                      <w:pPr>
                        <w:ind w:left="709" w:right="866"/>
                        <w:rPr>
                          <w:rStyle w:val="Mentionnonrsolu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CEC8F8D" w14:textId="77777777" w:rsidR="00120CB3" w:rsidRPr="00EE5287" w:rsidRDefault="00120CB3" w:rsidP="00120CB3">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page"/>
              </v:rect>
            </w:pict>
          </mc:Fallback>
        </mc:AlternateContent>
      </w:r>
    </w:p>
    <w:p w14:paraId="7EF28BAC" w14:textId="77777777" w:rsidR="00A95E3D" w:rsidRDefault="00A95E3D" w:rsidP="006C1591">
      <w:pPr>
        <w:spacing w:after="0"/>
      </w:pPr>
    </w:p>
    <w:bookmarkEnd w:id="42"/>
    <w:p w14:paraId="70BC7764" w14:textId="4C9A3ED9" w:rsidR="00120CB3" w:rsidRDefault="00120CB3" w:rsidP="006C1591">
      <w:pPr>
        <w:spacing w:after="0"/>
      </w:pPr>
    </w:p>
    <w:sectPr w:rsidR="00120CB3" w:rsidSect="00712C23">
      <w:headerReference w:type="first" r:id="rId32"/>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151C" w14:textId="77777777" w:rsidR="00410815" w:rsidRDefault="00410815" w:rsidP="00410815">
      <w:pPr>
        <w:spacing w:after="0" w:line="240" w:lineRule="auto"/>
      </w:pPr>
      <w:r>
        <w:separator/>
      </w:r>
    </w:p>
  </w:endnote>
  <w:endnote w:type="continuationSeparator" w:id="0">
    <w:p w14:paraId="36E22891" w14:textId="77777777" w:rsidR="00410815" w:rsidRDefault="00410815" w:rsidP="00410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A060" w14:textId="77777777" w:rsidR="00410815" w:rsidRDefault="00410815" w:rsidP="00410815">
      <w:pPr>
        <w:spacing w:after="0" w:line="240" w:lineRule="auto"/>
      </w:pPr>
      <w:r>
        <w:separator/>
      </w:r>
    </w:p>
  </w:footnote>
  <w:footnote w:type="continuationSeparator" w:id="0">
    <w:p w14:paraId="29F28E88" w14:textId="77777777" w:rsidR="00410815" w:rsidRDefault="00410815" w:rsidP="00410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26D9" w14:textId="73E60495" w:rsidR="00712C23" w:rsidRDefault="00712C23">
    <w:pPr>
      <w:pStyle w:val="En-tte"/>
    </w:pPr>
    <w:r w:rsidRPr="004C416F">
      <w:rPr>
        <w:noProof/>
      </w:rPr>
      <w:drawing>
        <wp:anchor distT="0" distB="0" distL="114300" distR="114300" simplePos="0" relativeHeight="251659264" behindDoc="1" locked="0" layoutInCell="1" allowOverlap="1" wp14:anchorId="5A4ACDA6" wp14:editId="0CF8312B">
          <wp:simplePos x="0" y="0"/>
          <wp:positionH relativeFrom="page">
            <wp:align>left</wp:align>
          </wp:positionH>
          <wp:positionV relativeFrom="paragraph">
            <wp:posOffset>-3604246</wp:posOffset>
          </wp:positionV>
          <wp:extent cx="7672374" cy="2565070"/>
          <wp:effectExtent l="0" t="0" r="508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CBEA62A4"/>
    <w:lvl w:ilvl="0" w:tplc="A7E0D388">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122A"/>
    <w:rsid w:val="000013A3"/>
    <w:rsid w:val="000062A9"/>
    <w:rsid w:val="00014ADE"/>
    <w:rsid w:val="000171A6"/>
    <w:rsid w:val="00022B87"/>
    <w:rsid w:val="0002520B"/>
    <w:rsid w:val="000306D3"/>
    <w:rsid w:val="0003644E"/>
    <w:rsid w:val="000405D0"/>
    <w:rsid w:val="000445D1"/>
    <w:rsid w:val="000471FB"/>
    <w:rsid w:val="00063B48"/>
    <w:rsid w:val="000651C2"/>
    <w:rsid w:val="00066BD4"/>
    <w:rsid w:val="000739D1"/>
    <w:rsid w:val="00076A6A"/>
    <w:rsid w:val="00080535"/>
    <w:rsid w:val="00081E93"/>
    <w:rsid w:val="00083E62"/>
    <w:rsid w:val="0008652A"/>
    <w:rsid w:val="00086E8B"/>
    <w:rsid w:val="00092284"/>
    <w:rsid w:val="000A53E4"/>
    <w:rsid w:val="000B190D"/>
    <w:rsid w:val="000B5E1A"/>
    <w:rsid w:val="000B7EAE"/>
    <w:rsid w:val="000B7F3C"/>
    <w:rsid w:val="000D4488"/>
    <w:rsid w:val="000D6FF5"/>
    <w:rsid w:val="000D7E83"/>
    <w:rsid w:val="000E0D3C"/>
    <w:rsid w:val="000E6360"/>
    <w:rsid w:val="000F20E1"/>
    <w:rsid w:val="000F7AB3"/>
    <w:rsid w:val="0010668A"/>
    <w:rsid w:val="00120CB3"/>
    <w:rsid w:val="00130136"/>
    <w:rsid w:val="00130DC2"/>
    <w:rsid w:val="00137E30"/>
    <w:rsid w:val="00155BF2"/>
    <w:rsid w:val="0016073E"/>
    <w:rsid w:val="00163008"/>
    <w:rsid w:val="00163785"/>
    <w:rsid w:val="001642B7"/>
    <w:rsid w:val="00165F59"/>
    <w:rsid w:val="0017014D"/>
    <w:rsid w:val="001731B3"/>
    <w:rsid w:val="00174A14"/>
    <w:rsid w:val="00182F46"/>
    <w:rsid w:val="001872FA"/>
    <w:rsid w:val="00187324"/>
    <w:rsid w:val="001919D7"/>
    <w:rsid w:val="001B4E22"/>
    <w:rsid w:val="001C3C0F"/>
    <w:rsid w:val="001C4AE5"/>
    <w:rsid w:val="001D235B"/>
    <w:rsid w:val="001E0A81"/>
    <w:rsid w:val="001E207C"/>
    <w:rsid w:val="001E50B5"/>
    <w:rsid w:val="001F684F"/>
    <w:rsid w:val="001F70B0"/>
    <w:rsid w:val="002015D1"/>
    <w:rsid w:val="002228B2"/>
    <w:rsid w:val="00225EF4"/>
    <w:rsid w:val="00226282"/>
    <w:rsid w:val="0023257E"/>
    <w:rsid w:val="00233727"/>
    <w:rsid w:val="0024021E"/>
    <w:rsid w:val="00240592"/>
    <w:rsid w:val="00242B56"/>
    <w:rsid w:val="00243FDC"/>
    <w:rsid w:val="00245D42"/>
    <w:rsid w:val="00250D1A"/>
    <w:rsid w:val="00252C0B"/>
    <w:rsid w:val="002566EB"/>
    <w:rsid w:val="00260F8D"/>
    <w:rsid w:val="002634C4"/>
    <w:rsid w:val="00266388"/>
    <w:rsid w:val="00270241"/>
    <w:rsid w:val="00274A48"/>
    <w:rsid w:val="00281AD5"/>
    <w:rsid w:val="002913E7"/>
    <w:rsid w:val="002A24FF"/>
    <w:rsid w:val="002A3368"/>
    <w:rsid w:val="002B29AD"/>
    <w:rsid w:val="002B2ABB"/>
    <w:rsid w:val="002B5312"/>
    <w:rsid w:val="002C1259"/>
    <w:rsid w:val="002C6688"/>
    <w:rsid w:val="002E1E90"/>
    <w:rsid w:val="002F508E"/>
    <w:rsid w:val="002F5E66"/>
    <w:rsid w:val="002F7D45"/>
    <w:rsid w:val="00304A0F"/>
    <w:rsid w:val="0031295C"/>
    <w:rsid w:val="00315686"/>
    <w:rsid w:val="00343386"/>
    <w:rsid w:val="003441C1"/>
    <w:rsid w:val="00363500"/>
    <w:rsid w:val="00371AA4"/>
    <w:rsid w:val="00376710"/>
    <w:rsid w:val="00390BA8"/>
    <w:rsid w:val="00394866"/>
    <w:rsid w:val="003C3413"/>
    <w:rsid w:val="003C57D4"/>
    <w:rsid w:val="003D0B01"/>
    <w:rsid w:val="003D5FE7"/>
    <w:rsid w:val="003E2AB7"/>
    <w:rsid w:val="003E2D9B"/>
    <w:rsid w:val="0040555B"/>
    <w:rsid w:val="00406471"/>
    <w:rsid w:val="00406F4D"/>
    <w:rsid w:val="00410815"/>
    <w:rsid w:val="004162FB"/>
    <w:rsid w:val="00424122"/>
    <w:rsid w:val="00425DC5"/>
    <w:rsid w:val="00430C6D"/>
    <w:rsid w:val="00433F7B"/>
    <w:rsid w:val="00434972"/>
    <w:rsid w:val="004447D5"/>
    <w:rsid w:val="00450FFC"/>
    <w:rsid w:val="00456998"/>
    <w:rsid w:val="004624E5"/>
    <w:rsid w:val="004639BB"/>
    <w:rsid w:val="00465F0C"/>
    <w:rsid w:val="00466EAA"/>
    <w:rsid w:val="00473FD2"/>
    <w:rsid w:val="00475E4C"/>
    <w:rsid w:val="004849D4"/>
    <w:rsid w:val="004A0010"/>
    <w:rsid w:val="004A0A76"/>
    <w:rsid w:val="004A2C09"/>
    <w:rsid w:val="004A6C1C"/>
    <w:rsid w:val="004B331B"/>
    <w:rsid w:val="004C416F"/>
    <w:rsid w:val="004C4B73"/>
    <w:rsid w:val="004C4C60"/>
    <w:rsid w:val="004C6369"/>
    <w:rsid w:val="004C640C"/>
    <w:rsid w:val="004E373B"/>
    <w:rsid w:val="004E7068"/>
    <w:rsid w:val="004F4990"/>
    <w:rsid w:val="00503017"/>
    <w:rsid w:val="005172B7"/>
    <w:rsid w:val="00520EE2"/>
    <w:rsid w:val="00530B25"/>
    <w:rsid w:val="00533083"/>
    <w:rsid w:val="00540135"/>
    <w:rsid w:val="00561C75"/>
    <w:rsid w:val="00562552"/>
    <w:rsid w:val="0056257C"/>
    <w:rsid w:val="00563BFB"/>
    <w:rsid w:val="0057416F"/>
    <w:rsid w:val="00574E78"/>
    <w:rsid w:val="00575538"/>
    <w:rsid w:val="005779DB"/>
    <w:rsid w:val="0059262A"/>
    <w:rsid w:val="0059451D"/>
    <w:rsid w:val="005A5C9D"/>
    <w:rsid w:val="005C7E32"/>
    <w:rsid w:val="005E0180"/>
    <w:rsid w:val="005E103F"/>
    <w:rsid w:val="005E2067"/>
    <w:rsid w:val="005E4208"/>
    <w:rsid w:val="005F08F8"/>
    <w:rsid w:val="005F2A0D"/>
    <w:rsid w:val="005F6E5F"/>
    <w:rsid w:val="006002B4"/>
    <w:rsid w:val="006003FA"/>
    <w:rsid w:val="006021DC"/>
    <w:rsid w:val="00603FA2"/>
    <w:rsid w:val="00616CCE"/>
    <w:rsid w:val="00621379"/>
    <w:rsid w:val="006268D0"/>
    <w:rsid w:val="00627CA7"/>
    <w:rsid w:val="00633B1A"/>
    <w:rsid w:val="00644D92"/>
    <w:rsid w:val="00650195"/>
    <w:rsid w:val="00667E20"/>
    <w:rsid w:val="00670B23"/>
    <w:rsid w:val="00671E4D"/>
    <w:rsid w:val="006778B4"/>
    <w:rsid w:val="00680B68"/>
    <w:rsid w:val="006822F8"/>
    <w:rsid w:val="006841C7"/>
    <w:rsid w:val="00690D2C"/>
    <w:rsid w:val="00697FA4"/>
    <w:rsid w:val="006A1E52"/>
    <w:rsid w:val="006A28EF"/>
    <w:rsid w:val="006A31EB"/>
    <w:rsid w:val="006A6A4B"/>
    <w:rsid w:val="006B60B2"/>
    <w:rsid w:val="006C07BA"/>
    <w:rsid w:val="006C1591"/>
    <w:rsid w:val="006C17C0"/>
    <w:rsid w:val="006D28BB"/>
    <w:rsid w:val="006D51F0"/>
    <w:rsid w:val="006E0D83"/>
    <w:rsid w:val="006E5834"/>
    <w:rsid w:val="00701D77"/>
    <w:rsid w:val="00712C23"/>
    <w:rsid w:val="00715CFF"/>
    <w:rsid w:val="00724CAD"/>
    <w:rsid w:val="00730C82"/>
    <w:rsid w:val="007318A1"/>
    <w:rsid w:val="00732F00"/>
    <w:rsid w:val="007330DE"/>
    <w:rsid w:val="00733D84"/>
    <w:rsid w:val="00741935"/>
    <w:rsid w:val="00746EE3"/>
    <w:rsid w:val="00762391"/>
    <w:rsid w:val="00763FC6"/>
    <w:rsid w:val="007717E2"/>
    <w:rsid w:val="00772544"/>
    <w:rsid w:val="00784421"/>
    <w:rsid w:val="007926C8"/>
    <w:rsid w:val="007929F8"/>
    <w:rsid w:val="00794653"/>
    <w:rsid w:val="00794DC5"/>
    <w:rsid w:val="007A09E1"/>
    <w:rsid w:val="007A3332"/>
    <w:rsid w:val="007D012F"/>
    <w:rsid w:val="007D5FFC"/>
    <w:rsid w:val="007E1172"/>
    <w:rsid w:val="007E3D9F"/>
    <w:rsid w:val="007E69C8"/>
    <w:rsid w:val="007E72D1"/>
    <w:rsid w:val="007F0756"/>
    <w:rsid w:val="007F0DB8"/>
    <w:rsid w:val="00804A3E"/>
    <w:rsid w:val="00804C09"/>
    <w:rsid w:val="00813146"/>
    <w:rsid w:val="00815C50"/>
    <w:rsid w:val="00817A49"/>
    <w:rsid w:val="00824486"/>
    <w:rsid w:val="00824D55"/>
    <w:rsid w:val="00826009"/>
    <w:rsid w:val="00832CC5"/>
    <w:rsid w:val="008349BE"/>
    <w:rsid w:val="00843484"/>
    <w:rsid w:val="00844286"/>
    <w:rsid w:val="0085028C"/>
    <w:rsid w:val="00851EF8"/>
    <w:rsid w:val="0086354C"/>
    <w:rsid w:val="00867CC8"/>
    <w:rsid w:val="00893A62"/>
    <w:rsid w:val="008A144C"/>
    <w:rsid w:val="008A66E1"/>
    <w:rsid w:val="008B13CD"/>
    <w:rsid w:val="008B458B"/>
    <w:rsid w:val="008B54A2"/>
    <w:rsid w:val="008B5EB7"/>
    <w:rsid w:val="008C0A52"/>
    <w:rsid w:val="008C2755"/>
    <w:rsid w:val="008C67DA"/>
    <w:rsid w:val="008D28EE"/>
    <w:rsid w:val="008D6AEA"/>
    <w:rsid w:val="008E4508"/>
    <w:rsid w:val="008F1989"/>
    <w:rsid w:val="008F1C3F"/>
    <w:rsid w:val="008F2446"/>
    <w:rsid w:val="008F3288"/>
    <w:rsid w:val="009020DB"/>
    <w:rsid w:val="00914723"/>
    <w:rsid w:val="00914BAE"/>
    <w:rsid w:val="009166A0"/>
    <w:rsid w:val="00933690"/>
    <w:rsid w:val="00940865"/>
    <w:rsid w:val="00941E49"/>
    <w:rsid w:val="009465CC"/>
    <w:rsid w:val="00946AB2"/>
    <w:rsid w:val="00951B89"/>
    <w:rsid w:val="00954513"/>
    <w:rsid w:val="00965ED4"/>
    <w:rsid w:val="009701E3"/>
    <w:rsid w:val="00971B4C"/>
    <w:rsid w:val="00972829"/>
    <w:rsid w:val="00982599"/>
    <w:rsid w:val="00983396"/>
    <w:rsid w:val="00983416"/>
    <w:rsid w:val="009874B0"/>
    <w:rsid w:val="00992FB1"/>
    <w:rsid w:val="009A1868"/>
    <w:rsid w:val="009A2E71"/>
    <w:rsid w:val="009B00F1"/>
    <w:rsid w:val="009B2A8D"/>
    <w:rsid w:val="009B380C"/>
    <w:rsid w:val="009B6F35"/>
    <w:rsid w:val="009C2406"/>
    <w:rsid w:val="009D0142"/>
    <w:rsid w:val="009D0F96"/>
    <w:rsid w:val="009D105D"/>
    <w:rsid w:val="009D3A58"/>
    <w:rsid w:val="009E22DE"/>
    <w:rsid w:val="009E5A7F"/>
    <w:rsid w:val="009F0B09"/>
    <w:rsid w:val="009F1E62"/>
    <w:rsid w:val="00A0177C"/>
    <w:rsid w:val="00A01E14"/>
    <w:rsid w:val="00A11645"/>
    <w:rsid w:val="00A14585"/>
    <w:rsid w:val="00A23CC6"/>
    <w:rsid w:val="00A26018"/>
    <w:rsid w:val="00A3385A"/>
    <w:rsid w:val="00A346D7"/>
    <w:rsid w:val="00A3602F"/>
    <w:rsid w:val="00A36D50"/>
    <w:rsid w:val="00A36D94"/>
    <w:rsid w:val="00A37817"/>
    <w:rsid w:val="00A408BA"/>
    <w:rsid w:val="00A41103"/>
    <w:rsid w:val="00A527C8"/>
    <w:rsid w:val="00A56F90"/>
    <w:rsid w:val="00A60064"/>
    <w:rsid w:val="00A66B4F"/>
    <w:rsid w:val="00A67D59"/>
    <w:rsid w:val="00A76524"/>
    <w:rsid w:val="00A767BD"/>
    <w:rsid w:val="00A773B9"/>
    <w:rsid w:val="00A857B4"/>
    <w:rsid w:val="00A95E3D"/>
    <w:rsid w:val="00A96B59"/>
    <w:rsid w:val="00AA09D1"/>
    <w:rsid w:val="00AB5583"/>
    <w:rsid w:val="00AC1998"/>
    <w:rsid w:val="00AC49BA"/>
    <w:rsid w:val="00AC5915"/>
    <w:rsid w:val="00AD70F9"/>
    <w:rsid w:val="00AD7912"/>
    <w:rsid w:val="00AE0446"/>
    <w:rsid w:val="00AE7317"/>
    <w:rsid w:val="00AF1746"/>
    <w:rsid w:val="00AF2A21"/>
    <w:rsid w:val="00AF34C9"/>
    <w:rsid w:val="00AF5970"/>
    <w:rsid w:val="00B14F8D"/>
    <w:rsid w:val="00B17EDC"/>
    <w:rsid w:val="00B24ABE"/>
    <w:rsid w:val="00B27413"/>
    <w:rsid w:val="00B31C19"/>
    <w:rsid w:val="00B359C8"/>
    <w:rsid w:val="00B36567"/>
    <w:rsid w:val="00B40613"/>
    <w:rsid w:val="00B4197A"/>
    <w:rsid w:val="00B4281C"/>
    <w:rsid w:val="00B47B5E"/>
    <w:rsid w:val="00B6672E"/>
    <w:rsid w:val="00B708C7"/>
    <w:rsid w:val="00B76398"/>
    <w:rsid w:val="00B90FBA"/>
    <w:rsid w:val="00B946F3"/>
    <w:rsid w:val="00BA63BD"/>
    <w:rsid w:val="00BB2A67"/>
    <w:rsid w:val="00BB4734"/>
    <w:rsid w:val="00BB53F9"/>
    <w:rsid w:val="00BB6320"/>
    <w:rsid w:val="00BB63EA"/>
    <w:rsid w:val="00BC0752"/>
    <w:rsid w:val="00BC5A07"/>
    <w:rsid w:val="00BC5C66"/>
    <w:rsid w:val="00BD15D5"/>
    <w:rsid w:val="00BD76C1"/>
    <w:rsid w:val="00BE0445"/>
    <w:rsid w:val="00BF41EF"/>
    <w:rsid w:val="00BF522A"/>
    <w:rsid w:val="00BF5B02"/>
    <w:rsid w:val="00C16FD1"/>
    <w:rsid w:val="00C32473"/>
    <w:rsid w:val="00C34AE1"/>
    <w:rsid w:val="00C37FC6"/>
    <w:rsid w:val="00C41E54"/>
    <w:rsid w:val="00C51CCD"/>
    <w:rsid w:val="00C6621E"/>
    <w:rsid w:val="00C7107B"/>
    <w:rsid w:val="00C76319"/>
    <w:rsid w:val="00C80336"/>
    <w:rsid w:val="00C848DE"/>
    <w:rsid w:val="00C8618D"/>
    <w:rsid w:val="00C9181F"/>
    <w:rsid w:val="00C95894"/>
    <w:rsid w:val="00CA42AA"/>
    <w:rsid w:val="00CB11C0"/>
    <w:rsid w:val="00CB734D"/>
    <w:rsid w:val="00CC07AF"/>
    <w:rsid w:val="00CC65E8"/>
    <w:rsid w:val="00CC7C9F"/>
    <w:rsid w:val="00CD1611"/>
    <w:rsid w:val="00CD2EF5"/>
    <w:rsid w:val="00CD617E"/>
    <w:rsid w:val="00CE04BD"/>
    <w:rsid w:val="00CE4144"/>
    <w:rsid w:val="00CF1606"/>
    <w:rsid w:val="00D03E17"/>
    <w:rsid w:val="00D066E5"/>
    <w:rsid w:val="00D06B01"/>
    <w:rsid w:val="00D12933"/>
    <w:rsid w:val="00D15948"/>
    <w:rsid w:val="00D1613F"/>
    <w:rsid w:val="00D201B4"/>
    <w:rsid w:val="00D20E54"/>
    <w:rsid w:val="00D23EB2"/>
    <w:rsid w:val="00D30F29"/>
    <w:rsid w:val="00D3154C"/>
    <w:rsid w:val="00D631A3"/>
    <w:rsid w:val="00D64C56"/>
    <w:rsid w:val="00D65491"/>
    <w:rsid w:val="00D672D6"/>
    <w:rsid w:val="00D752AA"/>
    <w:rsid w:val="00D76914"/>
    <w:rsid w:val="00D7718A"/>
    <w:rsid w:val="00DA05D9"/>
    <w:rsid w:val="00DC16B5"/>
    <w:rsid w:val="00DD25AD"/>
    <w:rsid w:val="00DD45D3"/>
    <w:rsid w:val="00DD5EF6"/>
    <w:rsid w:val="00DD711B"/>
    <w:rsid w:val="00DE3427"/>
    <w:rsid w:val="00E03D3F"/>
    <w:rsid w:val="00E07327"/>
    <w:rsid w:val="00E13834"/>
    <w:rsid w:val="00E3751A"/>
    <w:rsid w:val="00E57B23"/>
    <w:rsid w:val="00E60B36"/>
    <w:rsid w:val="00E624A9"/>
    <w:rsid w:val="00E66ED5"/>
    <w:rsid w:val="00E76A93"/>
    <w:rsid w:val="00E77027"/>
    <w:rsid w:val="00E8017C"/>
    <w:rsid w:val="00E80AE2"/>
    <w:rsid w:val="00E836BB"/>
    <w:rsid w:val="00E8375A"/>
    <w:rsid w:val="00E948C4"/>
    <w:rsid w:val="00E96D1D"/>
    <w:rsid w:val="00E97595"/>
    <w:rsid w:val="00EA1215"/>
    <w:rsid w:val="00EB6A10"/>
    <w:rsid w:val="00EB6FB9"/>
    <w:rsid w:val="00EB7A0B"/>
    <w:rsid w:val="00EC069A"/>
    <w:rsid w:val="00ED27C6"/>
    <w:rsid w:val="00ED568C"/>
    <w:rsid w:val="00ED6702"/>
    <w:rsid w:val="00EF7160"/>
    <w:rsid w:val="00EF74C9"/>
    <w:rsid w:val="00F008AB"/>
    <w:rsid w:val="00F05F23"/>
    <w:rsid w:val="00F06074"/>
    <w:rsid w:val="00F1606B"/>
    <w:rsid w:val="00F24EF9"/>
    <w:rsid w:val="00F30BB6"/>
    <w:rsid w:val="00F358D9"/>
    <w:rsid w:val="00F5795E"/>
    <w:rsid w:val="00F6453C"/>
    <w:rsid w:val="00F6574C"/>
    <w:rsid w:val="00F705FA"/>
    <w:rsid w:val="00F73BE1"/>
    <w:rsid w:val="00F76464"/>
    <w:rsid w:val="00F9789B"/>
    <w:rsid w:val="00FA1890"/>
    <w:rsid w:val="00FA46A0"/>
    <w:rsid w:val="00FA7EE1"/>
    <w:rsid w:val="00FB1DCD"/>
    <w:rsid w:val="00FB1E4C"/>
    <w:rsid w:val="00FB772F"/>
    <w:rsid w:val="00FC045E"/>
    <w:rsid w:val="00FC4958"/>
    <w:rsid w:val="00FD3895"/>
    <w:rsid w:val="00FD41F3"/>
    <w:rsid w:val="00FD705E"/>
    <w:rsid w:val="00FE2966"/>
    <w:rsid w:val="00FF1CAB"/>
    <w:rsid w:val="00FF1F7F"/>
    <w:rsid w:val="00FF431E"/>
    <w:rsid w:val="00FF67C8"/>
    <w:rsid w:val="00FF6F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6CE11299-3F56-4ED8-978C-C6122A3C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88"/>
    <w:pPr>
      <w:spacing w:after="240"/>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732F00"/>
    <w:pPr>
      <w:tabs>
        <w:tab w:val="right" w:leader="dot" w:pos="9062"/>
      </w:tabs>
      <w:spacing w:before="0"/>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EB6FB9"/>
    <w:pPr>
      <w:numPr>
        <w:numId w:val="2"/>
      </w:numPr>
      <w:tabs>
        <w:tab w:val="right" w:leader="dot" w:pos="9062"/>
      </w:tabs>
      <w:spacing w:after="100"/>
      <w:ind w:left="360"/>
    </w:pPr>
    <w:rPr>
      <w:b w:val="0"/>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B359C8"/>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B359C8"/>
    <w:rPr>
      <w:rFonts w:ascii="Marianne Light" w:hAnsi="Marianne Light"/>
      <w:sz w:val="18"/>
      <w:szCs w:val="18"/>
    </w:rPr>
  </w:style>
  <w:style w:type="paragraph" w:styleId="NormalWeb">
    <w:name w:val="Normal (Web)"/>
    <w:basedOn w:val="Normal"/>
    <w:uiPriority w:val="99"/>
    <w:semiHidden/>
    <w:unhideWhenUsed/>
    <w:rsid w:val="00B36567"/>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B76398"/>
    <w:rPr>
      <w:sz w:val="16"/>
      <w:szCs w:val="16"/>
    </w:rPr>
  </w:style>
  <w:style w:type="paragraph" w:styleId="Commentaire">
    <w:name w:val="annotation text"/>
    <w:basedOn w:val="Normal"/>
    <w:link w:val="CommentaireCar"/>
    <w:uiPriority w:val="99"/>
    <w:semiHidden/>
    <w:unhideWhenUsed/>
    <w:rsid w:val="00B76398"/>
    <w:pPr>
      <w:spacing w:line="240" w:lineRule="auto"/>
    </w:pPr>
    <w:rPr>
      <w:szCs w:val="20"/>
    </w:rPr>
  </w:style>
  <w:style w:type="character" w:customStyle="1" w:styleId="CommentaireCar">
    <w:name w:val="Commentaire Car"/>
    <w:basedOn w:val="Policepardfaut"/>
    <w:link w:val="Commentaire"/>
    <w:uiPriority w:val="99"/>
    <w:semiHidden/>
    <w:rsid w:val="00B7639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B76398"/>
    <w:rPr>
      <w:b/>
      <w:bCs/>
    </w:rPr>
  </w:style>
  <w:style w:type="character" w:customStyle="1" w:styleId="ObjetducommentaireCar">
    <w:name w:val="Objet du commentaire Car"/>
    <w:basedOn w:val="CommentaireCar"/>
    <w:link w:val="Objetducommentaire"/>
    <w:uiPriority w:val="99"/>
    <w:semiHidden/>
    <w:rsid w:val="00B76398"/>
    <w:rPr>
      <w:rFonts w:ascii="Marianne" w:hAnsi="Marianne"/>
      <w:b/>
      <w:bCs/>
      <w:sz w:val="20"/>
      <w:szCs w:val="20"/>
    </w:rPr>
  </w:style>
  <w:style w:type="paragraph" w:styleId="En-tte">
    <w:name w:val="header"/>
    <w:basedOn w:val="Normal"/>
    <w:link w:val="En-tteCar"/>
    <w:uiPriority w:val="99"/>
    <w:unhideWhenUsed/>
    <w:rsid w:val="00410815"/>
    <w:pPr>
      <w:tabs>
        <w:tab w:val="center" w:pos="4536"/>
        <w:tab w:val="right" w:pos="9072"/>
      </w:tabs>
      <w:spacing w:after="0" w:line="240" w:lineRule="auto"/>
    </w:pPr>
  </w:style>
  <w:style w:type="character" w:customStyle="1" w:styleId="En-tteCar">
    <w:name w:val="En-tête Car"/>
    <w:basedOn w:val="Policepardfaut"/>
    <w:link w:val="En-tte"/>
    <w:uiPriority w:val="99"/>
    <w:rsid w:val="00410815"/>
    <w:rPr>
      <w:rFonts w:ascii="Marianne" w:hAnsi="Marianne"/>
      <w:sz w:val="20"/>
    </w:rPr>
  </w:style>
  <w:style w:type="paragraph" w:styleId="Pieddepage">
    <w:name w:val="footer"/>
    <w:basedOn w:val="Normal"/>
    <w:link w:val="PieddepageCar"/>
    <w:uiPriority w:val="99"/>
    <w:unhideWhenUsed/>
    <w:rsid w:val="004108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815"/>
    <w:rPr>
      <w:rFonts w:ascii="Marianne" w:hAnsi="Marianne"/>
      <w:sz w:val="20"/>
    </w:rPr>
  </w:style>
  <w:style w:type="character" w:styleId="Accentuation">
    <w:name w:val="Emphasis"/>
    <w:basedOn w:val="Policepardfaut"/>
    <w:uiPriority w:val="20"/>
    <w:rsid w:val="00712C23"/>
    <w:rPr>
      <w:i/>
      <w:iCs/>
    </w:rPr>
  </w:style>
  <w:style w:type="paragraph" w:styleId="TM4">
    <w:name w:val="toc 4"/>
    <w:basedOn w:val="Normal"/>
    <w:next w:val="Normal"/>
    <w:autoRedefine/>
    <w:uiPriority w:val="39"/>
    <w:unhideWhenUsed/>
    <w:rsid w:val="00A95E3D"/>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A95E3D"/>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95E3D"/>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95E3D"/>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95E3D"/>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95E3D"/>
    <w:pPr>
      <w:spacing w:after="100"/>
      <w:ind w:left="1760"/>
      <w:jc w:val="left"/>
    </w:pPr>
    <w:rPr>
      <w:rFonts w:asciiTheme="minorHAnsi" w:eastAsiaTheme="minorEastAsia" w:hAnsiTheme="minorHAnsi"/>
      <w:sz w:val="22"/>
      <w:lang w:eastAsia="fr-FR"/>
    </w:rPr>
  </w:style>
  <w:style w:type="paragraph" w:styleId="Rvision">
    <w:name w:val="Revision"/>
    <w:hidden/>
    <w:uiPriority w:val="99"/>
    <w:semiHidden/>
    <w:rsid w:val="006D28BB"/>
    <w:pPr>
      <w:spacing w:after="0" w:line="240" w:lineRule="auto"/>
    </w:pPr>
    <w:rPr>
      <w:rFonts w:ascii="Marianne" w:hAnsi="Marianne"/>
      <w:sz w:val="20"/>
    </w:rPr>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EB6FB9"/>
    <w:pPr>
      <w:spacing w:after="0" w:line="240" w:lineRule="auto"/>
      <w:jc w:val="left"/>
    </w:pPr>
    <w:rPr>
      <w:rFonts w:asciiTheme="minorHAnsi" w:hAnsiTheme="minorHAnsi"/>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EB6FB9"/>
    <w:rPr>
      <w:sz w:val="20"/>
      <w:szCs w:val="20"/>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EB6FB9"/>
    <w:rPr>
      <w:vertAlign w:val="superscript"/>
    </w:rPr>
  </w:style>
  <w:style w:type="paragraph" w:customStyle="1" w:styleId="CharChar">
    <w:name w:val="Char Char"/>
    <w:basedOn w:val="Normal"/>
    <w:next w:val="Normal"/>
    <w:link w:val="Appelnotedebasdep"/>
    <w:uiPriority w:val="99"/>
    <w:rsid w:val="00EB6FB9"/>
    <w:pPr>
      <w:spacing w:after="160" w:line="240" w:lineRule="exact"/>
      <w:jc w:val="left"/>
    </w:pPr>
    <w:rPr>
      <w:rFonts w:asciiTheme="minorHAnsi" w:hAnsiTheme="minorHAnsi"/>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14">
      <w:bodyDiv w:val="1"/>
      <w:marLeft w:val="0"/>
      <w:marRight w:val="0"/>
      <w:marTop w:val="0"/>
      <w:marBottom w:val="0"/>
      <w:divBdr>
        <w:top w:val="none" w:sz="0" w:space="0" w:color="auto"/>
        <w:left w:val="none" w:sz="0" w:space="0" w:color="auto"/>
        <w:bottom w:val="none" w:sz="0" w:space="0" w:color="auto"/>
        <w:right w:val="none" w:sz="0" w:space="0" w:color="auto"/>
      </w:divBdr>
    </w:div>
    <w:div w:id="5059698">
      <w:bodyDiv w:val="1"/>
      <w:marLeft w:val="0"/>
      <w:marRight w:val="0"/>
      <w:marTop w:val="0"/>
      <w:marBottom w:val="0"/>
      <w:divBdr>
        <w:top w:val="none" w:sz="0" w:space="0" w:color="auto"/>
        <w:left w:val="none" w:sz="0" w:space="0" w:color="auto"/>
        <w:bottom w:val="none" w:sz="0" w:space="0" w:color="auto"/>
        <w:right w:val="none" w:sz="0" w:space="0" w:color="auto"/>
      </w:divBdr>
    </w:div>
    <w:div w:id="5400422">
      <w:bodyDiv w:val="1"/>
      <w:marLeft w:val="0"/>
      <w:marRight w:val="0"/>
      <w:marTop w:val="0"/>
      <w:marBottom w:val="0"/>
      <w:divBdr>
        <w:top w:val="none" w:sz="0" w:space="0" w:color="auto"/>
        <w:left w:val="none" w:sz="0" w:space="0" w:color="auto"/>
        <w:bottom w:val="none" w:sz="0" w:space="0" w:color="auto"/>
        <w:right w:val="none" w:sz="0" w:space="0" w:color="auto"/>
      </w:divBdr>
    </w:div>
    <w:div w:id="8918552">
      <w:bodyDiv w:val="1"/>
      <w:marLeft w:val="0"/>
      <w:marRight w:val="0"/>
      <w:marTop w:val="0"/>
      <w:marBottom w:val="0"/>
      <w:divBdr>
        <w:top w:val="none" w:sz="0" w:space="0" w:color="auto"/>
        <w:left w:val="none" w:sz="0" w:space="0" w:color="auto"/>
        <w:bottom w:val="none" w:sz="0" w:space="0" w:color="auto"/>
        <w:right w:val="none" w:sz="0" w:space="0" w:color="auto"/>
      </w:divBdr>
    </w:div>
    <w:div w:id="14036703">
      <w:bodyDiv w:val="1"/>
      <w:marLeft w:val="0"/>
      <w:marRight w:val="0"/>
      <w:marTop w:val="0"/>
      <w:marBottom w:val="0"/>
      <w:divBdr>
        <w:top w:val="none" w:sz="0" w:space="0" w:color="auto"/>
        <w:left w:val="none" w:sz="0" w:space="0" w:color="auto"/>
        <w:bottom w:val="none" w:sz="0" w:space="0" w:color="auto"/>
        <w:right w:val="none" w:sz="0" w:space="0" w:color="auto"/>
      </w:divBdr>
    </w:div>
    <w:div w:id="18705663">
      <w:bodyDiv w:val="1"/>
      <w:marLeft w:val="0"/>
      <w:marRight w:val="0"/>
      <w:marTop w:val="0"/>
      <w:marBottom w:val="0"/>
      <w:divBdr>
        <w:top w:val="none" w:sz="0" w:space="0" w:color="auto"/>
        <w:left w:val="none" w:sz="0" w:space="0" w:color="auto"/>
        <w:bottom w:val="none" w:sz="0" w:space="0" w:color="auto"/>
        <w:right w:val="none" w:sz="0" w:space="0" w:color="auto"/>
      </w:divBdr>
    </w:div>
    <w:div w:id="20782457">
      <w:bodyDiv w:val="1"/>
      <w:marLeft w:val="0"/>
      <w:marRight w:val="0"/>
      <w:marTop w:val="0"/>
      <w:marBottom w:val="0"/>
      <w:divBdr>
        <w:top w:val="none" w:sz="0" w:space="0" w:color="auto"/>
        <w:left w:val="none" w:sz="0" w:space="0" w:color="auto"/>
        <w:bottom w:val="none" w:sz="0" w:space="0" w:color="auto"/>
        <w:right w:val="none" w:sz="0" w:space="0" w:color="auto"/>
      </w:divBdr>
    </w:div>
    <w:div w:id="22756577">
      <w:bodyDiv w:val="1"/>
      <w:marLeft w:val="0"/>
      <w:marRight w:val="0"/>
      <w:marTop w:val="0"/>
      <w:marBottom w:val="0"/>
      <w:divBdr>
        <w:top w:val="none" w:sz="0" w:space="0" w:color="auto"/>
        <w:left w:val="none" w:sz="0" w:space="0" w:color="auto"/>
        <w:bottom w:val="none" w:sz="0" w:space="0" w:color="auto"/>
        <w:right w:val="none" w:sz="0" w:space="0" w:color="auto"/>
      </w:divBdr>
    </w:div>
    <w:div w:id="22757205">
      <w:bodyDiv w:val="1"/>
      <w:marLeft w:val="0"/>
      <w:marRight w:val="0"/>
      <w:marTop w:val="0"/>
      <w:marBottom w:val="0"/>
      <w:divBdr>
        <w:top w:val="none" w:sz="0" w:space="0" w:color="auto"/>
        <w:left w:val="none" w:sz="0" w:space="0" w:color="auto"/>
        <w:bottom w:val="none" w:sz="0" w:space="0" w:color="auto"/>
        <w:right w:val="none" w:sz="0" w:space="0" w:color="auto"/>
      </w:divBdr>
    </w:div>
    <w:div w:id="23216576">
      <w:bodyDiv w:val="1"/>
      <w:marLeft w:val="0"/>
      <w:marRight w:val="0"/>
      <w:marTop w:val="0"/>
      <w:marBottom w:val="0"/>
      <w:divBdr>
        <w:top w:val="none" w:sz="0" w:space="0" w:color="auto"/>
        <w:left w:val="none" w:sz="0" w:space="0" w:color="auto"/>
        <w:bottom w:val="none" w:sz="0" w:space="0" w:color="auto"/>
        <w:right w:val="none" w:sz="0" w:space="0" w:color="auto"/>
      </w:divBdr>
    </w:div>
    <w:div w:id="26755360">
      <w:bodyDiv w:val="1"/>
      <w:marLeft w:val="0"/>
      <w:marRight w:val="0"/>
      <w:marTop w:val="0"/>
      <w:marBottom w:val="0"/>
      <w:divBdr>
        <w:top w:val="none" w:sz="0" w:space="0" w:color="auto"/>
        <w:left w:val="none" w:sz="0" w:space="0" w:color="auto"/>
        <w:bottom w:val="none" w:sz="0" w:space="0" w:color="auto"/>
        <w:right w:val="none" w:sz="0" w:space="0" w:color="auto"/>
      </w:divBdr>
    </w:div>
    <w:div w:id="32388557">
      <w:bodyDiv w:val="1"/>
      <w:marLeft w:val="0"/>
      <w:marRight w:val="0"/>
      <w:marTop w:val="0"/>
      <w:marBottom w:val="0"/>
      <w:divBdr>
        <w:top w:val="none" w:sz="0" w:space="0" w:color="auto"/>
        <w:left w:val="none" w:sz="0" w:space="0" w:color="auto"/>
        <w:bottom w:val="none" w:sz="0" w:space="0" w:color="auto"/>
        <w:right w:val="none" w:sz="0" w:space="0" w:color="auto"/>
      </w:divBdr>
    </w:div>
    <w:div w:id="34162838">
      <w:bodyDiv w:val="1"/>
      <w:marLeft w:val="0"/>
      <w:marRight w:val="0"/>
      <w:marTop w:val="0"/>
      <w:marBottom w:val="0"/>
      <w:divBdr>
        <w:top w:val="none" w:sz="0" w:space="0" w:color="auto"/>
        <w:left w:val="none" w:sz="0" w:space="0" w:color="auto"/>
        <w:bottom w:val="none" w:sz="0" w:space="0" w:color="auto"/>
        <w:right w:val="none" w:sz="0" w:space="0" w:color="auto"/>
      </w:divBdr>
    </w:div>
    <w:div w:id="48960955">
      <w:bodyDiv w:val="1"/>
      <w:marLeft w:val="0"/>
      <w:marRight w:val="0"/>
      <w:marTop w:val="0"/>
      <w:marBottom w:val="0"/>
      <w:divBdr>
        <w:top w:val="none" w:sz="0" w:space="0" w:color="auto"/>
        <w:left w:val="none" w:sz="0" w:space="0" w:color="auto"/>
        <w:bottom w:val="none" w:sz="0" w:space="0" w:color="auto"/>
        <w:right w:val="none" w:sz="0" w:space="0" w:color="auto"/>
      </w:divBdr>
    </w:div>
    <w:div w:id="54395932">
      <w:bodyDiv w:val="1"/>
      <w:marLeft w:val="0"/>
      <w:marRight w:val="0"/>
      <w:marTop w:val="0"/>
      <w:marBottom w:val="0"/>
      <w:divBdr>
        <w:top w:val="none" w:sz="0" w:space="0" w:color="auto"/>
        <w:left w:val="none" w:sz="0" w:space="0" w:color="auto"/>
        <w:bottom w:val="none" w:sz="0" w:space="0" w:color="auto"/>
        <w:right w:val="none" w:sz="0" w:space="0" w:color="auto"/>
      </w:divBdr>
    </w:div>
    <w:div w:id="56362620">
      <w:bodyDiv w:val="1"/>
      <w:marLeft w:val="0"/>
      <w:marRight w:val="0"/>
      <w:marTop w:val="0"/>
      <w:marBottom w:val="0"/>
      <w:divBdr>
        <w:top w:val="none" w:sz="0" w:space="0" w:color="auto"/>
        <w:left w:val="none" w:sz="0" w:space="0" w:color="auto"/>
        <w:bottom w:val="none" w:sz="0" w:space="0" w:color="auto"/>
        <w:right w:val="none" w:sz="0" w:space="0" w:color="auto"/>
      </w:divBdr>
    </w:div>
    <w:div w:id="60564836">
      <w:bodyDiv w:val="1"/>
      <w:marLeft w:val="0"/>
      <w:marRight w:val="0"/>
      <w:marTop w:val="0"/>
      <w:marBottom w:val="0"/>
      <w:divBdr>
        <w:top w:val="none" w:sz="0" w:space="0" w:color="auto"/>
        <w:left w:val="none" w:sz="0" w:space="0" w:color="auto"/>
        <w:bottom w:val="none" w:sz="0" w:space="0" w:color="auto"/>
        <w:right w:val="none" w:sz="0" w:space="0" w:color="auto"/>
      </w:divBdr>
    </w:div>
    <w:div w:id="62024185">
      <w:bodyDiv w:val="1"/>
      <w:marLeft w:val="0"/>
      <w:marRight w:val="0"/>
      <w:marTop w:val="0"/>
      <w:marBottom w:val="0"/>
      <w:divBdr>
        <w:top w:val="none" w:sz="0" w:space="0" w:color="auto"/>
        <w:left w:val="none" w:sz="0" w:space="0" w:color="auto"/>
        <w:bottom w:val="none" w:sz="0" w:space="0" w:color="auto"/>
        <w:right w:val="none" w:sz="0" w:space="0" w:color="auto"/>
      </w:divBdr>
    </w:div>
    <w:div w:id="72238165">
      <w:bodyDiv w:val="1"/>
      <w:marLeft w:val="0"/>
      <w:marRight w:val="0"/>
      <w:marTop w:val="0"/>
      <w:marBottom w:val="0"/>
      <w:divBdr>
        <w:top w:val="none" w:sz="0" w:space="0" w:color="auto"/>
        <w:left w:val="none" w:sz="0" w:space="0" w:color="auto"/>
        <w:bottom w:val="none" w:sz="0" w:space="0" w:color="auto"/>
        <w:right w:val="none" w:sz="0" w:space="0" w:color="auto"/>
      </w:divBdr>
    </w:div>
    <w:div w:id="77361711">
      <w:bodyDiv w:val="1"/>
      <w:marLeft w:val="0"/>
      <w:marRight w:val="0"/>
      <w:marTop w:val="0"/>
      <w:marBottom w:val="0"/>
      <w:divBdr>
        <w:top w:val="none" w:sz="0" w:space="0" w:color="auto"/>
        <w:left w:val="none" w:sz="0" w:space="0" w:color="auto"/>
        <w:bottom w:val="none" w:sz="0" w:space="0" w:color="auto"/>
        <w:right w:val="none" w:sz="0" w:space="0" w:color="auto"/>
      </w:divBdr>
    </w:div>
    <w:div w:id="81143972">
      <w:bodyDiv w:val="1"/>
      <w:marLeft w:val="0"/>
      <w:marRight w:val="0"/>
      <w:marTop w:val="0"/>
      <w:marBottom w:val="0"/>
      <w:divBdr>
        <w:top w:val="none" w:sz="0" w:space="0" w:color="auto"/>
        <w:left w:val="none" w:sz="0" w:space="0" w:color="auto"/>
        <w:bottom w:val="none" w:sz="0" w:space="0" w:color="auto"/>
        <w:right w:val="none" w:sz="0" w:space="0" w:color="auto"/>
      </w:divBdr>
    </w:div>
    <w:div w:id="81296754">
      <w:bodyDiv w:val="1"/>
      <w:marLeft w:val="0"/>
      <w:marRight w:val="0"/>
      <w:marTop w:val="0"/>
      <w:marBottom w:val="0"/>
      <w:divBdr>
        <w:top w:val="none" w:sz="0" w:space="0" w:color="auto"/>
        <w:left w:val="none" w:sz="0" w:space="0" w:color="auto"/>
        <w:bottom w:val="none" w:sz="0" w:space="0" w:color="auto"/>
        <w:right w:val="none" w:sz="0" w:space="0" w:color="auto"/>
      </w:divBdr>
    </w:div>
    <w:div w:id="82797305">
      <w:bodyDiv w:val="1"/>
      <w:marLeft w:val="0"/>
      <w:marRight w:val="0"/>
      <w:marTop w:val="0"/>
      <w:marBottom w:val="0"/>
      <w:divBdr>
        <w:top w:val="none" w:sz="0" w:space="0" w:color="auto"/>
        <w:left w:val="none" w:sz="0" w:space="0" w:color="auto"/>
        <w:bottom w:val="none" w:sz="0" w:space="0" w:color="auto"/>
        <w:right w:val="none" w:sz="0" w:space="0" w:color="auto"/>
      </w:divBdr>
    </w:div>
    <w:div w:id="82803130">
      <w:bodyDiv w:val="1"/>
      <w:marLeft w:val="0"/>
      <w:marRight w:val="0"/>
      <w:marTop w:val="0"/>
      <w:marBottom w:val="0"/>
      <w:divBdr>
        <w:top w:val="none" w:sz="0" w:space="0" w:color="auto"/>
        <w:left w:val="none" w:sz="0" w:space="0" w:color="auto"/>
        <w:bottom w:val="none" w:sz="0" w:space="0" w:color="auto"/>
        <w:right w:val="none" w:sz="0" w:space="0" w:color="auto"/>
      </w:divBdr>
    </w:div>
    <w:div w:id="84961582">
      <w:bodyDiv w:val="1"/>
      <w:marLeft w:val="0"/>
      <w:marRight w:val="0"/>
      <w:marTop w:val="0"/>
      <w:marBottom w:val="0"/>
      <w:divBdr>
        <w:top w:val="none" w:sz="0" w:space="0" w:color="auto"/>
        <w:left w:val="none" w:sz="0" w:space="0" w:color="auto"/>
        <w:bottom w:val="none" w:sz="0" w:space="0" w:color="auto"/>
        <w:right w:val="none" w:sz="0" w:space="0" w:color="auto"/>
      </w:divBdr>
    </w:div>
    <w:div w:id="94131922">
      <w:bodyDiv w:val="1"/>
      <w:marLeft w:val="0"/>
      <w:marRight w:val="0"/>
      <w:marTop w:val="0"/>
      <w:marBottom w:val="0"/>
      <w:divBdr>
        <w:top w:val="none" w:sz="0" w:space="0" w:color="auto"/>
        <w:left w:val="none" w:sz="0" w:space="0" w:color="auto"/>
        <w:bottom w:val="none" w:sz="0" w:space="0" w:color="auto"/>
        <w:right w:val="none" w:sz="0" w:space="0" w:color="auto"/>
      </w:divBdr>
    </w:div>
    <w:div w:id="98914597">
      <w:bodyDiv w:val="1"/>
      <w:marLeft w:val="0"/>
      <w:marRight w:val="0"/>
      <w:marTop w:val="0"/>
      <w:marBottom w:val="0"/>
      <w:divBdr>
        <w:top w:val="none" w:sz="0" w:space="0" w:color="auto"/>
        <w:left w:val="none" w:sz="0" w:space="0" w:color="auto"/>
        <w:bottom w:val="none" w:sz="0" w:space="0" w:color="auto"/>
        <w:right w:val="none" w:sz="0" w:space="0" w:color="auto"/>
      </w:divBdr>
    </w:div>
    <w:div w:id="99298930">
      <w:bodyDiv w:val="1"/>
      <w:marLeft w:val="0"/>
      <w:marRight w:val="0"/>
      <w:marTop w:val="0"/>
      <w:marBottom w:val="0"/>
      <w:divBdr>
        <w:top w:val="none" w:sz="0" w:space="0" w:color="auto"/>
        <w:left w:val="none" w:sz="0" w:space="0" w:color="auto"/>
        <w:bottom w:val="none" w:sz="0" w:space="0" w:color="auto"/>
        <w:right w:val="none" w:sz="0" w:space="0" w:color="auto"/>
      </w:divBdr>
    </w:div>
    <w:div w:id="109667011">
      <w:bodyDiv w:val="1"/>
      <w:marLeft w:val="0"/>
      <w:marRight w:val="0"/>
      <w:marTop w:val="0"/>
      <w:marBottom w:val="0"/>
      <w:divBdr>
        <w:top w:val="none" w:sz="0" w:space="0" w:color="auto"/>
        <w:left w:val="none" w:sz="0" w:space="0" w:color="auto"/>
        <w:bottom w:val="none" w:sz="0" w:space="0" w:color="auto"/>
        <w:right w:val="none" w:sz="0" w:space="0" w:color="auto"/>
      </w:divBdr>
    </w:div>
    <w:div w:id="111830000">
      <w:bodyDiv w:val="1"/>
      <w:marLeft w:val="0"/>
      <w:marRight w:val="0"/>
      <w:marTop w:val="0"/>
      <w:marBottom w:val="0"/>
      <w:divBdr>
        <w:top w:val="none" w:sz="0" w:space="0" w:color="auto"/>
        <w:left w:val="none" w:sz="0" w:space="0" w:color="auto"/>
        <w:bottom w:val="none" w:sz="0" w:space="0" w:color="auto"/>
        <w:right w:val="none" w:sz="0" w:space="0" w:color="auto"/>
      </w:divBdr>
    </w:div>
    <w:div w:id="114295561">
      <w:bodyDiv w:val="1"/>
      <w:marLeft w:val="0"/>
      <w:marRight w:val="0"/>
      <w:marTop w:val="0"/>
      <w:marBottom w:val="0"/>
      <w:divBdr>
        <w:top w:val="none" w:sz="0" w:space="0" w:color="auto"/>
        <w:left w:val="none" w:sz="0" w:space="0" w:color="auto"/>
        <w:bottom w:val="none" w:sz="0" w:space="0" w:color="auto"/>
        <w:right w:val="none" w:sz="0" w:space="0" w:color="auto"/>
      </w:divBdr>
    </w:div>
    <w:div w:id="115028688">
      <w:bodyDiv w:val="1"/>
      <w:marLeft w:val="0"/>
      <w:marRight w:val="0"/>
      <w:marTop w:val="0"/>
      <w:marBottom w:val="0"/>
      <w:divBdr>
        <w:top w:val="none" w:sz="0" w:space="0" w:color="auto"/>
        <w:left w:val="none" w:sz="0" w:space="0" w:color="auto"/>
        <w:bottom w:val="none" w:sz="0" w:space="0" w:color="auto"/>
        <w:right w:val="none" w:sz="0" w:space="0" w:color="auto"/>
      </w:divBdr>
    </w:div>
    <w:div w:id="121925431">
      <w:bodyDiv w:val="1"/>
      <w:marLeft w:val="0"/>
      <w:marRight w:val="0"/>
      <w:marTop w:val="0"/>
      <w:marBottom w:val="0"/>
      <w:divBdr>
        <w:top w:val="none" w:sz="0" w:space="0" w:color="auto"/>
        <w:left w:val="none" w:sz="0" w:space="0" w:color="auto"/>
        <w:bottom w:val="none" w:sz="0" w:space="0" w:color="auto"/>
        <w:right w:val="none" w:sz="0" w:space="0" w:color="auto"/>
      </w:divBdr>
    </w:div>
    <w:div w:id="126945383">
      <w:bodyDiv w:val="1"/>
      <w:marLeft w:val="0"/>
      <w:marRight w:val="0"/>
      <w:marTop w:val="0"/>
      <w:marBottom w:val="0"/>
      <w:divBdr>
        <w:top w:val="none" w:sz="0" w:space="0" w:color="auto"/>
        <w:left w:val="none" w:sz="0" w:space="0" w:color="auto"/>
        <w:bottom w:val="none" w:sz="0" w:space="0" w:color="auto"/>
        <w:right w:val="none" w:sz="0" w:space="0" w:color="auto"/>
      </w:divBdr>
    </w:div>
    <w:div w:id="127937596">
      <w:bodyDiv w:val="1"/>
      <w:marLeft w:val="0"/>
      <w:marRight w:val="0"/>
      <w:marTop w:val="0"/>
      <w:marBottom w:val="0"/>
      <w:divBdr>
        <w:top w:val="none" w:sz="0" w:space="0" w:color="auto"/>
        <w:left w:val="none" w:sz="0" w:space="0" w:color="auto"/>
        <w:bottom w:val="none" w:sz="0" w:space="0" w:color="auto"/>
        <w:right w:val="none" w:sz="0" w:space="0" w:color="auto"/>
      </w:divBdr>
    </w:div>
    <w:div w:id="127943109">
      <w:bodyDiv w:val="1"/>
      <w:marLeft w:val="0"/>
      <w:marRight w:val="0"/>
      <w:marTop w:val="0"/>
      <w:marBottom w:val="0"/>
      <w:divBdr>
        <w:top w:val="none" w:sz="0" w:space="0" w:color="auto"/>
        <w:left w:val="none" w:sz="0" w:space="0" w:color="auto"/>
        <w:bottom w:val="none" w:sz="0" w:space="0" w:color="auto"/>
        <w:right w:val="none" w:sz="0" w:space="0" w:color="auto"/>
      </w:divBdr>
    </w:div>
    <w:div w:id="133569680">
      <w:bodyDiv w:val="1"/>
      <w:marLeft w:val="0"/>
      <w:marRight w:val="0"/>
      <w:marTop w:val="0"/>
      <w:marBottom w:val="0"/>
      <w:divBdr>
        <w:top w:val="none" w:sz="0" w:space="0" w:color="auto"/>
        <w:left w:val="none" w:sz="0" w:space="0" w:color="auto"/>
        <w:bottom w:val="none" w:sz="0" w:space="0" w:color="auto"/>
        <w:right w:val="none" w:sz="0" w:space="0" w:color="auto"/>
      </w:divBdr>
    </w:div>
    <w:div w:id="136607746">
      <w:bodyDiv w:val="1"/>
      <w:marLeft w:val="0"/>
      <w:marRight w:val="0"/>
      <w:marTop w:val="0"/>
      <w:marBottom w:val="0"/>
      <w:divBdr>
        <w:top w:val="none" w:sz="0" w:space="0" w:color="auto"/>
        <w:left w:val="none" w:sz="0" w:space="0" w:color="auto"/>
        <w:bottom w:val="none" w:sz="0" w:space="0" w:color="auto"/>
        <w:right w:val="none" w:sz="0" w:space="0" w:color="auto"/>
      </w:divBdr>
    </w:div>
    <w:div w:id="138888019">
      <w:bodyDiv w:val="1"/>
      <w:marLeft w:val="0"/>
      <w:marRight w:val="0"/>
      <w:marTop w:val="0"/>
      <w:marBottom w:val="0"/>
      <w:divBdr>
        <w:top w:val="none" w:sz="0" w:space="0" w:color="auto"/>
        <w:left w:val="none" w:sz="0" w:space="0" w:color="auto"/>
        <w:bottom w:val="none" w:sz="0" w:space="0" w:color="auto"/>
        <w:right w:val="none" w:sz="0" w:space="0" w:color="auto"/>
      </w:divBdr>
    </w:div>
    <w:div w:id="139928224">
      <w:bodyDiv w:val="1"/>
      <w:marLeft w:val="0"/>
      <w:marRight w:val="0"/>
      <w:marTop w:val="0"/>
      <w:marBottom w:val="0"/>
      <w:divBdr>
        <w:top w:val="none" w:sz="0" w:space="0" w:color="auto"/>
        <w:left w:val="none" w:sz="0" w:space="0" w:color="auto"/>
        <w:bottom w:val="none" w:sz="0" w:space="0" w:color="auto"/>
        <w:right w:val="none" w:sz="0" w:space="0" w:color="auto"/>
      </w:divBdr>
    </w:div>
    <w:div w:id="147987705">
      <w:bodyDiv w:val="1"/>
      <w:marLeft w:val="0"/>
      <w:marRight w:val="0"/>
      <w:marTop w:val="0"/>
      <w:marBottom w:val="0"/>
      <w:divBdr>
        <w:top w:val="none" w:sz="0" w:space="0" w:color="auto"/>
        <w:left w:val="none" w:sz="0" w:space="0" w:color="auto"/>
        <w:bottom w:val="none" w:sz="0" w:space="0" w:color="auto"/>
        <w:right w:val="none" w:sz="0" w:space="0" w:color="auto"/>
      </w:divBdr>
    </w:div>
    <w:div w:id="150602019">
      <w:bodyDiv w:val="1"/>
      <w:marLeft w:val="0"/>
      <w:marRight w:val="0"/>
      <w:marTop w:val="0"/>
      <w:marBottom w:val="0"/>
      <w:divBdr>
        <w:top w:val="none" w:sz="0" w:space="0" w:color="auto"/>
        <w:left w:val="none" w:sz="0" w:space="0" w:color="auto"/>
        <w:bottom w:val="none" w:sz="0" w:space="0" w:color="auto"/>
        <w:right w:val="none" w:sz="0" w:space="0" w:color="auto"/>
      </w:divBdr>
    </w:div>
    <w:div w:id="151679469">
      <w:bodyDiv w:val="1"/>
      <w:marLeft w:val="0"/>
      <w:marRight w:val="0"/>
      <w:marTop w:val="0"/>
      <w:marBottom w:val="0"/>
      <w:divBdr>
        <w:top w:val="none" w:sz="0" w:space="0" w:color="auto"/>
        <w:left w:val="none" w:sz="0" w:space="0" w:color="auto"/>
        <w:bottom w:val="none" w:sz="0" w:space="0" w:color="auto"/>
        <w:right w:val="none" w:sz="0" w:space="0" w:color="auto"/>
      </w:divBdr>
    </w:div>
    <w:div w:id="151916165">
      <w:bodyDiv w:val="1"/>
      <w:marLeft w:val="0"/>
      <w:marRight w:val="0"/>
      <w:marTop w:val="0"/>
      <w:marBottom w:val="0"/>
      <w:divBdr>
        <w:top w:val="none" w:sz="0" w:space="0" w:color="auto"/>
        <w:left w:val="none" w:sz="0" w:space="0" w:color="auto"/>
        <w:bottom w:val="none" w:sz="0" w:space="0" w:color="auto"/>
        <w:right w:val="none" w:sz="0" w:space="0" w:color="auto"/>
      </w:divBdr>
    </w:div>
    <w:div w:id="154342833">
      <w:bodyDiv w:val="1"/>
      <w:marLeft w:val="0"/>
      <w:marRight w:val="0"/>
      <w:marTop w:val="0"/>
      <w:marBottom w:val="0"/>
      <w:divBdr>
        <w:top w:val="none" w:sz="0" w:space="0" w:color="auto"/>
        <w:left w:val="none" w:sz="0" w:space="0" w:color="auto"/>
        <w:bottom w:val="none" w:sz="0" w:space="0" w:color="auto"/>
        <w:right w:val="none" w:sz="0" w:space="0" w:color="auto"/>
      </w:divBdr>
    </w:div>
    <w:div w:id="155456805">
      <w:bodyDiv w:val="1"/>
      <w:marLeft w:val="0"/>
      <w:marRight w:val="0"/>
      <w:marTop w:val="0"/>
      <w:marBottom w:val="0"/>
      <w:divBdr>
        <w:top w:val="none" w:sz="0" w:space="0" w:color="auto"/>
        <w:left w:val="none" w:sz="0" w:space="0" w:color="auto"/>
        <w:bottom w:val="none" w:sz="0" w:space="0" w:color="auto"/>
        <w:right w:val="none" w:sz="0" w:space="0" w:color="auto"/>
      </w:divBdr>
    </w:div>
    <w:div w:id="159007330">
      <w:bodyDiv w:val="1"/>
      <w:marLeft w:val="0"/>
      <w:marRight w:val="0"/>
      <w:marTop w:val="0"/>
      <w:marBottom w:val="0"/>
      <w:divBdr>
        <w:top w:val="none" w:sz="0" w:space="0" w:color="auto"/>
        <w:left w:val="none" w:sz="0" w:space="0" w:color="auto"/>
        <w:bottom w:val="none" w:sz="0" w:space="0" w:color="auto"/>
        <w:right w:val="none" w:sz="0" w:space="0" w:color="auto"/>
      </w:divBdr>
    </w:div>
    <w:div w:id="159390304">
      <w:bodyDiv w:val="1"/>
      <w:marLeft w:val="0"/>
      <w:marRight w:val="0"/>
      <w:marTop w:val="0"/>
      <w:marBottom w:val="0"/>
      <w:divBdr>
        <w:top w:val="none" w:sz="0" w:space="0" w:color="auto"/>
        <w:left w:val="none" w:sz="0" w:space="0" w:color="auto"/>
        <w:bottom w:val="none" w:sz="0" w:space="0" w:color="auto"/>
        <w:right w:val="none" w:sz="0" w:space="0" w:color="auto"/>
      </w:divBdr>
    </w:div>
    <w:div w:id="165175830">
      <w:bodyDiv w:val="1"/>
      <w:marLeft w:val="0"/>
      <w:marRight w:val="0"/>
      <w:marTop w:val="0"/>
      <w:marBottom w:val="0"/>
      <w:divBdr>
        <w:top w:val="none" w:sz="0" w:space="0" w:color="auto"/>
        <w:left w:val="none" w:sz="0" w:space="0" w:color="auto"/>
        <w:bottom w:val="none" w:sz="0" w:space="0" w:color="auto"/>
        <w:right w:val="none" w:sz="0" w:space="0" w:color="auto"/>
      </w:divBdr>
    </w:div>
    <w:div w:id="168255741">
      <w:bodyDiv w:val="1"/>
      <w:marLeft w:val="0"/>
      <w:marRight w:val="0"/>
      <w:marTop w:val="0"/>
      <w:marBottom w:val="0"/>
      <w:divBdr>
        <w:top w:val="none" w:sz="0" w:space="0" w:color="auto"/>
        <w:left w:val="none" w:sz="0" w:space="0" w:color="auto"/>
        <w:bottom w:val="none" w:sz="0" w:space="0" w:color="auto"/>
        <w:right w:val="none" w:sz="0" w:space="0" w:color="auto"/>
      </w:divBdr>
    </w:div>
    <w:div w:id="168836573">
      <w:bodyDiv w:val="1"/>
      <w:marLeft w:val="0"/>
      <w:marRight w:val="0"/>
      <w:marTop w:val="0"/>
      <w:marBottom w:val="0"/>
      <w:divBdr>
        <w:top w:val="none" w:sz="0" w:space="0" w:color="auto"/>
        <w:left w:val="none" w:sz="0" w:space="0" w:color="auto"/>
        <w:bottom w:val="none" w:sz="0" w:space="0" w:color="auto"/>
        <w:right w:val="none" w:sz="0" w:space="0" w:color="auto"/>
      </w:divBdr>
    </w:div>
    <w:div w:id="179442301">
      <w:bodyDiv w:val="1"/>
      <w:marLeft w:val="0"/>
      <w:marRight w:val="0"/>
      <w:marTop w:val="0"/>
      <w:marBottom w:val="0"/>
      <w:divBdr>
        <w:top w:val="none" w:sz="0" w:space="0" w:color="auto"/>
        <w:left w:val="none" w:sz="0" w:space="0" w:color="auto"/>
        <w:bottom w:val="none" w:sz="0" w:space="0" w:color="auto"/>
        <w:right w:val="none" w:sz="0" w:space="0" w:color="auto"/>
      </w:divBdr>
    </w:div>
    <w:div w:id="180124129">
      <w:bodyDiv w:val="1"/>
      <w:marLeft w:val="0"/>
      <w:marRight w:val="0"/>
      <w:marTop w:val="0"/>
      <w:marBottom w:val="0"/>
      <w:divBdr>
        <w:top w:val="none" w:sz="0" w:space="0" w:color="auto"/>
        <w:left w:val="none" w:sz="0" w:space="0" w:color="auto"/>
        <w:bottom w:val="none" w:sz="0" w:space="0" w:color="auto"/>
        <w:right w:val="none" w:sz="0" w:space="0" w:color="auto"/>
      </w:divBdr>
    </w:div>
    <w:div w:id="183398220">
      <w:bodyDiv w:val="1"/>
      <w:marLeft w:val="0"/>
      <w:marRight w:val="0"/>
      <w:marTop w:val="0"/>
      <w:marBottom w:val="0"/>
      <w:divBdr>
        <w:top w:val="none" w:sz="0" w:space="0" w:color="auto"/>
        <w:left w:val="none" w:sz="0" w:space="0" w:color="auto"/>
        <w:bottom w:val="none" w:sz="0" w:space="0" w:color="auto"/>
        <w:right w:val="none" w:sz="0" w:space="0" w:color="auto"/>
      </w:divBdr>
    </w:div>
    <w:div w:id="185676162">
      <w:bodyDiv w:val="1"/>
      <w:marLeft w:val="0"/>
      <w:marRight w:val="0"/>
      <w:marTop w:val="0"/>
      <w:marBottom w:val="0"/>
      <w:divBdr>
        <w:top w:val="none" w:sz="0" w:space="0" w:color="auto"/>
        <w:left w:val="none" w:sz="0" w:space="0" w:color="auto"/>
        <w:bottom w:val="none" w:sz="0" w:space="0" w:color="auto"/>
        <w:right w:val="none" w:sz="0" w:space="0" w:color="auto"/>
      </w:divBdr>
    </w:div>
    <w:div w:id="186023645">
      <w:bodyDiv w:val="1"/>
      <w:marLeft w:val="0"/>
      <w:marRight w:val="0"/>
      <w:marTop w:val="0"/>
      <w:marBottom w:val="0"/>
      <w:divBdr>
        <w:top w:val="none" w:sz="0" w:space="0" w:color="auto"/>
        <w:left w:val="none" w:sz="0" w:space="0" w:color="auto"/>
        <w:bottom w:val="none" w:sz="0" w:space="0" w:color="auto"/>
        <w:right w:val="none" w:sz="0" w:space="0" w:color="auto"/>
      </w:divBdr>
    </w:div>
    <w:div w:id="187377006">
      <w:bodyDiv w:val="1"/>
      <w:marLeft w:val="0"/>
      <w:marRight w:val="0"/>
      <w:marTop w:val="0"/>
      <w:marBottom w:val="0"/>
      <w:divBdr>
        <w:top w:val="none" w:sz="0" w:space="0" w:color="auto"/>
        <w:left w:val="none" w:sz="0" w:space="0" w:color="auto"/>
        <w:bottom w:val="none" w:sz="0" w:space="0" w:color="auto"/>
        <w:right w:val="none" w:sz="0" w:space="0" w:color="auto"/>
      </w:divBdr>
    </w:div>
    <w:div w:id="187526476">
      <w:bodyDiv w:val="1"/>
      <w:marLeft w:val="0"/>
      <w:marRight w:val="0"/>
      <w:marTop w:val="0"/>
      <w:marBottom w:val="0"/>
      <w:divBdr>
        <w:top w:val="none" w:sz="0" w:space="0" w:color="auto"/>
        <w:left w:val="none" w:sz="0" w:space="0" w:color="auto"/>
        <w:bottom w:val="none" w:sz="0" w:space="0" w:color="auto"/>
        <w:right w:val="none" w:sz="0" w:space="0" w:color="auto"/>
      </w:divBdr>
    </w:div>
    <w:div w:id="191772266">
      <w:bodyDiv w:val="1"/>
      <w:marLeft w:val="0"/>
      <w:marRight w:val="0"/>
      <w:marTop w:val="0"/>
      <w:marBottom w:val="0"/>
      <w:divBdr>
        <w:top w:val="none" w:sz="0" w:space="0" w:color="auto"/>
        <w:left w:val="none" w:sz="0" w:space="0" w:color="auto"/>
        <w:bottom w:val="none" w:sz="0" w:space="0" w:color="auto"/>
        <w:right w:val="none" w:sz="0" w:space="0" w:color="auto"/>
      </w:divBdr>
    </w:div>
    <w:div w:id="193621515">
      <w:bodyDiv w:val="1"/>
      <w:marLeft w:val="0"/>
      <w:marRight w:val="0"/>
      <w:marTop w:val="0"/>
      <w:marBottom w:val="0"/>
      <w:divBdr>
        <w:top w:val="none" w:sz="0" w:space="0" w:color="auto"/>
        <w:left w:val="none" w:sz="0" w:space="0" w:color="auto"/>
        <w:bottom w:val="none" w:sz="0" w:space="0" w:color="auto"/>
        <w:right w:val="none" w:sz="0" w:space="0" w:color="auto"/>
      </w:divBdr>
    </w:div>
    <w:div w:id="193622302">
      <w:bodyDiv w:val="1"/>
      <w:marLeft w:val="0"/>
      <w:marRight w:val="0"/>
      <w:marTop w:val="0"/>
      <w:marBottom w:val="0"/>
      <w:divBdr>
        <w:top w:val="none" w:sz="0" w:space="0" w:color="auto"/>
        <w:left w:val="none" w:sz="0" w:space="0" w:color="auto"/>
        <w:bottom w:val="none" w:sz="0" w:space="0" w:color="auto"/>
        <w:right w:val="none" w:sz="0" w:space="0" w:color="auto"/>
      </w:divBdr>
    </w:div>
    <w:div w:id="197669175">
      <w:bodyDiv w:val="1"/>
      <w:marLeft w:val="0"/>
      <w:marRight w:val="0"/>
      <w:marTop w:val="0"/>
      <w:marBottom w:val="0"/>
      <w:divBdr>
        <w:top w:val="none" w:sz="0" w:space="0" w:color="auto"/>
        <w:left w:val="none" w:sz="0" w:space="0" w:color="auto"/>
        <w:bottom w:val="none" w:sz="0" w:space="0" w:color="auto"/>
        <w:right w:val="none" w:sz="0" w:space="0" w:color="auto"/>
      </w:divBdr>
    </w:div>
    <w:div w:id="203829875">
      <w:bodyDiv w:val="1"/>
      <w:marLeft w:val="0"/>
      <w:marRight w:val="0"/>
      <w:marTop w:val="0"/>
      <w:marBottom w:val="0"/>
      <w:divBdr>
        <w:top w:val="none" w:sz="0" w:space="0" w:color="auto"/>
        <w:left w:val="none" w:sz="0" w:space="0" w:color="auto"/>
        <w:bottom w:val="none" w:sz="0" w:space="0" w:color="auto"/>
        <w:right w:val="none" w:sz="0" w:space="0" w:color="auto"/>
      </w:divBdr>
    </w:div>
    <w:div w:id="204297429">
      <w:bodyDiv w:val="1"/>
      <w:marLeft w:val="0"/>
      <w:marRight w:val="0"/>
      <w:marTop w:val="0"/>
      <w:marBottom w:val="0"/>
      <w:divBdr>
        <w:top w:val="none" w:sz="0" w:space="0" w:color="auto"/>
        <w:left w:val="none" w:sz="0" w:space="0" w:color="auto"/>
        <w:bottom w:val="none" w:sz="0" w:space="0" w:color="auto"/>
        <w:right w:val="none" w:sz="0" w:space="0" w:color="auto"/>
      </w:divBdr>
    </w:div>
    <w:div w:id="205335994">
      <w:bodyDiv w:val="1"/>
      <w:marLeft w:val="0"/>
      <w:marRight w:val="0"/>
      <w:marTop w:val="0"/>
      <w:marBottom w:val="0"/>
      <w:divBdr>
        <w:top w:val="none" w:sz="0" w:space="0" w:color="auto"/>
        <w:left w:val="none" w:sz="0" w:space="0" w:color="auto"/>
        <w:bottom w:val="none" w:sz="0" w:space="0" w:color="auto"/>
        <w:right w:val="none" w:sz="0" w:space="0" w:color="auto"/>
      </w:divBdr>
    </w:div>
    <w:div w:id="209731424">
      <w:bodyDiv w:val="1"/>
      <w:marLeft w:val="0"/>
      <w:marRight w:val="0"/>
      <w:marTop w:val="0"/>
      <w:marBottom w:val="0"/>
      <w:divBdr>
        <w:top w:val="none" w:sz="0" w:space="0" w:color="auto"/>
        <w:left w:val="none" w:sz="0" w:space="0" w:color="auto"/>
        <w:bottom w:val="none" w:sz="0" w:space="0" w:color="auto"/>
        <w:right w:val="none" w:sz="0" w:space="0" w:color="auto"/>
      </w:divBdr>
    </w:div>
    <w:div w:id="217010818">
      <w:bodyDiv w:val="1"/>
      <w:marLeft w:val="0"/>
      <w:marRight w:val="0"/>
      <w:marTop w:val="0"/>
      <w:marBottom w:val="0"/>
      <w:divBdr>
        <w:top w:val="none" w:sz="0" w:space="0" w:color="auto"/>
        <w:left w:val="none" w:sz="0" w:space="0" w:color="auto"/>
        <w:bottom w:val="none" w:sz="0" w:space="0" w:color="auto"/>
        <w:right w:val="none" w:sz="0" w:space="0" w:color="auto"/>
      </w:divBdr>
    </w:div>
    <w:div w:id="218711769">
      <w:bodyDiv w:val="1"/>
      <w:marLeft w:val="0"/>
      <w:marRight w:val="0"/>
      <w:marTop w:val="0"/>
      <w:marBottom w:val="0"/>
      <w:divBdr>
        <w:top w:val="none" w:sz="0" w:space="0" w:color="auto"/>
        <w:left w:val="none" w:sz="0" w:space="0" w:color="auto"/>
        <w:bottom w:val="none" w:sz="0" w:space="0" w:color="auto"/>
        <w:right w:val="none" w:sz="0" w:space="0" w:color="auto"/>
      </w:divBdr>
    </w:div>
    <w:div w:id="223836112">
      <w:bodyDiv w:val="1"/>
      <w:marLeft w:val="0"/>
      <w:marRight w:val="0"/>
      <w:marTop w:val="0"/>
      <w:marBottom w:val="0"/>
      <w:divBdr>
        <w:top w:val="none" w:sz="0" w:space="0" w:color="auto"/>
        <w:left w:val="none" w:sz="0" w:space="0" w:color="auto"/>
        <w:bottom w:val="none" w:sz="0" w:space="0" w:color="auto"/>
        <w:right w:val="none" w:sz="0" w:space="0" w:color="auto"/>
      </w:divBdr>
    </w:div>
    <w:div w:id="225528917">
      <w:bodyDiv w:val="1"/>
      <w:marLeft w:val="0"/>
      <w:marRight w:val="0"/>
      <w:marTop w:val="0"/>
      <w:marBottom w:val="0"/>
      <w:divBdr>
        <w:top w:val="none" w:sz="0" w:space="0" w:color="auto"/>
        <w:left w:val="none" w:sz="0" w:space="0" w:color="auto"/>
        <w:bottom w:val="none" w:sz="0" w:space="0" w:color="auto"/>
        <w:right w:val="none" w:sz="0" w:space="0" w:color="auto"/>
      </w:divBdr>
    </w:div>
    <w:div w:id="226184569">
      <w:bodyDiv w:val="1"/>
      <w:marLeft w:val="0"/>
      <w:marRight w:val="0"/>
      <w:marTop w:val="0"/>
      <w:marBottom w:val="0"/>
      <w:divBdr>
        <w:top w:val="none" w:sz="0" w:space="0" w:color="auto"/>
        <w:left w:val="none" w:sz="0" w:space="0" w:color="auto"/>
        <w:bottom w:val="none" w:sz="0" w:space="0" w:color="auto"/>
        <w:right w:val="none" w:sz="0" w:space="0" w:color="auto"/>
      </w:divBdr>
    </w:div>
    <w:div w:id="226654601">
      <w:bodyDiv w:val="1"/>
      <w:marLeft w:val="0"/>
      <w:marRight w:val="0"/>
      <w:marTop w:val="0"/>
      <w:marBottom w:val="0"/>
      <w:divBdr>
        <w:top w:val="none" w:sz="0" w:space="0" w:color="auto"/>
        <w:left w:val="none" w:sz="0" w:space="0" w:color="auto"/>
        <w:bottom w:val="none" w:sz="0" w:space="0" w:color="auto"/>
        <w:right w:val="none" w:sz="0" w:space="0" w:color="auto"/>
      </w:divBdr>
    </w:div>
    <w:div w:id="232275745">
      <w:bodyDiv w:val="1"/>
      <w:marLeft w:val="0"/>
      <w:marRight w:val="0"/>
      <w:marTop w:val="0"/>
      <w:marBottom w:val="0"/>
      <w:divBdr>
        <w:top w:val="none" w:sz="0" w:space="0" w:color="auto"/>
        <w:left w:val="none" w:sz="0" w:space="0" w:color="auto"/>
        <w:bottom w:val="none" w:sz="0" w:space="0" w:color="auto"/>
        <w:right w:val="none" w:sz="0" w:space="0" w:color="auto"/>
      </w:divBdr>
    </w:div>
    <w:div w:id="232735966">
      <w:bodyDiv w:val="1"/>
      <w:marLeft w:val="0"/>
      <w:marRight w:val="0"/>
      <w:marTop w:val="0"/>
      <w:marBottom w:val="0"/>
      <w:divBdr>
        <w:top w:val="none" w:sz="0" w:space="0" w:color="auto"/>
        <w:left w:val="none" w:sz="0" w:space="0" w:color="auto"/>
        <w:bottom w:val="none" w:sz="0" w:space="0" w:color="auto"/>
        <w:right w:val="none" w:sz="0" w:space="0" w:color="auto"/>
      </w:divBdr>
    </w:div>
    <w:div w:id="235627066">
      <w:bodyDiv w:val="1"/>
      <w:marLeft w:val="0"/>
      <w:marRight w:val="0"/>
      <w:marTop w:val="0"/>
      <w:marBottom w:val="0"/>
      <w:divBdr>
        <w:top w:val="none" w:sz="0" w:space="0" w:color="auto"/>
        <w:left w:val="none" w:sz="0" w:space="0" w:color="auto"/>
        <w:bottom w:val="none" w:sz="0" w:space="0" w:color="auto"/>
        <w:right w:val="none" w:sz="0" w:space="0" w:color="auto"/>
      </w:divBdr>
    </w:div>
    <w:div w:id="236863170">
      <w:bodyDiv w:val="1"/>
      <w:marLeft w:val="0"/>
      <w:marRight w:val="0"/>
      <w:marTop w:val="0"/>
      <w:marBottom w:val="0"/>
      <w:divBdr>
        <w:top w:val="none" w:sz="0" w:space="0" w:color="auto"/>
        <w:left w:val="none" w:sz="0" w:space="0" w:color="auto"/>
        <w:bottom w:val="none" w:sz="0" w:space="0" w:color="auto"/>
        <w:right w:val="none" w:sz="0" w:space="0" w:color="auto"/>
      </w:divBdr>
    </w:div>
    <w:div w:id="238640441">
      <w:bodyDiv w:val="1"/>
      <w:marLeft w:val="0"/>
      <w:marRight w:val="0"/>
      <w:marTop w:val="0"/>
      <w:marBottom w:val="0"/>
      <w:divBdr>
        <w:top w:val="none" w:sz="0" w:space="0" w:color="auto"/>
        <w:left w:val="none" w:sz="0" w:space="0" w:color="auto"/>
        <w:bottom w:val="none" w:sz="0" w:space="0" w:color="auto"/>
        <w:right w:val="none" w:sz="0" w:space="0" w:color="auto"/>
      </w:divBdr>
    </w:div>
    <w:div w:id="241374044">
      <w:bodyDiv w:val="1"/>
      <w:marLeft w:val="0"/>
      <w:marRight w:val="0"/>
      <w:marTop w:val="0"/>
      <w:marBottom w:val="0"/>
      <w:divBdr>
        <w:top w:val="none" w:sz="0" w:space="0" w:color="auto"/>
        <w:left w:val="none" w:sz="0" w:space="0" w:color="auto"/>
        <w:bottom w:val="none" w:sz="0" w:space="0" w:color="auto"/>
        <w:right w:val="none" w:sz="0" w:space="0" w:color="auto"/>
      </w:divBdr>
    </w:div>
    <w:div w:id="248077827">
      <w:bodyDiv w:val="1"/>
      <w:marLeft w:val="0"/>
      <w:marRight w:val="0"/>
      <w:marTop w:val="0"/>
      <w:marBottom w:val="0"/>
      <w:divBdr>
        <w:top w:val="none" w:sz="0" w:space="0" w:color="auto"/>
        <w:left w:val="none" w:sz="0" w:space="0" w:color="auto"/>
        <w:bottom w:val="none" w:sz="0" w:space="0" w:color="auto"/>
        <w:right w:val="none" w:sz="0" w:space="0" w:color="auto"/>
      </w:divBdr>
    </w:div>
    <w:div w:id="248197643">
      <w:bodyDiv w:val="1"/>
      <w:marLeft w:val="0"/>
      <w:marRight w:val="0"/>
      <w:marTop w:val="0"/>
      <w:marBottom w:val="0"/>
      <w:divBdr>
        <w:top w:val="none" w:sz="0" w:space="0" w:color="auto"/>
        <w:left w:val="none" w:sz="0" w:space="0" w:color="auto"/>
        <w:bottom w:val="none" w:sz="0" w:space="0" w:color="auto"/>
        <w:right w:val="none" w:sz="0" w:space="0" w:color="auto"/>
      </w:divBdr>
    </w:div>
    <w:div w:id="249193598">
      <w:bodyDiv w:val="1"/>
      <w:marLeft w:val="0"/>
      <w:marRight w:val="0"/>
      <w:marTop w:val="0"/>
      <w:marBottom w:val="0"/>
      <w:divBdr>
        <w:top w:val="none" w:sz="0" w:space="0" w:color="auto"/>
        <w:left w:val="none" w:sz="0" w:space="0" w:color="auto"/>
        <w:bottom w:val="none" w:sz="0" w:space="0" w:color="auto"/>
        <w:right w:val="none" w:sz="0" w:space="0" w:color="auto"/>
      </w:divBdr>
    </w:div>
    <w:div w:id="261232420">
      <w:bodyDiv w:val="1"/>
      <w:marLeft w:val="0"/>
      <w:marRight w:val="0"/>
      <w:marTop w:val="0"/>
      <w:marBottom w:val="0"/>
      <w:divBdr>
        <w:top w:val="none" w:sz="0" w:space="0" w:color="auto"/>
        <w:left w:val="none" w:sz="0" w:space="0" w:color="auto"/>
        <w:bottom w:val="none" w:sz="0" w:space="0" w:color="auto"/>
        <w:right w:val="none" w:sz="0" w:space="0" w:color="auto"/>
      </w:divBdr>
    </w:div>
    <w:div w:id="263150021">
      <w:bodyDiv w:val="1"/>
      <w:marLeft w:val="0"/>
      <w:marRight w:val="0"/>
      <w:marTop w:val="0"/>
      <w:marBottom w:val="0"/>
      <w:divBdr>
        <w:top w:val="none" w:sz="0" w:space="0" w:color="auto"/>
        <w:left w:val="none" w:sz="0" w:space="0" w:color="auto"/>
        <w:bottom w:val="none" w:sz="0" w:space="0" w:color="auto"/>
        <w:right w:val="none" w:sz="0" w:space="0" w:color="auto"/>
      </w:divBdr>
    </w:div>
    <w:div w:id="265508483">
      <w:bodyDiv w:val="1"/>
      <w:marLeft w:val="0"/>
      <w:marRight w:val="0"/>
      <w:marTop w:val="0"/>
      <w:marBottom w:val="0"/>
      <w:divBdr>
        <w:top w:val="none" w:sz="0" w:space="0" w:color="auto"/>
        <w:left w:val="none" w:sz="0" w:space="0" w:color="auto"/>
        <w:bottom w:val="none" w:sz="0" w:space="0" w:color="auto"/>
        <w:right w:val="none" w:sz="0" w:space="0" w:color="auto"/>
      </w:divBdr>
    </w:div>
    <w:div w:id="269356720">
      <w:bodyDiv w:val="1"/>
      <w:marLeft w:val="0"/>
      <w:marRight w:val="0"/>
      <w:marTop w:val="0"/>
      <w:marBottom w:val="0"/>
      <w:divBdr>
        <w:top w:val="none" w:sz="0" w:space="0" w:color="auto"/>
        <w:left w:val="none" w:sz="0" w:space="0" w:color="auto"/>
        <w:bottom w:val="none" w:sz="0" w:space="0" w:color="auto"/>
        <w:right w:val="none" w:sz="0" w:space="0" w:color="auto"/>
      </w:divBdr>
    </w:div>
    <w:div w:id="271978523">
      <w:bodyDiv w:val="1"/>
      <w:marLeft w:val="0"/>
      <w:marRight w:val="0"/>
      <w:marTop w:val="0"/>
      <w:marBottom w:val="0"/>
      <w:divBdr>
        <w:top w:val="none" w:sz="0" w:space="0" w:color="auto"/>
        <w:left w:val="none" w:sz="0" w:space="0" w:color="auto"/>
        <w:bottom w:val="none" w:sz="0" w:space="0" w:color="auto"/>
        <w:right w:val="none" w:sz="0" w:space="0" w:color="auto"/>
      </w:divBdr>
    </w:div>
    <w:div w:id="275910559">
      <w:bodyDiv w:val="1"/>
      <w:marLeft w:val="0"/>
      <w:marRight w:val="0"/>
      <w:marTop w:val="0"/>
      <w:marBottom w:val="0"/>
      <w:divBdr>
        <w:top w:val="none" w:sz="0" w:space="0" w:color="auto"/>
        <w:left w:val="none" w:sz="0" w:space="0" w:color="auto"/>
        <w:bottom w:val="none" w:sz="0" w:space="0" w:color="auto"/>
        <w:right w:val="none" w:sz="0" w:space="0" w:color="auto"/>
      </w:divBdr>
    </w:div>
    <w:div w:id="277950076">
      <w:bodyDiv w:val="1"/>
      <w:marLeft w:val="0"/>
      <w:marRight w:val="0"/>
      <w:marTop w:val="0"/>
      <w:marBottom w:val="0"/>
      <w:divBdr>
        <w:top w:val="none" w:sz="0" w:space="0" w:color="auto"/>
        <w:left w:val="none" w:sz="0" w:space="0" w:color="auto"/>
        <w:bottom w:val="none" w:sz="0" w:space="0" w:color="auto"/>
        <w:right w:val="none" w:sz="0" w:space="0" w:color="auto"/>
      </w:divBdr>
    </w:div>
    <w:div w:id="279798541">
      <w:bodyDiv w:val="1"/>
      <w:marLeft w:val="0"/>
      <w:marRight w:val="0"/>
      <w:marTop w:val="0"/>
      <w:marBottom w:val="0"/>
      <w:divBdr>
        <w:top w:val="none" w:sz="0" w:space="0" w:color="auto"/>
        <w:left w:val="none" w:sz="0" w:space="0" w:color="auto"/>
        <w:bottom w:val="none" w:sz="0" w:space="0" w:color="auto"/>
        <w:right w:val="none" w:sz="0" w:space="0" w:color="auto"/>
      </w:divBdr>
    </w:div>
    <w:div w:id="282077411">
      <w:bodyDiv w:val="1"/>
      <w:marLeft w:val="0"/>
      <w:marRight w:val="0"/>
      <w:marTop w:val="0"/>
      <w:marBottom w:val="0"/>
      <w:divBdr>
        <w:top w:val="none" w:sz="0" w:space="0" w:color="auto"/>
        <w:left w:val="none" w:sz="0" w:space="0" w:color="auto"/>
        <w:bottom w:val="none" w:sz="0" w:space="0" w:color="auto"/>
        <w:right w:val="none" w:sz="0" w:space="0" w:color="auto"/>
      </w:divBdr>
    </w:div>
    <w:div w:id="282687435">
      <w:bodyDiv w:val="1"/>
      <w:marLeft w:val="0"/>
      <w:marRight w:val="0"/>
      <w:marTop w:val="0"/>
      <w:marBottom w:val="0"/>
      <w:divBdr>
        <w:top w:val="none" w:sz="0" w:space="0" w:color="auto"/>
        <w:left w:val="none" w:sz="0" w:space="0" w:color="auto"/>
        <w:bottom w:val="none" w:sz="0" w:space="0" w:color="auto"/>
        <w:right w:val="none" w:sz="0" w:space="0" w:color="auto"/>
      </w:divBdr>
    </w:div>
    <w:div w:id="292488496">
      <w:bodyDiv w:val="1"/>
      <w:marLeft w:val="0"/>
      <w:marRight w:val="0"/>
      <w:marTop w:val="0"/>
      <w:marBottom w:val="0"/>
      <w:divBdr>
        <w:top w:val="none" w:sz="0" w:space="0" w:color="auto"/>
        <w:left w:val="none" w:sz="0" w:space="0" w:color="auto"/>
        <w:bottom w:val="none" w:sz="0" w:space="0" w:color="auto"/>
        <w:right w:val="none" w:sz="0" w:space="0" w:color="auto"/>
      </w:divBdr>
    </w:div>
    <w:div w:id="295524200">
      <w:bodyDiv w:val="1"/>
      <w:marLeft w:val="0"/>
      <w:marRight w:val="0"/>
      <w:marTop w:val="0"/>
      <w:marBottom w:val="0"/>
      <w:divBdr>
        <w:top w:val="none" w:sz="0" w:space="0" w:color="auto"/>
        <w:left w:val="none" w:sz="0" w:space="0" w:color="auto"/>
        <w:bottom w:val="none" w:sz="0" w:space="0" w:color="auto"/>
        <w:right w:val="none" w:sz="0" w:space="0" w:color="auto"/>
      </w:divBdr>
    </w:div>
    <w:div w:id="297730650">
      <w:bodyDiv w:val="1"/>
      <w:marLeft w:val="0"/>
      <w:marRight w:val="0"/>
      <w:marTop w:val="0"/>
      <w:marBottom w:val="0"/>
      <w:divBdr>
        <w:top w:val="none" w:sz="0" w:space="0" w:color="auto"/>
        <w:left w:val="none" w:sz="0" w:space="0" w:color="auto"/>
        <w:bottom w:val="none" w:sz="0" w:space="0" w:color="auto"/>
        <w:right w:val="none" w:sz="0" w:space="0" w:color="auto"/>
      </w:divBdr>
    </w:div>
    <w:div w:id="298800800">
      <w:bodyDiv w:val="1"/>
      <w:marLeft w:val="0"/>
      <w:marRight w:val="0"/>
      <w:marTop w:val="0"/>
      <w:marBottom w:val="0"/>
      <w:divBdr>
        <w:top w:val="none" w:sz="0" w:space="0" w:color="auto"/>
        <w:left w:val="none" w:sz="0" w:space="0" w:color="auto"/>
        <w:bottom w:val="none" w:sz="0" w:space="0" w:color="auto"/>
        <w:right w:val="none" w:sz="0" w:space="0" w:color="auto"/>
      </w:divBdr>
    </w:div>
    <w:div w:id="310914070">
      <w:bodyDiv w:val="1"/>
      <w:marLeft w:val="0"/>
      <w:marRight w:val="0"/>
      <w:marTop w:val="0"/>
      <w:marBottom w:val="0"/>
      <w:divBdr>
        <w:top w:val="none" w:sz="0" w:space="0" w:color="auto"/>
        <w:left w:val="none" w:sz="0" w:space="0" w:color="auto"/>
        <w:bottom w:val="none" w:sz="0" w:space="0" w:color="auto"/>
        <w:right w:val="none" w:sz="0" w:space="0" w:color="auto"/>
      </w:divBdr>
    </w:div>
    <w:div w:id="324286113">
      <w:bodyDiv w:val="1"/>
      <w:marLeft w:val="0"/>
      <w:marRight w:val="0"/>
      <w:marTop w:val="0"/>
      <w:marBottom w:val="0"/>
      <w:divBdr>
        <w:top w:val="none" w:sz="0" w:space="0" w:color="auto"/>
        <w:left w:val="none" w:sz="0" w:space="0" w:color="auto"/>
        <w:bottom w:val="none" w:sz="0" w:space="0" w:color="auto"/>
        <w:right w:val="none" w:sz="0" w:space="0" w:color="auto"/>
      </w:divBdr>
    </w:div>
    <w:div w:id="326175410">
      <w:bodyDiv w:val="1"/>
      <w:marLeft w:val="0"/>
      <w:marRight w:val="0"/>
      <w:marTop w:val="0"/>
      <w:marBottom w:val="0"/>
      <w:divBdr>
        <w:top w:val="none" w:sz="0" w:space="0" w:color="auto"/>
        <w:left w:val="none" w:sz="0" w:space="0" w:color="auto"/>
        <w:bottom w:val="none" w:sz="0" w:space="0" w:color="auto"/>
        <w:right w:val="none" w:sz="0" w:space="0" w:color="auto"/>
      </w:divBdr>
    </w:div>
    <w:div w:id="328170093">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32225710">
      <w:bodyDiv w:val="1"/>
      <w:marLeft w:val="0"/>
      <w:marRight w:val="0"/>
      <w:marTop w:val="0"/>
      <w:marBottom w:val="0"/>
      <w:divBdr>
        <w:top w:val="none" w:sz="0" w:space="0" w:color="auto"/>
        <w:left w:val="none" w:sz="0" w:space="0" w:color="auto"/>
        <w:bottom w:val="none" w:sz="0" w:space="0" w:color="auto"/>
        <w:right w:val="none" w:sz="0" w:space="0" w:color="auto"/>
      </w:divBdr>
    </w:div>
    <w:div w:id="334767949">
      <w:bodyDiv w:val="1"/>
      <w:marLeft w:val="0"/>
      <w:marRight w:val="0"/>
      <w:marTop w:val="0"/>
      <w:marBottom w:val="0"/>
      <w:divBdr>
        <w:top w:val="none" w:sz="0" w:space="0" w:color="auto"/>
        <w:left w:val="none" w:sz="0" w:space="0" w:color="auto"/>
        <w:bottom w:val="none" w:sz="0" w:space="0" w:color="auto"/>
        <w:right w:val="none" w:sz="0" w:space="0" w:color="auto"/>
      </w:divBdr>
    </w:div>
    <w:div w:id="334840877">
      <w:bodyDiv w:val="1"/>
      <w:marLeft w:val="0"/>
      <w:marRight w:val="0"/>
      <w:marTop w:val="0"/>
      <w:marBottom w:val="0"/>
      <w:divBdr>
        <w:top w:val="none" w:sz="0" w:space="0" w:color="auto"/>
        <w:left w:val="none" w:sz="0" w:space="0" w:color="auto"/>
        <w:bottom w:val="none" w:sz="0" w:space="0" w:color="auto"/>
        <w:right w:val="none" w:sz="0" w:space="0" w:color="auto"/>
      </w:divBdr>
    </w:div>
    <w:div w:id="335040115">
      <w:bodyDiv w:val="1"/>
      <w:marLeft w:val="0"/>
      <w:marRight w:val="0"/>
      <w:marTop w:val="0"/>
      <w:marBottom w:val="0"/>
      <w:divBdr>
        <w:top w:val="none" w:sz="0" w:space="0" w:color="auto"/>
        <w:left w:val="none" w:sz="0" w:space="0" w:color="auto"/>
        <w:bottom w:val="none" w:sz="0" w:space="0" w:color="auto"/>
        <w:right w:val="none" w:sz="0" w:space="0" w:color="auto"/>
      </w:divBdr>
    </w:div>
    <w:div w:id="335693303">
      <w:bodyDiv w:val="1"/>
      <w:marLeft w:val="0"/>
      <w:marRight w:val="0"/>
      <w:marTop w:val="0"/>
      <w:marBottom w:val="0"/>
      <w:divBdr>
        <w:top w:val="none" w:sz="0" w:space="0" w:color="auto"/>
        <w:left w:val="none" w:sz="0" w:space="0" w:color="auto"/>
        <w:bottom w:val="none" w:sz="0" w:space="0" w:color="auto"/>
        <w:right w:val="none" w:sz="0" w:space="0" w:color="auto"/>
      </w:divBdr>
    </w:div>
    <w:div w:id="336884525">
      <w:bodyDiv w:val="1"/>
      <w:marLeft w:val="0"/>
      <w:marRight w:val="0"/>
      <w:marTop w:val="0"/>
      <w:marBottom w:val="0"/>
      <w:divBdr>
        <w:top w:val="none" w:sz="0" w:space="0" w:color="auto"/>
        <w:left w:val="none" w:sz="0" w:space="0" w:color="auto"/>
        <w:bottom w:val="none" w:sz="0" w:space="0" w:color="auto"/>
        <w:right w:val="none" w:sz="0" w:space="0" w:color="auto"/>
      </w:divBdr>
    </w:div>
    <w:div w:id="342513871">
      <w:bodyDiv w:val="1"/>
      <w:marLeft w:val="0"/>
      <w:marRight w:val="0"/>
      <w:marTop w:val="0"/>
      <w:marBottom w:val="0"/>
      <w:divBdr>
        <w:top w:val="none" w:sz="0" w:space="0" w:color="auto"/>
        <w:left w:val="none" w:sz="0" w:space="0" w:color="auto"/>
        <w:bottom w:val="none" w:sz="0" w:space="0" w:color="auto"/>
        <w:right w:val="none" w:sz="0" w:space="0" w:color="auto"/>
      </w:divBdr>
    </w:div>
    <w:div w:id="342754123">
      <w:bodyDiv w:val="1"/>
      <w:marLeft w:val="0"/>
      <w:marRight w:val="0"/>
      <w:marTop w:val="0"/>
      <w:marBottom w:val="0"/>
      <w:divBdr>
        <w:top w:val="none" w:sz="0" w:space="0" w:color="auto"/>
        <w:left w:val="none" w:sz="0" w:space="0" w:color="auto"/>
        <w:bottom w:val="none" w:sz="0" w:space="0" w:color="auto"/>
        <w:right w:val="none" w:sz="0" w:space="0" w:color="auto"/>
      </w:divBdr>
    </w:div>
    <w:div w:id="345639741">
      <w:bodyDiv w:val="1"/>
      <w:marLeft w:val="0"/>
      <w:marRight w:val="0"/>
      <w:marTop w:val="0"/>
      <w:marBottom w:val="0"/>
      <w:divBdr>
        <w:top w:val="none" w:sz="0" w:space="0" w:color="auto"/>
        <w:left w:val="none" w:sz="0" w:space="0" w:color="auto"/>
        <w:bottom w:val="none" w:sz="0" w:space="0" w:color="auto"/>
        <w:right w:val="none" w:sz="0" w:space="0" w:color="auto"/>
      </w:divBdr>
    </w:div>
    <w:div w:id="348028042">
      <w:bodyDiv w:val="1"/>
      <w:marLeft w:val="0"/>
      <w:marRight w:val="0"/>
      <w:marTop w:val="0"/>
      <w:marBottom w:val="0"/>
      <w:divBdr>
        <w:top w:val="none" w:sz="0" w:space="0" w:color="auto"/>
        <w:left w:val="none" w:sz="0" w:space="0" w:color="auto"/>
        <w:bottom w:val="none" w:sz="0" w:space="0" w:color="auto"/>
        <w:right w:val="none" w:sz="0" w:space="0" w:color="auto"/>
      </w:divBdr>
    </w:div>
    <w:div w:id="354112803">
      <w:bodyDiv w:val="1"/>
      <w:marLeft w:val="0"/>
      <w:marRight w:val="0"/>
      <w:marTop w:val="0"/>
      <w:marBottom w:val="0"/>
      <w:divBdr>
        <w:top w:val="none" w:sz="0" w:space="0" w:color="auto"/>
        <w:left w:val="none" w:sz="0" w:space="0" w:color="auto"/>
        <w:bottom w:val="none" w:sz="0" w:space="0" w:color="auto"/>
        <w:right w:val="none" w:sz="0" w:space="0" w:color="auto"/>
      </w:divBdr>
    </w:div>
    <w:div w:id="355237140">
      <w:bodyDiv w:val="1"/>
      <w:marLeft w:val="0"/>
      <w:marRight w:val="0"/>
      <w:marTop w:val="0"/>
      <w:marBottom w:val="0"/>
      <w:divBdr>
        <w:top w:val="none" w:sz="0" w:space="0" w:color="auto"/>
        <w:left w:val="none" w:sz="0" w:space="0" w:color="auto"/>
        <w:bottom w:val="none" w:sz="0" w:space="0" w:color="auto"/>
        <w:right w:val="none" w:sz="0" w:space="0" w:color="auto"/>
      </w:divBdr>
    </w:div>
    <w:div w:id="355470711">
      <w:bodyDiv w:val="1"/>
      <w:marLeft w:val="0"/>
      <w:marRight w:val="0"/>
      <w:marTop w:val="0"/>
      <w:marBottom w:val="0"/>
      <w:divBdr>
        <w:top w:val="none" w:sz="0" w:space="0" w:color="auto"/>
        <w:left w:val="none" w:sz="0" w:space="0" w:color="auto"/>
        <w:bottom w:val="none" w:sz="0" w:space="0" w:color="auto"/>
        <w:right w:val="none" w:sz="0" w:space="0" w:color="auto"/>
      </w:divBdr>
    </w:div>
    <w:div w:id="355737365">
      <w:bodyDiv w:val="1"/>
      <w:marLeft w:val="0"/>
      <w:marRight w:val="0"/>
      <w:marTop w:val="0"/>
      <w:marBottom w:val="0"/>
      <w:divBdr>
        <w:top w:val="none" w:sz="0" w:space="0" w:color="auto"/>
        <w:left w:val="none" w:sz="0" w:space="0" w:color="auto"/>
        <w:bottom w:val="none" w:sz="0" w:space="0" w:color="auto"/>
        <w:right w:val="none" w:sz="0" w:space="0" w:color="auto"/>
      </w:divBdr>
    </w:div>
    <w:div w:id="357703260">
      <w:bodyDiv w:val="1"/>
      <w:marLeft w:val="0"/>
      <w:marRight w:val="0"/>
      <w:marTop w:val="0"/>
      <w:marBottom w:val="0"/>
      <w:divBdr>
        <w:top w:val="none" w:sz="0" w:space="0" w:color="auto"/>
        <w:left w:val="none" w:sz="0" w:space="0" w:color="auto"/>
        <w:bottom w:val="none" w:sz="0" w:space="0" w:color="auto"/>
        <w:right w:val="none" w:sz="0" w:space="0" w:color="auto"/>
      </w:divBdr>
    </w:div>
    <w:div w:id="360786953">
      <w:bodyDiv w:val="1"/>
      <w:marLeft w:val="0"/>
      <w:marRight w:val="0"/>
      <w:marTop w:val="0"/>
      <w:marBottom w:val="0"/>
      <w:divBdr>
        <w:top w:val="none" w:sz="0" w:space="0" w:color="auto"/>
        <w:left w:val="none" w:sz="0" w:space="0" w:color="auto"/>
        <w:bottom w:val="none" w:sz="0" w:space="0" w:color="auto"/>
        <w:right w:val="none" w:sz="0" w:space="0" w:color="auto"/>
      </w:divBdr>
    </w:div>
    <w:div w:id="360984575">
      <w:bodyDiv w:val="1"/>
      <w:marLeft w:val="0"/>
      <w:marRight w:val="0"/>
      <w:marTop w:val="0"/>
      <w:marBottom w:val="0"/>
      <w:divBdr>
        <w:top w:val="none" w:sz="0" w:space="0" w:color="auto"/>
        <w:left w:val="none" w:sz="0" w:space="0" w:color="auto"/>
        <w:bottom w:val="none" w:sz="0" w:space="0" w:color="auto"/>
        <w:right w:val="none" w:sz="0" w:space="0" w:color="auto"/>
      </w:divBdr>
    </w:div>
    <w:div w:id="363016155">
      <w:bodyDiv w:val="1"/>
      <w:marLeft w:val="0"/>
      <w:marRight w:val="0"/>
      <w:marTop w:val="0"/>
      <w:marBottom w:val="0"/>
      <w:divBdr>
        <w:top w:val="none" w:sz="0" w:space="0" w:color="auto"/>
        <w:left w:val="none" w:sz="0" w:space="0" w:color="auto"/>
        <w:bottom w:val="none" w:sz="0" w:space="0" w:color="auto"/>
        <w:right w:val="none" w:sz="0" w:space="0" w:color="auto"/>
      </w:divBdr>
    </w:div>
    <w:div w:id="365328944">
      <w:bodyDiv w:val="1"/>
      <w:marLeft w:val="0"/>
      <w:marRight w:val="0"/>
      <w:marTop w:val="0"/>
      <w:marBottom w:val="0"/>
      <w:divBdr>
        <w:top w:val="none" w:sz="0" w:space="0" w:color="auto"/>
        <w:left w:val="none" w:sz="0" w:space="0" w:color="auto"/>
        <w:bottom w:val="none" w:sz="0" w:space="0" w:color="auto"/>
        <w:right w:val="none" w:sz="0" w:space="0" w:color="auto"/>
      </w:divBdr>
    </w:div>
    <w:div w:id="365831974">
      <w:bodyDiv w:val="1"/>
      <w:marLeft w:val="0"/>
      <w:marRight w:val="0"/>
      <w:marTop w:val="0"/>
      <w:marBottom w:val="0"/>
      <w:divBdr>
        <w:top w:val="none" w:sz="0" w:space="0" w:color="auto"/>
        <w:left w:val="none" w:sz="0" w:space="0" w:color="auto"/>
        <w:bottom w:val="none" w:sz="0" w:space="0" w:color="auto"/>
        <w:right w:val="none" w:sz="0" w:space="0" w:color="auto"/>
      </w:divBdr>
    </w:div>
    <w:div w:id="366954818">
      <w:bodyDiv w:val="1"/>
      <w:marLeft w:val="0"/>
      <w:marRight w:val="0"/>
      <w:marTop w:val="0"/>
      <w:marBottom w:val="0"/>
      <w:divBdr>
        <w:top w:val="none" w:sz="0" w:space="0" w:color="auto"/>
        <w:left w:val="none" w:sz="0" w:space="0" w:color="auto"/>
        <w:bottom w:val="none" w:sz="0" w:space="0" w:color="auto"/>
        <w:right w:val="none" w:sz="0" w:space="0" w:color="auto"/>
      </w:divBdr>
    </w:div>
    <w:div w:id="372535818">
      <w:bodyDiv w:val="1"/>
      <w:marLeft w:val="0"/>
      <w:marRight w:val="0"/>
      <w:marTop w:val="0"/>
      <w:marBottom w:val="0"/>
      <w:divBdr>
        <w:top w:val="none" w:sz="0" w:space="0" w:color="auto"/>
        <w:left w:val="none" w:sz="0" w:space="0" w:color="auto"/>
        <w:bottom w:val="none" w:sz="0" w:space="0" w:color="auto"/>
        <w:right w:val="none" w:sz="0" w:space="0" w:color="auto"/>
      </w:divBdr>
    </w:div>
    <w:div w:id="374503897">
      <w:bodyDiv w:val="1"/>
      <w:marLeft w:val="0"/>
      <w:marRight w:val="0"/>
      <w:marTop w:val="0"/>
      <w:marBottom w:val="0"/>
      <w:divBdr>
        <w:top w:val="none" w:sz="0" w:space="0" w:color="auto"/>
        <w:left w:val="none" w:sz="0" w:space="0" w:color="auto"/>
        <w:bottom w:val="none" w:sz="0" w:space="0" w:color="auto"/>
        <w:right w:val="none" w:sz="0" w:space="0" w:color="auto"/>
      </w:divBdr>
    </w:div>
    <w:div w:id="374696008">
      <w:bodyDiv w:val="1"/>
      <w:marLeft w:val="0"/>
      <w:marRight w:val="0"/>
      <w:marTop w:val="0"/>
      <w:marBottom w:val="0"/>
      <w:divBdr>
        <w:top w:val="none" w:sz="0" w:space="0" w:color="auto"/>
        <w:left w:val="none" w:sz="0" w:space="0" w:color="auto"/>
        <w:bottom w:val="none" w:sz="0" w:space="0" w:color="auto"/>
        <w:right w:val="none" w:sz="0" w:space="0" w:color="auto"/>
      </w:divBdr>
    </w:div>
    <w:div w:id="378942515">
      <w:bodyDiv w:val="1"/>
      <w:marLeft w:val="0"/>
      <w:marRight w:val="0"/>
      <w:marTop w:val="0"/>
      <w:marBottom w:val="0"/>
      <w:divBdr>
        <w:top w:val="none" w:sz="0" w:space="0" w:color="auto"/>
        <w:left w:val="none" w:sz="0" w:space="0" w:color="auto"/>
        <w:bottom w:val="none" w:sz="0" w:space="0" w:color="auto"/>
        <w:right w:val="none" w:sz="0" w:space="0" w:color="auto"/>
      </w:divBdr>
    </w:div>
    <w:div w:id="380132004">
      <w:bodyDiv w:val="1"/>
      <w:marLeft w:val="0"/>
      <w:marRight w:val="0"/>
      <w:marTop w:val="0"/>
      <w:marBottom w:val="0"/>
      <w:divBdr>
        <w:top w:val="none" w:sz="0" w:space="0" w:color="auto"/>
        <w:left w:val="none" w:sz="0" w:space="0" w:color="auto"/>
        <w:bottom w:val="none" w:sz="0" w:space="0" w:color="auto"/>
        <w:right w:val="none" w:sz="0" w:space="0" w:color="auto"/>
      </w:divBdr>
    </w:div>
    <w:div w:id="381369598">
      <w:bodyDiv w:val="1"/>
      <w:marLeft w:val="0"/>
      <w:marRight w:val="0"/>
      <w:marTop w:val="0"/>
      <w:marBottom w:val="0"/>
      <w:divBdr>
        <w:top w:val="none" w:sz="0" w:space="0" w:color="auto"/>
        <w:left w:val="none" w:sz="0" w:space="0" w:color="auto"/>
        <w:bottom w:val="none" w:sz="0" w:space="0" w:color="auto"/>
        <w:right w:val="none" w:sz="0" w:space="0" w:color="auto"/>
      </w:divBdr>
    </w:div>
    <w:div w:id="382338564">
      <w:bodyDiv w:val="1"/>
      <w:marLeft w:val="0"/>
      <w:marRight w:val="0"/>
      <w:marTop w:val="0"/>
      <w:marBottom w:val="0"/>
      <w:divBdr>
        <w:top w:val="none" w:sz="0" w:space="0" w:color="auto"/>
        <w:left w:val="none" w:sz="0" w:space="0" w:color="auto"/>
        <w:bottom w:val="none" w:sz="0" w:space="0" w:color="auto"/>
        <w:right w:val="none" w:sz="0" w:space="0" w:color="auto"/>
      </w:divBdr>
    </w:div>
    <w:div w:id="382558250">
      <w:bodyDiv w:val="1"/>
      <w:marLeft w:val="0"/>
      <w:marRight w:val="0"/>
      <w:marTop w:val="0"/>
      <w:marBottom w:val="0"/>
      <w:divBdr>
        <w:top w:val="none" w:sz="0" w:space="0" w:color="auto"/>
        <w:left w:val="none" w:sz="0" w:space="0" w:color="auto"/>
        <w:bottom w:val="none" w:sz="0" w:space="0" w:color="auto"/>
        <w:right w:val="none" w:sz="0" w:space="0" w:color="auto"/>
      </w:divBdr>
    </w:div>
    <w:div w:id="397822244">
      <w:bodyDiv w:val="1"/>
      <w:marLeft w:val="0"/>
      <w:marRight w:val="0"/>
      <w:marTop w:val="0"/>
      <w:marBottom w:val="0"/>
      <w:divBdr>
        <w:top w:val="none" w:sz="0" w:space="0" w:color="auto"/>
        <w:left w:val="none" w:sz="0" w:space="0" w:color="auto"/>
        <w:bottom w:val="none" w:sz="0" w:space="0" w:color="auto"/>
        <w:right w:val="none" w:sz="0" w:space="0" w:color="auto"/>
      </w:divBdr>
    </w:div>
    <w:div w:id="398938495">
      <w:bodyDiv w:val="1"/>
      <w:marLeft w:val="0"/>
      <w:marRight w:val="0"/>
      <w:marTop w:val="0"/>
      <w:marBottom w:val="0"/>
      <w:divBdr>
        <w:top w:val="none" w:sz="0" w:space="0" w:color="auto"/>
        <w:left w:val="none" w:sz="0" w:space="0" w:color="auto"/>
        <w:bottom w:val="none" w:sz="0" w:space="0" w:color="auto"/>
        <w:right w:val="none" w:sz="0" w:space="0" w:color="auto"/>
      </w:divBdr>
    </w:div>
    <w:div w:id="399406644">
      <w:bodyDiv w:val="1"/>
      <w:marLeft w:val="0"/>
      <w:marRight w:val="0"/>
      <w:marTop w:val="0"/>
      <w:marBottom w:val="0"/>
      <w:divBdr>
        <w:top w:val="none" w:sz="0" w:space="0" w:color="auto"/>
        <w:left w:val="none" w:sz="0" w:space="0" w:color="auto"/>
        <w:bottom w:val="none" w:sz="0" w:space="0" w:color="auto"/>
        <w:right w:val="none" w:sz="0" w:space="0" w:color="auto"/>
      </w:divBdr>
    </w:div>
    <w:div w:id="400758201">
      <w:bodyDiv w:val="1"/>
      <w:marLeft w:val="0"/>
      <w:marRight w:val="0"/>
      <w:marTop w:val="0"/>
      <w:marBottom w:val="0"/>
      <w:divBdr>
        <w:top w:val="none" w:sz="0" w:space="0" w:color="auto"/>
        <w:left w:val="none" w:sz="0" w:space="0" w:color="auto"/>
        <w:bottom w:val="none" w:sz="0" w:space="0" w:color="auto"/>
        <w:right w:val="none" w:sz="0" w:space="0" w:color="auto"/>
      </w:divBdr>
    </w:div>
    <w:div w:id="401414227">
      <w:bodyDiv w:val="1"/>
      <w:marLeft w:val="0"/>
      <w:marRight w:val="0"/>
      <w:marTop w:val="0"/>
      <w:marBottom w:val="0"/>
      <w:divBdr>
        <w:top w:val="none" w:sz="0" w:space="0" w:color="auto"/>
        <w:left w:val="none" w:sz="0" w:space="0" w:color="auto"/>
        <w:bottom w:val="none" w:sz="0" w:space="0" w:color="auto"/>
        <w:right w:val="none" w:sz="0" w:space="0" w:color="auto"/>
      </w:divBdr>
    </w:div>
    <w:div w:id="402332383">
      <w:bodyDiv w:val="1"/>
      <w:marLeft w:val="0"/>
      <w:marRight w:val="0"/>
      <w:marTop w:val="0"/>
      <w:marBottom w:val="0"/>
      <w:divBdr>
        <w:top w:val="none" w:sz="0" w:space="0" w:color="auto"/>
        <w:left w:val="none" w:sz="0" w:space="0" w:color="auto"/>
        <w:bottom w:val="none" w:sz="0" w:space="0" w:color="auto"/>
        <w:right w:val="none" w:sz="0" w:space="0" w:color="auto"/>
      </w:divBdr>
    </w:div>
    <w:div w:id="402603588">
      <w:bodyDiv w:val="1"/>
      <w:marLeft w:val="0"/>
      <w:marRight w:val="0"/>
      <w:marTop w:val="0"/>
      <w:marBottom w:val="0"/>
      <w:divBdr>
        <w:top w:val="none" w:sz="0" w:space="0" w:color="auto"/>
        <w:left w:val="none" w:sz="0" w:space="0" w:color="auto"/>
        <w:bottom w:val="none" w:sz="0" w:space="0" w:color="auto"/>
        <w:right w:val="none" w:sz="0" w:space="0" w:color="auto"/>
      </w:divBdr>
    </w:div>
    <w:div w:id="402679836">
      <w:bodyDiv w:val="1"/>
      <w:marLeft w:val="0"/>
      <w:marRight w:val="0"/>
      <w:marTop w:val="0"/>
      <w:marBottom w:val="0"/>
      <w:divBdr>
        <w:top w:val="none" w:sz="0" w:space="0" w:color="auto"/>
        <w:left w:val="none" w:sz="0" w:space="0" w:color="auto"/>
        <w:bottom w:val="none" w:sz="0" w:space="0" w:color="auto"/>
        <w:right w:val="none" w:sz="0" w:space="0" w:color="auto"/>
      </w:divBdr>
    </w:div>
    <w:div w:id="406729668">
      <w:bodyDiv w:val="1"/>
      <w:marLeft w:val="0"/>
      <w:marRight w:val="0"/>
      <w:marTop w:val="0"/>
      <w:marBottom w:val="0"/>
      <w:divBdr>
        <w:top w:val="none" w:sz="0" w:space="0" w:color="auto"/>
        <w:left w:val="none" w:sz="0" w:space="0" w:color="auto"/>
        <w:bottom w:val="none" w:sz="0" w:space="0" w:color="auto"/>
        <w:right w:val="none" w:sz="0" w:space="0" w:color="auto"/>
      </w:divBdr>
    </w:div>
    <w:div w:id="407657021">
      <w:bodyDiv w:val="1"/>
      <w:marLeft w:val="0"/>
      <w:marRight w:val="0"/>
      <w:marTop w:val="0"/>
      <w:marBottom w:val="0"/>
      <w:divBdr>
        <w:top w:val="none" w:sz="0" w:space="0" w:color="auto"/>
        <w:left w:val="none" w:sz="0" w:space="0" w:color="auto"/>
        <w:bottom w:val="none" w:sz="0" w:space="0" w:color="auto"/>
        <w:right w:val="none" w:sz="0" w:space="0" w:color="auto"/>
      </w:divBdr>
    </w:div>
    <w:div w:id="408888504">
      <w:bodyDiv w:val="1"/>
      <w:marLeft w:val="0"/>
      <w:marRight w:val="0"/>
      <w:marTop w:val="0"/>
      <w:marBottom w:val="0"/>
      <w:divBdr>
        <w:top w:val="none" w:sz="0" w:space="0" w:color="auto"/>
        <w:left w:val="none" w:sz="0" w:space="0" w:color="auto"/>
        <w:bottom w:val="none" w:sz="0" w:space="0" w:color="auto"/>
        <w:right w:val="none" w:sz="0" w:space="0" w:color="auto"/>
      </w:divBdr>
    </w:div>
    <w:div w:id="408962864">
      <w:bodyDiv w:val="1"/>
      <w:marLeft w:val="0"/>
      <w:marRight w:val="0"/>
      <w:marTop w:val="0"/>
      <w:marBottom w:val="0"/>
      <w:divBdr>
        <w:top w:val="none" w:sz="0" w:space="0" w:color="auto"/>
        <w:left w:val="none" w:sz="0" w:space="0" w:color="auto"/>
        <w:bottom w:val="none" w:sz="0" w:space="0" w:color="auto"/>
        <w:right w:val="none" w:sz="0" w:space="0" w:color="auto"/>
      </w:divBdr>
    </w:div>
    <w:div w:id="411707976">
      <w:bodyDiv w:val="1"/>
      <w:marLeft w:val="0"/>
      <w:marRight w:val="0"/>
      <w:marTop w:val="0"/>
      <w:marBottom w:val="0"/>
      <w:divBdr>
        <w:top w:val="none" w:sz="0" w:space="0" w:color="auto"/>
        <w:left w:val="none" w:sz="0" w:space="0" w:color="auto"/>
        <w:bottom w:val="none" w:sz="0" w:space="0" w:color="auto"/>
        <w:right w:val="none" w:sz="0" w:space="0" w:color="auto"/>
      </w:divBdr>
    </w:div>
    <w:div w:id="415900942">
      <w:bodyDiv w:val="1"/>
      <w:marLeft w:val="0"/>
      <w:marRight w:val="0"/>
      <w:marTop w:val="0"/>
      <w:marBottom w:val="0"/>
      <w:divBdr>
        <w:top w:val="none" w:sz="0" w:space="0" w:color="auto"/>
        <w:left w:val="none" w:sz="0" w:space="0" w:color="auto"/>
        <w:bottom w:val="none" w:sz="0" w:space="0" w:color="auto"/>
        <w:right w:val="none" w:sz="0" w:space="0" w:color="auto"/>
      </w:divBdr>
    </w:div>
    <w:div w:id="418864829">
      <w:bodyDiv w:val="1"/>
      <w:marLeft w:val="0"/>
      <w:marRight w:val="0"/>
      <w:marTop w:val="0"/>
      <w:marBottom w:val="0"/>
      <w:divBdr>
        <w:top w:val="none" w:sz="0" w:space="0" w:color="auto"/>
        <w:left w:val="none" w:sz="0" w:space="0" w:color="auto"/>
        <w:bottom w:val="none" w:sz="0" w:space="0" w:color="auto"/>
        <w:right w:val="none" w:sz="0" w:space="0" w:color="auto"/>
      </w:divBdr>
    </w:div>
    <w:div w:id="420301037">
      <w:bodyDiv w:val="1"/>
      <w:marLeft w:val="0"/>
      <w:marRight w:val="0"/>
      <w:marTop w:val="0"/>
      <w:marBottom w:val="0"/>
      <w:divBdr>
        <w:top w:val="none" w:sz="0" w:space="0" w:color="auto"/>
        <w:left w:val="none" w:sz="0" w:space="0" w:color="auto"/>
        <w:bottom w:val="none" w:sz="0" w:space="0" w:color="auto"/>
        <w:right w:val="none" w:sz="0" w:space="0" w:color="auto"/>
      </w:divBdr>
    </w:div>
    <w:div w:id="424225814">
      <w:bodyDiv w:val="1"/>
      <w:marLeft w:val="0"/>
      <w:marRight w:val="0"/>
      <w:marTop w:val="0"/>
      <w:marBottom w:val="0"/>
      <w:divBdr>
        <w:top w:val="none" w:sz="0" w:space="0" w:color="auto"/>
        <w:left w:val="none" w:sz="0" w:space="0" w:color="auto"/>
        <w:bottom w:val="none" w:sz="0" w:space="0" w:color="auto"/>
        <w:right w:val="none" w:sz="0" w:space="0" w:color="auto"/>
      </w:divBdr>
    </w:div>
    <w:div w:id="428429764">
      <w:bodyDiv w:val="1"/>
      <w:marLeft w:val="0"/>
      <w:marRight w:val="0"/>
      <w:marTop w:val="0"/>
      <w:marBottom w:val="0"/>
      <w:divBdr>
        <w:top w:val="none" w:sz="0" w:space="0" w:color="auto"/>
        <w:left w:val="none" w:sz="0" w:space="0" w:color="auto"/>
        <w:bottom w:val="none" w:sz="0" w:space="0" w:color="auto"/>
        <w:right w:val="none" w:sz="0" w:space="0" w:color="auto"/>
      </w:divBdr>
    </w:div>
    <w:div w:id="432409035">
      <w:bodyDiv w:val="1"/>
      <w:marLeft w:val="0"/>
      <w:marRight w:val="0"/>
      <w:marTop w:val="0"/>
      <w:marBottom w:val="0"/>
      <w:divBdr>
        <w:top w:val="none" w:sz="0" w:space="0" w:color="auto"/>
        <w:left w:val="none" w:sz="0" w:space="0" w:color="auto"/>
        <w:bottom w:val="none" w:sz="0" w:space="0" w:color="auto"/>
        <w:right w:val="none" w:sz="0" w:space="0" w:color="auto"/>
      </w:divBdr>
    </w:div>
    <w:div w:id="434640114">
      <w:bodyDiv w:val="1"/>
      <w:marLeft w:val="0"/>
      <w:marRight w:val="0"/>
      <w:marTop w:val="0"/>
      <w:marBottom w:val="0"/>
      <w:divBdr>
        <w:top w:val="none" w:sz="0" w:space="0" w:color="auto"/>
        <w:left w:val="none" w:sz="0" w:space="0" w:color="auto"/>
        <w:bottom w:val="none" w:sz="0" w:space="0" w:color="auto"/>
        <w:right w:val="none" w:sz="0" w:space="0" w:color="auto"/>
      </w:divBdr>
    </w:div>
    <w:div w:id="435028693">
      <w:bodyDiv w:val="1"/>
      <w:marLeft w:val="0"/>
      <w:marRight w:val="0"/>
      <w:marTop w:val="0"/>
      <w:marBottom w:val="0"/>
      <w:divBdr>
        <w:top w:val="none" w:sz="0" w:space="0" w:color="auto"/>
        <w:left w:val="none" w:sz="0" w:space="0" w:color="auto"/>
        <w:bottom w:val="none" w:sz="0" w:space="0" w:color="auto"/>
        <w:right w:val="none" w:sz="0" w:space="0" w:color="auto"/>
      </w:divBdr>
    </w:div>
    <w:div w:id="435684609">
      <w:bodyDiv w:val="1"/>
      <w:marLeft w:val="0"/>
      <w:marRight w:val="0"/>
      <w:marTop w:val="0"/>
      <w:marBottom w:val="0"/>
      <w:divBdr>
        <w:top w:val="none" w:sz="0" w:space="0" w:color="auto"/>
        <w:left w:val="none" w:sz="0" w:space="0" w:color="auto"/>
        <w:bottom w:val="none" w:sz="0" w:space="0" w:color="auto"/>
        <w:right w:val="none" w:sz="0" w:space="0" w:color="auto"/>
      </w:divBdr>
    </w:div>
    <w:div w:id="435953480">
      <w:bodyDiv w:val="1"/>
      <w:marLeft w:val="0"/>
      <w:marRight w:val="0"/>
      <w:marTop w:val="0"/>
      <w:marBottom w:val="0"/>
      <w:divBdr>
        <w:top w:val="none" w:sz="0" w:space="0" w:color="auto"/>
        <w:left w:val="none" w:sz="0" w:space="0" w:color="auto"/>
        <w:bottom w:val="none" w:sz="0" w:space="0" w:color="auto"/>
        <w:right w:val="none" w:sz="0" w:space="0" w:color="auto"/>
      </w:divBdr>
    </w:div>
    <w:div w:id="436557978">
      <w:bodyDiv w:val="1"/>
      <w:marLeft w:val="0"/>
      <w:marRight w:val="0"/>
      <w:marTop w:val="0"/>
      <w:marBottom w:val="0"/>
      <w:divBdr>
        <w:top w:val="none" w:sz="0" w:space="0" w:color="auto"/>
        <w:left w:val="none" w:sz="0" w:space="0" w:color="auto"/>
        <w:bottom w:val="none" w:sz="0" w:space="0" w:color="auto"/>
        <w:right w:val="none" w:sz="0" w:space="0" w:color="auto"/>
      </w:divBdr>
    </w:div>
    <w:div w:id="437216828">
      <w:bodyDiv w:val="1"/>
      <w:marLeft w:val="0"/>
      <w:marRight w:val="0"/>
      <w:marTop w:val="0"/>
      <w:marBottom w:val="0"/>
      <w:divBdr>
        <w:top w:val="none" w:sz="0" w:space="0" w:color="auto"/>
        <w:left w:val="none" w:sz="0" w:space="0" w:color="auto"/>
        <w:bottom w:val="none" w:sz="0" w:space="0" w:color="auto"/>
        <w:right w:val="none" w:sz="0" w:space="0" w:color="auto"/>
      </w:divBdr>
    </w:div>
    <w:div w:id="438451117">
      <w:bodyDiv w:val="1"/>
      <w:marLeft w:val="0"/>
      <w:marRight w:val="0"/>
      <w:marTop w:val="0"/>
      <w:marBottom w:val="0"/>
      <w:divBdr>
        <w:top w:val="none" w:sz="0" w:space="0" w:color="auto"/>
        <w:left w:val="none" w:sz="0" w:space="0" w:color="auto"/>
        <w:bottom w:val="none" w:sz="0" w:space="0" w:color="auto"/>
        <w:right w:val="none" w:sz="0" w:space="0" w:color="auto"/>
      </w:divBdr>
    </w:div>
    <w:div w:id="449131861">
      <w:bodyDiv w:val="1"/>
      <w:marLeft w:val="0"/>
      <w:marRight w:val="0"/>
      <w:marTop w:val="0"/>
      <w:marBottom w:val="0"/>
      <w:divBdr>
        <w:top w:val="none" w:sz="0" w:space="0" w:color="auto"/>
        <w:left w:val="none" w:sz="0" w:space="0" w:color="auto"/>
        <w:bottom w:val="none" w:sz="0" w:space="0" w:color="auto"/>
        <w:right w:val="none" w:sz="0" w:space="0" w:color="auto"/>
      </w:divBdr>
    </w:div>
    <w:div w:id="451020509">
      <w:bodyDiv w:val="1"/>
      <w:marLeft w:val="0"/>
      <w:marRight w:val="0"/>
      <w:marTop w:val="0"/>
      <w:marBottom w:val="0"/>
      <w:divBdr>
        <w:top w:val="none" w:sz="0" w:space="0" w:color="auto"/>
        <w:left w:val="none" w:sz="0" w:space="0" w:color="auto"/>
        <w:bottom w:val="none" w:sz="0" w:space="0" w:color="auto"/>
        <w:right w:val="none" w:sz="0" w:space="0" w:color="auto"/>
      </w:divBdr>
    </w:div>
    <w:div w:id="456993244">
      <w:bodyDiv w:val="1"/>
      <w:marLeft w:val="0"/>
      <w:marRight w:val="0"/>
      <w:marTop w:val="0"/>
      <w:marBottom w:val="0"/>
      <w:divBdr>
        <w:top w:val="none" w:sz="0" w:space="0" w:color="auto"/>
        <w:left w:val="none" w:sz="0" w:space="0" w:color="auto"/>
        <w:bottom w:val="none" w:sz="0" w:space="0" w:color="auto"/>
        <w:right w:val="none" w:sz="0" w:space="0" w:color="auto"/>
      </w:divBdr>
    </w:div>
    <w:div w:id="467016466">
      <w:bodyDiv w:val="1"/>
      <w:marLeft w:val="0"/>
      <w:marRight w:val="0"/>
      <w:marTop w:val="0"/>
      <w:marBottom w:val="0"/>
      <w:divBdr>
        <w:top w:val="none" w:sz="0" w:space="0" w:color="auto"/>
        <w:left w:val="none" w:sz="0" w:space="0" w:color="auto"/>
        <w:bottom w:val="none" w:sz="0" w:space="0" w:color="auto"/>
        <w:right w:val="none" w:sz="0" w:space="0" w:color="auto"/>
      </w:divBdr>
    </w:div>
    <w:div w:id="471480325">
      <w:bodyDiv w:val="1"/>
      <w:marLeft w:val="0"/>
      <w:marRight w:val="0"/>
      <w:marTop w:val="0"/>
      <w:marBottom w:val="0"/>
      <w:divBdr>
        <w:top w:val="none" w:sz="0" w:space="0" w:color="auto"/>
        <w:left w:val="none" w:sz="0" w:space="0" w:color="auto"/>
        <w:bottom w:val="none" w:sz="0" w:space="0" w:color="auto"/>
        <w:right w:val="none" w:sz="0" w:space="0" w:color="auto"/>
      </w:divBdr>
    </w:div>
    <w:div w:id="479540764">
      <w:bodyDiv w:val="1"/>
      <w:marLeft w:val="0"/>
      <w:marRight w:val="0"/>
      <w:marTop w:val="0"/>
      <w:marBottom w:val="0"/>
      <w:divBdr>
        <w:top w:val="none" w:sz="0" w:space="0" w:color="auto"/>
        <w:left w:val="none" w:sz="0" w:space="0" w:color="auto"/>
        <w:bottom w:val="none" w:sz="0" w:space="0" w:color="auto"/>
        <w:right w:val="none" w:sz="0" w:space="0" w:color="auto"/>
      </w:divBdr>
    </w:div>
    <w:div w:id="479734672">
      <w:bodyDiv w:val="1"/>
      <w:marLeft w:val="0"/>
      <w:marRight w:val="0"/>
      <w:marTop w:val="0"/>
      <w:marBottom w:val="0"/>
      <w:divBdr>
        <w:top w:val="none" w:sz="0" w:space="0" w:color="auto"/>
        <w:left w:val="none" w:sz="0" w:space="0" w:color="auto"/>
        <w:bottom w:val="none" w:sz="0" w:space="0" w:color="auto"/>
        <w:right w:val="none" w:sz="0" w:space="0" w:color="auto"/>
      </w:divBdr>
    </w:div>
    <w:div w:id="487745822">
      <w:bodyDiv w:val="1"/>
      <w:marLeft w:val="0"/>
      <w:marRight w:val="0"/>
      <w:marTop w:val="0"/>
      <w:marBottom w:val="0"/>
      <w:divBdr>
        <w:top w:val="none" w:sz="0" w:space="0" w:color="auto"/>
        <w:left w:val="none" w:sz="0" w:space="0" w:color="auto"/>
        <w:bottom w:val="none" w:sz="0" w:space="0" w:color="auto"/>
        <w:right w:val="none" w:sz="0" w:space="0" w:color="auto"/>
      </w:divBdr>
    </w:div>
    <w:div w:id="489295735">
      <w:bodyDiv w:val="1"/>
      <w:marLeft w:val="0"/>
      <w:marRight w:val="0"/>
      <w:marTop w:val="0"/>
      <w:marBottom w:val="0"/>
      <w:divBdr>
        <w:top w:val="none" w:sz="0" w:space="0" w:color="auto"/>
        <w:left w:val="none" w:sz="0" w:space="0" w:color="auto"/>
        <w:bottom w:val="none" w:sz="0" w:space="0" w:color="auto"/>
        <w:right w:val="none" w:sz="0" w:space="0" w:color="auto"/>
      </w:divBdr>
    </w:div>
    <w:div w:id="492910790">
      <w:bodyDiv w:val="1"/>
      <w:marLeft w:val="0"/>
      <w:marRight w:val="0"/>
      <w:marTop w:val="0"/>
      <w:marBottom w:val="0"/>
      <w:divBdr>
        <w:top w:val="none" w:sz="0" w:space="0" w:color="auto"/>
        <w:left w:val="none" w:sz="0" w:space="0" w:color="auto"/>
        <w:bottom w:val="none" w:sz="0" w:space="0" w:color="auto"/>
        <w:right w:val="none" w:sz="0" w:space="0" w:color="auto"/>
      </w:divBdr>
    </w:div>
    <w:div w:id="496042392">
      <w:bodyDiv w:val="1"/>
      <w:marLeft w:val="0"/>
      <w:marRight w:val="0"/>
      <w:marTop w:val="0"/>
      <w:marBottom w:val="0"/>
      <w:divBdr>
        <w:top w:val="none" w:sz="0" w:space="0" w:color="auto"/>
        <w:left w:val="none" w:sz="0" w:space="0" w:color="auto"/>
        <w:bottom w:val="none" w:sz="0" w:space="0" w:color="auto"/>
        <w:right w:val="none" w:sz="0" w:space="0" w:color="auto"/>
      </w:divBdr>
    </w:div>
    <w:div w:id="496656148">
      <w:bodyDiv w:val="1"/>
      <w:marLeft w:val="0"/>
      <w:marRight w:val="0"/>
      <w:marTop w:val="0"/>
      <w:marBottom w:val="0"/>
      <w:divBdr>
        <w:top w:val="none" w:sz="0" w:space="0" w:color="auto"/>
        <w:left w:val="none" w:sz="0" w:space="0" w:color="auto"/>
        <w:bottom w:val="none" w:sz="0" w:space="0" w:color="auto"/>
        <w:right w:val="none" w:sz="0" w:space="0" w:color="auto"/>
      </w:divBdr>
    </w:div>
    <w:div w:id="505949692">
      <w:bodyDiv w:val="1"/>
      <w:marLeft w:val="0"/>
      <w:marRight w:val="0"/>
      <w:marTop w:val="0"/>
      <w:marBottom w:val="0"/>
      <w:divBdr>
        <w:top w:val="none" w:sz="0" w:space="0" w:color="auto"/>
        <w:left w:val="none" w:sz="0" w:space="0" w:color="auto"/>
        <w:bottom w:val="none" w:sz="0" w:space="0" w:color="auto"/>
        <w:right w:val="none" w:sz="0" w:space="0" w:color="auto"/>
      </w:divBdr>
    </w:div>
    <w:div w:id="507447729">
      <w:bodyDiv w:val="1"/>
      <w:marLeft w:val="0"/>
      <w:marRight w:val="0"/>
      <w:marTop w:val="0"/>
      <w:marBottom w:val="0"/>
      <w:divBdr>
        <w:top w:val="none" w:sz="0" w:space="0" w:color="auto"/>
        <w:left w:val="none" w:sz="0" w:space="0" w:color="auto"/>
        <w:bottom w:val="none" w:sz="0" w:space="0" w:color="auto"/>
        <w:right w:val="none" w:sz="0" w:space="0" w:color="auto"/>
      </w:divBdr>
    </w:div>
    <w:div w:id="515660543">
      <w:bodyDiv w:val="1"/>
      <w:marLeft w:val="0"/>
      <w:marRight w:val="0"/>
      <w:marTop w:val="0"/>
      <w:marBottom w:val="0"/>
      <w:divBdr>
        <w:top w:val="none" w:sz="0" w:space="0" w:color="auto"/>
        <w:left w:val="none" w:sz="0" w:space="0" w:color="auto"/>
        <w:bottom w:val="none" w:sz="0" w:space="0" w:color="auto"/>
        <w:right w:val="none" w:sz="0" w:space="0" w:color="auto"/>
      </w:divBdr>
    </w:div>
    <w:div w:id="517080228">
      <w:bodyDiv w:val="1"/>
      <w:marLeft w:val="0"/>
      <w:marRight w:val="0"/>
      <w:marTop w:val="0"/>
      <w:marBottom w:val="0"/>
      <w:divBdr>
        <w:top w:val="none" w:sz="0" w:space="0" w:color="auto"/>
        <w:left w:val="none" w:sz="0" w:space="0" w:color="auto"/>
        <w:bottom w:val="none" w:sz="0" w:space="0" w:color="auto"/>
        <w:right w:val="none" w:sz="0" w:space="0" w:color="auto"/>
      </w:divBdr>
    </w:div>
    <w:div w:id="521551250">
      <w:bodyDiv w:val="1"/>
      <w:marLeft w:val="0"/>
      <w:marRight w:val="0"/>
      <w:marTop w:val="0"/>
      <w:marBottom w:val="0"/>
      <w:divBdr>
        <w:top w:val="none" w:sz="0" w:space="0" w:color="auto"/>
        <w:left w:val="none" w:sz="0" w:space="0" w:color="auto"/>
        <w:bottom w:val="none" w:sz="0" w:space="0" w:color="auto"/>
        <w:right w:val="none" w:sz="0" w:space="0" w:color="auto"/>
      </w:divBdr>
    </w:div>
    <w:div w:id="531845040">
      <w:bodyDiv w:val="1"/>
      <w:marLeft w:val="0"/>
      <w:marRight w:val="0"/>
      <w:marTop w:val="0"/>
      <w:marBottom w:val="0"/>
      <w:divBdr>
        <w:top w:val="none" w:sz="0" w:space="0" w:color="auto"/>
        <w:left w:val="none" w:sz="0" w:space="0" w:color="auto"/>
        <w:bottom w:val="none" w:sz="0" w:space="0" w:color="auto"/>
        <w:right w:val="none" w:sz="0" w:space="0" w:color="auto"/>
      </w:divBdr>
    </w:div>
    <w:div w:id="533078203">
      <w:bodyDiv w:val="1"/>
      <w:marLeft w:val="0"/>
      <w:marRight w:val="0"/>
      <w:marTop w:val="0"/>
      <w:marBottom w:val="0"/>
      <w:divBdr>
        <w:top w:val="none" w:sz="0" w:space="0" w:color="auto"/>
        <w:left w:val="none" w:sz="0" w:space="0" w:color="auto"/>
        <w:bottom w:val="none" w:sz="0" w:space="0" w:color="auto"/>
        <w:right w:val="none" w:sz="0" w:space="0" w:color="auto"/>
      </w:divBdr>
    </w:div>
    <w:div w:id="536741414">
      <w:bodyDiv w:val="1"/>
      <w:marLeft w:val="0"/>
      <w:marRight w:val="0"/>
      <w:marTop w:val="0"/>
      <w:marBottom w:val="0"/>
      <w:divBdr>
        <w:top w:val="none" w:sz="0" w:space="0" w:color="auto"/>
        <w:left w:val="none" w:sz="0" w:space="0" w:color="auto"/>
        <w:bottom w:val="none" w:sz="0" w:space="0" w:color="auto"/>
        <w:right w:val="none" w:sz="0" w:space="0" w:color="auto"/>
      </w:divBdr>
    </w:div>
    <w:div w:id="541290738">
      <w:bodyDiv w:val="1"/>
      <w:marLeft w:val="0"/>
      <w:marRight w:val="0"/>
      <w:marTop w:val="0"/>
      <w:marBottom w:val="0"/>
      <w:divBdr>
        <w:top w:val="none" w:sz="0" w:space="0" w:color="auto"/>
        <w:left w:val="none" w:sz="0" w:space="0" w:color="auto"/>
        <w:bottom w:val="none" w:sz="0" w:space="0" w:color="auto"/>
        <w:right w:val="none" w:sz="0" w:space="0" w:color="auto"/>
      </w:divBdr>
    </w:div>
    <w:div w:id="542717677">
      <w:bodyDiv w:val="1"/>
      <w:marLeft w:val="0"/>
      <w:marRight w:val="0"/>
      <w:marTop w:val="0"/>
      <w:marBottom w:val="0"/>
      <w:divBdr>
        <w:top w:val="none" w:sz="0" w:space="0" w:color="auto"/>
        <w:left w:val="none" w:sz="0" w:space="0" w:color="auto"/>
        <w:bottom w:val="none" w:sz="0" w:space="0" w:color="auto"/>
        <w:right w:val="none" w:sz="0" w:space="0" w:color="auto"/>
      </w:divBdr>
    </w:div>
    <w:div w:id="544945950">
      <w:bodyDiv w:val="1"/>
      <w:marLeft w:val="0"/>
      <w:marRight w:val="0"/>
      <w:marTop w:val="0"/>
      <w:marBottom w:val="0"/>
      <w:divBdr>
        <w:top w:val="none" w:sz="0" w:space="0" w:color="auto"/>
        <w:left w:val="none" w:sz="0" w:space="0" w:color="auto"/>
        <w:bottom w:val="none" w:sz="0" w:space="0" w:color="auto"/>
        <w:right w:val="none" w:sz="0" w:space="0" w:color="auto"/>
      </w:divBdr>
    </w:div>
    <w:div w:id="548494257">
      <w:bodyDiv w:val="1"/>
      <w:marLeft w:val="0"/>
      <w:marRight w:val="0"/>
      <w:marTop w:val="0"/>
      <w:marBottom w:val="0"/>
      <w:divBdr>
        <w:top w:val="none" w:sz="0" w:space="0" w:color="auto"/>
        <w:left w:val="none" w:sz="0" w:space="0" w:color="auto"/>
        <w:bottom w:val="none" w:sz="0" w:space="0" w:color="auto"/>
        <w:right w:val="none" w:sz="0" w:space="0" w:color="auto"/>
      </w:divBdr>
    </w:div>
    <w:div w:id="551813630">
      <w:bodyDiv w:val="1"/>
      <w:marLeft w:val="0"/>
      <w:marRight w:val="0"/>
      <w:marTop w:val="0"/>
      <w:marBottom w:val="0"/>
      <w:divBdr>
        <w:top w:val="none" w:sz="0" w:space="0" w:color="auto"/>
        <w:left w:val="none" w:sz="0" w:space="0" w:color="auto"/>
        <w:bottom w:val="none" w:sz="0" w:space="0" w:color="auto"/>
        <w:right w:val="none" w:sz="0" w:space="0" w:color="auto"/>
      </w:divBdr>
    </w:div>
    <w:div w:id="557713531">
      <w:bodyDiv w:val="1"/>
      <w:marLeft w:val="0"/>
      <w:marRight w:val="0"/>
      <w:marTop w:val="0"/>
      <w:marBottom w:val="0"/>
      <w:divBdr>
        <w:top w:val="none" w:sz="0" w:space="0" w:color="auto"/>
        <w:left w:val="none" w:sz="0" w:space="0" w:color="auto"/>
        <w:bottom w:val="none" w:sz="0" w:space="0" w:color="auto"/>
        <w:right w:val="none" w:sz="0" w:space="0" w:color="auto"/>
      </w:divBdr>
    </w:div>
    <w:div w:id="560095704">
      <w:bodyDiv w:val="1"/>
      <w:marLeft w:val="0"/>
      <w:marRight w:val="0"/>
      <w:marTop w:val="0"/>
      <w:marBottom w:val="0"/>
      <w:divBdr>
        <w:top w:val="none" w:sz="0" w:space="0" w:color="auto"/>
        <w:left w:val="none" w:sz="0" w:space="0" w:color="auto"/>
        <w:bottom w:val="none" w:sz="0" w:space="0" w:color="auto"/>
        <w:right w:val="none" w:sz="0" w:space="0" w:color="auto"/>
      </w:divBdr>
    </w:div>
    <w:div w:id="560285813">
      <w:bodyDiv w:val="1"/>
      <w:marLeft w:val="0"/>
      <w:marRight w:val="0"/>
      <w:marTop w:val="0"/>
      <w:marBottom w:val="0"/>
      <w:divBdr>
        <w:top w:val="none" w:sz="0" w:space="0" w:color="auto"/>
        <w:left w:val="none" w:sz="0" w:space="0" w:color="auto"/>
        <w:bottom w:val="none" w:sz="0" w:space="0" w:color="auto"/>
        <w:right w:val="none" w:sz="0" w:space="0" w:color="auto"/>
      </w:divBdr>
    </w:div>
    <w:div w:id="562372527">
      <w:bodyDiv w:val="1"/>
      <w:marLeft w:val="0"/>
      <w:marRight w:val="0"/>
      <w:marTop w:val="0"/>
      <w:marBottom w:val="0"/>
      <w:divBdr>
        <w:top w:val="none" w:sz="0" w:space="0" w:color="auto"/>
        <w:left w:val="none" w:sz="0" w:space="0" w:color="auto"/>
        <w:bottom w:val="none" w:sz="0" w:space="0" w:color="auto"/>
        <w:right w:val="none" w:sz="0" w:space="0" w:color="auto"/>
      </w:divBdr>
    </w:div>
    <w:div w:id="567376121">
      <w:bodyDiv w:val="1"/>
      <w:marLeft w:val="0"/>
      <w:marRight w:val="0"/>
      <w:marTop w:val="0"/>
      <w:marBottom w:val="0"/>
      <w:divBdr>
        <w:top w:val="none" w:sz="0" w:space="0" w:color="auto"/>
        <w:left w:val="none" w:sz="0" w:space="0" w:color="auto"/>
        <w:bottom w:val="none" w:sz="0" w:space="0" w:color="auto"/>
        <w:right w:val="none" w:sz="0" w:space="0" w:color="auto"/>
      </w:divBdr>
    </w:div>
    <w:div w:id="567419708">
      <w:bodyDiv w:val="1"/>
      <w:marLeft w:val="0"/>
      <w:marRight w:val="0"/>
      <w:marTop w:val="0"/>
      <w:marBottom w:val="0"/>
      <w:divBdr>
        <w:top w:val="none" w:sz="0" w:space="0" w:color="auto"/>
        <w:left w:val="none" w:sz="0" w:space="0" w:color="auto"/>
        <w:bottom w:val="none" w:sz="0" w:space="0" w:color="auto"/>
        <w:right w:val="none" w:sz="0" w:space="0" w:color="auto"/>
      </w:divBdr>
    </w:div>
    <w:div w:id="568004588">
      <w:bodyDiv w:val="1"/>
      <w:marLeft w:val="0"/>
      <w:marRight w:val="0"/>
      <w:marTop w:val="0"/>
      <w:marBottom w:val="0"/>
      <w:divBdr>
        <w:top w:val="none" w:sz="0" w:space="0" w:color="auto"/>
        <w:left w:val="none" w:sz="0" w:space="0" w:color="auto"/>
        <w:bottom w:val="none" w:sz="0" w:space="0" w:color="auto"/>
        <w:right w:val="none" w:sz="0" w:space="0" w:color="auto"/>
      </w:divBdr>
    </w:div>
    <w:div w:id="579827867">
      <w:bodyDiv w:val="1"/>
      <w:marLeft w:val="0"/>
      <w:marRight w:val="0"/>
      <w:marTop w:val="0"/>
      <w:marBottom w:val="0"/>
      <w:divBdr>
        <w:top w:val="none" w:sz="0" w:space="0" w:color="auto"/>
        <w:left w:val="none" w:sz="0" w:space="0" w:color="auto"/>
        <w:bottom w:val="none" w:sz="0" w:space="0" w:color="auto"/>
        <w:right w:val="none" w:sz="0" w:space="0" w:color="auto"/>
      </w:divBdr>
    </w:div>
    <w:div w:id="579869892">
      <w:bodyDiv w:val="1"/>
      <w:marLeft w:val="0"/>
      <w:marRight w:val="0"/>
      <w:marTop w:val="0"/>
      <w:marBottom w:val="0"/>
      <w:divBdr>
        <w:top w:val="none" w:sz="0" w:space="0" w:color="auto"/>
        <w:left w:val="none" w:sz="0" w:space="0" w:color="auto"/>
        <w:bottom w:val="none" w:sz="0" w:space="0" w:color="auto"/>
        <w:right w:val="none" w:sz="0" w:space="0" w:color="auto"/>
      </w:divBdr>
    </w:div>
    <w:div w:id="581258531">
      <w:bodyDiv w:val="1"/>
      <w:marLeft w:val="0"/>
      <w:marRight w:val="0"/>
      <w:marTop w:val="0"/>
      <w:marBottom w:val="0"/>
      <w:divBdr>
        <w:top w:val="none" w:sz="0" w:space="0" w:color="auto"/>
        <w:left w:val="none" w:sz="0" w:space="0" w:color="auto"/>
        <w:bottom w:val="none" w:sz="0" w:space="0" w:color="auto"/>
        <w:right w:val="none" w:sz="0" w:space="0" w:color="auto"/>
      </w:divBdr>
    </w:div>
    <w:div w:id="581794371">
      <w:bodyDiv w:val="1"/>
      <w:marLeft w:val="0"/>
      <w:marRight w:val="0"/>
      <w:marTop w:val="0"/>
      <w:marBottom w:val="0"/>
      <w:divBdr>
        <w:top w:val="none" w:sz="0" w:space="0" w:color="auto"/>
        <w:left w:val="none" w:sz="0" w:space="0" w:color="auto"/>
        <w:bottom w:val="none" w:sz="0" w:space="0" w:color="auto"/>
        <w:right w:val="none" w:sz="0" w:space="0" w:color="auto"/>
      </w:divBdr>
    </w:div>
    <w:div w:id="584609830">
      <w:bodyDiv w:val="1"/>
      <w:marLeft w:val="0"/>
      <w:marRight w:val="0"/>
      <w:marTop w:val="0"/>
      <w:marBottom w:val="0"/>
      <w:divBdr>
        <w:top w:val="none" w:sz="0" w:space="0" w:color="auto"/>
        <w:left w:val="none" w:sz="0" w:space="0" w:color="auto"/>
        <w:bottom w:val="none" w:sz="0" w:space="0" w:color="auto"/>
        <w:right w:val="none" w:sz="0" w:space="0" w:color="auto"/>
      </w:divBdr>
    </w:div>
    <w:div w:id="584613687">
      <w:bodyDiv w:val="1"/>
      <w:marLeft w:val="0"/>
      <w:marRight w:val="0"/>
      <w:marTop w:val="0"/>
      <w:marBottom w:val="0"/>
      <w:divBdr>
        <w:top w:val="none" w:sz="0" w:space="0" w:color="auto"/>
        <w:left w:val="none" w:sz="0" w:space="0" w:color="auto"/>
        <w:bottom w:val="none" w:sz="0" w:space="0" w:color="auto"/>
        <w:right w:val="none" w:sz="0" w:space="0" w:color="auto"/>
      </w:divBdr>
    </w:div>
    <w:div w:id="585576519">
      <w:bodyDiv w:val="1"/>
      <w:marLeft w:val="0"/>
      <w:marRight w:val="0"/>
      <w:marTop w:val="0"/>
      <w:marBottom w:val="0"/>
      <w:divBdr>
        <w:top w:val="none" w:sz="0" w:space="0" w:color="auto"/>
        <w:left w:val="none" w:sz="0" w:space="0" w:color="auto"/>
        <w:bottom w:val="none" w:sz="0" w:space="0" w:color="auto"/>
        <w:right w:val="none" w:sz="0" w:space="0" w:color="auto"/>
      </w:divBdr>
    </w:div>
    <w:div w:id="595014214">
      <w:bodyDiv w:val="1"/>
      <w:marLeft w:val="0"/>
      <w:marRight w:val="0"/>
      <w:marTop w:val="0"/>
      <w:marBottom w:val="0"/>
      <w:divBdr>
        <w:top w:val="none" w:sz="0" w:space="0" w:color="auto"/>
        <w:left w:val="none" w:sz="0" w:space="0" w:color="auto"/>
        <w:bottom w:val="none" w:sz="0" w:space="0" w:color="auto"/>
        <w:right w:val="none" w:sz="0" w:space="0" w:color="auto"/>
      </w:divBdr>
    </w:div>
    <w:div w:id="597567521">
      <w:bodyDiv w:val="1"/>
      <w:marLeft w:val="0"/>
      <w:marRight w:val="0"/>
      <w:marTop w:val="0"/>
      <w:marBottom w:val="0"/>
      <w:divBdr>
        <w:top w:val="none" w:sz="0" w:space="0" w:color="auto"/>
        <w:left w:val="none" w:sz="0" w:space="0" w:color="auto"/>
        <w:bottom w:val="none" w:sz="0" w:space="0" w:color="auto"/>
        <w:right w:val="none" w:sz="0" w:space="0" w:color="auto"/>
      </w:divBdr>
    </w:div>
    <w:div w:id="601039083">
      <w:bodyDiv w:val="1"/>
      <w:marLeft w:val="0"/>
      <w:marRight w:val="0"/>
      <w:marTop w:val="0"/>
      <w:marBottom w:val="0"/>
      <w:divBdr>
        <w:top w:val="none" w:sz="0" w:space="0" w:color="auto"/>
        <w:left w:val="none" w:sz="0" w:space="0" w:color="auto"/>
        <w:bottom w:val="none" w:sz="0" w:space="0" w:color="auto"/>
        <w:right w:val="none" w:sz="0" w:space="0" w:color="auto"/>
      </w:divBdr>
    </w:div>
    <w:div w:id="604653701">
      <w:bodyDiv w:val="1"/>
      <w:marLeft w:val="0"/>
      <w:marRight w:val="0"/>
      <w:marTop w:val="0"/>
      <w:marBottom w:val="0"/>
      <w:divBdr>
        <w:top w:val="none" w:sz="0" w:space="0" w:color="auto"/>
        <w:left w:val="none" w:sz="0" w:space="0" w:color="auto"/>
        <w:bottom w:val="none" w:sz="0" w:space="0" w:color="auto"/>
        <w:right w:val="none" w:sz="0" w:space="0" w:color="auto"/>
      </w:divBdr>
    </w:div>
    <w:div w:id="604966914">
      <w:bodyDiv w:val="1"/>
      <w:marLeft w:val="0"/>
      <w:marRight w:val="0"/>
      <w:marTop w:val="0"/>
      <w:marBottom w:val="0"/>
      <w:divBdr>
        <w:top w:val="none" w:sz="0" w:space="0" w:color="auto"/>
        <w:left w:val="none" w:sz="0" w:space="0" w:color="auto"/>
        <w:bottom w:val="none" w:sz="0" w:space="0" w:color="auto"/>
        <w:right w:val="none" w:sz="0" w:space="0" w:color="auto"/>
      </w:divBdr>
    </w:div>
    <w:div w:id="605119172">
      <w:bodyDiv w:val="1"/>
      <w:marLeft w:val="0"/>
      <w:marRight w:val="0"/>
      <w:marTop w:val="0"/>
      <w:marBottom w:val="0"/>
      <w:divBdr>
        <w:top w:val="none" w:sz="0" w:space="0" w:color="auto"/>
        <w:left w:val="none" w:sz="0" w:space="0" w:color="auto"/>
        <w:bottom w:val="none" w:sz="0" w:space="0" w:color="auto"/>
        <w:right w:val="none" w:sz="0" w:space="0" w:color="auto"/>
      </w:divBdr>
    </w:div>
    <w:div w:id="605769174">
      <w:bodyDiv w:val="1"/>
      <w:marLeft w:val="0"/>
      <w:marRight w:val="0"/>
      <w:marTop w:val="0"/>
      <w:marBottom w:val="0"/>
      <w:divBdr>
        <w:top w:val="none" w:sz="0" w:space="0" w:color="auto"/>
        <w:left w:val="none" w:sz="0" w:space="0" w:color="auto"/>
        <w:bottom w:val="none" w:sz="0" w:space="0" w:color="auto"/>
        <w:right w:val="none" w:sz="0" w:space="0" w:color="auto"/>
      </w:divBdr>
    </w:div>
    <w:div w:id="605968526">
      <w:bodyDiv w:val="1"/>
      <w:marLeft w:val="0"/>
      <w:marRight w:val="0"/>
      <w:marTop w:val="0"/>
      <w:marBottom w:val="0"/>
      <w:divBdr>
        <w:top w:val="none" w:sz="0" w:space="0" w:color="auto"/>
        <w:left w:val="none" w:sz="0" w:space="0" w:color="auto"/>
        <w:bottom w:val="none" w:sz="0" w:space="0" w:color="auto"/>
        <w:right w:val="none" w:sz="0" w:space="0" w:color="auto"/>
      </w:divBdr>
    </w:div>
    <w:div w:id="616982392">
      <w:bodyDiv w:val="1"/>
      <w:marLeft w:val="0"/>
      <w:marRight w:val="0"/>
      <w:marTop w:val="0"/>
      <w:marBottom w:val="0"/>
      <w:divBdr>
        <w:top w:val="none" w:sz="0" w:space="0" w:color="auto"/>
        <w:left w:val="none" w:sz="0" w:space="0" w:color="auto"/>
        <w:bottom w:val="none" w:sz="0" w:space="0" w:color="auto"/>
        <w:right w:val="none" w:sz="0" w:space="0" w:color="auto"/>
      </w:divBdr>
    </w:div>
    <w:div w:id="620692720">
      <w:bodyDiv w:val="1"/>
      <w:marLeft w:val="0"/>
      <w:marRight w:val="0"/>
      <w:marTop w:val="0"/>
      <w:marBottom w:val="0"/>
      <w:divBdr>
        <w:top w:val="none" w:sz="0" w:space="0" w:color="auto"/>
        <w:left w:val="none" w:sz="0" w:space="0" w:color="auto"/>
        <w:bottom w:val="none" w:sz="0" w:space="0" w:color="auto"/>
        <w:right w:val="none" w:sz="0" w:space="0" w:color="auto"/>
      </w:divBdr>
    </w:div>
    <w:div w:id="625160259">
      <w:bodyDiv w:val="1"/>
      <w:marLeft w:val="0"/>
      <w:marRight w:val="0"/>
      <w:marTop w:val="0"/>
      <w:marBottom w:val="0"/>
      <w:divBdr>
        <w:top w:val="none" w:sz="0" w:space="0" w:color="auto"/>
        <w:left w:val="none" w:sz="0" w:space="0" w:color="auto"/>
        <w:bottom w:val="none" w:sz="0" w:space="0" w:color="auto"/>
        <w:right w:val="none" w:sz="0" w:space="0" w:color="auto"/>
      </w:divBdr>
    </w:div>
    <w:div w:id="626812327">
      <w:bodyDiv w:val="1"/>
      <w:marLeft w:val="0"/>
      <w:marRight w:val="0"/>
      <w:marTop w:val="0"/>
      <w:marBottom w:val="0"/>
      <w:divBdr>
        <w:top w:val="none" w:sz="0" w:space="0" w:color="auto"/>
        <w:left w:val="none" w:sz="0" w:space="0" w:color="auto"/>
        <w:bottom w:val="none" w:sz="0" w:space="0" w:color="auto"/>
        <w:right w:val="none" w:sz="0" w:space="0" w:color="auto"/>
      </w:divBdr>
    </w:div>
    <w:div w:id="627319907">
      <w:bodyDiv w:val="1"/>
      <w:marLeft w:val="0"/>
      <w:marRight w:val="0"/>
      <w:marTop w:val="0"/>
      <w:marBottom w:val="0"/>
      <w:divBdr>
        <w:top w:val="none" w:sz="0" w:space="0" w:color="auto"/>
        <w:left w:val="none" w:sz="0" w:space="0" w:color="auto"/>
        <w:bottom w:val="none" w:sz="0" w:space="0" w:color="auto"/>
        <w:right w:val="none" w:sz="0" w:space="0" w:color="auto"/>
      </w:divBdr>
    </w:div>
    <w:div w:id="632441790">
      <w:bodyDiv w:val="1"/>
      <w:marLeft w:val="0"/>
      <w:marRight w:val="0"/>
      <w:marTop w:val="0"/>
      <w:marBottom w:val="0"/>
      <w:divBdr>
        <w:top w:val="none" w:sz="0" w:space="0" w:color="auto"/>
        <w:left w:val="none" w:sz="0" w:space="0" w:color="auto"/>
        <w:bottom w:val="none" w:sz="0" w:space="0" w:color="auto"/>
        <w:right w:val="none" w:sz="0" w:space="0" w:color="auto"/>
      </w:divBdr>
    </w:div>
    <w:div w:id="632828778">
      <w:bodyDiv w:val="1"/>
      <w:marLeft w:val="0"/>
      <w:marRight w:val="0"/>
      <w:marTop w:val="0"/>
      <w:marBottom w:val="0"/>
      <w:divBdr>
        <w:top w:val="none" w:sz="0" w:space="0" w:color="auto"/>
        <w:left w:val="none" w:sz="0" w:space="0" w:color="auto"/>
        <w:bottom w:val="none" w:sz="0" w:space="0" w:color="auto"/>
        <w:right w:val="none" w:sz="0" w:space="0" w:color="auto"/>
      </w:divBdr>
    </w:div>
    <w:div w:id="636497205">
      <w:bodyDiv w:val="1"/>
      <w:marLeft w:val="0"/>
      <w:marRight w:val="0"/>
      <w:marTop w:val="0"/>
      <w:marBottom w:val="0"/>
      <w:divBdr>
        <w:top w:val="none" w:sz="0" w:space="0" w:color="auto"/>
        <w:left w:val="none" w:sz="0" w:space="0" w:color="auto"/>
        <w:bottom w:val="none" w:sz="0" w:space="0" w:color="auto"/>
        <w:right w:val="none" w:sz="0" w:space="0" w:color="auto"/>
      </w:divBdr>
    </w:div>
    <w:div w:id="644119379">
      <w:bodyDiv w:val="1"/>
      <w:marLeft w:val="0"/>
      <w:marRight w:val="0"/>
      <w:marTop w:val="0"/>
      <w:marBottom w:val="0"/>
      <w:divBdr>
        <w:top w:val="none" w:sz="0" w:space="0" w:color="auto"/>
        <w:left w:val="none" w:sz="0" w:space="0" w:color="auto"/>
        <w:bottom w:val="none" w:sz="0" w:space="0" w:color="auto"/>
        <w:right w:val="none" w:sz="0" w:space="0" w:color="auto"/>
      </w:divBdr>
    </w:div>
    <w:div w:id="644699509">
      <w:bodyDiv w:val="1"/>
      <w:marLeft w:val="0"/>
      <w:marRight w:val="0"/>
      <w:marTop w:val="0"/>
      <w:marBottom w:val="0"/>
      <w:divBdr>
        <w:top w:val="none" w:sz="0" w:space="0" w:color="auto"/>
        <w:left w:val="none" w:sz="0" w:space="0" w:color="auto"/>
        <w:bottom w:val="none" w:sz="0" w:space="0" w:color="auto"/>
        <w:right w:val="none" w:sz="0" w:space="0" w:color="auto"/>
      </w:divBdr>
    </w:div>
    <w:div w:id="647128626">
      <w:bodyDiv w:val="1"/>
      <w:marLeft w:val="0"/>
      <w:marRight w:val="0"/>
      <w:marTop w:val="0"/>
      <w:marBottom w:val="0"/>
      <w:divBdr>
        <w:top w:val="none" w:sz="0" w:space="0" w:color="auto"/>
        <w:left w:val="none" w:sz="0" w:space="0" w:color="auto"/>
        <w:bottom w:val="none" w:sz="0" w:space="0" w:color="auto"/>
        <w:right w:val="none" w:sz="0" w:space="0" w:color="auto"/>
      </w:divBdr>
    </w:div>
    <w:div w:id="649603354">
      <w:bodyDiv w:val="1"/>
      <w:marLeft w:val="0"/>
      <w:marRight w:val="0"/>
      <w:marTop w:val="0"/>
      <w:marBottom w:val="0"/>
      <w:divBdr>
        <w:top w:val="none" w:sz="0" w:space="0" w:color="auto"/>
        <w:left w:val="none" w:sz="0" w:space="0" w:color="auto"/>
        <w:bottom w:val="none" w:sz="0" w:space="0" w:color="auto"/>
        <w:right w:val="none" w:sz="0" w:space="0" w:color="auto"/>
      </w:divBdr>
    </w:div>
    <w:div w:id="656226532">
      <w:bodyDiv w:val="1"/>
      <w:marLeft w:val="0"/>
      <w:marRight w:val="0"/>
      <w:marTop w:val="0"/>
      <w:marBottom w:val="0"/>
      <w:divBdr>
        <w:top w:val="none" w:sz="0" w:space="0" w:color="auto"/>
        <w:left w:val="none" w:sz="0" w:space="0" w:color="auto"/>
        <w:bottom w:val="none" w:sz="0" w:space="0" w:color="auto"/>
        <w:right w:val="none" w:sz="0" w:space="0" w:color="auto"/>
      </w:divBdr>
    </w:div>
    <w:div w:id="660275855">
      <w:bodyDiv w:val="1"/>
      <w:marLeft w:val="0"/>
      <w:marRight w:val="0"/>
      <w:marTop w:val="0"/>
      <w:marBottom w:val="0"/>
      <w:divBdr>
        <w:top w:val="none" w:sz="0" w:space="0" w:color="auto"/>
        <w:left w:val="none" w:sz="0" w:space="0" w:color="auto"/>
        <w:bottom w:val="none" w:sz="0" w:space="0" w:color="auto"/>
        <w:right w:val="none" w:sz="0" w:space="0" w:color="auto"/>
      </w:divBdr>
    </w:div>
    <w:div w:id="661355323">
      <w:bodyDiv w:val="1"/>
      <w:marLeft w:val="0"/>
      <w:marRight w:val="0"/>
      <w:marTop w:val="0"/>
      <w:marBottom w:val="0"/>
      <w:divBdr>
        <w:top w:val="none" w:sz="0" w:space="0" w:color="auto"/>
        <w:left w:val="none" w:sz="0" w:space="0" w:color="auto"/>
        <w:bottom w:val="none" w:sz="0" w:space="0" w:color="auto"/>
        <w:right w:val="none" w:sz="0" w:space="0" w:color="auto"/>
      </w:divBdr>
    </w:div>
    <w:div w:id="668558036">
      <w:bodyDiv w:val="1"/>
      <w:marLeft w:val="0"/>
      <w:marRight w:val="0"/>
      <w:marTop w:val="0"/>
      <w:marBottom w:val="0"/>
      <w:divBdr>
        <w:top w:val="none" w:sz="0" w:space="0" w:color="auto"/>
        <w:left w:val="none" w:sz="0" w:space="0" w:color="auto"/>
        <w:bottom w:val="none" w:sz="0" w:space="0" w:color="auto"/>
        <w:right w:val="none" w:sz="0" w:space="0" w:color="auto"/>
      </w:divBdr>
    </w:div>
    <w:div w:id="671495623">
      <w:bodyDiv w:val="1"/>
      <w:marLeft w:val="0"/>
      <w:marRight w:val="0"/>
      <w:marTop w:val="0"/>
      <w:marBottom w:val="0"/>
      <w:divBdr>
        <w:top w:val="none" w:sz="0" w:space="0" w:color="auto"/>
        <w:left w:val="none" w:sz="0" w:space="0" w:color="auto"/>
        <w:bottom w:val="none" w:sz="0" w:space="0" w:color="auto"/>
        <w:right w:val="none" w:sz="0" w:space="0" w:color="auto"/>
      </w:divBdr>
    </w:div>
    <w:div w:id="671756059">
      <w:bodyDiv w:val="1"/>
      <w:marLeft w:val="0"/>
      <w:marRight w:val="0"/>
      <w:marTop w:val="0"/>
      <w:marBottom w:val="0"/>
      <w:divBdr>
        <w:top w:val="none" w:sz="0" w:space="0" w:color="auto"/>
        <w:left w:val="none" w:sz="0" w:space="0" w:color="auto"/>
        <w:bottom w:val="none" w:sz="0" w:space="0" w:color="auto"/>
        <w:right w:val="none" w:sz="0" w:space="0" w:color="auto"/>
      </w:divBdr>
    </w:div>
    <w:div w:id="676618708">
      <w:bodyDiv w:val="1"/>
      <w:marLeft w:val="0"/>
      <w:marRight w:val="0"/>
      <w:marTop w:val="0"/>
      <w:marBottom w:val="0"/>
      <w:divBdr>
        <w:top w:val="none" w:sz="0" w:space="0" w:color="auto"/>
        <w:left w:val="none" w:sz="0" w:space="0" w:color="auto"/>
        <w:bottom w:val="none" w:sz="0" w:space="0" w:color="auto"/>
        <w:right w:val="none" w:sz="0" w:space="0" w:color="auto"/>
      </w:divBdr>
    </w:div>
    <w:div w:id="681131599">
      <w:bodyDiv w:val="1"/>
      <w:marLeft w:val="0"/>
      <w:marRight w:val="0"/>
      <w:marTop w:val="0"/>
      <w:marBottom w:val="0"/>
      <w:divBdr>
        <w:top w:val="none" w:sz="0" w:space="0" w:color="auto"/>
        <w:left w:val="none" w:sz="0" w:space="0" w:color="auto"/>
        <w:bottom w:val="none" w:sz="0" w:space="0" w:color="auto"/>
        <w:right w:val="none" w:sz="0" w:space="0" w:color="auto"/>
      </w:divBdr>
    </w:div>
    <w:div w:id="688485628">
      <w:bodyDiv w:val="1"/>
      <w:marLeft w:val="0"/>
      <w:marRight w:val="0"/>
      <w:marTop w:val="0"/>
      <w:marBottom w:val="0"/>
      <w:divBdr>
        <w:top w:val="none" w:sz="0" w:space="0" w:color="auto"/>
        <w:left w:val="none" w:sz="0" w:space="0" w:color="auto"/>
        <w:bottom w:val="none" w:sz="0" w:space="0" w:color="auto"/>
        <w:right w:val="none" w:sz="0" w:space="0" w:color="auto"/>
      </w:divBdr>
    </w:div>
    <w:div w:id="695542753">
      <w:bodyDiv w:val="1"/>
      <w:marLeft w:val="0"/>
      <w:marRight w:val="0"/>
      <w:marTop w:val="0"/>
      <w:marBottom w:val="0"/>
      <w:divBdr>
        <w:top w:val="none" w:sz="0" w:space="0" w:color="auto"/>
        <w:left w:val="none" w:sz="0" w:space="0" w:color="auto"/>
        <w:bottom w:val="none" w:sz="0" w:space="0" w:color="auto"/>
        <w:right w:val="none" w:sz="0" w:space="0" w:color="auto"/>
      </w:divBdr>
    </w:div>
    <w:div w:id="698433406">
      <w:bodyDiv w:val="1"/>
      <w:marLeft w:val="0"/>
      <w:marRight w:val="0"/>
      <w:marTop w:val="0"/>
      <w:marBottom w:val="0"/>
      <w:divBdr>
        <w:top w:val="none" w:sz="0" w:space="0" w:color="auto"/>
        <w:left w:val="none" w:sz="0" w:space="0" w:color="auto"/>
        <w:bottom w:val="none" w:sz="0" w:space="0" w:color="auto"/>
        <w:right w:val="none" w:sz="0" w:space="0" w:color="auto"/>
      </w:divBdr>
    </w:div>
    <w:div w:id="703823329">
      <w:bodyDiv w:val="1"/>
      <w:marLeft w:val="0"/>
      <w:marRight w:val="0"/>
      <w:marTop w:val="0"/>
      <w:marBottom w:val="0"/>
      <w:divBdr>
        <w:top w:val="none" w:sz="0" w:space="0" w:color="auto"/>
        <w:left w:val="none" w:sz="0" w:space="0" w:color="auto"/>
        <w:bottom w:val="none" w:sz="0" w:space="0" w:color="auto"/>
        <w:right w:val="none" w:sz="0" w:space="0" w:color="auto"/>
      </w:divBdr>
    </w:div>
    <w:div w:id="708650156">
      <w:bodyDiv w:val="1"/>
      <w:marLeft w:val="0"/>
      <w:marRight w:val="0"/>
      <w:marTop w:val="0"/>
      <w:marBottom w:val="0"/>
      <w:divBdr>
        <w:top w:val="none" w:sz="0" w:space="0" w:color="auto"/>
        <w:left w:val="none" w:sz="0" w:space="0" w:color="auto"/>
        <w:bottom w:val="none" w:sz="0" w:space="0" w:color="auto"/>
        <w:right w:val="none" w:sz="0" w:space="0" w:color="auto"/>
      </w:divBdr>
    </w:div>
    <w:div w:id="708913588">
      <w:bodyDiv w:val="1"/>
      <w:marLeft w:val="0"/>
      <w:marRight w:val="0"/>
      <w:marTop w:val="0"/>
      <w:marBottom w:val="0"/>
      <w:divBdr>
        <w:top w:val="none" w:sz="0" w:space="0" w:color="auto"/>
        <w:left w:val="none" w:sz="0" w:space="0" w:color="auto"/>
        <w:bottom w:val="none" w:sz="0" w:space="0" w:color="auto"/>
        <w:right w:val="none" w:sz="0" w:space="0" w:color="auto"/>
      </w:divBdr>
    </w:div>
    <w:div w:id="713231581">
      <w:bodyDiv w:val="1"/>
      <w:marLeft w:val="0"/>
      <w:marRight w:val="0"/>
      <w:marTop w:val="0"/>
      <w:marBottom w:val="0"/>
      <w:divBdr>
        <w:top w:val="none" w:sz="0" w:space="0" w:color="auto"/>
        <w:left w:val="none" w:sz="0" w:space="0" w:color="auto"/>
        <w:bottom w:val="none" w:sz="0" w:space="0" w:color="auto"/>
        <w:right w:val="none" w:sz="0" w:space="0" w:color="auto"/>
      </w:divBdr>
    </w:div>
    <w:div w:id="713625206">
      <w:bodyDiv w:val="1"/>
      <w:marLeft w:val="0"/>
      <w:marRight w:val="0"/>
      <w:marTop w:val="0"/>
      <w:marBottom w:val="0"/>
      <w:divBdr>
        <w:top w:val="none" w:sz="0" w:space="0" w:color="auto"/>
        <w:left w:val="none" w:sz="0" w:space="0" w:color="auto"/>
        <w:bottom w:val="none" w:sz="0" w:space="0" w:color="auto"/>
        <w:right w:val="none" w:sz="0" w:space="0" w:color="auto"/>
      </w:divBdr>
    </w:div>
    <w:div w:id="721289999">
      <w:bodyDiv w:val="1"/>
      <w:marLeft w:val="0"/>
      <w:marRight w:val="0"/>
      <w:marTop w:val="0"/>
      <w:marBottom w:val="0"/>
      <w:divBdr>
        <w:top w:val="none" w:sz="0" w:space="0" w:color="auto"/>
        <w:left w:val="none" w:sz="0" w:space="0" w:color="auto"/>
        <w:bottom w:val="none" w:sz="0" w:space="0" w:color="auto"/>
        <w:right w:val="none" w:sz="0" w:space="0" w:color="auto"/>
      </w:divBdr>
    </w:div>
    <w:div w:id="734818175">
      <w:bodyDiv w:val="1"/>
      <w:marLeft w:val="0"/>
      <w:marRight w:val="0"/>
      <w:marTop w:val="0"/>
      <w:marBottom w:val="0"/>
      <w:divBdr>
        <w:top w:val="none" w:sz="0" w:space="0" w:color="auto"/>
        <w:left w:val="none" w:sz="0" w:space="0" w:color="auto"/>
        <w:bottom w:val="none" w:sz="0" w:space="0" w:color="auto"/>
        <w:right w:val="none" w:sz="0" w:space="0" w:color="auto"/>
      </w:divBdr>
    </w:div>
    <w:div w:id="738600081">
      <w:bodyDiv w:val="1"/>
      <w:marLeft w:val="0"/>
      <w:marRight w:val="0"/>
      <w:marTop w:val="0"/>
      <w:marBottom w:val="0"/>
      <w:divBdr>
        <w:top w:val="none" w:sz="0" w:space="0" w:color="auto"/>
        <w:left w:val="none" w:sz="0" w:space="0" w:color="auto"/>
        <w:bottom w:val="none" w:sz="0" w:space="0" w:color="auto"/>
        <w:right w:val="none" w:sz="0" w:space="0" w:color="auto"/>
      </w:divBdr>
    </w:div>
    <w:div w:id="738795523">
      <w:bodyDiv w:val="1"/>
      <w:marLeft w:val="0"/>
      <w:marRight w:val="0"/>
      <w:marTop w:val="0"/>
      <w:marBottom w:val="0"/>
      <w:divBdr>
        <w:top w:val="none" w:sz="0" w:space="0" w:color="auto"/>
        <w:left w:val="none" w:sz="0" w:space="0" w:color="auto"/>
        <w:bottom w:val="none" w:sz="0" w:space="0" w:color="auto"/>
        <w:right w:val="none" w:sz="0" w:space="0" w:color="auto"/>
      </w:divBdr>
    </w:div>
    <w:div w:id="742681475">
      <w:bodyDiv w:val="1"/>
      <w:marLeft w:val="0"/>
      <w:marRight w:val="0"/>
      <w:marTop w:val="0"/>
      <w:marBottom w:val="0"/>
      <w:divBdr>
        <w:top w:val="none" w:sz="0" w:space="0" w:color="auto"/>
        <w:left w:val="none" w:sz="0" w:space="0" w:color="auto"/>
        <w:bottom w:val="none" w:sz="0" w:space="0" w:color="auto"/>
        <w:right w:val="none" w:sz="0" w:space="0" w:color="auto"/>
      </w:divBdr>
    </w:div>
    <w:div w:id="744692360">
      <w:bodyDiv w:val="1"/>
      <w:marLeft w:val="0"/>
      <w:marRight w:val="0"/>
      <w:marTop w:val="0"/>
      <w:marBottom w:val="0"/>
      <w:divBdr>
        <w:top w:val="none" w:sz="0" w:space="0" w:color="auto"/>
        <w:left w:val="none" w:sz="0" w:space="0" w:color="auto"/>
        <w:bottom w:val="none" w:sz="0" w:space="0" w:color="auto"/>
        <w:right w:val="none" w:sz="0" w:space="0" w:color="auto"/>
      </w:divBdr>
    </w:div>
    <w:div w:id="748969541">
      <w:bodyDiv w:val="1"/>
      <w:marLeft w:val="0"/>
      <w:marRight w:val="0"/>
      <w:marTop w:val="0"/>
      <w:marBottom w:val="0"/>
      <w:divBdr>
        <w:top w:val="none" w:sz="0" w:space="0" w:color="auto"/>
        <w:left w:val="none" w:sz="0" w:space="0" w:color="auto"/>
        <w:bottom w:val="none" w:sz="0" w:space="0" w:color="auto"/>
        <w:right w:val="none" w:sz="0" w:space="0" w:color="auto"/>
      </w:divBdr>
    </w:div>
    <w:div w:id="749351804">
      <w:bodyDiv w:val="1"/>
      <w:marLeft w:val="0"/>
      <w:marRight w:val="0"/>
      <w:marTop w:val="0"/>
      <w:marBottom w:val="0"/>
      <w:divBdr>
        <w:top w:val="none" w:sz="0" w:space="0" w:color="auto"/>
        <w:left w:val="none" w:sz="0" w:space="0" w:color="auto"/>
        <w:bottom w:val="none" w:sz="0" w:space="0" w:color="auto"/>
        <w:right w:val="none" w:sz="0" w:space="0" w:color="auto"/>
      </w:divBdr>
    </w:div>
    <w:div w:id="753740909">
      <w:bodyDiv w:val="1"/>
      <w:marLeft w:val="0"/>
      <w:marRight w:val="0"/>
      <w:marTop w:val="0"/>
      <w:marBottom w:val="0"/>
      <w:divBdr>
        <w:top w:val="none" w:sz="0" w:space="0" w:color="auto"/>
        <w:left w:val="none" w:sz="0" w:space="0" w:color="auto"/>
        <w:bottom w:val="none" w:sz="0" w:space="0" w:color="auto"/>
        <w:right w:val="none" w:sz="0" w:space="0" w:color="auto"/>
      </w:divBdr>
    </w:div>
    <w:div w:id="757405522">
      <w:bodyDiv w:val="1"/>
      <w:marLeft w:val="0"/>
      <w:marRight w:val="0"/>
      <w:marTop w:val="0"/>
      <w:marBottom w:val="0"/>
      <w:divBdr>
        <w:top w:val="none" w:sz="0" w:space="0" w:color="auto"/>
        <w:left w:val="none" w:sz="0" w:space="0" w:color="auto"/>
        <w:bottom w:val="none" w:sz="0" w:space="0" w:color="auto"/>
        <w:right w:val="none" w:sz="0" w:space="0" w:color="auto"/>
      </w:divBdr>
    </w:div>
    <w:div w:id="758789007">
      <w:bodyDiv w:val="1"/>
      <w:marLeft w:val="0"/>
      <w:marRight w:val="0"/>
      <w:marTop w:val="0"/>
      <w:marBottom w:val="0"/>
      <w:divBdr>
        <w:top w:val="none" w:sz="0" w:space="0" w:color="auto"/>
        <w:left w:val="none" w:sz="0" w:space="0" w:color="auto"/>
        <w:bottom w:val="none" w:sz="0" w:space="0" w:color="auto"/>
        <w:right w:val="none" w:sz="0" w:space="0" w:color="auto"/>
      </w:divBdr>
    </w:div>
    <w:div w:id="758985458">
      <w:bodyDiv w:val="1"/>
      <w:marLeft w:val="0"/>
      <w:marRight w:val="0"/>
      <w:marTop w:val="0"/>
      <w:marBottom w:val="0"/>
      <w:divBdr>
        <w:top w:val="none" w:sz="0" w:space="0" w:color="auto"/>
        <w:left w:val="none" w:sz="0" w:space="0" w:color="auto"/>
        <w:bottom w:val="none" w:sz="0" w:space="0" w:color="auto"/>
        <w:right w:val="none" w:sz="0" w:space="0" w:color="auto"/>
      </w:divBdr>
    </w:div>
    <w:div w:id="761877572">
      <w:bodyDiv w:val="1"/>
      <w:marLeft w:val="0"/>
      <w:marRight w:val="0"/>
      <w:marTop w:val="0"/>
      <w:marBottom w:val="0"/>
      <w:divBdr>
        <w:top w:val="none" w:sz="0" w:space="0" w:color="auto"/>
        <w:left w:val="none" w:sz="0" w:space="0" w:color="auto"/>
        <w:bottom w:val="none" w:sz="0" w:space="0" w:color="auto"/>
        <w:right w:val="none" w:sz="0" w:space="0" w:color="auto"/>
      </w:divBdr>
    </w:div>
    <w:div w:id="766851224">
      <w:bodyDiv w:val="1"/>
      <w:marLeft w:val="0"/>
      <w:marRight w:val="0"/>
      <w:marTop w:val="0"/>
      <w:marBottom w:val="0"/>
      <w:divBdr>
        <w:top w:val="none" w:sz="0" w:space="0" w:color="auto"/>
        <w:left w:val="none" w:sz="0" w:space="0" w:color="auto"/>
        <w:bottom w:val="none" w:sz="0" w:space="0" w:color="auto"/>
        <w:right w:val="none" w:sz="0" w:space="0" w:color="auto"/>
      </w:divBdr>
    </w:div>
    <w:div w:id="773551248">
      <w:bodyDiv w:val="1"/>
      <w:marLeft w:val="0"/>
      <w:marRight w:val="0"/>
      <w:marTop w:val="0"/>
      <w:marBottom w:val="0"/>
      <w:divBdr>
        <w:top w:val="none" w:sz="0" w:space="0" w:color="auto"/>
        <w:left w:val="none" w:sz="0" w:space="0" w:color="auto"/>
        <w:bottom w:val="none" w:sz="0" w:space="0" w:color="auto"/>
        <w:right w:val="none" w:sz="0" w:space="0" w:color="auto"/>
      </w:divBdr>
    </w:div>
    <w:div w:id="785122405">
      <w:bodyDiv w:val="1"/>
      <w:marLeft w:val="0"/>
      <w:marRight w:val="0"/>
      <w:marTop w:val="0"/>
      <w:marBottom w:val="0"/>
      <w:divBdr>
        <w:top w:val="none" w:sz="0" w:space="0" w:color="auto"/>
        <w:left w:val="none" w:sz="0" w:space="0" w:color="auto"/>
        <w:bottom w:val="none" w:sz="0" w:space="0" w:color="auto"/>
        <w:right w:val="none" w:sz="0" w:space="0" w:color="auto"/>
      </w:divBdr>
    </w:div>
    <w:div w:id="786311469">
      <w:bodyDiv w:val="1"/>
      <w:marLeft w:val="0"/>
      <w:marRight w:val="0"/>
      <w:marTop w:val="0"/>
      <w:marBottom w:val="0"/>
      <w:divBdr>
        <w:top w:val="none" w:sz="0" w:space="0" w:color="auto"/>
        <w:left w:val="none" w:sz="0" w:space="0" w:color="auto"/>
        <w:bottom w:val="none" w:sz="0" w:space="0" w:color="auto"/>
        <w:right w:val="none" w:sz="0" w:space="0" w:color="auto"/>
      </w:divBdr>
    </w:div>
    <w:div w:id="786697801">
      <w:bodyDiv w:val="1"/>
      <w:marLeft w:val="0"/>
      <w:marRight w:val="0"/>
      <w:marTop w:val="0"/>
      <w:marBottom w:val="0"/>
      <w:divBdr>
        <w:top w:val="none" w:sz="0" w:space="0" w:color="auto"/>
        <w:left w:val="none" w:sz="0" w:space="0" w:color="auto"/>
        <w:bottom w:val="none" w:sz="0" w:space="0" w:color="auto"/>
        <w:right w:val="none" w:sz="0" w:space="0" w:color="auto"/>
      </w:divBdr>
    </w:div>
    <w:div w:id="789127165">
      <w:bodyDiv w:val="1"/>
      <w:marLeft w:val="0"/>
      <w:marRight w:val="0"/>
      <w:marTop w:val="0"/>
      <w:marBottom w:val="0"/>
      <w:divBdr>
        <w:top w:val="none" w:sz="0" w:space="0" w:color="auto"/>
        <w:left w:val="none" w:sz="0" w:space="0" w:color="auto"/>
        <w:bottom w:val="none" w:sz="0" w:space="0" w:color="auto"/>
        <w:right w:val="none" w:sz="0" w:space="0" w:color="auto"/>
      </w:divBdr>
    </w:div>
    <w:div w:id="795175595">
      <w:bodyDiv w:val="1"/>
      <w:marLeft w:val="0"/>
      <w:marRight w:val="0"/>
      <w:marTop w:val="0"/>
      <w:marBottom w:val="0"/>
      <w:divBdr>
        <w:top w:val="none" w:sz="0" w:space="0" w:color="auto"/>
        <w:left w:val="none" w:sz="0" w:space="0" w:color="auto"/>
        <w:bottom w:val="none" w:sz="0" w:space="0" w:color="auto"/>
        <w:right w:val="none" w:sz="0" w:space="0" w:color="auto"/>
      </w:divBdr>
    </w:div>
    <w:div w:id="795176441">
      <w:bodyDiv w:val="1"/>
      <w:marLeft w:val="0"/>
      <w:marRight w:val="0"/>
      <w:marTop w:val="0"/>
      <w:marBottom w:val="0"/>
      <w:divBdr>
        <w:top w:val="none" w:sz="0" w:space="0" w:color="auto"/>
        <w:left w:val="none" w:sz="0" w:space="0" w:color="auto"/>
        <w:bottom w:val="none" w:sz="0" w:space="0" w:color="auto"/>
        <w:right w:val="none" w:sz="0" w:space="0" w:color="auto"/>
      </w:divBdr>
    </w:div>
    <w:div w:id="800657604">
      <w:bodyDiv w:val="1"/>
      <w:marLeft w:val="0"/>
      <w:marRight w:val="0"/>
      <w:marTop w:val="0"/>
      <w:marBottom w:val="0"/>
      <w:divBdr>
        <w:top w:val="none" w:sz="0" w:space="0" w:color="auto"/>
        <w:left w:val="none" w:sz="0" w:space="0" w:color="auto"/>
        <w:bottom w:val="none" w:sz="0" w:space="0" w:color="auto"/>
        <w:right w:val="none" w:sz="0" w:space="0" w:color="auto"/>
      </w:divBdr>
    </w:div>
    <w:div w:id="806780391">
      <w:bodyDiv w:val="1"/>
      <w:marLeft w:val="0"/>
      <w:marRight w:val="0"/>
      <w:marTop w:val="0"/>
      <w:marBottom w:val="0"/>
      <w:divBdr>
        <w:top w:val="none" w:sz="0" w:space="0" w:color="auto"/>
        <w:left w:val="none" w:sz="0" w:space="0" w:color="auto"/>
        <w:bottom w:val="none" w:sz="0" w:space="0" w:color="auto"/>
        <w:right w:val="none" w:sz="0" w:space="0" w:color="auto"/>
      </w:divBdr>
    </w:div>
    <w:div w:id="807014367">
      <w:bodyDiv w:val="1"/>
      <w:marLeft w:val="0"/>
      <w:marRight w:val="0"/>
      <w:marTop w:val="0"/>
      <w:marBottom w:val="0"/>
      <w:divBdr>
        <w:top w:val="none" w:sz="0" w:space="0" w:color="auto"/>
        <w:left w:val="none" w:sz="0" w:space="0" w:color="auto"/>
        <w:bottom w:val="none" w:sz="0" w:space="0" w:color="auto"/>
        <w:right w:val="none" w:sz="0" w:space="0" w:color="auto"/>
      </w:divBdr>
    </w:div>
    <w:div w:id="810712436">
      <w:bodyDiv w:val="1"/>
      <w:marLeft w:val="0"/>
      <w:marRight w:val="0"/>
      <w:marTop w:val="0"/>
      <w:marBottom w:val="0"/>
      <w:divBdr>
        <w:top w:val="none" w:sz="0" w:space="0" w:color="auto"/>
        <w:left w:val="none" w:sz="0" w:space="0" w:color="auto"/>
        <w:bottom w:val="none" w:sz="0" w:space="0" w:color="auto"/>
        <w:right w:val="none" w:sz="0" w:space="0" w:color="auto"/>
      </w:divBdr>
    </w:div>
    <w:div w:id="810945515">
      <w:bodyDiv w:val="1"/>
      <w:marLeft w:val="0"/>
      <w:marRight w:val="0"/>
      <w:marTop w:val="0"/>
      <w:marBottom w:val="0"/>
      <w:divBdr>
        <w:top w:val="none" w:sz="0" w:space="0" w:color="auto"/>
        <w:left w:val="none" w:sz="0" w:space="0" w:color="auto"/>
        <w:bottom w:val="none" w:sz="0" w:space="0" w:color="auto"/>
        <w:right w:val="none" w:sz="0" w:space="0" w:color="auto"/>
      </w:divBdr>
    </w:div>
    <w:div w:id="814685470">
      <w:bodyDiv w:val="1"/>
      <w:marLeft w:val="0"/>
      <w:marRight w:val="0"/>
      <w:marTop w:val="0"/>
      <w:marBottom w:val="0"/>
      <w:divBdr>
        <w:top w:val="none" w:sz="0" w:space="0" w:color="auto"/>
        <w:left w:val="none" w:sz="0" w:space="0" w:color="auto"/>
        <w:bottom w:val="none" w:sz="0" w:space="0" w:color="auto"/>
        <w:right w:val="none" w:sz="0" w:space="0" w:color="auto"/>
      </w:divBdr>
    </w:div>
    <w:div w:id="817110637">
      <w:bodyDiv w:val="1"/>
      <w:marLeft w:val="0"/>
      <w:marRight w:val="0"/>
      <w:marTop w:val="0"/>
      <w:marBottom w:val="0"/>
      <w:divBdr>
        <w:top w:val="none" w:sz="0" w:space="0" w:color="auto"/>
        <w:left w:val="none" w:sz="0" w:space="0" w:color="auto"/>
        <w:bottom w:val="none" w:sz="0" w:space="0" w:color="auto"/>
        <w:right w:val="none" w:sz="0" w:space="0" w:color="auto"/>
      </w:divBdr>
    </w:div>
    <w:div w:id="817725057">
      <w:bodyDiv w:val="1"/>
      <w:marLeft w:val="0"/>
      <w:marRight w:val="0"/>
      <w:marTop w:val="0"/>
      <w:marBottom w:val="0"/>
      <w:divBdr>
        <w:top w:val="none" w:sz="0" w:space="0" w:color="auto"/>
        <w:left w:val="none" w:sz="0" w:space="0" w:color="auto"/>
        <w:bottom w:val="none" w:sz="0" w:space="0" w:color="auto"/>
        <w:right w:val="none" w:sz="0" w:space="0" w:color="auto"/>
      </w:divBdr>
    </w:div>
    <w:div w:id="820511688">
      <w:bodyDiv w:val="1"/>
      <w:marLeft w:val="0"/>
      <w:marRight w:val="0"/>
      <w:marTop w:val="0"/>
      <w:marBottom w:val="0"/>
      <w:divBdr>
        <w:top w:val="none" w:sz="0" w:space="0" w:color="auto"/>
        <w:left w:val="none" w:sz="0" w:space="0" w:color="auto"/>
        <w:bottom w:val="none" w:sz="0" w:space="0" w:color="auto"/>
        <w:right w:val="none" w:sz="0" w:space="0" w:color="auto"/>
      </w:divBdr>
    </w:div>
    <w:div w:id="831340074">
      <w:bodyDiv w:val="1"/>
      <w:marLeft w:val="0"/>
      <w:marRight w:val="0"/>
      <w:marTop w:val="0"/>
      <w:marBottom w:val="0"/>
      <w:divBdr>
        <w:top w:val="none" w:sz="0" w:space="0" w:color="auto"/>
        <w:left w:val="none" w:sz="0" w:space="0" w:color="auto"/>
        <w:bottom w:val="none" w:sz="0" w:space="0" w:color="auto"/>
        <w:right w:val="none" w:sz="0" w:space="0" w:color="auto"/>
      </w:divBdr>
    </w:div>
    <w:div w:id="834489837">
      <w:bodyDiv w:val="1"/>
      <w:marLeft w:val="0"/>
      <w:marRight w:val="0"/>
      <w:marTop w:val="0"/>
      <w:marBottom w:val="0"/>
      <w:divBdr>
        <w:top w:val="none" w:sz="0" w:space="0" w:color="auto"/>
        <w:left w:val="none" w:sz="0" w:space="0" w:color="auto"/>
        <w:bottom w:val="none" w:sz="0" w:space="0" w:color="auto"/>
        <w:right w:val="none" w:sz="0" w:space="0" w:color="auto"/>
      </w:divBdr>
    </w:div>
    <w:div w:id="838691224">
      <w:bodyDiv w:val="1"/>
      <w:marLeft w:val="0"/>
      <w:marRight w:val="0"/>
      <w:marTop w:val="0"/>
      <w:marBottom w:val="0"/>
      <w:divBdr>
        <w:top w:val="none" w:sz="0" w:space="0" w:color="auto"/>
        <w:left w:val="none" w:sz="0" w:space="0" w:color="auto"/>
        <w:bottom w:val="none" w:sz="0" w:space="0" w:color="auto"/>
        <w:right w:val="none" w:sz="0" w:space="0" w:color="auto"/>
      </w:divBdr>
    </w:div>
    <w:div w:id="845024778">
      <w:bodyDiv w:val="1"/>
      <w:marLeft w:val="0"/>
      <w:marRight w:val="0"/>
      <w:marTop w:val="0"/>
      <w:marBottom w:val="0"/>
      <w:divBdr>
        <w:top w:val="none" w:sz="0" w:space="0" w:color="auto"/>
        <w:left w:val="none" w:sz="0" w:space="0" w:color="auto"/>
        <w:bottom w:val="none" w:sz="0" w:space="0" w:color="auto"/>
        <w:right w:val="none" w:sz="0" w:space="0" w:color="auto"/>
      </w:divBdr>
    </w:div>
    <w:div w:id="845829460">
      <w:bodyDiv w:val="1"/>
      <w:marLeft w:val="0"/>
      <w:marRight w:val="0"/>
      <w:marTop w:val="0"/>
      <w:marBottom w:val="0"/>
      <w:divBdr>
        <w:top w:val="none" w:sz="0" w:space="0" w:color="auto"/>
        <w:left w:val="none" w:sz="0" w:space="0" w:color="auto"/>
        <w:bottom w:val="none" w:sz="0" w:space="0" w:color="auto"/>
        <w:right w:val="none" w:sz="0" w:space="0" w:color="auto"/>
      </w:divBdr>
    </w:div>
    <w:div w:id="846097999">
      <w:bodyDiv w:val="1"/>
      <w:marLeft w:val="0"/>
      <w:marRight w:val="0"/>
      <w:marTop w:val="0"/>
      <w:marBottom w:val="0"/>
      <w:divBdr>
        <w:top w:val="none" w:sz="0" w:space="0" w:color="auto"/>
        <w:left w:val="none" w:sz="0" w:space="0" w:color="auto"/>
        <w:bottom w:val="none" w:sz="0" w:space="0" w:color="auto"/>
        <w:right w:val="none" w:sz="0" w:space="0" w:color="auto"/>
      </w:divBdr>
    </w:div>
    <w:div w:id="847252547">
      <w:bodyDiv w:val="1"/>
      <w:marLeft w:val="0"/>
      <w:marRight w:val="0"/>
      <w:marTop w:val="0"/>
      <w:marBottom w:val="0"/>
      <w:divBdr>
        <w:top w:val="none" w:sz="0" w:space="0" w:color="auto"/>
        <w:left w:val="none" w:sz="0" w:space="0" w:color="auto"/>
        <w:bottom w:val="none" w:sz="0" w:space="0" w:color="auto"/>
        <w:right w:val="none" w:sz="0" w:space="0" w:color="auto"/>
      </w:divBdr>
    </w:div>
    <w:div w:id="853810040">
      <w:bodyDiv w:val="1"/>
      <w:marLeft w:val="0"/>
      <w:marRight w:val="0"/>
      <w:marTop w:val="0"/>
      <w:marBottom w:val="0"/>
      <w:divBdr>
        <w:top w:val="none" w:sz="0" w:space="0" w:color="auto"/>
        <w:left w:val="none" w:sz="0" w:space="0" w:color="auto"/>
        <w:bottom w:val="none" w:sz="0" w:space="0" w:color="auto"/>
        <w:right w:val="none" w:sz="0" w:space="0" w:color="auto"/>
      </w:divBdr>
    </w:div>
    <w:div w:id="854686360">
      <w:bodyDiv w:val="1"/>
      <w:marLeft w:val="0"/>
      <w:marRight w:val="0"/>
      <w:marTop w:val="0"/>
      <w:marBottom w:val="0"/>
      <w:divBdr>
        <w:top w:val="none" w:sz="0" w:space="0" w:color="auto"/>
        <w:left w:val="none" w:sz="0" w:space="0" w:color="auto"/>
        <w:bottom w:val="none" w:sz="0" w:space="0" w:color="auto"/>
        <w:right w:val="none" w:sz="0" w:space="0" w:color="auto"/>
      </w:divBdr>
    </w:div>
    <w:div w:id="856239669">
      <w:bodyDiv w:val="1"/>
      <w:marLeft w:val="0"/>
      <w:marRight w:val="0"/>
      <w:marTop w:val="0"/>
      <w:marBottom w:val="0"/>
      <w:divBdr>
        <w:top w:val="none" w:sz="0" w:space="0" w:color="auto"/>
        <w:left w:val="none" w:sz="0" w:space="0" w:color="auto"/>
        <w:bottom w:val="none" w:sz="0" w:space="0" w:color="auto"/>
        <w:right w:val="none" w:sz="0" w:space="0" w:color="auto"/>
      </w:divBdr>
    </w:div>
    <w:div w:id="865556019">
      <w:bodyDiv w:val="1"/>
      <w:marLeft w:val="0"/>
      <w:marRight w:val="0"/>
      <w:marTop w:val="0"/>
      <w:marBottom w:val="0"/>
      <w:divBdr>
        <w:top w:val="none" w:sz="0" w:space="0" w:color="auto"/>
        <w:left w:val="none" w:sz="0" w:space="0" w:color="auto"/>
        <w:bottom w:val="none" w:sz="0" w:space="0" w:color="auto"/>
        <w:right w:val="none" w:sz="0" w:space="0" w:color="auto"/>
      </w:divBdr>
    </w:div>
    <w:div w:id="866678773">
      <w:bodyDiv w:val="1"/>
      <w:marLeft w:val="0"/>
      <w:marRight w:val="0"/>
      <w:marTop w:val="0"/>
      <w:marBottom w:val="0"/>
      <w:divBdr>
        <w:top w:val="none" w:sz="0" w:space="0" w:color="auto"/>
        <w:left w:val="none" w:sz="0" w:space="0" w:color="auto"/>
        <w:bottom w:val="none" w:sz="0" w:space="0" w:color="auto"/>
        <w:right w:val="none" w:sz="0" w:space="0" w:color="auto"/>
      </w:divBdr>
    </w:div>
    <w:div w:id="867597469">
      <w:bodyDiv w:val="1"/>
      <w:marLeft w:val="0"/>
      <w:marRight w:val="0"/>
      <w:marTop w:val="0"/>
      <w:marBottom w:val="0"/>
      <w:divBdr>
        <w:top w:val="none" w:sz="0" w:space="0" w:color="auto"/>
        <w:left w:val="none" w:sz="0" w:space="0" w:color="auto"/>
        <w:bottom w:val="none" w:sz="0" w:space="0" w:color="auto"/>
        <w:right w:val="none" w:sz="0" w:space="0" w:color="auto"/>
      </w:divBdr>
    </w:div>
    <w:div w:id="868299754">
      <w:bodyDiv w:val="1"/>
      <w:marLeft w:val="0"/>
      <w:marRight w:val="0"/>
      <w:marTop w:val="0"/>
      <w:marBottom w:val="0"/>
      <w:divBdr>
        <w:top w:val="none" w:sz="0" w:space="0" w:color="auto"/>
        <w:left w:val="none" w:sz="0" w:space="0" w:color="auto"/>
        <w:bottom w:val="none" w:sz="0" w:space="0" w:color="auto"/>
        <w:right w:val="none" w:sz="0" w:space="0" w:color="auto"/>
      </w:divBdr>
    </w:div>
    <w:div w:id="869682082">
      <w:bodyDiv w:val="1"/>
      <w:marLeft w:val="0"/>
      <w:marRight w:val="0"/>
      <w:marTop w:val="0"/>
      <w:marBottom w:val="0"/>
      <w:divBdr>
        <w:top w:val="none" w:sz="0" w:space="0" w:color="auto"/>
        <w:left w:val="none" w:sz="0" w:space="0" w:color="auto"/>
        <w:bottom w:val="none" w:sz="0" w:space="0" w:color="auto"/>
        <w:right w:val="none" w:sz="0" w:space="0" w:color="auto"/>
      </w:divBdr>
    </w:div>
    <w:div w:id="870921710">
      <w:bodyDiv w:val="1"/>
      <w:marLeft w:val="0"/>
      <w:marRight w:val="0"/>
      <w:marTop w:val="0"/>
      <w:marBottom w:val="0"/>
      <w:divBdr>
        <w:top w:val="none" w:sz="0" w:space="0" w:color="auto"/>
        <w:left w:val="none" w:sz="0" w:space="0" w:color="auto"/>
        <w:bottom w:val="none" w:sz="0" w:space="0" w:color="auto"/>
        <w:right w:val="none" w:sz="0" w:space="0" w:color="auto"/>
      </w:divBdr>
    </w:div>
    <w:div w:id="879510078">
      <w:bodyDiv w:val="1"/>
      <w:marLeft w:val="0"/>
      <w:marRight w:val="0"/>
      <w:marTop w:val="0"/>
      <w:marBottom w:val="0"/>
      <w:divBdr>
        <w:top w:val="none" w:sz="0" w:space="0" w:color="auto"/>
        <w:left w:val="none" w:sz="0" w:space="0" w:color="auto"/>
        <w:bottom w:val="none" w:sz="0" w:space="0" w:color="auto"/>
        <w:right w:val="none" w:sz="0" w:space="0" w:color="auto"/>
      </w:divBdr>
    </w:div>
    <w:div w:id="879785174">
      <w:bodyDiv w:val="1"/>
      <w:marLeft w:val="0"/>
      <w:marRight w:val="0"/>
      <w:marTop w:val="0"/>
      <w:marBottom w:val="0"/>
      <w:divBdr>
        <w:top w:val="none" w:sz="0" w:space="0" w:color="auto"/>
        <w:left w:val="none" w:sz="0" w:space="0" w:color="auto"/>
        <w:bottom w:val="none" w:sz="0" w:space="0" w:color="auto"/>
        <w:right w:val="none" w:sz="0" w:space="0" w:color="auto"/>
      </w:divBdr>
    </w:div>
    <w:div w:id="882444257">
      <w:bodyDiv w:val="1"/>
      <w:marLeft w:val="0"/>
      <w:marRight w:val="0"/>
      <w:marTop w:val="0"/>
      <w:marBottom w:val="0"/>
      <w:divBdr>
        <w:top w:val="none" w:sz="0" w:space="0" w:color="auto"/>
        <w:left w:val="none" w:sz="0" w:space="0" w:color="auto"/>
        <w:bottom w:val="none" w:sz="0" w:space="0" w:color="auto"/>
        <w:right w:val="none" w:sz="0" w:space="0" w:color="auto"/>
      </w:divBdr>
    </w:div>
    <w:div w:id="889389968">
      <w:bodyDiv w:val="1"/>
      <w:marLeft w:val="0"/>
      <w:marRight w:val="0"/>
      <w:marTop w:val="0"/>
      <w:marBottom w:val="0"/>
      <w:divBdr>
        <w:top w:val="none" w:sz="0" w:space="0" w:color="auto"/>
        <w:left w:val="none" w:sz="0" w:space="0" w:color="auto"/>
        <w:bottom w:val="none" w:sz="0" w:space="0" w:color="auto"/>
        <w:right w:val="none" w:sz="0" w:space="0" w:color="auto"/>
      </w:divBdr>
    </w:div>
    <w:div w:id="891886109">
      <w:bodyDiv w:val="1"/>
      <w:marLeft w:val="0"/>
      <w:marRight w:val="0"/>
      <w:marTop w:val="0"/>
      <w:marBottom w:val="0"/>
      <w:divBdr>
        <w:top w:val="none" w:sz="0" w:space="0" w:color="auto"/>
        <w:left w:val="none" w:sz="0" w:space="0" w:color="auto"/>
        <w:bottom w:val="none" w:sz="0" w:space="0" w:color="auto"/>
        <w:right w:val="none" w:sz="0" w:space="0" w:color="auto"/>
      </w:divBdr>
    </w:div>
    <w:div w:id="897781899">
      <w:bodyDiv w:val="1"/>
      <w:marLeft w:val="0"/>
      <w:marRight w:val="0"/>
      <w:marTop w:val="0"/>
      <w:marBottom w:val="0"/>
      <w:divBdr>
        <w:top w:val="none" w:sz="0" w:space="0" w:color="auto"/>
        <w:left w:val="none" w:sz="0" w:space="0" w:color="auto"/>
        <w:bottom w:val="none" w:sz="0" w:space="0" w:color="auto"/>
        <w:right w:val="none" w:sz="0" w:space="0" w:color="auto"/>
      </w:divBdr>
    </w:div>
    <w:div w:id="902906096">
      <w:bodyDiv w:val="1"/>
      <w:marLeft w:val="0"/>
      <w:marRight w:val="0"/>
      <w:marTop w:val="0"/>
      <w:marBottom w:val="0"/>
      <w:divBdr>
        <w:top w:val="none" w:sz="0" w:space="0" w:color="auto"/>
        <w:left w:val="none" w:sz="0" w:space="0" w:color="auto"/>
        <w:bottom w:val="none" w:sz="0" w:space="0" w:color="auto"/>
        <w:right w:val="none" w:sz="0" w:space="0" w:color="auto"/>
      </w:divBdr>
    </w:div>
    <w:div w:id="904298005">
      <w:bodyDiv w:val="1"/>
      <w:marLeft w:val="0"/>
      <w:marRight w:val="0"/>
      <w:marTop w:val="0"/>
      <w:marBottom w:val="0"/>
      <w:divBdr>
        <w:top w:val="none" w:sz="0" w:space="0" w:color="auto"/>
        <w:left w:val="none" w:sz="0" w:space="0" w:color="auto"/>
        <w:bottom w:val="none" w:sz="0" w:space="0" w:color="auto"/>
        <w:right w:val="none" w:sz="0" w:space="0" w:color="auto"/>
      </w:divBdr>
    </w:div>
    <w:div w:id="904528047">
      <w:bodyDiv w:val="1"/>
      <w:marLeft w:val="0"/>
      <w:marRight w:val="0"/>
      <w:marTop w:val="0"/>
      <w:marBottom w:val="0"/>
      <w:divBdr>
        <w:top w:val="none" w:sz="0" w:space="0" w:color="auto"/>
        <w:left w:val="none" w:sz="0" w:space="0" w:color="auto"/>
        <w:bottom w:val="none" w:sz="0" w:space="0" w:color="auto"/>
        <w:right w:val="none" w:sz="0" w:space="0" w:color="auto"/>
      </w:divBdr>
    </w:div>
    <w:div w:id="908225435">
      <w:bodyDiv w:val="1"/>
      <w:marLeft w:val="0"/>
      <w:marRight w:val="0"/>
      <w:marTop w:val="0"/>
      <w:marBottom w:val="0"/>
      <w:divBdr>
        <w:top w:val="none" w:sz="0" w:space="0" w:color="auto"/>
        <w:left w:val="none" w:sz="0" w:space="0" w:color="auto"/>
        <w:bottom w:val="none" w:sz="0" w:space="0" w:color="auto"/>
        <w:right w:val="none" w:sz="0" w:space="0" w:color="auto"/>
      </w:divBdr>
    </w:div>
    <w:div w:id="908348074">
      <w:bodyDiv w:val="1"/>
      <w:marLeft w:val="0"/>
      <w:marRight w:val="0"/>
      <w:marTop w:val="0"/>
      <w:marBottom w:val="0"/>
      <w:divBdr>
        <w:top w:val="none" w:sz="0" w:space="0" w:color="auto"/>
        <w:left w:val="none" w:sz="0" w:space="0" w:color="auto"/>
        <w:bottom w:val="none" w:sz="0" w:space="0" w:color="auto"/>
        <w:right w:val="none" w:sz="0" w:space="0" w:color="auto"/>
      </w:divBdr>
    </w:div>
    <w:div w:id="912160855">
      <w:bodyDiv w:val="1"/>
      <w:marLeft w:val="0"/>
      <w:marRight w:val="0"/>
      <w:marTop w:val="0"/>
      <w:marBottom w:val="0"/>
      <w:divBdr>
        <w:top w:val="none" w:sz="0" w:space="0" w:color="auto"/>
        <w:left w:val="none" w:sz="0" w:space="0" w:color="auto"/>
        <w:bottom w:val="none" w:sz="0" w:space="0" w:color="auto"/>
        <w:right w:val="none" w:sz="0" w:space="0" w:color="auto"/>
      </w:divBdr>
    </w:div>
    <w:div w:id="916354956">
      <w:bodyDiv w:val="1"/>
      <w:marLeft w:val="0"/>
      <w:marRight w:val="0"/>
      <w:marTop w:val="0"/>
      <w:marBottom w:val="0"/>
      <w:divBdr>
        <w:top w:val="none" w:sz="0" w:space="0" w:color="auto"/>
        <w:left w:val="none" w:sz="0" w:space="0" w:color="auto"/>
        <w:bottom w:val="none" w:sz="0" w:space="0" w:color="auto"/>
        <w:right w:val="none" w:sz="0" w:space="0" w:color="auto"/>
      </w:divBdr>
    </w:div>
    <w:div w:id="916593211">
      <w:bodyDiv w:val="1"/>
      <w:marLeft w:val="0"/>
      <w:marRight w:val="0"/>
      <w:marTop w:val="0"/>
      <w:marBottom w:val="0"/>
      <w:divBdr>
        <w:top w:val="none" w:sz="0" w:space="0" w:color="auto"/>
        <w:left w:val="none" w:sz="0" w:space="0" w:color="auto"/>
        <w:bottom w:val="none" w:sz="0" w:space="0" w:color="auto"/>
        <w:right w:val="none" w:sz="0" w:space="0" w:color="auto"/>
      </w:divBdr>
    </w:div>
    <w:div w:id="917709016">
      <w:bodyDiv w:val="1"/>
      <w:marLeft w:val="0"/>
      <w:marRight w:val="0"/>
      <w:marTop w:val="0"/>
      <w:marBottom w:val="0"/>
      <w:divBdr>
        <w:top w:val="none" w:sz="0" w:space="0" w:color="auto"/>
        <w:left w:val="none" w:sz="0" w:space="0" w:color="auto"/>
        <w:bottom w:val="none" w:sz="0" w:space="0" w:color="auto"/>
        <w:right w:val="none" w:sz="0" w:space="0" w:color="auto"/>
      </w:divBdr>
    </w:div>
    <w:div w:id="921909076">
      <w:bodyDiv w:val="1"/>
      <w:marLeft w:val="0"/>
      <w:marRight w:val="0"/>
      <w:marTop w:val="0"/>
      <w:marBottom w:val="0"/>
      <w:divBdr>
        <w:top w:val="none" w:sz="0" w:space="0" w:color="auto"/>
        <w:left w:val="none" w:sz="0" w:space="0" w:color="auto"/>
        <w:bottom w:val="none" w:sz="0" w:space="0" w:color="auto"/>
        <w:right w:val="none" w:sz="0" w:space="0" w:color="auto"/>
      </w:divBdr>
    </w:div>
    <w:div w:id="924148537">
      <w:bodyDiv w:val="1"/>
      <w:marLeft w:val="0"/>
      <w:marRight w:val="0"/>
      <w:marTop w:val="0"/>
      <w:marBottom w:val="0"/>
      <w:divBdr>
        <w:top w:val="none" w:sz="0" w:space="0" w:color="auto"/>
        <w:left w:val="none" w:sz="0" w:space="0" w:color="auto"/>
        <w:bottom w:val="none" w:sz="0" w:space="0" w:color="auto"/>
        <w:right w:val="none" w:sz="0" w:space="0" w:color="auto"/>
      </w:divBdr>
    </w:div>
    <w:div w:id="924876363">
      <w:bodyDiv w:val="1"/>
      <w:marLeft w:val="0"/>
      <w:marRight w:val="0"/>
      <w:marTop w:val="0"/>
      <w:marBottom w:val="0"/>
      <w:divBdr>
        <w:top w:val="none" w:sz="0" w:space="0" w:color="auto"/>
        <w:left w:val="none" w:sz="0" w:space="0" w:color="auto"/>
        <w:bottom w:val="none" w:sz="0" w:space="0" w:color="auto"/>
        <w:right w:val="none" w:sz="0" w:space="0" w:color="auto"/>
      </w:divBdr>
    </w:div>
    <w:div w:id="925069347">
      <w:bodyDiv w:val="1"/>
      <w:marLeft w:val="0"/>
      <w:marRight w:val="0"/>
      <w:marTop w:val="0"/>
      <w:marBottom w:val="0"/>
      <w:divBdr>
        <w:top w:val="none" w:sz="0" w:space="0" w:color="auto"/>
        <w:left w:val="none" w:sz="0" w:space="0" w:color="auto"/>
        <w:bottom w:val="none" w:sz="0" w:space="0" w:color="auto"/>
        <w:right w:val="none" w:sz="0" w:space="0" w:color="auto"/>
      </w:divBdr>
    </w:div>
    <w:div w:id="926574423">
      <w:bodyDiv w:val="1"/>
      <w:marLeft w:val="0"/>
      <w:marRight w:val="0"/>
      <w:marTop w:val="0"/>
      <w:marBottom w:val="0"/>
      <w:divBdr>
        <w:top w:val="none" w:sz="0" w:space="0" w:color="auto"/>
        <w:left w:val="none" w:sz="0" w:space="0" w:color="auto"/>
        <w:bottom w:val="none" w:sz="0" w:space="0" w:color="auto"/>
        <w:right w:val="none" w:sz="0" w:space="0" w:color="auto"/>
      </w:divBdr>
    </w:div>
    <w:div w:id="930117553">
      <w:bodyDiv w:val="1"/>
      <w:marLeft w:val="0"/>
      <w:marRight w:val="0"/>
      <w:marTop w:val="0"/>
      <w:marBottom w:val="0"/>
      <w:divBdr>
        <w:top w:val="none" w:sz="0" w:space="0" w:color="auto"/>
        <w:left w:val="none" w:sz="0" w:space="0" w:color="auto"/>
        <w:bottom w:val="none" w:sz="0" w:space="0" w:color="auto"/>
        <w:right w:val="none" w:sz="0" w:space="0" w:color="auto"/>
      </w:divBdr>
    </w:div>
    <w:div w:id="931167112">
      <w:bodyDiv w:val="1"/>
      <w:marLeft w:val="0"/>
      <w:marRight w:val="0"/>
      <w:marTop w:val="0"/>
      <w:marBottom w:val="0"/>
      <w:divBdr>
        <w:top w:val="none" w:sz="0" w:space="0" w:color="auto"/>
        <w:left w:val="none" w:sz="0" w:space="0" w:color="auto"/>
        <w:bottom w:val="none" w:sz="0" w:space="0" w:color="auto"/>
        <w:right w:val="none" w:sz="0" w:space="0" w:color="auto"/>
      </w:divBdr>
    </w:div>
    <w:div w:id="935555154">
      <w:bodyDiv w:val="1"/>
      <w:marLeft w:val="0"/>
      <w:marRight w:val="0"/>
      <w:marTop w:val="0"/>
      <w:marBottom w:val="0"/>
      <w:divBdr>
        <w:top w:val="none" w:sz="0" w:space="0" w:color="auto"/>
        <w:left w:val="none" w:sz="0" w:space="0" w:color="auto"/>
        <w:bottom w:val="none" w:sz="0" w:space="0" w:color="auto"/>
        <w:right w:val="none" w:sz="0" w:space="0" w:color="auto"/>
      </w:divBdr>
    </w:div>
    <w:div w:id="938105964">
      <w:bodyDiv w:val="1"/>
      <w:marLeft w:val="0"/>
      <w:marRight w:val="0"/>
      <w:marTop w:val="0"/>
      <w:marBottom w:val="0"/>
      <w:divBdr>
        <w:top w:val="none" w:sz="0" w:space="0" w:color="auto"/>
        <w:left w:val="none" w:sz="0" w:space="0" w:color="auto"/>
        <w:bottom w:val="none" w:sz="0" w:space="0" w:color="auto"/>
        <w:right w:val="none" w:sz="0" w:space="0" w:color="auto"/>
      </w:divBdr>
    </w:div>
    <w:div w:id="940797936">
      <w:bodyDiv w:val="1"/>
      <w:marLeft w:val="0"/>
      <w:marRight w:val="0"/>
      <w:marTop w:val="0"/>
      <w:marBottom w:val="0"/>
      <w:divBdr>
        <w:top w:val="none" w:sz="0" w:space="0" w:color="auto"/>
        <w:left w:val="none" w:sz="0" w:space="0" w:color="auto"/>
        <w:bottom w:val="none" w:sz="0" w:space="0" w:color="auto"/>
        <w:right w:val="none" w:sz="0" w:space="0" w:color="auto"/>
      </w:divBdr>
    </w:div>
    <w:div w:id="952593698">
      <w:bodyDiv w:val="1"/>
      <w:marLeft w:val="0"/>
      <w:marRight w:val="0"/>
      <w:marTop w:val="0"/>
      <w:marBottom w:val="0"/>
      <w:divBdr>
        <w:top w:val="none" w:sz="0" w:space="0" w:color="auto"/>
        <w:left w:val="none" w:sz="0" w:space="0" w:color="auto"/>
        <w:bottom w:val="none" w:sz="0" w:space="0" w:color="auto"/>
        <w:right w:val="none" w:sz="0" w:space="0" w:color="auto"/>
      </w:divBdr>
    </w:div>
    <w:div w:id="956181445">
      <w:bodyDiv w:val="1"/>
      <w:marLeft w:val="0"/>
      <w:marRight w:val="0"/>
      <w:marTop w:val="0"/>
      <w:marBottom w:val="0"/>
      <w:divBdr>
        <w:top w:val="none" w:sz="0" w:space="0" w:color="auto"/>
        <w:left w:val="none" w:sz="0" w:space="0" w:color="auto"/>
        <w:bottom w:val="none" w:sz="0" w:space="0" w:color="auto"/>
        <w:right w:val="none" w:sz="0" w:space="0" w:color="auto"/>
      </w:divBdr>
    </w:div>
    <w:div w:id="957905842">
      <w:bodyDiv w:val="1"/>
      <w:marLeft w:val="0"/>
      <w:marRight w:val="0"/>
      <w:marTop w:val="0"/>
      <w:marBottom w:val="0"/>
      <w:divBdr>
        <w:top w:val="none" w:sz="0" w:space="0" w:color="auto"/>
        <w:left w:val="none" w:sz="0" w:space="0" w:color="auto"/>
        <w:bottom w:val="none" w:sz="0" w:space="0" w:color="auto"/>
        <w:right w:val="none" w:sz="0" w:space="0" w:color="auto"/>
      </w:divBdr>
    </w:div>
    <w:div w:id="959729918">
      <w:bodyDiv w:val="1"/>
      <w:marLeft w:val="0"/>
      <w:marRight w:val="0"/>
      <w:marTop w:val="0"/>
      <w:marBottom w:val="0"/>
      <w:divBdr>
        <w:top w:val="none" w:sz="0" w:space="0" w:color="auto"/>
        <w:left w:val="none" w:sz="0" w:space="0" w:color="auto"/>
        <w:bottom w:val="none" w:sz="0" w:space="0" w:color="auto"/>
        <w:right w:val="none" w:sz="0" w:space="0" w:color="auto"/>
      </w:divBdr>
    </w:div>
    <w:div w:id="965965975">
      <w:bodyDiv w:val="1"/>
      <w:marLeft w:val="0"/>
      <w:marRight w:val="0"/>
      <w:marTop w:val="0"/>
      <w:marBottom w:val="0"/>
      <w:divBdr>
        <w:top w:val="none" w:sz="0" w:space="0" w:color="auto"/>
        <w:left w:val="none" w:sz="0" w:space="0" w:color="auto"/>
        <w:bottom w:val="none" w:sz="0" w:space="0" w:color="auto"/>
        <w:right w:val="none" w:sz="0" w:space="0" w:color="auto"/>
      </w:divBdr>
    </w:div>
    <w:div w:id="968239066">
      <w:bodyDiv w:val="1"/>
      <w:marLeft w:val="0"/>
      <w:marRight w:val="0"/>
      <w:marTop w:val="0"/>
      <w:marBottom w:val="0"/>
      <w:divBdr>
        <w:top w:val="none" w:sz="0" w:space="0" w:color="auto"/>
        <w:left w:val="none" w:sz="0" w:space="0" w:color="auto"/>
        <w:bottom w:val="none" w:sz="0" w:space="0" w:color="auto"/>
        <w:right w:val="none" w:sz="0" w:space="0" w:color="auto"/>
      </w:divBdr>
    </w:div>
    <w:div w:id="968976764">
      <w:bodyDiv w:val="1"/>
      <w:marLeft w:val="0"/>
      <w:marRight w:val="0"/>
      <w:marTop w:val="0"/>
      <w:marBottom w:val="0"/>
      <w:divBdr>
        <w:top w:val="none" w:sz="0" w:space="0" w:color="auto"/>
        <w:left w:val="none" w:sz="0" w:space="0" w:color="auto"/>
        <w:bottom w:val="none" w:sz="0" w:space="0" w:color="auto"/>
        <w:right w:val="none" w:sz="0" w:space="0" w:color="auto"/>
      </w:divBdr>
    </w:div>
    <w:div w:id="969092366">
      <w:bodyDiv w:val="1"/>
      <w:marLeft w:val="0"/>
      <w:marRight w:val="0"/>
      <w:marTop w:val="0"/>
      <w:marBottom w:val="0"/>
      <w:divBdr>
        <w:top w:val="none" w:sz="0" w:space="0" w:color="auto"/>
        <w:left w:val="none" w:sz="0" w:space="0" w:color="auto"/>
        <w:bottom w:val="none" w:sz="0" w:space="0" w:color="auto"/>
        <w:right w:val="none" w:sz="0" w:space="0" w:color="auto"/>
      </w:divBdr>
    </w:div>
    <w:div w:id="969094930">
      <w:bodyDiv w:val="1"/>
      <w:marLeft w:val="0"/>
      <w:marRight w:val="0"/>
      <w:marTop w:val="0"/>
      <w:marBottom w:val="0"/>
      <w:divBdr>
        <w:top w:val="none" w:sz="0" w:space="0" w:color="auto"/>
        <w:left w:val="none" w:sz="0" w:space="0" w:color="auto"/>
        <w:bottom w:val="none" w:sz="0" w:space="0" w:color="auto"/>
        <w:right w:val="none" w:sz="0" w:space="0" w:color="auto"/>
      </w:divBdr>
    </w:div>
    <w:div w:id="969363290">
      <w:bodyDiv w:val="1"/>
      <w:marLeft w:val="0"/>
      <w:marRight w:val="0"/>
      <w:marTop w:val="0"/>
      <w:marBottom w:val="0"/>
      <w:divBdr>
        <w:top w:val="none" w:sz="0" w:space="0" w:color="auto"/>
        <w:left w:val="none" w:sz="0" w:space="0" w:color="auto"/>
        <w:bottom w:val="none" w:sz="0" w:space="0" w:color="auto"/>
        <w:right w:val="none" w:sz="0" w:space="0" w:color="auto"/>
      </w:divBdr>
    </w:div>
    <w:div w:id="969869557">
      <w:bodyDiv w:val="1"/>
      <w:marLeft w:val="0"/>
      <w:marRight w:val="0"/>
      <w:marTop w:val="0"/>
      <w:marBottom w:val="0"/>
      <w:divBdr>
        <w:top w:val="none" w:sz="0" w:space="0" w:color="auto"/>
        <w:left w:val="none" w:sz="0" w:space="0" w:color="auto"/>
        <w:bottom w:val="none" w:sz="0" w:space="0" w:color="auto"/>
        <w:right w:val="none" w:sz="0" w:space="0" w:color="auto"/>
      </w:divBdr>
    </w:div>
    <w:div w:id="975570016">
      <w:bodyDiv w:val="1"/>
      <w:marLeft w:val="0"/>
      <w:marRight w:val="0"/>
      <w:marTop w:val="0"/>
      <w:marBottom w:val="0"/>
      <w:divBdr>
        <w:top w:val="none" w:sz="0" w:space="0" w:color="auto"/>
        <w:left w:val="none" w:sz="0" w:space="0" w:color="auto"/>
        <w:bottom w:val="none" w:sz="0" w:space="0" w:color="auto"/>
        <w:right w:val="none" w:sz="0" w:space="0" w:color="auto"/>
      </w:divBdr>
    </w:div>
    <w:div w:id="976304229">
      <w:bodyDiv w:val="1"/>
      <w:marLeft w:val="0"/>
      <w:marRight w:val="0"/>
      <w:marTop w:val="0"/>
      <w:marBottom w:val="0"/>
      <w:divBdr>
        <w:top w:val="none" w:sz="0" w:space="0" w:color="auto"/>
        <w:left w:val="none" w:sz="0" w:space="0" w:color="auto"/>
        <w:bottom w:val="none" w:sz="0" w:space="0" w:color="auto"/>
        <w:right w:val="none" w:sz="0" w:space="0" w:color="auto"/>
      </w:divBdr>
    </w:div>
    <w:div w:id="981351120">
      <w:bodyDiv w:val="1"/>
      <w:marLeft w:val="0"/>
      <w:marRight w:val="0"/>
      <w:marTop w:val="0"/>
      <w:marBottom w:val="0"/>
      <w:divBdr>
        <w:top w:val="none" w:sz="0" w:space="0" w:color="auto"/>
        <w:left w:val="none" w:sz="0" w:space="0" w:color="auto"/>
        <w:bottom w:val="none" w:sz="0" w:space="0" w:color="auto"/>
        <w:right w:val="none" w:sz="0" w:space="0" w:color="auto"/>
      </w:divBdr>
    </w:div>
    <w:div w:id="983310181">
      <w:bodyDiv w:val="1"/>
      <w:marLeft w:val="0"/>
      <w:marRight w:val="0"/>
      <w:marTop w:val="0"/>
      <w:marBottom w:val="0"/>
      <w:divBdr>
        <w:top w:val="none" w:sz="0" w:space="0" w:color="auto"/>
        <w:left w:val="none" w:sz="0" w:space="0" w:color="auto"/>
        <w:bottom w:val="none" w:sz="0" w:space="0" w:color="auto"/>
        <w:right w:val="none" w:sz="0" w:space="0" w:color="auto"/>
      </w:divBdr>
    </w:div>
    <w:div w:id="983706176">
      <w:bodyDiv w:val="1"/>
      <w:marLeft w:val="0"/>
      <w:marRight w:val="0"/>
      <w:marTop w:val="0"/>
      <w:marBottom w:val="0"/>
      <w:divBdr>
        <w:top w:val="none" w:sz="0" w:space="0" w:color="auto"/>
        <w:left w:val="none" w:sz="0" w:space="0" w:color="auto"/>
        <w:bottom w:val="none" w:sz="0" w:space="0" w:color="auto"/>
        <w:right w:val="none" w:sz="0" w:space="0" w:color="auto"/>
      </w:divBdr>
    </w:div>
    <w:div w:id="994995221">
      <w:bodyDiv w:val="1"/>
      <w:marLeft w:val="0"/>
      <w:marRight w:val="0"/>
      <w:marTop w:val="0"/>
      <w:marBottom w:val="0"/>
      <w:divBdr>
        <w:top w:val="none" w:sz="0" w:space="0" w:color="auto"/>
        <w:left w:val="none" w:sz="0" w:space="0" w:color="auto"/>
        <w:bottom w:val="none" w:sz="0" w:space="0" w:color="auto"/>
        <w:right w:val="none" w:sz="0" w:space="0" w:color="auto"/>
      </w:divBdr>
    </w:div>
    <w:div w:id="999114965">
      <w:bodyDiv w:val="1"/>
      <w:marLeft w:val="0"/>
      <w:marRight w:val="0"/>
      <w:marTop w:val="0"/>
      <w:marBottom w:val="0"/>
      <w:divBdr>
        <w:top w:val="none" w:sz="0" w:space="0" w:color="auto"/>
        <w:left w:val="none" w:sz="0" w:space="0" w:color="auto"/>
        <w:bottom w:val="none" w:sz="0" w:space="0" w:color="auto"/>
        <w:right w:val="none" w:sz="0" w:space="0" w:color="auto"/>
      </w:divBdr>
    </w:div>
    <w:div w:id="999506665">
      <w:bodyDiv w:val="1"/>
      <w:marLeft w:val="0"/>
      <w:marRight w:val="0"/>
      <w:marTop w:val="0"/>
      <w:marBottom w:val="0"/>
      <w:divBdr>
        <w:top w:val="none" w:sz="0" w:space="0" w:color="auto"/>
        <w:left w:val="none" w:sz="0" w:space="0" w:color="auto"/>
        <w:bottom w:val="none" w:sz="0" w:space="0" w:color="auto"/>
        <w:right w:val="none" w:sz="0" w:space="0" w:color="auto"/>
      </w:divBdr>
    </w:div>
    <w:div w:id="1012296730">
      <w:bodyDiv w:val="1"/>
      <w:marLeft w:val="0"/>
      <w:marRight w:val="0"/>
      <w:marTop w:val="0"/>
      <w:marBottom w:val="0"/>
      <w:divBdr>
        <w:top w:val="none" w:sz="0" w:space="0" w:color="auto"/>
        <w:left w:val="none" w:sz="0" w:space="0" w:color="auto"/>
        <w:bottom w:val="none" w:sz="0" w:space="0" w:color="auto"/>
        <w:right w:val="none" w:sz="0" w:space="0" w:color="auto"/>
      </w:divBdr>
    </w:div>
    <w:div w:id="1023021346">
      <w:bodyDiv w:val="1"/>
      <w:marLeft w:val="0"/>
      <w:marRight w:val="0"/>
      <w:marTop w:val="0"/>
      <w:marBottom w:val="0"/>
      <w:divBdr>
        <w:top w:val="none" w:sz="0" w:space="0" w:color="auto"/>
        <w:left w:val="none" w:sz="0" w:space="0" w:color="auto"/>
        <w:bottom w:val="none" w:sz="0" w:space="0" w:color="auto"/>
        <w:right w:val="none" w:sz="0" w:space="0" w:color="auto"/>
      </w:divBdr>
    </w:div>
    <w:div w:id="1024938547">
      <w:bodyDiv w:val="1"/>
      <w:marLeft w:val="0"/>
      <w:marRight w:val="0"/>
      <w:marTop w:val="0"/>
      <w:marBottom w:val="0"/>
      <w:divBdr>
        <w:top w:val="none" w:sz="0" w:space="0" w:color="auto"/>
        <w:left w:val="none" w:sz="0" w:space="0" w:color="auto"/>
        <w:bottom w:val="none" w:sz="0" w:space="0" w:color="auto"/>
        <w:right w:val="none" w:sz="0" w:space="0" w:color="auto"/>
      </w:divBdr>
    </w:div>
    <w:div w:id="1028413095">
      <w:bodyDiv w:val="1"/>
      <w:marLeft w:val="0"/>
      <w:marRight w:val="0"/>
      <w:marTop w:val="0"/>
      <w:marBottom w:val="0"/>
      <w:divBdr>
        <w:top w:val="none" w:sz="0" w:space="0" w:color="auto"/>
        <w:left w:val="none" w:sz="0" w:space="0" w:color="auto"/>
        <w:bottom w:val="none" w:sz="0" w:space="0" w:color="auto"/>
        <w:right w:val="none" w:sz="0" w:space="0" w:color="auto"/>
      </w:divBdr>
    </w:div>
    <w:div w:id="1045257909">
      <w:bodyDiv w:val="1"/>
      <w:marLeft w:val="0"/>
      <w:marRight w:val="0"/>
      <w:marTop w:val="0"/>
      <w:marBottom w:val="0"/>
      <w:divBdr>
        <w:top w:val="none" w:sz="0" w:space="0" w:color="auto"/>
        <w:left w:val="none" w:sz="0" w:space="0" w:color="auto"/>
        <w:bottom w:val="none" w:sz="0" w:space="0" w:color="auto"/>
        <w:right w:val="none" w:sz="0" w:space="0" w:color="auto"/>
      </w:divBdr>
    </w:div>
    <w:div w:id="1046417651">
      <w:bodyDiv w:val="1"/>
      <w:marLeft w:val="0"/>
      <w:marRight w:val="0"/>
      <w:marTop w:val="0"/>
      <w:marBottom w:val="0"/>
      <w:divBdr>
        <w:top w:val="none" w:sz="0" w:space="0" w:color="auto"/>
        <w:left w:val="none" w:sz="0" w:space="0" w:color="auto"/>
        <w:bottom w:val="none" w:sz="0" w:space="0" w:color="auto"/>
        <w:right w:val="none" w:sz="0" w:space="0" w:color="auto"/>
      </w:divBdr>
    </w:div>
    <w:div w:id="1058742595">
      <w:bodyDiv w:val="1"/>
      <w:marLeft w:val="0"/>
      <w:marRight w:val="0"/>
      <w:marTop w:val="0"/>
      <w:marBottom w:val="0"/>
      <w:divBdr>
        <w:top w:val="none" w:sz="0" w:space="0" w:color="auto"/>
        <w:left w:val="none" w:sz="0" w:space="0" w:color="auto"/>
        <w:bottom w:val="none" w:sz="0" w:space="0" w:color="auto"/>
        <w:right w:val="none" w:sz="0" w:space="0" w:color="auto"/>
      </w:divBdr>
    </w:div>
    <w:div w:id="1059204943">
      <w:bodyDiv w:val="1"/>
      <w:marLeft w:val="0"/>
      <w:marRight w:val="0"/>
      <w:marTop w:val="0"/>
      <w:marBottom w:val="0"/>
      <w:divBdr>
        <w:top w:val="none" w:sz="0" w:space="0" w:color="auto"/>
        <w:left w:val="none" w:sz="0" w:space="0" w:color="auto"/>
        <w:bottom w:val="none" w:sz="0" w:space="0" w:color="auto"/>
        <w:right w:val="none" w:sz="0" w:space="0" w:color="auto"/>
      </w:divBdr>
    </w:div>
    <w:div w:id="1061059546">
      <w:bodyDiv w:val="1"/>
      <w:marLeft w:val="0"/>
      <w:marRight w:val="0"/>
      <w:marTop w:val="0"/>
      <w:marBottom w:val="0"/>
      <w:divBdr>
        <w:top w:val="none" w:sz="0" w:space="0" w:color="auto"/>
        <w:left w:val="none" w:sz="0" w:space="0" w:color="auto"/>
        <w:bottom w:val="none" w:sz="0" w:space="0" w:color="auto"/>
        <w:right w:val="none" w:sz="0" w:space="0" w:color="auto"/>
      </w:divBdr>
    </w:div>
    <w:div w:id="1063521690">
      <w:bodyDiv w:val="1"/>
      <w:marLeft w:val="0"/>
      <w:marRight w:val="0"/>
      <w:marTop w:val="0"/>
      <w:marBottom w:val="0"/>
      <w:divBdr>
        <w:top w:val="none" w:sz="0" w:space="0" w:color="auto"/>
        <w:left w:val="none" w:sz="0" w:space="0" w:color="auto"/>
        <w:bottom w:val="none" w:sz="0" w:space="0" w:color="auto"/>
        <w:right w:val="none" w:sz="0" w:space="0" w:color="auto"/>
      </w:divBdr>
    </w:div>
    <w:div w:id="1063526387">
      <w:bodyDiv w:val="1"/>
      <w:marLeft w:val="0"/>
      <w:marRight w:val="0"/>
      <w:marTop w:val="0"/>
      <w:marBottom w:val="0"/>
      <w:divBdr>
        <w:top w:val="none" w:sz="0" w:space="0" w:color="auto"/>
        <w:left w:val="none" w:sz="0" w:space="0" w:color="auto"/>
        <w:bottom w:val="none" w:sz="0" w:space="0" w:color="auto"/>
        <w:right w:val="none" w:sz="0" w:space="0" w:color="auto"/>
      </w:divBdr>
    </w:div>
    <w:div w:id="1064526497">
      <w:bodyDiv w:val="1"/>
      <w:marLeft w:val="0"/>
      <w:marRight w:val="0"/>
      <w:marTop w:val="0"/>
      <w:marBottom w:val="0"/>
      <w:divBdr>
        <w:top w:val="none" w:sz="0" w:space="0" w:color="auto"/>
        <w:left w:val="none" w:sz="0" w:space="0" w:color="auto"/>
        <w:bottom w:val="none" w:sz="0" w:space="0" w:color="auto"/>
        <w:right w:val="none" w:sz="0" w:space="0" w:color="auto"/>
      </w:divBdr>
    </w:div>
    <w:div w:id="1066343221">
      <w:bodyDiv w:val="1"/>
      <w:marLeft w:val="0"/>
      <w:marRight w:val="0"/>
      <w:marTop w:val="0"/>
      <w:marBottom w:val="0"/>
      <w:divBdr>
        <w:top w:val="none" w:sz="0" w:space="0" w:color="auto"/>
        <w:left w:val="none" w:sz="0" w:space="0" w:color="auto"/>
        <w:bottom w:val="none" w:sz="0" w:space="0" w:color="auto"/>
        <w:right w:val="none" w:sz="0" w:space="0" w:color="auto"/>
      </w:divBdr>
    </w:div>
    <w:div w:id="1079790605">
      <w:bodyDiv w:val="1"/>
      <w:marLeft w:val="0"/>
      <w:marRight w:val="0"/>
      <w:marTop w:val="0"/>
      <w:marBottom w:val="0"/>
      <w:divBdr>
        <w:top w:val="none" w:sz="0" w:space="0" w:color="auto"/>
        <w:left w:val="none" w:sz="0" w:space="0" w:color="auto"/>
        <w:bottom w:val="none" w:sz="0" w:space="0" w:color="auto"/>
        <w:right w:val="none" w:sz="0" w:space="0" w:color="auto"/>
      </w:divBdr>
    </w:div>
    <w:div w:id="1081297301">
      <w:bodyDiv w:val="1"/>
      <w:marLeft w:val="0"/>
      <w:marRight w:val="0"/>
      <w:marTop w:val="0"/>
      <w:marBottom w:val="0"/>
      <w:divBdr>
        <w:top w:val="none" w:sz="0" w:space="0" w:color="auto"/>
        <w:left w:val="none" w:sz="0" w:space="0" w:color="auto"/>
        <w:bottom w:val="none" w:sz="0" w:space="0" w:color="auto"/>
        <w:right w:val="none" w:sz="0" w:space="0" w:color="auto"/>
      </w:divBdr>
    </w:div>
    <w:div w:id="1081834942">
      <w:bodyDiv w:val="1"/>
      <w:marLeft w:val="0"/>
      <w:marRight w:val="0"/>
      <w:marTop w:val="0"/>
      <w:marBottom w:val="0"/>
      <w:divBdr>
        <w:top w:val="none" w:sz="0" w:space="0" w:color="auto"/>
        <w:left w:val="none" w:sz="0" w:space="0" w:color="auto"/>
        <w:bottom w:val="none" w:sz="0" w:space="0" w:color="auto"/>
        <w:right w:val="none" w:sz="0" w:space="0" w:color="auto"/>
      </w:divBdr>
    </w:div>
    <w:div w:id="1085221605">
      <w:bodyDiv w:val="1"/>
      <w:marLeft w:val="0"/>
      <w:marRight w:val="0"/>
      <w:marTop w:val="0"/>
      <w:marBottom w:val="0"/>
      <w:divBdr>
        <w:top w:val="none" w:sz="0" w:space="0" w:color="auto"/>
        <w:left w:val="none" w:sz="0" w:space="0" w:color="auto"/>
        <w:bottom w:val="none" w:sz="0" w:space="0" w:color="auto"/>
        <w:right w:val="none" w:sz="0" w:space="0" w:color="auto"/>
      </w:divBdr>
    </w:div>
    <w:div w:id="1086850198">
      <w:bodyDiv w:val="1"/>
      <w:marLeft w:val="0"/>
      <w:marRight w:val="0"/>
      <w:marTop w:val="0"/>
      <w:marBottom w:val="0"/>
      <w:divBdr>
        <w:top w:val="none" w:sz="0" w:space="0" w:color="auto"/>
        <w:left w:val="none" w:sz="0" w:space="0" w:color="auto"/>
        <w:bottom w:val="none" w:sz="0" w:space="0" w:color="auto"/>
        <w:right w:val="none" w:sz="0" w:space="0" w:color="auto"/>
      </w:divBdr>
    </w:div>
    <w:div w:id="1091127261">
      <w:bodyDiv w:val="1"/>
      <w:marLeft w:val="0"/>
      <w:marRight w:val="0"/>
      <w:marTop w:val="0"/>
      <w:marBottom w:val="0"/>
      <w:divBdr>
        <w:top w:val="none" w:sz="0" w:space="0" w:color="auto"/>
        <w:left w:val="none" w:sz="0" w:space="0" w:color="auto"/>
        <w:bottom w:val="none" w:sz="0" w:space="0" w:color="auto"/>
        <w:right w:val="none" w:sz="0" w:space="0" w:color="auto"/>
      </w:divBdr>
    </w:div>
    <w:div w:id="1093235553">
      <w:bodyDiv w:val="1"/>
      <w:marLeft w:val="0"/>
      <w:marRight w:val="0"/>
      <w:marTop w:val="0"/>
      <w:marBottom w:val="0"/>
      <w:divBdr>
        <w:top w:val="none" w:sz="0" w:space="0" w:color="auto"/>
        <w:left w:val="none" w:sz="0" w:space="0" w:color="auto"/>
        <w:bottom w:val="none" w:sz="0" w:space="0" w:color="auto"/>
        <w:right w:val="none" w:sz="0" w:space="0" w:color="auto"/>
      </w:divBdr>
      <w:divsChild>
        <w:div w:id="1172917018">
          <w:marLeft w:val="0"/>
          <w:marRight w:val="0"/>
          <w:marTop w:val="0"/>
          <w:marBottom w:val="0"/>
          <w:divBdr>
            <w:top w:val="none" w:sz="0" w:space="0" w:color="auto"/>
            <w:left w:val="none" w:sz="0" w:space="0" w:color="auto"/>
            <w:bottom w:val="none" w:sz="0" w:space="0" w:color="auto"/>
            <w:right w:val="none" w:sz="0" w:space="0" w:color="auto"/>
          </w:divBdr>
          <w:divsChild>
            <w:div w:id="2104716604">
              <w:marLeft w:val="0"/>
              <w:marRight w:val="0"/>
              <w:marTop w:val="0"/>
              <w:marBottom w:val="0"/>
              <w:divBdr>
                <w:top w:val="none" w:sz="0" w:space="0" w:color="auto"/>
                <w:left w:val="none" w:sz="0" w:space="0" w:color="auto"/>
                <w:bottom w:val="none" w:sz="0" w:space="0" w:color="auto"/>
                <w:right w:val="none" w:sz="0" w:space="0" w:color="auto"/>
              </w:divBdr>
              <w:divsChild>
                <w:div w:id="2126388740">
                  <w:marLeft w:val="0"/>
                  <w:marRight w:val="0"/>
                  <w:marTop w:val="0"/>
                  <w:marBottom w:val="0"/>
                  <w:divBdr>
                    <w:top w:val="none" w:sz="0" w:space="0" w:color="auto"/>
                    <w:left w:val="none" w:sz="0" w:space="0" w:color="auto"/>
                    <w:bottom w:val="none" w:sz="0" w:space="0" w:color="auto"/>
                    <w:right w:val="none" w:sz="0" w:space="0" w:color="auto"/>
                  </w:divBdr>
                  <w:divsChild>
                    <w:div w:id="252671428">
                      <w:marLeft w:val="0"/>
                      <w:marRight w:val="0"/>
                      <w:marTop w:val="0"/>
                      <w:marBottom w:val="0"/>
                      <w:divBdr>
                        <w:top w:val="none" w:sz="0" w:space="0" w:color="auto"/>
                        <w:left w:val="none" w:sz="0" w:space="0" w:color="auto"/>
                        <w:bottom w:val="none" w:sz="0" w:space="0" w:color="auto"/>
                        <w:right w:val="none" w:sz="0" w:space="0" w:color="auto"/>
                      </w:divBdr>
                      <w:divsChild>
                        <w:div w:id="246959310">
                          <w:marLeft w:val="0"/>
                          <w:marRight w:val="0"/>
                          <w:marTop w:val="0"/>
                          <w:marBottom w:val="0"/>
                          <w:divBdr>
                            <w:top w:val="none" w:sz="0" w:space="0" w:color="auto"/>
                            <w:left w:val="none" w:sz="0" w:space="0" w:color="auto"/>
                            <w:bottom w:val="none" w:sz="0" w:space="0" w:color="auto"/>
                            <w:right w:val="none" w:sz="0" w:space="0" w:color="auto"/>
                          </w:divBdr>
                          <w:divsChild>
                            <w:div w:id="14760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939799">
      <w:bodyDiv w:val="1"/>
      <w:marLeft w:val="0"/>
      <w:marRight w:val="0"/>
      <w:marTop w:val="0"/>
      <w:marBottom w:val="0"/>
      <w:divBdr>
        <w:top w:val="none" w:sz="0" w:space="0" w:color="auto"/>
        <w:left w:val="none" w:sz="0" w:space="0" w:color="auto"/>
        <w:bottom w:val="none" w:sz="0" w:space="0" w:color="auto"/>
        <w:right w:val="none" w:sz="0" w:space="0" w:color="auto"/>
      </w:divBdr>
    </w:div>
    <w:div w:id="1114205767">
      <w:bodyDiv w:val="1"/>
      <w:marLeft w:val="0"/>
      <w:marRight w:val="0"/>
      <w:marTop w:val="0"/>
      <w:marBottom w:val="0"/>
      <w:divBdr>
        <w:top w:val="none" w:sz="0" w:space="0" w:color="auto"/>
        <w:left w:val="none" w:sz="0" w:space="0" w:color="auto"/>
        <w:bottom w:val="none" w:sz="0" w:space="0" w:color="auto"/>
        <w:right w:val="none" w:sz="0" w:space="0" w:color="auto"/>
      </w:divBdr>
    </w:div>
    <w:div w:id="1116021955">
      <w:bodyDiv w:val="1"/>
      <w:marLeft w:val="0"/>
      <w:marRight w:val="0"/>
      <w:marTop w:val="0"/>
      <w:marBottom w:val="0"/>
      <w:divBdr>
        <w:top w:val="none" w:sz="0" w:space="0" w:color="auto"/>
        <w:left w:val="none" w:sz="0" w:space="0" w:color="auto"/>
        <w:bottom w:val="none" w:sz="0" w:space="0" w:color="auto"/>
        <w:right w:val="none" w:sz="0" w:space="0" w:color="auto"/>
      </w:divBdr>
    </w:div>
    <w:div w:id="1120763286">
      <w:bodyDiv w:val="1"/>
      <w:marLeft w:val="0"/>
      <w:marRight w:val="0"/>
      <w:marTop w:val="0"/>
      <w:marBottom w:val="0"/>
      <w:divBdr>
        <w:top w:val="none" w:sz="0" w:space="0" w:color="auto"/>
        <w:left w:val="none" w:sz="0" w:space="0" w:color="auto"/>
        <w:bottom w:val="none" w:sz="0" w:space="0" w:color="auto"/>
        <w:right w:val="none" w:sz="0" w:space="0" w:color="auto"/>
      </w:divBdr>
    </w:div>
    <w:div w:id="1121804745">
      <w:bodyDiv w:val="1"/>
      <w:marLeft w:val="0"/>
      <w:marRight w:val="0"/>
      <w:marTop w:val="0"/>
      <w:marBottom w:val="0"/>
      <w:divBdr>
        <w:top w:val="none" w:sz="0" w:space="0" w:color="auto"/>
        <w:left w:val="none" w:sz="0" w:space="0" w:color="auto"/>
        <w:bottom w:val="none" w:sz="0" w:space="0" w:color="auto"/>
        <w:right w:val="none" w:sz="0" w:space="0" w:color="auto"/>
      </w:divBdr>
    </w:div>
    <w:div w:id="1124075573">
      <w:bodyDiv w:val="1"/>
      <w:marLeft w:val="0"/>
      <w:marRight w:val="0"/>
      <w:marTop w:val="0"/>
      <w:marBottom w:val="0"/>
      <w:divBdr>
        <w:top w:val="none" w:sz="0" w:space="0" w:color="auto"/>
        <w:left w:val="none" w:sz="0" w:space="0" w:color="auto"/>
        <w:bottom w:val="none" w:sz="0" w:space="0" w:color="auto"/>
        <w:right w:val="none" w:sz="0" w:space="0" w:color="auto"/>
      </w:divBdr>
    </w:div>
    <w:div w:id="1126656901">
      <w:bodyDiv w:val="1"/>
      <w:marLeft w:val="0"/>
      <w:marRight w:val="0"/>
      <w:marTop w:val="0"/>
      <w:marBottom w:val="0"/>
      <w:divBdr>
        <w:top w:val="none" w:sz="0" w:space="0" w:color="auto"/>
        <w:left w:val="none" w:sz="0" w:space="0" w:color="auto"/>
        <w:bottom w:val="none" w:sz="0" w:space="0" w:color="auto"/>
        <w:right w:val="none" w:sz="0" w:space="0" w:color="auto"/>
      </w:divBdr>
    </w:div>
    <w:div w:id="1127774634">
      <w:bodyDiv w:val="1"/>
      <w:marLeft w:val="0"/>
      <w:marRight w:val="0"/>
      <w:marTop w:val="0"/>
      <w:marBottom w:val="0"/>
      <w:divBdr>
        <w:top w:val="none" w:sz="0" w:space="0" w:color="auto"/>
        <w:left w:val="none" w:sz="0" w:space="0" w:color="auto"/>
        <w:bottom w:val="none" w:sz="0" w:space="0" w:color="auto"/>
        <w:right w:val="none" w:sz="0" w:space="0" w:color="auto"/>
      </w:divBdr>
    </w:div>
    <w:div w:id="1128627620">
      <w:bodyDiv w:val="1"/>
      <w:marLeft w:val="0"/>
      <w:marRight w:val="0"/>
      <w:marTop w:val="0"/>
      <w:marBottom w:val="0"/>
      <w:divBdr>
        <w:top w:val="none" w:sz="0" w:space="0" w:color="auto"/>
        <w:left w:val="none" w:sz="0" w:space="0" w:color="auto"/>
        <w:bottom w:val="none" w:sz="0" w:space="0" w:color="auto"/>
        <w:right w:val="none" w:sz="0" w:space="0" w:color="auto"/>
      </w:divBdr>
    </w:div>
    <w:div w:id="1134329601">
      <w:bodyDiv w:val="1"/>
      <w:marLeft w:val="0"/>
      <w:marRight w:val="0"/>
      <w:marTop w:val="0"/>
      <w:marBottom w:val="0"/>
      <w:divBdr>
        <w:top w:val="none" w:sz="0" w:space="0" w:color="auto"/>
        <w:left w:val="none" w:sz="0" w:space="0" w:color="auto"/>
        <w:bottom w:val="none" w:sz="0" w:space="0" w:color="auto"/>
        <w:right w:val="none" w:sz="0" w:space="0" w:color="auto"/>
      </w:divBdr>
    </w:div>
    <w:div w:id="1154446458">
      <w:bodyDiv w:val="1"/>
      <w:marLeft w:val="0"/>
      <w:marRight w:val="0"/>
      <w:marTop w:val="0"/>
      <w:marBottom w:val="0"/>
      <w:divBdr>
        <w:top w:val="none" w:sz="0" w:space="0" w:color="auto"/>
        <w:left w:val="none" w:sz="0" w:space="0" w:color="auto"/>
        <w:bottom w:val="none" w:sz="0" w:space="0" w:color="auto"/>
        <w:right w:val="none" w:sz="0" w:space="0" w:color="auto"/>
      </w:divBdr>
    </w:div>
    <w:div w:id="1155223064">
      <w:bodyDiv w:val="1"/>
      <w:marLeft w:val="0"/>
      <w:marRight w:val="0"/>
      <w:marTop w:val="0"/>
      <w:marBottom w:val="0"/>
      <w:divBdr>
        <w:top w:val="none" w:sz="0" w:space="0" w:color="auto"/>
        <w:left w:val="none" w:sz="0" w:space="0" w:color="auto"/>
        <w:bottom w:val="none" w:sz="0" w:space="0" w:color="auto"/>
        <w:right w:val="none" w:sz="0" w:space="0" w:color="auto"/>
      </w:divBdr>
    </w:div>
    <w:div w:id="1159079110">
      <w:bodyDiv w:val="1"/>
      <w:marLeft w:val="0"/>
      <w:marRight w:val="0"/>
      <w:marTop w:val="0"/>
      <w:marBottom w:val="0"/>
      <w:divBdr>
        <w:top w:val="none" w:sz="0" w:space="0" w:color="auto"/>
        <w:left w:val="none" w:sz="0" w:space="0" w:color="auto"/>
        <w:bottom w:val="none" w:sz="0" w:space="0" w:color="auto"/>
        <w:right w:val="none" w:sz="0" w:space="0" w:color="auto"/>
      </w:divBdr>
    </w:div>
    <w:div w:id="1162701404">
      <w:bodyDiv w:val="1"/>
      <w:marLeft w:val="0"/>
      <w:marRight w:val="0"/>
      <w:marTop w:val="0"/>
      <w:marBottom w:val="0"/>
      <w:divBdr>
        <w:top w:val="none" w:sz="0" w:space="0" w:color="auto"/>
        <w:left w:val="none" w:sz="0" w:space="0" w:color="auto"/>
        <w:bottom w:val="none" w:sz="0" w:space="0" w:color="auto"/>
        <w:right w:val="none" w:sz="0" w:space="0" w:color="auto"/>
      </w:divBdr>
    </w:div>
    <w:div w:id="1168592006">
      <w:bodyDiv w:val="1"/>
      <w:marLeft w:val="0"/>
      <w:marRight w:val="0"/>
      <w:marTop w:val="0"/>
      <w:marBottom w:val="0"/>
      <w:divBdr>
        <w:top w:val="none" w:sz="0" w:space="0" w:color="auto"/>
        <w:left w:val="none" w:sz="0" w:space="0" w:color="auto"/>
        <w:bottom w:val="none" w:sz="0" w:space="0" w:color="auto"/>
        <w:right w:val="none" w:sz="0" w:space="0" w:color="auto"/>
      </w:divBdr>
    </w:div>
    <w:div w:id="1174228253">
      <w:bodyDiv w:val="1"/>
      <w:marLeft w:val="0"/>
      <w:marRight w:val="0"/>
      <w:marTop w:val="0"/>
      <w:marBottom w:val="0"/>
      <w:divBdr>
        <w:top w:val="none" w:sz="0" w:space="0" w:color="auto"/>
        <w:left w:val="none" w:sz="0" w:space="0" w:color="auto"/>
        <w:bottom w:val="none" w:sz="0" w:space="0" w:color="auto"/>
        <w:right w:val="none" w:sz="0" w:space="0" w:color="auto"/>
      </w:divBdr>
    </w:div>
    <w:div w:id="1181165712">
      <w:bodyDiv w:val="1"/>
      <w:marLeft w:val="0"/>
      <w:marRight w:val="0"/>
      <w:marTop w:val="0"/>
      <w:marBottom w:val="0"/>
      <w:divBdr>
        <w:top w:val="none" w:sz="0" w:space="0" w:color="auto"/>
        <w:left w:val="none" w:sz="0" w:space="0" w:color="auto"/>
        <w:bottom w:val="none" w:sz="0" w:space="0" w:color="auto"/>
        <w:right w:val="none" w:sz="0" w:space="0" w:color="auto"/>
      </w:divBdr>
    </w:div>
    <w:div w:id="1189174882">
      <w:bodyDiv w:val="1"/>
      <w:marLeft w:val="0"/>
      <w:marRight w:val="0"/>
      <w:marTop w:val="0"/>
      <w:marBottom w:val="0"/>
      <w:divBdr>
        <w:top w:val="none" w:sz="0" w:space="0" w:color="auto"/>
        <w:left w:val="none" w:sz="0" w:space="0" w:color="auto"/>
        <w:bottom w:val="none" w:sz="0" w:space="0" w:color="auto"/>
        <w:right w:val="none" w:sz="0" w:space="0" w:color="auto"/>
      </w:divBdr>
    </w:div>
    <w:div w:id="1189372709">
      <w:bodyDiv w:val="1"/>
      <w:marLeft w:val="0"/>
      <w:marRight w:val="0"/>
      <w:marTop w:val="0"/>
      <w:marBottom w:val="0"/>
      <w:divBdr>
        <w:top w:val="none" w:sz="0" w:space="0" w:color="auto"/>
        <w:left w:val="none" w:sz="0" w:space="0" w:color="auto"/>
        <w:bottom w:val="none" w:sz="0" w:space="0" w:color="auto"/>
        <w:right w:val="none" w:sz="0" w:space="0" w:color="auto"/>
      </w:divBdr>
    </w:div>
    <w:div w:id="1189416891">
      <w:bodyDiv w:val="1"/>
      <w:marLeft w:val="0"/>
      <w:marRight w:val="0"/>
      <w:marTop w:val="0"/>
      <w:marBottom w:val="0"/>
      <w:divBdr>
        <w:top w:val="none" w:sz="0" w:space="0" w:color="auto"/>
        <w:left w:val="none" w:sz="0" w:space="0" w:color="auto"/>
        <w:bottom w:val="none" w:sz="0" w:space="0" w:color="auto"/>
        <w:right w:val="none" w:sz="0" w:space="0" w:color="auto"/>
      </w:divBdr>
    </w:div>
    <w:div w:id="1192494315">
      <w:bodyDiv w:val="1"/>
      <w:marLeft w:val="0"/>
      <w:marRight w:val="0"/>
      <w:marTop w:val="0"/>
      <w:marBottom w:val="0"/>
      <w:divBdr>
        <w:top w:val="none" w:sz="0" w:space="0" w:color="auto"/>
        <w:left w:val="none" w:sz="0" w:space="0" w:color="auto"/>
        <w:bottom w:val="none" w:sz="0" w:space="0" w:color="auto"/>
        <w:right w:val="none" w:sz="0" w:space="0" w:color="auto"/>
      </w:divBdr>
    </w:div>
    <w:div w:id="1194415472">
      <w:bodyDiv w:val="1"/>
      <w:marLeft w:val="0"/>
      <w:marRight w:val="0"/>
      <w:marTop w:val="0"/>
      <w:marBottom w:val="0"/>
      <w:divBdr>
        <w:top w:val="none" w:sz="0" w:space="0" w:color="auto"/>
        <w:left w:val="none" w:sz="0" w:space="0" w:color="auto"/>
        <w:bottom w:val="none" w:sz="0" w:space="0" w:color="auto"/>
        <w:right w:val="none" w:sz="0" w:space="0" w:color="auto"/>
      </w:divBdr>
    </w:div>
    <w:div w:id="1195117384">
      <w:bodyDiv w:val="1"/>
      <w:marLeft w:val="0"/>
      <w:marRight w:val="0"/>
      <w:marTop w:val="0"/>
      <w:marBottom w:val="0"/>
      <w:divBdr>
        <w:top w:val="none" w:sz="0" w:space="0" w:color="auto"/>
        <w:left w:val="none" w:sz="0" w:space="0" w:color="auto"/>
        <w:bottom w:val="none" w:sz="0" w:space="0" w:color="auto"/>
        <w:right w:val="none" w:sz="0" w:space="0" w:color="auto"/>
      </w:divBdr>
    </w:div>
    <w:div w:id="1196042836">
      <w:bodyDiv w:val="1"/>
      <w:marLeft w:val="0"/>
      <w:marRight w:val="0"/>
      <w:marTop w:val="0"/>
      <w:marBottom w:val="0"/>
      <w:divBdr>
        <w:top w:val="none" w:sz="0" w:space="0" w:color="auto"/>
        <w:left w:val="none" w:sz="0" w:space="0" w:color="auto"/>
        <w:bottom w:val="none" w:sz="0" w:space="0" w:color="auto"/>
        <w:right w:val="none" w:sz="0" w:space="0" w:color="auto"/>
      </w:divBdr>
    </w:div>
    <w:div w:id="1199466934">
      <w:bodyDiv w:val="1"/>
      <w:marLeft w:val="0"/>
      <w:marRight w:val="0"/>
      <w:marTop w:val="0"/>
      <w:marBottom w:val="0"/>
      <w:divBdr>
        <w:top w:val="none" w:sz="0" w:space="0" w:color="auto"/>
        <w:left w:val="none" w:sz="0" w:space="0" w:color="auto"/>
        <w:bottom w:val="none" w:sz="0" w:space="0" w:color="auto"/>
        <w:right w:val="none" w:sz="0" w:space="0" w:color="auto"/>
      </w:divBdr>
    </w:div>
    <w:div w:id="1203245798">
      <w:bodyDiv w:val="1"/>
      <w:marLeft w:val="0"/>
      <w:marRight w:val="0"/>
      <w:marTop w:val="0"/>
      <w:marBottom w:val="0"/>
      <w:divBdr>
        <w:top w:val="none" w:sz="0" w:space="0" w:color="auto"/>
        <w:left w:val="none" w:sz="0" w:space="0" w:color="auto"/>
        <w:bottom w:val="none" w:sz="0" w:space="0" w:color="auto"/>
        <w:right w:val="none" w:sz="0" w:space="0" w:color="auto"/>
      </w:divBdr>
    </w:div>
    <w:div w:id="1204094140">
      <w:bodyDiv w:val="1"/>
      <w:marLeft w:val="0"/>
      <w:marRight w:val="0"/>
      <w:marTop w:val="0"/>
      <w:marBottom w:val="0"/>
      <w:divBdr>
        <w:top w:val="none" w:sz="0" w:space="0" w:color="auto"/>
        <w:left w:val="none" w:sz="0" w:space="0" w:color="auto"/>
        <w:bottom w:val="none" w:sz="0" w:space="0" w:color="auto"/>
        <w:right w:val="none" w:sz="0" w:space="0" w:color="auto"/>
      </w:divBdr>
    </w:div>
    <w:div w:id="1207139046">
      <w:bodyDiv w:val="1"/>
      <w:marLeft w:val="0"/>
      <w:marRight w:val="0"/>
      <w:marTop w:val="0"/>
      <w:marBottom w:val="0"/>
      <w:divBdr>
        <w:top w:val="none" w:sz="0" w:space="0" w:color="auto"/>
        <w:left w:val="none" w:sz="0" w:space="0" w:color="auto"/>
        <w:bottom w:val="none" w:sz="0" w:space="0" w:color="auto"/>
        <w:right w:val="none" w:sz="0" w:space="0" w:color="auto"/>
      </w:divBdr>
    </w:div>
    <w:div w:id="1207638761">
      <w:bodyDiv w:val="1"/>
      <w:marLeft w:val="0"/>
      <w:marRight w:val="0"/>
      <w:marTop w:val="0"/>
      <w:marBottom w:val="0"/>
      <w:divBdr>
        <w:top w:val="none" w:sz="0" w:space="0" w:color="auto"/>
        <w:left w:val="none" w:sz="0" w:space="0" w:color="auto"/>
        <w:bottom w:val="none" w:sz="0" w:space="0" w:color="auto"/>
        <w:right w:val="none" w:sz="0" w:space="0" w:color="auto"/>
      </w:divBdr>
    </w:div>
    <w:div w:id="1211334257">
      <w:bodyDiv w:val="1"/>
      <w:marLeft w:val="0"/>
      <w:marRight w:val="0"/>
      <w:marTop w:val="0"/>
      <w:marBottom w:val="0"/>
      <w:divBdr>
        <w:top w:val="none" w:sz="0" w:space="0" w:color="auto"/>
        <w:left w:val="none" w:sz="0" w:space="0" w:color="auto"/>
        <w:bottom w:val="none" w:sz="0" w:space="0" w:color="auto"/>
        <w:right w:val="none" w:sz="0" w:space="0" w:color="auto"/>
      </w:divBdr>
    </w:div>
    <w:div w:id="1211452697">
      <w:bodyDiv w:val="1"/>
      <w:marLeft w:val="0"/>
      <w:marRight w:val="0"/>
      <w:marTop w:val="0"/>
      <w:marBottom w:val="0"/>
      <w:divBdr>
        <w:top w:val="none" w:sz="0" w:space="0" w:color="auto"/>
        <w:left w:val="none" w:sz="0" w:space="0" w:color="auto"/>
        <w:bottom w:val="none" w:sz="0" w:space="0" w:color="auto"/>
        <w:right w:val="none" w:sz="0" w:space="0" w:color="auto"/>
      </w:divBdr>
    </w:div>
    <w:div w:id="1223560651">
      <w:bodyDiv w:val="1"/>
      <w:marLeft w:val="0"/>
      <w:marRight w:val="0"/>
      <w:marTop w:val="0"/>
      <w:marBottom w:val="0"/>
      <w:divBdr>
        <w:top w:val="none" w:sz="0" w:space="0" w:color="auto"/>
        <w:left w:val="none" w:sz="0" w:space="0" w:color="auto"/>
        <w:bottom w:val="none" w:sz="0" w:space="0" w:color="auto"/>
        <w:right w:val="none" w:sz="0" w:space="0" w:color="auto"/>
      </w:divBdr>
    </w:div>
    <w:div w:id="1223951424">
      <w:bodyDiv w:val="1"/>
      <w:marLeft w:val="0"/>
      <w:marRight w:val="0"/>
      <w:marTop w:val="0"/>
      <w:marBottom w:val="0"/>
      <w:divBdr>
        <w:top w:val="none" w:sz="0" w:space="0" w:color="auto"/>
        <w:left w:val="none" w:sz="0" w:space="0" w:color="auto"/>
        <w:bottom w:val="none" w:sz="0" w:space="0" w:color="auto"/>
        <w:right w:val="none" w:sz="0" w:space="0" w:color="auto"/>
      </w:divBdr>
    </w:div>
    <w:div w:id="1235046486">
      <w:bodyDiv w:val="1"/>
      <w:marLeft w:val="0"/>
      <w:marRight w:val="0"/>
      <w:marTop w:val="0"/>
      <w:marBottom w:val="0"/>
      <w:divBdr>
        <w:top w:val="none" w:sz="0" w:space="0" w:color="auto"/>
        <w:left w:val="none" w:sz="0" w:space="0" w:color="auto"/>
        <w:bottom w:val="none" w:sz="0" w:space="0" w:color="auto"/>
        <w:right w:val="none" w:sz="0" w:space="0" w:color="auto"/>
      </w:divBdr>
    </w:div>
    <w:div w:id="1244027433">
      <w:bodyDiv w:val="1"/>
      <w:marLeft w:val="0"/>
      <w:marRight w:val="0"/>
      <w:marTop w:val="0"/>
      <w:marBottom w:val="0"/>
      <w:divBdr>
        <w:top w:val="none" w:sz="0" w:space="0" w:color="auto"/>
        <w:left w:val="none" w:sz="0" w:space="0" w:color="auto"/>
        <w:bottom w:val="none" w:sz="0" w:space="0" w:color="auto"/>
        <w:right w:val="none" w:sz="0" w:space="0" w:color="auto"/>
      </w:divBdr>
    </w:div>
    <w:div w:id="1247881688">
      <w:bodyDiv w:val="1"/>
      <w:marLeft w:val="0"/>
      <w:marRight w:val="0"/>
      <w:marTop w:val="0"/>
      <w:marBottom w:val="0"/>
      <w:divBdr>
        <w:top w:val="none" w:sz="0" w:space="0" w:color="auto"/>
        <w:left w:val="none" w:sz="0" w:space="0" w:color="auto"/>
        <w:bottom w:val="none" w:sz="0" w:space="0" w:color="auto"/>
        <w:right w:val="none" w:sz="0" w:space="0" w:color="auto"/>
      </w:divBdr>
    </w:div>
    <w:div w:id="1254819261">
      <w:bodyDiv w:val="1"/>
      <w:marLeft w:val="0"/>
      <w:marRight w:val="0"/>
      <w:marTop w:val="0"/>
      <w:marBottom w:val="0"/>
      <w:divBdr>
        <w:top w:val="none" w:sz="0" w:space="0" w:color="auto"/>
        <w:left w:val="none" w:sz="0" w:space="0" w:color="auto"/>
        <w:bottom w:val="none" w:sz="0" w:space="0" w:color="auto"/>
        <w:right w:val="none" w:sz="0" w:space="0" w:color="auto"/>
      </w:divBdr>
    </w:div>
    <w:div w:id="1258716269">
      <w:bodyDiv w:val="1"/>
      <w:marLeft w:val="0"/>
      <w:marRight w:val="0"/>
      <w:marTop w:val="0"/>
      <w:marBottom w:val="0"/>
      <w:divBdr>
        <w:top w:val="none" w:sz="0" w:space="0" w:color="auto"/>
        <w:left w:val="none" w:sz="0" w:space="0" w:color="auto"/>
        <w:bottom w:val="none" w:sz="0" w:space="0" w:color="auto"/>
        <w:right w:val="none" w:sz="0" w:space="0" w:color="auto"/>
      </w:divBdr>
    </w:div>
    <w:div w:id="1260527990">
      <w:bodyDiv w:val="1"/>
      <w:marLeft w:val="0"/>
      <w:marRight w:val="0"/>
      <w:marTop w:val="0"/>
      <w:marBottom w:val="0"/>
      <w:divBdr>
        <w:top w:val="none" w:sz="0" w:space="0" w:color="auto"/>
        <w:left w:val="none" w:sz="0" w:space="0" w:color="auto"/>
        <w:bottom w:val="none" w:sz="0" w:space="0" w:color="auto"/>
        <w:right w:val="none" w:sz="0" w:space="0" w:color="auto"/>
      </w:divBdr>
    </w:div>
    <w:div w:id="1260874262">
      <w:bodyDiv w:val="1"/>
      <w:marLeft w:val="0"/>
      <w:marRight w:val="0"/>
      <w:marTop w:val="0"/>
      <w:marBottom w:val="0"/>
      <w:divBdr>
        <w:top w:val="none" w:sz="0" w:space="0" w:color="auto"/>
        <w:left w:val="none" w:sz="0" w:space="0" w:color="auto"/>
        <w:bottom w:val="none" w:sz="0" w:space="0" w:color="auto"/>
        <w:right w:val="none" w:sz="0" w:space="0" w:color="auto"/>
      </w:divBdr>
    </w:div>
    <w:div w:id="1261529048">
      <w:bodyDiv w:val="1"/>
      <w:marLeft w:val="0"/>
      <w:marRight w:val="0"/>
      <w:marTop w:val="0"/>
      <w:marBottom w:val="0"/>
      <w:divBdr>
        <w:top w:val="none" w:sz="0" w:space="0" w:color="auto"/>
        <w:left w:val="none" w:sz="0" w:space="0" w:color="auto"/>
        <w:bottom w:val="none" w:sz="0" w:space="0" w:color="auto"/>
        <w:right w:val="none" w:sz="0" w:space="0" w:color="auto"/>
      </w:divBdr>
    </w:div>
    <w:div w:id="1263032334">
      <w:bodyDiv w:val="1"/>
      <w:marLeft w:val="0"/>
      <w:marRight w:val="0"/>
      <w:marTop w:val="0"/>
      <w:marBottom w:val="0"/>
      <w:divBdr>
        <w:top w:val="none" w:sz="0" w:space="0" w:color="auto"/>
        <w:left w:val="none" w:sz="0" w:space="0" w:color="auto"/>
        <w:bottom w:val="none" w:sz="0" w:space="0" w:color="auto"/>
        <w:right w:val="none" w:sz="0" w:space="0" w:color="auto"/>
      </w:divBdr>
    </w:div>
    <w:div w:id="1264920656">
      <w:bodyDiv w:val="1"/>
      <w:marLeft w:val="0"/>
      <w:marRight w:val="0"/>
      <w:marTop w:val="0"/>
      <w:marBottom w:val="0"/>
      <w:divBdr>
        <w:top w:val="none" w:sz="0" w:space="0" w:color="auto"/>
        <w:left w:val="none" w:sz="0" w:space="0" w:color="auto"/>
        <w:bottom w:val="none" w:sz="0" w:space="0" w:color="auto"/>
        <w:right w:val="none" w:sz="0" w:space="0" w:color="auto"/>
      </w:divBdr>
    </w:div>
    <w:div w:id="1266233622">
      <w:bodyDiv w:val="1"/>
      <w:marLeft w:val="0"/>
      <w:marRight w:val="0"/>
      <w:marTop w:val="0"/>
      <w:marBottom w:val="0"/>
      <w:divBdr>
        <w:top w:val="none" w:sz="0" w:space="0" w:color="auto"/>
        <w:left w:val="none" w:sz="0" w:space="0" w:color="auto"/>
        <w:bottom w:val="none" w:sz="0" w:space="0" w:color="auto"/>
        <w:right w:val="none" w:sz="0" w:space="0" w:color="auto"/>
      </w:divBdr>
    </w:div>
    <w:div w:id="1273702789">
      <w:bodyDiv w:val="1"/>
      <w:marLeft w:val="0"/>
      <w:marRight w:val="0"/>
      <w:marTop w:val="0"/>
      <w:marBottom w:val="0"/>
      <w:divBdr>
        <w:top w:val="none" w:sz="0" w:space="0" w:color="auto"/>
        <w:left w:val="none" w:sz="0" w:space="0" w:color="auto"/>
        <w:bottom w:val="none" w:sz="0" w:space="0" w:color="auto"/>
        <w:right w:val="none" w:sz="0" w:space="0" w:color="auto"/>
      </w:divBdr>
    </w:div>
    <w:div w:id="1273778575">
      <w:bodyDiv w:val="1"/>
      <w:marLeft w:val="0"/>
      <w:marRight w:val="0"/>
      <w:marTop w:val="0"/>
      <w:marBottom w:val="0"/>
      <w:divBdr>
        <w:top w:val="none" w:sz="0" w:space="0" w:color="auto"/>
        <w:left w:val="none" w:sz="0" w:space="0" w:color="auto"/>
        <w:bottom w:val="none" w:sz="0" w:space="0" w:color="auto"/>
        <w:right w:val="none" w:sz="0" w:space="0" w:color="auto"/>
      </w:divBdr>
    </w:div>
    <w:div w:id="1291788352">
      <w:bodyDiv w:val="1"/>
      <w:marLeft w:val="0"/>
      <w:marRight w:val="0"/>
      <w:marTop w:val="0"/>
      <w:marBottom w:val="0"/>
      <w:divBdr>
        <w:top w:val="none" w:sz="0" w:space="0" w:color="auto"/>
        <w:left w:val="none" w:sz="0" w:space="0" w:color="auto"/>
        <w:bottom w:val="none" w:sz="0" w:space="0" w:color="auto"/>
        <w:right w:val="none" w:sz="0" w:space="0" w:color="auto"/>
      </w:divBdr>
    </w:div>
    <w:div w:id="1307128898">
      <w:bodyDiv w:val="1"/>
      <w:marLeft w:val="0"/>
      <w:marRight w:val="0"/>
      <w:marTop w:val="0"/>
      <w:marBottom w:val="0"/>
      <w:divBdr>
        <w:top w:val="none" w:sz="0" w:space="0" w:color="auto"/>
        <w:left w:val="none" w:sz="0" w:space="0" w:color="auto"/>
        <w:bottom w:val="none" w:sz="0" w:space="0" w:color="auto"/>
        <w:right w:val="none" w:sz="0" w:space="0" w:color="auto"/>
      </w:divBdr>
    </w:div>
    <w:div w:id="1314217823">
      <w:bodyDiv w:val="1"/>
      <w:marLeft w:val="0"/>
      <w:marRight w:val="0"/>
      <w:marTop w:val="0"/>
      <w:marBottom w:val="0"/>
      <w:divBdr>
        <w:top w:val="none" w:sz="0" w:space="0" w:color="auto"/>
        <w:left w:val="none" w:sz="0" w:space="0" w:color="auto"/>
        <w:bottom w:val="none" w:sz="0" w:space="0" w:color="auto"/>
        <w:right w:val="none" w:sz="0" w:space="0" w:color="auto"/>
      </w:divBdr>
    </w:div>
    <w:div w:id="1318533868">
      <w:bodyDiv w:val="1"/>
      <w:marLeft w:val="0"/>
      <w:marRight w:val="0"/>
      <w:marTop w:val="0"/>
      <w:marBottom w:val="0"/>
      <w:divBdr>
        <w:top w:val="none" w:sz="0" w:space="0" w:color="auto"/>
        <w:left w:val="none" w:sz="0" w:space="0" w:color="auto"/>
        <w:bottom w:val="none" w:sz="0" w:space="0" w:color="auto"/>
        <w:right w:val="none" w:sz="0" w:space="0" w:color="auto"/>
      </w:divBdr>
    </w:div>
    <w:div w:id="1323660858">
      <w:bodyDiv w:val="1"/>
      <w:marLeft w:val="0"/>
      <w:marRight w:val="0"/>
      <w:marTop w:val="0"/>
      <w:marBottom w:val="0"/>
      <w:divBdr>
        <w:top w:val="none" w:sz="0" w:space="0" w:color="auto"/>
        <w:left w:val="none" w:sz="0" w:space="0" w:color="auto"/>
        <w:bottom w:val="none" w:sz="0" w:space="0" w:color="auto"/>
        <w:right w:val="none" w:sz="0" w:space="0" w:color="auto"/>
      </w:divBdr>
    </w:div>
    <w:div w:id="1324698222">
      <w:bodyDiv w:val="1"/>
      <w:marLeft w:val="0"/>
      <w:marRight w:val="0"/>
      <w:marTop w:val="0"/>
      <w:marBottom w:val="0"/>
      <w:divBdr>
        <w:top w:val="none" w:sz="0" w:space="0" w:color="auto"/>
        <w:left w:val="none" w:sz="0" w:space="0" w:color="auto"/>
        <w:bottom w:val="none" w:sz="0" w:space="0" w:color="auto"/>
        <w:right w:val="none" w:sz="0" w:space="0" w:color="auto"/>
      </w:divBdr>
    </w:div>
    <w:div w:id="1329291574">
      <w:bodyDiv w:val="1"/>
      <w:marLeft w:val="0"/>
      <w:marRight w:val="0"/>
      <w:marTop w:val="0"/>
      <w:marBottom w:val="0"/>
      <w:divBdr>
        <w:top w:val="none" w:sz="0" w:space="0" w:color="auto"/>
        <w:left w:val="none" w:sz="0" w:space="0" w:color="auto"/>
        <w:bottom w:val="none" w:sz="0" w:space="0" w:color="auto"/>
        <w:right w:val="none" w:sz="0" w:space="0" w:color="auto"/>
      </w:divBdr>
    </w:div>
    <w:div w:id="1329866109">
      <w:bodyDiv w:val="1"/>
      <w:marLeft w:val="0"/>
      <w:marRight w:val="0"/>
      <w:marTop w:val="0"/>
      <w:marBottom w:val="0"/>
      <w:divBdr>
        <w:top w:val="none" w:sz="0" w:space="0" w:color="auto"/>
        <w:left w:val="none" w:sz="0" w:space="0" w:color="auto"/>
        <w:bottom w:val="none" w:sz="0" w:space="0" w:color="auto"/>
        <w:right w:val="none" w:sz="0" w:space="0" w:color="auto"/>
      </w:divBdr>
    </w:div>
    <w:div w:id="1347516373">
      <w:bodyDiv w:val="1"/>
      <w:marLeft w:val="0"/>
      <w:marRight w:val="0"/>
      <w:marTop w:val="0"/>
      <w:marBottom w:val="0"/>
      <w:divBdr>
        <w:top w:val="none" w:sz="0" w:space="0" w:color="auto"/>
        <w:left w:val="none" w:sz="0" w:space="0" w:color="auto"/>
        <w:bottom w:val="none" w:sz="0" w:space="0" w:color="auto"/>
        <w:right w:val="none" w:sz="0" w:space="0" w:color="auto"/>
      </w:divBdr>
    </w:div>
    <w:div w:id="1349869738">
      <w:bodyDiv w:val="1"/>
      <w:marLeft w:val="0"/>
      <w:marRight w:val="0"/>
      <w:marTop w:val="0"/>
      <w:marBottom w:val="0"/>
      <w:divBdr>
        <w:top w:val="none" w:sz="0" w:space="0" w:color="auto"/>
        <w:left w:val="none" w:sz="0" w:space="0" w:color="auto"/>
        <w:bottom w:val="none" w:sz="0" w:space="0" w:color="auto"/>
        <w:right w:val="none" w:sz="0" w:space="0" w:color="auto"/>
      </w:divBdr>
    </w:div>
    <w:div w:id="1357464517">
      <w:bodyDiv w:val="1"/>
      <w:marLeft w:val="0"/>
      <w:marRight w:val="0"/>
      <w:marTop w:val="0"/>
      <w:marBottom w:val="0"/>
      <w:divBdr>
        <w:top w:val="none" w:sz="0" w:space="0" w:color="auto"/>
        <w:left w:val="none" w:sz="0" w:space="0" w:color="auto"/>
        <w:bottom w:val="none" w:sz="0" w:space="0" w:color="auto"/>
        <w:right w:val="none" w:sz="0" w:space="0" w:color="auto"/>
      </w:divBdr>
    </w:div>
    <w:div w:id="1358265886">
      <w:bodyDiv w:val="1"/>
      <w:marLeft w:val="0"/>
      <w:marRight w:val="0"/>
      <w:marTop w:val="0"/>
      <w:marBottom w:val="0"/>
      <w:divBdr>
        <w:top w:val="none" w:sz="0" w:space="0" w:color="auto"/>
        <w:left w:val="none" w:sz="0" w:space="0" w:color="auto"/>
        <w:bottom w:val="none" w:sz="0" w:space="0" w:color="auto"/>
        <w:right w:val="none" w:sz="0" w:space="0" w:color="auto"/>
      </w:divBdr>
    </w:div>
    <w:div w:id="1370452944">
      <w:bodyDiv w:val="1"/>
      <w:marLeft w:val="0"/>
      <w:marRight w:val="0"/>
      <w:marTop w:val="0"/>
      <w:marBottom w:val="0"/>
      <w:divBdr>
        <w:top w:val="none" w:sz="0" w:space="0" w:color="auto"/>
        <w:left w:val="none" w:sz="0" w:space="0" w:color="auto"/>
        <w:bottom w:val="none" w:sz="0" w:space="0" w:color="auto"/>
        <w:right w:val="none" w:sz="0" w:space="0" w:color="auto"/>
      </w:divBdr>
    </w:div>
    <w:div w:id="1370689087">
      <w:bodyDiv w:val="1"/>
      <w:marLeft w:val="0"/>
      <w:marRight w:val="0"/>
      <w:marTop w:val="0"/>
      <w:marBottom w:val="0"/>
      <w:divBdr>
        <w:top w:val="none" w:sz="0" w:space="0" w:color="auto"/>
        <w:left w:val="none" w:sz="0" w:space="0" w:color="auto"/>
        <w:bottom w:val="none" w:sz="0" w:space="0" w:color="auto"/>
        <w:right w:val="none" w:sz="0" w:space="0" w:color="auto"/>
      </w:divBdr>
    </w:div>
    <w:div w:id="1375081939">
      <w:bodyDiv w:val="1"/>
      <w:marLeft w:val="0"/>
      <w:marRight w:val="0"/>
      <w:marTop w:val="0"/>
      <w:marBottom w:val="0"/>
      <w:divBdr>
        <w:top w:val="none" w:sz="0" w:space="0" w:color="auto"/>
        <w:left w:val="none" w:sz="0" w:space="0" w:color="auto"/>
        <w:bottom w:val="none" w:sz="0" w:space="0" w:color="auto"/>
        <w:right w:val="none" w:sz="0" w:space="0" w:color="auto"/>
      </w:divBdr>
    </w:div>
    <w:div w:id="1379015069">
      <w:bodyDiv w:val="1"/>
      <w:marLeft w:val="0"/>
      <w:marRight w:val="0"/>
      <w:marTop w:val="0"/>
      <w:marBottom w:val="0"/>
      <w:divBdr>
        <w:top w:val="none" w:sz="0" w:space="0" w:color="auto"/>
        <w:left w:val="none" w:sz="0" w:space="0" w:color="auto"/>
        <w:bottom w:val="none" w:sz="0" w:space="0" w:color="auto"/>
        <w:right w:val="none" w:sz="0" w:space="0" w:color="auto"/>
      </w:divBdr>
    </w:div>
    <w:div w:id="1380325170">
      <w:bodyDiv w:val="1"/>
      <w:marLeft w:val="0"/>
      <w:marRight w:val="0"/>
      <w:marTop w:val="0"/>
      <w:marBottom w:val="0"/>
      <w:divBdr>
        <w:top w:val="none" w:sz="0" w:space="0" w:color="auto"/>
        <w:left w:val="none" w:sz="0" w:space="0" w:color="auto"/>
        <w:bottom w:val="none" w:sz="0" w:space="0" w:color="auto"/>
        <w:right w:val="none" w:sz="0" w:space="0" w:color="auto"/>
      </w:divBdr>
    </w:div>
    <w:div w:id="1380667176">
      <w:bodyDiv w:val="1"/>
      <w:marLeft w:val="0"/>
      <w:marRight w:val="0"/>
      <w:marTop w:val="0"/>
      <w:marBottom w:val="0"/>
      <w:divBdr>
        <w:top w:val="none" w:sz="0" w:space="0" w:color="auto"/>
        <w:left w:val="none" w:sz="0" w:space="0" w:color="auto"/>
        <w:bottom w:val="none" w:sz="0" w:space="0" w:color="auto"/>
        <w:right w:val="none" w:sz="0" w:space="0" w:color="auto"/>
      </w:divBdr>
    </w:div>
    <w:div w:id="1381590905">
      <w:bodyDiv w:val="1"/>
      <w:marLeft w:val="0"/>
      <w:marRight w:val="0"/>
      <w:marTop w:val="0"/>
      <w:marBottom w:val="0"/>
      <w:divBdr>
        <w:top w:val="none" w:sz="0" w:space="0" w:color="auto"/>
        <w:left w:val="none" w:sz="0" w:space="0" w:color="auto"/>
        <w:bottom w:val="none" w:sz="0" w:space="0" w:color="auto"/>
        <w:right w:val="none" w:sz="0" w:space="0" w:color="auto"/>
      </w:divBdr>
    </w:div>
    <w:div w:id="1383796774">
      <w:bodyDiv w:val="1"/>
      <w:marLeft w:val="0"/>
      <w:marRight w:val="0"/>
      <w:marTop w:val="0"/>
      <w:marBottom w:val="0"/>
      <w:divBdr>
        <w:top w:val="none" w:sz="0" w:space="0" w:color="auto"/>
        <w:left w:val="none" w:sz="0" w:space="0" w:color="auto"/>
        <w:bottom w:val="none" w:sz="0" w:space="0" w:color="auto"/>
        <w:right w:val="none" w:sz="0" w:space="0" w:color="auto"/>
      </w:divBdr>
    </w:div>
    <w:div w:id="1384986853">
      <w:bodyDiv w:val="1"/>
      <w:marLeft w:val="0"/>
      <w:marRight w:val="0"/>
      <w:marTop w:val="0"/>
      <w:marBottom w:val="0"/>
      <w:divBdr>
        <w:top w:val="none" w:sz="0" w:space="0" w:color="auto"/>
        <w:left w:val="none" w:sz="0" w:space="0" w:color="auto"/>
        <w:bottom w:val="none" w:sz="0" w:space="0" w:color="auto"/>
        <w:right w:val="none" w:sz="0" w:space="0" w:color="auto"/>
      </w:divBdr>
    </w:div>
    <w:div w:id="1391421509">
      <w:bodyDiv w:val="1"/>
      <w:marLeft w:val="0"/>
      <w:marRight w:val="0"/>
      <w:marTop w:val="0"/>
      <w:marBottom w:val="0"/>
      <w:divBdr>
        <w:top w:val="none" w:sz="0" w:space="0" w:color="auto"/>
        <w:left w:val="none" w:sz="0" w:space="0" w:color="auto"/>
        <w:bottom w:val="none" w:sz="0" w:space="0" w:color="auto"/>
        <w:right w:val="none" w:sz="0" w:space="0" w:color="auto"/>
      </w:divBdr>
    </w:div>
    <w:div w:id="1397706014">
      <w:bodyDiv w:val="1"/>
      <w:marLeft w:val="0"/>
      <w:marRight w:val="0"/>
      <w:marTop w:val="0"/>
      <w:marBottom w:val="0"/>
      <w:divBdr>
        <w:top w:val="none" w:sz="0" w:space="0" w:color="auto"/>
        <w:left w:val="none" w:sz="0" w:space="0" w:color="auto"/>
        <w:bottom w:val="none" w:sz="0" w:space="0" w:color="auto"/>
        <w:right w:val="none" w:sz="0" w:space="0" w:color="auto"/>
      </w:divBdr>
    </w:div>
    <w:div w:id="1398242950">
      <w:bodyDiv w:val="1"/>
      <w:marLeft w:val="0"/>
      <w:marRight w:val="0"/>
      <w:marTop w:val="0"/>
      <w:marBottom w:val="0"/>
      <w:divBdr>
        <w:top w:val="none" w:sz="0" w:space="0" w:color="auto"/>
        <w:left w:val="none" w:sz="0" w:space="0" w:color="auto"/>
        <w:bottom w:val="none" w:sz="0" w:space="0" w:color="auto"/>
        <w:right w:val="none" w:sz="0" w:space="0" w:color="auto"/>
      </w:divBdr>
    </w:div>
    <w:div w:id="1398557263">
      <w:bodyDiv w:val="1"/>
      <w:marLeft w:val="0"/>
      <w:marRight w:val="0"/>
      <w:marTop w:val="0"/>
      <w:marBottom w:val="0"/>
      <w:divBdr>
        <w:top w:val="none" w:sz="0" w:space="0" w:color="auto"/>
        <w:left w:val="none" w:sz="0" w:space="0" w:color="auto"/>
        <w:bottom w:val="none" w:sz="0" w:space="0" w:color="auto"/>
        <w:right w:val="none" w:sz="0" w:space="0" w:color="auto"/>
      </w:divBdr>
    </w:div>
    <w:div w:id="1408575310">
      <w:bodyDiv w:val="1"/>
      <w:marLeft w:val="0"/>
      <w:marRight w:val="0"/>
      <w:marTop w:val="0"/>
      <w:marBottom w:val="0"/>
      <w:divBdr>
        <w:top w:val="none" w:sz="0" w:space="0" w:color="auto"/>
        <w:left w:val="none" w:sz="0" w:space="0" w:color="auto"/>
        <w:bottom w:val="none" w:sz="0" w:space="0" w:color="auto"/>
        <w:right w:val="none" w:sz="0" w:space="0" w:color="auto"/>
      </w:divBdr>
    </w:div>
    <w:div w:id="1409882218">
      <w:bodyDiv w:val="1"/>
      <w:marLeft w:val="0"/>
      <w:marRight w:val="0"/>
      <w:marTop w:val="0"/>
      <w:marBottom w:val="0"/>
      <w:divBdr>
        <w:top w:val="none" w:sz="0" w:space="0" w:color="auto"/>
        <w:left w:val="none" w:sz="0" w:space="0" w:color="auto"/>
        <w:bottom w:val="none" w:sz="0" w:space="0" w:color="auto"/>
        <w:right w:val="none" w:sz="0" w:space="0" w:color="auto"/>
      </w:divBdr>
    </w:div>
    <w:div w:id="1412042172">
      <w:bodyDiv w:val="1"/>
      <w:marLeft w:val="0"/>
      <w:marRight w:val="0"/>
      <w:marTop w:val="0"/>
      <w:marBottom w:val="0"/>
      <w:divBdr>
        <w:top w:val="none" w:sz="0" w:space="0" w:color="auto"/>
        <w:left w:val="none" w:sz="0" w:space="0" w:color="auto"/>
        <w:bottom w:val="none" w:sz="0" w:space="0" w:color="auto"/>
        <w:right w:val="none" w:sz="0" w:space="0" w:color="auto"/>
      </w:divBdr>
    </w:div>
    <w:div w:id="1418861806">
      <w:bodyDiv w:val="1"/>
      <w:marLeft w:val="0"/>
      <w:marRight w:val="0"/>
      <w:marTop w:val="0"/>
      <w:marBottom w:val="0"/>
      <w:divBdr>
        <w:top w:val="none" w:sz="0" w:space="0" w:color="auto"/>
        <w:left w:val="none" w:sz="0" w:space="0" w:color="auto"/>
        <w:bottom w:val="none" w:sz="0" w:space="0" w:color="auto"/>
        <w:right w:val="none" w:sz="0" w:space="0" w:color="auto"/>
      </w:divBdr>
    </w:div>
    <w:div w:id="1423263194">
      <w:bodyDiv w:val="1"/>
      <w:marLeft w:val="0"/>
      <w:marRight w:val="0"/>
      <w:marTop w:val="0"/>
      <w:marBottom w:val="0"/>
      <w:divBdr>
        <w:top w:val="none" w:sz="0" w:space="0" w:color="auto"/>
        <w:left w:val="none" w:sz="0" w:space="0" w:color="auto"/>
        <w:bottom w:val="none" w:sz="0" w:space="0" w:color="auto"/>
        <w:right w:val="none" w:sz="0" w:space="0" w:color="auto"/>
      </w:divBdr>
    </w:div>
    <w:div w:id="1426999433">
      <w:bodyDiv w:val="1"/>
      <w:marLeft w:val="0"/>
      <w:marRight w:val="0"/>
      <w:marTop w:val="0"/>
      <w:marBottom w:val="0"/>
      <w:divBdr>
        <w:top w:val="none" w:sz="0" w:space="0" w:color="auto"/>
        <w:left w:val="none" w:sz="0" w:space="0" w:color="auto"/>
        <w:bottom w:val="none" w:sz="0" w:space="0" w:color="auto"/>
        <w:right w:val="none" w:sz="0" w:space="0" w:color="auto"/>
      </w:divBdr>
    </w:div>
    <w:div w:id="1427652727">
      <w:bodyDiv w:val="1"/>
      <w:marLeft w:val="0"/>
      <w:marRight w:val="0"/>
      <w:marTop w:val="0"/>
      <w:marBottom w:val="0"/>
      <w:divBdr>
        <w:top w:val="none" w:sz="0" w:space="0" w:color="auto"/>
        <w:left w:val="none" w:sz="0" w:space="0" w:color="auto"/>
        <w:bottom w:val="none" w:sz="0" w:space="0" w:color="auto"/>
        <w:right w:val="none" w:sz="0" w:space="0" w:color="auto"/>
      </w:divBdr>
    </w:div>
    <w:div w:id="1428771898">
      <w:bodyDiv w:val="1"/>
      <w:marLeft w:val="0"/>
      <w:marRight w:val="0"/>
      <w:marTop w:val="0"/>
      <w:marBottom w:val="0"/>
      <w:divBdr>
        <w:top w:val="none" w:sz="0" w:space="0" w:color="auto"/>
        <w:left w:val="none" w:sz="0" w:space="0" w:color="auto"/>
        <w:bottom w:val="none" w:sz="0" w:space="0" w:color="auto"/>
        <w:right w:val="none" w:sz="0" w:space="0" w:color="auto"/>
      </w:divBdr>
    </w:div>
    <w:div w:id="1429234318">
      <w:bodyDiv w:val="1"/>
      <w:marLeft w:val="0"/>
      <w:marRight w:val="0"/>
      <w:marTop w:val="0"/>
      <w:marBottom w:val="0"/>
      <w:divBdr>
        <w:top w:val="none" w:sz="0" w:space="0" w:color="auto"/>
        <w:left w:val="none" w:sz="0" w:space="0" w:color="auto"/>
        <w:bottom w:val="none" w:sz="0" w:space="0" w:color="auto"/>
        <w:right w:val="none" w:sz="0" w:space="0" w:color="auto"/>
      </w:divBdr>
    </w:div>
    <w:div w:id="1430537925">
      <w:bodyDiv w:val="1"/>
      <w:marLeft w:val="0"/>
      <w:marRight w:val="0"/>
      <w:marTop w:val="0"/>
      <w:marBottom w:val="0"/>
      <w:divBdr>
        <w:top w:val="none" w:sz="0" w:space="0" w:color="auto"/>
        <w:left w:val="none" w:sz="0" w:space="0" w:color="auto"/>
        <w:bottom w:val="none" w:sz="0" w:space="0" w:color="auto"/>
        <w:right w:val="none" w:sz="0" w:space="0" w:color="auto"/>
      </w:divBdr>
    </w:div>
    <w:div w:id="1430586670">
      <w:bodyDiv w:val="1"/>
      <w:marLeft w:val="0"/>
      <w:marRight w:val="0"/>
      <w:marTop w:val="0"/>
      <w:marBottom w:val="0"/>
      <w:divBdr>
        <w:top w:val="none" w:sz="0" w:space="0" w:color="auto"/>
        <w:left w:val="none" w:sz="0" w:space="0" w:color="auto"/>
        <w:bottom w:val="none" w:sz="0" w:space="0" w:color="auto"/>
        <w:right w:val="none" w:sz="0" w:space="0" w:color="auto"/>
      </w:divBdr>
    </w:div>
    <w:div w:id="1432509613">
      <w:bodyDiv w:val="1"/>
      <w:marLeft w:val="0"/>
      <w:marRight w:val="0"/>
      <w:marTop w:val="0"/>
      <w:marBottom w:val="0"/>
      <w:divBdr>
        <w:top w:val="none" w:sz="0" w:space="0" w:color="auto"/>
        <w:left w:val="none" w:sz="0" w:space="0" w:color="auto"/>
        <w:bottom w:val="none" w:sz="0" w:space="0" w:color="auto"/>
        <w:right w:val="none" w:sz="0" w:space="0" w:color="auto"/>
      </w:divBdr>
    </w:div>
    <w:div w:id="1437822441">
      <w:bodyDiv w:val="1"/>
      <w:marLeft w:val="0"/>
      <w:marRight w:val="0"/>
      <w:marTop w:val="0"/>
      <w:marBottom w:val="0"/>
      <w:divBdr>
        <w:top w:val="none" w:sz="0" w:space="0" w:color="auto"/>
        <w:left w:val="none" w:sz="0" w:space="0" w:color="auto"/>
        <w:bottom w:val="none" w:sz="0" w:space="0" w:color="auto"/>
        <w:right w:val="none" w:sz="0" w:space="0" w:color="auto"/>
      </w:divBdr>
    </w:div>
    <w:div w:id="1442916518">
      <w:bodyDiv w:val="1"/>
      <w:marLeft w:val="0"/>
      <w:marRight w:val="0"/>
      <w:marTop w:val="0"/>
      <w:marBottom w:val="0"/>
      <w:divBdr>
        <w:top w:val="none" w:sz="0" w:space="0" w:color="auto"/>
        <w:left w:val="none" w:sz="0" w:space="0" w:color="auto"/>
        <w:bottom w:val="none" w:sz="0" w:space="0" w:color="auto"/>
        <w:right w:val="none" w:sz="0" w:space="0" w:color="auto"/>
      </w:divBdr>
    </w:div>
    <w:div w:id="1444694827">
      <w:bodyDiv w:val="1"/>
      <w:marLeft w:val="0"/>
      <w:marRight w:val="0"/>
      <w:marTop w:val="0"/>
      <w:marBottom w:val="0"/>
      <w:divBdr>
        <w:top w:val="none" w:sz="0" w:space="0" w:color="auto"/>
        <w:left w:val="none" w:sz="0" w:space="0" w:color="auto"/>
        <w:bottom w:val="none" w:sz="0" w:space="0" w:color="auto"/>
        <w:right w:val="none" w:sz="0" w:space="0" w:color="auto"/>
      </w:divBdr>
    </w:div>
    <w:div w:id="1447507036">
      <w:bodyDiv w:val="1"/>
      <w:marLeft w:val="0"/>
      <w:marRight w:val="0"/>
      <w:marTop w:val="0"/>
      <w:marBottom w:val="0"/>
      <w:divBdr>
        <w:top w:val="none" w:sz="0" w:space="0" w:color="auto"/>
        <w:left w:val="none" w:sz="0" w:space="0" w:color="auto"/>
        <w:bottom w:val="none" w:sz="0" w:space="0" w:color="auto"/>
        <w:right w:val="none" w:sz="0" w:space="0" w:color="auto"/>
      </w:divBdr>
    </w:div>
    <w:div w:id="1448963841">
      <w:bodyDiv w:val="1"/>
      <w:marLeft w:val="0"/>
      <w:marRight w:val="0"/>
      <w:marTop w:val="0"/>
      <w:marBottom w:val="0"/>
      <w:divBdr>
        <w:top w:val="none" w:sz="0" w:space="0" w:color="auto"/>
        <w:left w:val="none" w:sz="0" w:space="0" w:color="auto"/>
        <w:bottom w:val="none" w:sz="0" w:space="0" w:color="auto"/>
        <w:right w:val="none" w:sz="0" w:space="0" w:color="auto"/>
      </w:divBdr>
    </w:div>
    <w:div w:id="1451440227">
      <w:bodyDiv w:val="1"/>
      <w:marLeft w:val="0"/>
      <w:marRight w:val="0"/>
      <w:marTop w:val="0"/>
      <w:marBottom w:val="0"/>
      <w:divBdr>
        <w:top w:val="none" w:sz="0" w:space="0" w:color="auto"/>
        <w:left w:val="none" w:sz="0" w:space="0" w:color="auto"/>
        <w:bottom w:val="none" w:sz="0" w:space="0" w:color="auto"/>
        <w:right w:val="none" w:sz="0" w:space="0" w:color="auto"/>
      </w:divBdr>
    </w:div>
    <w:div w:id="1452435704">
      <w:bodyDiv w:val="1"/>
      <w:marLeft w:val="0"/>
      <w:marRight w:val="0"/>
      <w:marTop w:val="0"/>
      <w:marBottom w:val="0"/>
      <w:divBdr>
        <w:top w:val="none" w:sz="0" w:space="0" w:color="auto"/>
        <w:left w:val="none" w:sz="0" w:space="0" w:color="auto"/>
        <w:bottom w:val="none" w:sz="0" w:space="0" w:color="auto"/>
        <w:right w:val="none" w:sz="0" w:space="0" w:color="auto"/>
      </w:divBdr>
    </w:div>
    <w:div w:id="1456682415">
      <w:bodyDiv w:val="1"/>
      <w:marLeft w:val="0"/>
      <w:marRight w:val="0"/>
      <w:marTop w:val="0"/>
      <w:marBottom w:val="0"/>
      <w:divBdr>
        <w:top w:val="none" w:sz="0" w:space="0" w:color="auto"/>
        <w:left w:val="none" w:sz="0" w:space="0" w:color="auto"/>
        <w:bottom w:val="none" w:sz="0" w:space="0" w:color="auto"/>
        <w:right w:val="none" w:sz="0" w:space="0" w:color="auto"/>
      </w:divBdr>
    </w:div>
    <w:div w:id="1458447800">
      <w:bodyDiv w:val="1"/>
      <w:marLeft w:val="0"/>
      <w:marRight w:val="0"/>
      <w:marTop w:val="0"/>
      <w:marBottom w:val="0"/>
      <w:divBdr>
        <w:top w:val="none" w:sz="0" w:space="0" w:color="auto"/>
        <w:left w:val="none" w:sz="0" w:space="0" w:color="auto"/>
        <w:bottom w:val="none" w:sz="0" w:space="0" w:color="auto"/>
        <w:right w:val="none" w:sz="0" w:space="0" w:color="auto"/>
      </w:divBdr>
    </w:div>
    <w:div w:id="1458793740">
      <w:bodyDiv w:val="1"/>
      <w:marLeft w:val="0"/>
      <w:marRight w:val="0"/>
      <w:marTop w:val="0"/>
      <w:marBottom w:val="0"/>
      <w:divBdr>
        <w:top w:val="none" w:sz="0" w:space="0" w:color="auto"/>
        <w:left w:val="none" w:sz="0" w:space="0" w:color="auto"/>
        <w:bottom w:val="none" w:sz="0" w:space="0" w:color="auto"/>
        <w:right w:val="none" w:sz="0" w:space="0" w:color="auto"/>
      </w:divBdr>
    </w:div>
    <w:div w:id="1461454755">
      <w:bodyDiv w:val="1"/>
      <w:marLeft w:val="0"/>
      <w:marRight w:val="0"/>
      <w:marTop w:val="0"/>
      <w:marBottom w:val="0"/>
      <w:divBdr>
        <w:top w:val="none" w:sz="0" w:space="0" w:color="auto"/>
        <w:left w:val="none" w:sz="0" w:space="0" w:color="auto"/>
        <w:bottom w:val="none" w:sz="0" w:space="0" w:color="auto"/>
        <w:right w:val="none" w:sz="0" w:space="0" w:color="auto"/>
      </w:divBdr>
    </w:div>
    <w:div w:id="1461996219">
      <w:bodyDiv w:val="1"/>
      <w:marLeft w:val="0"/>
      <w:marRight w:val="0"/>
      <w:marTop w:val="0"/>
      <w:marBottom w:val="0"/>
      <w:divBdr>
        <w:top w:val="none" w:sz="0" w:space="0" w:color="auto"/>
        <w:left w:val="none" w:sz="0" w:space="0" w:color="auto"/>
        <w:bottom w:val="none" w:sz="0" w:space="0" w:color="auto"/>
        <w:right w:val="none" w:sz="0" w:space="0" w:color="auto"/>
      </w:divBdr>
    </w:div>
    <w:div w:id="1468932208">
      <w:bodyDiv w:val="1"/>
      <w:marLeft w:val="0"/>
      <w:marRight w:val="0"/>
      <w:marTop w:val="0"/>
      <w:marBottom w:val="0"/>
      <w:divBdr>
        <w:top w:val="none" w:sz="0" w:space="0" w:color="auto"/>
        <w:left w:val="none" w:sz="0" w:space="0" w:color="auto"/>
        <w:bottom w:val="none" w:sz="0" w:space="0" w:color="auto"/>
        <w:right w:val="none" w:sz="0" w:space="0" w:color="auto"/>
      </w:divBdr>
    </w:div>
    <w:div w:id="1470509465">
      <w:bodyDiv w:val="1"/>
      <w:marLeft w:val="0"/>
      <w:marRight w:val="0"/>
      <w:marTop w:val="0"/>
      <w:marBottom w:val="0"/>
      <w:divBdr>
        <w:top w:val="none" w:sz="0" w:space="0" w:color="auto"/>
        <w:left w:val="none" w:sz="0" w:space="0" w:color="auto"/>
        <w:bottom w:val="none" w:sz="0" w:space="0" w:color="auto"/>
        <w:right w:val="none" w:sz="0" w:space="0" w:color="auto"/>
      </w:divBdr>
    </w:div>
    <w:div w:id="1472357732">
      <w:bodyDiv w:val="1"/>
      <w:marLeft w:val="0"/>
      <w:marRight w:val="0"/>
      <w:marTop w:val="0"/>
      <w:marBottom w:val="0"/>
      <w:divBdr>
        <w:top w:val="none" w:sz="0" w:space="0" w:color="auto"/>
        <w:left w:val="none" w:sz="0" w:space="0" w:color="auto"/>
        <w:bottom w:val="none" w:sz="0" w:space="0" w:color="auto"/>
        <w:right w:val="none" w:sz="0" w:space="0" w:color="auto"/>
      </w:divBdr>
    </w:div>
    <w:div w:id="1473253328">
      <w:bodyDiv w:val="1"/>
      <w:marLeft w:val="0"/>
      <w:marRight w:val="0"/>
      <w:marTop w:val="0"/>
      <w:marBottom w:val="0"/>
      <w:divBdr>
        <w:top w:val="none" w:sz="0" w:space="0" w:color="auto"/>
        <w:left w:val="none" w:sz="0" w:space="0" w:color="auto"/>
        <w:bottom w:val="none" w:sz="0" w:space="0" w:color="auto"/>
        <w:right w:val="none" w:sz="0" w:space="0" w:color="auto"/>
      </w:divBdr>
    </w:div>
    <w:div w:id="1479034834">
      <w:bodyDiv w:val="1"/>
      <w:marLeft w:val="0"/>
      <w:marRight w:val="0"/>
      <w:marTop w:val="0"/>
      <w:marBottom w:val="0"/>
      <w:divBdr>
        <w:top w:val="none" w:sz="0" w:space="0" w:color="auto"/>
        <w:left w:val="none" w:sz="0" w:space="0" w:color="auto"/>
        <w:bottom w:val="none" w:sz="0" w:space="0" w:color="auto"/>
        <w:right w:val="none" w:sz="0" w:space="0" w:color="auto"/>
      </w:divBdr>
    </w:div>
    <w:div w:id="1482653031">
      <w:bodyDiv w:val="1"/>
      <w:marLeft w:val="0"/>
      <w:marRight w:val="0"/>
      <w:marTop w:val="0"/>
      <w:marBottom w:val="0"/>
      <w:divBdr>
        <w:top w:val="none" w:sz="0" w:space="0" w:color="auto"/>
        <w:left w:val="none" w:sz="0" w:space="0" w:color="auto"/>
        <w:bottom w:val="none" w:sz="0" w:space="0" w:color="auto"/>
        <w:right w:val="none" w:sz="0" w:space="0" w:color="auto"/>
      </w:divBdr>
    </w:div>
    <w:div w:id="1484739056">
      <w:bodyDiv w:val="1"/>
      <w:marLeft w:val="0"/>
      <w:marRight w:val="0"/>
      <w:marTop w:val="0"/>
      <w:marBottom w:val="0"/>
      <w:divBdr>
        <w:top w:val="none" w:sz="0" w:space="0" w:color="auto"/>
        <w:left w:val="none" w:sz="0" w:space="0" w:color="auto"/>
        <w:bottom w:val="none" w:sz="0" w:space="0" w:color="auto"/>
        <w:right w:val="none" w:sz="0" w:space="0" w:color="auto"/>
      </w:divBdr>
    </w:div>
    <w:div w:id="1487698220">
      <w:bodyDiv w:val="1"/>
      <w:marLeft w:val="0"/>
      <w:marRight w:val="0"/>
      <w:marTop w:val="0"/>
      <w:marBottom w:val="0"/>
      <w:divBdr>
        <w:top w:val="none" w:sz="0" w:space="0" w:color="auto"/>
        <w:left w:val="none" w:sz="0" w:space="0" w:color="auto"/>
        <w:bottom w:val="none" w:sz="0" w:space="0" w:color="auto"/>
        <w:right w:val="none" w:sz="0" w:space="0" w:color="auto"/>
      </w:divBdr>
    </w:div>
    <w:div w:id="1488277485">
      <w:bodyDiv w:val="1"/>
      <w:marLeft w:val="0"/>
      <w:marRight w:val="0"/>
      <w:marTop w:val="0"/>
      <w:marBottom w:val="0"/>
      <w:divBdr>
        <w:top w:val="none" w:sz="0" w:space="0" w:color="auto"/>
        <w:left w:val="none" w:sz="0" w:space="0" w:color="auto"/>
        <w:bottom w:val="none" w:sz="0" w:space="0" w:color="auto"/>
        <w:right w:val="none" w:sz="0" w:space="0" w:color="auto"/>
      </w:divBdr>
    </w:div>
    <w:div w:id="1489596979">
      <w:bodyDiv w:val="1"/>
      <w:marLeft w:val="0"/>
      <w:marRight w:val="0"/>
      <w:marTop w:val="0"/>
      <w:marBottom w:val="0"/>
      <w:divBdr>
        <w:top w:val="none" w:sz="0" w:space="0" w:color="auto"/>
        <w:left w:val="none" w:sz="0" w:space="0" w:color="auto"/>
        <w:bottom w:val="none" w:sz="0" w:space="0" w:color="auto"/>
        <w:right w:val="none" w:sz="0" w:space="0" w:color="auto"/>
      </w:divBdr>
    </w:div>
    <w:div w:id="1490249785">
      <w:bodyDiv w:val="1"/>
      <w:marLeft w:val="0"/>
      <w:marRight w:val="0"/>
      <w:marTop w:val="0"/>
      <w:marBottom w:val="0"/>
      <w:divBdr>
        <w:top w:val="none" w:sz="0" w:space="0" w:color="auto"/>
        <w:left w:val="none" w:sz="0" w:space="0" w:color="auto"/>
        <w:bottom w:val="none" w:sz="0" w:space="0" w:color="auto"/>
        <w:right w:val="none" w:sz="0" w:space="0" w:color="auto"/>
      </w:divBdr>
    </w:div>
    <w:div w:id="1501698419">
      <w:bodyDiv w:val="1"/>
      <w:marLeft w:val="0"/>
      <w:marRight w:val="0"/>
      <w:marTop w:val="0"/>
      <w:marBottom w:val="0"/>
      <w:divBdr>
        <w:top w:val="none" w:sz="0" w:space="0" w:color="auto"/>
        <w:left w:val="none" w:sz="0" w:space="0" w:color="auto"/>
        <w:bottom w:val="none" w:sz="0" w:space="0" w:color="auto"/>
        <w:right w:val="none" w:sz="0" w:space="0" w:color="auto"/>
      </w:divBdr>
    </w:div>
    <w:div w:id="1513643398">
      <w:bodyDiv w:val="1"/>
      <w:marLeft w:val="0"/>
      <w:marRight w:val="0"/>
      <w:marTop w:val="0"/>
      <w:marBottom w:val="0"/>
      <w:divBdr>
        <w:top w:val="none" w:sz="0" w:space="0" w:color="auto"/>
        <w:left w:val="none" w:sz="0" w:space="0" w:color="auto"/>
        <w:bottom w:val="none" w:sz="0" w:space="0" w:color="auto"/>
        <w:right w:val="none" w:sz="0" w:space="0" w:color="auto"/>
      </w:divBdr>
    </w:div>
    <w:div w:id="1531213538">
      <w:bodyDiv w:val="1"/>
      <w:marLeft w:val="0"/>
      <w:marRight w:val="0"/>
      <w:marTop w:val="0"/>
      <w:marBottom w:val="0"/>
      <w:divBdr>
        <w:top w:val="none" w:sz="0" w:space="0" w:color="auto"/>
        <w:left w:val="none" w:sz="0" w:space="0" w:color="auto"/>
        <w:bottom w:val="none" w:sz="0" w:space="0" w:color="auto"/>
        <w:right w:val="none" w:sz="0" w:space="0" w:color="auto"/>
      </w:divBdr>
    </w:div>
    <w:div w:id="1533566414">
      <w:bodyDiv w:val="1"/>
      <w:marLeft w:val="0"/>
      <w:marRight w:val="0"/>
      <w:marTop w:val="0"/>
      <w:marBottom w:val="0"/>
      <w:divBdr>
        <w:top w:val="none" w:sz="0" w:space="0" w:color="auto"/>
        <w:left w:val="none" w:sz="0" w:space="0" w:color="auto"/>
        <w:bottom w:val="none" w:sz="0" w:space="0" w:color="auto"/>
        <w:right w:val="none" w:sz="0" w:space="0" w:color="auto"/>
      </w:divBdr>
    </w:div>
    <w:div w:id="1535384005">
      <w:bodyDiv w:val="1"/>
      <w:marLeft w:val="0"/>
      <w:marRight w:val="0"/>
      <w:marTop w:val="0"/>
      <w:marBottom w:val="0"/>
      <w:divBdr>
        <w:top w:val="none" w:sz="0" w:space="0" w:color="auto"/>
        <w:left w:val="none" w:sz="0" w:space="0" w:color="auto"/>
        <w:bottom w:val="none" w:sz="0" w:space="0" w:color="auto"/>
        <w:right w:val="none" w:sz="0" w:space="0" w:color="auto"/>
      </w:divBdr>
    </w:div>
    <w:div w:id="1541241547">
      <w:bodyDiv w:val="1"/>
      <w:marLeft w:val="0"/>
      <w:marRight w:val="0"/>
      <w:marTop w:val="0"/>
      <w:marBottom w:val="0"/>
      <w:divBdr>
        <w:top w:val="none" w:sz="0" w:space="0" w:color="auto"/>
        <w:left w:val="none" w:sz="0" w:space="0" w:color="auto"/>
        <w:bottom w:val="none" w:sz="0" w:space="0" w:color="auto"/>
        <w:right w:val="none" w:sz="0" w:space="0" w:color="auto"/>
      </w:divBdr>
    </w:div>
    <w:div w:id="1541891208">
      <w:bodyDiv w:val="1"/>
      <w:marLeft w:val="0"/>
      <w:marRight w:val="0"/>
      <w:marTop w:val="0"/>
      <w:marBottom w:val="0"/>
      <w:divBdr>
        <w:top w:val="none" w:sz="0" w:space="0" w:color="auto"/>
        <w:left w:val="none" w:sz="0" w:space="0" w:color="auto"/>
        <w:bottom w:val="none" w:sz="0" w:space="0" w:color="auto"/>
        <w:right w:val="none" w:sz="0" w:space="0" w:color="auto"/>
      </w:divBdr>
    </w:div>
    <w:div w:id="1543131026">
      <w:bodyDiv w:val="1"/>
      <w:marLeft w:val="0"/>
      <w:marRight w:val="0"/>
      <w:marTop w:val="0"/>
      <w:marBottom w:val="0"/>
      <w:divBdr>
        <w:top w:val="none" w:sz="0" w:space="0" w:color="auto"/>
        <w:left w:val="none" w:sz="0" w:space="0" w:color="auto"/>
        <w:bottom w:val="none" w:sz="0" w:space="0" w:color="auto"/>
        <w:right w:val="none" w:sz="0" w:space="0" w:color="auto"/>
      </w:divBdr>
    </w:div>
    <w:div w:id="1549682848">
      <w:bodyDiv w:val="1"/>
      <w:marLeft w:val="0"/>
      <w:marRight w:val="0"/>
      <w:marTop w:val="0"/>
      <w:marBottom w:val="0"/>
      <w:divBdr>
        <w:top w:val="none" w:sz="0" w:space="0" w:color="auto"/>
        <w:left w:val="none" w:sz="0" w:space="0" w:color="auto"/>
        <w:bottom w:val="none" w:sz="0" w:space="0" w:color="auto"/>
        <w:right w:val="none" w:sz="0" w:space="0" w:color="auto"/>
      </w:divBdr>
    </w:div>
    <w:div w:id="1549999800">
      <w:bodyDiv w:val="1"/>
      <w:marLeft w:val="0"/>
      <w:marRight w:val="0"/>
      <w:marTop w:val="0"/>
      <w:marBottom w:val="0"/>
      <w:divBdr>
        <w:top w:val="none" w:sz="0" w:space="0" w:color="auto"/>
        <w:left w:val="none" w:sz="0" w:space="0" w:color="auto"/>
        <w:bottom w:val="none" w:sz="0" w:space="0" w:color="auto"/>
        <w:right w:val="none" w:sz="0" w:space="0" w:color="auto"/>
      </w:divBdr>
    </w:div>
    <w:div w:id="1552888819">
      <w:bodyDiv w:val="1"/>
      <w:marLeft w:val="0"/>
      <w:marRight w:val="0"/>
      <w:marTop w:val="0"/>
      <w:marBottom w:val="0"/>
      <w:divBdr>
        <w:top w:val="none" w:sz="0" w:space="0" w:color="auto"/>
        <w:left w:val="none" w:sz="0" w:space="0" w:color="auto"/>
        <w:bottom w:val="none" w:sz="0" w:space="0" w:color="auto"/>
        <w:right w:val="none" w:sz="0" w:space="0" w:color="auto"/>
      </w:divBdr>
    </w:div>
    <w:div w:id="1556232848">
      <w:bodyDiv w:val="1"/>
      <w:marLeft w:val="0"/>
      <w:marRight w:val="0"/>
      <w:marTop w:val="0"/>
      <w:marBottom w:val="0"/>
      <w:divBdr>
        <w:top w:val="none" w:sz="0" w:space="0" w:color="auto"/>
        <w:left w:val="none" w:sz="0" w:space="0" w:color="auto"/>
        <w:bottom w:val="none" w:sz="0" w:space="0" w:color="auto"/>
        <w:right w:val="none" w:sz="0" w:space="0" w:color="auto"/>
      </w:divBdr>
    </w:div>
    <w:div w:id="1562208318">
      <w:bodyDiv w:val="1"/>
      <w:marLeft w:val="0"/>
      <w:marRight w:val="0"/>
      <w:marTop w:val="0"/>
      <w:marBottom w:val="0"/>
      <w:divBdr>
        <w:top w:val="none" w:sz="0" w:space="0" w:color="auto"/>
        <w:left w:val="none" w:sz="0" w:space="0" w:color="auto"/>
        <w:bottom w:val="none" w:sz="0" w:space="0" w:color="auto"/>
        <w:right w:val="none" w:sz="0" w:space="0" w:color="auto"/>
      </w:divBdr>
    </w:div>
    <w:div w:id="1563371426">
      <w:bodyDiv w:val="1"/>
      <w:marLeft w:val="0"/>
      <w:marRight w:val="0"/>
      <w:marTop w:val="0"/>
      <w:marBottom w:val="0"/>
      <w:divBdr>
        <w:top w:val="none" w:sz="0" w:space="0" w:color="auto"/>
        <w:left w:val="none" w:sz="0" w:space="0" w:color="auto"/>
        <w:bottom w:val="none" w:sz="0" w:space="0" w:color="auto"/>
        <w:right w:val="none" w:sz="0" w:space="0" w:color="auto"/>
      </w:divBdr>
    </w:div>
    <w:div w:id="1568950572">
      <w:bodyDiv w:val="1"/>
      <w:marLeft w:val="0"/>
      <w:marRight w:val="0"/>
      <w:marTop w:val="0"/>
      <w:marBottom w:val="0"/>
      <w:divBdr>
        <w:top w:val="none" w:sz="0" w:space="0" w:color="auto"/>
        <w:left w:val="none" w:sz="0" w:space="0" w:color="auto"/>
        <w:bottom w:val="none" w:sz="0" w:space="0" w:color="auto"/>
        <w:right w:val="none" w:sz="0" w:space="0" w:color="auto"/>
      </w:divBdr>
    </w:div>
    <w:div w:id="1570966729">
      <w:bodyDiv w:val="1"/>
      <w:marLeft w:val="0"/>
      <w:marRight w:val="0"/>
      <w:marTop w:val="0"/>
      <w:marBottom w:val="0"/>
      <w:divBdr>
        <w:top w:val="none" w:sz="0" w:space="0" w:color="auto"/>
        <w:left w:val="none" w:sz="0" w:space="0" w:color="auto"/>
        <w:bottom w:val="none" w:sz="0" w:space="0" w:color="auto"/>
        <w:right w:val="none" w:sz="0" w:space="0" w:color="auto"/>
      </w:divBdr>
    </w:div>
    <w:div w:id="1571698126">
      <w:bodyDiv w:val="1"/>
      <w:marLeft w:val="0"/>
      <w:marRight w:val="0"/>
      <w:marTop w:val="0"/>
      <w:marBottom w:val="0"/>
      <w:divBdr>
        <w:top w:val="none" w:sz="0" w:space="0" w:color="auto"/>
        <w:left w:val="none" w:sz="0" w:space="0" w:color="auto"/>
        <w:bottom w:val="none" w:sz="0" w:space="0" w:color="auto"/>
        <w:right w:val="none" w:sz="0" w:space="0" w:color="auto"/>
      </w:divBdr>
    </w:div>
    <w:div w:id="1575580306">
      <w:bodyDiv w:val="1"/>
      <w:marLeft w:val="0"/>
      <w:marRight w:val="0"/>
      <w:marTop w:val="0"/>
      <w:marBottom w:val="0"/>
      <w:divBdr>
        <w:top w:val="none" w:sz="0" w:space="0" w:color="auto"/>
        <w:left w:val="none" w:sz="0" w:space="0" w:color="auto"/>
        <w:bottom w:val="none" w:sz="0" w:space="0" w:color="auto"/>
        <w:right w:val="none" w:sz="0" w:space="0" w:color="auto"/>
      </w:divBdr>
    </w:div>
    <w:div w:id="1580483976">
      <w:bodyDiv w:val="1"/>
      <w:marLeft w:val="0"/>
      <w:marRight w:val="0"/>
      <w:marTop w:val="0"/>
      <w:marBottom w:val="0"/>
      <w:divBdr>
        <w:top w:val="none" w:sz="0" w:space="0" w:color="auto"/>
        <w:left w:val="none" w:sz="0" w:space="0" w:color="auto"/>
        <w:bottom w:val="none" w:sz="0" w:space="0" w:color="auto"/>
        <w:right w:val="none" w:sz="0" w:space="0" w:color="auto"/>
      </w:divBdr>
    </w:div>
    <w:div w:id="1585459720">
      <w:bodyDiv w:val="1"/>
      <w:marLeft w:val="0"/>
      <w:marRight w:val="0"/>
      <w:marTop w:val="0"/>
      <w:marBottom w:val="0"/>
      <w:divBdr>
        <w:top w:val="none" w:sz="0" w:space="0" w:color="auto"/>
        <w:left w:val="none" w:sz="0" w:space="0" w:color="auto"/>
        <w:bottom w:val="none" w:sz="0" w:space="0" w:color="auto"/>
        <w:right w:val="none" w:sz="0" w:space="0" w:color="auto"/>
      </w:divBdr>
    </w:div>
    <w:div w:id="1585843861">
      <w:bodyDiv w:val="1"/>
      <w:marLeft w:val="0"/>
      <w:marRight w:val="0"/>
      <w:marTop w:val="0"/>
      <w:marBottom w:val="0"/>
      <w:divBdr>
        <w:top w:val="none" w:sz="0" w:space="0" w:color="auto"/>
        <w:left w:val="none" w:sz="0" w:space="0" w:color="auto"/>
        <w:bottom w:val="none" w:sz="0" w:space="0" w:color="auto"/>
        <w:right w:val="none" w:sz="0" w:space="0" w:color="auto"/>
      </w:divBdr>
    </w:div>
    <w:div w:id="1588882520">
      <w:bodyDiv w:val="1"/>
      <w:marLeft w:val="0"/>
      <w:marRight w:val="0"/>
      <w:marTop w:val="0"/>
      <w:marBottom w:val="0"/>
      <w:divBdr>
        <w:top w:val="none" w:sz="0" w:space="0" w:color="auto"/>
        <w:left w:val="none" w:sz="0" w:space="0" w:color="auto"/>
        <w:bottom w:val="none" w:sz="0" w:space="0" w:color="auto"/>
        <w:right w:val="none" w:sz="0" w:space="0" w:color="auto"/>
      </w:divBdr>
    </w:div>
    <w:div w:id="1590774915">
      <w:bodyDiv w:val="1"/>
      <w:marLeft w:val="0"/>
      <w:marRight w:val="0"/>
      <w:marTop w:val="0"/>
      <w:marBottom w:val="0"/>
      <w:divBdr>
        <w:top w:val="none" w:sz="0" w:space="0" w:color="auto"/>
        <w:left w:val="none" w:sz="0" w:space="0" w:color="auto"/>
        <w:bottom w:val="none" w:sz="0" w:space="0" w:color="auto"/>
        <w:right w:val="none" w:sz="0" w:space="0" w:color="auto"/>
      </w:divBdr>
    </w:div>
    <w:div w:id="1593540003">
      <w:bodyDiv w:val="1"/>
      <w:marLeft w:val="0"/>
      <w:marRight w:val="0"/>
      <w:marTop w:val="0"/>
      <w:marBottom w:val="0"/>
      <w:divBdr>
        <w:top w:val="none" w:sz="0" w:space="0" w:color="auto"/>
        <w:left w:val="none" w:sz="0" w:space="0" w:color="auto"/>
        <w:bottom w:val="none" w:sz="0" w:space="0" w:color="auto"/>
        <w:right w:val="none" w:sz="0" w:space="0" w:color="auto"/>
      </w:divBdr>
    </w:div>
    <w:div w:id="1594897028">
      <w:bodyDiv w:val="1"/>
      <w:marLeft w:val="0"/>
      <w:marRight w:val="0"/>
      <w:marTop w:val="0"/>
      <w:marBottom w:val="0"/>
      <w:divBdr>
        <w:top w:val="none" w:sz="0" w:space="0" w:color="auto"/>
        <w:left w:val="none" w:sz="0" w:space="0" w:color="auto"/>
        <w:bottom w:val="none" w:sz="0" w:space="0" w:color="auto"/>
        <w:right w:val="none" w:sz="0" w:space="0" w:color="auto"/>
      </w:divBdr>
    </w:div>
    <w:div w:id="1596018425">
      <w:bodyDiv w:val="1"/>
      <w:marLeft w:val="0"/>
      <w:marRight w:val="0"/>
      <w:marTop w:val="0"/>
      <w:marBottom w:val="0"/>
      <w:divBdr>
        <w:top w:val="none" w:sz="0" w:space="0" w:color="auto"/>
        <w:left w:val="none" w:sz="0" w:space="0" w:color="auto"/>
        <w:bottom w:val="none" w:sz="0" w:space="0" w:color="auto"/>
        <w:right w:val="none" w:sz="0" w:space="0" w:color="auto"/>
      </w:divBdr>
    </w:div>
    <w:div w:id="1598365350">
      <w:bodyDiv w:val="1"/>
      <w:marLeft w:val="0"/>
      <w:marRight w:val="0"/>
      <w:marTop w:val="0"/>
      <w:marBottom w:val="0"/>
      <w:divBdr>
        <w:top w:val="none" w:sz="0" w:space="0" w:color="auto"/>
        <w:left w:val="none" w:sz="0" w:space="0" w:color="auto"/>
        <w:bottom w:val="none" w:sz="0" w:space="0" w:color="auto"/>
        <w:right w:val="none" w:sz="0" w:space="0" w:color="auto"/>
      </w:divBdr>
    </w:div>
    <w:div w:id="1601137642">
      <w:bodyDiv w:val="1"/>
      <w:marLeft w:val="0"/>
      <w:marRight w:val="0"/>
      <w:marTop w:val="0"/>
      <w:marBottom w:val="0"/>
      <w:divBdr>
        <w:top w:val="none" w:sz="0" w:space="0" w:color="auto"/>
        <w:left w:val="none" w:sz="0" w:space="0" w:color="auto"/>
        <w:bottom w:val="none" w:sz="0" w:space="0" w:color="auto"/>
        <w:right w:val="none" w:sz="0" w:space="0" w:color="auto"/>
      </w:divBdr>
    </w:div>
    <w:div w:id="1606495327">
      <w:bodyDiv w:val="1"/>
      <w:marLeft w:val="0"/>
      <w:marRight w:val="0"/>
      <w:marTop w:val="0"/>
      <w:marBottom w:val="0"/>
      <w:divBdr>
        <w:top w:val="none" w:sz="0" w:space="0" w:color="auto"/>
        <w:left w:val="none" w:sz="0" w:space="0" w:color="auto"/>
        <w:bottom w:val="none" w:sz="0" w:space="0" w:color="auto"/>
        <w:right w:val="none" w:sz="0" w:space="0" w:color="auto"/>
      </w:divBdr>
    </w:div>
    <w:div w:id="1608850693">
      <w:bodyDiv w:val="1"/>
      <w:marLeft w:val="0"/>
      <w:marRight w:val="0"/>
      <w:marTop w:val="0"/>
      <w:marBottom w:val="0"/>
      <w:divBdr>
        <w:top w:val="none" w:sz="0" w:space="0" w:color="auto"/>
        <w:left w:val="none" w:sz="0" w:space="0" w:color="auto"/>
        <w:bottom w:val="none" w:sz="0" w:space="0" w:color="auto"/>
        <w:right w:val="none" w:sz="0" w:space="0" w:color="auto"/>
      </w:divBdr>
    </w:div>
    <w:div w:id="1612972511">
      <w:bodyDiv w:val="1"/>
      <w:marLeft w:val="0"/>
      <w:marRight w:val="0"/>
      <w:marTop w:val="0"/>
      <w:marBottom w:val="0"/>
      <w:divBdr>
        <w:top w:val="none" w:sz="0" w:space="0" w:color="auto"/>
        <w:left w:val="none" w:sz="0" w:space="0" w:color="auto"/>
        <w:bottom w:val="none" w:sz="0" w:space="0" w:color="auto"/>
        <w:right w:val="none" w:sz="0" w:space="0" w:color="auto"/>
      </w:divBdr>
    </w:div>
    <w:div w:id="1616869303">
      <w:bodyDiv w:val="1"/>
      <w:marLeft w:val="0"/>
      <w:marRight w:val="0"/>
      <w:marTop w:val="0"/>
      <w:marBottom w:val="0"/>
      <w:divBdr>
        <w:top w:val="none" w:sz="0" w:space="0" w:color="auto"/>
        <w:left w:val="none" w:sz="0" w:space="0" w:color="auto"/>
        <w:bottom w:val="none" w:sz="0" w:space="0" w:color="auto"/>
        <w:right w:val="none" w:sz="0" w:space="0" w:color="auto"/>
      </w:divBdr>
    </w:div>
    <w:div w:id="1620918362">
      <w:bodyDiv w:val="1"/>
      <w:marLeft w:val="0"/>
      <w:marRight w:val="0"/>
      <w:marTop w:val="0"/>
      <w:marBottom w:val="0"/>
      <w:divBdr>
        <w:top w:val="none" w:sz="0" w:space="0" w:color="auto"/>
        <w:left w:val="none" w:sz="0" w:space="0" w:color="auto"/>
        <w:bottom w:val="none" w:sz="0" w:space="0" w:color="auto"/>
        <w:right w:val="none" w:sz="0" w:space="0" w:color="auto"/>
      </w:divBdr>
    </w:div>
    <w:div w:id="1625309014">
      <w:bodyDiv w:val="1"/>
      <w:marLeft w:val="0"/>
      <w:marRight w:val="0"/>
      <w:marTop w:val="0"/>
      <w:marBottom w:val="0"/>
      <w:divBdr>
        <w:top w:val="none" w:sz="0" w:space="0" w:color="auto"/>
        <w:left w:val="none" w:sz="0" w:space="0" w:color="auto"/>
        <w:bottom w:val="none" w:sz="0" w:space="0" w:color="auto"/>
        <w:right w:val="none" w:sz="0" w:space="0" w:color="auto"/>
      </w:divBdr>
    </w:div>
    <w:div w:id="1627272187">
      <w:bodyDiv w:val="1"/>
      <w:marLeft w:val="0"/>
      <w:marRight w:val="0"/>
      <w:marTop w:val="0"/>
      <w:marBottom w:val="0"/>
      <w:divBdr>
        <w:top w:val="none" w:sz="0" w:space="0" w:color="auto"/>
        <w:left w:val="none" w:sz="0" w:space="0" w:color="auto"/>
        <w:bottom w:val="none" w:sz="0" w:space="0" w:color="auto"/>
        <w:right w:val="none" w:sz="0" w:space="0" w:color="auto"/>
      </w:divBdr>
    </w:div>
    <w:div w:id="1628318409">
      <w:bodyDiv w:val="1"/>
      <w:marLeft w:val="0"/>
      <w:marRight w:val="0"/>
      <w:marTop w:val="0"/>
      <w:marBottom w:val="0"/>
      <w:divBdr>
        <w:top w:val="none" w:sz="0" w:space="0" w:color="auto"/>
        <w:left w:val="none" w:sz="0" w:space="0" w:color="auto"/>
        <w:bottom w:val="none" w:sz="0" w:space="0" w:color="auto"/>
        <w:right w:val="none" w:sz="0" w:space="0" w:color="auto"/>
      </w:divBdr>
    </w:div>
    <w:div w:id="1628703800">
      <w:bodyDiv w:val="1"/>
      <w:marLeft w:val="0"/>
      <w:marRight w:val="0"/>
      <w:marTop w:val="0"/>
      <w:marBottom w:val="0"/>
      <w:divBdr>
        <w:top w:val="none" w:sz="0" w:space="0" w:color="auto"/>
        <w:left w:val="none" w:sz="0" w:space="0" w:color="auto"/>
        <w:bottom w:val="none" w:sz="0" w:space="0" w:color="auto"/>
        <w:right w:val="none" w:sz="0" w:space="0" w:color="auto"/>
      </w:divBdr>
    </w:div>
    <w:div w:id="1638298344">
      <w:bodyDiv w:val="1"/>
      <w:marLeft w:val="0"/>
      <w:marRight w:val="0"/>
      <w:marTop w:val="0"/>
      <w:marBottom w:val="0"/>
      <w:divBdr>
        <w:top w:val="none" w:sz="0" w:space="0" w:color="auto"/>
        <w:left w:val="none" w:sz="0" w:space="0" w:color="auto"/>
        <w:bottom w:val="none" w:sz="0" w:space="0" w:color="auto"/>
        <w:right w:val="none" w:sz="0" w:space="0" w:color="auto"/>
      </w:divBdr>
    </w:div>
    <w:div w:id="1638757078">
      <w:bodyDiv w:val="1"/>
      <w:marLeft w:val="0"/>
      <w:marRight w:val="0"/>
      <w:marTop w:val="0"/>
      <w:marBottom w:val="0"/>
      <w:divBdr>
        <w:top w:val="none" w:sz="0" w:space="0" w:color="auto"/>
        <w:left w:val="none" w:sz="0" w:space="0" w:color="auto"/>
        <w:bottom w:val="none" w:sz="0" w:space="0" w:color="auto"/>
        <w:right w:val="none" w:sz="0" w:space="0" w:color="auto"/>
      </w:divBdr>
    </w:div>
    <w:div w:id="1645313178">
      <w:bodyDiv w:val="1"/>
      <w:marLeft w:val="0"/>
      <w:marRight w:val="0"/>
      <w:marTop w:val="0"/>
      <w:marBottom w:val="0"/>
      <w:divBdr>
        <w:top w:val="none" w:sz="0" w:space="0" w:color="auto"/>
        <w:left w:val="none" w:sz="0" w:space="0" w:color="auto"/>
        <w:bottom w:val="none" w:sz="0" w:space="0" w:color="auto"/>
        <w:right w:val="none" w:sz="0" w:space="0" w:color="auto"/>
      </w:divBdr>
    </w:div>
    <w:div w:id="1645769607">
      <w:bodyDiv w:val="1"/>
      <w:marLeft w:val="0"/>
      <w:marRight w:val="0"/>
      <w:marTop w:val="0"/>
      <w:marBottom w:val="0"/>
      <w:divBdr>
        <w:top w:val="none" w:sz="0" w:space="0" w:color="auto"/>
        <w:left w:val="none" w:sz="0" w:space="0" w:color="auto"/>
        <w:bottom w:val="none" w:sz="0" w:space="0" w:color="auto"/>
        <w:right w:val="none" w:sz="0" w:space="0" w:color="auto"/>
      </w:divBdr>
    </w:div>
    <w:div w:id="1647275680">
      <w:bodyDiv w:val="1"/>
      <w:marLeft w:val="0"/>
      <w:marRight w:val="0"/>
      <w:marTop w:val="0"/>
      <w:marBottom w:val="0"/>
      <w:divBdr>
        <w:top w:val="none" w:sz="0" w:space="0" w:color="auto"/>
        <w:left w:val="none" w:sz="0" w:space="0" w:color="auto"/>
        <w:bottom w:val="none" w:sz="0" w:space="0" w:color="auto"/>
        <w:right w:val="none" w:sz="0" w:space="0" w:color="auto"/>
      </w:divBdr>
    </w:div>
    <w:div w:id="1648126491">
      <w:bodyDiv w:val="1"/>
      <w:marLeft w:val="0"/>
      <w:marRight w:val="0"/>
      <w:marTop w:val="0"/>
      <w:marBottom w:val="0"/>
      <w:divBdr>
        <w:top w:val="none" w:sz="0" w:space="0" w:color="auto"/>
        <w:left w:val="none" w:sz="0" w:space="0" w:color="auto"/>
        <w:bottom w:val="none" w:sz="0" w:space="0" w:color="auto"/>
        <w:right w:val="none" w:sz="0" w:space="0" w:color="auto"/>
      </w:divBdr>
    </w:div>
    <w:div w:id="1648824997">
      <w:bodyDiv w:val="1"/>
      <w:marLeft w:val="0"/>
      <w:marRight w:val="0"/>
      <w:marTop w:val="0"/>
      <w:marBottom w:val="0"/>
      <w:divBdr>
        <w:top w:val="none" w:sz="0" w:space="0" w:color="auto"/>
        <w:left w:val="none" w:sz="0" w:space="0" w:color="auto"/>
        <w:bottom w:val="none" w:sz="0" w:space="0" w:color="auto"/>
        <w:right w:val="none" w:sz="0" w:space="0" w:color="auto"/>
      </w:divBdr>
    </w:div>
    <w:div w:id="1649092832">
      <w:bodyDiv w:val="1"/>
      <w:marLeft w:val="0"/>
      <w:marRight w:val="0"/>
      <w:marTop w:val="0"/>
      <w:marBottom w:val="0"/>
      <w:divBdr>
        <w:top w:val="none" w:sz="0" w:space="0" w:color="auto"/>
        <w:left w:val="none" w:sz="0" w:space="0" w:color="auto"/>
        <w:bottom w:val="none" w:sz="0" w:space="0" w:color="auto"/>
        <w:right w:val="none" w:sz="0" w:space="0" w:color="auto"/>
      </w:divBdr>
    </w:div>
    <w:div w:id="1652251927">
      <w:bodyDiv w:val="1"/>
      <w:marLeft w:val="0"/>
      <w:marRight w:val="0"/>
      <w:marTop w:val="0"/>
      <w:marBottom w:val="0"/>
      <w:divBdr>
        <w:top w:val="none" w:sz="0" w:space="0" w:color="auto"/>
        <w:left w:val="none" w:sz="0" w:space="0" w:color="auto"/>
        <w:bottom w:val="none" w:sz="0" w:space="0" w:color="auto"/>
        <w:right w:val="none" w:sz="0" w:space="0" w:color="auto"/>
      </w:divBdr>
    </w:div>
    <w:div w:id="1653751194">
      <w:bodyDiv w:val="1"/>
      <w:marLeft w:val="0"/>
      <w:marRight w:val="0"/>
      <w:marTop w:val="0"/>
      <w:marBottom w:val="0"/>
      <w:divBdr>
        <w:top w:val="none" w:sz="0" w:space="0" w:color="auto"/>
        <w:left w:val="none" w:sz="0" w:space="0" w:color="auto"/>
        <w:bottom w:val="none" w:sz="0" w:space="0" w:color="auto"/>
        <w:right w:val="none" w:sz="0" w:space="0" w:color="auto"/>
      </w:divBdr>
    </w:div>
    <w:div w:id="1666081318">
      <w:bodyDiv w:val="1"/>
      <w:marLeft w:val="0"/>
      <w:marRight w:val="0"/>
      <w:marTop w:val="0"/>
      <w:marBottom w:val="0"/>
      <w:divBdr>
        <w:top w:val="none" w:sz="0" w:space="0" w:color="auto"/>
        <w:left w:val="none" w:sz="0" w:space="0" w:color="auto"/>
        <w:bottom w:val="none" w:sz="0" w:space="0" w:color="auto"/>
        <w:right w:val="none" w:sz="0" w:space="0" w:color="auto"/>
      </w:divBdr>
    </w:div>
    <w:div w:id="1667780915">
      <w:bodyDiv w:val="1"/>
      <w:marLeft w:val="0"/>
      <w:marRight w:val="0"/>
      <w:marTop w:val="0"/>
      <w:marBottom w:val="0"/>
      <w:divBdr>
        <w:top w:val="none" w:sz="0" w:space="0" w:color="auto"/>
        <w:left w:val="none" w:sz="0" w:space="0" w:color="auto"/>
        <w:bottom w:val="none" w:sz="0" w:space="0" w:color="auto"/>
        <w:right w:val="none" w:sz="0" w:space="0" w:color="auto"/>
      </w:divBdr>
    </w:div>
    <w:div w:id="1669361038">
      <w:bodyDiv w:val="1"/>
      <w:marLeft w:val="0"/>
      <w:marRight w:val="0"/>
      <w:marTop w:val="0"/>
      <w:marBottom w:val="0"/>
      <w:divBdr>
        <w:top w:val="none" w:sz="0" w:space="0" w:color="auto"/>
        <w:left w:val="none" w:sz="0" w:space="0" w:color="auto"/>
        <w:bottom w:val="none" w:sz="0" w:space="0" w:color="auto"/>
        <w:right w:val="none" w:sz="0" w:space="0" w:color="auto"/>
      </w:divBdr>
    </w:div>
    <w:div w:id="1671760582">
      <w:bodyDiv w:val="1"/>
      <w:marLeft w:val="0"/>
      <w:marRight w:val="0"/>
      <w:marTop w:val="0"/>
      <w:marBottom w:val="0"/>
      <w:divBdr>
        <w:top w:val="none" w:sz="0" w:space="0" w:color="auto"/>
        <w:left w:val="none" w:sz="0" w:space="0" w:color="auto"/>
        <w:bottom w:val="none" w:sz="0" w:space="0" w:color="auto"/>
        <w:right w:val="none" w:sz="0" w:space="0" w:color="auto"/>
      </w:divBdr>
    </w:div>
    <w:div w:id="1675764198">
      <w:bodyDiv w:val="1"/>
      <w:marLeft w:val="0"/>
      <w:marRight w:val="0"/>
      <w:marTop w:val="0"/>
      <w:marBottom w:val="0"/>
      <w:divBdr>
        <w:top w:val="none" w:sz="0" w:space="0" w:color="auto"/>
        <w:left w:val="none" w:sz="0" w:space="0" w:color="auto"/>
        <w:bottom w:val="none" w:sz="0" w:space="0" w:color="auto"/>
        <w:right w:val="none" w:sz="0" w:space="0" w:color="auto"/>
      </w:divBdr>
    </w:div>
    <w:div w:id="1676418179">
      <w:bodyDiv w:val="1"/>
      <w:marLeft w:val="0"/>
      <w:marRight w:val="0"/>
      <w:marTop w:val="0"/>
      <w:marBottom w:val="0"/>
      <w:divBdr>
        <w:top w:val="none" w:sz="0" w:space="0" w:color="auto"/>
        <w:left w:val="none" w:sz="0" w:space="0" w:color="auto"/>
        <w:bottom w:val="none" w:sz="0" w:space="0" w:color="auto"/>
        <w:right w:val="none" w:sz="0" w:space="0" w:color="auto"/>
      </w:divBdr>
    </w:div>
    <w:div w:id="1676569798">
      <w:bodyDiv w:val="1"/>
      <w:marLeft w:val="0"/>
      <w:marRight w:val="0"/>
      <w:marTop w:val="0"/>
      <w:marBottom w:val="0"/>
      <w:divBdr>
        <w:top w:val="none" w:sz="0" w:space="0" w:color="auto"/>
        <w:left w:val="none" w:sz="0" w:space="0" w:color="auto"/>
        <w:bottom w:val="none" w:sz="0" w:space="0" w:color="auto"/>
        <w:right w:val="none" w:sz="0" w:space="0" w:color="auto"/>
      </w:divBdr>
    </w:div>
    <w:div w:id="1677538591">
      <w:bodyDiv w:val="1"/>
      <w:marLeft w:val="0"/>
      <w:marRight w:val="0"/>
      <w:marTop w:val="0"/>
      <w:marBottom w:val="0"/>
      <w:divBdr>
        <w:top w:val="none" w:sz="0" w:space="0" w:color="auto"/>
        <w:left w:val="none" w:sz="0" w:space="0" w:color="auto"/>
        <w:bottom w:val="none" w:sz="0" w:space="0" w:color="auto"/>
        <w:right w:val="none" w:sz="0" w:space="0" w:color="auto"/>
      </w:divBdr>
    </w:div>
    <w:div w:id="1681158957">
      <w:bodyDiv w:val="1"/>
      <w:marLeft w:val="0"/>
      <w:marRight w:val="0"/>
      <w:marTop w:val="0"/>
      <w:marBottom w:val="0"/>
      <w:divBdr>
        <w:top w:val="none" w:sz="0" w:space="0" w:color="auto"/>
        <w:left w:val="none" w:sz="0" w:space="0" w:color="auto"/>
        <w:bottom w:val="none" w:sz="0" w:space="0" w:color="auto"/>
        <w:right w:val="none" w:sz="0" w:space="0" w:color="auto"/>
      </w:divBdr>
    </w:div>
    <w:div w:id="1689405411">
      <w:bodyDiv w:val="1"/>
      <w:marLeft w:val="0"/>
      <w:marRight w:val="0"/>
      <w:marTop w:val="0"/>
      <w:marBottom w:val="0"/>
      <w:divBdr>
        <w:top w:val="none" w:sz="0" w:space="0" w:color="auto"/>
        <w:left w:val="none" w:sz="0" w:space="0" w:color="auto"/>
        <w:bottom w:val="none" w:sz="0" w:space="0" w:color="auto"/>
        <w:right w:val="none" w:sz="0" w:space="0" w:color="auto"/>
      </w:divBdr>
    </w:div>
    <w:div w:id="1693914517">
      <w:bodyDiv w:val="1"/>
      <w:marLeft w:val="0"/>
      <w:marRight w:val="0"/>
      <w:marTop w:val="0"/>
      <w:marBottom w:val="0"/>
      <w:divBdr>
        <w:top w:val="none" w:sz="0" w:space="0" w:color="auto"/>
        <w:left w:val="none" w:sz="0" w:space="0" w:color="auto"/>
        <w:bottom w:val="none" w:sz="0" w:space="0" w:color="auto"/>
        <w:right w:val="none" w:sz="0" w:space="0" w:color="auto"/>
      </w:divBdr>
    </w:div>
    <w:div w:id="1695111076">
      <w:bodyDiv w:val="1"/>
      <w:marLeft w:val="0"/>
      <w:marRight w:val="0"/>
      <w:marTop w:val="0"/>
      <w:marBottom w:val="0"/>
      <w:divBdr>
        <w:top w:val="none" w:sz="0" w:space="0" w:color="auto"/>
        <w:left w:val="none" w:sz="0" w:space="0" w:color="auto"/>
        <w:bottom w:val="none" w:sz="0" w:space="0" w:color="auto"/>
        <w:right w:val="none" w:sz="0" w:space="0" w:color="auto"/>
      </w:divBdr>
    </w:div>
    <w:div w:id="1698651838">
      <w:bodyDiv w:val="1"/>
      <w:marLeft w:val="0"/>
      <w:marRight w:val="0"/>
      <w:marTop w:val="0"/>
      <w:marBottom w:val="0"/>
      <w:divBdr>
        <w:top w:val="none" w:sz="0" w:space="0" w:color="auto"/>
        <w:left w:val="none" w:sz="0" w:space="0" w:color="auto"/>
        <w:bottom w:val="none" w:sz="0" w:space="0" w:color="auto"/>
        <w:right w:val="none" w:sz="0" w:space="0" w:color="auto"/>
      </w:divBdr>
    </w:div>
    <w:div w:id="1701007652">
      <w:bodyDiv w:val="1"/>
      <w:marLeft w:val="0"/>
      <w:marRight w:val="0"/>
      <w:marTop w:val="0"/>
      <w:marBottom w:val="0"/>
      <w:divBdr>
        <w:top w:val="none" w:sz="0" w:space="0" w:color="auto"/>
        <w:left w:val="none" w:sz="0" w:space="0" w:color="auto"/>
        <w:bottom w:val="none" w:sz="0" w:space="0" w:color="auto"/>
        <w:right w:val="none" w:sz="0" w:space="0" w:color="auto"/>
      </w:divBdr>
    </w:div>
    <w:div w:id="1702239381">
      <w:bodyDiv w:val="1"/>
      <w:marLeft w:val="0"/>
      <w:marRight w:val="0"/>
      <w:marTop w:val="0"/>
      <w:marBottom w:val="0"/>
      <w:divBdr>
        <w:top w:val="none" w:sz="0" w:space="0" w:color="auto"/>
        <w:left w:val="none" w:sz="0" w:space="0" w:color="auto"/>
        <w:bottom w:val="none" w:sz="0" w:space="0" w:color="auto"/>
        <w:right w:val="none" w:sz="0" w:space="0" w:color="auto"/>
      </w:divBdr>
    </w:div>
    <w:div w:id="1703363584">
      <w:bodyDiv w:val="1"/>
      <w:marLeft w:val="0"/>
      <w:marRight w:val="0"/>
      <w:marTop w:val="0"/>
      <w:marBottom w:val="0"/>
      <w:divBdr>
        <w:top w:val="none" w:sz="0" w:space="0" w:color="auto"/>
        <w:left w:val="none" w:sz="0" w:space="0" w:color="auto"/>
        <w:bottom w:val="none" w:sz="0" w:space="0" w:color="auto"/>
        <w:right w:val="none" w:sz="0" w:space="0" w:color="auto"/>
      </w:divBdr>
    </w:div>
    <w:div w:id="1704163848">
      <w:bodyDiv w:val="1"/>
      <w:marLeft w:val="0"/>
      <w:marRight w:val="0"/>
      <w:marTop w:val="0"/>
      <w:marBottom w:val="0"/>
      <w:divBdr>
        <w:top w:val="none" w:sz="0" w:space="0" w:color="auto"/>
        <w:left w:val="none" w:sz="0" w:space="0" w:color="auto"/>
        <w:bottom w:val="none" w:sz="0" w:space="0" w:color="auto"/>
        <w:right w:val="none" w:sz="0" w:space="0" w:color="auto"/>
      </w:divBdr>
    </w:div>
    <w:div w:id="1710372918">
      <w:bodyDiv w:val="1"/>
      <w:marLeft w:val="0"/>
      <w:marRight w:val="0"/>
      <w:marTop w:val="0"/>
      <w:marBottom w:val="0"/>
      <w:divBdr>
        <w:top w:val="none" w:sz="0" w:space="0" w:color="auto"/>
        <w:left w:val="none" w:sz="0" w:space="0" w:color="auto"/>
        <w:bottom w:val="none" w:sz="0" w:space="0" w:color="auto"/>
        <w:right w:val="none" w:sz="0" w:space="0" w:color="auto"/>
      </w:divBdr>
    </w:div>
    <w:div w:id="1712270193">
      <w:bodyDiv w:val="1"/>
      <w:marLeft w:val="0"/>
      <w:marRight w:val="0"/>
      <w:marTop w:val="0"/>
      <w:marBottom w:val="0"/>
      <w:divBdr>
        <w:top w:val="none" w:sz="0" w:space="0" w:color="auto"/>
        <w:left w:val="none" w:sz="0" w:space="0" w:color="auto"/>
        <w:bottom w:val="none" w:sz="0" w:space="0" w:color="auto"/>
        <w:right w:val="none" w:sz="0" w:space="0" w:color="auto"/>
      </w:divBdr>
    </w:div>
    <w:div w:id="1713920385">
      <w:bodyDiv w:val="1"/>
      <w:marLeft w:val="0"/>
      <w:marRight w:val="0"/>
      <w:marTop w:val="0"/>
      <w:marBottom w:val="0"/>
      <w:divBdr>
        <w:top w:val="none" w:sz="0" w:space="0" w:color="auto"/>
        <w:left w:val="none" w:sz="0" w:space="0" w:color="auto"/>
        <w:bottom w:val="none" w:sz="0" w:space="0" w:color="auto"/>
        <w:right w:val="none" w:sz="0" w:space="0" w:color="auto"/>
      </w:divBdr>
    </w:div>
    <w:div w:id="1714380196">
      <w:bodyDiv w:val="1"/>
      <w:marLeft w:val="0"/>
      <w:marRight w:val="0"/>
      <w:marTop w:val="0"/>
      <w:marBottom w:val="0"/>
      <w:divBdr>
        <w:top w:val="none" w:sz="0" w:space="0" w:color="auto"/>
        <w:left w:val="none" w:sz="0" w:space="0" w:color="auto"/>
        <w:bottom w:val="none" w:sz="0" w:space="0" w:color="auto"/>
        <w:right w:val="none" w:sz="0" w:space="0" w:color="auto"/>
      </w:divBdr>
    </w:div>
    <w:div w:id="1717199828">
      <w:bodyDiv w:val="1"/>
      <w:marLeft w:val="0"/>
      <w:marRight w:val="0"/>
      <w:marTop w:val="0"/>
      <w:marBottom w:val="0"/>
      <w:divBdr>
        <w:top w:val="none" w:sz="0" w:space="0" w:color="auto"/>
        <w:left w:val="none" w:sz="0" w:space="0" w:color="auto"/>
        <w:bottom w:val="none" w:sz="0" w:space="0" w:color="auto"/>
        <w:right w:val="none" w:sz="0" w:space="0" w:color="auto"/>
      </w:divBdr>
    </w:div>
    <w:div w:id="1719233056">
      <w:bodyDiv w:val="1"/>
      <w:marLeft w:val="0"/>
      <w:marRight w:val="0"/>
      <w:marTop w:val="0"/>
      <w:marBottom w:val="0"/>
      <w:divBdr>
        <w:top w:val="none" w:sz="0" w:space="0" w:color="auto"/>
        <w:left w:val="none" w:sz="0" w:space="0" w:color="auto"/>
        <w:bottom w:val="none" w:sz="0" w:space="0" w:color="auto"/>
        <w:right w:val="none" w:sz="0" w:space="0" w:color="auto"/>
      </w:divBdr>
    </w:div>
    <w:div w:id="1726174083">
      <w:bodyDiv w:val="1"/>
      <w:marLeft w:val="0"/>
      <w:marRight w:val="0"/>
      <w:marTop w:val="0"/>
      <w:marBottom w:val="0"/>
      <w:divBdr>
        <w:top w:val="none" w:sz="0" w:space="0" w:color="auto"/>
        <w:left w:val="none" w:sz="0" w:space="0" w:color="auto"/>
        <w:bottom w:val="none" w:sz="0" w:space="0" w:color="auto"/>
        <w:right w:val="none" w:sz="0" w:space="0" w:color="auto"/>
      </w:divBdr>
    </w:div>
    <w:div w:id="1727219317">
      <w:bodyDiv w:val="1"/>
      <w:marLeft w:val="0"/>
      <w:marRight w:val="0"/>
      <w:marTop w:val="0"/>
      <w:marBottom w:val="0"/>
      <w:divBdr>
        <w:top w:val="none" w:sz="0" w:space="0" w:color="auto"/>
        <w:left w:val="none" w:sz="0" w:space="0" w:color="auto"/>
        <w:bottom w:val="none" w:sz="0" w:space="0" w:color="auto"/>
        <w:right w:val="none" w:sz="0" w:space="0" w:color="auto"/>
      </w:divBdr>
    </w:div>
    <w:div w:id="1733889152">
      <w:bodyDiv w:val="1"/>
      <w:marLeft w:val="0"/>
      <w:marRight w:val="0"/>
      <w:marTop w:val="0"/>
      <w:marBottom w:val="0"/>
      <w:divBdr>
        <w:top w:val="none" w:sz="0" w:space="0" w:color="auto"/>
        <w:left w:val="none" w:sz="0" w:space="0" w:color="auto"/>
        <w:bottom w:val="none" w:sz="0" w:space="0" w:color="auto"/>
        <w:right w:val="none" w:sz="0" w:space="0" w:color="auto"/>
      </w:divBdr>
    </w:div>
    <w:div w:id="1736926746">
      <w:bodyDiv w:val="1"/>
      <w:marLeft w:val="0"/>
      <w:marRight w:val="0"/>
      <w:marTop w:val="0"/>
      <w:marBottom w:val="0"/>
      <w:divBdr>
        <w:top w:val="none" w:sz="0" w:space="0" w:color="auto"/>
        <w:left w:val="none" w:sz="0" w:space="0" w:color="auto"/>
        <w:bottom w:val="none" w:sz="0" w:space="0" w:color="auto"/>
        <w:right w:val="none" w:sz="0" w:space="0" w:color="auto"/>
      </w:divBdr>
    </w:div>
    <w:div w:id="1738044794">
      <w:bodyDiv w:val="1"/>
      <w:marLeft w:val="0"/>
      <w:marRight w:val="0"/>
      <w:marTop w:val="0"/>
      <w:marBottom w:val="0"/>
      <w:divBdr>
        <w:top w:val="none" w:sz="0" w:space="0" w:color="auto"/>
        <w:left w:val="none" w:sz="0" w:space="0" w:color="auto"/>
        <w:bottom w:val="none" w:sz="0" w:space="0" w:color="auto"/>
        <w:right w:val="none" w:sz="0" w:space="0" w:color="auto"/>
      </w:divBdr>
    </w:div>
    <w:div w:id="1740396740">
      <w:bodyDiv w:val="1"/>
      <w:marLeft w:val="0"/>
      <w:marRight w:val="0"/>
      <w:marTop w:val="0"/>
      <w:marBottom w:val="0"/>
      <w:divBdr>
        <w:top w:val="none" w:sz="0" w:space="0" w:color="auto"/>
        <w:left w:val="none" w:sz="0" w:space="0" w:color="auto"/>
        <w:bottom w:val="none" w:sz="0" w:space="0" w:color="auto"/>
        <w:right w:val="none" w:sz="0" w:space="0" w:color="auto"/>
      </w:divBdr>
    </w:div>
    <w:div w:id="1744330336">
      <w:bodyDiv w:val="1"/>
      <w:marLeft w:val="0"/>
      <w:marRight w:val="0"/>
      <w:marTop w:val="0"/>
      <w:marBottom w:val="0"/>
      <w:divBdr>
        <w:top w:val="none" w:sz="0" w:space="0" w:color="auto"/>
        <w:left w:val="none" w:sz="0" w:space="0" w:color="auto"/>
        <w:bottom w:val="none" w:sz="0" w:space="0" w:color="auto"/>
        <w:right w:val="none" w:sz="0" w:space="0" w:color="auto"/>
      </w:divBdr>
    </w:div>
    <w:div w:id="1750229658">
      <w:bodyDiv w:val="1"/>
      <w:marLeft w:val="0"/>
      <w:marRight w:val="0"/>
      <w:marTop w:val="0"/>
      <w:marBottom w:val="0"/>
      <w:divBdr>
        <w:top w:val="none" w:sz="0" w:space="0" w:color="auto"/>
        <w:left w:val="none" w:sz="0" w:space="0" w:color="auto"/>
        <w:bottom w:val="none" w:sz="0" w:space="0" w:color="auto"/>
        <w:right w:val="none" w:sz="0" w:space="0" w:color="auto"/>
      </w:divBdr>
    </w:div>
    <w:div w:id="1757241302">
      <w:bodyDiv w:val="1"/>
      <w:marLeft w:val="0"/>
      <w:marRight w:val="0"/>
      <w:marTop w:val="0"/>
      <w:marBottom w:val="0"/>
      <w:divBdr>
        <w:top w:val="none" w:sz="0" w:space="0" w:color="auto"/>
        <w:left w:val="none" w:sz="0" w:space="0" w:color="auto"/>
        <w:bottom w:val="none" w:sz="0" w:space="0" w:color="auto"/>
        <w:right w:val="none" w:sz="0" w:space="0" w:color="auto"/>
      </w:divBdr>
    </w:div>
    <w:div w:id="1757627648">
      <w:bodyDiv w:val="1"/>
      <w:marLeft w:val="0"/>
      <w:marRight w:val="0"/>
      <w:marTop w:val="0"/>
      <w:marBottom w:val="0"/>
      <w:divBdr>
        <w:top w:val="none" w:sz="0" w:space="0" w:color="auto"/>
        <w:left w:val="none" w:sz="0" w:space="0" w:color="auto"/>
        <w:bottom w:val="none" w:sz="0" w:space="0" w:color="auto"/>
        <w:right w:val="none" w:sz="0" w:space="0" w:color="auto"/>
      </w:divBdr>
    </w:div>
    <w:div w:id="1761246769">
      <w:bodyDiv w:val="1"/>
      <w:marLeft w:val="0"/>
      <w:marRight w:val="0"/>
      <w:marTop w:val="0"/>
      <w:marBottom w:val="0"/>
      <w:divBdr>
        <w:top w:val="none" w:sz="0" w:space="0" w:color="auto"/>
        <w:left w:val="none" w:sz="0" w:space="0" w:color="auto"/>
        <w:bottom w:val="none" w:sz="0" w:space="0" w:color="auto"/>
        <w:right w:val="none" w:sz="0" w:space="0" w:color="auto"/>
      </w:divBdr>
    </w:div>
    <w:div w:id="1764689877">
      <w:bodyDiv w:val="1"/>
      <w:marLeft w:val="0"/>
      <w:marRight w:val="0"/>
      <w:marTop w:val="0"/>
      <w:marBottom w:val="0"/>
      <w:divBdr>
        <w:top w:val="none" w:sz="0" w:space="0" w:color="auto"/>
        <w:left w:val="none" w:sz="0" w:space="0" w:color="auto"/>
        <w:bottom w:val="none" w:sz="0" w:space="0" w:color="auto"/>
        <w:right w:val="none" w:sz="0" w:space="0" w:color="auto"/>
      </w:divBdr>
    </w:div>
    <w:div w:id="1768887650">
      <w:bodyDiv w:val="1"/>
      <w:marLeft w:val="0"/>
      <w:marRight w:val="0"/>
      <w:marTop w:val="0"/>
      <w:marBottom w:val="0"/>
      <w:divBdr>
        <w:top w:val="none" w:sz="0" w:space="0" w:color="auto"/>
        <w:left w:val="none" w:sz="0" w:space="0" w:color="auto"/>
        <w:bottom w:val="none" w:sz="0" w:space="0" w:color="auto"/>
        <w:right w:val="none" w:sz="0" w:space="0" w:color="auto"/>
      </w:divBdr>
    </w:div>
    <w:div w:id="1771002662">
      <w:bodyDiv w:val="1"/>
      <w:marLeft w:val="0"/>
      <w:marRight w:val="0"/>
      <w:marTop w:val="0"/>
      <w:marBottom w:val="0"/>
      <w:divBdr>
        <w:top w:val="none" w:sz="0" w:space="0" w:color="auto"/>
        <w:left w:val="none" w:sz="0" w:space="0" w:color="auto"/>
        <w:bottom w:val="none" w:sz="0" w:space="0" w:color="auto"/>
        <w:right w:val="none" w:sz="0" w:space="0" w:color="auto"/>
      </w:divBdr>
    </w:div>
    <w:div w:id="1773236538">
      <w:bodyDiv w:val="1"/>
      <w:marLeft w:val="0"/>
      <w:marRight w:val="0"/>
      <w:marTop w:val="0"/>
      <w:marBottom w:val="0"/>
      <w:divBdr>
        <w:top w:val="none" w:sz="0" w:space="0" w:color="auto"/>
        <w:left w:val="none" w:sz="0" w:space="0" w:color="auto"/>
        <w:bottom w:val="none" w:sz="0" w:space="0" w:color="auto"/>
        <w:right w:val="none" w:sz="0" w:space="0" w:color="auto"/>
      </w:divBdr>
    </w:div>
    <w:div w:id="1776751451">
      <w:bodyDiv w:val="1"/>
      <w:marLeft w:val="0"/>
      <w:marRight w:val="0"/>
      <w:marTop w:val="0"/>
      <w:marBottom w:val="0"/>
      <w:divBdr>
        <w:top w:val="none" w:sz="0" w:space="0" w:color="auto"/>
        <w:left w:val="none" w:sz="0" w:space="0" w:color="auto"/>
        <w:bottom w:val="none" w:sz="0" w:space="0" w:color="auto"/>
        <w:right w:val="none" w:sz="0" w:space="0" w:color="auto"/>
      </w:divBdr>
    </w:div>
    <w:div w:id="1776948403">
      <w:bodyDiv w:val="1"/>
      <w:marLeft w:val="0"/>
      <w:marRight w:val="0"/>
      <w:marTop w:val="0"/>
      <w:marBottom w:val="0"/>
      <w:divBdr>
        <w:top w:val="none" w:sz="0" w:space="0" w:color="auto"/>
        <w:left w:val="none" w:sz="0" w:space="0" w:color="auto"/>
        <w:bottom w:val="none" w:sz="0" w:space="0" w:color="auto"/>
        <w:right w:val="none" w:sz="0" w:space="0" w:color="auto"/>
      </w:divBdr>
    </w:div>
    <w:div w:id="1780100961">
      <w:bodyDiv w:val="1"/>
      <w:marLeft w:val="0"/>
      <w:marRight w:val="0"/>
      <w:marTop w:val="0"/>
      <w:marBottom w:val="0"/>
      <w:divBdr>
        <w:top w:val="none" w:sz="0" w:space="0" w:color="auto"/>
        <w:left w:val="none" w:sz="0" w:space="0" w:color="auto"/>
        <w:bottom w:val="none" w:sz="0" w:space="0" w:color="auto"/>
        <w:right w:val="none" w:sz="0" w:space="0" w:color="auto"/>
      </w:divBdr>
    </w:div>
    <w:div w:id="1782721806">
      <w:bodyDiv w:val="1"/>
      <w:marLeft w:val="0"/>
      <w:marRight w:val="0"/>
      <w:marTop w:val="0"/>
      <w:marBottom w:val="0"/>
      <w:divBdr>
        <w:top w:val="none" w:sz="0" w:space="0" w:color="auto"/>
        <w:left w:val="none" w:sz="0" w:space="0" w:color="auto"/>
        <w:bottom w:val="none" w:sz="0" w:space="0" w:color="auto"/>
        <w:right w:val="none" w:sz="0" w:space="0" w:color="auto"/>
      </w:divBdr>
    </w:div>
    <w:div w:id="1783187223">
      <w:bodyDiv w:val="1"/>
      <w:marLeft w:val="0"/>
      <w:marRight w:val="0"/>
      <w:marTop w:val="0"/>
      <w:marBottom w:val="0"/>
      <w:divBdr>
        <w:top w:val="none" w:sz="0" w:space="0" w:color="auto"/>
        <w:left w:val="none" w:sz="0" w:space="0" w:color="auto"/>
        <w:bottom w:val="none" w:sz="0" w:space="0" w:color="auto"/>
        <w:right w:val="none" w:sz="0" w:space="0" w:color="auto"/>
      </w:divBdr>
    </w:div>
    <w:div w:id="1788040448">
      <w:bodyDiv w:val="1"/>
      <w:marLeft w:val="0"/>
      <w:marRight w:val="0"/>
      <w:marTop w:val="0"/>
      <w:marBottom w:val="0"/>
      <w:divBdr>
        <w:top w:val="none" w:sz="0" w:space="0" w:color="auto"/>
        <w:left w:val="none" w:sz="0" w:space="0" w:color="auto"/>
        <w:bottom w:val="none" w:sz="0" w:space="0" w:color="auto"/>
        <w:right w:val="none" w:sz="0" w:space="0" w:color="auto"/>
      </w:divBdr>
    </w:div>
    <w:div w:id="1788692333">
      <w:bodyDiv w:val="1"/>
      <w:marLeft w:val="0"/>
      <w:marRight w:val="0"/>
      <w:marTop w:val="0"/>
      <w:marBottom w:val="0"/>
      <w:divBdr>
        <w:top w:val="none" w:sz="0" w:space="0" w:color="auto"/>
        <w:left w:val="none" w:sz="0" w:space="0" w:color="auto"/>
        <w:bottom w:val="none" w:sz="0" w:space="0" w:color="auto"/>
        <w:right w:val="none" w:sz="0" w:space="0" w:color="auto"/>
      </w:divBdr>
    </w:div>
    <w:div w:id="1793205761">
      <w:bodyDiv w:val="1"/>
      <w:marLeft w:val="0"/>
      <w:marRight w:val="0"/>
      <w:marTop w:val="0"/>
      <w:marBottom w:val="0"/>
      <w:divBdr>
        <w:top w:val="none" w:sz="0" w:space="0" w:color="auto"/>
        <w:left w:val="none" w:sz="0" w:space="0" w:color="auto"/>
        <w:bottom w:val="none" w:sz="0" w:space="0" w:color="auto"/>
        <w:right w:val="none" w:sz="0" w:space="0" w:color="auto"/>
      </w:divBdr>
    </w:div>
    <w:div w:id="1793749744">
      <w:bodyDiv w:val="1"/>
      <w:marLeft w:val="0"/>
      <w:marRight w:val="0"/>
      <w:marTop w:val="0"/>
      <w:marBottom w:val="0"/>
      <w:divBdr>
        <w:top w:val="none" w:sz="0" w:space="0" w:color="auto"/>
        <w:left w:val="none" w:sz="0" w:space="0" w:color="auto"/>
        <w:bottom w:val="none" w:sz="0" w:space="0" w:color="auto"/>
        <w:right w:val="none" w:sz="0" w:space="0" w:color="auto"/>
      </w:divBdr>
    </w:div>
    <w:div w:id="1796679832">
      <w:bodyDiv w:val="1"/>
      <w:marLeft w:val="0"/>
      <w:marRight w:val="0"/>
      <w:marTop w:val="0"/>
      <w:marBottom w:val="0"/>
      <w:divBdr>
        <w:top w:val="none" w:sz="0" w:space="0" w:color="auto"/>
        <w:left w:val="none" w:sz="0" w:space="0" w:color="auto"/>
        <w:bottom w:val="none" w:sz="0" w:space="0" w:color="auto"/>
        <w:right w:val="none" w:sz="0" w:space="0" w:color="auto"/>
      </w:divBdr>
    </w:div>
    <w:div w:id="1798915852">
      <w:bodyDiv w:val="1"/>
      <w:marLeft w:val="0"/>
      <w:marRight w:val="0"/>
      <w:marTop w:val="0"/>
      <w:marBottom w:val="0"/>
      <w:divBdr>
        <w:top w:val="none" w:sz="0" w:space="0" w:color="auto"/>
        <w:left w:val="none" w:sz="0" w:space="0" w:color="auto"/>
        <w:bottom w:val="none" w:sz="0" w:space="0" w:color="auto"/>
        <w:right w:val="none" w:sz="0" w:space="0" w:color="auto"/>
      </w:divBdr>
    </w:div>
    <w:div w:id="1799448675">
      <w:bodyDiv w:val="1"/>
      <w:marLeft w:val="0"/>
      <w:marRight w:val="0"/>
      <w:marTop w:val="0"/>
      <w:marBottom w:val="0"/>
      <w:divBdr>
        <w:top w:val="none" w:sz="0" w:space="0" w:color="auto"/>
        <w:left w:val="none" w:sz="0" w:space="0" w:color="auto"/>
        <w:bottom w:val="none" w:sz="0" w:space="0" w:color="auto"/>
        <w:right w:val="none" w:sz="0" w:space="0" w:color="auto"/>
      </w:divBdr>
    </w:div>
    <w:div w:id="1803766418">
      <w:bodyDiv w:val="1"/>
      <w:marLeft w:val="0"/>
      <w:marRight w:val="0"/>
      <w:marTop w:val="0"/>
      <w:marBottom w:val="0"/>
      <w:divBdr>
        <w:top w:val="none" w:sz="0" w:space="0" w:color="auto"/>
        <w:left w:val="none" w:sz="0" w:space="0" w:color="auto"/>
        <w:bottom w:val="none" w:sz="0" w:space="0" w:color="auto"/>
        <w:right w:val="none" w:sz="0" w:space="0" w:color="auto"/>
      </w:divBdr>
    </w:div>
    <w:div w:id="1805343057">
      <w:bodyDiv w:val="1"/>
      <w:marLeft w:val="0"/>
      <w:marRight w:val="0"/>
      <w:marTop w:val="0"/>
      <w:marBottom w:val="0"/>
      <w:divBdr>
        <w:top w:val="none" w:sz="0" w:space="0" w:color="auto"/>
        <w:left w:val="none" w:sz="0" w:space="0" w:color="auto"/>
        <w:bottom w:val="none" w:sz="0" w:space="0" w:color="auto"/>
        <w:right w:val="none" w:sz="0" w:space="0" w:color="auto"/>
      </w:divBdr>
    </w:div>
    <w:div w:id="1808936412">
      <w:bodyDiv w:val="1"/>
      <w:marLeft w:val="0"/>
      <w:marRight w:val="0"/>
      <w:marTop w:val="0"/>
      <w:marBottom w:val="0"/>
      <w:divBdr>
        <w:top w:val="none" w:sz="0" w:space="0" w:color="auto"/>
        <w:left w:val="none" w:sz="0" w:space="0" w:color="auto"/>
        <w:bottom w:val="none" w:sz="0" w:space="0" w:color="auto"/>
        <w:right w:val="none" w:sz="0" w:space="0" w:color="auto"/>
      </w:divBdr>
    </w:div>
    <w:div w:id="1810005004">
      <w:bodyDiv w:val="1"/>
      <w:marLeft w:val="0"/>
      <w:marRight w:val="0"/>
      <w:marTop w:val="0"/>
      <w:marBottom w:val="0"/>
      <w:divBdr>
        <w:top w:val="none" w:sz="0" w:space="0" w:color="auto"/>
        <w:left w:val="none" w:sz="0" w:space="0" w:color="auto"/>
        <w:bottom w:val="none" w:sz="0" w:space="0" w:color="auto"/>
        <w:right w:val="none" w:sz="0" w:space="0" w:color="auto"/>
      </w:divBdr>
    </w:div>
    <w:div w:id="1813474922">
      <w:bodyDiv w:val="1"/>
      <w:marLeft w:val="0"/>
      <w:marRight w:val="0"/>
      <w:marTop w:val="0"/>
      <w:marBottom w:val="0"/>
      <w:divBdr>
        <w:top w:val="none" w:sz="0" w:space="0" w:color="auto"/>
        <w:left w:val="none" w:sz="0" w:space="0" w:color="auto"/>
        <w:bottom w:val="none" w:sz="0" w:space="0" w:color="auto"/>
        <w:right w:val="none" w:sz="0" w:space="0" w:color="auto"/>
      </w:divBdr>
    </w:div>
    <w:div w:id="1813785124">
      <w:bodyDiv w:val="1"/>
      <w:marLeft w:val="0"/>
      <w:marRight w:val="0"/>
      <w:marTop w:val="0"/>
      <w:marBottom w:val="0"/>
      <w:divBdr>
        <w:top w:val="none" w:sz="0" w:space="0" w:color="auto"/>
        <w:left w:val="none" w:sz="0" w:space="0" w:color="auto"/>
        <w:bottom w:val="none" w:sz="0" w:space="0" w:color="auto"/>
        <w:right w:val="none" w:sz="0" w:space="0" w:color="auto"/>
      </w:divBdr>
    </w:div>
    <w:div w:id="1816410078">
      <w:bodyDiv w:val="1"/>
      <w:marLeft w:val="0"/>
      <w:marRight w:val="0"/>
      <w:marTop w:val="0"/>
      <w:marBottom w:val="0"/>
      <w:divBdr>
        <w:top w:val="none" w:sz="0" w:space="0" w:color="auto"/>
        <w:left w:val="none" w:sz="0" w:space="0" w:color="auto"/>
        <w:bottom w:val="none" w:sz="0" w:space="0" w:color="auto"/>
        <w:right w:val="none" w:sz="0" w:space="0" w:color="auto"/>
      </w:divBdr>
    </w:div>
    <w:div w:id="1819608896">
      <w:bodyDiv w:val="1"/>
      <w:marLeft w:val="0"/>
      <w:marRight w:val="0"/>
      <w:marTop w:val="0"/>
      <w:marBottom w:val="0"/>
      <w:divBdr>
        <w:top w:val="none" w:sz="0" w:space="0" w:color="auto"/>
        <w:left w:val="none" w:sz="0" w:space="0" w:color="auto"/>
        <w:bottom w:val="none" w:sz="0" w:space="0" w:color="auto"/>
        <w:right w:val="none" w:sz="0" w:space="0" w:color="auto"/>
      </w:divBdr>
    </w:div>
    <w:div w:id="1820153313">
      <w:bodyDiv w:val="1"/>
      <w:marLeft w:val="0"/>
      <w:marRight w:val="0"/>
      <w:marTop w:val="0"/>
      <w:marBottom w:val="0"/>
      <w:divBdr>
        <w:top w:val="none" w:sz="0" w:space="0" w:color="auto"/>
        <w:left w:val="none" w:sz="0" w:space="0" w:color="auto"/>
        <w:bottom w:val="none" w:sz="0" w:space="0" w:color="auto"/>
        <w:right w:val="none" w:sz="0" w:space="0" w:color="auto"/>
      </w:divBdr>
    </w:div>
    <w:div w:id="1821070158">
      <w:bodyDiv w:val="1"/>
      <w:marLeft w:val="0"/>
      <w:marRight w:val="0"/>
      <w:marTop w:val="0"/>
      <w:marBottom w:val="0"/>
      <w:divBdr>
        <w:top w:val="none" w:sz="0" w:space="0" w:color="auto"/>
        <w:left w:val="none" w:sz="0" w:space="0" w:color="auto"/>
        <w:bottom w:val="none" w:sz="0" w:space="0" w:color="auto"/>
        <w:right w:val="none" w:sz="0" w:space="0" w:color="auto"/>
      </w:divBdr>
    </w:div>
    <w:div w:id="1824076335">
      <w:bodyDiv w:val="1"/>
      <w:marLeft w:val="0"/>
      <w:marRight w:val="0"/>
      <w:marTop w:val="0"/>
      <w:marBottom w:val="0"/>
      <w:divBdr>
        <w:top w:val="none" w:sz="0" w:space="0" w:color="auto"/>
        <w:left w:val="none" w:sz="0" w:space="0" w:color="auto"/>
        <w:bottom w:val="none" w:sz="0" w:space="0" w:color="auto"/>
        <w:right w:val="none" w:sz="0" w:space="0" w:color="auto"/>
      </w:divBdr>
    </w:div>
    <w:div w:id="1828129219">
      <w:bodyDiv w:val="1"/>
      <w:marLeft w:val="0"/>
      <w:marRight w:val="0"/>
      <w:marTop w:val="0"/>
      <w:marBottom w:val="0"/>
      <w:divBdr>
        <w:top w:val="none" w:sz="0" w:space="0" w:color="auto"/>
        <w:left w:val="none" w:sz="0" w:space="0" w:color="auto"/>
        <w:bottom w:val="none" w:sz="0" w:space="0" w:color="auto"/>
        <w:right w:val="none" w:sz="0" w:space="0" w:color="auto"/>
      </w:divBdr>
    </w:div>
    <w:div w:id="1828934606">
      <w:bodyDiv w:val="1"/>
      <w:marLeft w:val="0"/>
      <w:marRight w:val="0"/>
      <w:marTop w:val="0"/>
      <w:marBottom w:val="0"/>
      <w:divBdr>
        <w:top w:val="none" w:sz="0" w:space="0" w:color="auto"/>
        <w:left w:val="none" w:sz="0" w:space="0" w:color="auto"/>
        <w:bottom w:val="none" w:sz="0" w:space="0" w:color="auto"/>
        <w:right w:val="none" w:sz="0" w:space="0" w:color="auto"/>
      </w:divBdr>
    </w:div>
    <w:div w:id="1830056039">
      <w:bodyDiv w:val="1"/>
      <w:marLeft w:val="0"/>
      <w:marRight w:val="0"/>
      <w:marTop w:val="0"/>
      <w:marBottom w:val="0"/>
      <w:divBdr>
        <w:top w:val="none" w:sz="0" w:space="0" w:color="auto"/>
        <w:left w:val="none" w:sz="0" w:space="0" w:color="auto"/>
        <w:bottom w:val="none" w:sz="0" w:space="0" w:color="auto"/>
        <w:right w:val="none" w:sz="0" w:space="0" w:color="auto"/>
      </w:divBdr>
    </w:div>
    <w:div w:id="1830366387">
      <w:bodyDiv w:val="1"/>
      <w:marLeft w:val="0"/>
      <w:marRight w:val="0"/>
      <w:marTop w:val="0"/>
      <w:marBottom w:val="0"/>
      <w:divBdr>
        <w:top w:val="none" w:sz="0" w:space="0" w:color="auto"/>
        <w:left w:val="none" w:sz="0" w:space="0" w:color="auto"/>
        <w:bottom w:val="none" w:sz="0" w:space="0" w:color="auto"/>
        <w:right w:val="none" w:sz="0" w:space="0" w:color="auto"/>
      </w:divBdr>
    </w:div>
    <w:div w:id="1832866800">
      <w:bodyDiv w:val="1"/>
      <w:marLeft w:val="0"/>
      <w:marRight w:val="0"/>
      <w:marTop w:val="0"/>
      <w:marBottom w:val="0"/>
      <w:divBdr>
        <w:top w:val="none" w:sz="0" w:space="0" w:color="auto"/>
        <w:left w:val="none" w:sz="0" w:space="0" w:color="auto"/>
        <w:bottom w:val="none" w:sz="0" w:space="0" w:color="auto"/>
        <w:right w:val="none" w:sz="0" w:space="0" w:color="auto"/>
      </w:divBdr>
    </w:div>
    <w:div w:id="1833327503">
      <w:bodyDiv w:val="1"/>
      <w:marLeft w:val="0"/>
      <w:marRight w:val="0"/>
      <w:marTop w:val="0"/>
      <w:marBottom w:val="0"/>
      <w:divBdr>
        <w:top w:val="none" w:sz="0" w:space="0" w:color="auto"/>
        <w:left w:val="none" w:sz="0" w:space="0" w:color="auto"/>
        <w:bottom w:val="none" w:sz="0" w:space="0" w:color="auto"/>
        <w:right w:val="none" w:sz="0" w:space="0" w:color="auto"/>
      </w:divBdr>
    </w:div>
    <w:div w:id="1833714827">
      <w:bodyDiv w:val="1"/>
      <w:marLeft w:val="0"/>
      <w:marRight w:val="0"/>
      <w:marTop w:val="0"/>
      <w:marBottom w:val="0"/>
      <w:divBdr>
        <w:top w:val="none" w:sz="0" w:space="0" w:color="auto"/>
        <w:left w:val="none" w:sz="0" w:space="0" w:color="auto"/>
        <w:bottom w:val="none" w:sz="0" w:space="0" w:color="auto"/>
        <w:right w:val="none" w:sz="0" w:space="0" w:color="auto"/>
      </w:divBdr>
    </w:div>
    <w:div w:id="1856382684">
      <w:bodyDiv w:val="1"/>
      <w:marLeft w:val="0"/>
      <w:marRight w:val="0"/>
      <w:marTop w:val="0"/>
      <w:marBottom w:val="0"/>
      <w:divBdr>
        <w:top w:val="none" w:sz="0" w:space="0" w:color="auto"/>
        <w:left w:val="none" w:sz="0" w:space="0" w:color="auto"/>
        <w:bottom w:val="none" w:sz="0" w:space="0" w:color="auto"/>
        <w:right w:val="none" w:sz="0" w:space="0" w:color="auto"/>
      </w:divBdr>
    </w:div>
    <w:div w:id="1861122095">
      <w:bodyDiv w:val="1"/>
      <w:marLeft w:val="0"/>
      <w:marRight w:val="0"/>
      <w:marTop w:val="0"/>
      <w:marBottom w:val="0"/>
      <w:divBdr>
        <w:top w:val="none" w:sz="0" w:space="0" w:color="auto"/>
        <w:left w:val="none" w:sz="0" w:space="0" w:color="auto"/>
        <w:bottom w:val="none" w:sz="0" w:space="0" w:color="auto"/>
        <w:right w:val="none" w:sz="0" w:space="0" w:color="auto"/>
      </w:divBdr>
    </w:div>
    <w:div w:id="1878590239">
      <w:bodyDiv w:val="1"/>
      <w:marLeft w:val="0"/>
      <w:marRight w:val="0"/>
      <w:marTop w:val="0"/>
      <w:marBottom w:val="0"/>
      <w:divBdr>
        <w:top w:val="none" w:sz="0" w:space="0" w:color="auto"/>
        <w:left w:val="none" w:sz="0" w:space="0" w:color="auto"/>
        <w:bottom w:val="none" w:sz="0" w:space="0" w:color="auto"/>
        <w:right w:val="none" w:sz="0" w:space="0" w:color="auto"/>
      </w:divBdr>
    </w:div>
    <w:div w:id="1880703819">
      <w:bodyDiv w:val="1"/>
      <w:marLeft w:val="0"/>
      <w:marRight w:val="0"/>
      <w:marTop w:val="0"/>
      <w:marBottom w:val="0"/>
      <w:divBdr>
        <w:top w:val="none" w:sz="0" w:space="0" w:color="auto"/>
        <w:left w:val="none" w:sz="0" w:space="0" w:color="auto"/>
        <w:bottom w:val="none" w:sz="0" w:space="0" w:color="auto"/>
        <w:right w:val="none" w:sz="0" w:space="0" w:color="auto"/>
      </w:divBdr>
    </w:div>
    <w:div w:id="1881816827">
      <w:bodyDiv w:val="1"/>
      <w:marLeft w:val="0"/>
      <w:marRight w:val="0"/>
      <w:marTop w:val="0"/>
      <w:marBottom w:val="0"/>
      <w:divBdr>
        <w:top w:val="none" w:sz="0" w:space="0" w:color="auto"/>
        <w:left w:val="none" w:sz="0" w:space="0" w:color="auto"/>
        <w:bottom w:val="none" w:sz="0" w:space="0" w:color="auto"/>
        <w:right w:val="none" w:sz="0" w:space="0" w:color="auto"/>
      </w:divBdr>
    </w:div>
    <w:div w:id="1887443999">
      <w:bodyDiv w:val="1"/>
      <w:marLeft w:val="0"/>
      <w:marRight w:val="0"/>
      <w:marTop w:val="0"/>
      <w:marBottom w:val="0"/>
      <w:divBdr>
        <w:top w:val="none" w:sz="0" w:space="0" w:color="auto"/>
        <w:left w:val="none" w:sz="0" w:space="0" w:color="auto"/>
        <w:bottom w:val="none" w:sz="0" w:space="0" w:color="auto"/>
        <w:right w:val="none" w:sz="0" w:space="0" w:color="auto"/>
      </w:divBdr>
    </w:div>
    <w:div w:id="1889487635">
      <w:bodyDiv w:val="1"/>
      <w:marLeft w:val="0"/>
      <w:marRight w:val="0"/>
      <w:marTop w:val="0"/>
      <w:marBottom w:val="0"/>
      <w:divBdr>
        <w:top w:val="none" w:sz="0" w:space="0" w:color="auto"/>
        <w:left w:val="none" w:sz="0" w:space="0" w:color="auto"/>
        <w:bottom w:val="none" w:sz="0" w:space="0" w:color="auto"/>
        <w:right w:val="none" w:sz="0" w:space="0" w:color="auto"/>
      </w:divBdr>
    </w:div>
    <w:div w:id="1891728110">
      <w:bodyDiv w:val="1"/>
      <w:marLeft w:val="0"/>
      <w:marRight w:val="0"/>
      <w:marTop w:val="0"/>
      <w:marBottom w:val="0"/>
      <w:divBdr>
        <w:top w:val="none" w:sz="0" w:space="0" w:color="auto"/>
        <w:left w:val="none" w:sz="0" w:space="0" w:color="auto"/>
        <w:bottom w:val="none" w:sz="0" w:space="0" w:color="auto"/>
        <w:right w:val="none" w:sz="0" w:space="0" w:color="auto"/>
      </w:divBdr>
    </w:div>
    <w:div w:id="1892884751">
      <w:bodyDiv w:val="1"/>
      <w:marLeft w:val="0"/>
      <w:marRight w:val="0"/>
      <w:marTop w:val="0"/>
      <w:marBottom w:val="0"/>
      <w:divBdr>
        <w:top w:val="none" w:sz="0" w:space="0" w:color="auto"/>
        <w:left w:val="none" w:sz="0" w:space="0" w:color="auto"/>
        <w:bottom w:val="none" w:sz="0" w:space="0" w:color="auto"/>
        <w:right w:val="none" w:sz="0" w:space="0" w:color="auto"/>
      </w:divBdr>
    </w:div>
    <w:div w:id="1893690649">
      <w:bodyDiv w:val="1"/>
      <w:marLeft w:val="0"/>
      <w:marRight w:val="0"/>
      <w:marTop w:val="0"/>
      <w:marBottom w:val="0"/>
      <w:divBdr>
        <w:top w:val="none" w:sz="0" w:space="0" w:color="auto"/>
        <w:left w:val="none" w:sz="0" w:space="0" w:color="auto"/>
        <w:bottom w:val="none" w:sz="0" w:space="0" w:color="auto"/>
        <w:right w:val="none" w:sz="0" w:space="0" w:color="auto"/>
      </w:divBdr>
    </w:div>
    <w:div w:id="1901674590">
      <w:bodyDiv w:val="1"/>
      <w:marLeft w:val="0"/>
      <w:marRight w:val="0"/>
      <w:marTop w:val="0"/>
      <w:marBottom w:val="0"/>
      <w:divBdr>
        <w:top w:val="none" w:sz="0" w:space="0" w:color="auto"/>
        <w:left w:val="none" w:sz="0" w:space="0" w:color="auto"/>
        <w:bottom w:val="none" w:sz="0" w:space="0" w:color="auto"/>
        <w:right w:val="none" w:sz="0" w:space="0" w:color="auto"/>
      </w:divBdr>
    </w:div>
    <w:div w:id="1904366672">
      <w:bodyDiv w:val="1"/>
      <w:marLeft w:val="0"/>
      <w:marRight w:val="0"/>
      <w:marTop w:val="0"/>
      <w:marBottom w:val="0"/>
      <w:divBdr>
        <w:top w:val="none" w:sz="0" w:space="0" w:color="auto"/>
        <w:left w:val="none" w:sz="0" w:space="0" w:color="auto"/>
        <w:bottom w:val="none" w:sz="0" w:space="0" w:color="auto"/>
        <w:right w:val="none" w:sz="0" w:space="0" w:color="auto"/>
      </w:divBdr>
    </w:div>
    <w:div w:id="1905797436">
      <w:bodyDiv w:val="1"/>
      <w:marLeft w:val="0"/>
      <w:marRight w:val="0"/>
      <w:marTop w:val="0"/>
      <w:marBottom w:val="0"/>
      <w:divBdr>
        <w:top w:val="none" w:sz="0" w:space="0" w:color="auto"/>
        <w:left w:val="none" w:sz="0" w:space="0" w:color="auto"/>
        <w:bottom w:val="none" w:sz="0" w:space="0" w:color="auto"/>
        <w:right w:val="none" w:sz="0" w:space="0" w:color="auto"/>
      </w:divBdr>
    </w:div>
    <w:div w:id="1909875293">
      <w:bodyDiv w:val="1"/>
      <w:marLeft w:val="0"/>
      <w:marRight w:val="0"/>
      <w:marTop w:val="0"/>
      <w:marBottom w:val="0"/>
      <w:divBdr>
        <w:top w:val="none" w:sz="0" w:space="0" w:color="auto"/>
        <w:left w:val="none" w:sz="0" w:space="0" w:color="auto"/>
        <w:bottom w:val="none" w:sz="0" w:space="0" w:color="auto"/>
        <w:right w:val="none" w:sz="0" w:space="0" w:color="auto"/>
      </w:divBdr>
    </w:div>
    <w:div w:id="1921593550">
      <w:bodyDiv w:val="1"/>
      <w:marLeft w:val="0"/>
      <w:marRight w:val="0"/>
      <w:marTop w:val="0"/>
      <w:marBottom w:val="0"/>
      <w:divBdr>
        <w:top w:val="none" w:sz="0" w:space="0" w:color="auto"/>
        <w:left w:val="none" w:sz="0" w:space="0" w:color="auto"/>
        <w:bottom w:val="none" w:sz="0" w:space="0" w:color="auto"/>
        <w:right w:val="none" w:sz="0" w:space="0" w:color="auto"/>
      </w:divBdr>
    </w:div>
    <w:div w:id="1927838369">
      <w:bodyDiv w:val="1"/>
      <w:marLeft w:val="0"/>
      <w:marRight w:val="0"/>
      <w:marTop w:val="0"/>
      <w:marBottom w:val="0"/>
      <w:divBdr>
        <w:top w:val="none" w:sz="0" w:space="0" w:color="auto"/>
        <w:left w:val="none" w:sz="0" w:space="0" w:color="auto"/>
        <w:bottom w:val="none" w:sz="0" w:space="0" w:color="auto"/>
        <w:right w:val="none" w:sz="0" w:space="0" w:color="auto"/>
      </w:divBdr>
    </w:div>
    <w:div w:id="1928221292">
      <w:bodyDiv w:val="1"/>
      <w:marLeft w:val="0"/>
      <w:marRight w:val="0"/>
      <w:marTop w:val="0"/>
      <w:marBottom w:val="0"/>
      <w:divBdr>
        <w:top w:val="none" w:sz="0" w:space="0" w:color="auto"/>
        <w:left w:val="none" w:sz="0" w:space="0" w:color="auto"/>
        <w:bottom w:val="none" w:sz="0" w:space="0" w:color="auto"/>
        <w:right w:val="none" w:sz="0" w:space="0" w:color="auto"/>
      </w:divBdr>
    </w:div>
    <w:div w:id="1932616461">
      <w:bodyDiv w:val="1"/>
      <w:marLeft w:val="0"/>
      <w:marRight w:val="0"/>
      <w:marTop w:val="0"/>
      <w:marBottom w:val="0"/>
      <w:divBdr>
        <w:top w:val="none" w:sz="0" w:space="0" w:color="auto"/>
        <w:left w:val="none" w:sz="0" w:space="0" w:color="auto"/>
        <w:bottom w:val="none" w:sz="0" w:space="0" w:color="auto"/>
        <w:right w:val="none" w:sz="0" w:space="0" w:color="auto"/>
      </w:divBdr>
    </w:div>
    <w:div w:id="1938712970">
      <w:bodyDiv w:val="1"/>
      <w:marLeft w:val="0"/>
      <w:marRight w:val="0"/>
      <w:marTop w:val="0"/>
      <w:marBottom w:val="0"/>
      <w:divBdr>
        <w:top w:val="none" w:sz="0" w:space="0" w:color="auto"/>
        <w:left w:val="none" w:sz="0" w:space="0" w:color="auto"/>
        <w:bottom w:val="none" w:sz="0" w:space="0" w:color="auto"/>
        <w:right w:val="none" w:sz="0" w:space="0" w:color="auto"/>
      </w:divBdr>
    </w:div>
    <w:div w:id="1941454005">
      <w:bodyDiv w:val="1"/>
      <w:marLeft w:val="0"/>
      <w:marRight w:val="0"/>
      <w:marTop w:val="0"/>
      <w:marBottom w:val="0"/>
      <w:divBdr>
        <w:top w:val="none" w:sz="0" w:space="0" w:color="auto"/>
        <w:left w:val="none" w:sz="0" w:space="0" w:color="auto"/>
        <w:bottom w:val="none" w:sz="0" w:space="0" w:color="auto"/>
        <w:right w:val="none" w:sz="0" w:space="0" w:color="auto"/>
      </w:divBdr>
    </w:div>
    <w:div w:id="1947152461">
      <w:bodyDiv w:val="1"/>
      <w:marLeft w:val="0"/>
      <w:marRight w:val="0"/>
      <w:marTop w:val="0"/>
      <w:marBottom w:val="0"/>
      <w:divBdr>
        <w:top w:val="none" w:sz="0" w:space="0" w:color="auto"/>
        <w:left w:val="none" w:sz="0" w:space="0" w:color="auto"/>
        <w:bottom w:val="none" w:sz="0" w:space="0" w:color="auto"/>
        <w:right w:val="none" w:sz="0" w:space="0" w:color="auto"/>
      </w:divBdr>
    </w:div>
    <w:div w:id="1948654748">
      <w:bodyDiv w:val="1"/>
      <w:marLeft w:val="0"/>
      <w:marRight w:val="0"/>
      <w:marTop w:val="0"/>
      <w:marBottom w:val="0"/>
      <w:divBdr>
        <w:top w:val="none" w:sz="0" w:space="0" w:color="auto"/>
        <w:left w:val="none" w:sz="0" w:space="0" w:color="auto"/>
        <w:bottom w:val="none" w:sz="0" w:space="0" w:color="auto"/>
        <w:right w:val="none" w:sz="0" w:space="0" w:color="auto"/>
      </w:divBdr>
    </w:div>
    <w:div w:id="1958175980">
      <w:bodyDiv w:val="1"/>
      <w:marLeft w:val="0"/>
      <w:marRight w:val="0"/>
      <w:marTop w:val="0"/>
      <w:marBottom w:val="0"/>
      <w:divBdr>
        <w:top w:val="none" w:sz="0" w:space="0" w:color="auto"/>
        <w:left w:val="none" w:sz="0" w:space="0" w:color="auto"/>
        <w:bottom w:val="none" w:sz="0" w:space="0" w:color="auto"/>
        <w:right w:val="none" w:sz="0" w:space="0" w:color="auto"/>
      </w:divBdr>
    </w:div>
    <w:div w:id="1958366158">
      <w:bodyDiv w:val="1"/>
      <w:marLeft w:val="0"/>
      <w:marRight w:val="0"/>
      <w:marTop w:val="0"/>
      <w:marBottom w:val="0"/>
      <w:divBdr>
        <w:top w:val="none" w:sz="0" w:space="0" w:color="auto"/>
        <w:left w:val="none" w:sz="0" w:space="0" w:color="auto"/>
        <w:bottom w:val="none" w:sz="0" w:space="0" w:color="auto"/>
        <w:right w:val="none" w:sz="0" w:space="0" w:color="auto"/>
      </w:divBdr>
    </w:div>
    <w:div w:id="1959339202">
      <w:bodyDiv w:val="1"/>
      <w:marLeft w:val="0"/>
      <w:marRight w:val="0"/>
      <w:marTop w:val="0"/>
      <w:marBottom w:val="0"/>
      <w:divBdr>
        <w:top w:val="none" w:sz="0" w:space="0" w:color="auto"/>
        <w:left w:val="none" w:sz="0" w:space="0" w:color="auto"/>
        <w:bottom w:val="none" w:sz="0" w:space="0" w:color="auto"/>
        <w:right w:val="none" w:sz="0" w:space="0" w:color="auto"/>
      </w:divBdr>
    </w:div>
    <w:div w:id="1962953777">
      <w:bodyDiv w:val="1"/>
      <w:marLeft w:val="0"/>
      <w:marRight w:val="0"/>
      <w:marTop w:val="0"/>
      <w:marBottom w:val="0"/>
      <w:divBdr>
        <w:top w:val="none" w:sz="0" w:space="0" w:color="auto"/>
        <w:left w:val="none" w:sz="0" w:space="0" w:color="auto"/>
        <w:bottom w:val="none" w:sz="0" w:space="0" w:color="auto"/>
        <w:right w:val="none" w:sz="0" w:space="0" w:color="auto"/>
      </w:divBdr>
    </w:div>
    <w:div w:id="1964146139">
      <w:bodyDiv w:val="1"/>
      <w:marLeft w:val="0"/>
      <w:marRight w:val="0"/>
      <w:marTop w:val="0"/>
      <w:marBottom w:val="0"/>
      <w:divBdr>
        <w:top w:val="none" w:sz="0" w:space="0" w:color="auto"/>
        <w:left w:val="none" w:sz="0" w:space="0" w:color="auto"/>
        <w:bottom w:val="none" w:sz="0" w:space="0" w:color="auto"/>
        <w:right w:val="none" w:sz="0" w:space="0" w:color="auto"/>
      </w:divBdr>
    </w:div>
    <w:div w:id="1964262038">
      <w:bodyDiv w:val="1"/>
      <w:marLeft w:val="0"/>
      <w:marRight w:val="0"/>
      <w:marTop w:val="0"/>
      <w:marBottom w:val="0"/>
      <w:divBdr>
        <w:top w:val="none" w:sz="0" w:space="0" w:color="auto"/>
        <w:left w:val="none" w:sz="0" w:space="0" w:color="auto"/>
        <w:bottom w:val="none" w:sz="0" w:space="0" w:color="auto"/>
        <w:right w:val="none" w:sz="0" w:space="0" w:color="auto"/>
      </w:divBdr>
    </w:div>
    <w:div w:id="1965961925">
      <w:bodyDiv w:val="1"/>
      <w:marLeft w:val="0"/>
      <w:marRight w:val="0"/>
      <w:marTop w:val="0"/>
      <w:marBottom w:val="0"/>
      <w:divBdr>
        <w:top w:val="none" w:sz="0" w:space="0" w:color="auto"/>
        <w:left w:val="none" w:sz="0" w:space="0" w:color="auto"/>
        <w:bottom w:val="none" w:sz="0" w:space="0" w:color="auto"/>
        <w:right w:val="none" w:sz="0" w:space="0" w:color="auto"/>
      </w:divBdr>
    </w:div>
    <w:div w:id="1978954154">
      <w:bodyDiv w:val="1"/>
      <w:marLeft w:val="0"/>
      <w:marRight w:val="0"/>
      <w:marTop w:val="0"/>
      <w:marBottom w:val="0"/>
      <w:divBdr>
        <w:top w:val="none" w:sz="0" w:space="0" w:color="auto"/>
        <w:left w:val="none" w:sz="0" w:space="0" w:color="auto"/>
        <w:bottom w:val="none" w:sz="0" w:space="0" w:color="auto"/>
        <w:right w:val="none" w:sz="0" w:space="0" w:color="auto"/>
      </w:divBdr>
    </w:div>
    <w:div w:id="1986932993">
      <w:bodyDiv w:val="1"/>
      <w:marLeft w:val="0"/>
      <w:marRight w:val="0"/>
      <w:marTop w:val="0"/>
      <w:marBottom w:val="0"/>
      <w:divBdr>
        <w:top w:val="none" w:sz="0" w:space="0" w:color="auto"/>
        <w:left w:val="none" w:sz="0" w:space="0" w:color="auto"/>
        <w:bottom w:val="none" w:sz="0" w:space="0" w:color="auto"/>
        <w:right w:val="none" w:sz="0" w:space="0" w:color="auto"/>
      </w:divBdr>
    </w:div>
    <w:div w:id="1987127413">
      <w:bodyDiv w:val="1"/>
      <w:marLeft w:val="0"/>
      <w:marRight w:val="0"/>
      <w:marTop w:val="0"/>
      <w:marBottom w:val="0"/>
      <w:divBdr>
        <w:top w:val="none" w:sz="0" w:space="0" w:color="auto"/>
        <w:left w:val="none" w:sz="0" w:space="0" w:color="auto"/>
        <w:bottom w:val="none" w:sz="0" w:space="0" w:color="auto"/>
        <w:right w:val="none" w:sz="0" w:space="0" w:color="auto"/>
      </w:divBdr>
    </w:div>
    <w:div w:id="1987200557">
      <w:bodyDiv w:val="1"/>
      <w:marLeft w:val="0"/>
      <w:marRight w:val="0"/>
      <w:marTop w:val="0"/>
      <w:marBottom w:val="0"/>
      <w:divBdr>
        <w:top w:val="none" w:sz="0" w:space="0" w:color="auto"/>
        <w:left w:val="none" w:sz="0" w:space="0" w:color="auto"/>
        <w:bottom w:val="none" w:sz="0" w:space="0" w:color="auto"/>
        <w:right w:val="none" w:sz="0" w:space="0" w:color="auto"/>
      </w:divBdr>
    </w:div>
    <w:div w:id="1988774615">
      <w:bodyDiv w:val="1"/>
      <w:marLeft w:val="0"/>
      <w:marRight w:val="0"/>
      <w:marTop w:val="0"/>
      <w:marBottom w:val="0"/>
      <w:divBdr>
        <w:top w:val="none" w:sz="0" w:space="0" w:color="auto"/>
        <w:left w:val="none" w:sz="0" w:space="0" w:color="auto"/>
        <w:bottom w:val="none" w:sz="0" w:space="0" w:color="auto"/>
        <w:right w:val="none" w:sz="0" w:space="0" w:color="auto"/>
      </w:divBdr>
    </w:div>
    <w:div w:id="1989090780">
      <w:bodyDiv w:val="1"/>
      <w:marLeft w:val="0"/>
      <w:marRight w:val="0"/>
      <w:marTop w:val="0"/>
      <w:marBottom w:val="0"/>
      <w:divBdr>
        <w:top w:val="none" w:sz="0" w:space="0" w:color="auto"/>
        <w:left w:val="none" w:sz="0" w:space="0" w:color="auto"/>
        <w:bottom w:val="none" w:sz="0" w:space="0" w:color="auto"/>
        <w:right w:val="none" w:sz="0" w:space="0" w:color="auto"/>
      </w:divBdr>
    </w:div>
    <w:div w:id="1997294367">
      <w:bodyDiv w:val="1"/>
      <w:marLeft w:val="0"/>
      <w:marRight w:val="0"/>
      <w:marTop w:val="0"/>
      <w:marBottom w:val="0"/>
      <w:divBdr>
        <w:top w:val="none" w:sz="0" w:space="0" w:color="auto"/>
        <w:left w:val="none" w:sz="0" w:space="0" w:color="auto"/>
        <w:bottom w:val="none" w:sz="0" w:space="0" w:color="auto"/>
        <w:right w:val="none" w:sz="0" w:space="0" w:color="auto"/>
      </w:divBdr>
    </w:div>
    <w:div w:id="2002613264">
      <w:bodyDiv w:val="1"/>
      <w:marLeft w:val="0"/>
      <w:marRight w:val="0"/>
      <w:marTop w:val="0"/>
      <w:marBottom w:val="0"/>
      <w:divBdr>
        <w:top w:val="none" w:sz="0" w:space="0" w:color="auto"/>
        <w:left w:val="none" w:sz="0" w:space="0" w:color="auto"/>
        <w:bottom w:val="none" w:sz="0" w:space="0" w:color="auto"/>
        <w:right w:val="none" w:sz="0" w:space="0" w:color="auto"/>
      </w:divBdr>
    </w:div>
    <w:div w:id="2012171388">
      <w:bodyDiv w:val="1"/>
      <w:marLeft w:val="0"/>
      <w:marRight w:val="0"/>
      <w:marTop w:val="0"/>
      <w:marBottom w:val="0"/>
      <w:divBdr>
        <w:top w:val="none" w:sz="0" w:space="0" w:color="auto"/>
        <w:left w:val="none" w:sz="0" w:space="0" w:color="auto"/>
        <w:bottom w:val="none" w:sz="0" w:space="0" w:color="auto"/>
        <w:right w:val="none" w:sz="0" w:space="0" w:color="auto"/>
      </w:divBdr>
    </w:div>
    <w:div w:id="2013952830">
      <w:bodyDiv w:val="1"/>
      <w:marLeft w:val="0"/>
      <w:marRight w:val="0"/>
      <w:marTop w:val="0"/>
      <w:marBottom w:val="0"/>
      <w:divBdr>
        <w:top w:val="none" w:sz="0" w:space="0" w:color="auto"/>
        <w:left w:val="none" w:sz="0" w:space="0" w:color="auto"/>
        <w:bottom w:val="none" w:sz="0" w:space="0" w:color="auto"/>
        <w:right w:val="none" w:sz="0" w:space="0" w:color="auto"/>
      </w:divBdr>
    </w:div>
    <w:div w:id="2014018888">
      <w:bodyDiv w:val="1"/>
      <w:marLeft w:val="0"/>
      <w:marRight w:val="0"/>
      <w:marTop w:val="0"/>
      <w:marBottom w:val="0"/>
      <w:divBdr>
        <w:top w:val="none" w:sz="0" w:space="0" w:color="auto"/>
        <w:left w:val="none" w:sz="0" w:space="0" w:color="auto"/>
        <w:bottom w:val="none" w:sz="0" w:space="0" w:color="auto"/>
        <w:right w:val="none" w:sz="0" w:space="0" w:color="auto"/>
      </w:divBdr>
    </w:div>
    <w:div w:id="2023627953">
      <w:bodyDiv w:val="1"/>
      <w:marLeft w:val="0"/>
      <w:marRight w:val="0"/>
      <w:marTop w:val="0"/>
      <w:marBottom w:val="0"/>
      <w:divBdr>
        <w:top w:val="none" w:sz="0" w:space="0" w:color="auto"/>
        <w:left w:val="none" w:sz="0" w:space="0" w:color="auto"/>
        <w:bottom w:val="none" w:sz="0" w:space="0" w:color="auto"/>
        <w:right w:val="none" w:sz="0" w:space="0" w:color="auto"/>
      </w:divBdr>
    </w:div>
    <w:div w:id="2024429163">
      <w:bodyDiv w:val="1"/>
      <w:marLeft w:val="0"/>
      <w:marRight w:val="0"/>
      <w:marTop w:val="0"/>
      <w:marBottom w:val="0"/>
      <w:divBdr>
        <w:top w:val="none" w:sz="0" w:space="0" w:color="auto"/>
        <w:left w:val="none" w:sz="0" w:space="0" w:color="auto"/>
        <w:bottom w:val="none" w:sz="0" w:space="0" w:color="auto"/>
        <w:right w:val="none" w:sz="0" w:space="0" w:color="auto"/>
      </w:divBdr>
    </w:div>
    <w:div w:id="2024630294">
      <w:bodyDiv w:val="1"/>
      <w:marLeft w:val="0"/>
      <w:marRight w:val="0"/>
      <w:marTop w:val="0"/>
      <w:marBottom w:val="0"/>
      <w:divBdr>
        <w:top w:val="none" w:sz="0" w:space="0" w:color="auto"/>
        <w:left w:val="none" w:sz="0" w:space="0" w:color="auto"/>
        <w:bottom w:val="none" w:sz="0" w:space="0" w:color="auto"/>
        <w:right w:val="none" w:sz="0" w:space="0" w:color="auto"/>
      </w:divBdr>
    </w:div>
    <w:div w:id="2026324523">
      <w:bodyDiv w:val="1"/>
      <w:marLeft w:val="0"/>
      <w:marRight w:val="0"/>
      <w:marTop w:val="0"/>
      <w:marBottom w:val="0"/>
      <w:divBdr>
        <w:top w:val="none" w:sz="0" w:space="0" w:color="auto"/>
        <w:left w:val="none" w:sz="0" w:space="0" w:color="auto"/>
        <w:bottom w:val="none" w:sz="0" w:space="0" w:color="auto"/>
        <w:right w:val="none" w:sz="0" w:space="0" w:color="auto"/>
      </w:divBdr>
    </w:div>
    <w:div w:id="2028094143">
      <w:bodyDiv w:val="1"/>
      <w:marLeft w:val="0"/>
      <w:marRight w:val="0"/>
      <w:marTop w:val="0"/>
      <w:marBottom w:val="0"/>
      <w:divBdr>
        <w:top w:val="none" w:sz="0" w:space="0" w:color="auto"/>
        <w:left w:val="none" w:sz="0" w:space="0" w:color="auto"/>
        <w:bottom w:val="none" w:sz="0" w:space="0" w:color="auto"/>
        <w:right w:val="none" w:sz="0" w:space="0" w:color="auto"/>
      </w:divBdr>
    </w:div>
    <w:div w:id="2029869363">
      <w:bodyDiv w:val="1"/>
      <w:marLeft w:val="0"/>
      <w:marRight w:val="0"/>
      <w:marTop w:val="0"/>
      <w:marBottom w:val="0"/>
      <w:divBdr>
        <w:top w:val="none" w:sz="0" w:space="0" w:color="auto"/>
        <w:left w:val="none" w:sz="0" w:space="0" w:color="auto"/>
        <w:bottom w:val="none" w:sz="0" w:space="0" w:color="auto"/>
        <w:right w:val="none" w:sz="0" w:space="0" w:color="auto"/>
      </w:divBdr>
    </w:div>
    <w:div w:id="2033023667">
      <w:bodyDiv w:val="1"/>
      <w:marLeft w:val="0"/>
      <w:marRight w:val="0"/>
      <w:marTop w:val="0"/>
      <w:marBottom w:val="0"/>
      <w:divBdr>
        <w:top w:val="none" w:sz="0" w:space="0" w:color="auto"/>
        <w:left w:val="none" w:sz="0" w:space="0" w:color="auto"/>
        <w:bottom w:val="none" w:sz="0" w:space="0" w:color="auto"/>
        <w:right w:val="none" w:sz="0" w:space="0" w:color="auto"/>
      </w:divBdr>
    </w:div>
    <w:div w:id="2035812955">
      <w:bodyDiv w:val="1"/>
      <w:marLeft w:val="0"/>
      <w:marRight w:val="0"/>
      <w:marTop w:val="0"/>
      <w:marBottom w:val="0"/>
      <w:divBdr>
        <w:top w:val="none" w:sz="0" w:space="0" w:color="auto"/>
        <w:left w:val="none" w:sz="0" w:space="0" w:color="auto"/>
        <w:bottom w:val="none" w:sz="0" w:space="0" w:color="auto"/>
        <w:right w:val="none" w:sz="0" w:space="0" w:color="auto"/>
      </w:divBdr>
    </w:div>
    <w:div w:id="2048135786">
      <w:bodyDiv w:val="1"/>
      <w:marLeft w:val="0"/>
      <w:marRight w:val="0"/>
      <w:marTop w:val="0"/>
      <w:marBottom w:val="0"/>
      <w:divBdr>
        <w:top w:val="none" w:sz="0" w:space="0" w:color="auto"/>
        <w:left w:val="none" w:sz="0" w:space="0" w:color="auto"/>
        <w:bottom w:val="none" w:sz="0" w:space="0" w:color="auto"/>
        <w:right w:val="none" w:sz="0" w:space="0" w:color="auto"/>
      </w:divBdr>
    </w:div>
    <w:div w:id="2056081981">
      <w:bodyDiv w:val="1"/>
      <w:marLeft w:val="0"/>
      <w:marRight w:val="0"/>
      <w:marTop w:val="0"/>
      <w:marBottom w:val="0"/>
      <w:divBdr>
        <w:top w:val="none" w:sz="0" w:space="0" w:color="auto"/>
        <w:left w:val="none" w:sz="0" w:space="0" w:color="auto"/>
        <w:bottom w:val="none" w:sz="0" w:space="0" w:color="auto"/>
        <w:right w:val="none" w:sz="0" w:space="0" w:color="auto"/>
      </w:divBdr>
    </w:div>
    <w:div w:id="2059889123">
      <w:bodyDiv w:val="1"/>
      <w:marLeft w:val="0"/>
      <w:marRight w:val="0"/>
      <w:marTop w:val="0"/>
      <w:marBottom w:val="0"/>
      <w:divBdr>
        <w:top w:val="none" w:sz="0" w:space="0" w:color="auto"/>
        <w:left w:val="none" w:sz="0" w:space="0" w:color="auto"/>
        <w:bottom w:val="none" w:sz="0" w:space="0" w:color="auto"/>
        <w:right w:val="none" w:sz="0" w:space="0" w:color="auto"/>
      </w:divBdr>
    </w:div>
    <w:div w:id="2064675530">
      <w:bodyDiv w:val="1"/>
      <w:marLeft w:val="0"/>
      <w:marRight w:val="0"/>
      <w:marTop w:val="0"/>
      <w:marBottom w:val="0"/>
      <w:divBdr>
        <w:top w:val="none" w:sz="0" w:space="0" w:color="auto"/>
        <w:left w:val="none" w:sz="0" w:space="0" w:color="auto"/>
        <w:bottom w:val="none" w:sz="0" w:space="0" w:color="auto"/>
        <w:right w:val="none" w:sz="0" w:space="0" w:color="auto"/>
      </w:divBdr>
    </w:div>
    <w:div w:id="2066563920">
      <w:bodyDiv w:val="1"/>
      <w:marLeft w:val="0"/>
      <w:marRight w:val="0"/>
      <w:marTop w:val="0"/>
      <w:marBottom w:val="0"/>
      <w:divBdr>
        <w:top w:val="none" w:sz="0" w:space="0" w:color="auto"/>
        <w:left w:val="none" w:sz="0" w:space="0" w:color="auto"/>
        <w:bottom w:val="none" w:sz="0" w:space="0" w:color="auto"/>
        <w:right w:val="none" w:sz="0" w:space="0" w:color="auto"/>
      </w:divBdr>
    </w:div>
    <w:div w:id="2074691015">
      <w:bodyDiv w:val="1"/>
      <w:marLeft w:val="0"/>
      <w:marRight w:val="0"/>
      <w:marTop w:val="0"/>
      <w:marBottom w:val="0"/>
      <w:divBdr>
        <w:top w:val="none" w:sz="0" w:space="0" w:color="auto"/>
        <w:left w:val="none" w:sz="0" w:space="0" w:color="auto"/>
        <w:bottom w:val="none" w:sz="0" w:space="0" w:color="auto"/>
        <w:right w:val="none" w:sz="0" w:space="0" w:color="auto"/>
      </w:divBdr>
    </w:div>
    <w:div w:id="2075814430">
      <w:bodyDiv w:val="1"/>
      <w:marLeft w:val="0"/>
      <w:marRight w:val="0"/>
      <w:marTop w:val="0"/>
      <w:marBottom w:val="0"/>
      <w:divBdr>
        <w:top w:val="none" w:sz="0" w:space="0" w:color="auto"/>
        <w:left w:val="none" w:sz="0" w:space="0" w:color="auto"/>
        <w:bottom w:val="none" w:sz="0" w:space="0" w:color="auto"/>
        <w:right w:val="none" w:sz="0" w:space="0" w:color="auto"/>
      </w:divBdr>
    </w:div>
    <w:div w:id="2077777148">
      <w:bodyDiv w:val="1"/>
      <w:marLeft w:val="0"/>
      <w:marRight w:val="0"/>
      <w:marTop w:val="0"/>
      <w:marBottom w:val="0"/>
      <w:divBdr>
        <w:top w:val="none" w:sz="0" w:space="0" w:color="auto"/>
        <w:left w:val="none" w:sz="0" w:space="0" w:color="auto"/>
        <w:bottom w:val="none" w:sz="0" w:space="0" w:color="auto"/>
        <w:right w:val="none" w:sz="0" w:space="0" w:color="auto"/>
      </w:divBdr>
    </w:div>
    <w:div w:id="2081052090">
      <w:bodyDiv w:val="1"/>
      <w:marLeft w:val="0"/>
      <w:marRight w:val="0"/>
      <w:marTop w:val="0"/>
      <w:marBottom w:val="0"/>
      <w:divBdr>
        <w:top w:val="none" w:sz="0" w:space="0" w:color="auto"/>
        <w:left w:val="none" w:sz="0" w:space="0" w:color="auto"/>
        <w:bottom w:val="none" w:sz="0" w:space="0" w:color="auto"/>
        <w:right w:val="none" w:sz="0" w:space="0" w:color="auto"/>
      </w:divBdr>
    </w:div>
    <w:div w:id="2082289801">
      <w:bodyDiv w:val="1"/>
      <w:marLeft w:val="0"/>
      <w:marRight w:val="0"/>
      <w:marTop w:val="0"/>
      <w:marBottom w:val="0"/>
      <w:divBdr>
        <w:top w:val="none" w:sz="0" w:space="0" w:color="auto"/>
        <w:left w:val="none" w:sz="0" w:space="0" w:color="auto"/>
        <w:bottom w:val="none" w:sz="0" w:space="0" w:color="auto"/>
        <w:right w:val="none" w:sz="0" w:space="0" w:color="auto"/>
      </w:divBdr>
    </w:div>
    <w:div w:id="2083943791">
      <w:bodyDiv w:val="1"/>
      <w:marLeft w:val="0"/>
      <w:marRight w:val="0"/>
      <w:marTop w:val="0"/>
      <w:marBottom w:val="0"/>
      <w:divBdr>
        <w:top w:val="none" w:sz="0" w:space="0" w:color="auto"/>
        <w:left w:val="none" w:sz="0" w:space="0" w:color="auto"/>
        <w:bottom w:val="none" w:sz="0" w:space="0" w:color="auto"/>
        <w:right w:val="none" w:sz="0" w:space="0" w:color="auto"/>
      </w:divBdr>
    </w:div>
    <w:div w:id="2086338939">
      <w:bodyDiv w:val="1"/>
      <w:marLeft w:val="0"/>
      <w:marRight w:val="0"/>
      <w:marTop w:val="0"/>
      <w:marBottom w:val="0"/>
      <w:divBdr>
        <w:top w:val="none" w:sz="0" w:space="0" w:color="auto"/>
        <w:left w:val="none" w:sz="0" w:space="0" w:color="auto"/>
        <w:bottom w:val="none" w:sz="0" w:space="0" w:color="auto"/>
        <w:right w:val="none" w:sz="0" w:space="0" w:color="auto"/>
      </w:divBdr>
    </w:div>
    <w:div w:id="2088841454">
      <w:bodyDiv w:val="1"/>
      <w:marLeft w:val="0"/>
      <w:marRight w:val="0"/>
      <w:marTop w:val="0"/>
      <w:marBottom w:val="0"/>
      <w:divBdr>
        <w:top w:val="none" w:sz="0" w:space="0" w:color="auto"/>
        <w:left w:val="none" w:sz="0" w:space="0" w:color="auto"/>
        <w:bottom w:val="none" w:sz="0" w:space="0" w:color="auto"/>
        <w:right w:val="none" w:sz="0" w:space="0" w:color="auto"/>
      </w:divBdr>
    </w:div>
    <w:div w:id="2095201199">
      <w:bodyDiv w:val="1"/>
      <w:marLeft w:val="0"/>
      <w:marRight w:val="0"/>
      <w:marTop w:val="0"/>
      <w:marBottom w:val="0"/>
      <w:divBdr>
        <w:top w:val="none" w:sz="0" w:space="0" w:color="auto"/>
        <w:left w:val="none" w:sz="0" w:space="0" w:color="auto"/>
        <w:bottom w:val="none" w:sz="0" w:space="0" w:color="auto"/>
        <w:right w:val="none" w:sz="0" w:space="0" w:color="auto"/>
      </w:divBdr>
    </w:div>
    <w:div w:id="2099666984">
      <w:bodyDiv w:val="1"/>
      <w:marLeft w:val="0"/>
      <w:marRight w:val="0"/>
      <w:marTop w:val="0"/>
      <w:marBottom w:val="0"/>
      <w:divBdr>
        <w:top w:val="none" w:sz="0" w:space="0" w:color="auto"/>
        <w:left w:val="none" w:sz="0" w:space="0" w:color="auto"/>
        <w:bottom w:val="none" w:sz="0" w:space="0" w:color="auto"/>
        <w:right w:val="none" w:sz="0" w:space="0" w:color="auto"/>
      </w:divBdr>
    </w:div>
    <w:div w:id="2106999425">
      <w:bodyDiv w:val="1"/>
      <w:marLeft w:val="0"/>
      <w:marRight w:val="0"/>
      <w:marTop w:val="0"/>
      <w:marBottom w:val="0"/>
      <w:divBdr>
        <w:top w:val="none" w:sz="0" w:space="0" w:color="auto"/>
        <w:left w:val="none" w:sz="0" w:space="0" w:color="auto"/>
        <w:bottom w:val="none" w:sz="0" w:space="0" w:color="auto"/>
        <w:right w:val="none" w:sz="0" w:space="0" w:color="auto"/>
      </w:divBdr>
    </w:div>
    <w:div w:id="2107575391">
      <w:bodyDiv w:val="1"/>
      <w:marLeft w:val="0"/>
      <w:marRight w:val="0"/>
      <w:marTop w:val="0"/>
      <w:marBottom w:val="0"/>
      <w:divBdr>
        <w:top w:val="none" w:sz="0" w:space="0" w:color="auto"/>
        <w:left w:val="none" w:sz="0" w:space="0" w:color="auto"/>
        <w:bottom w:val="none" w:sz="0" w:space="0" w:color="auto"/>
        <w:right w:val="none" w:sz="0" w:space="0" w:color="auto"/>
      </w:divBdr>
    </w:div>
    <w:div w:id="2115124362">
      <w:bodyDiv w:val="1"/>
      <w:marLeft w:val="0"/>
      <w:marRight w:val="0"/>
      <w:marTop w:val="0"/>
      <w:marBottom w:val="0"/>
      <w:divBdr>
        <w:top w:val="none" w:sz="0" w:space="0" w:color="auto"/>
        <w:left w:val="none" w:sz="0" w:space="0" w:color="auto"/>
        <w:bottom w:val="none" w:sz="0" w:space="0" w:color="auto"/>
        <w:right w:val="none" w:sz="0" w:space="0" w:color="auto"/>
      </w:divBdr>
    </w:div>
    <w:div w:id="2126999297">
      <w:bodyDiv w:val="1"/>
      <w:marLeft w:val="0"/>
      <w:marRight w:val="0"/>
      <w:marTop w:val="0"/>
      <w:marBottom w:val="0"/>
      <w:divBdr>
        <w:top w:val="none" w:sz="0" w:space="0" w:color="auto"/>
        <w:left w:val="none" w:sz="0" w:space="0" w:color="auto"/>
        <w:bottom w:val="none" w:sz="0" w:space="0" w:color="auto"/>
        <w:right w:val="none" w:sz="0" w:space="0" w:color="auto"/>
      </w:divBdr>
    </w:div>
    <w:div w:id="2128700472">
      <w:bodyDiv w:val="1"/>
      <w:marLeft w:val="0"/>
      <w:marRight w:val="0"/>
      <w:marTop w:val="0"/>
      <w:marBottom w:val="0"/>
      <w:divBdr>
        <w:top w:val="none" w:sz="0" w:space="0" w:color="auto"/>
        <w:left w:val="none" w:sz="0" w:space="0" w:color="auto"/>
        <w:bottom w:val="none" w:sz="0" w:space="0" w:color="auto"/>
        <w:right w:val="none" w:sz="0" w:space="0" w:color="auto"/>
      </w:divBdr>
    </w:div>
    <w:div w:id="2129464712">
      <w:bodyDiv w:val="1"/>
      <w:marLeft w:val="0"/>
      <w:marRight w:val="0"/>
      <w:marTop w:val="0"/>
      <w:marBottom w:val="0"/>
      <w:divBdr>
        <w:top w:val="none" w:sz="0" w:space="0" w:color="auto"/>
        <w:left w:val="none" w:sz="0" w:space="0" w:color="auto"/>
        <w:bottom w:val="none" w:sz="0" w:space="0" w:color="auto"/>
        <w:right w:val="none" w:sz="0" w:space="0" w:color="auto"/>
      </w:divBdr>
    </w:div>
    <w:div w:id="2136681188">
      <w:bodyDiv w:val="1"/>
      <w:marLeft w:val="0"/>
      <w:marRight w:val="0"/>
      <w:marTop w:val="0"/>
      <w:marBottom w:val="0"/>
      <w:divBdr>
        <w:top w:val="none" w:sz="0" w:space="0" w:color="auto"/>
        <w:left w:val="none" w:sz="0" w:space="0" w:color="auto"/>
        <w:bottom w:val="none" w:sz="0" w:space="0" w:color="auto"/>
        <w:right w:val="none" w:sz="0" w:space="0" w:color="auto"/>
      </w:divBdr>
    </w:div>
    <w:div w:id="2137404019">
      <w:bodyDiv w:val="1"/>
      <w:marLeft w:val="0"/>
      <w:marRight w:val="0"/>
      <w:marTop w:val="0"/>
      <w:marBottom w:val="0"/>
      <w:divBdr>
        <w:top w:val="none" w:sz="0" w:space="0" w:color="auto"/>
        <w:left w:val="none" w:sz="0" w:space="0" w:color="auto"/>
        <w:bottom w:val="none" w:sz="0" w:space="0" w:color="auto"/>
        <w:right w:val="none" w:sz="0" w:space="0" w:color="auto"/>
      </w:divBdr>
    </w:div>
    <w:div w:id="2140147321">
      <w:bodyDiv w:val="1"/>
      <w:marLeft w:val="0"/>
      <w:marRight w:val="0"/>
      <w:marTop w:val="0"/>
      <w:marBottom w:val="0"/>
      <w:divBdr>
        <w:top w:val="none" w:sz="0" w:space="0" w:color="auto"/>
        <w:left w:val="none" w:sz="0" w:space="0" w:color="auto"/>
        <w:bottom w:val="none" w:sz="0" w:space="0" w:color="auto"/>
        <w:right w:val="none" w:sz="0" w:space="0" w:color="auto"/>
      </w:divBdr>
    </w:div>
    <w:div w:id="2140148022">
      <w:bodyDiv w:val="1"/>
      <w:marLeft w:val="0"/>
      <w:marRight w:val="0"/>
      <w:marTop w:val="0"/>
      <w:marBottom w:val="0"/>
      <w:divBdr>
        <w:top w:val="none" w:sz="0" w:space="0" w:color="auto"/>
        <w:left w:val="none" w:sz="0" w:space="0" w:color="auto"/>
        <w:bottom w:val="none" w:sz="0" w:space="0" w:color="auto"/>
        <w:right w:val="none" w:sz="0" w:space="0" w:color="auto"/>
      </w:divBdr>
    </w:div>
    <w:div w:id="2143886780">
      <w:bodyDiv w:val="1"/>
      <w:marLeft w:val="0"/>
      <w:marRight w:val="0"/>
      <w:marTop w:val="0"/>
      <w:marBottom w:val="0"/>
      <w:divBdr>
        <w:top w:val="none" w:sz="0" w:space="0" w:color="auto"/>
        <w:left w:val="none" w:sz="0" w:space="0" w:color="auto"/>
        <w:bottom w:val="none" w:sz="0" w:space="0" w:color="auto"/>
        <w:right w:val="none" w:sz="0" w:space="0" w:color="auto"/>
      </w:divBdr>
    </w:div>
    <w:div w:id="2145930535">
      <w:bodyDiv w:val="1"/>
      <w:marLeft w:val="0"/>
      <w:marRight w:val="0"/>
      <w:marTop w:val="0"/>
      <w:marBottom w:val="0"/>
      <w:divBdr>
        <w:top w:val="none" w:sz="0" w:space="0" w:color="auto"/>
        <w:left w:val="none" w:sz="0" w:space="0" w:color="auto"/>
        <w:bottom w:val="none" w:sz="0" w:space="0" w:color="auto"/>
        <w:right w:val="none" w:sz="0" w:space="0" w:color="auto"/>
      </w:divBdr>
    </w:div>
    <w:div w:id="21469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op.tg" TargetMode="External"/><Relationship Id="rId18" Type="http://schemas.openxmlformats.org/officeDocument/2006/relationships/hyperlink" Target="https://www.linfodrome.com" TargetMode="External"/><Relationship Id="rId26" Type="http://schemas.openxmlformats.org/officeDocument/2006/relationships/hyperlink" Target="https://www.governo.cv/" TargetMode="External"/><Relationship Id="rId3" Type="http://schemas.openxmlformats.org/officeDocument/2006/relationships/styles" Target="styles.xml"/><Relationship Id="rId21" Type="http://schemas.openxmlformats.org/officeDocument/2006/relationships/hyperlink" Target="https://www.koaci.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gpguinee.com" TargetMode="External"/><Relationship Id="rId17" Type="http://schemas.openxmlformats.org/officeDocument/2006/relationships/hyperlink" Target="https://connectionivoirienne.net" TargetMode="External"/><Relationship Id="rId25" Type="http://schemas.openxmlformats.org/officeDocument/2006/relationships/hyperlink" Target="https://agriculture.gouv.t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7info.ci" TargetMode="External"/><Relationship Id="rId20" Type="http://schemas.openxmlformats.org/officeDocument/2006/relationships/hyperlink" Target="https://www.rfi.fr" TargetMode="External"/><Relationship Id="rId29" Type="http://schemas.openxmlformats.org/officeDocument/2006/relationships/hyperlink" Target="https://www.cridem.org/C_InfoCat.php?cat=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ib.media" TargetMode="External"/><Relationship Id="rId24" Type="http://schemas.openxmlformats.org/officeDocument/2006/relationships/hyperlink" Target="https://www.moa.gov.lr/media/press-releas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ews.abidjan.net" TargetMode="External"/><Relationship Id="rId23" Type="http://schemas.openxmlformats.org/officeDocument/2006/relationships/hyperlink" Target="https://yop.l-frii.com" TargetMode="External"/><Relationship Id="rId28" Type="http://schemas.openxmlformats.org/officeDocument/2006/relationships/hyperlink" Target="https://www.africain.info/" TargetMode="External"/><Relationship Id="rId10" Type="http://schemas.openxmlformats.org/officeDocument/2006/relationships/hyperlink" Target="https://aps.sn" TargetMode="External"/><Relationship Id="rId19" Type="http://schemas.openxmlformats.org/officeDocument/2006/relationships/hyperlink" Target="https://www.seneweb.com/news/Economie/" TargetMode="External"/><Relationship Id="rId31" Type="http://schemas.openxmlformats.org/officeDocument/2006/relationships/hyperlink" Target="http://www.tresor.economie.gouv.fr/tresor-international" TargetMode="External"/><Relationship Id="rId4" Type="http://schemas.openxmlformats.org/officeDocument/2006/relationships/settings" Target="settings.xml"/><Relationship Id="rId9" Type="http://schemas.openxmlformats.org/officeDocument/2006/relationships/hyperlink" Target="https://www.aip.ci" TargetMode="External"/><Relationship Id="rId14" Type="http://schemas.openxmlformats.org/officeDocument/2006/relationships/hyperlink" Target="https://fr.apanews.net" TargetMode="External"/><Relationship Id="rId22" Type="http://schemas.openxmlformats.org/officeDocument/2006/relationships/hyperlink" Target="https://www.jeuneafrique.com" TargetMode="External"/><Relationship Id="rId27" Type="http://schemas.openxmlformats.org/officeDocument/2006/relationships/hyperlink" Target="https://presidence.gov.gn/actualite/" TargetMode="External"/><Relationship Id="rId30" Type="http://schemas.openxmlformats.org/officeDocument/2006/relationships/hyperlink" Target="http://www.tresor.economie.gouv.fr/tresor-international" TargetMode="Externa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81</Pages>
  <Words>44781</Words>
  <Characters>246301</Characters>
  <Application>Microsoft Office Word</Application>
  <DocSecurity>0</DocSecurity>
  <Lines>2052</Lines>
  <Paragraphs>581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8</cp:revision>
  <cp:lastPrinted>2025-09-03T17:34:00Z</cp:lastPrinted>
  <dcterms:created xsi:type="dcterms:W3CDTF">2025-11-03T08:38:00Z</dcterms:created>
  <dcterms:modified xsi:type="dcterms:W3CDTF">2025-11-05T15:03:00Z</dcterms:modified>
</cp:coreProperties>
</file>