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F9A2B" w14:textId="3E4E906A" w:rsidR="009465CC" w:rsidRPr="00104D5B" w:rsidRDefault="009465CC" w:rsidP="009465CC">
      <w:pPr>
        <w:pStyle w:val="En-ttedetabledesmatires"/>
        <w:rPr>
          <w:noProof/>
          <w:highlight w:val="yellow"/>
        </w:rPr>
      </w:pPr>
      <w:bookmarkStart w:id="0" w:name="_Toc207812691"/>
      <w:bookmarkStart w:id="1" w:name="_Toc207812814"/>
      <w:r w:rsidRPr="00104D5B">
        <w:rPr>
          <w:noProof/>
          <w:highlight w:val="yellow"/>
        </w:rPr>
        <w:drawing>
          <wp:anchor distT="0" distB="0" distL="114300" distR="114300" simplePos="0" relativeHeight="251658240" behindDoc="1" locked="0" layoutInCell="1" allowOverlap="1" wp14:anchorId="0DC30D5A" wp14:editId="67070860">
            <wp:simplePos x="0" y="0"/>
            <wp:positionH relativeFrom="page">
              <wp:align>left</wp:align>
            </wp:positionH>
            <wp:positionV relativeFrom="paragraph">
              <wp:posOffset>-900473</wp:posOffset>
            </wp:positionV>
            <wp:extent cx="7672374" cy="2565070"/>
            <wp:effectExtent l="0" t="0" r="5080" b="698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72374" cy="2565070"/>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0"/>
    <w:bookmarkEnd w:id="1"/>
    <w:p w14:paraId="5AF5DEEF" w14:textId="77777777" w:rsidR="009465CC" w:rsidRPr="00104D5B" w:rsidRDefault="009465CC" w:rsidP="009465CC">
      <w:pPr>
        <w:pStyle w:val="En-ttedetabledesmatires"/>
        <w:spacing w:line="480" w:lineRule="auto"/>
        <w:jc w:val="right"/>
        <w:rPr>
          <w:highlight w:val="yellow"/>
        </w:rPr>
      </w:pPr>
    </w:p>
    <w:p w14:paraId="722CA944" w14:textId="2E6CE879" w:rsidR="00CC07AF" w:rsidRPr="00104D5B" w:rsidRDefault="00B45CA3" w:rsidP="00F97648">
      <w:pPr>
        <w:pStyle w:val="En-ttedetabledesmatires"/>
        <w:ind w:left="708"/>
        <w:jc w:val="right"/>
      </w:pPr>
      <w:r>
        <w:t>Janvier</w:t>
      </w:r>
      <w:r w:rsidR="00CC07AF" w:rsidRPr="00104D5B">
        <w:t xml:space="preserve"> 202</w:t>
      </w:r>
      <w:r w:rsidR="00C045B7">
        <w:t>6</w:t>
      </w:r>
    </w:p>
    <w:p w14:paraId="11065152" w14:textId="20337C1A" w:rsidR="00CC07AF" w:rsidRPr="00115E07" w:rsidRDefault="00CC07AF" w:rsidP="00115E07">
      <w:pPr>
        <w:pStyle w:val="En-ttedetabledesmatires"/>
        <w:spacing w:before="0" w:after="0"/>
        <w:jc w:val="center"/>
      </w:pPr>
      <w:r w:rsidRPr="00115E07">
        <w:t>Sommaire</w:t>
      </w:r>
    </w:p>
    <w:sdt>
      <w:sdtPr>
        <w:rPr>
          <w:noProof w:val="0"/>
          <w:color w:val="auto"/>
          <w:szCs w:val="26"/>
        </w:rPr>
        <w:id w:val="-483546785"/>
        <w:docPartObj>
          <w:docPartGallery w:val="Table of Contents"/>
          <w:docPartUnique/>
        </w:docPartObj>
      </w:sdtPr>
      <w:sdtEndPr>
        <w:rPr>
          <w:bCs/>
          <w:noProof/>
          <w:color w:val="FFC000"/>
          <w:szCs w:val="28"/>
        </w:rPr>
      </w:sdtEndPr>
      <w:sdtContent>
        <w:p w14:paraId="0996783B" w14:textId="62608E4E" w:rsidR="00215396" w:rsidRPr="00215396" w:rsidRDefault="00732F00">
          <w:pPr>
            <w:pStyle w:val="TM1"/>
            <w:rPr>
              <w:rFonts w:asciiTheme="minorHAnsi" w:eastAsiaTheme="minorEastAsia" w:hAnsiTheme="minorHAnsi" w:cstheme="minorBidi"/>
              <w:b w:val="0"/>
              <w:bCs/>
              <w:color w:val="auto"/>
              <w:sz w:val="22"/>
              <w:szCs w:val="22"/>
              <w:lang w:eastAsia="fr-FR"/>
            </w:rPr>
          </w:pPr>
          <w:r w:rsidRPr="003E070B">
            <w:rPr>
              <w:b w:val="0"/>
              <w:bCs/>
            </w:rPr>
            <w:fldChar w:fldCharType="begin"/>
          </w:r>
          <w:r w:rsidRPr="003E070B">
            <w:rPr>
              <w:b w:val="0"/>
              <w:bCs/>
            </w:rPr>
            <w:instrText xml:space="preserve"> TOC \o "1-2" \n \h \z \u </w:instrText>
          </w:r>
          <w:r w:rsidRPr="003E070B">
            <w:rPr>
              <w:b w:val="0"/>
              <w:bCs/>
            </w:rPr>
            <w:fldChar w:fldCharType="separate"/>
          </w:r>
          <w:hyperlink w:anchor="_Toc221044153" w:history="1">
            <w:r w:rsidR="00215396" w:rsidRPr="00215396">
              <w:rPr>
                <w:rStyle w:val="Lienhypertexte"/>
                <w:b w:val="0"/>
                <w:bCs/>
              </w:rPr>
              <w:t>Région</w:t>
            </w:r>
          </w:hyperlink>
        </w:p>
        <w:p w14:paraId="6C8F1EB6" w14:textId="7E1ED5EE" w:rsidR="00215396" w:rsidRPr="00215396" w:rsidRDefault="00C045B7" w:rsidP="00215396">
          <w:pPr>
            <w:pStyle w:val="TM2"/>
            <w:rPr>
              <w:rFonts w:asciiTheme="minorHAnsi" w:eastAsiaTheme="minorEastAsia" w:hAnsiTheme="minorHAnsi" w:cstheme="minorBidi"/>
              <w:sz w:val="22"/>
              <w:szCs w:val="22"/>
              <w:lang w:eastAsia="fr-FR"/>
            </w:rPr>
          </w:pPr>
          <w:hyperlink w:anchor="_Toc221044154" w:history="1">
            <w:r w:rsidR="00215396" w:rsidRPr="00215396">
              <w:rPr>
                <w:rStyle w:val="Lienhypertexte"/>
              </w:rPr>
              <w:t>Productions agricoles – Panoramas des 14 pays d’Afrique de l’Ouest (hors Ghana et Nigéria).</w:t>
            </w:r>
          </w:hyperlink>
        </w:p>
        <w:p w14:paraId="499A1D8F" w14:textId="67448492" w:rsidR="00215396" w:rsidRPr="00215396" w:rsidRDefault="00C045B7" w:rsidP="00215396">
          <w:pPr>
            <w:pStyle w:val="TM2"/>
            <w:rPr>
              <w:rFonts w:asciiTheme="minorHAnsi" w:eastAsiaTheme="minorEastAsia" w:hAnsiTheme="minorHAnsi" w:cstheme="minorBidi"/>
              <w:sz w:val="22"/>
              <w:szCs w:val="22"/>
              <w:lang w:eastAsia="fr-FR"/>
            </w:rPr>
          </w:pPr>
          <w:hyperlink w:anchor="_Toc221044155" w:history="1">
            <w:r w:rsidR="00215396" w:rsidRPr="00215396">
              <w:rPr>
                <w:rStyle w:val="Lienhypertexte"/>
              </w:rPr>
              <w:t>Echanges – Un marché intérieur africain plus grand qu'estimé.</w:t>
            </w:r>
          </w:hyperlink>
        </w:p>
        <w:p w14:paraId="386CD117" w14:textId="4A142ECF" w:rsidR="00215396" w:rsidRPr="00215396" w:rsidRDefault="00C045B7" w:rsidP="00215396">
          <w:pPr>
            <w:pStyle w:val="TM2"/>
            <w:rPr>
              <w:rFonts w:asciiTheme="minorHAnsi" w:eastAsiaTheme="minorEastAsia" w:hAnsiTheme="minorHAnsi" w:cstheme="minorBidi"/>
              <w:sz w:val="22"/>
              <w:szCs w:val="22"/>
              <w:lang w:eastAsia="fr-FR"/>
            </w:rPr>
          </w:pPr>
          <w:hyperlink w:anchor="_Toc221044156" w:history="1">
            <w:r w:rsidR="00215396" w:rsidRPr="00215396">
              <w:rPr>
                <w:rStyle w:val="Lienhypertexte"/>
              </w:rPr>
              <w:t>Coton - Contexte international particulièrement défavorable au coton africain.</w:t>
            </w:r>
          </w:hyperlink>
        </w:p>
        <w:p w14:paraId="419E268A" w14:textId="5D3745B4" w:rsidR="00215396" w:rsidRPr="00215396" w:rsidRDefault="00C045B7">
          <w:pPr>
            <w:pStyle w:val="TM1"/>
            <w:rPr>
              <w:rFonts w:asciiTheme="minorHAnsi" w:eastAsiaTheme="minorEastAsia" w:hAnsiTheme="minorHAnsi" w:cstheme="minorBidi"/>
              <w:b w:val="0"/>
              <w:bCs/>
              <w:color w:val="auto"/>
              <w:sz w:val="22"/>
              <w:szCs w:val="22"/>
              <w:lang w:eastAsia="fr-FR"/>
            </w:rPr>
          </w:pPr>
          <w:hyperlink w:anchor="_Toc221044157" w:history="1">
            <w:r w:rsidR="00215396" w:rsidRPr="00215396">
              <w:rPr>
                <w:rStyle w:val="Lienhypertexte"/>
                <w:b w:val="0"/>
                <w:bCs/>
              </w:rPr>
              <w:t>Côte d’Ivoire</w:t>
            </w:r>
          </w:hyperlink>
        </w:p>
        <w:p w14:paraId="6B394509" w14:textId="5BCB0D62" w:rsidR="00215396" w:rsidRPr="00215396" w:rsidRDefault="00C045B7" w:rsidP="00215396">
          <w:pPr>
            <w:pStyle w:val="TM2"/>
            <w:rPr>
              <w:rFonts w:asciiTheme="minorHAnsi" w:eastAsiaTheme="minorEastAsia" w:hAnsiTheme="minorHAnsi" w:cstheme="minorBidi"/>
              <w:sz w:val="22"/>
              <w:szCs w:val="22"/>
              <w:lang w:eastAsia="fr-FR"/>
            </w:rPr>
          </w:pPr>
          <w:hyperlink w:anchor="_Toc221044158" w:history="1">
            <w:r w:rsidR="00215396" w:rsidRPr="00215396">
              <w:rPr>
                <w:rStyle w:val="Lienhypertexte"/>
              </w:rPr>
              <w:t>Politique agricole – Changement à la tête du ministère de l’agriculture, du développement rural et des productions vivrières.</w:t>
            </w:r>
          </w:hyperlink>
        </w:p>
        <w:p w14:paraId="0F1A605C" w14:textId="396F0FBB" w:rsidR="00215396" w:rsidRPr="00215396" w:rsidRDefault="00C045B7" w:rsidP="00215396">
          <w:pPr>
            <w:pStyle w:val="TM2"/>
            <w:rPr>
              <w:rFonts w:asciiTheme="minorHAnsi" w:eastAsiaTheme="minorEastAsia" w:hAnsiTheme="minorHAnsi" w:cstheme="minorBidi"/>
              <w:sz w:val="22"/>
              <w:szCs w:val="22"/>
              <w:lang w:eastAsia="fr-FR"/>
            </w:rPr>
          </w:pPr>
          <w:hyperlink w:anchor="_Toc221044159" w:history="1">
            <w:r w:rsidR="00215396" w:rsidRPr="00215396">
              <w:rPr>
                <w:rStyle w:val="Lienhypertexte"/>
              </w:rPr>
              <w:t>Climat – Vers un dispositif national de prévisions pour l’agriculture.</w:t>
            </w:r>
          </w:hyperlink>
        </w:p>
        <w:p w14:paraId="01EF6718" w14:textId="5091710B" w:rsidR="00215396" w:rsidRPr="00215396" w:rsidRDefault="00C045B7" w:rsidP="00215396">
          <w:pPr>
            <w:pStyle w:val="TM2"/>
            <w:rPr>
              <w:rFonts w:asciiTheme="minorHAnsi" w:eastAsiaTheme="minorEastAsia" w:hAnsiTheme="minorHAnsi" w:cstheme="minorBidi"/>
              <w:sz w:val="22"/>
              <w:szCs w:val="22"/>
              <w:lang w:eastAsia="fr-FR"/>
            </w:rPr>
          </w:pPr>
          <w:hyperlink w:anchor="_Toc221044160" w:history="1">
            <w:r w:rsidR="00215396" w:rsidRPr="00215396">
              <w:rPr>
                <w:rStyle w:val="Lienhypertexte"/>
              </w:rPr>
              <w:t>Cacao – Demande mondiale orientée à la baisse.</w:t>
            </w:r>
          </w:hyperlink>
        </w:p>
        <w:p w14:paraId="5852A3A3" w14:textId="06F28A8A" w:rsidR="00215396" w:rsidRPr="00215396" w:rsidRDefault="00C045B7" w:rsidP="00215396">
          <w:pPr>
            <w:pStyle w:val="TM2"/>
            <w:rPr>
              <w:rFonts w:asciiTheme="minorHAnsi" w:eastAsiaTheme="minorEastAsia" w:hAnsiTheme="minorHAnsi" w:cstheme="minorBidi"/>
              <w:sz w:val="22"/>
              <w:szCs w:val="22"/>
              <w:lang w:eastAsia="fr-FR"/>
            </w:rPr>
          </w:pPr>
          <w:hyperlink w:anchor="_Toc221044161" w:history="1">
            <w:r w:rsidR="00215396" w:rsidRPr="00215396">
              <w:rPr>
                <w:rStyle w:val="Lienhypertexte"/>
              </w:rPr>
              <w:t>Cacao – L’État mobilise 280 Md FCFA pour racheter le cacao invendu.</w:t>
            </w:r>
          </w:hyperlink>
        </w:p>
        <w:p w14:paraId="755C8C97" w14:textId="66483A57" w:rsidR="00215396" w:rsidRPr="00215396" w:rsidRDefault="00C045B7" w:rsidP="00215396">
          <w:pPr>
            <w:pStyle w:val="TM2"/>
            <w:rPr>
              <w:rFonts w:asciiTheme="minorHAnsi" w:eastAsiaTheme="minorEastAsia" w:hAnsiTheme="minorHAnsi" w:cstheme="minorBidi"/>
              <w:sz w:val="22"/>
              <w:szCs w:val="22"/>
              <w:lang w:eastAsia="fr-FR"/>
            </w:rPr>
          </w:pPr>
          <w:hyperlink w:anchor="_Toc221044162" w:history="1">
            <w:r w:rsidR="00215396" w:rsidRPr="00215396">
              <w:rPr>
                <w:rStyle w:val="Lienhypertexte"/>
              </w:rPr>
              <w:t>Cacao – Suspension du système d’Information de l’organe de régulation (SYDORE).</w:t>
            </w:r>
          </w:hyperlink>
        </w:p>
        <w:p w14:paraId="7A8A6EAB" w14:textId="35C7052B" w:rsidR="00215396" w:rsidRPr="00215396" w:rsidRDefault="00C045B7" w:rsidP="00215396">
          <w:pPr>
            <w:pStyle w:val="TM2"/>
            <w:rPr>
              <w:rFonts w:asciiTheme="minorHAnsi" w:eastAsiaTheme="minorEastAsia" w:hAnsiTheme="minorHAnsi" w:cstheme="minorBidi"/>
              <w:sz w:val="22"/>
              <w:szCs w:val="22"/>
              <w:lang w:eastAsia="fr-FR"/>
            </w:rPr>
          </w:pPr>
          <w:hyperlink w:anchor="_Toc221044163" w:history="1">
            <w:r w:rsidR="00215396" w:rsidRPr="00215396">
              <w:rPr>
                <w:rStyle w:val="Lienhypertexte"/>
              </w:rPr>
              <w:t>Cacao - Plus de 20 Md FCFA mobilisés pour améliorer le revenu des producteurs.</w:t>
            </w:r>
          </w:hyperlink>
        </w:p>
        <w:p w14:paraId="2BC49307" w14:textId="311FAD93" w:rsidR="00215396" w:rsidRPr="00215396" w:rsidRDefault="00C045B7" w:rsidP="00215396">
          <w:pPr>
            <w:pStyle w:val="TM2"/>
            <w:rPr>
              <w:rFonts w:asciiTheme="minorHAnsi" w:eastAsiaTheme="minorEastAsia" w:hAnsiTheme="minorHAnsi" w:cstheme="minorBidi"/>
              <w:sz w:val="22"/>
              <w:szCs w:val="22"/>
              <w:lang w:eastAsia="fr-FR"/>
            </w:rPr>
          </w:pPr>
          <w:hyperlink w:anchor="_Toc221044164" w:history="1">
            <w:r w:rsidR="00215396" w:rsidRPr="00215396">
              <w:rPr>
                <w:rStyle w:val="Lienhypertexte"/>
              </w:rPr>
              <w:t>Cacao - Le Bureau international du Travail (BIT) équipe des cacaoculteurs pour la production de biochar.</w:t>
            </w:r>
          </w:hyperlink>
        </w:p>
        <w:p w14:paraId="2F494597" w14:textId="2ADF7849" w:rsidR="00215396" w:rsidRPr="00215396" w:rsidRDefault="00C045B7" w:rsidP="00215396">
          <w:pPr>
            <w:pStyle w:val="TM2"/>
            <w:rPr>
              <w:rFonts w:asciiTheme="minorHAnsi" w:eastAsiaTheme="minorEastAsia" w:hAnsiTheme="minorHAnsi" w:cstheme="minorBidi"/>
              <w:sz w:val="22"/>
              <w:szCs w:val="22"/>
              <w:lang w:eastAsia="fr-FR"/>
            </w:rPr>
          </w:pPr>
          <w:hyperlink w:anchor="_Toc221044165" w:history="1">
            <w:r w:rsidR="00215396" w:rsidRPr="00215396">
              <w:rPr>
                <w:rStyle w:val="Lienhypertexte"/>
              </w:rPr>
              <w:t>Café – Une filière qui ne redécolle pas.</w:t>
            </w:r>
          </w:hyperlink>
        </w:p>
        <w:p w14:paraId="28FF87BA" w14:textId="2424DEFF" w:rsidR="00215396" w:rsidRPr="00215396" w:rsidRDefault="00C045B7" w:rsidP="00215396">
          <w:pPr>
            <w:pStyle w:val="TM2"/>
            <w:rPr>
              <w:rFonts w:asciiTheme="minorHAnsi" w:eastAsiaTheme="minorEastAsia" w:hAnsiTheme="minorHAnsi" w:cstheme="minorBidi"/>
              <w:sz w:val="22"/>
              <w:szCs w:val="22"/>
              <w:lang w:eastAsia="fr-FR"/>
            </w:rPr>
          </w:pPr>
          <w:hyperlink w:anchor="_Toc221044166" w:history="1">
            <w:r w:rsidR="00215396" w:rsidRPr="00215396">
              <w:rPr>
                <w:rStyle w:val="Lienhypertexte"/>
              </w:rPr>
              <w:t>Anacarde – Prévisions 2025 de 350 Md FCFA de recettes d’exportations.</w:t>
            </w:r>
          </w:hyperlink>
        </w:p>
        <w:p w14:paraId="6E06A430" w14:textId="4AB385B3" w:rsidR="00215396" w:rsidRPr="00215396" w:rsidRDefault="00C045B7" w:rsidP="00215396">
          <w:pPr>
            <w:pStyle w:val="TM2"/>
            <w:rPr>
              <w:rFonts w:asciiTheme="minorHAnsi" w:eastAsiaTheme="minorEastAsia" w:hAnsiTheme="minorHAnsi" w:cstheme="minorBidi"/>
              <w:sz w:val="22"/>
              <w:szCs w:val="22"/>
              <w:lang w:eastAsia="fr-FR"/>
            </w:rPr>
          </w:pPr>
          <w:hyperlink w:anchor="_Toc221044167" w:history="1">
            <w:r w:rsidR="00215396" w:rsidRPr="00215396">
              <w:rPr>
                <w:rStyle w:val="Lienhypertexte"/>
              </w:rPr>
              <w:t>Anacarde – Vers la fin des subventions ?</w:t>
            </w:r>
          </w:hyperlink>
        </w:p>
        <w:p w14:paraId="0FD5B96E" w14:textId="496BE67D" w:rsidR="00215396" w:rsidRPr="00215396" w:rsidRDefault="00C045B7" w:rsidP="00215396">
          <w:pPr>
            <w:pStyle w:val="TM2"/>
            <w:rPr>
              <w:rFonts w:asciiTheme="minorHAnsi" w:eastAsiaTheme="minorEastAsia" w:hAnsiTheme="minorHAnsi" w:cstheme="minorBidi"/>
              <w:sz w:val="22"/>
              <w:szCs w:val="22"/>
              <w:lang w:eastAsia="fr-FR"/>
            </w:rPr>
          </w:pPr>
          <w:hyperlink w:anchor="_Toc221044168" w:history="1">
            <w:r w:rsidR="00215396" w:rsidRPr="00215396">
              <w:rPr>
                <w:rStyle w:val="Lienhypertexte"/>
              </w:rPr>
              <w:t>Anacarde – Nouvelle usine de transformation en construction.</w:t>
            </w:r>
          </w:hyperlink>
        </w:p>
        <w:p w14:paraId="15376B55" w14:textId="1049C7DF" w:rsidR="00215396" w:rsidRPr="00215396" w:rsidRDefault="00C045B7" w:rsidP="00215396">
          <w:pPr>
            <w:pStyle w:val="TM2"/>
            <w:rPr>
              <w:rFonts w:asciiTheme="minorHAnsi" w:eastAsiaTheme="minorEastAsia" w:hAnsiTheme="minorHAnsi" w:cstheme="minorBidi"/>
              <w:sz w:val="22"/>
              <w:szCs w:val="22"/>
              <w:lang w:eastAsia="fr-FR"/>
            </w:rPr>
          </w:pPr>
          <w:hyperlink w:anchor="_Toc221044169" w:history="1">
            <w:r w:rsidR="00215396" w:rsidRPr="00215396">
              <w:rPr>
                <w:rStyle w:val="Lienhypertexte"/>
              </w:rPr>
              <w:t>Anacarde – 6</w:t>
            </w:r>
            <w:r w:rsidR="00215396" w:rsidRPr="00215396">
              <w:rPr>
                <w:rStyle w:val="Lienhypertexte"/>
                <w:vertAlign w:val="superscript"/>
              </w:rPr>
              <w:t>ème</w:t>
            </w:r>
            <w:r w:rsidR="00215396" w:rsidRPr="00215396">
              <w:rPr>
                <w:rStyle w:val="Lienhypertexte"/>
              </w:rPr>
              <w:t xml:space="preserve"> édition des Journées nationales des exportateurs de cajou (JNEC-CI).</w:t>
            </w:r>
          </w:hyperlink>
        </w:p>
        <w:p w14:paraId="0A1D6277" w14:textId="0E383191" w:rsidR="00215396" w:rsidRPr="00215396" w:rsidRDefault="00C045B7" w:rsidP="00215396">
          <w:pPr>
            <w:pStyle w:val="TM2"/>
            <w:rPr>
              <w:rFonts w:asciiTheme="minorHAnsi" w:eastAsiaTheme="minorEastAsia" w:hAnsiTheme="minorHAnsi" w:cstheme="minorBidi"/>
              <w:sz w:val="22"/>
              <w:szCs w:val="22"/>
              <w:lang w:eastAsia="fr-FR"/>
            </w:rPr>
          </w:pPr>
          <w:hyperlink w:anchor="_Toc221044170" w:history="1">
            <w:r w:rsidR="00215396" w:rsidRPr="00215396">
              <w:rPr>
                <w:rStyle w:val="Lienhypertexte"/>
              </w:rPr>
              <w:t>Hévéa - Partenariat recherché avec le Cambodge pour la valorisation du bois.</w:t>
            </w:r>
          </w:hyperlink>
        </w:p>
        <w:p w14:paraId="245726C1" w14:textId="4B6FF398" w:rsidR="00215396" w:rsidRPr="00215396" w:rsidRDefault="00C045B7" w:rsidP="00215396">
          <w:pPr>
            <w:pStyle w:val="TM2"/>
            <w:rPr>
              <w:rFonts w:asciiTheme="minorHAnsi" w:eastAsiaTheme="minorEastAsia" w:hAnsiTheme="minorHAnsi" w:cstheme="minorBidi"/>
              <w:sz w:val="22"/>
              <w:szCs w:val="22"/>
              <w:lang w:eastAsia="fr-FR"/>
            </w:rPr>
          </w:pPr>
          <w:hyperlink w:anchor="_Toc221044171" w:history="1">
            <w:r w:rsidR="00215396" w:rsidRPr="00215396">
              <w:rPr>
                <w:rStyle w:val="Lienhypertexte"/>
              </w:rPr>
              <w:t>Huile de palme – Les voisins burkinabés et maliens absorbent près de 50% des exportations ivoiriennes.</w:t>
            </w:r>
          </w:hyperlink>
        </w:p>
        <w:p w14:paraId="3E768471" w14:textId="6F7E15C2" w:rsidR="00215396" w:rsidRPr="00215396" w:rsidRDefault="00C045B7" w:rsidP="00215396">
          <w:pPr>
            <w:pStyle w:val="TM2"/>
            <w:rPr>
              <w:rFonts w:asciiTheme="minorHAnsi" w:eastAsiaTheme="minorEastAsia" w:hAnsiTheme="minorHAnsi" w:cstheme="minorBidi"/>
              <w:sz w:val="22"/>
              <w:szCs w:val="22"/>
              <w:lang w:eastAsia="fr-FR"/>
            </w:rPr>
          </w:pPr>
          <w:hyperlink w:anchor="_Toc221044172" w:history="1">
            <w:r w:rsidR="00215396" w:rsidRPr="00215396">
              <w:rPr>
                <w:rStyle w:val="Lienhypertexte"/>
              </w:rPr>
              <w:t>Coton - Une filière stratégique en quête de nouveaux repères.</w:t>
            </w:r>
          </w:hyperlink>
        </w:p>
        <w:p w14:paraId="63C3C415" w14:textId="7DFAA13D" w:rsidR="00215396" w:rsidRPr="00215396" w:rsidRDefault="00C045B7" w:rsidP="00215396">
          <w:pPr>
            <w:pStyle w:val="TM2"/>
            <w:rPr>
              <w:rFonts w:asciiTheme="minorHAnsi" w:eastAsiaTheme="minorEastAsia" w:hAnsiTheme="minorHAnsi" w:cstheme="minorBidi"/>
              <w:sz w:val="22"/>
              <w:szCs w:val="22"/>
              <w:lang w:eastAsia="fr-FR"/>
            </w:rPr>
          </w:pPr>
          <w:hyperlink w:anchor="_Toc221044173" w:history="1">
            <w:r w:rsidR="00215396" w:rsidRPr="00215396">
              <w:rPr>
                <w:rStyle w:val="Lienhypertexte"/>
              </w:rPr>
              <w:t>Karité - La transformation rapporte plus aux coopératives.</w:t>
            </w:r>
          </w:hyperlink>
        </w:p>
        <w:p w14:paraId="68463C15" w14:textId="49D90480" w:rsidR="00215396" w:rsidRPr="00215396" w:rsidRDefault="00C045B7" w:rsidP="00215396">
          <w:pPr>
            <w:pStyle w:val="TM2"/>
            <w:rPr>
              <w:rFonts w:asciiTheme="minorHAnsi" w:eastAsiaTheme="minorEastAsia" w:hAnsiTheme="minorHAnsi" w:cstheme="minorBidi"/>
              <w:sz w:val="22"/>
              <w:szCs w:val="22"/>
              <w:lang w:eastAsia="fr-FR"/>
            </w:rPr>
          </w:pPr>
          <w:hyperlink w:anchor="_Toc221044174" w:history="1">
            <w:r w:rsidR="00215396" w:rsidRPr="00215396">
              <w:rPr>
                <w:rStyle w:val="Lienhypertexte"/>
              </w:rPr>
              <w:t>Manioc - La filière lance son Interprofession pour structurer les demandes de financement de projets.</w:t>
            </w:r>
          </w:hyperlink>
        </w:p>
        <w:p w14:paraId="697BE564" w14:textId="654512C9" w:rsidR="00215396" w:rsidRPr="00215396" w:rsidRDefault="00C045B7" w:rsidP="00215396">
          <w:pPr>
            <w:pStyle w:val="TM2"/>
            <w:rPr>
              <w:rFonts w:asciiTheme="minorHAnsi" w:eastAsiaTheme="minorEastAsia" w:hAnsiTheme="minorHAnsi" w:cstheme="minorBidi"/>
              <w:sz w:val="22"/>
              <w:szCs w:val="22"/>
              <w:lang w:eastAsia="fr-FR"/>
            </w:rPr>
          </w:pPr>
          <w:hyperlink w:anchor="_Toc221044175" w:history="1">
            <w:r w:rsidR="00215396" w:rsidRPr="00215396">
              <w:rPr>
                <w:rStyle w:val="Lienhypertexte"/>
              </w:rPr>
              <w:t>Manioc – Faire passer la filière de l’attiéké de l’artisanat à l’ère industrielle.</w:t>
            </w:r>
          </w:hyperlink>
        </w:p>
        <w:p w14:paraId="511C1F85" w14:textId="4D46BF41" w:rsidR="00215396" w:rsidRPr="00215396" w:rsidRDefault="00C045B7" w:rsidP="00215396">
          <w:pPr>
            <w:pStyle w:val="TM2"/>
            <w:rPr>
              <w:rFonts w:asciiTheme="minorHAnsi" w:eastAsiaTheme="minorEastAsia" w:hAnsiTheme="minorHAnsi" w:cstheme="minorBidi"/>
              <w:sz w:val="22"/>
              <w:szCs w:val="22"/>
              <w:lang w:eastAsia="fr-FR"/>
            </w:rPr>
          </w:pPr>
          <w:hyperlink w:anchor="_Toc221044176" w:history="1">
            <w:r w:rsidR="00215396" w:rsidRPr="00215396">
              <w:rPr>
                <w:rStyle w:val="Lienhypertexte"/>
              </w:rPr>
              <w:t>Riz - La consommation connaît une progression rapide.</w:t>
            </w:r>
          </w:hyperlink>
        </w:p>
        <w:p w14:paraId="3EF20443" w14:textId="3429B2E0" w:rsidR="00215396" w:rsidRPr="00215396" w:rsidRDefault="00C045B7" w:rsidP="00215396">
          <w:pPr>
            <w:pStyle w:val="TM2"/>
            <w:rPr>
              <w:rFonts w:asciiTheme="minorHAnsi" w:eastAsiaTheme="minorEastAsia" w:hAnsiTheme="minorHAnsi" w:cstheme="minorBidi"/>
              <w:sz w:val="22"/>
              <w:szCs w:val="22"/>
              <w:lang w:eastAsia="fr-FR"/>
            </w:rPr>
          </w:pPr>
          <w:hyperlink w:anchor="_Toc221044177" w:history="1">
            <w:r w:rsidR="00215396" w:rsidRPr="00215396">
              <w:rPr>
                <w:rStyle w:val="Lienhypertexte"/>
              </w:rPr>
              <w:t>Gingembre – La filière souffre de pénurie.</w:t>
            </w:r>
          </w:hyperlink>
        </w:p>
        <w:p w14:paraId="659A5B19" w14:textId="690C1B62" w:rsidR="00215396" w:rsidRPr="00215396" w:rsidRDefault="00C045B7" w:rsidP="00215396">
          <w:pPr>
            <w:pStyle w:val="TM2"/>
            <w:rPr>
              <w:rFonts w:asciiTheme="minorHAnsi" w:eastAsiaTheme="minorEastAsia" w:hAnsiTheme="minorHAnsi" w:cstheme="minorBidi"/>
              <w:sz w:val="22"/>
              <w:szCs w:val="22"/>
              <w:lang w:eastAsia="fr-FR"/>
            </w:rPr>
          </w:pPr>
          <w:hyperlink w:anchor="_Toc221044178" w:history="1">
            <w:r w:rsidR="00215396" w:rsidRPr="00215396">
              <w:rPr>
                <w:rStyle w:val="Lienhypertexte"/>
              </w:rPr>
              <w:t>Volaille – Projets en cours de construction de cinq abattoirs.</w:t>
            </w:r>
          </w:hyperlink>
        </w:p>
        <w:p w14:paraId="6DA5C956" w14:textId="1F179CD9" w:rsidR="00215396" w:rsidRPr="00215396" w:rsidRDefault="00C045B7" w:rsidP="00215396">
          <w:pPr>
            <w:pStyle w:val="TM2"/>
            <w:rPr>
              <w:rFonts w:asciiTheme="minorHAnsi" w:eastAsiaTheme="minorEastAsia" w:hAnsiTheme="minorHAnsi" w:cstheme="minorBidi"/>
              <w:sz w:val="22"/>
              <w:szCs w:val="22"/>
              <w:lang w:eastAsia="fr-FR"/>
            </w:rPr>
          </w:pPr>
          <w:hyperlink w:anchor="_Toc221044179" w:history="1">
            <w:r w:rsidR="00215396" w:rsidRPr="00215396">
              <w:rPr>
                <w:rStyle w:val="Lienhypertexte"/>
              </w:rPr>
              <w:t>Porc – 2</w:t>
            </w:r>
            <w:r w:rsidR="00215396" w:rsidRPr="00215396">
              <w:rPr>
                <w:rStyle w:val="Lienhypertexte"/>
                <w:vertAlign w:val="superscript"/>
              </w:rPr>
              <w:t>ème</w:t>
            </w:r>
            <w:r w:rsidR="00215396" w:rsidRPr="00215396">
              <w:rPr>
                <w:rStyle w:val="Lienhypertexte"/>
              </w:rPr>
              <w:t xml:space="preserve"> importateur africain de viande porcine brésilienne.</w:t>
            </w:r>
          </w:hyperlink>
        </w:p>
        <w:p w14:paraId="0C29E0BB" w14:textId="6DFE4BAF" w:rsidR="00215396" w:rsidRPr="00215396" w:rsidRDefault="00C045B7" w:rsidP="00215396">
          <w:pPr>
            <w:pStyle w:val="TM2"/>
            <w:rPr>
              <w:rFonts w:asciiTheme="minorHAnsi" w:eastAsiaTheme="minorEastAsia" w:hAnsiTheme="minorHAnsi" w:cstheme="minorBidi"/>
              <w:sz w:val="22"/>
              <w:szCs w:val="22"/>
              <w:lang w:eastAsia="fr-FR"/>
            </w:rPr>
          </w:pPr>
          <w:hyperlink w:anchor="_Toc221044180" w:history="1">
            <w:r w:rsidR="00215396" w:rsidRPr="00215396">
              <w:rPr>
                <w:rStyle w:val="Lienhypertexte"/>
              </w:rPr>
              <w:t>Pisciculture – Mission de suivi du programme FISH4ACP de l’Organisation des Nations unies pour l’alimentation et l’agriculture (FAO).</w:t>
            </w:r>
          </w:hyperlink>
        </w:p>
        <w:p w14:paraId="3D9F1C68" w14:textId="5AA8D373" w:rsidR="00215396" w:rsidRPr="00215396" w:rsidRDefault="00C045B7" w:rsidP="00215396">
          <w:pPr>
            <w:pStyle w:val="TM2"/>
            <w:rPr>
              <w:rFonts w:asciiTheme="minorHAnsi" w:eastAsiaTheme="minorEastAsia" w:hAnsiTheme="minorHAnsi" w:cstheme="minorBidi"/>
              <w:sz w:val="22"/>
              <w:szCs w:val="22"/>
              <w:lang w:eastAsia="fr-FR"/>
            </w:rPr>
          </w:pPr>
          <w:hyperlink w:anchor="_Toc221044181" w:history="1">
            <w:r w:rsidR="00215396" w:rsidRPr="00215396">
              <w:rPr>
                <w:rStyle w:val="Lienhypertexte"/>
              </w:rPr>
              <w:t>Pisciculture – Accords pour faciliter l’accès aux financements et aux intrants.</w:t>
            </w:r>
          </w:hyperlink>
        </w:p>
        <w:p w14:paraId="1C119DA5" w14:textId="2C67E0DB" w:rsidR="00215396" w:rsidRPr="00215396" w:rsidRDefault="00C045B7" w:rsidP="00215396">
          <w:pPr>
            <w:pStyle w:val="TM2"/>
            <w:rPr>
              <w:rFonts w:asciiTheme="minorHAnsi" w:eastAsiaTheme="minorEastAsia" w:hAnsiTheme="minorHAnsi" w:cstheme="minorBidi"/>
              <w:sz w:val="22"/>
              <w:szCs w:val="22"/>
              <w:lang w:eastAsia="fr-FR"/>
            </w:rPr>
          </w:pPr>
          <w:hyperlink w:anchor="_Toc221044182" w:history="1">
            <w:r w:rsidR="00215396" w:rsidRPr="00215396">
              <w:rPr>
                <w:rStyle w:val="Lienhypertexte"/>
              </w:rPr>
              <w:t>Pisciculture – Echec d’un projet d’équipement de 40 M FCFA.</w:t>
            </w:r>
          </w:hyperlink>
        </w:p>
        <w:p w14:paraId="6AD990F1" w14:textId="6D271AB4" w:rsidR="00215396" w:rsidRPr="00215396" w:rsidRDefault="00C045B7" w:rsidP="00215396">
          <w:pPr>
            <w:pStyle w:val="TM2"/>
            <w:rPr>
              <w:rFonts w:asciiTheme="minorHAnsi" w:eastAsiaTheme="minorEastAsia" w:hAnsiTheme="minorHAnsi" w:cstheme="minorBidi"/>
              <w:sz w:val="22"/>
              <w:szCs w:val="22"/>
              <w:lang w:eastAsia="fr-FR"/>
            </w:rPr>
          </w:pPr>
          <w:hyperlink w:anchor="_Toc221044183" w:history="1">
            <w:r w:rsidR="00215396" w:rsidRPr="00215396">
              <w:rPr>
                <w:rStyle w:val="Lienhypertexte"/>
              </w:rPr>
              <w:t>Elevage – L’organisation interprofessionnelle agricole des petits ruminants (INTERPRU) développe un partenariat avec l’institution de microfinance Sirius.</w:t>
            </w:r>
          </w:hyperlink>
        </w:p>
        <w:p w14:paraId="379A4AC3" w14:textId="5BF54109" w:rsidR="00215396" w:rsidRPr="00215396" w:rsidRDefault="00C045B7" w:rsidP="00215396">
          <w:pPr>
            <w:pStyle w:val="TM2"/>
            <w:rPr>
              <w:rFonts w:asciiTheme="minorHAnsi" w:eastAsiaTheme="minorEastAsia" w:hAnsiTheme="minorHAnsi" w:cstheme="minorBidi"/>
              <w:sz w:val="22"/>
              <w:szCs w:val="22"/>
              <w:lang w:eastAsia="fr-FR"/>
            </w:rPr>
          </w:pPr>
          <w:hyperlink w:anchor="_Toc221044184" w:history="1">
            <w:r w:rsidR="00215396" w:rsidRPr="00215396">
              <w:rPr>
                <w:rStyle w:val="Lienhypertexte"/>
              </w:rPr>
              <w:t>Intrants – Exonérations supprimées, mais TVA ramenée de 18% à 9% sur certains intrants agricoles.</w:t>
            </w:r>
          </w:hyperlink>
        </w:p>
        <w:p w14:paraId="3532F32E" w14:textId="50AB9913" w:rsidR="00215396" w:rsidRPr="00215396" w:rsidRDefault="00C045B7" w:rsidP="00215396">
          <w:pPr>
            <w:pStyle w:val="TM2"/>
            <w:rPr>
              <w:rFonts w:asciiTheme="minorHAnsi" w:eastAsiaTheme="minorEastAsia" w:hAnsiTheme="minorHAnsi" w:cstheme="minorBidi"/>
              <w:sz w:val="22"/>
              <w:szCs w:val="22"/>
              <w:lang w:eastAsia="fr-FR"/>
            </w:rPr>
          </w:pPr>
          <w:hyperlink w:anchor="_Toc221044185" w:history="1">
            <w:r w:rsidR="00215396" w:rsidRPr="00215396">
              <w:rPr>
                <w:rStyle w:val="Lienhypertexte"/>
              </w:rPr>
              <w:t>Intrants – Projet irlandais d’usine de transformation d’algues en fertilisants organiques.</w:t>
            </w:r>
          </w:hyperlink>
        </w:p>
        <w:p w14:paraId="7EA80B77" w14:textId="708EE5FD" w:rsidR="00215396" w:rsidRPr="00215396" w:rsidRDefault="00C045B7" w:rsidP="00215396">
          <w:pPr>
            <w:pStyle w:val="TM2"/>
            <w:rPr>
              <w:rFonts w:asciiTheme="minorHAnsi" w:eastAsiaTheme="minorEastAsia" w:hAnsiTheme="minorHAnsi" w:cstheme="minorBidi"/>
              <w:sz w:val="22"/>
              <w:szCs w:val="22"/>
              <w:lang w:eastAsia="fr-FR"/>
            </w:rPr>
          </w:pPr>
          <w:hyperlink w:anchor="_Toc221044186" w:history="1">
            <w:r w:rsidR="00215396" w:rsidRPr="00215396">
              <w:rPr>
                <w:rStyle w:val="Lienhypertexte"/>
              </w:rPr>
              <w:t>Forêts – Inquiétudes sur la gestion de certaines forêts classées.</w:t>
            </w:r>
          </w:hyperlink>
        </w:p>
        <w:p w14:paraId="0FCCD9AE" w14:textId="42D198D6" w:rsidR="00215396" w:rsidRPr="00215396" w:rsidRDefault="00C045B7" w:rsidP="00215396">
          <w:pPr>
            <w:pStyle w:val="TM2"/>
            <w:rPr>
              <w:rFonts w:asciiTheme="minorHAnsi" w:eastAsiaTheme="minorEastAsia" w:hAnsiTheme="minorHAnsi" w:cstheme="minorBidi"/>
              <w:sz w:val="22"/>
              <w:szCs w:val="22"/>
              <w:lang w:eastAsia="fr-FR"/>
            </w:rPr>
          </w:pPr>
          <w:hyperlink w:anchor="_Toc221044187" w:history="1">
            <w:r w:rsidR="00215396" w:rsidRPr="00215396">
              <w:rPr>
                <w:rStyle w:val="Lienhypertexte"/>
              </w:rPr>
              <w:t>Agro Technologie – Le Projet Innover pour les technologies agricoles propres en Afrique (INFoCAT) vise à promouvoir l’autonomisation économique des femmes et des jeunes.</w:t>
            </w:r>
          </w:hyperlink>
        </w:p>
        <w:p w14:paraId="40C7AF05" w14:textId="434F6395" w:rsidR="00215396" w:rsidRPr="00215396" w:rsidRDefault="00C045B7" w:rsidP="00215396">
          <w:pPr>
            <w:pStyle w:val="TM2"/>
            <w:rPr>
              <w:rFonts w:asciiTheme="minorHAnsi" w:eastAsiaTheme="minorEastAsia" w:hAnsiTheme="minorHAnsi" w:cstheme="minorBidi"/>
              <w:sz w:val="22"/>
              <w:szCs w:val="22"/>
              <w:lang w:eastAsia="fr-FR"/>
            </w:rPr>
          </w:pPr>
          <w:hyperlink w:anchor="_Toc221044188" w:history="1">
            <w:r w:rsidR="00215396" w:rsidRPr="00215396">
              <w:rPr>
                <w:rStyle w:val="Lienhypertexte"/>
              </w:rPr>
              <w:t>Restauration – Une start-up se lance dans la restauration scolaire.</w:t>
            </w:r>
          </w:hyperlink>
        </w:p>
        <w:p w14:paraId="47921F3E" w14:textId="02524CED" w:rsidR="00215396" w:rsidRPr="00215396" w:rsidRDefault="00C045B7" w:rsidP="00215396">
          <w:pPr>
            <w:pStyle w:val="TM2"/>
            <w:rPr>
              <w:rFonts w:asciiTheme="minorHAnsi" w:eastAsiaTheme="minorEastAsia" w:hAnsiTheme="minorHAnsi" w:cstheme="minorBidi"/>
              <w:sz w:val="22"/>
              <w:szCs w:val="22"/>
              <w:lang w:eastAsia="fr-FR"/>
            </w:rPr>
          </w:pPr>
          <w:hyperlink w:anchor="_Toc221044189" w:history="1">
            <w:r w:rsidR="00215396" w:rsidRPr="00215396">
              <w:rPr>
                <w:rStyle w:val="Lienhypertexte"/>
              </w:rPr>
              <w:t>Restauration – Progression de la livraison à domicile.</w:t>
            </w:r>
          </w:hyperlink>
        </w:p>
        <w:p w14:paraId="4BC571DA" w14:textId="6A6298E8" w:rsidR="00215396" w:rsidRPr="00215396" w:rsidRDefault="00C045B7" w:rsidP="00215396">
          <w:pPr>
            <w:pStyle w:val="TM2"/>
            <w:rPr>
              <w:rFonts w:asciiTheme="minorHAnsi" w:eastAsiaTheme="minorEastAsia" w:hAnsiTheme="minorHAnsi" w:cstheme="minorBidi"/>
              <w:sz w:val="22"/>
              <w:szCs w:val="22"/>
              <w:lang w:eastAsia="fr-FR"/>
            </w:rPr>
          </w:pPr>
          <w:hyperlink w:anchor="_Toc221044190" w:history="1">
            <w:r w:rsidR="00215396" w:rsidRPr="00215396">
              <w:rPr>
                <w:rStyle w:val="Lienhypertexte"/>
              </w:rPr>
              <w:t>Mission d’entreprises – Rencontres B to B pour 17 entreprises égyptiennes.</w:t>
            </w:r>
          </w:hyperlink>
        </w:p>
        <w:p w14:paraId="70AD9A59" w14:textId="47AC86D6" w:rsidR="00215396" w:rsidRPr="00215396" w:rsidRDefault="00C045B7" w:rsidP="00215396">
          <w:pPr>
            <w:pStyle w:val="TM2"/>
            <w:rPr>
              <w:rFonts w:asciiTheme="minorHAnsi" w:eastAsiaTheme="minorEastAsia" w:hAnsiTheme="minorHAnsi" w:cstheme="minorBidi"/>
              <w:sz w:val="22"/>
              <w:szCs w:val="22"/>
              <w:lang w:eastAsia="fr-FR"/>
            </w:rPr>
          </w:pPr>
          <w:hyperlink w:anchor="_Toc221044191" w:history="1">
            <w:r w:rsidR="00215396" w:rsidRPr="00215396">
              <w:rPr>
                <w:rStyle w:val="Lienhypertexte"/>
              </w:rPr>
              <w:t>Vie des sociétés – La Coopérative SCINPA regroupe près de 3 800 producteurs.</w:t>
            </w:r>
          </w:hyperlink>
        </w:p>
        <w:p w14:paraId="4F074696" w14:textId="4654C84F" w:rsidR="00215396" w:rsidRPr="00215396" w:rsidRDefault="00C045B7" w:rsidP="00215396">
          <w:pPr>
            <w:pStyle w:val="TM2"/>
            <w:rPr>
              <w:rFonts w:asciiTheme="minorHAnsi" w:eastAsiaTheme="minorEastAsia" w:hAnsiTheme="minorHAnsi" w:cstheme="minorBidi"/>
              <w:sz w:val="22"/>
              <w:szCs w:val="22"/>
              <w:lang w:eastAsia="fr-FR"/>
            </w:rPr>
          </w:pPr>
          <w:hyperlink w:anchor="_Toc221044192" w:history="1">
            <w:r w:rsidR="00215396" w:rsidRPr="00215396">
              <w:rPr>
                <w:rStyle w:val="Lienhypertexte"/>
              </w:rPr>
              <w:t>Vie des sociétés – Ouverture d’un bureau de représentation de l’entreprise belge Silo Construction &amp; Engineering (SCE).</w:t>
            </w:r>
          </w:hyperlink>
        </w:p>
        <w:p w14:paraId="652BC4E0" w14:textId="234D7082" w:rsidR="00215396" w:rsidRPr="00215396" w:rsidRDefault="00C045B7" w:rsidP="00215396">
          <w:pPr>
            <w:pStyle w:val="TM2"/>
            <w:rPr>
              <w:rFonts w:asciiTheme="minorHAnsi" w:eastAsiaTheme="minorEastAsia" w:hAnsiTheme="minorHAnsi" w:cstheme="minorBidi"/>
              <w:sz w:val="22"/>
              <w:szCs w:val="22"/>
              <w:lang w:eastAsia="fr-FR"/>
            </w:rPr>
          </w:pPr>
          <w:hyperlink w:anchor="_Toc221044193" w:history="1">
            <w:r w:rsidR="00215396" w:rsidRPr="00215396">
              <w:rPr>
                <w:rStyle w:val="Lienhypertexte"/>
              </w:rPr>
              <w:t>Evènement - Salon mondial de l’agroécologie du 7 au 10 avril prochain à San Pedro.</w:t>
            </w:r>
          </w:hyperlink>
        </w:p>
        <w:p w14:paraId="5B2CC427" w14:textId="3311EF91" w:rsidR="00215396" w:rsidRPr="00215396" w:rsidRDefault="00C045B7" w:rsidP="00215396">
          <w:pPr>
            <w:pStyle w:val="TM2"/>
            <w:rPr>
              <w:rFonts w:asciiTheme="minorHAnsi" w:eastAsiaTheme="minorEastAsia" w:hAnsiTheme="minorHAnsi" w:cstheme="minorBidi"/>
              <w:sz w:val="22"/>
              <w:szCs w:val="22"/>
              <w:lang w:eastAsia="fr-FR"/>
            </w:rPr>
          </w:pPr>
          <w:hyperlink w:anchor="_Toc221044194" w:history="1">
            <w:r w:rsidR="00215396" w:rsidRPr="00215396">
              <w:rPr>
                <w:rStyle w:val="Lienhypertexte"/>
                <w:bCs w:val="0"/>
              </w:rPr>
              <w:t>Evènement – Conférence le 24 février sur les opportunités de développement pour les filières agricoles et agroalimentaires en Côte d’Ivoire au Salon international de l’agriculture (SIA).</w:t>
            </w:r>
          </w:hyperlink>
        </w:p>
        <w:p w14:paraId="5F6DF2E5" w14:textId="41273981" w:rsidR="00215396" w:rsidRPr="00215396" w:rsidRDefault="00C045B7">
          <w:pPr>
            <w:pStyle w:val="TM1"/>
            <w:rPr>
              <w:rFonts w:asciiTheme="minorHAnsi" w:eastAsiaTheme="minorEastAsia" w:hAnsiTheme="minorHAnsi" w:cstheme="minorBidi"/>
              <w:b w:val="0"/>
              <w:bCs/>
              <w:color w:val="auto"/>
              <w:sz w:val="22"/>
              <w:szCs w:val="22"/>
              <w:lang w:eastAsia="fr-FR"/>
            </w:rPr>
          </w:pPr>
          <w:hyperlink w:anchor="_Toc221044195" w:history="1">
            <w:r w:rsidR="00215396" w:rsidRPr="00215396">
              <w:rPr>
                <w:rStyle w:val="Lienhypertexte"/>
                <w:b w:val="0"/>
                <w:bCs/>
              </w:rPr>
              <w:t>Sénégal</w:t>
            </w:r>
          </w:hyperlink>
        </w:p>
        <w:p w14:paraId="180C1628" w14:textId="5F1D529D" w:rsidR="00215396" w:rsidRPr="00215396" w:rsidRDefault="00C045B7" w:rsidP="00215396">
          <w:pPr>
            <w:pStyle w:val="TM2"/>
            <w:rPr>
              <w:rFonts w:asciiTheme="minorHAnsi" w:eastAsiaTheme="minorEastAsia" w:hAnsiTheme="minorHAnsi" w:cstheme="minorBidi"/>
              <w:sz w:val="22"/>
              <w:szCs w:val="22"/>
              <w:lang w:eastAsia="fr-FR"/>
            </w:rPr>
          </w:pPr>
          <w:hyperlink w:anchor="_Toc221044196" w:history="1">
            <w:r w:rsidR="00215396" w:rsidRPr="00215396">
              <w:rPr>
                <w:rStyle w:val="Lienhypertexte"/>
              </w:rPr>
              <w:t>Politique agricole – Projet de loi d’orientation agrosylvopastorale et halieutique.</w:t>
            </w:r>
          </w:hyperlink>
        </w:p>
        <w:p w14:paraId="22BAC3A4" w14:textId="63733429" w:rsidR="00215396" w:rsidRPr="00215396" w:rsidRDefault="00C045B7" w:rsidP="00215396">
          <w:pPr>
            <w:pStyle w:val="TM2"/>
            <w:rPr>
              <w:rFonts w:asciiTheme="minorHAnsi" w:eastAsiaTheme="minorEastAsia" w:hAnsiTheme="minorHAnsi" w:cstheme="minorBidi"/>
              <w:sz w:val="22"/>
              <w:szCs w:val="22"/>
              <w:lang w:eastAsia="fr-FR"/>
            </w:rPr>
          </w:pPr>
          <w:hyperlink w:anchor="_Toc221044197" w:history="1">
            <w:r w:rsidR="00215396" w:rsidRPr="00215396">
              <w:rPr>
                <w:rStyle w:val="Lienhypertexte"/>
              </w:rPr>
              <w:t>Politique agricole – 130 Md FCFA de subventions.</w:t>
            </w:r>
          </w:hyperlink>
        </w:p>
        <w:p w14:paraId="71F02C83" w14:textId="33CE95A0" w:rsidR="00215396" w:rsidRPr="00215396" w:rsidRDefault="00C045B7" w:rsidP="00215396">
          <w:pPr>
            <w:pStyle w:val="TM2"/>
            <w:rPr>
              <w:rFonts w:asciiTheme="minorHAnsi" w:eastAsiaTheme="minorEastAsia" w:hAnsiTheme="minorHAnsi" w:cstheme="minorBidi"/>
              <w:sz w:val="22"/>
              <w:szCs w:val="22"/>
              <w:lang w:eastAsia="fr-FR"/>
            </w:rPr>
          </w:pPr>
          <w:hyperlink w:anchor="_Toc221044198" w:history="1">
            <w:r w:rsidR="00215396" w:rsidRPr="00215396">
              <w:rPr>
                <w:rStyle w:val="Lienhypertexte"/>
              </w:rPr>
              <w:t>Politique de la pêche – Le Président plaide pour une révision du code de la pêche.</w:t>
            </w:r>
          </w:hyperlink>
        </w:p>
        <w:p w14:paraId="25E897CD" w14:textId="495AED73" w:rsidR="00215396" w:rsidRPr="00215396" w:rsidRDefault="00C045B7" w:rsidP="00215396">
          <w:pPr>
            <w:pStyle w:val="TM2"/>
            <w:rPr>
              <w:rFonts w:asciiTheme="minorHAnsi" w:eastAsiaTheme="minorEastAsia" w:hAnsiTheme="minorHAnsi" w:cstheme="minorBidi"/>
              <w:sz w:val="22"/>
              <w:szCs w:val="22"/>
              <w:lang w:eastAsia="fr-FR"/>
            </w:rPr>
          </w:pPr>
          <w:hyperlink w:anchor="_Toc221044199" w:history="1">
            <w:r w:rsidR="00215396" w:rsidRPr="00215396">
              <w:rPr>
                <w:rStyle w:val="Lienhypertexte"/>
              </w:rPr>
              <w:t>Santé animale - Extinction de l’ensemble des foyers de Fièvre de la Vallée du Rift (FVR).</w:t>
            </w:r>
          </w:hyperlink>
        </w:p>
        <w:p w14:paraId="671450D6" w14:textId="76796CFE" w:rsidR="00215396" w:rsidRPr="00215396" w:rsidRDefault="00C045B7" w:rsidP="00215396">
          <w:pPr>
            <w:pStyle w:val="TM2"/>
            <w:rPr>
              <w:rFonts w:asciiTheme="minorHAnsi" w:eastAsiaTheme="minorEastAsia" w:hAnsiTheme="minorHAnsi" w:cstheme="minorBidi"/>
              <w:sz w:val="22"/>
              <w:szCs w:val="22"/>
              <w:lang w:eastAsia="fr-FR"/>
            </w:rPr>
          </w:pPr>
          <w:hyperlink w:anchor="_Toc221044200" w:history="1">
            <w:r w:rsidR="00215396" w:rsidRPr="00215396">
              <w:rPr>
                <w:rStyle w:val="Lienhypertexte"/>
              </w:rPr>
              <w:t>Santé animale - Lancement de la campagne nationale de vaccination du cheptel.</w:t>
            </w:r>
          </w:hyperlink>
        </w:p>
        <w:p w14:paraId="116E18E2" w14:textId="4E519F2C" w:rsidR="00215396" w:rsidRPr="00215396" w:rsidRDefault="00C045B7" w:rsidP="00215396">
          <w:pPr>
            <w:pStyle w:val="TM2"/>
            <w:rPr>
              <w:rFonts w:asciiTheme="minorHAnsi" w:eastAsiaTheme="minorEastAsia" w:hAnsiTheme="minorHAnsi" w:cstheme="minorBidi"/>
              <w:sz w:val="22"/>
              <w:szCs w:val="22"/>
              <w:lang w:eastAsia="fr-FR"/>
            </w:rPr>
          </w:pPr>
          <w:hyperlink w:anchor="_Toc221044201" w:history="1">
            <w:r w:rsidR="00215396" w:rsidRPr="00215396">
              <w:rPr>
                <w:rStyle w:val="Lienhypertexte"/>
              </w:rPr>
              <w:t>Agropole – Ambitions fortes de la Société coopérative des acteurs de l’Agropole Sud (SOCAAS).</w:t>
            </w:r>
          </w:hyperlink>
        </w:p>
        <w:p w14:paraId="47BD423C" w14:textId="3904CB96" w:rsidR="00215396" w:rsidRPr="00215396" w:rsidRDefault="00C045B7" w:rsidP="00215396">
          <w:pPr>
            <w:pStyle w:val="TM2"/>
            <w:rPr>
              <w:rFonts w:asciiTheme="minorHAnsi" w:eastAsiaTheme="minorEastAsia" w:hAnsiTheme="minorHAnsi" w:cstheme="minorBidi"/>
              <w:sz w:val="22"/>
              <w:szCs w:val="22"/>
              <w:lang w:eastAsia="fr-FR"/>
            </w:rPr>
          </w:pPr>
          <w:hyperlink w:anchor="_Toc221044202" w:history="1">
            <w:r w:rsidR="00215396" w:rsidRPr="00215396">
              <w:rPr>
                <w:rStyle w:val="Lienhypertexte"/>
              </w:rPr>
              <w:t>Arachide - La Société nationale de commercialisation des oléagineux du Sénégal (SONACOS) devrait acheter 450 000 tonnes d’arachides.</w:t>
            </w:r>
          </w:hyperlink>
        </w:p>
        <w:p w14:paraId="42A2D11D" w14:textId="79E6CB97" w:rsidR="00215396" w:rsidRPr="00215396" w:rsidRDefault="00C045B7" w:rsidP="00215396">
          <w:pPr>
            <w:pStyle w:val="TM2"/>
            <w:rPr>
              <w:rFonts w:asciiTheme="minorHAnsi" w:eastAsiaTheme="minorEastAsia" w:hAnsiTheme="minorHAnsi" w:cstheme="minorBidi"/>
              <w:sz w:val="22"/>
              <w:szCs w:val="22"/>
              <w:lang w:eastAsia="fr-FR"/>
            </w:rPr>
          </w:pPr>
          <w:hyperlink w:anchor="_Toc221044203" w:history="1">
            <w:r w:rsidR="00215396" w:rsidRPr="00215396">
              <w:rPr>
                <w:rStyle w:val="Lienhypertexte"/>
              </w:rPr>
              <w:t>Arachide - Le gouvernement annonce l’ouverture officielle des exportations.</w:t>
            </w:r>
          </w:hyperlink>
        </w:p>
        <w:p w14:paraId="7B3D0CCA" w14:textId="4E5A2406" w:rsidR="00215396" w:rsidRPr="00215396" w:rsidRDefault="00C045B7" w:rsidP="00215396">
          <w:pPr>
            <w:pStyle w:val="TM2"/>
            <w:rPr>
              <w:rFonts w:asciiTheme="minorHAnsi" w:eastAsiaTheme="minorEastAsia" w:hAnsiTheme="minorHAnsi" w:cstheme="minorBidi"/>
              <w:sz w:val="22"/>
              <w:szCs w:val="22"/>
              <w:lang w:eastAsia="fr-FR"/>
            </w:rPr>
          </w:pPr>
          <w:hyperlink w:anchor="_Toc221044204" w:history="1">
            <w:r w:rsidR="00215396" w:rsidRPr="00215396">
              <w:rPr>
                <w:rStyle w:val="Lienhypertexte"/>
              </w:rPr>
              <w:t>Oléagineux – Inauguration d’une raffinerie pour renforcer la production d’huiles alimentaires.</w:t>
            </w:r>
          </w:hyperlink>
        </w:p>
        <w:p w14:paraId="7020979E" w14:textId="667C3A45" w:rsidR="00215396" w:rsidRPr="00215396" w:rsidRDefault="00C045B7" w:rsidP="00215396">
          <w:pPr>
            <w:pStyle w:val="TM2"/>
            <w:rPr>
              <w:rFonts w:asciiTheme="minorHAnsi" w:eastAsiaTheme="minorEastAsia" w:hAnsiTheme="minorHAnsi" w:cstheme="minorBidi"/>
              <w:sz w:val="22"/>
              <w:szCs w:val="22"/>
              <w:lang w:eastAsia="fr-FR"/>
            </w:rPr>
          </w:pPr>
          <w:hyperlink w:anchor="_Toc221044205" w:history="1">
            <w:r w:rsidR="00215396" w:rsidRPr="00215396">
              <w:rPr>
                <w:rStyle w:val="Lienhypertexte"/>
              </w:rPr>
              <w:t>Riz – Lancement de la campagne de la saison sèche dans la vallée du fleuve Sénégal.</w:t>
            </w:r>
          </w:hyperlink>
        </w:p>
        <w:p w14:paraId="2D657A84" w14:textId="5DA39011" w:rsidR="00215396" w:rsidRPr="00215396" w:rsidRDefault="00C045B7" w:rsidP="00215396">
          <w:pPr>
            <w:pStyle w:val="TM2"/>
            <w:rPr>
              <w:rFonts w:asciiTheme="minorHAnsi" w:eastAsiaTheme="minorEastAsia" w:hAnsiTheme="minorHAnsi" w:cstheme="minorBidi"/>
              <w:sz w:val="22"/>
              <w:szCs w:val="22"/>
              <w:lang w:eastAsia="fr-FR"/>
            </w:rPr>
          </w:pPr>
          <w:hyperlink w:anchor="_Toc221044206" w:history="1">
            <w:r w:rsidR="00215396" w:rsidRPr="00215396">
              <w:rPr>
                <w:rStyle w:val="Lienhypertexte"/>
              </w:rPr>
              <w:t>Manioc – Restructuration de la filière en cours.</w:t>
            </w:r>
          </w:hyperlink>
        </w:p>
        <w:p w14:paraId="2919E602" w14:textId="6F128E4C" w:rsidR="00215396" w:rsidRPr="00215396" w:rsidRDefault="00C045B7" w:rsidP="00215396">
          <w:pPr>
            <w:pStyle w:val="TM2"/>
            <w:rPr>
              <w:rFonts w:asciiTheme="minorHAnsi" w:eastAsiaTheme="minorEastAsia" w:hAnsiTheme="minorHAnsi" w:cstheme="minorBidi"/>
              <w:sz w:val="22"/>
              <w:szCs w:val="22"/>
              <w:lang w:eastAsia="fr-FR"/>
            </w:rPr>
          </w:pPr>
          <w:hyperlink w:anchor="_Toc221044207" w:history="1">
            <w:r w:rsidR="00215396" w:rsidRPr="00215396">
              <w:rPr>
                <w:rStyle w:val="Lienhypertexte"/>
              </w:rPr>
              <w:t>Pomme de terre et oignon - Productions attendues à respectivement 255 000 tonnes et 450 000 tonnes en 2026.</w:t>
            </w:r>
          </w:hyperlink>
        </w:p>
        <w:p w14:paraId="61999C36" w14:textId="680561A4" w:rsidR="00215396" w:rsidRPr="00215396" w:rsidRDefault="00C045B7" w:rsidP="00215396">
          <w:pPr>
            <w:pStyle w:val="TM2"/>
            <w:rPr>
              <w:rFonts w:asciiTheme="minorHAnsi" w:eastAsiaTheme="minorEastAsia" w:hAnsiTheme="minorHAnsi" w:cstheme="minorBidi"/>
              <w:sz w:val="22"/>
              <w:szCs w:val="22"/>
              <w:lang w:eastAsia="fr-FR"/>
            </w:rPr>
          </w:pPr>
          <w:hyperlink w:anchor="_Toc221044208" w:history="1">
            <w:r w:rsidR="00215396" w:rsidRPr="00215396">
              <w:rPr>
                <w:rStyle w:val="Lienhypertexte"/>
              </w:rPr>
              <w:t>Pomme de terre et oignon – La nouvelle suspension des importations témoigne de la nouvelle politique commerciale du gouvernement.</w:t>
            </w:r>
          </w:hyperlink>
        </w:p>
        <w:p w14:paraId="5D0ABA61" w14:textId="0C855C58" w:rsidR="00215396" w:rsidRPr="00215396" w:rsidRDefault="00C045B7" w:rsidP="00215396">
          <w:pPr>
            <w:pStyle w:val="TM2"/>
            <w:rPr>
              <w:rFonts w:asciiTheme="minorHAnsi" w:eastAsiaTheme="minorEastAsia" w:hAnsiTheme="minorHAnsi" w:cstheme="minorBidi"/>
              <w:sz w:val="22"/>
              <w:szCs w:val="22"/>
              <w:lang w:eastAsia="fr-FR"/>
            </w:rPr>
          </w:pPr>
          <w:hyperlink w:anchor="_Toc221044209" w:history="1">
            <w:r w:rsidR="00215396" w:rsidRPr="00215396">
              <w:rPr>
                <w:rStyle w:val="Lienhypertexte"/>
              </w:rPr>
              <w:t>Semence - Plus de 102 tonnes de semences produites par l’Institut sénégalais de recherches agricoles (ISRA) en contre-saison chaude 2025.</w:t>
            </w:r>
          </w:hyperlink>
        </w:p>
        <w:p w14:paraId="7F9CF141" w14:textId="3A3A2A2E" w:rsidR="00215396" w:rsidRPr="00215396" w:rsidRDefault="00C045B7" w:rsidP="00215396">
          <w:pPr>
            <w:pStyle w:val="TM2"/>
            <w:rPr>
              <w:rFonts w:asciiTheme="minorHAnsi" w:eastAsiaTheme="minorEastAsia" w:hAnsiTheme="minorHAnsi" w:cstheme="minorBidi"/>
              <w:sz w:val="22"/>
              <w:szCs w:val="22"/>
              <w:lang w:eastAsia="fr-FR"/>
            </w:rPr>
          </w:pPr>
          <w:hyperlink w:anchor="_Toc221044210" w:history="1">
            <w:r w:rsidR="00215396" w:rsidRPr="00215396">
              <w:rPr>
                <w:rStyle w:val="Lienhypertexte"/>
              </w:rPr>
              <w:t>Pêche - L’Union nationale des pêcheurs artisanaux du Sénégal (UNAPAS) demande que la zone comprise entre 0 et 12 miles nautiques soit réservée exclusivement à la pêche artisanale.</w:t>
            </w:r>
          </w:hyperlink>
        </w:p>
        <w:p w14:paraId="42E03889" w14:textId="5CE741A3" w:rsidR="00215396" w:rsidRPr="00215396" w:rsidRDefault="00C045B7" w:rsidP="00215396">
          <w:pPr>
            <w:pStyle w:val="TM2"/>
            <w:rPr>
              <w:rFonts w:asciiTheme="minorHAnsi" w:eastAsiaTheme="minorEastAsia" w:hAnsiTheme="minorHAnsi" w:cstheme="minorBidi"/>
              <w:sz w:val="22"/>
              <w:szCs w:val="22"/>
              <w:lang w:eastAsia="fr-FR"/>
            </w:rPr>
          </w:pPr>
          <w:hyperlink w:anchor="_Toc221044211" w:history="1">
            <w:r w:rsidR="00215396" w:rsidRPr="00215396">
              <w:rPr>
                <w:rStyle w:val="Lienhypertexte"/>
              </w:rPr>
              <w:t>Elevage – Le ministre de l’agriculture, de la souveraineté alimentaire et de l’élevage a l’ambition de transformer l’élevage en un moteur de croissance économique.</w:t>
            </w:r>
          </w:hyperlink>
        </w:p>
        <w:p w14:paraId="2EE5A53B" w14:textId="2D0BAF3D" w:rsidR="00215396" w:rsidRPr="00215396" w:rsidRDefault="00C045B7" w:rsidP="00215396">
          <w:pPr>
            <w:pStyle w:val="TM2"/>
            <w:rPr>
              <w:rFonts w:asciiTheme="minorHAnsi" w:eastAsiaTheme="minorEastAsia" w:hAnsiTheme="minorHAnsi" w:cstheme="minorBidi"/>
              <w:sz w:val="22"/>
              <w:szCs w:val="22"/>
              <w:lang w:eastAsia="fr-FR"/>
            </w:rPr>
          </w:pPr>
          <w:hyperlink w:anchor="_Toc221044212" w:history="1">
            <w:r w:rsidR="00215396" w:rsidRPr="00215396">
              <w:rPr>
                <w:rStyle w:val="Lienhypertexte"/>
              </w:rPr>
              <w:t>Elevage – Inauguration d’une coopérative agricole communautaire dont le gouvernement ambitionne de faire un pôle structurant de transformation de l’élevage.</w:t>
            </w:r>
          </w:hyperlink>
        </w:p>
        <w:p w14:paraId="3B008A85" w14:textId="45AD3835" w:rsidR="00215396" w:rsidRPr="00215396" w:rsidRDefault="00C045B7" w:rsidP="00215396">
          <w:pPr>
            <w:pStyle w:val="TM2"/>
            <w:rPr>
              <w:rFonts w:asciiTheme="minorHAnsi" w:eastAsiaTheme="minorEastAsia" w:hAnsiTheme="minorHAnsi" w:cstheme="minorBidi"/>
              <w:sz w:val="22"/>
              <w:szCs w:val="22"/>
              <w:lang w:eastAsia="fr-FR"/>
            </w:rPr>
          </w:pPr>
          <w:hyperlink w:anchor="_Toc221044213" w:history="1">
            <w:r w:rsidR="00215396" w:rsidRPr="00215396">
              <w:rPr>
                <w:rStyle w:val="Lienhypertexte"/>
              </w:rPr>
              <w:t>Huitre – Journée nationale.</w:t>
            </w:r>
          </w:hyperlink>
        </w:p>
        <w:p w14:paraId="1ECEF21A" w14:textId="64E5BABD" w:rsidR="00215396" w:rsidRPr="00215396" w:rsidRDefault="00C045B7" w:rsidP="00215396">
          <w:pPr>
            <w:pStyle w:val="TM2"/>
            <w:rPr>
              <w:rFonts w:asciiTheme="minorHAnsi" w:eastAsiaTheme="minorEastAsia" w:hAnsiTheme="minorHAnsi" w:cstheme="minorBidi"/>
              <w:sz w:val="22"/>
              <w:szCs w:val="22"/>
              <w:lang w:eastAsia="fr-FR"/>
            </w:rPr>
          </w:pPr>
          <w:hyperlink w:anchor="_Toc221044214" w:history="1">
            <w:r w:rsidR="00215396" w:rsidRPr="00215396">
              <w:rPr>
                <w:rStyle w:val="Lienhypertexte"/>
              </w:rPr>
              <w:t>Engrais - Les Industries chimiques du Sénégal (ICS) veulent garantir un approvisionnement suffisant en intrants.</w:t>
            </w:r>
          </w:hyperlink>
        </w:p>
        <w:p w14:paraId="042A8480" w14:textId="2E8D4354" w:rsidR="00215396" w:rsidRPr="00215396" w:rsidRDefault="00C045B7" w:rsidP="00215396">
          <w:pPr>
            <w:pStyle w:val="TM2"/>
            <w:rPr>
              <w:rFonts w:asciiTheme="minorHAnsi" w:eastAsiaTheme="minorEastAsia" w:hAnsiTheme="minorHAnsi" w:cstheme="minorBidi"/>
              <w:sz w:val="22"/>
              <w:szCs w:val="22"/>
              <w:lang w:eastAsia="fr-FR"/>
            </w:rPr>
          </w:pPr>
          <w:hyperlink w:anchor="_Toc221044215" w:history="1">
            <w:r w:rsidR="00215396" w:rsidRPr="00215396">
              <w:rPr>
                <w:rStyle w:val="Lienhypertexte"/>
              </w:rPr>
              <w:t>Coopération bilatérale - Le ministre de l’agriculture, de la souveraineté alimentaire et de l’élevage, M. Mabouba Diagne, a appelé le secteur privé marocain à investir au Sénégal.</w:t>
            </w:r>
          </w:hyperlink>
        </w:p>
        <w:p w14:paraId="6E29C6B0" w14:textId="0C30D891" w:rsidR="00215396" w:rsidRPr="00215396" w:rsidRDefault="00C045B7">
          <w:pPr>
            <w:pStyle w:val="TM1"/>
            <w:rPr>
              <w:rFonts w:asciiTheme="minorHAnsi" w:eastAsiaTheme="minorEastAsia" w:hAnsiTheme="minorHAnsi" w:cstheme="minorBidi"/>
              <w:b w:val="0"/>
              <w:bCs/>
              <w:color w:val="auto"/>
              <w:sz w:val="22"/>
              <w:szCs w:val="22"/>
              <w:lang w:eastAsia="fr-FR"/>
            </w:rPr>
          </w:pPr>
          <w:hyperlink w:anchor="_Toc221044216" w:history="1">
            <w:r w:rsidR="00215396" w:rsidRPr="00215396">
              <w:rPr>
                <w:rStyle w:val="Lienhypertexte"/>
                <w:b w:val="0"/>
                <w:bCs/>
              </w:rPr>
              <w:t>Bénin</w:t>
            </w:r>
          </w:hyperlink>
        </w:p>
        <w:p w14:paraId="53B843E0" w14:textId="5A86D130" w:rsidR="00215396" w:rsidRPr="00215396" w:rsidRDefault="00C045B7" w:rsidP="00215396">
          <w:pPr>
            <w:pStyle w:val="TM2"/>
            <w:rPr>
              <w:rFonts w:asciiTheme="minorHAnsi" w:eastAsiaTheme="minorEastAsia" w:hAnsiTheme="minorHAnsi" w:cstheme="minorBidi"/>
              <w:sz w:val="22"/>
              <w:szCs w:val="22"/>
              <w:lang w:eastAsia="fr-FR"/>
            </w:rPr>
          </w:pPr>
          <w:hyperlink w:anchor="_Toc221044217" w:history="1">
            <w:r w:rsidR="00215396" w:rsidRPr="00215396">
              <w:rPr>
                <w:rStyle w:val="Lienhypertexte"/>
              </w:rPr>
              <w:t>Légumineuse – Le niébé pour résoudre les conflits agropastoraux.</w:t>
            </w:r>
          </w:hyperlink>
        </w:p>
        <w:p w14:paraId="5F10BE9E" w14:textId="7667CA9E" w:rsidR="00215396" w:rsidRPr="00215396" w:rsidRDefault="00C045B7" w:rsidP="00215396">
          <w:pPr>
            <w:pStyle w:val="TM2"/>
            <w:rPr>
              <w:rFonts w:asciiTheme="minorHAnsi" w:eastAsiaTheme="minorEastAsia" w:hAnsiTheme="minorHAnsi" w:cstheme="minorBidi"/>
              <w:sz w:val="22"/>
              <w:szCs w:val="22"/>
              <w:lang w:eastAsia="fr-FR"/>
            </w:rPr>
          </w:pPr>
          <w:hyperlink w:anchor="_Toc221044218" w:history="1">
            <w:r w:rsidR="00215396" w:rsidRPr="00215396">
              <w:rPr>
                <w:rStyle w:val="Lienhypertexte"/>
              </w:rPr>
              <w:t>Infrastructures – Construction de 18 entrepôts pour éviter les pertes liées aux récoltes.</w:t>
            </w:r>
          </w:hyperlink>
        </w:p>
        <w:p w14:paraId="206D8FDD" w14:textId="349C7D10" w:rsidR="00215396" w:rsidRPr="00215396" w:rsidRDefault="00C045B7">
          <w:pPr>
            <w:pStyle w:val="TM1"/>
            <w:rPr>
              <w:rFonts w:asciiTheme="minorHAnsi" w:eastAsiaTheme="minorEastAsia" w:hAnsiTheme="minorHAnsi" w:cstheme="minorBidi"/>
              <w:b w:val="0"/>
              <w:bCs/>
              <w:color w:val="auto"/>
              <w:sz w:val="22"/>
              <w:szCs w:val="22"/>
              <w:lang w:eastAsia="fr-FR"/>
            </w:rPr>
          </w:pPr>
          <w:hyperlink w:anchor="_Toc221044219" w:history="1">
            <w:r w:rsidR="00215396" w:rsidRPr="00215396">
              <w:rPr>
                <w:rStyle w:val="Lienhypertexte"/>
                <w:b w:val="0"/>
                <w:bCs/>
              </w:rPr>
              <w:t>Burkina Faso</w:t>
            </w:r>
          </w:hyperlink>
        </w:p>
        <w:p w14:paraId="2634CA4F" w14:textId="4BDACFBB" w:rsidR="00215396" w:rsidRPr="00215396" w:rsidRDefault="00C045B7" w:rsidP="00215396">
          <w:pPr>
            <w:pStyle w:val="TM2"/>
            <w:rPr>
              <w:rFonts w:asciiTheme="minorHAnsi" w:eastAsiaTheme="minorEastAsia" w:hAnsiTheme="minorHAnsi" w:cstheme="minorBidi"/>
              <w:sz w:val="22"/>
              <w:szCs w:val="22"/>
              <w:lang w:eastAsia="fr-FR"/>
            </w:rPr>
          </w:pPr>
          <w:hyperlink w:anchor="_Toc221044220" w:history="1">
            <w:r w:rsidR="00215396" w:rsidRPr="00215396">
              <w:rPr>
                <w:rStyle w:val="Lienhypertexte"/>
              </w:rPr>
              <w:t>Politique agricole – Elargissement du portefeuille du ministre en charge de l’agriculture.</w:t>
            </w:r>
          </w:hyperlink>
        </w:p>
        <w:p w14:paraId="5241F4F1" w14:textId="136F969B" w:rsidR="00215396" w:rsidRPr="00215396" w:rsidRDefault="00C045B7" w:rsidP="00215396">
          <w:pPr>
            <w:pStyle w:val="TM2"/>
            <w:rPr>
              <w:rFonts w:asciiTheme="minorHAnsi" w:eastAsiaTheme="minorEastAsia" w:hAnsiTheme="minorHAnsi" w:cstheme="minorBidi"/>
              <w:sz w:val="22"/>
              <w:szCs w:val="22"/>
              <w:lang w:eastAsia="fr-FR"/>
            </w:rPr>
          </w:pPr>
          <w:hyperlink w:anchor="_Toc221044221" w:history="1">
            <w:r w:rsidR="00215396" w:rsidRPr="00215396">
              <w:rPr>
                <w:rStyle w:val="Lienhypertexte"/>
              </w:rPr>
              <w:t>Elevage – Le Premier ministre loue l’action de son gouvernement.</w:t>
            </w:r>
          </w:hyperlink>
        </w:p>
        <w:p w14:paraId="475E9CE3" w14:textId="5D55F1F2" w:rsidR="00215396" w:rsidRPr="00215396" w:rsidRDefault="00C045B7" w:rsidP="00215396">
          <w:pPr>
            <w:pStyle w:val="TM2"/>
            <w:rPr>
              <w:rFonts w:asciiTheme="minorHAnsi" w:eastAsiaTheme="minorEastAsia" w:hAnsiTheme="minorHAnsi" w:cstheme="minorBidi"/>
              <w:sz w:val="22"/>
              <w:szCs w:val="22"/>
              <w:lang w:eastAsia="fr-FR"/>
            </w:rPr>
          </w:pPr>
          <w:hyperlink w:anchor="_Toc221044222" w:history="1">
            <w:r w:rsidR="00215396" w:rsidRPr="00215396">
              <w:rPr>
                <w:rStyle w:val="Lienhypertexte"/>
              </w:rPr>
              <w:t>Elevage – Importation de bovins reproducteurs du Brésil.</w:t>
            </w:r>
          </w:hyperlink>
        </w:p>
        <w:p w14:paraId="13B59A6B" w14:textId="52546D29" w:rsidR="00215396" w:rsidRPr="00215396" w:rsidRDefault="00C045B7" w:rsidP="00215396">
          <w:pPr>
            <w:pStyle w:val="TM2"/>
            <w:rPr>
              <w:rFonts w:asciiTheme="minorHAnsi" w:eastAsiaTheme="minorEastAsia" w:hAnsiTheme="minorHAnsi" w:cstheme="minorBidi"/>
              <w:sz w:val="22"/>
              <w:szCs w:val="22"/>
              <w:lang w:eastAsia="fr-FR"/>
            </w:rPr>
          </w:pPr>
          <w:hyperlink w:anchor="_Toc221044223" w:history="1">
            <w:r w:rsidR="00215396" w:rsidRPr="00215396">
              <w:rPr>
                <w:rStyle w:val="Lienhypertexte"/>
              </w:rPr>
              <w:t>Elevage – Construction d’un abattoir.</w:t>
            </w:r>
          </w:hyperlink>
        </w:p>
        <w:p w14:paraId="38F1A834" w14:textId="11827692" w:rsidR="00215396" w:rsidRPr="00215396" w:rsidRDefault="00C045B7" w:rsidP="00215396">
          <w:pPr>
            <w:pStyle w:val="TM2"/>
            <w:rPr>
              <w:rFonts w:asciiTheme="minorHAnsi" w:eastAsiaTheme="minorEastAsia" w:hAnsiTheme="minorHAnsi" w:cstheme="minorBidi"/>
              <w:sz w:val="22"/>
              <w:szCs w:val="22"/>
              <w:lang w:eastAsia="fr-FR"/>
            </w:rPr>
          </w:pPr>
          <w:hyperlink w:anchor="_Toc221044224" w:history="1">
            <w:r w:rsidR="00215396" w:rsidRPr="00215396">
              <w:rPr>
                <w:rStyle w:val="Lienhypertexte"/>
              </w:rPr>
              <w:t>Elevage - Les jihadistes du Jnim tentent d’imposer un blocus autour du marché à bétail de Fada N'Gourma.</w:t>
            </w:r>
          </w:hyperlink>
        </w:p>
        <w:p w14:paraId="29CEA89C" w14:textId="35966835" w:rsidR="00215396" w:rsidRPr="00215396" w:rsidRDefault="00C045B7" w:rsidP="00215396">
          <w:pPr>
            <w:pStyle w:val="TM2"/>
            <w:rPr>
              <w:rFonts w:asciiTheme="minorHAnsi" w:eastAsiaTheme="minorEastAsia" w:hAnsiTheme="minorHAnsi" w:cstheme="minorBidi"/>
              <w:sz w:val="22"/>
              <w:szCs w:val="22"/>
              <w:lang w:eastAsia="fr-FR"/>
            </w:rPr>
          </w:pPr>
          <w:hyperlink w:anchor="_Toc221044225" w:history="1">
            <w:r w:rsidR="00215396" w:rsidRPr="00215396">
              <w:rPr>
                <w:rStyle w:val="Lienhypertexte"/>
              </w:rPr>
              <w:t>Pisciculture – Projet pour la retraite de militaires.</w:t>
            </w:r>
          </w:hyperlink>
        </w:p>
        <w:p w14:paraId="78273AB7" w14:textId="3EDC032A" w:rsidR="00215396" w:rsidRPr="00215396" w:rsidRDefault="00C045B7" w:rsidP="00215396">
          <w:pPr>
            <w:pStyle w:val="TM2"/>
            <w:rPr>
              <w:rFonts w:asciiTheme="minorHAnsi" w:eastAsiaTheme="minorEastAsia" w:hAnsiTheme="minorHAnsi" w:cstheme="minorBidi"/>
              <w:sz w:val="22"/>
              <w:szCs w:val="22"/>
              <w:lang w:eastAsia="fr-FR"/>
            </w:rPr>
          </w:pPr>
          <w:hyperlink w:anchor="_Toc221044226" w:history="1">
            <w:r w:rsidR="00215396" w:rsidRPr="00215396">
              <w:rPr>
                <w:rStyle w:val="Lienhypertexte"/>
              </w:rPr>
              <w:t>Mécanisation – Achat d’équipements sur le budget de l’Etat.</w:t>
            </w:r>
          </w:hyperlink>
        </w:p>
        <w:p w14:paraId="14047AB7" w14:textId="4F75515F" w:rsidR="00215396" w:rsidRPr="00215396" w:rsidRDefault="00C045B7" w:rsidP="00215396">
          <w:pPr>
            <w:pStyle w:val="TM2"/>
            <w:rPr>
              <w:rFonts w:asciiTheme="minorHAnsi" w:eastAsiaTheme="minorEastAsia" w:hAnsiTheme="minorHAnsi" w:cstheme="minorBidi"/>
              <w:sz w:val="22"/>
              <w:szCs w:val="22"/>
              <w:lang w:eastAsia="fr-FR"/>
            </w:rPr>
          </w:pPr>
          <w:hyperlink w:anchor="_Toc221044227" w:history="1">
            <w:r w:rsidR="00215396" w:rsidRPr="00215396">
              <w:rPr>
                <w:rStyle w:val="Lienhypertexte"/>
              </w:rPr>
              <w:t>Formation – Objectif de 8 000 jeunes « VDP agricoles ».</w:t>
            </w:r>
          </w:hyperlink>
        </w:p>
        <w:p w14:paraId="0AE47841" w14:textId="6B3281EE" w:rsidR="00215396" w:rsidRPr="00215396" w:rsidRDefault="00C045B7">
          <w:pPr>
            <w:pStyle w:val="TM1"/>
            <w:rPr>
              <w:rFonts w:asciiTheme="minorHAnsi" w:eastAsiaTheme="minorEastAsia" w:hAnsiTheme="minorHAnsi" w:cstheme="minorBidi"/>
              <w:b w:val="0"/>
              <w:bCs/>
              <w:color w:val="auto"/>
              <w:sz w:val="22"/>
              <w:szCs w:val="22"/>
              <w:lang w:eastAsia="fr-FR"/>
            </w:rPr>
          </w:pPr>
          <w:hyperlink w:anchor="_Toc221044228" w:history="1">
            <w:r w:rsidR="00215396" w:rsidRPr="00215396">
              <w:rPr>
                <w:rStyle w:val="Lienhypertexte"/>
                <w:b w:val="0"/>
                <w:bCs/>
              </w:rPr>
              <w:t>Cap Vert</w:t>
            </w:r>
          </w:hyperlink>
        </w:p>
        <w:p w14:paraId="79E60ACF" w14:textId="6564F3FD" w:rsidR="00215396" w:rsidRPr="00215396" w:rsidRDefault="00C045B7" w:rsidP="00215396">
          <w:pPr>
            <w:pStyle w:val="TM2"/>
            <w:rPr>
              <w:rFonts w:asciiTheme="minorHAnsi" w:eastAsiaTheme="minorEastAsia" w:hAnsiTheme="minorHAnsi" w:cstheme="minorBidi"/>
              <w:sz w:val="22"/>
              <w:szCs w:val="22"/>
              <w:lang w:eastAsia="fr-FR"/>
            </w:rPr>
          </w:pPr>
          <w:hyperlink w:anchor="_Toc221044229" w:history="1">
            <w:r w:rsidR="00215396" w:rsidRPr="00215396">
              <w:rPr>
                <w:rStyle w:val="Lienhypertexte"/>
              </w:rPr>
              <w:t>Irrigation - Financement de 42 M d’escudos.</w:t>
            </w:r>
          </w:hyperlink>
        </w:p>
        <w:p w14:paraId="0939A60E" w14:textId="7A04AD94" w:rsidR="00215396" w:rsidRPr="00215396" w:rsidRDefault="00C045B7" w:rsidP="00215396">
          <w:pPr>
            <w:pStyle w:val="TM2"/>
            <w:rPr>
              <w:rFonts w:asciiTheme="minorHAnsi" w:eastAsiaTheme="minorEastAsia" w:hAnsiTheme="minorHAnsi" w:cstheme="minorBidi"/>
              <w:sz w:val="22"/>
              <w:szCs w:val="22"/>
              <w:lang w:eastAsia="fr-FR"/>
            </w:rPr>
          </w:pPr>
          <w:hyperlink w:anchor="_Toc221044230" w:history="1">
            <w:r w:rsidR="00215396" w:rsidRPr="00215396">
              <w:rPr>
                <w:rStyle w:val="Lienhypertexte"/>
              </w:rPr>
              <w:t>Irrigation – Prêt autrichien.</w:t>
            </w:r>
          </w:hyperlink>
        </w:p>
        <w:p w14:paraId="03A42E7F" w14:textId="0199860A" w:rsidR="00215396" w:rsidRPr="00215396" w:rsidRDefault="00C045B7">
          <w:pPr>
            <w:pStyle w:val="TM1"/>
            <w:rPr>
              <w:rFonts w:asciiTheme="minorHAnsi" w:eastAsiaTheme="minorEastAsia" w:hAnsiTheme="minorHAnsi" w:cstheme="minorBidi"/>
              <w:b w:val="0"/>
              <w:bCs/>
              <w:color w:val="auto"/>
              <w:sz w:val="22"/>
              <w:szCs w:val="22"/>
              <w:lang w:eastAsia="fr-FR"/>
            </w:rPr>
          </w:pPr>
          <w:hyperlink w:anchor="_Toc221044231" w:history="1">
            <w:r w:rsidR="00215396" w:rsidRPr="00215396">
              <w:rPr>
                <w:rStyle w:val="Lienhypertexte"/>
                <w:b w:val="0"/>
                <w:bCs/>
              </w:rPr>
              <w:t>Gambie</w:t>
            </w:r>
          </w:hyperlink>
        </w:p>
        <w:p w14:paraId="4C987595" w14:textId="1BE53C23" w:rsidR="00215396" w:rsidRPr="00215396" w:rsidRDefault="00C045B7" w:rsidP="00215396">
          <w:pPr>
            <w:pStyle w:val="TM2"/>
            <w:rPr>
              <w:rFonts w:asciiTheme="minorHAnsi" w:eastAsiaTheme="minorEastAsia" w:hAnsiTheme="minorHAnsi" w:cstheme="minorBidi"/>
              <w:sz w:val="22"/>
              <w:szCs w:val="22"/>
              <w:lang w:eastAsia="fr-FR"/>
            </w:rPr>
          </w:pPr>
          <w:hyperlink w:anchor="_Toc221044232" w:history="1">
            <w:r w:rsidR="00215396" w:rsidRPr="00215396">
              <w:rPr>
                <w:rStyle w:val="Lienhypertexte"/>
              </w:rPr>
              <w:t>Foncier - Lancement de la première politique foncière.</w:t>
            </w:r>
          </w:hyperlink>
        </w:p>
        <w:p w14:paraId="0FE3BEDB" w14:textId="028DF252" w:rsidR="00215396" w:rsidRPr="00215396" w:rsidRDefault="00C045B7" w:rsidP="00215396">
          <w:pPr>
            <w:pStyle w:val="TM2"/>
            <w:rPr>
              <w:rFonts w:asciiTheme="minorHAnsi" w:eastAsiaTheme="minorEastAsia" w:hAnsiTheme="minorHAnsi" w:cstheme="minorBidi"/>
              <w:sz w:val="22"/>
              <w:szCs w:val="22"/>
              <w:lang w:eastAsia="fr-FR"/>
            </w:rPr>
          </w:pPr>
          <w:hyperlink w:anchor="_Toc221044233" w:history="1">
            <w:r w:rsidR="00215396" w:rsidRPr="00215396">
              <w:rPr>
                <w:rStyle w:val="Lienhypertexte"/>
              </w:rPr>
              <w:t>Arachide – Solide performance du secteur pour la campagne 2025/2026.</w:t>
            </w:r>
          </w:hyperlink>
        </w:p>
        <w:p w14:paraId="2F1D965A" w14:textId="05DB561A" w:rsidR="00215396" w:rsidRPr="00215396" w:rsidRDefault="00C045B7" w:rsidP="00215396">
          <w:pPr>
            <w:pStyle w:val="TM2"/>
            <w:rPr>
              <w:rFonts w:asciiTheme="minorHAnsi" w:eastAsiaTheme="minorEastAsia" w:hAnsiTheme="minorHAnsi" w:cstheme="minorBidi"/>
              <w:sz w:val="22"/>
              <w:szCs w:val="22"/>
              <w:lang w:eastAsia="fr-FR"/>
            </w:rPr>
          </w:pPr>
          <w:hyperlink w:anchor="_Toc221044234" w:history="1">
            <w:r w:rsidR="00215396" w:rsidRPr="00215396">
              <w:rPr>
                <w:rStyle w:val="Lienhypertexte"/>
              </w:rPr>
              <w:t>Arachide - 16 entreprises agréées pour exporter en Chine.</w:t>
            </w:r>
          </w:hyperlink>
        </w:p>
        <w:p w14:paraId="1D1DB66A" w14:textId="19EEBCBA" w:rsidR="00215396" w:rsidRPr="00215396" w:rsidRDefault="00C045B7">
          <w:pPr>
            <w:pStyle w:val="TM1"/>
            <w:rPr>
              <w:rFonts w:asciiTheme="minorHAnsi" w:eastAsiaTheme="minorEastAsia" w:hAnsiTheme="minorHAnsi" w:cstheme="minorBidi"/>
              <w:b w:val="0"/>
              <w:bCs/>
              <w:color w:val="auto"/>
              <w:sz w:val="22"/>
              <w:szCs w:val="22"/>
              <w:lang w:eastAsia="fr-FR"/>
            </w:rPr>
          </w:pPr>
          <w:hyperlink w:anchor="_Toc221044235" w:history="1">
            <w:r w:rsidR="00215396" w:rsidRPr="00215396">
              <w:rPr>
                <w:rStyle w:val="Lienhypertexte"/>
                <w:b w:val="0"/>
                <w:bCs/>
              </w:rPr>
              <w:t>Guinée</w:t>
            </w:r>
          </w:hyperlink>
        </w:p>
        <w:p w14:paraId="17EBD16F" w14:textId="609C385D" w:rsidR="00215396" w:rsidRPr="00215396" w:rsidRDefault="00C045B7" w:rsidP="00215396">
          <w:pPr>
            <w:pStyle w:val="TM2"/>
            <w:rPr>
              <w:rFonts w:asciiTheme="minorHAnsi" w:eastAsiaTheme="minorEastAsia" w:hAnsiTheme="minorHAnsi" w:cstheme="minorBidi"/>
              <w:sz w:val="22"/>
              <w:szCs w:val="22"/>
              <w:lang w:eastAsia="fr-FR"/>
            </w:rPr>
          </w:pPr>
          <w:hyperlink w:anchor="_Toc221044236" w:history="1">
            <w:r w:rsidR="00215396" w:rsidRPr="00215396">
              <w:rPr>
                <w:rStyle w:val="Lienhypertexte"/>
              </w:rPr>
              <w:t>Politique - Remaniement ministériel.</w:t>
            </w:r>
          </w:hyperlink>
        </w:p>
        <w:p w14:paraId="4CCE4965" w14:textId="6A44D44A" w:rsidR="00215396" w:rsidRPr="00215396" w:rsidRDefault="00C045B7" w:rsidP="00215396">
          <w:pPr>
            <w:pStyle w:val="TM2"/>
            <w:rPr>
              <w:rFonts w:asciiTheme="minorHAnsi" w:eastAsiaTheme="minorEastAsia" w:hAnsiTheme="minorHAnsi" w:cstheme="minorBidi"/>
              <w:sz w:val="22"/>
              <w:szCs w:val="22"/>
              <w:lang w:eastAsia="fr-FR"/>
            </w:rPr>
          </w:pPr>
          <w:hyperlink w:anchor="_Toc221044237" w:history="1">
            <w:r w:rsidR="00215396" w:rsidRPr="00215396">
              <w:rPr>
                <w:rStyle w:val="Lienhypertexte"/>
              </w:rPr>
              <w:t>Hévéa et palmier à huile – Relance de la Société guinéenne de palmiers à huile et d’hévéa (SOGUIPAH).</w:t>
            </w:r>
          </w:hyperlink>
        </w:p>
        <w:p w14:paraId="20E278C4" w14:textId="6F31160C" w:rsidR="00215396" w:rsidRPr="00215396" w:rsidRDefault="00C045B7" w:rsidP="00215396">
          <w:pPr>
            <w:pStyle w:val="TM2"/>
            <w:rPr>
              <w:rFonts w:asciiTheme="minorHAnsi" w:eastAsiaTheme="minorEastAsia" w:hAnsiTheme="minorHAnsi" w:cstheme="minorBidi"/>
              <w:sz w:val="22"/>
              <w:szCs w:val="22"/>
              <w:lang w:eastAsia="fr-FR"/>
            </w:rPr>
          </w:pPr>
          <w:hyperlink w:anchor="_Toc221044238" w:history="1">
            <w:r w:rsidR="00215396" w:rsidRPr="00215396">
              <w:rPr>
                <w:rStyle w:val="Lienhypertexte"/>
              </w:rPr>
              <w:t>Volaille - L’Agence française de développement (AFD) renforce les capacités des Directions préfectorales de l’élevage.</w:t>
            </w:r>
          </w:hyperlink>
        </w:p>
        <w:p w14:paraId="2B3FBF36" w14:textId="12EF71F7" w:rsidR="00215396" w:rsidRPr="00215396" w:rsidRDefault="00C045B7" w:rsidP="00215396">
          <w:pPr>
            <w:pStyle w:val="TM2"/>
            <w:rPr>
              <w:rFonts w:asciiTheme="minorHAnsi" w:eastAsiaTheme="minorEastAsia" w:hAnsiTheme="minorHAnsi" w:cstheme="minorBidi"/>
              <w:sz w:val="22"/>
              <w:szCs w:val="22"/>
              <w:lang w:eastAsia="fr-FR"/>
            </w:rPr>
          </w:pPr>
          <w:hyperlink w:anchor="_Toc221044239" w:history="1">
            <w:r w:rsidR="00215396" w:rsidRPr="00215396">
              <w:rPr>
                <w:rStyle w:val="Lienhypertexte"/>
              </w:rPr>
              <w:t>Volaille - Le Société nouvelle de commerce (SONOCO) souhaite obtenir un prêt de la Société financière internationale (SFI).</w:t>
            </w:r>
          </w:hyperlink>
        </w:p>
        <w:p w14:paraId="47974373" w14:textId="5095989B" w:rsidR="00215396" w:rsidRPr="00215396" w:rsidRDefault="00C045B7">
          <w:pPr>
            <w:pStyle w:val="TM1"/>
            <w:rPr>
              <w:rFonts w:asciiTheme="minorHAnsi" w:eastAsiaTheme="minorEastAsia" w:hAnsiTheme="minorHAnsi" w:cstheme="minorBidi"/>
              <w:b w:val="0"/>
              <w:bCs/>
              <w:color w:val="auto"/>
              <w:sz w:val="22"/>
              <w:szCs w:val="22"/>
              <w:lang w:eastAsia="fr-FR"/>
            </w:rPr>
          </w:pPr>
          <w:hyperlink w:anchor="_Toc221044240" w:history="1">
            <w:r w:rsidR="00215396" w:rsidRPr="00215396">
              <w:rPr>
                <w:rStyle w:val="Lienhypertexte"/>
                <w:b w:val="0"/>
                <w:bCs/>
              </w:rPr>
              <w:t>Guinée Bissau</w:t>
            </w:r>
          </w:hyperlink>
        </w:p>
        <w:p w14:paraId="11035B89" w14:textId="730865FF" w:rsidR="00215396" w:rsidRPr="00215396" w:rsidRDefault="00C045B7" w:rsidP="00215396">
          <w:pPr>
            <w:pStyle w:val="TM2"/>
            <w:rPr>
              <w:rFonts w:asciiTheme="minorHAnsi" w:eastAsiaTheme="minorEastAsia" w:hAnsiTheme="minorHAnsi" w:cstheme="minorBidi"/>
              <w:sz w:val="22"/>
              <w:szCs w:val="22"/>
              <w:lang w:eastAsia="fr-FR"/>
            </w:rPr>
          </w:pPr>
          <w:hyperlink w:anchor="_Toc221044241" w:history="1">
            <w:r w:rsidR="00215396" w:rsidRPr="00215396">
              <w:rPr>
                <w:rStyle w:val="Lienhypertexte"/>
              </w:rPr>
              <w:t>Pêche - Interpellation de pirogues sénégalaises en situation d’infraction.</w:t>
            </w:r>
          </w:hyperlink>
        </w:p>
        <w:p w14:paraId="48DB588E" w14:textId="74F4206F" w:rsidR="00215396" w:rsidRPr="00215396" w:rsidRDefault="00C045B7">
          <w:pPr>
            <w:pStyle w:val="TM1"/>
            <w:rPr>
              <w:rFonts w:asciiTheme="minorHAnsi" w:eastAsiaTheme="minorEastAsia" w:hAnsiTheme="minorHAnsi" w:cstheme="minorBidi"/>
              <w:b w:val="0"/>
              <w:bCs/>
              <w:color w:val="auto"/>
              <w:sz w:val="22"/>
              <w:szCs w:val="22"/>
              <w:lang w:eastAsia="fr-FR"/>
            </w:rPr>
          </w:pPr>
          <w:hyperlink w:anchor="_Toc221044242" w:history="1">
            <w:r w:rsidR="00215396" w:rsidRPr="00215396">
              <w:rPr>
                <w:rStyle w:val="Lienhypertexte"/>
                <w:b w:val="0"/>
                <w:bCs/>
              </w:rPr>
              <w:t>Libéria</w:t>
            </w:r>
          </w:hyperlink>
        </w:p>
        <w:p w14:paraId="21E12BDC" w14:textId="49BCACAF" w:rsidR="00215396" w:rsidRPr="00215396" w:rsidRDefault="00C045B7" w:rsidP="00215396">
          <w:pPr>
            <w:pStyle w:val="TM2"/>
            <w:rPr>
              <w:rFonts w:asciiTheme="minorHAnsi" w:eastAsiaTheme="minorEastAsia" w:hAnsiTheme="minorHAnsi" w:cstheme="minorBidi"/>
              <w:sz w:val="22"/>
              <w:szCs w:val="22"/>
              <w:lang w:eastAsia="fr-FR"/>
            </w:rPr>
          </w:pPr>
          <w:hyperlink w:anchor="_Toc221044243" w:history="1">
            <w:r w:rsidR="00215396" w:rsidRPr="00215396">
              <w:rPr>
                <w:rStyle w:val="Lienhypertexte"/>
              </w:rPr>
              <w:t>Sécurité alimentaire - Le Libéria appelle à une coopération mondiale équitable au Forum de Berlin pour l’alimentation et l’agriculture (GFFA).</w:t>
            </w:r>
          </w:hyperlink>
        </w:p>
        <w:p w14:paraId="565C5C74" w14:textId="4A50BAE5" w:rsidR="00215396" w:rsidRPr="00215396" w:rsidRDefault="00C045B7" w:rsidP="00215396">
          <w:pPr>
            <w:pStyle w:val="TM2"/>
            <w:rPr>
              <w:rFonts w:asciiTheme="minorHAnsi" w:eastAsiaTheme="minorEastAsia" w:hAnsiTheme="minorHAnsi" w:cstheme="minorBidi"/>
              <w:sz w:val="22"/>
              <w:szCs w:val="22"/>
              <w:lang w:eastAsia="fr-FR"/>
            </w:rPr>
          </w:pPr>
          <w:hyperlink w:anchor="_Toc221044244" w:history="1">
            <w:r w:rsidR="00215396" w:rsidRPr="00215396">
              <w:rPr>
                <w:rStyle w:val="Lienhypertexte"/>
              </w:rPr>
              <w:t>Riz - Important plan d’investissement dans la production et la transformation du riz.</w:t>
            </w:r>
          </w:hyperlink>
        </w:p>
        <w:p w14:paraId="3053BD8F" w14:textId="33079BEF" w:rsidR="00215396" w:rsidRPr="00215396" w:rsidRDefault="00C045B7" w:rsidP="00215396">
          <w:pPr>
            <w:pStyle w:val="TM2"/>
            <w:rPr>
              <w:rFonts w:asciiTheme="minorHAnsi" w:eastAsiaTheme="minorEastAsia" w:hAnsiTheme="minorHAnsi" w:cstheme="minorBidi"/>
              <w:sz w:val="22"/>
              <w:szCs w:val="22"/>
              <w:lang w:eastAsia="fr-FR"/>
            </w:rPr>
          </w:pPr>
          <w:hyperlink w:anchor="_Toc221044245" w:history="1">
            <w:r w:rsidR="00215396" w:rsidRPr="00215396">
              <w:rPr>
                <w:rStyle w:val="Lienhypertexte"/>
              </w:rPr>
              <w:t>Pêche – Signature d’un accord de 25 M EUR avec l’Union européenne.</w:t>
            </w:r>
          </w:hyperlink>
        </w:p>
        <w:p w14:paraId="179BF49D" w14:textId="07F66641" w:rsidR="00215396" w:rsidRPr="00215396" w:rsidRDefault="00C045B7" w:rsidP="00215396">
          <w:pPr>
            <w:pStyle w:val="TM2"/>
            <w:rPr>
              <w:rFonts w:asciiTheme="minorHAnsi" w:eastAsiaTheme="minorEastAsia" w:hAnsiTheme="minorHAnsi" w:cstheme="minorBidi"/>
              <w:sz w:val="22"/>
              <w:szCs w:val="22"/>
              <w:lang w:eastAsia="fr-FR"/>
            </w:rPr>
          </w:pPr>
          <w:hyperlink w:anchor="_Toc221044246" w:history="1">
            <w:r w:rsidR="00215396" w:rsidRPr="00215396">
              <w:rPr>
                <w:rStyle w:val="Lienhypertexte"/>
              </w:rPr>
              <w:t>Santé animale – Campagne de vaccination contre la rage.</w:t>
            </w:r>
          </w:hyperlink>
        </w:p>
        <w:p w14:paraId="5503E075" w14:textId="09BBD2CD" w:rsidR="00215396" w:rsidRPr="00215396" w:rsidRDefault="00C045B7" w:rsidP="00215396">
          <w:pPr>
            <w:pStyle w:val="TM2"/>
            <w:rPr>
              <w:rFonts w:asciiTheme="minorHAnsi" w:eastAsiaTheme="minorEastAsia" w:hAnsiTheme="minorHAnsi" w:cstheme="minorBidi"/>
              <w:sz w:val="22"/>
              <w:szCs w:val="22"/>
              <w:lang w:eastAsia="fr-FR"/>
            </w:rPr>
          </w:pPr>
          <w:hyperlink w:anchor="_Toc221044247" w:history="1">
            <w:r w:rsidR="00215396" w:rsidRPr="00215396">
              <w:rPr>
                <w:rStyle w:val="Lienhypertexte"/>
              </w:rPr>
              <w:t>Infrastructures - Rénovation des installations de marchés pour stimuler le commerce rural et la transformation agricole.</w:t>
            </w:r>
          </w:hyperlink>
        </w:p>
        <w:p w14:paraId="10C6D5E7" w14:textId="66FF2C98" w:rsidR="00215396" w:rsidRPr="00215396" w:rsidRDefault="00C045B7" w:rsidP="00215396">
          <w:pPr>
            <w:pStyle w:val="TM2"/>
            <w:rPr>
              <w:rFonts w:asciiTheme="minorHAnsi" w:eastAsiaTheme="minorEastAsia" w:hAnsiTheme="minorHAnsi" w:cstheme="minorBidi"/>
              <w:sz w:val="22"/>
              <w:szCs w:val="22"/>
              <w:lang w:eastAsia="fr-FR"/>
            </w:rPr>
          </w:pPr>
          <w:hyperlink w:anchor="_Toc221044248" w:history="1">
            <w:r w:rsidR="00215396" w:rsidRPr="00215396">
              <w:rPr>
                <w:rStyle w:val="Lienhypertexte"/>
              </w:rPr>
              <w:t>Infrastructures - Importants travaux routiers de désenclavement de deux comtés agricoles.</w:t>
            </w:r>
          </w:hyperlink>
        </w:p>
        <w:p w14:paraId="3708B9E3" w14:textId="5C67B8CF" w:rsidR="00215396" w:rsidRPr="00215396" w:rsidRDefault="00C045B7">
          <w:pPr>
            <w:pStyle w:val="TM1"/>
            <w:rPr>
              <w:rFonts w:asciiTheme="minorHAnsi" w:eastAsiaTheme="minorEastAsia" w:hAnsiTheme="minorHAnsi" w:cstheme="minorBidi"/>
              <w:b w:val="0"/>
              <w:bCs/>
              <w:color w:val="auto"/>
              <w:sz w:val="22"/>
              <w:szCs w:val="22"/>
              <w:lang w:eastAsia="fr-FR"/>
            </w:rPr>
          </w:pPr>
          <w:hyperlink w:anchor="_Toc221044249" w:history="1">
            <w:r w:rsidR="00215396" w:rsidRPr="00215396">
              <w:rPr>
                <w:rStyle w:val="Lienhypertexte"/>
                <w:b w:val="0"/>
                <w:bCs/>
              </w:rPr>
              <w:t>Mali</w:t>
            </w:r>
          </w:hyperlink>
        </w:p>
        <w:p w14:paraId="64D0116E" w14:textId="69A13B4A" w:rsidR="00215396" w:rsidRPr="00215396" w:rsidRDefault="00C045B7" w:rsidP="00215396">
          <w:pPr>
            <w:pStyle w:val="TM2"/>
            <w:rPr>
              <w:rFonts w:asciiTheme="minorHAnsi" w:eastAsiaTheme="minorEastAsia" w:hAnsiTheme="minorHAnsi" w:cstheme="minorBidi"/>
              <w:sz w:val="22"/>
              <w:szCs w:val="22"/>
              <w:lang w:eastAsia="fr-FR"/>
            </w:rPr>
          </w:pPr>
          <w:hyperlink w:anchor="_Toc221044250" w:history="1">
            <w:r w:rsidR="00215396" w:rsidRPr="00215396">
              <w:rPr>
                <w:rStyle w:val="Lienhypertexte"/>
              </w:rPr>
              <w:t>Riz – Nomination d’un nouveau directeur de l’Office du Niger.</w:t>
            </w:r>
          </w:hyperlink>
        </w:p>
        <w:p w14:paraId="1D398C3E" w14:textId="7F365BA4" w:rsidR="00215396" w:rsidRPr="00215396" w:rsidRDefault="00C045B7">
          <w:pPr>
            <w:pStyle w:val="TM1"/>
            <w:rPr>
              <w:rFonts w:asciiTheme="minorHAnsi" w:eastAsiaTheme="minorEastAsia" w:hAnsiTheme="minorHAnsi" w:cstheme="minorBidi"/>
              <w:b w:val="0"/>
              <w:bCs/>
              <w:color w:val="auto"/>
              <w:sz w:val="22"/>
              <w:szCs w:val="22"/>
              <w:lang w:eastAsia="fr-FR"/>
            </w:rPr>
          </w:pPr>
          <w:hyperlink w:anchor="_Toc221044251" w:history="1">
            <w:r w:rsidR="00215396" w:rsidRPr="00215396">
              <w:rPr>
                <w:rStyle w:val="Lienhypertexte"/>
                <w:b w:val="0"/>
                <w:bCs/>
              </w:rPr>
              <w:t>Mauritanie</w:t>
            </w:r>
          </w:hyperlink>
        </w:p>
        <w:p w14:paraId="43C5F3D9" w14:textId="7296CEF3" w:rsidR="00215396" w:rsidRPr="00215396" w:rsidRDefault="00C045B7" w:rsidP="00215396">
          <w:pPr>
            <w:pStyle w:val="TM2"/>
            <w:rPr>
              <w:rFonts w:asciiTheme="minorHAnsi" w:eastAsiaTheme="minorEastAsia" w:hAnsiTheme="minorHAnsi" w:cstheme="minorBidi"/>
              <w:sz w:val="22"/>
              <w:szCs w:val="22"/>
              <w:lang w:eastAsia="fr-FR"/>
            </w:rPr>
          </w:pPr>
          <w:hyperlink w:anchor="_Toc221044252" w:history="1">
            <w:r w:rsidR="00215396" w:rsidRPr="00215396">
              <w:rPr>
                <w:rStyle w:val="Lienhypertexte"/>
              </w:rPr>
              <w:t>Agriculture et agroalimentaire – Note sur le secteur.</w:t>
            </w:r>
          </w:hyperlink>
        </w:p>
        <w:p w14:paraId="1C28B70F" w14:textId="529A1D03" w:rsidR="00215396" w:rsidRPr="00215396" w:rsidRDefault="00C045B7" w:rsidP="00215396">
          <w:pPr>
            <w:pStyle w:val="TM2"/>
            <w:rPr>
              <w:rFonts w:asciiTheme="minorHAnsi" w:eastAsiaTheme="minorEastAsia" w:hAnsiTheme="minorHAnsi" w:cstheme="minorBidi"/>
              <w:sz w:val="22"/>
              <w:szCs w:val="22"/>
              <w:lang w:eastAsia="fr-FR"/>
            </w:rPr>
          </w:pPr>
          <w:hyperlink w:anchor="_Toc221044253" w:history="1">
            <w:r w:rsidR="00215396" w:rsidRPr="00215396">
              <w:rPr>
                <w:rStyle w:val="Lienhypertexte"/>
              </w:rPr>
              <w:t>Sécurité alimentaire – Le premier ministre assure que l’autosuffisance dans le domaine agricole sera atteinte en 2027 au plus tard.</w:t>
            </w:r>
          </w:hyperlink>
        </w:p>
        <w:p w14:paraId="61036B27" w14:textId="304EDF43" w:rsidR="00215396" w:rsidRPr="00215396" w:rsidRDefault="00C045B7" w:rsidP="00215396">
          <w:pPr>
            <w:pStyle w:val="TM2"/>
            <w:rPr>
              <w:rFonts w:asciiTheme="minorHAnsi" w:eastAsiaTheme="minorEastAsia" w:hAnsiTheme="minorHAnsi" w:cstheme="minorBidi"/>
              <w:sz w:val="22"/>
              <w:szCs w:val="22"/>
              <w:lang w:eastAsia="fr-FR"/>
            </w:rPr>
          </w:pPr>
          <w:hyperlink w:anchor="_Toc221044254" w:history="1">
            <w:r w:rsidR="00215396" w:rsidRPr="00215396">
              <w:rPr>
                <w:rStyle w:val="Lienhypertexte"/>
                <w:rFonts w:cs="Calibri"/>
              </w:rPr>
              <w:t>Pêche – Le secteur en plein redressement.</w:t>
            </w:r>
          </w:hyperlink>
        </w:p>
        <w:p w14:paraId="5B32938E" w14:textId="5D0F97F5" w:rsidR="00215396" w:rsidRPr="00215396" w:rsidRDefault="00C045B7" w:rsidP="00215396">
          <w:pPr>
            <w:pStyle w:val="TM2"/>
            <w:rPr>
              <w:rFonts w:asciiTheme="minorHAnsi" w:eastAsiaTheme="minorEastAsia" w:hAnsiTheme="minorHAnsi" w:cstheme="minorBidi"/>
              <w:sz w:val="22"/>
              <w:szCs w:val="22"/>
              <w:lang w:eastAsia="fr-FR"/>
            </w:rPr>
          </w:pPr>
          <w:hyperlink w:anchor="_Toc221044255" w:history="1">
            <w:r w:rsidR="00215396" w:rsidRPr="00215396">
              <w:rPr>
                <w:rStyle w:val="Lienhypertexte"/>
                <w:rFonts w:cs="Calibri"/>
              </w:rPr>
              <w:t xml:space="preserve">Pêche – La Mauritanie obtient le « certificat de pays conforme » de </w:t>
            </w:r>
            <w:r w:rsidR="00215396" w:rsidRPr="00215396">
              <w:rPr>
                <w:rStyle w:val="Lienhypertexte"/>
                <w:rFonts w:cs="Calibri"/>
                <w:i/>
                <w:iCs/>
              </w:rPr>
              <w:t>Fisheries Transparency Initiative</w:t>
            </w:r>
            <w:r w:rsidR="00215396" w:rsidRPr="00215396">
              <w:rPr>
                <w:rStyle w:val="Lienhypertexte"/>
                <w:rFonts w:cs="Calibri"/>
              </w:rPr>
              <w:t xml:space="preserve"> (FiTi).</w:t>
            </w:r>
          </w:hyperlink>
        </w:p>
        <w:p w14:paraId="3E538700" w14:textId="161E79EF" w:rsidR="00215396" w:rsidRPr="00215396" w:rsidRDefault="00C045B7" w:rsidP="00215396">
          <w:pPr>
            <w:pStyle w:val="TM2"/>
            <w:rPr>
              <w:rFonts w:asciiTheme="minorHAnsi" w:eastAsiaTheme="minorEastAsia" w:hAnsiTheme="minorHAnsi" w:cstheme="minorBidi"/>
              <w:sz w:val="22"/>
              <w:szCs w:val="22"/>
              <w:lang w:eastAsia="fr-FR"/>
            </w:rPr>
          </w:pPr>
          <w:hyperlink w:anchor="_Toc221044256" w:history="1">
            <w:r w:rsidR="00215396" w:rsidRPr="00215396">
              <w:rPr>
                <w:rStyle w:val="Lienhypertexte"/>
                <w:rFonts w:cs="Calibri"/>
              </w:rPr>
              <w:t>Pêche – Nouvelle usine de valorisation des produits de la pêche.</w:t>
            </w:r>
          </w:hyperlink>
        </w:p>
        <w:p w14:paraId="256EF1BB" w14:textId="55B47812" w:rsidR="00215396" w:rsidRPr="00215396" w:rsidRDefault="00C045B7" w:rsidP="00215396">
          <w:pPr>
            <w:pStyle w:val="TM2"/>
            <w:rPr>
              <w:rFonts w:asciiTheme="minorHAnsi" w:eastAsiaTheme="minorEastAsia" w:hAnsiTheme="minorHAnsi" w:cstheme="minorBidi"/>
              <w:sz w:val="22"/>
              <w:szCs w:val="22"/>
              <w:lang w:eastAsia="fr-FR"/>
            </w:rPr>
          </w:pPr>
          <w:hyperlink w:anchor="_Toc221044257" w:history="1">
            <w:r w:rsidR="00215396" w:rsidRPr="00215396">
              <w:rPr>
                <w:rStyle w:val="Lienhypertexte"/>
                <w:rFonts w:cs="Calibri"/>
              </w:rPr>
              <w:t>Pêche – Lancement des travaux de la commission mixte de l’accord de partenariat dans le secteur de la pêche entre la République islamique de Mauritanie et l’Union européenne.</w:t>
            </w:r>
          </w:hyperlink>
        </w:p>
        <w:p w14:paraId="2C3C4789" w14:textId="512648A1" w:rsidR="00215396" w:rsidRPr="00215396" w:rsidRDefault="00C045B7" w:rsidP="00215396">
          <w:pPr>
            <w:pStyle w:val="TM2"/>
            <w:rPr>
              <w:rFonts w:asciiTheme="minorHAnsi" w:eastAsiaTheme="minorEastAsia" w:hAnsiTheme="minorHAnsi" w:cstheme="minorBidi"/>
              <w:sz w:val="22"/>
              <w:szCs w:val="22"/>
              <w:lang w:eastAsia="fr-FR"/>
            </w:rPr>
          </w:pPr>
          <w:hyperlink w:anchor="_Toc221044258" w:history="1">
            <w:r w:rsidR="00215396" w:rsidRPr="00215396">
              <w:rPr>
                <w:rStyle w:val="Lienhypertexte"/>
              </w:rPr>
              <w:t>Pêche – Retour du « Monstre des mers » dans les eaux mauritaniennes.</w:t>
            </w:r>
          </w:hyperlink>
        </w:p>
        <w:p w14:paraId="1F9119E1" w14:textId="27F47584" w:rsidR="00215396" w:rsidRPr="00215396" w:rsidRDefault="00C045B7" w:rsidP="00215396">
          <w:pPr>
            <w:pStyle w:val="TM2"/>
            <w:rPr>
              <w:rFonts w:asciiTheme="minorHAnsi" w:eastAsiaTheme="minorEastAsia" w:hAnsiTheme="minorHAnsi" w:cstheme="minorBidi"/>
              <w:sz w:val="22"/>
              <w:szCs w:val="22"/>
              <w:lang w:eastAsia="fr-FR"/>
            </w:rPr>
          </w:pPr>
          <w:hyperlink w:anchor="_Toc221044259" w:history="1">
            <w:r w:rsidR="00215396" w:rsidRPr="00215396">
              <w:rPr>
                <w:rStyle w:val="Lienhypertexte"/>
              </w:rPr>
              <w:t>Dattes - 16 000 tonnes de production dans les oasis d’Adrar.</w:t>
            </w:r>
          </w:hyperlink>
        </w:p>
        <w:p w14:paraId="1C9A8EAD" w14:textId="6F233B1C" w:rsidR="00215396" w:rsidRPr="00215396" w:rsidRDefault="00C045B7" w:rsidP="00215396">
          <w:pPr>
            <w:pStyle w:val="TM2"/>
            <w:rPr>
              <w:rFonts w:asciiTheme="minorHAnsi" w:eastAsiaTheme="minorEastAsia" w:hAnsiTheme="minorHAnsi" w:cstheme="minorBidi"/>
              <w:sz w:val="22"/>
              <w:szCs w:val="22"/>
              <w:lang w:eastAsia="fr-FR"/>
            </w:rPr>
          </w:pPr>
          <w:hyperlink w:anchor="_Toc221044260" w:history="1">
            <w:r w:rsidR="00215396" w:rsidRPr="00215396">
              <w:rPr>
                <w:rStyle w:val="Lienhypertexte"/>
              </w:rPr>
              <w:t>Formation – Deux accords entre la Mauritanie et le Maroc pour développer les formations en agriculture et médecine vétérinaire.</w:t>
            </w:r>
          </w:hyperlink>
        </w:p>
        <w:p w14:paraId="706056B1" w14:textId="45E809AD" w:rsidR="00215396" w:rsidRPr="00215396" w:rsidRDefault="00C045B7" w:rsidP="00215396">
          <w:pPr>
            <w:pStyle w:val="TM2"/>
            <w:rPr>
              <w:rFonts w:asciiTheme="minorHAnsi" w:eastAsiaTheme="minorEastAsia" w:hAnsiTheme="minorHAnsi" w:cstheme="minorBidi"/>
              <w:sz w:val="22"/>
              <w:szCs w:val="22"/>
              <w:lang w:eastAsia="fr-FR"/>
            </w:rPr>
          </w:pPr>
          <w:hyperlink w:anchor="_Toc221044261" w:history="1">
            <w:r w:rsidR="00215396" w:rsidRPr="00215396">
              <w:rPr>
                <w:rStyle w:val="Lienhypertexte"/>
              </w:rPr>
              <w:t>Coopération bilatérale – Résultats encourageants d’un mini-projet de la coopération allemande.</w:t>
            </w:r>
          </w:hyperlink>
        </w:p>
        <w:p w14:paraId="3AEAA7F5" w14:textId="235286A7" w:rsidR="00215396" w:rsidRPr="00215396" w:rsidRDefault="00C045B7" w:rsidP="00215396">
          <w:pPr>
            <w:pStyle w:val="TM2"/>
            <w:rPr>
              <w:rFonts w:asciiTheme="minorHAnsi" w:eastAsiaTheme="minorEastAsia" w:hAnsiTheme="minorHAnsi" w:cstheme="minorBidi"/>
              <w:sz w:val="22"/>
              <w:szCs w:val="22"/>
              <w:lang w:eastAsia="fr-FR"/>
            </w:rPr>
          </w:pPr>
          <w:hyperlink w:anchor="_Toc221044262" w:history="1">
            <w:r w:rsidR="00215396" w:rsidRPr="00215396">
              <w:rPr>
                <w:rStyle w:val="Lienhypertexte"/>
              </w:rPr>
              <w:t>Evènement - Nouakchott va accueillir la conférence régionale de l’Organisation des Nations unies (FAO) pour l’alimentation et l’agriculture du 13 au 17 avril.</w:t>
            </w:r>
          </w:hyperlink>
        </w:p>
        <w:p w14:paraId="573A2BF5" w14:textId="383DF586" w:rsidR="00215396" w:rsidRPr="00215396" w:rsidRDefault="00C045B7">
          <w:pPr>
            <w:pStyle w:val="TM1"/>
            <w:rPr>
              <w:rFonts w:asciiTheme="minorHAnsi" w:eastAsiaTheme="minorEastAsia" w:hAnsiTheme="minorHAnsi" w:cstheme="minorBidi"/>
              <w:b w:val="0"/>
              <w:bCs/>
              <w:color w:val="auto"/>
              <w:sz w:val="22"/>
              <w:szCs w:val="22"/>
              <w:lang w:eastAsia="fr-FR"/>
            </w:rPr>
          </w:pPr>
          <w:hyperlink w:anchor="_Toc221044263" w:history="1">
            <w:r w:rsidR="00215396" w:rsidRPr="00215396">
              <w:rPr>
                <w:rStyle w:val="Lienhypertexte"/>
                <w:b w:val="0"/>
                <w:bCs/>
              </w:rPr>
              <w:t>Togo</w:t>
            </w:r>
          </w:hyperlink>
        </w:p>
        <w:p w14:paraId="6DB53A8E" w14:textId="07D276F2" w:rsidR="00215396" w:rsidRPr="00215396" w:rsidRDefault="00C045B7" w:rsidP="00215396">
          <w:pPr>
            <w:pStyle w:val="TM2"/>
            <w:rPr>
              <w:rFonts w:asciiTheme="minorHAnsi" w:eastAsiaTheme="minorEastAsia" w:hAnsiTheme="minorHAnsi" w:cstheme="minorBidi"/>
              <w:sz w:val="22"/>
              <w:szCs w:val="22"/>
              <w:lang w:eastAsia="fr-FR"/>
            </w:rPr>
          </w:pPr>
          <w:hyperlink w:anchor="_Toc221044264" w:history="1">
            <w:r w:rsidR="00215396" w:rsidRPr="00215396">
              <w:rPr>
                <w:rStyle w:val="Lienhypertexte"/>
              </w:rPr>
              <w:t>Politique agricole – Développement de zones d’aménagement agricoles planifiées (ZAAP) d’excellence.</w:t>
            </w:r>
          </w:hyperlink>
        </w:p>
        <w:p w14:paraId="5C9450A5" w14:textId="4F11B8D4" w:rsidR="00215396" w:rsidRPr="00215396" w:rsidRDefault="00C045B7" w:rsidP="00215396">
          <w:pPr>
            <w:pStyle w:val="TM2"/>
            <w:rPr>
              <w:rFonts w:asciiTheme="minorHAnsi" w:eastAsiaTheme="minorEastAsia" w:hAnsiTheme="minorHAnsi" w:cstheme="minorBidi"/>
              <w:sz w:val="22"/>
              <w:szCs w:val="22"/>
              <w:lang w:eastAsia="fr-FR"/>
            </w:rPr>
          </w:pPr>
          <w:hyperlink w:anchor="_Toc221044265" w:history="1">
            <w:r w:rsidR="00215396" w:rsidRPr="00215396">
              <w:rPr>
                <w:rStyle w:val="Lienhypertexte"/>
              </w:rPr>
              <w:t>Sécurité alimentaire – Résultats probants du Programme de résilience du système alimentaire en Afrique de l'Ouest (FSRP-Togo).</w:t>
            </w:r>
          </w:hyperlink>
        </w:p>
        <w:p w14:paraId="40E6BBE8" w14:textId="0C78B726" w:rsidR="00215396" w:rsidRPr="00215396" w:rsidRDefault="00C045B7" w:rsidP="00215396">
          <w:pPr>
            <w:pStyle w:val="TM2"/>
            <w:rPr>
              <w:rFonts w:asciiTheme="minorHAnsi" w:eastAsiaTheme="minorEastAsia" w:hAnsiTheme="minorHAnsi" w:cstheme="minorBidi"/>
              <w:sz w:val="22"/>
              <w:szCs w:val="22"/>
              <w:lang w:eastAsia="fr-FR"/>
            </w:rPr>
          </w:pPr>
          <w:hyperlink w:anchor="_Toc221044266" w:history="1">
            <w:r w:rsidR="00215396" w:rsidRPr="00215396">
              <w:rPr>
                <w:rStyle w:val="Lienhypertexte"/>
              </w:rPr>
              <w:t>Cacao - Face à la baisse des cours les acteurs se mobilisent.</w:t>
            </w:r>
          </w:hyperlink>
        </w:p>
        <w:p w14:paraId="6EC397AF" w14:textId="1C6815B2" w:rsidR="00215396" w:rsidRPr="00215396" w:rsidRDefault="00C045B7" w:rsidP="00215396">
          <w:pPr>
            <w:pStyle w:val="TM2"/>
            <w:rPr>
              <w:rFonts w:asciiTheme="minorHAnsi" w:eastAsiaTheme="minorEastAsia" w:hAnsiTheme="minorHAnsi" w:cstheme="minorBidi"/>
              <w:sz w:val="22"/>
              <w:szCs w:val="22"/>
              <w:lang w:eastAsia="fr-FR"/>
            </w:rPr>
          </w:pPr>
          <w:hyperlink w:anchor="_Toc221044267" w:history="1">
            <w:r w:rsidR="00215396" w:rsidRPr="00215396">
              <w:rPr>
                <w:rStyle w:val="Lienhypertexte"/>
              </w:rPr>
              <w:t>Forêt - Création d'un centre national de semences forestières.</w:t>
            </w:r>
          </w:hyperlink>
        </w:p>
        <w:p w14:paraId="609EFDB2" w14:textId="23913475" w:rsidR="00215396" w:rsidRPr="00215396" w:rsidRDefault="00C045B7" w:rsidP="00215396">
          <w:pPr>
            <w:pStyle w:val="TM2"/>
            <w:rPr>
              <w:rFonts w:asciiTheme="minorHAnsi" w:eastAsiaTheme="minorEastAsia" w:hAnsiTheme="minorHAnsi" w:cstheme="minorBidi"/>
              <w:sz w:val="22"/>
              <w:szCs w:val="22"/>
              <w:lang w:eastAsia="fr-FR"/>
            </w:rPr>
          </w:pPr>
          <w:hyperlink w:anchor="_Toc221044268" w:history="1">
            <w:r w:rsidR="00215396" w:rsidRPr="00215396">
              <w:rPr>
                <w:rStyle w:val="Lienhypertexte"/>
              </w:rPr>
              <w:t>Santé vétérinaire - L’Organisation des Nations Unies pour l’alimentation et l’agriculture (FAO) renforce les capacités des laboratoires vétérinaires.</w:t>
            </w:r>
          </w:hyperlink>
        </w:p>
        <w:p w14:paraId="4E778FDF" w14:textId="5E4A325F" w:rsidR="00215396" w:rsidRPr="00215396" w:rsidRDefault="00C045B7" w:rsidP="00215396">
          <w:pPr>
            <w:pStyle w:val="TM2"/>
            <w:rPr>
              <w:rFonts w:asciiTheme="minorHAnsi" w:eastAsiaTheme="minorEastAsia" w:hAnsiTheme="minorHAnsi" w:cstheme="minorBidi"/>
              <w:sz w:val="22"/>
              <w:szCs w:val="22"/>
              <w:lang w:eastAsia="fr-FR"/>
            </w:rPr>
          </w:pPr>
          <w:hyperlink w:anchor="_Toc221044269" w:history="1">
            <w:r w:rsidR="00215396" w:rsidRPr="00215396">
              <w:rPr>
                <w:rStyle w:val="Lienhypertexte"/>
              </w:rPr>
              <w:t>Mécanisation - Un centre régional de formation bientôt opérationnel.</w:t>
            </w:r>
          </w:hyperlink>
        </w:p>
        <w:p w14:paraId="5BD741AA" w14:textId="18C7B2B2" w:rsidR="00215396" w:rsidRPr="00215396" w:rsidRDefault="00C045B7" w:rsidP="00215396">
          <w:pPr>
            <w:pStyle w:val="TM2"/>
            <w:rPr>
              <w:rFonts w:asciiTheme="minorHAnsi" w:eastAsiaTheme="minorEastAsia" w:hAnsiTheme="minorHAnsi" w:cstheme="minorBidi"/>
              <w:sz w:val="22"/>
              <w:szCs w:val="22"/>
              <w:lang w:eastAsia="fr-FR"/>
            </w:rPr>
          </w:pPr>
          <w:hyperlink w:anchor="_Toc221044270" w:history="1">
            <w:r w:rsidR="00215396" w:rsidRPr="00215396">
              <w:rPr>
                <w:rStyle w:val="Lienhypertexte"/>
              </w:rPr>
              <w:t>Innovation – Projet d’un complexe Agri-Tech.</w:t>
            </w:r>
          </w:hyperlink>
        </w:p>
        <w:p w14:paraId="6BFF06EC" w14:textId="01D4D8C1" w:rsidR="00215396" w:rsidRPr="00215396" w:rsidRDefault="00C045B7" w:rsidP="00215396">
          <w:pPr>
            <w:pStyle w:val="TM2"/>
            <w:rPr>
              <w:rFonts w:asciiTheme="minorHAnsi" w:eastAsiaTheme="minorEastAsia" w:hAnsiTheme="minorHAnsi" w:cstheme="minorBidi"/>
              <w:sz w:val="22"/>
              <w:szCs w:val="22"/>
              <w:lang w:eastAsia="fr-FR"/>
            </w:rPr>
          </w:pPr>
          <w:hyperlink w:anchor="_Toc221044271" w:history="1">
            <w:r w:rsidR="00215396" w:rsidRPr="00215396">
              <w:rPr>
                <w:rStyle w:val="Lienhypertexte"/>
                <w:b/>
                <w:bCs w:val="0"/>
              </w:rPr>
              <w:t>Echanges - Noix de cajou, soja et karité taxés à l'exportation.</w:t>
            </w:r>
          </w:hyperlink>
        </w:p>
        <w:p w14:paraId="46352943" w14:textId="31B988B7" w:rsidR="00A3385A" w:rsidRPr="00104D5B" w:rsidRDefault="00732F00" w:rsidP="00115E07">
          <w:pPr>
            <w:pStyle w:val="TM1"/>
            <w:rPr>
              <w:szCs w:val="32"/>
            </w:rPr>
          </w:pPr>
          <w:r w:rsidRPr="003E070B">
            <w:rPr>
              <w:b w:val="0"/>
              <w:bCs/>
            </w:rPr>
            <w:fldChar w:fldCharType="end"/>
          </w:r>
        </w:p>
      </w:sdtContent>
    </w:sdt>
    <w:bookmarkStart w:id="2" w:name="_Toc207887316" w:displacedByCustomXml="prev"/>
    <w:bookmarkEnd w:id="2" w:displacedByCustomXml="prev"/>
    <w:bookmarkStart w:id="3" w:name="_Toc207887158" w:displacedByCustomXml="prev"/>
    <w:bookmarkEnd w:id="3" w:displacedByCustomXml="prev"/>
    <w:p w14:paraId="694217DB" w14:textId="75540DF1" w:rsidR="00A3385A" w:rsidRPr="007355CA" w:rsidRDefault="001612F3" w:rsidP="001612F3">
      <w:pPr>
        <w:spacing w:after="240"/>
        <w:rPr>
          <w:rFonts w:eastAsia="Calibri" w:cs="Times New Roman"/>
          <w:color w:val="2F5496" w:themeColor="accent1" w:themeShade="BF"/>
          <w:szCs w:val="20"/>
        </w:rPr>
      </w:pPr>
      <w:r w:rsidRPr="001612F3">
        <w:rPr>
          <w:rFonts w:eastAsia="Calibri" w:cs="Times New Roman"/>
          <w:b/>
          <w:szCs w:val="20"/>
        </w:rPr>
        <w:t>Sources des articles</w:t>
      </w:r>
      <w:r w:rsidRPr="001612F3">
        <w:rPr>
          <w:rFonts w:ascii="Calibri" w:eastAsia="Calibri" w:hAnsi="Calibri" w:cs="Calibri"/>
          <w:b/>
          <w:szCs w:val="20"/>
        </w:rPr>
        <w:t> </w:t>
      </w:r>
      <w:r w:rsidRPr="001612F3">
        <w:rPr>
          <w:rFonts w:eastAsia="Calibri" w:cs="Times New Roman"/>
          <w:b/>
          <w:szCs w:val="20"/>
        </w:rPr>
        <w:t>:</w:t>
      </w:r>
      <w:r w:rsidRPr="001612F3">
        <w:rPr>
          <w:rFonts w:eastAsia="Calibri" w:cs="Times New Roman"/>
          <w:szCs w:val="20"/>
        </w:rPr>
        <w:t xml:space="preserve"> </w:t>
      </w:r>
      <w:hyperlink r:id="rId7" w:history="1">
        <w:r w:rsidRPr="007355CA">
          <w:rPr>
            <w:rFonts w:eastAsia="Calibri" w:cs="Times New Roman"/>
            <w:color w:val="2F5496" w:themeColor="accent1" w:themeShade="BF"/>
            <w:szCs w:val="20"/>
          </w:rPr>
          <w:t>https://www.aip.ci</w:t>
        </w:r>
      </w:hyperlink>
      <w:r w:rsidRPr="007355CA">
        <w:rPr>
          <w:rFonts w:eastAsia="Calibri" w:cs="Times New Roman"/>
          <w:color w:val="2F5496" w:themeColor="accent1" w:themeShade="BF"/>
          <w:szCs w:val="20"/>
        </w:rPr>
        <w:t xml:space="preserve">, </w:t>
      </w:r>
      <w:hyperlink r:id="rId8" w:history="1">
        <w:r w:rsidRPr="007355CA">
          <w:rPr>
            <w:rFonts w:eastAsia="Calibri" w:cs="Times New Roman"/>
            <w:color w:val="2F5496" w:themeColor="accent1" w:themeShade="BF"/>
            <w:szCs w:val="20"/>
          </w:rPr>
          <w:t>https://aps.sn</w:t>
        </w:r>
      </w:hyperlink>
      <w:r w:rsidRPr="007355CA">
        <w:rPr>
          <w:rFonts w:eastAsia="Calibri" w:cs="Times New Roman"/>
          <w:color w:val="2F5496" w:themeColor="accent1" w:themeShade="BF"/>
          <w:szCs w:val="20"/>
        </w:rPr>
        <w:t xml:space="preserve">, </w:t>
      </w:r>
      <w:hyperlink r:id="rId9" w:history="1">
        <w:r w:rsidRPr="007355CA">
          <w:rPr>
            <w:rFonts w:eastAsia="Calibri" w:cs="Times New Roman"/>
            <w:color w:val="2F5496" w:themeColor="accent1" w:themeShade="BF"/>
            <w:szCs w:val="20"/>
          </w:rPr>
          <w:t>https://www.aib.media</w:t>
        </w:r>
      </w:hyperlink>
      <w:r w:rsidRPr="007355CA">
        <w:rPr>
          <w:rFonts w:eastAsia="Calibri" w:cs="Times New Roman"/>
          <w:color w:val="2F5496" w:themeColor="accent1" w:themeShade="BF"/>
          <w:szCs w:val="20"/>
        </w:rPr>
        <w:t xml:space="preserve">, </w:t>
      </w:r>
      <w:hyperlink r:id="rId10" w:history="1">
        <w:r w:rsidRPr="007355CA">
          <w:rPr>
            <w:rFonts w:eastAsia="Calibri" w:cs="Times New Roman"/>
            <w:color w:val="2F5496" w:themeColor="accent1" w:themeShade="BF"/>
            <w:szCs w:val="20"/>
          </w:rPr>
          <w:t>https://agpguinee.com</w:t>
        </w:r>
      </w:hyperlink>
      <w:r w:rsidRPr="007355CA">
        <w:rPr>
          <w:rFonts w:eastAsia="Calibri" w:cs="Times New Roman"/>
          <w:color w:val="2F5496" w:themeColor="accent1" w:themeShade="BF"/>
          <w:szCs w:val="20"/>
        </w:rPr>
        <w:t xml:space="preserve">, </w:t>
      </w:r>
      <w:hyperlink r:id="rId11" w:history="1">
        <w:r w:rsidRPr="007355CA">
          <w:rPr>
            <w:rFonts w:eastAsia="Calibri" w:cs="Times New Roman"/>
            <w:color w:val="2F5496" w:themeColor="accent1" w:themeShade="BF"/>
            <w:szCs w:val="20"/>
          </w:rPr>
          <w:t>https://atop.tg</w:t>
        </w:r>
      </w:hyperlink>
      <w:r w:rsidRPr="007355CA">
        <w:rPr>
          <w:rFonts w:eastAsia="Calibri" w:cs="Times New Roman"/>
          <w:color w:val="2F5496" w:themeColor="accent1" w:themeShade="BF"/>
          <w:szCs w:val="20"/>
        </w:rPr>
        <w:t xml:space="preserve">, </w:t>
      </w:r>
      <w:hyperlink r:id="rId12" w:history="1">
        <w:r w:rsidRPr="007355CA">
          <w:rPr>
            <w:rFonts w:eastAsia="Calibri" w:cs="Times New Roman"/>
            <w:color w:val="2F5496" w:themeColor="accent1" w:themeShade="BF"/>
            <w:szCs w:val="20"/>
          </w:rPr>
          <w:t>https://fr.apanews.net</w:t>
        </w:r>
      </w:hyperlink>
      <w:r w:rsidRPr="007355CA">
        <w:rPr>
          <w:rFonts w:eastAsia="Calibri" w:cs="Times New Roman"/>
          <w:color w:val="2F5496" w:themeColor="accent1" w:themeShade="BF"/>
          <w:szCs w:val="20"/>
        </w:rPr>
        <w:t xml:space="preserve">, </w:t>
      </w:r>
      <w:hyperlink r:id="rId13" w:history="1">
        <w:r w:rsidRPr="007355CA">
          <w:rPr>
            <w:rFonts w:eastAsia="Calibri" w:cs="Times New Roman"/>
            <w:color w:val="2F5496" w:themeColor="accent1" w:themeShade="BF"/>
            <w:szCs w:val="20"/>
          </w:rPr>
          <w:t>https://news.abidjan.net</w:t>
        </w:r>
      </w:hyperlink>
      <w:r w:rsidRPr="007355CA">
        <w:rPr>
          <w:rFonts w:eastAsia="Calibri" w:cs="Times New Roman"/>
          <w:color w:val="2F5496" w:themeColor="accent1" w:themeShade="BF"/>
          <w:szCs w:val="20"/>
        </w:rPr>
        <w:t xml:space="preserve">, </w:t>
      </w:r>
      <w:hyperlink r:id="rId14" w:history="1">
        <w:r w:rsidRPr="007355CA">
          <w:rPr>
            <w:rFonts w:eastAsia="Calibri" w:cs="Times New Roman"/>
            <w:color w:val="2F5496" w:themeColor="accent1" w:themeShade="BF"/>
            <w:szCs w:val="20"/>
          </w:rPr>
          <w:t>https://www.7info.ci</w:t>
        </w:r>
      </w:hyperlink>
      <w:r w:rsidRPr="007355CA">
        <w:rPr>
          <w:rFonts w:eastAsia="Calibri" w:cs="Times New Roman"/>
          <w:color w:val="2F5496" w:themeColor="accent1" w:themeShade="BF"/>
          <w:szCs w:val="20"/>
        </w:rPr>
        <w:t xml:space="preserve">, </w:t>
      </w:r>
      <w:hyperlink r:id="rId15" w:history="1">
        <w:r w:rsidRPr="007355CA">
          <w:rPr>
            <w:rFonts w:eastAsia="Calibri" w:cs="Times New Roman"/>
            <w:color w:val="2F5496" w:themeColor="accent1" w:themeShade="BF"/>
            <w:szCs w:val="20"/>
          </w:rPr>
          <w:t>https://connectionivoirienne.net</w:t>
        </w:r>
      </w:hyperlink>
      <w:r w:rsidRPr="007355CA">
        <w:rPr>
          <w:rFonts w:eastAsia="Calibri" w:cs="Times New Roman"/>
          <w:color w:val="2F5496" w:themeColor="accent1" w:themeShade="BF"/>
          <w:szCs w:val="20"/>
        </w:rPr>
        <w:t xml:space="preserve">, </w:t>
      </w:r>
      <w:hyperlink r:id="rId16" w:history="1">
        <w:r w:rsidRPr="007355CA">
          <w:rPr>
            <w:rFonts w:eastAsia="Calibri" w:cs="Times New Roman"/>
            <w:color w:val="2F5496" w:themeColor="accent1" w:themeShade="BF"/>
            <w:szCs w:val="20"/>
          </w:rPr>
          <w:t>https://www.linfodrome.com</w:t>
        </w:r>
      </w:hyperlink>
      <w:r w:rsidRPr="007355CA">
        <w:rPr>
          <w:rFonts w:eastAsia="Calibri" w:cs="Times New Roman"/>
          <w:color w:val="2F5496" w:themeColor="accent1" w:themeShade="BF"/>
          <w:szCs w:val="20"/>
        </w:rPr>
        <w:t xml:space="preserve">, </w:t>
      </w:r>
      <w:hyperlink r:id="rId17" w:history="1">
        <w:r w:rsidRPr="007355CA">
          <w:rPr>
            <w:rFonts w:eastAsia="Calibri" w:cs="Times New Roman"/>
            <w:color w:val="2F5496" w:themeColor="accent1" w:themeShade="BF"/>
            <w:szCs w:val="20"/>
          </w:rPr>
          <w:t>https://www.seneweb.com/news/Economie/</w:t>
        </w:r>
      </w:hyperlink>
      <w:r w:rsidRPr="007355CA">
        <w:rPr>
          <w:rFonts w:eastAsia="Calibri" w:cs="Times New Roman"/>
          <w:color w:val="2F5496" w:themeColor="accent1" w:themeShade="BF"/>
          <w:szCs w:val="20"/>
        </w:rPr>
        <w:t xml:space="preserve">, </w:t>
      </w:r>
      <w:hyperlink r:id="rId18" w:history="1">
        <w:r w:rsidRPr="007355CA">
          <w:rPr>
            <w:rFonts w:eastAsia="Calibri" w:cs="Times New Roman"/>
            <w:color w:val="2F5496" w:themeColor="accent1" w:themeShade="BF"/>
            <w:szCs w:val="20"/>
          </w:rPr>
          <w:t>https://www.rfi.fr</w:t>
        </w:r>
      </w:hyperlink>
      <w:r w:rsidRPr="007355CA">
        <w:rPr>
          <w:rFonts w:eastAsia="Calibri" w:cs="Times New Roman"/>
          <w:color w:val="2F5496" w:themeColor="accent1" w:themeShade="BF"/>
          <w:szCs w:val="20"/>
        </w:rPr>
        <w:t xml:space="preserve">, </w:t>
      </w:r>
      <w:hyperlink r:id="rId19" w:history="1">
        <w:r w:rsidRPr="007355CA">
          <w:rPr>
            <w:rFonts w:eastAsia="Calibri" w:cs="Times New Roman"/>
            <w:color w:val="2F5496" w:themeColor="accent1" w:themeShade="BF"/>
            <w:szCs w:val="20"/>
          </w:rPr>
          <w:t>https://www.koaci.com</w:t>
        </w:r>
      </w:hyperlink>
      <w:r w:rsidRPr="007355CA">
        <w:rPr>
          <w:rFonts w:eastAsia="Calibri" w:cs="Times New Roman"/>
          <w:color w:val="2F5496" w:themeColor="accent1" w:themeShade="BF"/>
          <w:szCs w:val="20"/>
        </w:rPr>
        <w:t xml:space="preserve">, </w:t>
      </w:r>
      <w:hyperlink r:id="rId20" w:history="1">
        <w:r w:rsidRPr="007355CA">
          <w:rPr>
            <w:rFonts w:eastAsia="Calibri" w:cs="Times New Roman"/>
            <w:color w:val="2F5496" w:themeColor="accent1" w:themeShade="BF"/>
            <w:szCs w:val="20"/>
          </w:rPr>
          <w:t>https://www.jeuneafrique.com</w:t>
        </w:r>
      </w:hyperlink>
      <w:r w:rsidRPr="007355CA">
        <w:rPr>
          <w:rFonts w:eastAsia="Calibri" w:cs="Times New Roman"/>
          <w:color w:val="2F5496" w:themeColor="accent1" w:themeShade="BF"/>
          <w:szCs w:val="20"/>
        </w:rPr>
        <w:t>,</w:t>
      </w:r>
      <w:r w:rsidRPr="007355CA">
        <w:rPr>
          <w:rFonts w:ascii="Calibri" w:eastAsia="Calibri" w:hAnsi="Calibri" w:cs="Times New Roman"/>
          <w:color w:val="2F5496" w:themeColor="accent1" w:themeShade="BF"/>
          <w:sz w:val="22"/>
        </w:rPr>
        <w:t xml:space="preserve"> </w:t>
      </w:r>
      <w:hyperlink r:id="rId21" w:history="1">
        <w:r w:rsidRPr="007355CA">
          <w:rPr>
            <w:rFonts w:eastAsia="Calibri" w:cs="Times New Roman"/>
            <w:color w:val="2F5496" w:themeColor="accent1" w:themeShade="BF"/>
            <w:szCs w:val="20"/>
          </w:rPr>
          <w:t>https://www.moa.gov.lr/media/press-releases</w:t>
        </w:r>
      </w:hyperlink>
      <w:r w:rsidRPr="007355CA">
        <w:rPr>
          <w:rFonts w:eastAsia="Calibri" w:cs="Times New Roman"/>
          <w:color w:val="2F5496" w:themeColor="accent1" w:themeShade="BF"/>
          <w:szCs w:val="20"/>
        </w:rPr>
        <w:t xml:space="preserve">, </w:t>
      </w:r>
      <w:hyperlink r:id="rId22" w:history="1">
        <w:r w:rsidRPr="007355CA">
          <w:rPr>
            <w:rFonts w:eastAsia="Calibri" w:cs="Times New Roman"/>
            <w:color w:val="2F5496" w:themeColor="accent1" w:themeShade="BF"/>
            <w:szCs w:val="20"/>
          </w:rPr>
          <w:t>https://agriculture.gouv.tg</w:t>
        </w:r>
      </w:hyperlink>
      <w:r w:rsidRPr="007355CA">
        <w:rPr>
          <w:rFonts w:eastAsia="Calibri" w:cs="Times New Roman"/>
          <w:color w:val="2F5496" w:themeColor="accent1" w:themeShade="BF"/>
          <w:szCs w:val="20"/>
        </w:rPr>
        <w:t xml:space="preserve">, </w:t>
      </w:r>
      <w:hyperlink r:id="rId23" w:history="1">
        <w:r w:rsidRPr="007355CA">
          <w:rPr>
            <w:rFonts w:eastAsia="Calibri" w:cs="Times New Roman"/>
            <w:color w:val="2F5496" w:themeColor="accent1" w:themeShade="BF"/>
            <w:szCs w:val="20"/>
          </w:rPr>
          <w:t>https://www.governo.cv/</w:t>
        </w:r>
      </w:hyperlink>
      <w:r w:rsidRPr="007355CA">
        <w:rPr>
          <w:rFonts w:eastAsia="Calibri" w:cs="Times New Roman"/>
          <w:color w:val="2F5496" w:themeColor="accent1" w:themeShade="BF"/>
          <w:szCs w:val="20"/>
        </w:rPr>
        <w:t xml:space="preserve">, </w:t>
      </w:r>
      <w:hyperlink r:id="rId24" w:history="1">
        <w:r w:rsidRPr="007355CA">
          <w:rPr>
            <w:rFonts w:eastAsia="Calibri" w:cs="Times New Roman"/>
            <w:color w:val="2F5496" w:themeColor="accent1" w:themeShade="BF"/>
            <w:szCs w:val="20"/>
          </w:rPr>
          <w:t>https://presidence.gov.gn/actualite/</w:t>
        </w:r>
      </w:hyperlink>
      <w:r w:rsidRPr="007355CA">
        <w:rPr>
          <w:rFonts w:eastAsia="Calibri" w:cs="Times New Roman"/>
          <w:color w:val="2F5496" w:themeColor="accent1" w:themeShade="BF"/>
          <w:szCs w:val="20"/>
        </w:rPr>
        <w:t xml:space="preserve">, </w:t>
      </w:r>
      <w:hyperlink r:id="rId25" w:history="1">
        <w:r w:rsidRPr="007355CA">
          <w:rPr>
            <w:rFonts w:eastAsia="Calibri" w:cs="Times New Roman"/>
            <w:color w:val="2F5496" w:themeColor="accent1" w:themeShade="BF"/>
            <w:szCs w:val="20"/>
          </w:rPr>
          <w:t>https://www.africain.info/</w:t>
        </w:r>
      </w:hyperlink>
      <w:r w:rsidRPr="007355CA">
        <w:rPr>
          <w:rFonts w:eastAsia="Calibri" w:cs="Times New Roman"/>
          <w:color w:val="2F5496" w:themeColor="accent1" w:themeShade="BF"/>
          <w:szCs w:val="20"/>
        </w:rPr>
        <w:t xml:space="preserve">  </w:t>
      </w:r>
      <w:hyperlink r:id="rId26" w:history="1">
        <w:r w:rsidRPr="007355CA">
          <w:rPr>
            <w:rFonts w:eastAsia="Calibri" w:cs="Times New Roman"/>
            <w:color w:val="2F5496" w:themeColor="accent1" w:themeShade="BF"/>
            <w:szCs w:val="20"/>
          </w:rPr>
          <w:t>https://www.cridem.org/C_InfoCat.php?cat=16</w:t>
        </w:r>
      </w:hyperlink>
      <w:r w:rsidRPr="007355CA">
        <w:rPr>
          <w:rFonts w:eastAsia="Calibri" w:cs="Times New Roman"/>
          <w:color w:val="2F5496" w:themeColor="accent1" w:themeShade="BF"/>
          <w:szCs w:val="20"/>
        </w:rPr>
        <w:t xml:space="preserve">,  </w:t>
      </w:r>
      <w:hyperlink r:id="rId27" w:history="1">
        <w:r w:rsidRPr="007355CA">
          <w:rPr>
            <w:rFonts w:eastAsia="Calibri" w:cs="Times New Roman"/>
            <w:color w:val="2F5496" w:themeColor="accent1" w:themeShade="BF"/>
            <w:szCs w:val="20"/>
          </w:rPr>
          <w:t>https://www.agenceecofin.com/agro</w:t>
        </w:r>
      </w:hyperlink>
      <w:r w:rsidRPr="007355CA">
        <w:rPr>
          <w:rFonts w:eastAsia="Calibri" w:cs="Times New Roman"/>
          <w:color w:val="2F5496" w:themeColor="accent1" w:themeShade="BF"/>
          <w:szCs w:val="20"/>
        </w:rPr>
        <w:t xml:space="preserve">,  </w:t>
      </w:r>
      <w:hyperlink r:id="rId28" w:history="1">
        <w:r w:rsidRPr="007355CA">
          <w:rPr>
            <w:rFonts w:eastAsia="Calibri" w:cs="Times New Roman"/>
            <w:color w:val="2F5496" w:themeColor="accent1" w:themeShade="BF"/>
            <w:szCs w:val="20"/>
          </w:rPr>
          <w:t>https://www.sikafinance.com/</w:t>
        </w:r>
      </w:hyperlink>
      <w:r w:rsidR="00053BC4" w:rsidRPr="007355CA">
        <w:rPr>
          <w:rFonts w:eastAsia="Calibri" w:cs="Times New Roman"/>
          <w:color w:val="2F5496" w:themeColor="accent1" w:themeShade="BF"/>
          <w:szCs w:val="20"/>
        </w:rPr>
        <w:t xml:space="preserve">, </w:t>
      </w:r>
      <w:hyperlink r:id="rId29" w:history="1">
        <w:r w:rsidR="00D26097" w:rsidRPr="007355CA">
          <w:rPr>
            <w:rStyle w:val="Lienhypertexte"/>
            <w:rFonts w:eastAsia="Calibri" w:cs="Times New Roman"/>
            <w:color w:val="2F5496" w:themeColor="accent1" w:themeShade="BF"/>
            <w:szCs w:val="20"/>
            <w:u w:val="none"/>
          </w:rPr>
          <w:t>https://www.republicoftogo.com/</w:t>
        </w:r>
      </w:hyperlink>
      <w:r w:rsidR="00270856" w:rsidRPr="007355CA">
        <w:rPr>
          <w:rStyle w:val="Lienhypertexte"/>
          <w:rFonts w:eastAsia="Calibri" w:cs="Times New Roman"/>
          <w:color w:val="2F5496" w:themeColor="accent1" w:themeShade="BF"/>
          <w:szCs w:val="20"/>
          <w:u w:val="none"/>
        </w:rPr>
        <w:t>,</w:t>
      </w:r>
      <w:r w:rsidR="00D26097" w:rsidRPr="007355CA">
        <w:rPr>
          <w:rFonts w:eastAsia="Calibri" w:cs="Times New Roman"/>
          <w:color w:val="2F5496" w:themeColor="accent1" w:themeShade="BF"/>
          <w:szCs w:val="20"/>
        </w:rPr>
        <w:t xml:space="preserve"> </w:t>
      </w:r>
      <w:hyperlink r:id="rId30" w:history="1">
        <w:r w:rsidR="00270856" w:rsidRPr="007355CA">
          <w:rPr>
            <w:rStyle w:val="Lienhypertexte"/>
            <w:rFonts w:eastAsia="Calibri" w:cs="Times New Roman"/>
            <w:color w:val="2F5496" w:themeColor="accent1" w:themeShade="BF"/>
            <w:szCs w:val="20"/>
            <w:u w:val="none"/>
          </w:rPr>
          <w:t>https://www.republiquetogolaise.com/agro/</w:t>
        </w:r>
      </w:hyperlink>
      <w:r w:rsidR="00B44931" w:rsidRPr="007355CA">
        <w:rPr>
          <w:rFonts w:eastAsia="Calibri" w:cs="Times New Roman"/>
          <w:color w:val="2F5496" w:themeColor="accent1" w:themeShade="BF"/>
          <w:szCs w:val="20"/>
        </w:rPr>
        <w:t xml:space="preserve">, </w:t>
      </w:r>
      <w:hyperlink r:id="rId31" w:history="1">
        <w:r w:rsidR="00B44931" w:rsidRPr="007355CA">
          <w:rPr>
            <w:rStyle w:val="Lienhypertexte"/>
            <w:rFonts w:eastAsia="Calibri" w:cs="Times New Roman"/>
            <w:color w:val="2F5496" w:themeColor="accent1" w:themeShade="BF"/>
            <w:szCs w:val="20"/>
            <w:u w:val="none"/>
          </w:rPr>
          <w:t>https://www.agridigitale.net/</w:t>
        </w:r>
      </w:hyperlink>
      <w:r w:rsidR="00B44931" w:rsidRPr="007355CA">
        <w:rPr>
          <w:rFonts w:eastAsia="Calibri" w:cs="Times New Roman"/>
          <w:color w:val="2F5496" w:themeColor="accent1" w:themeShade="BF"/>
          <w:szCs w:val="20"/>
        </w:rPr>
        <w:t xml:space="preserve"> </w:t>
      </w:r>
    </w:p>
    <w:p w14:paraId="27C4C984" w14:textId="77777777" w:rsidR="00D070C2" w:rsidRPr="00104D5B" w:rsidRDefault="00D070C2" w:rsidP="00086E8B">
      <w:pPr>
        <w:spacing w:after="0"/>
        <w:rPr>
          <w:rFonts w:eastAsia="Calibri" w:cs="Times New Roman"/>
          <w:color w:val="0070C0"/>
          <w:szCs w:val="20"/>
          <w:u w:val="single"/>
        </w:rPr>
      </w:pPr>
    </w:p>
    <w:p w14:paraId="2C1EBCBB" w14:textId="77777777" w:rsidR="002A5818" w:rsidRDefault="002A5818">
      <w:pPr>
        <w:jc w:val="left"/>
        <w:rPr>
          <w:rFonts w:eastAsiaTheme="majorEastAsia" w:cstheme="majorBidi"/>
          <w:b/>
          <w:color w:val="FFC000"/>
          <w:sz w:val="32"/>
          <w:szCs w:val="32"/>
        </w:rPr>
      </w:pPr>
      <w:bookmarkStart w:id="4" w:name="_Toc207812030"/>
      <w:bookmarkStart w:id="5" w:name="_Toc207812898"/>
      <w:bookmarkStart w:id="6" w:name="_Toc207813060"/>
      <w:bookmarkStart w:id="7" w:name="_Toc207887317"/>
      <w:bookmarkStart w:id="8" w:name="_Toc210215495"/>
      <w:r>
        <w:br w:type="page"/>
      </w:r>
    </w:p>
    <w:p w14:paraId="025EAA38" w14:textId="28DC726E" w:rsidR="00185A78" w:rsidRDefault="009D0F96" w:rsidP="00185A78">
      <w:pPr>
        <w:pStyle w:val="Titre1"/>
        <w:spacing w:before="0"/>
      </w:pPr>
      <w:bookmarkStart w:id="9" w:name="_Toc221044153"/>
      <w:r w:rsidRPr="00104D5B">
        <w:lastRenderedPageBreak/>
        <w:t>Régio</w:t>
      </w:r>
      <w:bookmarkEnd w:id="4"/>
      <w:bookmarkEnd w:id="5"/>
      <w:bookmarkEnd w:id="6"/>
      <w:bookmarkEnd w:id="7"/>
      <w:r w:rsidR="006044EE" w:rsidRPr="00104D5B">
        <w:t>n</w:t>
      </w:r>
      <w:bookmarkStart w:id="10" w:name="_Toc207806845"/>
      <w:bookmarkStart w:id="11" w:name="_Toc207806911"/>
      <w:bookmarkStart w:id="12" w:name="_Toc207807290"/>
      <w:bookmarkEnd w:id="8"/>
      <w:bookmarkEnd w:id="9"/>
    </w:p>
    <w:p w14:paraId="6257568A" w14:textId="3BA30CBC" w:rsidR="00F57F08" w:rsidRPr="002A5818" w:rsidRDefault="00F57F08" w:rsidP="002D0775">
      <w:pPr>
        <w:pStyle w:val="Titre2"/>
        <w:spacing w:before="0"/>
      </w:pPr>
      <w:bookmarkStart w:id="13" w:name="_Toc221044154"/>
      <w:r w:rsidRPr="002A5818">
        <w:t>Productions agricoles – Panoramas</w:t>
      </w:r>
      <w:r w:rsidR="000726E3" w:rsidRPr="002A5818">
        <w:t xml:space="preserve"> des 14 pays d’Afrique de l’Ouest (hors Ghana et Nigéria).</w:t>
      </w:r>
      <w:bookmarkEnd w:id="13"/>
    </w:p>
    <w:p w14:paraId="1E2C13AD" w14:textId="23F7AE45" w:rsidR="000726E3" w:rsidRPr="002A5818" w:rsidRDefault="000726E3" w:rsidP="002D0775">
      <w:pPr>
        <w:spacing w:after="0"/>
      </w:pPr>
      <w:r w:rsidRPr="002A5818">
        <w:t>Les panoramas sont disponibles auprès du Conseiller aux affaires agricoles pour les pays d’Afrique de l’Ouest (hors Ghana et Nigéria) et sur le site de la DG Trésor.</w:t>
      </w:r>
    </w:p>
    <w:p w14:paraId="40A085E4" w14:textId="3E501798" w:rsidR="003518C6" w:rsidRPr="002A5818" w:rsidRDefault="00C045B7" w:rsidP="002D0775">
      <w:pPr>
        <w:spacing w:after="0"/>
      </w:pPr>
      <w:hyperlink r:id="rId32" w:history="1">
        <w:r w:rsidR="000726E3" w:rsidRPr="002A5818">
          <w:rPr>
            <w:rStyle w:val="Lienhypertexte"/>
          </w:rPr>
          <w:t>https://www.tresor.economie.gouv.fr/Pays/CI?listePays=CI</w:t>
        </w:r>
      </w:hyperlink>
    </w:p>
    <w:p w14:paraId="21A609EC" w14:textId="77777777" w:rsidR="002D0775" w:rsidRPr="002A5818" w:rsidRDefault="002D0775" w:rsidP="002D0775">
      <w:pPr>
        <w:spacing w:after="0"/>
      </w:pPr>
    </w:p>
    <w:p w14:paraId="0D37E075" w14:textId="527B617A" w:rsidR="00C63739" w:rsidRPr="002A5818" w:rsidRDefault="00C63739" w:rsidP="004158FF">
      <w:pPr>
        <w:pStyle w:val="Titre2"/>
        <w:spacing w:before="0"/>
      </w:pPr>
      <w:bookmarkStart w:id="14" w:name="_Toc221044155"/>
      <w:r w:rsidRPr="002A5818">
        <w:t>Echanges – Un marché intérieur africain plus grand qu'estimé.</w:t>
      </w:r>
      <w:bookmarkEnd w:id="14"/>
    </w:p>
    <w:p w14:paraId="68B6C9FB" w14:textId="0CC77857" w:rsidR="00C63739" w:rsidRPr="002A5818" w:rsidRDefault="004158FF" w:rsidP="004158FF">
      <w:pPr>
        <w:spacing w:after="0"/>
      </w:pPr>
      <w:r w:rsidRPr="002A5818">
        <w:t>I</w:t>
      </w:r>
      <w:r w:rsidR="00C63739" w:rsidRPr="002A5818">
        <w:t>l est commun de penser que les pays d’Afrique commercent peu entre eux,</w:t>
      </w:r>
      <w:r w:rsidRPr="002A5818">
        <w:t xml:space="preserve"> mais selon de nouvelles estimations, les pays africains échangeraient beaucoup plus de biens, notamment alimentaires, qu’on ne parvient à compter. Cela pourrait être mis en péril par la vision protectionniste qui se développe sur le continent. </w:t>
      </w:r>
      <w:r w:rsidR="00C63739" w:rsidRPr="002A5818">
        <w:t>Officiellement, rappelle The Economist, seuls 15 % du commerce africain a lieu à l’intérieur du continent, résultat direct des politiques coloniales qui visaient à isoler les territoires de leurs voisins et à flécher toutes les exportations vers la puissance étrangère. Pour tenter de renverser la tendance et assurer la subsistance de toute la population dans les décennies à venir, les organisations interétatiques africaines ont adopté un accord autour d’une Zone de libre-échange continentale africaine (ZLECA), il y a cinq ans. Les données collectées ces dernières années permettent de comprendre qu’une large partie du commerce africain n’est pas comptabilisée par les données officielles. Selon l’OCDE, l’équivalent de 10 Md USD de nourriture ne serait pas inclus dans les comptes, rien qu’en Afrique de l’Ouest. D’abord, une grande partie des échanges commerciaux transite en Afrique par les routes. Leur décompte est alors très difficile à organiser. Le bétail, par exemple, est souvent mené à pied via des frontières non officielles et donc sans passer par des douanes ou quelconque organisme de contrôle. Si l’on prend en compte ces données officieuses et qu’on les ajoute aux officielles, le commerce intra-africain en Afrique de l’Ouest ne représente plus un tiers mais trois cinquièmes des exportations – les noix de cajou et le cacao mis à part</w:t>
      </w:r>
      <w:r w:rsidR="00FF5747">
        <w:t>, soit u</w:t>
      </w:r>
      <w:r w:rsidR="00C63739" w:rsidRPr="002A5818">
        <w:t>n chiffre équivalent aux échanges commerciaux intra-européens. L’OCDE estime que 90% du commerce non officiel en Afrique de l’Ouest est transporté par camion poids lourds. Cela implique de longues distances, parfois bien au-delà des frontières régionales. En règle générale, les échanges commerciaux entre pays africains sont tout simplement sous-estimés par les organismes de contrôle. La ZLECA pourrait mener à une meilleure intégration des échanges intra-africains. Le problème, c’est que de plus en plus de pays adoptent une vision protectionniste de l</w:t>
      </w:r>
      <w:r w:rsidR="00FF5747">
        <w:t xml:space="preserve">eur </w:t>
      </w:r>
      <w:r w:rsidR="00C63739" w:rsidRPr="002A5818">
        <w:t xml:space="preserve">économie, persuadés de devoir créer une souveraineté alimentaire sur leur propre sol. </w:t>
      </w:r>
      <w:r w:rsidRPr="002A5818">
        <w:t xml:space="preserve">Ainsi dans plusieurs pays d’Afrique de l’Ouest en particulier, </w:t>
      </w:r>
      <w:r w:rsidR="00C63739" w:rsidRPr="002A5818">
        <w:t>certains produits ont désormais interdiction d’être importés tant que les ressources locales ne sont pas épuisées.</w:t>
      </w:r>
      <w:r w:rsidRPr="002A5818">
        <w:t xml:space="preserve"> </w:t>
      </w:r>
    </w:p>
    <w:p w14:paraId="5E960A09" w14:textId="77777777" w:rsidR="00C63739" w:rsidRPr="002A5818" w:rsidRDefault="00C63739" w:rsidP="00C63739">
      <w:pPr>
        <w:spacing w:after="0"/>
      </w:pPr>
    </w:p>
    <w:p w14:paraId="578C0989" w14:textId="3EF92B94" w:rsidR="00185A78" w:rsidRPr="002A5818" w:rsidRDefault="00185A78" w:rsidP="00185A78">
      <w:pPr>
        <w:pStyle w:val="Titre2"/>
        <w:spacing w:before="0"/>
      </w:pPr>
      <w:bookmarkStart w:id="15" w:name="_Toc221044156"/>
      <w:r w:rsidRPr="002A5818">
        <w:t>Coton - C</w:t>
      </w:r>
      <w:r w:rsidR="00AE5E88" w:rsidRPr="002A5818">
        <w:t>ontexte international particulièrement défavorable au coton africain.</w:t>
      </w:r>
      <w:bookmarkEnd w:id="15"/>
    </w:p>
    <w:p w14:paraId="5F29CA06" w14:textId="44FF71EF" w:rsidR="000A7497" w:rsidRPr="002A5818" w:rsidRDefault="00AE5E88" w:rsidP="00AE5E88">
      <w:pPr>
        <w:spacing w:after="0"/>
      </w:pPr>
      <w:r w:rsidRPr="002A5818">
        <w:t>Début 2026, les prix semblent avoir atteint un nouveau point d'équilibre qui se situe autour de 65 cents la livre, soit 25% de moins qu'il y a un an. Les prix couvrent à peine, voire pas du tout, les coûts de production, selon les pays</w:t>
      </w:r>
      <w:r w:rsidR="004740D8" w:rsidRPr="002A5818">
        <w:t xml:space="preserve"> africains</w:t>
      </w:r>
      <w:r w:rsidRPr="002A5818">
        <w:t>. Seul le Brésil semble gagner de l'argent et continue d'étendre ses surfaces. C'est d'ailleurs cette production brésilienne pléthorique, annoncée à plus de 4 M de tonnes de fibres de coton, qui asphyxie le marché et écrase les prix</w:t>
      </w:r>
      <w:r w:rsidR="00472687" w:rsidRPr="002A5818">
        <w:t>, et q</w:t>
      </w:r>
      <w:r w:rsidRPr="002A5818">
        <w:t xml:space="preserve">uand les importateurs cherchent une autre origine ils achètent souvent aux </w:t>
      </w:r>
      <w:r w:rsidR="00472687" w:rsidRPr="002A5818">
        <w:t>E</w:t>
      </w:r>
      <w:r w:rsidRPr="002A5818">
        <w:t>tats-Unis pour</w:t>
      </w:r>
      <w:r w:rsidR="00472687" w:rsidRPr="002A5818">
        <w:t xml:space="preserve"> donner des gages dans les négociations commerciales avec les autorités américaines</w:t>
      </w:r>
      <w:r w:rsidRPr="002A5818">
        <w:t xml:space="preserve">. </w:t>
      </w:r>
      <w:r w:rsidR="00472687" w:rsidRPr="002A5818">
        <w:t xml:space="preserve">Ce qui évite aux cours de sombrer plus bas, c'est notamment la perspective de voir les Américains cultiver moins lors de la prochaine campagne. Les dernières projections des surfaces plantées </w:t>
      </w:r>
      <w:r w:rsidR="00472687" w:rsidRPr="002A5818">
        <w:lastRenderedPageBreak/>
        <w:t>aux Etats-Unis, basées sur des intentions de semis, font état de 9 M d'acres dédiés au coton contre 11 M l'année dernière</w:t>
      </w:r>
      <w:r w:rsidR="00FF5747">
        <w:t>, c</w:t>
      </w:r>
      <w:r w:rsidR="00472687" w:rsidRPr="002A5818">
        <w:t xml:space="preserve">e qui pourrait se traduire par 2 M de balles de 220 kg en moins. L'aide financière que les cotonculteurs américains ont touché au travers du plan de soutien agricole de 12 milliards de dollars n'a manifestement pas suffi à rassurer. Les cours actuels restent trop bas pour être attractifs. </w:t>
      </w:r>
      <w:r w:rsidRPr="002A5818">
        <w:t xml:space="preserve">Le coton africain subit </w:t>
      </w:r>
      <w:r w:rsidR="00472687" w:rsidRPr="002A5818">
        <w:t xml:space="preserve">également </w:t>
      </w:r>
      <w:r w:rsidRPr="002A5818">
        <w:t>le rétablissement de la taxe indienne à l'importation depuis le 1</w:t>
      </w:r>
      <w:r w:rsidRPr="002A5818">
        <w:rPr>
          <w:vertAlign w:val="superscript"/>
        </w:rPr>
        <w:t>er</w:t>
      </w:r>
      <w:r w:rsidRPr="002A5818">
        <w:t xml:space="preserve"> janvier</w:t>
      </w:r>
      <w:r w:rsidR="00FF5747">
        <w:t xml:space="preserve"> 2026</w:t>
      </w:r>
      <w:r w:rsidRPr="002A5818">
        <w:t>. Plusieurs pays du continent avaient profité de la fenêtre de tir pendant laquelle elle a été levée entre septembre et décembre dernier.</w:t>
      </w:r>
      <w:r w:rsidR="00185A78" w:rsidRPr="002A5818">
        <w:t xml:space="preserve"> </w:t>
      </w:r>
      <w:r w:rsidRPr="002A5818">
        <w:t xml:space="preserve">Au total, il y a cette année 25 </w:t>
      </w:r>
      <w:r w:rsidR="00472687" w:rsidRPr="002A5818">
        <w:t xml:space="preserve">M </w:t>
      </w:r>
      <w:r w:rsidRPr="002A5818">
        <w:t xml:space="preserve">de tonnes de fibres de coton à transformer, </w:t>
      </w:r>
      <w:r w:rsidR="00472687" w:rsidRPr="002A5818">
        <w:t>c</w:t>
      </w:r>
      <w:r w:rsidRPr="002A5818">
        <w:t xml:space="preserve">e n'est pas un record, mais c'est trop par rapport aux volumes que l'industrie est </w:t>
      </w:r>
      <w:r w:rsidR="00472687" w:rsidRPr="002A5818">
        <w:t xml:space="preserve">actuellement </w:t>
      </w:r>
      <w:r w:rsidRPr="002A5818">
        <w:t xml:space="preserve">capable d'absorber. </w:t>
      </w:r>
      <w:r w:rsidR="00185A78" w:rsidRPr="002A5818">
        <w:t xml:space="preserve">La plupart des filateurs asiatiques rencontrent des difficultés à honorer leurs engagements vis à vis des banques, plus particulièrement au Bangladesh, l'un des principaux importateurs de coton, mais également </w:t>
      </w:r>
      <w:r w:rsidRPr="002A5818">
        <w:t>en Inde, au Vietnam</w:t>
      </w:r>
      <w:r w:rsidR="00185A78" w:rsidRPr="002A5818">
        <w:t xml:space="preserve"> et</w:t>
      </w:r>
      <w:r w:rsidRPr="002A5818">
        <w:t xml:space="preserve"> au Pakistan. Ce qui se passe en Chine illustre</w:t>
      </w:r>
      <w:r w:rsidR="00185A78" w:rsidRPr="002A5818">
        <w:t xml:space="preserve"> d’une autre manière</w:t>
      </w:r>
      <w:r w:rsidRPr="002A5818">
        <w:t xml:space="preserve"> le contexte actuel</w:t>
      </w:r>
      <w:r w:rsidR="00185A78" w:rsidRPr="002A5818">
        <w:t xml:space="preserve"> du marché</w:t>
      </w:r>
      <w:r w:rsidRPr="002A5818">
        <w:t xml:space="preserve"> : le 1</w:t>
      </w:r>
      <w:r w:rsidRPr="002A5818">
        <w:rPr>
          <w:vertAlign w:val="superscript"/>
        </w:rPr>
        <w:t>er</w:t>
      </w:r>
      <w:r w:rsidRPr="002A5818">
        <w:t xml:space="preserve"> janvier, le pays a réduit ses droits de douane sur les importations de coton pour soutenir ses filatures</w:t>
      </w:r>
      <w:r w:rsidR="00185A78" w:rsidRPr="002A5818">
        <w:t>, m</w:t>
      </w:r>
      <w:r w:rsidRPr="002A5818">
        <w:t>ais personne ne se précipite pour l'instant pour acheter, faute de débouchés.</w:t>
      </w:r>
      <w:r w:rsidR="004E1631" w:rsidRPr="002A5818">
        <w:t xml:space="preserve"> Les pays d’Afrique de l’Ouest sont également pénalisés par des rendements très bas. Globalement, c’est en Chine que les rendements sont les plus élevés au monde</w:t>
      </w:r>
      <w:r w:rsidR="00FD661E" w:rsidRPr="002A5818">
        <w:t xml:space="preserve"> avec </w:t>
      </w:r>
      <w:r w:rsidR="004E1631" w:rsidRPr="002A5818">
        <w:t>3,18 t/ha, suivi par le Brésil (2,91 t/ha) et l’Australie (2,48 t/ha).</w:t>
      </w:r>
      <w:r w:rsidR="00FD661E" w:rsidRPr="002A5818">
        <w:t xml:space="preserve"> Dans le dernier rapport mensuel (décembre 2025) publié sur le marché mondial du coton par le Département américain de l’agriculture (USDA), un panorama sur la productivité de cette filière fibre dans les principaux pays africains concernés, montre que le Cameroun arrive en tête avec un rendement de 1,54 t/ha. Le 1</w:t>
      </w:r>
      <w:r w:rsidR="00FD661E" w:rsidRPr="002A5818">
        <w:rPr>
          <w:vertAlign w:val="superscript"/>
        </w:rPr>
        <w:t>er</w:t>
      </w:r>
      <w:r w:rsidR="00FD661E" w:rsidRPr="002A5818">
        <w:t xml:space="preserve"> pays d’Afrique de l’Ouest, le Bénin est au 5</w:t>
      </w:r>
      <w:r w:rsidR="00FD661E" w:rsidRPr="002A5818">
        <w:rPr>
          <w:vertAlign w:val="superscript"/>
        </w:rPr>
        <w:t>ème</w:t>
      </w:r>
      <w:r w:rsidR="00FD661E" w:rsidRPr="002A5818">
        <w:t xml:space="preserve"> rang avec un rendement de 0,73 t/ha</w:t>
      </w:r>
      <w:r w:rsidR="00CC4677" w:rsidRPr="002A5818">
        <w:t xml:space="preserve"> devant</w:t>
      </w:r>
      <w:r w:rsidR="00FD661E" w:rsidRPr="002A5818">
        <w:t xml:space="preserve"> le Mali 7</w:t>
      </w:r>
      <w:r w:rsidR="00FD661E" w:rsidRPr="002A5818">
        <w:rPr>
          <w:vertAlign w:val="superscript"/>
        </w:rPr>
        <w:t>ème</w:t>
      </w:r>
      <w:r w:rsidR="00FD661E" w:rsidRPr="002A5818">
        <w:t xml:space="preserve"> (0,53 t/ha), le Burkina-Faso 8</w:t>
      </w:r>
      <w:r w:rsidR="00FD661E" w:rsidRPr="002A5818">
        <w:rPr>
          <w:vertAlign w:val="superscript"/>
        </w:rPr>
        <w:t>ème</w:t>
      </w:r>
      <w:r w:rsidR="00FD661E" w:rsidRPr="002A5818">
        <w:t xml:space="preserve"> (0,46 t/ha) et la </w:t>
      </w:r>
      <w:r w:rsidR="00CC4677" w:rsidRPr="002A5818">
        <w:t>Côte d’Ivoire 9</w:t>
      </w:r>
      <w:r w:rsidR="00CC4677" w:rsidRPr="002A5818">
        <w:rPr>
          <w:vertAlign w:val="superscript"/>
        </w:rPr>
        <w:t>ème</w:t>
      </w:r>
      <w:r w:rsidR="00CC4677" w:rsidRPr="002A5818">
        <w:t xml:space="preserve"> (0,44 t/ha).</w:t>
      </w:r>
    </w:p>
    <w:p w14:paraId="5CC1BB78" w14:textId="77777777" w:rsidR="00507800" w:rsidRPr="002A5818" w:rsidRDefault="00507800" w:rsidP="001C1865">
      <w:pPr>
        <w:spacing w:after="0"/>
      </w:pPr>
    </w:p>
    <w:p w14:paraId="5FE666BB" w14:textId="00EDBAF0" w:rsidR="00B13FDF" w:rsidRPr="002A5818" w:rsidRDefault="009D0F96" w:rsidP="001C1865">
      <w:pPr>
        <w:pStyle w:val="Titre1"/>
        <w:spacing w:before="0"/>
      </w:pPr>
      <w:bookmarkStart w:id="16" w:name="_Toc207812033"/>
      <w:bookmarkStart w:id="17" w:name="_Toc207812901"/>
      <w:bookmarkStart w:id="18" w:name="_Toc207813063"/>
      <w:bookmarkStart w:id="19" w:name="_Toc221044157"/>
      <w:r w:rsidRPr="002A5818">
        <w:t>Côte d’Ivoi</w:t>
      </w:r>
      <w:bookmarkEnd w:id="10"/>
      <w:bookmarkEnd w:id="11"/>
      <w:bookmarkEnd w:id="12"/>
      <w:r w:rsidRPr="002A5818">
        <w:t>re</w:t>
      </w:r>
      <w:bookmarkEnd w:id="16"/>
      <w:bookmarkEnd w:id="17"/>
      <w:bookmarkEnd w:id="18"/>
      <w:bookmarkEnd w:id="19"/>
    </w:p>
    <w:p w14:paraId="1B528DD8" w14:textId="77BB4BA7" w:rsidR="00380341" w:rsidRPr="002A5818" w:rsidRDefault="00380341" w:rsidP="00380341">
      <w:pPr>
        <w:pStyle w:val="Titre2"/>
        <w:spacing w:before="0"/>
      </w:pPr>
      <w:bookmarkStart w:id="20" w:name="_Toc221044158"/>
      <w:bookmarkStart w:id="21" w:name="_Hlk219716257"/>
      <w:r w:rsidRPr="002A5818">
        <w:t>Politique agricole –</w:t>
      </w:r>
      <w:r w:rsidR="00F57F08" w:rsidRPr="002A5818">
        <w:t xml:space="preserve"> </w:t>
      </w:r>
      <w:bookmarkStart w:id="22" w:name="_Hlk220246361"/>
      <w:r w:rsidR="00F57F08" w:rsidRPr="002A5818">
        <w:t xml:space="preserve">Changement à la tête </w:t>
      </w:r>
      <w:r w:rsidR="009D6252" w:rsidRPr="002A5818">
        <w:t>du minist</w:t>
      </w:r>
      <w:r w:rsidR="00F57F08" w:rsidRPr="002A5818">
        <w:t>ère</w:t>
      </w:r>
      <w:r w:rsidR="009D6252" w:rsidRPr="002A5818">
        <w:t xml:space="preserve"> de l’agriculture, du développement rural et des productions vivrières.</w:t>
      </w:r>
      <w:bookmarkEnd w:id="20"/>
    </w:p>
    <w:p w14:paraId="49186266" w14:textId="1AB664AD" w:rsidR="00380341" w:rsidRPr="002A5818" w:rsidRDefault="00380341" w:rsidP="00C8647F">
      <w:pPr>
        <w:spacing w:after="0"/>
      </w:pPr>
      <w:r w:rsidRPr="002A5818">
        <w:t>Le Premier ministre ivoirien, M. Robert Beugré Mambé, reconduit deux jours auparavant, a dévoilé le 23 janvier son nouveau gouvernement</w:t>
      </w:r>
      <w:r w:rsidR="009D6252" w:rsidRPr="002A5818">
        <w:t xml:space="preserve"> </w:t>
      </w:r>
      <w:r w:rsidR="00FF5747">
        <w:t xml:space="preserve">dans la continuité du précédent </w:t>
      </w:r>
      <w:r w:rsidRPr="002A5818">
        <w:t>sur la forme</w:t>
      </w:r>
      <w:r w:rsidR="009D6252" w:rsidRPr="002A5818">
        <w:t xml:space="preserve"> (</w:t>
      </w:r>
      <w:r w:rsidRPr="002A5818">
        <w:t>35 ministres dont 4 ministres délégués</w:t>
      </w:r>
      <w:r w:rsidR="009D6252" w:rsidRPr="002A5818">
        <w:t>) et s</w:t>
      </w:r>
      <w:r w:rsidRPr="002A5818">
        <w:t>ur le fond, l’équipe gouvernementale rest</w:t>
      </w:r>
      <w:r w:rsidR="00FF5747">
        <w:t>ant</w:t>
      </w:r>
      <w:r w:rsidRPr="002A5818">
        <w:t xml:space="preserve"> sensiblement la même. Le seul changement majeur concerne le départ </w:t>
      </w:r>
      <w:bookmarkStart w:id="23" w:name="_Hlk220243304"/>
      <w:r w:rsidRPr="002A5818">
        <w:t xml:space="preserve">du ministre d’État </w:t>
      </w:r>
      <w:bookmarkStart w:id="24" w:name="_Hlk220244217"/>
      <w:r w:rsidRPr="002A5818">
        <w:t>de l’agriculture, du développement rural et des productions vivrières</w:t>
      </w:r>
      <w:bookmarkEnd w:id="24"/>
      <w:r w:rsidRPr="002A5818">
        <w:t>, M. Kobenan Kouassi Adjoumani.</w:t>
      </w:r>
      <w:bookmarkEnd w:id="23"/>
      <w:r w:rsidRPr="002A5818">
        <w:t xml:space="preserve"> </w:t>
      </w:r>
      <w:r w:rsidR="00C8647F" w:rsidRPr="002A5818">
        <w:t xml:space="preserve">De Laurent Gbagbo à Alassane Ouattara, l’homme a traversé les régimes sans jamais vraiment quitter le premier cercle du pouvoir. Une longévité politique rare, presque exceptionnelle. Professeur de formation, député depuis 1995, M. Kobenan Kouassi Adjoumani a fait son entrée au gouvernement en 2002, à la tête du ministère des ressources animales et halieutiques. Il y revient en 2011, lorsque le Président Alassane Ouattara s’installe au pouvoir. Huit années plus tard, en septembre 2019, il prend les rênes du ministère stratégique </w:t>
      </w:r>
      <w:r w:rsidR="002E5F1D" w:rsidRPr="002A5818">
        <w:t>de l</w:t>
      </w:r>
      <w:r w:rsidR="00C8647F" w:rsidRPr="002A5818">
        <w:t>’</w:t>
      </w:r>
      <w:r w:rsidR="002E5F1D" w:rsidRPr="002A5818">
        <w:t>a</w:t>
      </w:r>
      <w:r w:rsidR="00C8647F" w:rsidRPr="002A5818">
        <w:t xml:space="preserve">griculture et </w:t>
      </w:r>
      <w:r w:rsidR="002E5F1D" w:rsidRPr="002A5818">
        <w:t>du</w:t>
      </w:r>
      <w:r w:rsidR="00C8647F" w:rsidRPr="002A5818">
        <w:t xml:space="preserve"> </w:t>
      </w:r>
      <w:r w:rsidR="00FF5747">
        <w:t>d</w:t>
      </w:r>
      <w:r w:rsidR="00C8647F" w:rsidRPr="002A5818">
        <w:t xml:space="preserve">éveloppement rural, pilier de l’économie ivoirienne. </w:t>
      </w:r>
      <w:r w:rsidR="002E5F1D" w:rsidRPr="002A5818">
        <w:t xml:space="preserve">En avril 2021, il est élevé au rang de ministre d’État, confirmation de son poids politique. Porte-parole du parti au pouvoir (RHDP) il </w:t>
      </w:r>
      <w:r w:rsidR="009D6252" w:rsidRPr="002A5818">
        <w:t xml:space="preserve">avait également été réélu avec succès </w:t>
      </w:r>
      <w:r w:rsidR="002E5F1D" w:rsidRPr="002A5818">
        <w:t xml:space="preserve">aux législatives de fin décembre dernier </w:t>
      </w:r>
      <w:r w:rsidR="00C8647F" w:rsidRPr="002A5818">
        <w:t>comme député dans son fief</w:t>
      </w:r>
      <w:r w:rsidR="002E5F1D" w:rsidRPr="002A5818">
        <w:t xml:space="preserve"> de Tanda</w:t>
      </w:r>
      <w:r w:rsidR="001C3A1D" w:rsidRPr="002A5818">
        <w:t>, après déjà 25 ans de mandat</w:t>
      </w:r>
      <w:r w:rsidR="002E5F1D" w:rsidRPr="002A5818">
        <w:t>.</w:t>
      </w:r>
      <w:r w:rsidR="00C8647F" w:rsidRPr="002A5818">
        <w:t xml:space="preserve"> </w:t>
      </w:r>
      <w:r w:rsidR="009D6252" w:rsidRPr="002A5818">
        <w:t xml:space="preserve">Il est remplacé </w:t>
      </w:r>
      <w:r w:rsidR="001C3A1D" w:rsidRPr="002A5818">
        <w:t xml:space="preserve">à la tête du </w:t>
      </w:r>
      <w:r w:rsidR="001C3A1D" w:rsidRPr="002A5818">
        <w:rPr>
          <w:b/>
          <w:bCs/>
        </w:rPr>
        <w:t>ministère de l’agriculture, du développement rural et des productions vivrières</w:t>
      </w:r>
      <w:r w:rsidR="001C3A1D" w:rsidRPr="002A5818">
        <w:t xml:space="preserve"> </w:t>
      </w:r>
      <w:r w:rsidR="009D6252" w:rsidRPr="002A5818">
        <w:t xml:space="preserve">par </w:t>
      </w:r>
      <w:r w:rsidR="009D6252" w:rsidRPr="002A5818">
        <w:rPr>
          <w:b/>
          <w:bCs/>
        </w:rPr>
        <w:t>M. Bruno Nabagné Koné</w:t>
      </w:r>
      <w:r w:rsidR="009D6252" w:rsidRPr="002A5818">
        <w:t xml:space="preserve">, précédemment </w:t>
      </w:r>
      <w:r w:rsidR="002B16D5" w:rsidRPr="002A5818">
        <w:t xml:space="preserve">ministre </w:t>
      </w:r>
      <w:r w:rsidR="009D6252" w:rsidRPr="002A5818">
        <w:t xml:space="preserve">à la </w:t>
      </w:r>
      <w:r w:rsidR="002B16D5" w:rsidRPr="002A5818">
        <w:t>c</w:t>
      </w:r>
      <w:r w:rsidR="009D6252" w:rsidRPr="002A5818">
        <w:t xml:space="preserve">onstruction, au </w:t>
      </w:r>
      <w:r w:rsidR="002B16D5" w:rsidRPr="002A5818">
        <w:t>l</w:t>
      </w:r>
      <w:r w:rsidR="009D6252" w:rsidRPr="002A5818">
        <w:t>ogement et à l’</w:t>
      </w:r>
      <w:r w:rsidR="002B16D5" w:rsidRPr="002A5818">
        <w:t>u</w:t>
      </w:r>
      <w:r w:rsidR="009D6252" w:rsidRPr="002A5818">
        <w:t>rbanisme</w:t>
      </w:r>
      <w:r w:rsidR="002B16D5" w:rsidRPr="002A5818">
        <w:t xml:space="preserve">, qui a occupé plusieurs postes ministériels depuis 2011, dont celui, sous différentes appellations, en </w:t>
      </w:r>
      <w:r w:rsidR="002B16D5" w:rsidRPr="002A5818">
        <w:lastRenderedPageBreak/>
        <w:t xml:space="preserve">charge de l’économie numérique et de la poste entre 2022 et 2011. </w:t>
      </w:r>
      <w:r w:rsidR="006D5B2D" w:rsidRPr="002A5818">
        <w:t>Né le 6 septembre 1960, f</w:t>
      </w:r>
      <w:r w:rsidR="002B16D5" w:rsidRPr="002A5818">
        <w:t>ormé dans les domaines de la finance, il a</w:t>
      </w:r>
      <w:r w:rsidR="00543518" w:rsidRPr="002A5818">
        <w:t xml:space="preserve"> fait avant 2011</w:t>
      </w:r>
      <w:r w:rsidR="006D5B2D" w:rsidRPr="002A5818">
        <w:t>,</w:t>
      </w:r>
      <w:r w:rsidR="002B16D5" w:rsidRPr="002A5818">
        <w:t xml:space="preserve"> une grande partie de sa carrière</w:t>
      </w:r>
      <w:r w:rsidR="00543518" w:rsidRPr="002A5818">
        <w:t xml:space="preserve"> au sein de</w:t>
      </w:r>
      <w:r w:rsidR="002B16D5" w:rsidRPr="002A5818">
        <w:t xml:space="preserve"> </w:t>
      </w:r>
      <w:r w:rsidR="00543518" w:rsidRPr="002A5818">
        <w:t>l'opérateur historique du secteur des télécommunications en Côte d'Ivoire, filiale de France Télécom dont il a été le directeur général de 2005 à 2008, puis d’Orange Télécom.</w:t>
      </w:r>
    </w:p>
    <w:p w14:paraId="2FCE03C6" w14:textId="3426E065" w:rsidR="00B66FDF" w:rsidRPr="002A5818" w:rsidRDefault="006D5B2D" w:rsidP="00B66FDF">
      <w:pPr>
        <w:spacing w:after="0"/>
      </w:pPr>
      <w:r w:rsidRPr="002A5818">
        <w:t xml:space="preserve">Malgré son échec aux dernières élections législatives, le </w:t>
      </w:r>
      <w:r w:rsidRPr="002A5818">
        <w:rPr>
          <w:b/>
          <w:bCs/>
        </w:rPr>
        <w:t>m</w:t>
      </w:r>
      <w:r w:rsidR="00B66FDF" w:rsidRPr="002A5818">
        <w:rPr>
          <w:b/>
          <w:bCs/>
        </w:rPr>
        <w:t xml:space="preserve">inistre des </w:t>
      </w:r>
      <w:r w:rsidRPr="002A5818">
        <w:rPr>
          <w:b/>
          <w:bCs/>
        </w:rPr>
        <w:t>r</w:t>
      </w:r>
      <w:r w:rsidR="00B66FDF" w:rsidRPr="002A5818">
        <w:rPr>
          <w:b/>
          <w:bCs/>
        </w:rPr>
        <w:t>essources animales et halieutiques</w:t>
      </w:r>
      <w:r w:rsidRPr="002A5818">
        <w:rPr>
          <w:b/>
          <w:bCs/>
        </w:rPr>
        <w:t xml:space="preserve">, M. </w:t>
      </w:r>
      <w:r w:rsidR="00B66FDF" w:rsidRPr="002A5818">
        <w:rPr>
          <w:b/>
          <w:bCs/>
        </w:rPr>
        <w:t>Sidi Tiemoko Touré</w:t>
      </w:r>
      <w:r w:rsidRPr="002A5818">
        <w:t xml:space="preserve">, a été reconduit à son poste. Ce qui n’a pas été le cas du </w:t>
      </w:r>
      <w:r w:rsidRPr="002A5818">
        <w:rPr>
          <w:b/>
          <w:bCs/>
        </w:rPr>
        <w:t>m</w:t>
      </w:r>
      <w:r w:rsidR="00B66FDF" w:rsidRPr="002A5818">
        <w:rPr>
          <w:b/>
          <w:bCs/>
        </w:rPr>
        <w:t xml:space="preserve">inistre des </w:t>
      </w:r>
      <w:r w:rsidR="004C353E" w:rsidRPr="002A5818">
        <w:rPr>
          <w:b/>
          <w:bCs/>
        </w:rPr>
        <w:t>e</w:t>
      </w:r>
      <w:r w:rsidR="00B66FDF" w:rsidRPr="002A5818">
        <w:rPr>
          <w:b/>
          <w:bCs/>
        </w:rPr>
        <w:t xml:space="preserve">aux et </w:t>
      </w:r>
      <w:r w:rsidR="004C353E" w:rsidRPr="002A5818">
        <w:rPr>
          <w:b/>
          <w:bCs/>
        </w:rPr>
        <w:t>f</w:t>
      </w:r>
      <w:r w:rsidR="00B66FDF" w:rsidRPr="002A5818">
        <w:rPr>
          <w:b/>
          <w:bCs/>
        </w:rPr>
        <w:t>orêts</w:t>
      </w:r>
      <w:r w:rsidRPr="002A5818">
        <w:t xml:space="preserve">, M. Laurent Tchagba, pourtant réélu. Il a été remplacé par </w:t>
      </w:r>
      <w:r w:rsidRPr="002A5818">
        <w:rPr>
          <w:b/>
          <w:bCs/>
        </w:rPr>
        <w:t>M.</w:t>
      </w:r>
      <w:r w:rsidR="004C353E" w:rsidRPr="002A5818">
        <w:rPr>
          <w:b/>
          <w:bCs/>
        </w:rPr>
        <w:t> </w:t>
      </w:r>
      <w:r w:rsidR="00B66FDF" w:rsidRPr="002A5818">
        <w:rPr>
          <w:b/>
          <w:bCs/>
        </w:rPr>
        <w:t>Jacques Asaoré Konan</w:t>
      </w:r>
      <w:r w:rsidRPr="002A5818">
        <w:t xml:space="preserve"> </w:t>
      </w:r>
      <w:r w:rsidR="004C353E" w:rsidRPr="002A5818">
        <w:t xml:space="preserve">qui était depuis septembre 2023, </w:t>
      </w:r>
      <w:r w:rsidRPr="002A5818">
        <w:t>ministre de l'</w:t>
      </w:r>
      <w:r w:rsidR="004C353E" w:rsidRPr="002A5818">
        <w:t>e</w:t>
      </w:r>
      <w:r w:rsidRPr="002A5818">
        <w:t xml:space="preserve">nvironnement, du </w:t>
      </w:r>
      <w:r w:rsidR="004C353E" w:rsidRPr="002A5818">
        <w:t>d</w:t>
      </w:r>
      <w:r w:rsidRPr="002A5818">
        <w:t xml:space="preserve">éveloppement durable et de la </w:t>
      </w:r>
      <w:r w:rsidR="004C353E" w:rsidRPr="002A5818">
        <w:t>t</w:t>
      </w:r>
      <w:r w:rsidRPr="002A5818">
        <w:t>ransition écologique</w:t>
      </w:r>
      <w:r w:rsidR="004C353E" w:rsidRPr="002A5818">
        <w:t>. Né le 8 juillet 1961, de formation juridique et diplômé du cycle supérieur de l’École nationale d'administration (ENA) option trésor, il a occupé plusieurs fonctions au Trésor public ivoirien avant d’en devenir le directeur général de 2016 à 2023.</w:t>
      </w:r>
    </w:p>
    <w:p w14:paraId="03998570" w14:textId="237FDE99" w:rsidR="00B66FDF" w:rsidRPr="002A5818" w:rsidRDefault="00B66FDF" w:rsidP="00B66FDF">
      <w:pPr>
        <w:spacing w:after="0"/>
      </w:pPr>
      <w:r w:rsidRPr="002A5818">
        <w:t xml:space="preserve">A noter la création du poste de </w:t>
      </w:r>
      <w:r w:rsidRPr="002A5818">
        <w:rPr>
          <w:b/>
          <w:bCs/>
        </w:rPr>
        <w:t>ministre délégué auprès du ministre de l’agriculture, du</w:t>
      </w:r>
      <w:r w:rsidR="004C353E" w:rsidRPr="002A5818">
        <w:rPr>
          <w:b/>
          <w:bCs/>
        </w:rPr>
        <w:t xml:space="preserve"> </w:t>
      </w:r>
      <w:r w:rsidRPr="002A5818">
        <w:rPr>
          <w:b/>
          <w:bCs/>
        </w:rPr>
        <w:t>développement rural et des productions vivrières, chargé des productions vivrières</w:t>
      </w:r>
      <w:r w:rsidRPr="002A5818">
        <w:t xml:space="preserve">, confié à </w:t>
      </w:r>
      <w:r w:rsidRPr="002A5818">
        <w:rPr>
          <w:b/>
          <w:bCs/>
        </w:rPr>
        <w:t>M. Bernard Kini Comoé</w:t>
      </w:r>
      <w:r w:rsidRPr="002A5818">
        <w:t>. Avant sa nomination, M. Bernard Kini-Komoé était coordonnateur du Projet de développement des chaînes de valeur vivrières (PDC2V), un programme visant à renforcer la productivité agricole, améliorer la transformation locale et sécuriser les revenus des producteurs. Sa nomination s’inscrit dans la volonté des autorités de renforcer la gouvernance du secteur vivrier, pilier de la sécurité alimentaire nationale et levier essentiel de la lutte contre la vie chère. Il a pour mission d’accélérer la mise en œuvre des politiques publiques en matière de production vivrière, d’améliorer l’approvisionnement des marchés, de soutenir les filières locales et de contribuer à la stabilisation des prix des denrées de grande consommation.</w:t>
      </w:r>
    </w:p>
    <w:bookmarkEnd w:id="22"/>
    <w:p w14:paraId="507167A9" w14:textId="77777777" w:rsidR="00760A35" w:rsidRPr="002A5818" w:rsidRDefault="00760A35" w:rsidP="00760A35">
      <w:pPr>
        <w:keepNext/>
        <w:keepLines/>
        <w:spacing w:after="0"/>
        <w:outlineLvl w:val="1"/>
        <w:rPr>
          <w:rFonts w:eastAsiaTheme="majorEastAsia" w:cstheme="majorBidi"/>
          <w:b/>
          <w:szCs w:val="26"/>
        </w:rPr>
      </w:pPr>
    </w:p>
    <w:p w14:paraId="27B2FAB3" w14:textId="043A6CED" w:rsidR="00760A35" w:rsidRPr="002A5818" w:rsidRDefault="00760A35" w:rsidP="00760A35">
      <w:pPr>
        <w:keepNext/>
        <w:keepLines/>
        <w:spacing w:after="0"/>
        <w:outlineLvl w:val="1"/>
        <w:rPr>
          <w:b/>
          <w:bCs/>
        </w:rPr>
      </w:pPr>
      <w:bookmarkStart w:id="25" w:name="_Toc221044159"/>
      <w:r w:rsidRPr="002A5818">
        <w:rPr>
          <w:b/>
          <w:bCs/>
        </w:rPr>
        <w:t>Climat – Vers un dispositif national de prévisions pour l’agriculture.</w:t>
      </w:r>
      <w:bookmarkEnd w:id="25"/>
    </w:p>
    <w:p w14:paraId="4590F0B9" w14:textId="0346E490" w:rsidR="00760A35" w:rsidRPr="002A5818" w:rsidRDefault="00760A35" w:rsidP="00760A35">
      <w:pPr>
        <w:spacing w:after="0"/>
      </w:pPr>
      <w:r w:rsidRPr="002A5818">
        <w:t xml:space="preserve">Le gouvernement ivoirien travaille à la création d’un dispositif national de prévisions agro-climatiques, a annoncé le 29 janvier le directeur général du développement rural, M. Rodrigue Koffi </w:t>
      </w:r>
      <w:bookmarkStart w:id="26" w:name="_Hlk220767607"/>
      <w:r w:rsidRPr="002A5818">
        <w:t>N’Guessan</w:t>
      </w:r>
      <w:bookmarkEnd w:id="26"/>
      <w:r w:rsidRPr="002A5818">
        <w:t>, à l’occasion d’un atelier de validation organisé par la Société d’exploitation et de développement aéroportuaire, aéronautique et météorologique (SODEXAM) et ses partenaires. Ce dispositif est un impératif pour améliorer les calendriers culturaux qui ont montré leurs limites face à la variabilité climatique. M. N’Guessan a souligné l’impact réel du dérèglement climatique sur l’agriculture, moteur de l’économie ivoirienne, insistant sur la situation des régions de l’intérieur, confrontées à une raréfaction critique des pluies. D’après un document publié par la direction de la lutte contre les changements climatiques, la hausse des températures et les modifications du régime des pluies ont affecté un quart du PIB national et plus de la moitié des emplois.</w:t>
      </w:r>
    </w:p>
    <w:p w14:paraId="3AAA6B33" w14:textId="77777777" w:rsidR="00760A35" w:rsidRPr="002A5818" w:rsidRDefault="00760A35" w:rsidP="00760A35">
      <w:pPr>
        <w:spacing w:after="0"/>
      </w:pPr>
    </w:p>
    <w:p w14:paraId="606CAB91" w14:textId="61DB8826" w:rsidR="00BF0768" w:rsidRPr="002A5818" w:rsidRDefault="00BF0768" w:rsidP="00BF0768">
      <w:pPr>
        <w:keepNext/>
        <w:keepLines/>
        <w:spacing w:after="0"/>
        <w:outlineLvl w:val="1"/>
        <w:rPr>
          <w:b/>
          <w:bCs/>
        </w:rPr>
      </w:pPr>
      <w:bookmarkStart w:id="27" w:name="_Toc221044160"/>
      <w:bookmarkStart w:id="28" w:name="_Hlk220767688"/>
      <w:r w:rsidRPr="002A5818">
        <w:rPr>
          <w:rFonts w:eastAsiaTheme="majorEastAsia" w:cstheme="majorBidi"/>
          <w:b/>
          <w:szCs w:val="26"/>
        </w:rPr>
        <w:t xml:space="preserve">Cacao – </w:t>
      </w:r>
      <w:r w:rsidRPr="002A5818">
        <w:rPr>
          <w:b/>
          <w:bCs/>
        </w:rPr>
        <w:t>Demande mondiale orientée à la baisse.</w:t>
      </w:r>
      <w:bookmarkEnd w:id="27"/>
    </w:p>
    <w:bookmarkEnd w:id="28"/>
    <w:p w14:paraId="43FED48F" w14:textId="658BC2A9" w:rsidR="00BF0768" w:rsidRPr="002A5818" w:rsidRDefault="00BF0768" w:rsidP="00BF0768">
      <w:pPr>
        <w:spacing w:after="0"/>
      </w:pPr>
      <w:r w:rsidRPr="002A5818">
        <w:t>Cette tendance est donnée par un indicateur</w:t>
      </w:r>
      <w:r w:rsidR="00FF5747">
        <w:t>,</w:t>
      </w:r>
      <w:r w:rsidRPr="002A5818">
        <w:t xml:space="preserve"> le volume de fèves transformé par les broyeurs. Les broyeurs sont les industriels qui transforment la fève brute en différents produits comme la pâte de cacao ou le beurre, qui sont ensuite vendus à l'industrie de l'agroalimentaire ou à des chocolatiers. Le chiffre des broyages est considéré comme l'indicateur le plus fiable pour évaluer la demande. Schématiquement, quand les Européens mangent moins de chocolat, les broyeurs européens ralentissent la cadence. Les chiffres du quatrième trimestre 2025 qui viennent d'être publiés sont révélateurs : en Europe, les broyages ont baissé de plus de 8% par rapport à la même période l'année dernière, selon l'Association européenne du cacao (ECA), </w:t>
      </w:r>
      <w:r w:rsidRPr="002A5818">
        <w:lastRenderedPageBreak/>
        <w:t>de 5% en Asie selon la Cocoa Association of Asia et de 13% au Brésil. Il n'y a guère qu'aux États-Unis que les broyages se maintiennent. Ces baisses montrent une diminution de la demande, en raison du prix des fèves devenu trop élevé entre 2024 et 2025. Au Brésil, l'Association nationale des industries de transformation du cacao (AIPC) confirme une chute de la consommation nationale de produits chocolatés, cette chute dépassant 20% pour certaines catégories comme la liqueur de cacao et le beurre de cacao. Si les broyages sont en baisse, cela veut dire que les achats de fèves diminuent et que par rapport à cette baisse de la demande, tout excédent de l'offre sur le marché entraîne une baisse des prix. Cette situation se reflète déjà dans les cours qui ont commencé à fléchir depuis mai 2025. A leur sommet en 2024, les cours avaient frôlé les 12 000 USD/tonne, ils peinent aujourd'hui à atteindre 5 000 USD/tonne. Les annonces des dernières statistiques de broyages ne sont pas de nature à inverser la tendance et à faire remonter les prix. Ce repli des cours mondiaux a une incidence immédiate sur les producteurs dans les pays où les prix sont libres et suivent le marché, comme par exemple au Cameroun. En revanche, chez le premier producteur mondial, la Côte d'Ivoire, les producteurs touchent un prix de 2 800 FCFA/kg fixé en amont pour toute la campagne de cacao. Mais c’est l’enjeu de la campagne actuelle et peut être encore plus de la petite campagne au printemps, sera de parvenir à écouler la production au prix garanti aux producteurs.</w:t>
      </w:r>
    </w:p>
    <w:p w14:paraId="62539110" w14:textId="77777777" w:rsidR="00BF0768" w:rsidRPr="002A5818" w:rsidRDefault="00BF0768" w:rsidP="00FF6370">
      <w:pPr>
        <w:keepNext/>
        <w:keepLines/>
        <w:spacing w:after="0"/>
        <w:outlineLvl w:val="1"/>
        <w:rPr>
          <w:rFonts w:eastAsiaTheme="majorEastAsia" w:cstheme="majorBidi"/>
          <w:b/>
          <w:szCs w:val="26"/>
        </w:rPr>
      </w:pPr>
    </w:p>
    <w:p w14:paraId="0677C0D8" w14:textId="0B588C4C" w:rsidR="00FF6370" w:rsidRPr="002A5818" w:rsidRDefault="00FF6370" w:rsidP="00FF6370">
      <w:pPr>
        <w:keepNext/>
        <w:keepLines/>
        <w:spacing w:after="0"/>
        <w:outlineLvl w:val="1"/>
      </w:pPr>
      <w:bookmarkStart w:id="29" w:name="_Toc221044161"/>
      <w:bookmarkStart w:id="30" w:name="_Hlk220167931"/>
      <w:r w:rsidRPr="002A5818">
        <w:rPr>
          <w:rFonts w:eastAsiaTheme="majorEastAsia" w:cstheme="majorBidi"/>
          <w:b/>
          <w:szCs w:val="26"/>
        </w:rPr>
        <w:t xml:space="preserve">Cacao – </w:t>
      </w:r>
      <w:r w:rsidR="001F6B84" w:rsidRPr="002A5818">
        <w:rPr>
          <w:rFonts w:eastAsiaTheme="majorEastAsia" w:cstheme="majorBidi"/>
          <w:b/>
          <w:szCs w:val="26"/>
        </w:rPr>
        <w:t>L</w:t>
      </w:r>
      <w:r w:rsidR="001B7BCB" w:rsidRPr="002A5818">
        <w:rPr>
          <w:rFonts w:eastAsiaTheme="majorEastAsia" w:cstheme="majorBidi"/>
          <w:b/>
          <w:szCs w:val="26"/>
        </w:rPr>
        <w:t>’État mobilise 280 Md FCFA pour racheter le cacao invendu</w:t>
      </w:r>
      <w:r w:rsidRPr="002A5818">
        <w:rPr>
          <w:rFonts w:eastAsiaTheme="majorEastAsia" w:cstheme="majorBidi"/>
          <w:b/>
          <w:szCs w:val="26"/>
        </w:rPr>
        <w:t>.</w:t>
      </w:r>
      <w:bookmarkEnd w:id="29"/>
    </w:p>
    <w:bookmarkEnd w:id="30"/>
    <w:p w14:paraId="0A70FD05" w14:textId="51AF667C" w:rsidR="001B7BCB" w:rsidRPr="002A5818" w:rsidRDefault="001B7BCB" w:rsidP="00CB7561">
      <w:pPr>
        <w:spacing w:after="0"/>
      </w:pPr>
      <w:r w:rsidRPr="002A5818">
        <w:t>Face aux difficultés d’écoulement rencontrées par les planteurs, le ministère d’État</w:t>
      </w:r>
      <w:r w:rsidR="00664663" w:rsidRPr="002A5818">
        <w:t xml:space="preserve"> démissionnaire</w:t>
      </w:r>
      <w:r w:rsidRPr="002A5818">
        <w:t xml:space="preserve">, ministre </w:t>
      </w:r>
      <w:bookmarkStart w:id="31" w:name="_Hlk220243131"/>
      <w:r w:rsidRPr="002A5818">
        <w:t>de l’agriculture, du développement rural et des productions vivrières</w:t>
      </w:r>
      <w:bookmarkEnd w:id="31"/>
      <w:r w:rsidRPr="002A5818">
        <w:t>, M. Kobenan Kouassi Adjoumani a annoncé le 20 janvier une enveloppe massive de plus de 280</w:t>
      </w:r>
      <w:r w:rsidR="00917F76" w:rsidRPr="002A5818">
        <w:t> </w:t>
      </w:r>
      <w:r w:rsidRPr="002A5818">
        <w:t>Md FCFA destinée au rachat des surplus de fèves.</w:t>
      </w:r>
      <w:r w:rsidR="002069D3" w:rsidRPr="002A5818">
        <w:t xml:space="preserve"> </w:t>
      </w:r>
      <w:r w:rsidR="00664663" w:rsidRPr="002A5818">
        <w:t xml:space="preserve">Dans un contexte défavorable où les prix internationaux ont dégringolé, les achats ont été freiné, créant un engorgement au bord champ. </w:t>
      </w:r>
      <w:r w:rsidR="002069D3" w:rsidRPr="002A5818">
        <w:t>E</w:t>
      </w:r>
      <w:r w:rsidRPr="002A5818">
        <w:t>nviron 123 000 tonnes de cacao s</w:t>
      </w:r>
      <w:r w:rsidR="002069D3" w:rsidRPr="002A5818">
        <w:t>eraie</w:t>
      </w:r>
      <w:r w:rsidRPr="002A5818">
        <w:t xml:space="preserve">nt actuellement en attente dans les zones de production. </w:t>
      </w:r>
      <w:r w:rsidR="00CB7561" w:rsidRPr="002A5818">
        <w:t>Cependant, au prix minimum garanti de 2 800 FCFA/kg annoncé pour la campagne 2025/2026, les observateurs estiment que le coût total pourrait plutôt avoisiner 344,4</w:t>
      </w:r>
      <w:r w:rsidR="00917F76" w:rsidRPr="002A5818">
        <w:t> </w:t>
      </w:r>
      <w:r w:rsidR="00CB7561" w:rsidRPr="002A5818">
        <w:t>Md</w:t>
      </w:r>
      <w:r w:rsidR="00917F76" w:rsidRPr="002A5818">
        <w:t> </w:t>
      </w:r>
      <w:r w:rsidR="00CB7561" w:rsidRPr="002A5818">
        <w:t>FCFA. Au-delà du montant alloué, la question centrale demeure celle de l’origine des fonds. À ce stade, aucune précision n’a été donnée sur l’origine de l’enveloppe qui sera mobilisée. Les années antérieures, le Conseil du Café-Cacao</w:t>
      </w:r>
      <w:r w:rsidR="00664663" w:rsidRPr="002A5818">
        <w:t xml:space="preserve"> (CCC)</w:t>
      </w:r>
      <w:r w:rsidR="00CB7561" w:rsidRPr="002A5818">
        <w:t xml:space="preserve"> a très bien vendu le cacao avec les prix en hausse. Il applique un mécanisme de compensation qui permet de combler </w:t>
      </w:r>
      <w:r w:rsidR="005D63DA">
        <w:t xml:space="preserve">l’écart </w:t>
      </w:r>
      <w:r w:rsidR="00CB7561" w:rsidRPr="002A5818">
        <w:t>entre le prix d’achat des contrats par les exportateurs et le prix du marché quand il baisse. Le régulateur n’a pas</w:t>
      </w:r>
      <w:r w:rsidR="00FF5747">
        <w:t xml:space="preserve"> eu à</w:t>
      </w:r>
      <w:r w:rsidR="00CB7561" w:rsidRPr="002A5818">
        <w:t xml:space="preserve"> fai</w:t>
      </w:r>
      <w:r w:rsidR="005D63DA">
        <w:t>re</w:t>
      </w:r>
      <w:r w:rsidR="00CB7561" w:rsidRPr="002A5818">
        <w:t xml:space="preserve"> de reversements ces dernières années. </w:t>
      </w:r>
      <w:r w:rsidR="00664663" w:rsidRPr="002A5818">
        <w:t>Il y a 10 ans, le CCC avait été contraint de revendre sur le marché mondial, à des prix nettement inférieurs, des contrats défaillants, essuyant alors une perte sans précédent de plus de 200 Md FCFA. L</w:t>
      </w:r>
      <w:r w:rsidR="002069D3" w:rsidRPr="002A5818">
        <w:t xml:space="preserve">e </w:t>
      </w:r>
      <w:r w:rsidRPr="002A5818">
        <w:t xml:space="preserve">plan </w:t>
      </w:r>
      <w:r w:rsidR="00664663" w:rsidRPr="002A5818">
        <w:t xml:space="preserve">actuel </w:t>
      </w:r>
      <w:r w:rsidRPr="002A5818">
        <w:t xml:space="preserve">d’urgence opérationnel </w:t>
      </w:r>
      <w:r w:rsidR="002069D3" w:rsidRPr="002A5818">
        <w:t xml:space="preserve">et d’enlèvement immédiat </w:t>
      </w:r>
      <w:r w:rsidRPr="002A5818">
        <w:t>annoncé</w:t>
      </w:r>
      <w:r w:rsidR="002069D3" w:rsidRPr="002A5818">
        <w:t xml:space="preserve"> par le ministre d’Etat a été validé </w:t>
      </w:r>
      <w:r w:rsidRPr="002A5818">
        <w:t>de concert avec le CCC et l’Organisation interprofessionnelle agricole (OIA). Ce mécanisme se poursuivra tout au long de la campagne afin de décongestionner le bord champ et restaurer la fluidité des achats</w:t>
      </w:r>
      <w:r w:rsidR="002069D3" w:rsidRPr="002A5818">
        <w:t xml:space="preserve"> a souligné le ministre d’Etat</w:t>
      </w:r>
      <w:r w:rsidRPr="002A5818">
        <w:t>.</w:t>
      </w:r>
      <w:r w:rsidR="002069D3" w:rsidRPr="002A5818">
        <w:t xml:space="preserve"> </w:t>
      </w:r>
      <w:r w:rsidRPr="002A5818">
        <w:t>L’État s’appuiera prioritairement sur des opérateurs nationaux structurés pour mener ces opérations de rachat. Ces derniers travailleront en synergie avec les broyeurs et les exportateurs internationaux pour sécuriser l’évacuation des fèves vers les ports et les usines de transformation.</w:t>
      </w:r>
      <w:r w:rsidR="002069D3" w:rsidRPr="002A5818">
        <w:t xml:space="preserve"> </w:t>
      </w:r>
      <w:r w:rsidRPr="002A5818">
        <w:t xml:space="preserve">Au-delà de la logistique, cette mesure vise </w:t>
      </w:r>
      <w:r w:rsidR="002069D3" w:rsidRPr="002A5818">
        <w:t xml:space="preserve">également </w:t>
      </w:r>
      <w:r w:rsidRPr="002A5818">
        <w:t xml:space="preserve">à </w:t>
      </w:r>
      <w:r w:rsidR="002069D3" w:rsidRPr="002A5818">
        <w:t xml:space="preserve">répondre à </w:t>
      </w:r>
      <w:r w:rsidRPr="002A5818">
        <w:t xml:space="preserve">la pression des flux transfrontaliers. Des </w:t>
      </w:r>
      <w:r w:rsidR="002069D3" w:rsidRPr="002A5818">
        <w:t xml:space="preserve">opérateurs de </w:t>
      </w:r>
      <w:r w:rsidRPr="002A5818">
        <w:t xml:space="preserve">pays limitrophes, pratiquant des prix inférieurs à ceux de la Côte d’Ivoire, tentent d’écouler leurs produits sur le marché ivoirien, déstabilisant davantage la filière locale. </w:t>
      </w:r>
      <w:r w:rsidR="002515D4" w:rsidRPr="002A5818">
        <w:t>L</w:t>
      </w:r>
      <w:r w:rsidRPr="002A5818">
        <w:t xml:space="preserve">e dispositif de </w:t>
      </w:r>
      <w:r w:rsidRPr="002A5818">
        <w:lastRenderedPageBreak/>
        <w:t xml:space="preserve">surveillance </w:t>
      </w:r>
      <w:r w:rsidR="002515D4" w:rsidRPr="002A5818">
        <w:t xml:space="preserve">des </w:t>
      </w:r>
      <w:r w:rsidRPr="002A5818">
        <w:t>frontières a été renforcé.</w:t>
      </w:r>
      <w:r w:rsidR="002515D4" w:rsidRPr="002A5818">
        <w:t xml:space="preserve"> </w:t>
      </w:r>
      <w:r w:rsidRPr="002A5818">
        <w:t>Le ministre</w:t>
      </w:r>
      <w:r w:rsidR="002515D4" w:rsidRPr="002A5818">
        <w:t xml:space="preserve"> d’Etat </w:t>
      </w:r>
      <w:r w:rsidRPr="002A5818">
        <w:t>a exigé le respect strict du prix de 2 800 FCFA/kg fixé garantissant que les premières opérations d’enlèvement produiront des effets concrets sur le terrain dans les jours à venir.</w:t>
      </w:r>
    </w:p>
    <w:p w14:paraId="7F2377F9" w14:textId="358C86FC" w:rsidR="008252FD" w:rsidRPr="002A5818" w:rsidRDefault="002515D4" w:rsidP="00917F76">
      <w:pPr>
        <w:spacing w:after="0"/>
      </w:pPr>
      <w:r w:rsidRPr="002A5818">
        <w:t>Cette annonce intervient alors que l</w:t>
      </w:r>
      <w:r w:rsidR="00FF6370" w:rsidRPr="002A5818">
        <w:t>a filière cacao ivoirienne est confrontée à un surplus de fèves disponible</w:t>
      </w:r>
      <w:r w:rsidR="005D63DA">
        <w:t>s</w:t>
      </w:r>
      <w:r w:rsidR="00FF6370" w:rsidRPr="002A5818">
        <w:t xml:space="preserve"> sur le marché qui serait d’abord le résultat normal du mécanisme de stabilisation mis en place par l’État, qui prévoit la vente anticipée de 85% de la production et la commercialisation de 15% au cours de la campagne. </w:t>
      </w:r>
      <w:r w:rsidR="009B7499" w:rsidRPr="002A5818">
        <w:t xml:space="preserve">En effet, la vente du cacao est organisée par anticipation de la campagne à venir. Le CCC attribue aux exportateurs des volumes à des prix déterminés et sur des périodes définies. Une fois que l’acheteur final (la contrepartie) confirme l’opération via le système informatique du CCC, la vente est actée, le CCC en étant le garant. Pour la campagne 2025/2026, 109 exportateurs ont été agréés. Le prix bord champ est calculé sur la base de la moyenne pondérée des prix et des volumes attribués, à laquelle est appliqué un coefficient de 60%. Selon les données disponibles, 80% du cacao ivoirien aurait déjà été vendu par anticipation à une moyenne pondérée de 4 149 FCFA/kg, ce qui donne un prix bord champ théorique d’environ 2 489 FCFA, finalement relevé à 2 800 FCFA par décision gouvernementale. </w:t>
      </w:r>
      <w:r w:rsidR="00FF6370" w:rsidRPr="002A5818">
        <w:t>Ce prix élevé</w:t>
      </w:r>
      <w:r w:rsidR="0037608F" w:rsidRPr="002A5818">
        <w:t xml:space="preserve"> fixé en début de campagne se serait traduit par l’arrêt d’une grande partie de la contrebande vers les pays voisins, et a contrario par un afflux de fèves en provenance du Liberia, de la Guinée et du Ghana vers les ports ivoiriens. Ce prix élevé</w:t>
      </w:r>
      <w:r w:rsidR="00FF6370" w:rsidRPr="002A5818">
        <w:t xml:space="preserve"> aurait également entraîné un phénomène de spéculation interne, provoquée par un report de stocks de la campagne précédente sur la campagne actuelle. Anticipant une hausse du prix, des opérateurs auraient stocké des quantités significatives de cacao issues de l’ancienne récolte, stocks considérés de plus de qualité inférieure, afin de les revendre au prix de la nouvelle campagne, contribuant ainsi à gonfler artificiellement les volumes disponibles. Le Conseil du Café-Cacao (CCC) avait déjà vendu par anticipation </w:t>
      </w:r>
      <w:r w:rsidR="0037608F" w:rsidRPr="002A5818">
        <w:t>une grande partie</w:t>
      </w:r>
      <w:r w:rsidR="00FF6370" w:rsidRPr="002A5818">
        <w:t xml:space="preserve"> de la production nationale sur la base d’estimations établies bien avant ces reports de stocks. La Côte d’Ivoire se retrouve donc actuellement avec plus de cacao que prévu et une montée des tensions entre les différents acteurs de la filière, nationaux ou internationaux. </w:t>
      </w:r>
      <w:r w:rsidR="00543A66" w:rsidRPr="002A5818">
        <w:t xml:space="preserve">En plus d’un surplus de fèves, la </w:t>
      </w:r>
      <w:r w:rsidR="008252FD" w:rsidRPr="002A5818">
        <w:t>situation résulte</w:t>
      </w:r>
      <w:r w:rsidR="00543A66" w:rsidRPr="002A5818">
        <w:t>rait</w:t>
      </w:r>
      <w:r w:rsidR="008252FD" w:rsidRPr="002A5818">
        <w:t xml:space="preserve"> </w:t>
      </w:r>
      <w:r w:rsidR="00543A66" w:rsidRPr="002A5818">
        <w:t xml:space="preserve">également </w:t>
      </w:r>
      <w:r w:rsidR="008252FD" w:rsidRPr="002A5818">
        <w:t>de la spéculation de plusieurs opérateurs lors des contrats de déblocage de vente par anticipation de la récolte, à laquelle s’ajoute</w:t>
      </w:r>
      <w:r w:rsidR="00543A66" w:rsidRPr="002A5818">
        <w:t>rait</w:t>
      </w:r>
      <w:r w:rsidR="008252FD" w:rsidRPr="002A5818">
        <w:t xml:space="preserve"> une crise de liquidité qui frappe principalement les négociants locaux</w:t>
      </w:r>
      <w:r w:rsidR="00543A66" w:rsidRPr="002A5818">
        <w:t xml:space="preserve">. </w:t>
      </w:r>
      <w:r w:rsidR="008252FD" w:rsidRPr="002A5818">
        <w:t>Lors des contrats de prévente de la récolte 2025-2026, au premier semestre 2025, des opérateurs ont fait des offres allant de 7 000 à 8</w:t>
      </w:r>
      <w:r w:rsidRPr="002A5818">
        <w:t> </w:t>
      </w:r>
      <w:r w:rsidR="008252FD" w:rsidRPr="002A5818">
        <w:t>000</w:t>
      </w:r>
      <w:r w:rsidR="00F50F8F" w:rsidRPr="002A5818">
        <w:t> GBP</w:t>
      </w:r>
      <w:r w:rsidR="008252FD" w:rsidRPr="002A5818">
        <w:t xml:space="preserve"> la tonne, tablant sur des prix haussiers liés notamment à l’incertitude autour de la présidentielle d’octobre </w:t>
      </w:r>
      <w:r w:rsidRPr="002A5818">
        <w:t xml:space="preserve">2025 </w:t>
      </w:r>
      <w:r w:rsidR="008252FD" w:rsidRPr="002A5818">
        <w:t>et espérant engranger des plus-values</w:t>
      </w:r>
      <w:r w:rsidR="00543A66" w:rsidRPr="002A5818">
        <w:t>, s</w:t>
      </w:r>
      <w:r w:rsidR="008252FD" w:rsidRPr="002A5818">
        <w:t>auf que, dans les faits, une fois l’élection passée</w:t>
      </w:r>
      <w:r w:rsidR="00543A66" w:rsidRPr="002A5818">
        <w:t xml:space="preserve">, </w:t>
      </w:r>
      <w:r w:rsidR="008252FD" w:rsidRPr="002A5818">
        <w:t xml:space="preserve">les livraisons pour le mois de décembre sur le marché de Londres, principale place mondiale du négoce du cacao avec le marché de New York, ont été réalisées à un prix de 5 200 </w:t>
      </w:r>
      <w:r w:rsidR="00F50F8F" w:rsidRPr="002A5818">
        <w:t>GBP</w:t>
      </w:r>
      <w:r w:rsidR="008252FD" w:rsidRPr="002A5818">
        <w:t xml:space="preserve"> la tonne.</w:t>
      </w:r>
      <w:r w:rsidR="00543A66" w:rsidRPr="002A5818">
        <w:t xml:space="preserve"> Aussi, n</w:t>
      </w:r>
      <w:r w:rsidR="008252FD" w:rsidRPr="002A5818">
        <w:t xml:space="preserve">ombre d’exportateurs nationaux, sous pression financière, ont ralenti leurs achats </w:t>
      </w:r>
      <w:r w:rsidR="003C179F" w:rsidRPr="002A5818">
        <w:t xml:space="preserve">ou les </w:t>
      </w:r>
      <w:r w:rsidR="008252FD" w:rsidRPr="002A5818">
        <w:t>ont arrêtés</w:t>
      </w:r>
      <w:r w:rsidR="003C179F" w:rsidRPr="002A5818">
        <w:t>, certains ayant même été incapables d’exécuter leurs contrats, faute de débouchés rentables.</w:t>
      </w:r>
      <w:r w:rsidR="008252FD" w:rsidRPr="002A5818">
        <w:t xml:space="preserve"> Les défauts de contrats sont estimés entre 150 000 et 200 000 tonnes</w:t>
      </w:r>
      <w:r w:rsidR="00543A66" w:rsidRPr="002A5818">
        <w:t xml:space="preserve"> (</w:t>
      </w:r>
      <w:r w:rsidR="00543A66" w:rsidRPr="002A5818">
        <w:rPr>
          <w:i/>
          <w:iCs/>
        </w:rPr>
        <w:t>cf. Griot agri agro de décembre 2025</w:t>
      </w:r>
      <w:r w:rsidR="00543A66" w:rsidRPr="002A5818">
        <w:t>)</w:t>
      </w:r>
      <w:r w:rsidR="008252FD" w:rsidRPr="002A5818">
        <w:t xml:space="preserve">. En parallèle, les </w:t>
      </w:r>
      <w:r w:rsidR="00823DBF" w:rsidRPr="002A5818">
        <w:t xml:space="preserve">multinationales </w:t>
      </w:r>
      <w:r w:rsidR="008252FD" w:rsidRPr="002A5818">
        <w:t>du secteur, dont C</w:t>
      </w:r>
      <w:r w:rsidR="00F50F8F" w:rsidRPr="002A5818">
        <w:t>ARGILL</w:t>
      </w:r>
      <w:r w:rsidR="008252FD" w:rsidRPr="002A5818">
        <w:t>, B</w:t>
      </w:r>
      <w:r w:rsidR="00F50F8F" w:rsidRPr="002A5818">
        <w:t>ARRY CALLEBAUT</w:t>
      </w:r>
      <w:r w:rsidR="008252FD" w:rsidRPr="002A5818">
        <w:t xml:space="preserve"> et O</w:t>
      </w:r>
      <w:r w:rsidR="00F50F8F" w:rsidRPr="002A5818">
        <w:t>LAM</w:t>
      </w:r>
      <w:r w:rsidR="008252FD" w:rsidRPr="002A5818">
        <w:t xml:space="preserve">, ainsi </w:t>
      </w:r>
      <w:r w:rsidR="00543A66" w:rsidRPr="002A5818">
        <w:t xml:space="preserve">que </w:t>
      </w:r>
      <w:r w:rsidR="008252FD" w:rsidRPr="002A5818">
        <w:t>certains opérateurs nationaux, se sont concentrés sur l’exécution de leurs contrats</w:t>
      </w:r>
      <w:r w:rsidR="003C179F" w:rsidRPr="002A5818">
        <w:t>,</w:t>
      </w:r>
      <w:r w:rsidR="008252FD" w:rsidRPr="002A5818">
        <w:t xml:space="preserve"> sans chercher à acquérir davantage de volumes</w:t>
      </w:r>
      <w:r w:rsidR="003C179F" w:rsidRPr="002A5818">
        <w:t>, parfois même en ralentissant leurs acquisitions</w:t>
      </w:r>
      <w:r w:rsidR="008252FD" w:rsidRPr="002A5818">
        <w:t>, les cours mondiaux, en baisse par rapport à la flambée observée entre 2023 et 2024, n’incitant pas à l’achat.</w:t>
      </w:r>
      <w:r w:rsidR="00543A66" w:rsidRPr="002A5818">
        <w:t xml:space="preserve"> </w:t>
      </w:r>
      <w:r w:rsidR="00823DBF" w:rsidRPr="002A5818">
        <w:t xml:space="preserve">Alors que l’administration américaine avait imposé des droits de douane aux fèves ivoiriennes (taxation finalement levée en novembre 2025), certaines multinationales avaient également choisi de diversifier leurs origines d’approvisionnement. Le CCC considère que les </w:t>
      </w:r>
      <w:r w:rsidR="00823DBF" w:rsidRPr="002A5818">
        <w:lastRenderedPageBreak/>
        <w:t xml:space="preserve">multinationales iraient même jusqu’à pousser à une baisse des prix par une stratégie de ralentissement de leurs achats y compris pour des volumes déjà pré-vendus à prix fixe, manœuvre qui laisse les producteurs avec leurs fèves invendues ou qui les poussent à brader leur cacao en dessous du prix garanti. </w:t>
      </w:r>
      <w:r w:rsidR="008252FD" w:rsidRPr="002A5818">
        <w:t>Cette situation de mévente engendre, par ricochet, une crise de liquidité dans le secteur pour plusieurs opérateurs</w:t>
      </w:r>
      <w:r w:rsidR="00AF3F51" w:rsidRPr="002A5818">
        <w:t xml:space="preserve"> qui avaient </w:t>
      </w:r>
      <w:r w:rsidR="008252FD" w:rsidRPr="002A5818">
        <w:t>déjà signé les lignes de crédit, en dessous du prix bord champ</w:t>
      </w:r>
      <w:r w:rsidR="00AF3F51" w:rsidRPr="002A5818">
        <w:t xml:space="preserve"> fixé par </w:t>
      </w:r>
      <w:r w:rsidR="008252FD" w:rsidRPr="002A5818">
        <w:t>le gouvernement. De facto, les financements ne suffisaient plus pour les exportateurs qui se refinancent localement.</w:t>
      </w:r>
      <w:r w:rsidR="00AF3F51" w:rsidRPr="002A5818">
        <w:t xml:space="preserve"> </w:t>
      </w:r>
      <w:r w:rsidR="008252FD" w:rsidRPr="002A5818">
        <w:t>Face à toutes ces difficultés et pour répondre aux inquiétudes des cacaoculteurs, le CCC, sur instruction du gouvernement, s’est positionné, via sa filiale Transcao négoce, sur l’achat des fèves en souffrance. Sauf que, au regard des volumes en question, la surface financière de Transcao n</w:t>
      </w:r>
      <w:r w:rsidR="0096584D" w:rsidRPr="002A5818">
        <w:t xml:space="preserve">e </w:t>
      </w:r>
      <w:r w:rsidR="008252FD" w:rsidRPr="002A5818">
        <w:t>s</w:t>
      </w:r>
      <w:r w:rsidR="0096584D" w:rsidRPr="002A5818">
        <w:t>erai</w:t>
      </w:r>
      <w:r w:rsidR="008252FD" w:rsidRPr="002A5818">
        <w:t>t pas suffisante. Ainsi, pour la campagne principale de commercialisation 2025-2026, qui a démarré le 1</w:t>
      </w:r>
      <w:r w:rsidR="008252FD" w:rsidRPr="002A5818">
        <w:rPr>
          <w:vertAlign w:val="superscript"/>
        </w:rPr>
        <w:t>er</w:t>
      </w:r>
      <w:r w:rsidR="00AF3F51" w:rsidRPr="002A5818">
        <w:t xml:space="preserve"> </w:t>
      </w:r>
      <w:r w:rsidR="008252FD" w:rsidRPr="002A5818">
        <w:t>octobre, Transcao a déjà acheté plus de 52 000 tonnes contre environ 20</w:t>
      </w:r>
      <w:r w:rsidR="001F6B84" w:rsidRPr="002A5818">
        <w:t> </w:t>
      </w:r>
      <w:r w:rsidR="008252FD" w:rsidRPr="002A5818">
        <w:t>000</w:t>
      </w:r>
      <w:r w:rsidR="001F6B84" w:rsidRPr="002A5818">
        <w:t> </w:t>
      </w:r>
      <w:r w:rsidR="008252FD" w:rsidRPr="002A5818">
        <w:t>tonnes à la même période lors de la saison 2024-2025.</w:t>
      </w:r>
      <w:r w:rsidR="00AF3F51" w:rsidRPr="002A5818">
        <w:t xml:space="preserve"> </w:t>
      </w:r>
      <w:r w:rsidR="008252FD" w:rsidRPr="002A5818">
        <w:t xml:space="preserve">Transcao </w:t>
      </w:r>
      <w:r w:rsidR="00AF3F51" w:rsidRPr="002A5818">
        <w:t>serait</w:t>
      </w:r>
      <w:r w:rsidR="008252FD" w:rsidRPr="002A5818">
        <w:t xml:space="preserve"> sous tension</w:t>
      </w:r>
      <w:r w:rsidR="00AF3F51" w:rsidRPr="002A5818">
        <w:t>, n</w:t>
      </w:r>
      <w:r w:rsidR="008252FD" w:rsidRPr="002A5818">
        <w:t>’étant pas habitué à gérer un tel volume</w:t>
      </w:r>
      <w:r w:rsidR="00AF3F51" w:rsidRPr="002A5818">
        <w:t xml:space="preserve">. </w:t>
      </w:r>
      <w:r w:rsidR="008252FD" w:rsidRPr="002A5818">
        <w:t xml:space="preserve">Transcao a déjà mobilisé plus </w:t>
      </w:r>
      <w:r w:rsidR="0096584D" w:rsidRPr="002A5818">
        <w:t xml:space="preserve">de </w:t>
      </w:r>
      <w:r w:rsidR="008252FD" w:rsidRPr="002A5818">
        <w:t xml:space="preserve">70 </w:t>
      </w:r>
      <w:r w:rsidR="00AF3F51" w:rsidRPr="002A5818">
        <w:t>Md F</w:t>
      </w:r>
      <w:r w:rsidR="008252FD" w:rsidRPr="002A5818">
        <w:t xml:space="preserve">CFA depuis le début de la campagne pour acquérir des fèves quand, d’après des professionnels du négoce, l’entreprise publique aurait besoin de plus de 500 </w:t>
      </w:r>
      <w:r w:rsidR="00AF3F51" w:rsidRPr="002A5818">
        <w:t>Md F</w:t>
      </w:r>
      <w:r w:rsidR="008252FD" w:rsidRPr="002A5818">
        <w:t>CFA pour absorber la totalité des volumes.</w:t>
      </w:r>
      <w:r w:rsidR="00AF3F51" w:rsidRPr="002A5818">
        <w:t xml:space="preserve"> </w:t>
      </w:r>
      <w:r w:rsidR="008252FD" w:rsidRPr="002A5818">
        <w:t xml:space="preserve">Se voulant optimiste sur la gestion de ces turbulences, le CCC indique avoir déjà vendu plus de 80% de la récolte 2025-2026, estimée entre 1,8 et 2 </w:t>
      </w:r>
      <w:r w:rsidR="00F50F8F" w:rsidRPr="002A5818">
        <w:t xml:space="preserve">M </w:t>
      </w:r>
      <w:r w:rsidR="008252FD" w:rsidRPr="002A5818">
        <w:t>de tonnes. Environ 1,13</w:t>
      </w:r>
      <w:r w:rsidR="001F6B84" w:rsidRPr="002A5818">
        <w:t> </w:t>
      </w:r>
      <w:r w:rsidR="00F50F8F" w:rsidRPr="002A5818">
        <w:t>M</w:t>
      </w:r>
      <w:r w:rsidR="001F6B84" w:rsidRPr="002A5818">
        <w:t> </w:t>
      </w:r>
      <w:r w:rsidR="008252FD" w:rsidRPr="002A5818">
        <w:t>de tonnes de fèves ont atteint les ports ivoiriens entre le 1</w:t>
      </w:r>
      <w:r w:rsidR="008252FD" w:rsidRPr="002A5818">
        <w:rPr>
          <w:vertAlign w:val="superscript"/>
        </w:rPr>
        <w:t>er</w:t>
      </w:r>
      <w:r w:rsidR="008252FD" w:rsidRPr="002A5818">
        <w:t xml:space="preserve"> octobre 2025 et le 1</w:t>
      </w:r>
      <w:r w:rsidR="00AF3F51" w:rsidRPr="002A5818">
        <w:t>0</w:t>
      </w:r>
      <w:r w:rsidR="008252FD" w:rsidRPr="002A5818">
        <w:t xml:space="preserve"> janvier 2026, selon les données de récolte compilées dans les deux ports.</w:t>
      </w:r>
      <w:r w:rsidR="0096584D" w:rsidRPr="002A5818">
        <w:t xml:space="preserve"> </w:t>
      </w:r>
      <w:r w:rsidR="00917F76" w:rsidRPr="002A5818">
        <w:t>Cette séquence a agi comme un véritable stress-test pour la filière ivoirienne. Lorsque les cours flambent, les besoins en liquidités augmentent mécaniquement : il faut davantage de capital pour acheter les mêmes volumes, financer les stocks, honorer les contrats à terme et sécuriser les flux logistiques. Mais la filière repose encore largement sur des financements bancaires de court terme. Dès que la volatilité devient excessive, les banques resserrent leurs conditions, réduisent leurs lignes de crédit, voire se retirent totalement du financement des opérations. L’Etat apporte tout ou partie des liquidités nécessaire</w:t>
      </w:r>
      <w:r w:rsidR="005D63DA">
        <w:t>s</w:t>
      </w:r>
      <w:r w:rsidR="00917F76" w:rsidRPr="002A5818">
        <w:t xml:space="preserve"> à cette campagne</w:t>
      </w:r>
      <w:r w:rsidR="0077175B" w:rsidRPr="002A5818">
        <w:t xml:space="preserve">. </w:t>
      </w:r>
      <w:r w:rsidR="008252FD" w:rsidRPr="002A5818">
        <w:t xml:space="preserve">Pour autant, </w:t>
      </w:r>
      <w:r w:rsidR="0077175B" w:rsidRPr="002A5818">
        <w:t xml:space="preserve">un autre défi restera </w:t>
      </w:r>
      <w:r w:rsidR="008252FD" w:rsidRPr="002A5818">
        <w:t xml:space="preserve">à relever </w:t>
      </w:r>
      <w:r w:rsidR="0077175B" w:rsidRPr="002A5818">
        <w:t xml:space="preserve">celui </w:t>
      </w:r>
      <w:r w:rsidR="008252FD" w:rsidRPr="002A5818">
        <w:t>concern</w:t>
      </w:r>
      <w:r w:rsidR="0077175B" w:rsidRPr="002A5818">
        <w:t xml:space="preserve">ant </w:t>
      </w:r>
      <w:r w:rsidR="008252FD" w:rsidRPr="002A5818">
        <w:t>la vente sans décote de la production de la campagne intermédiaire</w:t>
      </w:r>
      <w:r w:rsidR="005C0CF7">
        <w:t xml:space="preserve"> </w:t>
      </w:r>
      <w:r w:rsidR="008252FD" w:rsidRPr="002A5818">
        <w:t>2025</w:t>
      </w:r>
      <w:r w:rsidR="005C0CF7">
        <w:t> </w:t>
      </w:r>
      <w:r w:rsidR="008252FD" w:rsidRPr="002A5818">
        <w:t>-</w:t>
      </w:r>
      <w:r w:rsidR="005C0CF7">
        <w:t> </w:t>
      </w:r>
      <w:r w:rsidR="008252FD" w:rsidRPr="002A5818">
        <w:t xml:space="preserve">2026 (qui doit débuter en avril) dans un contexte où les contrats pour les livraisons sur le marché à terme de Londres du mois de mars et mai sont fixés entre 3 827 </w:t>
      </w:r>
      <w:r w:rsidR="00F50F8F" w:rsidRPr="002A5818">
        <w:t xml:space="preserve">GBP </w:t>
      </w:r>
      <w:r w:rsidR="008252FD" w:rsidRPr="002A5818">
        <w:t xml:space="preserve">et 3 781 </w:t>
      </w:r>
      <w:r w:rsidR="00F50F8F" w:rsidRPr="002A5818">
        <w:t>GBP</w:t>
      </w:r>
      <w:r w:rsidR="008252FD" w:rsidRPr="002A5818">
        <w:t xml:space="preserve"> la tonne.</w:t>
      </w:r>
    </w:p>
    <w:p w14:paraId="3A3A916A" w14:textId="7E09D0C2" w:rsidR="00017344" w:rsidRPr="002A5818" w:rsidRDefault="00017344" w:rsidP="00FF6370">
      <w:pPr>
        <w:spacing w:after="0"/>
      </w:pPr>
    </w:p>
    <w:p w14:paraId="1BBF6B5A" w14:textId="444FC97C" w:rsidR="007417BB" w:rsidRPr="002A5818" w:rsidRDefault="007417BB" w:rsidP="007417BB">
      <w:pPr>
        <w:keepNext/>
        <w:keepLines/>
        <w:spacing w:after="0"/>
        <w:outlineLvl w:val="1"/>
      </w:pPr>
      <w:bookmarkStart w:id="32" w:name="_Toc221044162"/>
      <w:r w:rsidRPr="002A5818">
        <w:rPr>
          <w:b/>
          <w:bCs/>
        </w:rPr>
        <w:t>Cacao – Suspension du système d’Information de l’organe de régulation (SYDORE).</w:t>
      </w:r>
      <w:bookmarkEnd w:id="32"/>
    </w:p>
    <w:p w14:paraId="1E09CF0C" w14:textId="7A152960" w:rsidR="007417BB" w:rsidRPr="002A5818" w:rsidRDefault="007417BB" w:rsidP="007417BB">
      <w:pPr>
        <w:spacing w:after="0"/>
      </w:pPr>
      <w:r w:rsidRPr="002A5818">
        <w:t xml:space="preserve">En pleine crise du cacao, les autorités ivoiriennes ont procédé </w:t>
      </w:r>
      <w:r w:rsidR="00F74CA2" w:rsidRPr="002A5818">
        <w:t xml:space="preserve">le 27 janvier </w:t>
      </w:r>
      <w:r w:rsidRPr="002A5818">
        <w:t xml:space="preserve">à la fermeture du SYDORE, le </w:t>
      </w:r>
      <w:bookmarkStart w:id="33" w:name="_Hlk220775218"/>
      <w:r w:rsidRPr="002A5818">
        <w:t>Système d’Information de l’organe de régulation</w:t>
      </w:r>
      <w:bookmarkEnd w:id="33"/>
      <w:r w:rsidRPr="002A5818">
        <w:t>, une plateforme numérique clé dans la gestion logistique de la filière cacao. Le SYDORE permet d’établir les connaissements des camions transportant le cacao avant leur départ des magasins de l’intérieur du pays vers les ports d’Abidjan et de San Pedro. Cet outil avait été conçu pour fluidifier la chaîne d’exportation et éviter l’encombrement des ports par des camions en attente de chargement. La suspension du système intervient dans un contexte où le cacao n’est pas exporté au rythme habituel, en raison des difficultés actuelles d’enlèvement des stocks. Les autorités espèrent ainsi empêcher l’arrivée massive de camions dans les zones portuaires et limiter les embouteillages logistiques à Abidjan et San Pedro. Dans les milieux des acteurs de la filière cacao, la décision est très mal accueillie. Exportateurs, pisteurs et opérateurs logistiques dénoncent une mesure prise sans concertation, ni communication préalable. Certains estim</w:t>
      </w:r>
      <w:r w:rsidR="00F74CA2" w:rsidRPr="002A5818">
        <w:t>e</w:t>
      </w:r>
      <w:r w:rsidRPr="002A5818">
        <w:t xml:space="preserve">nt que la désactivation du SYDORE revient à bloquer artificiellement la circulation du cacao, sans </w:t>
      </w:r>
      <w:r w:rsidRPr="002A5818">
        <w:lastRenderedPageBreak/>
        <w:t>s’attaquer aux causes profondes de la crise.</w:t>
      </w:r>
      <w:r w:rsidR="00F74CA2" w:rsidRPr="002A5818">
        <w:t xml:space="preserve"> </w:t>
      </w:r>
      <w:r w:rsidRPr="002A5818">
        <w:t>Cette situation alimente un peu plus les critiques sur la gestion de la filière</w:t>
      </w:r>
      <w:r w:rsidR="00F74CA2" w:rsidRPr="002A5818">
        <w:t xml:space="preserve"> et de la crise, ravivant </w:t>
      </w:r>
      <w:r w:rsidRPr="002A5818">
        <w:t xml:space="preserve">les accusations d’opacité dans les décisions prises par les autorités de régulation. </w:t>
      </w:r>
      <w:r w:rsidR="00F74CA2" w:rsidRPr="002A5818">
        <w:t>A</w:t>
      </w:r>
      <w:r w:rsidRPr="002A5818">
        <w:t>ucune communication officielle n’a été faite sur la durée de la suspension du SYDORE ni sur les mesures alternatives envisagées pour sécuriser la chaîne d’exportation.</w:t>
      </w:r>
    </w:p>
    <w:p w14:paraId="32E4479B" w14:textId="77777777" w:rsidR="00BF0768" w:rsidRPr="002A5818" w:rsidRDefault="00BF0768" w:rsidP="001F6B84">
      <w:pPr>
        <w:spacing w:after="0"/>
      </w:pPr>
    </w:p>
    <w:p w14:paraId="432B8CAB" w14:textId="6A6F8B61" w:rsidR="00370514" w:rsidRPr="002A5818" w:rsidRDefault="00370514" w:rsidP="002A73B1">
      <w:pPr>
        <w:keepNext/>
        <w:keepLines/>
        <w:spacing w:after="0"/>
        <w:outlineLvl w:val="1"/>
        <w:rPr>
          <w:rFonts w:eastAsiaTheme="majorEastAsia" w:cstheme="majorBidi"/>
          <w:b/>
          <w:bCs/>
          <w:szCs w:val="26"/>
        </w:rPr>
      </w:pPr>
      <w:bookmarkStart w:id="34" w:name="_Toc221044163"/>
      <w:bookmarkStart w:id="35" w:name="_Hlk220166970"/>
      <w:r w:rsidRPr="002A5818">
        <w:rPr>
          <w:b/>
          <w:bCs/>
        </w:rPr>
        <w:t>Cacao - Plus de 20 Md FCFA mobilisés pour améliorer le revenu des producteurs.</w:t>
      </w:r>
      <w:bookmarkEnd w:id="34"/>
    </w:p>
    <w:bookmarkEnd w:id="35"/>
    <w:p w14:paraId="1F65A503" w14:textId="2EE6C321" w:rsidR="00370514" w:rsidRPr="002A5818" w:rsidRDefault="00370514" w:rsidP="00370514">
      <w:pPr>
        <w:spacing w:after="0"/>
      </w:pPr>
      <w:r w:rsidRPr="002A5818">
        <w:t>Le programme COCOAPERATION</w:t>
      </w:r>
      <w:r w:rsidR="001642C3" w:rsidRPr="002A5818">
        <w:t>,</w:t>
      </w:r>
      <w:r w:rsidRPr="002A5818">
        <w:t xml:space="preserve"> </w:t>
      </w:r>
      <w:r w:rsidR="001642C3" w:rsidRPr="002A5818">
        <w:t xml:space="preserve">qui s’achève, </w:t>
      </w:r>
      <w:r w:rsidRPr="002A5818">
        <w:t xml:space="preserve">a permis de toucher 150 coopératives et près de 60 000 producteurs, avec plus de 20 </w:t>
      </w:r>
      <w:r w:rsidR="001642C3" w:rsidRPr="002A5818">
        <w:t xml:space="preserve">Md </w:t>
      </w:r>
      <w:r w:rsidRPr="002A5818">
        <w:t>FCFA mobilisés, dont</w:t>
      </w:r>
      <w:r w:rsidR="001642C3" w:rsidRPr="002A5818">
        <w:t xml:space="preserve"> 5</w:t>
      </w:r>
      <w:r w:rsidRPr="002A5818">
        <w:t xml:space="preserve"> </w:t>
      </w:r>
      <w:r w:rsidR="001642C3" w:rsidRPr="002A5818">
        <w:t xml:space="preserve">Md </w:t>
      </w:r>
      <w:r w:rsidR="005D63DA">
        <w:t xml:space="preserve">FCFA </w:t>
      </w:r>
      <w:r w:rsidRPr="002A5818">
        <w:t>octroyés sous forme de prêts aux coopératives et aux producteurs de cacao</w:t>
      </w:r>
      <w:r w:rsidR="001642C3" w:rsidRPr="002A5818">
        <w:t>, a annoncé le 19 janvier la directrice pays de l’Initiative du commerce durable (IDH), Mme Stéphanie Kadio</w:t>
      </w:r>
      <w:r w:rsidRPr="002A5818">
        <w:t>.</w:t>
      </w:r>
      <w:r w:rsidR="001642C3" w:rsidRPr="002A5818">
        <w:t xml:space="preserve"> Mis en œuvre de 2022 à 2025 par IDH, en partenariat avec le Conseil du café-cacao et des acteurs privés de la filière, </w:t>
      </w:r>
      <w:r w:rsidR="002A73B1" w:rsidRPr="002A5818">
        <w:t xml:space="preserve">avec un financement des Pays-Bas et une expertise apportée par des organisations non gouvernementales partenaires, </w:t>
      </w:r>
      <w:r w:rsidR="001642C3" w:rsidRPr="002A5818">
        <w:t>le programme COCOAPERATION</w:t>
      </w:r>
      <w:r w:rsidR="002A73B1" w:rsidRPr="002A5818">
        <w:t xml:space="preserve">, </w:t>
      </w:r>
      <w:r w:rsidR="001642C3" w:rsidRPr="002A5818">
        <w:t>ambitionn</w:t>
      </w:r>
      <w:r w:rsidR="002A73B1" w:rsidRPr="002A5818">
        <w:t>ait</w:t>
      </w:r>
      <w:r w:rsidR="001642C3" w:rsidRPr="002A5818">
        <w:t xml:space="preserve"> de contribuer à l’amélioration durable des revenus des producteurs de cacao en Côte d’Ivoire.</w:t>
      </w:r>
      <w:r w:rsidR="002A73B1" w:rsidRPr="002A5818">
        <w:t xml:space="preserve"> </w:t>
      </w:r>
      <w:r w:rsidR="001642C3" w:rsidRPr="002A5818">
        <w:t>L</w:t>
      </w:r>
      <w:r w:rsidRPr="002A5818">
        <w:t>’approche intégrée du programme COCOAPERATION</w:t>
      </w:r>
      <w:r w:rsidR="001642C3" w:rsidRPr="002A5818">
        <w:t xml:space="preserve"> a </w:t>
      </w:r>
      <w:r w:rsidRPr="002A5818">
        <w:t>combin</w:t>
      </w:r>
      <w:r w:rsidR="001642C3" w:rsidRPr="002A5818">
        <w:t>é</w:t>
      </w:r>
      <w:r w:rsidRPr="002A5818">
        <w:t xml:space="preserve"> productivité agricole, inclusion financière, diversification des sources de revenus et accès au marché</w:t>
      </w:r>
      <w:r w:rsidR="001642C3" w:rsidRPr="002A5818">
        <w:t xml:space="preserve">, </w:t>
      </w:r>
      <w:r w:rsidRPr="002A5818">
        <w:t xml:space="preserve">cohérence </w:t>
      </w:r>
      <w:r w:rsidR="001642C3" w:rsidRPr="002A5818">
        <w:t>jugée</w:t>
      </w:r>
      <w:r w:rsidRPr="002A5818">
        <w:t xml:space="preserve"> essentielle pour apporter des réponses pertinentes à la problématique du revenu des producteurs, dans un contexte marqué par des exigences croissantes en matière de durabilité et de traçabilité.</w:t>
      </w:r>
    </w:p>
    <w:p w14:paraId="075EDBB1" w14:textId="5FB311EA" w:rsidR="00F64977" w:rsidRPr="002A5818" w:rsidRDefault="00F64977" w:rsidP="00370514">
      <w:pPr>
        <w:spacing w:after="0"/>
      </w:pPr>
    </w:p>
    <w:p w14:paraId="6E1E54B7" w14:textId="4902F3A1" w:rsidR="00F64977" w:rsidRPr="002A5818" w:rsidRDefault="00F64977" w:rsidP="00482580">
      <w:pPr>
        <w:keepNext/>
        <w:keepLines/>
        <w:spacing w:after="0"/>
        <w:outlineLvl w:val="1"/>
        <w:rPr>
          <w:rFonts w:eastAsiaTheme="majorEastAsia" w:cstheme="majorBidi"/>
          <w:b/>
          <w:bCs/>
          <w:szCs w:val="26"/>
        </w:rPr>
      </w:pPr>
      <w:bookmarkStart w:id="36" w:name="_Toc221044164"/>
      <w:r w:rsidRPr="002A5818">
        <w:rPr>
          <w:b/>
          <w:bCs/>
        </w:rPr>
        <w:t xml:space="preserve">Cacao - </w:t>
      </w:r>
      <w:r w:rsidR="00482580" w:rsidRPr="002A5818">
        <w:rPr>
          <w:b/>
          <w:bCs/>
        </w:rPr>
        <w:t>L</w:t>
      </w:r>
      <w:r w:rsidRPr="002A5818">
        <w:rPr>
          <w:b/>
          <w:bCs/>
        </w:rPr>
        <w:t xml:space="preserve">e </w:t>
      </w:r>
      <w:r w:rsidR="00482580" w:rsidRPr="002A5818">
        <w:rPr>
          <w:b/>
          <w:bCs/>
        </w:rPr>
        <w:t>Bureau international du Travail (</w:t>
      </w:r>
      <w:r w:rsidRPr="002A5818">
        <w:rPr>
          <w:b/>
          <w:bCs/>
        </w:rPr>
        <w:t>BIT</w:t>
      </w:r>
      <w:r w:rsidR="00482580" w:rsidRPr="002A5818">
        <w:rPr>
          <w:b/>
          <w:bCs/>
        </w:rPr>
        <w:t>)</w:t>
      </w:r>
      <w:r w:rsidRPr="002A5818">
        <w:rPr>
          <w:b/>
          <w:bCs/>
        </w:rPr>
        <w:t xml:space="preserve"> équipe des cacaoculteurs pour la production de biochar</w:t>
      </w:r>
      <w:r w:rsidR="00482580" w:rsidRPr="002A5818">
        <w:rPr>
          <w:b/>
          <w:bCs/>
        </w:rPr>
        <w:t>.</w:t>
      </w:r>
      <w:bookmarkEnd w:id="36"/>
    </w:p>
    <w:p w14:paraId="37479DA8" w14:textId="326C359E" w:rsidR="00121301" w:rsidRPr="002A5818" w:rsidRDefault="00F64977" w:rsidP="00F64977">
      <w:pPr>
        <w:spacing w:after="0"/>
      </w:pPr>
      <w:r w:rsidRPr="002A5818">
        <w:t xml:space="preserve">Le BIT, à travers le projet ENACTE, a procédé </w:t>
      </w:r>
      <w:r w:rsidR="00482580" w:rsidRPr="002A5818">
        <w:t xml:space="preserve">le </w:t>
      </w:r>
      <w:r w:rsidRPr="002A5818">
        <w:t>24 janvier à la remise d’équipements à des producteurs de cacao formés à la production de biochar, dans le cadre d’une initiative de diversification des revenus agricoles et de prévention du travail des enfants dans la région de la Nawa.</w:t>
      </w:r>
      <w:r w:rsidR="00482580" w:rsidRPr="002A5818">
        <w:t xml:space="preserve"> </w:t>
      </w:r>
      <w:r w:rsidRPr="002A5818">
        <w:t>Les équipements remis aux bénéficiaires comprennent notamment des brouettes, des pelles, des râteaux, des équipements de protection individuelle, des carbonisateurs ainsi que des gants de chaleur et de manutention. Ce matériel doit permettre aux producteurs de démarrer la production de biochar à partir des déchets agricoles.</w:t>
      </w:r>
      <w:r w:rsidR="00482580" w:rsidRPr="002A5818">
        <w:t xml:space="preserve"> </w:t>
      </w:r>
      <w:r w:rsidRPr="002A5818">
        <w:t>Cette action s’inscrit dans le cadre du projet ENACTE, qui vise à réduire la vulnérabilité économique des ménages producteurs par la promotion d’activités génératrices de revenus compatibles avec la cacaoculture. Une analyse des chaînes de valeur réalisée en 2023 a identifié la transformation des déchets agricoles, notamment les coques de cacao, en biochar comme une activité viable.</w:t>
      </w:r>
      <w:r w:rsidR="00482580" w:rsidRPr="002A5818">
        <w:t xml:space="preserve"> </w:t>
      </w:r>
      <w:r w:rsidRPr="002A5818">
        <w:t xml:space="preserve">Au total, 107 producteurs issus de 11 coopératives de la région sont concernés par cette initiative. Le projet est mis en œuvre avec l’appui de l’ONG Yanyi Project, chargée de la formation des producteurs et de la mise en place du système d’achat du biochar. Selon son responsable, </w:t>
      </w:r>
      <w:r w:rsidR="00482580" w:rsidRPr="002A5818">
        <w:t xml:space="preserve">M. </w:t>
      </w:r>
      <w:r w:rsidRPr="002A5818">
        <w:t>Mickael Améa, l’ONG assure l’achat du biochar produit pour alimenter ses unités de transformation.</w:t>
      </w:r>
    </w:p>
    <w:p w14:paraId="7C51C443" w14:textId="77777777" w:rsidR="00482580" w:rsidRPr="002A5818" w:rsidRDefault="00482580" w:rsidP="00F64977">
      <w:pPr>
        <w:spacing w:after="0"/>
      </w:pPr>
    </w:p>
    <w:p w14:paraId="02231C6F" w14:textId="1C3DF51E" w:rsidR="00121301" w:rsidRPr="002A5818" w:rsidRDefault="00121301" w:rsidP="00205DCA">
      <w:pPr>
        <w:keepNext/>
        <w:keepLines/>
        <w:spacing w:after="0"/>
        <w:outlineLvl w:val="1"/>
        <w:rPr>
          <w:rFonts w:eastAsiaTheme="majorEastAsia" w:cstheme="majorBidi"/>
          <w:b/>
          <w:bCs/>
          <w:szCs w:val="26"/>
        </w:rPr>
      </w:pPr>
      <w:bookmarkStart w:id="37" w:name="_Toc221044165"/>
      <w:bookmarkStart w:id="38" w:name="_Hlk220769323"/>
      <w:r w:rsidRPr="002A5818">
        <w:rPr>
          <w:b/>
          <w:bCs/>
        </w:rPr>
        <w:t xml:space="preserve">Café </w:t>
      </w:r>
      <w:r w:rsidR="00205DCA" w:rsidRPr="002A5818">
        <w:rPr>
          <w:b/>
          <w:bCs/>
        </w:rPr>
        <w:t>– Une filière qui ne redécolle pas.</w:t>
      </w:r>
      <w:bookmarkEnd w:id="37"/>
    </w:p>
    <w:bookmarkEnd w:id="38"/>
    <w:p w14:paraId="3B56F445" w14:textId="578F5C59" w:rsidR="00121301" w:rsidRPr="002A5818" w:rsidRDefault="00121301" w:rsidP="00121301">
      <w:pPr>
        <w:spacing w:after="0"/>
      </w:pPr>
      <w:r w:rsidRPr="002A5818">
        <w:t>C’est par la culture du café que la Côte d’Ivoire, s’est insérée dans le commerce international.</w:t>
      </w:r>
    </w:p>
    <w:p w14:paraId="5A3517D5" w14:textId="00051F39" w:rsidR="00121301" w:rsidRPr="002A5818" w:rsidRDefault="00121301" w:rsidP="00121301">
      <w:pPr>
        <w:spacing w:after="0"/>
      </w:pPr>
      <w:r w:rsidRPr="002A5818">
        <w:t xml:space="preserve">Le café a soutenu les programmes d’expansion et de diversification des exportations agricoles. Au cours des quatre premières décennies qui ont suivi son indépendance le café était incontournable en Côte d’Ivoire comme l’est aujourd’hui le cacao. Le café fournissait au pays en moyenne 38% des recettes d’exportation et représentait plus de 10% du produit intérieur </w:t>
      </w:r>
      <w:r w:rsidRPr="002A5818">
        <w:lastRenderedPageBreak/>
        <w:t xml:space="preserve">brut. Par ailleurs, le café a apporté la prospérité économique à de nombreuses régions du pays. </w:t>
      </w:r>
      <w:r w:rsidR="008C6EA9" w:rsidRPr="002A5818">
        <w:t>Pendant ces périodes</w:t>
      </w:r>
      <w:r w:rsidR="00C8511B">
        <w:t>,</w:t>
      </w:r>
      <w:r w:rsidR="008C6EA9" w:rsidRPr="002A5818">
        <w:t xml:space="preserve"> la Côte d’Ivoire, avec une production moyenne annuelle variant entre 200 000 et 300 000 tonnes, était premier pays producteur de café en Afrique devant l’Ouganda, l’Angola et l’Ethiopie. </w:t>
      </w:r>
      <w:r w:rsidRPr="002A5818">
        <w:t xml:space="preserve">A l’échelle mondiale, pendant les décennies </w:t>
      </w:r>
      <w:r w:rsidR="00C8511B">
        <w:t>19</w:t>
      </w:r>
      <w:r w:rsidRPr="002A5818">
        <w:t xml:space="preserve">60 et </w:t>
      </w:r>
      <w:r w:rsidR="00C8511B">
        <w:t>19</w:t>
      </w:r>
      <w:r w:rsidRPr="002A5818">
        <w:t>70</w:t>
      </w:r>
      <w:r w:rsidR="008C6EA9" w:rsidRPr="002A5818">
        <w:t>,</w:t>
      </w:r>
      <w:r w:rsidRPr="002A5818">
        <w:t xml:space="preserve"> la Côte d’Ivoire qui représentait environ 6% de la production moyenne mondiale était troisième pays producteur derrière le Brésil (28%) et la Colombie (13%). </w:t>
      </w:r>
      <w:r w:rsidR="001F6B84" w:rsidRPr="002A5818">
        <w:t>La Côte d’Ivoire avait enregistré ces performances grâce aux accords internationaux sur le café</w:t>
      </w:r>
      <w:r w:rsidR="00C8511B">
        <w:t>,</w:t>
      </w:r>
      <w:r w:rsidR="001F6B84" w:rsidRPr="002A5818">
        <w:t xml:space="preserve"> administré</w:t>
      </w:r>
      <w:r w:rsidR="00C8511B">
        <w:t>s</w:t>
      </w:r>
      <w:r w:rsidR="001F6B84" w:rsidRPr="002A5818">
        <w:t xml:space="preserve"> par l’Organisation internationale du café (OIC), bénéficiant également jusqu’à la fin des années 1970, du fonds de diversification de l’OIC servant á développer d’autres produits d’exportation du pays. </w:t>
      </w:r>
      <w:r w:rsidRPr="002A5818">
        <w:t xml:space="preserve">Les décennies </w:t>
      </w:r>
      <w:r w:rsidR="00C8511B">
        <w:t>19</w:t>
      </w:r>
      <w:r w:rsidR="008C6EA9" w:rsidRPr="002A5818">
        <w:t xml:space="preserve">80 et </w:t>
      </w:r>
      <w:r w:rsidR="00C8511B">
        <w:t>19</w:t>
      </w:r>
      <w:r w:rsidR="008C6EA9" w:rsidRPr="002A5818">
        <w:t xml:space="preserve">90 </w:t>
      </w:r>
      <w:r w:rsidRPr="002A5818">
        <w:t>qui ont suivi</w:t>
      </w:r>
      <w:r w:rsidR="001F6B84" w:rsidRPr="002A5818">
        <w:t>,</w:t>
      </w:r>
      <w:r w:rsidRPr="002A5818">
        <w:t xml:space="preserve"> </w:t>
      </w:r>
      <w:r w:rsidR="008C6EA9" w:rsidRPr="002A5818">
        <w:t xml:space="preserve">le </w:t>
      </w:r>
      <w:r w:rsidRPr="002A5818">
        <w:t xml:space="preserve">pays </w:t>
      </w:r>
      <w:r w:rsidR="008C6EA9" w:rsidRPr="002A5818">
        <w:t>est resté 1</w:t>
      </w:r>
      <w:r w:rsidR="008C6EA9" w:rsidRPr="002A5818">
        <w:rPr>
          <w:vertAlign w:val="superscript"/>
        </w:rPr>
        <w:t>er</w:t>
      </w:r>
      <w:r w:rsidR="008C6EA9" w:rsidRPr="002A5818">
        <w:t xml:space="preserve"> </w:t>
      </w:r>
      <w:r w:rsidRPr="002A5818">
        <w:t xml:space="preserve">producteur d’Afrique, </w:t>
      </w:r>
      <w:r w:rsidR="008C6EA9" w:rsidRPr="002A5818">
        <w:t xml:space="preserve">mais </w:t>
      </w:r>
      <w:r w:rsidRPr="002A5818">
        <w:t>a été surpassée par la montée des pays asiatiques pour occuper successivement la 5</w:t>
      </w:r>
      <w:r w:rsidR="008C6EA9" w:rsidRPr="002A5818">
        <w:rPr>
          <w:vertAlign w:val="superscript"/>
        </w:rPr>
        <w:t>ème</w:t>
      </w:r>
      <w:r w:rsidRPr="002A5818">
        <w:t xml:space="preserve"> et 8</w:t>
      </w:r>
      <w:r w:rsidR="008C6EA9" w:rsidRPr="002A5818">
        <w:rPr>
          <w:vertAlign w:val="superscript"/>
        </w:rPr>
        <w:t>ème</w:t>
      </w:r>
      <w:r w:rsidRPr="002A5818">
        <w:t xml:space="preserve"> place.</w:t>
      </w:r>
      <w:r w:rsidR="008C6EA9" w:rsidRPr="002A5818">
        <w:t xml:space="preserve"> Ainsi après avoir contribué au décollage économique du pays, le secteur du café s’est progressivement affaibli dès la fin des années 90 pour fortement </w:t>
      </w:r>
      <w:r w:rsidRPr="002A5818">
        <w:t>ralenti</w:t>
      </w:r>
      <w:r w:rsidR="008C6EA9" w:rsidRPr="002A5818">
        <w:t>r</w:t>
      </w:r>
      <w:r w:rsidRPr="002A5818">
        <w:t xml:space="preserve"> </w:t>
      </w:r>
      <w:r w:rsidR="0028367C" w:rsidRPr="002A5818">
        <w:t xml:space="preserve">à </w:t>
      </w:r>
      <w:r w:rsidRPr="002A5818">
        <w:t>partir de l’année 2000</w:t>
      </w:r>
      <w:r w:rsidR="008C6EA9" w:rsidRPr="002A5818">
        <w:t>. R</w:t>
      </w:r>
      <w:r w:rsidRPr="002A5818">
        <w:t xml:space="preserve">eléguée au </w:t>
      </w:r>
      <w:r w:rsidR="008C6EA9" w:rsidRPr="002A5818">
        <w:t>3</w:t>
      </w:r>
      <w:r w:rsidR="008C6EA9" w:rsidRPr="002A5818">
        <w:rPr>
          <w:vertAlign w:val="superscript"/>
        </w:rPr>
        <w:t>ème</w:t>
      </w:r>
      <w:r w:rsidRPr="002A5818">
        <w:t xml:space="preserve"> rang Africain derrière l’Ouganda et l’Ethiopie avec moins de 10% de la production totale africaine</w:t>
      </w:r>
      <w:r w:rsidR="008C6EA9" w:rsidRPr="002A5818">
        <w:t>, la Côte d’Ivoire</w:t>
      </w:r>
      <w:r w:rsidRPr="002A5818">
        <w:t xml:space="preserve"> avec une production moyenne annuelle de 100 000 tonnes occupe la 13</w:t>
      </w:r>
      <w:r w:rsidR="0028367C" w:rsidRPr="002A5818">
        <w:rPr>
          <w:vertAlign w:val="superscript"/>
        </w:rPr>
        <w:t>ème</w:t>
      </w:r>
      <w:r w:rsidRPr="002A5818">
        <w:t xml:space="preserve"> place avec </w:t>
      </w:r>
      <w:r w:rsidR="0028367C" w:rsidRPr="002A5818">
        <w:t>à</w:t>
      </w:r>
      <w:r w:rsidRPr="002A5818">
        <w:t xml:space="preserve"> peine 1% de la production mondiale.</w:t>
      </w:r>
      <w:r w:rsidR="0028367C" w:rsidRPr="002A5818">
        <w:t xml:space="preserve"> </w:t>
      </w:r>
      <w:r w:rsidRPr="002A5818">
        <w:t xml:space="preserve">Pendant les périodes de prospérité de la filière café la Côte d’Ivoire a largement bénéficié des recettes d’exportations qui ont contribué au décollage économique du pays et </w:t>
      </w:r>
      <w:r w:rsidR="0028367C" w:rsidRPr="002A5818">
        <w:t>à</w:t>
      </w:r>
      <w:r w:rsidRPr="002A5818">
        <w:t xml:space="preserve"> la diversification de l’agriculture. </w:t>
      </w:r>
      <w:r w:rsidR="0028367C" w:rsidRPr="002A5818">
        <w:t>L</w:t>
      </w:r>
      <w:r w:rsidRPr="002A5818">
        <w:t xml:space="preserve">es recettes </w:t>
      </w:r>
      <w:r w:rsidR="0028367C" w:rsidRPr="002A5818">
        <w:t xml:space="preserve">à l’exportation se sont </w:t>
      </w:r>
      <w:r w:rsidRPr="002A5818">
        <w:t xml:space="preserve">amenuisées </w:t>
      </w:r>
      <w:r w:rsidR="0028367C" w:rsidRPr="002A5818">
        <w:t xml:space="preserve">passant de 850 M USD dans les années </w:t>
      </w:r>
      <w:r w:rsidR="00C8511B">
        <w:t>19</w:t>
      </w:r>
      <w:r w:rsidR="0028367C" w:rsidRPr="002A5818">
        <w:t xml:space="preserve">60 (sur un total mondial des exportations de café de 16,6 Md USD) à un niveau </w:t>
      </w:r>
      <w:r w:rsidRPr="002A5818">
        <w:t xml:space="preserve">moyen de 150 </w:t>
      </w:r>
      <w:r w:rsidR="0028367C" w:rsidRPr="002A5818">
        <w:t>M USD après les années 2000 (</w:t>
      </w:r>
      <w:r w:rsidR="00527EBB" w:rsidRPr="002A5818">
        <w:t xml:space="preserve">sur un total mondial de </w:t>
      </w:r>
      <w:r w:rsidRPr="002A5818">
        <w:t>21,3</w:t>
      </w:r>
      <w:r w:rsidR="00527EBB" w:rsidRPr="002A5818">
        <w:t xml:space="preserve"> Md USD)</w:t>
      </w:r>
      <w:r w:rsidRPr="002A5818">
        <w:t xml:space="preserve">. </w:t>
      </w:r>
      <w:r w:rsidR="00527EBB" w:rsidRPr="002A5818">
        <w:t>Parmi l</w:t>
      </w:r>
      <w:r w:rsidRPr="002A5818">
        <w:t xml:space="preserve">es défis qui entravent </w:t>
      </w:r>
      <w:r w:rsidR="00527EBB" w:rsidRPr="002A5818">
        <w:t xml:space="preserve">un renouveau et </w:t>
      </w:r>
      <w:r w:rsidRPr="002A5818">
        <w:t>le développement de la filière café en Côte d’Ivoire</w:t>
      </w:r>
      <w:r w:rsidR="00527EBB" w:rsidRPr="002A5818">
        <w:t>,</w:t>
      </w:r>
      <w:r w:rsidRPr="002A5818">
        <w:t xml:space="preserve"> </w:t>
      </w:r>
      <w:r w:rsidR="00527EBB" w:rsidRPr="002A5818">
        <w:t xml:space="preserve">il </w:t>
      </w:r>
      <w:r w:rsidRPr="002A5818">
        <w:t>s’agit notamment, du système de production, la faible productivité des exploitations, une faible adoption de nouvelles technologies, l’absence ou réduction des services d’encadrement des producteurs, le financement et l’accès aux intrants agricoles.</w:t>
      </w:r>
      <w:r w:rsidR="00527EBB" w:rsidRPr="002A5818">
        <w:t xml:space="preserve"> </w:t>
      </w:r>
      <w:r w:rsidR="00205DCA" w:rsidRPr="002A5818">
        <w:t>B</w:t>
      </w:r>
      <w:r w:rsidRPr="002A5818">
        <w:t>ien que de nombreuses initiatives aient été engagées par le gouvernement et la structure de régulation</w:t>
      </w:r>
      <w:r w:rsidR="00205DCA" w:rsidRPr="002A5818">
        <w:t xml:space="preserve">, </w:t>
      </w:r>
      <w:r w:rsidRPr="002A5818">
        <w:t>la filière café</w:t>
      </w:r>
      <w:r w:rsidR="00205DCA" w:rsidRPr="002A5818">
        <w:t xml:space="preserve"> ne semble cependant pas parvenir à redécoller</w:t>
      </w:r>
      <w:r w:rsidRPr="002A5818">
        <w:t>.</w:t>
      </w:r>
    </w:p>
    <w:p w14:paraId="781FD952" w14:textId="571954D7" w:rsidR="00121301" w:rsidRPr="002A5818" w:rsidRDefault="00121301" w:rsidP="00BD405A">
      <w:pPr>
        <w:keepNext/>
        <w:keepLines/>
        <w:spacing w:after="0"/>
        <w:outlineLvl w:val="1"/>
        <w:rPr>
          <w:rFonts w:eastAsiaTheme="majorEastAsia" w:cstheme="majorBidi"/>
          <w:b/>
          <w:szCs w:val="26"/>
        </w:rPr>
      </w:pPr>
    </w:p>
    <w:p w14:paraId="09BD4A16" w14:textId="64017AC1" w:rsidR="00BD405A" w:rsidRPr="002A5818" w:rsidRDefault="00BD405A" w:rsidP="00BD405A">
      <w:pPr>
        <w:keepNext/>
        <w:keepLines/>
        <w:spacing w:after="0"/>
        <w:outlineLvl w:val="1"/>
        <w:rPr>
          <w:rFonts w:eastAsiaTheme="majorEastAsia" w:cstheme="majorBidi"/>
          <w:b/>
          <w:szCs w:val="26"/>
        </w:rPr>
      </w:pPr>
      <w:bookmarkStart w:id="39" w:name="_Hlk219747642"/>
      <w:bookmarkStart w:id="40" w:name="_Toc221044166"/>
      <w:bookmarkStart w:id="41" w:name="_Hlk219729911"/>
      <w:r w:rsidRPr="002A5818">
        <w:rPr>
          <w:rFonts w:eastAsiaTheme="majorEastAsia" w:cstheme="majorBidi"/>
          <w:b/>
          <w:szCs w:val="26"/>
        </w:rPr>
        <w:t>Anacarde – Prévisions 2025 de 350 Md FCFA de recettes d’exportations.</w:t>
      </w:r>
      <w:bookmarkEnd w:id="39"/>
      <w:bookmarkEnd w:id="40"/>
    </w:p>
    <w:bookmarkEnd w:id="41"/>
    <w:p w14:paraId="3DCFE1D8" w14:textId="34206B6B" w:rsidR="00BD405A" w:rsidRPr="002A5818" w:rsidRDefault="00BD405A" w:rsidP="00BD405A">
      <w:pPr>
        <w:spacing w:after="0"/>
      </w:pPr>
      <w:r w:rsidRPr="002A5818">
        <w:t xml:space="preserve">Depuis 2015, la </w:t>
      </w:r>
      <w:bookmarkEnd w:id="21"/>
      <w:r w:rsidRPr="002A5818">
        <w:t xml:space="preserve">Côte d’Ivoire est le premier producteur mondial d’anacarde et le second exportateur derrière le Vietnam. Le pays a produit environ 1,5 </w:t>
      </w:r>
      <w:r w:rsidR="005E09F4" w:rsidRPr="002A5818">
        <w:t xml:space="preserve">M </w:t>
      </w:r>
      <w:r w:rsidRPr="002A5818">
        <w:t xml:space="preserve">de tonnes de noix de cajou brutes en 2025, contre 944 673 tonnes en 2024 et 1,2 </w:t>
      </w:r>
      <w:r w:rsidR="005E09F4" w:rsidRPr="002A5818">
        <w:t xml:space="preserve">M </w:t>
      </w:r>
      <w:r w:rsidRPr="002A5818">
        <w:t>de tonnes en 2023, selon les données du Conseil du coton et de l'anacarde (CCA). Le pays monte également en puissance du côté de la transformation</w:t>
      </w:r>
      <w:r w:rsidR="005E09F4" w:rsidRPr="002A5818">
        <w:t xml:space="preserve"> dont le taux est monté à 43% en 2025</w:t>
      </w:r>
      <w:r w:rsidRPr="002A5818">
        <w:t xml:space="preserve">. </w:t>
      </w:r>
      <w:r w:rsidR="005E09F4" w:rsidRPr="002A5818">
        <w:t>L</w:t>
      </w:r>
      <w:r w:rsidRPr="002A5818">
        <w:t>es recettes d’exportations ivoiriennes de noix de cajou transformées devraient passer un nouveau cap</w:t>
      </w:r>
      <w:r w:rsidR="005E09F4" w:rsidRPr="002A5818">
        <w:t xml:space="preserve"> en 2025</w:t>
      </w:r>
      <w:r w:rsidRPr="002A5818">
        <w:t>. Selon M.</w:t>
      </w:r>
      <w:r w:rsidR="005C0CF7">
        <w:t> </w:t>
      </w:r>
      <w:r w:rsidRPr="002A5818">
        <w:t>Mamadou Berte, directeur du Conseil du coton et de l'anacarde (CCA), la valeur des ventes d’amandes de cajou est ainsi attendue à 350 Md FCFA en 2025, soit 67% de plus que le résultat de 2024 (209 Md FCFA). Cette augmentation annoncée s’explique principalement par la vigueur de l’activité sur le segment transformation. En effet, le volume de noix de cajou traité par les industriels devrait passer de 344 028 tonnes en 2024 à 659 579 tonnes en 2025, soit 91,7% de progression. 37 unités de transformation d’une capacité totale installée de 830</w:t>
      </w:r>
      <w:r w:rsidR="005C0CF7">
        <w:t> </w:t>
      </w:r>
      <w:r w:rsidRPr="002A5818">
        <w:t>000</w:t>
      </w:r>
      <w:r w:rsidR="005C0CF7">
        <w:t> </w:t>
      </w:r>
      <w:r w:rsidRPr="002A5818">
        <w:t>tonnes sont désormais opérationnelles, contre moins de 10 en 2015, avec les investissements croissants des acteurs locaux et étrangers encouragés par des incitations fiscales et non fiscales. Alors que les autorités ambitionnent de transformer localement 50% de sa production d’ici 2030, M. Berté affirme qu’une dizaine de nouveaux projets devraient prochainement ajouter 200 000 tonnes de capacité supplémentaires à l’industrie.</w:t>
      </w:r>
    </w:p>
    <w:p w14:paraId="6A4E6D9C" w14:textId="3240F05C" w:rsidR="00EF09A9" w:rsidRPr="002A5818" w:rsidRDefault="00EF09A9" w:rsidP="00882209">
      <w:pPr>
        <w:spacing w:after="0"/>
        <w:rPr>
          <w:b/>
          <w:bCs/>
        </w:rPr>
      </w:pPr>
    </w:p>
    <w:p w14:paraId="090BC24C" w14:textId="02E26198" w:rsidR="00EF09A9" w:rsidRPr="002A5818" w:rsidRDefault="00EF09A9" w:rsidP="00EF09A9">
      <w:pPr>
        <w:keepNext/>
        <w:keepLines/>
        <w:spacing w:after="0"/>
        <w:outlineLvl w:val="1"/>
        <w:rPr>
          <w:rFonts w:eastAsiaTheme="majorEastAsia" w:cstheme="majorBidi"/>
          <w:b/>
          <w:szCs w:val="26"/>
        </w:rPr>
      </w:pPr>
      <w:bookmarkStart w:id="42" w:name="_Toc221044167"/>
      <w:r w:rsidRPr="002A5818">
        <w:rPr>
          <w:rFonts w:eastAsiaTheme="majorEastAsia" w:cstheme="majorBidi"/>
          <w:b/>
          <w:szCs w:val="26"/>
        </w:rPr>
        <w:t>Anacarde – Vers la fin des subventions</w:t>
      </w:r>
      <w:r w:rsidR="00F20268" w:rsidRPr="002A5818">
        <w:rPr>
          <w:rFonts w:eastAsiaTheme="majorEastAsia" w:cstheme="majorBidi"/>
          <w:b/>
          <w:szCs w:val="26"/>
        </w:rPr>
        <w:t> ?</w:t>
      </w:r>
      <w:bookmarkEnd w:id="42"/>
    </w:p>
    <w:p w14:paraId="5B5146C4" w14:textId="77777777" w:rsidR="002A73B1" w:rsidRPr="002A5818" w:rsidRDefault="00882209" w:rsidP="00882209">
      <w:pPr>
        <w:spacing w:after="0"/>
      </w:pPr>
      <w:r w:rsidRPr="002A5818">
        <w:t xml:space="preserve">La Côte d’Ivoire est depuis 2015 le premier producteur mondial de noix de cajou. Le pays, qui veut aussi se positionner comme un poids lourd dans l’industrie de la transformation, a misé sur des incitations publiques pour attirer les investissements privés. Le soutien public à la transformation d’anacarde a ainsi pleinement participé à l’essor de l’industrie sur ces dernières années. Ainsi, depuis 2017/2018, les autorités appuient les industriels avec notamment une prime de 400 FCFA par kg d’amande exportée, en plus d’autres facilités comme l’exonération de droits de douane et de TVA sur les équipements ainsi que sur les pièces de rechange qu’ils doivent importer. Ces mesures ont attiré des investissements, tant locaux qu’étrangers, et ont permis une augmentation rapide des capacités de transformation. Les volumes traités sont ainsi passés de 43 700 tonnes en 2017 à 344 000 tonnes en 2024. Les subventions à l’industrie du cajou ont rempli leurs objectifs. Deux noix de cajou sur trois transformées en Afrique le sont en Côte d’Ivoire. Le pays domine très largement l’activité de transformation, avec une capacité supérieure à 600 000 tonnes. La plupart des usines sont relativement récentes, ayant été mises en place au cours des cinq dernières années, et s’appuient généralement sur des technologies modernes. Si l’impact positif de l’accompagnement public est salué, un débat existe en revanche sur la poursuite de ce dispositif. Selon plusieurs sources dans l’industrie, le Conseil du Coton-Anacarde (CCA) envisagerait de limiter les subventions sur les prochaines années, sans plus de détails sur la manière dont cette mesure serait concrètement mise en œuvre. </w:t>
      </w:r>
      <w:r w:rsidR="00EF09A9" w:rsidRPr="002A5818">
        <w:t xml:space="preserve">La fin </w:t>
      </w:r>
      <w:r w:rsidRPr="002A5818">
        <w:t xml:space="preserve">des subventions impacterait d’abord les petits et moyens transformateurs, par rapport aux grandes usines qui sont détenues majoritairement par des </w:t>
      </w:r>
      <w:r w:rsidR="00EF09A9" w:rsidRPr="002A5818">
        <w:t xml:space="preserve">capitaux </w:t>
      </w:r>
      <w:r w:rsidRPr="002A5818">
        <w:t xml:space="preserve">étrangers et qui disposent d’un meilleur fonds de roulement. </w:t>
      </w:r>
      <w:r w:rsidR="00EF09A9" w:rsidRPr="002A5818">
        <w:t>La fin</w:t>
      </w:r>
      <w:r w:rsidRPr="002A5818">
        <w:t xml:space="preserve"> de</w:t>
      </w:r>
      <w:r w:rsidR="00EF09A9" w:rsidRPr="002A5818">
        <w:t>s</w:t>
      </w:r>
      <w:r w:rsidRPr="002A5818">
        <w:t xml:space="preserve"> subvention</w:t>
      </w:r>
      <w:r w:rsidR="00EF09A9" w:rsidRPr="002A5818">
        <w:t>s</w:t>
      </w:r>
      <w:r w:rsidRPr="002A5818">
        <w:t xml:space="preserve"> risque également de décourager les investissements futurs</w:t>
      </w:r>
      <w:r w:rsidR="00EF09A9" w:rsidRPr="002A5818">
        <w:t xml:space="preserve">. Pour autant, </w:t>
      </w:r>
      <w:r w:rsidRPr="002A5818">
        <w:t xml:space="preserve">l’investissement dans la transformation de la noix de cajou en Côte d’Ivoire est désormais solidement établi, et il est probable que les investissements se poursuivent. L’absence de subvention pourrait toutefois inciter certaines entreprises à s’intéresser à d’autres pays </w:t>
      </w:r>
      <w:r w:rsidR="00EF09A9" w:rsidRPr="002A5818">
        <w:t xml:space="preserve">d’Afrique de l’Ouest </w:t>
      </w:r>
      <w:r w:rsidRPr="002A5818">
        <w:t xml:space="preserve">en plus de la Côte d’Ivoire, qui ont eux aussi d’importantes disponibilités en matières premières. Malgré cela, la Côte d’Ivoire conserve des atouts majeurs : une production abondante et un cadre réglementaire globalement solide. </w:t>
      </w:r>
    </w:p>
    <w:p w14:paraId="3B5AB57D" w14:textId="2FB855A2" w:rsidR="002A73B1" w:rsidRPr="002A5818" w:rsidRDefault="002A73B1" w:rsidP="002A73B1">
      <w:pPr>
        <w:spacing w:after="0"/>
      </w:pPr>
    </w:p>
    <w:p w14:paraId="52FB909B" w14:textId="570EA4D6" w:rsidR="002A73B1" w:rsidRPr="002A5818" w:rsidRDefault="002A73B1" w:rsidP="00571A73">
      <w:pPr>
        <w:keepNext/>
        <w:keepLines/>
        <w:spacing w:after="0"/>
        <w:outlineLvl w:val="1"/>
        <w:rPr>
          <w:rFonts w:eastAsiaTheme="majorEastAsia" w:cstheme="majorBidi"/>
          <w:b/>
          <w:bCs/>
          <w:szCs w:val="26"/>
        </w:rPr>
      </w:pPr>
      <w:bookmarkStart w:id="43" w:name="_Toc221044168"/>
      <w:r w:rsidRPr="002A5818">
        <w:rPr>
          <w:b/>
          <w:bCs/>
        </w:rPr>
        <w:t>Anacarde – Nouvelle usine de transformation en construction.</w:t>
      </w:r>
      <w:bookmarkEnd w:id="43"/>
    </w:p>
    <w:p w14:paraId="02DCE012" w14:textId="7D009730" w:rsidR="002A73B1" w:rsidRPr="002A5818" w:rsidRDefault="002A73B1" w:rsidP="002A73B1">
      <w:pPr>
        <w:spacing w:after="0"/>
      </w:pPr>
      <w:r w:rsidRPr="002A5818">
        <w:t>Deux imposants bâtiments devant, à terme, abriter une usine de transformation d’anacarde dénommée Kiklan Agro sont en cours de réalisation à Katiola. Les travaux, à l’actif de techniciens asiatiques, portent sur la construction de deux vastes entrepôts d’une superficie respective de 3 000 m² et 4 000 m². Le chantier a démarré en mars 2025 et la mise en service de l’usine est annoncée pour le courant de l’année 2026. L’unité industrielle ambitionne de transformer 15 000 tonnes de produits dérivés de la noix de cajou par an</w:t>
      </w:r>
      <w:r w:rsidR="00571A73" w:rsidRPr="002A5818">
        <w:t xml:space="preserve">. </w:t>
      </w:r>
      <w:r w:rsidRPr="002A5818">
        <w:t>Le projet prévoit la création d’environ 90 emplois permanents et 200 emplois temporaires. L’approvisionnement des marchés locaux et d’exportation figure également parmi les priorités de cette future unité de transformation.</w:t>
      </w:r>
    </w:p>
    <w:p w14:paraId="4A3515CD" w14:textId="159E2439" w:rsidR="00E51BD1" w:rsidRPr="002A5818" w:rsidRDefault="00E51BD1" w:rsidP="00BD405A">
      <w:pPr>
        <w:spacing w:after="0"/>
      </w:pPr>
    </w:p>
    <w:p w14:paraId="68EFD619" w14:textId="24DEA3D9" w:rsidR="0099017D" w:rsidRPr="002A5818" w:rsidRDefault="00E51BD1" w:rsidP="00B5599B">
      <w:pPr>
        <w:keepNext/>
        <w:keepLines/>
        <w:spacing w:after="0"/>
        <w:outlineLvl w:val="1"/>
        <w:rPr>
          <w:rFonts w:eastAsiaTheme="majorEastAsia" w:cstheme="majorBidi"/>
          <w:b/>
          <w:bCs/>
          <w:szCs w:val="26"/>
        </w:rPr>
      </w:pPr>
      <w:bookmarkStart w:id="44" w:name="_Hlk219749513"/>
      <w:bookmarkStart w:id="45" w:name="_Toc221044169"/>
      <w:bookmarkStart w:id="46" w:name="_Hlk220087922"/>
      <w:r w:rsidRPr="002A5818">
        <w:rPr>
          <w:b/>
          <w:bCs/>
        </w:rPr>
        <w:t xml:space="preserve">Anacarde </w:t>
      </w:r>
      <w:r w:rsidR="0099017D" w:rsidRPr="002A5818">
        <w:rPr>
          <w:b/>
          <w:bCs/>
        </w:rPr>
        <w:t>– 6</w:t>
      </w:r>
      <w:r w:rsidR="0099017D" w:rsidRPr="002A5818">
        <w:rPr>
          <w:b/>
          <w:bCs/>
          <w:vertAlign w:val="superscript"/>
        </w:rPr>
        <w:t>ème</w:t>
      </w:r>
      <w:r w:rsidR="0099017D" w:rsidRPr="002A5818">
        <w:rPr>
          <w:b/>
          <w:bCs/>
        </w:rPr>
        <w:t xml:space="preserve"> édition des Journées nationales des exportateurs de cajou (JNEC-CI).</w:t>
      </w:r>
      <w:bookmarkEnd w:id="44"/>
      <w:bookmarkEnd w:id="45"/>
    </w:p>
    <w:bookmarkEnd w:id="46"/>
    <w:p w14:paraId="46787C6F" w14:textId="7C2507EF" w:rsidR="0099017D" w:rsidRPr="002A5818" w:rsidRDefault="0099017D" w:rsidP="0099017D">
      <w:pPr>
        <w:spacing w:after="0"/>
      </w:pPr>
      <w:r w:rsidRPr="002A5818">
        <w:t>La 6</w:t>
      </w:r>
      <w:r w:rsidRPr="002A5818">
        <w:rPr>
          <w:vertAlign w:val="superscript"/>
        </w:rPr>
        <w:t>ème</w:t>
      </w:r>
      <w:r w:rsidRPr="002A5818">
        <w:t xml:space="preserve"> édition des JNEC s’est tenue les 20 et 21 janvier sous le thème « Quelle politique d’exportation pour un meilleur revenu au producteur de noix de cajou et une transformation plus compétitive en Côte d’Ivoire ? ». </w:t>
      </w:r>
      <w:r w:rsidR="00B5599B" w:rsidRPr="002A5818">
        <w:t xml:space="preserve">Créées il y a près de dix ans, les JNEC-CI se sont imposées comme un cadre privilégié d’échanges, de concertation et de prospective, réunissant </w:t>
      </w:r>
      <w:r w:rsidR="00B5599B" w:rsidRPr="002A5818">
        <w:lastRenderedPageBreak/>
        <w:t xml:space="preserve">producteurs, exportateurs, acheteurs, transformateurs, institutions financières, partenaires techniques et opérateurs logistiques. </w:t>
      </w:r>
      <w:r w:rsidRPr="002A5818">
        <w:t xml:space="preserve">Cette </w:t>
      </w:r>
      <w:r w:rsidR="00B5599B" w:rsidRPr="002A5818">
        <w:t xml:space="preserve">édition </w:t>
      </w:r>
      <w:r w:rsidRPr="002A5818">
        <w:t>a réuni plus de 3 000 participants venus de Côte d’Ivoire ainsi que d’autres pays producteurs, transformateurs et consommateurs de noix de cajou. Elle est devenue un rendez-vous majeur pour l’ensemble des acteurs de la chaîne de valeur de l’anacarde. Le programme prévoyait quatre panels portant sur la qualité de la noix de cajou, la transformation locale, le financement de la filière et les enjeux institutionnels. A ces échanges stratégiques se sont ajoutés des rencontres B to B, destinées à stimuler les partenariats et les opportunités d’affaires. Selon le président de l’Association des exportateurs de cajou de Côte d’Ivoire (AEC-CI), M. N’Guettia Assouman, cette édition s’inscrivait dans un contexte particulièrement exigeant, marqué par la volatilité des prix sur le marché international, mais également par des exigences croissantes en matière de qualité et de traçabilité. Il a souligné que les journées ont reflété l’enjeu fondamental qui est de concilier les ambitions nationales de transformation locale avec la nécessité de préserver un cadre économique viable pour les exportateurs, afin que cette dynamique contribue réellement à l’amélioration des revenus des acteurs de base, encore insuffisamment rémunérés.</w:t>
      </w:r>
    </w:p>
    <w:p w14:paraId="33AE4B52" w14:textId="77777777" w:rsidR="00772FCA" w:rsidRPr="002A5818" w:rsidRDefault="00772FCA" w:rsidP="0099017D">
      <w:pPr>
        <w:spacing w:after="0"/>
      </w:pPr>
    </w:p>
    <w:p w14:paraId="1B9218D3" w14:textId="423B6882" w:rsidR="008025FE" w:rsidRPr="002A5818" w:rsidRDefault="008025FE" w:rsidP="00772FCA">
      <w:pPr>
        <w:keepNext/>
        <w:keepLines/>
        <w:spacing w:after="0"/>
        <w:outlineLvl w:val="1"/>
        <w:rPr>
          <w:rFonts w:eastAsiaTheme="majorEastAsia" w:cstheme="majorBidi"/>
          <w:b/>
          <w:bCs/>
          <w:szCs w:val="26"/>
        </w:rPr>
      </w:pPr>
      <w:bookmarkStart w:id="47" w:name="_Toc221044170"/>
      <w:bookmarkStart w:id="48" w:name="_Hlk220948912"/>
      <w:r w:rsidRPr="002A5818">
        <w:rPr>
          <w:b/>
          <w:bCs/>
        </w:rPr>
        <w:t xml:space="preserve">Hévéa - Partenariat </w:t>
      </w:r>
      <w:r w:rsidR="00772FCA" w:rsidRPr="002A5818">
        <w:rPr>
          <w:b/>
          <w:bCs/>
        </w:rPr>
        <w:t xml:space="preserve">recherché </w:t>
      </w:r>
      <w:r w:rsidRPr="002A5818">
        <w:rPr>
          <w:b/>
          <w:bCs/>
        </w:rPr>
        <w:t>avec le Cambodge pour la valorisation du bois.</w:t>
      </w:r>
      <w:bookmarkEnd w:id="47"/>
    </w:p>
    <w:bookmarkEnd w:id="48"/>
    <w:p w14:paraId="51582875" w14:textId="14C5BD8A" w:rsidR="00AC3EDF" w:rsidRDefault="008025FE" w:rsidP="00A043CB">
      <w:pPr>
        <w:spacing w:after="0"/>
      </w:pPr>
      <w:r w:rsidRPr="002A5818">
        <w:t xml:space="preserve">La valorisation du bois issu des vergers vieillissants d’hévéa fait l’objet, en Côte d’Ivoire, d’un projet visant à financer la régénération des plantations tout en offrant aux producteurs des revenus additionnels durables. C’est dans ce contexte que le Mandarin de la cour royale de Sa Majesté le Roi du Cambodge, M. Buntha Em, </w:t>
      </w:r>
      <w:r w:rsidR="00B40C8D" w:rsidRPr="002A5818">
        <w:t xml:space="preserve">a </w:t>
      </w:r>
      <w:r w:rsidRPr="002A5818">
        <w:t>effectu</w:t>
      </w:r>
      <w:r w:rsidR="00B40C8D" w:rsidRPr="002A5818">
        <w:t>é</w:t>
      </w:r>
      <w:r w:rsidRPr="002A5818">
        <w:t xml:space="preserve"> une visite officielle en Côte d’Ivoire, à l’invitation de la Fédération des associations de producteurs d’hévéa de Côte d’Ivoire (FPHCI), afin d’explorer le potentiel du pays en la matière et d’engager un partenariat durable au bénéfice de la filière hévéa.</w:t>
      </w:r>
      <w:r w:rsidR="00B40C8D" w:rsidRPr="002A5818">
        <w:t xml:space="preserve"> Présenté </w:t>
      </w:r>
      <w:r w:rsidRPr="002A5818">
        <w:t xml:space="preserve">au Salon </w:t>
      </w:r>
      <w:r w:rsidR="00B40C8D" w:rsidRPr="002A5818">
        <w:t>i</w:t>
      </w:r>
      <w:r w:rsidRPr="002A5818">
        <w:t>nternational de l’</w:t>
      </w:r>
      <w:r w:rsidR="00B40C8D" w:rsidRPr="002A5818">
        <w:t>a</w:t>
      </w:r>
      <w:r w:rsidRPr="002A5818">
        <w:t>griculture de Paris en 2025</w:t>
      </w:r>
      <w:r w:rsidR="00B40C8D" w:rsidRPr="002A5818">
        <w:t xml:space="preserve">, le projet de la FPH-CI de valorisation du bois a suscité un réel </w:t>
      </w:r>
      <w:r w:rsidRPr="002A5818">
        <w:t xml:space="preserve">engouement </w:t>
      </w:r>
      <w:r w:rsidR="00B40C8D" w:rsidRPr="002A5818">
        <w:t>et a am</w:t>
      </w:r>
      <w:r w:rsidR="00F609D6" w:rsidRPr="002A5818">
        <w:t>e</w:t>
      </w:r>
      <w:r w:rsidR="00B40C8D" w:rsidRPr="002A5818">
        <w:t xml:space="preserve">né </w:t>
      </w:r>
      <w:r w:rsidRPr="002A5818">
        <w:t>la FPH</w:t>
      </w:r>
      <w:r w:rsidRPr="002A5818">
        <w:rPr>
          <w:rFonts w:ascii="Times New Roman" w:hAnsi="Times New Roman" w:cs="Times New Roman"/>
        </w:rPr>
        <w:t>‑</w:t>
      </w:r>
      <w:r w:rsidRPr="002A5818">
        <w:t xml:space="preserve">CI </w:t>
      </w:r>
      <w:r w:rsidR="00B40C8D" w:rsidRPr="002A5818">
        <w:t xml:space="preserve">à </w:t>
      </w:r>
      <w:r w:rsidRPr="002A5818">
        <w:t>tente</w:t>
      </w:r>
      <w:r w:rsidR="00B40C8D" w:rsidRPr="002A5818">
        <w:t>r</w:t>
      </w:r>
      <w:r w:rsidRPr="002A5818">
        <w:t xml:space="preserve"> de nouer des partenariats pouvant permettre sa mise en œuvre dans l’intérêt des </w:t>
      </w:r>
      <w:r w:rsidR="00B40C8D" w:rsidRPr="002A5818">
        <w:t>p</w:t>
      </w:r>
      <w:r w:rsidRPr="002A5818">
        <w:t>roducteurs.</w:t>
      </w:r>
      <w:r w:rsidR="00B40C8D" w:rsidRPr="002A5818">
        <w:t xml:space="preserve"> </w:t>
      </w:r>
      <w:r w:rsidRPr="002A5818">
        <w:t xml:space="preserve">Une présentation technique a </w:t>
      </w:r>
      <w:r w:rsidR="00772FCA" w:rsidRPr="002A5818">
        <w:t xml:space="preserve">mis </w:t>
      </w:r>
      <w:r w:rsidRPr="002A5818">
        <w:t>en évidence les propriétés du bois d’hévéa, les volumes disponibles dans les plantations villageoises ainsi que les prévisions de disponibilité de la ressource jusqu’en 2055.</w:t>
      </w:r>
      <w:r w:rsidR="00772FCA" w:rsidRPr="002A5818">
        <w:t xml:space="preserve"> </w:t>
      </w:r>
      <w:r w:rsidRPr="002A5818">
        <w:t>La Côte d’Ivoire, leader africain et troisième producteur mondial de caoutchouc naturel</w:t>
      </w:r>
      <w:r w:rsidR="00F609D6" w:rsidRPr="002A5818">
        <w:t xml:space="preserve"> derrière la Thaïlande et l’Indonésie</w:t>
      </w:r>
      <w:r w:rsidRPr="002A5818">
        <w:t xml:space="preserve">, </w:t>
      </w:r>
      <w:r w:rsidR="00A043CB" w:rsidRPr="002A5818">
        <w:t xml:space="preserve">consacre plus de 720 000 ha à l’hévéaculture et </w:t>
      </w:r>
      <w:r w:rsidRPr="002A5818">
        <w:t>ambitionne de renforcer sa position par la régénération des vergers hévéicoles. Dans ce cadre, la valorisation du bois d’hévéa représente une alternative porteuse de solutions économiques, sociales et environnementales pour les producteurs. Cette ressource est désormais reconnue pour ses qualités techniques et son potentiel économique. Sa valorisation ouvre des opportunités pour l’industrie locale et mondiale du bois, tout en contribuant à la transition écologique et à la lutte contre la déforestation.</w:t>
      </w:r>
      <w:r w:rsidR="00A043CB" w:rsidRPr="002A5818">
        <w:t xml:space="preserve"> L’objectif du projet est d’accompagner les producteurs dans l’identification, la coupe et la commercialisation du bois d’hévéa en fin de production de latex à des fins industrielles. Le bois d’hévéa solide, durable, facile à traiter et résistant au temps, peut être transformé en meuble et autres produits artisanaux. La Côte d’Ivoire peut fournir par an plus de 1</w:t>
      </w:r>
      <w:r w:rsidR="00A043CB" w:rsidRPr="002A5818">
        <w:rPr>
          <w:rFonts w:ascii="Times New Roman" w:hAnsi="Times New Roman" w:cs="Times New Roman"/>
        </w:rPr>
        <w:t> </w:t>
      </w:r>
      <w:r w:rsidR="00A043CB" w:rsidRPr="002A5818">
        <w:t>650</w:t>
      </w:r>
      <w:r w:rsidR="00A043CB" w:rsidRPr="002A5818">
        <w:rPr>
          <w:rFonts w:ascii="Times New Roman" w:hAnsi="Times New Roman" w:cs="Times New Roman"/>
        </w:rPr>
        <w:t> </w:t>
      </w:r>
      <w:r w:rsidR="00A043CB" w:rsidRPr="002A5818">
        <w:t>853 m</w:t>
      </w:r>
      <w:r w:rsidR="00A043CB" w:rsidRPr="002A5818">
        <w:rPr>
          <w:rFonts w:cs="Marianne"/>
        </w:rPr>
        <w:t>³</w:t>
      </w:r>
      <w:r w:rsidR="00A043CB" w:rsidRPr="002A5818">
        <w:t xml:space="preserve"> de bois </w:t>
      </w:r>
      <w:r w:rsidR="00A043CB" w:rsidRPr="002A5818">
        <w:rPr>
          <w:rFonts w:cs="Marianne"/>
        </w:rPr>
        <w:t xml:space="preserve">selon </w:t>
      </w:r>
      <w:r w:rsidR="00A043CB" w:rsidRPr="002A5818">
        <w:t>la FPHCI. Si la nature exacte du partenariat en cours le Cambodge n’est pas encore connue, le pays figure parmi les principaux importateurs de bois d’œuvre et produits dérivés en Asie, le pays ayant importé pour près de 338,8 M USD de bois et dérivés en 2024. En attendant les avancées du partenariat avec le Cambodge, la perspective de développer une industrie autour du bois d’hévéa ouvre de nouvelles voies de valorisation et de diversification pour les acteurs du secteur, au-delà de la seule production de caoutchouc.</w:t>
      </w:r>
      <w:r w:rsidR="0003491B" w:rsidRPr="002A5818">
        <w:t xml:space="preserve"> </w:t>
      </w:r>
      <w:r w:rsidR="00A043CB" w:rsidRPr="002A5818">
        <w:t xml:space="preserve">Depuis 2023, le groupe </w:t>
      </w:r>
      <w:r w:rsidR="0003491B" w:rsidRPr="002A5818">
        <w:t>pétro gazier</w:t>
      </w:r>
      <w:r w:rsidR="00A043CB" w:rsidRPr="002A5818">
        <w:t xml:space="preserve"> </w:t>
      </w:r>
      <w:r w:rsidR="00A043CB" w:rsidRPr="002A5818">
        <w:lastRenderedPageBreak/>
        <w:t>italien ENI expérimente déjà la transformation des graines d’hévéa en huile végétale pour ses bioraffineries. Après une phase pilote concluante, l’entreprise a signé, le 28 mai 2025, un accord avec le gouvernement ivoirien pour structurer une filière nationale de biocarburants. Dans la foulée, la Société des Énergies Nouvelles (SODEN) a annoncé, le 3 juin 2025, son projet de centrale de 76 MW à Divo, qui sera alimentée en partie par des déchets agricoles, incluant les hévéas en fin de vie.</w:t>
      </w:r>
      <w:r w:rsidR="0003491B" w:rsidRPr="002A5818">
        <w:t xml:space="preserve"> </w:t>
      </w:r>
      <w:r w:rsidR="00A043CB" w:rsidRPr="002A5818">
        <w:t>Ces initiatives représentent des débouchés industriels supplémentaires pour la filière hévéa, offrant la promesse de revenus additionnels pour les petits producteurs. Parallèlement, le gouvernement prévoit d’accompagner la plantation de 500</w:t>
      </w:r>
      <w:r w:rsidR="00A043CB" w:rsidRPr="002A5818">
        <w:rPr>
          <w:rFonts w:ascii="Times New Roman" w:hAnsi="Times New Roman" w:cs="Times New Roman"/>
        </w:rPr>
        <w:t> </w:t>
      </w:r>
      <w:r w:rsidR="00A043CB" w:rsidRPr="002A5818">
        <w:t>000 h</w:t>
      </w:r>
      <w:r w:rsidR="0003491B" w:rsidRPr="002A5818">
        <w:t>a</w:t>
      </w:r>
      <w:r w:rsidR="00A043CB" w:rsidRPr="002A5818">
        <w:t xml:space="preserve"> suppl</w:t>
      </w:r>
      <w:r w:rsidR="00A043CB" w:rsidRPr="002A5818">
        <w:rPr>
          <w:rFonts w:cs="Marianne"/>
        </w:rPr>
        <w:t>é</w:t>
      </w:r>
      <w:r w:rsidR="00A043CB" w:rsidRPr="002A5818">
        <w:t>mentaires d</w:t>
      </w:r>
      <w:r w:rsidR="00A043CB" w:rsidRPr="002A5818">
        <w:rPr>
          <w:rFonts w:cs="Marianne"/>
        </w:rPr>
        <w:t>’</w:t>
      </w:r>
      <w:r w:rsidR="00A043CB" w:rsidRPr="002A5818">
        <w:t>h</w:t>
      </w:r>
      <w:r w:rsidR="00A043CB" w:rsidRPr="002A5818">
        <w:rPr>
          <w:rFonts w:cs="Marianne"/>
        </w:rPr>
        <w:t>é</w:t>
      </w:r>
      <w:r w:rsidR="00A043CB" w:rsidRPr="002A5818">
        <w:t>v</w:t>
      </w:r>
      <w:r w:rsidR="00A043CB" w:rsidRPr="002A5818">
        <w:rPr>
          <w:rFonts w:cs="Marianne"/>
        </w:rPr>
        <w:t>é</w:t>
      </w:r>
      <w:r w:rsidR="00A043CB" w:rsidRPr="002A5818">
        <w:t>a sur dix ans, afin de renforcer la base de production nationale.</w:t>
      </w:r>
      <w:r w:rsidR="0003491B" w:rsidRPr="002A5818">
        <w:t xml:space="preserve"> </w:t>
      </w:r>
      <w:r w:rsidR="00A043CB" w:rsidRPr="002A5818">
        <w:t xml:space="preserve">Quoi qu’il en soit, l’expansion des surfaces cultivées permettra avant tout de soutenir la filière caoutchouc, dont la production et la commercialisation restent la principale source de valeur ajoutée dans le secteur. Selon les données compilées par la Direction générale des douanes, la Côte d’Ivoire a exporté en moyenne 1,47 </w:t>
      </w:r>
      <w:r w:rsidR="0003491B" w:rsidRPr="002A5818">
        <w:t xml:space="preserve">M </w:t>
      </w:r>
      <w:r w:rsidR="00A043CB" w:rsidRPr="002A5818">
        <w:t>de tonnes de caoutchouc naturel entre 2020 et 2024. Sur la même période, les recettes d’exportation se sont élevées en moyenne à 1</w:t>
      </w:r>
      <w:r w:rsidR="00A043CB" w:rsidRPr="002A5818">
        <w:rPr>
          <w:rFonts w:ascii="Times New Roman" w:hAnsi="Times New Roman" w:cs="Times New Roman"/>
        </w:rPr>
        <w:t> </w:t>
      </w:r>
      <w:r w:rsidR="00A043CB" w:rsidRPr="002A5818">
        <w:t>068</w:t>
      </w:r>
      <w:r w:rsidR="005C0CF7">
        <w:t> </w:t>
      </w:r>
      <w:r w:rsidR="0003491B" w:rsidRPr="002A5818">
        <w:t>Md</w:t>
      </w:r>
      <w:r w:rsidR="005C0CF7">
        <w:t> </w:t>
      </w:r>
      <w:r w:rsidR="0003491B" w:rsidRPr="002A5818">
        <w:t>F</w:t>
      </w:r>
      <w:r w:rsidR="00A043CB" w:rsidRPr="002A5818">
        <w:t>CFA par an.</w:t>
      </w:r>
    </w:p>
    <w:p w14:paraId="01051F38" w14:textId="77777777" w:rsidR="00EC085E" w:rsidRDefault="00EC085E" w:rsidP="00A043CB">
      <w:pPr>
        <w:spacing w:after="0"/>
      </w:pPr>
    </w:p>
    <w:p w14:paraId="5D159412" w14:textId="2EDDF9D2" w:rsidR="00AE06EF" w:rsidRPr="001D5EB5" w:rsidRDefault="00AE06EF" w:rsidP="00EC085E">
      <w:pPr>
        <w:keepNext/>
        <w:keepLines/>
        <w:spacing w:after="0"/>
        <w:outlineLvl w:val="1"/>
        <w:rPr>
          <w:rFonts w:eastAsiaTheme="majorEastAsia" w:cstheme="majorBidi"/>
          <w:b/>
          <w:bCs/>
          <w:szCs w:val="26"/>
        </w:rPr>
      </w:pPr>
      <w:bookmarkStart w:id="49" w:name="_Toc221044171"/>
      <w:r w:rsidRPr="001D5EB5">
        <w:rPr>
          <w:b/>
          <w:bCs/>
        </w:rPr>
        <w:t xml:space="preserve">Huile de palme – </w:t>
      </w:r>
      <w:r w:rsidR="00EC085E" w:rsidRPr="001D5EB5">
        <w:rPr>
          <w:b/>
          <w:bCs/>
        </w:rPr>
        <w:t>Les voisins burkinabés et maliens absorbent près de 50% des exportations ivoiriennes.</w:t>
      </w:r>
      <w:bookmarkEnd w:id="49"/>
    </w:p>
    <w:p w14:paraId="486962D6" w14:textId="7985033F" w:rsidR="00AE06EF" w:rsidRDefault="00AE06EF" w:rsidP="00AE06EF">
      <w:pPr>
        <w:spacing w:after="0"/>
      </w:pPr>
      <w:r>
        <w:t>L’huile de palme est l’une des principales cultures exportées par la Côte d'Ivoire. Le pays représente la principale locomotive du commerce de cette denrée dans la sous-région, avec une demande impulsée par les marchés du Burkina Faso et du Mali. En 2024, la Côte d’Ivoire, premier exportateur régional, a livré à ces deux pays respectivement à hauteur de 43,9 Md FCFA et 46,2 Md FCFA. Ils auront ainsi absorbé plus de 47% des exportations ivoiriennes estimées à 188,6 Md FCFA. Cette place prépondérante des deux voisins dans le commerce extérieur ivoirien d’huile de palme traduit une dynamique structurelle en œuvre depuis près d’une décennie. Entre 2015 et 2024, les importations burkinabè de cette huile rouge en provenance de Côte d’Ivoire ont plus que triplé, tandis que celles du Mali ont presque doublé.</w:t>
      </w:r>
    </w:p>
    <w:p w14:paraId="4B33A988" w14:textId="160C59F3" w:rsidR="00AE06EF" w:rsidRPr="002A5818" w:rsidRDefault="00AE06EF" w:rsidP="00AE06EF">
      <w:pPr>
        <w:spacing w:after="0"/>
      </w:pPr>
      <w:r>
        <w:t xml:space="preserve">Cette progression soutenue reflète l’impossibilité de </w:t>
      </w:r>
      <w:r w:rsidRPr="00AE06EF">
        <w:t>développe</w:t>
      </w:r>
      <w:r>
        <w:t>r dans ces deux pays</w:t>
      </w:r>
      <w:r w:rsidRPr="00AE06EF">
        <w:t xml:space="preserve"> une filière locale de palmier à huile à grande échelle</w:t>
      </w:r>
      <w:r>
        <w:t>,</w:t>
      </w:r>
      <w:r w:rsidRPr="00AE06EF">
        <w:t xml:space="preserve"> </w:t>
      </w:r>
      <w:r>
        <w:t>alors que la croissance démographique et l’évolution des habitudes alimentaires font que l’huile de palme occupe une place de plus en plus importante dans la consommation quotidienne, aux côtés d’autres huiles comme l’huile de karité, de coton et d’arachide. Faute de production nationale, l’approvisionnement extérieur devient donc stratégique, tant pour la consommation humaine que pour les usages industriels, notamment la fabrication de savons</w:t>
      </w:r>
      <w:r w:rsidR="00EC085E">
        <w:t xml:space="preserve"> et</w:t>
      </w:r>
      <w:r>
        <w:t xml:space="preserve"> de produits cosmétiques. </w:t>
      </w:r>
      <w:r w:rsidR="00EC085E">
        <w:t xml:space="preserve">La Côte d’Ivoire </w:t>
      </w:r>
      <w:r>
        <w:t xml:space="preserve">s’est imposée comme le partenaire privilégié </w:t>
      </w:r>
      <w:r w:rsidR="00EC085E">
        <w:t xml:space="preserve">du fait de sa </w:t>
      </w:r>
      <w:r>
        <w:t xml:space="preserve">proximité géographique, </w:t>
      </w:r>
      <w:r w:rsidR="00EC085E">
        <w:t xml:space="preserve">de </w:t>
      </w:r>
      <w:r>
        <w:t xml:space="preserve">l’intégration régionale au sein de l’UEMOA et </w:t>
      </w:r>
      <w:r w:rsidR="00EC085E">
        <w:t xml:space="preserve">de </w:t>
      </w:r>
      <w:r>
        <w:t>la fluidité relative des échanges commerciaux.</w:t>
      </w:r>
      <w:r w:rsidR="00EC085E">
        <w:t xml:space="preserve"> La Côte d’Ivoire a également </w:t>
      </w:r>
      <w:r>
        <w:t>bénéfici</w:t>
      </w:r>
      <w:r w:rsidR="00EC085E">
        <w:t>é</w:t>
      </w:r>
      <w:r>
        <w:t xml:space="preserve"> d’une montée progressive de sa production d'huile de palme depuis la fin des années 2010.</w:t>
      </w:r>
      <w:r w:rsidR="00EC085E">
        <w:t xml:space="preserve"> L</w:t>
      </w:r>
      <w:r>
        <w:t>’accroissement continu des volumes disponibles depuis 2018 a permis à l’industrie de se renforcer et de se positionner plus agressivement à l’export.</w:t>
      </w:r>
      <w:r w:rsidR="00EC085E">
        <w:t xml:space="preserve"> </w:t>
      </w:r>
      <w:r>
        <w:t xml:space="preserve">Selon les données </w:t>
      </w:r>
      <w:r w:rsidR="00EC085E">
        <w:t xml:space="preserve">du </w:t>
      </w:r>
      <w:r>
        <w:t>Département américain de l'</w:t>
      </w:r>
      <w:r w:rsidR="00EC085E">
        <w:t>a</w:t>
      </w:r>
      <w:r>
        <w:t>griculture</w:t>
      </w:r>
      <w:r w:rsidR="00EC085E">
        <w:t xml:space="preserve"> (USDA</w:t>
      </w:r>
      <w:r>
        <w:t>), les expéditions ivoiriennes d’huile de palme brute (</w:t>
      </w:r>
      <w:r w:rsidRPr="00EC085E">
        <w:rPr>
          <w:i/>
          <w:iCs/>
        </w:rPr>
        <w:t>Crude Palm Oil – CPO</w:t>
      </w:r>
      <w:r>
        <w:t>) sont passées de 163 000 tonnes en 2016 à près de 300 000 tonnes en 2021, illustrant la capacité croissante du pays à répondre à la demande régionale. Cette progression conforte le rôle du pays comme hub régional du commerce d’huile de palme, envoyant plus de 60% de ses cargaisons vers les autres pays d’Afrique de l’Ouest.</w:t>
      </w:r>
    </w:p>
    <w:p w14:paraId="47CDEB51" w14:textId="77777777" w:rsidR="00772FCA" w:rsidRPr="002A5818" w:rsidRDefault="00772FCA" w:rsidP="008025FE">
      <w:pPr>
        <w:spacing w:after="0"/>
      </w:pPr>
    </w:p>
    <w:p w14:paraId="6220ED98" w14:textId="388D30B3" w:rsidR="00FF6370" w:rsidRPr="002A5818" w:rsidRDefault="00FF6370" w:rsidP="002276EA">
      <w:pPr>
        <w:keepNext/>
        <w:keepLines/>
        <w:spacing w:after="0"/>
        <w:outlineLvl w:val="1"/>
        <w:rPr>
          <w:rFonts w:eastAsiaTheme="majorEastAsia" w:cstheme="majorBidi"/>
          <w:b/>
          <w:bCs/>
          <w:szCs w:val="26"/>
        </w:rPr>
      </w:pPr>
      <w:bookmarkStart w:id="50" w:name="_Toc221044172"/>
      <w:bookmarkStart w:id="51" w:name="_Hlk219730894"/>
      <w:bookmarkStart w:id="52" w:name="_Toc207812036"/>
      <w:bookmarkStart w:id="53" w:name="_Toc207812904"/>
      <w:bookmarkStart w:id="54" w:name="_Toc207813066"/>
      <w:r w:rsidRPr="002A5818">
        <w:rPr>
          <w:b/>
          <w:bCs/>
        </w:rPr>
        <w:lastRenderedPageBreak/>
        <w:t>Coton - Une filière stratégique en quête de nouveaux repères.</w:t>
      </w:r>
      <w:bookmarkEnd w:id="50"/>
    </w:p>
    <w:bookmarkEnd w:id="51"/>
    <w:p w14:paraId="4F88E432" w14:textId="565685A0" w:rsidR="00AC3EDF" w:rsidRPr="002A5818" w:rsidRDefault="00FF6370" w:rsidP="00FF6370">
      <w:pPr>
        <w:spacing w:after="0"/>
      </w:pPr>
      <w:r w:rsidRPr="002A5818">
        <w:t xml:space="preserve">Quatrième produit agricole d’exportation après le cacao, l’hévéa et la noix de cajou, le coton représente environ 7% des recettes d’exportation de la Côte d’Ivoire et contribue à hauteur de 1,7% au Produit intérieur brut (PIB). Les recettes annuelles générées par cette culture sont estimées à près de 100 Md FCFA. Implantée sur plus de la moitié du territoire national, principalement dans le Nord du pays, la culture cotonnière s’inscrit dans un système de production basé sur l’assolement et la rotation avec des cultures vivrières telles que le riz, le maïs ou l’arachide. Ces dernières années, la production de coton graine a connu des évolutions notables. </w:t>
      </w:r>
      <w:r w:rsidR="00505406" w:rsidRPr="002A5818">
        <w:t>Créée en 1974 avec la mise en place de la Compagnie ivoirienne pour le développement des textiles (CIDT), la filière coton a longtemps reposé sur un modèle étatique avant l’ouverture progressive au secteur privé à partir de 1998. Aujourd’hui, six sociétés cotonnières opèrent sur le territoire national CIDT, Ivoire Coton, COIC, Global Cotton, SECO et SICOSA</w:t>
      </w:r>
      <w:r w:rsidR="002276EA" w:rsidRPr="002A5818">
        <w:t> </w:t>
      </w:r>
      <w:r w:rsidR="00505406" w:rsidRPr="002A5818">
        <w:t>2.0 disposant d’une capacité industrielle totale de 605 000 tonnes, répartie sur 15</w:t>
      </w:r>
      <w:r w:rsidR="005C0CF7">
        <w:t> </w:t>
      </w:r>
      <w:r w:rsidR="00505406" w:rsidRPr="002A5818">
        <w:t>usines fonctionnelles. La relance engagée après la crise sociopolitique de 2002-2011, renforcée par la réforme de 2013 attribuant des zones exclusives d’activités aux sociétés cotonnières et un soutien accru de l’État, avait permis de faire progresser la production de 310</w:t>
      </w:r>
      <w:r w:rsidR="005C0CF7">
        <w:t> </w:t>
      </w:r>
      <w:r w:rsidR="00505406" w:rsidRPr="002A5818">
        <w:t>114 tonnes en 2015-2016 à un pic de 539</w:t>
      </w:r>
      <w:r w:rsidR="002276EA" w:rsidRPr="002A5818">
        <w:t> </w:t>
      </w:r>
      <w:r w:rsidR="00505406" w:rsidRPr="002A5818">
        <w:t xml:space="preserve">623 tonnes en 2021-2022 avant de retomber à </w:t>
      </w:r>
      <w:r w:rsidRPr="002A5818">
        <w:t>236</w:t>
      </w:r>
      <w:r w:rsidR="005C0CF7">
        <w:t> </w:t>
      </w:r>
      <w:r w:rsidRPr="002A5818">
        <w:t>183 tonnes en 2022-2023</w:t>
      </w:r>
      <w:r w:rsidR="00505406" w:rsidRPr="002A5818">
        <w:t>. E</w:t>
      </w:r>
      <w:r w:rsidRPr="002A5818">
        <w:t>lle est passée à 347 922 tonnes en 2023-2024, soit une hausse de 47%, portée notamment par une amélioration significative des rendements, passés de 574</w:t>
      </w:r>
      <w:r w:rsidR="005C0CF7">
        <w:t> </w:t>
      </w:r>
      <w:r w:rsidRPr="002A5818">
        <w:t>kg/ha à 886 kg/ha. Les projections pour la campagne 2024-2025 se voulaient optimistes, avec une production attendue de 367 000 tonnes et un rendement moyen de 1 000 kg/ha.</w:t>
      </w:r>
      <w:r w:rsidR="00505406" w:rsidRPr="002A5818">
        <w:t xml:space="preserve"> </w:t>
      </w:r>
      <w:r w:rsidRPr="002A5818">
        <w:t>Cependant, le bilan réel de la campagne 2024-2025 s’est révélé en demi-teinte. La production a chuté de 10,6% pour s’établir à 311 147 tonnes, tandis que le rendement moyen est retombé à 873 kg/ha. Plus préoccupant encore, le nombre de cotonculteurs est désormais descendu sous la barre symbolique des 100 000 producteurs, traduisant un certain désengagement face aux difficultés du secteur.</w:t>
      </w:r>
      <w:r w:rsidR="00505406" w:rsidRPr="002A5818">
        <w:t xml:space="preserve"> </w:t>
      </w:r>
      <w:r w:rsidRPr="002A5818">
        <w:t xml:space="preserve">Pour la campagne 2025-2026, l’enveloppe de subvention allouée à la filière a été plus que doublée, passant de 8,6 </w:t>
      </w:r>
      <w:r w:rsidR="00505406" w:rsidRPr="002A5818">
        <w:t xml:space="preserve">Md de FCFA </w:t>
      </w:r>
      <w:r w:rsidRPr="002A5818">
        <w:t>à 25,3</w:t>
      </w:r>
      <w:r w:rsidR="00505406" w:rsidRPr="002A5818">
        <w:t xml:space="preserve"> Md</w:t>
      </w:r>
      <w:r w:rsidRPr="002A5818">
        <w:t>. Cette aide vise à faciliter l’accès des producteurs aux intrants, avec des subventions ciblées sur les engrais (NPK et urée) et les insecticides. Les prix d’achat du coton graine sont par ailleurs maintenus à 310 FCFA/kg pour le premier choix et 285 FCFA/kg pour le second, afin de sécuriser les revenus des producteurs. Des actions complémentaires, telles que la distribution de bâches, l’entretien des pistes rurales et l’amélioration de la logistique, sont également mises en œuvre à travers des projets dédiés comme le programme RESCO.</w:t>
      </w:r>
      <w:r w:rsidR="00505406" w:rsidRPr="002A5818">
        <w:t xml:space="preserve"> A plus</w:t>
      </w:r>
      <w:r w:rsidRPr="002A5818">
        <w:t xml:space="preserve"> long terme, les ambitions restent élevées. Les autorités visent une production de 600</w:t>
      </w:r>
      <w:r w:rsidR="002276EA" w:rsidRPr="002A5818">
        <w:t> </w:t>
      </w:r>
      <w:r w:rsidRPr="002A5818">
        <w:t>000 tonnes de coton graine à l’horizon 2030, avec un rendement moyen de 1250 kg/ha. Mais pour atteindre cet objectif, la filière devra surmonter des défis majeurs, notamment la pression des ravageurs, en particulier les jassides, ainsi que l’impact croissant des aléas climatiques</w:t>
      </w:r>
      <w:r w:rsidR="002276EA" w:rsidRPr="002A5818">
        <w:t>, m</w:t>
      </w:r>
      <w:r w:rsidRPr="002A5818">
        <w:t xml:space="preserve">ais aussi la création de petites unités artisanales qui ne respectent </w:t>
      </w:r>
      <w:r w:rsidR="002276EA" w:rsidRPr="002A5818">
        <w:t>pas</w:t>
      </w:r>
      <w:r w:rsidRPr="002A5818">
        <w:t xml:space="preserve"> la clé de répartition arrêtée par les acteurs eux-mêmes.</w:t>
      </w:r>
      <w:r w:rsidR="005C0CF7">
        <w:t xml:space="preserve"> </w:t>
      </w:r>
      <w:r w:rsidRPr="002A5818">
        <w:t xml:space="preserve">Entre bilan mitigé et mobilisation financière sans précédent, la filière joue une partie essentielle </w:t>
      </w:r>
      <w:r w:rsidR="002276EA" w:rsidRPr="002A5818">
        <w:t xml:space="preserve">durant cette campagne </w:t>
      </w:r>
      <w:r w:rsidRPr="002A5818">
        <w:t xml:space="preserve">pour reconquérir les producteurs, stabiliser la production et retrouver durablement sa place </w:t>
      </w:r>
      <w:r w:rsidR="002276EA" w:rsidRPr="002A5818">
        <w:t xml:space="preserve">dans </w:t>
      </w:r>
      <w:r w:rsidRPr="002A5818">
        <w:t xml:space="preserve">l’économie agricole du </w:t>
      </w:r>
      <w:r w:rsidR="005C0CF7">
        <w:t>n</w:t>
      </w:r>
      <w:r w:rsidRPr="002A5818">
        <w:t>ord du pays.</w:t>
      </w:r>
    </w:p>
    <w:p w14:paraId="47E80719" w14:textId="0BF45782" w:rsidR="00D2791B" w:rsidRPr="002A5818" w:rsidRDefault="00D2791B" w:rsidP="00FF6370">
      <w:pPr>
        <w:spacing w:after="0"/>
      </w:pPr>
    </w:p>
    <w:p w14:paraId="5932DD0F" w14:textId="1120F1FF" w:rsidR="00D2791B" w:rsidRPr="002A5818" w:rsidRDefault="00BD7A49" w:rsidP="00BD7A49">
      <w:pPr>
        <w:keepNext/>
        <w:keepLines/>
        <w:spacing w:after="0"/>
        <w:outlineLvl w:val="1"/>
        <w:rPr>
          <w:rFonts w:eastAsiaTheme="majorEastAsia" w:cstheme="majorBidi"/>
          <w:b/>
          <w:bCs/>
          <w:szCs w:val="26"/>
        </w:rPr>
      </w:pPr>
      <w:bookmarkStart w:id="55" w:name="_Toc221044173"/>
      <w:r w:rsidRPr="002A5818">
        <w:rPr>
          <w:b/>
          <w:bCs/>
        </w:rPr>
        <w:t>Karité - La transformation rapporte plus aux coopératives.</w:t>
      </w:r>
      <w:bookmarkEnd w:id="55"/>
    </w:p>
    <w:p w14:paraId="6378D6E3" w14:textId="301D2805" w:rsidR="00D2791B" w:rsidRPr="002A5818" w:rsidRDefault="00D2791B" w:rsidP="00D2791B">
      <w:pPr>
        <w:spacing w:after="0"/>
      </w:pPr>
      <w:r w:rsidRPr="002A5818">
        <w:t xml:space="preserve">La Côte d’Ivoire est l'un des plus gros producteurs de karité. Selon le Conseil du coton et de l’anacarde désormais en charge de la gestion de la filière karité, plus de 50 000 tonnes ont été produites entre avril et décembre 2025. Mais </w:t>
      </w:r>
      <w:r w:rsidR="00BD7A49" w:rsidRPr="002A5818">
        <w:t xml:space="preserve">seule </w:t>
      </w:r>
      <w:r w:rsidRPr="002A5818">
        <w:t>une part de sa production</w:t>
      </w:r>
      <w:r w:rsidR="00BD7A49" w:rsidRPr="002A5818">
        <w:t xml:space="preserve"> est transformée</w:t>
      </w:r>
      <w:r w:rsidRPr="002A5818">
        <w:t xml:space="preserve">. </w:t>
      </w:r>
      <w:r w:rsidR="00BD7A49" w:rsidRPr="002A5818">
        <w:lastRenderedPageBreak/>
        <w:t>A</w:t>
      </w:r>
      <w:r w:rsidRPr="002A5818">
        <w:t xml:space="preserve"> Tafiré, dans le centre-nord du pays, une unité moderne de transformation du karité, installée il y a deux ans par une ONG au profit de deux coopératives féminines, a profondément changé les pratiques</w:t>
      </w:r>
      <w:r w:rsidR="00BD7A49" w:rsidRPr="002A5818">
        <w:t> :</w:t>
      </w:r>
      <w:r w:rsidRPr="002A5818">
        <w:t xml:space="preserve"> </w:t>
      </w:r>
      <w:r w:rsidR="00BD7A49" w:rsidRPr="002A5818">
        <w:t>m</w:t>
      </w:r>
      <w:r w:rsidRPr="002A5818">
        <w:t>oins de pénibilité, une production en hausse et des revenus plus réguliers</w:t>
      </w:r>
      <w:r w:rsidR="00BD7A49" w:rsidRPr="002A5818">
        <w:t>. Ainsi d</w:t>
      </w:r>
      <w:r w:rsidRPr="002A5818">
        <w:t xml:space="preserve">errière le beurre de karité, c’est une véritable dynamique d’autonomisation économique </w:t>
      </w:r>
      <w:r w:rsidR="00BD7A49" w:rsidRPr="002A5818">
        <w:t xml:space="preserve">des femmes </w:t>
      </w:r>
      <w:r w:rsidRPr="002A5818">
        <w:t>qui s’installe. Elles sont aujourd’hui plus d’une centaine, issues de deux coopératives, à travailler dans cette unité. Avant son installation, chacune transformait le karité de façon individuelle. Au-delà de la productivité, c’est le quotidien des femmes qui est transformé. Pour certaines, le karité est devenu la principale source de revenus. Le beurre de karité produit dans cette unité est vendu sur place entre 2 000 et 3 000 FCFA/kg. Mais, malgré ces débouchés, un défi majeur persiste, celui de l’approvisionnement en amandes de karité. En cause, la concurrence croissante sur le marché, explique Mme Minafou Koné, présidente de l’ONG Femmes, Agriculture et Actions en Côte d’Ivoire, la FAACI, à l’origine de l’installation de cette unité de transformation</w:t>
      </w:r>
      <w:r w:rsidR="00BD7A49" w:rsidRPr="002A5818">
        <w:t xml:space="preserve">. </w:t>
      </w:r>
      <w:r w:rsidRPr="002A5818">
        <w:t xml:space="preserve">Aujourd’hui, des industriels entrent dans la filière </w:t>
      </w:r>
      <w:r w:rsidR="00882209" w:rsidRPr="002A5818">
        <w:t xml:space="preserve">pour négocier </w:t>
      </w:r>
      <w:r w:rsidRPr="002A5818">
        <w:t xml:space="preserve">de grandes quantités d’amandes. Forcément, sur le marché, la capacité d’achat de ces femmes diminue. </w:t>
      </w:r>
      <w:r w:rsidR="00BD7A49" w:rsidRPr="002A5818">
        <w:t>L</w:t>
      </w:r>
      <w:r w:rsidRPr="002A5818">
        <w:t>es prix des amandes augmentent et elles n’ont plus toujours les moyens d’en acheter suffisamment pour transformer.</w:t>
      </w:r>
      <w:r w:rsidR="00BD7A49" w:rsidRPr="002A5818">
        <w:t xml:space="preserve"> Elles </w:t>
      </w:r>
      <w:r w:rsidRPr="002A5818">
        <w:t>ambitionnent d’exporter le beurre de karité</w:t>
      </w:r>
      <w:r w:rsidR="00BD7A49" w:rsidRPr="002A5818">
        <w:t xml:space="preserve"> mais</w:t>
      </w:r>
      <w:r w:rsidRPr="002A5818">
        <w:t xml:space="preserve"> pour franchir ce cap, plusieurs conditions restent à remplir : sécuriser l’approvisionnement, disposer de davantage de zones de collecte de karité et surtout faire certifier la matière première, un passage obligé pour accéder aux marchés internationaux.</w:t>
      </w:r>
    </w:p>
    <w:p w14:paraId="7FE26C93" w14:textId="77777777" w:rsidR="00E5699B" w:rsidRPr="002A5818" w:rsidRDefault="00E5699B" w:rsidP="00E5699B">
      <w:pPr>
        <w:keepNext/>
        <w:keepLines/>
        <w:spacing w:after="0"/>
        <w:outlineLvl w:val="1"/>
        <w:rPr>
          <w:b/>
          <w:bCs/>
        </w:rPr>
      </w:pPr>
    </w:p>
    <w:p w14:paraId="594D9BFA" w14:textId="222BA840" w:rsidR="00760A35" w:rsidRPr="002A5818" w:rsidRDefault="00760A35" w:rsidP="00E5699B">
      <w:pPr>
        <w:keepNext/>
        <w:keepLines/>
        <w:spacing w:after="0"/>
        <w:outlineLvl w:val="1"/>
        <w:rPr>
          <w:rFonts w:eastAsiaTheme="majorEastAsia" w:cstheme="majorBidi"/>
          <w:b/>
          <w:bCs/>
          <w:szCs w:val="26"/>
        </w:rPr>
      </w:pPr>
      <w:bookmarkStart w:id="56" w:name="_Toc221044174"/>
      <w:r w:rsidRPr="002A5818">
        <w:rPr>
          <w:b/>
          <w:bCs/>
        </w:rPr>
        <w:t>Manioc - La filière lance son Interprofession pour structurer les demandes de financement de projets.</w:t>
      </w:r>
      <w:bookmarkEnd w:id="56"/>
    </w:p>
    <w:p w14:paraId="5E4F7F69" w14:textId="00183C6A" w:rsidR="00760A35" w:rsidRPr="002A5818" w:rsidRDefault="00760A35" w:rsidP="00760A35">
      <w:pPr>
        <w:spacing w:after="0"/>
      </w:pPr>
      <w:r w:rsidRPr="002A5818">
        <w:t xml:space="preserve">La nouvelle interprofession de la filière manioc, dénommée Organisation interprofessionnelle agricole (OIA Manioc), a été officiellement lancée, </w:t>
      </w:r>
      <w:r w:rsidR="007D5E7B" w:rsidRPr="002A5818">
        <w:t xml:space="preserve">le </w:t>
      </w:r>
      <w:r w:rsidRPr="002A5818">
        <w:t>27 janvier, avec pour objectif de structurer l’ensemble des demandes de financement de projets au profit des acteurs du secteur, a annoncé le président de son conseil d’administration</w:t>
      </w:r>
      <w:r w:rsidR="007D5E7B" w:rsidRPr="002A5818">
        <w:t>,</w:t>
      </w:r>
      <w:r w:rsidRPr="002A5818">
        <w:t xml:space="preserve"> </w:t>
      </w:r>
      <w:r w:rsidR="007D5E7B" w:rsidRPr="002A5818">
        <w:t xml:space="preserve">M. </w:t>
      </w:r>
      <w:r w:rsidRPr="002A5818">
        <w:t>Kévin Yédo Nomel.</w:t>
      </w:r>
      <w:r w:rsidR="007D5E7B" w:rsidRPr="002A5818">
        <w:t xml:space="preserve"> </w:t>
      </w:r>
      <w:r w:rsidRPr="002A5818">
        <w:t>L’OIA Manioc ambitionne de réduire les risques liés aux investissements, d’améliorer la visibilité sur les volumes, les marchés et les acteurs, tout en instaurant une organisation collective capable de réduire l’asymétrie de l’information et de faciliter l’accès à l’achat à crédit.</w:t>
      </w:r>
      <w:r w:rsidR="007D5E7B" w:rsidRPr="002A5818">
        <w:t xml:space="preserve"> M. Nomel </w:t>
      </w:r>
      <w:r w:rsidRPr="002A5818">
        <w:t>a toutefois relevé plusieurs défis majeurs auxquels fait face la filière, notamment la fragmentation des acteurs, la faiblesse de la transformation, l’accès limité au financement, les pertes post-récolte élevées et l’insuffisante valorisation industrielle du manioc.</w:t>
      </w:r>
      <w:r w:rsidR="007D5E7B" w:rsidRPr="002A5818">
        <w:t xml:space="preserve"> </w:t>
      </w:r>
      <w:r w:rsidRPr="002A5818">
        <w:t>Pour M. Nomel, cette fragmentation a freiné les investissements, limité l’accès au crédit et empêché la filière d’atteindre son plein potentiel, tout en précisant que le problème ne se situe pas au niveau de la production.</w:t>
      </w:r>
      <w:r w:rsidR="007D5E7B" w:rsidRPr="002A5818">
        <w:t xml:space="preserve"> </w:t>
      </w:r>
      <w:r w:rsidRPr="002A5818">
        <w:t>Il a également décrit l’interprofession comme une véritable infrastructure de marché et un cadre de coordination entre l’ensemble des acteurs.</w:t>
      </w:r>
      <w:r w:rsidR="00FB4D42" w:rsidRPr="002A5818">
        <w:t xml:space="preserve"> Le manioc représente 12,4% du Produit intérieur brut (PIB) agricole ivoirien et contribue à 2,8% du PIB national. On en dénombre 54 produits dérivés, dont l’attiéké, le placali, le tapioca, l’amidon, la farine, etc. Le secteur manioc couvre 31 régions, regroupe 950 organisations pour 1,5 M d’acteurs et une production de 8,4 M de tonnes.</w:t>
      </w:r>
    </w:p>
    <w:p w14:paraId="2AD7C3B3" w14:textId="77777777" w:rsidR="00760A35" w:rsidRPr="002A5818" w:rsidRDefault="00760A35" w:rsidP="00760A35">
      <w:pPr>
        <w:spacing w:after="0"/>
      </w:pPr>
    </w:p>
    <w:p w14:paraId="023B3949" w14:textId="47853AF1" w:rsidR="00A551ED" w:rsidRPr="002A5818" w:rsidRDefault="00A551ED" w:rsidP="00F41F1F">
      <w:pPr>
        <w:keepNext/>
        <w:keepLines/>
        <w:spacing w:after="0"/>
        <w:outlineLvl w:val="1"/>
        <w:rPr>
          <w:rFonts w:eastAsiaTheme="majorEastAsia" w:cstheme="majorBidi"/>
          <w:b/>
          <w:bCs/>
          <w:szCs w:val="26"/>
        </w:rPr>
      </w:pPr>
      <w:bookmarkStart w:id="57" w:name="_Toc221044175"/>
      <w:bookmarkStart w:id="58" w:name="_Hlk219748783"/>
      <w:r w:rsidRPr="002A5818">
        <w:rPr>
          <w:b/>
          <w:bCs/>
        </w:rPr>
        <w:t xml:space="preserve">Manioc – </w:t>
      </w:r>
      <w:r w:rsidR="00F41F1F" w:rsidRPr="002A5818">
        <w:rPr>
          <w:b/>
          <w:bCs/>
        </w:rPr>
        <w:t>Faire passer la filière</w:t>
      </w:r>
      <w:r w:rsidR="00FB4D42" w:rsidRPr="002A5818">
        <w:rPr>
          <w:b/>
          <w:bCs/>
        </w:rPr>
        <w:t xml:space="preserve"> de l’attiéké</w:t>
      </w:r>
      <w:r w:rsidR="00F41F1F" w:rsidRPr="002A5818">
        <w:rPr>
          <w:b/>
          <w:bCs/>
        </w:rPr>
        <w:t xml:space="preserve"> de l’artisanat à l’ère industrielle.</w:t>
      </w:r>
      <w:bookmarkEnd w:id="57"/>
    </w:p>
    <w:bookmarkEnd w:id="58"/>
    <w:p w14:paraId="1467AC1B" w14:textId="7CEFF056" w:rsidR="00A551ED" w:rsidRPr="002A5818" w:rsidRDefault="00A551ED" w:rsidP="00A551ED">
      <w:pPr>
        <w:spacing w:after="0"/>
      </w:pPr>
      <w:r w:rsidRPr="002A5818">
        <w:t>Classé au patrimoine de l’Unesco depuis 2024, l’attiéké est un produit emblématique de la cuisine ivoirienne. Des cours familiales de Cocody aux usines de San Pedro, en passant par les champs de manioc de Bouaké, des milliers de femmes en ont fait leur</w:t>
      </w:r>
      <w:r w:rsidR="00721BBA" w:rsidRPr="002A5818">
        <w:t xml:space="preserve"> activité</w:t>
      </w:r>
      <w:r w:rsidRPr="002A5818">
        <w:t xml:space="preserve">. Il y a plusieurs sortes d’attiéké : le gros grain </w:t>
      </w:r>
      <w:r w:rsidRPr="002A5818">
        <w:rPr>
          <w:i/>
          <w:iCs/>
        </w:rPr>
        <w:t>abodjama</w:t>
      </w:r>
      <w:r w:rsidRPr="002A5818">
        <w:t xml:space="preserve">, le moyen </w:t>
      </w:r>
      <w:r w:rsidRPr="002A5818">
        <w:rPr>
          <w:i/>
          <w:iCs/>
        </w:rPr>
        <w:t>garba</w:t>
      </w:r>
      <w:r w:rsidRPr="002A5818">
        <w:t xml:space="preserve">, grains entremêlés, </w:t>
      </w:r>
      <w:r w:rsidR="00721BBA" w:rsidRPr="002A5818">
        <w:t>« </w:t>
      </w:r>
      <w:r w:rsidRPr="002A5818">
        <w:t>fait à la va-vite</w:t>
      </w:r>
      <w:r w:rsidR="00721BBA" w:rsidRPr="002A5818">
        <w:t> »</w:t>
      </w:r>
      <w:r w:rsidRPr="002A5818">
        <w:t xml:space="preserve"> </w:t>
      </w:r>
      <w:r w:rsidRPr="002A5818">
        <w:lastRenderedPageBreak/>
        <w:t>et le fin</w:t>
      </w:r>
      <w:r w:rsidR="00721BBA" w:rsidRPr="002A5818">
        <w:t>,</w:t>
      </w:r>
      <w:r w:rsidRPr="002A5818">
        <w:t xml:space="preserve"> ou petit grain </w:t>
      </w:r>
      <w:r w:rsidRPr="002A5818">
        <w:rPr>
          <w:i/>
          <w:iCs/>
        </w:rPr>
        <w:t>ahité</w:t>
      </w:r>
      <w:r w:rsidRPr="002A5818">
        <w:t xml:space="preserve"> ou </w:t>
      </w:r>
      <w:r w:rsidRPr="002A5818">
        <w:rPr>
          <w:i/>
          <w:iCs/>
        </w:rPr>
        <w:t>ayité</w:t>
      </w:r>
      <w:r w:rsidR="00721BBA" w:rsidRPr="002A5818">
        <w:t>, dénommé également l</w:t>
      </w:r>
      <w:r w:rsidRPr="002A5818">
        <w:t>e « ministre »</w:t>
      </w:r>
      <w:r w:rsidR="00721BBA" w:rsidRPr="002A5818">
        <w:t xml:space="preserve"> </w:t>
      </w:r>
      <w:r w:rsidRPr="002A5818">
        <w:t xml:space="preserve">issu d’un quatrième tamisage. Pour obtenir le goût unique de cette attiéké, </w:t>
      </w:r>
      <w:r w:rsidR="00721BBA" w:rsidRPr="002A5818">
        <w:t xml:space="preserve">il ne faut pas </w:t>
      </w:r>
      <w:r w:rsidRPr="002A5818">
        <w:t>transige</w:t>
      </w:r>
      <w:r w:rsidR="00721BBA" w:rsidRPr="002A5818">
        <w:t>r</w:t>
      </w:r>
      <w:r w:rsidRPr="002A5818">
        <w:t xml:space="preserve"> sur le magnan, le levain traditionnel</w:t>
      </w:r>
      <w:r w:rsidR="00721BBA" w:rsidRPr="002A5818">
        <w:t xml:space="preserve"> à base de </w:t>
      </w:r>
      <w:r w:rsidRPr="002A5818">
        <w:t xml:space="preserve">manioc qu’on laisse fermenter deux </w:t>
      </w:r>
      <w:r w:rsidR="00721BBA" w:rsidRPr="002A5818">
        <w:t xml:space="preserve">à trois </w:t>
      </w:r>
      <w:r w:rsidRPr="002A5818">
        <w:t>jours</w:t>
      </w:r>
      <w:r w:rsidR="00721BBA" w:rsidRPr="002A5818">
        <w:t xml:space="preserve"> et</w:t>
      </w:r>
      <w:r w:rsidRPr="002A5818">
        <w:t xml:space="preserve"> </w:t>
      </w:r>
      <w:r w:rsidR="00721BBA" w:rsidRPr="002A5818">
        <w:t>qu’o</w:t>
      </w:r>
      <w:r w:rsidRPr="002A5818">
        <w:t>n mélange à la pâte de manioc avec un peu d’huile rouge</w:t>
      </w:r>
      <w:r w:rsidR="0015315D" w:rsidRPr="002A5818">
        <w:t xml:space="preserve"> avant </w:t>
      </w:r>
      <w:r w:rsidRPr="002A5818">
        <w:t>l’étape du broyage. L’épaisse pâte de manioc est ensuite séchée, puis tamisée, prête pour la cuisson.</w:t>
      </w:r>
      <w:r w:rsidR="0015315D" w:rsidRPr="002A5818">
        <w:t xml:space="preserve"> </w:t>
      </w:r>
      <w:r w:rsidRPr="002A5818">
        <w:t>Ce sont précisément ces savoir-faire liés à la fabrication de l’attiéké qui ont été inscrits, le 4 décembre 2024, sur la liste du patrimoine culturel immatériel de l’humanité de l’Unesco. En 2023, la Côte d’Ivoire avait déjà obtenu de l’Organisation africaine de la propriété intellectuelle</w:t>
      </w:r>
      <w:r w:rsidR="00AF4C0E" w:rsidRPr="002A5818">
        <w:t xml:space="preserve"> </w:t>
      </w:r>
      <w:r w:rsidRPr="002A5818">
        <w:t>(O</w:t>
      </w:r>
      <w:r w:rsidR="00AF4C0E" w:rsidRPr="002A5818">
        <w:t>API</w:t>
      </w:r>
      <w:r w:rsidRPr="002A5818">
        <w:t xml:space="preserve">) l’enregistrement de l’attiéké des lagunes en indication géographique protégée (IGP), puis, en mai 2024, sa labellisation en « marque collective », afin d’éviter les appropriations culinaires jugées illégitimes. Il faut dire que la filière attiéké pèse lourd en Côte d’Ivoire, où son chiffre d’affaires annuel est estimé à 70 </w:t>
      </w:r>
      <w:r w:rsidR="0015315D" w:rsidRPr="002A5818">
        <w:t>Md</w:t>
      </w:r>
      <w:r w:rsidRPr="002A5818">
        <w:t xml:space="preserve"> FCFA et où elle emploie quelque 300 000 femmes.</w:t>
      </w:r>
      <w:r w:rsidR="0015315D" w:rsidRPr="002A5818">
        <w:t xml:space="preserve"> Mais </w:t>
      </w:r>
      <w:r w:rsidRPr="002A5818">
        <w:t>malgré son poids, sa labellisation et sa reconnaissance internationale, la filière attiéké ivoirienne</w:t>
      </w:r>
      <w:r w:rsidR="00025AC1" w:rsidRPr="002A5818">
        <w:t xml:space="preserve"> doit faire face à une forte concurrence internationale</w:t>
      </w:r>
      <w:r w:rsidRPr="002A5818">
        <w:t xml:space="preserve">. Depuis 2016, la Chine a lancé des lignes de production industrielles de semoule de manioc, qui inondent </w:t>
      </w:r>
      <w:r w:rsidR="0015315D" w:rsidRPr="002A5818">
        <w:t xml:space="preserve">le marché </w:t>
      </w:r>
      <w:r w:rsidRPr="002A5818">
        <w:t>avec un produit standardisé. Plus près, le Burkina Faso, bien qu’importateur de manioc (456 tonnes par an), développe une industrie de transformation mécanisée, avec des marques stars, telles que NanAlim.</w:t>
      </w:r>
      <w:r w:rsidR="0015315D" w:rsidRPr="002A5818">
        <w:t xml:space="preserve"> </w:t>
      </w:r>
      <w:r w:rsidRPr="002A5818">
        <w:t xml:space="preserve">Pour répondre à cette concurrence, </w:t>
      </w:r>
      <w:r w:rsidR="00025AC1" w:rsidRPr="002A5818">
        <w:t xml:space="preserve">le </w:t>
      </w:r>
      <w:r w:rsidRPr="002A5818">
        <w:t>secteur privé et associatif</w:t>
      </w:r>
      <w:r w:rsidR="00025AC1" w:rsidRPr="002A5818">
        <w:t xml:space="preserve"> essaye de se structurer et</w:t>
      </w:r>
      <w:r w:rsidRPr="002A5818">
        <w:t xml:space="preserve"> l’</w:t>
      </w:r>
      <w:r w:rsidR="00025AC1" w:rsidRPr="002A5818">
        <w:t>E</w:t>
      </w:r>
      <w:r w:rsidRPr="002A5818">
        <w:t>tat ivoirien tente d</w:t>
      </w:r>
      <w:r w:rsidR="00025AC1" w:rsidRPr="002A5818">
        <w:t>e l</w:t>
      </w:r>
      <w:r w:rsidRPr="002A5818">
        <w:t xml:space="preserve">’accompagner en l’organisant à grande échelle pour </w:t>
      </w:r>
      <w:bookmarkStart w:id="59" w:name="_Hlk219743201"/>
      <w:r w:rsidRPr="002A5818">
        <w:t>faire passer la filière de l’artisanat à l’ère industrielle</w:t>
      </w:r>
      <w:bookmarkEnd w:id="59"/>
      <w:r w:rsidRPr="002A5818">
        <w:t>. L’exemple le plus frappant est celui développé dans la région du Bélier, à Toumodi. Au cœur du vaste projet de Pôle Agro-industriel du Bélier (2PAI-Bélier), l’État finance des infrastructures lourdes. L’objectif est de sécuriser les débouchés pour des centaines de petits producteurs de manioc qui, jusqu’à présent, voyaient jusqu’à 30% de leurs tubercules pourrir faute d’acheteurs immédiats.</w:t>
      </w:r>
      <w:r w:rsidR="00025AC1" w:rsidRPr="002A5818">
        <w:t xml:space="preserve"> </w:t>
      </w:r>
      <w:r w:rsidRPr="002A5818">
        <w:t xml:space="preserve">Cette stratégie nationale est soutenue par les bailleurs de fonds. À travers le Programme social du gouvernement (PSGouv) et le Projet de développement des chaînes de valeurs vivrières (PDC2V), 92,3 </w:t>
      </w:r>
      <w:r w:rsidR="00025AC1" w:rsidRPr="002A5818">
        <w:t xml:space="preserve">Md </w:t>
      </w:r>
      <w:r w:rsidRPr="002A5818">
        <w:t xml:space="preserve">FCFA ont été mobilisés, avec l’appui de la Banque mondiale et de la Banque africaine de développement (BAD). </w:t>
      </w:r>
      <w:r w:rsidR="00025AC1" w:rsidRPr="002A5818">
        <w:t>Ainsi, grâce à ces financements, d</w:t>
      </w:r>
      <w:r w:rsidRPr="002A5818">
        <w:t xml:space="preserve">ans les régions du Hambol ou du Gontougo, des dizaines de coopératives de femmes ont reçu des kits de motorisation comprenant broyeuses mécaniques et presses hydrauliques. Les résultats sont spectaculaires </w:t>
      </w:r>
      <w:r w:rsidR="00025AC1" w:rsidRPr="002A5818">
        <w:t xml:space="preserve">pour </w:t>
      </w:r>
      <w:r w:rsidRPr="002A5818">
        <w:t xml:space="preserve">certaines unités </w:t>
      </w:r>
      <w:r w:rsidR="00025AC1" w:rsidRPr="002A5818">
        <w:t xml:space="preserve">qui </w:t>
      </w:r>
      <w:r w:rsidRPr="002A5818">
        <w:t>sont passées d’une production d’à peine 1,7 tonne à plus de 28 tonnes par semaine.</w:t>
      </w:r>
    </w:p>
    <w:p w14:paraId="1BE41E89" w14:textId="19743B06" w:rsidR="003C6FDE" w:rsidRPr="002A5818" w:rsidRDefault="003C6FDE" w:rsidP="00A551ED">
      <w:pPr>
        <w:spacing w:after="0"/>
      </w:pPr>
    </w:p>
    <w:p w14:paraId="0C3938A8" w14:textId="3C057A4F" w:rsidR="009F2FBC" w:rsidRPr="002A5818" w:rsidRDefault="003C6FDE" w:rsidP="004E1631">
      <w:pPr>
        <w:keepNext/>
        <w:keepLines/>
        <w:spacing w:after="0"/>
        <w:outlineLvl w:val="1"/>
        <w:rPr>
          <w:rFonts w:eastAsiaTheme="majorEastAsia" w:cstheme="majorBidi"/>
          <w:b/>
          <w:bCs/>
          <w:szCs w:val="26"/>
        </w:rPr>
      </w:pPr>
      <w:bookmarkStart w:id="60" w:name="_Toc221044176"/>
      <w:r w:rsidRPr="002A5818">
        <w:rPr>
          <w:b/>
          <w:bCs/>
        </w:rPr>
        <w:t>Riz</w:t>
      </w:r>
      <w:r w:rsidR="009F2FBC" w:rsidRPr="002A5818">
        <w:rPr>
          <w:b/>
          <w:bCs/>
        </w:rPr>
        <w:t xml:space="preserve"> - </w:t>
      </w:r>
      <w:r w:rsidRPr="002A5818">
        <w:rPr>
          <w:b/>
          <w:bCs/>
        </w:rPr>
        <w:t>La consommation connaît une progression rapide</w:t>
      </w:r>
      <w:r w:rsidR="009F2FBC" w:rsidRPr="002A5818">
        <w:rPr>
          <w:b/>
          <w:bCs/>
        </w:rPr>
        <w:t>.</w:t>
      </w:r>
      <w:bookmarkEnd w:id="60"/>
    </w:p>
    <w:p w14:paraId="60CAAC88" w14:textId="4B92FC98" w:rsidR="003C6FDE" w:rsidRPr="002A5818" w:rsidRDefault="009F2FBC" w:rsidP="003C6FDE">
      <w:pPr>
        <w:spacing w:after="0"/>
      </w:pPr>
      <w:r w:rsidRPr="002A5818">
        <w:t>P</w:t>
      </w:r>
      <w:r w:rsidR="003C6FDE" w:rsidRPr="002A5818">
        <w:t>ortée par la croissance démographique, l’urbanisation et l’évolution des habitudes alimentaires</w:t>
      </w:r>
      <w:r w:rsidRPr="002A5818">
        <w:t>, la consommation de riz connaît une progression rapide</w:t>
      </w:r>
      <w:r w:rsidR="003C6FDE" w:rsidRPr="002A5818">
        <w:t>. Son niveau, parmi les plus élevés d’Afrique de l’Ouest, dépasse largement la capacité de production nationale.</w:t>
      </w:r>
      <w:r w:rsidRPr="002A5818">
        <w:t xml:space="preserve"> </w:t>
      </w:r>
      <w:r w:rsidR="003C6FDE" w:rsidRPr="002A5818">
        <w:t>Dans l’ensemble de l’Afrique de l’Ouest, le riz s’est progressivement imposé comme l’un des piliers de l’alimentation quotidienne. Cette céréale occupe désormais une place centrale dans les habitudes de consommation, portée par une dynamique démographique soutenue, une urbanisation rapide et une transformation des régimes alimentaires.</w:t>
      </w:r>
      <w:r w:rsidRPr="002A5818">
        <w:t xml:space="preserve"> </w:t>
      </w:r>
      <w:r w:rsidR="003C6FDE" w:rsidRPr="002A5818">
        <w:t xml:space="preserve">Selon les estimations du </w:t>
      </w:r>
      <w:r w:rsidR="004E1631" w:rsidRPr="002A5818">
        <w:t>d</w:t>
      </w:r>
      <w:r w:rsidR="003C6FDE" w:rsidRPr="002A5818">
        <w:t>épartement américain de l’agriculture (USDA), la consommation de riz en Côte d’Ivoire progresse à un rythme annuel compris entre 3% et 4%.  Dans les principaux centres urbains la céréale supplante progressivement les aliments de base traditionnels comme le manioc, l’igname ou le taro.</w:t>
      </w:r>
      <w:r w:rsidRPr="002A5818">
        <w:t xml:space="preserve"> </w:t>
      </w:r>
      <w:r w:rsidR="003C6FDE" w:rsidRPr="002A5818">
        <w:t xml:space="preserve">Cette transition alimentaire se reflète clairement dans les chiffres de consommation par habitant. D’après l’organisme américain, un Ivoirien consomme aujourd’hui en moyenne 84 </w:t>
      </w:r>
      <w:r w:rsidRPr="002A5818">
        <w:t>kg/</w:t>
      </w:r>
      <w:r w:rsidR="003C6FDE" w:rsidRPr="002A5818">
        <w:t xml:space="preserve">an, contre environ 58 </w:t>
      </w:r>
      <w:r w:rsidRPr="002A5818">
        <w:t xml:space="preserve">kg/an </w:t>
      </w:r>
      <w:r w:rsidR="003C6FDE" w:rsidRPr="002A5818">
        <w:t xml:space="preserve">il y a une vingtaine d’années. Dans le pays, le riz </w:t>
      </w:r>
      <w:r w:rsidR="003C6FDE" w:rsidRPr="002A5818">
        <w:lastRenderedPageBreak/>
        <w:t>représente près de 60% de la production céréalière totale, loin devant le maïs, le mil ou le sorgho.</w:t>
      </w:r>
      <w:r w:rsidRPr="002A5818">
        <w:t xml:space="preserve"> </w:t>
      </w:r>
      <w:r w:rsidR="003C6FDE" w:rsidRPr="002A5818">
        <w:t xml:space="preserve">Les données de l’USDA révèlent que la production de riz paddy est passée d’environ 1,8 </w:t>
      </w:r>
      <w:r w:rsidRPr="002A5818">
        <w:t xml:space="preserve">M </w:t>
      </w:r>
      <w:r w:rsidR="003C6FDE" w:rsidRPr="002A5818">
        <w:t xml:space="preserve">de tonnes lors de la campagne 2015/2016 à près de 2,3 </w:t>
      </w:r>
      <w:r w:rsidRPr="002A5818">
        <w:t xml:space="preserve">M </w:t>
      </w:r>
      <w:r w:rsidR="003C6FDE" w:rsidRPr="002A5818">
        <w:t xml:space="preserve">de tonnes en 2024/2025, traduisant les efforts consentis ces dernières années pour relancer la riziculture locale. Toutefois, cette progression demeure en deçà des besoins du marché, la consommation annuelle de riz blanc frôlant désormais les 3 </w:t>
      </w:r>
      <w:r w:rsidRPr="002A5818">
        <w:t xml:space="preserve">M </w:t>
      </w:r>
      <w:r w:rsidR="003C6FDE" w:rsidRPr="002A5818">
        <w:t>de tonnes.</w:t>
      </w:r>
      <w:r w:rsidRPr="002A5818">
        <w:t xml:space="preserve"> </w:t>
      </w:r>
      <w:r w:rsidR="003C6FDE" w:rsidRPr="002A5818">
        <w:t xml:space="preserve">Ce décalage persistant entre l’offre et la demande a mécaniquement renforcé le recours aux importations. La Côte d’Ivoire s’est ainsi hissée au rang de </w:t>
      </w:r>
      <w:r w:rsidRPr="002A5818">
        <w:t>2</w:t>
      </w:r>
      <w:r w:rsidRPr="002A5818">
        <w:rPr>
          <w:vertAlign w:val="superscript"/>
        </w:rPr>
        <w:t>ème</w:t>
      </w:r>
      <w:r w:rsidRPr="002A5818">
        <w:t xml:space="preserve"> </w:t>
      </w:r>
      <w:r w:rsidR="003C6FDE" w:rsidRPr="002A5818">
        <w:t xml:space="preserve">importateur africain de riz derrière le Nigeria, avec un stock provenant majoritairement de l’Inde, du Pakistan, du Vietnam et de la Thaïlande. </w:t>
      </w:r>
      <w:r w:rsidR="007A1C9F" w:rsidRPr="002A5818">
        <w:t xml:space="preserve">Après un niveau d’importation au plus bas de 1 113,0 M de tonnes en 2020 pendant la crise COVID, le niveau des importations a progressé pour atteindre 1 615,1 M de tonnes en 2024. Durant cette </w:t>
      </w:r>
      <w:r w:rsidR="004E1631" w:rsidRPr="002A5818">
        <w:t xml:space="preserve">même </w:t>
      </w:r>
      <w:r w:rsidR="007A1C9F" w:rsidRPr="002A5818">
        <w:t xml:space="preserve">période </w:t>
      </w:r>
      <w:r w:rsidR="004E1631" w:rsidRPr="002A5818">
        <w:t xml:space="preserve">la facture des importations de riz a quasiment doublé passant </w:t>
      </w:r>
      <w:r w:rsidR="007A1C9F" w:rsidRPr="002A5818">
        <w:t xml:space="preserve">de 317,5 Md FCFA </w:t>
      </w:r>
      <w:r w:rsidR="004E1631" w:rsidRPr="002A5818">
        <w:t xml:space="preserve">à </w:t>
      </w:r>
      <w:r w:rsidR="007A1C9F" w:rsidRPr="002A5818">
        <w:t>609,6 Md FCFA</w:t>
      </w:r>
      <w:r w:rsidR="004E1631" w:rsidRPr="002A5818">
        <w:t>.</w:t>
      </w:r>
    </w:p>
    <w:p w14:paraId="39A037DB" w14:textId="75A71FC2" w:rsidR="00571A73" w:rsidRPr="002A5818" w:rsidRDefault="00571A73" w:rsidP="00A551ED">
      <w:pPr>
        <w:spacing w:after="0"/>
      </w:pPr>
    </w:p>
    <w:p w14:paraId="3640A9BE" w14:textId="69787140" w:rsidR="00571A73" w:rsidRPr="002A5818" w:rsidRDefault="00571A73" w:rsidP="00BB48D3">
      <w:pPr>
        <w:keepNext/>
        <w:keepLines/>
        <w:spacing w:after="0"/>
        <w:outlineLvl w:val="1"/>
        <w:rPr>
          <w:rFonts w:eastAsiaTheme="majorEastAsia" w:cstheme="majorBidi"/>
          <w:b/>
          <w:bCs/>
          <w:szCs w:val="26"/>
        </w:rPr>
      </w:pPr>
      <w:bookmarkStart w:id="61" w:name="_Toc221044177"/>
      <w:bookmarkStart w:id="62" w:name="_Hlk220163583"/>
      <w:r w:rsidRPr="002A5818">
        <w:rPr>
          <w:b/>
          <w:bCs/>
        </w:rPr>
        <w:t>Gingembre – La filière souffre de pénurie.</w:t>
      </w:r>
      <w:bookmarkEnd w:id="61"/>
    </w:p>
    <w:bookmarkEnd w:id="62"/>
    <w:p w14:paraId="37692DCC" w14:textId="5612CD70" w:rsidR="00571A73" w:rsidRPr="002A5818" w:rsidRDefault="00571A73" w:rsidP="00571A73">
      <w:pPr>
        <w:spacing w:after="0"/>
      </w:pPr>
      <w:r w:rsidRPr="002A5818">
        <w:t>Le président national de la filière gingembre, M. Kouamé Koffi, a indiqué le 15 janvier que la filière traverse une période de quasi-pénurie de gingembre et de curcuma, principalement due à l’insuffisance de la pluviométrie observée ces dernières années. Depuis près de trois ans, le changement climatique a bouleversé le calendrier agricole, les pluies n’étant pas au rendez-vous au moment des semis, compromettant la production.</w:t>
      </w:r>
      <w:r w:rsidR="00BB48D3" w:rsidRPr="002A5818">
        <w:t xml:space="preserve"> </w:t>
      </w:r>
      <w:r w:rsidRPr="002A5818">
        <w:t>Cette situation a entraîné une hausse significative des prix sur les marchés. Le kilogramme de gingembre se négocie actuellement autour de 1 200 FCFA, tandis que le sac de 50 kilogrammes atteint environ 60</w:t>
      </w:r>
      <w:r w:rsidR="005C0CF7">
        <w:t> </w:t>
      </w:r>
      <w:r w:rsidRPr="002A5818">
        <w:t>000</w:t>
      </w:r>
      <w:r w:rsidR="005C0CF7">
        <w:t> </w:t>
      </w:r>
      <w:r w:rsidRPr="002A5818">
        <w:t>FCFA. Le curcuma, pour sa part, se vend à près de 200 FCFA le kilogramme.</w:t>
      </w:r>
      <w:r w:rsidR="00BB48D3" w:rsidRPr="002A5818">
        <w:t xml:space="preserve"> </w:t>
      </w:r>
      <w:r w:rsidRPr="002A5818">
        <w:t>Pour le président de la filière, l’accès à l’eau constitue aujourd’hui la principale solution pour relancer durablement la production. Il plaide ainsi pour l’équipement des coopératives agricoles en motopompes et la réalisation de forages, en vue de permettre une irrigation régulière des plantations à travers des systèmes modernes comme le goutte-à-goutte.</w:t>
      </w:r>
      <w:r w:rsidR="00BB48D3" w:rsidRPr="002A5818">
        <w:t xml:space="preserve"> M. </w:t>
      </w:r>
      <w:r w:rsidRPr="002A5818">
        <w:t>Kouamé Koffi a également exhorté les populations à mettre à disposition des terres arables afin de développer de grandes superficies de culture, estimées entre 10 et 15 h</w:t>
      </w:r>
      <w:r w:rsidR="00BB48D3" w:rsidRPr="002A5818">
        <w:t>a</w:t>
      </w:r>
      <w:r w:rsidRPr="002A5818">
        <w:t>, pour assurer l’approvisionnement d’une usine de transformation dont l’ouverture est prévue prochainement à Kouakoukrakro–Koun-Ahounzi. Les besoins de cette unité sont évalués à environ 10 tonnes de gingembre par semaine.</w:t>
      </w:r>
    </w:p>
    <w:p w14:paraId="1CAF7A10" w14:textId="66851A94" w:rsidR="002276EA" w:rsidRPr="002A5818" w:rsidRDefault="002276EA" w:rsidP="00FF6370">
      <w:pPr>
        <w:spacing w:after="0"/>
      </w:pPr>
    </w:p>
    <w:p w14:paraId="44BC8B9B" w14:textId="4C0BDD94" w:rsidR="002A608B" w:rsidRPr="002A5818" w:rsidRDefault="002A608B" w:rsidP="009D0CF7">
      <w:pPr>
        <w:keepNext/>
        <w:keepLines/>
        <w:spacing w:after="0"/>
        <w:outlineLvl w:val="1"/>
        <w:rPr>
          <w:rFonts w:eastAsiaTheme="majorEastAsia" w:cstheme="majorBidi"/>
          <w:b/>
          <w:bCs/>
          <w:szCs w:val="26"/>
        </w:rPr>
      </w:pPr>
      <w:bookmarkStart w:id="63" w:name="_Toc221044178"/>
      <w:bookmarkStart w:id="64" w:name="_Hlk220241266"/>
      <w:r w:rsidRPr="002A5818">
        <w:rPr>
          <w:b/>
          <w:bCs/>
        </w:rPr>
        <w:t xml:space="preserve">Volaille </w:t>
      </w:r>
      <w:r w:rsidR="009D0CF7" w:rsidRPr="002A5818">
        <w:rPr>
          <w:b/>
          <w:bCs/>
        </w:rPr>
        <w:t>–</w:t>
      </w:r>
      <w:r w:rsidRPr="002A5818">
        <w:rPr>
          <w:b/>
          <w:bCs/>
        </w:rPr>
        <w:t xml:space="preserve"> </w:t>
      </w:r>
      <w:r w:rsidR="009D0CF7" w:rsidRPr="002A5818">
        <w:rPr>
          <w:b/>
          <w:bCs/>
        </w:rPr>
        <w:t>Projets en cours de construction de cinq abattoirs.</w:t>
      </w:r>
      <w:bookmarkEnd w:id="63"/>
    </w:p>
    <w:bookmarkEnd w:id="64"/>
    <w:p w14:paraId="474E384F" w14:textId="4BDE3262" w:rsidR="002A608B" w:rsidRPr="002A5818" w:rsidRDefault="002A608B" w:rsidP="002A608B">
      <w:pPr>
        <w:spacing w:after="0"/>
      </w:pPr>
      <w:r w:rsidRPr="002A5818">
        <w:t>Dans le cadre de la mise en œuvre de la Politique Nationale de Développement de l’Élevage, de la Pêche et de l’Aquaculture (PONADEPA 2022-2026), le ministre des ressources animales et halieutiques, M. Sidi Tiémoko Touré, s’est rendu à Tiébissou pour s’enquérir de l’avancement des travaux du nouvel abattoir industriel, dont les travaux de génie civil sont réalisés à 93%. Le projet d’installation des abattoirs industriels de volailles en Côte d’Ivoire (PAV-CI) est une ambition nationale pour la compétitivité avicole. Soutenu par le Programme d’appui à la production avicole (PAPAN), ce projet vise à accroître la compétitivité des produits locaux et à renforcer la lutte contre l’Influenza aviaire hautement pathogène grâce à des abattages contrôlés et modernisés. Financé par la banque italienne Intesa San Paolo sous la couverture de la SACE (Agence Italienne de Crédit d’Exportation), le PAV-CI d’un coût global de plus de 15 Md FCFA, repose sur un partenariat public-privé. L’État ivoirien assure la construction des abattoirs « clé en main », dont l’exploitation sera ensuite cédée à des opérateurs privés.</w:t>
      </w:r>
      <w:r w:rsidR="009D0CF7" w:rsidRPr="002A5818">
        <w:t xml:space="preserve"> </w:t>
      </w:r>
      <w:r w:rsidRPr="002A5818">
        <w:lastRenderedPageBreak/>
        <w:t>L'</w:t>
      </w:r>
      <w:r w:rsidR="009D0CF7" w:rsidRPr="002A5818">
        <w:t>abattoir</w:t>
      </w:r>
      <w:r w:rsidRPr="002A5818">
        <w:t xml:space="preserve"> de Tiébissou fait partie de la première phase du projet qui prévoit cinq abattoirs industriels à travers le pays. Avec une capacité d'abattage de 2 000 poulets par heure tout comme les sites d'Azaguié et de Dabou, cette usine est équipée des dernières technologies par l'entreprise italienne SB IMPIANTI.</w:t>
      </w:r>
      <w:r w:rsidR="009D0CF7" w:rsidRPr="002A5818">
        <w:t xml:space="preserve"> </w:t>
      </w:r>
      <w:r w:rsidRPr="002A5818">
        <w:t>Outre les bâtiments administratifs, le site intègre des équipements complets : salles de réception, d’éviscération, ressuage dynamique, découpe, emballage, ainsi que des systèmes de gestion des déchets et des infrastructures de maintien de la chaîne du froid.</w:t>
      </w:r>
    </w:p>
    <w:p w14:paraId="587C230A" w14:textId="77777777" w:rsidR="00881FAF" w:rsidRPr="002A5818" w:rsidRDefault="00881FAF" w:rsidP="00881FAF">
      <w:pPr>
        <w:keepNext/>
        <w:keepLines/>
        <w:spacing w:after="0"/>
        <w:outlineLvl w:val="1"/>
        <w:rPr>
          <w:b/>
          <w:bCs/>
        </w:rPr>
      </w:pPr>
    </w:p>
    <w:p w14:paraId="11E1C91A" w14:textId="1B1C6A5D" w:rsidR="005C3C79" w:rsidRPr="002A5818" w:rsidRDefault="005C3C79" w:rsidP="00881FAF">
      <w:pPr>
        <w:keepNext/>
        <w:keepLines/>
        <w:spacing w:after="0"/>
        <w:outlineLvl w:val="1"/>
        <w:rPr>
          <w:rFonts w:eastAsiaTheme="majorEastAsia" w:cstheme="majorBidi"/>
          <w:b/>
          <w:bCs/>
          <w:szCs w:val="26"/>
        </w:rPr>
      </w:pPr>
      <w:bookmarkStart w:id="65" w:name="_Toc221044179"/>
      <w:r w:rsidRPr="002A5818">
        <w:rPr>
          <w:b/>
          <w:bCs/>
        </w:rPr>
        <w:t>Porc –</w:t>
      </w:r>
      <w:r w:rsidR="00881FAF" w:rsidRPr="002A5818">
        <w:rPr>
          <w:b/>
          <w:bCs/>
        </w:rPr>
        <w:t xml:space="preserve"> 2</w:t>
      </w:r>
      <w:r w:rsidR="00881FAF" w:rsidRPr="002A5818">
        <w:rPr>
          <w:b/>
          <w:bCs/>
          <w:vertAlign w:val="superscript"/>
        </w:rPr>
        <w:t>ème</w:t>
      </w:r>
      <w:r w:rsidR="00881FAF" w:rsidRPr="002A5818">
        <w:rPr>
          <w:b/>
          <w:bCs/>
        </w:rPr>
        <w:t xml:space="preserve"> importateur africain de viande porcine brésilienne.</w:t>
      </w:r>
      <w:bookmarkEnd w:id="65"/>
    </w:p>
    <w:p w14:paraId="1843E34E" w14:textId="275C9444" w:rsidR="005C3C79" w:rsidRPr="002A5818" w:rsidRDefault="005C3C79" w:rsidP="002A608B">
      <w:pPr>
        <w:spacing w:after="0"/>
      </w:pPr>
      <w:r w:rsidRPr="002A5818">
        <w:t>La Côte d’Ivoire est le 2</w:t>
      </w:r>
      <w:r w:rsidRPr="002A5818">
        <w:rPr>
          <w:vertAlign w:val="superscript"/>
        </w:rPr>
        <w:t>ème</w:t>
      </w:r>
      <w:r w:rsidRPr="002A5818">
        <w:t xml:space="preserve"> importateur </w:t>
      </w:r>
      <w:r w:rsidR="00024374" w:rsidRPr="002A5818">
        <w:t>africain de viande de porc en provenance du Brésil, selon le rapport 2025 de l’association brésilienne de la volaille et du porc (ABPA). Une position qui illustre la dépendance du pays à cette viande très consommée dans les zones urbaines, alors que la production locale peine toujours à décoller. Avec environ 11 000 tonnes produits par an, pour une consommation nationale estimée à près de 110 000 tonnes, la filière ivoirienne du porc ne couvre qu’un peu plus de 10% des besoins su marché. Le déficit est comblé par les importations. En 2024, la Côte d’Ivoire a importé 24 584 tonnes de porc brésilien, soit une hausse spectaculaire de 35% par rapport au 18 177 tonnes de l’année précédente. Elle se positionne ainsi comme le 12</w:t>
      </w:r>
      <w:r w:rsidR="00024374" w:rsidRPr="002A5818">
        <w:rPr>
          <w:vertAlign w:val="superscript"/>
        </w:rPr>
        <w:t>ème</w:t>
      </w:r>
      <w:r w:rsidR="00024374" w:rsidRPr="002A5818">
        <w:t xml:space="preserve"> client mondial du Brésil et le 2</w:t>
      </w:r>
      <w:r w:rsidR="00024374" w:rsidRPr="002A5818">
        <w:rPr>
          <w:vertAlign w:val="superscript"/>
        </w:rPr>
        <w:t>ème</w:t>
      </w:r>
      <w:r w:rsidR="00024374" w:rsidRPr="002A5818">
        <w:t xml:space="preserve"> en Afrique</w:t>
      </w:r>
      <w:r w:rsidR="00881FAF" w:rsidRPr="002A5818">
        <w:t>, juste derrière l’Angola et devant la RD Congo (17 000 tonnes). En Côte d’Ivoire, cette dépendance extérieure trouve en partie son origine dans la peste porcine africaine, une épizootie récurrente ces dernières années qui frappe régulièrement les élevages. Chaque flambée impose l’abattage systématique des bêtes et des interdictions temporaires de production dans les zones touchées, freinent durablement le développement de la filière locale.</w:t>
      </w:r>
    </w:p>
    <w:p w14:paraId="13FECBCD" w14:textId="2AA95E4A" w:rsidR="00024374" w:rsidRPr="002A5818" w:rsidRDefault="00024374" w:rsidP="002A608B">
      <w:pPr>
        <w:spacing w:after="0"/>
      </w:pPr>
    </w:p>
    <w:p w14:paraId="75B3FE8E" w14:textId="4437189B" w:rsidR="00434509" w:rsidRPr="002A5818" w:rsidRDefault="00434509" w:rsidP="00434509">
      <w:pPr>
        <w:keepNext/>
        <w:keepLines/>
        <w:spacing w:after="0"/>
        <w:outlineLvl w:val="1"/>
        <w:rPr>
          <w:rFonts w:eastAsiaTheme="majorEastAsia" w:cstheme="majorBidi"/>
          <w:b/>
          <w:bCs/>
          <w:szCs w:val="26"/>
        </w:rPr>
      </w:pPr>
      <w:bookmarkStart w:id="66" w:name="_Toc221044180"/>
      <w:r w:rsidRPr="002A5818">
        <w:rPr>
          <w:b/>
          <w:bCs/>
        </w:rPr>
        <w:t>Pisciculture –</w:t>
      </w:r>
      <w:r w:rsidR="00A441A7" w:rsidRPr="002A5818">
        <w:rPr>
          <w:b/>
          <w:bCs/>
        </w:rPr>
        <w:t xml:space="preserve"> Mission de suivi du programme FISH4ACP de l’Organisation des Nations unies pour l’alimentation et l’agriculture (FAO)</w:t>
      </w:r>
      <w:r w:rsidRPr="002A5818">
        <w:rPr>
          <w:b/>
          <w:bCs/>
        </w:rPr>
        <w:t>.</w:t>
      </w:r>
      <w:bookmarkEnd w:id="66"/>
    </w:p>
    <w:p w14:paraId="09448BE2" w14:textId="53BF9D40" w:rsidR="00434509" w:rsidRPr="002A5818" w:rsidRDefault="00434509" w:rsidP="00CC232F">
      <w:pPr>
        <w:spacing w:after="0"/>
      </w:pPr>
      <w:r w:rsidRPr="002A5818">
        <w:t xml:space="preserve">La coordonnatrice du </w:t>
      </w:r>
      <w:bookmarkStart w:id="67" w:name="_Hlk220320294"/>
      <w:r w:rsidRPr="002A5818">
        <w:t xml:space="preserve">programme FISH4ACP </w:t>
      </w:r>
      <w:bookmarkStart w:id="68" w:name="_Hlk220320306"/>
      <w:bookmarkEnd w:id="67"/>
      <w:r w:rsidR="00A441A7" w:rsidRPr="002A5818">
        <w:t xml:space="preserve">de la </w:t>
      </w:r>
      <w:r w:rsidRPr="002A5818">
        <w:t>FAO</w:t>
      </w:r>
      <w:bookmarkEnd w:id="68"/>
      <w:r w:rsidRPr="002A5818">
        <w:t>, Mme Djiré Foungnigué, a conduit une mission de suivi</w:t>
      </w:r>
      <w:r w:rsidR="00CC232F" w:rsidRPr="002A5818">
        <w:t xml:space="preserve"> </w:t>
      </w:r>
      <w:r w:rsidRPr="002A5818">
        <w:t xml:space="preserve">des fermes piscicoles pilotes mises en place par la FAO dans le cadre du programme financé par l’Union européenne et le ministère fédéral allemand de la </w:t>
      </w:r>
      <w:r w:rsidR="00A441A7" w:rsidRPr="002A5818">
        <w:t>c</w:t>
      </w:r>
      <w:r w:rsidRPr="002A5818">
        <w:t xml:space="preserve">oopération économique et du </w:t>
      </w:r>
      <w:r w:rsidR="00A441A7" w:rsidRPr="002A5818">
        <w:t>d</w:t>
      </w:r>
      <w:r w:rsidRPr="002A5818">
        <w:t>éveloppement (BMZ). Le programme vise à soutenir le développement durable de la pisciculture de tilapia en Côte d’Ivoire.</w:t>
      </w:r>
      <w:r w:rsidR="00CC232F" w:rsidRPr="002A5818">
        <w:t xml:space="preserve"> La </w:t>
      </w:r>
      <w:r w:rsidRPr="002A5818">
        <w:t>FAO a accompagné la mise en place de dix fermes piscicoles pilotes sur l’ensemble du territoire national. Pour chacune de ces fermes, un diagnostic initial a été réalisé afin d’identifier les contraintes liées aux infrastructures, à l’organisation de la production et aux pratiques techniques. Sur la base de ce diagnostic, des appuis ont été apportés sous forme de travaux d’aménagement, de fourniture d’équipements, de suivi technique assuré par un partenaire, ainsi que de mise à disposition d’aliments pour poissons.</w:t>
      </w:r>
      <w:r w:rsidR="00CC232F" w:rsidRPr="002A5818">
        <w:t xml:space="preserve"> </w:t>
      </w:r>
      <w:r w:rsidRPr="002A5818">
        <w:t>La coordonnatrice du programme a indiqué que ces fermes pilotes ont vocation à servir de références nationales pour les pisciculteurs en activité, ainsi que pour les personnes souhaitant s’installer dans la filière, en leur permettant de s’inspirer de modèles de production reproductibles.</w:t>
      </w:r>
      <w:r w:rsidR="00CC232F" w:rsidRPr="002A5818">
        <w:t xml:space="preserve"> </w:t>
      </w:r>
      <w:r w:rsidRPr="002A5818">
        <w:t xml:space="preserve">Selon la coordonnatrice du programme, l’objectif du projet est d’encourager un plus grand nombre d’ivoiriens à s’engager dans la pisciculture afin d’accroître la capacité nationale de production de poisson. </w:t>
      </w:r>
      <w:r w:rsidR="00CC232F" w:rsidRPr="002A5818">
        <w:t xml:space="preserve">Les </w:t>
      </w:r>
      <w:r w:rsidRPr="002A5818">
        <w:t>fermes pilotes démontrent qu’il est possible d’augmenter la productivité sur un même espace grâce à une planification de la production, un plan de commercialisation et un suivi technique structuré.</w:t>
      </w:r>
      <w:r w:rsidR="00CC232F" w:rsidRPr="002A5818">
        <w:t xml:space="preserve"> L’</w:t>
      </w:r>
      <w:r w:rsidRPr="002A5818">
        <w:t>APDRA (Pisciculture paysanne)</w:t>
      </w:r>
      <w:r w:rsidR="00CC232F" w:rsidRPr="002A5818">
        <w:t xml:space="preserve"> est le </w:t>
      </w:r>
      <w:r w:rsidRPr="002A5818">
        <w:t>partenaire technique de la FAO</w:t>
      </w:r>
      <w:r w:rsidR="00CC232F" w:rsidRPr="002A5818">
        <w:t xml:space="preserve">, chargé de l’accompagnement technique des dix fermes pilotes. Cet accompagnement porte sur deux volets, à savoir le volet </w:t>
      </w:r>
      <w:r w:rsidR="00CC232F" w:rsidRPr="002A5818">
        <w:lastRenderedPageBreak/>
        <w:t>technique et le volet économique. Sur le plan technique, l’APDRA a appuyé la remise en état des étangs de production, la planification des activités, l’élaboration de plans de production, ainsi que l’organisation des opérations d’empoissonnement et d’approvisionnement en aliments. Sur le plan économique, les pisciculteurs ont été formés à la comptabilité simplifiée afin d’enregistrer les opérations de production, les charges et les recettes, et d’évaluer la rentabilité de leurs exploitations.</w:t>
      </w:r>
    </w:p>
    <w:p w14:paraId="25B704E4" w14:textId="77777777" w:rsidR="00434509" w:rsidRPr="002A5818" w:rsidRDefault="00434509" w:rsidP="00434509">
      <w:pPr>
        <w:spacing w:after="0"/>
      </w:pPr>
    </w:p>
    <w:p w14:paraId="5C265DCA" w14:textId="5C37AC9E" w:rsidR="00020DCB" w:rsidRPr="002A5818" w:rsidRDefault="002276EA" w:rsidP="003C08EF">
      <w:pPr>
        <w:keepNext/>
        <w:keepLines/>
        <w:spacing w:after="0"/>
        <w:outlineLvl w:val="1"/>
        <w:rPr>
          <w:rFonts w:eastAsiaTheme="majorEastAsia" w:cstheme="majorBidi"/>
          <w:b/>
          <w:bCs/>
          <w:szCs w:val="26"/>
        </w:rPr>
      </w:pPr>
      <w:bookmarkStart w:id="69" w:name="_Toc221044181"/>
      <w:bookmarkStart w:id="70" w:name="_Hlk219737280"/>
      <w:r w:rsidRPr="002A5818">
        <w:rPr>
          <w:b/>
          <w:bCs/>
        </w:rPr>
        <w:t>Pisci</w:t>
      </w:r>
      <w:r w:rsidR="00020DCB" w:rsidRPr="002A5818">
        <w:rPr>
          <w:b/>
          <w:bCs/>
        </w:rPr>
        <w:t xml:space="preserve">culture – Accords </w:t>
      </w:r>
      <w:r w:rsidR="003C08EF" w:rsidRPr="002A5818">
        <w:rPr>
          <w:b/>
          <w:bCs/>
        </w:rPr>
        <w:t xml:space="preserve">pour faciliter </w:t>
      </w:r>
      <w:r w:rsidR="00020DCB" w:rsidRPr="002A5818">
        <w:rPr>
          <w:b/>
          <w:bCs/>
        </w:rPr>
        <w:t>l’accès aux financements et aux intrants.</w:t>
      </w:r>
      <w:bookmarkEnd w:id="69"/>
    </w:p>
    <w:bookmarkEnd w:id="70"/>
    <w:p w14:paraId="068E5474" w14:textId="48091112" w:rsidR="002276EA" w:rsidRPr="002A5818" w:rsidRDefault="00020DCB" w:rsidP="00020DCB">
      <w:pPr>
        <w:spacing w:after="0"/>
      </w:pPr>
      <w:r w:rsidRPr="002A5818">
        <w:t>A</w:t>
      </w:r>
      <w:r w:rsidR="003C08EF" w:rsidRPr="002A5818">
        <w:t>DVANS</w:t>
      </w:r>
      <w:r w:rsidRPr="002A5818">
        <w:t xml:space="preserve"> Côte d’Ivoire et D</w:t>
      </w:r>
      <w:r w:rsidR="003C08EF" w:rsidRPr="002A5818">
        <w:t>E HEUS</w:t>
      </w:r>
      <w:r w:rsidRPr="002A5818">
        <w:t xml:space="preserve"> Côte d’Ivoire ont conclus le 9 janvier deux accords de partenariats stratégiques visent à lever les principaux goulots d’étranglement du secteur : l’accès au financement, aux aliments, aux intrants de qualité et à l’accompagnement technique. Le Programme stratégique de transformation de l’Aquaculture en Côte d’Ivoire (PSTACI) franchi ainsi une étape importante dans la structuration de la filière aquacole. Au cœur du dispositif figure le projet Aquafeeds, dont le PSTACI assure la coordination</w:t>
      </w:r>
      <w:r w:rsidR="00E42BC5" w:rsidRPr="002A5818">
        <w:t>.</w:t>
      </w:r>
      <w:r w:rsidRPr="002A5818">
        <w:t xml:space="preserve"> </w:t>
      </w:r>
      <w:r w:rsidR="00E42BC5" w:rsidRPr="002A5818">
        <w:t xml:space="preserve">Dans le cadre du projet </w:t>
      </w:r>
      <w:r w:rsidRPr="002A5818">
        <w:t>D</w:t>
      </w:r>
      <w:r w:rsidR="003C08EF" w:rsidRPr="002A5818">
        <w:t>E HEUS</w:t>
      </w:r>
      <w:r w:rsidRPr="002A5818">
        <w:t xml:space="preserve"> fournit des aliments et un appui technique continu, tandis qu’A</w:t>
      </w:r>
      <w:r w:rsidR="003C08EF" w:rsidRPr="002A5818">
        <w:t>DVANS</w:t>
      </w:r>
      <w:r w:rsidRPr="002A5818">
        <w:t xml:space="preserve"> déploie des crédits adaptés aux cycles de production. Ces financements sont sécurisés par la S</w:t>
      </w:r>
      <w:r w:rsidR="00E42BC5" w:rsidRPr="002A5818">
        <w:t xml:space="preserve">GPME, </w:t>
      </w:r>
      <w:r w:rsidRPr="002A5818">
        <w:t>structure publique garantissant l’accès au crédit pour des montants allant de 150 000 F</w:t>
      </w:r>
      <w:r w:rsidR="00E42BC5" w:rsidRPr="002A5818">
        <w:t>CFA</w:t>
      </w:r>
      <w:r w:rsidRPr="002A5818">
        <w:t xml:space="preserve"> à 300 </w:t>
      </w:r>
      <w:r w:rsidR="00E42BC5" w:rsidRPr="002A5818">
        <w:t>M FCFA</w:t>
      </w:r>
      <w:r w:rsidRPr="002A5818">
        <w:t>, avec des remboursements en fin de cycle</w:t>
      </w:r>
      <w:r w:rsidR="00E42BC5" w:rsidRPr="002A5818">
        <w:t xml:space="preserve"> d’élevage, cycle qui pour</w:t>
      </w:r>
      <w:r w:rsidRPr="002A5818">
        <w:t xml:space="preserve"> les producteurs de poissons, dure en moyenne 5 à 6 mois.</w:t>
      </w:r>
      <w:r w:rsidR="00E42BC5" w:rsidRPr="002A5818">
        <w:t xml:space="preserve"> </w:t>
      </w:r>
      <w:r w:rsidRPr="002A5818">
        <w:t xml:space="preserve">En parallèle, le </w:t>
      </w:r>
      <w:r w:rsidR="00E42BC5" w:rsidRPr="002A5818">
        <w:t xml:space="preserve">projet </w:t>
      </w:r>
      <w:r w:rsidRPr="002A5818">
        <w:t>Aquajeunes</w:t>
      </w:r>
      <w:r w:rsidR="003C08EF" w:rsidRPr="002A5818">
        <w:t>,</w:t>
      </w:r>
      <w:r w:rsidRPr="002A5818">
        <w:t xml:space="preserve"> porté </w:t>
      </w:r>
      <w:r w:rsidR="00E42BC5" w:rsidRPr="002A5818">
        <w:t xml:space="preserve">également </w:t>
      </w:r>
      <w:r w:rsidRPr="002A5818">
        <w:t>par le P</w:t>
      </w:r>
      <w:r w:rsidR="00E42BC5" w:rsidRPr="002A5818">
        <w:t>STACI</w:t>
      </w:r>
      <w:r w:rsidRPr="002A5818">
        <w:t xml:space="preserve"> renforce la professionnalisation du secteur</w:t>
      </w:r>
      <w:r w:rsidR="00E42BC5" w:rsidRPr="002A5818">
        <w:t xml:space="preserve"> </w:t>
      </w:r>
      <w:r w:rsidRPr="002A5818">
        <w:t>aquacole en formant et insérant 3</w:t>
      </w:r>
      <w:r w:rsidR="003C08EF" w:rsidRPr="002A5818">
        <w:t> </w:t>
      </w:r>
      <w:r w:rsidRPr="002A5818">
        <w:t xml:space="preserve">000 jeunes et femmes dans les 31 régions de la Côte d’Ivoire, avec un potentiel de plus de 20 000 emplois indirects. Déjà, 86 bénéficiaires ont été formés dans </w:t>
      </w:r>
      <w:r w:rsidR="003C08EF" w:rsidRPr="002A5818">
        <w:t>4</w:t>
      </w:r>
      <w:r w:rsidRPr="002A5818">
        <w:t xml:space="preserve"> régions.</w:t>
      </w:r>
      <w:r w:rsidR="003C08EF" w:rsidRPr="002A5818">
        <w:t xml:space="preserve"> </w:t>
      </w:r>
      <w:r w:rsidRPr="002A5818">
        <w:t xml:space="preserve">Le Président du conseil d’administration de l’interprofession aquacole en Côte d’Ivoire, </w:t>
      </w:r>
      <w:r w:rsidR="003C08EF" w:rsidRPr="002A5818">
        <w:t xml:space="preserve">M. </w:t>
      </w:r>
      <w:r w:rsidRPr="002A5818">
        <w:t xml:space="preserve">Maurice Sawadogo, a exprimé sa satisfaction quant à la signature de ces accords qui, selon lui, répondent aux attentes des producteurs de poissons locaux. </w:t>
      </w:r>
      <w:r w:rsidR="003C08EF" w:rsidRPr="002A5818">
        <w:t xml:space="preserve">Le PSTACI </w:t>
      </w:r>
      <w:r w:rsidRPr="002A5818">
        <w:t>a été mis en place et lancé en août 2022</w:t>
      </w:r>
      <w:r w:rsidR="003C08EF" w:rsidRPr="002A5818">
        <w:t xml:space="preserve"> pour </w:t>
      </w:r>
      <w:r w:rsidRPr="002A5818">
        <w:t>contribue</w:t>
      </w:r>
      <w:r w:rsidR="003C08EF" w:rsidRPr="002A5818">
        <w:t>r</w:t>
      </w:r>
      <w:r w:rsidRPr="002A5818">
        <w:t xml:space="preserve"> au développement du secteur. Pour permettre d'assurer efficacement ses missions, </w:t>
      </w:r>
      <w:r w:rsidR="003C08EF" w:rsidRPr="002A5818">
        <w:t>le PSTACI dispose</w:t>
      </w:r>
      <w:r w:rsidRPr="002A5818">
        <w:t xml:space="preserve"> de </w:t>
      </w:r>
      <w:r w:rsidR="003C08EF" w:rsidRPr="002A5818">
        <w:t xml:space="preserve">sites de </w:t>
      </w:r>
      <w:r w:rsidRPr="002A5818">
        <w:t>production et de formation, notamment les stations de Locodjro</w:t>
      </w:r>
      <w:r w:rsidR="003C08EF" w:rsidRPr="002A5818">
        <w:t xml:space="preserve"> </w:t>
      </w:r>
      <w:r w:rsidRPr="002A5818">
        <w:t>(Abidjan) et de Koubi (Tiébissou), entièrement réhabilitées et opérationnelles.</w:t>
      </w:r>
    </w:p>
    <w:p w14:paraId="1FC0B5B5" w14:textId="77777777" w:rsidR="0026148C" w:rsidRPr="002A5818" w:rsidRDefault="0026148C" w:rsidP="0026148C">
      <w:pPr>
        <w:keepNext/>
        <w:keepLines/>
        <w:spacing w:after="0"/>
        <w:outlineLvl w:val="1"/>
        <w:rPr>
          <w:b/>
          <w:bCs/>
        </w:rPr>
      </w:pPr>
    </w:p>
    <w:p w14:paraId="3CB74FF4" w14:textId="4D58C172" w:rsidR="00B40901" w:rsidRPr="002A5818" w:rsidRDefault="00B40901" w:rsidP="0026148C">
      <w:pPr>
        <w:keepNext/>
        <w:keepLines/>
        <w:spacing w:after="0"/>
        <w:outlineLvl w:val="1"/>
        <w:rPr>
          <w:rFonts w:eastAsiaTheme="majorEastAsia" w:cstheme="majorBidi"/>
          <w:b/>
          <w:bCs/>
          <w:szCs w:val="26"/>
        </w:rPr>
      </w:pPr>
      <w:bookmarkStart w:id="71" w:name="_Toc221044182"/>
      <w:r w:rsidRPr="002A5818">
        <w:rPr>
          <w:b/>
          <w:bCs/>
        </w:rPr>
        <w:t xml:space="preserve">Pisciculture – </w:t>
      </w:r>
      <w:r w:rsidR="0026148C" w:rsidRPr="002A5818">
        <w:rPr>
          <w:b/>
          <w:bCs/>
        </w:rPr>
        <w:t xml:space="preserve">Echec d’un projet </w:t>
      </w:r>
      <w:r w:rsidR="00A441A7" w:rsidRPr="002A5818">
        <w:rPr>
          <w:b/>
          <w:bCs/>
        </w:rPr>
        <w:t xml:space="preserve">d’équipement </w:t>
      </w:r>
      <w:r w:rsidR="0026148C" w:rsidRPr="002A5818">
        <w:rPr>
          <w:b/>
          <w:bCs/>
        </w:rPr>
        <w:t>de 40 M FCFA.</w:t>
      </w:r>
      <w:bookmarkEnd w:id="71"/>
    </w:p>
    <w:p w14:paraId="4707CBE9" w14:textId="68BBE75F" w:rsidR="00B40901" w:rsidRPr="002A5818" w:rsidRDefault="00B40901" w:rsidP="00020DCB">
      <w:pPr>
        <w:spacing w:after="0"/>
      </w:pPr>
      <w:r w:rsidRPr="002A5818">
        <w:t>Le hangar de fumage de poisson</w:t>
      </w:r>
      <w:r w:rsidR="0026148C" w:rsidRPr="002A5818">
        <w:t>,</w:t>
      </w:r>
      <w:r w:rsidRPr="002A5818">
        <w:t xml:space="preserve"> construit pour améliorer le travail des femmes de la coopérative Amakpa et inauguré en 2016, est aujourd’hui à l’abandon. Fruit de la coopération avec la FAO, sa réalisation a couté environ 40 M FCFA et comprenait des fours modernes (700</w:t>
      </w:r>
      <w:r w:rsidR="005C0CF7">
        <w:t> </w:t>
      </w:r>
      <w:r w:rsidRPr="002A5818">
        <w:t>kg par cycle, soit environ 3 tonnes/jour), une chambre froide, un congélateur, un système d’éclairage solaire</w:t>
      </w:r>
      <w:r w:rsidR="0026148C" w:rsidRPr="002A5818">
        <w:t xml:space="preserve"> ainsi que divers équipements de conservation et de transformation. Dix ans plus tard, le matériel de production a disparu et la chambre froide est devenue le refuge des batraciens et des reptiles. La mauvaise gouvernance et la mauvaise gestion seraient les principales causes de cet échec.</w:t>
      </w:r>
    </w:p>
    <w:p w14:paraId="72614FD2" w14:textId="77777777" w:rsidR="00A67B44" w:rsidRPr="002A5818" w:rsidRDefault="00A67B44" w:rsidP="00020DCB">
      <w:pPr>
        <w:spacing w:after="0"/>
      </w:pPr>
    </w:p>
    <w:p w14:paraId="3FE0F099" w14:textId="6AD310B0" w:rsidR="00482580" w:rsidRPr="002A5818" w:rsidRDefault="00482580" w:rsidP="00A67B44">
      <w:pPr>
        <w:keepNext/>
        <w:keepLines/>
        <w:spacing w:after="0"/>
        <w:outlineLvl w:val="1"/>
        <w:rPr>
          <w:rFonts w:eastAsiaTheme="majorEastAsia" w:cstheme="majorBidi"/>
          <w:b/>
          <w:bCs/>
          <w:szCs w:val="26"/>
        </w:rPr>
      </w:pPr>
      <w:bookmarkStart w:id="72" w:name="_Toc221044183"/>
      <w:r w:rsidRPr="002A5818">
        <w:rPr>
          <w:b/>
          <w:bCs/>
        </w:rPr>
        <w:t>Elevage –</w:t>
      </w:r>
      <w:r w:rsidR="00787FA3" w:rsidRPr="002A5818">
        <w:rPr>
          <w:b/>
          <w:bCs/>
        </w:rPr>
        <w:t xml:space="preserve"> </w:t>
      </w:r>
      <w:r w:rsidR="00A67B44" w:rsidRPr="002A5818">
        <w:rPr>
          <w:b/>
          <w:bCs/>
        </w:rPr>
        <w:t xml:space="preserve">L’organisation interprofessionnelle agricole des petits ruminants (INTERPRU) développe un </w:t>
      </w:r>
      <w:r w:rsidR="00787FA3" w:rsidRPr="002A5818">
        <w:rPr>
          <w:b/>
          <w:bCs/>
        </w:rPr>
        <w:t>partenariat avec l’institution de microfinance Sirius</w:t>
      </w:r>
      <w:r w:rsidR="00A67B44" w:rsidRPr="002A5818">
        <w:rPr>
          <w:b/>
          <w:bCs/>
        </w:rPr>
        <w:t>.</w:t>
      </w:r>
      <w:bookmarkEnd w:id="72"/>
    </w:p>
    <w:p w14:paraId="7589869E" w14:textId="7BDBDFF2" w:rsidR="00787FA3" w:rsidRPr="002A5818" w:rsidRDefault="00A67B44" w:rsidP="00787FA3">
      <w:pPr>
        <w:spacing w:after="0"/>
      </w:pPr>
      <w:r w:rsidRPr="002A5818">
        <w:t>L’</w:t>
      </w:r>
      <w:r w:rsidR="00787FA3" w:rsidRPr="002A5818">
        <w:t xml:space="preserve">INTERPRU, en partenariat avec </w:t>
      </w:r>
      <w:bookmarkStart w:id="73" w:name="_Hlk220769755"/>
      <w:r w:rsidR="00787FA3" w:rsidRPr="002A5818">
        <w:t>l’institution de microfinance Sirius</w:t>
      </w:r>
      <w:bookmarkEnd w:id="73"/>
      <w:r w:rsidR="00787FA3" w:rsidRPr="002A5818">
        <w:t xml:space="preserve">, a organisé le 22 janvier, une rencontre sur la facilitation de l’accès au crédit pour les éleveurs ivoiriens. L’enjeu de cette rencontre est de lever le frein financier qui entrave souvent la croissance des acteurs ruraux. En présentant des mécanismes de financement sur mesure, l’INTERPRU et Sirius ambitionnent </w:t>
      </w:r>
      <w:r w:rsidR="00787FA3" w:rsidRPr="002A5818">
        <w:lastRenderedPageBreak/>
        <w:t>de transformer durablement le visage de l’élevage ovin et caprin en Côte d’Ivoire. La première vice-présidente de l’INTERPRU et commissaire générale de la foire Ivoire Tabaski, Mme Louvel-Yao Noël, a rappelé que cette filière représente un véritable moteur de lutte contre la précarité, capable d’améliorer significativement le niveau de vie des ménages ruraux. Sirius a détaillé une gamme de produits financiers spécifiquement conçus pour les réalités du terrain. Il s’agit des crédits adaptés aux cycles d’élevage, des conditions d’accès simplifiées pour les porteurs de projets et de l’accompagnement technique pour garantir la viabilité des investissements. Les débats ont toutefois souligné la professionnalisation. Pour que les banques et microfinances ouvrent davantage leurs coffres, les exploitations doivent se structurer. La transparence et l’organisation technique sont apparues comme les gages de confiance indispensables pour pérenniser ces partenariats financiers.</w:t>
      </w:r>
    </w:p>
    <w:p w14:paraId="5B5E90C5" w14:textId="77777777" w:rsidR="00787FA3" w:rsidRPr="002A5818" w:rsidRDefault="00787FA3" w:rsidP="001B1AD7">
      <w:pPr>
        <w:keepNext/>
        <w:keepLines/>
        <w:spacing w:after="0"/>
        <w:outlineLvl w:val="1"/>
      </w:pPr>
    </w:p>
    <w:p w14:paraId="617B0237" w14:textId="02CBB154" w:rsidR="009D0CF7" w:rsidRPr="002A5818" w:rsidRDefault="009D0CF7" w:rsidP="001B1AD7">
      <w:pPr>
        <w:keepNext/>
        <w:keepLines/>
        <w:spacing w:after="0"/>
        <w:outlineLvl w:val="1"/>
        <w:rPr>
          <w:rFonts w:eastAsiaTheme="majorEastAsia" w:cstheme="majorBidi"/>
          <w:b/>
          <w:bCs/>
          <w:szCs w:val="26"/>
        </w:rPr>
      </w:pPr>
      <w:bookmarkStart w:id="74" w:name="_Toc221044184"/>
      <w:bookmarkStart w:id="75" w:name="_Hlk220769852"/>
      <w:r w:rsidRPr="002A5818">
        <w:rPr>
          <w:b/>
          <w:bCs/>
        </w:rPr>
        <w:t xml:space="preserve">Intrants </w:t>
      </w:r>
      <w:r w:rsidR="00C6079D" w:rsidRPr="002A5818">
        <w:rPr>
          <w:b/>
          <w:bCs/>
        </w:rPr>
        <w:t>–</w:t>
      </w:r>
      <w:r w:rsidRPr="002A5818">
        <w:rPr>
          <w:b/>
          <w:bCs/>
        </w:rPr>
        <w:t xml:space="preserve"> </w:t>
      </w:r>
      <w:r w:rsidR="00C6079D" w:rsidRPr="002A5818">
        <w:rPr>
          <w:b/>
          <w:bCs/>
        </w:rPr>
        <w:t xml:space="preserve">Exonérations supprimées, mais </w:t>
      </w:r>
      <w:r w:rsidRPr="002A5818">
        <w:rPr>
          <w:b/>
          <w:bCs/>
        </w:rPr>
        <w:t xml:space="preserve">TVA </w:t>
      </w:r>
      <w:r w:rsidR="00C6079D" w:rsidRPr="002A5818">
        <w:rPr>
          <w:b/>
          <w:bCs/>
        </w:rPr>
        <w:t>ramenée de 18% à</w:t>
      </w:r>
      <w:r w:rsidRPr="002A5818">
        <w:rPr>
          <w:b/>
          <w:bCs/>
        </w:rPr>
        <w:t xml:space="preserve"> 9% sur certains intrants</w:t>
      </w:r>
      <w:r w:rsidR="00C6079D" w:rsidRPr="002A5818">
        <w:rPr>
          <w:b/>
          <w:bCs/>
        </w:rPr>
        <w:t xml:space="preserve"> agricoles.</w:t>
      </w:r>
      <w:bookmarkEnd w:id="74"/>
    </w:p>
    <w:bookmarkEnd w:id="75"/>
    <w:p w14:paraId="0B988A5C" w14:textId="62ECC3CF" w:rsidR="004C5DF7" w:rsidRPr="002A5818" w:rsidRDefault="009D0CF7" w:rsidP="004C5DF7">
      <w:pPr>
        <w:spacing w:after="0"/>
      </w:pPr>
      <w:r w:rsidRPr="002A5818">
        <w:t>La Direction générale des Impôts (DGI) a annoncé, dans un communiqué en date du 16 janvier, l’entrée en vigueur d’un taux réduit de la taxe sur la valeur ajoutée (TVA) applicable à certains produits et opérations, à compter du 1</w:t>
      </w:r>
      <w:r w:rsidR="00664663" w:rsidRPr="002A5818">
        <w:t>7</w:t>
      </w:r>
      <w:r w:rsidRPr="002A5818">
        <w:t xml:space="preserve"> janvier.</w:t>
      </w:r>
      <w:r w:rsidR="00C6079D" w:rsidRPr="002A5818">
        <w:t xml:space="preserve"> </w:t>
      </w:r>
      <w:r w:rsidRPr="002A5818">
        <w:t>Cette mesure fait suite à l’annexe fiscale à la loi de Finances du 19 décembre 2025 portant Budget de l’État pour l’année 2026. En son article 6, ce texte avait supprimé plusieurs exonérations prévues par le Code général des Impôts, soumettant ainsi les produits concernés au taux de droit commun de 18%. Les exonérations supprimées concernaient notamment les opérations portant sur les fibres de jute et de sisal, les aliments pour bétail et animaux de basse-cour, les intrants servant à la fabrication de ces aliments ainsi que leurs emballages, de même que les intrants destinés à la fabrication des engrais et leurs conditionnements.</w:t>
      </w:r>
      <w:r w:rsidR="00C6079D" w:rsidRPr="002A5818">
        <w:t xml:space="preserve"> </w:t>
      </w:r>
      <w:r w:rsidRPr="002A5818">
        <w:t xml:space="preserve">Toutefois, afin d’atténuer l’impact immédiat de cette réforme sur les secteurs concernés et de permettre aux acteurs économiques de s’adapter progressivement, le gouvernement a </w:t>
      </w:r>
      <w:r w:rsidR="00C6079D" w:rsidRPr="002A5818">
        <w:t>instit</w:t>
      </w:r>
      <w:r w:rsidR="005C0CF7">
        <w:t>ué</w:t>
      </w:r>
      <w:r w:rsidR="00C6079D" w:rsidRPr="002A5818">
        <w:t xml:space="preserve"> </w:t>
      </w:r>
      <w:r w:rsidRPr="002A5818">
        <w:t>un taux réduit de TVA de 9% en remplacement du taux initial de 18% prévu par la loi de Finances.</w:t>
      </w:r>
      <w:r w:rsidR="001B1AD7" w:rsidRPr="002A5818">
        <w:t xml:space="preserve"> Le </w:t>
      </w:r>
      <w:r w:rsidRPr="002A5818">
        <w:t xml:space="preserve">Directeur général des </w:t>
      </w:r>
      <w:r w:rsidR="001B1AD7" w:rsidRPr="002A5818">
        <w:t>i</w:t>
      </w:r>
      <w:r w:rsidRPr="002A5818">
        <w:t xml:space="preserve">mpôts, </w:t>
      </w:r>
      <w:r w:rsidR="001B1AD7" w:rsidRPr="002A5818">
        <w:t xml:space="preserve">M. </w:t>
      </w:r>
      <w:r w:rsidRPr="002A5818">
        <w:t xml:space="preserve">Quattara Sié Abou, </w:t>
      </w:r>
      <w:r w:rsidR="001B1AD7" w:rsidRPr="002A5818">
        <w:t xml:space="preserve">a précisé </w:t>
      </w:r>
      <w:r w:rsidRPr="002A5818">
        <w:t>que les opérations réalisées entre le 5 janvier, date d’entrée en vigueur de l’annexe fiscale 2026, et le 16 janvier, date de publication de l’ordonnance, ne feront pas l’objet de recherche en paiement de la TVA.</w:t>
      </w:r>
      <w:r w:rsidR="001B1AD7" w:rsidRPr="002A5818">
        <w:t xml:space="preserve"> </w:t>
      </w:r>
      <w:r w:rsidRPr="002A5818">
        <w:t>Toutefois, toute taxe facturée durant cette période devra être reversée au Trésor public.</w:t>
      </w:r>
    </w:p>
    <w:p w14:paraId="5654CAC8" w14:textId="12B02C1A" w:rsidR="009D0CF7" w:rsidRPr="002A5818" w:rsidRDefault="004C5DF7" w:rsidP="004C5DF7">
      <w:pPr>
        <w:spacing w:after="0"/>
      </w:pPr>
      <w:r w:rsidRPr="002A5818">
        <w:t xml:space="preserve">L’instauration de ce prélèvement est susceptible d’alourdir la facture des achats notamment d’engrais. En Côte d’Ivoire, il n’existe pas de production primaire d’engrais minéraux et les intrants sont importés en vrac, puis transformés en engrais composés NPK par des entreprises opérant dans le mélange d’engrais comme SOLEVO et ETG. Les données compilées par le Centre international de développement des engrais (IFDC) montrent, par exemple, que la Côte d’Ivoire a importé 573 123 tonnes d’engrais en 2024, dont 32% d’urée, 24% de chlorure de potassium (KCL), 14% de NPK, 13% de triple superphosphate (TSP), 5% de phosphate de diammonium (DAP) et 2% de sulfate d’ammonium. Cette répartition illustre la prédominance des engrais simples importés, utilisés comme intrants dans la formulation locale des engrais composés. La TVA peut avoir un effet dissuasif sur l’utilisation des engrais par les producteurs, avec la hausse des coûts de production et des prix d’achat qu’elle pourrait induire. D’après les données compilées par la FAO, la Côte d’Ivoire affichait un niveau d’utilisation d’engrais estimé à 43,8 kg/ha de terre arable en 2023. Si ce niveau de consommation est supérieur à la moyenne en Afrique subsaharienne, il reste encore éloigné de l’objectif de 50 kg/ha fixé lors de la Déclaration d’Abuja de 2006. Par ailleurs, la Côte d’Ivoire s’est aussi engagée en 2024, lors du </w:t>
      </w:r>
      <w:r w:rsidRPr="002A5818">
        <w:lastRenderedPageBreak/>
        <w:t>Sommet africain sur les engrais et la santé des sols de Nairobi (Kenya), à tripler la production et la distribution nationales d’engrais organiques et inorganiques de qualité certifiée d’ici à 2034, dans le but d’améliorer l’accès et l’accessibilité financière pour les petits exploitants agricoles.</w:t>
      </w:r>
    </w:p>
    <w:p w14:paraId="3F09E988" w14:textId="32B2DCCF" w:rsidR="004C5DF7" w:rsidRPr="002A5818" w:rsidRDefault="004C5DF7" w:rsidP="004C5DF7">
      <w:pPr>
        <w:spacing w:after="0"/>
      </w:pPr>
      <w:r w:rsidRPr="002A5818">
        <w:t xml:space="preserve">Alors que les coûts des intrants dans l’élevage sont estimés à plus de 60% des dépenses réalisées dans le secteur, l’instauration </w:t>
      </w:r>
      <w:r w:rsidR="00C14C11" w:rsidRPr="002A5818">
        <w:t xml:space="preserve">de ce nouveau taux de </w:t>
      </w:r>
      <w:r w:rsidRPr="002A5818">
        <w:t xml:space="preserve">TVA est </w:t>
      </w:r>
      <w:r w:rsidR="00C14C11" w:rsidRPr="002A5818">
        <w:t xml:space="preserve">également </w:t>
      </w:r>
      <w:r w:rsidRPr="002A5818">
        <w:t>susceptible de renforcer la pression sur les différents maillons de la chaîne de valeur du secteur de l’élevage allant des fabricants d’aliments pour animaux, aux éleveurs et à la transformation de produits animaux.</w:t>
      </w:r>
      <w:r w:rsidR="00C14C11" w:rsidRPr="002A5818">
        <w:t xml:space="preserve"> </w:t>
      </w:r>
      <w:r w:rsidRPr="002A5818">
        <w:t xml:space="preserve">Au-delà de l’impact immédiat attendu sur la hausse des coûts de production et des prix de vente des aliments pour animaux, cette mesure </w:t>
      </w:r>
      <w:r w:rsidR="00C14C11" w:rsidRPr="002A5818">
        <w:t xml:space="preserve">peut </w:t>
      </w:r>
      <w:r w:rsidRPr="002A5818">
        <w:t>impacter les ambitions de croissance de l’industrie locale des aliments pour animaux.</w:t>
      </w:r>
      <w:r w:rsidR="00C14C11" w:rsidRPr="002A5818">
        <w:t xml:space="preserve"> </w:t>
      </w:r>
      <w:r w:rsidRPr="002A5818">
        <w:t>Avant cette annonce, le ministère des Ressources animales et halieutiques avait dévoilé en avril 2025 une série de mesures adoptées par le gouvernement pour soutenir le secteur de l’élevage et optimiser les coûts de production liés à l’alimentation animale. L’une des principales mesures portait notamment sur la mise en place d’une exonération partielle des droits et taxes douaniers de 7 à 15% sur les produits destinés à l’alimentation animale. Cet allègement fiscal suggérait alors l’intention du gouvernement de créer un environnement favorable au développement de l’industrie locale, qui importe une grande partie de ses matières premières (maïs, soja, blé…), et d’assurer la disponibilité en quantité et en qualité des aliments pour animaux.</w:t>
      </w:r>
      <w:r w:rsidR="00C14C11" w:rsidRPr="002A5818">
        <w:t xml:space="preserve"> </w:t>
      </w:r>
      <w:r w:rsidRPr="002A5818">
        <w:t xml:space="preserve">Parallèlement, le secteur privé </w:t>
      </w:r>
      <w:r w:rsidR="00C14C11" w:rsidRPr="002A5818">
        <w:t xml:space="preserve">devait </w:t>
      </w:r>
      <w:r w:rsidRPr="002A5818">
        <w:t>intensifi</w:t>
      </w:r>
      <w:r w:rsidR="00C14C11" w:rsidRPr="002A5818">
        <w:t>er</w:t>
      </w:r>
      <w:r w:rsidRPr="002A5818">
        <w:t xml:space="preserve"> ses investissements dans la filière pour en accroître les capacités de production.</w:t>
      </w:r>
      <w:r w:rsidR="00C14C11" w:rsidRPr="002A5818">
        <w:t xml:space="preserve"> </w:t>
      </w:r>
      <w:r w:rsidRPr="002A5818">
        <w:t>Le néerlandais D</w:t>
      </w:r>
      <w:r w:rsidR="00C14C11" w:rsidRPr="002A5818">
        <w:t>E</w:t>
      </w:r>
      <w:r w:rsidRPr="002A5818">
        <w:t xml:space="preserve"> H</w:t>
      </w:r>
      <w:r w:rsidR="00C14C11" w:rsidRPr="002A5818">
        <w:t>EUS</w:t>
      </w:r>
      <w:r w:rsidRPr="002A5818">
        <w:t xml:space="preserve"> a, par exemple, annoncé en septembre </w:t>
      </w:r>
      <w:r w:rsidR="00C14C11" w:rsidRPr="002A5818">
        <w:t xml:space="preserve">2025 </w:t>
      </w:r>
      <w:r w:rsidRPr="002A5818">
        <w:t>le projet de construction d’une nouvelle unité de production d’aliments pour animaux à Korhogo, dans le nord du pays. Si, pour l’heure, les détails supplémentaires concernant l’emplacement exact, la capacité de production de l’usine ou encore le coût de réalisation ne sont pas encore connus, cette annonce confirm</w:t>
      </w:r>
      <w:r w:rsidR="00C14C11" w:rsidRPr="002A5818">
        <w:t>ait</w:t>
      </w:r>
      <w:r w:rsidRPr="002A5818">
        <w:t xml:space="preserve"> l’intention de l’entreprise de se renforcer sur le marché ivoirien.</w:t>
      </w:r>
      <w:r w:rsidR="00C14C11" w:rsidRPr="002A5818">
        <w:t xml:space="preserve"> </w:t>
      </w:r>
      <w:r w:rsidRPr="002A5818">
        <w:t>Dans le même mois, la Société ivoirienne de productions animales (SIPRA), leader de la filière avicole en Côte d’Ivoire, a</w:t>
      </w:r>
      <w:r w:rsidR="00C14C11" w:rsidRPr="002A5818">
        <w:t>vait</w:t>
      </w:r>
      <w:r w:rsidRPr="002A5818">
        <w:t xml:space="preserve"> annoncé avoir attiré un investissement de 23,5 </w:t>
      </w:r>
      <w:r w:rsidR="00C14C11" w:rsidRPr="002A5818">
        <w:t xml:space="preserve">M USD </w:t>
      </w:r>
      <w:r w:rsidRPr="002A5818">
        <w:t>du fonds norvégien Norfund dans son capital. L’opération vis</w:t>
      </w:r>
      <w:r w:rsidR="00C14C11" w:rsidRPr="002A5818">
        <w:t>ait</w:t>
      </w:r>
      <w:r w:rsidRPr="002A5818">
        <w:t xml:space="preserve"> notamment à accroître ses capacités de production dans ses trois principaux segments d’activités que sont la fabrication d’aliments pour animaux, l’élevage et la transformation de produits animaux, tout en soutenant l’innovation en nutrition animale et l’amélioration de son efficacité opérationnelle.</w:t>
      </w:r>
      <w:r w:rsidR="00C14C11" w:rsidRPr="002A5818">
        <w:t xml:space="preserve"> Dans le cadre de sa stratégie nationale de développement de la production avicole, la Côte d’Ivoire espère presque doubler sa production annuelle de viande de poulet pour atteindre 200</w:t>
      </w:r>
      <w:r w:rsidR="005D5A3B">
        <w:t> </w:t>
      </w:r>
      <w:r w:rsidR="00C14C11" w:rsidRPr="002A5818">
        <w:t>000</w:t>
      </w:r>
      <w:r w:rsidR="005D5A3B">
        <w:t> </w:t>
      </w:r>
      <w:r w:rsidR="00C14C11" w:rsidRPr="002A5818">
        <w:t>tonnes d’ici 2030, contre un niveau de 114 000 tonnes en 2024, selon l’I</w:t>
      </w:r>
      <w:r w:rsidR="007677FD" w:rsidRPr="002A5818">
        <w:t>PRAVI</w:t>
      </w:r>
      <w:r w:rsidR="00C14C11" w:rsidRPr="002A5818">
        <w:t>, l’interprofession avicole de Côte d’Ivoire. Une ambition qui devrait stimuler davantage la demande d’aliments pour animaux sur la période considérée.</w:t>
      </w:r>
    </w:p>
    <w:p w14:paraId="08480A23" w14:textId="4463E47B" w:rsidR="004C5DF7" w:rsidRPr="002A5818" w:rsidRDefault="004C5DF7" w:rsidP="004C5DF7">
      <w:pPr>
        <w:spacing w:after="0"/>
      </w:pPr>
      <w:r w:rsidRPr="002A5818">
        <w:t xml:space="preserve">Avec l’introduction de la TVA de 9% sur les </w:t>
      </w:r>
      <w:r w:rsidR="00C14C11" w:rsidRPr="002A5818">
        <w:t>intrants agricoles</w:t>
      </w:r>
      <w:r w:rsidRPr="002A5818">
        <w:t>, l’enjeu pour les autorités ivoiriennes sera désormais de concilier mobilisation des recettes fiscales, compétitivité industrielle et maîtrise des prix des intrants, afin de ne pas freiner le développement d</w:t>
      </w:r>
      <w:r w:rsidR="00C14C11" w:rsidRPr="002A5818">
        <w:t>es filières agricoles et de l’élevage</w:t>
      </w:r>
      <w:r w:rsidRPr="002A5818">
        <w:t>.</w:t>
      </w:r>
    </w:p>
    <w:p w14:paraId="4C3319A4" w14:textId="77777777" w:rsidR="00042B98" w:rsidRPr="002A5818" w:rsidRDefault="00042B98" w:rsidP="00042B98">
      <w:pPr>
        <w:keepNext/>
        <w:keepLines/>
        <w:spacing w:after="0"/>
        <w:outlineLvl w:val="1"/>
        <w:rPr>
          <w:b/>
          <w:bCs/>
        </w:rPr>
      </w:pPr>
    </w:p>
    <w:p w14:paraId="445F0C62" w14:textId="67D12CBE" w:rsidR="00A67B44" w:rsidRPr="002A5818" w:rsidRDefault="00A67B44" w:rsidP="00042B98">
      <w:pPr>
        <w:keepNext/>
        <w:keepLines/>
        <w:spacing w:after="0"/>
        <w:outlineLvl w:val="1"/>
        <w:rPr>
          <w:rFonts w:eastAsiaTheme="majorEastAsia" w:cstheme="majorBidi"/>
          <w:b/>
          <w:bCs/>
          <w:szCs w:val="26"/>
        </w:rPr>
      </w:pPr>
      <w:bookmarkStart w:id="76" w:name="_Toc221044185"/>
      <w:r w:rsidRPr="002A5818">
        <w:rPr>
          <w:b/>
          <w:bCs/>
        </w:rPr>
        <w:t xml:space="preserve">Intrants </w:t>
      </w:r>
      <w:r w:rsidR="00042B98" w:rsidRPr="002A5818">
        <w:rPr>
          <w:b/>
          <w:bCs/>
        </w:rPr>
        <w:t>–</w:t>
      </w:r>
      <w:r w:rsidRPr="002A5818">
        <w:rPr>
          <w:b/>
          <w:bCs/>
        </w:rPr>
        <w:t xml:space="preserve"> </w:t>
      </w:r>
      <w:r w:rsidR="00042B98" w:rsidRPr="002A5818">
        <w:rPr>
          <w:b/>
          <w:bCs/>
        </w:rPr>
        <w:t>Projet irlandais d’usine de transformation d’algues en fertilisants organiques.</w:t>
      </w:r>
      <w:bookmarkEnd w:id="76"/>
    </w:p>
    <w:p w14:paraId="4B663878" w14:textId="6D1C326B" w:rsidR="00A67B44" w:rsidRPr="002A5818" w:rsidRDefault="00A67B44" w:rsidP="00A67B44">
      <w:pPr>
        <w:spacing w:after="0"/>
      </w:pPr>
      <w:r w:rsidRPr="002A5818">
        <w:t>Un atelier sur « Les fertilisants écologiques comme opportunité pour l’agriculture durable dans le cadre du Plan national de développement » s’est tenu le 21 janvier à l’initiative de Shamrock International Consulting. La rencontre</w:t>
      </w:r>
      <w:r w:rsidR="004470FB" w:rsidRPr="002A5818">
        <w:t xml:space="preserve"> </w:t>
      </w:r>
      <w:r w:rsidRPr="002A5818">
        <w:t xml:space="preserve">a réuni des représentants de coopératives agricoles ainsi que </w:t>
      </w:r>
      <w:r w:rsidR="004470FB" w:rsidRPr="002A5818">
        <w:t xml:space="preserve">M. </w:t>
      </w:r>
      <w:r w:rsidRPr="002A5818">
        <w:t>Shane Walsh, directeur général de Fast Grow Fertiliser.</w:t>
      </w:r>
      <w:r w:rsidR="004470FB" w:rsidRPr="002A5818">
        <w:t xml:space="preserve"> </w:t>
      </w:r>
      <w:r w:rsidRPr="002A5818">
        <w:t xml:space="preserve">Les échanges ont porté sur les </w:t>
      </w:r>
      <w:r w:rsidRPr="002A5818">
        <w:lastRenderedPageBreak/>
        <w:t>opportunités offertes par les fertilisants écologiques pour renforcer la durabilité et la productivité de l’agriculture ivoirienne.</w:t>
      </w:r>
      <w:r w:rsidR="004470FB" w:rsidRPr="002A5818">
        <w:t xml:space="preserve"> Pour les intervenants, </w:t>
      </w:r>
      <w:r w:rsidRPr="002A5818">
        <w:t xml:space="preserve">les enjeux actuels </w:t>
      </w:r>
      <w:r w:rsidR="004470FB" w:rsidRPr="002A5818">
        <w:t xml:space="preserve">de l’agriculture ivoirienne </w:t>
      </w:r>
      <w:r w:rsidRPr="002A5818">
        <w:t>se situent moins dans l’extension des superficies cultivées que dans l’amélioration des pratiques agricoles</w:t>
      </w:r>
      <w:r w:rsidR="004470FB" w:rsidRPr="002A5818">
        <w:t xml:space="preserve"> pour plus de</w:t>
      </w:r>
      <w:r w:rsidRPr="002A5818">
        <w:t xml:space="preserve"> durabilité, </w:t>
      </w:r>
      <w:r w:rsidR="004470FB" w:rsidRPr="002A5818">
        <w:t>de</w:t>
      </w:r>
      <w:r w:rsidRPr="002A5818">
        <w:t xml:space="preserve"> productivité et </w:t>
      </w:r>
      <w:r w:rsidR="004470FB" w:rsidRPr="002A5818">
        <w:t>de</w:t>
      </w:r>
      <w:r w:rsidRPr="002A5818">
        <w:t xml:space="preserve"> préservation des sols, a-t-il déclaré.</w:t>
      </w:r>
      <w:r w:rsidR="004470FB" w:rsidRPr="002A5818">
        <w:t xml:space="preserve"> Pour les intervenants, </w:t>
      </w:r>
      <w:r w:rsidRPr="002A5818">
        <w:t xml:space="preserve">l’adoption de fertilisants écologiques constitue une réponse concrète aux limites des engrais chimiques massivement importés, en offrant des bénéfices à la fois agroéconomiques et environnementaux. </w:t>
      </w:r>
      <w:r w:rsidR="004470FB" w:rsidRPr="002A5818">
        <w:t>L</w:t>
      </w:r>
      <w:r w:rsidRPr="002A5818">
        <w:t>es solutions organiques permettent notamment d’améliorer le développement racinaire, de stimuler la vie microbienne des sols et de renforcer la résistance des cultures au stress climatique.</w:t>
      </w:r>
      <w:r w:rsidR="004470FB" w:rsidRPr="002A5818">
        <w:t xml:space="preserve"> </w:t>
      </w:r>
      <w:r w:rsidR="00042B98" w:rsidRPr="002A5818">
        <w:t xml:space="preserve">Les représentants des coopératives agricoles ont présenté les opportunités et défis du secteur, mettant en avant le potentiel de modernisation grâce à l’adoption de fertilisants organiques. </w:t>
      </w:r>
      <w:r w:rsidR="004470FB" w:rsidRPr="002A5818">
        <w:t xml:space="preserve">M. </w:t>
      </w:r>
      <w:r w:rsidRPr="002A5818">
        <w:t>Shane Walsh a présenté un projet visant à accompagner la Côte d’Ivoire dans sa transition vers une agriculture durable.</w:t>
      </w:r>
      <w:r w:rsidR="004470FB" w:rsidRPr="002A5818">
        <w:t xml:space="preserve"> </w:t>
      </w:r>
      <w:r w:rsidRPr="002A5818">
        <w:t>Fondateur d’une entreprise spécialisée dans la production d’engrais 100 % naturels depuis 2015 et déjà présente sur plusieurs marchés internationaux, il a rappelé que la Côte d’Ivoire importe chaque année plus de 600 000 tonnes d’engrais chimiques, pour un coût estimé à 480</w:t>
      </w:r>
      <w:r w:rsidR="004470FB" w:rsidRPr="002A5818">
        <w:t xml:space="preserve"> M EUR</w:t>
      </w:r>
      <w:r w:rsidRPr="002A5818">
        <w:t>, une dépendance jugée à la fois risquée pour l’économie nationale et préjudiciable aux sols.</w:t>
      </w:r>
      <w:r w:rsidR="004470FB" w:rsidRPr="002A5818">
        <w:t xml:space="preserve"> </w:t>
      </w:r>
      <w:r w:rsidRPr="002A5818">
        <w:t>Selon lui, l’opportunité pour le pays réside dans une intensification agricole durable, capable de préserver la fertilité des terres tout en améliorant les rendements. Sa vision de partenariat sur trois ans prévoit, dans une première phase, l’importation de fertilisants liquides à base d’algues, suivie de l’acquisition d’un site industriel d’un peu plus de 40 h</w:t>
      </w:r>
      <w:r w:rsidR="00042B98" w:rsidRPr="002A5818">
        <w:t>a</w:t>
      </w:r>
      <w:r w:rsidRPr="002A5818">
        <w:t xml:space="preserve"> pour l’implantation d’une unité de production locale.</w:t>
      </w:r>
      <w:r w:rsidR="004470FB" w:rsidRPr="002A5818">
        <w:t xml:space="preserve"> </w:t>
      </w:r>
      <w:r w:rsidRPr="002A5818">
        <w:t>Le Centre ivoirien antipollution (CIAPOL) s’est également dit disposé à accompagner le projet afin de garantir un développement agricole durable.</w:t>
      </w:r>
      <w:r w:rsidR="004470FB" w:rsidRPr="002A5818">
        <w:t xml:space="preserve"> L</w:t>
      </w:r>
      <w:r w:rsidRPr="002A5818">
        <w:t xml:space="preserve">e maire de Bonoua s’engage à accueillir sur le territoire communal la future </w:t>
      </w:r>
      <w:bookmarkStart w:id="77" w:name="_Hlk220770529"/>
      <w:r w:rsidRPr="002A5818">
        <w:t>usine de transformation d’algues en fertilisants organiques</w:t>
      </w:r>
      <w:bookmarkEnd w:id="77"/>
      <w:r w:rsidRPr="002A5818">
        <w:t>.</w:t>
      </w:r>
    </w:p>
    <w:p w14:paraId="4EB98ECC" w14:textId="77777777" w:rsidR="004C5DF7" w:rsidRPr="002A5818" w:rsidRDefault="004C5DF7" w:rsidP="004C5DF7">
      <w:pPr>
        <w:spacing w:after="0"/>
      </w:pPr>
    </w:p>
    <w:p w14:paraId="33129870" w14:textId="1F5E0471" w:rsidR="004E0E08" w:rsidRPr="002A5818" w:rsidRDefault="004E0E08" w:rsidP="0022366C">
      <w:pPr>
        <w:keepNext/>
        <w:keepLines/>
        <w:spacing w:after="0"/>
        <w:outlineLvl w:val="1"/>
        <w:rPr>
          <w:rFonts w:eastAsiaTheme="majorEastAsia" w:cstheme="majorBidi"/>
          <w:b/>
          <w:bCs/>
          <w:szCs w:val="26"/>
        </w:rPr>
      </w:pPr>
      <w:bookmarkStart w:id="78" w:name="_Toc221044186"/>
      <w:bookmarkStart w:id="79" w:name="_Hlk220770578"/>
      <w:r w:rsidRPr="002A5818">
        <w:rPr>
          <w:b/>
          <w:bCs/>
        </w:rPr>
        <w:t>Forêts</w:t>
      </w:r>
      <w:r w:rsidR="00EA2BCA" w:rsidRPr="002A5818">
        <w:rPr>
          <w:b/>
          <w:bCs/>
        </w:rPr>
        <w:t xml:space="preserve"> </w:t>
      </w:r>
      <w:r w:rsidR="0022366C" w:rsidRPr="002A5818">
        <w:rPr>
          <w:b/>
          <w:bCs/>
        </w:rPr>
        <w:t>–</w:t>
      </w:r>
      <w:r w:rsidR="00EA2BCA" w:rsidRPr="002A5818">
        <w:rPr>
          <w:b/>
          <w:bCs/>
        </w:rPr>
        <w:t xml:space="preserve"> </w:t>
      </w:r>
      <w:r w:rsidR="0022366C" w:rsidRPr="002A5818">
        <w:rPr>
          <w:b/>
          <w:bCs/>
        </w:rPr>
        <w:t>Inquiétudes sur la gestion de certaines forêts classées.</w:t>
      </w:r>
      <w:bookmarkEnd w:id="78"/>
    </w:p>
    <w:bookmarkEnd w:id="79"/>
    <w:p w14:paraId="5607C949" w14:textId="0EA67EC3" w:rsidR="004E0E08" w:rsidRPr="002A5818" w:rsidRDefault="004E0E08" w:rsidP="00EA2BCA">
      <w:pPr>
        <w:spacing w:after="0"/>
      </w:pPr>
      <w:r w:rsidRPr="002A5818">
        <w:t>Des agents du secteur forestier s’inquiètent de la gestion de certaines forêts classées, alors que la préservation du couvert forestier ivoirien s’impose comme un enjeu majeur face aux défis climatiques mondiaux. Ils dénoncent des pratiques d'exploitation menées en dehors des procédures officielles de la Société de développement des forêts (SODEFOR) qui serait progressivement mise à l’écart au profit d’opérateurs privés. L’année 2025 a pourtant marqué un tournant historique pour la S</w:t>
      </w:r>
      <w:r w:rsidR="001E6B10" w:rsidRPr="002A5818">
        <w:t>ODEFOR</w:t>
      </w:r>
      <w:r w:rsidRPr="002A5818">
        <w:t>, avec plus de 42 M de plants forestiers produits et plus de 37 000 ha reboisés, toutes catégories confondues, des performances inédites depuis la création de la société en 1966. C’est pour dénoncer ce que les agents qualifient de « dérive préoccupante » que le syndicat majoritaire des agents forestiers a animé une conférence de presse le 8 janvier.</w:t>
      </w:r>
      <w:r w:rsidR="001E6B10" w:rsidRPr="002A5818">
        <w:t xml:space="preserve"> L</w:t>
      </w:r>
      <w:r w:rsidRPr="002A5818">
        <w:t>e secrétaire général du Syndicat libre des agents de la Sodefor (S</w:t>
      </w:r>
      <w:r w:rsidR="001E6B10" w:rsidRPr="002A5818">
        <w:t>YLIA-SODEFOR</w:t>
      </w:r>
      <w:r w:rsidRPr="002A5818">
        <w:t xml:space="preserve">), le lieutenant </w:t>
      </w:r>
      <w:r w:rsidR="00EA2BCA" w:rsidRPr="002A5818">
        <w:t xml:space="preserve">Ziepleu Lancina </w:t>
      </w:r>
      <w:r w:rsidRPr="002A5818">
        <w:t>Ouattara, a exprimé de vives inquiétudes quant à l’application du décret encadrant les concessions forestières.</w:t>
      </w:r>
      <w:r w:rsidR="00EA2BCA" w:rsidRPr="002A5818">
        <w:t xml:space="preserve"> </w:t>
      </w:r>
      <w:r w:rsidRPr="002A5818">
        <w:t>Selon le</w:t>
      </w:r>
      <w:r w:rsidR="00EA2BCA" w:rsidRPr="002A5818">
        <w:t xml:space="preserve"> responsable syndical</w:t>
      </w:r>
      <w:r w:rsidRPr="002A5818">
        <w:t>, le texte prévoyait initialement 76 forêts éligibles, essentiellement très dégradées. Or, dans sa mise en œuvre, ce nombre est passé à 86, avec l’ajout de dix forêts supplémentaires, dont certaines présentent pourtant un excellent état de conservation. Certaines de ces forêts abrit</w:t>
      </w:r>
      <w:r w:rsidR="00EA2BCA" w:rsidRPr="002A5818">
        <w:t>e</w:t>
      </w:r>
      <w:r w:rsidRPr="002A5818">
        <w:t>nt même des éléphants et ont récemment été transformées en réserves naturelles en raison de leur bon état de conservation a révélé le responsable syndical</w:t>
      </w:r>
      <w:r w:rsidR="00EA2BCA" w:rsidRPr="002A5818">
        <w:t>, pour qui</w:t>
      </w:r>
      <w:r w:rsidRPr="002A5818">
        <w:t xml:space="preserve"> ces ajouts sont incompréhensibles et vont à l’encontre de l’esprit du décret, censé favoriser la réhabilitation des forêts dégradées, et non exposer des écosystèmes encore préservés. </w:t>
      </w:r>
      <w:r w:rsidR="00EA2BCA" w:rsidRPr="002A5818">
        <w:t>Un a</w:t>
      </w:r>
      <w:r w:rsidRPr="002A5818">
        <w:t>utre grief majeur</w:t>
      </w:r>
      <w:r w:rsidR="00EA2BCA" w:rsidRPr="002A5818">
        <w:t xml:space="preserve">, concerne </w:t>
      </w:r>
      <w:r w:rsidRPr="002A5818">
        <w:t xml:space="preserve">la mise à l’écart de la </w:t>
      </w:r>
      <w:r w:rsidR="00EA2BCA" w:rsidRPr="002A5818">
        <w:t xml:space="preserve">SODEFOR </w:t>
      </w:r>
      <w:r w:rsidRPr="002A5818">
        <w:t xml:space="preserve">dans des processus relevant </w:t>
      </w:r>
      <w:r w:rsidRPr="002A5818">
        <w:lastRenderedPageBreak/>
        <w:t>pourtant directement de ses missions. Alors que l’entreprise publique assure la gestion de plus de 230 forêts classées, elle ne serait ni associée à la validation des concessions ni systématiquement destinataire des cahiers des charges.</w:t>
      </w:r>
      <w:r w:rsidR="00EA2BCA" w:rsidRPr="002A5818">
        <w:t xml:space="preserve"> </w:t>
      </w:r>
      <w:r w:rsidRPr="002A5818">
        <w:t>Les syndicats critiquent également l’attribution des reboisements compensatoires à des entreprises privées au détriment de la</w:t>
      </w:r>
      <w:r w:rsidR="00EA2BCA" w:rsidRPr="002A5818">
        <w:t xml:space="preserve"> SODEFOR</w:t>
      </w:r>
      <w:r w:rsidRPr="002A5818">
        <w:t>. Ils rappellent qu’en 2025, la société d’État a réalisé plus de 7 000 h</w:t>
      </w:r>
      <w:r w:rsidR="00EA2BCA" w:rsidRPr="002A5818">
        <w:t>a</w:t>
      </w:r>
      <w:r w:rsidRPr="002A5818">
        <w:t xml:space="preserve"> de reboisement, dépassant largement certains volumes confiés à des opérateurs privés. À titre d’exemple, 500</w:t>
      </w:r>
      <w:r w:rsidR="005D5A3B">
        <w:t> </w:t>
      </w:r>
      <w:r w:rsidRPr="002A5818">
        <w:t>h</w:t>
      </w:r>
      <w:r w:rsidR="00EA2BCA" w:rsidRPr="002A5818">
        <w:t>a</w:t>
      </w:r>
      <w:r w:rsidRPr="002A5818">
        <w:t xml:space="preserve"> à Foumbou et 5 000 h</w:t>
      </w:r>
      <w:r w:rsidR="00EA2BCA" w:rsidRPr="002A5818">
        <w:t>a</w:t>
      </w:r>
      <w:r w:rsidRPr="002A5818">
        <w:t xml:space="preserve"> à Badinou auraient été confiés à des entreprises privées. Au-delà de la gestion forestière, les syndicats s’inquiètent pour l’avenir des emplois. Le syndicat majoritaire, qui revendique 354 agents sur un effectif d’environ 880, redoute un affaiblissement durable de la S</w:t>
      </w:r>
      <w:r w:rsidR="00EA2BCA" w:rsidRPr="002A5818">
        <w:t>ODEFOR</w:t>
      </w:r>
      <w:r w:rsidRPr="002A5818">
        <w:t>.</w:t>
      </w:r>
    </w:p>
    <w:p w14:paraId="0F601C23" w14:textId="77777777" w:rsidR="00F64977" w:rsidRPr="002A5818" w:rsidRDefault="00F64977" w:rsidP="00EA2BCA">
      <w:pPr>
        <w:spacing w:after="0"/>
      </w:pPr>
    </w:p>
    <w:p w14:paraId="18AB56BF" w14:textId="0D81C073" w:rsidR="00E5699B" w:rsidRPr="002A5818" w:rsidRDefault="00E5699B" w:rsidP="00F64977">
      <w:pPr>
        <w:keepNext/>
        <w:keepLines/>
        <w:spacing w:after="0"/>
        <w:outlineLvl w:val="1"/>
        <w:rPr>
          <w:rFonts w:eastAsiaTheme="majorEastAsia" w:cstheme="majorBidi"/>
          <w:b/>
          <w:bCs/>
          <w:szCs w:val="26"/>
        </w:rPr>
      </w:pPr>
      <w:bookmarkStart w:id="80" w:name="_Toc221044187"/>
      <w:r w:rsidRPr="002A5818">
        <w:rPr>
          <w:b/>
          <w:bCs/>
        </w:rPr>
        <w:t xml:space="preserve">Agro Technologie </w:t>
      </w:r>
      <w:r w:rsidR="00F64977" w:rsidRPr="002A5818">
        <w:rPr>
          <w:b/>
          <w:bCs/>
        </w:rPr>
        <w:t>–</w:t>
      </w:r>
      <w:r w:rsidRPr="002A5818">
        <w:rPr>
          <w:b/>
          <w:bCs/>
        </w:rPr>
        <w:t xml:space="preserve"> </w:t>
      </w:r>
      <w:r w:rsidR="00F64977" w:rsidRPr="002A5818">
        <w:rPr>
          <w:b/>
          <w:bCs/>
        </w:rPr>
        <w:t>Le Projet Innover pour les technologies agricoles propres en Afrique (INFoCAT) vise à promouvoir l’autonomisation économique des femmes et des jeunes.</w:t>
      </w:r>
      <w:bookmarkEnd w:id="80"/>
    </w:p>
    <w:p w14:paraId="2947D12D" w14:textId="0FC1975A" w:rsidR="00795162" w:rsidRPr="002A5818" w:rsidRDefault="00E5699B" w:rsidP="00E5699B">
      <w:pPr>
        <w:spacing w:after="0"/>
      </w:pPr>
      <w:r w:rsidRPr="002A5818">
        <w:t xml:space="preserve">Une table ronde réunissant les partenaires et bailleurs de fonds du </w:t>
      </w:r>
      <w:bookmarkStart w:id="81" w:name="_Hlk220768566"/>
      <w:r w:rsidRPr="002A5818">
        <w:t xml:space="preserve">projet INFoCAT </w:t>
      </w:r>
      <w:bookmarkEnd w:id="81"/>
      <w:r w:rsidRPr="002A5818">
        <w:t>s’est tenue le 27 janvier</w:t>
      </w:r>
      <w:bookmarkStart w:id="82" w:name="_Hlk220768587"/>
      <w:r w:rsidR="00F64977" w:rsidRPr="002A5818">
        <w:t xml:space="preserve">. Le projet vise à </w:t>
      </w:r>
      <w:r w:rsidRPr="002A5818">
        <w:t xml:space="preserve">promouvoir l’autonomisation économique des femmes et des jeunes </w:t>
      </w:r>
      <w:bookmarkEnd w:id="82"/>
      <w:r w:rsidRPr="002A5818">
        <w:t>en milieu rural à travers l’adoption de solutions agro-technologiques innovantes, accessibles et à faible coût. Ces solutions, alimentées par des énergies propres, visent à améliorer la productivité agricole, à réduire les pertes post-récolte et à accroître durablement les revenus des petits exploitants ruraux. Selon la coordonnatrice du projet INFoCAT, la Dr Namizata Binaté Fofana, l’objectif principal est d’accompagner la transition vers des systèmes agroalimentaires plus durables, inclusifs et résilients. Elle a rappelé que l’autonomisation des femmes et des jeunes constitue une priorité pour le gouvernement ivoirien. Le projet INFoCAT est mis en œuvre par l’UNU-INRA avec le soutien du Centre de recherches pour le développement international (CRDI) dans trois pays africains, à savoir le Ghana, la Côte d’Ivoire et le Sénégal. En Côte d’Ivoire, l’Unité opérationnelle de l’UNU-INRA, logée au Centre ivoirien de recherches économiques et sociales (CIRES), assure l’exécution du projet. La phase pilote du projet, conduite dans les régions du Sud-Comoé, du Bélier et dans le district de Yamoussoukro, a permis d’enregistrer des résultats probants, tant en matière d’adoption de technologies agricoles propres que d’accompagnement des innovateurs locaux et de renforcement des capacités des coopératives agricoles, en particulier celles dirigées par des</w:t>
      </w:r>
      <w:r w:rsidR="00C30205">
        <w:t xml:space="preserve"> </w:t>
      </w:r>
      <w:r w:rsidRPr="002A5818">
        <w:t>femmes.</w:t>
      </w:r>
    </w:p>
    <w:p w14:paraId="18F835AB" w14:textId="77777777" w:rsidR="00F64977" w:rsidRPr="002A5818" w:rsidRDefault="00F64977" w:rsidP="00E5699B">
      <w:pPr>
        <w:spacing w:after="0"/>
      </w:pPr>
    </w:p>
    <w:p w14:paraId="2AF1AB29" w14:textId="77777777" w:rsidR="00795162" w:rsidRPr="002A5818" w:rsidRDefault="00795162" w:rsidP="00795162">
      <w:pPr>
        <w:keepNext/>
        <w:keepLines/>
        <w:spacing w:after="0"/>
        <w:outlineLvl w:val="1"/>
        <w:rPr>
          <w:rFonts w:eastAsiaTheme="majorEastAsia" w:cstheme="majorBidi"/>
          <w:b/>
          <w:bCs/>
          <w:szCs w:val="26"/>
        </w:rPr>
      </w:pPr>
      <w:bookmarkStart w:id="83" w:name="_Toc221044188"/>
      <w:bookmarkStart w:id="84" w:name="_Hlk219748396"/>
      <w:r w:rsidRPr="002A5818">
        <w:rPr>
          <w:b/>
          <w:bCs/>
        </w:rPr>
        <w:t>Restauration – Une start-up se lance dans la restauration scolaire.</w:t>
      </w:r>
      <w:bookmarkEnd w:id="83"/>
    </w:p>
    <w:bookmarkEnd w:id="84"/>
    <w:p w14:paraId="14402036" w14:textId="77777777" w:rsidR="00795162" w:rsidRPr="002A5818" w:rsidRDefault="00795162" w:rsidP="00795162">
      <w:pPr>
        <w:spacing w:after="0"/>
      </w:pPr>
      <w:r w:rsidRPr="002A5818">
        <w:t xml:space="preserve">Devant la faiblesse de la restauration scolaire, M. Krys Digbehi a eu l’idée il y a cinq ans de créer Yéyiba, qui veut dire « succès » en langue yacouba, une chaîne de restaurants pour les écoles ou les lycées. M. Krys Digbehi, a exposé son projet lors du forum Euroafrica à Montpellier. Il a choisi la restauration scolaire d’abord parce qu'il y a de la demande, car selon les derniers chiffres, il y a plus de 64% des écoles en Côte d'Ivoire qui n'ont pas de cantine scolaire. Il y a aussi la précarité des cantines qui sont dans les écoles. Sur fonds propres et avec quelques prix remportés dans des concours de start-up, M. Krys Digbehi a investi dans des containers ambulants et dans du matériel de restauration professionnelle. Avec ses quinze employés, il travaille pour quatre établissements abidjanais.  Dans les écoles, il installe un conteneur cuisine, équipé de matériaux, de tables en inox, de matériel professionnel ainsi qu’un espace pour manger avec des chaises. La cantine sert un repas classique à l'ivoirienne, mais cuisiné de façon professionnelle et saine. Yeyiba fournit 1 500 repas par jour. Les élèves ne sont pas les seuls à apprécier une alimentation saine, les professeurs apprécient également de pouvoir bénéficier </w:t>
      </w:r>
      <w:r w:rsidRPr="002A5818">
        <w:lastRenderedPageBreak/>
        <w:t>de la cantine. L'ambition de Yeyiba est de passer plus de contrats avec d'autres établissements scolaires abidjanais et de trouver une solution pour la restauration des écoles en milieu rural.</w:t>
      </w:r>
    </w:p>
    <w:p w14:paraId="7B2062B3" w14:textId="77777777" w:rsidR="00795162" w:rsidRPr="002A5818" w:rsidRDefault="00795162" w:rsidP="00795162">
      <w:pPr>
        <w:spacing w:after="0"/>
      </w:pPr>
    </w:p>
    <w:p w14:paraId="247757E1" w14:textId="77777777" w:rsidR="00795162" w:rsidRPr="002A5818" w:rsidRDefault="00795162" w:rsidP="00795162">
      <w:pPr>
        <w:keepNext/>
        <w:keepLines/>
        <w:spacing w:after="0"/>
        <w:outlineLvl w:val="1"/>
        <w:rPr>
          <w:rFonts w:eastAsiaTheme="majorEastAsia" w:cstheme="majorBidi"/>
          <w:b/>
          <w:bCs/>
          <w:szCs w:val="26"/>
        </w:rPr>
      </w:pPr>
      <w:bookmarkStart w:id="85" w:name="_Toc221044189"/>
      <w:bookmarkStart w:id="86" w:name="_Hlk220230916"/>
      <w:r w:rsidRPr="002A5818">
        <w:rPr>
          <w:b/>
          <w:bCs/>
        </w:rPr>
        <w:t>Restauration – Progression de la livraison à domicile.</w:t>
      </w:r>
      <w:bookmarkEnd w:id="85"/>
    </w:p>
    <w:bookmarkEnd w:id="86"/>
    <w:p w14:paraId="349834F6" w14:textId="5216C5B0" w:rsidR="00795162" w:rsidRPr="002A5818" w:rsidRDefault="00795162" w:rsidP="00EA2BCA">
      <w:pPr>
        <w:spacing w:after="0"/>
      </w:pPr>
      <w:r w:rsidRPr="002A5818">
        <w:t>La livraison de repas à domicile s’impose progressivement comme un élément structurant des modes de consommation alimentaire à Abidjan, révélant de nouvelles dynamiques sociales et urbaines, selon des données rendues publiques sur les habitudes culinaires des usagers d’une plateforme de livraison, Yango Food, opérant dans la capitale économique ivoirienne. Les chiffres relatifs à l’année 2025 montrent une coexistence marquée entre plats issus de la restauration internationale et spécialités locales, traduisant une diversification des pratiques alimentaires en milieu urbain. Parmi les mets les plus consommés figurent le chawarma de poulet représentant 3,44% de l’ensemble des commandes sur la plateforme, les plats à base de poulet frit (1,75%), ainsi que l’alloco (1,71%), seule spécialité locale à se hisser parmi les repas les plus commandés, signe de la persistance des traditions culinaires ivoiriennes dans un contexte de modernisation des usages. Les données mettent également en lumière des temporalités sociales bien définies. Les samedi soir, entre 19 heures et 20 heures, constituent la période de plus forte activité. En semaine, le pic observé à l’heure du déjeuner, entre 12</w:t>
      </w:r>
      <w:r w:rsidR="005D5A3B">
        <w:t> </w:t>
      </w:r>
      <w:r w:rsidRPr="002A5818">
        <w:t>heures et 13 heures, reflète quant à lui les contraintes professionnelles et la recherche de solutions pratiques pour les actifs urbains. L’analyse des commandes révèle par ailleurs des comportements de consommation parfois atypiques, notamment des commandes groupées de grande ampleur, traduisant des usages communautaires ou événementiels. La forte demande en produits de base, comme le pain, témoigne également du rôle central de certains aliments dans le quotidien des ménages abidjanais. De plus, l’élargissement progressif de la base des utilisateurs, avec l’arrivée continue de nouveaux consommateurs sur les services de livraison, vient confirmer l’appropriation croissante de ces outils numériques par différents segments de la population. Ces tendances, selon la plateforme de livraison, illustrent une transformation des habitudes alimentaires en milieu urbain, portée par la digitalisation des services, l’évolution des rythmes de vie et la recherche de solutions pratiques, tout en conservant un ancrage dans les préférences culinaires locales.</w:t>
      </w:r>
    </w:p>
    <w:p w14:paraId="170FCC06" w14:textId="408A5185" w:rsidR="00E953F5" w:rsidRPr="002A5818" w:rsidRDefault="00E953F5" w:rsidP="00020DCB">
      <w:pPr>
        <w:spacing w:after="0"/>
      </w:pPr>
    </w:p>
    <w:p w14:paraId="64E3FE68" w14:textId="03682840" w:rsidR="00C662F2" w:rsidRPr="002A5818" w:rsidRDefault="00C662F2" w:rsidP="00C662F2">
      <w:pPr>
        <w:keepNext/>
        <w:keepLines/>
        <w:spacing w:after="0"/>
        <w:outlineLvl w:val="1"/>
        <w:rPr>
          <w:rFonts w:eastAsiaTheme="majorEastAsia" w:cstheme="majorBidi"/>
          <w:b/>
          <w:bCs/>
          <w:szCs w:val="26"/>
        </w:rPr>
      </w:pPr>
      <w:bookmarkStart w:id="87" w:name="_Toc221044190"/>
      <w:r w:rsidRPr="002A5818">
        <w:rPr>
          <w:b/>
          <w:bCs/>
        </w:rPr>
        <w:t xml:space="preserve">Mission d’entreprises – Rencontres B to B </w:t>
      </w:r>
      <w:bookmarkStart w:id="88" w:name="_Hlk220230743"/>
      <w:r w:rsidRPr="002A5818">
        <w:rPr>
          <w:b/>
          <w:bCs/>
        </w:rPr>
        <w:t xml:space="preserve">pour 17 entreprises </w:t>
      </w:r>
      <w:bookmarkEnd w:id="88"/>
      <w:r w:rsidRPr="002A5818">
        <w:rPr>
          <w:b/>
          <w:bCs/>
        </w:rPr>
        <w:t>égyptiennes.</w:t>
      </w:r>
      <w:bookmarkEnd w:id="87"/>
    </w:p>
    <w:p w14:paraId="15664019" w14:textId="05848E38" w:rsidR="00C662F2" w:rsidRPr="002A5818" w:rsidRDefault="00C662F2" w:rsidP="00C662F2">
      <w:pPr>
        <w:spacing w:after="0"/>
      </w:pPr>
      <w:r w:rsidRPr="002A5818">
        <w:t>Le Conseil Egyptien pour l’Exportation des Produits Alimentaires, en coopération avec le Bureau Commercial Egyptien en Côte d’Ivoire, a organisé le 15 janvier des rencontres B to B à l’attention de 17 entreprises agroalimentaires exerçant dans le domaine de l’agroalimentaire, l’agro-industrie et les emballages : produits alimentaires transformés et de grande consommation (snacks, biscuits, confiseries, conserves, sauces, pâtes à tartiner et produits prêts à consommer), ingrédients alimentaires (céréales, concentrés de tomates, fruits, etc., épices, additifs et ingrédients fonctionnels), produits céréaliers (pâtes alimentaires, semoule, farine, nouilles instantanées etc.), produits frais (dattes, haricots, épices etc.), autres produits (huiles végétales et dérivés naturels), emballages destinés aux secteurs alimentaire et cosmétique (emballages plastiques et souples, cartonnage et packaging industriel).</w:t>
      </w:r>
    </w:p>
    <w:p w14:paraId="4950B769" w14:textId="327D1C31" w:rsidR="00C662F2" w:rsidRPr="002A5818" w:rsidRDefault="00C662F2" w:rsidP="00C662F2">
      <w:pPr>
        <w:spacing w:after="0"/>
        <w:rPr>
          <w:b/>
          <w:bCs/>
        </w:rPr>
      </w:pPr>
    </w:p>
    <w:p w14:paraId="540A3F20" w14:textId="01340E2C" w:rsidR="00FB4D42" w:rsidRPr="002A5818" w:rsidRDefault="00FB4D42" w:rsidP="00197C18">
      <w:pPr>
        <w:keepNext/>
        <w:keepLines/>
        <w:spacing w:after="0"/>
        <w:outlineLvl w:val="1"/>
        <w:rPr>
          <w:rFonts w:eastAsiaTheme="majorEastAsia" w:cstheme="majorBidi"/>
          <w:b/>
          <w:bCs/>
          <w:szCs w:val="26"/>
        </w:rPr>
      </w:pPr>
      <w:bookmarkStart w:id="89" w:name="_Toc221044191"/>
      <w:r w:rsidRPr="002A5818">
        <w:rPr>
          <w:b/>
          <w:bCs/>
        </w:rPr>
        <w:t>Vie des sociétés – La Coopérative SCINPA regroupe près de 3 800 producteurs.</w:t>
      </w:r>
      <w:bookmarkEnd w:id="89"/>
    </w:p>
    <w:p w14:paraId="3E951BAC" w14:textId="5345A357" w:rsidR="00FC260F" w:rsidRPr="002A5818" w:rsidRDefault="00FB4D42" w:rsidP="00FC260F">
      <w:pPr>
        <w:spacing w:after="0"/>
      </w:pPr>
      <w:r w:rsidRPr="002A5818">
        <w:t xml:space="preserve">Sous la direction </w:t>
      </w:r>
      <w:r w:rsidR="007A4D95" w:rsidRPr="002A5818">
        <w:t xml:space="preserve">de M. </w:t>
      </w:r>
      <w:r w:rsidRPr="002A5818">
        <w:t xml:space="preserve">Moussa Sawadogo, la SCOOP SCINPA d'Agboville </w:t>
      </w:r>
      <w:r w:rsidR="007A4D95" w:rsidRPr="002A5818">
        <w:t xml:space="preserve">créée en 2003 avec seulement 150 adhérents au départ, fédère aujourd’hui 3 789 producteurs. Elle gère aujourd’hui plus de 8 000 ha de cacaoyers et livre chaque année plusieurs milliers de tonnes de fèves. </w:t>
      </w:r>
      <w:r w:rsidR="00F613C4" w:rsidRPr="002A5818">
        <w:t xml:space="preserve">Pour </w:t>
      </w:r>
      <w:r w:rsidR="00F613C4" w:rsidRPr="002A5818">
        <w:lastRenderedPageBreak/>
        <w:t>répondre aux exigences du marché international, notamment aux nouvelles réglementations européennes, la coopérative a mis en place un système de traçabilité rigoureux. Cette démarche, appelée « durabilité », engage tous les maillons de la chaîne. Une équipe dédiée se rend régulièrement dans les plantations pour collecter des données. Chaque parcelle est géoréférencée et cartographiée. Un critère est fondamental : vérifier que la plantation n’empiète pas sur une forêt classée, zone protégée par la loi. Cette vigilance est essentielle pour garantir un cacao « zéro déforestation ». En partenariat avec le Conseil Café-Cacao, l’organe public de régulation, la traçabilité est renforcée par un système de scellés numérotés sur les sacs et par l’identification des transactions (achats TPE). Ainsi, le planteur est identifié de sa plantation jusqu’à la vente et le cacao est tracé du début jusqu’à la fin. Cette transparence totale est devenue la norme pour accéder aux marchés exigeants. Les agents de la coopérative interrogent les producteurs sur leur situation familiale, nombre d’enfants, scolarisation, difficultés rencontrées, pour aider à régler les problèmes. Parallèlement, la coopérative promeut activement l’agroforesterie. Elle produit et distribue des pépinières d’arbres que les planteurs repiquent dans leurs cacaoyères. Cette pratique améliore la biodiversité, enrichit les sols et offre une meilleure résilience face aux changements climatiques. Elle contribue aussi à la qualité finale de la fève, un paramètre suivi de la plantation jusqu’au magasin.</w:t>
      </w:r>
      <w:r w:rsidR="00FC260F" w:rsidRPr="002A5818">
        <w:t xml:space="preserve"> </w:t>
      </w:r>
      <w:r w:rsidRPr="002A5818">
        <w:t>La force du modèle repose</w:t>
      </w:r>
      <w:r w:rsidR="00F613C4" w:rsidRPr="002A5818">
        <w:t xml:space="preserve"> </w:t>
      </w:r>
      <w:r w:rsidRPr="002A5818">
        <w:t xml:space="preserve">sur un accompagnement de proximité </w:t>
      </w:r>
      <w:r w:rsidR="00FC260F" w:rsidRPr="002A5818">
        <w:t>ainsi qu’</w:t>
      </w:r>
      <w:r w:rsidRPr="002A5818">
        <w:t>un strict respect du calendrier cultural, de la récolte à l’expédition. Le processus est immuable. La récolte, d’abord, se fait quotidiennement. Les cabosses fraîchement cueillies sont ouvertes le jour même pour en extraire les fèves. Vient ensuite l’étape cruciale de la fermentation, qui dure six jours et permet de développer les précurseurs d’arôme. Les fèves sont ensuite étalées au soleil pour un séchage qui</w:t>
      </w:r>
      <w:r w:rsidR="007A4D95" w:rsidRPr="002A5818">
        <w:t xml:space="preserve"> </w:t>
      </w:r>
      <w:r w:rsidRPr="002A5818">
        <w:t>ne doit pas dépasser sept jours. Une fois sec, le cacao est ensaché, puis des camions sont affrétés pour le transporter depuis les zones de production vers le centre de collecte.</w:t>
      </w:r>
      <w:r w:rsidR="00F613C4" w:rsidRPr="002A5818">
        <w:t xml:space="preserve"> </w:t>
      </w:r>
      <w:r w:rsidRPr="002A5818">
        <w:t xml:space="preserve">La campagne en cours montre </w:t>
      </w:r>
      <w:r w:rsidR="00F613C4" w:rsidRPr="002A5818">
        <w:t xml:space="preserve">cependant </w:t>
      </w:r>
      <w:r w:rsidRPr="002A5818">
        <w:t xml:space="preserve">des difficultés concrètes dans la filière cacao. Dans le magasin de stockage de la coopérative, des sacs attendent d’être évacués. La coopérative doit redoubler d’efforts pour gérer ces stocks et maintenir la fluidité des opérations. </w:t>
      </w:r>
      <w:r w:rsidR="00F613C4" w:rsidRPr="002A5818">
        <w:t>L</w:t>
      </w:r>
      <w:r w:rsidRPr="002A5818">
        <w:t xml:space="preserve">es goulots d’étranglement </w:t>
      </w:r>
      <w:r w:rsidR="00F613C4" w:rsidRPr="002A5818">
        <w:t xml:space="preserve">de la commercialisation </w:t>
      </w:r>
      <w:r w:rsidRPr="002A5818">
        <w:t>illustrent les complexités des chaînes d’approvisionnement, même pour une coopérative bien structurée.</w:t>
      </w:r>
      <w:r w:rsidR="00FC260F" w:rsidRPr="002A5818">
        <w:t xml:space="preserve"> </w:t>
      </w:r>
      <w:r w:rsidRPr="002A5818">
        <w:t>L’activité génère des revenus substantiels. La coopérative commercialise au minimum 5 000 tonnes de cacao par an. Avec une récolte 2025 qui s’annonce meilleure que la précédente, ce tonnage pourrait être dépassé</w:t>
      </w:r>
      <w:r w:rsidR="00FC260F" w:rsidRPr="002A5818">
        <w:t xml:space="preserve">. </w:t>
      </w:r>
      <w:r w:rsidRPr="002A5818">
        <w:t xml:space="preserve">Une partie significative des revenus </w:t>
      </w:r>
      <w:r w:rsidR="00FC260F" w:rsidRPr="002A5818">
        <w:t xml:space="preserve">de la coopérative sont </w:t>
      </w:r>
      <w:r w:rsidRPr="002A5818">
        <w:t>réinvesti</w:t>
      </w:r>
      <w:r w:rsidR="00FC260F" w:rsidRPr="002A5818">
        <w:t>s</w:t>
      </w:r>
      <w:r w:rsidRPr="002A5818">
        <w:t xml:space="preserve"> dans les communautés villageoises. </w:t>
      </w:r>
      <w:r w:rsidR="00FC260F" w:rsidRPr="002A5818">
        <w:t>L</w:t>
      </w:r>
      <w:r w:rsidRPr="002A5818">
        <w:t>a coopérative a lancé de nombreux projets sociaux. Pour pallier l’éloignement des écoles, elle a construit des salles de classe dans plusieurs campements et villages. Elle a aussi bâti des cantines scolaires, des logements pour les instituteurs, et a réhabilité ou construit des centres de santé. L’accès à l’eau potable a été une priorité, avec plus de 100 nouvelles pompes hydrauliques installées et plus de 300 autres réhabilitées.</w:t>
      </w:r>
    </w:p>
    <w:p w14:paraId="628720A1" w14:textId="65D6ACA1" w:rsidR="00FB4D42" w:rsidRPr="002A5818" w:rsidRDefault="00FB4D42" w:rsidP="00FB4D42">
      <w:pPr>
        <w:spacing w:after="0"/>
      </w:pPr>
    </w:p>
    <w:p w14:paraId="68F66C73" w14:textId="4E51C847" w:rsidR="00E953F5" w:rsidRPr="002A5818" w:rsidRDefault="00DD7963" w:rsidP="00FC260F">
      <w:pPr>
        <w:keepNext/>
        <w:keepLines/>
        <w:spacing w:after="0"/>
        <w:outlineLvl w:val="1"/>
        <w:rPr>
          <w:rFonts w:eastAsiaTheme="majorEastAsia" w:cstheme="majorBidi"/>
          <w:b/>
          <w:bCs/>
          <w:szCs w:val="26"/>
        </w:rPr>
      </w:pPr>
      <w:bookmarkStart w:id="90" w:name="_Toc221044192"/>
      <w:bookmarkStart w:id="91" w:name="_Hlk220776793"/>
      <w:r w:rsidRPr="002A5818">
        <w:rPr>
          <w:b/>
          <w:bCs/>
        </w:rPr>
        <w:t xml:space="preserve">Vie des sociétés – Ouverture d’un bureau de représentation de l’entreprise belge </w:t>
      </w:r>
      <w:r w:rsidR="00E953F5" w:rsidRPr="002A5818">
        <w:rPr>
          <w:b/>
          <w:bCs/>
        </w:rPr>
        <w:t xml:space="preserve">Silo Construction &amp; Engineering </w:t>
      </w:r>
      <w:r w:rsidRPr="002A5818">
        <w:rPr>
          <w:b/>
          <w:bCs/>
        </w:rPr>
        <w:t>(SCE).</w:t>
      </w:r>
      <w:bookmarkEnd w:id="90"/>
    </w:p>
    <w:bookmarkEnd w:id="91"/>
    <w:p w14:paraId="6F900004" w14:textId="780A1B95" w:rsidR="00E953F5" w:rsidRPr="002A5818" w:rsidRDefault="00E953F5" w:rsidP="00020DCB">
      <w:pPr>
        <w:spacing w:after="0"/>
      </w:pPr>
      <w:r w:rsidRPr="002A5818">
        <w:t xml:space="preserve">L’entreprise SCE, spécialisée dans la conception de bâtiments industriels et de silos destinés au stockage de produits en vrac dans l’agroalimentaire et l’alimentation animale, a annoncé le 8 janvier l’ouverture d’un bureau à Abidjan. Il s’agit de la seule implantation officielle en Afrique actuellement mise en avant par l’entreprise sur son site, et elle est présentée comme une plateforme commerciale locale pour l’ensemble de la région Afrique et Moyen-Orient. L’entreprise belge </w:t>
      </w:r>
      <w:r w:rsidR="00DD7963" w:rsidRPr="002A5818">
        <w:t xml:space="preserve">veut </w:t>
      </w:r>
      <w:r w:rsidRPr="002A5818">
        <w:t xml:space="preserve">mieux se positionner en Afrique pour tirer profit de la demande </w:t>
      </w:r>
      <w:r w:rsidRPr="002A5818">
        <w:lastRenderedPageBreak/>
        <w:t>croissante d’infrastructures agricoles et agro-industrielles face à la problématique des pertes post-récolte qui menacent la sécurité alimentaire.</w:t>
      </w:r>
      <w:r w:rsidR="00DD7963" w:rsidRPr="002A5818">
        <w:t xml:space="preserve"> </w:t>
      </w:r>
      <w:r w:rsidRPr="002A5818">
        <w:t>Sur le continent où les céréales comme le maïs, le riz, le sorgho ou encore le blé jouent un rôle central dans la sécurité alimentaire, les déficits d’infrastructures de stockage et de manutention demeurent un frein majeur à la performance des filières céréalières. Selon le rapport </w:t>
      </w:r>
      <w:r w:rsidRPr="002A5818">
        <w:rPr>
          <w:i/>
          <w:iCs/>
        </w:rPr>
        <w:t>Transport connectivity for food security in Africa : strengthening supply chains</w:t>
      </w:r>
      <w:r w:rsidRPr="002A5818">
        <w:t> , publié en mai 2025 par la Banque mondiale, les capacités de stockage disponibles en Afrique subsaharienne couvrent moins de 30% de la production annuelle. Les capacités limitées de stockage à travers l’Afrique aggravent le problème des pertes et du gaspillage alimentaire post-récolte, y compris une perte estimée à 40% des cultures périssables et à 20% des autres denrées alimentaires soulignait notamment le rapport.</w:t>
      </w:r>
      <w:r w:rsidR="00DD7963" w:rsidRPr="002A5818">
        <w:t xml:space="preserve"> </w:t>
      </w:r>
      <w:r w:rsidRPr="002A5818">
        <w:t>Avant l’implantation de ce nouveau bureau, l’entreprise belge revendiquait déjà la réalisation de nombreux projets sur le continent, notamment la construction d’un moulin à farine d’une capacité de transformation de 300 tonnes de blé par jour pour l’entreprise M’bouna, Moulin des Boulangers au Mali, ou encore la construction de 14 silos à minéraux pour le fabricant marocain d’aliments pour animaux Alf Sahel.</w:t>
      </w:r>
      <w:r w:rsidR="00DD7963" w:rsidRPr="002A5818">
        <w:t xml:space="preserve"> L</w:t>
      </w:r>
      <w:r w:rsidRPr="002A5818">
        <w:t xml:space="preserve">’Afrique est la deuxième région importatrice de céréales au monde après l’Asie, avec des achats annuels de 96,5 </w:t>
      </w:r>
      <w:r w:rsidR="00DD7963" w:rsidRPr="002A5818">
        <w:t xml:space="preserve">M </w:t>
      </w:r>
      <w:r w:rsidRPr="002A5818">
        <w:t>de tonnes réalisés par les pays du continent en moyenne entre les campagnes de commercialisation de 2021/2022 et 2023/2024, d’après la FAO.</w:t>
      </w:r>
    </w:p>
    <w:p w14:paraId="36D120DC" w14:textId="0FE669F9" w:rsidR="00605640" w:rsidRPr="002A5818" w:rsidRDefault="00605640" w:rsidP="00020DCB">
      <w:pPr>
        <w:spacing w:after="0"/>
      </w:pPr>
    </w:p>
    <w:p w14:paraId="4F3126AC" w14:textId="0BE8D47F" w:rsidR="00605640" w:rsidRPr="002A5818" w:rsidRDefault="00605640" w:rsidP="00DE6644">
      <w:pPr>
        <w:keepNext/>
        <w:keepLines/>
        <w:spacing w:after="0"/>
        <w:outlineLvl w:val="1"/>
        <w:rPr>
          <w:rFonts w:eastAsiaTheme="majorEastAsia" w:cstheme="majorBidi"/>
          <w:b/>
          <w:bCs/>
          <w:szCs w:val="26"/>
        </w:rPr>
      </w:pPr>
      <w:bookmarkStart w:id="92" w:name="_Toc221044193"/>
      <w:bookmarkStart w:id="93" w:name="_Hlk220776851"/>
      <w:r w:rsidRPr="002A5818">
        <w:rPr>
          <w:b/>
          <w:bCs/>
        </w:rPr>
        <w:t>E</w:t>
      </w:r>
      <w:bookmarkStart w:id="94" w:name="_Hlk220776833"/>
      <w:r w:rsidRPr="002A5818">
        <w:rPr>
          <w:b/>
          <w:bCs/>
        </w:rPr>
        <w:t>vènement - Salon mondial de l’agroécologie du 7 au 10 avril prochain à San Pedro.</w:t>
      </w:r>
      <w:bookmarkEnd w:id="94"/>
      <w:bookmarkEnd w:id="92"/>
    </w:p>
    <w:bookmarkEnd w:id="93"/>
    <w:p w14:paraId="7884D18C" w14:textId="12451550" w:rsidR="00605640" w:rsidRDefault="00605640" w:rsidP="00605640">
      <w:pPr>
        <w:spacing w:after="0"/>
      </w:pPr>
      <w:r w:rsidRPr="002A5818">
        <w:t xml:space="preserve">« Agroécologie et souveraineté alimentaire : Innover pour nourrir durablement l’Afrique et le Monde » sera le thème du salon mondial de l’agroécologie </w:t>
      </w:r>
      <w:bookmarkStart w:id="95" w:name="_Hlk220241695"/>
      <w:r w:rsidRPr="002A5818">
        <w:t>du 7 au 10 avril prochain à San Pedro</w:t>
      </w:r>
      <w:bookmarkEnd w:id="95"/>
      <w:r w:rsidR="00DE6644" w:rsidRPr="002A5818">
        <w:t xml:space="preserve"> organisé par l’Union interrégional des sociétés coopératives (UIREC) et ses partenaires</w:t>
      </w:r>
      <w:r w:rsidRPr="002A5818">
        <w:t>. Ce salon se veut un espace stratégique de dialogue, de coopération et de construction de partenariats durables entre acteurs du monde agricole, scientifique, politique et communautaire, ainsi qu’une vitrine internationale des innovations agroécologiques, valorisant les avancées scientifiques et technologiques, les pratiques paysannes, les savoirs locaux et les initiatives communautaires. Pour le Dr Saida HAMMAMI, coordinatrice scientifique du salon le salon vise à promouvoir des solutions adaptées aux réalités climatiques et socio-économiques locales, tout en offrant un espace stratégique de dialogue politique et de construction de partenariats durables.</w:t>
      </w:r>
      <w:r w:rsidR="00DE6644" w:rsidRPr="002A5818">
        <w:t xml:space="preserve"> </w:t>
      </w:r>
      <w:r w:rsidRPr="002A5818">
        <w:t>Chercheurs, agriculteurs, entrepreneurs, institutions publiques, organisations de la société civile et partenaires techniques et financiers y présenteront des solutions adaptées aux réalités climatiques et socio-économiques locales en Afrique</w:t>
      </w:r>
      <w:r w:rsidR="00DE6644" w:rsidRPr="002A5818">
        <w:t>,</w:t>
      </w:r>
      <w:r w:rsidRPr="002A5818">
        <w:t xml:space="preserve"> etc.</w:t>
      </w:r>
      <w:r w:rsidR="00DE6644" w:rsidRPr="002A5818">
        <w:t xml:space="preserve"> </w:t>
      </w:r>
      <w:r w:rsidRPr="002A5818">
        <w:t>Les débats et panels au cours de ce salon s’articuleront autour de thématiques clés</w:t>
      </w:r>
      <w:r w:rsidR="00DE6644" w:rsidRPr="002A5818">
        <w:t> :</w:t>
      </w:r>
      <w:r w:rsidRPr="002A5818">
        <w:t xml:space="preserve"> </w:t>
      </w:r>
      <w:r w:rsidR="00DE6644" w:rsidRPr="002A5818">
        <w:t>a</w:t>
      </w:r>
      <w:r w:rsidRPr="002A5818">
        <w:t>griculture et changement climatique</w:t>
      </w:r>
      <w:r w:rsidR="00DE6644" w:rsidRPr="002A5818">
        <w:t>,</w:t>
      </w:r>
      <w:r w:rsidRPr="002A5818">
        <w:t xml:space="preserve"> </w:t>
      </w:r>
      <w:r w:rsidR="00DE6644" w:rsidRPr="002A5818">
        <w:t>a</w:t>
      </w:r>
      <w:r w:rsidRPr="002A5818">
        <w:t>groécologie (vivrier, maraîchage, élevage)</w:t>
      </w:r>
      <w:r w:rsidR="00DE6644" w:rsidRPr="002A5818">
        <w:t>, m</w:t>
      </w:r>
      <w:r w:rsidRPr="002A5818">
        <w:t>ise en marché des produits agroécologiques</w:t>
      </w:r>
      <w:r w:rsidR="00DE6644" w:rsidRPr="002A5818">
        <w:t>,</w:t>
      </w:r>
      <w:r w:rsidRPr="002A5818">
        <w:t xml:space="preserve"> </w:t>
      </w:r>
      <w:r w:rsidR="00DE6644" w:rsidRPr="002A5818">
        <w:t>a</w:t>
      </w:r>
      <w:r w:rsidRPr="002A5818">
        <w:t>gro</w:t>
      </w:r>
      <w:r w:rsidR="00DE6644" w:rsidRPr="002A5818">
        <w:t>é</w:t>
      </w:r>
      <w:r w:rsidRPr="002A5818">
        <w:t>cologie et biodiversité</w:t>
      </w:r>
      <w:r w:rsidR="00DE6644" w:rsidRPr="002A5818">
        <w:t>, f</w:t>
      </w:r>
      <w:r w:rsidRPr="002A5818">
        <w:t>inancement de l’agroécologie</w:t>
      </w:r>
      <w:r w:rsidR="00DE6644" w:rsidRPr="002A5818">
        <w:t>, p</w:t>
      </w:r>
      <w:r w:rsidRPr="002A5818">
        <w:t>résentation de la plateforme (Forum international de l’agroécologie).</w:t>
      </w:r>
    </w:p>
    <w:p w14:paraId="7F4F48D8" w14:textId="1FAA7BCF" w:rsidR="00C30205" w:rsidRDefault="00C30205" w:rsidP="00605640">
      <w:pPr>
        <w:spacing w:after="0"/>
      </w:pPr>
    </w:p>
    <w:p w14:paraId="6A5C790E" w14:textId="35DC1C34" w:rsidR="00C30205" w:rsidRPr="008551A5" w:rsidRDefault="00C30205" w:rsidP="008551A5">
      <w:pPr>
        <w:keepNext/>
        <w:keepLines/>
        <w:spacing w:after="0"/>
        <w:outlineLvl w:val="1"/>
        <w:rPr>
          <w:rFonts w:eastAsiaTheme="majorEastAsia" w:cstheme="majorBidi"/>
          <w:b/>
          <w:bCs/>
          <w:szCs w:val="26"/>
        </w:rPr>
      </w:pPr>
      <w:bookmarkStart w:id="96" w:name="_Toc221044194"/>
      <w:r w:rsidRPr="00136C9E">
        <w:rPr>
          <w:b/>
          <w:bCs/>
          <w:color w:val="FF0000"/>
        </w:rPr>
        <w:t xml:space="preserve">Evènement – </w:t>
      </w:r>
      <w:bookmarkStart w:id="97" w:name="_Hlk221043625"/>
      <w:r w:rsidRPr="00136C9E">
        <w:rPr>
          <w:b/>
          <w:bCs/>
          <w:color w:val="FF0000"/>
        </w:rPr>
        <w:t xml:space="preserve">Conférence </w:t>
      </w:r>
      <w:r w:rsidR="00136C9E" w:rsidRPr="00136C9E">
        <w:rPr>
          <w:b/>
          <w:bCs/>
          <w:color w:val="FF0000"/>
        </w:rPr>
        <w:t xml:space="preserve">le 24 février </w:t>
      </w:r>
      <w:r w:rsidRPr="00136C9E">
        <w:rPr>
          <w:b/>
          <w:bCs/>
          <w:color w:val="FF0000"/>
        </w:rPr>
        <w:t>sur les opportunités de développement pour les filières agricoles et agroalimentaires en Côte d’Ivoire</w:t>
      </w:r>
      <w:bookmarkEnd w:id="97"/>
      <w:r w:rsidR="004D5211">
        <w:rPr>
          <w:b/>
          <w:bCs/>
          <w:color w:val="FF0000"/>
        </w:rPr>
        <w:t xml:space="preserve"> </w:t>
      </w:r>
      <w:r w:rsidR="004D5211" w:rsidRPr="004D5211">
        <w:rPr>
          <w:b/>
          <w:bCs/>
          <w:color w:val="FF0000"/>
        </w:rPr>
        <w:t>au Salon international de l’agriculture</w:t>
      </w:r>
      <w:r w:rsidR="004D5211">
        <w:rPr>
          <w:b/>
          <w:bCs/>
          <w:color w:val="FF0000"/>
        </w:rPr>
        <w:t xml:space="preserve"> (SIA).</w:t>
      </w:r>
      <w:bookmarkEnd w:id="96"/>
    </w:p>
    <w:p w14:paraId="58A36AF8" w14:textId="25FF4D07" w:rsidR="00136C9E" w:rsidRPr="002A5818" w:rsidRDefault="00136C9E" w:rsidP="00136C9E">
      <w:pPr>
        <w:spacing w:after="0"/>
      </w:pPr>
      <w:r>
        <w:t xml:space="preserve">A l’occasion </w:t>
      </w:r>
      <w:bookmarkStart w:id="98" w:name="_Hlk221043770"/>
      <w:r>
        <w:t>d</w:t>
      </w:r>
      <w:r w:rsidRPr="00136C9E">
        <w:t xml:space="preserve">u </w:t>
      </w:r>
      <w:bookmarkEnd w:id="98"/>
      <w:r w:rsidRPr="00136C9E">
        <w:t>SIA</w:t>
      </w:r>
      <w:r>
        <w:t xml:space="preserve"> de Paris,</w:t>
      </w:r>
      <w:r w:rsidR="004D5211">
        <w:t xml:space="preserve"> la Côte d’Ivoire sera pays à l’honneur et</w:t>
      </w:r>
      <w:r>
        <w:t xml:space="preserve"> FranceAgriMer organise le 24 février de 14h00 à 16h00 une c</w:t>
      </w:r>
      <w:r w:rsidRPr="00136C9E">
        <w:t>onférence sur les opportunités de développement pour les filières agricoles et agroalimentaires en Côte d’Ivoire</w:t>
      </w:r>
      <w:r>
        <w:t>. L’évènement permettra notamment de p</w:t>
      </w:r>
      <w:r w:rsidRPr="00136C9E">
        <w:t>résenter les coopérations franco-ivoiriennes dans un objectif de souveraineté alimentaire pour le pays</w:t>
      </w:r>
      <w:r>
        <w:t xml:space="preserve"> ainsi que les opportunités commerciales pour les produits agri-agro français (amont-aval, équipements et solutions)</w:t>
      </w:r>
      <w:bookmarkStart w:id="99" w:name="_Hlk221043675"/>
      <w:r>
        <w:t>.</w:t>
      </w:r>
    </w:p>
    <w:p w14:paraId="6020E287" w14:textId="527769F5" w:rsidR="003121BA" w:rsidRPr="002A5818" w:rsidRDefault="003121BA" w:rsidP="00136C9E">
      <w:pPr>
        <w:spacing w:after="0"/>
      </w:pPr>
    </w:p>
    <w:p w14:paraId="16F3FB52" w14:textId="46E32730" w:rsidR="009D0F96" w:rsidRPr="002A5818" w:rsidRDefault="009D0F96" w:rsidP="001C1865">
      <w:pPr>
        <w:pStyle w:val="Titre1"/>
        <w:spacing w:before="0"/>
      </w:pPr>
      <w:bookmarkStart w:id="100" w:name="_Toc221044195"/>
      <w:bookmarkEnd w:id="99"/>
      <w:r w:rsidRPr="002A5818">
        <w:t>Sénégal</w:t>
      </w:r>
      <w:bookmarkEnd w:id="52"/>
      <w:bookmarkEnd w:id="53"/>
      <w:bookmarkEnd w:id="54"/>
      <w:bookmarkEnd w:id="100"/>
    </w:p>
    <w:p w14:paraId="2A7E766A" w14:textId="77777777" w:rsidR="006C458E" w:rsidRPr="002A5818" w:rsidRDefault="006C458E" w:rsidP="006C458E">
      <w:pPr>
        <w:keepNext/>
        <w:keepLines/>
        <w:spacing w:after="0"/>
        <w:outlineLvl w:val="1"/>
        <w:rPr>
          <w:rFonts w:eastAsiaTheme="majorEastAsia" w:cstheme="majorBidi"/>
          <w:b/>
          <w:szCs w:val="26"/>
        </w:rPr>
      </w:pPr>
      <w:bookmarkStart w:id="101" w:name="_Toc221044196"/>
      <w:bookmarkStart w:id="102" w:name="_Hlk219746209"/>
      <w:bookmarkStart w:id="103" w:name="_Hlk219390773"/>
      <w:bookmarkStart w:id="104" w:name="_Hlk218787088"/>
      <w:bookmarkStart w:id="105" w:name="_Hlk216726354"/>
      <w:bookmarkStart w:id="106" w:name="_Hlk219393337"/>
      <w:r w:rsidRPr="002A5818">
        <w:rPr>
          <w:rFonts w:eastAsiaTheme="majorEastAsia" w:cstheme="majorBidi"/>
          <w:b/>
          <w:szCs w:val="26"/>
        </w:rPr>
        <w:t>Politique agricole – Projet de loi d’orientation agrosylvopastorale et halieutique.</w:t>
      </w:r>
      <w:bookmarkEnd w:id="101"/>
    </w:p>
    <w:bookmarkEnd w:id="102"/>
    <w:p w14:paraId="509191F4" w14:textId="4EBCBAFB" w:rsidR="006C458E" w:rsidRPr="002A5818" w:rsidRDefault="006C458E" w:rsidP="006C458E">
      <w:pPr>
        <w:spacing w:after="0"/>
      </w:pPr>
      <w:r w:rsidRPr="002A5818">
        <w:t>A l’occasion du 1</w:t>
      </w:r>
      <w:r w:rsidRPr="002A5818">
        <w:rPr>
          <w:vertAlign w:val="superscript"/>
        </w:rPr>
        <w:t>er</w:t>
      </w:r>
      <w:r w:rsidRPr="002A5818">
        <w:t xml:space="preserve"> Conseil des ministres de l’année, le 7 janvier, le Chef de l’Etat, M. Bassirou Diomaye Faye, a demandé au chef du gouvernement de prendre toutes les mesures idoines en vue d’assurer les meilleures conditions de financement et de commercialisation de la production agricole. Il a rappelé, en outre, l’impératif d’une refondation consensuelle de la politique agricole, basée sur la maitrise de l’eau, l’extension des aménagements. A cela s’ajoutent l’amélioration des équipements et des rendements, le développement d’unités de stockage et de conservation des produits, ainsi que la révision concertée des cadres de financement et de subvention. Selon le chef de l’Etat, cette refondation intègre la restructuration des marchés agricoles, la redéfinition du modèle économique de l’agriculture et le développement de l’agro-industrie nationale. Enfin, il a demandé au gouvernement de veiller à l’adoption, en Conseil des Ministres, avant la fin du mois de janvier 2026, du </w:t>
      </w:r>
      <w:bookmarkStart w:id="107" w:name="_Hlk219716608"/>
      <w:r w:rsidRPr="002A5818">
        <w:t xml:space="preserve">projet de loi d’orientation agrosylvopastorale et halieutique </w:t>
      </w:r>
      <w:bookmarkEnd w:id="107"/>
      <w:r w:rsidRPr="002A5818">
        <w:t>et de ses textes d’application.</w:t>
      </w:r>
    </w:p>
    <w:p w14:paraId="395DFD1C" w14:textId="77777777" w:rsidR="003F0A07" w:rsidRPr="002A5818" w:rsidRDefault="003F0A07" w:rsidP="006C458E">
      <w:pPr>
        <w:spacing w:after="0"/>
      </w:pPr>
    </w:p>
    <w:p w14:paraId="68BFD21D" w14:textId="698C844F" w:rsidR="00DE0291" w:rsidRPr="002A5818" w:rsidRDefault="003F0A07" w:rsidP="003F0A07">
      <w:pPr>
        <w:keepNext/>
        <w:keepLines/>
        <w:spacing w:after="0"/>
        <w:outlineLvl w:val="1"/>
        <w:rPr>
          <w:rFonts w:eastAsiaTheme="majorEastAsia" w:cstheme="majorBidi"/>
          <w:b/>
          <w:szCs w:val="26"/>
        </w:rPr>
      </w:pPr>
      <w:bookmarkStart w:id="108" w:name="_Toc221044197"/>
      <w:r w:rsidRPr="002A5818">
        <w:rPr>
          <w:rFonts w:eastAsiaTheme="majorEastAsia" w:cstheme="majorBidi"/>
          <w:b/>
          <w:szCs w:val="26"/>
        </w:rPr>
        <w:t xml:space="preserve">Politique agricole – </w:t>
      </w:r>
      <w:r w:rsidR="00DE0291" w:rsidRPr="002A5818">
        <w:rPr>
          <w:b/>
        </w:rPr>
        <w:t>130 Md FCFA de subventions.</w:t>
      </w:r>
      <w:bookmarkEnd w:id="108"/>
    </w:p>
    <w:p w14:paraId="42284ED9" w14:textId="11F28FA0" w:rsidR="00DE0291" w:rsidRPr="002A5818" w:rsidRDefault="00DE0291" w:rsidP="00DE0291">
      <w:pPr>
        <w:spacing w:after="0"/>
      </w:pPr>
      <w:r w:rsidRPr="002A5818">
        <w:t xml:space="preserve">La porte-parole du gouvernement a détaillé le 29 janvier le plan de financement de l’agriculture par le budget 2026. L’enveloppe de 130 Md FCFA sera intégralement déployée sous forme de subventions. Près de 44,9 Md FCFA sont alloués aux semences, couvrant les filières arachide, céréales, pomme de terre et autres cultures vivrières. 64,96 Md </w:t>
      </w:r>
      <w:r w:rsidR="003F0A07" w:rsidRPr="002A5818">
        <w:t xml:space="preserve">FCFA </w:t>
      </w:r>
      <w:r w:rsidRPr="002A5818">
        <w:t>subventionneront les achats d’engrais minéraux</w:t>
      </w:r>
      <w:r w:rsidR="003F0A07" w:rsidRPr="002A5818">
        <w:t xml:space="preserve"> et 2,52 Md FCFA les produits phytosanitaires</w:t>
      </w:r>
      <w:r w:rsidRPr="002A5818">
        <w:t>. La mécanisation, les équipements et les services agricoles bénéfici</w:t>
      </w:r>
      <w:r w:rsidR="003F0A07" w:rsidRPr="002A5818">
        <w:t>ero</w:t>
      </w:r>
      <w:r w:rsidRPr="002A5818">
        <w:t xml:space="preserve">nt de 13 Md FCFA. Des cultures spécifiques comme le coton et la banane se voient attribuer 5,5 </w:t>
      </w:r>
      <w:r w:rsidR="003F0A07" w:rsidRPr="002A5818">
        <w:t xml:space="preserve">Md </w:t>
      </w:r>
      <w:r w:rsidRPr="002A5818">
        <w:t>FC</w:t>
      </w:r>
      <w:r w:rsidR="003F0A07" w:rsidRPr="002A5818">
        <w:t>FA</w:t>
      </w:r>
      <w:r w:rsidRPr="002A5818">
        <w:t xml:space="preserve">, et des postes tels que l’appui-conseil, les volontaires agricoles et les assurances agricoles complètent ce budget avec respectivement 2,1 </w:t>
      </w:r>
      <w:r w:rsidR="003F0A07" w:rsidRPr="002A5818">
        <w:t xml:space="preserve">Md FCFA </w:t>
      </w:r>
      <w:r w:rsidRPr="002A5818">
        <w:t>et 1,3</w:t>
      </w:r>
      <w:r w:rsidR="003F0A07" w:rsidRPr="002A5818">
        <w:t xml:space="preserve"> Md FCFA</w:t>
      </w:r>
      <w:r w:rsidRPr="002A5818">
        <w:t>.</w:t>
      </w:r>
      <w:r w:rsidR="003F0A07" w:rsidRPr="002A5818">
        <w:t xml:space="preserve"> </w:t>
      </w:r>
      <w:r w:rsidRPr="002A5818">
        <w:t>Cette répartition</w:t>
      </w:r>
      <w:r w:rsidR="003F0A07" w:rsidRPr="002A5818">
        <w:t xml:space="preserve"> </w:t>
      </w:r>
      <w:r w:rsidRPr="002A5818">
        <w:t>vise à couvrir l’ensemble des chaînes de valeur, des semences jusqu’à la commercialisation</w:t>
      </w:r>
      <w:r w:rsidR="003F0A07" w:rsidRPr="002A5818">
        <w:t xml:space="preserve"> et </w:t>
      </w:r>
      <w:r w:rsidRPr="002A5818">
        <w:t>s’inscrit dans une mobilisation financière plus large, qui atteindrait plus de 400</w:t>
      </w:r>
      <w:r w:rsidR="003F0A07" w:rsidRPr="002A5818">
        <w:t xml:space="preserve"> Md FCFA</w:t>
      </w:r>
      <w:r w:rsidRPr="002A5818">
        <w:t>, en incluant d’autres instruments financiers.</w:t>
      </w:r>
    </w:p>
    <w:p w14:paraId="217C9FC7" w14:textId="77777777" w:rsidR="004D7751" w:rsidRPr="002A5818" w:rsidRDefault="004D7751" w:rsidP="00DE0291">
      <w:pPr>
        <w:spacing w:after="0"/>
      </w:pPr>
    </w:p>
    <w:p w14:paraId="76D5AC29" w14:textId="5B2E8B6C" w:rsidR="003F0A07" w:rsidRPr="002A5818" w:rsidRDefault="003F0A07" w:rsidP="004D7751">
      <w:pPr>
        <w:keepNext/>
        <w:keepLines/>
        <w:spacing w:after="0"/>
        <w:outlineLvl w:val="1"/>
        <w:rPr>
          <w:rFonts w:eastAsiaTheme="majorEastAsia" w:cstheme="majorBidi"/>
          <w:b/>
          <w:bCs/>
          <w:szCs w:val="26"/>
        </w:rPr>
      </w:pPr>
      <w:bookmarkStart w:id="109" w:name="_Toc221044198"/>
      <w:r w:rsidRPr="002A5818">
        <w:rPr>
          <w:b/>
          <w:bCs/>
        </w:rPr>
        <w:t>Politique de la pêche – Le Président plaide pour une révision du code de la pêche.</w:t>
      </w:r>
      <w:bookmarkEnd w:id="109"/>
    </w:p>
    <w:p w14:paraId="390A3578" w14:textId="6C3A413E" w:rsidR="003F0A07" w:rsidRPr="002A5818" w:rsidRDefault="003F0A07" w:rsidP="003F0A07">
      <w:pPr>
        <w:spacing w:after="0"/>
      </w:pPr>
      <w:r w:rsidRPr="002A5818">
        <w:t>Le Président de la République a réaffirmé, en conseil des ministres</w:t>
      </w:r>
      <w:r w:rsidR="004D7751" w:rsidRPr="002A5818">
        <w:t xml:space="preserve"> le 28 janvier</w:t>
      </w:r>
      <w:r w:rsidRPr="002A5818">
        <w:t>, la priorité accordée par le Gouvernement à la restructuration et à la relance du secteur des pêches et de l’économie maritime.</w:t>
      </w:r>
      <w:r w:rsidR="004D7751" w:rsidRPr="002A5818">
        <w:t xml:space="preserve"> </w:t>
      </w:r>
      <w:r w:rsidRPr="002A5818">
        <w:t>Il a salué, à cet effet, les efforts engagés par le ministre en charge des Pêches pour réguler l’exploitation des ressources halieutiques, redynamiser la pêche artisanale, repositionner l’aquaculture et renforcer les investissements ainsi que les partenariats.</w:t>
      </w:r>
      <w:r w:rsidR="004D7751" w:rsidRPr="002A5818">
        <w:t xml:space="preserve"> </w:t>
      </w:r>
      <w:r w:rsidRPr="002A5818">
        <w:t>Le Chef de l’État a insisté sur la nécessité de poursuivre les concertations avec l’ensemble des acteurs publics, privés et des parties prenantes en vue de la validation prochaine de plusieurs documents stratégiques majeurs. Il s’agit notamment de la Politique maritime du Sénégal, de la Stratégie portuaire nationale et de la Carte des infrastructures de débarquement, de conservation, de transformation et de commercialisation des produits halieutiques.</w:t>
      </w:r>
      <w:r w:rsidR="004D7751" w:rsidRPr="002A5818">
        <w:t xml:space="preserve"> </w:t>
      </w:r>
      <w:r w:rsidRPr="002A5818">
        <w:t>Il a, par la suite, souligné l’urgence de réviser le Code de la pêche afin de garantir une gestion durable et une gouvernance souveraine des ressources halieutiques.</w:t>
      </w:r>
    </w:p>
    <w:p w14:paraId="11E5CE8E" w14:textId="77777777" w:rsidR="004D7751" w:rsidRPr="002A5818" w:rsidRDefault="004D7751" w:rsidP="003F0A07">
      <w:pPr>
        <w:spacing w:after="0"/>
      </w:pPr>
    </w:p>
    <w:p w14:paraId="6AD1F42F" w14:textId="0E6B76CA" w:rsidR="00BD405A" w:rsidRPr="002A5818" w:rsidRDefault="00BD405A" w:rsidP="00BD405A">
      <w:pPr>
        <w:keepNext/>
        <w:keepLines/>
        <w:spacing w:after="0"/>
        <w:outlineLvl w:val="1"/>
        <w:rPr>
          <w:rFonts w:eastAsiaTheme="majorEastAsia" w:cstheme="majorBidi"/>
          <w:b/>
          <w:szCs w:val="26"/>
        </w:rPr>
      </w:pPr>
      <w:bookmarkStart w:id="110" w:name="_Toc221044199"/>
      <w:bookmarkStart w:id="111" w:name="_Hlk220088923"/>
      <w:r w:rsidRPr="002A5818">
        <w:rPr>
          <w:rFonts w:eastAsiaTheme="majorEastAsia" w:cstheme="majorBidi"/>
          <w:b/>
          <w:szCs w:val="26"/>
        </w:rPr>
        <w:lastRenderedPageBreak/>
        <w:t>Santé animale - Extinction de l’ensemble des foyers de Fièvre de la Vallée du Rift (FVR).</w:t>
      </w:r>
      <w:bookmarkEnd w:id="110"/>
    </w:p>
    <w:bookmarkEnd w:id="103"/>
    <w:bookmarkEnd w:id="111"/>
    <w:p w14:paraId="13919A13" w14:textId="309EC784" w:rsidR="00BD405A" w:rsidRPr="002A5818" w:rsidRDefault="00BD405A" w:rsidP="00BD405A">
      <w:pPr>
        <w:spacing w:after="0"/>
      </w:pPr>
      <w:r w:rsidRPr="002A5818">
        <w:t>La directrice régionale de la santé de Saint-Louis, le Dr Seynabou Ndiaye, a annoncé, le 10</w:t>
      </w:r>
      <w:r w:rsidR="005D5A3B">
        <w:t> </w:t>
      </w:r>
      <w:r w:rsidRPr="002A5818">
        <w:t xml:space="preserve">janvier, </w:t>
      </w:r>
      <w:bookmarkStart w:id="112" w:name="_Hlk219390062"/>
      <w:r w:rsidRPr="002A5818">
        <w:t xml:space="preserve">l’extinction de l’ensemble des foyers de FVR </w:t>
      </w:r>
      <w:bookmarkEnd w:id="112"/>
      <w:r w:rsidRPr="002A5818">
        <w:t>recensés. Déclarée le 21 septembre dernier à Saint-Louis, la FVR s’était progressivement étendue à plusieurs localités de la région du fleuve Sénégal. Au total, 5 196 échantillons ont été analysés depuis le début de la riposte sanitaire, permettant de confirmer 360 cas de FVR. Parmi les patients touchés, 339 sont guéris et 21 décès ont été enregistrés. A ce jour, aucun malade n’est en cours de suivi, ni en hospitalisation. Sur le plan vétérinaire, 931 avortements ont été signalés au niveau du cheptel et 266 prélèvements réalisés. Face à la situation, les autorités sanitaires et vétérinaires ont mené une riposte multisectorielle comprenant la vaccination de 13 461 animaux, des opérations de lutte antivectorielle ainsi que la distribution de 68 200 moustiquaires aux populations exposées. Bien que la situation soit désormais sous contrôle, les autorités sanitaires ont appelé à maintenir une vigilance accrue afin de prévenir toute résurgence de cette zoonose à potentiel épidémique.</w:t>
      </w:r>
    </w:p>
    <w:bookmarkEnd w:id="104"/>
    <w:bookmarkEnd w:id="105"/>
    <w:p w14:paraId="0D1E9CDD" w14:textId="34DC0A55" w:rsidR="00BB48D3" w:rsidRPr="002A5818" w:rsidRDefault="00BB48D3" w:rsidP="00BB48D3">
      <w:pPr>
        <w:spacing w:after="0"/>
      </w:pPr>
    </w:p>
    <w:p w14:paraId="0E48262F" w14:textId="46924574" w:rsidR="00BB48D3" w:rsidRPr="002A5818" w:rsidRDefault="002F52BE" w:rsidP="002F52BE">
      <w:pPr>
        <w:keepNext/>
        <w:keepLines/>
        <w:spacing w:after="0"/>
        <w:outlineLvl w:val="1"/>
        <w:rPr>
          <w:rFonts w:eastAsiaTheme="majorEastAsia" w:cstheme="majorBidi"/>
          <w:b/>
          <w:szCs w:val="26"/>
        </w:rPr>
      </w:pPr>
      <w:bookmarkStart w:id="113" w:name="_Toc221044200"/>
      <w:r w:rsidRPr="002A5818">
        <w:rPr>
          <w:rFonts w:eastAsiaTheme="majorEastAsia" w:cstheme="majorBidi"/>
          <w:b/>
          <w:szCs w:val="26"/>
        </w:rPr>
        <w:t xml:space="preserve">Santé animale - </w:t>
      </w:r>
      <w:r w:rsidR="00BB48D3" w:rsidRPr="002A5818">
        <w:rPr>
          <w:b/>
        </w:rPr>
        <w:t>Lancement de la campagne nationale de vaccination du cheptel</w:t>
      </w:r>
      <w:r w:rsidR="00E029E3" w:rsidRPr="002A5818">
        <w:rPr>
          <w:b/>
        </w:rPr>
        <w:t>.</w:t>
      </w:r>
      <w:bookmarkEnd w:id="113"/>
    </w:p>
    <w:p w14:paraId="1A763520" w14:textId="79319BBB" w:rsidR="00BB48D3" w:rsidRPr="002A5818" w:rsidRDefault="00BB48D3" w:rsidP="00BB48D3">
      <w:pPr>
        <w:spacing w:after="0"/>
      </w:pPr>
      <w:bookmarkStart w:id="114" w:name="_Hlk220088705"/>
      <w:r w:rsidRPr="002A5818">
        <w:t xml:space="preserve">Le ministre de l’agriculture, de la souveraineté alimentaire et de l’élevage, M. Mabouba Diagne, a procédé, le 22 janvier </w:t>
      </w:r>
      <w:bookmarkEnd w:id="114"/>
      <w:r w:rsidRPr="002A5818">
        <w:t>au lancement officiel de la Campagne nationale de vaccination du cheptel 2025-2026 (CAMVAC). Le ministre a rappelé que la protection sanitaire du cheptel constitue une priorité stratégique, justifiant l’organisation annuelle des campagnes de vaccination contre les maladies animales prioritaires.</w:t>
      </w:r>
      <w:r w:rsidR="00E029E3" w:rsidRPr="002A5818">
        <w:t xml:space="preserve"> </w:t>
      </w:r>
      <w:r w:rsidRPr="002A5818">
        <w:t xml:space="preserve">Revenant sur les résultats de la CAMVAC 2025, </w:t>
      </w:r>
      <w:r w:rsidR="00E029E3" w:rsidRPr="002A5818">
        <w:t xml:space="preserve">il </w:t>
      </w:r>
      <w:r w:rsidRPr="002A5818">
        <w:t xml:space="preserve">a indiqué que plus de 5,8 </w:t>
      </w:r>
      <w:r w:rsidR="00E029E3" w:rsidRPr="002A5818">
        <w:t xml:space="preserve">M </w:t>
      </w:r>
      <w:r w:rsidRPr="002A5818">
        <w:t>d’ovins et caprins ont été vaccinés contre la peste des petits ruminants, plus de 2,3</w:t>
      </w:r>
      <w:r w:rsidR="00E029E3" w:rsidRPr="002A5818">
        <w:t xml:space="preserve"> M</w:t>
      </w:r>
      <w:r w:rsidRPr="002A5818">
        <w:t xml:space="preserve"> de bovins contre la dermatose nodulaire contagieuse bovine et la péripneumonie contagieuse bovine, ainsi que 247 007 chevaux contre la peste équine.</w:t>
      </w:r>
      <w:r w:rsidR="00E029E3" w:rsidRPr="002A5818">
        <w:t xml:space="preserve"> </w:t>
      </w:r>
      <w:r w:rsidRPr="002A5818">
        <w:t>Il a salué des résultats globalement satisfaisants, malgré les difficultés</w:t>
      </w:r>
      <w:r w:rsidR="00E029E3" w:rsidRPr="002A5818">
        <w:t xml:space="preserve"> de vaccination des volailles</w:t>
      </w:r>
      <w:r w:rsidRPr="002A5818">
        <w:t xml:space="preserve"> liées à la disponibilité du vaccin contre la maladie de Newcastle.</w:t>
      </w:r>
      <w:r w:rsidR="00E029E3" w:rsidRPr="002A5818">
        <w:t xml:space="preserve"> </w:t>
      </w:r>
      <w:r w:rsidRPr="002A5818">
        <w:t>Pour la campagne 2025-2026, l’</w:t>
      </w:r>
      <w:r w:rsidR="00E029E3" w:rsidRPr="002A5818">
        <w:t>a</w:t>
      </w:r>
      <w:r w:rsidRPr="002A5818">
        <w:t xml:space="preserve">ction </w:t>
      </w:r>
      <w:r w:rsidR="00E029E3" w:rsidRPr="002A5818">
        <w:t>s</w:t>
      </w:r>
      <w:r w:rsidRPr="002A5818">
        <w:t xml:space="preserve">anté animale et </w:t>
      </w:r>
      <w:r w:rsidR="00E029E3" w:rsidRPr="002A5818">
        <w:t>s</w:t>
      </w:r>
      <w:r w:rsidRPr="002A5818">
        <w:t>anté publique vétérinaire bénéficient d’un budget d’</w:t>
      </w:r>
      <w:r w:rsidR="00E029E3" w:rsidRPr="002A5818">
        <w:t>1</w:t>
      </w:r>
      <w:r w:rsidRPr="002A5818">
        <w:t xml:space="preserve"> </w:t>
      </w:r>
      <w:r w:rsidR="00E029E3" w:rsidRPr="002A5818">
        <w:t>Md F</w:t>
      </w:r>
      <w:r w:rsidRPr="002A5818">
        <w:t xml:space="preserve">CFA, avec pour objectifs la vaccination de </w:t>
      </w:r>
      <w:r w:rsidR="00E029E3" w:rsidRPr="002A5818">
        <w:t xml:space="preserve">7 M </w:t>
      </w:r>
      <w:r w:rsidRPr="002A5818">
        <w:t xml:space="preserve">d’ovins et caprins, </w:t>
      </w:r>
      <w:r w:rsidR="00E029E3" w:rsidRPr="002A5818">
        <w:t xml:space="preserve">3 M </w:t>
      </w:r>
      <w:r w:rsidRPr="002A5818">
        <w:t xml:space="preserve">de bovins, 300 000 équins et près de 3,7 </w:t>
      </w:r>
      <w:r w:rsidR="00E029E3" w:rsidRPr="002A5818">
        <w:t>M</w:t>
      </w:r>
      <w:r w:rsidRPr="002A5818">
        <w:t xml:space="preserve"> de volailles rurales.</w:t>
      </w:r>
    </w:p>
    <w:p w14:paraId="1C70F5B0" w14:textId="77777777" w:rsidR="00CC50E3" w:rsidRPr="002A5818" w:rsidRDefault="00CC50E3" w:rsidP="00CC50E3">
      <w:pPr>
        <w:keepNext/>
        <w:keepLines/>
        <w:spacing w:after="0"/>
        <w:outlineLvl w:val="1"/>
        <w:rPr>
          <w:rFonts w:eastAsiaTheme="majorEastAsia" w:cstheme="majorBidi"/>
          <w:b/>
          <w:szCs w:val="26"/>
        </w:rPr>
      </w:pPr>
    </w:p>
    <w:p w14:paraId="438DFE06" w14:textId="6089D392" w:rsidR="00897B7E" w:rsidRPr="002A5818" w:rsidRDefault="00897B7E" w:rsidP="00CC50E3">
      <w:pPr>
        <w:keepNext/>
        <w:keepLines/>
        <w:spacing w:after="0"/>
        <w:outlineLvl w:val="1"/>
        <w:rPr>
          <w:rFonts w:eastAsiaTheme="majorEastAsia" w:cstheme="majorBidi"/>
          <w:b/>
          <w:bCs/>
          <w:szCs w:val="26"/>
        </w:rPr>
      </w:pPr>
      <w:bookmarkStart w:id="115" w:name="_Toc221044201"/>
      <w:r w:rsidRPr="002A5818">
        <w:rPr>
          <w:b/>
          <w:bCs/>
        </w:rPr>
        <w:t>Agropole – Ambitions fortes de la Société coopérative des acteurs de l’Agropole Sud (SOCAAS).</w:t>
      </w:r>
      <w:bookmarkStart w:id="116" w:name="_Hlk220089967"/>
      <w:bookmarkEnd w:id="115"/>
    </w:p>
    <w:p w14:paraId="3FC66784" w14:textId="5323B850" w:rsidR="00897B7E" w:rsidRPr="002A5818" w:rsidRDefault="00897B7E" w:rsidP="00897B7E">
      <w:pPr>
        <w:spacing w:after="0"/>
      </w:pPr>
      <w:r w:rsidRPr="002A5818">
        <w:t>La SOCAAS ambitionne de jouer un rôle moteur dans la transformation et la valorisation des produits agricoles de la Casamance</w:t>
      </w:r>
      <w:bookmarkEnd w:id="116"/>
      <w:r w:rsidRPr="002A5818">
        <w:t>, a déclaré, le 17 janvier son président, M. Ibrahim Seydi. Créée pour accompagner la mise en œuvre du projet d’Agropole Sud, la SOCAAS se positionne comme une société coopérative de services au profit des acteurs de l’agrobusiness, de l’agriculture, de l’élevage, de la pêche et de l’exploitation des produits forestiers.</w:t>
      </w:r>
      <w:r w:rsidR="00CC50E3" w:rsidRPr="002A5818">
        <w:t xml:space="preserve"> L</w:t>
      </w:r>
      <w:r w:rsidRPr="002A5818">
        <w:t>’objectif majeur de la coopérative est de promouvoir la transformation locale des matières premières</w:t>
      </w:r>
      <w:r w:rsidR="00CC50E3" w:rsidRPr="002A5818">
        <w:t>,</w:t>
      </w:r>
      <w:r w:rsidRPr="002A5818">
        <w:t xml:space="preserve"> </w:t>
      </w:r>
      <w:r w:rsidR="00CC50E3" w:rsidRPr="002A5818">
        <w:t xml:space="preserve">notamment l’anacarde et la mangue, </w:t>
      </w:r>
      <w:r w:rsidRPr="002A5818">
        <w:t>afin de générer davantage de valeurs ajoutées et de revenus au bénéfice des populations.</w:t>
      </w:r>
      <w:r w:rsidR="00CC50E3" w:rsidRPr="002A5818">
        <w:t xml:space="preserve"> </w:t>
      </w:r>
      <w:r w:rsidRPr="002A5818">
        <w:t>Le président de la SOCAAS s’est également félicité de la hausse significative du nombre d’adhérents et des parts sociales. Il a précisé que la coopérative regroupe désormais des acteurs des régions de Ziguinchor, Sédhiou et Kolda, ainsi que de la diaspora.</w:t>
      </w:r>
      <w:r w:rsidR="00CC50E3" w:rsidRPr="002A5818">
        <w:t xml:space="preserve"> </w:t>
      </w:r>
      <w:r w:rsidRPr="002A5818">
        <w:t>Abordant l’état d’avancement du projet, M. Seydi a indiqué que les travaux de l’Agropole Sud sont achevés à près de 95%, avec des infrastructures de base déjà disponibles, notamment l’eau, l’électricité et la clôture du site. Le principal défi reste désormais l’installation effective des acteurs privés.</w:t>
      </w:r>
      <w:r w:rsidR="00CC50E3" w:rsidRPr="002A5818">
        <w:t xml:space="preserve"> </w:t>
      </w:r>
      <w:r w:rsidRPr="002A5818">
        <w:t xml:space="preserve">Pour répondre aux besoins en matières premières, la </w:t>
      </w:r>
      <w:r w:rsidRPr="002A5818">
        <w:lastRenderedPageBreak/>
        <w:t>SOCAAS mène, en partenariat avec l’Institut sénégalais de recherches agricoles (ISRA), un programme de distribution de plants améliorés de manguiers et d’anacardiers, visant à accroître durablement la production.</w:t>
      </w:r>
      <w:r w:rsidR="00CC50E3" w:rsidRPr="002A5818">
        <w:t xml:space="preserve"> </w:t>
      </w:r>
      <w:r w:rsidRPr="002A5818">
        <w:t>La coopérative prévoit également de mobiliser des financements à travers des partenariats avec des sociétés de bourse, afin d’accompagner les entreprises membres dans l’acquisition d’équipements et de financement de fonds de roulement.</w:t>
      </w:r>
    </w:p>
    <w:p w14:paraId="25719ED9" w14:textId="77777777" w:rsidR="00897B7E" w:rsidRPr="002A5818" w:rsidRDefault="00897B7E" w:rsidP="00897B7E">
      <w:pPr>
        <w:spacing w:after="0"/>
      </w:pPr>
    </w:p>
    <w:p w14:paraId="04F199EE" w14:textId="7ABAE395" w:rsidR="002D6F2E" w:rsidRPr="002A5818" w:rsidRDefault="000A6BD6" w:rsidP="000A6BD6">
      <w:pPr>
        <w:keepNext/>
        <w:keepLines/>
        <w:spacing w:after="0"/>
        <w:outlineLvl w:val="1"/>
        <w:rPr>
          <w:rFonts w:eastAsiaTheme="majorEastAsia" w:cstheme="majorBidi"/>
          <w:b/>
          <w:bCs/>
          <w:szCs w:val="26"/>
        </w:rPr>
      </w:pPr>
      <w:bookmarkStart w:id="117" w:name="_Toc221044202"/>
      <w:bookmarkStart w:id="118" w:name="_Hlk220090284"/>
      <w:r w:rsidRPr="002A5818">
        <w:rPr>
          <w:rFonts w:eastAsiaTheme="majorEastAsia" w:cstheme="majorBidi"/>
          <w:b/>
          <w:szCs w:val="26"/>
        </w:rPr>
        <w:t xml:space="preserve">Arachide - </w:t>
      </w:r>
      <w:r w:rsidR="002D6F2E" w:rsidRPr="002A5818">
        <w:rPr>
          <w:b/>
          <w:bCs/>
        </w:rPr>
        <w:t>La Société nationale de commercialisation des oléagineux du Sénégal (SONACOS) devrait acheter 450 000 tonnes d’arachides</w:t>
      </w:r>
      <w:r w:rsidRPr="002A5818">
        <w:rPr>
          <w:b/>
          <w:bCs/>
        </w:rPr>
        <w:t>.</w:t>
      </w:r>
      <w:bookmarkEnd w:id="117"/>
    </w:p>
    <w:bookmarkEnd w:id="118"/>
    <w:p w14:paraId="15E1D3CA" w14:textId="579854BB" w:rsidR="002D6F2E" w:rsidRPr="002A5818" w:rsidRDefault="006C458E" w:rsidP="00FF5091">
      <w:pPr>
        <w:spacing w:after="0"/>
      </w:pPr>
      <w:r w:rsidRPr="002A5818">
        <w:t xml:space="preserve">Le Premier ministre, </w:t>
      </w:r>
      <w:r w:rsidR="00F66170" w:rsidRPr="002A5818">
        <w:t xml:space="preserve">M. </w:t>
      </w:r>
      <w:r w:rsidRPr="002A5818">
        <w:t>Ousmane Sonko, venu à Kaolack</w:t>
      </w:r>
      <w:r w:rsidR="00F66170" w:rsidRPr="002A5818">
        <w:t xml:space="preserve"> </w:t>
      </w:r>
      <w:r w:rsidRPr="002A5818">
        <w:t>à la rencontre d’acteurs de la filière arachide, a annoncé</w:t>
      </w:r>
      <w:r w:rsidR="00F66170" w:rsidRPr="002A5818">
        <w:t xml:space="preserve"> le 5 janvier</w:t>
      </w:r>
      <w:r w:rsidRPr="002A5818">
        <w:t xml:space="preserve"> avoir instruit </w:t>
      </w:r>
      <w:bookmarkStart w:id="119" w:name="_Hlk219717317"/>
      <w:r w:rsidRPr="002A5818">
        <w:t xml:space="preserve">la SONACOS d’acheter 450 </w:t>
      </w:r>
      <w:r w:rsidR="00F66170" w:rsidRPr="002A5818">
        <w:t xml:space="preserve">000 </w:t>
      </w:r>
      <w:r w:rsidRPr="002A5818">
        <w:t xml:space="preserve">tonnes </w:t>
      </w:r>
      <w:bookmarkEnd w:id="119"/>
      <w:r w:rsidRPr="002A5818">
        <w:t>de graines d’arachides au lieu des 250 000 tonnes</w:t>
      </w:r>
      <w:r w:rsidR="00F66170" w:rsidRPr="002A5818">
        <w:t xml:space="preserve"> initialement prévues</w:t>
      </w:r>
      <w:r w:rsidR="002D6F2E" w:rsidRPr="002A5818">
        <w:t xml:space="preserve"> afin de répondre aux difficultés de la campagne de commercialisation</w:t>
      </w:r>
      <w:r w:rsidR="00F66170" w:rsidRPr="002A5818">
        <w:t xml:space="preserve">. </w:t>
      </w:r>
      <w:r w:rsidRPr="002A5818">
        <w:t xml:space="preserve">106 </w:t>
      </w:r>
      <w:r w:rsidR="00F66170" w:rsidRPr="002A5818">
        <w:t>Md F</w:t>
      </w:r>
      <w:r w:rsidRPr="002A5818">
        <w:t>CFA</w:t>
      </w:r>
      <w:r w:rsidR="00F66170" w:rsidRPr="002A5818">
        <w:t xml:space="preserve"> seraient nécessaires à </w:t>
      </w:r>
      <w:r w:rsidRPr="002A5818">
        <w:t xml:space="preserve">la SONACOS </w:t>
      </w:r>
      <w:r w:rsidR="00F66170" w:rsidRPr="002A5818">
        <w:t xml:space="preserve">pour </w:t>
      </w:r>
      <w:r w:rsidRPr="002A5818">
        <w:t xml:space="preserve">acheter </w:t>
      </w:r>
      <w:r w:rsidR="00F66170" w:rsidRPr="002A5818">
        <w:t>ce supplément de tonnages. Un financement de 50 Md de FCFA aurait déjà été mobilisé, dont 22 Md auprès de La Banque agricole (LBA) et 28 Md auprès de la Banque nationale de développement économique (BNDE).</w:t>
      </w:r>
      <w:r w:rsidR="002D6F2E" w:rsidRPr="002A5818">
        <w:t xml:space="preserve"> </w:t>
      </w:r>
      <w:r w:rsidR="00FF5091" w:rsidRPr="002A5818">
        <w:t xml:space="preserve">Des producteurs agricoles regroupés au sein de la Plateforme des paysans du Sénégal (PPS) se disent cependant sceptiques quant aux capacités </w:t>
      </w:r>
      <w:r w:rsidR="008B62D4" w:rsidRPr="002A5818">
        <w:t xml:space="preserve">de la SONACOS </w:t>
      </w:r>
      <w:r w:rsidR="00FF5091" w:rsidRPr="002A5818">
        <w:t>d’acheter 450 000 tonnes de graines d’arachide</w:t>
      </w:r>
      <w:r w:rsidR="008B62D4" w:rsidRPr="002A5818">
        <w:t>, arguant quand</w:t>
      </w:r>
      <w:r w:rsidR="00FF5091" w:rsidRPr="002A5818">
        <w:t xml:space="preserve"> deux mois, </w:t>
      </w:r>
      <w:r w:rsidR="008B62D4" w:rsidRPr="002A5818">
        <w:t xml:space="preserve">elle </w:t>
      </w:r>
      <w:r w:rsidR="00FF5091" w:rsidRPr="002A5818">
        <w:t>n’a acheté que 62 000 tonnes</w:t>
      </w:r>
      <w:r w:rsidR="008B62D4" w:rsidRPr="002A5818">
        <w:t xml:space="preserve">. </w:t>
      </w:r>
      <w:r w:rsidR="00FF5091" w:rsidRPr="002A5818">
        <w:t>Selon le coordonnateur national de la PP</w:t>
      </w:r>
      <w:r w:rsidR="008B62D4" w:rsidRPr="002A5818">
        <w:t>S</w:t>
      </w:r>
      <w:r w:rsidR="00FF5091" w:rsidRPr="002A5818">
        <w:t xml:space="preserve">, </w:t>
      </w:r>
      <w:r w:rsidR="008B62D4" w:rsidRPr="002A5818">
        <w:t>M.</w:t>
      </w:r>
      <w:r w:rsidR="005D5A3B">
        <w:t> </w:t>
      </w:r>
      <w:r w:rsidR="00FF5091" w:rsidRPr="002A5818">
        <w:t>Bassirou</w:t>
      </w:r>
      <w:r w:rsidR="005D5A3B">
        <w:t> </w:t>
      </w:r>
      <w:r w:rsidR="00FF5091" w:rsidRPr="002A5818">
        <w:t xml:space="preserve">Ba, même si la SONACOS et les opérateurs parvenaient </w:t>
      </w:r>
      <w:r w:rsidR="00DB10F8" w:rsidRPr="002A5818">
        <w:t>ne serait-ce qu’</w:t>
      </w:r>
      <w:r w:rsidR="00FF5091" w:rsidRPr="002A5818">
        <w:t>à acheter 250</w:t>
      </w:r>
      <w:r w:rsidR="005D5A3B">
        <w:t> </w:t>
      </w:r>
      <w:r w:rsidR="00FF5091" w:rsidRPr="002A5818">
        <w:t>000</w:t>
      </w:r>
      <w:r w:rsidR="005D5A3B">
        <w:t> </w:t>
      </w:r>
      <w:r w:rsidR="00FF5091" w:rsidRPr="002A5818">
        <w:t xml:space="preserve">tonnes de graines d’arachide, le prix d’achat proposé </w:t>
      </w:r>
      <w:r w:rsidR="008B62D4" w:rsidRPr="002A5818">
        <w:t xml:space="preserve">n’atteindrait pas </w:t>
      </w:r>
      <w:r w:rsidR="00FF5091" w:rsidRPr="002A5818">
        <w:t xml:space="preserve">le prix plancher d’achat du kilogramme d’arachide </w:t>
      </w:r>
      <w:r w:rsidR="008B62D4" w:rsidRPr="002A5818">
        <w:t xml:space="preserve">fixé par le gouvernement </w:t>
      </w:r>
      <w:r w:rsidR="00FF5091" w:rsidRPr="002A5818">
        <w:t xml:space="preserve">à 305 </w:t>
      </w:r>
      <w:r w:rsidR="008B62D4" w:rsidRPr="002A5818">
        <w:t>F</w:t>
      </w:r>
      <w:r w:rsidR="00FF5091" w:rsidRPr="002A5818">
        <w:t>CFA auprès des producteurs pour la campagne de commercialisation 2025-2026.</w:t>
      </w:r>
      <w:r w:rsidR="008B62D4" w:rsidRPr="002A5818">
        <w:t xml:space="preserve"> Le </w:t>
      </w:r>
      <w:r w:rsidR="002D6F2E" w:rsidRPr="002A5818">
        <w:t xml:space="preserve">Premier ministre </w:t>
      </w:r>
      <w:r w:rsidR="008B62D4" w:rsidRPr="002A5818">
        <w:t xml:space="preserve">a </w:t>
      </w:r>
      <w:r w:rsidR="002D6F2E" w:rsidRPr="002A5818">
        <w:t>identifi</w:t>
      </w:r>
      <w:r w:rsidR="008B62D4" w:rsidRPr="002A5818">
        <w:t>é</w:t>
      </w:r>
      <w:r w:rsidR="002D6F2E" w:rsidRPr="002A5818">
        <w:t xml:space="preserve"> les contraintes opérationnelles persistantes afférentes au respect du prix plancher, au manque de liquidité financière et de fluidité des paiements, à la taxe à l’exportation, à l’insuffisance des points de collecte et à la lenteur dans le déchargement des camions. Le Premier ministre a préconisé la révision de la politique de la filière. Un comité devrait être mis en place pour formuler des propositions de la nouvelle politique arachidière.</w:t>
      </w:r>
    </w:p>
    <w:p w14:paraId="5BC4536B" w14:textId="77777777" w:rsidR="006C458E" w:rsidRPr="002A5818" w:rsidRDefault="006C458E" w:rsidP="006C458E">
      <w:pPr>
        <w:spacing w:after="0"/>
      </w:pPr>
    </w:p>
    <w:p w14:paraId="02C08791" w14:textId="77777777" w:rsidR="00BD405A" w:rsidRPr="002A5818" w:rsidRDefault="00BD405A" w:rsidP="00BD405A">
      <w:pPr>
        <w:keepNext/>
        <w:keepLines/>
        <w:spacing w:after="0"/>
        <w:outlineLvl w:val="1"/>
        <w:rPr>
          <w:rFonts w:eastAsiaTheme="majorEastAsia" w:cstheme="majorBidi"/>
          <w:b/>
          <w:szCs w:val="26"/>
        </w:rPr>
      </w:pPr>
      <w:bookmarkStart w:id="120" w:name="_Toc221044203"/>
      <w:bookmarkStart w:id="121" w:name="_Hlk219390934"/>
      <w:r w:rsidRPr="002A5818">
        <w:rPr>
          <w:rFonts w:eastAsiaTheme="majorEastAsia" w:cstheme="majorBidi"/>
          <w:b/>
          <w:szCs w:val="26"/>
        </w:rPr>
        <w:t>Arachide - Le gouvernement annonce l’ouverture officielle des exportations.</w:t>
      </w:r>
      <w:bookmarkEnd w:id="120"/>
    </w:p>
    <w:bookmarkEnd w:id="106"/>
    <w:bookmarkEnd w:id="121"/>
    <w:p w14:paraId="28E3415F" w14:textId="463124DE" w:rsidR="00F20268" w:rsidRPr="002A5818" w:rsidRDefault="00F20268" w:rsidP="00F20268">
      <w:pPr>
        <w:spacing w:after="0"/>
      </w:pPr>
      <w:r w:rsidRPr="002A5818">
        <w:t xml:space="preserve">Alors que la récolte s’annonce plus importante que prévu et la commercialisation difficile, les autorités repensent leur stratégie de gestion de la campagne de commercialisation 2025/2026. Ainsi, la taxe de 4% en vigueur sur l’exportation des cargaisons d’arachide a été levée suite à un communiqué du ministère de l’industrie et du commerce publié le 13 janvier, qui précise que l’initiative vise à faciliter les exportations. </w:t>
      </w:r>
      <w:r w:rsidR="00984F4E" w:rsidRPr="002A5818">
        <w:t xml:space="preserve">Le ministre du Commerce, M. Serigne Gueye Diop, souligne que les services concernés, comme la direction du commerce intérieur, ou encore l’agence sénégalaise des exportations (Asepex), sont désignés pour prendre les dispositions nécessaires, afin de faciliter les opérations d'exportation. A travers cette mesure, le Gouvernement entend apporter une réponse au défi de la commercialisation de la production de cette année, dont les volumes dépassent largement les prévisions. Cette décision fait ainsi suite à la visite du Premier Ministre M. Ousmane Sonko dans le bassin arachidier et aux difficultés que connaît la campagne de commercialisation de l’arachide dont les productions en stock seraient évaluées à plus de 513 000 tonnes et la production attendue pour la campagne à hauteur de 900 000 tonnes. Sans les débouchés à l’export, les difficultés de commercialisation pourraient se traduire par un manque à gagner important pour les producteurs et malgré que le gouvernement ait retenu de faire passer l’objectif d’achat de la </w:t>
      </w:r>
      <w:r w:rsidR="00984F4E" w:rsidRPr="002A5818">
        <w:lastRenderedPageBreak/>
        <w:t xml:space="preserve">SONACOS (l’opérateur public) de 250 000 tonnes à 450 000 tonnes. </w:t>
      </w:r>
      <w:r w:rsidRPr="002A5818">
        <w:t xml:space="preserve">Pour le compte de cette nouvelle campagne de commercialisation, les autorités ambitionnent de placer entre 300 000 et 450 000 tonnes d’arachides sur le marché international. Cette projection, si elle se réalise, pourrait marquer un rebond des exportations de la filière sénégalaise qui sont en net recul ces dernières années, d’après les données compilées par l’Agence nationale de la statistique et de la démographie (ANSD). Après un pic de 336 000 tonnes atteint en 2021, les expéditions d’arachides ont en effet dégringolé à 121 798 tonnes en 2024, signant ainsi une chute de 64% en l’espace de quatre ans. Parallèlement, les recettes d’exportation engrangées par la filière ont également baissé de 57%, passant de 154,7 Md FCFA à 65,3 </w:t>
      </w:r>
      <w:r w:rsidR="00984F4E" w:rsidRPr="002A5818">
        <w:t>Md F</w:t>
      </w:r>
      <w:r w:rsidRPr="002A5818">
        <w:t>CFA sur la période considérée.</w:t>
      </w:r>
    </w:p>
    <w:p w14:paraId="66603568" w14:textId="13EDD20B" w:rsidR="008D2689" w:rsidRPr="002A5818" w:rsidRDefault="008D2689" w:rsidP="00F20268">
      <w:pPr>
        <w:spacing w:after="0"/>
      </w:pPr>
    </w:p>
    <w:p w14:paraId="21BFC558" w14:textId="04CD29F3" w:rsidR="008D2689" w:rsidRPr="002A5818" w:rsidRDefault="009836EC" w:rsidP="009836EC">
      <w:pPr>
        <w:keepNext/>
        <w:keepLines/>
        <w:spacing w:after="0"/>
        <w:outlineLvl w:val="1"/>
        <w:rPr>
          <w:rFonts w:eastAsiaTheme="majorEastAsia" w:cstheme="majorBidi"/>
          <w:b/>
          <w:bCs/>
          <w:szCs w:val="26"/>
        </w:rPr>
      </w:pPr>
      <w:bookmarkStart w:id="122" w:name="_Toc221044204"/>
      <w:r w:rsidRPr="002A5818">
        <w:rPr>
          <w:b/>
          <w:bCs/>
        </w:rPr>
        <w:t>Oléagineux – Inauguration d’</w:t>
      </w:r>
      <w:r w:rsidR="008D2689" w:rsidRPr="002A5818">
        <w:rPr>
          <w:b/>
          <w:bCs/>
        </w:rPr>
        <w:t>une raffinerie pour renforcer la production d’huiles alimentaires</w:t>
      </w:r>
      <w:r w:rsidRPr="002A5818">
        <w:rPr>
          <w:b/>
          <w:bCs/>
        </w:rPr>
        <w:t>.</w:t>
      </w:r>
      <w:bookmarkEnd w:id="122"/>
    </w:p>
    <w:p w14:paraId="259F9BC2" w14:textId="483DEBD1" w:rsidR="008D2689" w:rsidRPr="002A5818" w:rsidRDefault="008D2689" w:rsidP="008D2689">
      <w:pPr>
        <w:spacing w:after="0"/>
      </w:pPr>
      <w:r w:rsidRPr="002A5818">
        <w:t xml:space="preserve">Le président de la République, M. Bassirou Diomaye Faye, </w:t>
      </w:r>
      <w:r w:rsidR="00772FCA" w:rsidRPr="002A5818">
        <w:t>a inauguré</w:t>
      </w:r>
      <w:r w:rsidRPr="002A5818">
        <w:t xml:space="preserve"> le 2</w:t>
      </w:r>
      <w:r w:rsidR="00772FCA" w:rsidRPr="002A5818">
        <w:t>7</w:t>
      </w:r>
      <w:r w:rsidRPr="002A5818">
        <w:t xml:space="preserve"> janvier </w:t>
      </w:r>
      <w:r w:rsidR="00772FCA" w:rsidRPr="002A5818">
        <w:t xml:space="preserve">l’unité industrielle Mavamar Industrie SA, site dédié à la production d’huiles alimentaires </w:t>
      </w:r>
      <w:r w:rsidR="0027209A" w:rsidRPr="002A5818">
        <w:t xml:space="preserve">en présence de </w:t>
      </w:r>
      <w:r w:rsidRPr="002A5818">
        <w:t>son Président-directeur général, M. Souleymane Ndoye</w:t>
      </w:r>
      <w:r w:rsidR="0027209A" w:rsidRPr="002A5818">
        <w:t xml:space="preserve">. </w:t>
      </w:r>
      <w:r w:rsidR="00772FCA" w:rsidRPr="002A5818">
        <w:t>Implantée sur 23 ha, l</w:t>
      </w:r>
      <w:r w:rsidRPr="002A5818">
        <w:t>’unité disposera d’une capacité de production estimée à 600 tonnes par jour, pour un investissement global de 60 Md FCFA.</w:t>
      </w:r>
      <w:r w:rsidR="009836EC" w:rsidRPr="002A5818">
        <w:t xml:space="preserve"> </w:t>
      </w:r>
      <w:r w:rsidRPr="002A5818">
        <w:t>Selon les autorités, cette raffinerie contribuera à la réduction des importations, à la valorisation de la transformation locale et à la création de nombreux emplois, tout en renforçant la sécurité et la souveraineté alimentaires du pays.</w:t>
      </w:r>
      <w:r w:rsidR="00536031" w:rsidRPr="002A5818">
        <w:t xml:space="preserve"> Selon les données compilées par l’Agence nationale de la statistique (Ansd), le Sénégal a importé 229 059 tonnes d’huiles et graisses en moyenne entre 2020 et 2024. Sur la même période, la facture des dépenses consacrées à ces achats s’est élevée en moyenne à près de 124 Md FCFA. L’entrée en service de la raffinerie Mavamar apporte un soutien opportun à la transformation locale de l’arachide, dans un contexte de fortes tensions autour de la campagne arachidière 2025/2026. Alors que la production nationale est attendue à plus de 900 000 tonnes, les capacités d’absorption de la filière notamment sur le segment de la transformation restent un sujet de préoccupation. Si cette nouvelle unité ne saurait, à elle seule, absorber les excédents attendus, elle contribue néanmoins à diversifier les débouchés industriels et à renforcer progressivement la transformation locale de l’arachide. D’autant plus que, M. Souleymane Ndoye, a déjà annoncé une extension de la capacité de trituration de graines d’arachide dès la première année.</w:t>
      </w:r>
    </w:p>
    <w:p w14:paraId="0B6B8B4B" w14:textId="77777777" w:rsidR="00A40791" w:rsidRPr="002A5818" w:rsidRDefault="00A40791" w:rsidP="008D2689">
      <w:pPr>
        <w:spacing w:after="0"/>
      </w:pPr>
    </w:p>
    <w:p w14:paraId="20E7D554" w14:textId="3A91CDEC" w:rsidR="00042B98" w:rsidRPr="002A5818" w:rsidRDefault="00042B98" w:rsidP="00A40791">
      <w:pPr>
        <w:keepNext/>
        <w:keepLines/>
        <w:spacing w:after="0"/>
        <w:outlineLvl w:val="1"/>
        <w:rPr>
          <w:rFonts w:eastAsiaTheme="majorEastAsia" w:cstheme="majorBidi"/>
          <w:b/>
          <w:bCs/>
          <w:szCs w:val="26"/>
        </w:rPr>
      </w:pPr>
      <w:bookmarkStart w:id="123" w:name="_Toc221044205"/>
      <w:r w:rsidRPr="002A5818">
        <w:rPr>
          <w:b/>
          <w:bCs/>
        </w:rPr>
        <w:t xml:space="preserve">Riz </w:t>
      </w:r>
      <w:r w:rsidR="00A40791" w:rsidRPr="002A5818">
        <w:rPr>
          <w:b/>
          <w:bCs/>
        </w:rPr>
        <w:t>– Lancement de la campagne de la saison sèche</w:t>
      </w:r>
      <w:r w:rsidR="00D77444" w:rsidRPr="002A5818">
        <w:rPr>
          <w:b/>
          <w:bCs/>
        </w:rPr>
        <w:t xml:space="preserve"> dans la vallée du fleuve Sénégal</w:t>
      </w:r>
      <w:r w:rsidR="00A40791" w:rsidRPr="002A5818">
        <w:rPr>
          <w:b/>
          <w:bCs/>
        </w:rPr>
        <w:t>.</w:t>
      </w:r>
      <w:bookmarkEnd w:id="123"/>
    </w:p>
    <w:p w14:paraId="41283878" w14:textId="0AFEF4F7" w:rsidR="00042B98" w:rsidRPr="002A5818" w:rsidRDefault="00D77444" w:rsidP="00042B98">
      <w:pPr>
        <w:spacing w:after="0"/>
      </w:pPr>
      <w:r w:rsidRPr="002A5818">
        <w:t xml:space="preserve">Selon les données présentées par la SAED, les campagnes agricoles en cours affichent des résultats encourageants. Pour l’hivernage 2025/2026, plus de 29 500 ha ont été emblavés, dont 27 443 ha de riz, tandis que la saison sèche froide 2025/2026 totalise plus de 15 000 ha, incluant des cultures maraîchères et céréalières. </w:t>
      </w:r>
      <w:r w:rsidR="00E40C66" w:rsidRPr="002A5818">
        <w:t>A</w:t>
      </w:r>
      <w:r w:rsidRPr="002A5818">
        <w:t xml:space="preserve"> travers cette campagne 2026, l’État et l’interprofession entendent faire de la vallée du fleuve Sénégal le moteur de l’autosuffisance rizicole et de la souveraineté alimentaire nationale.</w:t>
      </w:r>
      <w:r w:rsidR="00E40C66" w:rsidRPr="002A5818">
        <w:t xml:space="preserve"> </w:t>
      </w:r>
      <w:r w:rsidR="00042B98" w:rsidRPr="002A5818">
        <w:t>Le ministre de l’agriculture, de la souveraineté alimentaire et de l’élevage, M. Mabouba Diagne, a invité les producteurs de riz à relever les défis de la productivité et de la commercialisation, relevant que malgré les progrès enregistrés lors de la dernière campagne, le Sénégal importe encore plus d’un million de tonnes de riz blanc.</w:t>
      </w:r>
      <w:r w:rsidR="00B17B93" w:rsidRPr="002A5818">
        <w:t xml:space="preserve"> </w:t>
      </w:r>
      <w:r w:rsidR="00042B98" w:rsidRPr="002A5818">
        <w:t xml:space="preserve">Le ministre s’exprimait </w:t>
      </w:r>
      <w:r w:rsidR="00B17B93" w:rsidRPr="002A5818">
        <w:t xml:space="preserve">le 24 janvier </w:t>
      </w:r>
      <w:r w:rsidR="00042B98" w:rsidRPr="002A5818">
        <w:t>à Saint-Louis où il a lancé officiellement la campagne de saison sèche chaude 2026 dans la vallée du fleuve Sénégal au cours d’un atelier organisé par la Société d’aménagement des terres du delta et de la Falémé (SAED).</w:t>
      </w:r>
      <w:r w:rsidR="00B17B93" w:rsidRPr="002A5818">
        <w:t xml:space="preserve"> P</w:t>
      </w:r>
      <w:r w:rsidR="00042B98" w:rsidRPr="002A5818">
        <w:t xml:space="preserve">our renverser </w:t>
      </w:r>
      <w:r w:rsidR="00B17B93" w:rsidRPr="002A5818">
        <w:t xml:space="preserve">la </w:t>
      </w:r>
      <w:r w:rsidR="00042B98" w:rsidRPr="002A5818">
        <w:t>tendance et changer de paradigme</w:t>
      </w:r>
      <w:r w:rsidR="00B17B93" w:rsidRPr="002A5818">
        <w:t xml:space="preserve">, le ministre a souligné que </w:t>
      </w:r>
      <w:r w:rsidR="00042B98" w:rsidRPr="002A5818">
        <w:t xml:space="preserve">le gouvernement a </w:t>
      </w:r>
      <w:r w:rsidR="00042B98" w:rsidRPr="002A5818">
        <w:lastRenderedPageBreak/>
        <w:t>décidé de passer d’un soutien dispersé à une dynamique intégrée, structurée et durable.</w:t>
      </w:r>
      <w:r w:rsidR="00B17B93" w:rsidRPr="002A5818">
        <w:t xml:space="preserve"> </w:t>
      </w:r>
      <w:r w:rsidR="00042B98" w:rsidRPr="002A5818">
        <w:t xml:space="preserve">Notant que la Stratégie de </w:t>
      </w:r>
      <w:r w:rsidR="00B17B93" w:rsidRPr="002A5818">
        <w:t>s</w:t>
      </w:r>
      <w:r w:rsidR="00042B98" w:rsidRPr="002A5818">
        <w:t>ouveraineté alimentaire (SSA 2025</w:t>
      </w:r>
      <w:r w:rsidR="00B17B93" w:rsidRPr="002A5818">
        <w:t>-</w:t>
      </w:r>
      <w:r w:rsidR="00042B98" w:rsidRPr="002A5818">
        <w:t xml:space="preserve">2034) fixe </w:t>
      </w:r>
      <w:r w:rsidR="00B17B93" w:rsidRPr="002A5818">
        <w:t>l</w:t>
      </w:r>
      <w:r w:rsidR="00042B98" w:rsidRPr="002A5818">
        <w:t>es jalons en cohérence avec l’Agenda national de transformation – Sénégal 2050, le ministre a soutenu</w:t>
      </w:r>
      <w:r w:rsidR="00B17B93" w:rsidRPr="002A5818">
        <w:t xml:space="preserve"> que</w:t>
      </w:r>
      <w:r w:rsidR="00042B98" w:rsidRPr="002A5818">
        <w:t xml:space="preserve"> la mission est d’intensifier </w:t>
      </w:r>
      <w:r w:rsidR="00B17B93" w:rsidRPr="002A5818">
        <w:t xml:space="preserve">les </w:t>
      </w:r>
      <w:r w:rsidR="00042B98" w:rsidRPr="002A5818">
        <w:t xml:space="preserve">chaînes de valeur agricoles, de renforcer la résilience des territoires et </w:t>
      </w:r>
      <w:r w:rsidR="00B17B93" w:rsidRPr="002A5818">
        <w:t xml:space="preserve">de </w:t>
      </w:r>
      <w:r w:rsidR="00042B98" w:rsidRPr="002A5818">
        <w:t xml:space="preserve">réduire drastiquement </w:t>
      </w:r>
      <w:r w:rsidR="00B17B93" w:rsidRPr="002A5818">
        <w:t xml:space="preserve">la </w:t>
      </w:r>
      <w:r w:rsidR="00042B98" w:rsidRPr="002A5818">
        <w:t>dépendance aux importations</w:t>
      </w:r>
      <w:r w:rsidR="00B17B93" w:rsidRPr="002A5818">
        <w:t xml:space="preserve">. Dans le cadre de cette mission </w:t>
      </w:r>
      <w:r w:rsidR="00042B98" w:rsidRPr="002A5818">
        <w:t>la riziculture occupe une place centrale</w:t>
      </w:r>
      <w:r w:rsidR="00B17B93" w:rsidRPr="002A5818">
        <w:t xml:space="preserve">. M. </w:t>
      </w:r>
      <w:r w:rsidR="00042B98" w:rsidRPr="002A5818">
        <w:t xml:space="preserve">Ousseynou Ndiaye, président du Comité interprofessionnelle de la riziculture riz (CIRIZ), a mis en avant les efforts fournis par la SAED </w:t>
      </w:r>
      <w:r w:rsidRPr="002A5818">
        <w:t xml:space="preserve">pour accompagner les producteurs et a également annoncé des objectifs ambitieux pour la campagne 2026, avec une mise en valeur d’environ 53 000 ha et un rendement moyen visé de 6,7 tonnes/ha, tout en </w:t>
      </w:r>
      <w:r w:rsidR="00B17B93" w:rsidRPr="002A5818">
        <w:t>soulign</w:t>
      </w:r>
      <w:r w:rsidRPr="002A5818">
        <w:t>ant</w:t>
      </w:r>
      <w:r w:rsidR="00B17B93" w:rsidRPr="002A5818">
        <w:t xml:space="preserve"> </w:t>
      </w:r>
      <w:r w:rsidR="00042B98" w:rsidRPr="002A5818">
        <w:t>l’urgence de trouver un remède aux problèmes du financement de la campagne et de la commercialisation.</w:t>
      </w:r>
      <w:r w:rsidR="004D7751" w:rsidRPr="002A5818">
        <w:t xml:space="preserve"> </w:t>
      </w:r>
    </w:p>
    <w:p w14:paraId="5A7E490F" w14:textId="37CB7EEF" w:rsidR="00A20E4F" w:rsidRPr="002A5818" w:rsidRDefault="00A20E4F" w:rsidP="00042B98">
      <w:pPr>
        <w:spacing w:after="0"/>
      </w:pPr>
    </w:p>
    <w:p w14:paraId="5E3F329F" w14:textId="3651BE11" w:rsidR="004F247B" w:rsidRPr="002A5818" w:rsidRDefault="004F247B" w:rsidP="00E953F5">
      <w:pPr>
        <w:keepNext/>
        <w:keepLines/>
        <w:spacing w:after="0"/>
        <w:outlineLvl w:val="1"/>
        <w:rPr>
          <w:rFonts w:eastAsiaTheme="majorEastAsia" w:cstheme="majorBidi"/>
          <w:b/>
          <w:bCs/>
          <w:szCs w:val="26"/>
        </w:rPr>
      </w:pPr>
      <w:bookmarkStart w:id="124" w:name="_Toc221044206"/>
      <w:bookmarkStart w:id="125" w:name="_Hlk220089843"/>
      <w:r w:rsidRPr="002A5818">
        <w:rPr>
          <w:b/>
          <w:bCs/>
        </w:rPr>
        <w:t>Manioc –</w:t>
      </w:r>
      <w:r w:rsidR="008841D0" w:rsidRPr="002A5818">
        <w:rPr>
          <w:b/>
          <w:bCs/>
        </w:rPr>
        <w:t xml:space="preserve"> Restructuration de la filière en cours.</w:t>
      </w:r>
      <w:bookmarkEnd w:id="124"/>
    </w:p>
    <w:bookmarkEnd w:id="125"/>
    <w:p w14:paraId="31619E01" w14:textId="21A84F36" w:rsidR="004F247B" w:rsidRPr="002A5818" w:rsidRDefault="008841D0" w:rsidP="004F247B">
      <w:pPr>
        <w:spacing w:after="0"/>
      </w:pPr>
      <w:r w:rsidRPr="002A5818">
        <w:t>L</w:t>
      </w:r>
      <w:r w:rsidR="004F247B" w:rsidRPr="002A5818">
        <w:t xml:space="preserve">e manioc est le principal tubercule cultivé </w:t>
      </w:r>
      <w:r w:rsidRPr="002A5818">
        <w:t xml:space="preserve">au Sénégal </w:t>
      </w:r>
      <w:r w:rsidR="004F247B" w:rsidRPr="002A5818">
        <w:t xml:space="preserve">et constitue </w:t>
      </w:r>
      <w:r w:rsidRPr="002A5818">
        <w:t xml:space="preserve">à ce titre </w:t>
      </w:r>
      <w:r w:rsidR="004F247B" w:rsidRPr="002A5818">
        <w:t>une culture stratégique pour la sécurité alimentaire. Alors que la production est en déclin depuis quelques années, le gouvernement accompagne la réorganisation de la filière pour en assurer une meilleure gestion.</w:t>
      </w:r>
      <w:r w:rsidRPr="002A5818">
        <w:t xml:space="preserve"> La </w:t>
      </w:r>
      <w:r w:rsidR="004F247B" w:rsidRPr="002A5818">
        <w:t xml:space="preserve">filière manioc est </w:t>
      </w:r>
      <w:r w:rsidRPr="002A5818">
        <w:t xml:space="preserve">ainsi </w:t>
      </w:r>
      <w:r w:rsidR="004F247B" w:rsidRPr="002A5818">
        <w:t>en plein processus de structuration avec la perspective de la mise en place prochaine d’une interprofession. Cette initiative portée par le Fonds national de développement agro-sylvo-pastoral (FNDASP), a été évoquée dans un communiqué publié le 9 janvier</w:t>
      </w:r>
      <w:r w:rsidRPr="002A5818">
        <w:t xml:space="preserve">. </w:t>
      </w:r>
      <w:r w:rsidR="004F247B" w:rsidRPr="002A5818">
        <w:t>Selon les autorités, plusieurs étapes ont déjà été franchies</w:t>
      </w:r>
      <w:r w:rsidRPr="002A5818">
        <w:t xml:space="preserve"> et le </w:t>
      </w:r>
      <w:r w:rsidR="004F247B" w:rsidRPr="002A5818">
        <w:t xml:space="preserve">processus </w:t>
      </w:r>
      <w:r w:rsidR="00E953F5" w:rsidRPr="002A5818">
        <w:t xml:space="preserve">sera </w:t>
      </w:r>
      <w:r w:rsidR="004F247B" w:rsidRPr="002A5818">
        <w:t>parachevé avec l</w:t>
      </w:r>
      <w:r w:rsidR="00E953F5" w:rsidRPr="002A5818">
        <w:t>a première a</w:t>
      </w:r>
      <w:r w:rsidR="004F247B" w:rsidRPr="002A5818">
        <w:t>ssemblée générale constitutive de l’Interprofession.</w:t>
      </w:r>
      <w:r w:rsidR="00E953F5" w:rsidRPr="002A5818">
        <w:t xml:space="preserve"> </w:t>
      </w:r>
      <w:r w:rsidR="004F247B" w:rsidRPr="002A5818">
        <w:t>Selon les autorités, l’enjeu derrière la constitution d’une interprofession est de renforcer l’organisation, la compétitivité et la performance de la filière manioc, au bénéfice des différents acteurs et de la sécurité alimentaire nationale. Cette réorganisation intervient alors que la filière manioc enregistre un net recul de ses performances de production sur les dernières années, d’après les données compilées par l’Agence nationale de la statistique et de la démographie (ANSD).</w:t>
      </w:r>
      <w:r w:rsidR="00E953F5" w:rsidRPr="002A5818">
        <w:t xml:space="preserve"> </w:t>
      </w:r>
      <w:r w:rsidR="004F247B" w:rsidRPr="002A5818">
        <w:t xml:space="preserve">Après un pic de production de 1,34 </w:t>
      </w:r>
      <w:r w:rsidR="00E953F5" w:rsidRPr="002A5818">
        <w:t xml:space="preserve">M </w:t>
      </w:r>
      <w:r w:rsidR="004F247B" w:rsidRPr="002A5818">
        <w:t xml:space="preserve">de tonnes atteint au terme de la campagne agricole de 2020/2021, la récolte a légèrement baissé à 1,32 </w:t>
      </w:r>
      <w:r w:rsidR="00E953F5" w:rsidRPr="002A5818">
        <w:t xml:space="preserve">M </w:t>
      </w:r>
      <w:r w:rsidR="004F247B" w:rsidRPr="002A5818">
        <w:t>de tonnes en 2021/2022. Elle a ensuite stagné en 2022/2023 avant de plonger à 824 734 tonnes en 2023/2024.</w:t>
      </w:r>
      <w:r w:rsidR="00E953F5" w:rsidRPr="002A5818">
        <w:t xml:space="preserve"> </w:t>
      </w:r>
      <w:r w:rsidR="004F247B" w:rsidRPr="002A5818">
        <w:t>Les résultats provisoires de 2024/2025, qui restent à confirmer, font état d’une récolte de 740 721 tonnes confirmant la poursuite de cette dynamique baissière. Reste à voir si l’institution prochaine d’une interprofession dans la filière pourra insuffler une nouvelle dynamique et relancer le secteur.</w:t>
      </w:r>
    </w:p>
    <w:p w14:paraId="1396154F" w14:textId="77777777" w:rsidR="00A40791" w:rsidRPr="002A5818" w:rsidRDefault="00A40791" w:rsidP="00A40791">
      <w:pPr>
        <w:spacing w:after="0"/>
      </w:pPr>
    </w:p>
    <w:p w14:paraId="44B87292" w14:textId="111EDF56" w:rsidR="00A40791" w:rsidRPr="002A5818" w:rsidRDefault="00CD01EC" w:rsidP="00CD01EC">
      <w:pPr>
        <w:keepNext/>
        <w:keepLines/>
        <w:spacing w:after="0"/>
        <w:outlineLvl w:val="1"/>
        <w:rPr>
          <w:rFonts w:eastAsiaTheme="majorEastAsia" w:cstheme="majorBidi"/>
          <w:b/>
          <w:bCs/>
          <w:szCs w:val="26"/>
        </w:rPr>
      </w:pPr>
      <w:bookmarkStart w:id="126" w:name="_Toc221044207"/>
      <w:r w:rsidRPr="002A5818">
        <w:rPr>
          <w:b/>
          <w:bCs/>
        </w:rPr>
        <w:t xml:space="preserve">Pomme de terre et oignon - </w:t>
      </w:r>
      <w:r w:rsidR="00A40791" w:rsidRPr="002A5818">
        <w:rPr>
          <w:b/>
          <w:bCs/>
        </w:rPr>
        <w:t>Production</w:t>
      </w:r>
      <w:r w:rsidRPr="002A5818">
        <w:rPr>
          <w:b/>
          <w:bCs/>
        </w:rPr>
        <w:t>s</w:t>
      </w:r>
      <w:r w:rsidR="00A40791" w:rsidRPr="002A5818">
        <w:rPr>
          <w:b/>
          <w:bCs/>
        </w:rPr>
        <w:t xml:space="preserve"> </w:t>
      </w:r>
      <w:r w:rsidR="00622541" w:rsidRPr="002A5818">
        <w:rPr>
          <w:b/>
          <w:bCs/>
        </w:rPr>
        <w:t>attendue</w:t>
      </w:r>
      <w:r w:rsidRPr="002A5818">
        <w:rPr>
          <w:b/>
          <w:bCs/>
        </w:rPr>
        <w:t>s à</w:t>
      </w:r>
      <w:r w:rsidR="00622541" w:rsidRPr="002A5818">
        <w:rPr>
          <w:b/>
          <w:bCs/>
        </w:rPr>
        <w:t xml:space="preserve"> re</w:t>
      </w:r>
      <w:r w:rsidRPr="002A5818">
        <w:rPr>
          <w:b/>
          <w:bCs/>
        </w:rPr>
        <w:t xml:space="preserve">spectivement </w:t>
      </w:r>
      <w:r w:rsidR="00A40791" w:rsidRPr="002A5818">
        <w:rPr>
          <w:b/>
          <w:bCs/>
        </w:rPr>
        <w:t>255 000 tonnes</w:t>
      </w:r>
      <w:r w:rsidRPr="002A5818">
        <w:rPr>
          <w:b/>
          <w:bCs/>
        </w:rPr>
        <w:t xml:space="preserve"> et 450 000 tonnes en 2026.</w:t>
      </w:r>
      <w:bookmarkEnd w:id="126"/>
    </w:p>
    <w:p w14:paraId="50F37DCB" w14:textId="2BF2BDD0" w:rsidR="00A40791" w:rsidRPr="002A5818" w:rsidRDefault="00A40791" w:rsidP="00A40791">
      <w:pPr>
        <w:spacing w:after="0"/>
      </w:pPr>
      <w:r w:rsidRPr="002A5818">
        <w:t xml:space="preserve">La </w:t>
      </w:r>
      <w:bookmarkStart w:id="127" w:name="_Hlk220771246"/>
      <w:r w:rsidRPr="002A5818">
        <w:t>production nationale de pommes de terre attendue en 2026 est estimée à plus de 255</w:t>
      </w:r>
      <w:r w:rsidR="005D5A3B">
        <w:t> </w:t>
      </w:r>
      <w:r w:rsidRPr="002A5818">
        <w:t>000</w:t>
      </w:r>
      <w:r w:rsidR="005D5A3B">
        <w:t> </w:t>
      </w:r>
      <w:r w:rsidRPr="002A5818">
        <w:t xml:space="preserve">tonnes </w:t>
      </w:r>
      <w:bookmarkEnd w:id="127"/>
      <w:r w:rsidRPr="002A5818">
        <w:t>contre des besoins évalués à environ 210 000 tonnes sur une période de 14 mois, a annoncé</w:t>
      </w:r>
      <w:r w:rsidR="00622541" w:rsidRPr="002A5818">
        <w:t xml:space="preserve"> le 23 janvier</w:t>
      </w:r>
      <w:r w:rsidRPr="002A5818">
        <w:t>, le ministre de l’</w:t>
      </w:r>
      <w:r w:rsidR="00622541" w:rsidRPr="002A5818">
        <w:t>a</w:t>
      </w:r>
      <w:r w:rsidRPr="002A5818">
        <w:t xml:space="preserve">griculture, de la </w:t>
      </w:r>
      <w:r w:rsidR="00622541" w:rsidRPr="002A5818">
        <w:t>s</w:t>
      </w:r>
      <w:r w:rsidRPr="002A5818">
        <w:t>ouveraineté alimentaire et de l’</w:t>
      </w:r>
      <w:r w:rsidR="00622541" w:rsidRPr="002A5818">
        <w:t>é</w:t>
      </w:r>
      <w:r w:rsidRPr="002A5818">
        <w:t xml:space="preserve">levage, </w:t>
      </w:r>
      <w:r w:rsidR="00622541" w:rsidRPr="002A5818">
        <w:t xml:space="preserve">M. </w:t>
      </w:r>
      <w:r w:rsidRPr="002A5818">
        <w:t>Mabouba Diagne.</w:t>
      </w:r>
      <w:r w:rsidR="00622541" w:rsidRPr="002A5818">
        <w:t xml:space="preserve"> Le ministre </w:t>
      </w:r>
      <w:r w:rsidRPr="002A5818">
        <w:t>visitait les installations de Swamy Agri, une entreprise spécialisée dans la production de pommes de terre et d’oignons, à l’occasion du lancement de la campagne de récolte.</w:t>
      </w:r>
      <w:r w:rsidR="00622541" w:rsidRPr="002A5818">
        <w:t xml:space="preserve"> Selon le ministre c</w:t>
      </w:r>
      <w:r w:rsidRPr="002A5818">
        <w:t>ette performance repose essentiellement sur la disponibilité des semences, ajoutant que sur un total de 30 896 tonnes de semences, Swamy Agri en détient 11 000 tonnes issues en grande partie d’une production locale estimée à 14 000 tonnes dont 3 000 cédées à d’autres producteurs.</w:t>
      </w:r>
      <w:r w:rsidR="00622541" w:rsidRPr="002A5818">
        <w:t xml:space="preserve"> </w:t>
      </w:r>
      <w:r w:rsidRPr="002A5818">
        <w:t xml:space="preserve">Il a précisé que les importations officielles de semences réceptionnées au port de Dakar par la Direction de la </w:t>
      </w:r>
      <w:r w:rsidRPr="002A5818">
        <w:lastRenderedPageBreak/>
        <w:t>protection des végétaux (DPV) s’élèvent à 16 896 tonnes.</w:t>
      </w:r>
      <w:r w:rsidR="00622541" w:rsidRPr="002A5818">
        <w:t xml:space="preserve"> </w:t>
      </w:r>
      <w:r w:rsidRPr="002A5818">
        <w:t>Le ministre a également souligné que la production de Swamy Agri est, à elle seule, estimée à 155 000 tonnes avec des rendements compris entre 40 et 45 tonnes</w:t>
      </w:r>
      <w:r w:rsidR="00622541" w:rsidRPr="002A5818">
        <w:t>/ha</w:t>
      </w:r>
      <w:r w:rsidRPr="002A5818">
        <w:t>, tandis que le reste du pays devrait produire environ 100</w:t>
      </w:r>
      <w:r w:rsidR="005D5A3B">
        <w:t> </w:t>
      </w:r>
      <w:r w:rsidRPr="002A5818">
        <w:t>000</w:t>
      </w:r>
      <w:r w:rsidR="005D5A3B">
        <w:t> </w:t>
      </w:r>
      <w:r w:rsidRPr="002A5818">
        <w:t>tonnes avec des rendements moyens de 25 tonnes à l’hectare chez les petits producteurs.</w:t>
      </w:r>
      <w:r w:rsidR="00622541" w:rsidRPr="002A5818">
        <w:t xml:space="preserve"> </w:t>
      </w:r>
      <w:r w:rsidRPr="002A5818">
        <w:t xml:space="preserve">Au-delà de la production, </w:t>
      </w:r>
      <w:r w:rsidR="00622541" w:rsidRPr="002A5818">
        <w:t xml:space="preserve">le ministre </w:t>
      </w:r>
      <w:r w:rsidRPr="002A5818">
        <w:t>a insisté sur l’enjeu stratégique du stockage.</w:t>
      </w:r>
      <w:r w:rsidR="00622541" w:rsidRPr="002A5818">
        <w:t xml:space="preserve"> </w:t>
      </w:r>
      <w:r w:rsidRPr="002A5818">
        <w:t>La capacité nationale de stockage frigorifique de la pomme de terre est actuellement estimée à 180 000 tonnes, dont 145 000 tonnes détenues par Swamy Agri. Plusieurs investisseurs nationaux et privés contribuent également à cet effort avec des capacités de stockage comprises entre 2 000 et 12 000 tonnes</w:t>
      </w:r>
      <w:r w:rsidR="00622541" w:rsidRPr="002A5818">
        <w:t xml:space="preserve"> </w:t>
      </w:r>
      <w:r w:rsidRPr="002A5818">
        <w:t>a-t-il souligné.</w:t>
      </w:r>
      <w:r w:rsidR="00622541" w:rsidRPr="002A5818">
        <w:t xml:space="preserve"> </w:t>
      </w:r>
      <w:r w:rsidRPr="002A5818">
        <w:t>Fort de ces acquis, le gouvernement envisage désormais des opportunités d’exportation vers la sous-région, notamment le Mali, le Burkina Faso et la Côte d’Ivoire. Des mécanismes innovants d’échanges commerciaux tels que des accords de troc agricole sont également à l’étude, d’après M. Diagne.</w:t>
      </w:r>
      <w:r w:rsidR="00622541" w:rsidRPr="002A5818">
        <w:t xml:space="preserve"> </w:t>
      </w:r>
      <w:r w:rsidRPr="002A5818">
        <w:t>En revanche, il a reconnu que l’oignon demeure un défi majeur, soutenant que malgré une production nationale estimée à 450 000 tonnes, les besoins du marché et les pertes post-récolte liées à l’insuffisance des capacités de stockage, persistent</w:t>
      </w:r>
      <w:r w:rsidR="00622541" w:rsidRPr="002A5818">
        <w:t xml:space="preserve">. Le ministre </w:t>
      </w:r>
      <w:r w:rsidRPr="002A5818">
        <w:t xml:space="preserve">a invité le secteur privé national à investir dans les infrastructures de conservation, soulignant qu’un investissement de 9 </w:t>
      </w:r>
      <w:r w:rsidR="00622541" w:rsidRPr="002A5818">
        <w:t>Md F</w:t>
      </w:r>
      <w:r w:rsidRPr="002A5818">
        <w:t>CFA permettrait de créer une capacité de stockage supplémentaire de 35 000 tonnes.</w:t>
      </w:r>
      <w:r w:rsidR="00622541" w:rsidRPr="002A5818">
        <w:t xml:space="preserve"> </w:t>
      </w:r>
      <w:r w:rsidRPr="002A5818">
        <w:t>Il a en outre exhorté Swamy Agri à renforcer sa responsabilité sociétale en collaborant avec les institutions nationales de recherche afin de proposer des kits techniques pour la pomme de terre et l’oignon, destinés à améliorer la productivité des petits producteurs et à restaurer la fertilité des sols.</w:t>
      </w:r>
    </w:p>
    <w:p w14:paraId="0506CDAB" w14:textId="77777777" w:rsidR="00A40791" w:rsidRPr="002A5818" w:rsidRDefault="00A40791" w:rsidP="00A40791">
      <w:pPr>
        <w:spacing w:after="0"/>
      </w:pPr>
    </w:p>
    <w:p w14:paraId="692875A4" w14:textId="6253CB04" w:rsidR="00AD29B4" w:rsidRPr="002A5818" w:rsidRDefault="00AD29B4" w:rsidP="00897B7E">
      <w:pPr>
        <w:keepNext/>
        <w:keepLines/>
        <w:spacing w:after="0"/>
        <w:outlineLvl w:val="1"/>
        <w:rPr>
          <w:rFonts w:eastAsiaTheme="majorEastAsia" w:cstheme="majorBidi"/>
          <w:b/>
          <w:bCs/>
          <w:szCs w:val="26"/>
        </w:rPr>
      </w:pPr>
      <w:bookmarkStart w:id="128" w:name="_Toc221044208"/>
      <w:bookmarkStart w:id="129" w:name="_Hlk220090736"/>
      <w:r w:rsidRPr="002A5818">
        <w:rPr>
          <w:b/>
          <w:bCs/>
        </w:rPr>
        <w:t xml:space="preserve">Pomme de terre et oignon </w:t>
      </w:r>
      <w:r w:rsidR="00C31973" w:rsidRPr="002A5818">
        <w:rPr>
          <w:b/>
          <w:bCs/>
        </w:rPr>
        <w:t>–</w:t>
      </w:r>
      <w:r w:rsidRPr="002A5818">
        <w:rPr>
          <w:b/>
          <w:bCs/>
        </w:rPr>
        <w:t xml:space="preserve"> </w:t>
      </w:r>
      <w:r w:rsidR="00C31973" w:rsidRPr="002A5818">
        <w:rPr>
          <w:b/>
          <w:bCs/>
        </w:rPr>
        <w:t>La nouvelle s</w:t>
      </w:r>
      <w:r w:rsidRPr="002A5818">
        <w:rPr>
          <w:b/>
          <w:bCs/>
        </w:rPr>
        <w:t>uspension des importations</w:t>
      </w:r>
      <w:r w:rsidR="00C31973" w:rsidRPr="002A5818">
        <w:rPr>
          <w:b/>
          <w:bCs/>
        </w:rPr>
        <w:t xml:space="preserve"> témoigne de la nouvelle politique commerciale du gouvernement</w:t>
      </w:r>
      <w:r w:rsidRPr="002A5818">
        <w:rPr>
          <w:b/>
          <w:bCs/>
        </w:rPr>
        <w:t>.</w:t>
      </w:r>
      <w:bookmarkEnd w:id="128"/>
    </w:p>
    <w:bookmarkEnd w:id="129"/>
    <w:p w14:paraId="16D93206" w14:textId="122CEFFB" w:rsidR="00AD29B4" w:rsidRPr="002A5818" w:rsidRDefault="00AD29B4" w:rsidP="00C31973">
      <w:pPr>
        <w:spacing w:after="0"/>
      </w:pPr>
      <w:r w:rsidRPr="002A5818">
        <w:t>Le ministère de l’industrie et du commerce a annoncé le 16 janvier la suspension immédiate</w:t>
      </w:r>
      <w:r w:rsidR="00897B7E" w:rsidRPr="002A5818">
        <w:t xml:space="preserve"> </w:t>
      </w:r>
      <w:r w:rsidRPr="002A5818">
        <w:t>des importations de pomme de terre et d’oignon. Cette décision intervient conformément aux conclusions d’une réunion qui s’est tenue le 13 janvier au siège de l’Agence de régulation des marchés (ARM), consacrée à la préparation de la campagne de commercialisation 2025-2026 de ces deux produits. La production locale de pomme de terre</w:t>
      </w:r>
      <w:r w:rsidR="00622541" w:rsidRPr="002A5818">
        <w:t xml:space="preserve"> </w:t>
      </w:r>
      <w:r w:rsidRPr="002A5818">
        <w:t>sera disponible sur le marché à compter du 15 janvier et la production locale d’oignon, un mois plus tard, à partir du 15 février. Les statistiques douanières les plus récentes indiquent que les importations programmées, sous forme de quotas, ont été exécutées à hauteur de 95% et que les stocks constitués sont suffisants pour couvrir les besoins du marché jusqu’à l’arrivée de la production locale. La suspension des importations vise à sécuriser l’écoulement de la production locale, ainsi que la préservation de la stabilité des prix, selon le ministère de l’industrie et du commerce. Le ministère a invité les opérateurs économiques ayant des cargaisons en mer ou en cours d’acheminement à prendre contact avec les autorités compétentes afin de définir les modalités de gestion de ces flux.</w:t>
      </w:r>
      <w:r w:rsidR="00221532" w:rsidRPr="002A5818">
        <w:t xml:space="preserve"> La nouvelle stratégie commerciale du gouvernement est axée sur la protection de la production locale et une régulation stricte du marché, cette politique vise à transformer structurellement l'économie agricole sénégalaise pour réduire durablement la dépendance extérieure alors que les filières maraîchères ont affiché des résultats records en 2025 et les prévisions de productions pour 2026 s’avèrent favorables. Pour l'oignon, le Sénégal a réussi l'année dernière à couvrir ses besoins nationaux à hauteur de 75%, se passant d'importations pendant neuf mois consécutifs. Le volume des importations est ainsi tombé à 350 000 tonnes, un signal fort pour les producteurs locaux. La filière carotte n'est pas en reste avec dix mois d'autonomie nationale. Cependant, c'est la pomme de terre qui signe la </w:t>
      </w:r>
      <w:r w:rsidR="00221532" w:rsidRPr="002A5818">
        <w:lastRenderedPageBreak/>
        <w:t xml:space="preserve">performance la plus marquante. Le marché est resté fermé aux produits étrangers depuis janvier 2025, totalisant près de douze mois sans importations. Le gouvernement </w:t>
      </w:r>
      <w:r w:rsidR="00C31973" w:rsidRPr="002A5818">
        <w:t xml:space="preserve">veut </w:t>
      </w:r>
      <w:r w:rsidR="00221532" w:rsidRPr="002A5818">
        <w:t>soutenir les filières en croissance</w:t>
      </w:r>
      <w:r w:rsidR="00C31973" w:rsidRPr="002A5818">
        <w:t xml:space="preserve"> et n’a pas hésité récemment à suspendre les </w:t>
      </w:r>
      <w:r w:rsidR="00221532" w:rsidRPr="002A5818">
        <w:t>importation</w:t>
      </w:r>
      <w:r w:rsidR="00C31973" w:rsidRPr="002A5818">
        <w:t>s</w:t>
      </w:r>
      <w:r w:rsidR="00221532" w:rsidRPr="002A5818">
        <w:t xml:space="preserve"> de la banane, une mesure qui devrait permettre de doubler la période de couverture nationale, passant de trois à six mois dès l'année prochaine. Une stratégie de protection similaire est en cours d'élaboration pour le maïs.</w:t>
      </w:r>
      <w:r w:rsidR="00C31973" w:rsidRPr="002A5818">
        <w:t xml:space="preserve"> </w:t>
      </w:r>
      <w:r w:rsidR="00221532" w:rsidRPr="002A5818">
        <w:t>Concernant le riz, les autorités imposent désormais une conditionnalité stricte</w:t>
      </w:r>
      <w:r w:rsidR="00C31973" w:rsidRPr="002A5818">
        <w:t> :</w:t>
      </w:r>
      <w:r w:rsidR="00221532" w:rsidRPr="002A5818">
        <w:t xml:space="preserve"> aucun commerçant ne pourra importer du riz brisé sans avoir préalablement acheté un quota de riz local. Grâce aux subventions et à la concertation avec les acteurs de la filière, la production nationale assure aujourd'hui quatre mois de consommation.</w:t>
      </w:r>
    </w:p>
    <w:p w14:paraId="2AD6E58F" w14:textId="77777777" w:rsidR="00A40791" w:rsidRPr="002A5818" w:rsidRDefault="00A40791" w:rsidP="00AD29B4">
      <w:pPr>
        <w:spacing w:after="0"/>
      </w:pPr>
    </w:p>
    <w:p w14:paraId="1DCEA6EE" w14:textId="632AF331" w:rsidR="007D6734" w:rsidRPr="002A5818" w:rsidRDefault="007D6734" w:rsidP="002A0331">
      <w:pPr>
        <w:keepNext/>
        <w:keepLines/>
        <w:spacing w:after="0"/>
        <w:outlineLvl w:val="1"/>
        <w:rPr>
          <w:rFonts w:eastAsiaTheme="majorEastAsia" w:cstheme="majorBidi"/>
          <w:b/>
          <w:bCs/>
          <w:szCs w:val="26"/>
        </w:rPr>
      </w:pPr>
      <w:bookmarkStart w:id="130" w:name="_Toc221044209"/>
      <w:r w:rsidRPr="002A5818">
        <w:rPr>
          <w:b/>
          <w:bCs/>
        </w:rPr>
        <w:t>Semence - Plus de 102 tonnes de semences produites par l’Institut sénégalais de recherches agricoles (ISRA) en contre-saison chaude 2025.</w:t>
      </w:r>
      <w:bookmarkEnd w:id="130"/>
    </w:p>
    <w:p w14:paraId="27B33FA1" w14:textId="7A229F11" w:rsidR="007D6734" w:rsidRPr="002A5818" w:rsidRDefault="007D6734" w:rsidP="007D6734">
      <w:pPr>
        <w:spacing w:after="0"/>
      </w:pPr>
      <w:r w:rsidRPr="002A5818">
        <w:t>L’ISRA a produit plus de 102 tonnes de semences certifiées (G2, G3 et de base) au cours de la contre-saison chaude de 2025, a annoncé le 16 janvier, son directeur général, M. Moustapha Guèye. Cette production concerne notamment le niébé, le blé, l’arachide, le riz et le sorgho. Selon les données présentées, l’arachide arrive largement en tête avec une production de plus de 93 tonnes. Pour l’hivernage l’ISRA a produit plus de 120 tonnes toutes spéculations et niveaux confondus. Les partenaires sous contrat de multiplication ont quant à eux produit près de 250 tonnes de semences de prébase. Le président du conseil d’administration de l’ISRA, M. Mbaye Sylla Khouma, a souligné que le Sénégal est engagé dans un processus de reconstruction du capital semencier perdu au fil des années. L’un des principaux problèmes qui demeure avec l’arachide reste la faiblesse des rendements à l’hectare, la moyenne nationale étant d’environ 800kg/ha, alors que les autorités ambitionnent d’atteindre 2</w:t>
      </w:r>
      <w:r w:rsidR="002A0331" w:rsidRPr="002A5818">
        <w:t> </w:t>
      </w:r>
      <w:r w:rsidRPr="002A5818">
        <w:t>tonnes/ha.</w:t>
      </w:r>
    </w:p>
    <w:p w14:paraId="6AC1C497" w14:textId="7E62035E" w:rsidR="004F247B" w:rsidRPr="002A5818" w:rsidRDefault="004F247B" w:rsidP="00AD29B4">
      <w:pPr>
        <w:spacing w:after="0"/>
      </w:pPr>
    </w:p>
    <w:p w14:paraId="0C57665B" w14:textId="15083FBC" w:rsidR="006C458E" w:rsidRPr="002A5818" w:rsidRDefault="000A6BD6" w:rsidP="007356CD">
      <w:pPr>
        <w:keepNext/>
        <w:keepLines/>
        <w:spacing w:after="0"/>
        <w:outlineLvl w:val="1"/>
        <w:rPr>
          <w:rFonts w:eastAsiaTheme="majorEastAsia" w:cstheme="majorBidi"/>
          <w:b/>
          <w:bCs/>
          <w:szCs w:val="26"/>
        </w:rPr>
      </w:pPr>
      <w:bookmarkStart w:id="131" w:name="_Toc221044210"/>
      <w:bookmarkStart w:id="132" w:name="_Hlk220796625"/>
      <w:r w:rsidRPr="002A5818">
        <w:rPr>
          <w:b/>
          <w:bCs/>
        </w:rPr>
        <w:t>Pêche -</w:t>
      </w:r>
      <w:r w:rsidR="002B4C23" w:rsidRPr="002A5818">
        <w:rPr>
          <w:b/>
          <w:bCs/>
        </w:rPr>
        <w:t xml:space="preserve"> L’Union nationale des pêcheurs artisanaux du Sénégal (UNAPAS) </w:t>
      </w:r>
      <w:r w:rsidR="007356CD" w:rsidRPr="002A5818">
        <w:rPr>
          <w:b/>
          <w:bCs/>
        </w:rPr>
        <w:t>demande que la zone comprise entre 0 et 12 miles nautiques soit réservée exclusivement à la pêche artisanale.</w:t>
      </w:r>
      <w:bookmarkEnd w:id="131"/>
    </w:p>
    <w:p w14:paraId="4E965C4E" w14:textId="076542D4" w:rsidR="006C458E" w:rsidRPr="002A5818" w:rsidRDefault="000A6BD6" w:rsidP="000A6BD6">
      <w:pPr>
        <w:spacing w:after="0"/>
      </w:pPr>
      <w:bookmarkStart w:id="133" w:name="_Hlk219718025"/>
      <w:bookmarkEnd w:id="132"/>
      <w:r w:rsidRPr="002A5818">
        <w:t>L’Union nationale des pêcheurs artisanaux du Sénégal (UNAPAS) a lancé le 4 janvier une campagne pour la limitation des bateaux de pêche industrielle à 12 miles nautiques</w:t>
      </w:r>
      <w:bookmarkEnd w:id="133"/>
      <w:r w:rsidRPr="002A5818">
        <w:t>.</w:t>
      </w:r>
      <w:r w:rsidR="002B4C23" w:rsidRPr="002A5818">
        <w:t xml:space="preserve"> Pour l’UNAPAS, c</w:t>
      </w:r>
      <w:r w:rsidRPr="002A5818">
        <w:t xml:space="preserve">ette mesure devrait garantir aux pêcheurs artisanaux des conditions de travail sécurisées, afin de pouvoir continuer à approvisionner les populations sénégalaises en poisson </w:t>
      </w:r>
      <w:r w:rsidR="002B4C23" w:rsidRPr="002A5818">
        <w:t xml:space="preserve">en </w:t>
      </w:r>
      <w:r w:rsidRPr="002A5818">
        <w:t>qualité et en quantité suffisante.</w:t>
      </w:r>
      <w:r w:rsidR="002B4C23" w:rsidRPr="002A5818">
        <w:t xml:space="preserve"> Selon l’UNAPAS, les </w:t>
      </w:r>
      <w:r w:rsidRPr="002A5818">
        <w:t xml:space="preserve">pêcheurs artisanaux vivent quotidiennement la destruction de leurs filets et de leurs engins de pêche par des navires industriels qui descendent nuitamment en dessous de la limite autorisée des </w:t>
      </w:r>
      <w:r w:rsidR="002B4C23" w:rsidRPr="002A5818">
        <w:t>6</w:t>
      </w:r>
      <w:r w:rsidRPr="002A5818">
        <w:t xml:space="preserve"> miles nautiques</w:t>
      </w:r>
      <w:r w:rsidR="002B4C23" w:rsidRPr="002A5818">
        <w:t xml:space="preserve">. Pour l’UNAPAS, </w:t>
      </w:r>
      <w:r w:rsidRPr="002A5818">
        <w:t>aucune mesure concrète n’a été prise pour mettre fin aux incursions répétées des bateaux de pêche industrielle dans la zone réservée à la pêche artisanale, alors même que cette zone est devenue exiguë en raison de la pression croissante sur les ressources halieutiques et de l’augmentation du nombre de pirogues</w:t>
      </w:r>
      <w:r w:rsidR="002B4C23" w:rsidRPr="002A5818">
        <w:t>. Aussi, l</w:t>
      </w:r>
      <w:r w:rsidRPr="002A5818">
        <w:t xml:space="preserve">’UNAPAS </w:t>
      </w:r>
      <w:bookmarkStart w:id="134" w:name="_Hlk219718045"/>
      <w:r w:rsidRPr="002A5818">
        <w:t xml:space="preserve">demande </w:t>
      </w:r>
      <w:r w:rsidR="002B4C23" w:rsidRPr="002A5818">
        <w:t xml:space="preserve">que </w:t>
      </w:r>
      <w:r w:rsidRPr="002A5818">
        <w:t>la zone comprise entre 0 et 12 miles nautiques soit réservée exclusivement à la pêche artisanale</w:t>
      </w:r>
      <w:bookmarkEnd w:id="134"/>
      <w:r w:rsidRPr="002A5818">
        <w:t xml:space="preserve">, </w:t>
      </w:r>
      <w:r w:rsidR="002B4C23" w:rsidRPr="002A5818">
        <w:t xml:space="preserve">et </w:t>
      </w:r>
      <w:r w:rsidRPr="002A5818">
        <w:t>que le</w:t>
      </w:r>
      <w:r w:rsidR="002B4C23" w:rsidRPr="002A5818">
        <w:t>s</w:t>
      </w:r>
      <w:r w:rsidRPr="002A5818">
        <w:t xml:space="preserve"> bateaux industriels </w:t>
      </w:r>
      <w:r w:rsidR="002B4C23" w:rsidRPr="002A5818">
        <w:t xml:space="preserve">soient repoussés </w:t>
      </w:r>
      <w:r w:rsidRPr="002A5818">
        <w:t>au-delà de cette limite.</w:t>
      </w:r>
      <w:r w:rsidR="002B4C23" w:rsidRPr="002A5818">
        <w:t xml:space="preserve"> L</w:t>
      </w:r>
      <w:r w:rsidRPr="002A5818">
        <w:t>’UNAPAS réclame</w:t>
      </w:r>
      <w:r w:rsidR="002B4C23" w:rsidRPr="002A5818">
        <w:t xml:space="preserve"> également </w:t>
      </w:r>
      <w:r w:rsidRPr="002A5818">
        <w:t>la réalisation et la publication d’un audit du pavillon de pêche sénégalais.</w:t>
      </w:r>
    </w:p>
    <w:p w14:paraId="52C18333" w14:textId="77777777" w:rsidR="007A171E" w:rsidRPr="002A5818" w:rsidRDefault="007A171E" w:rsidP="000A6BD6">
      <w:pPr>
        <w:spacing w:after="0"/>
      </w:pPr>
    </w:p>
    <w:p w14:paraId="514991FF" w14:textId="5DAB0442" w:rsidR="00056B7B" w:rsidRPr="002A5818" w:rsidRDefault="00056B7B" w:rsidP="00056B7B">
      <w:pPr>
        <w:keepNext/>
        <w:keepLines/>
        <w:spacing w:after="0"/>
        <w:outlineLvl w:val="1"/>
        <w:rPr>
          <w:rFonts w:eastAsiaTheme="majorEastAsia" w:cstheme="majorBidi"/>
          <w:b/>
          <w:bCs/>
          <w:szCs w:val="26"/>
        </w:rPr>
      </w:pPr>
      <w:bookmarkStart w:id="135" w:name="_Toc221044211"/>
      <w:r w:rsidRPr="002A5818">
        <w:rPr>
          <w:b/>
          <w:bCs/>
        </w:rPr>
        <w:lastRenderedPageBreak/>
        <w:t>Elevage – Le ministre de l’agriculture, de la souveraineté alimentaire et de l’élevage a l’ambition de transformer l’élevage en un moteur de croissance économique.</w:t>
      </w:r>
      <w:bookmarkEnd w:id="135"/>
    </w:p>
    <w:p w14:paraId="5113A1D3" w14:textId="795E4C22" w:rsidR="00056B7B" w:rsidRPr="002A5818" w:rsidRDefault="00056B7B" w:rsidP="00056B7B">
      <w:pPr>
        <w:spacing w:after="0"/>
      </w:pPr>
      <w:bookmarkStart w:id="136" w:name="_Hlk220796593"/>
      <w:r w:rsidRPr="002A5818">
        <w:t xml:space="preserve">Le ministre de l’agriculture, de la souveraineté alimentaire et de l’élevage, </w:t>
      </w:r>
      <w:bookmarkEnd w:id="136"/>
      <w:r w:rsidRPr="002A5818">
        <w:t xml:space="preserve">M. Mabouba Diagne, a exposé une vision stratégique pour </w:t>
      </w:r>
      <w:bookmarkStart w:id="137" w:name="_Hlk220796579"/>
      <w:r w:rsidRPr="002A5818">
        <w:t>transformer l’élevage en un moteur de croissance économique</w:t>
      </w:r>
      <w:bookmarkEnd w:id="137"/>
      <w:r w:rsidRPr="002A5818">
        <w:t>. Selon lui, ce secteur pèse déjà plus de 1 000 Md FCFA dans le PIB national, surpassant ainsi plusieurs industries extractives. Cette puissance économique s’appuie notamment sur une filière viande très active, avec environ 10 000 moutons abattus chaque semaine à Dakar et une demande nationale exponentielle lors des célébrations religieuses. Le ministre a particulièrement insisté sur le paradoxe de la filière laitière. Actuellement, le Sénégal importe chaque année entre 65 et 75 Md FCFA de poudre de lait, ce qui représente un volume de près de 900 M de litres. Pour le ministre, cette dépendance n'est pas une fatalité. Pour inverser cette tendance, il propose un modèle de modernisation basé sur l'introduction de 150 000 vaches laitières génétiquement améliorées. Avec une productivité moyenne de 20</w:t>
      </w:r>
      <w:r w:rsidR="005D5A3B">
        <w:t> </w:t>
      </w:r>
      <w:r w:rsidRPr="002A5818">
        <w:t>litres</w:t>
      </w:r>
      <w:r w:rsidR="005D5A3B">
        <w:t>/</w:t>
      </w:r>
      <w:r w:rsidRPr="002A5818">
        <w:t>jour par bête, ce cheptel permettrait non seulement de couvrir les besoins nationaux, mais aussi de structurer une véritable chaîne de valeur allant de la collecte à la distribution. Un tel projet pourrait générer plus de 40 000 emplois directs et indirects. Le ministre a exhorté les investisseurs privés sénégalais ainsi que la diaspora à se tourner vers l’élevage industriel moderne. Il soutient que le secteur est hautement rentable dès lors qu'il bénéficie d'une structuration adéquate. Le ministre plaide ainsi pour une intégration renforcée entre l'agriculture, pour l'alimentation animale, et les services vétérinaires incluant l'insémination et la santé animale. En conclusion, il appelle à la mise en place d'un cadre de partenariat public-privé solide pour soutenir cette ambition de souveraineté alimentaire.</w:t>
      </w:r>
    </w:p>
    <w:p w14:paraId="5AFBE9C3" w14:textId="77777777" w:rsidR="00056B7B" w:rsidRPr="002A5818" w:rsidRDefault="00056B7B" w:rsidP="000A6BD6">
      <w:pPr>
        <w:spacing w:after="0"/>
      </w:pPr>
    </w:p>
    <w:p w14:paraId="5068072D" w14:textId="77777777" w:rsidR="002F52BE" w:rsidRPr="002A5818" w:rsidRDefault="002F52BE" w:rsidP="002F52BE">
      <w:pPr>
        <w:keepNext/>
        <w:keepLines/>
        <w:spacing w:after="0"/>
        <w:outlineLvl w:val="1"/>
        <w:rPr>
          <w:rFonts w:eastAsiaTheme="majorEastAsia" w:cstheme="majorBidi"/>
          <w:b/>
          <w:bCs/>
          <w:szCs w:val="26"/>
        </w:rPr>
      </w:pPr>
      <w:bookmarkStart w:id="138" w:name="_Toc221044212"/>
      <w:bookmarkStart w:id="139" w:name="_Hlk220089381"/>
      <w:r w:rsidRPr="002A5818">
        <w:rPr>
          <w:b/>
          <w:bCs/>
        </w:rPr>
        <w:t xml:space="preserve">Elevage – Inauguration </w:t>
      </w:r>
      <w:bookmarkStart w:id="140" w:name="_Hlk220088730"/>
      <w:r w:rsidRPr="002A5818">
        <w:rPr>
          <w:b/>
          <w:bCs/>
        </w:rPr>
        <w:t>d’une coopérative agricole communautaire</w:t>
      </w:r>
      <w:bookmarkEnd w:id="140"/>
      <w:r w:rsidRPr="002A5818">
        <w:rPr>
          <w:b/>
          <w:bCs/>
        </w:rPr>
        <w:t xml:space="preserve"> dont le gouvernement ambitionne de faire un pôle structurant de transformation de l’élevage.</w:t>
      </w:r>
      <w:bookmarkEnd w:id="138"/>
    </w:p>
    <w:bookmarkEnd w:id="139"/>
    <w:p w14:paraId="7BB6C7C0" w14:textId="6633C7B7" w:rsidR="002F52BE" w:rsidRPr="002A5818" w:rsidRDefault="002F52BE" w:rsidP="000A6BD6">
      <w:pPr>
        <w:spacing w:after="0"/>
      </w:pPr>
      <w:r w:rsidRPr="002A5818">
        <w:t>Le ministre de l’agriculture, de la souveraineté alimentaire et de l’élevage, M. Mabouba Diagne, a procédé, le 22 janvier à l’inauguration d’une Coopérative agricole communautaire (CAC) d’une superficie de 500 ha, dédiée notamment au développement des cultures fourragères à Keur Momar Sarr. Cette CAC, réalisée avec l’appui de partenaires techniques et financiers dont la FAO, qui y contribue à hauteur de 250 000 dollars, intégrera un centre d’amélioration génétique et de transfert d’embryons, ainsi qu’un dispositif de formation, de démonstration et d’incubation au profit des éleveurs, des jeunes et des femmes.</w:t>
      </w:r>
    </w:p>
    <w:p w14:paraId="4B89EDB5" w14:textId="77777777" w:rsidR="006F3B30" w:rsidRPr="002A5818" w:rsidRDefault="006F3B30" w:rsidP="006F3B30">
      <w:pPr>
        <w:keepNext/>
        <w:keepLines/>
        <w:spacing w:after="0"/>
        <w:outlineLvl w:val="1"/>
        <w:rPr>
          <w:b/>
          <w:bCs/>
        </w:rPr>
      </w:pPr>
    </w:p>
    <w:p w14:paraId="3FFCC6E5" w14:textId="6834C582" w:rsidR="00492139" w:rsidRPr="002A5818" w:rsidRDefault="00D73945" w:rsidP="006F3B30">
      <w:pPr>
        <w:keepNext/>
        <w:keepLines/>
        <w:spacing w:after="0"/>
        <w:outlineLvl w:val="1"/>
        <w:rPr>
          <w:rFonts w:eastAsiaTheme="majorEastAsia" w:cstheme="majorBidi"/>
          <w:b/>
          <w:bCs/>
          <w:szCs w:val="26"/>
        </w:rPr>
      </w:pPr>
      <w:bookmarkStart w:id="141" w:name="_Toc221044213"/>
      <w:r w:rsidRPr="002A5818">
        <w:rPr>
          <w:b/>
          <w:bCs/>
        </w:rPr>
        <w:t>Huitre – Journée nationale.</w:t>
      </w:r>
      <w:bookmarkEnd w:id="141"/>
    </w:p>
    <w:p w14:paraId="7E636F0B" w14:textId="54FF4541" w:rsidR="00492139" w:rsidRPr="002A5818" w:rsidRDefault="00161957" w:rsidP="00492139">
      <w:pPr>
        <w:spacing w:after="0"/>
      </w:pPr>
      <w:r w:rsidRPr="002A5818">
        <w:t xml:space="preserve">Dans une optique d’autonomisation du Réseau National des Acteurs de la Chaîne de Valeur des Huîtres (RENACVAH), la FAO lui a confié l’organisation de la Journée nationale de l’huître qui a été célébrée le 29 janvier à </w:t>
      </w:r>
      <w:r w:rsidR="00492139" w:rsidRPr="002A5818">
        <w:t xml:space="preserve">Dakar, </w:t>
      </w:r>
      <w:r w:rsidRPr="002A5818">
        <w:t>pour témoigner des</w:t>
      </w:r>
      <w:r w:rsidR="00D73945" w:rsidRPr="002A5818">
        <w:t xml:space="preserve"> transformation</w:t>
      </w:r>
      <w:r w:rsidRPr="002A5818">
        <w:t>s</w:t>
      </w:r>
      <w:r w:rsidR="00D73945" w:rsidRPr="002A5818">
        <w:t xml:space="preserve"> </w:t>
      </w:r>
      <w:r w:rsidR="00492139" w:rsidRPr="002A5818">
        <w:t>d’une filière longtemps artisanale</w:t>
      </w:r>
      <w:r w:rsidR="00D73945" w:rsidRPr="002A5818">
        <w:t xml:space="preserve">. </w:t>
      </w:r>
      <w:r w:rsidR="006F3B30" w:rsidRPr="002A5818">
        <w:t xml:space="preserve">Des infrastructures modernisées à Dakar, Soucouta et Némaba dans les îles du Saloum témoignent de ces transformations. </w:t>
      </w:r>
      <w:r w:rsidR="00D73945" w:rsidRPr="002A5818">
        <w:t>Pour la ministre des pêches et de l’économie maritime, le Dr Fatou Diouf, l</w:t>
      </w:r>
      <w:r w:rsidR="00492139" w:rsidRPr="002A5818">
        <w:t>es huîtres du Sénégal ne sont pas seulement une ressource halieutique</w:t>
      </w:r>
      <w:r w:rsidR="00D73945" w:rsidRPr="002A5818">
        <w:t>,</w:t>
      </w:r>
      <w:r w:rsidR="00492139" w:rsidRPr="002A5818">
        <w:t xml:space="preserve"> elles sont un vecteur d’autonomisation, notamment pour les femmes, qui jouent un rôle central dans la collecte, la transformation et la commercialisation.</w:t>
      </w:r>
      <w:r w:rsidRPr="002A5818">
        <w:t xml:space="preserve"> </w:t>
      </w:r>
      <w:r w:rsidR="00492139" w:rsidRPr="002A5818">
        <w:t>L’Association des femmes productrices</w:t>
      </w:r>
      <w:r w:rsidRPr="002A5818">
        <w:t xml:space="preserve"> </w:t>
      </w:r>
      <w:r w:rsidR="00492139" w:rsidRPr="002A5818">
        <w:t>affich</w:t>
      </w:r>
      <w:r w:rsidRPr="002A5818">
        <w:t>ait ainsi</w:t>
      </w:r>
      <w:r w:rsidR="00492139" w:rsidRPr="002A5818">
        <w:t xml:space="preserve"> fièrement son slogan</w:t>
      </w:r>
      <w:r w:rsidR="005D5A3B">
        <w:t xml:space="preserve"> : </w:t>
      </w:r>
      <w:r w:rsidR="00492139" w:rsidRPr="002A5818">
        <w:t>valorisation, transformation, formation</w:t>
      </w:r>
      <w:r w:rsidRPr="002A5818">
        <w:t xml:space="preserve">. A travers un fonds de contrepartie, la FAO a subventionné </w:t>
      </w:r>
      <w:r w:rsidR="00492139" w:rsidRPr="002A5818">
        <w:t>28 projets d’investissement à hauteur de 300 000</w:t>
      </w:r>
      <w:r w:rsidRPr="002A5818">
        <w:t xml:space="preserve"> USD</w:t>
      </w:r>
      <w:r w:rsidR="00492139" w:rsidRPr="002A5818">
        <w:t xml:space="preserve">, soit près de 170 </w:t>
      </w:r>
      <w:r w:rsidRPr="002A5818">
        <w:t>M F</w:t>
      </w:r>
      <w:r w:rsidR="00492139" w:rsidRPr="002A5818">
        <w:t xml:space="preserve">CFA. </w:t>
      </w:r>
    </w:p>
    <w:p w14:paraId="375DE2F2" w14:textId="27D841B8" w:rsidR="002F52BE" w:rsidRPr="002A5818" w:rsidRDefault="002F52BE" w:rsidP="000A6BD6">
      <w:pPr>
        <w:spacing w:after="0"/>
      </w:pPr>
    </w:p>
    <w:p w14:paraId="357C4BF0" w14:textId="32721C06" w:rsidR="002F52BE" w:rsidRPr="002A5818" w:rsidRDefault="002F52BE" w:rsidP="00C02249">
      <w:pPr>
        <w:keepNext/>
        <w:keepLines/>
        <w:spacing w:after="0"/>
        <w:outlineLvl w:val="1"/>
        <w:rPr>
          <w:rFonts w:eastAsiaTheme="majorEastAsia" w:cstheme="majorBidi"/>
          <w:b/>
          <w:bCs/>
          <w:szCs w:val="26"/>
        </w:rPr>
      </w:pPr>
      <w:bookmarkStart w:id="142" w:name="_Toc221044214"/>
      <w:bookmarkStart w:id="143" w:name="_Hlk220773232"/>
      <w:r w:rsidRPr="002A5818">
        <w:rPr>
          <w:b/>
          <w:bCs/>
        </w:rPr>
        <w:lastRenderedPageBreak/>
        <w:t>Engrais - Les Industries chimiques du Sénégal (ICS) veulent garantir un approvisionnement suffisant en intrants.</w:t>
      </w:r>
      <w:bookmarkEnd w:id="142"/>
    </w:p>
    <w:bookmarkEnd w:id="143"/>
    <w:p w14:paraId="2E5E0796" w14:textId="6010AD2C" w:rsidR="002F52BE" w:rsidRPr="002A5818" w:rsidRDefault="002F52BE" w:rsidP="00C02249">
      <w:pPr>
        <w:spacing w:after="0"/>
      </w:pPr>
      <w:r w:rsidRPr="002A5818">
        <w:t xml:space="preserve">Le directeur général des </w:t>
      </w:r>
      <w:bookmarkStart w:id="144" w:name="_Hlk220089065"/>
      <w:r w:rsidRPr="002A5818">
        <w:t>ICS</w:t>
      </w:r>
      <w:bookmarkEnd w:id="144"/>
      <w:r w:rsidRPr="002A5818">
        <w:t xml:space="preserve">, </w:t>
      </w:r>
      <w:r w:rsidR="00C02249" w:rsidRPr="002A5818">
        <w:t xml:space="preserve">M. </w:t>
      </w:r>
      <w:r w:rsidRPr="002A5818">
        <w:t>Mama Sougoufara, a réaffirmé l’engagement de cette entreprise</w:t>
      </w:r>
      <w:r w:rsidR="00C02249" w:rsidRPr="002A5818">
        <w:t>,</w:t>
      </w:r>
      <w:r w:rsidRPr="002A5818">
        <w:t xml:space="preserve"> </w:t>
      </w:r>
      <w:r w:rsidR="00C02249" w:rsidRPr="002A5818">
        <w:t xml:space="preserve">détenue par le groupe industriel Indorama, </w:t>
      </w:r>
      <w:r w:rsidRPr="002A5818">
        <w:t>à garantir aux agriculteurs sénégalais un approvisionnement suffisant en intrants agricoles.</w:t>
      </w:r>
      <w:r w:rsidR="00C02249" w:rsidRPr="002A5818">
        <w:t xml:space="preserve"> Les </w:t>
      </w:r>
      <w:r w:rsidRPr="002A5818">
        <w:t>ICS pourvoient chaque année aux besoins définis</w:t>
      </w:r>
      <w:r w:rsidR="00C02249" w:rsidRPr="002A5818">
        <w:t xml:space="preserve"> </w:t>
      </w:r>
      <w:r w:rsidRPr="002A5818">
        <w:t>en intrants agricoles</w:t>
      </w:r>
      <w:r w:rsidR="00C02249" w:rsidRPr="002A5818">
        <w:t xml:space="preserve"> avec une </w:t>
      </w:r>
      <w:r w:rsidRPr="002A5818">
        <w:t>disponibilité de la production dont 80%</w:t>
      </w:r>
      <w:r w:rsidR="00C02249" w:rsidRPr="002A5818">
        <w:t xml:space="preserve"> </w:t>
      </w:r>
      <w:r w:rsidRPr="002A5818">
        <w:t>se retrouve sur le marché dès le mois de mai</w:t>
      </w:r>
      <w:r w:rsidR="00C02249" w:rsidRPr="002A5818">
        <w:t>. E</w:t>
      </w:r>
      <w:r w:rsidRPr="002A5818">
        <w:t xml:space="preserve">n 2025, les Industries chimiques du Sénégal ont fourni 105 </w:t>
      </w:r>
      <w:r w:rsidR="00C02249" w:rsidRPr="002A5818">
        <w:t xml:space="preserve">000 </w:t>
      </w:r>
      <w:r w:rsidRPr="002A5818">
        <w:t>tonnes d’engrais.</w:t>
      </w:r>
      <w:r w:rsidR="00C02249" w:rsidRPr="002A5818">
        <w:t xml:space="preserve"> </w:t>
      </w:r>
      <w:r w:rsidRPr="002A5818">
        <w:t>Les ICS ambitionnent, à court terme, de se doter d’une nouvelle usine de superphosphate, mais également d’augmenter sa capacité de production d’acide sulfurique et phosphorique.</w:t>
      </w:r>
      <w:r w:rsidR="00C02249" w:rsidRPr="002A5818">
        <w:t xml:space="preserve"> M. </w:t>
      </w:r>
      <w:r w:rsidRPr="002A5818">
        <w:t xml:space="preserve">Mama Sougougara a en outre évoqué un programme de 126 </w:t>
      </w:r>
      <w:r w:rsidR="00C02249" w:rsidRPr="002A5818">
        <w:t>Md F</w:t>
      </w:r>
      <w:r w:rsidRPr="002A5818">
        <w:t>CFA d’investissements destiné au développement de l’activité minière des ICS.</w:t>
      </w:r>
      <w:r w:rsidR="00C02249" w:rsidRPr="002A5818">
        <w:t xml:space="preserve"> </w:t>
      </w:r>
      <w:r w:rsidRPr="002A5818">
        <w:t>Ce programme vise à augmenter les capacités d’engrais produits</w:t>
      </w:r>
      <w:r w:rsidR="00C02249" w:rsidRPr="002A5818">
        <w:t xml:space="preserve"> et </w:t>
      </w:r>
      <w:r w:rsidRPr="002A5818">
        <w:t>passer d</w:t>
      </w:r>
      <w:r w:rsidR="00C02249" w:rsidRPr="002A5818">
        <w:t>’une capacité actuelle de</w:t>
      </w:r>
      <w:r w:rsidRPr="002A5818">
        <w:t xml:space="preserve"> 250 000 tonnes</w:t>
      </w:r>
      <w:r w:rsidR="00C02249" w:rsidRPr="002A5818">
        <w:t xml:space="preserve"> </w:t>
      </w:r>
      <w:r w:rsidRPr="002A5818">
        <w:t>à près de 600 000 tonnes dans les trois ans qui viennent</w:t>
      </w:r>
      <w:r w:rsidR="00C02249" w:rsidRPr="002A5818">
        <w:t>.</w:t>
      </w:r>
    </w:p>
    <w:p w14:paraId="08E36FE0" w14:textId="39C01BDD" w:rsidR="006C458E" w:rsidRPr="002A5818" w:rsidRDefault="006C458E" w:rsidP="00AC3EDF">
      <w:pPr>
        <w:spacing w:after="0"/>
      </w:pPr>
    </w:p>
    <w:p w14:paraId="3FA175AC" w14:textId="71F3E170" w:rsidR="006F3B30" w:rsidRPr="002A5818" w:rsidRDefault="006F3B30" w:rsidP="006E55E4">
      <w:pPr>
        <w:pStyle w:val="Titre2"/>
        <w:spacing w:before="0"/>
      </w:pPr>
      <w:bookmarkStart w:id="145" w:name="_Toc221044215"/>
      <w:r w:rsidRPr="002A5818">
        <w:t xml:space="preserve">Coopération bilatérale </w:t>
      </w:r>
      <w:r w:rsidR="006E55E4" w:rsidRPr="002A5818">
        <w:t>- Le ministre de l’agriculture, de la souveraineté alimentaire et de l’élevage, M. Mabouba Diagne, a appelé le secteur privé marocain à investir au Sénégal.</w:t>
      </w:r>
      <w:bookmarkEnd w:id="145"/>
    </w:p>
    <w:p w14:paraId="270007EE" w14:textId="6446DAF9" w:rsidR="006F3B30" w:rsidRPr="002A5818" w:rsidRDefault="006F3B30" w:rsidP="006F3B30">
      <w:pPr>
        <w:spacing w:after="0"/>
      </w:pPr>
      <w:r w:rsidRPr="002A5818">
        <w:t>Le Maroc s’impose comme un modèle à suivre dans les domaines de l’agriculture et de l’agro-industrie, a affirmé le 26 janvier M. Mabouba Diagne, à l’issue d’un entretien avec son homologue marocain M. Ahmed El Bouari. Cette rencontre s’est tenue en marge des travaux de la 15</w:t>
      </w:r>
      <w:r w:rsidRPr="002A5818">
        <w:rPr>
          <w:vertAlign w:val="superscript"/>
        </w:rPr>
        <w:t>ème</w:t>
      </w:r>
      <w:r w:rsidRPr="002A5818">
        <w:t xml:space="preserve"> Grande Commission mixte de coopération Maroc-Sénégal, selon une déclaration officielle. Dans ce cadre, M. Diagne a appelé le secteur privé marocain à investir au Sénégal, mettant en avant la disponibilité de ressources hydriques et l’existence de vastes surfaces arables. Il a également souligné l’importance d’un partenariat étroit avec le secteur privé sénégalais afin de bâtir une production nationale capable de renforcer la sécurité alimentaire et d’améliorer le bien-être des populations. La présence du secteur bancaire marocain au Sénégal, a-t-il ajouté, constitue un levier de financement et d’accompagnement pour les industriels et les porteurs de projets.</w:t>
      </w:r>
      <w:r w:rsidR="006E55E4" w:rsidRPr="002A5818">
        <w:t xml:space="preserve"> </w:t>
      </w:r>
      <w:r w:rsidRPr="002A5818">
        <w:t>Pour sa part, M. El Bouari a réaffirmé l’engagement du Maroc à soutenir le développement agricole du Sénégal, exprimant la volonté du Royaume de partager son savoir-faire, notamment en matière d’organisation des filières, d’irrigation, de mécanisation et de valorisation agro-industrielle.</w:t>
      </w:r>
    </w:p>
    <w:p w14:paraId="5DDF7B77" w14:textId="77777777" w:rsidR="006E55E4" w:rsidRPr="002A5818" w:rsidRDefault="006E55E4" w:rsidP="006F3B30">
      <w:pPr>
        <w:spacing w:after="0"/>
      </w:pPr>
    </w:p>
    <w:p w14:paraId="27ED2A12" w14:textId="281FF5D3" w:rsidR="0003644E" w:rsidRPr="002A5818" w:rsidRDefault="009D0F96" w:rsidP="001C1865">
      <w:pPr>
        <w:pStyle w:val="Titre1"/>
        <w:spacing w:before="0"/>
      </w:pPr>
      <w:bookmarkStart w:id="146" w:name="_Toc207812039"/>
      <w:bookmarkStart w:id="147" w:name="_Toc207812907"/>
      <w:bookmarkStart w:id="148" w:name="_Toc207813069"/>
      <w:bookmarkStart w:id="149" w:name="_Toc221044216"/>
      <w:r w:rsidRPr="002A5818">
        <w:t>Bénin</w:t>
      </w:r>
      <w:bookmarkEnd w:id="146"/>
      <w:bookmarkEnd w:id="147"/>
      <w:bookmarkEnd w:id="148"/>
      <w:bookmarkEnd w:id="149"/>
    </w:p>
    <w:p w14:paraId="3E1E2995" w14:textId="77777777" w:rsidR="00C47F97" w:rsidRPr="002A5818" w:rsidRDefault="00C47F97" w:rsidP="00C47F97">
      <w:pPr>
        <w:pStyle w:val="Titre2"/>
        <w:spacing w:before="0"/>
      </w:pPr>
      <w:bookmarkStart w:id="150" w:name="_Toc221044217"/>
      <w:bookmarkStart w:id="151" w:name="_Hlk220773628"/>
      <w:r w:rsidRPr="002A5818">
        <w:t>Légumineuse – Le niébé pour résoudre les conflits agropastoraux.</w:t>
      </w:r>
      <w:bookmarkEnd w:id="150"/>
    </w:p>
    <w:p w14:paraId="262E08EE" w14:textId="77777777" w:rsidR="00C47F97" w:rsidRPr="002A5818" w:rsidRDefault="00C47F97" w:rsidP="00C47F97">
      <w:pPr>
        <w:spacing w:after="0"/>
      </w:pPr>
      <w:r w:rsidRPr="002A5818">
        <w:t>Dans le nord du Bénin, les sécheresses répétées et la raréfaction des pâturages alimentent, depuis des années, des tensions parfois violentes entre agriculteurs et éleveurs. Le niébé, légumineuse longtemps cultivée pour l’alimentation humaine, est en train de changer la donne.</w:t>
      </w:r>
    </w:p>
    <w:p w14:paraId="4F195718" w14:textId="1A2F1C3F" w:rsidR="00C47F97" w:rsidRPr="002A5818" w:rsidRDefault="00C47F97" w:rsidP="00C47F97">
      <w:pPr>
        <w:spacing w:after="0"/>
      </w:pPr>
      <w:r w:rsidRPr="002A5818">
        <w:t xml:space="preserve">Transformé en fourrage, il contribue à réduire la transhumance, à limiter les conflits fonciers et à recréer un équilibre social dans un contexte de changement climatique. Dans les régions sahéliennes, la compétition est de plus en plus âpre autour des ressources naturelles, exacerbée par la sécheresse qui, année après année, redessine les équilibres. Depuis des générations, agriculteurs sédentaires et éleveurs transhumants cohabitent dans le nord du Bénin. Les uns cultivent le mil, le maïs, le riz ou le niébé ; les autres élèvent des bovins, des ovins et des caprins, se déplaçant au gré des saisons à la recherche de pâturages et de points d’eau. Si cette complémentarité a longtemps été régulée par des règles coutumières et des accords locaux, elle repose de nos jours sur le Code pastoral. Mais ces équilibres ont été profondément </w:t>
      </w:r>
      <w:r w:rsidRPr="002A5818">
        <w:lastRenderedPageBreak/>
        <w:t xml:space="preserve">bouleversés avec, en point de mire, le dérèglement climatique ayant accru la pression sur les ressources naturelles. Les pâturages naturels disparaissent plus tôt, les mares s’assèchent et les troupeaux se retrouvent confrontés à une pénurie chronique de foin. Les prairies n’existent presque plus. A cela, s’ajoute la sécheresse qui a amplifié l’amenuisement des ressources en eau et en fourrage. Lorsque les ressources naturelles se raréfient, les tensions sociales augmentent mécaniquement. Pour les éleveurs, la saison sèche a longtemps rimé avec l’errance. Il fallait parcourir des kilomètres à la recherche d’herbes encore vertes, traverser des communes, parfois des frontières. La transhumance, mobilité forcée, est une stratégie de survie ancienne. Mais, dans un contexte de pression foncière accrue, elle est devenue une source majeure de conflits agropastoraux. Les couloirs de passage sont obstrués par les cultures. Les espaces de pâturage se réduisent, et chaque intrusion involontaire peut dégénérer. C’est dans ce contexte, que le niébé fourrager a émergé. Connu dans tout le Bénin comme une culture vivrière de base, le niébé est traditionnellement cultivé pour ses graines riches en protéines et largement consommées. Cependant, certains agriculteurs ont commencé à valoriser la plante autrement. Au lieu de récolter uniquement ses graines, ils la cultivent pour ses fanes, qu’ils coupent, sèchent et transforment en bottes destinées à l’alimentation animale. Contrairement aux pailles de céréales pauvres en protéines, le niébé améliore la ration alimentaire des animaux. Au plan environnemental, la plante joue un rôle clé. Les légumineuses fixent l’azote atmosphérique grâce à leurs nodosités. Même après la récolte des fanes, les racines enrichissent le sol. Le niébé protège aussi les sols contre l’érosion éolienne et hydrique, contribuant à la régénération des terres dégradées. Si la pratique du niébé fourragé existait déjà de manière informelle, elle a pris une nouvelle dimension grâce à l’appui du Programme régional d’intégration des marchés agricoles (PRIMA), mis en œuvre avec le soutien du Fonds international de développement agricole (FIDA). Le projet accompagne les éleveurs et agro-éleveurs, dans le développement des cultures fourragères, dont le niébé. Le dispositif repose sur les Champs écoles paysans (CEP), des parcelles collectives où les bénéficiaires apprennent les techniques de production, de conservation et d’utilisation du fourrage. Ces champs servent aussi de centres semenciers. Les éleveurs y prélèvent les semences pour installer leurs propres parcelles. Dans la région, les champs de niébé fourrager se multiplient progressivement autour des villages. Là où les troupeaux erraient autrefois à la recherche d’herbes, ils trouvent désormais une alimentation stable et de proximité. Pour de nombreux éleveurs, le niébé fourrager marque un tournant décisif. La sédentarisation, longtemps perçue comme incompatible avec le pastoralisme, devient ici une stratégie d’adaptation. Elle limite les déplacements, réduit les risques de conflits et améliore le suivi sanitaire des troupeaux. Cette sédentarisation progressive est un élément clé dans la réduction des tensions agropastorales. </w:t>
      </w:r>
    </w:p>
    <w:p w14:paraId="1C5B5F47" w14:textId="77777777" w:rsidR="00C47F97" w:rsidRPr="002A5818" w:rsidRDefault="00C47F97" w:rsidP="00C47F97">
      <w:pPr>
        <w:spacing w:after="0"/>
      </w:pPr>
    </w:p>
    <w:p w14:paraId="35465C3D" w14:textId="5B087BAC" w:rsidR="007677FD" w:rsidRPr="002A5818" w:rsidRDefault="007677FD" w:rsidP="007677FD">
      <w:pPr>
        <w:pStyle w:val="Titre2"/>
        <w:spacing w:before="0"/>
      </w:pPr>
      <w:bookmarkStart w:id="152" w:name="_Toc221044218"/>
      <w:r w:rsidRPr="002A5818">
        <w:t>Infrastructures – Construction de 18 entrepôts pour éviter les pertes liées aux récoltes.</w:t>
      </w:r>
      <w:bookmarkEnd w:id="152"/>
    </w:p>
    <w:bookmarkEnd w:id="151"/>
    <w:p w14:paraId="15313AF0" w14:textId="73F8408E" w:rsidR="00091C3F" w:rsidRPr="002A5818" w:rsidRDefault="007677FD" w:rsidP="007677FD">
      <w:pPr>
        <w:spacing w:after="0"/>
      </w:pPr>
      <w:r w:rsidRPr="002A5818">
        <w:t xml:space="preserve">La réalisation des 18 entrepôts de stockage de produits agricoles s’inscrit dans le cadre du Projet de développement intégré des chaînes de valeurs agricoles (PDI-CVA) qui mobilisera 540 M FCFA. D’une capacité estimée à 200 tonnes chacun, ces entrepôts seront implantés dans 12 communes stratégiques, considérées comme bassin de production du Bénin. Il s’agit des communes de Malanville, Banikoara, Kandi, Nikki, Tchaourou, Dassa-Zoumè, Glazoué, Savalou et Savè. La construction de ces entrepôts s’inscrit dans la stratégie nationale de sécurisation post-récolte et de valorisation des filières riz et maïs, au cœur des politiques de sécurité alimentaire du pays. Ces nouvelles infrastructures agricoles permettront de renforcer les </w:t>
      </w:r>
      <w:r w:rsidRPr="002A5818">
        <w:lastRenderedPageBreak/>
        <w:t>capacités de stockage des zones de production en vue de la commercialisation ultérieure. Elles permettront également aux producteurs de mieux gérer le calendrier de mise en marché, de limiter les ventes précipitées à bas prix après récolte et d’améliorer la qualité marchande des céréales.</w:t>
      </w:r>
    </w:p>
    <w:p w14:paraId="26EA23DB" w14:textId="77777777" w:rsidR="007677FD" w:rsidRPr="002A5818" w:rsidRDefault="007677FD" w:rsidP="007677FD">
      <w:pPr>
        <w:spacing w:after="0"/>
      </w:pPr>
    </w:p>
    <w:p w14:paraId="4B07C5FC" w14:textId="2F5C8371" w:rsidR="009D0F96" w:rsidRPr="002A5818" w:rsidRDefault="009D0F96" w:rsidP="001C1865">
      <w:pPr>
        <w:pStyle w:val="Titre1"/>
        <w:spacing w:before="0"/>
      </w:pPr>
      <w:bookmarkStart w:id="153" w:name="_Toc207812042"/>
      <w:bookmarkStart w:id="154" w:name="_Toc207812910"/>
      <w:bookmarkStart w:id="155" w:name="_Toc207813072"/>
      <w:bookmarkStart w:id="156" w:name="_Toc221044219"/>
      <w:r w:rsidRPr="002A5818">
        <w:t>Burkina Faso</w:t>
      </w:r>
      <w:bookmarkEnd w:id="153"/>
      <w:bookmarkEnd w:id="154"/>
      <w:bookmarkEnd w:id="155"/>
      <w:bookmarkEnd w:id="156"/>
    </w:p>
    <w:p w14:paraId="7CCB6B7E" w14:textId="77777777" w:rsidR="00BD405A" w:rsidRPr="002A5818" w:rsidRDefault="00BD405A" w:rsidP="00BD405A">
      <w:pPr>
        <w:keepNext/>
        <w:keepLines/>
        <w:spacing w:after="0"/>
        <w:outlineLvl w:val="1"/>
        <w:rPr>
          <w:rFonts w:eastAsiaTheme="majorEastAsia" w:cstheme="majorBidi"/>
          <w:b/>
          <w:szCs w:val="26"/>
        </w:rPr>
      </w:pPr>
      <w:bookmarkStart w:id="157" w:name="_Hlk219390900"/>
      <w:bookmarkStart w:id="158" w:name="_Toc221044220"/>
      <w:bookmarkStart w:id="159" w:name="_Hlk219393370"/>
      <w:r w:rsidRPr="002A5818">
        <w:rPr>
          <w:rFonts w:eastAsiaTheme="majorEastAsia" w:cstheme="majorBidi"/>
          <w:b/>
          <w:szCs w:val="26"/>
        </w:rPr>
        <w:t>Politique agricole – Elargissement du portefeuille du ministre en charge de l’agriculture</w:t>
      </w:r>
      <w:bookmarkEnd w:id="157"/>
      <w:r w:rsidRPr="002A5818">
        <w:rPr>
          <w:rFonts w:eastAsiaTheme="majorEastAsia" w:cstheme="majorBidi"/>
          <w:b/>
          <w:szCs w:val="26"/>
        </w:rPr>
        <w:t>.</w:t>
      </w:r>
      <w:bookmarkEnd w:id="158"/>
    </w:p>
    <w:bookmarkEnd w:id="159"/>
    <w:p w14:paraId="22E7C83F" w14:textId="0BC981A7" w:rsidR="00BD405A" w:rsidRPr="002A5818" w:rsidRDefault="00BD405A" w:rsidP="00BD405A">
      <w:pPr>
        <w:spacing w:after="0"/>
      </w:pPr>
      <w:r w:rsidRPr="002A5818">
        <w:t>Le nouveau gouvernement du Burkina Faso, rendu public le 12 janvier, est passé de 24 à 22</w:t>
      </w:r>
      <w:r w:rsidR="005D5A3B">
        <w:t> </w:t>
      </w:r>
      <w:r w:rsidRPr="002A5818">
        <w:t>départements ministériels, suite en particulier à la fusion du ministère de l’agriculture, des ressources animales et halieutiques avec celui de l’environnement, de l’eau et de l’assainissement, pour former le ministère de l’agriculture, de l’eau, des ressources animales et halieutiques. Cette fusion consacre le départ de M. Roger Baro (Environnement) et l’élargissement du portefeuille du Commandant Ismaël Sombié (Agriculture). Ce remaniement ministériel est intervenu près d’un an après l’arrivée aux affaires du Premier ministre M. Rimtalba Jean Emmanuel Ouédraogo</w:t>
      </w:r>
      <w:r w:rsidR="003C6FDE" w:rsidRPr="002A5818">
        <w:t>.</w:t>
      </w:r>
    </w:p>
    <w:p w14:paraId="577BB731" w14:textId="77777777" w:rsidR="000D0771" w:rsidRPr="002A5818" w:rsidRDefault="000D0771" w:rsidP="00BD405A">
      <w:pPr>
        <w:spacing w:after="0"/>
      </w:pPr>
    </w:p>
    <w:p w14:paraId="0D872384" w14:textId="77777777" w:rsidR="000D0771" w:rsidRPr="002A5818" w:rsidRDefault="000D0771" w:rsidP="000D0771">
      <w:pPr>
        <w:keepNext/>
        <w:keepLines/>
        <w:spacing w:after="0"/>
        <w:outlineLvl w:val="1"/>
        <w:rPr>
          <w:rFonts w:eastAsiaTheme="majorEastAsia" w:cstheme="majorBidi"/>
          <w:b/>
          <w:bCs/>
          <w:szCs w:val="26"/>
        </w:rPr>
      </w:pPr>
      <w:bookmarkStart w:id="160" w:name="_Toc221044221"/>
      <w:r w:rsidRPr="002A5818">
        <w:rPr>
          <w:b/>
          <w:bCs/>
        </w:rPr>
        <w:t>Elevage – Le Premier ministre loue l’action de son gouvernement</w:t>
      </w:r>
      <w:r w:rsidRPr="002A5818">
        <w:t>.</w:t>
      </w:r>
      <w:bookmarkEnd w:id="160"/>
    </w:p>
    <w:p w14:paraId="146A2B9D" w14:textId="01D722A5" w:rsidR="000D0771" w:rsidRPr="002A5818" w:rsidRDefault="000D0771" w:rsidP="000D0771">
      <w:pPr>
        <w:spacing w:after="0"/>
      </w:pPr>
      <w:r w:rsidRPr="002A5818">
        <w:t>Le chef du gouvernement, M. Rimtalba Jean Emmanuel Ouédraogo, a indiqué le 30 janvier à l’occasion lors de son allocution sur la situation de la Nation, que le Burkina Faso a produit plus de 53 000 tonnes de poisson en 2025, dont plus de 17 000 tonnes issues des cages flottantes. Selon le Premier ministre, la mise en place de 1 185 cages flottantes, la production de plus de 104 M d’alevins et l’installation de 500 promoteurs privés dans la production piscicole ont permis d’atteindre cette performance. Il a également noté que les efforts de l’État se sont poursuivis en vue d’atteindre les résultats escomptés dans l’ensemble des filières d’élevage avec la production et la mise à disposition de plus de 8 000 tonnes d’aliments au profit des acteurs du secteur, la vaccination de 7 M de têtes de bovins et de 18 M de têtes de volailles, l’aménagement de plus de 5 000 ha de zones pastorales, ainsi que le développement de 200</w:t>
      </w:r>
      <w:r w:rsidR="005D5A3B">
        <w:t> </w:t>
      </w:r>
      <w:r w:rsidRPr="002A5818">
        <w:t>ha de cultures fourragères. Le Premier ministre a souligné, que son gouvernement est conscient que des défis subsistent et l’année 2026 sera celle de la consolidation des acquis a-t-il assuré.</w:t>
      </w:r>
    </w:p>
    <w:p w14:paraId="3D87F781" w14:textId="77777777" w:rsidR="003C6FDE" w:rsidRPr="002A5818" w:rsidRDefault="003C6FDE" w:rsidP="00BD405A">
      <w:pPr>
        <w:spacing w:after="0"/>
      </w:pPr>
    </w:p>
    <w:p w14:paraId="4C5C10F5" w14:textId="5FCB6D1C" w:rsidR="0003491B" w:rsidRPr="002A5818" w:rsidRDefault="003C6FDE" w:rsidP="003C6FDE">
      <w:pPr>
        <w:keepNext/>
        <w:keepLines/>
        <w:spacing w:after="0"/>
        <w:outlineLvl w:val="1"/>
        <w:rPr>
          <w:rFonts w:eastAsiaTheme="majorEastAsia" w:cstheme="majorBidi"/>
          <w:b/>
          <w:bCs/>
          <w:szCs w:val="26"/>
        </w:rPr>
      </w:pPr>
      <w:bookmarkStart w:id="161" w:name="_Toc221044222"/>
      <w:r w:rsidRPr="002A5818">
        <w:rPr>
          <w:b/>
          <w:bCs/>
        </w:rPr>
        <w:t xml:space="preserve">Elevage – </w:t>
      </w:r>
      <w:r w:rsidR="0003491B" w:rsidRPr="002A5818">
        <w:rPr>
          <w:b/>
          <w:bCs/>
        </w:rPr>
        <w:t>Importation de bovins reproducteurs du Brésil.</w:t>
      </w:r>
      <w:bookmarkEnd w:id="161"/>
    </w:p>
    <w:p w14:paraId="1C99326C" w14:textId="3F1C5CCD" w:rsidR="0003491B" w:rsidRPr="002A5818" w:rsidRDefault="0003491B" w:rsidP="003C6FDE">
      <w:pPr>
        <w:spacing w:after="0"/>
      </w:pPr>
      <w:r w:rsidRPr="002A5818">
        <w:t>Le Burkina Faso s’apprête à importer 710 vaches gestantes depuis le Brésil au profit des promoteurs de fermes d’élevage, dans le cadre d’une stratégie globale visant à moderniser ses filières lait et bétail-viande</w:t>
      </w:r>
      <w:r w:rsidR="00E345B4" w:rsidRPr="002A5818">
        <w:t xml:space="preserve"> selon une annonce le </w:t>
      </w:r>
      <w:r w:rsidRPr="002A5818">
        <w:t xml:space="preserve">24 janvier </w:t>
      </w:r>
      <w:r w:rsidR="00E345B4" w:rsidRPr="002A5818">
        <w:t xml:space="preserve">du </w:t>
      </w:r>
      <w:r w:rsidRPr="002A5818">
        <w:t>ministère de l’</w:t>
      </w:r>
      <w:r w:rsidR="00E345B4" w:rsidRPr="002A5818">
        <w:t>a</w:t>
      </w:r>
      <w:r w:rsidRPr="002A5818">
        <w:t xml:space="preserve">griculture, des </w:t>
      </w:r>
      <w:r w:rsidR="00E345B4" w:rsidRPr="002A5818">
        <w:t>r</w:t>
      </w:r>
      <w:r w:rsidRPr="002A5818">
        <w:t>essources animales et halieutiques.</w:t>
      </w:r>
      <w:r w:rsidR="00E345B4" w:rsidRPr="002A5818">
        <w:t xml:space="preserve"> </w:t>
      </w:r>
      <w:r w:rsidRPr="002A5818">
        <w:t>Cette opération d’achat intervient après que le Centre de promotion de l’aviculture et de multiplication des animaux performants (CPAMAP) a engagé en juin 2025 des discussions avec l’Institut Daniel Franco (IDF), reconnu au Brésil pour son expertise dans la sélection animale et l’élevage durable, en vue de renforcer ses capacités en amélioration génétique du bétail.</w:t>
      </w:r>
      <w:r w:rsidR="00E345B4" w:rsidRPr="002A5818">
        <w:t xml:space="preserve"> L</w:t>
      </w:r>
      <w:r w:rsidRPr="002A5818">
        <w:t>’acquisition concernera les races bovines Guzéra, Gir, Holstein et Nelore. Les races à vocation laitière affichent des productions moyennes allant de 15 à 40 litres</w:t>
      </w:r>
      <w:r w:rsidR="00E345B4" w:rsidRPr="002A5818">
        <w:t>/jour</w:t>
      </w:r>
      <w:r w:rsidRPr="002A5818">
        <w:t xml:space="preserve"> de lait. Quant à la race Nelore, exclusivement destinée à la production de viande, elle peut atteindre un poids de 1 100 kg à l’âge de cinq ans, souligne le ministère de l’</w:t>
      </w:r>
      <w:r w:rsidR="00E345B4" w:rsidRPr="002A5818">
        <w:t>a</w:t>
      </w:r>
      <w:r w:rsidRPr="002A5818">
        <w:t>griculture.</w:t>
      </w:r>
      <w:r w:rsidR="00E345B4" w:rsidRPr="002A5818">
        <w:t xml:space="preserve"> </w:t>
      </w:r>
      <w:r w:rsidRPr="002A5818">
        <w:t>En comparaison, la production de lait par tête de vache laitière de races locales est évaluée entre 0,5 et 1,3 litre</w:t>
      </w:r>
      <w:r w:rsidR="00E345B4" w:rsidRPr="002A5818">
        <w:t>/</w:t>
      </w:r>
      <w:r w:rsidRPr="002A5818">
        <w:t xml:space="preserve">jour au Burkina Faso. Selon les autorités, l’enjeu d’importer des vaches à haut potentiel génétique est de diffuser progressivement ces lignées auprès des </w:t>
      </w:r>
      <w:r w:rsidRPr="002A5818">
        <w:lastRenderedPageBreak/>
        <w:t>éleveurs locaux, afin d’améliorer la productivité du cheptel national et de renforcer la sécurité alimentaire.</w:t>
      </w:r>
      <w:r w:rsidR="00E345B4" w:rsidRPr="002A5818">
        <w:t xml:space="preserve"> </w:t>
      </w:r>
      <w:r w:rsidR="003C6FDE" w:rsidRPr="002A5818">
        <w:t>Au Burkina Faso, le secteur de l’élevage contribue à hauteur de 12% au PIB et occupe environ 72% de la population. Le gouvernement qui souhaite accroître la production de viande de bétail et de lait, mise sur l’amélioration génétique pour renforcer la productivité du cheptel national. Aussi, l</w:t>
      </w:r>
      <w:r w:rsidRPr="002A5818">
        <w:t>e gouvernement souhaite créer un environnement favorable au développement industriel des filières lait et viande.</w:t>
      </w:r>
      <w:r w:rsidR="00E345B4" w:rsidRPr="002A5818">
        <w:t xml:space="preserve"> </w:t>
      </w:r>
      <w:r w:rsidRPr="002A5818">
        <w:t xml:space="preserve">Depuis 2025, Ouagadougou affirme une volonté politique de réduire la dépendance aux importations de produits laitiers. Cette volonté s’est matérialisée par l’inauguration en mars </w:t>
      </w:r>
      <w:r w:rsidR="00E345B4" w:rsidRPr="002A5818">
        <w:t xml:space="preserve">2025 </w:t>
      </w:r>
      <w:r w:rsidRPr="002A5818">
        <w:t>de la société publique Faso Kosam, mandatée pour organiser l’approvisionnement en matières premières, la transformation et la distribution du lait et dérivés.</w:t>
      </w:r>
      <w:r w:rsidR="00E345B4" w:rsidRPr="002A5818">
        <w:t xml:space="preserve"> </w:t>
      </w:r>
      <w:r w:rsidRPr="002A5818">
        <w:t xml:space="preserve">Les autorités misent en effet sur l’opérationnalisation de Faso Kosam pour parvenir à satisfaire au moins la moitié des besoins de consommation en produits laitiers du pays d’ici 2030. D’après </w:t>
      </w:r>
      <w:r w:rsidR="00E345B4" w:rsidRPr="002A5818">
        <w:t>d</w:t>
      </w:r>
      <w:r w:rsidRPr="002A5818">
        <w:t xml:space="preserve">es données </w:t>
      </w:r>
      <w:r w:rsidR="00E345B4" w:rsidRPr="002A5818">
        <w:t xml:space="preserve">de la </w:t>
      </w:r>
      <w:r w:rsidRPr="002A5818">
        <w:t xml:space="preserve">FAO, le Burkina Faso a importé en moyenne près de 25 000 tonnes de produits laitiers (lait en poudre, lait entier concentré, lait cru, beurre…) par an entre 2020 et 2024. Sur la même période, la valeur moyenne de ces achats est évaluée à 29 </w:t>
      </w:r>
      <w:r w:rsidR="00E345B4" w:rsidRPr="002A5818">
        <w:t xml:space="preserve">M USD </w:t>
      </w:r>
      <w:r w:rsidRPr="002A5818">
        <w:t>par an.</w:t>
      </w:r>
      <w:r w:rsidR="00E345B4" w:rsidRPr="002A5818">
        <w:t xml:space="preserve"> </w:t>
      </w:r>
      <w:r w:rsidRPr="002A5818">
        <w:t>En ce qui concerne la filière viande, les ambitions affichées sont de positionner le Burkina Faso sur le segment des exportations de viandes de bétails. C’est dans cette optique que l’agence publique Faso Abattoir a été créée en avril</w:t>
      </w:r>
      <w:r w:rsidR="00E345B4" w:rsidRPr="002A5818">
        <w:t xml:space="preserve"> 2025</w:t>
      </w:r>
      <w:r w:rsidRPr="002A5818">
        <w:t>, avec pour mission de centraliser et professionnaliser la gestion des abattoirs nationaux.</w:t>
      </w:r>
      <w:r w:rsidR="00E345B4" w:rsidRPr="002A5818">
        <w:t xml:space="preserve"> </w:t>
      </w:r>
      <w:r w:rsidRPr="002A5818">
        <w:t xml:space="preserve">Parallèlement, les autorités ont en projet le déploiement d’un programme incluant la réhabilitation des abattoirs existants et la création de nouvelles unités de transformation, en vue de renforcer les capacités et développer les infrastructures de transformation dont dispose le pays. </w:t>
      </w:r>
      <w:r w:rsidR="00E345B4" w:rsidRPr="002A5818">
        <w:t>L</w:t>
      </w:r>
      <w:r w:rsidRPr="002A5818">
        <w:t xml:space="preserve">e cheptel comptait près de 71 </w:t>
      </w:r>
      <w:r w:rsidR="00E345B4" w:rsidRPr="002A5818">
        <w:t xml:space="preserve">M </w:t>
      </w:r>
      <w:r w:rsidRPr="002A5818">
        <w:t>de têtes d’animaux en 2023, dont 49,5% de volailles, 16,1% d’ovins, 15,3% de caprins et 14% de bovins, d’après l’INSD.</w:t>
      </w:r>
    </w:p>
    <w:p w14:paraId="6E4EA3EB" w14:textId="77777777" w:rsidR="0003491B" w:rsidRPr="002A5818" w:rsidRDefault="0003491B" w:rsidP="0003491B">
      <w:pPr>
        <w:spacing w:after="0"/>
      </w:pPr>
    </w:p>
    <w:p w14:paraId="296EF428" w14:textId="041544D6" w:rsidR="00AA0176" w:rsidRPr="002A5818" w:rsidRDefault="00AA0176" w:rsidP="005C3C79">
      <w:pPr>
        <w:keepNext/>
        <w:keepLines/>
        <w:spacing w:after="0"/>
        <w:outlineLvl w:val="1"/>
        <w:rPr>
          <w:rFonts w:eastAsiaTheme="majorEastAsia" w:cstheme="majorBidi"/>
          <w:b/>
          <w:bCs/>
          <w:szCs w:val="26"/>
        </w:rPr>
      </w:pPr>
      <w:bookmarkStart w:id="162" w:name="_Toc221044223"/>
      <w:bookmarkStart w:id="163" w:name="_Hlk220845873"/>
      <w:r w:rsidRPr="002A5818">
        <w:rPr>
          <w:b/>
          <w:bCs/>
        </w:rPr>
        <w:t>Elevage – Construction d’un abattoir.</w:t>
      </w:r>
      <w:bookmarkEnd w:id="162"/>
    </w:p>
    <w:bookmarkEnd w:id="163"/>
    <w:p w14:paraId="575766E6" w14:textId="00F96B4B" w:rsidR="00AA0176" w:rsidRPr="002A5818" w:rsidRDefault="00AA0176" w:rsidP="00AA0176">
      <w:pPr>
        <w:spacing w:after="0"/>
      </w:pPr>
      <w:r w:rsidRPr="002A5818">
        <w:t>Le ministre d’Etat, en charge de l’agriculture, de l’eau et des ressources animales et halieutiques, le commandant Ismaël Sombié, a effectué, le 19 janvier, une visite de terrain sur le chantier de construction d’un abattoir située dans la région des Tannounyan. D’un coût global estimé à plus de 2,7 Md FCFA, l’abattoir est implanté sur une superficie de 4 ha et sera réalisé dans un délai de 18 mois. Il comprendra des unités d’abattage modernes capables de traiter quotidiennement 50 bovins, 100 petits ruminants et 25 porcs, ainsi que des équipements annexes répondant aux normes sanitaires internationales, notamment une lagune d’épuration, un incinérateur et des parcs de stabulation spécialisés.</w:t>
      </w:r>
      <w:r w:rsidR="005C3C79" w:rsidRPr="002A5818">
        <w:t xml:space="preserve"> </w:t>
      </w:r>
      <w:r w:rsidRPr="002A5818">
        <w:t>Ce projet s’inscrit dans la volonté du Gouvernement de structurer durablement la filière bétail-viande, d’améliorer la qualité sanitaire des produits carnés, de valoriser les sous-produits de l’élevage et de créer de la valeur ajoutée au profit des acteurs locaux, à travers la mise en place de l’Agence faso abattoir (AFA).</w:t>
      </w:r>
    </w:p>
    <w:p w14:paraId="54FA80C8" w14:textId="77777777" w:rsidR="00697522" w:rsidRPr="002A5818" w:rsidRDefault="00697522" w:rsidP="00697522">
      <w:pPr>
        <w:keepNext/>
        <w:keepLines/>
        <w:spacing w:after="0"/>
        <w:outlineLvl w:val="1"/>
        <w:rPr>
          <w:b/>
          <w:bCs/>
        </w:rPr>
      </w:pPr>
    </w:p>
    <w:p w14:paraId="0A6A71AB" w14:textId="3386C9DA" w:rsidR="000D0771" w:rsidRPr="002A5818" w:rsidRDefault="000D0771" w:rsidP="00697522">
      <w:pPr>
        <w:keepNext/>
        <w:keepLines/>
        <w:spacing w:after="0"/>
        <w:outlineLvl w:val="1"/>
        <w:rPr>
          <w:rFonts w:eastAsiaTheme="majorEastAsia" w:cstheme="majorBidi"/>
          <w:b/>
          <w:bCs/>
          <w:szCs w:val="26"/>
        </w:rPr>
      </w:pPr>
      <w:bookmarkStart w:id="164" w:name="_Toc221044224"/>
      <w:r w:rsidRPr="002A5818">
        <w:rPr>
          <w:b/>
          <w:bCs/>
        </w:rPr>
        <w:t xml:space="preserve">Elevage - Les jihadistes du Jnim tentent d’imposer un blocus autour </w:t>
      </w:r>
      <w:bookmarkStart w:id="165" w:name="_Hlk220853026"/>
      <w:r w:rsidRPr="002A5818">
        <w:rPr>
          <w:b/>
          <w:bCs/>
        </w:rPr>
        <w:t>du marché à bétail de Fada N'Gourma</w:t>
      </w:r>
      <w:bookmarkEnd w:id="165"/>
      <w:r w:rsidRPr="002A5818">
        <w:rPr>
          <w:b/>
          <w:bCs/>
        </w:rPr>
        <w:t>.</w:t>
      </w:r>
      <w:bookmarkEnd w:id="164"/>
    </w:p>
    <w:p w14:paraId="232915CE" w14:textId="14F420D6" w:rsidR="003B09D4" w:rsidRPr="002A5818" w:rsidRDefault="000D0771" w:rsidP="00697522">
      <w:pPr>
        <w:spacing w:after="0"/>
      </w:pPr>
      <w:r w:rsidRPr="002A5818">
        <w:t xml:space="preserve">Le groupe jihadiste, lié à al-Qaïda, a annoncé dans un message audio diffusé le 24 janvier dernier son intention d'empêcher le fonctionnement du marché à bétail de Fada N'Gourma et d’imposer une interdiction de l'approvisionner ou de venir s'y ravitailler. Le marché de Fada N'Gourma, dans l'est du pays, est le plus important du Burkina Faso et l'un des principaux de toute la sous-région. </w:t>
      </w:r>
      <w:r w:rsidR="00697522" w:rsidRPr="002A5818">
        <w:t xml:space="preserve">Il alimente par ailleurs de nombreux autres marchés, au Burkina Faso et dans les pays voisins. </w:t>
      </w:r>
      <w:r w:rsidRPr="002A5818">
        <w:t xml:space="preserve">Au lendemain des menaces proférées par le Jnim, le marché de Fada N'Gourma ne s'est pas tenu normalement. Les éleveurs, commerçants et habitants n’ont pas </w:t>
      </w:r>
      <w:r w:rsidRPr="002A5818">
        <w:lastRenderedPageBreak/>
        <w:t>rapporté d'attaque, mais aucune nouvelle bête n'est arrivée de l'extérieur pour approvisionner le marché, et aucune tête de bétail n'est sortie de la ville.</w:t>
      </w:r>
    </w:p>
    <w:p w14:paraId="749C7566" w14:textId="77777777" w:rsidR="00697522" w:rsidRPr="002A5818" w:rsidRDefault="00697522" w:rsidP="00697522">
      <w:pPr>
        <w:spacing w:after="0"/>
      </w:pPr>
    </w:p>
    <w:p w14:paraId="3AAFB000" w14:textId="172239EA" w:rsidR="00F65DCA" w:rsidRPr="002A5818" w:rsidRDefault="00F65DCA" w:rsidP="00AA1454">
      <w:pPr>
        <w:keepNext/>
        <w:keepLines/>
        <w:spacing w:after="0"/>
        <w:outlineLvl w:val="1"/>
        <w:rPr>
          <w:rFonts w:eastAsiaTheme="majorEastAsia" w:cstheme="majorBidi"/>
          <w:b/>
          <w:bCs/>
          <w:szCs w:val="26"/>
        </w:rPr>
      </w:pPr>
      <w:bookmarkStart w:id="166" w:name="_Toc221044225"/>
      <w:bookmarkStart w:id="167" w:name="_Hlk220771751"/>
      <w:r w:rsidRPr="002A5818">
        <w:rPr>
          <w:b/>
          <w:bCs/>
        </w:rPr>
        <w:t xml:space="preserve">Pisciculture – Projet pour </w:t>
      </w:r>
      <w:r w:rsidR="005D63FE" w:rsidRPr="002A5818">
        <w:rPr>
          <w:b/>
          <w:bCs/>
        </w:rPr>
        <w:t xml:space="preserve">la </w:t>
      </w:r>
      <w:r w:rsidRPr="002A5818">
        <w:rPr>
          <w:b/>
          <w:bCs/>
        </w:rPr>
        <w:t>retraite de militaires</w:t>
      </w:r>
      <w:r w:rsidR="005D63FE" w:rsidRPr="002A5818">
        <w:rPr>
          <w:b/>
          <w:bCs/>
        </w:rPr>
        <w:t>.</w:t>
      </w:r>
      <w:bookmarkEnd w:id="166"/>
    </w:p>
    <w:bookmarkEnd w:id="167"/>
    <w:p w14:paraId="738AE395" w14:textId="50E6FA22" w:rsidR="00F65DCA" w:rsidRPr="002A5818" w:rsidRDefault="00F65DCA" w:rsidP="00F65DCA">
      <w:pPr>
        <w:spacing w:after="0"/>
      </w:pPr>
      <w:r w:rsidRPr="002A5818">
        <w:t xml:space="preserve">Le ministère de la </w:t>
      </w:r>
      <w:r w:rsidR="005D63FE" w:rsidRPr="002A5818">
        <w:t>g</w:t>
      </w:r>
      <w:r w:rsidRPr="002A5818">
        <w:t xml:space="preserve">uerre et de la </w:t>
      </w:r>
      <w:r w:rsidR="005D63FE" w:rsidRPr="002A5818">
        <w:t>d</w:t>
      </w:r>
      <w:r w:rsidRPr="002A5818">
        <w:t>éfense patriotique, en collaboration avec celui de l’</w:t>
      </w:r>
      <w:r w:rsidR="005D63FE" w:rsidRPr="002A5818">
        <w:t>a</w:t>
      </w:r>
      <w:r w:rsidRPr="002A5818">
        <w:t>griculture, de l’</w:t>
      </w:r>
      <w:r w:rsidR="005D63FE" w:rsidRPr="002A5818">
        <w:t>e</w:t>
      </w:r>
      <w:r w:rsidRPr="002A5818">
        <w:t xml:space="preserve">au, des </w:t>
      </w:r>
      <w:r w:rsidR="005D63FE" w:rsidRPr="002A5818">
        <w:t>r</w:t>
      </w:r>
      <w:r w:rsidRPr="002A5818">
        <w:t xml:space="preserve">essources animales et halieutiques a lancé officiellement </w:t>
      </w:r>
      <w:r w:rsidR="005D63FE" w:rsidRPr="002A5818">
        <w:t>le 13</w:t>
      </w:r>
      <w:r w:rsidR="005D5A3B">
        <w:t> </w:t>
      </w:r>
      <w:r w:rsidR="005D63FE" w:rsidRPr="002A5818">
        <w:t xml:space="preserve">janvier </w:t>
      </w:r>
      <w:r w:rsidRPr="002A5818">
        <w:t>les activités piscicoles sur le plan d’eau du barrage de Soum</w:t>
      </w:r>
      <w:r w:rsidR="005D63FE" w:rsidRPr="002A5818">
        <w:t>, activités déployées dans le cadre de la convention signée le 6 août 2024 entre les deux ministères</w:t>
      </w:r>
      <w:r w:rsidRPr="002A5818">
        <w:t xml:space="preserve">. </w:t>
      </w:r>
      <w:r w:rsidR="00AA1454" w:rsidRPr="002A5818">
        <w:t xml:space="preserve">Le projet vise </w:t>
      </w:r>
      <w:r w:rsidRPr="002A5818">
        <w:t>la reconversion socio-économique de militaires en instance de retraite, à travers la pisciculture en cages flottantes au barrage de Soum</w:t>
      </w:r>
      <w:r w:rsidR="00AA1454" w:rsidRPr="002A5818">
        <w:t>. C</w:t>
      </w:r>
      <w:r w:rsidRPr="002A5818">
        <w:t xml:space="preserve">ette première phase, financée à </w:t>
      </w:r>
      <w:r w:rsidR="00AA1454" w:rsidRPr="002A5818">
        <w:t xml:space="preserve">hauteur de </w:t>
      </w:r>
      <w:r w:rsidRPr="002A5818">
        <w:t>1,2</w:t>
      </w:r>
      <w:r w:rsidR="005D5A3B">
        <w:t> </w:t>
      </w:r>
      <w:r w:rsidR="00AA1454" w:rsidRPr="002A5818">
        <w:t>Md</w:t>
      </w:r>
      <w:r w:rsidR="005D5A3B">
        <w:t> </w:t>
      </w:r>
      <w:r w:rsidRPr="002A5818">
        <w:t>FCFA par le Projet de résilience et de la compétitivité de l’élevage (PRECEL), concerne 61 membres des Forces de défense et de sécurité (FDS) admis à faire valoir leurs droits à la retraite.</w:t>
      </w:r>
      <w:r w:rsidR="00AA1454" w:rsidRPr="002A5818">
        <w:t xml:space="preserve"> </w:t>
      </w:r>
      <w:r w:rsidRPr="002A5818">
        <w:t xml:space="preserve">Au total, 122 cages flottantes ont été distribuées lors du lancement officiel du programme de reconversion des FDS à la retraite. Pour le directeur général des ressources halieutiques, </w:t>
      </w:r>
      <w:r w:rsidR="00AA1454" w:rsidRPr="002A5818">
        <w:t xml:space="preserve">M. </w:t>
      </w:r>
      <w:r w:rsidRPr="002A5818">
        <w:t xml:space="preserve">Moustapha Alassane Tassembedo, chaque bénéficiaire a reçu un kit complet comprenant deux cages flottantes, huit tonnes d’aliments pour poissons et 24 000 alevins, pour une valeur estimée à 10 </w:t>
      </w:r>
      <w:r w:rsidR="00AA1454" w:rsidRPr="002A5818">
        <w:t>M F</w:t>
      </w:r>
      <w:r w:rsidRPr="002A5818">
        <w:t>CFA par promoteur.</w:t>
      </w:r>
      <w:r w:rsidR="00AA1454" w:rsidRPr="002A5818">
        <w:t xml:space="preserve"> </w:t>
      </w:r>
      <w:r w:rsidRPr="002A5818">
        <w:t>La cérémonie a été marquée également par l’installation symbolique d’une cage de</w:t>
      </w:r>
      <w:r w:rsidR="00AA1454" w:rsidRPr="002A5818">
        <w:t xml:space="preserve"> </w:t>
      </w:r>
      <w:r w:rsidRPr="002A5818">
        <w:t xml:space="preserve">12 000 alevins. Selon les projections, chaque cage devrait permettre de produire environ trois tonnes de poissons par cycle, soit six tonnes avec deux cycles de production par an. </w:t>
      </w:r>
      <w:r w:rsidR="00AA1454" w:rsidRPr="002A5818">
        <w:t xml:space="preserve">Selon les estimations, chaque cage devrait générer une marge nette comprise entre 1,6 et 1,7 M FCFA en seulement quatre à six mois d’élevage. </w:t>
      </w:r>
      <w:r w:rsidRPr="002A5818">
        <w:t xml:space="preserve">A l’échelle du programme, près de 700 tonnes de poissons sont attendues, représentant un chiffre d’affaires estimé à 1,4 </w:t>
      </w:r>
      <w:r w:rsidR="00AA1454" w:rsidRPr="002A5818">
        <w:t>Md F</w:t>
      </w:r>
      <w:r w:rsidRPr="002A5818">
        <w:t>CFA. Le projet cible environ 100 FDS qui partent à la retraite sur trois sites que sont les barrages de Samandeni, Soum et Bagré</w:t>
      </w:r>
      <w:r w:rsidR="00AA1454" w:rsidRPr="002A5818">
        <w:t xml:space="preserve">. </w:t>
      </w:r>
      <w:r w:rsidRPr="002A5818">
        <w:t xml:space="preserve">Le coordonnateur du PRECEL, </w:t>
      </w:r>
      <w:r w:rsidR="00AA1454" w:rsidRPr="002A5818">
        <w:t xml:space="preserve">M. </w:t>
      </w:r>
      <w:r w:rsidRPr="002A5818">
        <w:t>Bernard Ismael Konkobo, a souligné l’importance du projet dont l’objectif principal est de renforcer la résilience des FDS durant cette période de transition cruciale qu’est le passage à la retraite. Il a invité les bénéficiaires à faire bon usage des kits qui leur sont remis, soulignant que cette opportunité s’inscrit dans la vision étatique de souveraineté alimentaire.</w:t>
      </w:r>
    </w:p>
    <w:p w14:paraId="63713004" w14:textId="77777777" w:rsidR="00115458" w:rsidRPr="002A5818" w:rsidRDefault="00115458" w:rsidP="00115458">
      <w:pPr>
        <w:pStyle w:val="Titre2"/>
        <w:spacing w:before="0"/>
      </w:pPr>
    </w:p>
    <w:p w14:paraId="6E257780" w14:textId="084BFDD2" w:rsidR="00DC3113" w:rsidRPr="002A5818" w:rsidRDefault="00DC3113" w:rsidP="00115458">
      <w:pPr>
        <w:pStyle w:val="Titre2"/>
        <w:spacing w:before="0"/>
      </w:pPr>
      <w:bookmarkStart w:id="168" w:name="_Toc221044226"/>
      <w:bookmarkStart w:id="169" w:name="_Hlk220852456"/>
      <w:r w:rsidRPr="002A5818">
        <w:t>Mécanisation – Achat d’équipement</w:t>
      </w:r>
      <w:r w:rsidR="00115458" w:rsidRPr="002A5818">
        <w:t>s</w:t>
      </w:r>
      <w:r w:rsidRPr="002A5818">
        <w:t xml:space="preserve"> sur le budget de l’Etat.</w:t>
      </w:r>
      <w:bookmarkEnd w:id="168"/>
    </w:p>
    <w:bookmarkEnd w:id="169"/>
    <w:p w14:paraId="67913D16" w14:textId="1997B169" w:rsidR="00DC3113" w:rsidRPr="002A5818" w:rsidRDefault="00DC3113" w:rsidP="00DC3113">
      <w:pPr>
        <w:spacing w:after="0"/>
      </w:pPr>
      <w:r w:rsidRPr="002A5818">
        <w:t>Le ministre d’Etat en charge de l’agriculture, le commandant Ismaël Sombié, a annoncé le 22</w:t>
      </w:r>
      <w:r w:rsidR="00AC2762">
        <w:t> </w:t>
      </w:r>
      <w:r w:rsidRPr="002A5818">
        <w:t>janvier que pour le compte de l’Initiative présidentielle pour la production agricole et l’autosuffisance alimentaire (IP-3A), le gouvernement allait acquérir en 2026, 100 tracteurs de 40 chevaux, 80 semoirs, 120 petites moissonneuses, 120 motoculteurs et 6 foreuses de grande capacité avec équipements complets, pour booster la production. 250 véhicules deux roues, huit camions, 400 motopompes, deux tracteurs multifonctionnels, 12 égraineuses et 12</w:t>
      </w:r>
      <w:r w:rsidR="00AC2762">
        <w:t> </w:t>
      </w:r>
      <w:r w:rsidRPr="002A5818">
        <w:t>botteleuses</w:t>
      </w:r>
      <w:bookmarkStart w:id="170" w:name="_Hlk220160877"/>
      <w:r w:rsidRPr="002A5818">
        <w:t>.</w:t>
      </w:r>
    </w:p>
    <w:p w14:paraId="3FA7C035" w14:textId="3A8B71B5" w:rsidR="00DC3113" w:rsidRPr="002A5818" w:rsidRDefault="00DC3113" w:rsidP="00DC3113">
      <w:pPr>
        <w:spacing w:after="0"/>
      </w:pPr>
    </w:p>
    <w:p w14:paraId="12961309" w14:textId="631B79F2" w:rsidR="00DC276D" w:rsidRPr="002A5818" w:rsidRDefault="00DC276D" w:rsidP="00DC276D">
      <w:pPr>
        <w:pStyle w:val="Titre2"/>
        <w:spacing w:before="0"/>
      </w:pPr>
      <w:bookmarkStart w:id="171" w:name="_Toc221044227"/>
      <w:r w:rsidRPr="002A5818">
        <w:t xml:space="preserve">Formation – </w:t>
      </w:r>
      <w:r w:rsidR="001A579D" w:rsidRPr="002A5818">
        <w:t xml:space="preserve">Objectif de </w:t>
      </w:r>
      <w:r w:rsidRPr="002A5818">
        <w:t>8 000 jeunes</w:t>
      </w:r>
      <w:r w:rsidR="001A579D" w:rsidRPr="002A5818">
        <w:t xml:space="preserve"> « VDP agricoles »</w:t>
      </w:r>
      <w:r w:rsidRPr="002A5818">
        <w:t>.</w:t>
      </w:r>
      <w:bookmarkEnd w:id="171"/>
    </w:p>
    <w:p w14:paraId="66FCF61B" w14:textId="55C27EA2" w:rsidR="00DC276D" w:rsidRPr="002A5818" w:rsidRDefault="00DC276D" w:rsidP="00DC276D">
      <w:pPr>
        <w:spacing w:after="0"/>
      </w:pPr>
      <w:r w:rsidRPr="002A5818">
        <w:t xml:space="preserve">La coordination technique de l’Initiative présidentielle pour la production agricole et l’autosuffisance alimentaire (IP-P3A) a effectué, le 28 janvier, une visite à l’École nationale de formation agricole (ENAFA) de Matourkou. Cette sortie de terrain visait à évaluer les conditions de formation de la deuxième cohorte des jeunes entrepreneurs agricoles, communément appelés « </w:t>
      </w:r>
      <w:bookmarkStart w:id="172" w:name="_Hlk220852578"/>
      <w:r w:rsidRPr="002A5818">
        <w:t xml:space="preserve">VDP agricoles </w:t>
      </w:r>
      <w:bookmarkEnd w:id="172"/>
      <w:r w:rsidRPr="002A5818">
        <w:t>»</w:t>
      </w:r>
      <w:r w:rsidR="001A579D" w:rsidRPr="002A5818">
        <w:t xml:space="preserve"> (Volontaire pour la Défense de la Patrie)</w:t>
      </w:r>
      <w:r w:rsidRPr="002A5818">
        <w:t xml:space="preserve">. Plus de 3 000 jeunes, issus des différentes régions du Burkina Faso, sont actuellement répartis dans 17 centres de formation, dont celui de l’ENAFA de Matourkou qui accueille environ 700 apprenants. Ces </w:t>
      </w:r>
      <w:r w:rsidRPr="002A5818">
        <w:lastRenderedPageBreak/>
        <w:t>jeunes suivent un programme alliant enseignements théoriques et travaux pratiques, dans l’objectif de renforcer leurs compétences en production agricole. Selon le secrétaire général de l’ENAFA de Matourkou, le Dr Cissé Drissa, la formation pratique se déroule sur un espace de 5 ha consacré à la culture des céréales, des légumineuses, du niébé et des cultures maraîchères. L’objectif est de permettre aux apprenants d’acquérir des connaissances opérationnelles qu’ils pourront appliquer dans leurs localités respectives. Les apprenants sont également formés à la production animale, notamment en aviculture et en pisciculture. Des modules d’entrepreneuriat et de gestion foncière sont aussi dispensés. Cette initiative, créée en 2024 et rattachée au Bureau national des grands projets, comprend plusieurs composantes, dont celle dédiée à la formation des jeunes en entrepreneuriat agricole. Les bénéficiaires, après une formation civique et militaire d’un mois, suivent un programme de formation d’au moins 70 jours, structuré autour de 13 modules. L’Initiative présidentielle pour la production agricole et l’autosuffisance alimentaire prévoit de former environ 8 000 jeunes issus de l’ensemble des communes du pays en moins d’un an. La première cohorte, composée de 2 000 jeunes, est déjà déployée sur le terrain, tandis que la deuxième cohorte, forte de plus de 3 000 participants, poursuit actuellement sa formation.</w:t>
      </w:r>
    </w:p>
    <w:p w14:paraId="02BCB402" w14:textId="77777777" w:rsidR="00DC276D" w:rsidRPr="002A5818" w:rsidRDefault="00DC276D" w:rsidP="00DC276D">
      <w:pPr>
        <w:spacing w:after="0"/>
      </w:pPr>
    </w:p>
    <w:p w14:paraId="4BC154D7" w14:textId="2E059336" w:rsidR="009D0F96" w:rsidRPr="002A5818" w:rsidRDefault="009D0F96" w:rsidP="001C1865">
      <w:pPr>
        <w:pStyle w:val="Titre1"/>
        <w:spacing w:before="0"/>
      </w:pPr>
      <w:bookmarkStart w:id="173" w:name="_Toc207812045"/>
      <w:bookmarkStart w:id="174" w:name="_Toc207812913"/>
      <w:bookmarkStart w:id="175" w:name="_Toc207813075"/>
      <w:bookmarkStart w:id="176" w:name="_Toc221044228"/>
      <w:bookmarkEnd w:id="170"/>
      <w:r w:rsidRPr="002A5818">
        <w:t>Cap Vert</w:t>
      </w:r>
      <w:bookmarkEnd w:id="173"/>
      <w:bookmarkEnd w:id="174"/>
      <w:bookmarkEnd w:id="175"/>
      <w:bookmarkEnd w:id="176"/>
    </w:p>
    <w:p w14:paraId="01571F97" w14:textId="77777777" w:rsidR="00277CCA" w:rsidRPr="002A5818" w:rsidRDefault="00277CCA" w:rsidP="00277CCA">
      <w:pPr>
        <w:pStyle w:val="Titre2"/>
        <w:spacing w:before="0"/>
      </w:pPr>
      <w:bookmarkStart w:id="177" w:name="_Toc221044229"/>
      <w:bookmarkStart w:id="178" w:name="_Hlk220160969"/>
      <w:bookmarkStart w:id="179" w:name="_Toc209969695"/>
      <w:bookmarkStart w:id="180" w:name="_Toc209969694"/>
      <w:r w:rsidRPr="002A5818">
        <w:t>Irrigation - Financement de 42 M d’escudos.</w:t>
      </w:r>
      <w:bookmarkEnd w:id="177"/>
    </w:p>
    <w:p w14:paraId="06638FC4" w14:textId="348F169D" w:rsidR="00277CCA" w:rsidRPr="002A5818" w:rsidRDefault="00277CCA" w:rsidP="00277CCA">
      <w:pPr>
        <w:spacing w:after="0"/>
      </w:pPr>
      <w:r w:rsidRPr="002A5818">
        <w:t>Le Premier ministre M. Ulisses Correia e Silva a présidé la signature du contrat pour le projet hydro-agricole Zurinca/Aguada de Janela, dans la municipalité de Paul, une intervention dans le cadre du POSER, destinée à soutenir la reprise et le renforcement de l’agriculture et de l’élevage dans une zone à fort potentiel productif, historiquement affectée par la sécheresse. Le projet prévoit la mise à disposition de 3,5 ha de terres préparées, avec irrigation goutte-à-goutte, entièrement mises au service de 24 agriculteurs, principalement des jeunes. D’autres projets de ce type sont en cours de développement sur plusieurs îles et municipalités du pays, le gouvernement investissant environ 42 M d’escudos, dans un projet qui doit avoir un impact direct sur l’économie locale et sur l’approvisionnement de marchés en croissance, tels que Porto Novo et toute l’île de Santo Antão.</w:t>
      </w:r>
    </w:p>
    <w:p w14:paraId="70636426" w14:textId="77777777" w:rsidR="00277CCA" w:rsidRPr="002A5818" w:rsidRDefault="00277CCA" w:rsidP="00277CCA">
      <w:pPr>
        <w:spacing w:after="0"/>
      </w:pPr>
    </w:p>
    <w:p w14:paraId="2BC008CB" w14:textId="679ECC9E" w:rsidR="00C31439" w:rsidRPr="002A5818" w:rsidRDefault="00C045B7" w:rsidP="001C1865">
      <w:pPr>
        <w:pStyle w:val="Titre2"/>
        <w:spacing w:before="0"/>
      </w:pPr>
      <w:hyperlink r:id="rId33" w:history="1">
        <w:bookmarkStart w:id="181" w:name="_Toc221044230"/>
        <w:r w:rsidR="00283726" w:rsidRPr="002A5818">
          <w:rPr>
            <w:rStyle w:val="Lienhypertexte"/>
            <w:color w:val="auto"/>
            <w:u w:val="none"/>
          </w:rPr>
          <w:t>Irrigation</w:t>
        </w:r>
        <w:r w:rsidR="00C229DB" w:rsidRPr="002A5818">
          <w:rPr>
            <w:rStyle w:val="Lienhypertexte"/>
            <w:color w:val="auto"/>
            <w:u w:val="none"/>
          </w:rPr>
          <w:t xml:space="preserve"> – </w:t>
        </w:r>
        <w:r w:rsidR="00283726" w:rsidRPr="002A5818">
          <w:rPr>
            <w:rStyle w:val="Lienhypertexte"/>
            <w:color w:val="auto"/>
            <w:u w:val="none"/>
          </w:rPr>
          <w:t>Prêt</w:t>
        </w:r>
      </w:hyperlink>
      <w:r w:rsidR="00283726" w:rsidRPr="002A5818">
        <w:t xml:space="preserve"> autrichien.</w:t>
      </w:r>
      <w:bookmarkEnd w:id="181"/>
    </w:p>
    <w:bookmarkEnd w:id="178"/>
    <w:bookmarkEnd w:id="179"/>
    <w:bookmarkEnd w:id="180"/>
    <w:p w14:paraId="7422E63C" w14:textId="023EEEDB" w:rsidR="00EB451E" w:rsidRPr="002A5818" w:rsidRDefault="00EB451E" w:rsidP="00EB451E">
      <w:pPr>
        <w:spacing w:after="0"/>
      </w:pPr>
      <w:r w:rsidRPr="002A5818">
        <w:t xml:space="preserve">La signature d’un accord de crédit avec UniCredit Bank Austria AG visant à financer le projet de système d’épuration, collecte, distribution et irrigation des eaux usées de l’île de Boa Vista est intervenue le 22 janvier. L’accord mobilise une ligne de crédit concessionnelle d’un montant de 15 M EUR, mise à disposition par l’Autriche via UniCredit Bank Austria AG, avec cofinancement du gouvernement capverdien, et sera mise en œuvre par la société autrichienne UNIHA wasser Technologie GmbH, sous la direction d’Águas e Energia da Boa Vista (AEB). Cet investissement vise à installer des infrastructures pour le traitement et la collecte des eaux usées, l’amélioration de la distribution de l’eau et </w:t>
      </w:r>
      <w:r w:rsidR="00283726" w:rsidRPr="002A5818">
        <w:t xml:space="preserve">le </w:t>
      </w:r>
      <w:r w:rsidRPr="002A5818">
        <w:t>développement de systèmes d’irrigation sur l’île</w:t>
      </w:r>
      <w:r w:rsidR="00283726" w:rsidRPr="002A5818">
        <w:t xml:space="preserve"> au profit de l’agriculture.</w:t>
      </w:r>
    </w:p>
    <w:p w14:paraId="07369B4A" w14:textId="77777777" w:rsidR="00F800AE" w:rsidRPr="002A5818" w:rsidRDefault="00F800AE" w:rsidP="007A171E">
      <w:pPr>
        <w:spacing w:after="0"/>
      </w:pPr>
    </w:p>
    <w:p w14:paraId="11458574" w14:textId="5E80B6F0" w:rsidR="009D0F96" w:rsidRPr="002A5818" w:rsidRDefault="009D0F96" w:rsidP="001C1865">
      <w:pPr>
        <w:pStyle w:val="Titre1"/>
        <w:spacing w:before="0"/>
      </w:pPr>
      <w:bookmarkStart w:id="182" w:name="_Toc207812048"/>
      <w:bookmarkStart w:id="183" w:name="_Toc207812916"/>
      <w:bookmarkStart w:id="184" w:name="_Toc207813078"/>
      <w:bookmarkStart w:id="185" w:name="_Toc221044231"/>
      <w:r w:rsidRPr="002A5818">
        <w:lastRenderedPageBreak/>
        <w:t>Gambie</w:t>
      </w:r>
      <w:bookmarkEnd w:id="182"/>
      <w:bookmarkEnd w:id="183"/>
      <w:bookmarkEnd w:id="184"/>
      <w:bookmarkEnd w:id="185"/>
    </w:p>
    <w:p w14:paraId="608D08E7" w14:textId="6356643C" w:rsidR="00CB124D" w:rsidRPr="002A5818" w:rsidRDefault="00C622A2" w:rsidP="00C622A2">
      <w:pPr>
        <w:pStyle w:val="Titre2"/>
        <w:spacing w:before="0"/>
      </w:pPr>
      <w:bookmarkStart w:id="186" w:name="_Toc221044232"/>
      <w:bookmarkStart w:id="187" w:name="_Toc207812051"/>
      <w:bookmarkStart w:id="188" w:name="_Toc207812919"/>
      <w:bookmarkStart w:id="189" w:name="_Toc207813081"/>
      <w:r w:rsidRPr="002A5818">
        <w:t>Foncier - L</w:t>
      </w:r>
      <w:r w:rsidR="00CB124D" w:rsidRPr="002A5818">
        <w:t>ance</w:t>
      </w:r>
      <w:r w:rsidR="00C47F97" w:rsidRPr="002A5818">
        <w:t>ment</w:t>
      </w:r>
      <w:r w:rsidR="00CB124D" w:rsidRPr="002A5818">
        <w:t xml:space="preserve"> </w:t>
      </w:r>
      <w:r w:rsidRPr="002A5818">
        <w:t xml:space="preserve">de </w:t>
      </w:r>
      <w:r w:rsidR="00CB124D" w:rsidRPr="002A5818">
        <w:t>la première politique foncière</w:t>
      </w:r>
      <w:r w:rsidRPr="002A5818">
        <w:t>.</w:t>
      </w:r>
      <w:bookmarkEnd w:id="186"/>
    </w:p>
    <w:p w14:paraId="43426ED1" w14:textId="26B8F5E9" w:rsidR="00CB124D" w:rsidRPr="002A5818" w:rsidRDefault="00CB124D" w:rsidP="00CB124D">
      <w:pPr>
        <w:spacing w:after="0"/>
      </w:pPr>
      <w:r w:rsidRPr="002A5818">
        <w:t xml:space="preserve">Le </w:t>
      </w:r>
      <w:r w:rsidR="00C622A2" w:rsidRPr="002A5818">
        <w:t>P</w:t>
      </w:r>
      <w:r w:rsidRPr="002A5818">
        <w:t xml:space="preserve">résident </w:t>
      </w:r>
      <w:r w:rsidR="00C622A2" w:rsidRPr="002A5818">
        <w:t xml:space="preserve">M. </w:t>
      </w:r>
      <w:r w:rsidRPr="002A5818">
        <w:t>Adama Barrow a procédé</w:t>
      </w:r>
      <w:r w:rsidR="00C622A2" w:rsidRPr="002A5818">
        <w:t xml:space="preserve"> fin décembre </w:t>
      </w:r>
      <w:r w:rsidRPr="002A5818">
        <w:t>au lancement de la première politique foncière nationale de la Gambie, couvrant la période 2026-2035, une initiative destinée à encadrer la gouvernance du secteur foncier dans le pays.</w:t>
      </w:r>
      <w:r w:rsidR="00C622A2" w:rsidRPr="002A5818">
        <w:t xml:space="preserve"> </w:t>
      </w:r>
      <w:r w:rsidRPr="002A5818">
        <w:t>Cette politique de réforme ambitionne de reconnaître l’ensemble des droits de propriété foncière légitimes, de promouvoir une utilisation responsable des terres et de s’attaquer aux conflits fonciers, tout en favorisant l’égalité des sexes dans l’accès à la propriété foncière et l’autonomisation des jeunes à travers le renforcement des capacités.</w:t>
      </w:r>
      <w:r w:rsidR="00C622A2" w:rsidRPr="002A5818">
        <w:t xml:space="preserve"> </w:t>
      </w:r>
      <w:r w:rsidRPr="002A5818">
        <w:t>Selon les autorités gambiennes, cette politique foncière nationale constitue une avancée majeure dont l’impact se fera sentir dans toutes les communautés grâce à la sécurisation des droits fonciers, une transparence accrue et une responsabilisation mesurable en matière de gestion des terres, de croissance économique et d’autonomisation de la jeunesse.</w:t>
      </w:r>
      <w:r w:rsidR="00C622A2" w:rsidRPr="002A5818">
        <w:t xml:space="preserve"> </w:t>
      </w:r>
      <w:r w:rsidRPr="002A5818">
        <w:t>Dans son allocution, le président Barrow a souligné que l’élaboration de cette politique représente un pilier central du programme de réforme gouvernemental, conformément aux engagements contenus dans ses manifestes politiques et au Plan national de développement axé sur le redressement (2023-2027), baptisé YIRIWA.</w:t>
      </w:r>
    </w:p>
    <w:p w14:paraId="20BEBB5F" w14:textId="11838B99" w:rsidR="00492139" w:rsidRPr="002A5818" w:rsidRDefault="00492139" w:rsidP="00CB124D">
      <w:pPr>
        <w:spacing w:after="0"/>
      </w:pPr>
    </w:p>
    <w:p w14:paraId="1553A606" w14:textId="29B0A65E" w:rsidR="000C3CF4" w:rsidRPr="002A5818" w:rsidRDefault="000C3CF4" w:rsidP="000C3CF4">
      <w:pPr>
        <w:pStyle w:val="Titre2"/>
        <w:spacing w:before="0"/>
      </w:pPr>
      <w:bookmarkStart w:id="190" w:name="_Toc221044233"/>
      <w:r w:rsidRPr="002A5818">
        <w:t>Arachide – Solide performance du secteur pour la campagne 2025/2026.</w:t>
      </w:r>
      <w:bookmarkEnd w:id="190"/>
    </w:p>
    <w:p w14:paraId="22AD0A65" w14:textId="7BE0B79A" w:rsidR="00E40C66" w:rsidRPr="002A5818" w:rsidRDefault="00E40C66" w:rsidP="00E40C66">
      <w:pPr>
        <w:spacing w:after="0"/>
      </w:pPr>
      <w:r w:rsidRPr="002A5818">
        <w:t xml:space="preserve">Les derniers chiffres de la </w:t>
      </w:r>
      <w:r w:rsidR="000C3CF4" w:rsidRPr="002A5818">
        <w:t xml:space="preserve">campagne </w:t>
      </w:r>
      <w:r w:rsidRPr="002A5818">
        <w:t>2025/2026 de l’arachide r</w:t>
      </w:r>
      <w:r w:rsidR="002D1D7B" w:rsidRPr="002A5818">
        <w:t>é</w:t>
      </w:r>
      <w:r w:rsidRPr="002A5818">
        <w:t>v</w:t>
      </w:r>
      <w:r w:rsidR="002D1D7B" w:rsidRPr="002A5818">
        <w:t>è</w:t>
      </w:r>
      <w:r w:rsidRPr="002A5818">
        <w:t xml:space="preserve">lent de solides performances de livraison à travers le pays et des niveaux records de distribution financière pour les agriculteurs et les commerçants. </w:t>
      </w:r>
      <w:r w:rsidR="00AC2762">
        <w:t xml:space="preserve">Au </w:t>
      </w:r>
      <w:r w:rsidRPr="002A5818">
        <w:t>20 janvier, le montant total des achats s’est élevé à 1,174</w:t>
      </w:r>
      <w:r w:rsidR="00AC2762">
        <w:t> </w:t>
      </w:r>
      <w:r w:rsidRPr="002A5818">
        <w:t xml:space="preserve">Md </w:t>
      </w:r>
      <w:r w:rsidR="00AC2762">
        <w:t>GMD (environ 13,5 M EUR)</w:t>
      </w:r>
      <w:r w:rsidRPr="002A5818">
        <w:t>. Sur ce montant total</w:t>
      </w:r>
      <w:r w:rsidR="00AC2762">
        <w:t>,</w:t>
      </w:r>
      <w:r w:rsidRPr="002A5818">
        <w:t xml:space="preserve"> 965,1 M</w:t>
      </w:r>
      <w:r w:rsidR="00AC2762">
        <w:t xml:space="preserve"> GMD</w:t>
      </w:r>
      <w:r w:rsidRPr="002A5818">
        <w:t xml:space="preserve"> ont été directement reversés aux</w:t>
      </w:r>
      <w:r w:rsidR="00F81B74">
        <w:t xml:space="preserve"> </w:t>
      </w:r>
      <w:r w:rsidR="00F81B74" w:rsidRPr="00F81B74">
        <w:rPr>
          <w:i/>
          <w:iCs/>
        </w:rPr>
        <w:t>Secco</w:t>
      </w:r>
      <w:r w:rsidR="00F81B74">
        <w:t xml:space="preserve"> </w:t>
      </w:r>
      <w:r w:rsidR="00F81B74" w:rsidRPr="00F81B74">
        <w:t xml:space="preserve">(centre </w:t>
      </w:r>
      <w:r w:rsidR="00F81B74">
        <w:t xml:space="preserve">communautaire </w:t>
      </w:r>
      <w:r w:rsidR="00F81B74" w:rsidRPr="00F81B74">
        <w:t>de collecte et d’achat des arachides)</w:t>
      </w:r>
      <w:r w:rsidRPr="002A5818">
        <w:t>, tandis que 209,6</w:t>
      </w:r>
      <w:r w:rsidR="00F81B74">
        <w:t> </w:t>
      </w:r>
      <w:r w:rsidR="002D1D7B" w:rsidRPr="002A5818">
        <w:t>M</w:t>
      </w:r>
      <w:r w:rsidR="00F81B74">
        <w:t> </w:t>
      </w:r>
      <w:r w:rsidR="00AC2762">
        <w:t>GMD</w:t>
      </w:r>
      <w:r w:rsidRPr="002A5818">
        <w:t xml:space="preserve"> ont été versés à des commerçants privés sous contrat pour l’achat de 5</w:t>
      </w:r>
      <w:r w:rsidR="00AC2762">
        <w:t> </w:t>
      </w:r>
      <w:r w:rsidRPr="002A5818">
        <w:t>517</w:t>
      </w:r>
      <w:r w:rsidR="00AC2762">
        <w:t> </w:t>
      </w:r>
      <w:r w:rsidRPr="002A5818">
        <w:t>tonnes de stock.</w:t>
      </w:r>
      <w:r w:rsidR="002D1D7B" w:rsidRPr="002A5818">
        <w:t xml:space="preserve"> </w:t>
      </w:r>
      <w:r w:rsidRPr="002A5818">
        <w:t xml:space="preserve">Les chiffres de performance montrent que plusieurs </w:t>
      </w:r>
      <w:r w:rsidRPr="00F81B74">
        <w:rPr>
          <w:i/>
          <w:iCs/>
        </w:rPr>
        <w:t>Secco</w:t>
      </w:r>
      <w:r w:rsidR="00F81B74" w:rsidRPr="00F81B74">
        <w:t>,</w:t>
      </w:r>
      <w:r w:rsidR="00F81B74">
        <w:t xml:space="preserve"> </w:t>
      </w:r>
      <w:r w:rsidRPr="002A5818">
        <w:t>non seulement ont atteint mais dépassé leurs objectifs de livraison, certains enregistrant des livraisons bien supérieures aux attentes. Chilla Secco a dominé le classement des performances avec 124%, suivi de Baja Kunda avec 119% et Pakala Demba Holley avec 116%.</w:t>
      </w:r>
      <w:r w:rsidR="002D1D7B" w:rsidRPr="002A5818">
        <w:t xml:space="preserve"> </w:t>
      </w:r>
      <w:r w:rsidRPr="002A5818">
        <w:t>D’autres performants solides, dont Sankwia, Dalaba, Touba Angela et Jarreng Passy, ont également dépassé la barre des 110%, mettant en lumière une forte participation des agriculteurs, une logistique efficace et une amélioration des flux de trésorerie au niveau communautaire.</w:t>
      </w:r>
      <w:r w:rsidR="002D1D7B" w:rsidRPr="002A5818">
        <w:t xml:space="preserve"> </w:t>
      </w:r>
      <w:r w:rsidRPr="002A5818">
        <w:t xml:space="preserve">Au total, </w:t>
      </w:r>
      <w:r w:rsidR="00F81B74">
        <w:t xml:space="preserve">les </w:t>
      </w:r>
      <w:r w:rsidRPr="00F81B74">
        <w:rPr>
          <w:i/>
          <w:iCs/>
        </w:rPr>
        <w:t>Secco</w:t>
      </w:r>
      <w:r w:rsidRPr="002A5818">
        <w:t xml:space="preserve"> </w:t>
      </w:r>
      <w:r w:rsidR="00F81B74">
        <w:t>ont</w:t>
      </w:r>
      <w:r w:rsidRPr="002A5818">
        <w:t xml:space="preserve"> livré 24 065 tonnes sur un total attendu de 25</w:t>
      </w:r>
      <w:r w:rsidR="002D1D7B" w:rsidRPr="002A5818">
        <w:t> </w:t>
      </w:r>
      <w:r w:rsidRPr="002A5818">
        <w:t>399 tonnes, soit un taux de livraison national de 94,63%.</w:t>
      </w:r>
      <w:r w:rsidR="002D1D7B" w:rsidRPr="002A5818">
        <w:t xml:space="preserve"> Ces </w:t>
      </w:r>
      <w:r w:rsidRPr="002A5818">
        <w:t>chiffres reflètent un contrôle plus strict, le déploiement de systèmes de paiement numériques et une coordination renforcée entre les parties prenantes à travers la chaîne de valeur.</w:t>
      </w:r>
      <w:r w:rsidR="002D1D7B" w:rsidRPr="002A5818">
        <w:t xml:space="preserve"> D</w:t>
      </w:r>
      <w:r w:rsidRPr="002A5818">
        <w:t xml:space="preserve">es fonds supplémentaires ont été retenus alors que les </w:t>
      </w:r>
      <w:r w:rsidRPr="00F81B74">
        <w:rPr>
          <w:i/>
          <w:iCs/>
        </w:rPr>
        <w:t>Secco</w:t>
      </w:r>
      <w:r w:rsidRPr="002A5818">
        <w:t xml:space="preserve"> n’avaient pas encore atteint le seuil minimum de 75% de livraison, mesure introduite pour renforcer la responsabilité et protéger les fonds publics.</w:t>
      </w:r>
      <w:r w:rsidR="002D1D7B" w:rsidRPr="002A5818">
        <w:t xml:space="preserve"> </w:t>
      </w:r>
      <w:r w:rsidRPr="002A5818">
        <w:t xml:space="preserve">Seul un petit nombre de </w:t>
      </w:r>
      <w:r w:rsidRPr="00F81B74">
        <w:rPr>
          <w:i/>
          <w:iCs/>
        </w:rPr>
        <w:t>Secco</w:t>
      </w:r>
      <w:r w:rsidRPr="002A5818">
        <w:t xml:space="preserve"> reste en dessous du seuil, les moins performants enregistrant des taux de livraison compris entre 44</w:t>
      </w:r>
      <w:r w:rsidR="00F81B74">
        <w:t> </w:t>
      </w:r>
      <w:r w:rsidRPr="002A5818">
        <w:t>et 58%, indiquant des zones où un soutien logistique et une intervention opérationnelle pourraient être nécessaires.</w:t>
      </w:r>
      <w:r w:rsidR="002D1D7B" w:rsidRPr="002A5818">
        <w:t xml:space="preserve"> </w:t>
      </w:r>
      <w:r w:rsidRPr="002A5818">
        <w:t xml:space="preserve">Pour maintenir cet élan, tous les dépôts fonctionnent 24h/24 </w:t>
      </w:r>
      <w:r w:rsidR="002D1D7B" w:rsidRPr="002A5818">
        <w:t xml:space="preserve">pour </w:t>
      </w:r>
      <w:r w:rsidRPr="002A5818">
        <w:t>rédui</w:t>
      </w:r>
      <w:r w:rsidR="002D1D7B" w:rsidRPr="002A5818">
        <w:t>re</w:t>
      </w:r>
      <w:r w:rsidRPr="002A5818">
        <w:t xml:space="preserve"> la congestion </w:t>
      </w:r>
      <w:r w:rsidR="002D1D7B" w:rsidRPr="002A5818">
        <w:t xml:space="preserve">et maintenir </w:t>
      </w:r>
      <w:r w:rsidRPr="002A5818">
        <w:t xml:space="preserve">un flux régulier de produits des </w:t>
      </w:r>
      <w:r w:rsidR="002D1D7B" w:rsidRPr="002A5818">
        <w:t xml:space="preserve">coopératives </w:t>
      </w:r>
      <w:r w:rsidRPr="002A5818">
        <w:t>vers les centres de transformation.</w:t>
      </w:r>
      <w:r w:rsidR="000C3CF4" w:rsidRPr="002A5818">
        <w:t xml:space="preserve"> </w:t>
      </w:r>
      <w:r w:rsidRPr="002A5818">
        <w:t xml:space="preserve">Les opérations 24h/24 ont été cruciales pour éviter les arriérés pendant les périodes de pointe, tout en rassurant les agriculteurs sur le fait que leurs produits </w:t>
      </w:r>
      <w:r w:rsidR="000C3CF4" w:rsidRPr="002A5818">
        <w:t xml:space="preserve">étaient </w:t>
      </w:r>
      <w:r w:rsidRPr="002A5818">
        <w:t>reçus et payés rapidement.</w:t>
      </w:r>
      <w:r w:rsidR="000C3CF4" w:rsidRPr="002A5818">
        <w:t xml:space="preserve"> </w:t>
      </w:r>
      <w:r w:rsidRPr="002A5818">
        <w:t xml:space="preserve">Au-delà des chiffres, les données indiquent un changement plus large </w:t>
      </w:r>
      <w:r w:rsidRPr="002A5818">
        <w:lastRenderedPageBreak/>
        <w:t>dans la gestion du commerce de l’arachide</w:t>
      </w:r>
      <w:r w:rsidR="000C3CF4" w:rsidRPr="002A5818">
        <w:t xml:space="preserve">, </w:t>
      </w:r>
      <w:r w:rsidRPr="002A5818">
        <w:t xml:space="preserve">un changement de plus en plus porté par les données, la discipline et un engagement plus étroit avec les agriculteurs et </w:t>
      </w:r>
      <w:r w:rsidR="00F81B74">
        <w:t xml:space="preserve">les </w:t>
      </w:r>
      <w:r w:rsidRPr="00F81B74">
        <w:rPr>
          <w:i/>
          <w:iCs/>
        </w:rPr>
        <w:t>Secco</w:t>
      </w:r>
      <w:r w:rsidRPr="002A5818">
        <w:t>.</w:t>
      </w:r>
    </w:p>
    <w:p w14:paraId="6374807B" w14:textId="77777777" w:rsidR="00E40C66" w:rsidRPr="002A5818" w:rsidRDefault="00E40C66" w:rsidP="00E40C66">
      <w:pPr>
        <w:spacing w:after="0"/>
      </w:pPr>
    </w:p>
    <w:p w14:paraId="3E550491" w14:textId="177A9B0D" w:rsidR="00492139" w:rsidRPr="002A5818" w:rsidRDefault="00492139" w:rsidP="00492139">
      <w:pPr>
        <w:pStyle w:val="Titre2"/>
        <w:spacing w:before="0"/>
      </w:pPr>
      <w:bookmarkStart w:id="191" w:name="_Toc221044234"/>
      <w:bookmarkStart w:id="192" w:name="_Hlk220850124"/>
      <w:r w:rsidRPr="002A5818">
        <w:t>Arachide - 16 entreprises agréées pour exporter en Chine.</w:t>
      </w:r>
      <w:bookmarkEnd w:id="191"/>
    </w:p>
    <w:bookmarkEnd w:id="192"/>
    <w:p w14:paraId="7FCC4FFD" w14:textId="148D655E" w:rsidR="00492139" w:rsidRPr="002A5818" w:rsidRDefault="00492139" w:rsidP="00492139">
      <w:pPr>
        <w:spacing w:after="0"/>
      </w:pPr>
      <w:r w:rsidRPr="002A5818">
        <w:t>L’Autorité de la sécurité et de la qualité alimentaires de Gambie (FSQA) a annoncé le 28 janvier, que 16 entreprises gambiennes ont été officiellement agréées par l’Administration générale des douanes de la République populaire de Chine (GACC) pour exporter des arachides vers le marché chinois. La FSQA a appelé les entreprises approuvées à initier dès que possible les procédures de traitement des exportations afin de faciliter l’inspection, la certification et le dédouanement sans retard. L’Autorité a exhorté les agriculteurs, les agrégateurs, les transformateurs et les exportateurs à continuer de respecter strictement les bonnes pratiques agricoles (GAP), les bonnes pratiques de fabrication (GMP) et les exigences réglementaires en matière de sécurité alimentaire pour maintenir l’accès au marché chinois et à d’autres destinations internationales. Ces agréments représentent une opportunité significative pour la filière de l’arachide qui est l’un des principaux produits d’exportation.</w:t>
      </w:r>
    </w:p>
    <w:p w14:paraId="0619301E" w14:textId="77777777" w:rsidR="008649A2" w:rsidRPr="002A5818" w:rsidRDefault="008649A2" w:rsidP="001C1865">
      <w:pPr>
        <w:spacing w:after="0"/>
      </w:pPr>
    </w:p>
    <w:p w14:paraId="3108E4AC" w14:textId="13644A54" w:rsidR="009D0F96" w:rsidRPr="002A5818" w:rsidRDefault="009D0F96" w:rsidP="001C1865">
      <w:pPr>
        <w:pStyle w:val="Titre1"/>
        <w:spacing w:before="0"/>
      </w:pPr>
      <w:bookmarkStart w:id="193" w:name="_Toc221044235"/>
      <w:bookmarkStart w:id="194" w:name="_Hlk220774810"/>
      <w:r w:rsidRPr="002A5818">
        <w:t>Guinée</w:t>
      </w:r>
      <w:bookmarkEnd w:id="187"/>
      <w:bookmarkEnd w:id="188"/>
      <w:bookmarkEnd w:id="189"/>
      <w:bookmarkEnd w:id="193"/>
    </w:p>
    <w:p w14:paraId="5AEC57C0" w14:textId="46DDDE7A" w:rsidR="00115458" w:rsidRPr="002A5818" w:rsidRDefault="00115458" w:rsidP="00115458">
      <w:pPr>
        <w:pStyle w:val="Titre2"/>
        <w:spacing w:before="0"/>
      </w:pPr>
      <w:bookmarkStart w:id="195" w:name="_Toc221044236"/>
      <w:bookmarkStart w:id="196" w:name="_Hlk220169442"/>
      <w:r w:rsidRPr="002A5818">
        <w:t>Politique - Remaniement ministériel</w:t>
      </w:r>
      <w:r w:rsidR="004B6FE8" w:rsidRPr="002A5818">
        <w:t>.</w:t>
      </w:r>
      <w:bookmarkEnd w:id="195"/>
    </w:p>
    <w:bookmarkEnd w:id="196"/>
    <w:p w14:paraId="44E169BF" w14:textId="134E5F53" w:rsidR="00115458" w:rsidRPr="002A5818" w:rsidRDefault="00C30205" w:rsidP="00C30205">
      <w:pPr>
        <w:spacing w:after="0"/>
      </w:pPr>
      <w:r>
        <w:t>Quelques semaines après son investiture le 17 janvier, le général Mamadi Doumbouya, élu dès le premier tour de la présidentielle du 28 décembre 2025 avec 86,72 % des voix, avait reconduit M. Amadou Oury Bah au poste de Premier ministre. Le</w:t>
      </w:r>
      <w:r w:rsidR="00D86E75">
        <w:t>s nominations sont intervenues en deux vagues, les</w:t>
      </w:r>
      <w:r>
        <w:t xml:space="preserve"> 2 </w:t>
      </w:r>
      <w:r w:rsidR="00D86E75">
        <w:t xml:space="preserve">et 3 </w:t>
      </w:r>
      <w:r>
        <w:t>février</w:t>
      </w:r>
      <w:r w:rsidR="00D86E75">
        <w:t xml:space="preserve">. Le 2 février, </w:t>
      </w:r>
      <w:r>
        <w:t xml:space="preserve">le ministre de l’élevage a été reconduit, il s’agit de M. Félix Lamah (le 13 février 2024, il avait été nommé ministre de l'agriculture et de l'élevage dans le gouvernement de M. Bah Oury avant de céder le 29 juillet 2025 le ministère de l'agriculture à Mme Mariama Cire Sylla dans le même gouvernement pour ne garder que le portefeuille de l’élevage). Au ministre de la pêche et de l’économie maritime M. Fassou Théa a été </w:t>
      </w:r>
      <w:r w:rsidR="00D86E75">
        <w:t xml:space="preserve">également </w:t>
      </w:r>
      <w:r>
        <w:t>reconduit</w:t>
      </w:r>
      <w:r w:rsidR="00D86E75">
        <w:t xml:space="preserve"> le 2 février</w:t>
      </w:r>
      <w:r>
        <w:t>, il occupait ce poste depuis le 29 juillet 2025.</w:t>
      </w:r>
      <w:r w:rsidR="00D86E75">
        <w:t xml:space="preserve"> Le 3 février est intervenu la nomination au poste de ministre de l’agriculture de Mme Aminata</w:t>
      </w:r>
      <w:r w:rsidR="00D05E5D">
        <w:t xml:space="preserve"> Kaba en remplacement de Mme Mariama Cire Sylla. Mme Kaba </w:t>
      </w:r>
      <w:r w:rsidR="00987ABC">
        <w:t xml:space="preserve">a occupé différents postes ministériels depuis 2021 et </w:t>
      </w:r>
      <w:r w:rsidR="00D05E5D">
        <w:t>était ministre de l’enseignement technique</w:t>
      </w:r>
      <w:r w:rsidR="00987ABC">
        <w:t>, de la formation professionnelle et de l’emploi</w:t>
      </w:r>
      <w:r w:rsidR="00503818">
        <w:t xml:space="preserve"> dans le précédent gouvernement.de M. Bah Oury</w:t>
      </w:r>
      <w:r w:rsidR="00987ABC">
        <w:t xml:space="preserve"> depuis le 13 mars 2024.</w:t>
      </w:r>
    </w:p>
    <w:bookmarkEnd w:id="194"/>
    <w:p w14:paraId="314453DA" w14:textId="48ACC443" w:rsidR="001C76C6" w:rsidRPr="002A5818" w:rsidRDefault="001C76C6" w:rsidP="001C1865">
      <w:pPr>
        <w:spacing w:after="0"/>
      </w:pPr>
    </w:p>
    <w:p w14:paraId="281FA62C" w14:textId="3538FDAD" w:rsidR="00B705FF" w:rsidRPr="002A5818" w:rsidRDefault="00B705FF" w:rsidP="004B6FE8">
      <w:pPr>
        <w:pStyle w:val="Titre2"/>
        <w:spacing w:before="0"/>
      </w:pPr>
      <w:bookmarkStart w:id="197" w:name="_Toc221044237"/>
      <w:bookmarkStart w:id="198" w:name="_Hlk220844221"/>
      <w:r w:rsidRPr="002A5818">
        <w:t>Hévéa et palmier à huile – Relance de la Société guinéenne de palmiers à huile et d’hévéa (SOGUIPAH).</w:t>
      </w:r>
      <w:bookmarkEnd w:id="197"/>
    </w:p>
    <w:bookmarkEnd w:id="198"/>
    <w:p w14:paraId="4D1277DB" w14:textId="689FFC86" w:rsidR="00B705FF" w:rsidRPr="002A5818" w:rsidRDefault="00B705FF" w:rsidP="004B6FE8">
      <w:pPr>
        <w:spacing w:after="0"/>
      </w:pPr>
      <w:r w:rsidRPr="002A5818">
        <w:t>La SOGUIPAH a procédé</w:t>
      </w:r>
      <w:r w:rsidR="004B6FE8" w:rsidRPr="002A5818">
        <w:t xml:space="preserve"> le </w:t>
      </w:r>
      <w:r w:rsidRPr="002A5818">
        <w:t xml:space="preserve">14 janvier, au lancement officiel de son programme de relance et de modernisation. Revenant sur la situation interne de l’entreprise, le Directeur général </w:t>
      </w:r>
      <w:r w:rsidR="004B6FE8" w:rsidRPr="002A5818">
        <w:t xml:space="preserve">de la SOGUIPAH, M. Julien Dramou </w:t>
      </w:r>
      <w:r w:rsidRPr="002A5818">
        <w:t xml:space="preserve">a souligné que </w:t>
      </w:r>
      <w:r w:rsidR="004B6FE8" w:rsidRPr="002A5818">
        <w:t>p</w:t>
      </w:r>
      <w:r w:rsidRPr="002A5818">
        <w:t>armi les actions engagées</w:t>
      </w:r>
      <w:r w:rsidR="004B6FE8" w:rsidRPr="002A5818">
        <w:t xml:space="preserve"> </w:t>
      </w:r>
      <w:r w:rsidRPr="002A5818">
        <w:t>figurent la stabilisation de la gouvernance, la remise en ordre des procédures administratives et financières, le rétablissement du dialogue social avec les planteurs, ainsi que le renforcement de la transparence à travers l’adoption des normes comptables et l’élaboration d’un plan stratégique assorti d’un contrat-programme.</w:t>
      </w:r>
      <w:r w:rsidR="004B6FE8" w:rsidRPr="002A5818">
        <w:t xml:space="preserve"> </w:t>
      </w:r>
      <w:r w:rsidRPr="002A5818">
        <w:t xml:space="preserve">La relance de l’usine de transformation de caoutchouc, d’une capacité de 6 tonnes par heure, a également été annoncée. Pour </w:t>
      </w:r>
      <w:r w:rsidR="004B6FE8" w:rsidRPr="002A5818">
        <w:t xml:space="preserve">M. </w:t>
      </w:r>
      <w:r w:rsidRPr="002A5818">
        <w:t>Julien Dramou, cette usine symbolise le retour de la SOGUIPAH à sa vocation industrielle, avec pour ambition de créer davantage de valeur ajoutée au bénéfice des planteurs, des travailleurs et de l’économie nationale.</w:t>
      </w:r>
      <w:r w:rsidR="004B6FE8" w:rsidRPr="002A5818">
        <w:t xml:space="preserve"> </w:t>
      </w:r>
      <w:r w:rsidRPr="002A5818">
        <w:t xml:space="preserve">Dans la même dynamique de renouveau, la SOGUIPAH a procédé au </w:t>
      </w:r>
      <w:r w:rsidRPr="002A5818">
        <w:lastRenderedPageBreak/>
        <w:t>lancement de sa nouvelle identité visuelle et au démarrage de l’enrôlement biométrique des travailleurs, des initiatives visant à moderniser la gestion interne et à renforcer les standards de bonne gouvernance.</w:t>
      </w:r>
      <w:r w:rsidR="004B6FE8" w:rsidRPr="002A5818">
        <w:t xml:space="preserve"> </w:t>
      </w:r>
      <w:r w:rsidRPr="002A5818">
        <w:t>Sur le plan social, l’inauguration de quatre forages d’eau potable et d’un forage industriel sur les sites de Diécké et de Bignamou illustre la volonté de l’entreprise d’allier performance économique et responsabilité sociétale.</w:t>
      </w:r>
    </w:p>
    <w:p w14:paraId="5CA7A048" w14:textId="25BCD0CF" w:rsidR="00352EFD" w:rsidRPr="002A5818" w:rsidRDefault="00352EFD" w:rsidP="004B6FE8">
      <w:pPr>
        <w:spacing w:after="0"/>
      </w:pPr>
    </w:p>
    <w:p w14:paraId="6D2B32DD" w14:textId="6916FAF2" w:rsidR="00352EFD" w:rsidRPr="002A5818" w:rsidRDefault="00352EFD" w:rsidP="002A5818">
      <w:pPr>
        <w:pStyle w:val="Titre2"/>
        <w:spacing w:before="0"/>
      </w:pPr>
      <w:bookmarkStart w:id="199" w:name="_Toc221044238"/>
      <w:r w:rsidRPr="002A5818">
        <w:t>Volaille - L’Agence française de développement (AFD) renforce les capacités des Directions préfectorales de l’élevage.</w:t>
      </w:r>
      <w:bookmarkEnd w:id="199"/>
    </w:p>
    <w:p w14:paraId="257CB6BD" w14:textId="4E8F8A1A" w:rsidR="00352EFD" w:rsidRPr="002A5818" w:rsidRDefault="00352EFD" w:rsidP="00352EFD">
      <w:pPr>
        <w:spacing w:after="0"/>
      </w:pPr>
      <w:r w:rsidRPr="002A5818">
        <w:t>Du matériel informatique a été remis le 29 janvier aux Directions préfectorales de l’élevage (DPE). Cette initiative s’inscrit dans le cadre du Projet d’établissement des fondamentaux de la filière avicole en Guinée (PEFFAG), mis en œuvre avec l’appui technique et financier de l’AFD. Prenant la parole au nom de l’AFD, M. Alpha Saliou N’Diaye, représentant de l’institution, a rappelé l’engagement constant de son organisation aux côtés de l’État guinéen pour le développement durable du secteur de l’élevage. La remise de ces équipements s’inscrit dans une modernisation de l’administration déconcentrée, d’amélioration de la collecte et de la gestion des données, et de renforcement de la gouvernance de la filière avicole. Ces outils doivent permettre notamment de mieux accompagner les producteurs, d’améliorer la surveillance sanitaire et de faciliter une prise de décision plus rapide et plus efficace, tant au niveau local que national. L’AFD estime en effet que des services techniques bien équipés constituent un pilier essentiel pour la réussite et la pérennité des réformes engagées.</w:t>
      </w:r>
      <w:r w:rsidR="002A5818" w:rsidRPr="002A5818">
        <w:t xml:space="preserve"> </w:t>
      </w:r>
      <w:r w:rsidRPr="002A5818">
        <w:t>De son côté, la Secrétaire générale du ministère de l’</w:t>
      </w:r>
      <w:r w:rsidR="002A5818" w:rsidRPr="002A5818">
        <w:t>é</w:t>
      </w:r>
      <w:r w:rsidRPr="002A5818">
        <w:t xml:space="preserve">levage, Mme Halimatou Sirandou Diallo, </w:t>
      </w:r>
      <w:r w:rsidR="002A5818" w:rsidRPr="002A5818">
        <w:t xml:space="preserve">a souligné </w:t>
      </w:r>
      <w:r w:rsidRPr="002A5818">
        <w:t xml:space="preserve">les avancées notables enregistrées grâce au projet. </w:t>
      </w:r>
      <w:r w:rsidR="002A5818" w:rsidRPr="002A5818">
        <w:t>A</w:t>
      </w:r>
      <w:r w:rsidRPr="002A5818">
        <w:t xml:space="preserve"> ce jour, les fermes avicoles, les couvoirs, les unités de fabrication d’aliments et même les points de vente sont géolocalisés, répertoriés et cartographiés à l’échelle nationale.</w:t>
      </w:r>
      <w:r w:rsidR="002A5818" w:rsidRPr="002A5818">
        <w:t xml:space="preserve"> </w:t>
      </w:r>
      <w:r w:rsidRPr="002A5818">
        <w:t xml:space="preserve">Grâce au PEFFAG, le ministère dispose désormais d’estimations précises sur la production d’œufs de consommation, d’œufs à couver et de poussins d’un jour. Une avancée qui ouvre la voie à une meilleure planification et à la réduction progressive des importations, avec </w:t>
      </w:r>
      <w:r w:rsidR="002A5818" w:rsidRPr="002A5818">
        <w:t>l’</w:t>
      </w:r>
      <w:r w:rsidRPr="002A5818">
        <w:t xml:space="preserve">objectif ambitieux </w:t>
      </w:r>
      <w:r w:rsidR="002A5818" w:rsidRPr="002A5818">
        <w:t>de</w:t>
      </w:r>
      <w:r w:rsidRPr="002A5818">
        <w:t xml:space="preserve"> diminuer de 40% les importations de volailles à moyen terme.</w:t>
      </w:r>
    </w:p>
    <w:p w14:paraId="48ADEE06" w14:textId="612C8F33" w:rsidR="0027209A" w:rsidRPr="002A5818" w:rsidRDefault="0027209A" w:rsidP="004B6FE8">
      <w:pPr>
        <w:spacing w:after="0"/>
      </w:pPr>
    </w:p>
    <w:p w14:paraId="057E83A7" w14:textId="5BD8BE90" w:rsidR="00603EE1" w:rsidRPr="002A5818" w:rsidRDefault="00603EE1" w:rsidP="00603EE1">
      <w:pPr>
        <w:pStyle w:val="Titre2"/>
        <w:spacing w:before="0"/>
      </w:pPr>
      <w:bookmarkStart w:id="200" w:name="_Toc221044239"/>
      <w:r w:rsidRPr="002A5818">
        <w:t>Volaille - Le Société nouvelle de commerce (S</w:t>
      </w:r>
      <w:r w:rsidR="00D96110">
        <w:t>ONOCO</w:t>
      </w:r>
      <w:r w:rsidRPr="002A5818">
        <w:t>) souhaite obtenir un prêt de la Société financière internationale (SFI).</w:t>
      </w:r>
      <w:bookmarkEnd w:id="200"/>
    </w:p>
    <w:p w14:paraId="0F1E88A2" w14:textId="61828DA8" w:rsidR="00603EE1" w:rsidRPr="002A5818" w:rsidRDefault="00603EE1" w:rsidP="00603EE1">
      <w:pPr>
        <w:spacing w:after="0"/>
      </w:pPr>
      <w:r w:rsidRPr="002A5818">
        <w:t>Face à une forte dépendance aux volailles importées, la Guinée cherche à stimuler l’élevage local. Le fabricant de farine S</w:t>
      </w:r>
      <w:r w:rsidR="00D96110">
        <w:t>ONOCO</w:t>
      </w:r>
      <w:r w:rsidRPr="002A5818">
        <w:t xml:space="preserve"> se positionne pour jouer un rôle clé dans ce secteur.</w:t>
      </w:r>
      <w:bookmarkStart w:id="201" w:name="_Hlk220844002"/>
      <w:r w:rsidRPr="002A5818">
        <w:t xml:space="preserve"> La S</w:t>
      </w:r>
      <w:r w:rsidR="00D96110">
        <w:t>ONOCO</w:t>
      </w:r>
      <w:r w:rsidRPr="002A5818">
        <w:t xml:space="preserve">, leader de la farine en Guinée, souhaite obtenir un prêt de la SFI, </w:t>
      </w:r>
      <w:bookmarkEnd w:id="201"/>
      <w:r w:rsidRPr="002A5818">
        <w:t>membre du Groupe de la Banque mondiale, pour financer le développement d'une exploitation avicole intégrée dans le pays, a annoncé l’institution financière le 28 janvier. Le montant du prêt d’une durée de huit ans n’a pas été divulgué. Il reste en attente d’approbation par le conseil d’administration de la SFI. Ce projet porté par sa filiale F</w:t>
      </w:r>
      <w:r w:rsidR="00D96110">
        <w:t>ERMAV</w:t>
      </w:r>
      <w:r w:rsidRPr="002A5818">
        <w:t xml:space="preserve"> Industries, spécialisée dans l’élevage intégré de volailles, prévoit selon la SFI, la construction de nouvelles infrastructures dans plusieurs zones stratégiques. Dans le district de Daboyah, en périphérie de Kindia, un centre d’élevage et plusieurs poulaillers seront implantés, complétés par un couvoir équipé d’incubateurs. À Massayah, un abattoir sera construit, tandis qu’une usine d’aliments pour animaux sera érigée à Sanoyah. Certaines installations sont déjà presque achevées et les autres devraient être opérationnelles d’ici mars 2027. Le projet devrait également contribuer à relancer le secteur avicole guinéen, encore largement dépendant des importations de poulets surgelés. La production locale ne couvre pas 5% de la demande nationale, selon les données </w:t>
      </w:r>
      <w:r w:rsidRPr="002A5818">
        <w:lastRenderedPageBreak/>
        <w:t>du ministère de l’élevage, qui affiche un objectif de 30% d’ici la fin de l’année 2026. En plus du financement, la SFI jouera un rôle de supervision et d’accompagnement dans la gestion des risques environnementaux et sociaux. La S</w:t>
      </w:r>
      <w:r w:rsidR="00D96110">
        <w:t>ONOCO</w:t>
      </w:r>
      <w:r w:rsidRPr="002A5818">
        <w:t xml:space="preserve"> devra pour sa part mettre en œuvre le projet conformément aux normes de performance, couvrant notamment le traitement équitable des travailleurs, la sécurité alimentaire, la gestion des déchets, la préservation de la biodiversité et le contrôle de la chaîne d’approvisionnement en soja et maïs. Cette initiative s’inscrit dans la continuité du partenariat entre S</w:t>
      </w:r>
      <w:r w:rsidR="00D96110">
        <w:t>ONOCO</w:t>
      </w:r>
      <w:r w:rsidRPr="002A5818">
        <w:t xml:space="preserve"> et la SFI qui avait abouti à un financement de 25 M USD en 2019 pour construction de six silos à grains à Conakry et le développement de la production de farine et de bouillon.</w:t>
      </w:r>
    </w:p>
    <w:p w14:paraId="64BF3537" w14:textId="77777777" w:rsidR="00603EE1" w:rsidRPr="002A5818" w:rsidRDefault="00603EE1" w:rsidP="00603EE1">
      <w:pPr>
        <w:spacing w:after="0"/>
      </w:pPr>
    </w:p>
    <w:p w14:paraId="650E952C" w14:textId="046E10D9" w:rsidR="0027209A" w:rsidRPr="002A5818" w:rsidRDefault="0027209A" w:rsidP="0027209A">
      <w:pPr>
        <w:pStyle w:val="Titre1"/>
        <w:spacing w:before="0"/>
      </w:pPr>
      <w:bookmarkStart w:id="202" w:name="_Toc221044240"/>
      <w:r w:rsidRPr="002A5818">
        <w:t>Guinée Bissau</w:t>
      </w:r>
      <w:bookmarkEnd w:id="202"/>
    </w:p>
    <w:p w14:paraId="7B7DB690" w14:textId="47C9370E" w:rsidR="0027209A" w:rsidRPr="002A5818" w:rsidRDefault="0027209A" w:rsidP="0027209A">
      <w:pPr>
        <w:pStyle w:val="Titre2"/>
        <w:spacing w:before="0"/>
      </w:pPr>
      <w:bookmarkStart w:id="203" w:name="_Toc221044241"/>
      <w:r w:rsidRPr="002A5818">
        <w:t>Pêche - Interpellation d</w:t>
      </w:r>
      <w:r w:rsidR="00FD415E" w:rsidRPr="002A5818">
        <w:t>e</w:t>
      </w:r>
      <w:r w:rsidRPr="002A5818">
        <w:t xml:space="preserve"> pirogue</w:t>
      </w:r>
      <w:r w:rsidR="00FD415E" w:rsidRPr="002A5818">
        <w:t>s</w:t>
      </w:r>
      <w:r w:rsidRPr="002A5818">
        <w:t xml:space="preserve"> sénégalaise</w:t>
      </w:r>
      <w:r w:rsidR="00FD415E" w:rsidRPr="002A5818">
        <w:t>s</w:t>
      </w:r>
      <w:r w:rsidRPr="002A5818">
        <w:t xml:space="preserve"> en situation d’infraction.</w:t>
      </w:r>
      <w:bookmarkEnd w:id="203"/>
    </w:p>
    <w:p w14:paraId="20D19CA3" w14:textId="22055450" w:rsidR="0027209A" w:rsidRPr="002A5818" w:rsidRDefault="0027209A" w:rsidP="0027209A">
      <w:pPr>
        <w:spacing w:after="0"/>
      </w:pPr>
      <w:r w:rsidRPr="002A5818">
        <w:t>La Guinée-Bissau a suspendu toute activité de pêche industrielle dans ses eaux pour le mois de janvier 2026, dans le cadre d’un repos biologique visant à protéger la reproduction des espèces et à préserver les ressources halieutiques. Cette mesure fait suite aux alertes de l’Institut national de recherche des pêches et de l’océanographie, qui a signalé une pression de pêche excessive dans la zone économique exclusive du pays.</w:t>
      </w:r>
      <w:r w:rsidR="00FD415E" w:rsidRPr="002A5818">
        <w:t xml:space="preserve"> Aussi, un nouvel incident vient raviver les tensions récurrentes autour de l’exploitation des ressources halieutiques. Dix pirogues de pêche sénégalaises ont été arraisonnées par les garde-côtes bissau-guinéens pour pêche illicite dans les eaux territoriales au nord de la Guinée-Bissau. D’après les autorités maritimes bissau-guinéennes, cette opération fait suite à des infractions présumées à la réglementation en vigueur, notamment l’absence de licence de pêche et l’utilisation de filets mono-filaments. Ces engins, strictement interdits dans plusieurs pays de la sous-région, sont accusés d’avoir un impact destructeur sur la ressource halieutique, en capturant indistinctement poissons juvéniles et espèces non ciblées. Les embarcations interceptées, toutes originaires de la station balnéaire sénégalaise de Cap-Skiring, ont été escortées vers le débarcadère de Cacheu, où elles sont actuellement immobilisées. Aucun pêcheur n’a été arrêté, et les équipages circuleraient librement dans la ville portuaire bissau-guinéenne. Les autorités bissau-guinéennes exigeraient une amende de 400 000 FCFA par pirogue, soit un total de 4 M FCFA, comme condition à la libération des bateaux. Cet épisode remet en lumière les tensions périodiques liées à la pêche illicite, non déclarée et non réglementée dans les eaux ouest-africaines, malgré l’existence de cadres de coopération entre États. En janvier 2019, le Sénégal et la Guinée-Bissau avaient signé un protocole d’accord autorisant les pêcheurs sénégalais à opérer dans les eaux bissau-guinéennes, sous réserve du respect strict des licences et des engins de pêche autorisés. L’utilisation de filets mono-filaments demeure l’un des points de friction majeurs, en raison de leurs effets dévastateurs sur les écosystèmes marins. </w:t>
      </w:r>
      <w:r w:rsidRPr="002A5818">
        <w:t>Le ministère sénégalais des pêches et de l’économie maritime a</w:t>
      </w:r>
      <w:r w:rsidR="00FD415E" w:rsidRPr="002A5818">
        <w:t xml:space="preserve"> annoncé avoir</w:t>
      </w:r>
      <w:r w:rsidRPr="002A5818">
        <w:t xml:space="preserve"> engagé des démarches diplomatiques auprès des autorités </w:t>
      </w:r>
      <w:bookmarkStart w:id="204" w:name="_Hlk220851506"/>
      <w:r w:rsidRPr="002A5818">
        <w:t>bissau-guinéennes</w:t>
      </w:r>
      <w:bookmarkEnd w:id="204"/>
      <w:r w:rsidR="00FD415E" w:rsidRPr="002A5818">
        <w:t xml:space="preserve">. </w:t>
      </w:r>
      <w:r w:rsidRPr="002A5818">
        <w:t>Les autorités sénégalaises ont également lancé le 26 janvier un appel ferme aux pêcheurs sénégalais afin qu’ils respectent scrupuleusement la réglementation en vigueur dans les eaux des pays voisins, en particulier en Guinée-Bissau.</w:t>
      </w:r>
      <w:r w:rsidR="007417BB" w:rsidRPr="002A5818">
        <w:t xml:space="preserve"> </w:t>
      </w:r>
      <w:r w:rsidRPr="002A5818">
        <w:t>Les autorités sénégalaises invitent ainsi les acteurs du secteur à faire preuve de responsabilité, soulignant que le respect des règles régionales est essentiel pour la préservation des stocks halieutiques et la stabilité des relations entre pays voisins.</w:t>
      </w:r>
    </w:p>
    <w:p w14:paraId="7E2075AA" w14:textId="77777777" w:rsidR="00B705FF" w:rsidRPr="002A5818" w:rsidRDefault="00B705FF" w:rsidP="00B705FF">
      <w:pPr>
        <w:spacing w:after="0"/>
      </w:pPr>
    </w:p>
    <w:p w14:paraId="3E974AD5" w14:textId="5338D84D" w:rsidR="009D0F96" w:rsidRPr="002A5818" w:rsidRDefault="009D0F96" w:rsidP="001C1865">
      <w:pPr>
        <w:pStyle w:val="Titre1"/>
        <w:spacing w:before="0"/>
      </w:pPr>
      <w:bookmarkStart w:id="205" w:name="_Toc207812057"/>
      <w:bookmarkStart w:id="206" w:name="_Toc207812925"/>
      <w:bookmarkStart w:id="207" w:name="_Toc207813087"/>
      <w:bookmarkStart w:id="208" w:name="_Toc221044242"/>
      <w:r w:rsidRPr="002A5818">
        <w:lastRenderedPageBreak/>
        <w:t>Libéria</w:t>
      </w:r>
      <w:bookmarkEnd w:id="205"/>
      <w:bookmarkEnd w:id="206"/>
      <w:bookmarkEnd w:id="207"/>
      <w:bookmarkEnd w:id="208"/>
    </w:p>
    <w:p w14:paraId="127EAE65" w14:textId="3860054C" w:rsidR="004A3798" w:rsidRPr="002A5818" w:rsidRDefault="004A3798" w:rsidP="004A3798">
      <w:pPr>
        <w:pStyle w:val="Titre2"/>
        <w:spacing w:before="0"/>
      </w:pPr>
      <w:bookmarkStart w:id="209" w:name="_Toc221044243"/>
      <w:bookmarkStart w:id="210" w:name="_Hlk219733140"/>
      <w:r w:rsidRPr="002A5818">
        <w:t>Sécurité alimentaire - Le Libéria appelle à une coopération mondiale équitable au Forum de Berlin pour l’alimentation et l’agriculture</w:t>
      </w:r>
      <w:r w:rsidR="00EB451E" w:rsidRPr="002A5818">
        <w:t xml:space="preserve"> (GFFA)</w:t>
      </w:r>
      <w:r w:rsidRPr="002A5818">
        <w:t>.</w:t>
      </w:r>
      <w:bookmarkEnd w:id="209"/>
    </w:p>
    <w:p w14:paraId="2E63BF7A" w14:textId="6E1D82CD" w:rsidR="004A3798" w:rsidRPr="002A5818" w:rsidRDefault="004A3798" w:rsidP="004A3798">
      <w:pPr>
        <w:spacing w:after="0"/>
      </w:pPr>
      <w:r w:rsidRPr="002A5818">
        <w:t>Le ministre de l’agriculture, le Dr J. Alexander Nuetah, a appelé à une coopération mondiale plus forte et équitable, incluant pleinement les pays en développement. Il a lancé cet appel le 16 janvier lors d’une table ronde intitulée « Les perspectives des puissances émergentes et des économies en développement pour protéger la coopération mondiale face aux changements géopolitiques » en marge du 18</w:t>
      </w:r>
      <w:r w:rsidRPr="002A5818">
        <w:rPr>
          <w:vertAlign w:val="superscript"/>
        </w:rPr>
        <w:t>ème</w:t>
      </w:r>
      <w:r w:rsidRPr="002A5818">
        <w:t xml:space="preserve"> GFFA à Berlin. Lors du Forum, le Dr Nuetah a déclaré que les dynamiques de pouvoir mondiales évoluent, avec de plus en plus de pays jouant désormais un rôle essentiel dans les affaires internationales. Il a souligné que les systèmes mondiaux doivent également évoluer afin de donner aux pays en développement une voix plus forte dans la prise de décision. Le ministre a noté que de nombreux pays du Sud global ont encore une influence limitée sur les décisions mondiales, malgré les défis les plus graves, notamment l’insécurité alimentaire, le changement climatique et la pauvreté. Il a averti que la montée du protectionnisme et les décisions politiques unilatérales affaiblissent la coopération et réduisent le soutien au développement. Le Dr Nuetah a appelé à des réformes dans les principales institutions internationales, notamment les Nations Unies, l’Organisation mondiale du commerce, le Fonds monétaire international et la Banque mondiale. Il a déclaré que les réformes devraient se concentrer sur l’équité, l’allégement de la pression sur la dette et l’amélioration de l’accès à la technologie. Le Dr Nuetah a salué le projet de l’Allemagne de créer une Commission Nord-Sud, le qualifiant d’étape importante vers une coopération renforcée avec les pays en développement. Il a encouragé l’Allemagne et l’Union européenne à continuer de soutenir des politiques climatiques équitables et un financement du développement. Le ministre a également exprimé des inquiétudes concernant le règlement sur la déforestation de l’Union européenne, affirmant que les exigences pourraient être difficiles pour les petits exploitants qui manquent des ressources financières et de la technologie nécessaires pour se conformer. Sans un soutien ciblé, a-t-il averti, de nombreux agriculteurs pourraient perdre l’accès aux marchés internationaux. Le Dr Nuetah a également appelé les institutions de financement du développement, y compris la Banque européenne d’investissement, à fournir un financement plus flexible répondant aux besoins réels des pays en développement. Il a conclu en exhortant les partenaires mondiaux à travailler ensemble durant cette période de changements, soulignant que le dialogue ouvert, la responsabilité partagée et la gouvernance équitable sont essentiels pour construire des systèmes alimentaires mondiaux solides et durables.</w:t>
      </w:r>
    </w:p>
    <w:p w14:paraId="0F3C97D7" w14:textId="77777777" w:rsidR="004A3798" w:rsidRPr="002A5818" w:rsidRDefault="004A3798" w:rsidP="00BD405A">
      <w:pPr>
        <w:keepNext/>
        <w:keepLines/>
        <w:spacing w:after="0"/>
        <w:outlineLvl w:val="1"/>
        <w:rPr>
          <w:rFonts w:eastAsiaTheme="majorEastAsia" w:cstheme="majorBidi"/>
          <w:b/>
          <w:szCs w:val="26"/>
        </w:rPr>
      </w:pPr>
    </w:p>
    <w:p w14:paraId="724F6E3E" w14:textId="7C3B6FCA" w:rsidR="00BD405A" w:rsidRPr="002A5818" w:rsidRDefault="00BD405A" w:rsidP="00BD405A">
      <w:pPr>
        <w:keepNext/>
        <w:keepLines/>
        <w:spacing w:after="0"/>
        <w:outlineLvl w:val="1"/>
        <w:rPr>
          <w:rFonts w:eastAsiaTheme="majorEastAsia" w:cstheme="majorBidi"/>
          <w:b/>
          <w:szCs w:val="26"/>
        </w:rPr>
      </w:pPr>
      <w:bookmarkStart w:id="211" w:name="_Toc221044244"/>
      <w:r w:rsidRPr="002A5818">
        <w:rPr>
          <w:rFonts w:eastAsiaTheme="majorEastAsia" w:cstheme="majorBidi"/>
          <w:b/>
          <w:szCs w:val="26"/>
        </w:rPr>
        <w:t>Riz - Important plan d’investissement dans la production et la transformation du riz.</w:t>
      </w:r>
      <w:bookmarkEnd w:id="211"/>
    </w:p>
    <w:bookmarkEnd w:id="210"/>
    <w:p w14:paraId="6C453988" w14:textId="123A5648" w:rsidR="00BD405A" w:rsidRPr="002A5818" w:rsidRDefault="00BD405A" w:rsidP="00BD405A">
      <w:pPr>
        <w:spacing w:after="0"/>
      </w:pPr>
      <w:r w:rsidRPr="002A5818">
        <w:t xml:space="preserve">Le gouvernement libérien a dévoilé un important plan d’investissement visant à augmenter la production de riz et à améliorer l’accès aux marchés pour les agriculteurs locaux. Le ministre de l’agriculture, le Dr J. Alexander Nuetah, a annoncé que l’objectif national du gouvernement pour le développement du riz vise à aménager 50 000 ha de riz de plaine à l’échelle nationale d’ici 2029. Le ministre a également annoncé que le gouvernement prévoit d’établir une grande usine de transformation du riz à Saclepea avant la fin de l’année. L’usine servira les agriculteurs de Saclepea et des communautés environnantes, permettant aux producteurs de se concentrer sur la culture pendant que la transformation et l’emballage seront gérés de manière centralisée. Le ministre a réaffirmé que le gouvernement libérien continuera de travailler en </w:t>
      </w:r>
      <w:r w:rsidRPr="002A5818">
        <w:lastRenderedPageBreak/>
        <w:t>étroite collaboration avec les agriculteurs pour accroître la production de riz, renforcer les chaînes de valeur et créer des marchés durables.</w:t>
      </w:r>
    </w:p>
    <w:p w14:paraId="630CCCB7" w14:textId="77777777" w:rsidR="00F609D6" w:rsidRPr="002A5818" w:rsidRDefault="00F609D6" w:rsidP="00BD405A">
      <w:pPr>
        <w:spacing w:after="0"/>
      </w:pPr>
    </w:p>
    <w:p w14:paraId="46B5551E" w14:textId="45AF39CC" w:rsidR="00E15FCA" w:rsidRPr="002A5818" w:rsidRDefault="00E15FCA" w:rsidP="00F609D6">
      <w:pPr>
        <w:keepNext/>
        <w:keepLines/>
        <w:spacing w:after="0"/>
        <w:outlineLvl w:val="1"/>
        <w:rPr>
          <w:rFonts w:eastAsiaTheme="majorEastAsia" w:cstheme="majorBidi"/>
          <w:b/>
          <w:bCs/>
          <w:szCs w:val="26"/>
        </w:rPr>
      </w:pPr>
      <w:bookmarkStart w:id="212" w:name="_Toc221044245"/>
      <w:r w:rsidRPr="002A5818">
        <w:rPr>
          <w:b/>
          <w:bCs/>
        </w:rPr>
        <w:t>Pêche – Signature d’un accord de 25 M EUR avec l’Union européenne.</w:t>
      </w:r>
      <w:bookmarkEnd w:id="212"/>
    </w:p>
    <w:p w14:paraId="1618D733" w14:textId="6E492358" w:rsidR="00E15FCA" w:rsidRPr="002A5818" w:rsidRDefault="00E15FCA" w:rsidP="00E15FCA">
      <w:pPr>
        <w:spacing w:after="0"/>
      </w:pPr>
      <w:r w:rsidRPr="002A5818">
        <w:t xml:space="preserve">Le Liberia et l’Union européenne ont signé le 23 janvier un accord de financement de 25 M EUR destiné à renforcer la chaîne de valeur de la pêche artisanale, améliorer les moyens de subsistance et consolider la sécurité alimentaire dans les neuf comtés côtiers. L’accord permettra de soutenir les pêcheurs artisanaux et les commerçants de poissons grâce à l’amélioration des installations de stockage frigorifique, des équipements de fabrication de glace et des infrastructures de manutention du poisson. </w:t>
      </w:r>
      <w:r w:rsidR="00F609D6" w:rsidRPr="002A5818">
        <w:t xml:space="preserve">L’Union européenne soutiendra le projet sur la période allant de 2026 à 2032 à travers le Renforcement de la chaîne de valeur de la pêche artisanale. </w:t>
      </w:r>
      <w:r w:rsidRPr="002A5818">
        <w:t xml:space="preserve">Au Liberia, la pêche joue un rôle essentiel dans les moyens de subsistance des populations côtières, la sécurité alimentaire et la réduction de la pauvreté. D’après le </w:t>
      </w:r>
      <w:r w:rsidRPr="002A5818">
        <w:rPr>
          <w:i/>
          <w:iCs/>
        </w:rPr>
        <w:t>Fisheries Committee for the West Central Gulf of Guinea</w:t>
      </w:r>
      <w:r w:rsidRPr="002A5818">
        <w:t>, il emploie plus de 33 000 personnes et contribue à hauteur d’environ 10% au PIB. Cependant, le secteur fait face à des obstacles croissants liés à l’érosion côtière, la destruction des mangroves et l’insécurité foncière. Un cadre législatif a été mis en place pour régir le secteur, notamment la Loi sur la gestion et le développement des pêches et de l’aquaculture. Mais son application est freinée par des capacités de surveillance limitées, un manque de ressources et de financements, ainsi que par la persistance de la pêche illicite, non déclarée et non réglementée.</w:t>
      </w:r>
    </w:p>
    <w:p w14:paraId="06DDD7D1" w14:textId="77777777" w:rsidR="00F609D6" w:rsidRPr="002A5818" w:rsidRDefault="00F609D6" w:rsidP="00E15FCA">
      <w:pPr>
        <w:spacing w:after="0"/>
      </w:pPr>
    </w:p>
    <w:p w14:paraId="79718C3D" w14:textId="7B662102" w:rsidR="00881C58" w:rsidRPr="002A5818" w:rsidRDefault="00881C58" w:rsidP="005A1B0D">
      <w:pPr>
        <w:keepNext/>
        <w:keepLines/>
        <w:spacing w:after="0"/>
        <w:outlineLvl w:val="1"/>
        <w:rPr>
          <w:rFonts w:eastAsiaTheme="majorEastAsia" w:cstheme="majorBidi"/>
          <w:b/>
          <w:bCs/>
          <w:szCs w:val="26"/>
        </w:rPr>
      </w:pPr>
      <w:bookmarkStart w:id="213" w:name="_Toc221044246"/>
      <w:bookmarkStart w:id="214" w:name="_Hlk220844611"/>
      <w:r w:rsidRPr="002A5818">
        <w:rPr>
          <w:b/>
          <w:bCs/>
        </w:rPr>
        <w:t>Santé animale – Campagne de vaccination contre la rage.</w:t>
      </w:r>
      <w:bookmarkEnd w:id="213"/>
    </w:p>
    <w:bookmarkEnd w:id="214"/>
    <w:p w14:paraId="781C0423" w14:textId="5D91784A" w:rsidR="00881C58" w:rsidRPr="002A5818" w:rsidRDefault="00881C58" w:rsidP="00881C58">
      <w:pPr>
        <w:spacing w:after="0"/>
      </w:pPr>
      <w:r w:rsidRPr="002A5818">
        <w:t xml:space="preserve">Les Services vétérinaires du ministère de l’Agriculture, ont reçu 10 000 vaccins antirabiques donnés par </w:t>
      </w:r>
      <w:r w:rsidRPr="002A5818">
        <w:rPr>
          <w:i/>
          <w:iCs/>
        </w:rPr>
        <w:t>Mission Rabies</w:t>
      </w:r>
      <w:r w:rsidRPr="002A5818">
        <w:t>, membre du Groupe de travail international sur la rage. Les vaccins soutiendront le lancement d’une campagne pilote gratuite de vaccination massive visant 10 000 chiens dans un comté du pays. Cette maladie continue de représenter une menace sérieuse pour la santé humaine et animale au Libéria, où les chiens restent les principaux vecteurs, et la transmission par des chiens infectés, la principale cause de cas de rage chez les humains, en particulier dans les communautés rurales et mal desservies.</w:t>
      </w:r>
      <w:r w:rsidR="005A1B0D" w:rsidRPr="002A5818">
        <w:t xml:space="preserve"> </w:t>
      </w:r>
      <w:r w:rsidRPr="002A5818">
        <w:t xml:space="preserve">La rage reste endémique dans le pays, où l’accès limité aux soins de santé, la faiblesse des systèmes de la chaîne du froid et les difficultés logistiques ont limité un contrôle efficace des maladies. Bien que les efforts de vaccination à petite échelle des chiens soient en cours depuis 2012, seulement environ </w:t>
      </w:r>
      <w:r w:rsidR="005A1B0D" w:rsidRPr="002A5818">
        <w:t xml:space="preserve">2% </w:t>
      </w:r>
      <w:r w:rsidRPr="002A5818">
        <w:t>de la population canine du Libéria est actuellement vaccinée. Les experts en santé publique recommandent de vacciner au moins 70% des chiens afin d’interrompre la transmission et d’éliminer efficacement la maladie.</w:t>
      </w:r>
      <w:r w:rsidR="005A1B0D" w:rsidRPr="002A5818">
        <w:t xml:space="preserve"> </w:t>
      </w:r>
      <w:r w:rsidRPr="002A5818">
        <w:t xml:space="preserve">Conformément au Plan stratégique national, les Services vétérinaires avec </w:t>
      </w:r>
      <w:r w:rsidRPr="002A5818">
        <w:rPr>
          <w:i/>
          <w:iCs/>
        </w:rPr>
        <w:t>United Against Rabies Country Partnership Program</w:t>
      </w:r>
      <w:r w:rsidRPr="002A5818">
        <w:t xml:space="preserve"> et le laboratoire de référence WOAH sur la rage</w:t>
      </w:r>
      <w:r w:rsidR="005A1B0D" w:rsidRPr="002A5818">
        <w:t xml:space="preserve">, </w:t>
      </w:r>
      <w:r w:rsidRPr="002A5818">
        <w:t xml:space="preserve">soutenu par les États-Unis, mettront en œuvre </w:t>
      </w:r>
      <w:r w:rsidR="005A1B0D" w:rsidRPr="002A5818">
        <w:t>ce</w:t>
      </w:r>
      <w:r w:rsidRPr="002A5818">
        <w:t xml:space="preserve"> programme de lutte contre la rage de deux ans dans </w:t>
      </w:r>
      <w:r w:rsidR="005A1B0D" w:rsidRPr="002A5818">
        <w:t>ce</w:t>
      </w:r>
      <w:r w:rsidRPr="002A5818">
        <w:t xml:space="preserve"> comté</w:t>
      </w:r>
      <w:r w:rsidR="005A1B0D" w:rsidRPr="002A5818">
        <w:t xml:space="preserve"> pilote</w:t>
      </w:r>
      <w:r w:rsidRPr="002A5818">
        <w:t>. Le programme se concentrera sur la vaccination de 10 000 chiens, la mise en place d’un système intégré de gestion des cas de morsure (MCI) et l’amélioration de l’accès à la prophylaxie post-exposition (PEP) contre la rage humaine.</w:t>
      </w:r>
      <w:r w:rsidR="005A1B0D" w:rsidRPr="002A5818">
        <w:t xml:space="preserve"> </w:t>
      </w:r>
      <w:r w:rsidRPr="002A5818">
        <w:t>Cette approche intégrée renforcera la surveillance et la déclaration de la rage tout en favorisant une collaboration plus étroite entre les secteurs de la santé animale et humaine. On s’attend à ce qu’elle réduise significativement la transmission de la rage et fournisse un modèle d’expansion à l’échelle nationale.</w:t>
      </w:r>
    </w:p>
    <w:p w14:paraId="13ADF144" w14:textId="13001D5D" w:rsidR="0011231C" w:rsidRPr="002A5818" w:rsidRDefault="00281C91" w:rsidP="00281C91">
      <w:pPr>
        <w:keepNext/>
        <w:keepLines/>
        <w:spacing w:after="0"/>
        <w:outlineLvl w:val="1"/>
        <w:rPr>
          <w:rFonts w:eastAsiaTheme="majorEastAsia" w:cstheme="majorBidi"/>
          <w:b/>
          <w:bCs/>
          <w:szCs w:val="26"/>
        </w:rPr>
      </w:pPr>
      <w:bookmarkStart w:id="215" w:name="_Toc221044247"/>
      <w:r w:rsidRPr="002A5818">
        <w:rPr>
          <w:b/>
          <w:bCs/>
        </w:rPr>
        <w:lastRenderedPageBreak/>
        <w:t xml:space="preserve">Infrastructures - </w:t>
      </w:r>
      <w:r w:rsidR="0011231C" w:rsidRPr="002A5818">
        <w:rPr>
          <w:b/>
          <w:bCs/>
        </w:rPr>
        <w:t>Rénovation des installations de marchés pour stimuler le commerce rural et la transformation agricole.</w:t>
      </w:r>
      <w:bookmarkEnd w:id="215"/>
    </w:p>
    <w:p w14:paraId="435C4330" w14:textId="50080C86" w:rsidR="0011231C" w:rsidRPr="002A5818" w:rsidRDefault="0011231C" w:rsidP="0011231C">
      <w:pPr>
        <w:spacing w:after="0"/>
      </w:pPr>
      <w:r w:rsidRPr="002A5818">
        <w:t>Avec un soutien financier de la Banque mondiale de plus de 950 000 USD, le ministère de l’agriculture, dans le cadre de son projet de transformation économique rurale (RETRAP), a rénové les installations de cinq nouveaux marchés dans le comté de Nimba, visant à améliorer l’accès aux marchés et à élargir les opportunités de subsistance pour les agriculteurs, commerçants et petits entrepreneurs.</w:t>
      </w:r>
      <w:r w:rsidR="00281C91" w:rsidRPr="002A5818">
        <w:t xml:space="preserve"> </w:t>
      </w:r>
      <w:r w:rsidRPr="002A5818">
        <w:t>Les</w:t>
      </w:r>
      <w:r w:rsidR="00281C91" w:rsidRPr="002A5818">
        <w:t xml:space="preserve"> installations</w:t>
      </w:r>
      <w:r w:rsidRPr="002A5818">
        <w:t xml:space="preserve"> sont conçu</w:t>
      </w:r>
      <w:r w:rsidR="00281C91" w:rsidRPr="002A5818">
        <w:t>e</w:t>
      </w:r>
      <w:r w:rsidRPr="002A5818">
        <w:t>s pour améliorer les conditions commerciales et renforcer les chaînes de valeur agricoles dans les zones rurales du Libéria. Chaque établissement est équipé d’un vaste entrepôt</w:t>
      </w:r>
      <w:r w:rsidR="00281C91" w:rsidRPr="002A5818">
        <w:t xml:space="preserve"> </w:t>
      </w:r>
      <w:r w:rsidRPr="002A5818">
        <w:t>offrant un environnement propre, sûr et sécurisé pour les activités commerciales, incluant des horaires de vente prolongés.</w:t>
      </w:r>
    </w:p>
    <w:p w14:paraId="65D7A25B" w14:textId="77777777" w:rsidR="00881C58" w:rsidRPr="002A5818" w:rsidRDefault="00881C58" w:rsidP="00881C58">
      <w:pPr>
        <w:spacing w:after="0"/>
      </w:pPr>
    </w:p>
    <w:p w14:paraId="637EB96A" w14:textId="52070B14" w:rsidR="004740D8" w:rsidRPr="002A5818" w:rsidRDefault="00CC2278" w:rsidP="00CC2278">
      <w:pPr>
        <w:keepNext/>
        <w:keepLines/>
        <w:spacing w:after="0"/>
        <w:outlineLvl w:val="1"/>
        <w:rPr>
          <w:rFonts w:eastAsiaTheme="majorEastAsia" w:cstheme="majorBidi"/>
          <w:b/>
          <w:bCs/>
          <w:szCs w:val="26"/>
        </w:rPr>
      </w:pPr>
      <w:bookmarkStart w:id="216" w:name="_Toc221044248"/>
      <w:bookmarkStart w:id="217" w:name="_Hlk220169021"/>
      <w:r w:rsidRPr="002A5818">
        <w:rPr>
          <w:b/>
          <w:bCs/>
        </w:rPr>
        <w:t>Infrastructures - I</w:t>
      </w:r>
      <w:r w:rsidR="004740D8" w:rsidRPr="002A5818">
        <w:rPr>
          <w:b/>
          <w:bCs/>
        </w:rPr>
        <w:t xml:space="preserve">mportants travaux routiers de </w:t>
      </w:r>
      <w:r w:rsidRPr="002A5818">
        <w:rPr>
          <w:b/>
          <w:bCs/>
        </w:rPr>
        <w:t>désenclavement de deux comtés agricoles.</w:t>
      </w:r>
      <w:bookmarkEnd w:id="216"/>
    </w:p>
    <w:bookmarkEnd w:id="217"/>
    <w:p w14:paraId="3644A763" w14:textId="0C3792ED" w:rsidR="004740D8" w:rsidRPr="002A5818" w:rsidRDefault="004740D8" w:rsidP="004740D8">
      <w:pPr>
        <w:spacing w:after="0"/>
      </w:pPr>
      <w:r w:rsidRPr="002A5818">
        <w:t>Le ministère de l’</w:t>
      </w:r>
      <w:r w:rsidR="00DE6859" w:rsidRPr="002A5818">
        <w:t>a</w:t>
      </w:r>
      <w:r w:rsidRPr="002A5818">
        <w:t xml:space="preserve">griculture, dans le cadre de son projet d’extension des cultures arboricoles phase II (TCEP-II), a officiellement lancé la réhabilitation et la construction de 59 kilomètres de routes stratégiques </w:t>
      </w:r>
      <w:r w:rsidR="00DE6859" w:rsidRPr="002A5818">
        <w:t>dans le comté de Bong</w:t>
      </w:r>
      <w:r w:rsidRPr="002A5818">
        <w:t>.</w:t>
      </w:r>
      <w:r w:rsidR="00DE6859" w:rsidRPr="002A5818">
        <w:t xml:space="preserve"> </w:t>
      </w:r>
      <w:r w:rsidRPr="002A5818">
        <w:t>Les travaux routiers</w:t>
      </w:r>
      <w:r w:rsidR="00DE6859" w:rsidRPr="002A5818">
        <w:t xml:space="preserve"> </w:t>
      </w:r>
      <w:r w:rsidRPr="002A5818">
        <w:t>ouvriront certaines des zones agricoles les plus productives du comté en reliant les agriculteurs plus efficacement aux marchés, centres de transformation et entrepôts. L’amélioration du réseau routier devrait réduire significativement les coûts de transport, minimiser les pertes post-récolte et augmenter les revenus des agriculteurs et commerçants.</w:t>
      </w:r>
      <w:r w:rsidR="00DE6859" w:rsidRPr="002A5818">
        <w:t xml:space="preserve"> </w:t>
      </w:r>
      <w:r w:rsidRPr="002A5818">
        <w:t>Au total, cela porte la longueur totale des routes d’accès en cours de réhabilitation dans les comtés de Lofa et Bong à 340 kilomètres, mises en œuvre dans le cadre du TCEP-II, avec un financement du Fonds international de développement agricole (FIDA).</w:t>
      </w:r>
      <w:r w:rsidR="00CC2278" w:rsidRPr="002A5818">
        <w:t xml:space="preserve"> </w:t>
      </w:r>
      <w:r w:rsidRPr="002A5818">
        <w:t xml:space="preserve">Les travaux de réhabilitation et de construction devraient être achevés dans dix mois, après quoi le réseau routier amélioré offrira un accès fiable </w:t>
      </w:r>
      <w:r w:rsidR="00CC2278" w:rsidRPr="002A5818">
        <w:t xml:space="preserve">en </w:t>
      </w:r>
      <w:r w:rsidRPr="002A5818">
        <w:t xml:space="preserve">toutes saisons aux communautés agricoles et </w:t>
      </w:r>
      <w:r w:rsidR="00CC2278" w:rsidRPr="002A5818">
        <w:t xml:space="preserve">devraient </w:t>
      </w:r>
      <w:r w:rsidRPr="002A5818">
        <w:t xml:space="preserve">aider </w:t>
      </w:r>
      <w:r w:rsidR="00CC2278" w:rsidRPr="002A5818">
        <w:t xml:space="preserve">la transformation des comtés de </w:t>
      </w:r>
      <w:r w:rsidRPr="002A5818">
        <w:t>Bong et Lofa en corridors de production agricole</w:t>
      </w:r>
      <w:r w:rsidR="00CC2278" w:rsidRPr="002A5818">
        <w:t>.</w:t>
      </w:r>
    </w:p>
    <w:p w14:paraId="562F2CFD" w14:textId="77777777" w:rsidR="00B3368A" w:rsidRPr="002A5818" w:rsidRDefault="00B3368A" w:rsidP="001C1865">
      <w:pPr>
        <w:spacing w:after="0"/>
      </w:pPr>
      <w:bookmarkStart w:id="218" w:name="_Toc207812060"/>
      <w:bookmarkStart w:id="219" w:name="_Toc207812928"/>
      <w:bookmarkStart w:id="220" w:name="_Toc207813090"/>
    </w:p>
    <w:p w14:paraId="47A11E0C" w14:textId="4F6236AD" w:rsidR="009D0F96" w:rsidRPr="002A5818" w:rsidRDefault="009D0F96" w:rsidP="001C1865">
      <w:pPr>
        <w:pStyle w:val="Titre1"/>
        <w:spacing w:before="0"/>
      </w:pPr>
      <w:bookmarkStart w:id="221" w:name="_Toc221044249"/>
      <w:r w:rsidRPr="002A5818">
        <w:t>Mali</w:t>
      </w:r>
      <w:bookmarkEnd w:id="218"/>
      <w:bookmarkEnd w:id="219"/>
      <w:bookmarkEnd w:id="220"/>
      <w:bookmarkEnd w:id="221"/>
    </w:p>
    <w:bookmarkStart w:id="222" w:name="_Toc209969711"/>
    <w:p w14:paraId="3285722D" w14:textId="76EB4089" w:rsidR="004D363A" w:rsidRPr="002A5818" w:rsidRDefault="004D363A" w:rsidP="001C1865">
      <w:pPr>
        <w:pStyle w:val="Titre2"/>
        <w:spacing w:before="0"/>
      </w:pPr>
      <w:r w:rsidRPr="002A5818">
        <w:fldChar w:fldCharType="begin"/>
      </w:r>
      <w:r w:rsidRPr="002A5818">
        <w:instrText xml:space="preserve"> HYPERLINK "https://bamada.net/budget-2025-la-securite-en-hausse-ladministration-et-lagriculture-en-recul" </w:instrText>
      </w:r>
      <w:r w:rsidRPr="002A5818">
        <w:fldChar w:fldCharType="separate"/>
      </w:r>
      <w:bookmarkStart w:id="223" w:name="_Toc221044250"/>
      <w:r w:rsidR="00017344" w:rsidRPr="002A5818">
        <w:rPr>
          <w:rStyle w:val="Lienhypertexte"/>
          <w:color w:val="auto"/>
          <w:u w:val="none"/>
        </w:rPr>
        <w:t>Riz</w:t>
      </w:r>
      <w:r w:rsidR="00C229DB" w:rsidRPr="002A5818">
        <w:rPr>
          <w:rStyle w:val="Lienhypertexte"/>
          <w:color w:val="auto"/>
          <w:u w:val="none"/>
        </w:rPr>
        <w:t xml:space="preserve"> –</w:t>
      </w:r>
      <w:r w:rsidR="00017344" w:rsidRPr="002A5818">
        <w:rPr>
          <w:rStyle w:val="Lienhypertexte"/>
          <w:color w:val="auto"/>
          <w:u w:val="none"/>
        </w:rPr>
        <w:t xml:space="preserve"> Nomination d’un nouveau directeur de l’Office du Niger</w:t>
      </w:r>
      <w:r w:rsidRPr="002A5818">
        <w:rPr>
          <w:rStyle w:val="Lienhypertexte"/>
          <w:color w:val="auto"/>
          <w:u w:val="none"/>
        </w:rPr>
        <w:t>.</w:t>
      </w:r>
      <w:bookmarkEnd w:id="222"/>
      <w:bookmarkEnd w:id="223"/>
      <w:r w:rsidRPr="002A5818">
        <w:fldChar w:fldCharType="end"/>
      </w:r>
    </w:p>
    <w:p w14:paraId="7A214397" w14:textId="5F7B68BC" w:rsidR="00017344" w:rsidRPr="002A5818" w:rsidRDefault="006A409F" w:rsidP="00017344">
      <w:pPr>
        <w:spacing w:after="0"/>
      </w:pPr>
      <w:r w:rsidRPr="002A5818">
        <w:t>Le Conseil des ministres du 16 janvier a nommé M. Abdoulaye Diané, au poste de Président directeur général de l’Office du Niger, institution clé du dispositif agricole et de la sécurité alimentaire nationale.</w:t>
      </w:r>
      <w:r w:rsidR="00017344" w:rsidRPr="002A5818">
        <w:t xml:space="preserve"> Pilier de la production rizicole nationale, l’Office du Niger joue un rôle central dans la politique agricole du Mali, tant pour l’approvisionnement du marché intérieur que pour la stabilisation sociale en milieu rural.</w:t>
      </w:r>
      <w:r w:rsidRPr="002A5818">
        <w:t xml:space="preserve"> </w:t>
      </w:r>
      <w:r w:rsidR="00017344" w:rsidRPr="002A5818">
        <w:t xml:space="preserve">Créé dans les années 1920 sur le delta intérieur du fleuve Niger, à environ 250 kilomètres de Bamako, l’Office du Niger est l’un des plus vastes périmètres hydro-agricoles d’Afrique. Initialement conçu pour la culture du coton durant la période coloniale, il a été réorienté après l’indépendance du Mali en 1960 vers la production rizicole. Aujourd’hui, avec plus de 100 000 ha de terres irriguées, l’Office du Niger assure une production annuelle estimée à près de 500 000 tonnes de riz, contribuant de manière essentielle à la sécurité alimentaire nationale. </w:t>
      </w:r>
      <w:r w:rsidRPr="002A5818">
        <w:t>La désignation d</w:t>
      </w:r>
      <w:r w:rsidR="00017344" w:rsidRPr="002A5818">
        <w:t xml:space="preserve">e M. </w:t>
      </w:r>
      <w:r w:rsidRPr="002A5818">
        <w:t xml:space="preserve">Abdoulaye Diané à la tête de l’Office du Niger intervient dans un contexte marqué par les enjeux de souveraineté alimentaire, de modernisation de l’agriculture et de résilience économique. </w:t>
      </w:r>
      <w:r w:rsidR="00B94950" w:rsidRPr="002A5818">
        <w:t xml:space="preserve">M. </w:t>
      </w:r>
      <w:r w:rsidRPr="002A5818">
        <w:t>Abdoulaye Diané</w:t>
      </w:r>
      <w:r w:rsidR="00B94950" w:rsidRPr="002A5818">
        <w:t>, âgé de 64 ans,</w:t>
      </w:r>
      <w:r w:rsidRPr="002A5818">
        <w:t xml:space="preserve"> est juriste de formation. Il est titulaire d’une maîtrise en relations internationales et administration publique</w:t>
      </w:r>
      <w:r w:rsidR="00B94950" w:rsidRPr="002A5818">
        <w:t xml:space="preserve">. </w:t>
      </w:r>
      <w:r w:rsidRPr="002A5818">
        <w:t xml:space="preserve">En plus de 25 années de carrière, il a occupé de nombreuses fonctions de premier plan, parmi lesquelles </w:t>
      </w:r>
      <w:r w:rsidR="00B94950" w:rsidRPr="002A5818">
        <w:t xml:space="preserve">celle de </w:t>
      </w:r>
      <w:r w:rsidRPr="002A5818">
        <w:t>Consul général du Mali à Paris</w:t>
      </w:r>
      <w:r w:rsidR="00B94950" w:rsidRPr="002A5818">
        <w:t xml:space="preserve">. </w:t>
      </w:r>
      <w:r w:rsidR="00B94950" w:rsidRPr="002A5818">
        <w:lastRenderedPageBreak/>
        <w:t xml:space="preserve">Il a été également </w:t>
      </w:r>
      <w:r w:rsidRPr="002A5818">
        <w:t xml:space="preserve">Président du </w:t>
      </w:r>
      <w:r w:rsidR="00B94950" w:rsidRPr="002A5818">
        <w:t>c</w:t>
      </w:r>
      <w:r w:rsidRPr="002A5818">
        <w:t xml:space="preserve">onseil </w:t>
      </w:r>
      <w:r w:rsidR="00B94950" w:rsidRPr="002A5818">
        <w:t>d</w:t>
      </w:r>
      <w:r w:rsidRPr="002A5818">
        <w:t>’</w:t>
      </w:r>
      <w:r w:rsidR="00B94950" w:rsidRPr="002A5818">
        <w:t>a</w:t>
      </w:r>
      <w:r w:rsidRPr="002A5818">
        <w:t xml:space="preserve">dministration de plusieurs structures stratégiques, dont l’Agence </w:t>
      </w:r>
      <w:r w:rsidR="00B94950" w:rsidRPr="002A5818">
        <w:t>n</w:t>
      </w:r>
      <w:r w:rsidRPr="002A5818">
        <w:t xml:space="preserve">ationale de </w:t>
      </w:r>
      <w:r w:rsidR="00B94950" w:rsidRPr="002A5818">
        <w:t>d</w:t>
      </w:r>
      <w:r w:rsidRPr="002A5818">
        <w:t xml:space="preserve">éveloppement des </w:t>
      </w:r>
      <w:r w:rsidR="00B94950" w:rsidRPr="002A5818">
        <w:t>b</w:t>
      </w:r>
      <w:r w:rsidRPr="002A5818">
        <w:t>iocarburants (ANADEB),</w:t>
      </w:r>
      <w:r w:rsidR="00B94950" w:rsidRPr="002A5818">
        <w:t xml:space="preserve"> </w:t>
      </w:r>
      <w:r w:rsidRPr="002A5818">
        <w:t xml:space="preserve">la Société </w:t>
      </w:r>
      <w:r w:rsidR="00B94950" w:rsidRPr="002A5818">
        <w:t>m</w:t>
      </w:r>
      <w:r w:rsidRPr="002A5818">
        <w:t xml:space="preserve">alienne de </w:t>
      </w:r>
      <w:r w:rsidR="00B94950" w:rsidRPr="002A5818">
        <w:t>p</w:t>
      </w:r>
      <w:r w:rsidRPr="002A5818">
        <w:t>atrimoine de l’</w:t>
      </w:r>
      <w:r w:rsidR="00B94950" w:rsidRPr="002A5818">
        <w:t>e</w:t>
      </w:r>
      <w:r w:rsidRPr="002A5818">
        <w:t xml:space="preserve">au </w:t>
      </w:r>
      <w:r w:rsidR="00B94950" w:rsidRPr="002A5818">
        <w:t>p</w:t>
      </w:r>
      <w:r w:rsidRPr="002A5818">
        <w:t>otable (SOMAPEP-SA)</w:t>
      </w:r>
      <w:r w:rsidR="00B94950" w:rsidRPr="002A5818">
        <w:t xml:space="preserve"> ou l</w:t>
      </w:r>
      <w:r w:rsidRPr="002A5818">
        <w:t xml:space="preserve">a Société </w:t>
      </w:r>
      <w:r w:rsidR="00B94950" w:rsidRPr="002A5818">
        <w:t>m</w:t>
      </w:r>
      <w:r w:rsidRPr="002A5818">
        <w:t xml:space="preserve">alienne de </w:t>
      </w:r>
      <w:r w:rsidR="00B94950" w:rsidRPr="002A5818">
        <w:t>g</w:t>
      </w:r>
      <w:r w:rsidRPr="002A5818">
        <w:t>estion de l’</w:t>
      </w:r>
      <w:r w:rsidR="00B94950" w:rsidRPr="002A5818">
        <w:t>e</w:t>
      </w:r>
      <w:r w:rsidRPr="002A5818">
        <w:t xml:space="preserve">au </w:t>
      </w:r>
      <w:r w:rsidR="00B94950" w:rsidRPr="002A5818">
        <w:t>p</w:t>
      </w:r>
      <w:r w:rsidRPr="002A5818">
        <w:t>otable (SOMAGEP-SA).</w:t>
      </w:r>
      <w:r w:rsidR="00B94950" w:rsidRPr="002A5818">
        <w:t xml:space="preserve"> P</w:t>
      </w:r>
      <w:r w:rsidR="00017344" w:rsidRPr="002A5818">
        <w:t>e</w:t>
      </w:r>
      <w:r w:rsidR="00B94950" w:rsidRPr="002A5818">
        <w:t xml:space="preserve">ndant </w:t>
      </w:r>
      <w:r w:rsidRPr="002A5818">
        <w:t>huit an</w:t>
      </w:r>
      <w:r w:rsidR="00B94950" w:rsidRPr="002A5818">
        <w:t xml:space="preserve">s il a également été </w:t>
      </w:r>
      <w:r w:rsidRPr="002A5818">
        <w:t xml:space="preserve">Conseiller du Directeur général de la société minière AngloGold Ashanti en Guinée Conakry. </w:t>
      </w:r>
      <w:r w:rsidR="00017344" w:rsidRPr="002A5818">
        <w:t>La nomination d’Abdoulaye Diané à la tête de l’Office du Niger suscite de nombreuses attentes : amélioration de la gouvernance, optimisation de la gestion de l’eau, accompagnement des producteurs, sécurisation foncière et modernisation des infrastructures agricoles.</w:t>
      </w:r>
    </w:p>
    <w:p w14:paraId="192D29DF" w14:textId="77777777" w:rsidR="00C13005" w:rsidRPr="002A5818" w:rsidRDefault="00C13005" w:rsidP="001C1865">
      <w:pPr>
        <w:spacing w:after="0"/>
      </w:pPr>
    </w:p>
    <w:p w14:paraId="00CF5F32" w14:textId="61488678" w:rsidR="009D0F96" w:rsidRPr="002A5818" w:rsidRDefault="009D0F96" w:rsidP="001C1865">
      <w:pPr>
        <w:pStyle w:val="Titre1"/>
        <w:spacing w:before="0"/>
      </w:pPr>
      <w:bookmarkStart w:id="224" w:name="_Toc207812063"/>
      <w:bookmarkStart w:id="225" w:name="_Toc207812931"/>
      <w:bookmarkStart w:id="226" w:name="_Toc207813093"/>
      <w:bookmarkStart w:id="227" w:name="_Toc221044251"/>
      <w:r w:rsidRPr="002A5818">
        <w:t>Mauritanie</w:t>
      </w:r>
      <w:bookmarkEnd w:id="224"/>
      <w:bookmarkEnd w:id="225"/>
      <w:bookmarkEnd w:id="226"/>
      <w:bookmarkEnd w:id="227"/>
    </w:p>
    <w:p w14:paraId="42306D31" w14:textId="4A9677B8" w:rsidR="003518C6" w:rsidRPr="002A5818" w:rsidRDefault="003518C6" w:rsidP="003518C6">
      <w:pPr>
        <w:keepNext/>
        <w:keepLines/>
        <w:spacing w:after="0"/>
        <w:outlineLvl w:val="1"/>
        <w:rPr>
          <w:rFonts w:eastAsiaTheme="majorEastAsia" w:cstheme="majorBidi"/>
          <w:b/>
          <w:bCs/>
          <w:szCs w:val="26"/>
        </w:rPr>
      </w:pPr>
      <w:bookmarkStart w:id="228" w:name="_Toc221044252"/>
      <w:r w:rsidRPr="002A5818">
        <w:rPr>
          <w:b/>
          <w:bCs/>
        </w:rPr>
        <w:t>Agriculture et agroalimentaire – Note sur le secteur.</w:t>
      </w:r>
      <w:bookmarkEnd w:id="228"/>
    </w:p>
    <w:p w14:paraId="6548A5E4" w14:textId="023E3A8E" w:rsidR="000726E3" w:rsidRPr="002A5818" w:rsidRDefault="009E11C8" w:rsidP="000726E3">
      <w:pPr>
        <w:spacing w:after="0"/>
      </w:pPr>
      <w:r w:rsidRPr="002A5818">
        <w:rPr>
          <w:szCs w:val="20"/>
        </w:rPr>
        <w:t>En Mauritanie, le secteur agricole représente près de 21% du PIB national et 34% de l’emploi du pays (contre 65% en 2000) dont près de la moitié dans l’élevage (80% de la population possède du bétail). Seul 0,5% de la superficie totale des terres présente un potentiel agronomique, soit 500</w:t>
      </w:r>
      <w:r w:rsidRPr="002A5818">
        <w:rPr>
          <w:rFonts w:ascii="Calibri" w:hAnsi="Calibri" w:cs="Calibri"/>
          <w:szCs w:val="20"/>
        </w:rPr>
        <w:t> </w:t>
      </w:r>
      <w:r w:rsidRPr="002A5818">
        <w:rPr>
          <w:szCs w:val="20"/>
        </w:rPr>
        <w:t xml:space="preserve">000 ha mais à peine la moitié est mis en valeur. </w:t>
      </w:r>
      <w:r w:rsidRPr="002A5818">
        <w:rPr>
          <w:rFonts w:eastAsia="Marianne" w:cs="Arial"/>
          <w:szCs w:val="20"/>
        </w:rPr>
        <w:t>Le secteur de l’élevage assure l’autosuffisance nationale en viande rouge. L’excédent de production par rapport à la consommation nationale représente près de 40%.</w:t>
      </w:r>
      <w:r w:rsidRPr="002A5818">
        <w:rPr>
          <w:szCs w:val="20"/>
        </w:rPr>
        <w:t xml:space="preserve"> La production céréalière totale de 2024 a été évaluée à 589 000 tonnes par la FAO, ce qui est proche du niveau de 2023 et environ 25% de plus que la moyenne des cinq années précédentes. Dans ce contexte avec une production de 481 854 tonnes de riz sur une superficie de 97 444 h</w:t>
      </w:r>
      <w:r w:rsidR="00D96110">
        <w:rPr>
          <w:szCs w:val="20"/>
        </w:rPr>
        <w:t>a</w:t>
      </w:r>
      <w:r w:rsidRPr="002A5818">
        <w:rPr>
          <w:szCs w:val="20"/>
        </w:rPr>
        <w:t xml:space="preserve">, la Mauritanie est quasiment autosuffisante en riz. Les eaux côtières mauritaniennes sont parmi les plus riches du monde en ressources halieutiques. </w:t>
      </w:r>
      <w:r w:rsidRPr="002A5818">
        <w:rPr>
          <w:rFonts w:cs="Segoe UI Symbol"/>
          <w:szCs w:val="20"/>
        </w:rPr>
        <w:t>Le gouvernement vise à attirer des IDE dans l’agriculture et l’agro-industrie et la Banque centrale favorise la modernisation du secteur par des crédits bancaires au secteur de l’agriculture et de l’élevage (+57,8% entre 2024 et 2025). Selon la Banque mondiale, en 2025, la contribution de l’agriculture à la croissance devrait être exceptionnellement élevée à 1,1 point de croissance.</w:t>
      </w:r>
      <w:r w:rsidRPr="002A5818">
        <w:rPr>
          <w:szCs w:val="20"/>
        </w:rPr>
        <w:t xml:space="preserve"> </w:t>
      </w:r>
      <w:r w:rsidRPr="002A5818">
        <w:rPr>
          <w:rFonts w:cs="Marianne"/>
          <w:szCs w:val="20"/>
        </w:rPr>
        <w:t>La balance commerciale de produits agricoles et alimentaires est déficitaire malgré l’importance des exportations de produits de la mer</w:t>
      </w:r>
      <w:r w:rsidRPr="002A5818">
        <w:rPr>
          <w:rFonts w:ascii="Calibri" w:hAnsi="Calibri" w:cs="Calibri"/>
          <w:szCs w:val="20"/>
        </w:rPr>
        <w:t>.</w:t>
      </w:r>
      <w:r w:rsidR="003518C6" w:rsidRPr="002A5818">
        <w:t xml:space="preserve"> </w:t>
      </w:r>
      <w:bookmarkStart w:id="229" w:name="_Hlk220247182"/>
      <w:r w:rsidR="003518C6" w:rsidRPr="002A5818">
        <w:t xml:space="preserve">La note est disponible auprès du Conseiller aux affaires agricoles pour les pays d’Afrique de l’Ouest (hors Ghana et Nigéria) et sur le site </w:t>
      </w:r>
      <w:r w:rsidR="000726E3" w:rsidRPr="002A5818">
        <w:t>de la DG Trésor.</w:t>
      </w:r>
    </w:p>
    <w:p w14:paraId="0F52ABDA" w14:textId="4FB45D50" w:rsidR="009E11C8" w:rsidRPr="002A5818" w:rsidRDefault="00C045B7" w:rsidP="000726E3">
      <w:pPr>
        <w:spacing w:after="0"/>
      </w:pPr>
      <w:hyperlink r:id="rId34" w:history="1">
        <w:r w:rsidR="000726E3" w:rsidRPr="002A5818">
          <w:rPr>
            <w:rStyle w:val="Lienhypertexte"/>
          </w:rPr>
          <w:t>https://www.tresor.economie.gouv.fr/Pays/CI?listePays=CI</w:t>
        </w:r>
      </w:hyperlink>
      <w:bookmarkEnd w:id="229"/>
      <w:r w:rsidR="000726E3" w:rsidRPr="002A5818">
        <w:t xml:space="preserve"> </w:t>
      </w:r>
    </w:p>
    <w:p w14:paraId="436780FE" w14:textId="77777777" w:rsidR="00E164EC" w:rsidRPr="002A5818" w:rsidRDefault="00E164EC" w:rsidP="00E164EC">
      <w:pPr>
        <w:spacing w:after="0"/>
      </w:pPr>
    </w:p>
    <w:p w14:paraId="62AC92E0" w14:textId="1FF6700D" w:rsidR="00E164EC" w:rsidRPr="002A5818" w:rsidRDefault="00E164EC" w:rsidP="00ED0256">
      <w:pPr>
        <w:keepNext/>
        <w:keepLines/>
        <w:spacing w:after="0"/>
        <w:outlineLvl w:val="1"/>
        <w:rPr>
          <w:rFonts w:eastAsiaTheme="majorEastAsia" w:cstheme="majorBidi"/>
          <w:b/>
          <w:bCs/>
          <w:szCs w:val="26"/>
        </w:rPr>
      </w:pPr>
      <w:bookmarkStart w:id="230" w:name="_Toc221044253"/>
      <w:r w:rsidRPr="002A5818">
        <w:rPr>
          <w:b/>
          <w:bCs/>
        </w:rPr>
        <w:t xml:space="preserve">Sécurité alimentaire – Le premier ministre </w:t>
      </w:r>
      <w:bookmarkStart w:id="231" w:name="_Hlk220798761"/>
      <w:r w:rsidRPr="002A5818">
        <w:rPr>
          <w:b/>
          <w:bCs/>
        </w:rPr>
        <w:t>assure que l’autosuffisance dans le domaine agricole sera atteinte en 2027 au plus tard</w:t>
      </w:r>
      <w:bookmarkEnd w:id="231"/>
      <w:r w:rsidRPr="002A5818">
        <w:rPr>
          <w:b/>
          <w:bCs/>
        </w:rPr>
        <w:t>.</w:t>
      </w:r>
      <w:bookmarkEnd w:id="230"/>
    </w:p>
    <w:p w14:paraId="556CA8D1" w14:textId="434D1A78" w:rsidR="00E164EC" w:rsidRPr="002A5818" w:rsidRDefault="00E164EC" w:rsidP="00E164EC">
      <w:pPr>
        <w:spacing w:after="0"/>
      </w:pPr>
      <w:r w:rsidRPr="002A5818">
        <w:t xml:space="preserve">Le </w:t>
      </w:r>
      <w:r w:rsidR="001C3992" w:rsidRPr="002A5818">
        <w:t xml:space="preserve">Premier ministre </w:t>
      </w:r>
      <w:r w:rsidR="00ED0256" w:rsidRPr="002A5818">
        <w:t xml:space="preserve">M. Mokhtar Ould Diay </w:t>
      </w:r>
      <w:r w:rsidR="001C3992" w:rsidRPr="002A5818">
        <w:t>qui s’exprimait devant les députés à l’occasion de la présentation du bilan 2025 et des perspectives 2026 de l’action du gouvernement</w:t>
      </w:r>
      <w:r w:rsidR="00ED0256" w:rsidRPr="002A5818">
        <w:t xml:space="preserve"> a</w:t>
      </w:r>
      <w:r w:rsidR="001C3992" w:rsidRPr="002A5818">
        <w:t xml:space="preserve"> </w:t>
      </w:r>
      <w:r w:rsidR="00ED0256" w:rsidRPr="002A5818">
        <w:t xml:space="preserve">assuré que l’autosuffisance dans le domaine agricole serait atteinte en 2027 au plus tard. Le </w:t>
      </w:r>
      <w:r w:rsidR="001C3992" w:rsidRPr="002A5818">
        <w:t>g</w:t>
      </w:r>
      <w:r w:rsidRPr="002A5818">
        <w:t>ouvernement œuvre à la réalisation d’une révolution agricole en Mauritanie, a affirmé le Premier ministre selon lequel, la pandémie de la COVID-19 a fait naître la conviction de la nécessité d’atteindre l’autosuffisance alimentaire.</w:t>
      </w:r>
      <w:r w:rsidR="001C3992" w:rsidRPr="002A5818">
        <w:t xml:space="preserve"> Pour le Premier ministre, l</w:t>
      </w:r>
      <w:r w:rsidRPr="002A5818">
        <w:t>e</w:t>
      </w:r>
      <w:r w:rsidR="001C3992" w:rsidRPr="002A5818">
        <w:t xml:space="preserve"> pays dispose d</w:t>
      </w:r>
      <w:r w:rsidRPr="002A5818">
        <w:t xml:space="preserve">es terres agricoles, </w:t>
      </w:r>
      <w:r w:rsidR="001C3992" w:rsidRPr="002A5818">
        <w:t xml:space="preserve">de </w:t>
      </w:r>
      <w:r w:rsidRPr="002A5818">
        <w:t xml:space="preserve">l’eau et </w:t>
      </w:r>
      <w:r w:rsidR="001C3992" w:rsidRPr="002A5818">
        <w:t xml:space="preserve">de </w:t>
      </w:r>
      <w:r w:rsidRPr="002A5818">
        <w:t>la main-d’œuvre</w:t>
      </w:r>
      <w:r w:rsidR="001C3992" w:rsidRPr="002A5818">
        <w:t xml:space="preserve"> deva</w:t>
      </w:r>
      <w:r w:rsidR="00ED0256" w:rsidRPr="002A5818">
        <w:t>n</w:t>
      </w:r>
      <w:r w:rsidR="001C3992" w:rsidRPr="002A5818">
        <w:t xml:space="preserve">t permettre d’atteindre cet objectif. </w:t>
      </w:r>
      <w:r w:rsidRPr="002A5818">
        <w:t>Toujours selon lui, l’autosuffisance a été atteinte dans le domaine du riz, avec des progrès notables dans le domaine des légumes, où un bond en avant a été réalisé dans la production, en plus de la fourniture des financements nécessaires à ce secteur.</w:t>
      </w:r>
      <w:r w:rsidR="00ED0256" w:rsidRPr="002A5818">
        <w:t xml:space="preserve"> </w:t>
      </w:r>
      <w:r w:rsidRPr="002A5818">
        <w:t>L’autosuffisance sera atteinte au cours d’une ou deux années, a</w:t>
      </w:r>
      <w:r w:rsidR="00ED0256" w:rsidRPr="002A5818">
        <w:t>-t-il</w:t>
      </w:r>
      <w:r w:rsidRPr="002A5818">
        <w:t xml:space="preserve"> affirmé, disant qu’un surplus dans le domaine des légumes et des pommes de terre, sera exporté dans les mêmes délais, générant ainsi des devises.</w:t>
      </w:r>
    </w:p>
    <w:p w14:paraId="0DB254E2" w14:textId="12AB2E8B" w:rsidR="004F1653" w:rsidRPr="002A5818" w:rsidRDefault="00B93614" w:rsidP="00B93614">
      <w:pPr>
        <w:keepNext/>
        <w:keepLines/>
        <w:spacing w:after="0"/>
        <w:outlineLvl w:val="1"/>
        <w:rPr>
          <w:rFonts w:eastAsiaTheme="majorEastAsia" w:cstheme="majorBidi"/>
          <w:b/>
          <w:bCs/>
          <w:szCs w:val="26"/>
        </w:rPr>
      </w:pPr>
      <w:bookmarkStart w:id="232" w:name="_Toc221044254"/>
      <w:bookmarkStart w:id="233" w:name="_Hlk220246907"/>
      <w:r w:rsidRPr="002A5818">
        <w:rPr>
          <w:rFonts w:cs="Calibri"/>
          <w:b/>
          <w:bCs/>
          <w:szCs w:val="20"/>
        </w:rPr>
        <w:lastRenderedPageBreak/>
        <w:t xml:space="preserve">Pêche – </w:t>
      </w:r>
      <w:r w:rsidR="004F1653" w:rsidRPr="002A5818">
        <w:rPr>
          <w:rFonts w:cs="Calibri"/>
          <w:b/>
          <w:bCs/>
          <w:szCs w:val="20"/>
        </w:rPr>
        <w:t>Le secteur en plein redressement.</w:t>
      </w:r>
      <w:bookmarkEnd w:id="232"/>
    </w:p>
    <w:bookmarkEnd w:id="233"/>
    <w:p w14:paraId="5D853A3F" w14:textId="21C55C2F" w:rsidR="004F1653" w:rsidRPr="002A5818" w:rsidRDefault="004F1653" w:rsidP="004F1653">
      <w:pPr>
        <w:spacing w:after="0"/>
        <w:rPr>
          <w:rFonts w:cs="Calibri"/>
          <w:szCs w:val="20"/>
        </w:rPr>
      </w:pPr>
      <w:r w:rsidRPr="002A5818">
        <w:rPr>
          <w:rFonts w:cs="Calibri"/>
          <w:szCs w:val="20"/>
        </w:rPr>
        <w:t>Le ministre de la pêche, des Infrastructures maritimes et portuaires, M. El Mokhtar Bousseif a évoqué le 15 décembre devant les parlementaires les progrès dans le contrôle du secteur de la pêche, avec des exportations atteignant 801 M USD fin 2025, soit une hausse de près de 20% par rapport à 2019, renforçant les ressources en devises du pays. Il a expliqué que le développement du secteur de la pêche nécessite de se concentrer sur des axes fondamentaux, notamment la recherche scientifique, le contrôle, le développement des ports et la création d’usines de valorisation et de commercialisation, soulignant que le secteur travaille actuellement à mobiliser les financements nécessaires et à apporter un changement radical dans ses institutions.</w:t>
      </w:r>
      <w:r w:rsidR="00B93614" w:rsidRPr="002A5818">
        <w:rPr>
          <w:rFonts w:cs="Calibri"/>
          <w:szCs w:val="20"/>
        </w:rPr>
        <w:t xml:space="preserve"> </w:t>
      </w:r>
      <w:r w:rsidRPr="002A5818">
        <w:rPr>
          <w:rFonts w:cs="Calibri"/>
          <w:szCs w:val="20"/>
        </w:rPr>
        <w:t>Il a affirmé que le nombre d’usines de valorisation a connu une croissance de 73%, grâce à l’encouragement de l’État aux industries de valorisation, dans le but d’intégrer plus fortement le secteur dans le cycle économique, d’augmenter le nombre d’acteurs économiques et d’attirer davantage de devises étrangères dans le pays.</w:t>
      </w:r>
      <w:r w:rsidR="00B93614" w:rsidRPr="002A5818">
        <w:rPr>
          <w:rFonts w:cs="Calibri"/>
          <w:szCs w:val="20"/>
        </w:rPr>
        <w:t xml:space="preserve"> </w:t>
      </w:r>
      <w:r w:rsidRPr="002A5818">
        <w:rPr>
          <w:rFonts w:cs="Calibri"/>
          <w:szCs w:val="20"/>
        </w:rPr>
        <w:t xml:space="preserve">Le Ministre a conclu en soulignant que l’amélioration du secteur a créé des perspectives d’avenir prometteuses, qui permettront, avant la fin du mandat </w:t>
      </w:r>
      <w:r w:rsidR="00B93614" w:rsidRPr="002A5818">
        <w:rPr>
          <w:rFonts w:cs="Calibri"/>
          <w:szCs w:val="20"/>
        </w:rPr>
        <w:t xml:space="preserve">du </w:t>
      </w:r>
      <w:r w:rsidRPr="002A5818">
        <w:rPr>
          <w:rFonts w:cs="Calibri"/>
          <w:szCs w:val="20"/>
        </w:rPr>
        <w:t>Président de la République, de créer des ports capables de recevoir toutes les quantités de poisson pêchées, ainsi que des institutions efficaces qui rempliront les rôles qui leur sont assignés.</w:t>
      </w:r>
    </w:p>
    <w:p w14:paraId="2B6E43BA" w14:textId="77777777" w:rsidR="00B93614" w:rsidRPr="002A5818" w:rsidRDefault="00B93614" w:rsidP="004F1653">
      <w:pPr>
        <w:spacing w:after="0"/>
        <w:rPr>
          <w:rFonts w:cs="Calibri"/>
          <w:szCs w:val="20"/>
        </w:rPr>
      </w:pPr>
    </w:p>
    <w:p w14:paraId="476947CB" w14:textId="4279DCBD" w:rsidR="009F74F5" w:rsidRPr="002A5818" w:rsidRDefault="009F74F5" w:rsidP="001C1E53">
      <w:pPr>
        <w:keepNext/>
        <w:keepLines/>
        <w:spacing w:after="0"/>
        <w:outlineLvl w:val="1"/>
        <w:rPr>
          <w:rFonts w:eastAsiaTheme="majorEastAsia" w:cstheme="majorBidi"/>
          <w:b/>
          <w:bCs/>
          <w:szCs w:val="26"/>
        </w:rPr>
      </w:pPr>
      <w:bookmarkStart w:id="234" w:name="_Toc221044255"/>
      <w:bookmarkStart w:id="235" w:name="_Hlk220228637"/>
      <w:r w:rsidRPr="002A5818">
        <w:rPr>
          <w:rFonts w:cs="Calibri"/>
          <w:b/>
          <w:bCs/>
          <w:szCs w:val="20"/>
        </w:rPr>
        <w:t xml:space="preserve">Pêche </w:t>
      </w:r>
      <w:r w:rsidR="001C1E53" w:rsidRPr="002A5818">
        <w:rPr>
          <w:rFonts w:cs="Calibri"/>
          <w:b/>
          <w:bCs/>
          <w:szCs w:val="20"/>
        </w:rPr>
        <w:t>–</w:t>
      </w:r>
      <w:r w:rsidRPr="002A5818">
        <w:rPr>
          <w:rFonts w:cs="Calibri"/>
          <w:b/>
          <w:bCs/>
          <w:szCs w:val="20"/>
        </w:rPr>
        <w:t xml:space="preserve"> </w:t>
      </w:r>
      <w:r w:rsidR="001C1E53" w:rsidRPr="002A5818">
        <w:rPr>
          <w:rFonts w:cs="Calibri"/>
          <w:b/>
          <w:bCs/>
          <w:szCs w:val="20"/>
        </w:rPr>
        <w:t xml:space="preserve">La </w:t>
      </w:r>
      <w:r w:rsidRPr="002A5818">
        <w:rPr>
          <w:rFonts w:cs="Calibri"/>
          <w:b/>
          <w:bCs/>
          <w:szCs w:val="20"/>
        </w:rPr>
        <w:t xml:space="preserve">Mauritanie obtient </w:t>
      </w:r>
      <w:r w:rsidR="001C1E53" w:rsidRPr="002A5818">
        <w:rPr>
          <w:rFonts w:cs="Calibri"/>
          <w:b/>
          <w:bCs/>
          <w:szCs w:val="20"/>
        </w:rPr>
        <w:t>le « </w:t>
      </w:r>
      <w:r w:rsidRPr="002A5818">
        <w:rPr>
          <w:rFonts w:cs="Calibri"/>
          <w:b/>
          <w:bCs/>
          <w:szCs w:val="20"/>
        </w:rPr>
        <w:t>certificat de pays conforme »</w:t>
      </w:r>
      <w:r w:rsidR="001C1E53" w:rsidRPr="002A5818">
        <w:rPr>
          <w:rFonts w:cs="Calibri"/>
          <w:b/>
          <w:bCs/>
          <w:szCs w:val="20"/>
        </w:rPr>
        <w:t xml:space="preserve"> de </w:t>
      </w:r>
      <w:r w:rsidR="001C1E53" w:rsidRPr="002A5818">
        <w:rPr>
          <w:rFonts w:cs="Calibri"/>
          <w:b/>
          <w:bCs/>
          <w:i/>
          <w:iCs/>
          <w:szCs w:val="20"/>
        </w:rPr>
        <w:t>Fisheries Transparency Initiative</w:t>
      </w:r>
      <w:r w:rsidR="001C1E53" w:rsidRPr="002A5818">
        <w:rPr>
          <w:rFonts w:cs="Calibri"/>
          <w:b/>
          <w:bCs/>
          <w:szCs w:val="20"/>
        </w:rPr>
        <w:t xml:space="preserve"> (FiTi).</w:t>
      </w:r>
      <w:bookmarkEnd w:id="234"/>
    </w:p>
    <w:bookmarkEnd w:id="235"/>
    <w:p w14:paraId="2239E21A" w14:textId="641C9B5F" w:rsidR="009F74F5" w:rsidRPr="002A5818" w:rsidRDefault="009F74F5" w:rsidP="009F74F5">
      <w:pPr>
        <w:spacing w:after="0"/>
        <w:rPr>
          <w:rFonts w:cs="Calibri"/>
          <w:szCs w:val="20"/>
        </w:rPr>
      </w:pPr>
      <w:r w:rsidRPr="002A5818">
        <w:rPr>
          <w:rFonts w:cs="Calibri"/>
          <w:szCs w:val="20"/>
        </w:rPr>
        <w:t>La Mauritanie vient de franchir un pas de plus dans la transparence dans la gestion de son secteur des pêches par la publication du 6</w:t>
      </w:r>
      <w:r w:rsidRPr="002A5818">
        <w:rPr>
          <w:rFonts w:cs="Calibri"/>
          <w:szCs w:val="20"/>
          <w:vertAlign w:val="superscript"/>
        </w:rPr>
        <w:t>ème</w:t>
      </w:r>
      <w:r w:rsidRPr="002A5818">
        <w:rPr>
          <w:rFonts w:cs="Calibri"/>
          <w:szCs w:val="20"/>
        </w:rPr>
        <w:t xml:space="preserve"> rapport du Groupe national multipartite (GNM). Le nouveau rapport périodique met à la disposition du public des informations sur les accords et conventions de pêche avec les pays et groupes privés étrangers, sur l’état des stocks la liste des navires de pêche à grande échelle, les paiements, les captures, entre autres. Les informations contenues dans le 6</w:t>
      </w:r>
      <w:r w:rsidRPr="002A5818">
        <w:rPr>
          <w:rFonts w:cs="Calibri"/>
          <w:szCs w:val="20"/>
          <w:vertAlign w:val="superscript"/>
        </w:rPr>
        <w:t>ème</w:t>
      </w:r>
      <w:r w:rsidRPr="002A5818">
        <w:rPr>
          <w:rFonts w:cs="Calibri"/>
          <w:szCs w:val="20"/>
        </w:rPr>
        <w:t xml:space="preserve"> rapport, compilées par des experts, débattues et approuvées par le GNM, s’inscrivent dans le cadre de la seconde validation périodique de la FiTi pour la mise en œuvre de ses normes par la Mauritanie au cours de la période de validation qui s’étend à 2025. Ces avancées réalisées par le GNM pour contribuer à la concrétisation des 12 normes de la FiTi ont permis à la Mauritanie de se voir décerner le </w:t>
      </w:r>
      <w:r w:rsidR="001C1E53" w:rsidRPr="002A5818">
        <w:rPr>
          <w:rFonts w:cs="Calibri"/>
          <w:szCs w:val="20"/>
        </w:rPr>
        <w:t>« </w:t>
      </w:r>
      <w:r w:rsidRPr="002A5818">
        <w:rPr>
          <w:rFonts w:cs="Calibri"/>
          <w:szCs w:val="20"/>
        </w:rPr>
        <w:t>certificat de pays conforme » par le Conseil d’Administration international de FiTi.</w:t>
      </w:r>
      <w:r w:rsidR="001C1E53" w:rsidRPr="002A5818">
        <w:t xml:space="preserve"> </w:t>
      </w:r>
      <w:r w:rsidR="001C1E53" w:rsidRPr="002A5818">
        <w:rPr>
          <w:rFonts w:cs="Calibri"/>
          <w:szCs w:val="20"/>
        </w:rPr>
        <w:t>Le Standard FiTi établit des exigences précises sur ce qui est attendu des pays en matière de transparence et de participation multipartite dans la gouvernance des pêches.</w:t>
      </w:r>
    </w:p>
    <w:p w14:paraId="388172D7" w14:textId="591F6816" w:rsidR="0022366C" w:rsidRPr="002A5818" w:rsidRDefault="0022366C" w:rsidP="009F74F5">
      <w:pPr>
        <w:spacing w:after="0"/>
        <w:rPr>
          <w:rFonts w:cs="Calibri"/>
          <w:szCs w:val="20"/>
        </w:rPr>
      </w:pPr>
    </w:p>
    <w:p w14:paraId="31E55DC1" w14:textId="7C76FFC8" w:rsidR="0022366C" w:rsidRPr="002A5818" w:rsidRDefault="0022366C" w:rsidP="002F7186">
      <w:pPr>
        <w:keepNext/>
        <w:keepLines/>
        <w:spacing w:after="0"/>
        <w:outlineLvl w:val="1"/>
        <w:rPr>
          <w:rFonts w:eastAsiaTheme="majorEastAsia" w:cstheme="majorBidi"/>
          <w:b/>
          <w:bCs/>
          <w:szCs w:val="26"/>
        </w:rPr>
      </w:pPr>
      <w:bookmarkStart w:id="236" w:name="_Toc221044256"/>
      <w:bookmarkStart w:id="237" w:name="_Hlk220798250"/>
      <w:r w:rsidRPr="002A5818">
        <w:rPr>
          <w:rFonts w:cs="Calibri"/>
          <w:b/>
          <w:bCs/>
          <w:szCs w:val="20"/>
        </w:rPr>
        <w:t>Pêche – Nouvelle usine de valorisation des produits de la pêche.</w:t>
      </w:r>
      <w:bookmarkEnd w:id="236"/>
    </w:p>
    <w:bookmarkEnd w:id="237"/>
    <w:p w14:paraId="3776AB49" w14:textId="5E32EA34" w:rsidR="0022366C" w:rsidRPr="002A5818" w:rsidRDefault="0022366C" w:rsidP="0022366C">
      <w:pPr>
        <w:spacing w:after="0"/>
        <w:rPr>
          <w:rFonts w:cs="Calibri"/>
          <w:szCs w:val="20"/>
        </w:rPr>
      </w:pPr>
      <w:r w:rsidRPr="002A5818">
        <w:rPr>
          <w:rFonts w:cs="Calibri"/>
          <w:szCs w:val="20"/>
        </w:rPr>
        <w:t>Son Excellence le Président de la République, Monsieur Mohamed Ould Cheikh El Ghazouani, a inauguré, le 30 décembre à Nouadhibou, une usine de traitement et de valorisation des produits de la pêche appartenant à la société RIM FISH GLOBAL</w:t>
      </w:r>
      <w:r w:rsidR="002F7186" w:rsidRPr="002A5818">
        <w:rPr>
          <w:rFonts w:cs="Calibri"/>
          <w:szCs w:val="20"/>
        </w:rPr>
        <w:t xml:space="preserve">. Cette usine, dont le coût s’élève à 10 M d’USD, est le fruit d’un partenariat entre des hommes d’affaires nationaux et des investisseurs étrangers. Elle s’inscrit, comme d’autres projets de développement similaires, dans le cadre des mesures prises pour transformer la ville de Nouadhibou en un pôle de développement et industriel. </w:t>
      </w:r>
      <w:r w:rsidRPr="002A5818">
        <w:rPr>
          <w:rFonts w:cs="Calibri"/>
          <w:szCs w:val="20"/>
        </w:rPr>
        <w:t>L’usine</w:t>
      </w:r>
      <w:r w:rsidR="002F7186" w:rsidRPr="002A5818">
        <w:rPr>
          <w:rFonts w:cs="Calibri"/>
          <w:szCs w:val="20"/>
        </w:rPr>
        <w:t xml:space="preserve"> </w:t>
      </w:r>
      <w:r w:rsidRPr="002A5818">
        <w:rPr>
          <w:rFonts w:cs="Calibri"/>
          <w:szCs w:val="20"/>
        </w:rPr>
        <w:t>s’étend sur une superficie de 3</w:t>
      </w:r>
      <w:r w:rsidR="002F7186" w:rsidRPr="002A5818">
        <w:rPr>
          <w:rFonts w:cs="Calibri"/>
          <w:szCs w:val="20"/>
        </w:rPr>
        <w:t xml:space="preserve"> </w:t>
      </w:r>
      <w:r w:rsidRPr="002A5818">
        <w:rPr>
          <w:rFonts w:cs="Calibri"/>
          <w:szCs w:val="20"/>
        </w:rPr>
        <w:t xml:space="preserve">000 </w:t>
      </w:r>
      <w:r w:rsidR="002F7186" w:rsidRPr="002A5818">
        <w:rPr>
          <w:rFonts w:cs="Calibri"/>
          <w:szCs w:val="20"/>
        </w:rPr>
        <w:t>m²,</w:t>
      </w:r>
      <w:r w:rsidRPr="002A5818">
        <w:rPr>
          <w:rFonts w:cs="Calibri"/>
          <w:szCs w:val="20"/>
        </w:rPr>
        <w:t xml:space="preserve"> offre une capacité de congélation de 83 tonnes et une capacité de stockage allant jusqu’à 2</w:t>
      </w:r>
      <w:r w:rsidR="002F7186" w:rsidRPr="002A5818">
        <w:rPr>
          <w:rFonts w:cs="Calibri"/>
          <w:szCs w:val="20"/>
        </w:rPr>
        <w:t xml:space="preserve"> </w:t>
      </w:r>
      <w:r w:rsidRPr="002A5818">
        <w:rPr>
          <w:rFonts w:cs="Calibri"/>
          <w:szCs w:val="20"/>
        </w:rPr>
        <w:t>000 tonnes.</w:t>
      </w:r>
      <w:r w:rsidR="002F7186" w:rsidRPr="002A5818">
        <w:rPr>
          <w:rFonts w:cs="Calibri"/>
          <w:szCs w:val="20"/>
        </w:rPr>
        <w:t xml:space="preserve"> </w:t>
      </w:r>
      <w:r w:rsidRPr="002A5818">
        <w:rPr>
          <w:rFonts w:cs="Calibri"/>
          <w:szCs w:val="20"/>
        </w:rPr>
        <w:t>Ce projet</w:t>
      </w:r>
      <w:r w:rsidR="002F7186" w:rsidRPr="002A5818">
        <w:rPr>
          <w:rFonts w:cs="Calibri"/>
          <w:szCs w:val="20"/>
        </w:rPr>
        <w:t xml:space="preserve"> doit</w:t>
      </w:r>
      <w:r w:rsidRPr="002A5818">
        <w:rPr>
          <w:rFonts w:cs="Calibri"/>
          <w:szCs w:val="20"/>
        </w:rPr>
        <w:t xml:space="preserve"> </w:t>
      </w:r>
      <w:r w:rsidR="002F7186" w:rsidRPr="002A5818">
        <w:rPr>
          <w:rFonts w:cs="Calibri"/>
          <w:szCs w:val="20"/>
        </w:rPr>
        <w:t xml:space="preserve">renforcer la création de valeur ajoutée et soutenir l’activité économique locale. Il </w:t>
      </w:r>
      <w:r w:rsidRPr="002A5818">
        <w:rPr>
          <w:rFonts w:cs="Calibri"/>
          <w:szCs w:val="20"/>
        </w:rPr>
        <w:t>permettra de créer 115 emplois directs et 150 emplois indirects</w:t>
      </w:r>
      <w:r w:rsidR="002F7186" w:rsidRPr="002A5818">
        <w:rPr>
          <w:rFonts w:cs="Calibri"/>
          <w:szCs w:val="20"/>
        </w:rPr>
        <w:t>.</w:t>
      </w:r>
    </w:p>
    <w:p w14:paraId="11E4B032" w14:textId="13FEB79B" w:rsidR="00DE6859" w:rsidRPr="002A5818" w:rsidRDefault="00DE6859" w:rsidP="009E11C8">
      <w:pPr>
        <w:spacing w:after="0"/>
        <w:rPr>
          <w:rFonts w:cs="Calibri"/>
          <w:szCs w:val="20"/>
        </w:rPr>
      </w:pPr>
    </w:p>
    <w:p w14:paraId="52FE3E8A" w14:textId="0476C1D1" w:rsidR="0079668E" w:rsidRPr="002A5818" w:rsidRDefault="00E164EC" w:rsidP="00E164EC">
      <w:pPr>
        <w:keepNext/>
        <w:keepLines/>
        <w:spacing w:after="0"/>
        <w:outlineLvl w:val="1"/>
        <w:rPr>
          <w:rFonts w:eastAsiaTheme="majorEastAsia" w:cstheme="majorBidi"/>
          <w:b/>
          <w:bCs/>
          <w:szCs w:val="26"/>
        </w:rPr>
      </w:pPr>
      <w:bookmarkStart w:id="238" w:name="_Toc221044257"/>
      <w:r w:rsidRPr="002A5818">
        <w:rPr>
          <w:rFonts w:cs="Calibri"/>
          <w:b/>
          <w:bCs/>
          <w:szCs w:val="20"/>
        </w:rPr>
        <w:lastRenderedPageBreak/>
        <w:t>Pêche – L</w:t>
      </w:r>
      <w:r w:rsidR="0079668E" w:rsidRPr="002A5818">
        <w:rPr>
          <w:rFonts w:cs="Calibri"/>
          <w:b/>
          <w:bCs/>
          <w:szCs w:val="20"/>
        </w:rPr>
        <w:t xml:space="preserve">ancement des travaux de la commission mixte </w:t>
      </w:r>
      <w:r w:rsidRPr="002A5818">
        <w:rPr>
          <w:rFonts w:cs="Calibri"/>
          <w:b/>
          <w:bCs/>
          <w:szCs w:val="20"/>
        </w:rPr>
        <w:t>de l’accord de partenariat dans le secteur de la pêche entre la République islamique de Mauritanie et l’Union européenne.</w:t>
      </w:r>
      <w:bookmarkEnd w:id="238"/>
    </w:p>
    <w:p w14:paraId="26C9BBFF" w14:textId="0CB54494" w:rsidR="0079668E" w:rsidRPr="002A5818" w:rsidRDefault="0079668E" w:rsidP="0079668E">
      <w:pPr>
        <w:spacing w:after="0"/>
        <w:rPr>
          <w:rFonts w:cs="Calibri"/>
          <w:szCs w:val="20"/>
        </w:rPr>
      </w:pPr>
      <w:r w:rsidRPr="002A5818">
        <w:rPr>
          <w:rFonts w:cs="Calibri"/>
          <w:szCs w:val="20"/>
        </w:rPr>
        <w:t xml:space="preserve">Les travaux de la commission mixte </w:t>
      </w:r>
      <w:bookmarkStart w:id="239" w:name="_Hlk220798302"/>
      <w:r w:rsidRPr="002A5818">
        <w:rPr>
          <w:rFonts w:cs="Calibri"/>
          <w:szCs w:val="20"/>
        </w:rPr>
        <w:t xml:space="preserve">de l’accord de partenariat dans le secteur de la pêche entre la République islamique de Mauritanie et l’Union européenne </w:t>
      </w:r>
      <w:bookmarkEnd w:id="239"/>
      <w:r w:rsidRPr="002A5818">
        <w:rPr>
          <w:rFonts w:cs="Calibri"/>
          <w:szCs w:val="20"/>
        </w:rPr>
        <w:t>ont débuté le 26 janvier à Las Palmas, en Espagne. Cette session s’inscrit dans le cadre du renforcement de la coopération bilatérale et de l’évaluation de la mise en œuvre des dispositions de l’accord. Les échanges ont porté sur l’ensemble des axes du partenariat, notamment les activités de pêche, les licences délivrées au titre des années 2024 et 2025, les volumes de captures réalisés ainsi que les revenus générés. Les conditions techniques prévues par le protocole encadrant l’accord ont également été examinées. La partie européenne a, par ailleurs, présenté un exposé sur la coopération scientifique, incluant une synthèse du rapport de la commission scientifique mixte. Cette présentation a mis en avant le rôle central du suivi scientifique dans la préservation des ressources halieutiques et dans la garantie d’une exploitation durable. La délégation mauritanienne était conduite par le secrétaire général du ministère de la pêche et des infrastructures maritimes et portuaires, M. Sidi Ali Ould Sidi Boubacar. Elle comprenait notamment le commandant des garde-côtes mauritaniens, le secrétaire permanent de l’Observatoire économique et social de la pêche, plusieurs directeurs centraux du secteur ainsi que des représentants des ministères des finances et des affaires étrangères. Du côté européen, la réunion s’est tenue en présence d’une délégation officielle dirigée par M. Luis Molido, accompagnée de représentants de la Délégation de l’Union européenne à Nouakchott et des États membres parties à l’accord, dont la Lituanie, la Pologne, l’Espagne et la France. La rencontre illustre l’importance du partenariat stratégique entre la Mauritanie et l’Union européenne dans le domaine de la pêche maritime et la volonté commune de consolider une coopération durable fondée sur la bonne gouvernance des ressources halieutiques. Le protocole en vigueur couvre la période du 15 novembre 2021 au 14 novembre 2026 et prévoit un mécanisme de renouvellement automatique. La contribution annuelle de l’Union européenne à la Mauritanie s’élève à environ 60,8 M EUR, dont près de 3,3 M EUR par an sont consacrés au soutien du développement durable de la politique halieutique nationale. L’accord inclut également un financement sectoriel additionnel estimé à 16,5 M EUR sur la durée du protocole, destiné au renforcement de la gouvernance des pêches, notamment en matière de surveillance, de contrôle, de lutte contre la pêche illégale et d’appui scientifique. L’accord autorise les navires des États membres de l’UE à pêcher dans les eaux mauritaniennes pour plusieurs catégories, notamment les pêches pélagiques, les poissons démersaux, les thonidés et les crevettes. Le volume total annuel de captures autorisées est fixé entre 280 050 et 288 000 tonnes, selon les modalités et les types de pêcheries.</w:t>
      </w:r>
    </w:p>
    <w:p w14:paraId="59D39220" w14:textId="77777777" w:rsidR="0079668E" w:rsidRPr="002A5818" w:rsidRDefault="0079668E" w:rsidP="0079668E">
      <w:pPr>
        <w:spacing w:after="0"/>
        <w:rPr>
          <w:rFonts w:cs="Calibri"/>
          <w:szCs w:val="20"/>
        </w:rPr>
      </w:pPr>
    </w:p>
    <w:p w14:paraId="20522241" w14:textId="77777777" w:rsidR="00DE6859" w:rsidRPr="002A5818" w:rsidRDefault="00DE6859" w:rsidP="00DE6859">
      <w:pPr>
        <w:keepNext/>
        <w:keepLines/>
        <w:spacing w:after="0"/>
        <w:outlineLvl w:val="1"/>
        <w:rPr>
          <w:rFonts w:eastAsiaTheme="majorEastAsia" w:cstheme="majorBidi"/>
          <w:b/>
          <w:szCs w:val="26"/>
        </w:rPr>
      </w:pPr>
      <w:bookmarkStart w:id="240" w:name="_Toc221044258"/>
      <w:bookmarkStart w:id="241" w:name="_Hlk219392779"/>
      <w:bookmarkStart w:id="242" w:name="_Hlk219732430"/>
      <w:r w:rsidRPr="002A5818">
        <w:rPr>
          <w:rFonts w:eastAsiaTheme="majorEastAsia" w:cstheme="majorBidi"/>
          <w:b/>
          <w:szCs w:val="26"/>
        </w:rPr>
        <w:t>Pêche – Retour du « Monstre des mers » dans les eaux mauritaniennes.</w:t>
      </w:r>
      <w:bookmarkEnd w:id="240"/>
    </w:p>
    <w:bookmarkEnd w:id="241"/>
    <w:p w14:paraId="47D47A1B" w14:textId="6C3B0ED4" w:rsidR="00DE6859" w:rsidRPr="002A5818" w:rsidRDefault="0079668E" w:rsidP="009E11C8">
      <w:pPr>
        <w:spacing w:after="0"/>
      </w:pPr>
      <w:r w:rsidRPr="002A5818">
        <w:t xml:space="preserve">Alors que les premières réunions de négociations sur le renouvellement de l’accord </w:t>
      </w:r>
      <w:r w:rsidR="00E164EC" w:rsidRPr="002A5818">
        <w:t>de pêche entre l’Union et la Mauritanie se tenait en Espagne, l</w:t>
      </w:r>
      <w:r w:rsidR="00DE6859" w:rsidRPr="002A5818">
        <w:t xml:space="preserve">e navire Margiris, un méga-chalutier industriel géant lituanien surnommé localement le « Monstre des mers », </w:t>
      </w:r>
      <w:r w:rsidR="00E164EC" w:rsidRPr="002A5818">
        <w:t>était</w:t>
      </w:r>
      <w:r w:rsidR="00DE6859" w:rsidRPr="002A5818">
        <w:t xml:space="preserve"> de retour dans les eaux territoriales mauritanienne. Battant pavillon de la République de Lituanie, membre de l’Union européenne, le navire mesure environ 143 mètres de long et près de 18 mètres de large, avec un tonnage de 9 500 tonnes. Il dispose de capacités techniques lui permettant de pêcher et de traiter près de 250 tonnes de poissons par jour. Ce même navire avait suscité, lors de son passage en 2021, une vive polémique suite notamment à sa dénonciation pour son impact sur </w:t>
      </w:r>
      <w:r w:rsidR="00DE6859" w:rsidRPr="002A5818">
        <w:lastRenderedPageBreak/>
        <w:t xml:space="preserve">les stocks de poissons pélagiques et l’écosystème marin. Le navire opère cependant légalement dans le cadre de l’accord de pêche entre l’Union européenne et la Mauritanie, </w:t>
      </w:r>
      <w:bookmarkEnd w:id="242"/>
    </w:p>
    <w:p w14:paraId="072B1B15" w14:textId="1BBAA077" w:rsidR="00046E09" w:rsidRPr="002A5818" w:rsidRDefault="00046E09" w:rsidP="009E11C8">
      <w:pPr>
        <w:spacing w:after="0"/>
      </w:pPr>
    </w:p>
    <w:p w14:paraId="61AAB2AC" w14:textId="44D1FE3D" w:rsidR="00046E09" w:rsidRPr="002A5818" w:rsidRDefault="00046E09" w:rsidP="00046E09">
      <w:pPr>
        <w:keepNext/>
        <w:keepLines/>
        <w:spacing w:after="0"/>
        <w:outlineLvl w:val="1"/>
        <w:rPr>
          <w:rFonts w:eastAsiaTheme="majorEastAsia" w:cstheme="majorBidi"/>
          <w:b/>
          <w:bCs/>
          <w:szCs w:val="26"/>
        </w:rPr>
      </w:pPr>
      <w:bookmarkStart w:id="243" w:name="_Toc221044259"/>
      <w:bookmarkStart w:id="244" w:name="_Hlk220234583"/>
      <w:r w:rsidRPr="002A5818">
        <w:rPr>
          <w:b/>
          <w:bCs/>
        </w:rPr>
        <w:t>Dattes - 16 000 tonnes de production dans les oasis d’Adrar.</w:t>
      </w:r>
      <w:bookmarkEnd w:id="243"/>
    </w:p>
    <w:bookmarkEnd w:id="244"/>
    <w:p w14:paraId="23B47F2F" w14:textId="3DE65DAC" w:rsidR="00046E09" w:rsidRPr="002A5818" w:rsidRDefault="00046E09" w:rsidP="00046E09">
      <w:pPr>
        <w:spacing w:after="0"/>
      </w:pPr>
      <w:r w:rsidRPr="002A5818">
        <w:t>Le ministère de l’agriculture et de la souveraineté alimentaire a révélé que la production des oasis de palmiers à Adrar</w:t>
      </w:r>
      <w:r w:rsidR="009E627C" w:rsidRPr="002A5818">
        <w:t>,</w:t>
      </w:r>
      <w:r w:rsidRPr="002A5818">
        <w:t xml:space="preserve"> </w:t>
      </w:r>
      <w:r w:rsidR="009E627C" w:rsidRPr="002A5818">
        <w:t>qui compte environ 1,8 million de palmiers dattiers</w:t>
      </w:r>
      <w:r w:rsidR="001842BB" w:rsidRPr="002A5818">
        <w:t xml:space="preserve"> sur une superficie de </w:t>
      </w:r>
      <w:r w:rsidR="005A0DD6" w:rsidRPr="002A5818">
        <w:t>5 700 ha</w:t>
      </w:r>
      <w:r w:rsidR="009E627C" w:rsidRPr="002A5818">
        <w:t xml:space="preserve">, </w:t>
      </w:r>
      <w:r w:rsidRPr="002A5818">
        <w:t xml:space="preserve">a atteint cette saison </w:t>
      </w:r>
      <w:bookmarkStart w:id="245" w:name="_Hlk219735023"/>
      <w:r w:rsidRPr="002A5818">
        <w:t xml:space="preserve">16 000 tonnes </w:t>
      </w:r>
      <w:bookmarkEnd w:id="245"/>
      <w:r w:rsidRPr="002A5818">
        <w:t>de dattes, dont 650 tonnes provenant des surfaces réhabilitées dans le cadre du projet de développement et d’aménagement des oasis, estimées à 901 ha. Le projet a permis de réaliser 129 puits artésiens, 50 puits superficiels et 52 réservoirs d’eau, et les réseaux d’irrigation couvrent une superficie de 717 ha, en plus de la réalisation de 89 350 mètres de clôture autour des oasis. Le projet a également permis la création d’un laboratoire dédié aux maladies et aux techniques du palmier, la construction d’une usine de traitement des dattes d’une capacité de stockage et de refroidissement de 1</w:t>
      </w:r>
      <w:r w:rsidR="00277CCA" w:rsidRPr="002A5818">
        <w:t> </w:t>
      </w:r>
      <w:r w:rsidRPr="002A5818">
        <w:t>000 tonnes, ainsi que la mise en place de partenariats pour la gestion des oasis et le renforcement du rôle des agriculteurs dans le développement local.</w:t>
      </w:r>
    </w:p>
    <w:p w14:paraId="5C8A964D" w14:textId="140B1E3B" w:rsidR="002F7186" w:rsidRPr="002A5818" w:rsidRDefault="009E627C" w:rsidP="001842BB">
      <w:pPr>
        <w:spacing w:after="0"/>
      </w:pPr>
      <w:r w:rsidRPr="002A5818">
        <w:t xml:space="preserve">En termes de productions dans les oasis, la production maraîchère arrive en deuxième position, notamment pendant la saison hivernale, contribuant à l’approvisionnement des marchés locaux et nationaux, en particulier pour les carottes et les navets. La région contribue également à l’approvisionnement du marché en céréales traditionnelles, la rareté des précipitations constituant le principal défi pour ce secteur. La culture du blé et du fourrage a été expérimenté ainsi que des essais de culture de la luzerne et de cultures sous palmeraie. La </w:t>
      </w:r>
      <w:r w:rsidR="002F7186" w:rsidRPr="002A5818">
        <w:t>superficie cultivée cette saison comprend 1</w:t>
      </w:r>
      <w:r w:rsidR="001842BB" w:rsidRPr="002A5818">
        <w:t> </w:t>
      </w:r>
      <w:r w:rsidR="002F7186" w:rsidRPr="002A5818">
        <w:t>400 h</w:t>
      </w:r>
      <w:r w:rsidR="001842BB" w:rsidRPr="002A5818">
        <w:t>a</w:t>
      </w:r>
      <w:r w:rsidR="002F7186" w:rsidRPr="002A5818">
        <w:t xml:space="preserve"> de cultures pluviales</w:t>
      </w:r>
      <w:r w:rsidR="001842BB" w:rsidRPr="002A5818">
        <w:t xml:space="preserve"> (contre 2 100 la saison précédente)</w:t>
      </w:r>
      <w:r w:rsidR="002F7186" w:rsidRPr="002A5818">
        <w:t>, 230 h</w:t>
      </w:r>
      <w:r w:rsidR="001842BB" w:rsidRPr="002A5818">
        <w:t>a</w:t>
      </w:r>
      <w:r w:rsidR="002F7186" w:rsidRPr="002A5818">
        <w:t xml:space="preserve"> de légumes</w:t>
      </w:r>
      <w:r w:rsidR="001842BB" w:rsidRPr="002A5818">
        <w:t xml:space="preserve"> (contre 225 ha)</w:t>
      </w:r>
      <w:r w:rsidR="002F7186" w:rsidRPr="002A5818">
        <w:t>, 70 h</w:t>
      </w:r>
      <w:r w:rsidR="001842BB" w:rsidRPr="002A5818">
        <w:t>a</w:t>
      </w:r>
      <w:r w:rsidR="002F7186" w:rsidRPr="002A5818">
        <w:t xml:space="preserve"> de blé</w:t>
      </w:r>
      <w:r w:rsidR="001842BB" w:rsidRPr="002A5818">
        <w:t xml:space="preserve"> (contre 90 ha)</w:t>
      </w:r>
      <w:r w:rsidR="002F7186" w:rsidRPr="002A5818">
        <w:t xml:space="preserve"> et 6,5 h</w:t>
      </w:r>
      <w:r w:rsidR="001842BB" w:rsidRPr="002A5818">
        <w:t>a</w:t>
      </w:r>
      <w:r w:rsidR="002F7186" w:rsidRPr="002A5818">
        <w:t xml:space="preserve"> </w:t>
      </w:r>
      <w:r w:rsidR="001842BB" w:rsidRPr="002A5818">
        <w:t>(conte 6</w:t>
      </w:r>
      <w:r w:rsidR="00F81B74">
        <w:t> </w:t>
      </w:r>
      <w:r w:rsidR="001842BB" w:rsidRPr="002A5818">
        <w:t xml:space="preserve">ha) </w:t>
      </w:r>
      <w:r w:rsidR="002F7186" w:rsidRPr="002A5818">
        <w:t>de cultures fourragères.</w:t>
      </w:r>
      <w:r w:rsidR="001842BB" w:rsidRPr="002A5818">
        <w:t xml:space="preserve"> La saison actuelle n’a pas été suffisamment pluvieuse pour les semis dans les principales zones pluviales, ce qui a entraîné des pertes de récoltes importantes et l</w:t>
      </w:r>
      <w:r w:rsidR="002F7186" w:rsidRPr="002A5818">
        <w:t xml:space="preserve">’un des défis </w:t>
      </w:r>
      <w:r w:rsidR="001842BB" w:rsidRPr="002A5818">
        <w:t xml:space="preserve">majeurs a été </w:t>
      </w:r>
      <w:r w:rsidR="002F7186" w:rsidRPr="002A5818">
        <w:t>l’invasion de criquets pèlerins</w:t>
      </w:r>
      <w:r w:rsidR="005A0DD6" w:rsidRPr="002A5818">
        <w:t>.</w:t>
      </w:r>
    </w:p>
    <w:p w14:paraId="1F29DD1B" w14:textId="77777777" w:rsidR="008D2689" w:rsidRPr="002A5818" w:rsidRDefault="008D2689" w:rsidP="008D2689">
      <w:pPr>
        <w:keepNext/>
        <w:keepLines/>
        <w:spacing w:after="0"/>
        <w:outlineLvl w:val="1"/>
        <w:rPr>
          <w:b/>
          <w:bCs/>
        </w:rPr>
      </w:pPr>
    </w:p>
    <w:p w14:paraId="2F29B53C" w14:textId="6803BD23" w:rsidR="00675B2B" w:rsidRPr="002A5818" w:rsidRDefault="00675B2B" w:rsidP="008D2689">
      <w:pPr>
        <w:keepNext/>
        <w:keepLines/>
        <w:spacing w:after="0"/>
        <w:outlineLvl w:val="1"/>
        <w:rPr>
          <w:rFonts w:eastAsiaTheme="majorEastAsia" w:cstheme="majorBidi"/>
          <w:b/>
          <w:bCs/>
          <w:szCs w:val="26"/>
        </w:rPr>
      </w:pPr>
      <w:bookmarkStart w:id="246" w:name="_Toc221044260"/>
      <w:r w:rsidRPr="002A5818">
        <w:rPr>
          <w:b/>
          <w:bCs/>
        </w:rPr>
        <w:t>Formation – Deux accords entre la Mauritanie et le Maroc pour développer les formations en agriculture et médecine vétérinaire.</w:t>
      </w:r>
      <w:bookmarkEnd w:id="246"/>
    </w:p>
    <w:p w14:paraId="3C160A1C" w14:textId="543F44EE" w:rsidR="00675B2B" w:rsidRDefault="00675B2B" w:rsidP="00675B2B">
      <w:pPr>
        <w:spacing w:after="0"/>
      </w:pPr>
      <w:r w:rsidRPr="002A5818">
        <w:t xml:space="preserve">Les deux pays ont signé le 15 janvier deux conventions de coopération dans les domaines de </w:t>
      </w:r>
      <w:bookmarkStart w:id="247" w:name="_Hlk220234401"/>
      <w:r w:rsidRPr="002A5818">
        <w:t>l’agriculture et de la médecine vétérinaire</w:t>
      </w:r>
      <w:bookmarkEnd w:id="247"/>
      <w:r w:rsidRPr="002A5818">
        <w:t>. Le ministère mauritanien de l’enseignement supérieur et de la recherche scientifique et l’Institut Hassan II d’agriculture et de médecine vétérinaire du Maroc s’engagent à développer l’enseignement supérieur spécialisé et à former des cadres qualifiés. La première convention, soutenue par la Banque islamique de développement, prévoit la création d’une école d’ingénieurs agronomes à Kaédi et d’une école vétérinaire à Néma. Quinze doctorants constitueront le noyau enseignant, accompagnés d’un programme de formation continue pour le personnel technique et administratif. La deuxième convention cible la recherche scientifique et l’innovation. Elle établit un partenariat entre l’Institut Hassan II et l’Institut supérieur d’enseignement technologique de Rosso pour lancer des projets communs, favoriser les échanges d’expérience et développer l’enseignement à distance.</w:t>
      </w:r>
    </w:p>
    <w:p w14:paraId="1A443D9F" w14:textId="77777777" w:rsidR="00171167" w:rsidRPr="002A5818" w:rsidRDefault="00171167" w:rsidP="00675B2B">
      <w:pPr>
        <w:spacing w:after="0"/>
      </w:pPr>
    </w:p>
    <w:p w14:paraId="10042184" w14:textId="3CF955DA" w:rsidR="006D611B" w:rsidRPr="002A5818" w:rsidRDefault="006D611B" w:rsidP="006D611B">
      <w:pPr>
        <w:keepNext/>
        <w:keepLines/>
        <w:spacing w:after="0"/>
        <w:outlineLvl w:val="1"/>
        <w:rPr>
          <w:rFonts w:eastAsiaTheme="majorEastAsia" w:cstheme="majorBidi"/>
          <w:b/>
          <w:bCs/>
          <w:szCs w:val="26"/>
        </w:rPr>
      </w:pPr>
      <w:bookmarkStart w:id="248" w:name="_Toc221044261"/>
      <w:bookmarkStart w:id="249" w:name="_Hlk219735052"/>
      <w:bookmarkStart w:id="250" w:name="_Hlk220797697"/>
      <w:r w:rsidRPr="002A5818">
        <w:rPr>
          <w:b/>
          <w:bCs/>
        </w:rPr>
        <w:t>Coopération bilatérale – Résultats encourageants d’un mini-projet de la coopération allemande.</w:t>
      </w:r>
      <w:bookmarkEnd w:id="248"/>
    </w:p>
    <w:bookmarkEnd w:id="249"/>
    <w:bookmarkEnd w:id="250"/>
    <w:p w14:paraId="6C6C6A09" w14:textId="1B8E037B" w:rsidR="00CC2278" w:rsidRPr="002A5818" w:rsidRDefault="00CC2278" w:rsidP="00CC2278">
      <w:pPr>
        <w:spacing w:after="0"/>
      </w:pPr>
      <w:r w:rsidRPr="002A5818">
        <w:t>Créée en 2021 et agréée par le ministère de l’</w:t>
      </w:r>
      <w:r w:rsidR="00DA64C2" w:rsidRPr="002A5818">
        <w:t>a</w:t>
      </w:r>
      <w:r w:rsidRPr="002A5818">
        <w:t xml:space="preserve">griculture et de la </w:t>
      </w:r>
      <w:r w:rsidR="00DA64C2" w:rsidRPr="002A5818">
        <w:t>s</w:t>
      </w:r>
      <w:r w:rsidRPr="002A5818">
        <w:t xml:space="preserve">ouveraineté alimentaire, la coopérative </w:t>
      </w:r>
      <w:r w:rsidR="00DA64C2" w:rsidRPr="002A5818">
        <w:t xml:space="preserve">agricole Takhaw Nguir Yôkuté Mbaye mi, basée à Keur Mou a bénéficié d’un </w:t>
      </w:r>
      <w:r w:rsidR="00DA64C2" w:rsidRPr="002A5818">
        <w:lastRenderedPageBreak/>
        <w:t>financement de la coopération allemande e</w:t>
      </w:r>
      <w:r w:rsidRPr="002A5818">
        <w:t xml:space="preserve">n février 2025, </w:t>
      </w:r>
      <w:r w:rsidR="006D611B" w:rsidRPr="002A5818">
        <w:t xml:space="preserve">qui </w:t>
      </w:r>
      <w:r w:rsidRPr="002A5818">
        <w:t>a permis l’emblavement de 5 h</w:t>
      </w:r>
      <w:r w:rsidR="00DA64C2" w:rsidRPr="002A5818">
        <w:t>a</w:t>
      </w:r>
      <w:r w:rsidRPr="002A5818">
        <w:t xml:space="preserve"> de riz, la mise en valeur de 2 h</w:t>
      </w:r>
      <w:r w:rsidR="00DA64C2" w:rsidRPr="002A5818">
        <w:t>a</w:t>
      </w:r>
      <w:r w:rsidRPr="002A5818">
        <w:t xml:space="preserve"> de cultures maraîchères, ainsi que le lancement d’un élevage intégré à petite échelle.</w:t>
      </w:r>
      <w:r w:rsidR="00DA64C2" w:rsidRPr="002A5818">
        <w:t xml:space="preserve"> </w:t>
      </w:r>
      <w:r w:rsidR="006D611B" w:rsidRPr="002A5818">
        <w:t>Un an après, l</w:t>
      </w:r>
      <w:r w:rsidRPr="002A5818">
        <w:t xml:space="preserve">es résultats obtenus </w:t>
      </w:r>
      <w:r w:rsidR="006D611B" w:rsidRPr="002A5818">
        <w:t xml:space="preserve">sont </w:t>
      </w:r>
      <w:r w:rsidRPr="002A5818">
        <w:t>encourageants, avec des rendements conformes, voire supérieurs, aux prévisions initiales.</w:t>
      </w:r>
      <w:r w:rsidR="00DA64C2" w:rsidRPr="002A5818">
        <w:t xml:space="preserve"> </w:t>
      </w:r>
      <w:r w:rsidRPr="002A5818">
        <w:t>Au-delà des performances agricoles, ce projet a généré un impact socio-économique significatif</w:t>
      </w:r>
      <w:r w:rsidR="00DA64C2" w:rsidRPr="002A5818">
        <w:t> :</w:t>
      </w:r>
      <w:r w:rsidRPr="002A5818">
        <w:t xml:space="preserve"> amélioration notable des conditions de vie des membres de la coopérative, création de nombreux emplois directs et indirects, mise en place d’activités génératrices de revenus au profit des femmes vulnérables, et dynamisation de l’économie locale dans le village de Keur Mour et ses environs.</w:t>
      </w:r>
      <w:r w:rsidR="006D611B" w:rsidRPr="002A5818">
        <w:t xml:space="preserve"> </w:t>
      </w:r>
      <w:r w:rsidRPr="002A5818">
        <w:t>Aujourd’hui, grâce à ce premier appui, la coopérative Takhaw Nguir Yôkuté Mbaye mi s’impose comme un modèle de projet agricole intégré, combinant agriculture et élevage dans un système agroécologique innovant, respectueux de l’environnement et résilient face aux changements climatiques.</w:t>
      </w:r>
      <w:r w:rsidR="006D611B" w:rsidRPr="002A5818">
        <w:t xml:space="preserve"> </w:t>
      </w:r>
      <w:r w:rsidR="00A74674" w:rsidRPr="002A5818">
        <w:t xml:space="preserve">La coopération entre la République Islamique de Mauritanie et la République fédérale d’Allemagne remonte à peu après l’indépendance de la Mauritanie en 1960 et s’est progressivement consolidée, notamment avec l’ouverture, en 1991, d’un bureau de la </w:t>
      </w:r>
      <w:r w:rsidR="00A74674" w:rsidRPr="002A5818">
        <w:rPr>
          <w:i/>
          <w:iCs/>
        </w:rPr>
        <w:t>Deutsche Gesellschaft für Internationale Zusammenarbeit</w:t>
      </w:r>
      <w:r w:rsidR="00A74674" w:rsidRPr="002A5818">
        <w:t xml:space="preserve"> (GIZ) à Nouakchott. Aujourd’hui, la coopération allemande intervient dans plusieurs secteurs stratégiques en Mauritanie, notamment l’agriculture et l’élevage, ainsi que la sécurité alimentaire. A travers ses différents instruments, elle soutient activement les coopératives agricoles villageoises, l’entrepreneuriat rural, la création d’emplois durables pour les jeunes et les femmes, ainsi que la lutte contre l’exode rural et l’émigration irrégulière</w:t>
      </w:r>
      <w:r w:rsidR="006D611B" w:rsidRPr="002A5818">
        <w:t>.</w:t>
      </w:r>
    </w:p>
    <w:p w14:paraId="537840B1" w14:textId="32166E7E" w:rsidR="00277CCA" w:rsidRPr="002A5818" w:rsidRDefault="00277CCA" w:rsidP="00277CCA">
      <w:pPr>
        <w:spacing w:after="0"/>
      </w:pPr>
    </w:p>
    <w:p w14:paraId="4BF64951" w14:textId="144DF1DE" w:rsidR="00277CCA" w:rsidRPr="002A5818" w:rsidRDefault="00277CCA" w:rsidP="00A35389">
      <w:pPr>
        <w:keepNext/>
        <w:keepLines/>
        <w:spacing w:after="0"/>
        <w:outlineLvl w:val="1"/>
        <w:rPr>
          <w:rFonts w:eastAsiaTheme="majorEastAsia" w:cstheme="majorBidi"/>
          <w:b/>
          <w:bCs/>
          <w:szCs w:val="26"/>
        </w:rPr>
      </w:pPr>
      <w:bookmarkStart w:id="251" w:name="_Toc221044262"/>
      <w:r w:rsidRPr="002A5818">
        <w:rPr>
          <w:b/>
          <w:bCs/>
        </w:rPr>
        <w:t>Evènement - Nouakchott va accueillir la conférence régionale de l’Organisation des Nations unies (FAO) pour l’alimentation et l’agriculture du 13 au 17 avril.</w:t>
      </w:r>
      <w:bookmarkEnd w:id="251"/>
    </w:p>
    <w:p w14:paraId="703079F5" w14:textId="64B2C1BD" w:rsidR="00277CCA" w:rsidRDefault="00277CCA" w:rsidP="00277CCA">
      <w:pPr>
        <w:spacing w:after="0"/>
      </w:pPr>
      <w:r w:rsidRPr="002A5818">
        <w:t>Le ministère de l’agriculture et de la souveraineté alimentaire a annoncé que Nouakchott accueillera la 34</w:t>
      </w:r>
      <w:r w:rsidRPr="002A5818">
        <w:rPr>
          <w:vertAlign w:val="superscript"/>
        </w:rPr>
        <w:t>ème</w:t>
      </w:r>
      <w:r w:rsidRPr="002A5818">
        <w:t xml:space="preserve"> session de la Conférence régionale </w:t>
      </w:r>
      <w:bookmarkStart w:id="252" w:name="_Hlk220797445"/>
      <w:r w:rsidRPr="002A5818">
        <w:t xml:space="preserve">de la FAO du 13 au 17 avril </w:t>
      </w:r>
      <w:bookmarkEnd w:id="252"/>
      <w:r w:rsidRPr="002A5818">
        <w:t xml:space="preserve">prochain, avec la participation de ministres et de hauts responsables gouvernementaux de différents pays africains. </w:t>
      </w:r>
      <w:r w:rsidR="00A35389" w:rsidRPr="002A5818">
        <w:t xml:space="preserve">La Conférence régionale de la FAO pour l’Afrique, la plus haute instance dirigeante de l’Organisation au niveau régional, se tient tous les deux ans, dans un contexte où le continent est confronté à des défis croissants. </w:t>
      </w:r>
      <w:r w:rsidRPr="002A5818">
        <w:t>Dans un communiqué, le ministère a déclaré que la conférence réunira des responsables chargés des dossiers relatifs à la transformation des systèmes agricoles et alimentaires, issus des secteurs des finances, du commerce, de l’agriculture, de la pêche, de l’élevage, de l’environnement, des sciences et des technologies, ainsi que des représentants du secteur privé, des organisations de la société civile, des organisations de jeunesse, des partenaires de développement et des observateurs.</w:t>
      </w:r>
      <w:r w:rsidR="00A35389" w:rsidRPr="002A5818">
        <w:t xml:space="preserve"> </w:t>
      </w:r>
      <w:r w:rsidRPr="002A5818">
        <w:t>Le ministère a ajouté que la conférence s’étendra sur cinq jours et constituera une plateforme régionale pour échanger des expériences, établir des partenariats et discuter de solutions innovantes et pratiques visant à accélérer la transformation des systèmes agricoles et alimentaires sur le continent africain et à renforcer leur résilience face aux défis croissants.</w:t>
      </w:r>
    </w:p>
    <w:p w14:paraId="5BBDC0A9" w14:textId="77777777" w:rsidR="004D5211" w:rsidRDefault="004D5211" w:rsidP="00277CCA">
      <w:pPr>
        <w:spacing w:after="0"/>
      </w:pPr>
    </w:p>
    <w:p w14:paraId="32069E9E" w14:textId="64589EF0" w:rsidR="0096584E" w:rsidRPr="0065440C" w:rsidRDefault="0096584E" w:rsidP="0096584E">
      <w:pPr>
        <w:spacing w:after="0"/>
        <w:rPr>
          <w:b/>
          <w:bCs/>
        </w:rPr>
      </w:pPr>
      <w:r w:rsidRPr="0065440C">
        <w:rPr>
          <w:b/>
          <w:bCs/>
        </w:rPr>
        <w:t>Evènement – Rencontres Mauritanie - France de l'agriculture, de l'élevage et de l'industrie agro-alimentaire.</w:t>
      </w:r>
    </w:p>
    <w:p w14:paraId="06EEEE41" w14:textId="47EE4EDA" w:rsidR="0096584E" w:rsidRDefault="0065440C" w:rsidP="0096584E">
      <w:pPr>
        <w:spacing w:after="0"/>
      </w:pPr>
      <w:r>
        <w:t>L</w:t>
      </w:r>
      <w:r w:rsidR="0096584E">
        <w:t xml:space="preserve">’ambassadeur de France </w:t>
      </w:r>
      <w:r>
        <w:t xml:space="preserve">en Mauritanie, M. </w:t>
      </w:r>
      <w:r w:rsidRPr="0065440C">
        <w:t>Emmanuel BESNIER</w:t>
      </w:r>
      <w:r>
        <w:t xml:space="preserve">, a </w:t>
      </w:r>
      <w:r w:rsidR="0096584E">
        <w:t xml:space="preserve">ouvert le 26 janvier les </w:t>
      </w:r>
      <w:bookmarkStart w:id="253" w:name="_Hlk220950049"/>
      <w:r w:rsidR="0096584E">
        <w:t>rencontres Mauritanie-France de l'agriculture, de l'élevage et de l'industrie agro-alimentaire.</w:t>
      </w:r>
      <w:bookmarkEnd w:id="253"/>
      <w:r w:rsidR="0096584E">
        <w:t xml:space="preserve"> </w:t>
      </w:r>
      <w:r w:rsidR="008D36F3">
        <w:t>C</w:t>
      </w:r>
      <w:r w:rsidR="0096584E">
        <w:t>e</w:t>
      </w:r>
      <w:r>
        <w:t>s</w:t>
      </w:r>
      <w:r w:rsidR="0096584E">
        <w:t xml:space="preserve"> </w:t>
      </w:r>
      <w:r>
        <w:t>rencontres</w:t>
      </w:r>
      <w:r w:rsidR="0096584E">
        <w:t xml:space="preserve"> étai</w:t>
      </w:r>
      <w:r>
        <w:t>en</w:t>
      </w:r>
      <w:r w:rsidR="0096584E">
        <w:t>t organisé</w:t>
      </w:r>
      <w:r>
        <w:t>es</w:t>
      </w:r>
      <w:r w:rsidR="0096584E">
        <w:t xml:space="preserve"> par l'association </w:t>
      </w:r>
      <w:r>
        <w:t xml:space="preserve">française </w:t>
      </w:r>
      <w:r w:rsidR="0096584E">
        <w:t xml:space="preserve">ALFA </w:t>
      </w:r>
      <w:r w:rsidRPr="0065440C">
        <w:t xml:space="preserve">menée par </w:t>
      </w:r>
      <w:r>
        <w:t xml:space="preserve">M. </w:t>
      </w:r>
      <w:r w:rsidRPr="0065440C">
        <w:t>Karim Ait Talb</w:t>
      </w:r>
      <w:r>
        <w:t>,</w:t>
      </w:r>
      <w:r w:rsidRPr="0065440C">
        <w:t xml:space="preserve"> </w:t>
      </w:r>
      <w:r w:rsidR="0096584E">
        <w:t xml:space="preserve">avec l'aide de l'Agence de Promotion des Investissements en Mauritanie (APIM), de la Mauritanienne des Produits d'Elevage (MPE) de la Société nationale pour le développement </w:t>
      </w:r>
      <w:r w:rsidR="0096584E">
        <w:lastRenderedPageBreak/>
        <w:t xml:space="preserve">rural (SONADER). </w:t>
      </w:r>
      <w:r w:rsidR="008D36F3">
        <w:t xml:space="preserve">Elles </w:t>
      </w:r>
      <w:r w:rsidR="0096584E" w:rsidRPr="0096584E">
        <w:t>se sont déroulées sur deux jours</w:t>
      </w:r>
      <w:r w:rsidR="008D36F3">
        <w:t xml:space="preserve"> et</w:t>
      </w:r>
      <w:r w:rsidR="0096584E" w:rsidRPr="0096584E">
        <w:t xml:space="preserve"> ont réuni plusieurs investisseurs français</w:t>
      </w:r>
      <w:r w:rsidR="0096584E">
        <w:t xml:space="preserve"> et mauritaniens</w:t>
      </w:r>
      <w:r w:rsidR="0096584E" w:rsidRPr="0096584E">
        <w:t>, dans le but d’examiner et de renforcer le</w:t>
      </w:r>
      <w:r w:rsidR="008D36F3">
        <w:t>s</w:t>
      </w:r>
      <w:r w:rsidR="0096584E" w:rsidRPr="0096584E">
        <w:t xml:space="preserve"> partenariat</w:t>
      </w:r>
      <w:r w:rsidR="008D36F3">
        <w:t>s</w:t>
      </w:r>
      <w:r w:rsidR="0096584E" w:rsidRPr="0096584E">
        <w:t xml:space="preserve"> dans les domaines de l’agriculture, de l’élevage et des industries agroalimentaires, à la lumière des potentialités </w:t>
      </w:r>
      <w:r>
        <w:t xml:space="preserve">offertes par </w:t>
      </w:r>
      <w:r w:rsidR="0096584E" w:rsidRPr="0096584E">
        <w:t xml:space="preserve">la Mauritanie dans ces secteurs. </w:t>
      </w:r>
      <w:r>
        <w:t xml:space="preserve">Ces rencontres ont ainsi </w:t>
      </w:r>
      <w:r w:rsidR="0096584E">
        <w:t>permis d'aborder la mise sur pied de la chaîne de valeur élevage-viande-lait ainsi que le projet d'aménagement de 8 000 ha au nord du fleuve Sénégal mené par la SONADER autour de plusieurs agropoles.</w:t>
      </w:r>
    </w:p>
    <w:p w14:paraId="6DC8367F" w14:textId="77777777" w:rsidR="00AB7916" w:rsidRPr="002A5818" w:rsidRDefault="00AB7916" w:rsidP="001C1865">
      <w:pPr>
        <w:spacing w:after="0"/>
      </w:pPr>
    </w:p>
    <w:p w14:paraId="7558B6F5" w14:textId="08F5C836" w:rsidR="009D0F96" w:rsidRPr="002A5818" w:rsidRDefault="009D0F96" w:rsidP="001C1865">
      <w:pPr>
        <w:pStyle w:val="Titre1"/>
        <w:spacing w:before="0"/>
      </w:pPr>
      <w:bookmarkStart w:id="254" w:name="_Toc207812066"/>
      <w:bookmarkStart w:id="255" w:name="_Toc207812934"/>
      <w:bookmarkStart w:id="256" w:name="_Toc207813096"/>
      <w:bookmarkStart w:id="257" w:name="_Toc221044263"/>
      <w:r w:rsidRPr="002A5818">
        <w:t>Togo</w:t>
      </w:r>
      <w:bookmarkEnd w:id="254"/>
      <w:bookmarkEnd w:id="255"/>
      <w:bookmarkEnd w:id="256"/>
      <w:bookmarkEnd w:id="257"/>
    </w:p>
    <w:p w14:paraId="4322BB4F" w14:textId="77777777" w:rsidR="00A551ED" w:rsidRPr="002A5818" w:rsidRDefault="00A551ED" w:rsidP="00A551ED">
      <w:pPr>
        <w:keepNext/>
        <w:keepLines/>
        <w:spacing w:after="0"/>
        <w:outlineLvl w:val="1"/>
        <w:rPr>
          <w:rFonts w:eastAsiaTheme="majorEastAsia" w:cstheme="majorBidi"/>
          <w:b/>
          <w:bCs/>
          <w:szCs w:val="26"/>
        </w:rPr>
      </w:pPr>
      <w:bookmarkStart w:id="258" w:name="_Toc221044264"/>
      <w:bookmarkStart w:id="259" w:name="_Hlk219393208"/>
      <w:bookmarkStart w:id="260" w:name="_Hlk219393436"/>
      <w:r w:rsidRPr="002A5818">
        <w:rPr>
          <w:b/>
          <w:bCs/>
        </w:rPr>
        <w:t>Politique agricole – Développement de zones d’aménagement agricoles planifiées (ZAAP) d’excellence.</w:t>
      </w:r>
      <w:bookmarkEnd w:id="258"/>
    </w:p>
    <w:p w14:paraId="26789EF1" w14:textId="03465924" w:rsidR="00A551ED" w:rsidRPr="002A5818" w:rsidRDefault="00A551ED" w:rsidP="00A551ED">
      <w:pPr>
        <w:spacing w:after="0"/>
      </w:pPr>
      <w:r w:rsidRPr="002A5818">
        <w:t xml:space="preserve">Pour stimuler l’innovation, renforcer la compétitivité du secteur agricole, créer des emplois et développer des chaînes de valeur durables, le gouvernement a fait le choix de </w:t>
      </w:r>
      <w:bookmarkStart w:id="261" w:name="_Hlk219741723"/>
      <w:r w:rsidRPr="002A5818">
        <w:t>développer des ZAAP d’excellence</w:t>
      </w:r>
      <w:bookmarkEnd w:id="261"/>
      <w:r w:rsidRPr="002A5818">
        <w:t>. Conçues comme des zones pilotes, les ZAAP d’excellence ont pour vocation de transformer en profondeur les pratiques agricoles. Elles visent à structurer des pôles de production performants et à servir de modèles en matière de bonnes pratiques agricoles, de gestion, de mécanisation et d’organisation coopérative. La dynamique engagée ces dernières années illustre l’importance accordée à ce programme. De 2023 à 2025, le nombre de ZAAP d’excellence est passé de 19 à 99, traduisant une montée en puissance rapide et volontariste. Cette expansion témoigne de la volonté des autorités de couvrir un plus grand nombre de bassins de production et d’offrir aux producteurs un cadre structuré et adapté à leurs besoins. Pour l’année 2026, les interventions seront désormais concentrées sur les 99</w:t>
      </w:r>
      <w:r w:rsidR="007355CA">
        <w:t> </w:t>
      </w:r>
      <w:r w:rsidRPr="002A5818">
        <w:t>ZAAP d’excellence existantes. L’objectif est de consolider les acquis, garantir une meilleure appropriation des principes de fonctionnement par les producteurs et assurer une mise en valeur plus efficace des investissements déjà réalisés. Il s’agit moins de créer de nouveaux sites que de renforcer la performance et la durabilité de ceux qui sont en place. Dans cette optique, le ministère de l’Agriculture précise qu’un total de 28 sites est déjà programmé pour cette année. Parmi eux figurent 25 sites d’aménagement simple (ZAAP) et 3 sites d’aménagement hydro-agricoles, qui permettront de sécuriser la production grâce à une meilleure maîtrise de l’eau. A terme, les ZAAP d’excellence ambitionnent de devenir de véritables moteurs de développement rural, capables de générer des emplois, d’augmenter les revenus des producteurs et de contribuer durablement à la sécurité alimentaire.</w:t>
      </w:r>
    </w:p>
    <w:p w14:paraId="225B4E6F" w14:textId="619B696D" w:rsidR="00A551ED" w:rsidRPr="002A5818" w:rsidRDefault="00A551ED" w:rsidP="004C4CBC">
      <w:pPr>
        <w:keepNext/>
        <w:keepLines/>
        <w:spacing w:after="0"/>
        <w:outlineLvl w:val="1"/>
        <w:rPr>
          <w:b/>
          <w:bCs/>
        </w:rPr>
      </w:pPr>
    </w:p>
    <w:p w14:paraId="362198C8" w14:textId="5CF4472C" w:rsidR="004C4CBC" w:rsidRPr="002A5818" w:rsidRDefault="004C4CBC" w:rsidP="004C4CBC">
      <w:pPr>
        <w:keepNext/>
        <w:keepLines/>
        <w:spacing w:after="0"/>
        <w:outlineLvl w:val="1"/>
        <w:rPr>
          <w:rFonts w:eastAsiaTheme="majorEastAsia" w:cstheme="majorBidi"/>
          <w:b/>
          <w:bCs/>
          <w:szCs w:val="26"/>
        </w:rPr>
      </w:pPr>
      <w:bookmarkStart w:id="262" w:name="_Toc221044265"/>
      <w:r w:rsidRPr="002A5818">
        <w:rPr>
          <w:b/>
          <w:bCs/>
        </w:rPr>
        <w:t>Sécurité alimentaire – Résultats probants du Programme de résilience du système alimentaire en Afrique de l'Ouest (FSRP-Togo).</w:t>
      </w:r>
      <w:bookmarkEnd w:id="262"/>
    </w:p>
    <w:p w14:paraId="41EF0FD1" w14:textId="67CDD63B" w:rsidR="004C4CBC" w:rsidRPr="002A5818" w:rsidRDefault="004C4CBC" w:rsidP="004C4CBC">
      <w:pPr>
        <w:spacing w:after="0"/>
      </w:pPr>
      <w:r w:rsidRPr="002A5818">
        <w:t xml:space="preserve">Trois ans après son lancement, le </w:t>
      </w:r>
      <w:bookmarkStart w:id="263" w:name="_Hlk219741461"/>
      <w:r w:rsidRPr="002A5818">
        <w:t>FSRP-Togo</w:t>
      </w:r>
      <w:bookmarkEnd w:id="263"/>
      <w:r w:rsidRPr="002A5818">
        <w:t>, financé à hauteur de 50 Md FCFA par la Banque mondiale, et qui vise à accroître durablement la productivité agricole et renforcer la résilience du système alimentaire togolais face aux défis climatiques, affiche des résultats probants. Dans la filière sorgho, les rendements atteignent désormais 5 tonnes/ha, contre seulement 1 tonne avec les variétés locales. La variété de semence d’arachide IS1 permet quant à elle d'obtenir 2</w:t>
      </w:r>
      <w:r w:rsidR="007355CA">
        <w:t> </w:t>
      </w:r>
      <w:r w:rsidRPr="002A5818">
        <w:t xml:space="preserve">tonnes/ha, soit quatre fois plus qu'auparavant. Ces améliorations contribuent à une hausse des revenus des producteurs, entraînant des changements positifs significatifs dans leurs conditions de vie. Cette réussite repose sur plusieurs leviers. Deux parcs satellites ont été installés dans les régions de la Kara et des Savanes. Des tests en milieu paysan ont été menés sur deux campagnes agricoles (2023-2024) dans les six régions du pays, portant sur le riz, le </w:t>
      </w:r>
      <w:r w:rsidRPr="002A5818">
        <w:lastRenderedPageBreak/>
        <w:t>maïs, le sorgho et les légumineuses. Plus de 900 producteurs ont eu un accès direct aux essais, favorisant l'appropriation des technologies agricoles. Par ailleurs, 244 producteurs leaders et 150 conseillers ont été formés à l'utilisation de la plateforme digitale FeSeRWAM pour optimiser le choix variétal et la gestion des engrais.</w:t>
      </w:r>
    </w:p>
    <w:p w14:paraId="435241B6" w14:textId="77777777" w:rsidR="0009104F" w:rsidRPr="002A5818" w:rsidRDefault="0009104F" w:rsidP="004C4CBC">
      <w:pPr>
        <w:spacing w:after="0"/>
      </w:pPr>
    </w:p>
    <w:p w14:paraId="75211EE3" w14:textId="1192577B" w:rsidR="00CC4677" w:rsidRPr="002A5818" w:rsidRDefault="00516FAC" w:rsidP="0009104F">
      <w:pPr>
        <w:keepNext/>
        <w:keepLines/>
        <w:spacing w:after="0"/>
        <w:outlineLvl w:val="1"/>
        <w:rPr>
          <w:rFonts w:eastAsiaTheme="majorEastAsia" w:cstheme="majorBidi"/>
          <w:b/>
          <w:bCs/>
          <w:szCs w:val="26"/>
        </w:rPr>
      </w:pPr>
      <w:bookmarkStart w:id="264" w:name="_Toc221044266"/>
      <w:r w:rsidRPr="002A5818">
        <w:rPr>
          <w:b/>
          <w:bCs/>
        </w:rPr>
        <w:t xml:space="preserve">Cacao - </w:t>
      </w:r>
      <w:r w:rsidR="00CC4677" w:rsidRPr="002A5818">
        <w:rPr>
          <w:b/>
          <w:bCs/>
        </w:rPr>
        <w:t>Face à la baisse des cours les acteurs se mobilisent</w:t>
      </w:r>
      <w:r w:rsidRPr="002A5818">
        <w:rPr>
          <w:b/>
          <w:bCs/>
        </w:rPr>
        <w:t>.</w:t>
      </w:r>
      <w:bookmarkEnd w:id="264"/>
    </w:p>
    <w:p w14:paraId="249FDF03" w14:textId="3EC1477D" w:rsidR="00CC4677" w:rsidRPr="002A5818" w:rsidRDefault="00CC4677" w:rsidP="00CC4677">
      <w:pPr>
        <w:spacing w:after="0"/>
      </w:pPr>
      <w:r w:rsidRPr="002A5818">
        <w:t xml:space="preserve">La chute brutale des prix du café et du cacao sur le marché international pèse sur l’économie togolaise, ces deux </w:t>
      </w:r>
      <w:r w:rsidR="00516FAC" w:rsidRPr="002A5818">
        <w:t>produc</w:t>
      </w:r>
      <w:r w:rsidRPr="002A5818">
        <w:t xml:space="preserve">tions constituant des produits </w:t>
      </w:r>
      <w:r w:rsidR="00516FAC" w:rsidRPr="002A5818">
        <w:t xml:space="preserve">importants </w:t>
      </w:r>
      <w:r w:rsidRPr="002A5818">
        <w:t>d’exportation du pays. Cette situation défavorable a entraîné l’accumulation d’environ 1</w:t>
      </w:r>
      <w:r w:rsidR="00516FAC" w:rsidRPr="002A5818">
        <w:t xml:space="preserve"> </w:t>
      </w:r>
      <w:r w:rsidRPr="002A5818">
        <w:t>500 tonnes de stocks invendus, selon le Comité de coordination pour les filières café et cacao (CCFCC).</w:t>
      </w:r>
      <w:r w:rsidR="00516FAC" w:rsidRPr="002A5818">
        <w:t xml:space="preserve"> </w:t>
      </w:r>
      <w:r w:rsidRPr="002A5818">
        <w:t>Face à cette situation, le CCFCC a organisé</w:t>
      </w:r>
      <w:r w:rsidR="00516FAC" w:rsidRPr="002A5818">
        <w:t xml:space="preserve"> le </w:t>
      </w:r>
      <w:r w:rsidRPr="002A5818">
        <w:t>28 janvier, une rencontre réunissant producteurs, acheteurs, exportateurs et transformateurs, afin d’identifier les causes profondes de la crise et de dégager des pistes de solutions. Selon les acteurs présents, l’accumulation des stocks non écoulés s’explique principalement par l’effondrement soudain des prix, qui a paralysé les transactions commerciales. En effet, en l’espace de quelques mois, les prix ont fortement reculé, passant de 5</w:t>
      </w:r>
      <w:r w:rsidR="00516FAC" w:rsidRPr="002A5818">
        <w:t xml:space="preserve"> </w:t>
      </w:r>
      <w:r w:rsidRPr="002A5818">
        <w:t>525 FCFA le kg du cacao à 2</w:t>
      </w:r>
      <w:r w:rsidR="00516FAC" w:rsidRPr="002A5818">
        <w:t xml:space="preserve"> </w:t>
      </w:r>
      <w:r w:rsidRPr="002A5818">
        <w:t>240 FCFA aujourd’hui. Une baisse qui laisse de nombreux opérateurs avec d’importants volumes de café et de cacao invendus.</w:t>
      </w:r>
      <w:r w:rsidR="00516FAC" w:rsidRPr="002A5818">
        <w:t xml:space="preserve"> </w:t>
      </w:r>
      <w:r w:rsidRPr="002A5818">
        <w:t>Selon les statistiques du CCFCC, au 28 janvier, plus de 10 000 tonnes de fèves de cacao avaient déjà été exportées</w:t>
      </w:r>
      <w:r w:rsidR="0009104F" w:rsidRPr="002A5818">
        <w:t xml:space="preserve"> en 2025</w:t>
      </w:r>
      <w:r w:rsidRPr="002A5818">
        <w:t xml:space="preserve"> par le Togo. À la même date en 2026, les exportations plafonnent à environ 5</w:t>
      </w:r>
      <w:r w:rsidR="0009104F" w:rsidRPr="002A5818">
        <w:t xml:space="preserve"> </w:t>
      </w:r>
      <w:r w:rsidRPr="002A5818">
        <w:t>000 tonnes. Pour sortir de l’impasse, le Comité appelle l’ensemble des maillons de la chaîne de valeur à consentir des efforts à court terme</w:t>
      </w:r>
      <w:r w:rsidR="0009104F" w:rsidRPr="002A5818">
        <w:t xml:space="preserve"> en </w:t>
      </w:r>
      <w:r w:rsidRPr="002A5818">
        <w:t>accept</w:t>
      </w:r>
      <w:r w:rsidR="0009104F" w:rsidRPr="002A5818">
        <w:t>ant</w:t>
      </w:r>
      <w:r w:rsidRPr="002A5818">
        <w:t xml:space="preserve"> de perdre un peu afin de libérer les stocks existants et redonner de la fluidité au marché. Cette approche concertée devrait permettre une reprise progressive des échanges et une stabilisation du secteur</w:t>
      </w:r>
      <w:r w:rsidR="0009104F" w:rsidRPr="002A5818">
        <w:t xml:space="preserve"> selon le CCFCC.</w:t>
      </w:r>
    </w:p>
    <w:p w14:paraId="6B4925F5" w14:textId="77777777" w:rsidR="0009104F" w:rsidRPr="002A5818" w:rsidRDefault="0009104F" w:rsidP="00CC4677">
      <w:pPr>
        <w:spacing w:after="0"/>
      </w:pPr>
    </w:p>
    <w:p w14:paraId="6EE4E44E" w14:textId="168E5ABC" w:rsidR="00BD405A" w:rsidRPr="002A5818" w:rsidRDefault="00BD405A" w:rsidP="00BD405A">
      <w:pPr>
        <w:keepNext/>
        <w:keepLines/>
        <w:spacing w:after="0"/>
        <w:outlineLvl w:val="1"/>
        <w:rPr>
          <w:rFonts w:eastAsiaTheme="majorEastAsia" w:cstheme="majorBidi"/>
          <w:b/>
          <w:szCs w:val="26"/>
        </w:rPr>
      </w:pPr>
      <w:bookmarkStart w:id="265" w:name="_Toc221044267"/>
      <w:bookmarkStart w:id="266" w:name="_Hlk219741819"/>
      <w:r w:rsidRPr="002A5818">
        <w:rPr>
          <w:rFonts w:eastAsiaTheme="majorEastAsia" w:cstheme="majorBidi"/>
          <w:b/>
          <w:szCs w:val="26"/>
        </w:rPr>
        <w:t>Forêt - Création d'un centre national de semences forestières.</w:t>
      </w:r>
      <w:bookmarkEnd w:id="265"/>
    </w:p>
    <w:bookmarkEnd w:id="259"/>
    <w:bookmarkEnd w:id="266"/>
    <w:p w14:paraId="5E17643E" w14:textId="77777777" w:rsidR="00BD405A" w:rsidRPr="002A5818" w:rsidRDefault="00BD405A" w:rsidP="00BD405A">
      <w:pPr>
        <w:spacing w:after="0"/>
      </w:pPr>
      <w:r w:rsidRPr="002A5818">
        <w:t>Face au défi de reconstituer le couvert forestier, le Togo veut mieux gérer ses semences forestières en lançant le Centre national de semences forestières (CNSF), une structure appelée à jouer un rôle central dans la politique de reboisement du pays. Pour le ministre de l'Environnement, Komla Dodzi Kokoroko, le CNSF a pour objet de contribuer au développement forestier national par la mise à disposition de matériel végétal de bonne qualité physiologique, génétique et sanitaire, adapté aux différentes zones agroécologiques du pays. Le CNSF aura comme première mission de prospecter l'aire naturelle de répartition des espèces forestières ligneuses, en vue d'identifier les peuplements naturels à graines. Le centre sera également chargé d'identifier les espèces exotiques d'intérêt introduites ou à introduire au Togo, en vue de disposer d'un matériel végétal de qualité adapté aux conditions locales. Le Togo, comme de nombreux pays de la sous-région, fait face à une déforestation préoccupante. Les forêts reculent sous la pression de l'agriculture, de l'exploitation du bois de feu et de l'urbanisation. La reconstitution du couvert végétal est devenue une urgence pour lutter contre l'érosion des sols, préserver la biodiversité et atténuer les effets du changement climatique.</w:t>
      </w:r>
    </w:p>
    <w:p w14:paraId="426D8B8B" w14:textId="77777777" w:rsidR="00BD405A" w:rsidRPr="002A5818" w:rsidRDefault="00BD405A" w:rsidP="00BD405A">
      <w:pPr>
        <w:spacing w:after="0"/>
      </w:pPr>
    </w:p>
    <w:p w14:paraId="7F8F3859" w14:textId="77777777" w:rsidR="00BD405A" w:rsidRPr="002A5818" w:rsidRDefault="00BD405A" w:rsidP="00BD405A">
      <w:pPr>
        <w:keepNext/>
        <w:keepLines/>
        <w:spacing w:after="0"/>
        <w:outlineLvl w:val="1"/>
        <w:rPr>
          <w:rFonts w:eastAsiaTheme="majorEastAsia" w:cstheme="majorBidi"/>
          <w:b/>
          <w:szCs w:val="26"/>
        </w:rPr>
      </w:pPr>
      <w:bookmarkStart w:id="267" w:name="_Toc221044268"/>
      <w:bookmarkStart w:id="268" w:name="_Hlk219741488"/>
      <w:r w:rsidRPr="002A5818">
        <w:rPr>
          <w:rFonts w:eastAsiaTheme="majorEastAsia" w:cstheme="majorBidi"/>
          <w:b/>
          <w:szCs w:val="26"/>
        </w:rPr>
        <w:t>Santé vétérinaire - L’Organisation des Nations Unies pour l’alimentation et l’agriculture (FAO) renforce les capacités des laboratoires vétérinaires.</w:t>
      </w:r>
      <w:bookmarkEnd w:id="267"/>
    </w:p>
    <w:bookmarkEnd w:id="260"/>
    <w:bookmarkEnd w:id="268"/>
    <w:p w14:paraId="34719AE7" w14:textId="1BA39B29" w:rsidR="00BD405A" w:rsidRPr="002A5818" w:rsidRDefault="00BD405A" w:rsidP="00BD405A">
      <w:pPr>
        <w:spacing w:after="0"/>
      </w:pPr>
      <w:r w:rsidRPr="002A5818">
        <w:t xml:space="preserve">Dans le cadre du </w:t>
      </w:r>
      <w:r w:rsidRPr="002A5818">
        <w:rPr>
          <w:i/>
          <w:iCs/>
        </w:rPr>
        <w:t>Pandemic Fund</w:t>
      </w:r>
      <w:r w:rsidRPr="002A5818">
        <w:t xml:space="preserve">, </w:t>
      </w:r>
      <w:bookmarkStart w:id="269" w:name="_Hlk219393121"/>
      <w:r w:rsidRPr="002A5818">
        <w:t>la FAO</w:t>
      </w:r>
      <w:bookmarkEnd w:id="269"/>
      <w:r w:rsidRPr="002A5818">
        <w:t xml:space="preserve"> a fourni au début du mois des équipements à hauteur de 150 M FCFA destinés à renforcer les laboratoires vétérinaires afin d’améliorer la riposte face aux urgences sanitaires. Cet appui doit permettre aux laboratoires et à l’Institut national d’hygiène de renforcer leurs capacités à diagnostiquer, surveiller et contrôler les maladies </w:t>
      </w:r>
      <w:r w:rsidRPr="002A5818">
        <w:lastRenderedPageBreak/>
        <w:t xml:space="preserve">animales. Le </w:t>
      </w:r>
      <w:r w:rsidRPr="002A5818">
        <w:rPr>
          <w:i/>
          <w:iCs/>
        </w:rPr>
        <w:t>Pandemic Fund</w:t>
      </w:r>
      <w:r w:rsidRPr="002A5818">
        <w:t xml:space="preserve"> est un mécanisme financier mondial créé pour aider les pays à mieux prévenir, détecter et répondre aux pandémies et aux urgences sanitaires. Lancé en 2022 sous l’impulsion du G20 et hébergé par la Banque mondiale, le </w:t>
      </w:r>
      <w:r w:rsidRPr="002A5818">
        <w:rPr>
          <w:i/>
          <w:iCs/>
        </w:rPr>
        <w:t>Pandemic Fund</w:t>
      </w:r>
      <w:r w:rsidRPr="002A5818">
        <w:t xml:space="preserve"> vise à combler les insuffisances de financement dans la préparation aux pandémies, mises en évidence par la crise de la Covid-19.</w:t>
      </w:r>
    </w:p>
    <w:p w14:paraId="03716004" w14:textId="77777777" w:rsidR="003A56BB" w:rsidRPr="002A5818" w:rsidRDefault="003A56BB" w:rsidP="003A56BB">
      <w:pPr>
        <w:keepNext/>
        <w:keepLines/>
        <w:spacing w:after="0"/>
        <w:outlineLvl w:val="1"/>
        <w:rPr>
          <w:b/>
          <w:bCs/>
        </w:rPr>
      </w:pPr>
    </w:p>
    <w:p w14:paraId="39C695B9" w14:textId="6FC3613B" w:rsidR="003A56BB" w:rsidRPr="002A5818" w:rsidRDefault="003A56BB" w:rsidP="003A56BB">
      <w:pPr>
        <w:keepNext/>
        <w:keepLines/>
        <w:spacing w:after="0"/>
        <w:outlineLvl w:val="1"/>
        <w:rPr>
          <w:rFonts w:eastAsiaTheme="majorEastAsia" w:cstheme="majorBidi"/>
          <w:b/>
          <w:bCs/>
          <w:szCs w:val="26"/>
        </w:rPr>
      </w:pPr>
      <w:bookmarkStart w:id="270" w:name="_Toc221044269"/>
      <w:r w:rsidRPr="002A5818">
        <w:rPr>
          <w:b/>
          <w:bCs/>
        </w:rPr>
        <w:t>Mécanisation - Un centre régional de formation bientôt opérationnel.</w:t>
      </w:r>
      <w:bookmarkEnd w:id="270"/>
    </w:p>
    <w:p w14:paraId="41D4DE34" w14:textId="08685985" w:rsidR="003A56BB" w:rsidRPr="002A5818" w:rsidRDefault="003A56BB" w:rsidP="003A56BB">
      <w:pPr>
        <w:spacing w:after="0"/>
      </w:pPr>
      <w:r w:rsidRPr="002A5818">
        <w:t xml:space="preserve">Lancés en avril 2023 après le premier forum national des producteurs agricoles (FOPAT), les travaux de construction du Centre régional de mécanisation agricole (CRMA) de Tchitchao sont presque arrivés à terme. En tournée d’évaluation des projets socio-économiques gouvernementaux le 26 janvier dans la région, le Président du Conseil, M. Faure Essozimna Gnassingbé a effectué une visite de terrain sur le site. Implanté sur une surface de 3 ha, le Centre dispose déjà d’un ensemble d’infrastructures achevés comme l’atelier mécanique, le parc d’exposition, les magasins de stockage, le bloc administratif, le bloc logement des expatriés, les logements des apprenants, ou encore la voirie qui facilite l’accessibilité au site. Parallèlement, la salle de formation et de simulation est en cours de finition, avec un taux de réalisation de plus de 90%. Le tout, pour un coût global de 1,8 Md FCFA. A terme, il est prévu de doter chaque région du pays d’un centre de mécanisation, conformément aux ambitions du Président du Conseil pour le secteur. D’ailleurs, le second chantier, lancé à Kpalimé pour la région des Plateaux, est également en cours. </w:t>
      </w:r>
    </w:p>
    <w:p w14:paraId="220DB0D1" w14:textId="77777777" w:rsidR="003A56BB" w:rsidRPr="002A5818" w:rsidRDefault="003A56BB" w:rsidP="00BD405A">
      <w:pPr>
        <w:spacing w:after="0"/>
      </w:pPr>
    </w:p>
    <w:p w14:paraId="22712938" w14:textId="675779F9" w:rsidR="006E55E4" w:rsidRPr="002A5818" w:rsidRDefault="008025FE" w:rsidP="008025FE">
      <w:pPr>
        <w:keepNext/>
        <w:keepLines/>
        <w:spacing w:after="0"/>
        <w:outlineLvl w:val="1"/>
        <w:rPr>
          <w:rFonts w:eastAsiaTheme="majorEastAsia" w:cstheme="majorBidi"/>
          <w:b/>
          <w:bCs/>
          <w:szCs w:val="26"/>
        </w:rPr>
      </w:pPr>
      <w:bookmarkStart w:id="271" w:name="_Toc221044270"/>
      <w:bookmarkStart w:id="272" w:name="_Hlk220851840"/>
      <w:r w:rsidRPr="002A5818">
        <w:rPr>
          <w:b/>
          <w:bCs/>
        </w:rPr>
        <w:t xml:space="preserve">Innovation </w:t>
      </w:r>
      <w:r w:rsidR="006E55E4" w:rsidRPr="002A5818">
        <w:rPr>
          <w:b/>
          <w:bCs/>
        </w:rPr>
        <w:t>–</w:t>
      </w:r>
      <w:r w:rsidRPr="002A5818">
        <w:rPr>
          <w:b/>
          <w:bCs/>
        </w:rPr>
        <w:t xml:space="preserve"> Projet d’un complexe Agri-Tech.</w:t>
      </w:r>
      <w:bookmarkEnd w:id="271"/>
    </w:p>
    <w:bookmarkEnd w:id="272"/>
    <w:p w14:paraId="3134F4D3" w14:textId="256B5783" w:rsidR="006E55E4" w:rsidRPr="002A5818" w:rsidRDefault="006E55E4" w:rsidP="006E55E4">
      <w:pPr>
        <w:spacing w:after="0"/>
      </w:pPr>
      <w:r w:rsidRPr="002A5818">
        <w:t>La Chambre de commerce et d’industrie du Togo (CCI-Togo) prévoit la mise en place, en 2026, d’un complexe Agri-Tech dédié à la formation et à l’innovation en agriculture intelligente.</w:t>
      </w:r>
      <w:r w:rsidR="008025FE" w:rsidRPr="002A5818">
        <w:t xml:space="preserve"> </w:t>
      </w:r>
      <w:r w:rsidRPr="002A5818">
        <w:t>Le centre Agri-Tech, qui sera implanté à Agbélouvé, dans la région Maritime du Togo, figure parmi les projets structurants de l’institution consulaire pour l’année à venir. Il est conçu comme un pôle de formation professionnelle et un laboratoire d’innovation destiné à accompagner la modernisation du secteur agricole.</w:t>
      </w:r>
      <w:r w:rsidR="008025FE" w:rsidRPr="002A5818">
        <w:t xml:space="preserve"> </w:t>
      </w:r>
      <w:r w:rsidRPr="002A5818">
        <w:t>Selon la CCI-Togo, le complexe offrira aux jeunes entrepreneurs agricoles un cadre d’expérimentation et de recherche appliquée, tout en facilitant leur mise en relation avec des investisseurs et des partenaires techniques. Des programmes de formation spécialisés seront également proposés aux agriculteurs, notamment dans les domaines de l’agriculture de précision, de l’irrigation intelligente et de l’utilisation des drones.</w:t>
      </w:r>
      <w:r w:rsidR="008025FE" w:rsidRPr="002A5818">
        <w:t xml:space="preserve"> </w:t>
      </w:r>
      <w:r w:rsidRPr="002A5818">
        <w:t>L’initiative vise à renforcer la productivité agricole, à promouvoir des pratiques durables et à soutenir le développement d’une agriculture résiliente face aux effets du changement climatique, indique l’institution.</w:t>
      </w:r>
      <w:r w:rsidR="008025FE" w:rsidRPr="002A5818">
        <w:t xml:space="preserve"> </w:t>
      </w:r>
      <w:r w:rsidRPr="002A5818">
        <w:t>Les autorités consulaires tablent notamment sur une meilleure maîtrise des outils numériques et des données agricoles pour améliorer et stabiliser les rendements, tout en réduisant les pertes post-récolte grâce à des solutions innovantes de stockage et de logistique.</w:t>
      </w:r>
    </w:p>
    <w:p w14:paraId="7344C78B" w14:textId="18D1A946" w:rsidR="00697522" w:rsidRPr="002A5818" w:rsidRDefault="00697522" w:rsidP="001C1865">
      <w:pPr>
        <w:spacing w:after="0"/>
      </w:pPr>
    </w:p>
    <w:p w14:paraId="7B29DD20" w14:textId="2EA6C5BA" w:rsidR="00697522" w:rsidRPr="002A5818" w:rsidRDefault="00697522" w:rsidP="00091C3F">
      <w:pPr>
        <w:keepNext/>
        <w:keepLines/>
        <w:spacing w:after="0"/>
        <w:outlineLvl w:val="1"/>
        <w:rPr>
          <w:rFonts w:eastAsiaTheme="majorEastAsia" w:cstheme="majorBidi"/>
          <w:b/>
          <w:bCs/>
          <w:szCs w:val="26"/>
        </w:rPr>
      </w:pPr>
      <w:bookmarkStart w:id="273" w:name="_Toc221044271"/>
      <w:r w:rsidRPr="002A5818">
        <w:rPr>
          <w:b/>
          <w:bCs/>
        </w:rPr>
        <w:t xml:space="preserve">Echanges - </w:t>
      </w:r>
      <w:bookmarkStart w:id="274" w:name="_Hlk220853450"/>
      <w:r w:rsidRPr="002A5818">
        <w:rPr>
          <w:b/>
          <w:bCs/>
        </w:rPr>
        <w:t xml:space="preserve">Noix de cajou, soja et karité </w:t>
      </w:r>
      <w:bookmarkEnd w:id="274"/>
      <w:r w:rsidRPr="002A5818">
        <w:rPr>
          <w:b/>
          <w:bCs/>
        </w:rPr>
        <w:t>taxés à l'exportation.</w:t>
      </w:r>
      <w:bookmarkEnd w:id="273"/>
    </w:p>
    <w:p w14:paraId="2C437AAC" w14:textId="13A739E5" w:rsidR="00F217A1" w:rsidRDefault="00697522" w:rsidP="00697522">
      <w:pPr>
        <w:spacing w:after="0"/>
      </w:pPr>
      <w:r w:rsidRPr="002A5818">
        <w:t>Dans la nouvelle loi de finances 2026</w:t>
      </w:r>
      <w:r w:rsidR="00091C3F" w:rsidRPr="002A5818">
        <w:t xml:space="preserve"> est prévu une taxe sur l’exportation de la noix de cajou, du soja et du karité afin d’</w:t>
      </w:r>
      <w:r w:rsidRPr="002A5818">
        <w:t>encadrer l’exportation des matières premières agricoles et de renforcer la création de valeur ajoutée au niveau national.</w:t>
      </w:r>
      <w:r w:rsidR="00091C3F" w:rsidRPr="002A5818">
        <w:t xml:space="preserve"> Pour </w:t>
      </w:r>
      <w:r w:rsidRPr="002A5818">
        <w:t xml:space="preserve">les pouvoirs publics, ces taxes ont une vocation régulatrice afin de contribuer à freiner l’exportation massive de produits agricoles bruts, souvent réalisée au détriment de l’approvisionnement du marché local et du développement des unités de transformation nationales. C'est un signal aux acteurs </w:t>
      </w:r>
      <w:r w:rsidRPr="002A5818">
        <w:lastRenderedPageBreak/>
        <w:t>économiques sur la nécessité de prioriser la transformation locale</w:t>
      </w:r>
      <w:r w:rsidR="00091C3F" w:rsidRPr="002A5818">
        <w:t>.</w:t>
      </w:r>
      <w:r w:rsidRPr="002A5818">
        <w:t xml:space="preserve"> Ces taxes suscitent des interrogations et des craintes au sein des organisations de producteurs</w:t>
      </w:r>
      <w:r w:rsidR="00091C3F" w:rsidRPr="002A5818">
        <w:t>, dont c</w:t>
      </w:r>
      <w:r w:rsidRPr="002A5818">
        <w:t>ertains redoutent que la charge fiscale ne soit répercutée sur les prix d’achat au producteur, ce qui pourrait réduire leurs revenus déjà fragiles.</w:t>
      </w:r>
    </w:p>
    <w:p w14:paraId="1164C31C" w14:textId="30C900C8" w:rsidR="007355CA" w:rsidRDefault="007355CA" w:rsidP="00697522">
      <w:pPr>
        <w:spacing w:after="0"/>
      </w:pPr>
    </w:p>
    <w:p w14:paraId="7BDF2987" w14:textId="2A2FBB6B" w:rsidR="008D36F3" w:rsidRPr="002F0649" w:rsidRDefault="008D36F3" w:rsidP="00697522">
      <w:pPr>
        <w:spacing w:after="0"/>
      </w:pPr>
      <w:r w:rsidRPr="00091C3F">
        <w:rPr>
          <w:b/>
          <w:bCs/>
          <w:noProof/>
          <w:highlight w:val="yellow"/>
        </w:rPr>
        <mc:AlternateContent>
          <mc:Choice Requires="wps">
            <w:drawing>
              <wp:anchor distT="0" distB="0" distL="114300" distR="114300" simplePos="0" relativeHeight="251660288" behindDoc="1" locked="0" layoutInCell="1" allowOverlap="1" wp14:anchorId="0105DE90" wp14:editId="6B0E31BF">
                <wp:simplePos x="0" y="0"/>
                <wp:positionH relativeFrom="page">
                  <wp:posOffset>7341</wp:posOffset>
                </wp:positionH>
                <wp:positionV relativeFrom="margin">
                  <wp:posOffset>7092467</wp:posOffset>
                </wp:positionV>
                <wp:extent cx="7586980" cy="2106295"/>
                <wp:effectExtent l="0" t="0" r="0" b="8255"/>
                <wp:wrapNone/>
                <wp:docPr id="3" name="Rectangle 3"/>
                <wp:cNvGraphicFramePr/>
                <a:graphic xmlns:a="http://schemas.openxmlformats.org/drawingml/2006/main">
                  <a:graphicData uri="http://schemas.microsoft.com/office/word/2010/wordprocessingShape">
                    <wps:wsp>
                      <wps:cNvSpPr/>
                      <wps:spPr>
                        <a:xfrm>
                          <a:off x="0" y="0"/>
                          <a:ext cx="7586980" cy="2106295"/>
                        </a:xfrm>
                        <a:prstGeom prst="rect">
                          <a:avLst/>
                        </a:prstGeom>
                        <a:solidFill>
                          <a:srgbClr val="FBE769"/>
                        </a:solidFill>
                        <a:ln w="12700" cap="flat" cmpd="sng" algn="ctr">
                          <a:noFill/>
                          <a:prstDash val="solid"/>
                          <a:miter lim="800000"/>
                        </a:ln>
                        <a:effectLst/>
                      </wps:spPr>
                      <wps:txbx>
                        <w:txbxContent>
                          <w:p w14:paraId="7B9F2C3E" w14:textId="77777777" w:rsidR="008D36F3" w:rsidRPr="00EE5287" w:rsidRDefault="008D36F3" w:rsidP="008D36F3">
                            <w:pPr>
                              <w:ind w:left="709" w:right="866"/>
                              <w:rPr>
                                <w:color w:val="000000"/>
                                <w:szCs w:val="20"/>
                              </w:rPr>
                            </w:pPr>
                            <w:r w:rsidRPr="00EE5287">
                              <w:rPr>
                                <w:color w:val="000000"/>
                                <w:szCs w:val="20"/>
                              </w:rPr>
                              <w:t xml:space="preserve">La direction générale du Trésor est présente dans plus de 100 pays à travers ses Services économiques. </w:t>
                            </w:r>
                            <w:r w:rsidRPr="00EE5287">
                              <w:rPr>
                                <w:color w:val="000000"/>
                                <w:szCs w:val="20"/>
                              </w:rPr>
                              <w:br/>
                              <w:t xml:space="preserve">Pour en savoir plus sur ses missions et ses implantations : </w:t>
                            </w:r>
                            <w:r w:rsidRPr="00EE5287">
                              <w:rPr>
                                <w:color w:val="000000"/>
                                <w:szCs w:val="20"/>
                              </w:rPr>
                              <w:br/>
                            </w:r>
                            <w:hyperlink r:id="rId35" w:history="1">
                              <w:r w:rsidRPr="00EE5287">
                                <w:rPr>
                                  <w:rStyle w:val="Lienhypertexte"/>
                                  <w:szCs w:val="20"/>
                                </w:rPr>
                                <w:t>www.tresor.economie.gouv.fr/tresor-international</w:t>
                              </w:r>
                            </w:hyperlink>
                          </w:p>
                          <w:p w14:paraId="24712F5A" w14:textId="77777777" w:rsidR="008D36F3" w:rsidRPr="00EE5287" w:rsidRDefault="008D36F3" w:rsidP="008D36F3">
                            <w:pPr>
                              <w:ind w:left="709" w:right="866"/>
                              <w:rPr>
                                <w:rStyle w:val="Lienhypertexte"/>
                                <w:color w:val="666666" w:themeColor="text1" w:themeTint="99"/>
                                <w:szCs w:val="20"/>
                              </w:rPr>
                            </w:pPr>
                            <w:r w:rsidRPr="00EE5287">
                              <w:rPr>
                                <w:color w:val="000000"/>
                                <w:szCs w:val="20"/>
                              </w:rPr>
                              <w:t>Responsable de la publication</w:t>
                            </w:r>
                            <w:r w:rsidRPr="00EE5287">
                              <w:rPr>
                                <w:rFonts w:ascii="Calibri" w:hAnsi="Calibri" w:cs="Calibri"/>
                                <w:color w:val="000000"/>
                                <w:szCs w:val="20"/>
                              </w:rPr>
                              <w:t> </w:t>
                            </w:r>
                            <w:r w:rsidRPr="00EE5287">
                              <w:rPr>
                                <w:color w:val="000000"/>
                                <w:szCs w:val="20"/>
                              </w:rPr>
                              <w:t xml:space="preserve">: Service économique </w:t>
                            </w:r>
                            <w:r>
                              <w:rPr>
                                <w:color w:val="000000"/>
                                <w:szCs w:val="20"/>
                              </w:rPr>
                              <w:t xml:space="preserve">régional </w:t>
                            </w:r>
                            <w:r w:rsidRPr="00EE5287">
                              <w:rPr>
                                <w:color w:val="000000"/>
                                <w:szCs w:val="20"/>
                              </w:rPr>
                              <w:t>d</w:t>
                            </w:r>
                            <w:r>
                              <w:rPr>
                                <w:color w:val="000000"/>
                                <w:szCs w:val="20"/>
                              </w:rPr>
                              <w:t xml:space="preserve">’Abidjan </w:t>
                            </w:r>
                          </w:p>
                          <w:p w14:paraId="2532560E" w14:textId="77777777" w:rsidR="008D36F3" w:rsidRDefault="008D36F3" w:rsidP="008D36F3">
                            <w:pPr>
                              <w:pStyle w:val="BREVESECOPieddepage"/>
                              <w:ind w:left="709" w:right="866"/>
                              <w:rPr>
                                <w:rFonts w:ascii="Marianne" w:hAnsi="Marianne"/>
                                <w:color w:val="666666" w:themeColor="text1" w:themeTint="99"/>
                                <w:sz w:val="20"/>
                                <w:szCs w:val="20"/>
                                <w:u w:val="single"/>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hyperlink r:id="rId36" w:history="1">
                              <w:r w:rsidRPr="00F23CBB">
                                <w:rPr>
                                  <w:rStyle w:val="Lienhypertexte"/>
                                  <w:rFonts w:ascii="Marianne" w:hAnsi="Marianne"/>
                                  <w:sz w:val="20"/>
                                  <w:szCs w:val="20"/>
                                </w:rPr>
                                <w:t>regis.raffin@dgtresor.gouv.fr</w:t>
                              </w:r>
                            </w:hyperlink>
                          </w:p>
                          <w:p w14:paraId="171C2012" w14:textId="77777777" w:rsidR="008D36F3" w:rsidRPr="00EE5287" w:rsidRDefault="008D36F3" w:rsidP="008D36F3">
                            <w:pPr>
                              <w:pStyle w:val="BREVESECOPieddepage"/>
                              <w:ind w:left="709" w:right="866"/>
                              <w:rPr>
                                <w:rFonts w:ascii="Marianne" w:hAnsi="Marianne"/>
                                <w:color w:val="000000"/>
                                <w:sz w:val="20"/>
                                <w:szCs w:val="20"/>
                              </w:rPr>
                            </w:pPr>
                            <w:r w:rsidRPr="00BB0A2D">
                              <w:rPr>
                                <w:rFonts w:ascii="Marianne" w:hAnsi="Marianne"/>
                                <w:b/>
                                <w:bCs/>
                                <w:sz w:val="20"/>
                                <w:szCs w:val="20"/>
                              </w:rPr>
                              <w:t>Retrouver toutes les publications du Pôle agricole du SER d’Abidjan sur :</w:t>
                            </w:r>
                            <w:r w:rsidRPr="00BB0A2D">
                              <w:rPr>
                                <w:rFonts w:ascii="Marianne" w:hAnsi="Marianne"/>
                                <w:sz w:val="20"/>
                                <w:szCs w:val="20"/>
                                <w:u w:val="single"/>
                              </w:rPr>
                              <w:t xml:space="preserve"> </w:t>
                            </w:r>
                            <w:hyperlink r:id="rId37" w:history="1">
                              <w:r w:rsidRPr="00C12DD7">
                                <w:rPr>
                                  <w:rStyle w:val="Lienhypertexte"/>
                                  <w:rFonts w:ascii="Marianne" w:hAnsi="Marianne"/>
                                  <w:sz w:val="20"/>
                                  <w:szCs w:val="20"/>
                                </w:rPr>
                                <w:t>https://www.tresor.economie.gouv.fr/Pays/CI/agriculture-agroalimentaire</w:t>
                              </w:r>
                            </w:hyperlink>
                            <w:r>
                              <w:rPr>
                                <w:rFonts w:ascii="Marianne" w:hAnsi="Marianne"/>
                                <w:color w:val="666666" w:themeColor="text1" w:themeTint="99"/>
                                <w:sz w:val="20"/>
                                <w:szCs w:val="20"/>
                                <w:u w:val="sing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05DE90" id="Rectangle 3" o:spid="_x0000_s1026" style="position:absolute;left:0;text-align:left;margin-left:.6pt;margin-top:558.45pt;width:597.4pt;height:165.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" fillcolor="#fbe769" stroked="f" strokeweight="1pt">
                <v:textbox>
                  <w:txbxContent>
                    <w:p w14:paraId="7B9F2C3E" w14:textId="77777777" w:rsidR="008D36F3" w:rsidRPr="00EE5287" w:rsidRDefault="008D36F3" w:rsidP="008D36F3">
                      <w:pPr>
                        <w:ind w:left="709" w:right="866"/>
                        <w:rPr>
                          <w:color w:val="000000"/>
                          <w:szCs w:val="20"/>
                        </w:rPr>
                      </w:pPr>
                      <w:r w:rsidRPr="00EE5287">
                        <w:rPr>
                          <w:color w:val="000000"/>
                          <w:szCs w:val="20"/>
                        </w:rPr>
                        <w:t xml:space="preserve">La direction générale du Trésor est présente dans plus de 100 pays à travers ses Services économiques. </w:t>
                      </w:r>
                      <w:r w:rsidRPr="00EE5287">
                        <w:rPr>
                          <w:color w:val="000000"/>
                          <w:szCs w:val="20"/>
                        </w:rPr>
                        <w:br/>
                        <w:t xml:space="preserve">Pour en savoir plus sur ses missions et ses implantations : </w:t>
                      </w:r>
                      <w:r w:rsidRPr="00EE5287">
                        <w:rPr>
                          <w:color w:val="000000"/>
                          <w:szCs w:val="20"/>
                        </w:rPr>
                        <w:br/>
                      </w:r>
                      <w:hyperlink r:id="rId38" w:history="1">
                        <w:r w:rsidRPr="00EE5287">
                          <w:rPr>
                            <w:rStyle w:val="Lienhypertexte"/>
                            <w:szCs w:val="20"/>
                          </w:rPr>
                          <w:t>www.tresor.economie.gouv.fr/tresor-international</w:t>
                        </w:r>
                      </w:hyperlink>
                    </w:p>
                    <w:p w14:paraId="24712F5A" w14:textId="77777777" w:rsidR="008D36F3" w:rsidRPr="00EE5287" w:rsidRDefault="008D36F3" w:rsidP="008D36F3">
                      <w:pPr>
                        <w:ind w:left="709" w:right="866"/>
                        <w:rPr>
                          <w:rStyle w:val="Lienhypertexte"/>
                          <w:color w:val="666666" w:themeColor="text1" w:themeTint="99"/>
                          <w:szCs w:val="20"/>
                        </w:rPr>
                      </w:pPr>
                      <w:r w:rsidRPr="00EE5287">
                        <w:rPr>
                          <w:color w:val="000000"/>
                          <w:szCs w:val="20"/>
                        </w:rPr>
                        <w:t>Responsable de la publication</w:t>
                      </w:r>
                      <w:r w:rsidRPr="00EE5287">
                        <w:rPr>
                          <w:rFonts w:ascii="Calibri" w:hAnsi="Calibri" w:cs="Calibri"/>
                          <w:color w:val="000000"/>
                          <w:szCs w:val="20"/>
                        </w:rPr>
                        <w:t> </w:t>
                      </w:r>
                      <w:r w:rsidRPr="00EE5287">
                        <w:rPr>
                          <w:color w:val="000000"/>
                          <w:szCs w:val="20"/>
                        </w:rPr>
                        <w:t xml:space="preserve">: Service économique </w:t>
                      </w:r>
                      <w:r>
                        <w:rPr>
                          <w:color w:val="000000"/>
                          <w:szCs w:val="20"/>
                        </w:rPr>
                        <w:t xml:space="preserve">régional </w:t>
                      </w:r>
                      <w:r w:rsidRPr="00EE5287">
                        <w:rPr>
                          <w:color w:val="000000"/>
                          <w:szCs w:val="20"/>
                        </w:rPr>
                        <w:t>d</w:t>
                      </w:r>
                      <w:r>
                        <w:rPr>
                          <w:color w:val="000000"/>
                          <w:szCs w:val="20"/>
                        </w:rPr>
                        <w:t xml:space="preserve">’Abidjan </w:t>
                      </w:r>
                    </w:p>
                    <w:p w14:paraId="2532560E" w14:textId="77777777" w:rsidR="008D36F3" w:rsidRDefault="008D36F3" w:rsidP="008D36F3">
                      <w:pPr>
                        <w:pStyle w:val="BREVESECOPieddepage"/>
                        <w:ind w:left="709" w:right="866"/>
                        <w:rPr>
                          <w:rFonts w:ascii="Marianne" w:hAnsi="Marianne"/>
                          <w:color w:val="666666" w:themeColor="text1" w:themeTint="99"/>
                          <w:sz w:val="20"/>
                          <w:szCs w:val="20"/>
                          <w:u w:val="single"/>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hyperlink r:id="rId39" w:history="1">
                        <w:r w:rsidRPr="00F23CBB">
                          <w:rPr>
                            <w:rStyle w:val="Lienhypertexte"/>
                            <w:rFonts w:ascii="Marianne" w:hAnsi="Marianne"/>
                            <w:sz w:val="20"/>
                            <w:szCs w:val="20"/>
                          </w:rPr>
                          <w:t>regis.raffin@dgtresor.gouv.fr</w:t>
                        </w:r>
                      </w:hyperlink>
                    </w:p>
                    <w:p w14:paraId="171C2012" w14:textId="77777777" w:rsidR="008D36F3" w:rsidRPr="00EE5287" w:rsidRDefault="008D36F3" w:rsidP="008D36F3">
                      <w:pPr>
                        <w:pStyle w:val="BREVESECOPieddepage"/>
                        <w:ind w:left="709" w:right="866"/>
                        <w:rPr>
                          <w:rFonts w:ascii="Marianne" w:hAnsi="Marianne"/>
                          <w:color w:val="000000"/>
                          <w:sz w:val="20"/>
                          <w:szCs w:val="20"/>
                        </w:rPr>
                      </w:pPr>
                      <w:r w:rsidRPr="00BB0A2D">
                        <w:rPr>
                          <w:rFonts w:ascii="Marianne" w:hAnsi="Marianne"/>
                          <w:b/>
                          <w:bCs/>
                          <w:sz w:val="20"/>
                          <w:szCs w:val="20"/>
                        </w:rPr>
                        <w:t>Retrouver toutes les publications du Pôle agricole du SER d’Abidjan sur :</w:t>
                      </w:r>
                      <w:r w:rsidRPr="00BB0A2D">
                        <w:rPr>
                          <w:rFonts w:ascii="Marianne" w:hAnsi="Marianne"/>
                          <w:sz w:val="20"/>
                          <w:szCs w:val="20"/>
                          <w:u w:val="single"/>
                        </w:rPr>
                        <w:t xml:space="preserve"> </w:t>
                      </w:r>
                      <w:hyperlink r:id="rId40" w:history="1">
                        <w:r w:rsidRPr="00C12DD7">
                          <w:rPr>
                            <w:rStyle w:val="Lienhypertexte"/>
                            <w:rFonts w:ascii="Marianne" w:hAnsi="Marianne"/>
                            <w:sz w:val="20"/>
                            <w:szCs w:val="20"/>
                          </w:rPr>
                          <w:t>https://www.tresor.economie.gouv.fr/Pays/CI/agriculture-agroalimentaire</w:t>
                        </w:r>
                      </w:hyperlink>
                      <w:r>
                        <w:rPr>
                          <w:rFonts w:ascii="Marianne" w:hAnsi="Marianne"/>
                          <w:color w:val="666666" w:themeColor="text1" w:themeTint="99"/>
                          <w:sz w:val="20"/>
                          <w:szCs w:val="20"/>
                          <w:u w:val="single"/>
                        </w:rPr>
                        <w:t xml:space="preserve"> </w:t>
                      </w:r>
                    </w:p>
                  </w:txbxContent>
                </v:textbox>
                <w10:wrap anchorx="page" anchory="margin"/>
              </v:rect>
            </w:pict>
          </mc:Fallback>
        </mc:AlternateContent>
      </w:r>
    </w:p>
    <w:sectPr w:rsidR="008D36F3" w:rsidRPr="002F0649" w:rsidSect="00CC07AF">
      <w:pgSz w:w="11906" w:h="16838"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rianne">
    <w:altName w:val="Calibri"/>
    <w:panose1 w:val="02000000000000000000"/>
    <w:charset w:val="00"/>
    <w:family w:val="auto"/>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arianne Light">
    <w:panose1 w:val="02000000000000000000"/>
    <w:charset w:val="00"/>
    <w:family w:val="auto"/>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5706C"/>
    <w:multiLevelType w:val="hybridMultilevel"/>
    <w:tmpl w:val="B998B0D6"/>
    <w:lvl w:ilvl="0" w:tplc="7CDC938E">
      <w:start w:val="1"/>
      <w:numFmt w:val="bullet"/>
      <w:pStyle w:val="TM2"/>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182E5FEE"/>
    <w:multiLevelType w:val="hybridMultilevel"/>
    <w:tmpl w:val="8C00473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A7C45FC"/>
    <w:multiLevelType w:val="hybridMultilevel"/>
    <w:tmpl w:val="490E2A62"/>
    <w:lvl w:ilvl="0" w:tplc="0D20E6FE">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16F"/>
    <w:rsid w:val="000059DC"/>
    <w:rsid w:val="0000771E"/>
    <w:rsid w:val="00015FA0"/>
    <w:rsid w:val="00017344"/>
    <w:rsid w:val="00020DCB"/>
    <w:rsid w:val="0002319F"/>
    <w:rsid w:val="00024374"/>
    <w:rsid w:val="00025AC1"/>
    <w:rsid w:val="00027005"/>
    <w:rsid w:val="0003491B"/>
    <w:rsid w:val="0003644E"/>
    <w:rsid w:val="000366EE"/>
    <w:rsid w:val="00037210"/>
    <w:rsid w:val="000372D4"/>
    <w:rsid w:val="00037387"/>
    <w:rsid w:val="000405D0"/>
    <w:rsid w:val="00042B98"/>
    <w:rsid w:val="00046CE5"/>
    <w:rsid w:val="00046E09"/>
    <w:rsid w:val="00053BC4"/>
    <w:rsid w:val="00056B7B"/>
    <w:rsid w:val="00066FE9"/>
    <w:rsid w:val="000708EC"/>
    <w:rsid w:val="000726E3"/>
    <w:rsid w:val="000866FD"/>
    <w:rsid w:val="00086E8B"/>
    <w:rsid w:val="0009104F"/>
    <w:rsid w:val="00091C3F"/>
    <w:rsid w:val="000937F6"/>
    <w:rsid w:val="00093BDA"/>
    <w:rsid w:val="0009760F"/>
    <w:rsid w:val="000A6BD6"/>
    <w:rsid w:val="000A7497"/>
    <w:rsid w:val="000C260A"/>
    <w:rsid w:val="000C3CF4"/>
    <w:rsid w:val="000D0771"/>
    <w:rsid w:val="000E626A"/>
    <w:rsid w:val="00102C89"/>
    <w:rsid w:val="00103787"/>
    <w:rsid w:val="00104D5B"/>
    <w:rsid w:val="00110556"/>
    <w:rsid w:val="0011231C"/>
    <w:rsid w:val="00115458"/>
    <w:rsid w:val="00115E07"/>
    <w:rsid w:val="00116A52"/>
    <w:rsid w:val="00120827"/>
    <w:rsid w:val="0012090E"/>
    <w:rsid w:val="00121301"/>
    <w:rsid w:val="00121558"/>
    <w:rsid w:val="00124159"/>
    <w:rsid w:val="001323AA"/>
    <w:rsid w:val="001351C6"/>
    <w:rsid w:val="00136C9E"/>
    <w:rsid w:val="00136F2B"/>
    <w:rsid w:val="00146707"/>
    <w:rsid w:val="0015315D"/>
    <w:rsid w:val="001551CD"/>
    <w:rsid w:val="001612F3"/>
    <w:rsid w:val="00161957"/>
    <w:rsid w:val="00162C0B"/>
    <w:rsid w:val="001642C3"/>
    <w:rsid w:val="00171167"/>
    <w:rsid w:val="0018120C"/>
    <w:rsid w:val="001842BB"/>
    <w:rsid w:val="0018571D"/>
    <w:rsid w:val="00185A78"/>
    <w:rsid w:val="00197C18"/>
    <w:rsid w:val="001A0AA1"/>
    <w:rsid w:val="001A36B3"/>
    <w:rsid w:val="001A48A4"/>
    <w:rsid w:val="001A579D"/>
    <w:rsid w:val="001A6FB4"/>
    <w:rsid w:val="001B047F"/>
    <w:rsid w:val="001B1AD7"/>
    <w:rsid w:val="001B3470"/>
    <w:rsid w:val="001B7BCB"/>
    <w:rsid w:val="001C1865"/>
    <w:rsid w:val="001C1E53"/>
    <w:rsid w:val="001C29A8"/>
    <w:rsid w:val="001C3992"/>
    <w:rsid w:val="001C3A1D"/>
    <w:rsid w:val="001C5A83"/>
    <w:rsid w:val="001C650F"/>
    <w:rsid w:val="001C76C6"/>
    <w:rsid w:val="001D295E"/>
    <w:rsid w:val="001D3BF9"/>
    <w:rsid w:val="001D58A0"/>
    <w:rsid w:val="001D5EB5"/>
    <w:rsid w:val="001D7B2C"/>
    <w:rsid w:val="001E113C"/>
    <w:rsid w:val="001E6B10"/>
    <w:rsid w:val="001F6B84"/>
    <w:rsid w:val="001F7E64"/>
    <w:rsid w:val="00205DCA"/>
    <w:rsid w:val="002069D3"/>
    <w:rsid w:val="00215396"/>
    <w:rsid w:val="00215D8A"/>
    <w:rsid w:val="00216CB8"/>
    <w:rsid w:val="00221532"/>
    <w:rsid w:val="0022366C"/>
    <w:rsid w:val="00224A1C"/>
    <w:rsid w:val="002276EA"/>
    <w:rsid w:val="00250DBA"/>
    <w:rsid w:val="002515D4"/>
    <w:rsid w:val="0026148C"/>
    <w:rsid w:val="00262282"/>
    <w:rsid w:val="00262BDC"/>
    <w:rsid w:val="00264A1F"/>
    <w:rsid w:val="00266DDF"/>
    <w:rsid w:val="002674A3"/>
    <w:rsid w:val="00270856"/>
    <w:rsid w:val="0027209A"/>
    <w:rsid w:val="00277CCA"/>
    <w:rsid w:val="00281C91"/>
    <w:rsid w:val="0028367C"/>
    <w:rsid w:val="00283726"/>
    <w:rsid w:val="00291F42"/>
    <w:rsid w:val="002937B0"/>
    <w:rsid w:val="002957DC"/>
    <w:rsid w:val="0029650A"/>
    <w:rsid w:val="002A0331"/>
    <w:rsid w:val="002A5818"/>
    <w:rsid w:val="002A608B"/>
    <w:rsid w:val="002A73B1"/>
    <w:rsid w:val="002B16D5"/>
    <w:rsid w:val="002B4C23"/>
    <w:rsid w:val="002C1259"/>
    <w:rsid w:val="002C4CEA"/>
    <w:rsid w:val="002C53E5"/>
    <w:rsid w:val="002C5909"/>
    <w:rsid w:val="002D0775"/>
    <w:rsid w:val="002D18C5"/>
    <w:rsid w:val="002D1D7B"/>
    <w:rsid w:val="002D4130"/>
    <w:rsid w:val="002D6F2E"/>
    <w:rsid w:val="002E5F1D"/>
    <w:rsid w:val="002F0649"/>
    <w:rsid w:val="002F52BE"/>
    <w:rsid w:val="002F7186"/>
    <w:rsid w:val="003004FB"/>
    <w:rsid w:val="003060C0"/>
    <w:rsid w:val="00307861"/>
    <w:rsid w:val="003121BA"/>
    <w:rsid w:val="00313DD6"/>
    <w:rsid w:val="00314555"/>
    <w:rsid w:val="00317D61"/>
    <w:rsid w:val="00321963"/>
    <w:rsid w:val="00322B6F"/>
    <w:rsid w:val="00333638"/>
    <w:rsid w:val="003428DD"/>
    <w:rsid w:val="0034783C"/>
    <w:rsid w:val="00351383"/>
    <w:rsid w:val="003518C6"/>
    <w:rsid w:val="00352EFD"/>
    <w:rsid w:val="00356760"/>
    <w:rsid w:val="00370514"/>
    <w:rsid w:val="0037090D"/>
    <w:rsid w:val="003749D0"/>
    <w:rsid w:val="0037608F"/>
    <w:rsid w:val="00377AB9"/>
    <w:rsid w:val="00380341"/>
    <w:rsid w:val="00394032"/>
    <w:rsid w:val="00394E6E"/>
    <w:rsid w:val="003A312E"/>
    <w:rsid w:val="003A4F7A"/>
    <w:rsid w:val="003A56BB"/>
    <w:rsid w:val="003A7158"/>
    <w:rsid w:val="003B09D4"/>
    <w:rsid w:val="003C08EF"/>
    <w:rsid w:val="003C179F"/>
    <w:rsid w:val="003C5AEE"/>
    <w:rsid w:val="003C5C64"/>
    <w:rsid w:val="003C6FDE"/>
    <w:rsid w:val="003D0B01"/>
    <w:rsid w:val="003D3625"/>
    <w:rsid w:val="003E070B"/>
    <w:rsid w:val="003F0A07"/>
    <w:rsid w:val="004158FF"/>
    <w:rsid w:val="00421B46"/>
    <w:rsid w:val="00426F08"/>
    <w:rsid w:val="00430C6D"/>
    <w:rsid w:val="00432865"/>
    <w:rsid w:val="00434509"/>
    <w:rsid w:val="00434989"/>
    <w:rsid w:val="00445C99"/>
    <w:rsid w:val="00445D74"/>
    <w:rsid w:val="004470FB"/>
    <w:rsid w:val="004471DD"/>
    <w:rsid w:val="0046078B"/>
    <w:rsid w:val="004639BB"/>
    <w:rsid w:val="00466EAA"/>
    <w:rsid w:val="00472687"/>
    <w:rsid w:val="004740D8"/>
    <w:rsid w:val="00482580"/>
    <w:rsid w:val="00486C7B"/>
    <w:rsid w:val="00492139"/>
    <w:rsid w:val="004969CE"/>
    <w:rsid w:val="004A00C5"/>
    <w:rsid w:val="004A376F"/>
    <w:rsid w:val="004A3798"/>
    <w:rsid w:val="004B5A51"/>
    <w:rsid w:val="004B66CC"/>
    <w:rsid w:val="004B6FE8"/>
    <w:rsid w:val="004C0E0D"/>
    <w:rsid w:val="004C353E"/>
    <w:rsid w:val="004C416F"/>
    <w:rsid w:val="004C4CBC"/>
    <w:rsid w:val="004C5DF7"/>
    <w:rsid w:val="004D363A"/>
    <w:rsid w:val="004D5211"/>
    <w:rsid w:val="004D6F24"/>
    <w:rsid w:val="004D7751"/>
    <w:rsid w:val="004E0E08"/>
    <w:rsid w:val="004E1631"/>
    <w:rsid w:val="004E4119"/>
    <w:rsid w:val="004E67D9"/>
    <w:rsid w:val="004F004D"/>
    <w:rsid w:val="004F1653"/>
    <w:rsid w:val="004F247B"/>
    <w:rsid w:val="00503818"/>
    <w:rsid w:val="00505406"/>
    <w:rsid w:val="005063D9"/>
    <w:rsid w:val="00507800"/>
    <w:rsid w:val="00512F61"/>
    <w:rsid w:val="00516FAC"/>
    <w:rsid w:val="00527EBB"/>
    <w:rsid w:val="00534263"/>
    <w:rsid w:val="00536031"/>
    <w:rsid w:val="00543518"/>
    <w:rsid w:val="00543A66"/>
    <w:rsid w:val="005520BF"/>
    <w:rsid w:val="00556392"/>
    <w:rsid w:val="00567BB4"/>
    <w:rsid w:val="00567F49"/>
    <w:rsid w:val="00571A73"/>
    <w:rsid w:val="00580157"/>
    <w:rsid w:val="005A051A"/>
    <w:rsid w:val="005A0DD6"/>
    <w:rsid w:val="005A1B0D"/>
    <w:rsid w:val="005A4B37"/>
    <w:rsid w:val="005A5C9D"/>
    <w:rsid w:val="005C0CF7"/>
    <w:rsid w:val="005C2E2F"/>
    <w:rsid w:val="005C35D2"/>
    <w:rsid w:val="005C3C79"/>
    <w:rsid w:val="005C4E54"/>
    <w:rsid w:val="005C5A91"/>
    <w:rsid w:val="005C5F0D"/>
    <w:rsid w:val="005C7BE0"/>
    <w:rsid w:val="005D5A3B"/>
    <w:rsid w:val="005D63DA"/>
    <w:rsid w:val="005D63FE"/>
    <w:rsid w:val="005E09F4"/>
    <w:rsid w:val="005E40B6"/>
    <w:rsid w:val="005E5320"/>
    <w:rsid w:val="005E6883"/>
    <w:rsid w:val="005F4E33"/>
    <w:rsid w:val="00603EE1"/>
    <w:rsid w:val="00604268"/>
    <w:rsid w:val="006044EE"/>
    <w:rsid w:val="00605640"/>
    <w:rsid w:val="0061075C"/>
    <w:rsid w:val="00611B71"/>
    <w:rsid w:val="006209E6"/>
    <w:rsid w:val="00622541"/>
    <w:rsid w:val="00650F78"/>
    <w:rsid w:val="0065440C"/>
    <w:rsid w:val="00662B1C"/>
    <w:rsid w:val="00662E20"/>
    <w:rsid w:val="00664663"/>
    <w:rsid w:val="006725BB"/>
    <w:rsid w:val="00672BE4"/>
    <w:rsid w:val="00675B2B"/>
    <w:rsid w:val="006806A1"/>
    <w:rsid w:val="00690D2C"/>
    <w:rsid w:val="00690E0D"/>
    <w:rsid w:val="0069187F"/>
    <w:rsid w:val="00697522"/>
    <w:rsid w:val="006A0C3C"/>
    <w:rsid w:val="006A1E52"/>
    <w:rsid w:val="006A409F"/>
    <w:rsid w:val="006A46DE"/>
    <w:rsid w:val="006A4C71"/>
    <w:rsid w:val="006A4DC3"/>
    <w:rsid w:val="006B6FD2"/>
    <w:rsid w:val="006C0CCF"/>
    <w:rsid w:val="006C458E"/>
    <w:rsid w:val="006D1A75"/>
    <w:rsid w:val="006D334C"/>
    <w:rsid w:val="006D335A"/>
    <w:rsid w:val="006D5B2D"/>
    <w:rsid w:val="006D611B"/>
    <w:rsid w:val="006E5428"/>
    <w:rsid w:val="006E55E4"/>
    <w:rsid w:val="006F3B30"/>
    <w:rsid w:val="006F405C"/>
    <w:rsid w:val="006F5B04"/>
    <w:rsid w:val="00702364"/>
    <w:rsid w:val="007153F4"/>
    <w:rsid w:val="00716164"/>
    <w:rsid w:val="007163FC"/>
    <w:rsid w:val="00721BBA"/>
    <w:rsid w:val="0072477E"/>
    <w:rsid w:val="00730741"/>
    <w:rsid w:val="00732568"/>
    <w:rsid w:val="00732F00"/>
    <w:rsid w:val="0073427C"/>
    <w:rsid w:val="00734332"/>
    <w:rsid w:val="007355CA"/>
    <w:rsid w:val="007356CD"/>
    <w:rsid w:val="00737C9A"/>
    <w:rsid w:val="00740179"/>
    <w:rsid w:val="007417BB"/>
    <w:rsid w:val="00747AA8"/>
    <w:rsid w:val="00752729"/>
    <w:rsid w:val="00756356"/>
    <w:rsid w:val="00760A35"/>
    <w:rsid w:val="00764AF3"/>
    <w:rsid w:val="00766DF5"/>
    <w:rsid w:val="007677FD"/>
    <w:rsid w:val="0077175B"/>
    <w:rsid w:val="00772FCA"/>
    <w:rsid w:val="00774C36"/>
    <w:rsid w:val="00776988"/>
    <w:rsid w:val="00787882"/>
    <w:rsid w:val="00787FA3"/>
    <w:rsid w:val="00795162"/>
    <w:rsid w:val="00796150"/>
    <w:rsid w:val="0079668E"/>
    <w:rsid w:val="007A171E"/>
    <w:rsid w:val="007A1A87"/>
    <w:rsid w:val="007A1C9F"/>
    <w:rsid w:val="007A4D95"/>
    <w:rsid w:val="007B115C"/>
    <w:rsid w:val="007C3564"/>
    <w:rsid w:val="007C48BE"/>
    <w:rsid w:val="007D5E7B"/>
    <w:rsid w:val="007D655A"/>
    <w:rsid w:val="007D6734"/>
    <w:rsid w:val="007F3BC3"/>
    <w:rsid w:val="007F5536"/>
    <w:rsid w:val="008025FE"/>
    <w:rsid w:val="008051A6"/>
    <w:rsid w:val="00805586"/>
    <w:rsid w:val="008066E6"/>
    <w:rsid w:val="00811F09"/>
    <w:rsid w:val="00812F3C"/>
    <w:rsid w:val="008202A9"/>
    <w:rsid w:val="00823DBF"/>
    <w:rsid w:val="008252FD"/>
    <w:rsid w:val="00830A47"/>
    <w:rsid w:val="00845970"/>
    <w:rsid w:val="008551A5"/>
    <w:rsid w:val="00864456"/>
    <w:rsid w:val="008649A2"/>
    <w:rsid w:val="00881C58"/>
    <w:rsid w:val="00881DA5"/>
    <w:rsid w:val="00881FAF"/>
    <w:rsid w:val="008821D0"/>
    <w:rsid w:val="00882209"/>
    <w:rsid w:val="008841D0"/>
    <w:rsid w:val="00887FB4"/>
    <w:rsid w:val="00891747"/>
    <w:rsid w:val="00896907"/>
    <w:rsid w:val="00897B7E"/>
    <w:rsid w:val="008A2385"/>
    <w:rsid w:val="008B4EBA"/>
    <w:rsid w:val="008B62D4"/>
    <w:rsid w:val="008B7FEC"/>
    <w:rsid w:val="008C0D27"/>
    <w:rsid w:val="008C6EA9"/>
    <w:rsid w:val="008D2689"/>
    <w:rsid w:val="008D36F3"/>
    <w:rsid w:val="008F20B9"/>
    <w:rsid w:val="0090292B"/>
    <w:rsid w:val="00910705"/>
    <w:rsid w:val="00910E75"/>
    <w:rsid w:val="00917F76"/>
    <w:rsid w:val="00926ED7"/>
    <w:rsid w:val="00933EDC"/>
    <w:rsid w:val="00937937"/>
    <w:rsid w:val="009465CC"/>
    <w:rsid w:val="00952697"/>
    <w:rsid w:val="00961C4B"/>
    <w:rsid w:val="0096584D"/>
    <w:rsid w:val="0096584E"/>
    <w:rsid w:val="009719A7"/>
    <w:rsid w:val="009836EC"/>
    <w:rsid w:val="00984B6C"/>
    <w:rsid w:val="00984F4E"/>
    <w:rsid w:val="00987ABC"/>
    <w:rsid w:val="0099017D"/>
    <w:rsid w:val="009942EF"/>
    <w:rsid w:val="009A3536"/>
    <w:rsid w:val="009B7499"/>
    <w:rsid w:val="009B7809"/>
    <w:rsid w:val="009C0AD0"/>
    <w:rsid w:val="009C2630"/>
    <w:rsid w:val="009D0CF7"/>
    <w:rsid w:val="009D0F96"/>
    <w:rsid w:val="009D6252"/>
    <w:rsid w:val="009D70DE"/>
    <w:rsid w:val="009D74A6"/>
    <w:rsid w:val="009E11C8"/>
    <w:rsid w:val="009E627C"/>
    <w:rsid w:val="009F2702"/>
    <w:rsid w:val="009F2FBC"/>
    <w:rsid w:val="009F74F5"/>
    <w:rsid w:val="00A00917"/>
    <w:rsid w:val="00A01C66"/>
    <w:rsid w:val="00A043CB"/>
    <w:rsid w:val="00A05F41"/>
    <w:rsid w:val="00A06039"/>
    <w:rsid w:val="00A07AF1"/>
    <w:rsid w:val="00A07FD5"/>
    <w:rsid w:val="00A11600"/>
    <w:rsid w:val="00A1284A"/>
    <w:rsid w:val="00A14585"/>
    <w:rsid w:val="00A20E4F"/>
    <w:rsid w:val="00A244AE"/>
    <w:rsid w:val="00A25A45"/>
    <w:rsid w:val="00A32149"/>
    <w:rsid w:val="00A32D20"/>
    <w:rsid w:val="00A3385A"/>
    <w:rsid w:val="00A35389"/>
    <w:rsid w:val="00A40791"/>
    <w:rsid w:val="00A441A7"/>
    <w:rsid w:val="00A5028F"/>
    <w:rsid w:val="00A50DAB"/>
    <w:rsid w:val="00A551ED"/>
    <w:rsid w:val="00A61892"/>
    <w:rsid w:val="00A67B44"/>
    <w:rsid w:val="00A74674"/>
    <w:rsid w:val="00A74D7F"/>
    <w:rsid w:val="00A807D3"/>
    <w:rsid w:val="00A8296A"/>
    <w:rsid w:val="00A82B5F"/>
    <w:rsid w:val="00A842A0"/>
    <w:rsid w:val="00A877E6"/>
    <w:rsid w:val="00AA0176"/>
    <w:rsid w:val="00AA1454"/>
    <w:rsid w:val="00AA1EA0"/>
    <w:rsid w:val="00AA7368"/>
    <w:rsid w:val="00AB2D92"/>
    <w:rsid w:val="00AB7916"/>
    <w:rsid w:val="00AC2762"/>
    <w:rsid w:val="00AC3EDF"/>
    <w:rsid w:val="00AD29B4"/>
    <w:rsid w:val="00AD7EF5"/>
    <w:rsid w:val="00AE06EF"/>
    <w:rsid w:val="00AE5E88"/>
    <w:rsid w:val="00AF1AA2"/>
    <w:rsid w:val="00AF2ED2"/>
    <w:rsid w:val="00AF3F51"/>
    <w:rsid w:val="00AF4C0E"/>
    <w:rsid w:val="00B13FDF"/>
    <w:rsid w:val="00B17B93"/>
    <w:rsid w:val="00B21C76"/>
    <w:rsid w:val="00B21F02"/>
    <w:rsid w:val="00B31C19"/>
    <w:rsid w:val="00B3368A"/>
    <w:rsid w:val="00B33C57"/>
    <w:rsid w:val="00B35B60"/>
    <w:rsid w:val="00B40901"/>
    <w:rsid w:val="00B40C8D"/>
    <w:rsid w:val="00B43FAB"/>
    <w:rsid w:val="00B44931"/>
    <w:rsid w:val="00B45CA3"/>
    <w:rsid w:val="00B4668B"/>
    <w:rsid w:val="00B4692E"/>
    <w:rsid w:val="00B47B5E"/>
    <w:rsid w:val="00B5599B"/>
    <w:rsid w:val="00B57FB8"/>
    <w:rsid w:val="00B63ABD"/>
    <w:rsid w:val="00B6672E"/>
    <w:rsid w:val="00B66FDF"/>
    <w:rsid w:val="00B705FF"/>
    <w:rsid w:val="00B81177"/>
    <w:rsid w:val="00B8375F"/>
    <w:rsid w:val="00B93614"/>
    <w:rsid w:val="00B94950"/>
    <w:rsid w:val="00BA308D"/>
    <w:rsid w:val="00BB4734"/>
    <w:rsid w:val="00BB48D3"/>
    <w:rsid w:val="00BB56BE"/>
    <w:rsid w:val="00BD405A"/>
    <w:rsid w:val="00BD5A2A"/>
    <w:rsid w:val="00BD7A49"/>
    <w:rsid w:val="00BE145A"/>
    <w:rsid w:val="00BF0768"/>
    <w:rsid w:val="00C02249"/>
    <w:rsid w:val="00C045B7"/>
    <w:rsid w:val="00C13005"/>
    <w:rsid w:val="00C14C11"/>
    <w:rsid w:val="00C229DB"/>
    <w:rsid w:val="00C30205"/>
    <w:rsid w:val="00C31439"/>
    <w:rsid w:val="00C31973"/>
    <w:rsid w:val="00C43346"/>
    <w:rsid w:val="00C461D0"/>
    <w:rsid w:val="00C47F97"/>
    <w:rsid w:val="00C561FE"/>
    <w:rsid w:val="00C6079D"/>
    <w:rsid w:val="00C622A2"/>
    <w:rsid w:val="00C6358A"/>
    <w:rsid w:val="00C63739"/>
    <w:rsid w:val="00C64986"/>
    <w:rsid w:val="00C65F04"/>
    <w:rsid w:val="00C662F2"/>
    <w:rsid w:val="00C7258C"/>
    <w:rsid w:val="00C72642"/>
    <w:rsid w:val="00C8511B"/>
    <w:rsid w:val="00C85685"/>
    <w:rsid w:val="00C8647F"/>
    <w:rsid w:val="00C86BFE"/>
    <w:rsid w:val="00C91416"/>
    <w:rsid w:val="00C9181F"/>
    <w:rsid w:val="00C960EF"/>
    <w:rsid w:val="00CA1356"/>
    <w:rsid w:val="00CA400C"/>
    <w:rsid w:val="00CB124D"/>
    <w:rsid w:val="00CB7561"/>
    <w:rsid w:val="00CC07AF"/>
    <w:rsid w:val="00CC0CA3"/>
    <w:rsid w:val="00CC0DC7"/>
    <w:rsid w:val="00CC2278"/>
    <w:rsid w:val="00CC232F"/>
    <w:rsid w:val="00CC4677"/>
    <w:rsid w:val="00CC50E3"/>
    <w:rsid w:val="00CD01EC"/>
    <w:rsid w:val="00CD17F1"/>
    <w:rsid w:val="00CD2EF5"/>
    <w:rsid w:val="00CD73CF"/>
    <w:rsid w:val="00CE04BD"/>
    <w:rsid w:val="00CE0E39"/>
    <w:rsid w:val="00CE774D"/>
    <w:rsid w:val="00CF7AFF"/>
    <w:rsid w:val="00D00591"/>
    <w:rsid w:val="00D0501E"/>
    <w:rsid w:val="00D05E5D"/>
    <w:rsid w:val="00D070C2"/>
    <w:rsid w:val="00D10126"/>
    <w:rsid w:val="00D13A85"/>
    <w:rsid w:val="00D14443"/>
    <w:rsid w:val="00D149B6"/>
    <w:rsid w:val="00D242E7"/>
    <w:rsid w:val="00D26097"/>
    <w:rsid w:val="00D2791B"/>
    <w:rsid w:val="00D41B61"/>
    <w:rsid w:val="00D62062"/>
    <w:rsid w:val="00D734DA"/>
    <w:rsid w:val="00D73945"/>
    <w:rsid w:val="00D74833"/>
    <w:rsid w:val="00D76997"/>
    <w:rsid w:val="00D77444"/>
    <w:rsid w:val="00D86E75"/>
    <w:rsid w:val="00D96110"/>
    <w:rsid w:val="00D96557"/>
    <w:rsid w:val="00DA1F4F"/>
    <w:rsid w:val="00DA64C2"/>
    <w:rsid w:val="00DA77EA"/>
    <w:rsid w:val="00DB10F8"/>
    <w:rsid w:val="00DC276D"/>
    <w:rsid w:val="00DC3113"/>
    <w:rsid w:val="00DC52B4"/>
    <w:rsid w:val="00DC5927"/>
    <w:rsid w:val="00DC7335"/>
    <w:rsid w:val="00DD7963"/>
    <w:rsid w:val="00DE0291"/>
    <w:rsid w:val="00DE6644"/>
    <w:rsid w:val="00DE6859"/>
    <w:rsid w:val="00E029E3"/>
    <w:rsid w:val="00E112D0"/>
    <w:rsid w:val="00E13C33"/>
    <w:rsid w:val="00E15FCA"/>
    <w:rsid w:val="00E164EC"/>
    <w:rsid w:val="00E31E00"/>
    <w:rsid w:val="00E345B4"/>
    <w:rsid w:val="00E352E5"/>
    <w:rsid w:val="00E401B6"/>
    <w:rsid w:val="00E40836"/>
    <w:rsid w:val="00E40C66"/>
    <w:rsid w:val="00E41ECA"/>
    <w:rsid w:val="00E42BC5"/>
    <w:rsid w:val="00E50009"/>
    <w:rsid w:val="00E51BD1"/>
    <w:rsid w:val="00E55E35"/>
    <w:rsid w:val="00E5699B"/>
    <w:rsid w:val="00E71046"/>
    <w:rsid w:val="00E73933"/>
    <w:rsid w:val="00E757E1"/>
    <w:rsid w:val="00E9039D"/>
    <w:rsid w:val="00E953F5"/>
    <w:rsid w:val="00EA22DB"/>
    <w:rsid w:val="00EA2BCA"/>
    <w:rsid w:val="00EB2FDD"/>
    <w:rsid w:val="00EB451E"/>
    <w:rsid w:val="00EC085E"/>
    <w:rsid w:val="00EC5D4B"/>
    <w:rsid w:val="00ED0256"/>
    <w:rsid w:val="00ED603D"/>
    <w:rsid w:val="00EF09A9"/>
    <w:rsid w:val="00EF6CA6"/>
    <w:rsid w:val="00F179B2"/>
    <w:rsid w:val="00F20268"/>
    <w:rsid w:val="00F217A1"/>
    <w:rsid w:val="00F252FD"/>
    <w:rsid w:val="00F25DD4"/>
    <w:rsid w:val="00F41F1F"/>
    <w:rsid w:val="00F42145"/>
    <w:rsid w:val="00F46907"/>
    <w:rsid w:val="00F50F8F"/>
    <w:rsid w:val="00F56576"/>
    <w:rsid w:val="00F57F08"/>
    <w:rsid w:val="00F609D6"/>
    <w:rsid w:val="00F613C4"/>
    <w:rsid w:val="00F64977"/>
    <w:rsid w:val="00F65DCA"/>
    <w:rsid w:val="00F66170"/>
    <w:rsid w:val="00F66D36"/>
    <w:rsid w:val="00F6766F"/>
    <w:rsid w:val="00F70C69"/>
    <w:rsid w:val="00F721B7"/>
    <w:rsid w:val="00F73684"/>
    <w:rsid w:val="00F74CA2"/>
    <w:rsid w:val="00F74D91"/>
    <w:rsid w:val="00F76464"/>
    <w:rsid w:val="00F77F59"/>
    <w:rsid w:val="00F800AE"/>
    <w:rsid w:val="00F81B74"/>
    <w:rsid w:val="00F8399F"/>
    <w:rsid w:val="00F850F7"/>
    <w:rsid w:val="00F97648"/>
    <w:rsid w:val="00FB1172"/>
    <w:rsid w:val="00FB4564"/>
    <w:rsid w:val="00FB4D42"/>
    <w:rsid w:val="00FB5240"/>
    <w:rsid w:val="00FC260F"/>
    <w:rsid w:val="00FC3BBA"/>
    <w:rsid w:val="00FD415E"/>
    <w:rsid w:val="00FD562B"/>
    <w:rsid w:val="00FD661E"/>
    <w:rsid w:val="00FF03E9"/>
    <w:rsid w:val="00FF3E08"/>
    <w:rsid w:val="00FF5091"/>
    <w:rsid w:val="00FF5747"/>
    <w:rsid w:val="00FF637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F8D48"/>
  <w15:chartTrackingRefBased/>
  <w15:docId w15:val="{71F1676E-DCC6-4806-87B1-1CE07715F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1A5"/>
    <w:pPr>
      <w:jc w:val="both"/>
    </w:pPr>
    <w:rPr>
      <w:rFonts w:ascii="Marianne" w:hAnsi="Marianne"/>
      <w:sz w:val="20"/>
    </w:rPr>
  </w:style>
  <w:style w:type="paragraph" w:styleId="Titre1">
    <w:name w:val="heading 1"/>
    <w:basedOn w:val="Normal"/>
    <w:next w:val="Normal"/>
    <w:link w:val="Titre1Car"/>
    <w:uiPriority w:val="9"/>
    <w:qFormat/>
    <w:rsid w:val="00732F00"/>
    <w:pPr>
      <w:keepNext/>
      <w:keepLines/>
      <w:spacing w:before="240" w:after="0" w:line="360" w:lineRule="auto"/>
      <w:outlineLvl w:val="0"/>
    </w:pPr>
    <w:rPr>
      <w:rFonts w:eastAsiaTheme="majorEastAsia" w:cstheme="majorBidi"/>
      <w:b/>
      <w:color w:val="FFC000"/>
      <w:sz w:val="32"/>
      <w:szCs w:val="32"/>
    </w:rPr>
  </w:style>
  <w:style w:type="paragraph" w:styleId="Titre2">
    <w:name w:val="heading 2"/>
    <w:basedOn w:val="Normal"/>
    <w:next w:val="Normal"/>
    <w:link w:val="Titre2Car"/>
    <w:uiPriority w:val="9"/>
    <w:unhideWhenUsed/>
    <w:qFormat/>
    <w:rsid w:val="00430C6D"/>
    <w:pPr>
      <w:keepNext/>
      <w:keepLines/>
      <w:spacing w:before="40" w:after="0"/>
      <w:outlineLvl w:val="1"/>
    </w:pPr>
    <w:rPr>
      <w:rFonts w:eastAsiaTheme="majorEastAsia" w:cstheme="majorBidi"/>
      <w:b/>
      <w:szCs w:val="26"/>
    </w:rPr>
  </w:style>
  <w:style w:type="paragraph" w:styleId="Titre3">
    <w:name w:val="heading 3"/>
    <w:basedOn w:val="Normal"/>
    <w:next w:val="Normal"/>
    <w:link w:val="Titre3Car"/>
    <w:uiPriority w:val="9"/>
    <w:semiHidden/>
    <w:unhideWhenUsed/>
    <w:rsid w:val="009719A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0">
    <w:name w:val="titre 1"/>
    <w:basedOn w:val="Normal"/>
    <w:link w:val="titre1Car0"/>
    <w:rsid w:val="00690D2C"/>
    <w:pPr>
      <w:spacing w:after="0" w:line="240" w:lineRule="auto"/>
      <w:ind w:left="284" w:right="-993"/>
    </w:pPr>
    <w:rPr>
      <w:b/>
      <w:bCs/>
      <w:color w:val="FFC000"/>
      <w:sz w:val="24"/>
      <w:szCs w:val="24"/>
    </w:rPr>
  </w:style>
  <w:style w:type="paragraph" w:styleId="TM1">
    <w:name w:val="toc 1"/>
    <w:aliases w:val="Pays"/>
    <w:basedOn w:val="Titre1"/>
    <w:next w:val="Normal"/>
    <w:autoRedefine/>
    <w:uiPriority w:val="39"/>
    <w:unhideWhenUsed/>
    <w:rsid w:val="00115E07"/>
    <w:pPr>
      <w:tabs>
        <w:tab w:val="right" w:leader="dot" w:pos="9062"/>
      </w:tabs>
      <w:spacing w:before="120"/>
    </w:pPr>
    <w:rPr>
      <w:noProof/>
      <w:sz w:val="20"/>
      <w:szCs w:val="28"/>
    </w:rPr>
  </w:style>
  <w:style w:type="character" w:customStyle="1" w:styleId="Titre1Car">
    <w:name w:val="Titre 1 Car"/>
    <w:basedOn w:val="Policepardfaut"/>
    <w:link w:val="Titre1"/>
    <w:uiPriority w:val="9"/>
    <w:rsid w:val="00732F00"/>
    <w:rPr>
      <w:rFonts w:ascii="Marianne" w:eastAsiaTheme="majorEastAsia" w:hAnsi="Marianne" w:cstheme="majorBidi"/>
      <w:b/>
      <w:color w:val="FFC000"/>
      <w:sz w:val="32"/>
      <w:szCs w:val="32"/>
    </w:rPr>
  </w:style>
  <w:style w:type="character" w:customStyle="1" w:styleId="titre1Car0">
    <w:name w:val="titre 1 Car"/>
    <w:basedOn w:val="Policepardfaut"/>
    <w:link w:val="titre10"/>
    <w:rsid w:val="00690D2C"/>
    <w:rPr>
      <w:rFonts w:ascii="Marianne" w:hAnsi="Marianne"/>
      <w:b/>
      <w:bCs/>
      <w:color w:val="FFC000"/>
      <w:sz w:val="24"/>
      <w:szCs w:val="24"/>
    </w:rPr>
  </w:style>
  <w:style w:type="paragraph" w:styleId="En-ttedetabledesmatires">
    <w:name w:val="TOC Heading"/>
    <w:basedOn w:val="Titre1"/>
    <w:next w:val="Normal"/>
    <w:uiPriority w:val="39"/>
    <w:unhideWhenUsed/>
    <w:rsid w:val="00B6672E"/>
    <w:pPr>
      <w:spacing w:before="480" w:after="240"/>
      <w:outlineLvl w:val="9"/>
    </w:pPr>
    <w:rPr>
      <w:lang w:eastAsia="fr-FR"/>
    </w:rPr>
  </w:style>
  <w:style w:type="paragraph" w:styleId="Sansinterligne">
    <w:name w:val="No Spacing"/>
    <w:uiPriority w:val="1"/>
    <w:rsid w:val="00430C6D"/>
    <w:pPr>
      <w:spacing w:after="0" w:line="240" w:lineRule="auto"/>
    </w:pPr>
  </w:style>
  <w:style w:type="character" w:styleId="Mentionnonrsolue">
    <w:name w:val="Unresolved Mention"/>
    <w:basedOn w:val="Policepardfaut"/>
    <w:uiPriority w:val="99"/>
    <w:semiHidden/>
    <w:unhideWhenUsed/>
    <w:rsid w:val="00CD2EF5"/>
    <w:rPr>
      <w:color w:val="605E5C"/>
      <w:shd w:val="clear" w:color="auto" w:fill="E1DFDD"/>
    </w:rPr>
  </w:style>
  <w:style w:type="character" w:styleId="Lienhypertexte">
    <w:name w:val="Hyperlink"/>
    <w:basedOn w:val="Policepardfaut"/>
    <w:uiPriority w:val="99"/>
    <w:unhideWhenUsed/>
    <w:rsid w:val="00430C6D"/>
    <w:rPr>
      <w:color w:val="0563C1" w:themeColor="hyperlink"/>
      <w:u w:val="single"/>
    </w:rPr>
  </w:style>
  <w:style w:type="character" w:customStyle="1" w:styleId="Titre2Car">
    <w:name w:val="Titre 2 Car"/>
    <w:basedOn w:val="Policepardfaut"/>
    <w:link w:val="Titre2"/>
    <w:uiPriority w:val="9"/>
    <w:rsid w:val="00430C6D"/>
    <w:rPr>
      <w:rFonts w:ascii="Marianne" w:eastAsiaTheme="majorEastAsia" w:hAnsi="Marianne" w:cstheme="majorBidi"/>
      <w:b/>
      <w:sz w:val="20"/>
      <w:szCs w:val="26"/>
    </w:rPr>
  </w:style>
  <w:style w:type="paragraph" w:styleId="TM2">
    <w:name w:val="toc 2"/>
    <w:basedOn w:val="Titre2"/>
    <w:next w:val="Normal"/>
    <w:autoRedefine/>
    <w:uiPriority w:val="39"/>
    <w:unhideWhenUsed/>
    <w:rsid w:val="00215396"/>
    <w:pPr>
      <w:numPr>
        <w:numId w:val="2"/>
      </w:numPr>
      <w:tabs>
        <w:tab w:val="right" w:leader="dot" w:pos="9062"/>
      </w:tabs>
      <w:spacing w:after="100"/>
      <w:ind w:left="360"/>
    </w:pPr>
    <w:rPr>
      <w:b w:val="0"/>
      <w:bCs/>
      <w:noProof/>
    </w:rPr>
  </w:style>
  <w:style w:type="paragraph" w:styleId="TM3">
    <w:name w:val="toc 3"/>
    <w:basedOn w:val="Normal"/>
    <w:next w:val="Normal"/>
    <w:autoRedefine/>
    <w:uiPriority w:val="39"/>
    <w:unhideWhenUsed/>
    <w:rsid w:val="006A1E52"/>
    <w:pPr>
      <w:spacing w:after="100"/>
      <w:ind w:left="400"/>
    </w:pPr>
  </w:style>
  <w:style w:type="character" w:styleId="lev">
    <w:name w:val="Strong"/>
    <w:basedOn w:val="Policepardfaut"/>
    <w:uiPriority w:val="22"/>
    <w:rsid w:val="00086E8B"/>
    <w:rPr>
      <w:b/>
      <w:bCs/>
    </w:rPr>
  </w:style>
  <w:style w:type="character" w:styleId="Accentuationlgre">
    <w:name w:val="Subtle Emphasis"/>
    <w:basedOn w:val="Policepardfaut"/>
    <w:uiPriority w:val="19"/>
    <w:rsid w:val="00086E8B"/>
    <w:rPr>
      <w:i/>
      <w:iCs/>
      <w:color w:val="404040" w:themeColor="text1" w:themeTint="BF"/>
    </w:rPr>
  </w:style>
  <w:style w:type="character" w:styleId="Lienhypertextesuivivisit">
    <w:name w:val="FollowedHyperlink"/>
    <w:basedOn w:val="Policepardfaut"/>
    <w:uiPriority w:val="99"/>
    <w:semiHidden/>
    <w:unhideWhenUsed/>
    <w:rsid w:val="00926ED7"/>
    <w:rPr>
      <w:color w:val="954F72" w:themeColor="followedHyperlink"/>
      <w:u w:val="single"/>
    </w:rPr>
  </w:style>
  <w:style w:type="character" w:customStyle="1" w:styleId="Titre3Car">
    <w:name w:val="Titre 3 Car"/>
    <w:basedOn w:val="Policepardfaut"/>
    <w:link w:val="Titre3"/>
    <w:uiPriority w:val="9"/>
    <w:semiHidden/>
    <w:rsid w:val="009719A7"/>
    <w:rPr>
      <w:rFonts w:asciiTheme="majorHAnsi" w:eastAsiaTheme="majorEastAsia" w:hAnsiTheme="majorHAnsi" w:cstheme="majorBidi"/>
      <w:color w:val="1F3763" w:themeColor="accent1" w:themeShade="7F"/>
      <w:sz w:val="24"/>
      <w:szCs w:val="24"/>
    </w:rPr>
  </w:style>
  <w:style w:type="character" w:styleId="Marquedecommentaire">
    <w:name w:val="annotation reference"/>
    <w:basedOn w:val="Policepardfaut"/>
    <w:uiPriority w:val="99"/>
    <w:semiHidden/>
    <w:unhideWhenUsed/>
    <w:rsid w:val="00747AA8"/>
    <w:rPr>
      <w:sz w:val="16"/>
      <w:szCs w:val="16"/>
    </w:rPr>
  </w:style>
  <w:style w:type="paragraph" w:styleId="Commentaire">
    <w:name w:val="annotation text"/>
    <w:basedOn w:val="Normal"/>
    <w:link w:val="CommentaireCar"/>
    <w:uiPriority w:val="99"/>
    <w:semiHidden/>
    <w:unhideWhenUsed/>
    <w:rsid w:val="00747AA8"/>
    <w:pPr>
      <w:spacing w:line="240" w:lineRule="auto"/>
    </w:pPr>
    <w:rPr>
      <w:szCs w:val="20"/>
    </w:rPr>
  </w:style>
  <w:style w:type="character" w:customStyle="1" w:styleId="CommentaireCar">
    <w:name w:val="Commentaire Car"/>
    <w:basedOn w:val="Policepardfaut"/>
    <w:link w:val="Commentaire"/>
    <w:uiPriority w:val="99"/>
    <w:semiHidden/>
    <w:rsid w:val="00747AA8"/>
    <w:rPr>
      <w:rFonts w:ascii="Marianne" w:hAnsi="Marianne"/>
      <w:sz w:val="20"/>
      <w:szCs w:val="20"/>
    </w:rPr>
  </w:style>
  <w:style w:type="paragraph" w:styleId="Objetducommentaire">
    <w:name w:val="annotation subject"/>
    <w:basedOn w:val="Commentaire"/>
    <w:next w:val="Commentaire"/>
    <w:link w:val="ObjetducommentaireCar"/>
    <w:uiPriority w:val="99"/>
    <w:semiHidden/>
    <w:unhideWhenUsed/>
    <w:rsid w:val="00747AA8"/>
    <w:rPr>
      <w:b/>
      <w:bCs/>
    </w:rPr>
  </w:style>
  <w:style w:type="character" w:customStyle="1" w:styleId="ObjetducommentaireCar">
    <w:name w:val="Objet du commentaire Car"/>
    <w:basedOn w:val="CommentaireCar"/>
    <w:link w:val="Objetducommentaire"/>
    <w:uiPriority w:val="99"/>
    <w:semiHidden/>
    <w:rsid w:val="00747AA8"/>
    <w:rPr>
      <w:rFonts w:ascii="Marianne" w:hAnsi="Marianne"/>
      <w:b/>
      <w:bCs/>
      <w:sz w:val="20"/>
      <w:szCs w:val="20"/>
    </w:rPr>
  </w:style>
  <w:style w:type="paragraph" w:styleId="Rvision">
    <w:name w:val="Revision"/>
    <w:hidden/>
    <w:uiPriority w:val="99"/>
    <w:semiHidden/>
    <w:rsid w:val="009C2630"/>
    <w:pPr>
      <w:spacing w:after="0" w:line="240" w:lineRule="auto"/>
    </w:pPr>
    <w:rPr>
      <w:rFonts w:ascii="Marianne" w:hAnsi="Marianne"/>
      <w:sz w:val="20"/>
    </w:rPr>
  </w:style>
  <w:style w:type="paragraph" w:styleId="NormalWeb">
    <w:name w:val="Normal (Web)"/>
    <w:basedOn w:val="Normal"/>
    <w:uiPriority w:val="99"/>
    <w:unhideWhenUsed/>
    <w:rsid w:val="00216CB8"/>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paragraph" w:styleId="Paragraphedeliste">
    <w:name w:val="List Paragraph"/>
    <w:basedOn w:val="Normal"/>
    <w:uiPriority w:val="34"/>
    <w:rsid w:val="001C76C6"/>
    <w:pPr>
      <w:ind w:left="720"/>
      <w:contextualSpacing/>
    </w:pPr>
  </w:style>
  <w:style w:type="paragraph" w:customStyle="1" w:styleId="BREVESECOPieddepage">
    <w:name w:val="BREVES ECO Pied de page"/>
    <w:basedOn w:val="Normal"/>
    <w:link w:val="BREVESECOPieddepageCar"/>
    <w:rsid w:val="00F217A1"/>
    <w:pPr>
      <w:spacing w:after="120"/>
      <w:jc w:val="left"/>
    </w:pPr>
    <w:rPr>
      <w:rFonts w:ascii="Marianne Light" w:hAnsi="Marianne Light"/>
      <w:sz w:val="18"/>
      <w:szCs w:val="18"/>
    </w:rPr>
  </w:style>
  <w:style w:type="character" w:customStyle="1" w:styleId="BREVESECOPieddepageCar">
    <w:name w:val="BREVES ECO Pied de page Car"/>
    <w:basedOn w:val="Policepardfaut"/>
    <w:link w:val="BREVESECOPieddepage"/>
    <w:rsid w:val="00F217A1"/>
    <w:rPr>
      <w:rFonts w:ascii="Marianne Light" w:hAnsi="Marianne Ligh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7750">
      <w:bodyDiv w:val="1"/>
      <w:marLeft w:val="0"/>
      <w:marRight w:val="0"/>
      <w:marTop w:val="0"/>
      <w:marBottom w:val="0"/>
      <w:divBdr>
        <w:top w:val="none" w:sz="0" w:space="0" w:color="auto"/>
        <w:left w:val="none" w:sz="0" w:space="0" w:color="auto"/>
        <w:bottom w:val="none" w:sz="0" w:space="0" w:color="auto"/>
        <w:right w:val="none" w:sz="0" w:space="0" w:color="auto"/>
      </w:divBdr>
    </w:div>
    <w:div w:id="4598543">
      <w:bodyDiv w:val="1"/>
      <w:marLeft w:val="0"/>
      <w:marRight w:val="0"/>
      <w:marTop w:val="0"/>
      <w:marBottom w:val="0"/>
      <w:divBdr>
        <w:top w:val="none" w:sz="0" w:space="0" w:color="auto"/>
        <w:left w:val="none" w:sz="0" w:space="0" w:color="auto"/>
        <w:bottom w:val="none" w:sz="0" w:space="0" w:color="auto"/>
        <w:right w:val="none" w:sz="0" w:space="0" w:color="auto"/>
      </w:divBdr>
    </w:div>
    <w:div w:id="7565323">
      <w:bodyDiv w:val="1"/>
      <w:marLeft w:val="0"/>
      <w:marRight w:val="0"/>
      <w:marTop w:val="0"/>
      <w:marBottom w:val="0"/>
      <w:divBdr>
        <w:top w:val="none" w:sz="0" w:space="0" w:color="auto"/>
        <w:left w:val="none" w:sz="0" w:space="0" w:color="auto"/>
        <w:bottom w:val="none" w:sz="0" w:space="0" w:color="auto"/>
        <w:right w:val="none" w:sz="0" w:space="0" w:color="auto"/>
      </w:divBdr>
    </w:div>
    <w:div w:id="10492627">
      <w:bodyDiv w:val="1"/>
      <w:marLeft w:val="0"/>
      <w:marRight w:val="0"/>
      <w:marTop w:val="0"/>
      <w:marBottom w:val="0"/>
      <w:divBdr>
        <w:top w:val="none" w:sz="0" w:space="0" w:color="auto"/>
        <w:left w:val="none" w:sz="0" w:space="0" w:color="auto"/>
        <w:bottom w:val="none" w:sz="0" w:space="0" w:color="auto"/>
        <w:right w:val="none" w:sz="0" w:space="0" w:color="auto"/>
      </w:divBdr>
    </w:div>
    <w:div w:id="12809578">
      <w:bodyDiv w:val="1"/>
      <w:marLeft w:val="0"/>
      <w:marRight w:val="0"/>
      <w:marTop w:val="0"/>
      <w:marBottom w:val="0"/>
      <w:divBdr>
        <w:top w:val="none" w:sz="0" w:space="0" w:color="auto"/>
        <w:left w:val="none" w:sz="0" w:space="0" w:color="auto"/>
        <w:bottom w:val="none" w:sz="0" w:space="0" w:color="auto"/>
        <w:right w:val="none" w:sz="0" w:space="0" w:color="auto"/>
      </w:divBdr>
    </w:div>
    <w:div w:id="14694209">
      <w:bodyDiv w:val="1"/>
      <w:marLeft w:val="0"/>
      <w:marRight w:val="0"/>
      <w:marTop w:val="0"/>
      <w:marBottom w:val="0"/>
      <w:divBdr>
        <w:top w:val="none" w:sz="0" w:space="0" w:color="auto"/>
        <w:left w:val="none" w:sz="0" w:space="0" w:color="auto"/>
        <w:bottom w:val="none" w:sz="0" w:space="0" w:color="auto"/>
        <w:right w:val="none" w:sz="0" w:space="0" w:color="auto"/>
      </w:divBdr>
    </w:div>
    <w:div w:id="26834617">
      <w:bodyDiv w:val="1"/>
      <w:marLeft w:val="0"/>
      <w:marRight w:val="0"/>
      <w:marTop w:val="0"/>
      <w:marBottom w:val="0"/>
      <w:divBdr>
        <w:top w:val="none" w:sz="0" w:space="0" w:color="auto"/>
        <w:left w:val="none" w:sz="0" w:space="0" w:color="auto"/>
        <w:bottom w:val="none" w:sz="0" w:space="0" w:color="auto"/>
        <w:right w:val="none" w:sz="0" w:space="0" w:color="auto"/>
      </w:divBdr>
    </w:div>
    <w:div w:id="28145675">
      <w:bodyDiv w:val="1"/>
      <w:marLeft w:val="0"/>
      <w:marRight w:val="0"/>
      <w:marTop w:val="0"/>
      <w:marBottom w:val="0"/>
      <w:divBdr>
        <w:top w:val="none" w:sz="0" w:space="0" w:color="auto"/>
        <w:left w:val="none" w:sz="0" w:space="0" w:color="auto"/>
        <w:bottom w:val="none" w:sz="0" w:space="0" w:color="auto"/>
        <w:right w:val="none" w:sz="0" w:space="0" w:color="auto"/>
      </w:divBdr>
    </w:div>
    <w:div w:id="43066581">
      <w:bodyDiv w:val="1"/>
      <w:marLeft w:val="0"/>
      <w:marRight w:val="0"/>
      <w:marTop w:val="0"/>
      <w:marBottom w:val="0"/>
      <w:divBdr>
        <w:top w:val="none" w:sz="0" w:space="0" w:color="auto"/>
        <w:left w:val="none" w:sz="0" w:space="0" w:color="auto"/>
        <w:bottom w:val="none" w:sz="0" w:space="0" w:color="auto"/>
        <w:right w:val="none" w:sz="0" w:space="0" w:color="auto"/>
      </w:divBdr>
    </w:div>
    <w:div w:id="50467911">
      <w:bodyDiv w:val="1"/>
      <w:marLeft w:val="0"/>
      <w:marRight w:val="0"/>
      <w:marTop w:val="0"/>
      <w:marBottom w:val="0"/>
      <w:divBdr>
        <w:top w:val="none" w:sz="0" w:space="0" w:color="auto"/>
        <w:left w:val="none" w:sz="0" w:space="0" w:color="auto"/>
        <w:bottom w:val="none" w:sz="0" w:space="0" w:color="auto"/>
        <w:right w:val="none" w:sz="0" w:space="0" w:color="auto"/>
      </w:divBdr>
    </w:div>
    <w:div w:id="59912340">
      <w:bodyDiv w:val="1"/>
      <w:marLeft w:val="0"/>
      <w:marRight w:val="0"/>
      <w:marTop w:val="0"/>
      <w:marBottom w:val="0"/>
      <w:divBdr>
        <w:top w:val="none" w:sz="0" w:space="0" w:color="auto"/>
        <w:left w:val="none" w:sz="0" w:space="0" w:color="auto"/>
        <w:bottom w:val="none" w:sz="0" w:space="0" w:color="auto"/>
        <w:right w:val="none" w:sz="0" w:space="0" w:color="auto"/>
      </w:divBdr>
    </w:div>
    <w:div w:id="60562009">
      <w:bodyDiv w:val="1"/>
      <w:marLeft w:val="0"/>
      <w:marRight w:val="0"/>
      <w:marTop w:val="0"/>
      <w:marBottom w:val="0"/>
      <w:divBdr>
        <w:top w:val="none" w:sz="0" w:space="0" w:color="auto"/>
        <w:left w:val="none" w:sz="0" w:space="0" w:color="auto"/>
        <w:bottom w:val="none" w:sz="0" w:space="0" w:color="auto"/>
        <w:right w:val="none" w:sz="0" w:space="0" w:color="auto"/>
      </w:divBdr>
    </w:div>
    <w:div w:id="63842657">
      <w:bodyDiv w:val="1"/>
      <w:marLeft w:val="0"/>
      <w:marRight w:val="0"/>
      <w:marTop w:val="0"/>
      <w:marBottom w:val="0"/>
      <w:divBdr>
        <w:top w:val="none" w:sz="0" w:space="0" w:color="auto"/>
        <w:left w:val="none" w:sz="0" w:space="0" w:color="auto"/>
        <w:bottom w:val="none" w:sz="0" w:space="0" w:color="auto"/>
        <w:right w:val="none" w:sz="0" w:space="0" w:color="auto"/>
      </w:divBdr>
    </w:div>
    <w:div w:id="69470787">
      <w:bodyDiv w:val="1"/>
      <w:marLeft w:val="0"/>
      <w:marRight w:val="0"/>
      <w:marTop w:val="0"/>
      <w:marBottom w:val="0"/>
      <w:divBdr>
        <w:top w:val="none" w:sz="0" w:space="0" w:color="auto"/>
        <w:left w:val="none" w:sz="0" w:space="0" w:color="auto"/>
        <w:bottom w:val="none" w:sz="0" w:space="0" w:color="auto"/>
        <w:right w:val="none" w:sz="0" w:space="0" w:color="auto"/>
      </w:divBdr>
    </w:div>
    <w:div w:id="85661201">
      <w:bodyDiv w:val="1"/>
      <w:marLeft w:val="0"/>
      <w:marRight w:val="0"/>
      <w:marTop w:val="0"/>
      <w:marBottom w:val="0"/>
      <w:divBdr>
        <w:top w:val="none" w:sz="0" w:space="0" w:color="auto"/>
        <w:left w:val="none" w:sz="0" w:space="0" w:color="auto"/>
        <w:bottom w:val="none" w:sz="0" w:space="0" w:color="auto"/>
        <w:right w:val="none" w:sz="0" w:space="0" w:color="auto"/>
      </w:divBdr>
    </w:div>
    <w:div w:id="86049936">
      <w:bodyDiv w:val="1"/>
      <w:marLeft w:val="0"/>
      <w:marRight w:val="0"/>
      <w:marTop w:val="0"/>
      <w:marBottom w:val="0"/>
      <w:divBdr>
        <w:top w:val="none" w:sz="0" w:space="0" w:color="auto"/>
        <w:left w:val="none" w:sz="0" w:space="0" w:color="auto"/>
        <w:bottom w:val="none" w:sz="0" w:space="0" w:color="auto"/>
        <w:right w:val="none" w:sz="0" w:space="0" w:color="auto"/>
      </w:divBdr>
    </w:div>
    <w:div w:id="98304613">
      <w:bodyDiv w:val="1"/>
      <w:marLeft w:val="0"/>
      <w:marRight w:val="0"/>
      <w:marTop w:val="0"/>
      <w:marBottom w:val="0"/>
      <w:divBdr>
        <w:top w:val="none" w:sz="0" w:space="0" w:color="auto"/>
        <w:left w:val="none" w:sz="0" w:space="0" w:color="auto"/>
        <w:bottom w:val="none" w:sz="0" w:space="0" w:color="auto"/>
        <w:right w:val="none" w:sz="0" w:space="0" w:color="auto"/>
      </w:divBdr>
    </w:div>
    <w:div w:id="108596206">
      <w:bodyDiv w:val="1"/>
      <w:marLeft w:val="0"/>
      <w:marRight w:val="0"/>
      <w:marTop w:val="0"/>
      <w:marBottom w:val="0"/>
      <w:divBdr>
        <w:top w:val="none" w:sz="0" w:space="0" w:color="auto"/>
        <w:left w:val="none" w:sz="0" w:space="0" w:color="auto"/>
        <w:bottom w:val="none" w:sz="0" w:space="0" w:color="auto"/>
        <w:right w:val="none" w:sz="0" w:space="0" w:color="auto"/>
      </w:divBdr>
    </w:div>
    <w:div w:id="117646157">
      <w:bodyDiv w:val="1"/>
      <w:marLeft w:val="0"/>
      <w:marRight w:val="0"/>
      <w:marTop w:val="0"/>
      <w:marBottom w:val="0"/>
      <w:divBdr>
        <w:top w:val="none" w:sz="0" w:space="0" w:color="auto"/>
        <w:left w:val="none" w:sz="0" w:space="0" w:color="auto"/>
        <w:bottom w:val="none" w:sz="0" w:space="0" w:color="auto"/>
        <w:right w:val="none" w:sz="0" w:space="0" w:color="auto"/>
      </w:divBdr>
    </w:div>
    <w:div w:id="117770265">
      <w:bodyDiv w:val="1"/>
      <w:marLeft w:val="0"/>
      <w:marRight w:val="0"/>
      <w:marTop w:val="0"/>
      <w:marBottom w:val="0"/>
      <w:divBdr>
        <w:top w:val="none" w:sz="0" w:space="0" w:color="auto"/>
        <w:left w:val="none" w:sz="0" w:space="0" w:color="auto"/>
        <w:bottom w:val="none" w:sz="0" w:space="0" w:color="auto"/>
        <w:right w:val="none" w:sz="0" w:space="0" w:color="auto"/>
      </w:divBdr>
    </w:div>
    <w:div w:id="121309555">
      <w:bodyDiv w:val="1"/>
      <w:marLeft w:val="0"/>
      <w:marRight w:val="0"/>
      <w:marTop w:val="0"/>
      <w:marBottom w:val="0"/>
      <w:divBdr>
        <w:top w:val="none" w:sz="0" w:space="0" w:color="auto"/>
        <w:left w:val="none" w:sz="0" w:space="0" w:color="auto"/>
        <w:bottom w:val="none" w:sz="0" w:space="0" w:color="auto"/>
        <w:right w:val="none" w:sz="0" w:space="0" w:color="auto"/>
      </w:divBdr>
    </w:div>
    <w:div w:id="150490526">
      <w:bodyDiv w:val="1"/>
      <w:marLeft w:val="0"/>
      <w:marRight w:val="0"/>
      <w:marTop w:val="0"/>
      <w:marBottom w:val="0"/>
      <w:divBdr>
        <w:top w:val="none" w:sz="0" w:space="0" w:color="auto"/>
        <w:left w:val="none" w:sz="0" w:space="0" w:color="auto"/>
        <w:bottom w:val="none" w:sz="0" w:space="0" w:color="auto"/>
        <w:right w:val="none" w:sz="0" w:space="0" w:color="auto"/>
      </w:divBdr>
    </w:div>
    <w:div w:id="154535566">
      <w:bodyDiv w:val="1"/>
      <w:marLeft w:val="0"/>
      <w:marRight w:val="0"/>
      <w:marTop w:val="0"/>
      <w:marBottom w:val="0"/>
      <w:divBdr>
        <w:top w:val="none" w:sz="0" w:space="0" w:color="auto"/>
        <w:left w:val="none" w:sz="0" w:space="0" w:color="auto"/>
        <w:bottom w:val="none" w:sz="0" w:space="0" w:color="auto"/>
        <w:right w:val="none" w:sz="0" w:space="0" w:color="auto"/>
      </w:divBdr>
    </w:div>
    <w:div w:id="155998460">
      <w:bodyDiv w:val="1"/>
      <w:marLeft w:val="0"/>
      <w:marRight w:val="0"/>
      <w:marTop w:val="0"/>
      <w:marBottom w:val="0"/>
      <w:divBdr>
        <w:top w:val="none" w:sz="0" w:space="0" w:color="auto"/>
        <w:left w:val="none" w:sz="0" w:space="0" w:color="auto"/>
        <w:bottom w:val="none" w:sz="0" w:space="0" w:color="auto"/>
        <w:right w:val="none" w:sz="0" w:space="0" w:color="auto"/>
      </w:divBdr>
    </w:div>
    <w:div w:id="168564851">
      <w:bodyDiv w:val="1"/>
      <w:marLeft w:val="0"/>
      <w:marRight w:val="0"/>
      <w:marTop w:val="0"/>
      <w:marBottom w:val="0"/>
      <w:divBdr>
        <w:top w:val="none" w:sz="0" w:space="0" w:color="auto"/>
        <w:left w:val="none" w:sz="0" w:space="0" w:color="auto"/>
        <w:bottom w:val="none" w:sz="0" w:space="0" w:color="auto"/>
        <w:right w:val="none" w:sz="0" w:space="0" w:color="auto"/>
      </w:divBdr>
    </w:div>
    <w:div w:id="168981899">
      <w:bodyDiv w:val="1"/>
      <w:marLeft w:val="0"/>
      <w:marRight w:val="0"/>
      <w:marTop w:val="0"/>
      <w:marBottom w:val="0"/>
      <w:divBdr>
        <w:top w:val="none" w:sz="0" w:space="0" w:color="auto"/>
        <w:left w:val="none" w:sz="0" w:space="0" w:color="auto"/>
        <w:bottom w:val="none" w:sz="0" w:space="0" w:color="auto"/>
        <w:right w:val="none" w:sz="0" w:space="0" w:color="auto"/>
      </w:divBdr>
    </w:div>
    <w:div w:id="173495187">
      <w:bodyDiv w:val="1"/>
      <w:marLeft w:val="0"/>
      <w:marRight w:val="0"/>
      <w:marTop w:val="0"/>
      <w:marBottom w:val="0"/>
      <w:divBdr>
        <w:top w:val="none" w:sz="0" w:space="0" w:color="auto"/>
        <w:left w:val="none" w:sz="0" w:space="0" w:color="auto"/>
        <w:bottom w:val="none" w:sz="0" w:space="0" w:color="auto"/>
        <w:right w:val="none" w:sz="0" w:space="0" w:color="auto"/>
      </w:divBdr>
    </w:div>
    <w:div w:id="177739001">
      <w:bodyDiv w:val="1"/>
      <w:marLeft w:val="0"/>
      <w:marRight w:val="0"/>
      <w:marTop w:val="0"/>
      <w:marBottom w:val="0"/>
      <w:divBdr>
        <w:top w:val="none" w:sz="0" w:space="0" w:color="auto"/>
        <w:left w:val="none" w:sz="0" w:space="0" w:color="auto"/>
        <w:bottom w:val="none" w:sz="0" w:space="0" w:color="auto"/>
        <w:right w:val="none" w:sz="0" w:space="0" w:color="auto"/>
      </w:divBdr>
    </w:div>
    <w:div w:id="203030538">
      <w:bodyDiv w:val="1"/>
      <w:marLeft w:val="0"/>
      <w:marRight w:val="0"/>
      <w:marTop w:val="0"/>
      <w:marBottom w:val="0"/>
      <w:divBdr>
        <w:top w:val="none" w:sz="0" w:space="0" w:color="auto"/>
        <w:left w:val="none" w:sz="0" w:space="0" w:color="auto"/>
        <w:bottom w:val="none" w:sz="0" w:space="0" w:color="auto"/>
        <w:right w:val="none" w:sz="0" w:space="0" w:color="auto"/>
      </w:divBdr>
    </w:div>
    <w:div w:id="205026840">
      <w:bodyDiv w:val="1"/>
      <w:marLeft w:val="0"/>
      <w:marRight w:val="0"/>
      <w:marTop w:val="0"/>
      <w:marBottom w:val="0"/>
      <w:divBdr>
        <w:top w:val="none" w:sz="0" w:space="0" w:color="auto"/>
        <w:left w:val="none" w:sz="0" w:space="0" w:color="auto"/>
        <w:bottom w:val="none" w:sz="0" w:space="0" w:color="auto"/>
        <w:right w:val="none" w:sz="0" w:space="0" w:color="auto"/>
      </w:divBdr>
    </w:div>
    <w:div w:id="221185238">
      <w:bodyDiv w:val="1"/>
      <w:marLeft w:val="0"/>
      <w:marRight w:val="0"/>
      <w:marTop w:val="0"/>
      <w:marBottom w:val="0"/>
      <w:divBdr>
        <w:top w:val="none" w:sz="0" w:space="0" w:color="auto"/>
        <w:left w:val="none" w:sz="0" w:space="0" w:color="auto"/>
        <w:bottom w:val="none" w:sz="0" w:space="0" w:color="auto"/>
        <w:right w:val="none" w:sz="0" w:space="0" w:color="auto"/>
      </w:divBdr>
    </w:div>
    <w:div w:id="229004660">
      <w:bodyDiv w:val="1"/>
      <w:marLeft w:val="0"/>
      <w:marRight w:val="0"/>
      <w:marTop w:val="0"/>
      <w:marBottom w:val="0"/>
      <w:divBdr>
        <w:top w:val="none" w:sz="0" w:space="0" w:color="auto"/>
        <w:left w:val="none" w:sz="0" w:space="0" w:color="auto"/>
        <w:bottom w:val="none" w:sz="0" w:space="0" w:color="auto"/>
        <w:right w:val="none" w:sz="0" w:space="0" w:color="auto"/>
      </w:divBdr>
    </w:div>
    <w:div w:id="231552667">
      <w:bodyDiv w:val="1"/>
      <w:marLeft w:val="0"/>
      <w:marRight w:val="0"/>
      <w:marTop w:val="0"/>
      <w:marBottom w:val="0"/>
      <w:divBdr>
        <w:top w:val="none" w:sz="0" w:space="0" w:color="auto"/>
        <w:left w:val="none" w:sz="0" w:space="0" w:color="auto"/>
        <w:bottom w:val="none" w:sz="0" w:space="0" w:color="auto"/>
        <w:right w:val="none" w:sz="0" w:space="0" w:color="auto"/>
      </w:divBdr>
    </w:div>
    <w:div w:id="240723984">
      <w:bodyDiv w:val="1"/>
      <w:marLeft w:val="0"/>
      <w:marRight w:val="0"/>
      <w:marTop w:val="0"/>
      <w:marBottom w:val="0"/>
      <w:divBdr>
        <w:top w:val="none" w:sz="0" w:space="0" w:color="auto"/>
        <w:left w:val="none" w:sz="0" w:space="0" w:color="auto"/>
        <w:bottom w:val="none" w:sz="0" w:space="0" w:color="auto"/>
        <w:right w:val="none" w:sz="0" w:space="0" w:color="auto"/>
      </w:divBdr>
    </w:div>
    <w:div w:id="242762993">
      <w:bodyDiv w:val="1"/>
      <w:marLeft w:val="0"/>
      <w:marRight w:val="0"/>
      <w:marTop w:val="0"/>
      <w:marBottom w:val="0"/>
      <w:divBdr>
        <w:top w:val="none" w:sz="0" w:space="0" w:color="auto"/>
        <w:left w:val="none" w:sz="0" w:space="0" w:color="auto"/>
        <w:bottom w:val="none" w:sz="0" w:space="0" w:color="auto"/>
        <w:right w:val="none" w:sz="0" w:space="0" w:color="auto"/>
      </w:divBdr>
    </w:div>
    <w:div w:id="246572861">
      <w:bodyDiv w:val="1"/>
      <w:marLeft w:val="0"/>
      <w:marRight w:val="0"/>
      <w:marTop w:val="0"/>
      <w:marBottom w:val="0"/>
      <w:divBdr>
        <w:top w:val="none" w:sz="0" w:space="0" w:color="auto"/>
        <w:left w:val="none" w:sz="0" w:space="0" w:color="auto"/>
        <w:bottom w:val="none" w:sz="0" w:space="0" w:color="auto"/>
        <w:right w:val="none" w:sz="0" w:space="0" w:color="auto"/>
      </w:divBdr>
      <w:divsChild>
        <w:div w:id="469904241">
          <w:marLeft w:val="0"/>
          <w:marRight w:val="0"/>
          <w:marTop w:val="0"/>
          <w:marBottom w:val="0"/>
          <w:divBdr>
            <w:top w:val="none" w:sz="0" w:space="0" w:color="auto"/>
            <w:left w:val="none" w:sz="0" w:space="0" w:color="auto"/>
            <w:bottom w:val="none" w:sz="0" w:space="0" w:color="auto"/>
            <w:right w:val="none" w:sz="0" w:space="0" w:color="auto"/>
          </w:divBdr>
          <w:divsChild>
            <w:div w:id="286861232">
              <w:marLeft w:val="0"/>
              <w:marRight w:val="0"/>
              <w:marTop w:val="0"/>
              <w:marBottom w:val="0"/>
              <w:divBdr>
                <w:top w:val="none" w:sz="0" w:space="0" w:color="auto"/>
                <w:left w:val="none" w:sz="0" w:space="0" w:color="auto"/>
                <w:bottom w:val="none" w:sz="0" w:space="0" w:color="auto"/>
                <w:right w:val="none" w:sz="0" w:space="0" w:color="auto"/>
              </w:divBdr>
              <w:divsChild>
                <w:div w:id="1189029694">
                  <w:marLeft w:val="0"/>
                  <w:marRight w:val="0"/>
                  <w:marTop w:val="0"/>
                  <w:marBottom w:val="0"/>
                  <w:divBdr>
                    <w:top w:val="none" w:sz="0" w:space="0" w:color="auto"/>
                    <w:left w:val="none" w:sz="0" w:space="0" w:color="auto"/>
                    <w:bottom w:val="none" w:sz="0" w:space="0" w:color="auto"/>
                    <w:right w:val="none" w:sz="0" w:space="0" w:color="auto"/>
                  </w:divBdr>
                  <w:divsChild>
                    <w:div w:id="411976073">
                      <w:marLeft w:val="0"/>
                      <w:marRight w:val="0"/>
                      <w:marTop w:val="0"/>
                      <w:marBottom w:val="0"/>
                      <w:divBdr>
                        <w:top w:val="none" w:sz="0" w:space="0" w:color="auto"/>
                        <w:left w:val="none" w:sz="0" w:space="0" w:color="auto"/>
                        <w:bottom w:val="none" w:sz="0" w:space="0" w:color="auto"/>
                        <w:right w:val="none" w:sz="0" w:space="0" w:color="auto"/>
                      </w:divBdr>
                      <w:divsChild>
                        <w:div w:id="189300595">
                          <w:marLeft w:val="0"/>
                          <w:marRight w:val="0"/>
                          <w:marTop w:val="0"/>
                          <w:marBottom w:val="0"/>
                          <w:divBdr>
                            <w:top w:val="none" w:sz="0" w:space="0" w:color="auto"/>
                            <w:left w:val="none" w:sz="0" w:space="0" w:color="auto"/>
                            <w:bottom w:val="none" w:sz="0" w:space="0" w:color="auto"/>
                            <w:right w:val="none" w:sz="0" w:space="0" w:color="auto"/>
                          </w:divBdr>
                          <w:divsChild>
                            <w:div w:id="1357273465">
                              <w:marLeft w:val="0"/>
                              <w:marRight w:val="0"/>
                              <w:marTop w:val="0"/>
                              <w:marBottom w:val="0"/>
                              <w:divBdr>
                                <w:top w:val="none" w:sz="0" w:space="0" w:color="auto"/>
                                <w:left w:val="none" w:sz="0" w:space="0" w:color="auto"/>
                                <w:bottom w:val="none" w:sz="0" w:space="0" w:color="auto"/>
                                <w:right w:val="none" w:sz="0" w:space="0" w:color="auto"/>
                              </w:divBdr>
                              <w:divsChild>
                                <w:div w:id="2062828274">
                                  <w:marLeft w:val="0"/>
                                  <w:marRight w:val="0"/>
                                  <w:marTop w:val="0"/>
                                  <w:marBottom w:val="0"/>
                                  <w:divBdr>
                                    <w:top w:val="none" w:sz="0" w:space="0" w:color="auto"/>
                                    <w:left w:val="none" w:sz="0" w:space="0" w:color="auto"/>
                                    <w:bottom w:val="none" w:sz="0" w:space="0" w:color="auto"/>
                                    <w:right w:val="none" w:sz="0" w:space="0" w:color="auto"/>
                                  </w:divBdr>
                                  <w:divsChild>
                                    <w:div w:id="2052725258">
                                      <w:marLeft w:val="0"/>
                                      <w:marRight w:val="0"/>
                                      <w:marTop w:val="0"/>
                                      <w:marBottom w:val="0"/>
                                      <w:divBdr>
                                        <w:top w:val="none" w:sz="0" w:space="0" w:color="auto"/>
                                        <w:left w:val="none" w:sz="0" w:space="0" w:color="auto"/>
                                        <w:bottom w:val="none" w:sz="0" w:space="0" w:color="auto"/>
                                        <w:right w:val="none" w:sz="0" w:space="0" w:color="auto"/>
                                      </w:divBdr>
                                      <w:divsChild>
                                        <w:div w:id="972250195">
                                          <w:marLeft w:val="0"/>
                                          <w:marRight w:val="0"/>
                                          <w:marTop w:val="0"/>
                                          <w:marBottom w:val="0"/>
                                          <w:divBdr>
                                            <w:top w:val="none" w:sz="0" w:space="0" w:color="auto"/>
                                            <w:left w:val="none" w:sz="0" w:space="0" w:color="auto"/>
                                            <w:bottom w:val="none" w:sz="0" w:space="0" w:color="auto"/>
                                            <w:right w:val="none" w:sz="0" w:space="0" w:color="auto"/>
                                          </w:divBdr>
                                          <w:divsChild>
                                            <w:div w:id="40627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9695909">
          <w:marLeft w:val="0"/>
          <w:marRight w:val="0"/>
          <w:marTop w:val="0"/>
          <w:marBottom w:val="0"/>
          <w:divBdr>
            <w:top w:val="none" w:sz="0" w:space="0" w:color="auto"/>
            <w:left w:val="none" w:sz="0" w:space="0" w:color="auto"/>
            <w:bottom w:val="none" w:sz="0" w:space="0" w:color="auto"/>
            <w:right w:val="none" w:sz="0" w:space="0" w:color="auto"/>
          </w:divBdr>
          <w:divsChild>
            <w:div w:id="870918749">
              <w:marLeft w:val="0"/>
              <w:marRight w:val="0"/>
              <w:marTop w:val="0"/>
              <w:marBottom w:val="0"/>
              <w:divBdr>
                <w:top w:val="none" w:sz="0" w:space="0" w:color="auto"/>
                <w:left w:val="none" w:sz="0" w:space="0" w:color="auto"/>
                <w:bottom w:val="none" w:sz="0" w:space="0" w:color="auto"/>
                <w:right w:val="none" w:sz="0" w:space="0" w:color="auto"/>
              </w:divBdr>
              <w:divsChild>
                <w:div w:id="532574180">
                  <w:marLeft w:val="0"/>
                  <w:marRight w:val="0"/>
                  <w:marTop w:val="0"/>
                  <w:marBottom w:val="0"/>
                  <w:divBdr>
                    <w:top w:val="none" w:sz="0" w:space="0" w:color="auto"/>
                    <w:left w:val="none" w:sz="0" w:space="0" w:color="auto"/>
                    <w:bottom w:val="none" w:sz="0" w:space="0" w:color="auto"/>
                    <w:right w:val="none" w:sz="0" w:space="0" w:color="auto"/>
                  </w:divBdr>
                  <w:divsChild>
                    <w:div w:id="1912037220">
                      <w:marLeft w:val="0"/>
                      <w:marRight w:val="0"/>
                      <w:marTop w:val="0"/>
                      <w:marBottom w:val="0"/>
                      <w:divBdr>
                        <w:top w:val="none" w:sz="0" w:space="0" w:color="auto"/>
                        <w:left w:val="none" w:sz="0" w:space="0" w:color="auto"/>
                        <w:bottom w:val="none" w:sz="0" w:space="0" w:color="auto"/>
                        <w:right w:val="none" w:sz="0" w:space="0" w:color="auto"/>
                      </w:divBdr>
                      <w:divsChild>
                        <w:div w:id="1985963435">
                          <w:marLeft w:val="0"/>
                          <w:marRight w:val="0"/>
                          <w:marTop w:val="0"/>
                          <w:marBottom w:val="0"/>
                          <w:divBdr>
                            <w:top w:val="none" w:sz="0" w:space="0" w:color="auto"/>
                            <w:left w:val="none" w:sz="0" w:space="0" w:color="auto"/>
                            <w:bottom w:val="none" w:sz="0" w:space="0" w:color="auto"/>
                            <w:right w:val="none" w:sz="0" w:space="0" w:color="auto"/>
                          </w:divBdr>
                          <w:divsChild>
                            <w:div w:id="1845049161">
                              <w:marLeft w:val="0"/>
                              <w:marRight w:val="0"/>
                              <w:marTop w:val="0"/>
                              <w:marBottom w:val="0"/>
                              <w:divBdr>
                                <w:top w:val="none" w:sz="0" w:space="0" w:color="auto"/>
                                <w:left w:val="none" w:sz="0" w:space="0" w:color="auto"/>
                                <w:bottom w:val="none" w:sz="0" w:space="0" w:color="auto"/>
                                <w:right w:val="none" w:sz="0" w:space="0" w:color="auto"/>
                              </w:divBdr>
                              <w:divsChild>
                                <w:div w:id="1809199140">
                                  <w:marLeft w:val="0"/>
                                  <w:marRight w:val="0"/>
                                  <w:marTop w:val="0"/>
                                  <w:marBottom w:val="0"/>
                                  <w:divBdr>
                                    <w:top w:val="none" w:sz="0" w:space="0" w:color="auto"/>
                                    <w:left w:val="none" w:sz="0" w:space="0" w:color="auto"/>
                                    <w:bottom w:val="none" w:sz="0" w:space="0" w:color="auto"/>
                                    <w:right w:val="none" w:sz="0" w:space="0" w:color="auto"/>
                                  </w:divBdr>
                                  <w:divsChild>
                                    <w:div w:id="822742807">
                                      <w:marLeft w:val="0"/>
                                      <w:marRight w:val="0"/>
                                      <w:marTop w:val="0"/>
                                      <w:marBottom w:val="0"/>
                                      <w:divBdr>
                                        <w:top w:val="none" w:sz="0" w:space="0" w:color="auto"/>
                                        <w:left w:val="none" w:sz="0" w:space="0" w:color="auto"/>
                                        <w:bottom w:val="none" w:sz="0" w:space="0" w:color="auto"/>
                                        <w:right w:val="none" w:sz="0" w:space="0" w:color="auto"/>
                                      </w:divBdr>
                                      <w:divsChild>
                                        <w:div w:id="74823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8852845">
      <w:bodyDiv w:val="1"/>
      <w:marLeft w:val="0"/>
      <w:marRight w:val="0"/>
      <w:marTop w:val="0"/>
      <w:marBottom w:val="0"/>
      <w:divBdr>
        <w:top w:val="none" w:sz="0" w:space="0" w:color="auto"/>
        <w:left w:val="none" w:sz="0" w:space="0" w:color="auto"/>
        <w:bottom w:val="none" w:sz="0" w:space="0" w:color="auto"/>
        <w:right w:val="none" w:sz="0" w:space="0" w:color="auto"/>
      </w:divBdr>
    </w:div>
    <w:div w:id="258686599">
      <w:bodyDiv w:val="1"/>
      <w:marLeft w:val="0"/>
      <w:marRight w:val="0"/>
      <w:marTop w:val="0"/>
      <w:marBottom w:val="0"/>
      <w:divBdr>
        <w:top w:val="none" w:sz="0" w:space="0" w:color="auto"/>
        <w:left w:val="none" w:sz="0" w:space="0" w:color="auto"/>
        <w:bottom w:val="none" w:sz="0" w:space="0" w:color="auto"/>
        <w:right w:val="none" w:sz="0" w:space="0" w:color="auto"/>
      </w:divBdr>
    </w:div>
    <w:div w:id="277613249">
      <w:bodyDiv w:val="1"/>
      <w:marLeft w:val="0"/>
      <w:marRight w:val="0"/>
      <w:marTop w:val="0"/>
      <w:marBottom w:val="0"/>
      <w:divBdr>
        <w:top w:val="none" w:sz="0" w:space="0" w:color="auto"/>
        <w:left w:val="none" w:sz="0" w:space="0" w:color="auto"/>
        <w:bottom w:val="none" w:sz="0" w:space="0" w:color="auto"/>
        <w:right w:val="none" w:sz="0" w:space="0" w:color="auto"/>
      </w:divBdr>
    </w:div>
    <w:div w:id="291836368">
      <w:bodyDiv w:val="1"/>
      <w:marLeft w:val="0"/>
      <w:marRight w:val="0"/>
      <w:marTop w:val="0"/>
      <w:marBottom w:val="0"/>
      <w:divBdr>
        <w:top w:val="none" w:sz="0" w:space="0" w:color="auto"/>
        <w:left w:val="none" w:sz="0" w:space="0" w:color="auto"/>
        <w:bottom w:val="none" w:sz="0" w:space="0" w:color="auto"/>
        <w:right w:val="none" w:sz="0" w:space="0" w:color="auto"/>
      </w:divBdr>
    </w:div>
    <w:div w:id="303003865">
      <w:bodyDiv w:val="1"/>
      <w:marLeft w:val="0"/>
      <w:marRight w:val="0"/>
      <w:marTop w:val="0"/>
      <w:marBottom w:val="0"/>
      <w:divBdr>
        <w:top w:val="none" w:sz="0" w:space="0" w:color="auto"/>
        <w:left w:val="none" w:sz="0" w:space="0" w:color="auto"/>
        <w:bottom w:val="none" w:sz="0" w:space="0" w:color="auto"/>
        <w:right w:val="none" w:sz="0" w:space="0" w:color="auto"/>
      </w:divBdr>
    </w:div>
    <w:div w:id="305398884">
      <w:bodyDiv w:val="1"/>
      <w:marLeft w:val="0"/>
      <w:marRight w:val="0"/>
      <w:marTop w:val="0"/>
      <w:marBottom w:val="0"/>
      <w:divBdr>
        <w:top w:val="none" w:sz="0" w:space="0" w:color="auto"/>
        <w:left w:val="none" w:sz="0" w:space="0" w:color="auto"/>
        <w:bottom w:val="none" w:sz="0" w:space="0" w:color="auto"/>
        <w:right w:val="none" w:sz="0" w:space="0" w:color="auto"/>
      </w:divBdr>
    </w:div>
    <w:div w:id="317466660">
      <w:bodyDiv w:val="1"/>
      <w:marLeft w:val="0"/>
      <w:marRight w:val="0"/>
      <w:marTop w:val="0"/>
      <w:marBottom w:val="0"/>
      <w:divBdr>
        <w:top w:val="none" w:sz="0" w:space="0" w:color="auto"/>
        <w:left w:val="none" w:sz="0" w:space="0" w:color="auto"/>
        <w:bottom w:val="none" w:sz="0" w:space="0" w:color="auto"/>
        <w:right w:val="none" w:sz="0" w:space="0" w:color="auto"/>
      </w:divBdr>
    </w:div>
    <w:div w:id="320305859">
      <w:bodyDiv w:val="1"/>
      <w:marLeft w:val="0"/>
      <w:marRight w:val="0"/>
      <w:marTop w:val="0"/>
      <w:marBottom w:val="0"/>
      <w:divBdr>
        <w:top w:val="none" w:sz="0" w:space="0" w:color="auto"/>
        <w:left w:val="none" w:sz="0" w:space="0" w:color="auto"/>
        <w:bottom w:val="none" w:sz="0" w:space="0" w:color="auto"/>
        <w:right w:val="none" w:sz="0" w:space="0" w:color="auto"/>
      </w:divBdr>
    </w:div>
    <w:div w:id="320893099">
      <w:bodyDiv w:val="1"/>
      <w:marLeft w:val="0"/>
      <w:marRight w:val="0"/>
      <w:marTop w:val="0"/>
      <w:marBottom w:val="0"/>
      <w:divBdr>
        <w:top w:val="none" w:sz="0" w:space="0" w:color="auto"/>
        <w:left w:val="none" w:sz="0" w:space="0" w:color="auto"/>
        <w:bottom w:val="none" w:sz="0" w:space="0" w:color="auto"/>
        <w:right w:val="none" w:sz="0" w:space="0" w:color="auto"/>
      </w:divBdr>
    </w:div>
    <w:div w:id="342047931">
      <w:bodyDiv w:val="1"/>
      <w:marLeft w:val="0"/>
      <w:marRight w:val="0"/>
      <w:marTop w:val="0"/>
      <w:marBottom w:val="0"/>
      <w:divBdr>
        <w:top w:val="none" w:sz="0" w:space="0" w:color="auto"/>
        <w:left w:val="none" w:sz="0" w:space="0" w:color="auto"/>
        <w:bottom w:val="none" w:sz="0" w:space="0" w:color="auto"/>
        <w:right w:val="none" w:sz="0" w:space="0" w:color="auto"/>
      </w:divBdr>
    </w:div>
    <w:div w:id="360667374">
      <w:bodyDiv w:val="1"/>
      <w:marLeft w:val="0"/>
      <w:marRight w:val="0"/>
      <w:marTop w:val="0"/>
      <w:marBottom w:val="0"/>
      <w:divBdr>
        <w:top w:val="none" w:sz="0" w:space="0" w:color="auto"/>
        <w:left w:val="none" w:sz="0" w:space="0" w:color="auto"/>
        <w:bottom w:val="none" w:sz="0" w:space="0" w:color="auto"/>
        <w:right w:val="none" w:sz="0" w:space="0" w:color="auto"/>
      </w:divBdr>
    </w:div>
    <w:div w:id="382681654">
      <w:bodyDiv w:val="1"/>
      <w:marLeft w:val="0"/>
      <w:marRight w:val="0"/>
      <w:marTop w:val="0"/>
      <w:marBottom w:val="0"/>
      <w:divBdr>
        <w:top w:val="none" w:sz="0" w:space="0" w:color="auto"/>
        <w:left w:val="none" w:sz="0" w:space="0" w:color="auto"/>
        <w:bottom w:val="none" w:sz="0" w:space="0" w:color="auto"/>
        <w:right w:val="none" w:sz="0" w:space="0" w:color="auto"/>
      </w:divBdr>
    </w:div>
    <w:div w:id="383913698">
      <w:bodyDiv w:val="1"/>
      <w:marLeft w:val="0"/>
      <w:marRight w:val="0"/>
      <w:marTop w:val="0"/>
      <w:marBottom w:val="0"/>
      <w:divBdr>
        <w:top w:val="none" w:sz="0" w:space="0" w:color="auto"/>
        <w:left w:val="none" w:sz="0" w:space="0" w:color="auto"/>
        <w:bottom w:val="none" w:sz="0" w:space="0" w:color="auto"/>
        <w:right w:val="none" w:sz="0" w:space="0" w:color="auto"/>
      </w:divBdr>
    </w:div>
    <w:div w:id="386728017">
      <w:bodyDiv w:val="1"/>
      <w:marLeft w:val="0"/>
      <w:marRight w:val="0"/>
      <w:marTop w:val="0"/>
      <w:marBottom w:val="0"/>
      <w:divBdr>
        <w:top w:val="none" w:sz="0" w:space="0" w:color="auto"/>
        <w:left w:val="none" w:sz="0" w:space="0" w:color="auto"/>
        <w:bottom w:val="none" w:sz="0" w:space="0" w:color="auto"/>
        <w:right w:val="none" w:sz="0" w:space="0" w:color="auto"/>
      </w:divBdr>
    </w:div>
    <w:div w:id="410003826">
      <w:bodyDiv w:val="1"/>
      <w:marLeft w:val="0"/>
      <w:marRight w:val="0"/>
      <w:marTop w:val="0"/>
      <w:marBottom w:val="0"/>
      <w:divBdr>
        <w:top w:val="none" w:sz="0" w:space="0" w:color="auto"/>
        <w:left w:val="none" w:sz="0" w:space="0" w:color="auto"/>
        <w:bottom w:val="none" w:sz="0" w:space="0" w:color="auto"/>
        <w:right w:val="none" w:sz="0" w:space="0" w:color="auto"/>
      </w:divBdr>
      <w:divsChild>
        <w:div w:id="800197490">
          <w:marLeft w:val="0"/>
          <w:marRight w:val="0"/>
          <w:marTop w:val="0"/>
          <w:marBottom w:val="0"/>
          <w:divBdr>
            <w:top w:val="none" w:sz="0" w:space="0" w:color="auto"/>
            <w:left w:val="none" w:sz="0" w:space="0" w:color="auto"/>
            <w:bottom w:val="none" w:sz="0" w:space="0" w:color="auto"/>
            <w:right w:val="none" w:sz="0" w:space="0" w:color="auto"/>
          </w:divBdr>
          <w:divsChild>
            <w:div w:id="677583164">
              <w:marLeft w:val="0"/>
              <w:marRight w:val="0"/>
              <w:marTop w:val="0"/>
              <w:marBottom w:val="0"/>
              <w:divBdr>
                <w:top w:val="none" w:sz="0" w:space="0" w:color="auto"/>
                <w:left w:val="none" w:sz="0" w:space="0" w:color="auto"/>
                <w:bottom w:val="none" w:sz="0" w:space="0" w:color="auto"/>
                <w:right w:val="none" w:sz="0" w:space="0" w:color="auto"/>
              </w:divBdr>
              <w:divsChild>
                <w:div w:id="867255075">
                  <w:marLeft w:val="0"/>
                  <w:marRight w:val="0"/>
                  <w:marTop w:val="0"/>
                  <w:marBottom w:val="0"/>
                  <w:divBdr>
                    <w:top w:val="none" w:sz="0" w:space="0" w:color="auto"/>
                    <w:left w:val="none" w:sz="0" w:space="0" w:color="auto"/>
                    <w:bottom w:val="none" w:sz="0" w:space="0" w:color="auto"/>
                    <w:right w:val="none" w:sz="0" w:space="0" w:color="auto"/>
                  </w:divBdr>
                  <w:divsChild>
                    <w:div w:id="682978363">
                      <w:marLeft w:val="0"/>
                      <w:marRight w:val="0"/>
                      <w:marTop w:val="0"/>
                      <w:marBottom w:val="0"/>
                      <w:divBdr>
                        <w:top w:val="none" w:sz="0" w:space="0" w:color="auto"/>
                        <w:left w:val="none" w:sz="0" w:space="0" w:color="auto"/>
                        <w:bottom w:val="none" w:sz="0" w:space="0" w:color="auto"/>
                        <w:right w:val="none" w:sz="0" w:space="0" w:color="auto"/>
                      </w:divBdr>
                      <w:divsChild>
                        <w:div w:id="656420505">
                          <w:marLeft w:val="0"/>
                          <w:marRight w:val="0"/>
                          <w:marTop w:val="0"/>
                          <w:marBottom w:val="0"/>
                          <w:divBdr>
                            <w:top w:val="none" w:sz="0" w:space="0" w:color="auto"/>
                            <w:left w:val="none" w:sz="0" w:space="0" w:color="auto"/>
                            <w:bottom w:val="none" w:sz="0" w:space="0" w:color="auto"/>
                            <w:right w:val="none" w:sz="0" w:space="0" w:color="auto"/>
                          </w:divBdr>
                          <w:divsChild>
                            <w:div w:id="115679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1588385">
      <w:bodyDiv w:val="1"/>
      <w:marLeft w:val="0"/>
      <w:marRight w:val="0"/>
      <w:marTop w:val="0"/>
      <w:marBottom w:val="0"/>
      <w:divBdr>
        <w:top w:val="none" w:sz="0" w:space="0" w:color="auto"/>
        <w:left w:val="none" w:sz="0" w:space="0" w:color="auto"/>
        <w:bottom w:val="none" w:sz="0" w:space="0" w:color="auto"/>
        <w:right w:val="none" w:sz="0" w:space="0" w:color="auto"/>
      </w:divBdr>
    </w:div>
    <w:div w:id="439642374">
      <w:bodyDiv w:val="1"/>
      <w:marLeft w:val="0"/>
      <w:marRight w:val="0"/>
      <w:marTop w:val="0"/>
      <w:marBottom w:val="0"/>
      <w:divBdr>
        <w:top w:val="none" w:sz="0" w:space="0" w:color="auto"/>
        <w:left w:val="none" w:sz="0" w:space="0" w:color="auto"/>
        <w:bottom w:val="none" w:sz="0" w:space="0" w:color="auto"/>
        <w:right w:val="none" w:sz="0" w:space="0" w:color="auto"/>
      </w:divBdr>
    </w:div>
    <w:div w:id="439684404">
      <w:bodyDiv w:val="1"/>
      <w:marLeft w:val="0"/>
      <w:marRight w:val="0"/>
      <w:marTop w:val="0"/>
      <w:marBottom w:val="0"/>
      <w:divBdr>
        <w:top w:val="none" w:sz="0" w:space="0" w:color="auto"/>
        <w:left w:val="none" w:sz="0" w:space="0" w:color="auto"/>
        <w:bottom w:val="none" w:sz="0" w:space="0" w:color="auto"/>
        <w:right w:val="none" w:sz="0" w:space="0" w:color="auto"/>
      </w:divBdr>
    </w:div>
    <w:div w:id="448552706">
      <w:bodyDiv w:val="1"/>
      <w:marLeft w:val="0"/>
      <w:marRight w:val="0"/>
      <w:marTop w:val="0"/>
      <w:marBottom w:val="0"/>
      <w:divBdr>
        <w:top w:val="none" w:sz="0" w:space="0" w:color="auto"/>
        <w:left w:val="none" w:sz="0" w:space="0" w:color="auto"/>
        <w:bottom w:val="none" w:sz="0" w:space="0" w:color="auto"/>
        <w:right w:val="none" w:sz="0" w:space="0" w:color="auto"/>
      </w:divBdr>
    </w:div>
    <w:div w:id="456065403">
      <w:bodyDiv w:val="1"/>
      <w:marLeft w:val="0"/>
      <w:marRight w:val="0"/>
      <w:marTop w:val="0"/>
      <w:marBottom w:val="0"/>
      <w:divBdr>
        <w:top w:val="none" w:sz="0" w:space="0" w:color="auto"/>
        <w:left w:val="none" w:sz="0" w:space="0" w:color="auto"/>
        <w:bottom w:val="none" w:sz="0" w:space="0" w:color="auto"/>
        <w:right w:val="none" w:sz="0" w:space="0" w:color="auto"/>
      </w:divBdr>
    </w:div>
    <w:div w:id="456996842">
      <w:bodyDiv w:val="1"/>
      <w:marLeft w:val="0"/>
      <w:marRight w:val="0"/>
      <w:marTop w:val="0"/>
      <w:marBottom w:val="0"/>
      <w:divBdr>
        <w:top w:val="none" w:sz="0" w:space="0" w:color="auto"/>
        <w:left w:val="none" w:sz="0" w:space="0" w:color="auto"/>
        <w:bottom w:val="none" w:sz="0" w:space="0" w:color="auto"/>
        <w:right w:val="none" w:sz="0" w:space="0" w:color="auto"/>
      </w:divBdr>
    </w:div>
    <w:div w:id="458576902">
      <w:bodyDiv w:val="1"/>
      <w:marLeft w:val="0"/>
      <w:marRight w:val="0"/>
      <w:marTop w:val="0"/>
      <w:marBottom w:val="0"/>
      <w:divBdr>
        <w:top w:val="none" w:sz="0" w:space="0" w:color="auto"/>
        <w:left w:val="none" w:sz="0" w:space="0" w:color="auto"/>
        <w:bottom w:val="none" w:sz="0" w:space="0" w:color="auto"/>
        <w:right w:val="none" w:sz="0" w:space="0" w:color="auto"/>
      </w:divBdr>
    </w:div>
    <w:div w:id="462424793">
      <w:bodyDiv w:val="1"/>
      <w:marLeft w:val="0"/>
      <w:marRight w:val="0"/>
      <w:marTop w:val="0"/>
      <w:marBottom w:val="0"/>
      <w:divBdr>
        <w:top w:val="none" w:sz="0" w:space="0" w:color="auto"/>
        <w:left w:val="none" w:sz="0" w:space="0" w:color="auto"/>
        <w:bottom w:val="none" w:sz="0" w:space="0" w:color="auto"/>
        <w:right w:val="none" w:sz="0" w:space="0" w:color="auto"/>
      </w:divBdr>
    </w:div>
    <w:div w:id="478693337">
      <w:bodyDiv w:val="1"/>
      <w:marLeft w:val="0"/>
      <w:marRight w:val="0"/>
      <w:marTop w:val="0"/>
      <w:marBottom w:val="0"/>
      <w:divBdr>
        <w:top w:val="none" w:sz="0" w:space="0" w:color="auto"/>
        <w:left w:val="none" w:sz="0" w:space="0" w:color="auto"/>
        <w:bottom w:val="none" w:sz="0" w:space="0" w:color="auto"/>
        <w:right w:val="none" w:sz="0" w:space="0" w:color="auto"/>
      </w:divBdr>
    </w:div>
    <w:div w:id="479613625">
      <w:bodyDiv w:val="1"/>
      <w:marLeft w:val="0"/>
      <w:marRight w:val="0"/>
      <w:marTop w:val="0"/>
      <w:marBottom w:val="0"/>
      <w:divBdr>
        <w:top w:val="none" w:sz="0" w:space="0" w:color="auto"/>
        <w:left w:val="none" w:sz="0" w:space="0" w:color="auto"/>
        <w:bottom w:val="none" w:sz="0" w:space="0" w:color="auto"/>
        <w:right w:val="none" w:sz="0" w:space="0" w:color="auto"/>
      </w:divBdr>
    </w:div>
    <w:div w:id="494684923">
      <w:bodyDiv w:val="1"/>
      <w:marLeft w:val="0"/>
      <w:marRight w:val="0"/>
      <w:marTop w:val="0"/>
      <w:marBottom w:val="0"/>
      <w:divBdr>
        <w:top w:val="none" w:sz="0" w:space="0" w:color="auto"/>
        <w:left w:val="none" w:sz="0" w:space="0" w:color="auto"/>
        <w:bottom w:val="none" w:sz="0" w:space="0" w:color="auto"/>
        <w:right w:val="none" w:sz="0" w:space="0" w:color="auto"/>
      </w:divBdr>
    </w:div>
    <w:div w:id="500657847">
      <w:bodyDiv w:val="1"/>
      <w:marLeft w:val="0"/>
      <w:marRight w:val="0"/>
      <w:marTop w:val="0"/>
      <w:marBottom w:val="0"/>
      <w:divBdr>
        <w:top w:val="none" w:sz="0" w:space="0" w:color="auto"/>
        <w:left w:val="none" w:sz="0" w:space="0" w:color="auto"/>
        <w:bottom w:val="none" w:sz="0" w:space="0" w:color="auto"/>
        <w:right w:val="none" w:sz="0" w:space="0" w:color="auto"/>
      </w:divBdr>
    </w:div>
    <w:div w:id="503326083">
      <w:bodyDiv w:val="1"/>
      <w:marLeft w:val="0"/>
      <w:marRight w:val="0"/>
      <w:marTop w:val="0"/>
      <w:marBottom w:val="0"/>
      <w:divBdr>
        <w:top w:val="none" w:sz="0" w:space="0" w:color="auto"/>
        <w:left w:val="none" w:sz="0" w:space="0" w:color="auto"/>
        <w:bottom w:val="none" w:sz="0" w:space="0" w:color="auto"/>
        <w:right w:val="none" w:sz="0" w:space="0" w:color="auto"/>
      </w:divBdr>
    </w:div>
    <w:div w:id="527060836">
      <w:bodyDiv w:val="1"/>
      <w:marLeft w:val="0"/>
      <w:marRight w:val="0"/>
      <w:marTop w:val="0"/>
      <w:marBottom w:val="0"/>
      <w:divBdr>
        <w:top w:val="none" w:sz="0" w:space="0" w:color="auto"/>
        <w:left w:val="none" w:sz="0" w:space="0" w:color="auto"/>
        <w:bottom w:val="none" w:sz="0" w:space="0" w:color="auto"/>
        <w:right w:val="none" w:sz="0" w:space="0" w:color="auto"/>
      </w:divBdr>
    </w:div>
    <w:div w:id="543949831">
      <w:bodyDiv w:val="1"/>
      <w:marLeft w:val="0"/>
      <w:marRight w:val="0"/>
      <w:marTop w:val="0"/>
      <w:marBottom w:val="0"/>
      <w:divBdr>
        <w:top w:val="none" w:sz="0" w:space="0" w:color="auto"/>
        <w:left w:val="none" w:sz="0" w:space="0" w:color="auto"/>
        <w:bottom w:val="none" w:sz="0" w:space="0" w:color="auto"/>
        <w:right w:val="none" w:sz="0" w:space="0" w:color="auto"/>
      </w:divBdr>
    </w:div>
    <w:div w:id="544870090">
      <w:bodyDiv w:val="1"/>
      <w:marLeft w:val="0"/>
      <w:marRight w:val="0"/>
      <w:marTop w:val="0"/>
      <w:marBottom w:val="0"/>
      <w:divBdr>
        <w:top w:val="none" w:sz="0" w:space="0" w:color="auto"/>
        <w:left w:val="none" w:sz="0" w:space="0" w:color="auto"/>
        <w:bottom w:val="none" w:sz="0" w:space="0" w:color="auto"/>
        <w:right w:val="none" w:sz="0" w:space="0" w:color="auto"/>
      </w:divBdr>
    </w:div>
    <w:div w:id="548497455">
      <w:bodyDiv w:val="1"/>
      <w:marLeft w:val="0"/>
      <w:marRight w:val="0"/>
      <w:marTop w:val="0"/>
      <w:marBottom w:val="0"/>
      <w:divBdr>
        <w:top w:val="none" w:sz="0" w:space="0" w:color="auto"/>
        <w:left w:val="none" w:sz="0" w:space="0" w:color="auto"/>
        <w:bottom w:val="none" w:sz="0" w:space="0" w:color="auto"/>
        <w:right w:val="none" w:sz="0" w:space="0" w:color="auto"/>
      </w:divBdr>
    </w:div>
    <w:div w:id="556551782">
      <w:bodyDiv w:val="1"/>
      <w:marLeft w:val="0"/>
      <w:marRight w:val="0"/>
      <w:marTop w:val="0"/>
      <w:marBottom w:val="0"/>
      <w:divBdr>
        <w:top w:val="none" w:sz="0" w:space="0" w:color="auto"/>
        <w:left w:val="none" w:sz="0" w:space="0" w:color="auto"/>
        <w:bottom w:val="none" w:sz="0" w:space="0" w:color="auto"/>
        <w:right w:val="none" w:sz="0" w:space="0" w:color="auto"/>
      </w:divBdr>
    </w:div>
    <w:div w:id="558440041">
      <w:bodyDiv w:val="1"/>
      <w:marLeft w:val="0"/>
      <w:marRight w:val="0"/>
      <w:marTop w:val="0"/>
      <w:marBottom w:val="0"/>
      <w:divBdr>
        <w:top w:val="none" w:sz="0" w:space="0" w:color="auto"/>
        <w:left w:val="none" w:sz="0" w:space="0" w:color="auto"/>
        <w:bottom w:val="none" w:sz="0" w:space="0" w:color="auto"/>
        <w:right w:val="none" w:sz="0" w:space="0" w:color="auto"/>
      </w:divBdr>
    </w:div>
    <w:div w:id="564267877">
      <w:bodyDiv w:val="1"/>
      <w:marLeft w:val="0"/>
      <w:marRight w:val="0"/>
      <w:marTop w:val="0"/>
      <w:marBottom w:val="0"/>
      <w:divBdr>
        <w:top w:val="none" w:sz="0" w:space="0" w:color="auto"/>
        <w:left w:val="none" w:sz="0" w:space="0" w:color="auto"/>
        <w:bottom w:val="none" w:sz="0" w:space="0" w:color="auto"/>
        <w:right w:val="none" w:sz="0" w:space="0" w:color="auto"/>
      </w:divBdr>
    </w:div>
    <w:div w:id="568733716">
      <w:bodyDiv w:val="1"/>
      <w:marLeft w:val="0"/>
      <w:marRight w:val="0"/>
      <w:marTop w:val="0"/>
      <w:marBottom w:val="0"/>
      <w:divBdr>
        <w:top w:val="none" w:sz="0" w:space="0" w:color="auto"/>
        <w:left w:val="none" w:sz="0" w:space="0" w:color="auto"/>
        <w:bottom w:val="none" w:sz="0" w:space="0" w:color="auto"/>
        <w:right w:val="none" w:sz="0" w:space="0" w:color="auto"/>
      </w:divBdr>
    </w:div>
    <w:div w:id="568808402">
      <w:bodyDiv w:val="1"/>
      <w:marLeft w:val="0"/>
      <w:marRight w:val="0"/>
      <w:marTop w:val="0"/>
      <w:marBottom w:val="0"/>
      <w:divBdr>
        <w:top w:val="none" w:sz="0" w:space="0" w:color="auto"/>
        <w:left w:val="none" w:sz="0" w:space="0" w:color="auto"/>
        <w:bottom w:val="none" w:sz="0" w:space="0" w:color="auto"/>
        <w:right w:val="none" w:sz="0" w:space="0" w:color="auto"/>
      </w:divBdr>
    </w:div>
    <w:div w:id="569078075">
      <w:bodyDiv w:val="1"/>
      <w:marLeft w:val="0"/>
      <w:marRight w:val="0"/>
      <w:marTop w:val="0"/>
      <w:marBottom w:val="0"/>
      <w:divBdr>
        <w:top w:val="none" w:sz="0" w:space="0" w:color="auto"/>
        <w:left w:val="none" w:sz="0" w:space="0" w:color="auto"/>
        <w:bottom w:val="none" w:sz="0" w:space="0" w:color="auto"/>
        <w:right w:val="none" w:sz="0" w:space="0" w:color="auto"/>
      </w:divBdr>
    </w:div>
    <w:div w:id="578634407">
      <w:bodyDiv w:val="1"/>
      <w:marLeft w:val="0"/>
      <w:marRight w:val="0"/>
      <w:marTop w:val="0"/>
      <w:marBottom w:val="0"/>
      <w:divBdr>
        <w:top w:val="none" w:sz="0" w:space="0" w:color="auto"/>
        <w:left w:val="none" w:sz="0" w:space="0" w:color="auto"/>
        <w:bottom w:val="none" w:sz="0" w:space="0" w:color="auto"/>
        <w:right w:val="none" w:sz="0" w:space="0" w:color="auto"/>
      </w:divBdr>
    </w:div>
    <w:div w:id="587232332">
      <w:bodyDiv w:val="1"/>
      <w:marLeft w:val="0"/>
      <w:marRight w:val="0"/>
      <w:marTop w:val="0"/>
      <w:marBottom w:val="0"/>
      <w:divBdr>
        <w:top w:val="none" w:sz="0" w:space="0" w:color="auto"/>
        <w:left w:val="none" w:sz="0" w:space="0" w:color="auto"/>
        <w:bottom w:val="none" w:sz="0" w:space="0" w:color="auto"/>
        <w:right w:val="none" w:sz="0" w:space="0" w:color="auto"/>
      </w:divBdr>
    </w:div>
    <w:div w:id="615063309">
      <w:bodyDiv w:val="1"/>
      <w:marLeft w:val="0"/>
      <w:marRight w:val="0"/>
      <w:marTop w:val="0"/>
      <w:marBottom w:val="0"/>
      <w:divBdr>
        <w:top w:val="none" w:sz="0" w:space="0" w:color="auto"/>
        <w:left w:val="none" w:sz="0" w:space="0" w:color="auto"/>
        <w:bottom w:val="none" w:sz="0" w:space="0" w:color="auto"/>
        <w:right w:val="none" w:sz="0" w:space="0" w:color="auto"/>
      </w:divBdr>
    </w:div>
    <w:div w:id="630283513">
      <w:bodyDiv w:val="1"/>
      <w:marLeft w:val="0"/>
      <w:marRight w:val="0"/>
      <w:marTop w:val="0"/>
      <w:marBottom w:val="0"/>
      <w:divBdr>
        <w:top w:val="none" w:sz="0" w:space="0" w:color="auto"/>
        <w:left w:val="none" w:sz="0" w:space="0" w:color="auto"/>
        <w:bottom w:val="none" w:sz="0" w:space="0" w:color="auto"/>
        <w:right w:val="none" w:sz="0" w:space="0" w:color="auto"/>
      </w:divBdr>
    </w:div>
    <w:div w:id="638876875">
      <w:bodyDiv w:val="1"/>
      <w:marLeft w:val="0"/>
      <w:marRight w:val="0"/>
      <w:marTop w:val="0"/>
      <w:marBottom w:val="0"/>
      <w:divBdr>
        <w:top w:val="none" w:sz="0" w:space="0" w:color="auto"/>
        <w:left w:val="none" w:sz="0" w:space="0" w:color="auto"/>
        <w:bottom w:val="none" w:sz="0" w:space="0" w:color="auto"/>
        <w:right w:val="none" w:sz="0" w:space="0" w:color="auto"/>
      </w:divBdr>
    </w:div>
    <w:div w:id="644316635">
      <w:bodyDiv w:val="1"/>
      <w:marLeft w:val="0"/>
      <w:marRight w:val="0"/>
      <w:marTop w:val="0"/>
      <w:marBottom w:val="0"/>
      <w:divBdr>
        <w:top w:val="none" w:sz="0" w:space="0" w:color="auto"/>
        <w:left w:val="none" w:sz="0" w:space="0" w:color="auto"/>
        <w:bottom w:val="none" w:sz="0" w:space="0" w:color="auto"/>
        <w:right w:val="none" w:sz="0" w:space="0" w:color="auto"/>
      </w:divBdr>
    </w:div>
    <w:div w:id="650058050">
      <w:bodyDiv w:val="1"/>
      <w:marLeft w:val="0"/>
      <w:marRight w:val="0"/>
      <w:marTop w:val="0"/>
      <w:marBottom w:val="0"/>
      <w:divBdr>
        <w:top w:val="none" w:sz="0" w:space="0" w:color="auto"/>
        <w:left w:val="none" w:sz="0" w:space="0" w:color="auto"/>
        <w:bottom w:val="none" w:sz="0" w:space="0" w:color="auto"/>
        <w:right w:val="none" w:sz="0" w:space="0" w:color="auto"/>
      </w:divBdr>
    </w:div>
    <w:div w:id="661738433">
      <w:bodyDiv w:val="1"/>
      <w:marLeft w:val="0"/>
      <w:marRight w:val="0"/>
      <w:marTop w:val="0"/>
      <w:marBottom w:val="0"/>
      <w:divBdr>
        <w:top w:val="none" w:sz="0" w:space="0" w:color="auto"/>
        <w:left w:val="none" w:sz="0" w:space="0" w:color="auto"/>
        <w:bottom w:val="none" w:sz="0" w:space="0" w:color="auto"/>
        <w:right w:val="none" w:sz="0" w:space="0" w:color="auto"/>
      </w:divBdr>
    </w:div>
    <w:div w:id="669020009">
      <w:bodyDiv w:val="1"/>
      <w:marLeft w:val="0"/>
      <w:marRight w:val="0"/>
      <w:marTop w:val="0"/>
      <w:marBottom w:val="0"/>
      <w:divBdr>
        <w:top w:val="none" w:sz="0" w:space="0" w:color="auto"/>
        <w:left w:val="none" w:sz="0" w:space="0" w:color="auto"/>
        <w:bottom w:val="none" w:sz="0" w:space="0" w:color="auto"/>
        <w:right w:val="none" w:sz="0" w:space="0" w:color="auto"/>
      </w:divBdr>
    </w:div>
    <w:div w:id="677579601">
      <w:bodyDiv w:val="1"/>
      <w:marLeft w:val="0"/>
      <w:marRight w:val="0"/>
      <w:marTop w:val="0"/>
      <w:marBottom w:val="0"/>
      <w:divBdr>
        <w:top w:val="none" w:sz="0" w:space="0" w:color="auto"/>
        <w:left w:val="none" w:sz="0" w:space="0" w:color="auto"/>
        <w:bottom w:val="none" w:sz="0" w:space="0" w:color="auto"/>
        <w:right w:val="none" w:sz="0" w:space="0" w:color="auto"/>
      </w:divBdr>
    </w:div>
    <w:div w:id="680470986">
      <w:bodyDiv w:val="1"/>
      <w:marLeft w:val="0"/>
      <w:marRight w:val="0"/>
      <w:marTop w:val="0"/>
      <w:marBottom w:val="0"/>
      <w:divBdr>
        <w:top w:val="none" w:sz="0" w:space="0" w:color="auto"/>
        <w:left w:val="none" w:sz="0" w:space="0" w:color="auto"/>
        <w:bottom w:val="none" w:sz="0" w:space="0" w:color="auto"/>
        <w:right w:val="none" w:sz="0" w:space="0" w:color="auto"/>
      </w:divBdr>
    </w:div>
    <w:div w:id="686980335">
      <w:bodyDiv w:val="1"/>
      <w:marLeft w:val="0"/>
      <w:marRight w:val="0"/>
      <w:marTop w:val="0"/>
      <w:marBottom w:val="0"/>
      <w:divBdr>
        <w:top w:val="none" w:sz="0" w:space="0" w:color="auto"/>
        <w:left w:val="none" w:sz="0" w:space="0" w:color="auto"/>
        <w:bottom w:val="none" w:sz="0" w:space="0" w:color="auto"/>
        <w:right w:val="none" w:sz="0" w:space="0" w:color="auto"/>
      </w:divBdr>
    </w:div>
    <w:div w:id="691491816">
      <w:bodyDiv w:val="1"/>
      <w:marLeft w:val="0"/>
      <w:marRight w:val="0"/>
      <w:marTop w:val="0"/>
      <w:marBottom w:val="0"/>
      <w:divBdr>
        <w:top w:val="none" w:sz="0" w:space="0" w:color="auto"/>
        <w:left w:val="none" w:sz="0" w:space="0" w:color="auto"/>
        <w:bottom w:val="none" w:sz="0" w:space="0" w:color="auto"/>
        <w:right w:val="none" w:sz="0" w:space="0" w:color="auto"/>
      </w:divBdr>
    </w:div>
    <w:div w:id="691960510">
      <w:bodyDiv w:val="1"/>
      <w:marLeft w:val="0"/>
      <w:marRight w:val="0"/>
      <w:marTop w:val="0"/>
      <w:marBottom w:val="0"/>
      <w:divBdr>
        <w:top w:val="none" w:sz="0" w:space="0" w:color="auto"/>
        <w:left w:val="none" w:sz="0" w:space="0" w:color="auto"/>
        <w:bottom w:val="none" w:sz="0" w:space="0" w:color="auto"/>
        <w:right w:val="none" w:sz="0" w:space="0" w:color="auto"/>
      </w:divBdr>
    </w:div>
    <w:div w:id="693382474">
      <w:bodyDiv w:val="1"/>
      <w:marLeft w:val="0"/>
      <w:marRight w:val="0"/>
      <w:marTop w:val="0"/>
      <w:marBottom w:val="0"/>
      <w:divBdr>
        <w:top w:val="none" w:sz="0" w:space="0" w:color="auto"/>
        <w:left w:val="none" w:sz="0" w:space="0" w:color="auto"/>
        <w:bottom w:val="none" w:sz="0" w:space="0" w:color="auto"/>
        <w:right w:val="none" w:sz="0" w:space="0" w:color="auto"/>
      </w:divBdr>
    </w:div>
    <w:div w:id="700128438">
      <w:bodyDiv w:val="1"/>
      <w:marLeft w:val="0"/>
      <w:marRight w:val="0"/>
      <w:marTop w:val="0"/>
      <w:marBottom w:val="0"/>
      <w:divBdr>
        <w:top w:val="none" w:sz="0" w:space="0" w:color="auto"/>
        <w:left w:val="none" w:sz="0" w:space="0" w:color="auto"/>
        <w:bottom w:val="none" w:sz="0" w:space="0" w:color="auto"/>
        <w:right w:val="none" w:sz="0" w:space="0" w:color="auto"/>
      </w:divBdr>
    </w:div>
    <w:div w:id="706949257">
      <w:bodyDiv w:val="1"/>
      <w:marLeft w:val="0"/>
      <w:marRight w:val="0"/>
      <w:marTop w:val="0"/>
      <w:marBottom w:val="0"/>
      <w:divBdr>
        <w:top w:val="none" w:sz="0" w:space="0" w:color="auto"/>
        <w:left w:val="none" w:sz="0" w:space="0" w:color="auto"/>
        <w:bottom w:val="none" w:sz="0" w:space="0" w:color="auto"/>
        <w:right w:val="none" w:sz="0" w:space="0" w:color="auto"/>
      </w:divBdr>
    </w:div>
    <w:div w:id="708646958">
      <w:bodyDiv w:val="1"/>
      <w:marLeft w:val="0"/>
      <w:marRight w:val="0"/>
      <w:marTop w:val="0"/>
      <w:marBottom w:val="0"/>
      <w:divBdr>
        <w:top w:val="none" w:sz="0" w:space="0" w:color="auto"/>
        <w:left w:val="none" w:sz="0" w:space="0" w:color="auto"/>
        <w:bottom w:val="none" w:sz="0" w:space="0" w:color="auto"/>
        <w:right w:val="none" w:sz="0" w:space="0" w:color="auto"/>
      </w:divBdr>
    </w:div>
    <w:div w:id="744958185">
      <w:bodyDiv w:val="1"/>
      <w:marLeft w:val="0"/>
      <w:marRight w:val="0"/>
      <w:marTop w:val="0"/>
      <w:marBottom w:val="0"/>
      <w:divBdr>
        <w:top w:val="none" w:sz="0" w:space="0" w:color="auto"/>
        <w:left w:val="none" w:sz="0" w:space="0" w:color="auto"/>
        <w:bottom w:val="none" w:sz="0" w:space="0" w:color="auto"/>
        <w:right w:val="none" w:sz="0" w:space="0" w:color="auto"/>
      </w:divBdr>
    </w:div>
    <w:div w:id="780489499">
      <w:bodyDiv w:val="1"/>
      <w:marLeft w:val="0"/>
      <w:marRight w:val="0"/>
      <w:marTop w:val="0"/>
      <w:marBottom w:val="0"/>
      <w:divBdr>
        <w:top w:val="none" w:sz="0" w:space="0" w:color="auto"/>
        <w:left w:val="none" w:sz="0" w:space="0" w:color="auto"/>
        <w:bottom w:val="none" w:sz="0" w:space="0" w:color="auto"/>
        <w:right w:val="none" w:sz="0" w:space="0" w:color="auto"/>
      </w:divBdr>
    </w:div>
    <w:div w:id="792555057">
      <w:bodyDiv w:val="1"/>
      <w:marLeft w:val="0"/>
      <w:marRight w:val="0"/>
      <w:marTop w:val="0"/>
      <w:marBottom w:val="0"/>
      <w:divBdr>
        <w:top w:val="none" w:sz="0" w:space="0" w:color="auto"/>
        <w:left w:val="none" w:sz="0" w:space="0" w:color="auto"/>
        <w:bottom w:val="none" w:sz="0" w:space="0" w:color="auto"/>
        <w:right w:val="none" w:sz="0" w:space="0" w:color="auto"/>
      </w:divBdr>
      <w:divsChild>
        <w:div w:id="1869684412">
          <w:marLeft w:val="0"/>
          <w:marRight w:val="0"/>
          <w:marTop w:val="0"/>
          <w:marBottom w:val="0"/>
          <w:divBdr>
            <w:top w:val="none" w:sz="0" w:space="0" w:color="auto"/>
            <w:left w:val="none" w:sz="0" w:space="0" w:color="auto"/>
            <w:bottom w:val="none" w:sz="0" w:space="0" w:color="auto"/>
            <w:right w:val="none" w:sz="0" w:space="0" w:color="auto"/>
          </w:divBdr>
          <w:divsChild>
            <w:div w:id="780225834">
              <w:marLeft w:val="0"/>
              <w:marRight w:val="0"/>
              <w:marTop w:val="0"/>
              <w:marBottom w:val="0"/>
              <w:divBdr>
                <w:top w:val="none" w:sz="0" w:space="0" w:color="auto"/>
                <w:left w:val="none" w:sz="0" w:space="0" w:color="auto"/>
                <w:bottom w:val="none" w:sz="0" w:space="0" w:color="auto"/>
                <w:right w:val="none" w:sz="0" w:space="0" w:color="auto"/>
              </w:divBdr>
              <w:divsChild>
                <w:div w:id="1133446722">
                  <w:marLeft w:val="0"/>
                  <w:marRight w:val="0"/>
                  <w:marTop w:val="0"/>
                  <w:marBottom w:val="0"/>
                  <w:divBdr>
                    <w:top w:val="none" w:sz="0" w:space="0" w:color="auto"/>
                    <w:left w:val="none" w:sz="0" w:space="0" w:color="auto"/>
                    <w:bottom w:val="none" w:sz="0" w:space="0" w:color="auto"/>
                    <w:right w:val="none" w:sz="0" w:space="0" w:color="auto"/>
                  </w:divBdr>
                  <w:divsChild>
                    <w:div w:id="828327459">
                      <w:marLeft w:val="0"/>
                      <w:marRight w:val="0"/>
                      <w:marTop w:val="0"/>
                      <w:marBottom w:val="0"/>
                      <w:divBdr>
                        <w:top w:val="none" w:sz="0" w:space="0" w:color="auto"/>
                        <w:left w:val="none" w:sz="0" w:space="0" w:color="auto"/>
                        <w:bottom w:val="none" w:sz="0" w:space="0" w:color="auto"/>
                        <w:right w:val="none" w:sz="0" w:space="0" w:color="auto"/>
                      </w:divBdr>
                      <w:divsChild>
                        <w:div w:id="1935892578">
                          <w:marLeft w:val="0"/>
                          <w:marRight w:val="0"/>
                          <w:marTop w:val="0"/>
                          <w:marBottom w:val="0"/>
                          <w:divBdr>
                            <w:top w:val="none" w:sz="0" w:space="0" w:color="auto"/>
                            <w:left w:val="none" w:sz="0" w:space="0" w:color="auto"/>
                            <w:bottom w:val="none" w:sz="0" w:space="0" w:color="auto"/>
                            <w:right w:val="none" w:sz="0" w:space="0" w:color="auto"/>
                          </w:divBdr>
                          <w:divsChild>
                            <w:div w:id="85184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5295320">
      <w:bodyDiv w:val="1"/>
      <w:marLeft w:val="0"/>
      <w:marRight w:val="0"/>
      <w:marTop w:val="0"/>
      <w:marBottom w:val="0"/>
      <w:divBdr>
        <w:top w:val="none" w:sz="0" w:space="0" w:color="auto"/>
        <w:left w:val="none" w:sz="0" w:space="0" w:color="auto"/>
        <w:bottom w:val="none" w:sz="0" w:space="0" w:color="auto"/>
        <w:right w:val="none" w:sz="0" w:space="0" w:color="auto"/>
      </w:divBdr>
    </w:div>
    <w:div w:id="802117928">
      <w:bodyDiv w:val="1"/>
      <w:marLeft w:val="0"/>
      <w:marRight w:val="0"/>
      <w:marTop w:val="0"/>
      <w:marBottom w:val="0"/>
      <w:divBdr>
        <w:top w:val="none" w:sz="0" w:space="0" w:color="auto"/>
        <w:left w:val="none" w:sz="0" w:space="0" w:color="auto"/>
        <w:bottom w:val="none" w:sz="0" w:space="0" w:color="auto"/>
        <w:right w:val="none" w:sz="0" w:space="0" w:color="auto"/>
      </w:divBdr>
    </w:div>
    <w:div w:id="813958507">
      <w:bodyDiv w:val="1"/>
      <w:marLeft w:val="0"/>
      <w:marRight w:val="0"/>
      <w:marTop w:val="0"/>
      <w:marBottom w:val="0"/>
      <w:divBdr>
        <w:top w:val="none" w:sz="0" w:space="0" w:color="auto"/>
        <w:left w:val="none" w:sz="0" w:space="0" w:color="auto"/>
        <w:bottom w:val="none" w:sz="0" w:space="0" w:color="auto"/>
        <w:right w:val="none" w:sz="0" w:space="0" w:color="auto"/>
      </w:divBdr>
    </w:div>
    <w:div w:id="817498157">
      <w:bodyDiv w:val="1"/>
      <w:marLeft w:val="0"/>
      <w:marRight w:val="0"/>
      <w:marTop w:val="0"/>
      <w:marBottom w:val="0"/>
      <w:divBdr>
        <w:top w:val="none" w:sz="0" w:space="0" w:color="auto"/>
        <w:left w:val="none" w:sz="0" w:space="0" w:color="auto"/>
        <w:bottom w:val="none" w:sz="0" w:space="0" w:color="auto"/>
        <w:right w:val="none" w:sz="0" w:space="0" w:color="auto"/>
      </w:divBdr>
    </w:div>
    <w:div w:id="829904615">
      <w:bodyDiv w:val="1"/>
      <w:marLeft w:val="0"/>
      <w:marRight w:val="0"/>
      <w:marTop w:val="0"/>
      <w:marBottom w:val="0"/>
      <w:divBdr>
        <w:top w:val="none" w:sz="0" w:space="0" w:color="auto"/>
        <w:left w:val="none" w:sz="0" w:space="0" w:color="auto"/>
        <w:bottom w:val="none" w:sz="0" w:space="0" w:color="auto"/>
        <w:right w:val="none" w:sz="0" w:space="0" w:color="auto"/>
      </w:divBdr>
    </w:div>
    <w:div w:id="840706767">
      <w:bodyDiv w:val="1"/>
      <w:marLeft w:val="0"/>
      <w:marRight w:val="0"/>
      <w:marTop w:val="0"/>
      <w:marBottom w:val="0"/>
      <w:divBdr>
        <w:top w:val="none" w:sz="0" w:space="0" w:color="auto"/>
        <w:left w:val="none" w:sz="0" w:space="0" w:color="auto"/>
        <w:bottom w:val="none" w:sz="0" w:space="0" w:color="auto"/>
        <w:right w:val="none" w:sz="0" w:space="0" w:color="auto"/>
      </w:divBdr>
    </w:div>
    <w:div w:id="846941541">
      <w:bodyDiv w:val="1"/>
      <w:marLeft w:val="0"/>
      <w:marRight w:val="0"/>
      <w:marTop w:val="0"/>
      <w:marBottom w:val="0"/>
      <w:divBdr>
        <w:top w:val="none" w:sz="0" w:space="0" w:color="auto"/>
        <w:left w:val="none" w:sz="0" w:space="0" w:color="auto"/>
        <w:bottom w:val="none" w:sz="0" w:space="0" w:color="auto"/>
        <w:right w:val="none" w:sz="0" w:space="0" w:color="auto"/>
      </w:divBdr>
    </w:div>
    <w:div w:id="851188491">
      <w:bodyDiv w:val="1"/>
      <w:marLeft w:val="0"/>
      <w:marRight w:val="0"/>
      <w:marTop w:val="0"/>
      <w:marBottom w:val="0"/>
      <w:divBdr>
        <w:top w:val="none" w:sz="0" w:space="0" w:color="auto"/>
        <w:left w:val="none" w:sz="0" w:space="0" w:color="auto"/>
        <w:bottom w:val="none" w:sz="0" w:space="0" w:color="auto"/>
        <w:right w:val="none" w:sz="0" w:space="0" w:color="auto"/>
      </w:divBdr>
    </w:div>
    <w:div w:id="852840755">
      <w:bodyDiv w:val="1"/>
      <w:marLeft w:val="0"/>
      <w:marRight w:val="0"/>
      <w:marTop w:val="0"/>
      <w:marBottom w:val="0"/>
      <w:divBdr>
        <w:top w:val="none" w:sz="0" w:space="0" w:color="auto"/>
        <w:left w:val="none" w:sz="0" w:space="0" w:color="auto"/>
        <w:bottom w:val="none" w:sz="0" w:space="0" w:color="auto"/>
        <w:right w:val="none" w:sz="0" w:space="0" w:color="auto"/>
      </w:divBdr>
    </w:div>
    <w:div w:id="853156645">
      <w:bodyDiv w:val="1"/>
      <w:marLeft w:val="0"/>
      <w:marRight w:val="0"/>
      <w:marTop w:val="0"/>
      <w:marBottom w:val="0"/>
      <w:divBdr>
        <w:top w:val="none" w:sz="0" w:space="0" w:color="auto"/>
        <w:left w:val="none" w:sz="0" w:space="0" w:color="auto"/>
        <w:bottom w:val="none" w:sz="0" w:space="0" w:color="auto"/>
        <w:right w:val="none" w:sz="0" w:space="0" w:color="auto"/>
      </w:divBdr>
    </w:div>
    <w:div w:id="854152742">
      <w:bodyDiv w:val="1"/>
      <w:marLeft w:val="0"/>
      <w:marRight w:val="0"/>
      <w:marTop w:val="0"/>
      <w:marBottom w:val="0"/>
      <w:divBdr>
        <w:top w:val="none" w:sz="0" w:space="0" w:color="auto"/>
        <w:left w:val="none" w:sz="0" w:space="0" w:color="auto"/>
        <w:bottom w:val="none" w:sz="0" w:space="0" w:color="auto"/>
        <w:right w:val="none" w:sz="0" w:space="0" w:color="auto"/>
      </w:divBdr>
    </w:div>
    <w:div w:id="860969728">
      <w:bodyDiv w:val="1"/>
      <w:marLeft w:val="0"/>
      <w:marRight w:val="0"/>
      <w:marTop w:val="0"/>
      <w:marBottom w:val="0"/>
      <w:divBdr>
        <w:top w:val="none" w:sz="0" w:space="0" w:color="auto"/>
        <w:left w:val="none" w:sz="0" w:space="0" w:color="auto"/>
        <w:bottom w:val="none" w:sz="0" w:space="0" w:color="auto"/>
        <w:right w:val="none" w:sz="0" w:space="0" w:color="auto"/>
      </w:divBdr>
    </w:div>
    <w:div w:id="861554363">
      <w:bodyDiv w:val="1"/>
      <w:marLeft w:val="0"/>
      <w:marRight w:val="0"/>
      <w:marTop w:val="0"/>
      <w:marBottom w:val="0"/>
      <w:divBdr>
        <w:top w:val="none" w:sz="0" w:space="0" w:color="auto"/>
        <w:left w:val="none" w:sz="0" w:space="0" w:color="auto"/>
        <w:bottom w:val="none" w:sz="0" w:space="0" w:color="auto"/>
        <w:right w:val="none" w:sz="0" w:space="0" w:color="auto"/>
      </w:divBdr>
    </w:div>
    <w:div w:id="882712307">
      <w:bodyDiv w:val="1"/>
      <w:marLeft w:val="0"/>
      <w:marRight w:val="0"/>
      <w:marTop w:val="0"/>
      <w:marBottom w:val="0"/>
      <w:divBdr>
        <w:top w:val="none" w:sz="0" w:space="0" w:color="auto"/>
        <w:left w:val="none" w:sz="0" w:space="0" w:color="auto"/>
        <w:bottom w:val="none" w:sz="0" w:space="0" w:color="auto"/>
        <w:right w:val="none" w:sz="0" w:space="0" w:color="auto"/>
      </w:divBdr>
    </w:div>
    <w:div w:id="886186414">
      <w:bodyDiv w:val="1"/>
      <w:marLeft w:val="0"/>
      <w:marRight w:val="0"/>
      <w:marTop w:val="0"/>
      <w:marBottom w:val="0"/>
      <w:divBdr>
        <w:top w:val="none" w:sz="0" w:space="0" w:color="auto"/>
        <w:left w:val="none" w:sz="0" w:space="0" w:color="auto"/>
        <w:bottom w:val="none" w:sz="0" w:space="0" w:color="auto"/>
        <w:right w:val="none" w:sz="0" w:space="0" w:color="auto"/>
      </w:divBdr>
    </w:div>
    <w:div w:id="894925535">
      <w:bodyDiv w:val="1"/>
      <w:marLeft w:val="0"/>
      <w:marRight w:val="0"/>
      <w:marTop w:val="0"/>
      <w:marBottom w:val="0"/>
      <w:divBdr>
        <w:top w:val="none" w:sz="0" w:space="0" w:color="auto"/>
        <w:left w:val="none" w:sz="0" w:space="0" w:color="auto"/>
        <w:bottom w:val="none" w:sz="0" w:space="0" w:color="auto"/>
        <w:right w:val="none" w:sz="0" w:space="0" w:color="auto"/>
      </w:divBdr>
    </w:div>
    <w:div w:id="898590417">
      <w:bodyDiv w:val="1"/>
      <w:marLeft w:val="0"/>
      <w:marRight w:val="0"/>
      <w:marTop w:val="0"/>
      <w:marBottom w:val="0"/>
      <w:divBdr>
        <w:top w:val="none" w:sz="0" w:space="0" w:color="auto"/>
        <w:left w:val="none" w:sz="0" w:space="0" w:color="auto"/>
        <w:bottom w:val="none" w:sz="0" w:space="0" w:color="auto"/>
        <w:right w:val="none" w:sz="0" w:space="0" w:color="auto"/>
      </w:divBdr>
    </w:div>
    <w:div w:id="908535115">
      <w:bodyDiv w:val="1"/>
      <w:marLeft w:val="0"/>
      <w:marRight w:val="0"/>
      <w:marTop w:val="0"/>
      <w:marBottom w:val="0"/>
      <w:divBdr>
        <w:top w:val="none" w:sz="0" w:space="0" w:color="auto"/>
        <w:left w:val="none" w:sz="0" w:space="0" w:color="auto"/>
        <w:bottom w:val="none" w:sz="0" w:space="0" w:color="auto"/>
        <w:right w:val="none" w:sz="0" w:space="0" w:color="auto"/>
      </w:divBdr>
    </w:div>
    <w:div w:id="929391277">
      <w:bodyDiv w:val="1"/>
      <w:marLeft w:val="0"/>
      <w:marRight w:val="0"/>
      <w:marTop w:val="0"/>
      <w:marBottom w:val="0"/>
      <w:divBdr>
        <w:top w:val="none" w:sz="0" w:space="0" w:color="auto"/>
        <w:left w:val="none" w:sz="0" w:space="0" w:color="auto"/>
        <w:bottom w:val="none" w:sz="0" w:space="0" w:color="auto"/>
        <w:right w:val="none" w:sz="0" w:space="0" w:color="auto"/>
      </w:divBdr>
    </w:div>
    <w:div w:id="941113205">
      <w:bodyDiv w:val="1"/>
      <w:marLeft w:val="0"/>
      <w:marRight w:val="0"/>
      <w:marTop w:val="0"/>
      <w:marBottom w:val="0"/>
      <w:divBdr>
        <w:top w:val="none" w:sz="0" w:space="0" w:color="auto"/>
        <w:left w:val="none" w:sz="0" w:space="0" w:color="auto"/>
        <w:bottom w:val="none" w:sz="0" w:space="0" w:color="auto"/>
        <w:right w:val="none" w:sz="0" w:space="0" w:color="auto"/>
      </w:divBdr>
    </w:div>
    <w:div w:id="964508401">
      <w:bodyDiv w:val="1"/>
      <w:marLeft w:val="0"/>
      <w:marRight w:val="0"/>
      <w:marTop w:val="0"/>
      <w:marBottom w:val="0"/>
      <w:divBdr>
        <w:top w:val="none" w:sz="0" w:space="0" w:color="auto"/>
        <w:left w:val="none" w:sz="0" w:space="0" w:color="auto"/>
        <w:bottom w:val="none" w:sz="0" w:space="0" w:color="auto"/>
        <w:right w:val="none" w:sz="0" w:space="0" w:color="auto"/>
      </w:divBdr>
    </w:div>
    <w:div w:id="964509778">
      <w:bodyDiv w:val="1"/>
      <w:marLeft w:val="0"/>
      <w:marRight w:val="0"/>
      <w:marTop w:val="0"/>
      <w:marBottom w:val="0"/>
      <w:divBdr>
        <w:top w:val="none" w:sz="0" w:space="0" w:color="auto"/>
        <w:left w:val="none" w:sz="0" w:space="0" w:color="auto"/>
        <w:bottom w:val="none" w:sz="0" w:space="0" w:color="auto"/>
        <w:right w:val="none" w:sz="0" w:space="0" w:color="auto"/>
      </w:divBdr>
    </w:div>
    <w:div w:id="976762561">
      <w:bodyDiv w:val="1"/>
      <w:marLeft w:val="0"/>
      <w:marRight w:val="0"/>
      <w:marTop w:val="0"/>
      <w:marBottom w:val="0"/>
      <w:divBdr>
        <w:top w:val="none" w:sz="0" w:space="0" w:color="auto"/>
        <w:left w:val="none" w:sz="0" w:space="0" w:color="auto"/>
        <w:bottom w:val="none" w:sz="0" w:space="0" w:color="auto"/>
        <w:right w:val="none" w:sz="0" w:space="0" w:color="auto"/>
      </w:divBdr>
    </w:div>
    <w:div w:id="979379293">
      <w:bodyDiv w:val="1"/>
      <w:marLeft w:val="0"/>
      <w:marRight w:val="0"/>
      <w:marTop w:val="0"/>
      <w:marBottom w:val="0"/>
      <w:divBdr>
        <w:top w:val="none" w:sz="0" w:space="0" w:color="auto"/>
        <w:left w:val="none" w:sz="0" w:space="0" w:color="auto"/>
        <w:bottom w:val="none" w:sz="0" w:space="0" w:color="auto"/>
        <w:right w:val="none" w:sz="0" w:space="0" w:color="auto"/>
      </w:divBdr>
    </w:div>
    <w:div w:id="988678846">
      <w:bodyDiv w:val="1"/>
      <w:marLeft w:val="0"/>
      <w:marRight w:val="0"/>
      <w:marTop w:val="0"/>
      <w:marBottom w:val="0"/>
      <w:divBdr>
        <w:top w:val="none" w:sz="0" w:space="0" w:color="auto"/>
        <w:left w:val="none" w:sz="0" w:space="0" w:color="auto"/>
        <w:bottom w:val="none" w:sz="0" w:space="0" w:color="auto"/>
        <w:right w:val="none" w:sz="0" w:space="0" w:color="auto"/>
      </w:divBdr>
    </w:div>
    <w:div w:id="992416027">
      <w:bodyDiv w:val="1"/>
      <w:marLeft w:val="0"/>
      <w:marRight w:val="0"/>
      <w:marTop w:val="0"/>
      <w:marBottom w:val="0"/>
      <w:divBdr>
        <w:top w:val="none" w:sz="0" w:space="0" w:color="auto"/>
        <w:left w:val="none" w:sz="0" w:space="0" w:color="auto"/>
        <w:bottom w:val="none" w:sz="0" w:space="0" w:color="auto"/>
        <w:right w:val="none" w:sz="0" w:space="0" w:color="auto"/>
      </w:divBdr>
    </w:div>
    <w:div w:id="1000432223">
      <w:bodyDiv w:val="1"/>
      <w:marLeft w:val="0"/>
      <w:marRight w:val="0"/>
      <w:marTop w:val="0"/>
      <w:marBottom w:val="0"/>
      <w:divBdr>
        <w:top w:val="none" w:sz="0" w:space="0" w:color="auto"/>
        <w:left w:val="none" w:sz="0" w:space="0" w:color="auto"/>
        <w:bottom w:val="none" w:sz="0" w:space="0" w:color="auto"/>
        <w:right w:val="none" w:sz="0" w:space="0" w:color="auto"/>
      </w:divBdr>
    </w:div>
    <w:div w:id="1001738352">
      <w:bodyDiv w:val="1"/>
      <w:marLeft w:val="0"/>
      <w:marRight w:val="0"/>
      <w:marTop w:val="0"/>
      <w:marBottom w:val="0"/>
      <w:divBdr>
        <w:top w:val="none" w:sz="0" w:space="0" w:color="auto"/>
        <w:left w:val="none" w:sz="0" w:space="0" w:color="auto"/>
        <w:bottom w:val="none" w:sz="0" w:space="0" w:color="auto"/>
        <w:right w:val="none" w:sz="0" w:space="0" w:color="auto"/>
      </w:divBdr>
    </w:div>
    <w:div w:id="1014694391">
      <w:bodyDiv w:val="1"/>
      <w:marLeft w:val="0"/>
      <w:marRight w:val="0"/>
      <w:marTop w:val="0"/>
      <w:marBottom w:val="0"/>
      <w:divBdr>
        <w:top w:val="none" w:sz="0" w:space="0" w:color="auto"/>
        <w:left w:val="none" w:sz="0" w:space="0" w:color="auto"/>
        <w:bottom w:val="none" w:sz="0" w:space="0" w:color="auto"/>
        <w:right w:val="none" w:sz="0" w:space="0" w:color="auto"/>
      </w:divBdr>
    </w:div>
    <w:div w:id="1023483305">
      <w:bodyDiv w:val="1"/>
      <w:marLeft w:val="0"/>
      <w:marRight w:val="0"/>
      <w:marTop w:val="0"/>
      <w:marBottom w:val="0"/>
      <w:divBdr>
        <w:top w:val="none" w:sz="0" w:space="0" w:color="auto"/>
        <w:left w:val="none" w:sz="0" w:space="0" w:color="auto"/>
        <w:bottom w:val="none" w:sz="0" w:space="0" w:color="auto"/>
        <w:right w:val="none" w:sz="0" w:space="0" w:color="auto"/>
      </w:divBdr>
    </w:div>
    <w:div w:id="1026056400">
      <w:bodyDiv w:val="1"/>
      <w:marLeft w:val="0"/>
      <w:marRight w:val="0"/>
      <w:marTop w:val="0"/>
      <w:marBottom w:val="0"/>
      <w:divBdr>
        <w:top w:val="none" w:sz="0" w:space="0" w:color="auto"/>
        <w:left w:val="none" w:sz="0" w:space="0" w:color="auto"/>
        <w:bottom w:val="none" w:sz="0" w:space="0" w:color="auto"/>
        <w:right w:val="none" w:sz="0" w:space="0" w:color="auto"/>
      </w:divBdr>
    </w:div>
    <w:div w:id="1028874110">
      <w:bodyDiv w:val="1"/>
      <w:marLeft w:val="0"/>
      <w:marRight w:val="0"/>
      <w:marTop w:val="0"/>
      <w:marBottom w:val="0"/>
      <w:divBdr>
        <w:top w:val="none" w:sz="0" w:space="0" w:color="auto"/>
        <w:left w:val="none" w:sz="0" w:space="0" w:color="auto"/>
        <w:bottom w:val="none" w:sz="0" w:space="0" w:color="auto"/>
        <w:right w:val="none" w:sz="0" w:space="0" w:color="auto"/>
      </w:divBdr>
    </w:div>
    <w:div w:id="1030061621">
      <w:bodyDiv w:val="1"/>
      <w:marLeft w:val="0"/>
      <w:marRight w:val="0"/>
      <w:marTop w:val="0"/>
      <w:marBottom w:val="0"/>
      <w:divBdr>
        <w:top w:val="none" w:sz="0" w:space="0" w:color="auto"/>
        <w:left w:val="none" w:sz="0" w:space="0" w:color="auto"/>
        <w:bottom w:val="none" w:sz="0" w:space="0" w:color="auto"/>
        <w:right w:val="none" w:sz="0" w:space="0" w:color="auto"/>
      </w:divBdr>
    </w:div>
    <w:div w:id="1035930517">
      <w:bodyDiv w:val="1"/>
      <w:marLeft w:val="0"/>
      <w:marRight w:val="0"/>
      <w:marTop w:val="0"/>
      <w:marBottom w:val="0"/>
      <w:divBdr>
        <w:top w:val="none" w:sz="0" w:space="0" w:color="auto"/>
        <w:left w:val="none" w:sz="0" w:space="0" w:color="auto"/>
        <w:bottom w:val="none" w:sz="0" w:space="0" w:color="auto"/>
        <w:right w:val="none" w:sz="0" w:space="0" w:color="auto"/>
      </w:divBdr>
    </w:div>
    <w:div w:id="1036076057">
      <w:bodyDiv w:val="1"/>
      <w:marLeft w:val="0"/>
      <w:marRight w:val="0"/>
      <w:marTop w:val="0"/>
      <w:marBottom w:val="0"/>
      <w:divBdr>
        <w:top w:val="none" w:sz="0" w:space="0" w:color="auto"/>
        <w:left w:val="none" w:sz="0" w:space="0" w:color="auto"/>
        <w:bottom w:val="none" w:sz="0" w:space="0" w:color="auto"/>
        <w:right w:val="none" w:sz="0" w:space="0" w:color="auto"/>
      </w:divBdr>
    </w:div>
    <w:div w:id="1049307803">
      <w:bodyDiv w:val="1"/>
      <w:marLeft w:val="0"/>
      <w:marRight w:val="0"/>
      <w:marTop w:val="0"/>
      <w:marBottom w:val="0"/>
      <w:divBdr>
        <w:top w:val="none" w:sz="0" w:space="0" w:color="auto"/>
        <w:left w:val="none" w:sz="0" w:space="0" w:color="auto"/>
        <w:bottom w:val="none" w:sz="0" w:space="0" w:color="auto"/>
        <w:right w:val="none" w:sz="0" w:space="0" w:color="auto"/>
      </w:divBdr>
    </w:div>
    <w:div w:id="1060516290">
      <w:bodyDiv w:val="1"/>
      <w:marLeft w:val="0"/>
      <w:marRight w:val="0"/>
      <w:marTop w:val="0"/>
      <w:marBottom w:val="0"/>
      <w:divBdr>
        <w:top w:val="none" w:sz="0" w:space="0" w:color="auto"/>
        <w:left w:val="none" w:sz="0" w:space="0" w:color="auto"/>
        <w:bottom w:val="none" w:sz="0" w:space="0" w:color="auto"/>
        <w:right w:val="none" w:sz="0" w:space="0" w:color="auto"/>
      </w:divBdr>
    </w:div>
    <w:div w:id="1060784808">
      <w:bodyDiv w:val="1"/>
      <w:marLeft w:val="0"/>
      <w:marRight w:val="0"/>
      <w:marTop w:val="0"/>
      <w:marBottom w:val="0"/>
      <w:divBdr>
        <w:top w:val="none" w:sz="0" w:space="0" w:color="auto"/>
        <w:left w:val="none" w:sz="0" w:space="0" w:color="auto"/>
        <w:bottom w:val="none" w:sz="0" w:space="0" w:color="auto"/>
        <w:right w:val="none" w:sz="0" w:space="0" w:color="auto"/>
      </w:divBdr>
    </w:div>
    <w:div w:id="1086918192">
      <w:bodyDiv w:val="1"/>
      <w:marLeft w:val="0"/>
      <w:marRight w:val="0"/>
      <w:marTop w:val="0"/>
      <w:marBottom w:val="0"/>
      <w:divBdr>
        <w:top w:val="none" w:sz="0" w:space="0" w:color="auto"/>
        <w:left w:val="none" w:sz="0" w:space="0" w:color="auto"/>
        <w:bottom w:val="none" w:sz="0" w:space="0" w:color="auto"/>
        <w:right w:val="none" w:sz="0" w:space="0" w:color="auto"/>
      </w:divBdr>
    </w:div>
    <w:div w:id="1107240639">
      <w:bodyDiv w:val="1"/>
      <w:marLeft w:val="0"/>
      <w:marRight w:val="0"/>
      <w:marTop w:val="0"/>
      <w:marBottom w:val="0"/>
      <w:divBdr>
        <w:top w:val="none" w:sz="0" w:space="0" w:color="auto"/>
        <w:left w:val="none" w:sz="0" w:space="0" w:color="auto"/>
        <w:bottom w:val="none" w:sz="0" w:space="0" w:color="auto"/>
        <w:right w:val="none" w:sz="0" w:space="0" w:color="auto"/>
      </w:divBdr>
    </w:div>
    <w:div w:id="1109161760">
      <w:bodyDiv w:val="1"/>
      <w:marLeft w:val="0"/>
      <w:marRight w:val="0"/>
      <w:marTop w:val="0"/>
      <w:marBottom w:val="0"/>
      <w:divBdr>
        <w:top w:val="none" w:sz="0" w:space="0" w:color="auto"/>
        <w:left w:val="none" w:sz="0" w:space="0" w:color="auto"/>
        <w:bottom w:val="none" w:sz="0" w:space="0" w:color="auto"/>
        <w:right w:val="none" w:sz="0" w:space="0" w:color="auto"/>
      </w:divBdr>
    </w:div>
    <w:div w:id="1112286760">
      <w:bodyDiv w:val="1"/>
      <w:marLeft w:val="0"/>
      <w:marRight w:val="0"/>
      <w:marTop w:val="0"/>
      <w:marBottom w:val="0"/>
      <w:divBdr>
        <w:top w:val="none" w:sz="0" w:space="0" w:color="auto"/>
        <w:left w:val="none" w:sz="0" w:space="0" w:color="auto"/>
        <w:bottom w:val="none" w:sz="0" w:space="0" w:color="auto"/>
        <w:right w:val="none" w:sz="0" w:space="0" w:color="auto"/>
      </w:divBdr>
    </w:div>
    <w:div w:id="1125580989">
      <w:bodyDiv w:val="1"/>
      <w:marLeft w:val="0"/>
      <w:marRight w:val="0"/>
      <w:marTop w:val="0"/>
      <w:marBottom w:val="0"/>
      <w:divBdr>
        <w:top w:val="none" w:sz="0" w:space="0" w:color="auto"/>
        <w:left w:val="none" w:sz="0" w:space="0" w:color="auto"/>
        <w:bottom w:val="none" w:sz="0" w:space="0" w:color="auto"/>
        <w:right w:val="none" w:sz="0" w:space="0" w:color="auto"/>
      </w:divBdr>
    </w:div>
    <w:div w:id="1144810043">
      <w:bodyDiv w:val="1"/>
      <w:marLeft w:val="0"/>
      <w:marRight w:val="0"/>
      <w:marTop w:val="0"/>
      <w:marBottom w:val="0"/>
      <w:divBdr>
        <w:top w:val="none" w:sz="0" w:space="0" w:color="auto"/>
        <w:left w:val="none" w:sz="0" w:space="0" w:color="auto"/>
        <w:bottom w:val="none" w:sz="0" w:space="0" w:color="auto"/>
        <w:right w:val="none" w:sz="0" w:space="0" w:color="auto"/>
      </w:divBdr>
    </w:div>
    <w:div w:id="1144856779">
      <w:bodyDiv w:val="1"/>
      <w:marLeft w:val="0"/>
      <w:marRight w:val="0"/>
      <w:marTop w:val="0"/>
      <w:marBottom w:val="0"/>
      <w:divBdr>
        <w:top w:val="none" w:sz="0" w:space="0" w:color="auto"/>
        <w:left w:val="none" w:sz="0" w:space="0" w:color="auto"/>
        <w:bottom w:val="none" w:sz="0" w:space="0" w:color="auto"/>
        <w:right w:val="none" w:sz="0" w:space="0" w:color="auto"/>
      </w:divBdr>
    </w:div>
    <w:div w:id="1148980396">
      <w:bodyDiv w:val="1"/>
      <w:marLeft w:val="0"/>
      <w:marRight w:val="0"/>
      <w:marTop w:val="0"/>
      <w:marBottom w:val="0"/>
      <w:divBdr>
        <w:top w:val="none" w:sz="0" w:space="0" w:color="auto"/>
        <w:left w:val="none" w:sz="0" w:space="0" w:color="auto"/>
        <w:bottom w:val="none" w:sz="0" w:space="0" w:color="auto"/>
        <w:right w:val="none" w:sz="0" w:space="0" w:color="auto"/>
      </w:divBdr>
      <w:divsChild>
        <w:div w:id="1397314864">
          <w:marLeft w:val="0"/>
          <w:marRight w:val="0"/>
          <w:marTop w:val="0"/>
          <w:marBottom w:val="0"/>
          <w:divBdr>
            <w:top w:val="none" w:sz="0" w:space="0" w:color="auto"/>
            <w:left w:val="none" w:sz="0" w:space="0" w:color="auto"/>
            <w:bottom w:val="none" w:sz="0" w:space="0" w:color="auto"/>
            <w:right w:val="none" w:sz="0" w:space="0" w:color="auto"/>
          </w:divBdr>
          <w:divsChild>
            <w:div w:id="649408164">
              <w:marLeft w:val="0"/>
              <w:marRight w:val="0"/>
              <w:marTop w:val="0"/>
              <w:marBottom w:val="0"/>
              <w:divBdr>
                <w:top w:val="none" w:sz="0" w:space="0" w:color="auto"/>
                <w:left w:val="none" w:sz="0" w:space="0" w:color="auto"/>
                <w:bottom w:val="none" w:sz="0" w:space="0" w:color="auto"/>
                <w:right w:val="none" w:sz="0" w:space="0" w:color="auto"/>
              </w:divBdr>
              <w:divsChild>
                <w:div w:id="1301502166">
                  <w:marLeft w:val="0"/>
                  <w:marRight w:val="0"/>
                  <w:marTop w:val="0"/>
                  <w:marBottom w:val="0"/>
                  <w:divBdr>
                    <w:top w:val="none" w:sz="0" w:space="0" w:color="auto"/>
                    <w:left w:val="none" w:sz="0" w:space="0" w:color="auto"/>
                    <w:bottom w:val="none" w:sz="0" w:space="0" w:color="auto"/>
                    <w:right w:val="none" w:sz="0" w:space="0" w:color="auto"/>
                  </w:divBdr>
                  <w:divsChild>
                    <w:div w:id="34701289">
                      <w:marLeft w:val="0"/>
                      <w:marRight w:val="0"/>
                      <w:marTop w:val="0"/>
                      <w:marBottom w:val="0"/>
                      <w:divBdr>
                        <w:top w:val="none" w:sz="0" w:space="0" w:color="auto"/>
                        <w:left w:val="none" w:sz="0" w:space="0" w:color="auto"/>
                        <w:bottom w:val="none" w:sz="0" w:space="0" w:color="auto"/>
                        <w:right w:val="none" w:sz="0" w:space="0" w:color="auto"/>
                      </w:divBdr>
                      <w:divsChild>
                        <w:div w:id="828178906">
                          <w:marLeft w:val="0"/>
                          <w:marRight w:val="0"/>
                          <w:marTop w:val="0"/>
                          <w:marBottom w:val="0"/>
                          <w:divBdr>
                            <w:top w:val="none" w:sz="0" w:space="0" w:color="auto"/>
                            <w:left w:val="none" w:sz="0" w:space="0" w:color="auto"/>
                            <w:bottom w:val="none" w:sz="0" w:space="0" w:color="auto"/>
                            <w:right w:val="none" w:sz="0" w:space="0" w:color="auto"/>
                          </w:divBdr>
                          <w:divsChild>
                            <w:div w:id="74989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2871554">
      <w:bodyDiv w:val="1"/>
      <w:marLeft w:val="0"/>
      <w:marRight w:val="0"/>
      <w:marTop w:val="0"/>
      <w:marBottom w:val="0"/>
      <w:divBdr>
        <w:top w:val="none" w:sz="0" w:space="0" w:color="auto"/>
        <w:left w:val="none" w:sz="0" w:space="0" w:color="auto"/>
        <w:bottom w:val="none" w:sz="0" w:space="0" w:color="auto"/>
        <w:right w:val="none" w:sz="0" w:space="0" w:color="auto"/>
      </w:divBdr>
    </w:div>
    <w:div w:id="1155880935">
      <w:bodyDiv w:val="1"/>
      <w:marLeft w:val="0"/>
      <w:marRight w:val="0"/>
      <w:marTop w:val="0"/>
      <w:marBottom w:val="0"/>
      <w:divBdr>
        <w:top w:val="none" w:sz="0" w:space="0" w:color="auto"/>
        <w:left w:val="none" w:sz="0" w:space="0" w:color="auto"/>
        <w:bottom w:val="none" w:sz="0" w:space="0" w:color="auto"/>
        <w:right w:val="none" w:sz="0" w:space="0" w:color="auto"/>
      </w:divBdr>
    </w:div>
    <w:div w:id="1158230418">
      <w:bodyDiv w:val="1"/>
      <w:marLeft w:val="0"/>
      <w:marRight w:val="0"/>
      <w:marTop w:val="0"/>
      <w:marBottom w:val="0"/>
      <w:divBdr>
        <w:top w:val="none" w:sz="0" w:space="0" w:color="auto"/>
        <w:left w:val="none" w:sz="0" w:space="0" w:color="auto"/>
        <w:bottom w:val="none" w:sz="0" w:space="0" w:color="auto"/>
        <w:right w:val="none" w:sz="0" w:space="0" w:color="auto"/>
      </w:divBdr>
    </w:div>
    <w:div w:id="1159495631">
      <w:bodyDiv w:val="1"/>
      <w:marLeft w:val="0"/>
      <w:marRight w:val="0"/>
      <w:marTop w:val="0"/>
      <w:marBottom w:val="0"/>
      <w:divBdr>
        <w:top w:val="none" w:sz="0" w:space="0" w:color="auto"/>
        <w:left w:val="none" w:sz="0" w:space="0" w:color="auto"/>
        <w:bottom w:val="none" w:sz="0" w:space="0" w:color="auto"/>
        <w:right w:val="none" w:sz="0" w:space="0" w:color="auto"/>
      </w:divBdr>
    </w:div>
    <w:div w:id="1165438747">
      <w:bodyDiv w:val="1"/>
      <w:marLeft w:val="0"/>
      <w:marRight w:val="0"/>
      <w:marTop w:val="0"/>
      <w:marBottom w:val="0"/>
      <w:divBdr>
        <w:top w:val="none" w:sz="0" w:space="0" w:color="auto"/>
        <w:left w:val="none" w:sz="0" w:space="0" w:color="auto"/>
        <w:bottom w:val="none" w:sz="0" w:space="0" w:color="auto"/>
        <w:right w:val="none" w:sz="0" w:space="0" w:color="auto"/>
      </w:divBdr>
    </w:div>
    <w:div w:id="1183662445">
      <w:bodyDiv w:val="1"/>
      <w:marLeft w:val="0"/>
      <w:marRight w:val="0"/>
      <w:marTop w:val="0"/>
      <w:marBottom w:val="0"/>
      <w:divBdr>
        <w:top w:val="none" w:sz="0" w:space="0" w:color="auto"/>
        <w:left w:val="none" w:sz="0" w:space="0" w:color="auto"/>
        <w:bottom w:val="none" w:sz="0" w:space="0" w:color="auto"/>
        <w:right w:val="none" w:sz="0" w:space="0" w:color="auto"/>
      </w:divBdr>
    </w:div>
    <w:div w:id="1184516944">
      <w:bodyDiv w:val="1"/>
      <w:marLeft w:val="0"/>
      <w:marRight w:val="0"/>
      <w:marTop w:val="0"/>
      <w:marBottom w:val="0"/>
      <w:divBdr>
        <w:top w:val="none" w:sz="0" w:space="0" w:color="auto"/>
        <w:left w:val="none" w:sz="0" w:space="0" w:color="auto"/>
        <w:bottom w:val="none" w:sz="0" w:space="0" w:color="auto"/>
        <w:right w:val="none" w:sz="0" w:space="0" w:color="auto"/>
      </w:divBdr>
    </w:div>
    <w:div w:id="1191987143">
      <w:bodyDiv w:val="1"/>
      <w:marLeft w:val="0"/>
      <w:marRight w:val="0"/>
      <w:marTop w:val="0"/>
      <w:marBottom w:val="0"/>
      <w:divBdr>
        <w:top w:val="none" w:sz="0" w:space="0" w:color="auto"/>
        <w:left w:val="none" w:sz="0" w:space="0" w:color="auto"/>
        <w:bottom w:val="none" w:sz="0" w:space="0" w:color="auto"/>
        <w:right w:val="none" w:sz="0" w:space="0" w:color="auto"/>
      </w:divBdr>
    </w:div>
    <w:div w:id="1217398421">
      <w:bodyDiv w:val="1"/>
      <w:marLeft w:val="0"/>
      <w:marRight w:val="0"/>
      <w:marTop w:val="0"/>
      <w:marBottom w:val="0"/>
      <w:divBdr>
        <w:top w:val="none" w:sz="0" w:space="0" w:color="auto"/>
        <w:left w:val="none" w:sz="0" w:space="0" w:color="auto"/>
        <w:bottom w:val="none" w:sz="0" w:space="0" w:color="auto"/>
        <w:right w:val="none" w:sz="0" w:space="0" w:color="auto"/>
      </w:divBdr>
    </w:div>
    <w:div w:id="1218667006">
      <w:bodyDiv w:val="1"/>
      <w:marLeft w:val="0"/>
      <w:marRight w:val="0"/>
      <w:marTop w:val="0"/>
      <w:marBottom w:val="0"/>
      <w:divBdr>
        <w:top w:val="none" w:sz="0" w:space="0" w:color="auto"/>
        <w:left w:val="none" w:sz="0" w:space="0" w:color="auto"/>
        <w:bottom w:val="none" w:sz="0" w:space="0" w:color="auto"/>
        <w:right w:val="none" w:sz="0" w:space="0" w:color="auto"/>
      </w:divBdr>
    </w:div>
    <w:div w:id="1222642496">
      <w:bodyDiv w:val="1"/>
      <w:marLeft w:val="0"/>
      <w:marRight w:val="0"/>
      <w:marTop w:val="0"/>
      <w:marBottom w:val="0"/>
      <w:divBdr>
        <w:top w:val="none" w:sz="0" w:space="0" w:color="auto"/>
        <w:left w:val="none" w:sz="0" w:space="0" w:color="auto"/>
        <w:bottom w:val="none" w:sz="0" w:space="0" w:color="auto"/>
        <w:right w:val="none" w:sz="0" w:space="0" w:color="auto"/>
      </w:divBdr>
    </w:div>
    <w:div w:id="1228228204">
      <w:bodyDiv w:val="1"/>
      <w:marLeft w:val="0"/>
      <w:marRight w:val="0"/>
      <w:marTop w:val="0"/>
      <w:marBottom w:val="0"/>
      <w:divBdr>
        <w:top w:val="none" w:sz="0" w:space="0" w:color="auto"/>
        <w:left w:val="none" w:sz="0" w:space="0" w:color="auto"/>
        <w:bottom w:val="none" w:sz="0" w:space="0" w:color="auto"/>
        <w:right w:val="none" w:sz="0" w:space="0" w:color="auto"/>
      </w:divBdr>
    </w:div>
    <w:div w:id="1236428165">
      <w:bodyDiv w:val="1"/>
      <w:marLeft w:val="0"/>
      <w:marRight w:val="0"/>
      <w:marTop w:val="0"/>
      <w:marBottom w:val="0"/>
      <w:divBdr>
        <w:top w:val="none" w:sz="0" w:space="0" w:color="auto"/>
        <w:left w:val="none" w:sz="0" w:space="0" w:color="auto"/>
        <w:bottom w:val="none" w:sz="0" w:space="0" w:color="auto"/>
        <w:right w:val="none" w:sz="0" w:space="0" w:color="auto"/>
      </w:divBdr>
    </w:div>
    <w:div w:id="1244728119">
      <w:bodyDiv w:val="1"/>
      <w:marLeft w:val="0"/>
      <w:marRight w:val="0"/>
      <w:marTop w:val="0"/>
      <w:marBottom w:val="0"/>
      <w:divBdr>
        <w:top w:val="none" w:sz="0" w:space="0" w:color="auto"/>
        <w:left w:val="none" w:sz="0" w:space="0" w:color="auto"/>
        <w:bottom w:val="none" w:sz="0" w:space="0" w:color="auto"/>
        <w:right w:val="none" w:sz="0" w:space="0" w:color="auto"/>
      </w:divBdr>
    </w:div>
    <w:div w:id="1248877977">
      <w:bodyDiv w:val="1"/>
      <w:marLeft w:val="0"/>
      <w:marRight w:val="0"/>
      <w:marTop w:val="0"/>
      <w:marBottom w:val="0"/>
      <w:divBdr>
        <w:top w:val="none" w:sz="0" w:space="0" w:color="auto"/>
        <w:left w:val="none" w:sz="0" w:space="0" w:color="auto"/>
        <w:bottom w:val="none" w:sz="0" w:space="0" w:color="auto"/>
        <w:right w:val="none" w:sz="0" w:space="0" w:color="auto"/>
      </w:divBdr>
    </w:div>
    <w:div w:id="1252662437">
      <w:bodyDiv w:val="1"/>
      <w:marLeft w:val="0"/>
      <w:marRight w:val="0"/>
      <w:marTop w:val="0"/>
      <w:marBottom w:val="0"/>
      <w:divBdr>
        <w:top w:val="none" w:sz="0" w:space="0" w:color="auto"/>
        <w:left w:val="none" w:sz="0" w:space="0" w:color="auto"/>
        <w:bottom w:val="none" w:sz="0" w:space="0" w:color="auto"/>
        <w:right w:val="none" w:sz="0" w:space="0" w:color="auto"/>
      </w:divBdr>
    </w:div>
    <w:div w:id="1253125951">
      <w:bodyDiv w:val="1"/>
      <w:marLeft w:val="0"/>
      <w:marRight w:val="0"/>
      <w:marTop w:val="0"/>
      <w:marBottom w:val="0"/>
      <w:divBdr>
        <w:top w:val="none" w:sz="0" w:space="0" w:color="auto"/>
        <w:left w:val="none" w:sz="0" w:space="0" w:color="auto"/>
        <w:bottom w:val="none" w:sz="0" w:space="0" w:color="auto"/>
        <w:right w:val="none" w:sz="0" w:space="0" w:color="auto"/>
      </w:divBdr>
    </w:div>
    <w:div w:id="1256280357">
      <w:bodyDiv w:val="1"/>
      <w:marLeft w:val="0"/>
      <w:marRight w:val="0"/>
      <w:marTop w:val="0"/>
      <w:marBottom w:val="0"/>
      <w:divBdr>
        <w:top w:val="none" w:sz="0" w:space="0" w:color="auto"/>
        <w:left w:val="none" w:sz="0" w:space="0" w:color="auto"/>
        <w:bottom w:val="none" w:sz="0" w:space="0" w:color="auto"/>
        <w:right w:val="none" w:sz="0" w:space="0" w:color="auto"/>
      </w:divBdr>
    </w:div>
    <w:div w:id="1266185119">
      <w:bodyDiv w:val="1"/>
      <w:marLeft w:val="0"/>
      <w:marRight w:val="0"/>
      <w:marTop w:val="0"/>
      <w:marBottom w:val="0"/>
      <w:divBdr>
        <w:top w:val="none" w:sz="0" w:space="0" w:color="auto"/>
        <w:left w:val="none" w:sz="0" w:space="0" w:color="auto"/>
        <w:bottom w:val="none" w:sz="0" w:space="0" w:color="auto"/>
        <w:right w:val="none" w:sz="0" w:space="0" w:color="auto"/>
      </w:divBdr>
    </w:div>
    <w:div w:id="1269774480">
      <w:bodyDiv w:val="1"/>
      <w:marLeft w:val="0"/>
      <w:marRight w:val="0"/>
      <w:marTop w:val="0"/>
      <w:marBottom w:val="0"/>
      <w:divBdr>
        <w:top w:val="none" w:sz="0" w:space="0" w:color="auto"/>
        <w:left w:val="none" w:sz="0" w:space="0" w:color="auto"/>
        <w:bottom w:val="none" w:sz="0" w:space="0" w:color="auto"/>
        <w:right w:val="none" w:sz="0" w:space="0" w:color="auto"/>
      </w:divBdr>
    </w:div>
    <w:div w:id="1274560445">
      <w:bodyDiv w:val="1"/>
      <w:marLeft w:val="0"/>
      <w:marRight w:val="0"/>
      <w:marTop w:val="0"/>
      <w:marBottom w:val="0"/>
      <w:divBdr>
        <w:top w:val="none" w:sz="0" w:space="0" w:color="auto"/>
        <w:left w:val="none" w:sz="0" w:space="0" w:color="auto"/>
        <w:bottom w:val="none" w:sz="0" w:space="0" w:color="auto"/>
        <w:right w:val="none" w:sz="0" w:space="0" w:color="auto"/>
      </w:divBdr>
    </w:div>
    <w:div w:id="1277564839">
      <w:bodyDiv w:val="1"/>
      <w:marLeft w:val="0"/>
      <w:marRight w:val="0"/>
      <w:marTop w:val="0"/>
      <w:marBottom w:val="0"/>
      <w:divBdr>
        <w:top w:val="none" w:sz="0" w:space="0" w:color="auto"/>
        <w:left w:val="none" w:sz="0" w:space="0" w:color="auto"/>
        <w:bottom w:val="none" w:sz="0" w:space="0" w:color="auto"/>
        <w:right w:val="none" w:sz="0" w:space="0" w:color="auto"/>
      </w:divBdr>
    </w:div>
    <w:div w:id="1287851717">
      <w:bodyDiv w:val="1"/>
      <w:marLeft w:val="0"/>
      <w:marRight w:val="0"/>
      <w:marTop w:val="0"/>
      <w:marBottom w:val="0"/>
      <w:divBdr>
        <w:top w:val="none" w:sz="0" w:space="0" w:color="auto"/>
        <w:left w:val="none" w:sz="0" w:space="0" w:color="auto"/>
        <w:bottom w:val="none" w:sz="0" w:space="0" w:color="auto"/>
        <w:right w:val="none" w:sz="0" w:space="0" w:color="auto"/>
      </w:divBdr>
    </w:div>
    <w:div w:id="1288510460">
      <w:bodyDiv w:val="1"/>
      <w:marLeft w:val="0"/>
      <w:marRight w:val="0"/>
      <w:marTop w:val="0"/>
      <w:marBottom w:val="0"/>
      <w:divBdr>
        <w:top w:val="none" w:sz="0" w:space="0" w:color="auto"/>
        <w:left w:val="none" w:sz="0" w:space="0" w:color="auto"/>
        <w:bottom w:val="none" w:sz="0" w:space="0" w:color="auto"/>
        <w:right w:val="none" w:sz="0" w:space="0" w:color="auto"/>
      </w:divBdr>
    </w:div>
    <w:div w:id="1290555943">
      <w:bodyDiv w:val="1"/>
      <w:marLeft w:val="0"/>
      <w:marRight w:val="0"/>
      <w:marTop w:val="0"/>
      <w:marBottom w:val="0"/>
      <w:divBdr>
        <w:top w:val="none" w:sz="0" w:space="0" w:color="auto"/>
        <w:left w:val="none" w:sz="0" w:space="0" w:color="auto"/>
        <w:bottom w:val="none" w:sz="0" w:space="0" w:color="auto"/>
        <w:right w:val="none" w:sz="0" w:space="0" w:color="auto"/>
      </w:divBdr>
    </w:div>
    <w:div w:id="1293245150">
      <w:bodyDiv w:val="1"/>
      <w:marLeft w:val="0"/>
      <w:marRight w:val="0"/>
      <w:marTop w:val="0"/>
      <w:marBottom w:val="0"/>
      <w:divBdr>
        <w:top w:val="none" w:sz="0" w:space="0" w:color="auto"/>
        <w:left w:val="none" w:sz="0" w:space="0" w:color="auto"/>
        <w:bottom w:val="none" w:sz="0" w:space="0" w:color="auto"/>
        <w:right w:val="none" w:sz="0" w:space="0" w:color="auto"/>
      </w:divBdr>
    </w:div>
    <w:div w:id="1298486191">
      <w:bodyDiv w:val="1"/>
      <w:marLeft w:val="0"/>
      <w:marRight w:val="0"/>
      <w:marTop w:val="0"/>
      <w:marBottom w:val="0"/>
      <w:divBdr>
        <w:top w:val="none" w:sz="0" w:space="0" w:color="auto"/>
        <w:left w:val="none" w:sz="0" w:space="0" w:color="auto"/>
        <w:bottom w:val="none" w:sz="0" w:space="0" w:color="auto"/>
        <w:right w:val="none" w:sz="0" w:space="0" w:color="auto"/>
      </w:divBdr>
    </w:div>
    <w:div w:id="1299149728">
      <w:bodyDiv w:val="1"/>
      <w:marLeft w:val="0"/>
      <w:marRight w:val="0"/>
      <w:marTop w:val="0"/>
      <w:marBottom w:val="0"/>
      <w:divBdr>
        <w:top w:val="none" w:sz="0" w:space="0" w:color="auto"/>
        <w:left w:val="none" w:sz="0" w:space="0" w:color="auto"/>
        <w:bottom w:val="none" w:sz="0" w:space="0" w:color="auto"/>
        <w:right w:val="none" w:sz="0" w:space="0" w:color="auto"/>
      </w:divBdr>
    </w:div>
    <w:div w:id="1312752389">
      <w:bodyDiv w:val="1"/>
      <w:marLeft w:val="0"/>
      <w:marRight w:val="0"/>
      <w:marTop w:val="0"/>
      <w:marBottom w:val="0"/>
      <w:divBdr>
        <w:top w:val="none" w:sz="0" w:space="0" w:color="auto"/>
        <w:left w:val="none" w:sz="0" w:space="0" w:color="auto"/>
        <w:bottom w:val="none" w:sz="0" w:space="0" w:color="auto"/>
        <w:right w:val="none" w:sz="0" w:space="0" w:color="auto"/>
      </w:divBdr>
    </w:div>
    <w:div w:id="1341741292">
      <w:bodyDiv w:val="1"/>
      <w:marLeft w:val="0"/>
      <w:marRight w:val="0"/>
      <w:marTop w:val="0"/>
      <w:marBottom w:val="0"/>
      <w:divBdr>
        <w:top w:val="none" w:sz="0" w:space="0" w:color="auto"/>
        <w:left w:val="none" w:sz="0" w:space="0" w:color="auto"/>
        <w:bottom w:val="none" w:sz="0" w:space="0" w:color="auto"/>
        <w:right w:val="none" w:sz="0" w:space="0" w:color="auto"/>
      </w:divBdr>
    </w:div>
    <w:div w:id="1372414105">
      <w:bodyDiv w:val="1"/>
      <w:marLeft w:val="0"/>
      <w:marRight w:val="0"/>
      <w:marTop w:val="0"/>
      <w:marBottom w:val="0"/>
      <w:divBdr>
        <w:top w:val="none" w:sz="0" w:space="0" w:color="auto"/>
        <w:left w:val="none" w:sz="0" w:space="0" w:color="auto"/>
        <w:bottom w:val="none" w:sz="0" w:space="0" w:color="auto"/>
        <w:right w:val="none" w:sz="0" w:space="0" w:color="auto"/>
      </w:divBdr>
    </w:div>
    <w:div w:id="1374311966">
      <w:bodyDiv w:val="1"/>
      <w:marLeft w:val="0"/>
      <w:marRight w:val="0"/>
      <w:marTop w:val="0"/>
      <w:marBottom w:val="0"/>
      <w:divBdr>
        <w:top w:val="none" w:sz="0" w:space="0" w:color="auto"/>
        <w:left w:val="none" w:sz="0" w:space="0" w:color="auto"/>
        <w:bottom w:val="none" w:sz="0" w:space="0" w:color="auto"/>
        <w:right w:val="none" w:sz="0" w:space="0" w:color="auto"/>
      </w:divBdr>
    </w:div>
    <w:div w:id="1383795289">
      <w:bodyDiv w:val="1"/>
      <w:marLeft w:val="0"/>
      <w:marRight w:val="0"/>
      <w:marTop w:val="0"/>
      <w:marBottom w:val="0"/>
      <w:divBdr>
        <w:top w:val="none" w:sz="0" w:space="0" w:color="auto"/>
        <w:left w:val="none" w:sz="0" w:space="0" w:color="auto"/>
        <w:bottom w:val="none" w:sz="0" w:space="0" w:color="auto"/>
        <w:right w:val="none" w:sz="0" w:space="0" w:color="auto"/>
      </w:divBdr>
    </w:div>
    <w:div w:id="1394738126">
      <w:bodyDiv w:val="1"/>
      <w:marLeft w:val="0"/>
      <w:marRight w:val="0"/>
      <w:marTop w:val="0"/>
      <w:marBottom w:val="0"/>
      <w:divBdr>
        <w:top w:val="none" w:sz="0" w:space="0" w:color="auto"/>
        <w:left w:val="none" w:sz="0" w:space="0" w:color="auto"/>
        <w:bottom w:val="none" w:sz="0" w:space="0" w:color="auto"/>
        <w:right w:val="none" w:sz="0" w:space="0" w:color="auto"/>
      </w:divBdr>
    </w:div>
    <w:div w:id="1402175342">
      <w:bodyDiv w:val="1"/>
      <w:marLeft w:val="0"/>
      <w:marRight w:val="0"/>
      <w:marTop w:val="0"/>
      <w:marBottom w:val="0"/>
      <w:divBdr>
        <w:top w:val="none" w:sz="0" w:space="0" w:color="auto"/>
        <w:left w:val="none" w:sz="0" w:space="0" w:color="auto"/>
        <w:bottom w:val="none" w:sz="0" w:space="0" w:color="auto"/>
        <w:right w:val="none" w:sz="0" w:space="0" w:color="auto"/>
      </w:divBdr>
    </w:div>
    <w:div w:id="1412967678">
      <w:bodyDiv w:val="1"/>
      <w:marLeft w:val="0"/>
      <w:marRight w:val="0"/>
      <w:marTop w:val="0"/>
      <w:marBottom w:val="0"/>
      <w:divBdr>
        <w:top w:val="none" w:sz="0" w:space="0" w:color="auto"/>
        <w:left w:val="none" w:sz="0" w:space="0" w:color="auto"/>
        <w:bottom w:val="none" w:sz="0" w:space="0" w:color="auto"/>
        <w:right w:val="none" w:sz="0" w:space="0" w:color="auto"/>
      </w:divBdr>
    </w:div>
    <w:div w:id="1417243633">
      <w:bodyDiv w:val="1"/>
      <w:marLeft w:val="0"/>
      <w:marRight w:val="0"/>
      <w:marTop w:val="0"/>
      <w:marBottom w:val="0"/>
      <w:divBdr>
        <w:top w:val="none" w:sz="0" w:space="0" w:color="auto"/>
        <w:left w:val="none" w:sz="0" w:space="0" w:color="auto"/>
        <w:bottom w:val="none" w:sz="0" w:space="0" w:color="auto"/>
        <w:right w:val="none" w:sz="0" w:space="0" w:color="auto"/>
      </w:divBdr>
    </w:div>
    <w:div w:id="1418094522">
      <w:bodyDiv w:val="1"/>
      <w:marLeft w:val="0"/>
      <w:marRight w:val="0"/>
      <w:marTop w:val="0"/>
      <w:marBottom w:val="0"/>
      <w:divBdr>
        <w:top w:val="none" w:sz="0" w:space="0" w:color="auto"/>
        <w:left w:val="none" w:sz="0" w:space="0" w:color="auto"/>
        <w:bottom w:val="none" w:sz="0" w:space="0" w:color="auto"/>
        <w:right w:val="none" w:sz="0" w:space="0" w:color="auto"/>
      </w:divBdr>
    </w:div>
    <w:div w:id="1435051647">
      <w:bodyDiv w:val="1"/>
      <w:marLeft w:val="0"/>
      <w:marRight w:val="0"/>
      <w:marTop w:val="0"/>
      <w:marBottom w:val="0"/>
      <w:divBdr>
        <w:top w:val="none" w:sz="0" w:space="0" w:color="auto"/>
        <w:left w:val="none" w:sz="0" w:space="0" w:color="auto"/>
        <w:bottom w:val="none" w:sz="0" w:space="0" w:color="auto"/>
        <w:right w:val="none" w:sz="0" w:space="0" w:color="auto"/>
      </w:divBdr>
    </w:div>
    <w:div w:id="1441990932">
      <w:bodyDiv w:val="1"/>
      <w:marLeft w:val="0"/>
      <w:marRight w:val="0"/>
      <w:marTop w:val="0"/>
      <w:marBottom w:val="0"/>
      <w:divBdr>
        <w:top w:val="none" w:sz="0" w:space="0" w:color="auto"/>
        <w:left w:val="none" w:sz="0" w:space="0" w:color="auto"/>
        <w:bottom w:val="none" w:sz="0" w:space="0" w:color="auto"/>
        <w:right w:val="none" w:sz="0" w:space="0" w:color="auto"/>
      </w:divBdr>
    </w:div>
    <w:div w:id="1445153074">
      <w:bodyDiv w:val="1"/>
      <w:marLeft w:val="0"/>
      <w:marRight w:val="0"/>
      <w:marTop w:val="0"/>
      <w:marBottom w:val="0"/>
      <w:divBdr>
        <w:top w:val="none" w:sz="0" w:space="0" w:color="auto"/>
        <w:left w:val="none" w:sz="0" w:space="0" w:color="auto"/>
        <w:bottom w:val="none" w:sz="0" w:space="0" w:color="auto"/>
        <w:right w:val="none" w:sz="0" w:space="0" w:color="auto"/>
      </w:divBdr>
    </w:div>
    <w:div w:id="1447967832">
      <w:bodyDiv w:val="1"/>
      <w:marLeft w:val="0"/>
      <w:marRight w:val="0"/>
      <w:marTop w:val="0"/>
      <w:marBottom w:val="0"/>
      <w:divBdr>
        <w:top w:val="none" w:sz="0" w:space="0" w:color="auto"/>
        <w:left w:val="none" w:sz="0" w:space="0" w:color="auto"/>
        <w:bottom w:val="none" w:sz="0" w:space="0" w:color="auto"/>
        <w:right w:val="none" w:sz="0" w:space="0" w:color="auto"/>
      </w:divBdr>
    </w:div>
    <w:div w:id="1450129779">
      <w:bodyDiv w:val="1"/>
      <w:marLeft w:val="0"/>
      <w:marRight w:val="0"/>
      <w:marTop w:val="0"/>
      <w:marBottom w:val="0"/>
      <w:divBdr>
        <w:top w:val="none" w:sz="0" w:space="0" w:color="auto"/>
        <w:left w:val="none" w:sz="0" w:space="0" w:color="auto"/>
        <w:bottom w:val="none" w:sz="0" w:space="0" w:color="auto"/>
        <w:right w:val="none" w:sz="0" w:space="0" w:color="auto"/>
      </w:divBdr>
    </w:div>
    <w:div w:id="1463574154">
      <w:bodyDiv w:val="1"/>
      <w:marLeft w:val="0"/>
      <w:marRight w:val="0"/>
      <w:marTop w:val="0"/>
      <w:marBottom w:val="0"/>
      <w:divBdr>
        <w:top w:val="none" w:sz="0" w:space="0" w:color="auto"/>
        <w:left w:val="none" w:sz="0" w:space="0" w:color="auto"/>
        <w:bottom w:val="none" w:sz="0" w:space="0" w:color="auto"/>
        <w:right w:val="none" w:sz="0" w:space="0" w:color="auto"/>
      </w:divBdr>
    </w:div>
    <w:div w:id="1474249970">
      <w:bodyDiv w:val="1"/>
      <w:marLeft w:val="0"/>
      <w:marRight w:val="0"/>
      <w:marTop w:val="0"/>
      <w:marBottom w:val="0"/>
      <w:divBdr>
        <w:top w:val="none" w:sz="0" w:space="0" w:color="auto"/>
        <w:left w:val="none" w:sz="0" w:space="0" w:color="auto"/>
        <w:bottom w:val="none" w:sz="0" w:space="0" w:color="auto"/>
        <w:right w:val="none" w:sz="0" w:space="0" w:color="auto"/>
      </w:divBdr>
    </w:div>
    <w:div w:id="1486360041">
      <w:bodyDiv w:val="1"/>
      <w:marLeft w:val="0"/>
      <w:marRight w:val="0"/>
      <w:marTop w:val="0"/>
      <w:marBottom w:val="0"/>
      <w:divBdr>
        <w:top w:val="none" w:sz="0" w:space="0" w:color="auto"/>
        <w:left w:val="none" w:sz="0" w:space="0" w:color="auto"/>
        <w:bottom w:val="none" w:sz="0" w:space="0" w:color="auto"/>
        <w:right w:val="none" w:sz="0" w:space="0" w:color="auto"/>
      </w:divBdr>
    </w:div>
    <w:div w:id="1493138775">
      <w:bodyDiv w:val="1"/>
      <w:marLeft w:val="0"/>
      <w:marRight w:val="0"/>
      <w:marTop w:val="0"/>
      <w:marBottom w:val="0"/>
      <w:divBdr>
        <w:top w:val="none" w:sz="0" w:space="0" w:color="auto"/>
        <w:left w:val="none" w:sz="0" w:space="0" w:color="auto"/>
        <w:bottom w:val="none" w:sz="0" w:space="0" w:color="auto"/>
        <w:right w:val="none" w:sz="0" w:space="0" w:color="auto"/>
      </w:divBdr>
    </w:div>
    <w:div w:id="1493446102">
      <w:bodyDiv w:val="1"/>
      <w:marLeft w:val="0"/>
      <w:marRight w:val="0"/>
      <w:marTop w:val="0"/>
      <w:marBottom w:val="0"/>
      <w:divBdr>
        <w:top w:val="none" w:sz="0" w:space="0" w:color="auto"/>
        <w:left w:val="none" w:sz="0" w:space="0" w:color="auto"/>
        <w:bottom w:val="none" w:sz="0" w:space="0" w:color="auto"/>
        <w:right w:val="none" w:sz="0" w:space="0" w:color="auto"/>
      </w:divBdr>
    </w:div>
    <w:div w:id="1508641778">
      <w:bodyDiv w:val="1"/>
      <w:marLeft w:val="0"/>
      <w:marRight w:val="0"/>
      <w:marTop w:val="0"/>
      <w:marBottom w:val="0"/>
      <w:divBdr>
        <w:top w:val="none" w:sz="0" w:space="0" w:color="auto"/>
        <w:left w:val="none" w:sz="0" w:space="0" w:color="auto"/>
        <w:bottom w:val="none" w:sz="0" w:space="0" w:color="auto"/>
        <w:right w:val="none" w:sz="0" w:space="0" w:color="auto"/>
      </w:divBdr>
    </w:div>
    <w:div w:id="1517113301">
      <w:bodyDiv w:val="1"/>
      <w:marLeft w:val="0"/>
      <w:marRight w:val="0"/>
      <w:marTop w:val="0"/>
      <w:marBottom w:val="0"/>
      <w:divBdr>
        <w:top w:val="none" w:sz="0" w:space="0" w:color="auto"/>
        <w:left w:val="none" w:sz="0" w:space="0" w:color="auto"/>
        <w:bottom w:val="none" w:sz="0" w:space="0" w:color="auto"/>
        <w:right w:val="none" w:sz="0" w:space="0" w:color="auto"/>
      </w:divBdr>
    </w:div>
    <w:div w:id="1522472722">
      <w:bodyDiv w:val="1"/>
      <w:marLeft w:val="0"/>
      <w:marRight w:val="0"/>
      <w:marTop w:val="0"/>
      <w:marBottom w:val="0"/>
      <w:divBdr>
        <w:top w:val="none" w:sz="0" w:space="0" w:color="auto"/>
        <w:left w:val="none" w:sz="0" w:space="0" w:color="auto"/>
        <w:bottom w:val="none" w:sz="0" w:space="0" w:color="auto"/>
        <w:right w:val="none" w:sz="0" w:space="0" w:color="auto"/>
      </w:divBdr>
    </w:div>
    <w:div w:id="1549992039">
      <w:bodyDiv w:val="1"/>
      <w:marLeft w:val="0"/>
      <w:marRight w:val="0"/>
      <w:marTop w:val="0"/>
      <w:marBottom w:val="0"/>
      <w:divBdr>
        <w:top w:val="none" w:sz="0" w:space="0" w:color="auto"/>
        <w:left w:val="none" w:sz="0" w:space="0" w:color="auto"/>
        <w:bottom w:val="none" w:sz="0" w:space="0" w:color="auto"/>
        <w:right w:val="none" w:sz="0" w:space="0" w:color="auto"/>
      </w:divBdr>
    </w:div>
    <w:div w:id="1551310404">
      <w:bodyDiv w:val="1"/>
      <w:marLeft w:val="0"/>
      <w:marRight w:val="0"/>
      <w:marTop w:val="0"/>
      <w:marBottom w:val="0"/>
      <w:divBdr>
        <w:top w:val="none" w:sz="0" w:space="0" w:color="auto"/>
        <w:left w:val="none" w:sz="0" w:space="0" w:color="auto"/>
        <w:bottom w:val="none" w:sz="0" w:space="0" w:color="auto"/>
        <w:right w:val="none" w:sz="0" w:space="0" w:color="auto"/>
      </w:divBdr>
    </w:div>
    <w:div w:id="1554926486">
      <w:bodyDiv w:val="1"/>
      <w:marLeft w:val="0"/>
      <w:marRight w:val="0"/>
      <w:marTop w:val="0"/>
      <w:marBottom w:val="0"/>
      <w:divBdr>
        <w:top w:val="none" w:sz="0" w:space="0" w:color="auto"/>
        <w:left w:val="none" w:sz="0" w:space="0" w:color="auto"/>
        <w:bottom w:val="none" w:sz="0" w:space="0" w:color="auto"/>
        <w:right w:val="none" w:sz="0" w:space="0" w:color="auto"/>
      </w:divBdr>
      <w:divsChild>
        <w:div w:id="2024546849">
          <w:marLeft w:val="0"/>
          <w:marRight w:val="0"/>
          <w:marTop w:val="0"/>
          <w:marBottom w:val="0"/>
          <w:divBdr>
            <w:top w:val="none" w:sz="0" w:space="0" w:color="auto"/>
            <w:left w:val="none" w:sz="0" w:space="0" w:color="auto"/>
            <w:bottom w:val="none" w:sz="0" w:space="0" w:color="auto"/>
            <w:right w:val="none" w:sz="0" w:space="0" w:color="auto"/>
          </w:divBdr>
          <w:divsChild>
            <w:div w:id="1675767047">
              <w:marLeft w:val="0"/>
              <w:marRight w:val="0"/>
              <w:marTop w:val="0"/>
              <w:marBottom w:val="0"/>
              <w:divBdr>
                <w:top w:val="none" w:sz="0" w:space="0" w:color="auto"/>
                <w:left w:val="none" w:sz="0" w:space="0" w:color="auto"/>
                <w:bottom w:val="none" w:sz="0" w:space="0" w:color="auto"/>
                <w:right w:val="none" w:sz="0" w:space="0" w:color="auto"/>
              </w:divBdr>
              <w:divsChild>
                <w:div w:id="783617027">
                  <w:marLeft w:val="0"/>
                  <w:marRight w:val="0"/>
                  <w:marTop w:val="0"/>
                  <w:marBottom w:val="0"/>
                  <w:divBdr>
                    <w:top w:val="none" w:sz="0" w:space="0" w:color="auto"/>
                    <w:left w:val="none" w:sz="0" w:space="0" w:color="auto"/>
                    <w:bottom w:val="none" w:sz="0" w:space="0" w:color="auto"/>
                    <w:right w:val="none" w:sz="0" w:space="0" w:color="auto"/>
                  </w:divBdr>
                  <w:divsChild>
                    <w:div w:id="1289699183">
                      <w:marLeft w:val="0"/>
                      <w:marRight w:val="0"/>
                      <w:marTop w:val="0"/>
                      <w:marBottom w:val="0"/>
                      <w:divBdr>
                        <w:top w:val="none" w:sz="0" w:space="0" w:color="auto"/>
                        <w:left w:val="none" w:sz="0" w:space="0" w:color="auto"/>
                        <w:bottom w:val="none" w:sz="0" w:space="0" w:color="auto"/>
                        <w:right w:val="none" w:sz="0" w:space="0" w:color="auto"/>
                      </w:divBdr>
                      <w:divsChild>
                        <w:div w:id="1632326604">
                          <w:marLeft w:val="0"/>
                          <w:marRight w:val="0"/>
                          <w:marTop w:val="0"/>
                          <w:marBottom w:val="0"/>
                          <w:divBdr>
                            <w:top w:val="none" w:sz="0" w:space="0" w:color="auto"/>
                            <w:left w:val="none" w:sz="0" w:space="0" w:color="auto"/>
                            <w:bottom w:val="none" w:sz="0" w:space="0" w:color="auto"/>
                            <w:right w:val="none" w:sz="0" w:space="0" w:color="auto"/>
                          </w:divBdr>
                          <w:divsChild>
                            <w:div w:id="28076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677260">
      <w:bodyDiv w:val="1"/>
      <w:marLeft w:val="0"/>
      <w:marRight w:val="0"/>
      <w:marTop w:val="0"/>
      <w:marBottom w:val="0"/>
      <w:divBdr>
        <w:top w:val="none" w:sz="0" w:space="0" w:color="auto"/>
        <w:left w:val="none" w:sz="0" w:space="0" w:color="auto"/>
        <w:bottom w:val="none" w:sz="0" w:space="0" w:color="auto"/>
        <w:right w:val="none" w:sz="0" w:space="0" w:color="auto"/>
      </w:divBdr>
    </w:div>
    <w:div w:id="1566064770">
      <w:bodyDiv w:val="1"/>
      <w:marLeft w:val="0"/>
      <w:marRight w:val="0"/>
      <w:marTop w:val="0"/>
      <w:marBottom w:val="0"/>
      <w:divBdr>
        <w:top w:val="none" w:sz="0" w:space="0" w:color="auto"/>
        <w:left w:val="none" w:sz="0" w:space="0" w:color="auto"/>
        <w:bottom w:val="none" w:sz="0" w:space="0" w:color="auto"/>
        <w:right w:val="none" w:sz="0" w:space="0" w:color="auto"/>
      </w:divBdr>
    </w:div>
    <w:div w:id="1581214323">
      <w:bodyDiv w:val="1"/>
      <w:marLeft w:val="0"/>
      <w:marRight w:val="0"/>
      <w:marTop w:val="0"/>
      <w:marBottom w:val="0"/>
      <w:divBdr>
        <w:top w:val="none" w:sz="0" w:space="0" w:color="auto"/>
        <w:left w:val="none" w:sz="0" w:space="0" w:color="auto"/>
        <w:bottom w:val="none" w:sz="0" w:space="0" w:color="auto"/>
        <w:right w:val="none" w:sz="0" w:space="0" w:color="auto"/>
      </w:divBdr>
    </w:div>
    <w:div w:id="1599634045">
      <w:bodyDiv w:val="1"/>
      <w:marLeft w:val="0"/>
      <w:marRight w:val="0"/>
      <w:marTop w:val="0"/>
      <w:marBottom w:val="0"/>
      <w:divBdr>
        <w:top w:val="none" w:sz="0" w:space="0" w:color="auto"/>
        <w:left w:val="none" w:sz="0" w:space="0" w:color="auto"/>
        <w:bottom w:val="none" w:sz="0" w:space="0" w:color="auto"/>
        <w:right w:val="none" w:sz="0" w:space="0" w:color="auto"/>
      </w:divBdr>
    </w:div>
    <w:div w:id="1603605090">
      <w:bodyDiv w:val="1"/>
      <w:marLeft w:val="0"/>
      <w:marRight w:val="0"/>
      <w:marTop w:val="0"/>
      <w:marBottom w:val="0"/>
      <w:divBdr>
        <w:top w:val="none" w:sz="0" w:space="0" w:color="auto"/>
        <w:left w:val="none" w:sz="0" w:space="0" w:color="auto"/>
        <w:bottom w:val="none" w:sz="0" w:space="0" w:color="auto"/>
        <w:right w:val="none" w:sz="0" w:space="0" w:color="auto"/>
      </w:divBdr>
    </w:div>
    <w:div w:id="1612204025">
      <w:bodyDiv w:val="1"/>
      <w:marLeft w:val="0"/>
      <w:marRight w:val="0"/>
      <w:marTop w:val="0"/>
      <w:marBottom w:val="0"/>
      <w:divBdr>
        <w:top w:val="none" w:sz="0" w:space="0" w:color="auto"/>
        <w:left w:val="none" w:sz="0" w:space="0" w:color="auto"/>
        <w:bottom w:val="none" w:sz="0" w:space="0" w:color="auto"/>
        <w:right w:val="none" w:sz="0" w:space="0" w:color="auto"/>
      </w:divBdr>
    </w:div>
    <w:div w:id="1636253474">
      <w:bodyDiv w:val="1"/>
      <w:marLeft w:val="0"/>
      <w:marRight w:val="0"/>
      <w:marTop w:val="0"/>
      <w:marBottom w:val="0"/>
      <w:divBdr>
        <w:top w:val="none" w:sz="0" w:space="0" w:color="auto"/>
        <w:left w:val="none" w:sz="0" w:space="0" w:color="auto"/>
        <w:bottom w:val="none" w:sz="0" w:space="0" w:color="auto"/>
        <w:right w:val="none" w:sz="0" w:space="0" w:color="auto"/>
      </w:divBdr>
    </w:div>
    <w:div w:id="1650860213">
      <w:bodyDiv w:val="1"/>
      <w:marLeft w:val="0"/>
      <w:marRight w:val="0"/>
      <w:marTop w:val="0"/>
      <w:marBottom w:val="0"/>
      <w:divBdr>
        <w:top w:val="none" w:sz="0" w:space="0" w:color="auto"/>
        <w:left w:val="none" w:sz="0" w:space="0" w:color="auto"/>
        <w:bottom w:val="none" w:sz="0" w:space="0" w:color="auto"/>
        <w:right w:val="none" w:sz="0" w:space="0" w:color="auto"/>
      </w:divBdr>
    </w:div>
    <w:div w:id="1651133986">
      <w:bodyDiv w:val="1"/>
      <w:marLeft w:val="0"/>
      <w:marRight w:val="0"/>
      <w:marTop w:val="0"/>
      <w:marBottom w:val="0"/>
      <w:divBdr>
        <w:top w:val="none" w:sz="0" w:space="0" w:color="auto"/>
        <w:left w:val="none" w:sz="0" w:space="0" w:color="auto"/>
        <w:bottom w:val="none" w:sz="0" w:space="0" w:color="auto"/>
        <w:right w:val="none" w:sz="0" w:space="0" w:color="auto"/>
      </w:divBdr>
    </w:div>
    <w:div w:id="1652245064">
      <w:bodyDiv w:val="1"/>
      <w:marLeft w:val="0"/>
      <w:marRight w:val="0"/>
      <w:marTop w:val="0"/>
      <w:marBottom w:val="0"/>
      <w:divBdr>
        <w:top w:val="none" w:sz="0" w:space="0" w:color="auto"/>
        <w:left w:val="none" w:sz="0" w:space="0" w:color="auto"/>
        <w:bottom w:val="none" w:sz="0" w:space="0" w:color="auto"/>
        <w:right w:val="none" w:sz="0" w:space="0" w:color="auto"/>
      </w:divBdr>
    </w:div>
    <w:div w:id="1667438011">
      <w:bodyDiv w:val="1"/>
      <w:marLeft w:val="0"/>
      <w:marRight w:val="0"/>
      <w:marTop w:val="0"/>
      <w:marBottom w:val="0"/>
      <w:divBdr>
        <w:top w:val="none" w:sz="0" w:space="0" w:color="auto"/>
        <w:left w:val="none" w:sz="0" w:space="0" w:color="auto"/>
        <w:bottom w:val="none" w:sz="0" w:space="0" w:color="auto"/>
        <w:right w:val="none" w:sz="0" w:space="0" w:color="auto"/>
      </w:divBdr>
      <w:divsChild>
        <w:div w:id="1911846979">
          <w:marLeft w:val="0"/>
          <w:marRight w:val="0"/>
          <w:marTop w:val="0"/>
          <w:marBottom w:val="0"/>
          <w:divBdr>
            <w:top w:val="none" w:sz="0" w:space="0" w:color="auto"/>
            <w:left w:val="none" w:sz="0" w:space="0" w:color="auto"/>
            <w:bottom w:val="none" w:sz="0" w:space="0" w:color="auto"/>
            <w:right w:val="none" w:sz="0" w:space="0" w:color="auto"/>
          </w:divBdr>
          <w:divsChild>
            <w:div w:id="370888455">
              <w:marLeft w:val="0"/>
              <w:marRight w:val="0"/>
              <w:marTop w:val="0"/>
              <w:marBottom w:val="0"/>
              <w:divBdr>
                <w:top w:val="none" w:sz="0" w:space="0" w:color="auto"/>
                <w:left w:val="none" w:sz="0" w:space="0" w:color="auto"/>
                <w:bottom w:val="none" w:sz="0" w:space="0" w:color="auto"/>
                <w:right w:val="none" w:sz="0" w:space="0" w:color="auto"/>
              </w:divBdr>
              <w:divsChild>
                <w:div w:id="979698105">
                  <w:marLeft w:val="0"/>
                  <w:marRight w:val="0"/>
                  <w:marTop w:val="0"/>
                  <w:marBottom w:val="0"/>
                  <w:divBdr>
                    <w:top w:val="none" w:sz="0" w:space="0" w:color="auto"/>
                    <w:left w:val="none" w:sz="0" w:space="0" w:color="auto"/>
                    <w:bottom w:val="none" w:sz="0" w:space="0" w:color="auto"/>
                    <w:right w:val="none" w:sz="0" w:space="0" w:color="auto"/>
                  </w:divBdr>
                  <w:divsChild>
                    <w:div w:id="276522129">
                      <w:marLeft w:val="0"/>
                      <w:marRight w:val="0"/>
                      <w:marTop w:val="0"/>
                      <w:marBottom w:val="0"/>
                      <w:divBdr>
                        <w:top w:val="none" w:sz="0" w:space="0" w:color="auto"/>
                        <w:left w:val="none" w:sz="0" w:space="0" w:color="auto"/>
                        <w:bottom w:val="none" w:sz="0" w:space="0" w:color="auto"/>
                        <w:right w:val="none" w:sz="0" w:space="0" w:color="auto"/>
                      </w:divBdr>
                      <w:divsChild>
                        <w:div w:id="700789554">
                          <w:marLeft w:val="0"/>
                          <w:marRight w:val="0"/>
                          <w:marTop w:val="0"/>
                          <w:marBottom w:val="0"/>
                          <w:divBdr>
                            <w:top w:val="none" w:sz="0" w:space="0" w:color="auto"/>
                            <w:left w:val="none" w:sz="0" w:space="0" w:color="auto"/>
                            <w:bottom w:val="none" w:sz="0" w:space="0" w:color="auto"/>
                            <w:right w:val="none" w:sz="0" w:space="0" w:color="auto"/>
                          </w:divBdr>
                          <w:divsChild>
                            <w:div w:id="1087967014">
                              <w:marLeft w:val="0"/>
                              <w:marRight w:val="0"/>
                              <w:marTop w:val="0"/>
                              <w:marBottom w:val="0"/>
                              <w:divBdr>
                                <w:top w:val="none" w:sz="0" w:space="0" w:color="auto"/>
                                <w:left w:val="none" w:sz="0" w:space="0" w:color="auto"/>
                                <w:bottom w:val="none" w:sz="0" w:space="0" w:color="auto"/>
                                <w:right w:val="none" w:sz="0" w:space="0" w:color="auto"/>
                              </w:divBdr>
                              <w:divsChild>
                                <w:div w:id="2114276069">
                                  <w:marLeft w:val="0"/>
                                  <w:marRight w:val="0"/>
                                  <w:marTop w:val="0"/>
                                  <w:marBottom w:val="0"/>
                                  <w:divBdr>
                                    <w:top w:val="none" w:sz="0" w:space="0" w:color="auto"/>
                                    <w:left w:val="none" w:sz="0" w:space="0" w:color="auto"/>
                                    <w:bottom w:val="none" w:sz="0" w:space="0" w:color="auto"/>
                                    <w:right w:val="none" w:sz="0" w:space="0" w:color="auto"/>
                                  </w:divBdr>
                                  <w:divsChild>
                                    <w:div w:id="1477642844">
                                      <w:marLeft w:val="0"/>
                                      <w:marRight w:val="0"/>
                                      <w:marTop w:val="0"/>
                                      <w:marBottom w:val="0"/>
                                      <w:divBdr>
                                        <w:top w:val="none" w:sz="0" w:space="0" w:color="auto"/>
                                        <w:left w:val="none" w:sz="0" w:space="0" w:color="auto"/>
                                        <w:bottom w:val="none" w:sz="0" w:space="0" w:color="auto"/>
                                        <w:right w:val="none" w:sz="0" w:space="0" w:color="auto"/>
                                      </w:divBdr>
                                      <w:divsChild>
                                        <w:div w:id="1358114821">
                                          <w:marLeft w:val="0"/>
                                          <w:marRight w:val="0"/>
                                          <w:marTop w:val="0"/>
                                          <w:marBottom w:val="0"/>
                                          <w:divBdr>
                                            <w:top w:val="none" w:sz="0" w:space="0" w:color="auto"/>
                                            <w:left w:val="none" w:sz="0" w:space="0" w:color="auto"/>
                                            <w:bottom w:val="none" w:sz="0" w:space="0" w:color="auto"/>
                                            <w:right w:val="none" w:sz="0" w:space="0" w:color="auto"/>
                                          </w:divBdr>
                                          <w:divsChild>
                                            <w:div w:id="4295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6344437">
          <w:marLeft w:val="0"/>
          <w:marRight w:val="0"/>
          <w:marTop w:val="0"/>
          <w:marBottom w:val="0"/>
          <w:divBdr>
            <w:top w:val="none" w:sz="0" w:space="0" w:color="auto"/>
            <w:left w:val="none" w:sz="0" w:space="0" w:color="auto"/>
            <w:bottom w:val="none" w:sz="0" w:space="0" w:color="auto"/>
            <w:right w:val="none" w:sz="0" w:space="0" w:color="auto"/>
          </w:divBdr>
          <w:divsChild>
            <w:div w:id="1623071781">
              <w:marLeft w:val="0"/>
              <w:marRight w:val="0"/>
              <w:marTop w:val="0"/>
              <w:marBottom w:val="0"/>
              <w:divBdr>
                <w:top w:val="none" w:sz="0" w:space="0" w:color="auto"/>
                <w:left w:val="none" w:sz="0" w:space="0" w:color="auto"/>
                <w:bottom w:val="none" w:sz="0" w:space="0" w:color="auto"/>
                <w:right w:val="none" w:sz="0" w:space="0" w:color="auto"/>
              </w:divBdr>
              <w:divsChild>
                <w:div w:id="120147956">
                  <w:marLeft w:val="0"/>
                  <w:marRight w:val="0"/>
                  <w:marTop w:val="0"/>
                  <w:marBottom w:val="0"/>
                  <w:divBdr>
                    <w:top w:val="none" w:sz="0" w:space="0" w:color="auto"/>
                    <w:left w:val="none" w:sz="0" w:space="0" w:color="auto"/>
                    <w:bottom w:val="none" w:sz="0" w:space="0" w:color="auto"/>
                    <w:right w:val="none" w:sz="0" w:space="0" w:color="auto"/>
                  </w:divBdr>
                  <w:divsChild>
                    <w:div w:id="806557027">
                      <w:marLeft w:val="0"/>
                      <w:marRight w:val="0"/>
                      <w:marTop w:val="0"/>
                      <w:marBottom w:val="0"/>
                      <w:divBdr>
                        <w:top w:val="none" w:sz="0" w:space="0" w:color="auto"/>
                        <w:left w:val="none" w:sz="0" w:space="0" w:color="auto"/>
                        <w:bottom w:val="none" w:sz="0" w:space="0" w:color="auto"/>
                        <w:right w:val="none" w:sz="0" w:space="0" w:color="auto"/>
                      </w:divBdr>
                      <w:divsChild>
                        <w:div w:id="1520701375">
                          <w:marLeft w:val="0"/>
                          <w:marRight w:val="0"/>
                          <w:marTop w:val="0"/>
                          <w:marBottom w:val="0"/>
                          <w:divBdr>
                            <w:top w:val="none" w:sz="0" w:space="0" w:color="auto"/>
                            <w:left w:val="none" w:sz="0" w:space="0" w:color="auto"/>
                            <w:bottom w:val="none" w:sz="0" w:space="0" w:color="auto"/>
                            <w:right w:val="none" w:sz="0" w:space="0" w:color="auto"/>
                          </w:divBdr>
                          <w:divsChild>
                            <w:div w:id="1578976353">
                              <w:marLeft w:val="0"/>
                              <w:marRight w:val="0"/>
                              <w:marTop w:val="0"/>
                              <w:marBottom w:val="0"/>
                              <w:divBdr>
                                <w:top w:val="none" w:sz="0" w:space="0" w:color="auto"/>
                                <w:left w:val="none" w:sz="0" w:space="0" w:color="auto"/>
                                <w:bottom w:val="none" w:sz="0" w:space="0" w:color="auto"/>
                                <w:right w:val="none" w:sz="0" w:space="0" w:color="auto"/>
                              </w:divBdr>
                              <w:divsChild>
                                <w:div w:id="1104879150">
                                  <w:marLeft w:val="0"/>
                                  <w:marRight w:val="0"/>
                                  <w:marTop w:val="0"/>
                                  <w:marBottom w:val="0"/>
                                  <w:divBdr>
                                    <w:top w:val="none" w:sz="0" w:space="0" w:color="auto"/>
                                    <w:left w:val="none" w:sz="0" w:space="0" w:color="auto"/>
                                    <w:bottom w:val="none" w:sz="0" w:space="0" w:color="auto"/>
                                    <w:right w:val="none" w:sz="0" w:space="0" w:color="auto"/>
                                  </w:divBdr>
                                  <w:divsChild>
                                    <w:div w:id="1697539157">
                                      <w:marLeft w:val="0"/>
                                      <w:marRight w:val="0"/>
                                      <w:marTop w:val="0"/>
                                      <w:marBottom w:val="0"/>
                                      <w:divBdr>
                                        <w:top w:val="none" w:sz="0" w:space="0" w:color="auto"/>
                                        <w:left w:val="none" w:sz="0" w:space="0" w:color="auto"/>
                                        <w:bottom w:val="none" w:sz="0" w:space="0" w:color="auto"/>
                                        <w:right w:val="none" w:sz="0" w:space="0" w:color="auto"/>
                                      </w:divBdr>
                                      <w:divsChild>
                                        <w:div w:id="114304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8170588">
      <w:bodyDiv w:val="1"/>
      <w:marLeft w:val="0"/>
      <w:marRight w:val="0"/>
      <w:marTop w:val="0"/>
      <w:marBottom w:val="0"/>
      <w:divBdr>
        <w:top w:val="none" w:sz="0" w:space="0" w:color="auto"/>
        <w:left w:val="none" w:sz="0" w:space="0" w:color="auto"/>
        <w:bottom w:val="none" w:sz="0" w:space="0" w:color="auto"/>
        <w:right w:val="none" w:sz="0" w:space="0" w:color="auto"/>
      </w:divBdr>
    </w:div>
    <w:div w:id="1670911657">
      <w:bodyDiv w:val="1"/>
      <w:marLeft w:val="0"/>
      <w:marRight w:val="0"/>
      <w:marTop w:val="0"/>
      <w:marBottom w:val="0"/>
      <w:divBdr>
        <w:top w:val="none" w:sz="0" w:space="0" w:color="auto"/>
        <w:left w:val="none" w:sz="0" w:space="0" w:color="auto"/>
        <w:bottom w:val="none" w:sz="0" w:space="0" w:color="auto"/>
        <w:right w:val="none" w:sz="0" w:space="0" w:color="auto"/>
      </w:divBdr>
    </w:div>
    <w:div w:id="1686788060">
      <w:bodyDiv w:val="1"/>
      <w:marLeft w:val="0"/>
      <w:marRight w:val="0"/>
      <w:marTop w:val="0"/>
      <w:marBottom w:val="0"/>
      <w:divBdr>
        <w:top w:val="none" w:sz="0" w:space="0" w:color="auto"/>
        <w:left w:val="none" w:sz="0" w:space="0" w:color="auto"/>
        <w:bottom w:val="none" w:sz="0" w:space="0" w:color="auto"/>
        <w:right w:val="none" w:sz="0" w:space="0" w:color="auto"/>
      </w:divBdr>
    </w:div>
    <w:div w:id="1705715628">
      <w:bodyDiv w:val="1"/>
      <w:marLeft w:val="0"/>
      <w:marRight w:val="0"/>
      <w:marTop w:val="0"/>
      <w:marBottom w:val="0"/>
      <w:divBdr>
        <w:top w:val="none" w:sz="0" w:space="0" w:color="auto"/>
        <w:left w:val="none" w:sz="0" w:space="0" w:color="auto"/>
        <w:bottom w:val="none" w:sz="0" w:space="0" w:color="auto"/>
        <w:right w:val="none" w:sz="0" w:space="0" w:color="auto"/>
      </w:divBdr>
    </w:div>
    <w:div w:id="1715883378">
      <w:bodyDiv w:val="1"/>
      <w:marLeft w:val="0"/>
      <w:marRight w:val="0"/>
      <w:marTop w:val="0"/>
      <w:marBottom w:val="0"/>
      <w:divBdr>
        <w:top w:val="none" w:sz="0" w:space="0" w:color="auto"/>
        <w:left w:val="none" w:sz="0" w:space="0" w:color="auto"/>
        <w:bottom w:val="none" w:sz="0" w:space="0" w:color="auto"/>
        <w:right w:val="none" w:sz="0" w:space="0" w:color="auto"/>
      </w:divBdr>
    </w:div>
    <w:div w:id="1721589756">
      <w:bodyDiv w:val="1"/>
      <w:marLeft w:val="0"/>
      <w:marRight w:val="0"/>
      <w:marTop w:val="0"/>
      <w:marBottom w:val="0"/>
      <w:divBdr>
        <w:top w:val="none" w:sz="0" w:space="0" w:color="auto"/>
        <w:left w:val="none" w:sz="0" w:space="0" w:color="auto"/>
        <w:bottom w:val="none" w:sz="0" w:space="0" w:color="auto"/>
        <w:right w:val="none" w:sz="0" w:space="0" w:color="auto"/>
      </w:divBdr>
    </w:div>
    <w:div w:id="1736079022">
      <w:bodyDiv w:val="1"/>
      <w:marLeft w:val="0"/>
      <w:marRight w:val="0"/>
      <w:marTop w:val="0"/>
      <w:marBottom w:val="0"/>
      <w:divBdr>
        <w:top w:val="none" w:sz="0" w:space="0" w:color="auto"/>
        <w:left w:val="none" w:sz="0" w:space="0" w:color="auto"/>
        <w:bottom w:val="none" w:sz="0" w:space="0" w:color="auto"/>
        <w:right w:val="none" w:sz="0" w:space="0" w:color="auto"/>
      </w:divBdr>
    </w:div>
    <w:div w:id="1781993434">
      <w:bodyDiv w:val="1"/>
      <w:marLeft w:val="0"/>
      <w:marRight w:val="0"/>
      <w:marTop w:val="0"/>
      <w:marBottom w:val="0"/>
      <w:divBdr>
        <w:top w:val="none" w:sz="0" w:space="0" w:color="auto"/>
        <w:left w:val="none" w:sz="0" w:space="0" w:color="auto"/>
        <w:bottom w:val="none" w:sz="0" w:space="0" w:color="auto"/>
        <w:right w:val="none" w:sz="0" w:space="0" w:color="auto"/>
      </w:divBdr>
    </w:div>
    <w:div w:id="1782800208">
      <w:bodyDiv w:val="1"/>
      <w:marLeft w:val="0"/>
      <w:marRight w:val="0"/>
      <w:marTop w:val="0"/>
      <w:marBottom w:val="0"/>
      <w:divBdr>
        <w:top w:val="none" w:sz="0" w:space="0" w:color="auto"/>
        <w:left w:val="none" w:sz="0" w:space="0" w:color="auto"/>
        <w:bottom w:val="none" w:sz="0" w:space="0" w:color="auto"/>
        <w:right w:val="none" w:sz="0" w:space="0" w:color="auto"/>
      </w:divBdr>
    </w:div>
    <w:div w:id="1783066061">
      <w:bodyDiv w:val="1"/>
      <w:marLeft w:val="0"/>
      <w:marRight w:val="0"/>
      <w:marTop w:val="0"/>
      <w:marBottom w:val="0"/>
      <w:divBdr>
        <w:top w:val="none" w:sz="0" w:space="0" w:color="auto"/>
        <w:left w:val="none" w:sz="0" w:space="0" w:color="auto"/>
        <w:bottom w:val="none" w:sz="0" w:space="0" w:color="auto"/>
        <w:right w:val="none" w:sz="0" w:space="0" w:color="auto"/>
      </w:divBdr>
    </w:div>
    <w:div w:id="1788113463">
      <w:bodyDiv w:val="1"/>
      <w:marLeft w:val="0"/>
      <w:marRight w:val="0"/>
      <w:marTop w:val="0"/>
      <w:marBottom w:val="0"/>
      <w:divBdr>
        <w:top w:val="none" w:sz="0" w:space="0" w:color="auto"/>
        <w:left w:val="none" w:sz="0" w:space="0" w:color="auto"/>
        <w:bottom w:val="none" w:sz="0" w:space="0" w:color="auto"/>
        <w:right w:val="none" w:sz="0" w:space="0" w:color="auto"/>
      </w:divBdr>
    </w:div>
    <w:div w:id="1809933815">
      <w:bodyDiv w:val="1"/>
      <w:marLeft w:val="0"/>
      <w:marRight w:val="0"/>
      <w:marTop w:val="0"/>
      <w:marBottom w:val="0"/>
      <w:divBdr>
        <w:top w:val="none" w:sz="0" w:space="0" w:color="auto"/>
        <w:left w:val="none" w:sz="0" w:space="0" w:color="auto"/>
        <w:bottom w:val="none" w:sz="0" w:space="0" w:color="auto"/>
        <w:right w:val="none" w:sz="0" w:space="0" w:color="auto"/>
      </w:divBdr>
    </w:div>
    <w:div w:id="1815756671">
      <w:bodyDiv w:val="1"/>
      <w:marLeft w:val="0"/>
      <w:marRight w:val="0"/>
      <w:marTop w:val="0"/>
      <w:marBottom w:val="0"/>
      <w:divBdr>
        <w:top w:val="none" w:sz="0" w:space="0" w:color="auto"/>
        <w:left w:val="none" w:sz="0" w:space="0" w:color="auto"/>
        <w:bottom w:val="none" w:sz="0" w:space="0" w:color="auto"/>
        <w:right w:val="none" w:sz="0" w:space="0" w:color="auto"/>
      </w:divBdr>
    </w:div>
    <w:div w:id="1820072585">
      <w:bodyDiv w:val="1"/>
      <w:marLeft w:val="0"/>
      <w:marRight w:val="0"/>
      <w:marTop w:val="0"/>
      <w:marBottom w:val="0"/>
      <w:divBdr>
        <w:top w:val="none" w:sz="0" w:space="0" w:color="auto"/>
        <w:left w:val="none" w:sz="0" w:space="0" w:color="auto"/>
        <w:bottom w:val="none" w:sz="0" w:space="0" w:color="auto"/>
        <w:right w:val="none" w:sz="0" w:space="0" w:color="auto"/>
      </w:divBdr>
    </w:div>
    <w:div w:id="1820538664">
      <w:bodyDiv w:val="1"/>
      <w:marLeft w:val="0"/>
      <w:marRight w:val="0"/>
      <w:marTop w:val="0"/>
      <w:marBottom w:val="0"/>
      <w:divBdr>
        <w:top w:val="none" w:sz="0" w:space="0" w:color="auto"/>
        <w:left w:val="none" w:sz="0" w:space="0" w:color="auto"/>
        <w:bottom w:val="none" w:sz="0" w:space="0" w:color="auto"/>
        <w:right w:val="none" w:sz="0" w:space="0" w:color="auto"/>
      </w:divBdr>
    </w:div>
    <w:div w:id="1821843338">
      <w:bodyDiv w:val="1"/>
      <w:marLeft w:val="0"/>
      <w:marRight w:val="0"/>
      <w:marTop w:val="0"/>
      <w:marBottom w:val="0"/>
      <w:divBdr>
        <w:top w:val="none" w:sz="0" w:space="0" w:color="auto"/>
        <w:left w:val="none" w:sz="0" w:space="0" w:color="auto"/>
        <w:bottom w:val="none" w:sz="0" w:space="0" w:color="auto"/>
        <w:right w:val="none" w:sz="0" w:space="0" w:color="auto"/>
      </w:divBdr>
    </w:div>
    <w:div w:id="1832329543">
      <w:bodyDiv w:val="1"/>
      <w:marLeft w:val="0"/>
      <w:marRight w:val="0"/>
      <w:marTop w:val="0"/>
      <w:marBottom w:val="0"/>
      <w:divBdr>
        <w:top w:val="none" w:sz="0" w:space="0" w:color="auto"/>
        <w:left w:val="none" w:sz="0" w:space="0" w:color="auto"/>
        <w:bottom w:val="none" w:sz="0" w:space="0" w:color="auto"/>
        <w:right w:val="none" w:sz="0" w:space="0" w:color="auto"/>
      </w:divBdr>
    </w:div>
    <w:div w:id="1844514104">
      <w:bodyDiv w:val="1"/>
      <w:marLeft w:val="0"/>
      <w:marRight w:val="0"/>
      <w:marTop w:val="0"/>
      <w:marBottom w:val="0"/>
      <w:divBdr>
        <w:top w:val="none" w:sz="0" w:space="0" w:color="auto"/>
        <w:left w:val="none" w:sz="0" w:space="0" w:color="auto"/>
        <w:bottom w:val="none" w:sz="0" w:space="0" w:color="auto"/>
        <w:right w:val="none" w:sz="0" w:space="0" w:color="auto"/>
      </w:divBdr>
    </w:div>
    <w:div w:id="1848597401">
      <w:bodyDiv w:val="1"/>
      <w:marLeft w:val="0"/>
      <w:marRight w:val="0"/>
      <w:marTop w:val="0"/>
      <w:marBottom w:val="0"/>
      <w:divBdr>
        <w:top w:val="none" w:sz="0" w:space="0" w:color="auto"/>
        <w:left w:val="none" w:sz="0" w:space="0" w:color="auto"/>
        <w:bottom w:val="none" w:sz="0" w:space="0" w:color="auto"/>
        <w:right w:val="none" w:sz="0" w:space="0" w:color="auto"/>
      </w:divBdr>
    </w:div>
    <w:div w:id="1849249447">
      <w:bodyDiv w:val="1"/>
      <w:marLeft w:val="0"/>
      <w:marRight w:val="0"/>
      <w:marTop w:val="0"/>
      <w:marBottom w:val="0"/>
      <w:divBdr>
        <w:top w:val="none" w:sz="0" w:space="0" w:color="auto"/>
        <w:left w:val="none" w:sz="0" w:space="0" w:color="auto"/>
        <w:bottom w:val="none" w:sz="0" w:space="0" w:color="auto"/>
        <w:right w:val="none" w:sz="0" w:space="0" w:color="auto"/>
      </w:divBdr>
    </w:div>
    <w:div w:id="1853951565">
      <w:bodyDiv w:val="1"/>
      <w:marLeft w:val="0"/>
      <w:marRight w:val="0"/>
      <w:marTop w:val="0"/>
      <w:marBottom w:val="0"/>
      <w:divBdr>
        <w:top w:val="none" w:sz="0" w:space="0" w:color="auto"/>
        <w:left w:val="none" w:sz="0" w:space="0" w:color="auto"/>
        <w:bottom w:val="none" w:sz="0" w:space="0" w:color="auto"/>
        <w:right w:val="none" w:sz="0" w:space="0" w:color="auto"/>
      </w:divBdr>
    </w:div>
    <w:div w:id="1856844515">
      <w:bodyDiv w:val="1"/>
      <w:marLeft w:val="0"/>
      <w:marRight w:val="0"/>
      <w:marTop w:val="0"/>
      <w:marBottom w:val="0"/>
      <w:divBdr>
        <w:top w:val="none" w:sz="0" w:space="0" w:color="auto"/>
        <w:left w:val="none" w:sz="0" w:space="0" w:color="auto"/>
        <w:bottom w:val="none" w:sz="0" w:space="0" w:color="auto"/>
        <w:right w:val="none" w:sz="0" w:space="0" w:color="auto"/>
      </w:divBdr>
    </w:div>
    <w:div w:id="1862161277">
      <w:bodyDiv w:val="1"/>
      <w:marLeft w:val="0"/>
      <w:marRight w:val="0"/>
      <w:marTop w:val="0"/>
      <w:marBottom w:val="0"/>
      <w:divBdr>
        <w:top w:val="none" w:sz="0" w:space="0" w:color="auto"/>
        <w:left w:val="none" w:sz="0" w:space="0" w:color="auto"/>
        <w:bottom w:val="none" w:sz="0" w:space="0" w:color="auto"/>
        <w:right w:val="none" w:sz="0" w:space="0" w:color="auto"/>
      </w:divBdr>
    </w:div>
    <w:div w:id="1885411006">
      <w:bodyDiv w:val="1"/>
      <w:marLeft w:val="0"/>
      <w:marRight w:val="0"/>
      <w:marTop w:val="0"/>
      <w:marBottom w:val="0"/>
      <w:divBdr>
        <w:top w:val="none" w:sz="0" w:space="0" w:color="auto"/>
        <w:left w:val="none" w:sz="0" w:space="0" w:color="auto"/>
        <w:bottom w:val="none" w:sz="0" w:space="0" w:color="auto"/>
        <w:right w:val="none" w:sz="0" w:space="0" w:color="auto"/>
      </w:divBdr>
    </w:div>
    <w:div w:id="1895659643">
      <w:bodyDiv w:val="1"/>
      <w:marLeft w:val="0"/>
      <w:marRight w:val="0"/>
      <w:marTop w:val="0"/>
      <w:marBottom w:val="0"/>
      <w:divBdr>
        <w:top w:val="none" w:sz="0" w:space="0" w:color="auto"/>
        <w:left w:val="none" w:sz="0" w:space="0" w:color="auto"/>
        <w:bottom w:val="none" w:sz="0" w:space="0" w:color="auto"/>
        <w:right w:val="none" w:sz="0" w:space="0" w:color="auto"/>
      </w:divBdr>
    </w:div>
    <w:div w:id="1922642256">
      <w:bodyDiv w:val="1"/>
      <w:marLeft w:val="0"/>
      <w:marRight w:val="0"/>
      <w:marTop w:val="0"/>
      <w:marBottom w:val="0"/>
      <w:divBdr>
        <w:top w:val="none" w:sz="0" w:space="0" w:color="auto"/>
        <w:left w:val="none" w:sz="0" w:space="0" w:color="auto"/>
        <w:bottom w:val="none" w:sz="0" w:space="0" w:color="auto"/>
        <w:right w:val="none" w:sz="0" w:space="0" w:color="auto"/>
      </w:divBdr>
    </w:div>
    <w:div w:id="1942687946">
      <w:bodyDiv w:val="1"/>
      <w:marLeft w:val="0"/>
      <w:marRight w:val="0"/>
      <w:marTop w:val="0"/>
      <w:marBottom w:val="0"/>
      <w:divBdr>
        <w:top w:val="none" w:sz="0" w:space="0" w:color="auto"/>
        <w:left w:val="none" w:sz="0" w:space="0" w:color="auto"/>
        <w:bottom w:val="none" w:sz="0" w:space="0" w:color="auto"/>
        <w:right w:val="none" w:sz="0" w:space="0" w:color="auto"/>
      </w:divBdr>
    </w:div>
    <w:div w:id="1947762249">
      <w:bodyDiv w:val="1"/>
      <w:marLeft w:val="0"/>
      <w:marRight w:val="0"/>
      <w:marTop w:val="0"/>
      <w:marBottom w:val="0"/>
      <w:divBdr>
        <w:top w:val="none" w:sz="0" w:space="0" w:color="auto"/>
        <w:left w:val="none" w:sz="0" w:space="0" w:color="auto"/>
        <w:bottom w:val="none" w:sz="0" w:space="0" w:color="auto"/>
        <w:right w:val="none" w:sz="0" w:space="0" w:color="auto"/>
      </w:divBdr>
    </w:div>
    <w:div w:id="1955941100">
      <w:bodyDiv w:val="1"/>
      <w:marLeft w:val="0"/>
      <w:marRight w:val="0"/>
      <w:marTop w:val="0"/>
      <w:marBottom w:val="0"/>
      <w:divBdr>
        <w:top w:val="none" w:sz="0" w:space="0" w:color="auto"/>
        <w:left w:val="none" w:sz="0" w:space="0" w:color="auto"/>
        <w:bottom w:val="none" w:sz="0" w:space="0" w:color="auto"/>
        <w:right w:val="none" w:sz="0" w:space="0" w:color="auto"/>
      </w:divBdr>
    </w:div>
    <w:div w:id="1957636743">
      <w:bodyDiv w:val="1"/>
      <w:marLeft w:val="0"/>
      <w:marRight w:val="0"/>
      <w:marTop w:val="0"/>
      <w:marBottom w:val="0"/>
      <w:divBdr>
        <w:top w:val="none" w:sz="0" w:space="0" w:color="auto"/>
        <w:left w:val="none" w:sz="0" w:space="0" w:color="auto"/>
        <w:bottom w:val="none" w:sz="0" w:space="0" w:color="auto"/>
        <w:right w:val="none" w:sz="0" w:space="0" w:color="auto"/>
      </w:divBdr>
    </w:div>
    <w:div w:id="1962414910">
      <w:bodyDiv w:val="1"/>
      <w:marLeft w:val="0"/>
      <w:marRight w:val="0"/>
      <w:marTop w:val="0"/>
      <w:marBottom w:val="0"/>
      <w:divBdr>
        <w:top w:val="none" w:sz="0" w:space="0" w:color="auto"/>
        <w:left w:val="none" w:sz="0" w:space="0" w:color="auto"/>
        <w:bottom w:val="none" w:sz="0" w:space="0" w:color="auto"/>
        <w:right w:val="none" w:sz="0" w:space="0" w:color="auto"/>
      </w:divBdr>
    </w:div>
    <w:div w:id="1974751361">
      <w:bodyDiv w:val="1"/>
      <w:marLeft w:val="0"/>
      <w:marRight w:val="0"/>
      <w:marTop w:val="0"/>
      <w:marBottom w:val="0"/>
      <w:divBdr>
        <w:top w:val="none" w:sz="0" w:space="0" w:color="auto"/>
        <w:left w:val="none" w:sz="0" w:space="0" w:color="auto"/>
        <w:bottom w:val="none" w:sz="0" w:space="0" w:color="auto"/>
        <w:right w:val="none" w:sz="0" w:space="0" w:color="auto"/>
      </w:divBdr>
    </w:div>
    <w:div w:id="1980071583">
      <w:bodyDiv w:val="1"/>
      <w:marLeft w:val="0"/>
      <w:marRight w:val="0"/>
      <w:marTop w:val="0"/>
      <w:marBottom w:val="0"/>
      <w:divBdr>
        <w:top w:val="none" w:sz="0" w:space="0" w:color="auto"/>
        <w:left w:val="none" w:sz="0" w:space="0" w:color="auto"/>
        <w:bottom w:val="none" w:sz="0" w:space="0" w:color="auto"/>
        <w:right w:val="none" w:sz="0" w:space="0" w:color="auto"/>
      </w:divBdr>
    </w:div>
    <w:div w:id="1980651290">
      <w:bodyDiv w:val="1"/>
      <w:marLeft w:val="0"/>
      <w:marRight w:val="0"/>
      <w:marTop w:val="0"/>
      <w:marBottom w:val="0"/>
      <w:divBdr>
        <w:top w:val="none" w:sz="0" w:space="0" w:color="auto"/>
        <w:left w:val="none" w:sz="0" w:space="0" w:color="auto"/>
        <w:bottom w:val="none" w:sz="0" w:space="0" w:color="auto"/>
        <w:right w:val="none" w:sz="0" w:space="0" w:color="auto"/>
      </w:divBdr>
    </w:div>
    <w:div w:id="1987009107">
      <w:bodyDiv w:val="1"/>
      <w:marLeft w:val="0"/>
      <w:marRight w:val="0"/>
      <w:marTop w:val="0"/>
      <w:marBottom w:val="0"/>
      <w:divBdr>
        <w:top w:val="none" w:sz="0" w:space="0" w:color="auto"/>
        <w:left w:val="none" w:sz="0" w:space="0" w:color="auto"/>
        <w:bottom w:val="none" w:sz="0" w:space="0" w:color="auto"/>
        <w:right w:val="none" w:sz="0" w:space="0" w:color="auto"/>
      </w:divBdr>
    </w:div>
    <w:div w:id="2020307738">
      <w:bodyDiv w:val="1"/>
      <w:marLeft w:val="0"/>
      <w:marRight w:val="0"/>
      <w:marTop w:val="0"/>
      <w:marBottom w:val="0"/>
      <w:divBdr>
        <w:top w:val="none" w:sz="0" w:space="0" w:color="auto"/>
        <w:left w:val="none" w:sz="0" w:space="0" w:color="auto"/>
        <w:bottom w:val="none" w:sz="0" w:space="0" w:color="auto"/>
        <w:right w:val="none" w:sz="0" w:space="0" w:color="auto"/>
      </w:divBdr>
    </w:div>
    <w:div w:id="2024352563">
      <w:bodyDiv w:val="1"/>
      <w:marLeft w:val="0"/>
      <w:marRight w:val="0"/>
      <w:marTop w:val="0"/>
      <w:marBottom w:val="0"/>
      <w:divBdr>
        <w:top w:val="none" w:sz="0" w:space="0" w:color="auto"/>
        <w:left w:val="none" w:sz="0" w:space="0" w:color="auto"/>
        <w:bottom w:val="none" w:sz="0" w:space="0" w:color="auto"/>
        <w:right w:val="none" w:sz="0" w:space="0" w:color="auto"/>
      </w:divBdr>
    </w:div>
    <w:div w:id="2028142851">
      <w:bodyDiv w:val="1"/>
      <w:marLeft w:val="0"/>
      <w:marRight w:val="0"/>
      <w:marTop w:val="0"/>
      <w:marBottom w:val="0"/>
      <w:divBdr>
        <w:top w:val="none" w:sz="0" w:space="0" w:color="auto"/>
        <w:left w:val="none" w:sz="0" w:space="0" w:color="auto"/>
        <w:bottom w:val="none" w:sz="0" w:space="0" w:color="auto"/>
        <w:right w:val="none" w:sz="0" w:space="0" w:color="auto"/>
      </w:divBdr>
    </w:div>
    <w:div w:id="2043361662">
      <w:bodyDiv w:val="1"/>
      <w:marLeft w:val="0"/>
      <w:marRight w:val="0"/>
      <w:marTop w:val="0"/>
      <w:marBottom w:val="0"/>
      <w:divBdr>
        <w:top w:val="none" w:sz="0" w:space="0" w:color="auto"/>
        <w:left w:val="none" w:sz="0" w:space="0" w:color="auto"/>
        <w:bottom w:val="none" w:sz="0" w:space="0" w:color="auto"/>
        <w:right w:val="none" w:sz="0" w:space="0" w:color="auto"/>
      </w:divBdr>
    </w:div>
    <w:div w:id="2056081420">
      <w:bodyDiv w:val="1"/>
      <w:marLeft w:val="0"/>
      <w:marRight w:val="0"/>
      <w:marTop w:val="0"/>
      <w:marBottom w:val="0"/>
      <w:divBdr>
        <w:top w:val="none" w:sz="0" w:space="0" w:color="auto"/>
        <w:left w:val="none" w:sz="0" w:space="0" w:color="auto"/>
        <w:bottom w:val="none" w:sz="0" w:space="0" w:color="auto"/>
        <w:right w:val="none" w:sz="0" w:space="0" w:color="auto"/>
      </w:divBdr>
    </w:div>
    <w:div w:id="2075539470">
      <w:bodyDiv w:val="1"/>
      <w:marLeft w:val="0"/>
      <w:marRight w:val="0"/>
      <w:marTop w:val="0"/>
      <w:marBottom w:val="0"/>
      <w:divBdr>
        <w:top w:val="none" w:sz="0" w:space="0" w:color="auto"/>
        <w:left w:val="none" w:sz="0" w:space="0" w:color="auto"/>
        <w:bottom w:val="none" w:sz="0" w:space="0" w:color="auto"/>
        <w:right w:val="none" w:sz="0" w:space="0" w:color="auto"/>
      </w:divBdr>
    </w:div>
    <w:div w:id="2081056108">
      <w:bodyDiv w:val="1"/>
      <w:marLeft w:val="0"/>
      <w:marRight w:val="0"/>
      <w:marTop w:val="0"/>
      <w:marBottom w:val="0"/>
      <w:divBdr>
        <w:top w:val="none" w:sz="0" w:space="0" w:color="auto"/>
        <w:left w:val="none" w:sz="0" w:space="0" w:color="auto"/>
        <w:bottom w:val="none" w:sz="0" w:space="0" w:color="auto"/>
        <w:right w:val="none" w:sz="0" w:space="0" w:color="auto"/>
      </w:divBdr>
    </w:div>
    <w:div w:id="2082212665">
      <w:bodyDiv w:val="1"/>
      <w:marLeft w:val="0"/>
      <w:marRight w:val="0"/>
      <w:marTop w:val="0"/>
      <w:marBottom w:val="0"/>
      <w:divBdr>
        <w:top w:val="none" w:sz="0" w:space="0" w:color="auto"/>
        <w:left w:val="none" w:sz="0" w:space="0" w:color="auto"/>
        <w:bottom w:val="none" w:sz="0" w:space="0" w:color="auto"/>
        <w:right w:val="none" w:sz="0" w:space="0" w:color="auto"/>
      </w:divBdr>
    </w:div>
    <w:div w:id="2089308632">
      <w:bodyDiv w:val="1"/>
      <w:marLeft w:val="0"/>
      <w:marRight w:val="0"/>
      <w:marTop w:val="0"/>
      <w:marBottom w:val="0"/>
      <w:divBdr>
        <w:top w:val="none" w:sz="0" w:space="0" w:color="auto"/>
        <w:left w:val="none" w:sz="0" w:space="0" w:color="auto"/>
        <w:bottom w:val="none" w:sz="0" w:space="0" w:color="auto"/>
        <w:right w:val="none" w:sz="0" w:space="0" w:color="auto"/>
      </w:divBdr>
    </w:div>
    <w:div w:id="2094664661">
      <w:bodyDiv w:val="1"/>
      <w:marLeft w:val="0"/>
      <w:marRight w:val="0"/>
      <w:marTop w:val="0"/>
      <w:marBottom w:val="0"/>
      <w:divBdr>
        <w:top w:val="none" w:sz="0" w:space="0" w:color="auto"/>
        <w:left w:val="none" w:sz="0" w:space="0" w:color="auto"/>
        <w:bottom w:val="none" w:sz="0" w:space="0" w:color="auto"/>
        <w:right w:val="none" w:sz="0" w:space="0" w:color="auto"/>
      </w:divBdr>
    </w:div>
    <w:div w:id="2102869649">
      <w:bodyDiv w:val="1"/>
      <w:marLeft w:val="0"/>
      <w:marRight w:val="0"/>
      <w:marTop w:val="0"/>
      <w:marBottom w:val="0"/>
      <w:divBdr>
        <w:top w:val="none" w:sz="0" w:space="0" w:color="auto"/>
        <w:left w:val="none" w:sz="0" w:space="0" w:color="auto"/>
        <w:bottom w:val="none" w:sz="0" w:space="0" w:color="auto"/>
        <w:right w:val="none" w:sz="0" w:space="0" w:color="auto"/>
      </w:divBdr>
    </w:div>
    <w:div w:id="2105686986">
      <w:bodyDiv w:val="1"/>
      <w:marLeft w:val="0"/>
      <w:marRight w:val="0"/>
      <w:marTop w:val="0"/>
      <w:marBottom w:val="0"/>
      <w:divBdr>
        <w:top w:val="none" w:sz="0" w:space="0" w:color="auto"/>
        <w:left w:val="none" w:sz="0" w:space="0" w:color="auto"/>
        <w:bottom w:val="none" w:sz="0" w:space="0" w:color="auto"/>
        <w:right w:val="none" w:sz="0" w:space="0" w:color="auto"/>
      </w:divBdr>
    </w:div>
    <w:div w:id="2118018074">
      <w:bodyDiv w:val="1"/>
      <w:marLeft w:val="0"/>
      <w:marRight w:val="0"/>
      <w:marTop w:val="0"/>
      <w:marBottom w:val="0"/>
      <w:divBdr>
        <w:top w:val="none" w:sz="0" w:space="0" w:color="auto"/>
        <w:left w:val="none" w:sz="0" w:space="0" w:color="auto"/>
        <w:bottom w:val="none" w:sz="0" w:space="0" w:color="auto"/>
        <w:right w:val="none" w:sz="0" w:space="0" w:color="auto"/>
      </w:divBdr>
    </w:div>
    <w:div w:id="2118940046">
      <w:bodyDiv w:val="1"/>
      <w:marLeft w:val="0"/>
      <w:marRight w:val="0"/>
      <w:marTop w:val="0"/>
      <w:marBottom w:val="0"/>
      <w:divBdr>
        <w:top w:val="none" w:sz="0" w:space="0" w:color="auto"/>
        <w:left w:val="none" w:sz="0" w:space="0" w:color="auto"/>
        <w:bottom w:val="none" w:sz="0" w:space="0" w:color="auto"/>
        <w:right w:val="none" w:sz="0" w:space="0" w:color="auto"/>
      </w:divBdr>
    </w:div>
    <w:div w:id="2139756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ews.abidjan.net" TargetMode="External"/><Relationship Id="rId18" Type="http://schemas.openxmlformats.org/officeDocument/2006/relationships/hyperlink" Target="https://www.rfi.fr" TargetMode="External"/><Relationship Id="rId26" Type="http://schemas.openxmlformats.org/officeDocument/2006/relationships/hyperlink" Target="https://www.cridem.org/C_InfoCat.php?cat=16" TargetMode="External"/><Relationship Id="rId39" Type="http://schemas.openxmlformats.org/officeDocument/2006/relationships/hyperlink" Target="mailto:regis.raffin@dgtresor.gouv.fr" TargetMode="External"/><Relationship Id="rId21" Type="http://schemas.openxmlformats.org/officeDocument/2006/relationships/hyperlink" Target="https://www.moa.gov.lr/media/press-releases" TargetMode="External"/><Relationship Id="rId34" Type="http://schemas.openxmlformats.org/officeDocument/2006/relationships/hyperlink" Target="https://www.tresor.economie.gouv.fr/Pays/CI?listePays=CI" TargetMode="External"/><Relationship Id="rId42" Type="http://schemas.openxmlformats.org/officeDocument/2006/relationships/theme" Target="theme/theme1.xml"/><Relationship Id="rId7" Type="http://schemas.openxmlformats.org/officeDocument/2006/relationships/hyperlink" Target="https://www.aip.ci" TargetMode="External"/><Relationship Id="rId2" Type="http://schemas.openxmlformats.org/officeDocument/2006/relationships/numbering" Target="numbering.xml"/><Relationship Id="rId16" Type="http://schemas.openxmlformats.org/officeDocument/2006/relationships/hyperlink" Target="https://www.linfodrome.com" TargetMode="External"/><Relationship Id="rId20" Type="http://schemas.openxmlformats.org/officeDocument/2006/relationships/hyperlink" Target="https://www.jeuneafrique.com" TargetMode="External"/><Relationship Id="rId29" Type="http://schemas.openxmlformats.org/officeDocument/2006/relationships/hyperlink" Target="https://www.republicoftogo.co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s://atop.tg" TargetMode="External"/><Relationship Id="rId24" Type="http://schemas.openxmlformats.org/officeDocument/2006/relationships/hyperlink" Target="https://presidence.gov.gn/actualite/" TargetMode="External"/><Relationship Id="rId32" Type="http://schemas.openxmlformats.org/officeDocument/2006/relationships/hyperlink" Target="https://www.tresor.economie.gouv.fr/Pays/CI?listePays=CI" TargetMode="External"/><Relationship Id="rId37" Type="http://schemas.openxmlformats.org/officeDocument/2006/relationships/hyperlink" Target="https://www.tresor.economie.gouv.fr/Pays/CI/agriculture-agroalimentaire" TargetMode="External"/><Relationship Id="rId40" Type="http://schemas.openxmlformats.org/officeDocument/2006/relationships/hyperlink" Target="https://www.tresor.economie.gouv.fr/Pays/CI/agriculture-agroalimentaire" TargetMode="External"/><Relationship Id="rId5" Type="http://schemas.openxmlformats.org/officeDocument/2006/relationships/webSettings" Target="webSettings.xml"/><Relationship Id="rId15" Type="http://schemas.openxmlformats.org/officeDocument/2006/relationships/hyperlink" Target="https://connectionivoirienne.net" TargetMode="External"/><Relationship Id="rId23" Type="http://schemas.openxmlformats.org/officeDocument/2006/relationships/hyperlink" Target="https://www.governo.cv/" TargetMode="External"/><Relationship Id="rId28" Type="http://schemas.openxmlformats.org/officeDocument/2006/relationships/hyperlink" Target="https://www.sikafinance.com/" TargetMode="External"/><Relationship Id="rId36" Type="http://schemas.openxmlformats.org/officeDocument/2006/relationships/hyperlink" Target="mailto:regis.raffin@dgtresor.gouv.fr" TargetMode="External"/><Relationship Id="rId10" Type="http://schemas.openxmlformats.org/officeDocument/2006/relationships/hyperlink" Target="https://agpguinee.com" TargetMode="External"/><Relationship Id="rId19" Type="http://schemas.openxmlformats.org/officeDocument/2006/relationships/hyperlink" Target="https://www.koaci.com" TargetMode="External"/><Relationship Id="rId31" Type="http://schemas.openxmlformats.org/officeDocument/2006/relationships/hyperlink" Target="https://www.agridigitale.net/" TargetMode="External"/><Relationship Id="rId4" Type="http://schemas.openxmlformats.org/officeDocument/2006/relationships/settings" Target="settings.xml"/><Relationship Id="rId9" Type="http://schemas.openxmlformats.org/officeDocument/2006/relationships/hyperlink" Target="https://www.aib.media" TargetMode="External"/><Relationship Id="rId14" Type="http://schemas.openxmlformats.org/officeDocument/2006/relationships/hyperlink" Target="https://www.7info.ci" TargetMode="External"/><Relationship Id="rId22" Type="http://schemas.openxmlformats.org/officeDocument/2006/relationships/hyperlink" Target="https://agriculture.gouv.tg" TargetMode="External"/><Relationship Id="rId27" Type="http://schemas.openxmlformats.org/officeDocument/2006/relationships/hyperlink" Target="https://www.agenceecofin.com/agro" TargetMode="External"/><Relationship Id="rId30" Type="http://schemas.openxmlformats.org/officeDocument/2006/relationships/hyperlink" Target="https://www.republiquetogolaise.com/agro/" TargetMode="External"/><Relationship Id="rId35" Type="http://schemas.openxmlformats.org/officeDocument/2006/relationships/hyperlink" Target="http://www.tresor.economie.gouv.fr/tresor-international" TargetMode="External"/><Relationship Id="rId8" Type="http://schemas.openxmlformats.org/officeDocument/2006/relationships/hyperlink" Target="https://aps.sn" TargetMode="External"/><Relationship Id="rId3" Type="http://schemas.openxmlformats.org/officeDocument/2006/relationships/styles" Target="styles.xml"/><Relationship Id="rId12" Type="http://schemas.openxmlformats.org/officeDocument/2006/relationships/hyperlink" Target="https://fr.apanews.net" TargetMode="External"/><Relationship Id="rId17" Type="http://schemas.openxmlformats.org/officeDocument/2006/relationships/hyperlink" Target="https://www.seneweb.com/news/Economie/" TargetMode="External"/><Relationship Id="rId25" Type="http://schemas.openxmlformats.org/officeDocument/2006/relationships/hyperlink" Target="https://www.africain.info/" TargetMode="External"/><Relationship Id="rId33" Type="http://schemas.openxmlformats.org/officeDocument/2006/relationships/hyperlink" Target="https://expressodasilhas.cv/pais/2025/09/22/tempestade-erin-enxurradas-ameacam-reducao-prevista-da-inseguranca-alimentar/99091" TargetMode="External"/><Relationship Id="rId38" Type="http://schemas.openxmlformats.org/officeDocument/2006/relationships/hyperlink" Target="http://www.tresor.economie.gouv.fr/tresor-internationa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58935-4481-41B1-9587-991973A84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2578</TotalTime>
  <Pages>59</Pages>
  <Words>33645</Words>
  <Characters>185053</Characters>
  <Application>Microsoft Office Word</Application>
  <DocSecurity>0</DocSecurity>
  <Lines>1542</Lines>
  <Paragraphs>436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BABIN Tristan</dc:creator>
  <cp:keywords/>
  <dc:description/>
  <cp:lastModifiedBy>RAFFIN Régis</cp:lastModifiedBy>
  <cp:revision>31</cp:revision>
  <cp:lastPrinted>2025-09-03T17:34:00Z</cp:lastPrinted>
  <dcterms:created xsi:type="dcterms:W3CDTF">2026-01-14T17:07:00Z</dcterms:created>
  <dcterms:modified xsi:type="dcterms:W3CDTF">2026-04-07T17:58:00Z</dcterms:modified>
</cp:coreProperties>
</file>