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FB3F" w14:textId="77777777" w:rsidR="001230CF" w:rsidRDefault="001230CF" w:rsidP="001230CF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t>Annexe I – Une mise à jour budgétaire pour répondre à la désaffection des électeurs (source : Nanos research, Angus Reid, Leger, Pallas Data, Abacus Data, 2023)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  <w:gridCol w:w="4088"/>
      </w:tblGrid>
      <w:tr w:rsidR="001230CF" w:rsidRPr="00C729FA" w14:paraId="04A61847" w14:textId="77777777" w:rsidTr="00BA71FF">
        <w:trPr>
          <w:trHeight w:val="1035"/>
          <w:jc w:val="center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26981D1" w14:textId="77777777" w:rsidR="001230CF" w:rsidRPr="00C729FA" w:rsidRDefault="001230CF" w:rsidP="00BA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Intention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</w:t>
            </w:r>
            <w:r w:rsidRPr="00C729F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de vote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pour les</w:t>
            </w:r>
            <w:r w:rsidRPr="00C729F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prochaines élections fédérales canadiennes (prévues au plus tard pour le 20 octobre 2025) </w:t>
            </w:r>
          </w:p>
        </w:tc>
      </w:tr>
      <w:tr w:rsidR="001230CF" w:rsidRPr="00C729FA" w14:paraId="38856167" w14:textId="77777777" w:rsidTr="00BA71FF">
        <w:trPr>
          <w:trHeight w:val="9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2FE1E1A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Parti politique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9D5C222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Intention de vote (moyenne mobile derniers sondages septembre-octobre-novembre 2023)</w:t>
            </w:r>
          </w:p>
        </w:tc>
      </w:tr>
      <w:tr w:rsidR="001230CF" w:rsidRPr="00C729FA" w14:paraId="4AC4836F" w14:textId="77777777" w:rsidTr="00BA71FF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F67818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Parti libéral (centre/centre-gauche)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C17" w14:textId="77777777" w:rsidR="001230CF" w:rsidRPr="00C729FA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color w:val="000000"/>
                <w:lang w:eastAsia="fr-FR"/>
              </w:rPr>
              <w:t>27%</w:t>
            </w:r>
          </w:p>
        </w:tc>
      </w:tr>
      <w:tr w:rsidR="001230CF" w:rsidRPr="00C729FA" w14:paraId="21D7A312" w14:textId="77777777" w:rsidTr="00BA71FF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F3146F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Parti conservateur (centre-droit/droite)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1BB" w14:textId="77777777" w:rsidR="001230CF" w:rsidRPr="00C729FA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color w:val="000000"/>
                <w:lang w:eastAsia="fr-FR"/>
              </w:rPr>
              <w:t>40%</w:t>
            </w:r>
          </w:p>
        </w:tc>
      </w:tr>
      <w:tr w:rsidR="001230CF" w:rsidRPr="00C729FA" w14:paraId="061A4C81" w14:textId="77777777" w:rsidTr="00BA71FF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979EBC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Nouveau parti démocratique (gauche)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127" w14:textId="77777777" w:rsidR="001230CF" w:rsidRPr="00C729FA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color w:val="000000"/>
                <w:lang w:eastAsia="fr-FR"/>
              </w:rPr>
              <w:t>18%</w:t>
            </w:r>
          </w:p>
        </w:tc>
      </w:tr>
      <w:tr w:rsidR="001230CF" w:rsidRPr="00C729FA" w14:paraId="46EF448E" w14:textId="77777777" w:rsidTr="00BA71FF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F5A158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Bloc québécois (régionaliste/gauche)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474" w14:textId="77777777" w:rsidR="001230CF" w:rsidRPr="00C729FA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color w:val="000000"/>
                <w:lang w:eastAsia="fr-FR"/>
              </w:rPr>
              <w:t>6%</w:t>
            </w:r>
          </w:p>
        </w:tc>
      </w:tr>
      <w:tr w:rsidR="001230CF" w:rsidRPr="00C729FA" w14:paraId="649C894A" w14:textId="77777777" w:rsidTr="00BA71FF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25E130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Parti vert (gauche)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3F8" w14:textId="77777777" w:rsidR="001230CF" w:rsidRPr="00C729FA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color w:val="000000"/>
                <w:lang w:eastAsia="fr-FR"/>
              </w:rPr>
              <w:t>5%</w:t>
            </w:r>
          </w:p>
        </w:tc>
      </w:tr>
      <w:tr w:rsidR="001230CF" w:rsidRPr="00C729FA" w14:paraId="00EB9F3B" w14:textId="77777777" w:rsidTr="00BA71FF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4BBE90" w14:textId="77777777" w:rsidR="001230CF" w:rsidRPr="00C729FA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Parti populaire canadien (extrême-droite)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C9E" w14:textId="77777777" w:rsidR="001230CF" w:rsidRPr="00C729FA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29FA">
              <w:rPr>
                <w:rFonts w:ascii="Calibri" w:eastAsia="Times New Roman" w:hAnsi="Calibri" w:cs="Calibri"/>
                <w:color w:val="000000"/>
                <w:lang w:eastAsia="fr-FR"/>
              </w:rPr>
              <w:t>4%</w:t>
            </w:r>
          </w:p>
        </w:tc>
      </w:tr>
    </w:tbl>
    <w:p w14:paraId="6A484823" w14:textId="77777777" w:rsidR="001230CF" w:rsidRDefault="001230CF" w:rsidP="001230CF">
      <w:pPr>
        <w:spacing w:after="0"/>
        <w:rPr>
          <w:rFonts w:ascii="Segoe UI" w:hAnsi="Segoe UI" w:cs="Segoe UI"/>
          <w:b/>
          <w:sz w:val="18"/>
          <w:szCs w:val="16"/>
          <w:u w:val="single"/>
        </w:rPr>
      </w:pPr>
    </w:p>
    <w:p w14:paraId="72045F46" w14:textId="77777777" w:rsidR="001230CF" w:rsidRDefault="001230CF" w:rsidP="001230CF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t>Annexe II – Prévisions du gouvernement fédéral pour les principaux indicateurs macroéconomiques entre l’exercice fiscal 2023-2024 et l’exercice fiscal 2028-2029 (source : Enoncé économique d’automne, Ministère des Finances, novembre 2023)</w:t>
      </w:r>
    </w:p>
    <w:p w14:paraId="2CC7EFB3" w14:textId="77777777" w:rsidR="001230CF" w:rsidRDefault="001230CF" w:rsidP="001230CF">
      <w:pPr>
        <w:jc w:val="center"/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</w:pPr>
      <w:r w:rsidRPr="002A020D"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  <w:t xml:space="preserve">Fig. 1 Tableau des principaux indicateurs macroéconomiques </w:t>
      </w:r>
      <w:r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  <w:t>et évolution par rapport au budget présenté en mars 2023</w:t>
      </w:r>
    </w:p>
    <w:p w14:paraId="0D4375D4" w14:textId="77777777" w:rsidR="001230CF" w:rsidRPr="002A020D" w:rsidRDefault="001230CF" w:rsidP="001230CF">
      <w:pPr>
        <w:jc w:val="center"/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</w:pPr>
      <w:r>
        <w:rPr>
          <w:rFonts w:ascii="Segoe UI" w:hAnsi="Segoe UI" w:cs="Segoe UI"/>
          <w:b/>
          <w:noProof/>
          <w:color w:val="3B3838" w:themeColor="background2" w:themeShade="40"/>
          <w:sz w:val="18"/>
          <w:szCs w:val="16"/>
          <w:u w:val="single"/>
        </w:rPr>
        <w:drawing>
          <wp:inline distT="0" distB="0" distL="0" distR="0" wp14:anchorId="529447D5" wp14:editId="1D9488EA">
            <wp:extent cx="5420995" cy="4696460"/>
            <wp:effectExtent l="0" t="0" r="825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  <w:t xml:space="preserve"> </w:t>
      </w:r>
    </w:p>
    <w:p w14:paraId="700C0AA6" w14:textId="77777777" w:rsidR="001230CF" w:rsidRDefault="001230CF" w:rsidP="001230CF">
      <w:pPr>
        <w:jc w:val="center"/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</w:pPr>
      <w:r>
        <w:rPr>
          <w:rFonts w:ascii="Segoe UI" w:hAnsi="Segoe UI" w:cs="Segoe UI"/>
          <w:b/>
          <w:noProof/>
          <w:color w:val="3B3838" w:themeColor="background2" w:themeShade="40"/>
          <w:sz w:val="18"/>
          <w:szCs w:val="16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66554296" wp14:editId="6FE85C91">
            <wp:simplePos x="0" y="0"/>
            <wp:positionH relativeFrom="column">
              <wp:posOffset>93032</wp:posOffset>
            </wp:positionH>
            <wp:positionV relativeFrom="paragraph">
              <wp:posOffset>326466</wp:posOffset>
            </wp:positionV>
            <wp:extent cx="6543040" cy="312928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20D">
        <w:rPr>
          <w:rFonts w:ascii="Segoe UI" w:hAnsi="Segoe UI" w:cs="Segoe UI"/>
          <w:b/>
          <w:color w:val="3B3838" w:themeColor="background2" w:themeShade="40"/>
          <w:sz w:val="18"/>
          <w:szCs w:val="16"/>
          <w:u w:val="single"/>
        </w:rPr>
        <w:t>Fig. 2 Evolution de l’endettement public prévu par le gouvernement fédéral entre 2023-2024 et 2028-2029</w:t>
      </w:r>
    </w:p>
    <w:p w14:paraId="19016AD5" w14:textId="77777777" w:rsidR="001230CF" w:rsidRPr="006558CB" w:rsidRDefault="001230CF" w:rsidP="001230CF">
      <w:pPr>
        <w:rPr>
          <w:rFonts w:ascii="Segoe UI" w:hAnsi="Segoe UI" w:cs="Segoe UI"/>
          <w:sz w:val="18"/>
          <w:szCs w:val="16"/>
        </w:rPr>
      </w:pPr>
    </w:p>
    <w:p w14:paraId="666C2FD7" w14:textId="77777777" w:rsidR="001230CF" w:rsidRPr="009B4754" w:rsidRDefault="001230CF" w:rsidP="001230CF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t>Annexe III – Coût des mesures principales et réductions de dépenses annoncées dans l’énoncé économique d’automne (source :</w:t>
      </w:r>
      <w:r w:rsidRPr="00417FA1">
        <w:rPr>
          <w:rFonts w:ascii="Segoe UI" w:hAnsi="Segoe UI" w:cs="Segoe UI"/>
          <w:b/>
          <w:sz w:val="18"/>
          <w:szCs w:val="16"/>
          <w:u w:val="single"/>
        </w:rPr>
        <w:t xml:space="preserve"> </w:t>
      </w:r>
      <w:r>
        <w:rPr>
          <w:rFonts w:ascii="Segoe UI" w:hAnsi="Segoe UI" w:cs="Segoe UI"/>
          <w:b/>
          <w:sz w:val="18"/>
          <w:szCs w:val="16"/>
          <w:u w:val="single"/>
        </w:rPr>
        <w:t>Enoncé économique d’automne, Ministère des Finances, novembre 2023)</w:t>
      </w: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694"/>
      </w:tblGrid>
      <w:tr w:rsidR="001230CF" w:rsidRPr="00932F80" w14:paraId="0663C1F6" w14:textId="77777777" w:rsidTr="00BA71FF">
        <w:trPr>
          <w:trHeight w:val="245"/>
          <w:jc w:val="center"/>
        </w:trPr>
        <w:tc>
          <w:tcPr>
            <w:tcW w:w="10486" w:type="dxa"/>
            <w:gridSpan w:val="2"/>
            <w:shd w:val="clear" w:color="000000" w:fill="203764"/>
            <w:vAlign w:val="center"/>
            <w:hideMark/>
          </w:tcPr>
          <w:p w14:paraId="5F74295D" w14:textId="77777777" w:rsidR="001230CF" w:rsidRPr="00932F80" w:rsidRDefault="001230CF" w:rsidP="00BA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932F80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Synthèse de l'augmentation des dépenses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du gouvernement fédéral &amp; autres annonces</w:t>
            </w:r>
            <w:r w:rsidRPr="00932F80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; en Md CAD</w:t>
            </w:r>
          </w:p>
        </w:tc>
      </w:tr>
      <w:tr w:rsidR="001230CF" w:rsidRPr="00932F80" w14:paraId="1755790B" w14:textId="77777777" w:rsidTr="00BA71FF">
        <w:trPr>
          <w:trHeight w:val="235"/>
          <w:jc w:val="center"/>
        </w:trPr>
        <w:tc>
          <w:tcPr>
            <w:tcW w:w="7792" w:type="dxa"/>
            <w:shd w:val="clear" w:color="000000" w:fill="0070C0"/>
            <w:vAlign w:val="bottom"/>
            <w:hideMark/>
          </w:tcPr>
          <w:p w14:paraId="3C14A06E" w14:textId="77777777" w:rsidR="001230CF" w:rsidRPr="007B5598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7B55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Nouvelles dépenses (après soustraction des réductions de dépenses) </w:t>
            </w:r>
          </w:p>
        </w:tc>
        <w:tc>
          <w:tcPr>
            <w:tcW w:w="2694" w:type="dxa"/>
            <w:shd w:val="clear" w:color="000000" w:fill="0070C0"/>
            <w:noWrap/>
            <w:vAlign w:val="bottom"/>
            <w:hideMark/>
          </w:tcPr>
          <w:p w14:paraId="7E5B8049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15,8</w:t>
            </w:r>
          </w:p>
        </w:tc>
      </w:tr>
      <w:tr w:rsidR="001230CF" w:rsidRPr="00932F80" w14:paraId="6A079180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8EA9DB"/>
            <w:vAlign w:val="bottom"/>
            <w:hideMark/>
          </w:tcPr>
          <w:p w14:paraId="45114CAC" w14:textId="77777777" w:rsidR="001230CF" w:rsidRPr="00932F80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Plan d’action pour le logement </w:t>
            </w:r>
            <w:r w:rsidRPr="00932F8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2694" w:type="dxa"/>
            <w:shd w:val="clear" w:color="000000" w:fill="8EA9DB"/>
            <w:noWrap/>
            <w:vAlign w:val="bottom"/>
            <w:hideMark/>
          </w:tcPr>
          <w:p w14:paraId="43B74CBC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6,25</w:t>
            </w:r>
          </w:p>
        </w:tc>
      </w:tr>
      <w:tr w:rsidR="001230CF" w:rsidRPr="00932F80" w14:paraId="49AA3145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3F65C719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Suppression de la TVA sur la construction de nouveaux logements locatifs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E93DDA1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4,57</w:t>
            </w:r>
          </w:p>
        </w:tc>
      </w:tr>
      <w:tr w:rsidR="001230CF" w:rsidRPr="00932F80" w14:paraId="1E7EAB60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2130FE5B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Soutien direct à la construction de logements pour les ménages modestes 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F9ABE2D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1230CF" w:rsidRPr="00932F80" w14:paraId="2E896044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7C81526B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Soutien direct à la construction de nouveaux appartements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843DD31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0,34</w:t>
            </w:r>
          </w:p>
        </w:tc>
      </w:tr>
      <w:tr w:rsidR="001230CF" w:rsidRPr="00932F80" w14:paraId="62EA796D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</w:tcPr>
          <w:p w14:paraId="673EE4C5" w14:textId="77777777" w:rsidR="001230CF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Soutien aux initiatives de logements collectifs (plusieurs ménages sous le même toit) 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72DB5220" w14:textId="77777777" w:rsidR="001230CF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0,26</w:t>
            </w:r>
          </w:p>
        </w:tc>
      </w:tr>
      <w:tr w:rsidR="001230CF" w:rsidRPr="00932F80" w14:paraId="15910BE5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</w:tcPr>
          <w:p w14:paraId="584148B3" w14:textId="77777777" w:rsidR="001230CF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Lutte contre les locations à court terme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B8EEFC4" w14:textId="77777777" w:rsidR="001230CF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0,05</w:t>
            </w:r>
          </w:p>
        </w:tc>
      </w:tr>
      <w:tr w:rsidR="001230CF" w:rsidRPr="00932F80" w14:paraId="7DE36F7B" w14:textId="77777777" w:rsidTr="00BA71FF">
        <w:trPr>
          <w:trHeight w:val="188"/>
          <w:jc w:val="center"/>
        </w:trPr>
        <w:tc>
          <w:tcPr>
            <w:tcW w:w="7792" w:type="dxa"/>
            <w:shd w:val="clear" w:color="auto" w:fill="FFC000" w:themeFill="accent4"/>
            <w:vAlign w:val="bottom"/>
          </w:tcPr>
          <w:p w14:paraId="788213EC" w14:textId="77777777" w:rsidR="001230CF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Programme de prêt à la SCHL pour la construction de logements (hors dépenses) </w:t>
            </w:r>
          </w:p>
        </w:tc>
        <w:tc>
          <w:tcPr>
            <w:tcW w:w="2694" w:type="dxa"/>
            <w:shd w:val="clear" w:color="auto" w:fill="FFC000" w:themeFill="accent4"/>
            <w:noWrap/>
            <w:vAlign w:val="bottom"/>
          </w:tcPr>
          <w:p w14:paraId="31434CBB" w14:textId="77777777" w:rsidR="001230CF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15 </w:t>
            </w:r>
          </w:p>
        </w:tc>
      </w:tr>
      <w:tr w:rsidR="001230CF" w:rsidRPr="00932F80" w14:paraId="33A5B4F5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B4C6E7"/>
            <w:vAlign w:val="bottom"/>
            <w:hideMark/>
          </w:tcPr>
          <w:p w14:paraId="1938C1D0" w14:textId="77777777" w:rsidR="001230CF" w:rsidRPr="00932F80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Coût de la vie </w:t>
            </w:r>
          </w:p>
        </w:tc>
        <w:tc>
          <w:tcPr>
            <w:tcW w:w="2694" w:type="dxa"/>
            <w:shd w:val="clear" w:color="000000" w:fill="B4C6E7"/>
            <w:noWrap/>
            <w:vAlign w:val="bottom"/>
            <w:hideMark/>
          </w:tcPr>
          <w:p w14:paraId="3170136B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0,17</w:t>
            </w:r>
          </w:p>
        </w:tc>
      </w:tr>
      <w:tr w:rsidR="001230CF" w:rsidRPr="00932F80" w14:paraId="156F93FE" w14:textId="77777777" w:rsidTr="00BA71FF">
        <w:trPr>
          <w:trHeight w:val="377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771BE09C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Modification des règles de l’assurance chômage pour les travailleurs saisonniers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384B710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0,07</w:t>
            </w:r>
          </w:p>
        </w:tc>
      </w:tr>
      <w:tr w:rsidR="001230CF" w:rsidRPr="00932F80" w14:paraId="1101B050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748D2D12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Suppression de la TVA fédéral pour les frais de psychothérapie 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706F569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0,05</w:t>
            </w:r>
          </w:p>
        </w:tc>
      </w:tr>
      <w:tr w:rsidR="001230CF" w:rsidRPr="00932F80" w14:paraId="059FF310" w14:textId="77777777" w:rsidTr="00BA71FF">
        <w:trPr>
          <w:trHeight w:val="188"/>
          <w:jc w:val="center"/>
        </w:trPr>
        <w:tc>
          <w:tcPr>
            <w:tcW w:w="7792" w:type="dxa"/>
            <w:shd w:val="clear" w:color="auto" w:fill="FFC000" w:themeFill="accent4"/>
            <w:vAlign w:val="bottom"/>
          </w:tcPr>
          <w:p w14:paraId="08D5A783" w14:textId="77777777" w:rsidR="001230CF" w:rsidRPr="00EF24F4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Modification de la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Loi sur la concurrence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pour stimuler la compétition dans le secteur de la distribution alimentaire </w:t>
            </w:r>
          </w:p>
        </w:tc>
        <w:tc>
          <w:tcPr>
            <w:tcW w:w="2694" w:type="dxa"/>
            <w:shd w:val="clear" w:color="auto" w:fill="FFC000" w:themeFill="accent4"/>
            <w:noWrap/>
            <w:vAlign w:val="bottom"/>
          </w:tcPr>
          <w:p w14:paraId="0787F3C8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1230CF" w:rsidRPr="00932F80" w14:paraId="61F93B0F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B4C6E7"/>
            <w:vAlign w:val="bottom"/>
            <w:hideMark/>
          </w:tcPr>
          <w:p w14:paraId="643C5127" w14:textId="77777777" w:rsidR="001230CF" w:rsidRPr="00932F80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Economie propre</w:t>
            </w:r>
          </w:p>
        </w:tc>
        <w:tc>
          <w:tcPr>
            <w:tcW w:w="2694" w:type="dxa"/>
            <w:shd w:val="clear" w:color="000000" w:fill="B4C6E7"/>
            <w:noWrap/>
            <w:vAlign w:val="bottom"/>
            <w:hideMark/>
          </w:tcPr>
          <w:p w14:paraId="790222AD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32F8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20,9</w:t>
            </w:r>
          </w:p>
        </w:tc>
      </w:tr>
      <w:tr w:rsidR="001230CF" w:rsidRPr="00932F80" w14:paraId="09D9104E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315BA42A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Subventions industrielles pour les projets d’usines de batteries pour véhicules électriques 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3B5A073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8,47</w:t>
            </w:r>
          </w:p>
        </w:tc>
      </w:tr>
      <w:tr w:rsidR="001230CF" w:rsidRPr="00932F80" w14:paraId="6814B2B5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67534079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Extension des crédits d’impôt de 15% et 30% sur les investissements en énergie propre pour la biomasse. 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FDD4E60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0,85</w:t>
            </w:r>
          </w:p>
        </w:tc>
      </w:tr>
      <w:tr w:rsidR="001230CF" w:rsidRPr="00932F80" w14:paraId="4EDEABB0" w14:textId="77777777" w:rsidTr="00BA71FF">
        <w:trPr>
          <w:trHeight w:val="188"/>
          <w:jc w:val="center"/>
        </w:trPr>
        <w:tc>
          <w:tcPr>
            <w:tcW w:w="7792" w:type="dxa"/>
            <w:shd w:val="clear" w:color="000000" w:fill="D9E1F2"/>
            <w:vAlign w:val="bottom"/>
            <w:hideMark/>
          </w:tcPr>
          <w:p w14:paraId="7D18B114" w14:textId="77777777" w:rsidR="001230CF" w:rsidRPr="00932F80" w:rsidRDefault="001230CF" w:rsidP="00BA71F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Requalification des employés pour une transition juste 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74E389D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0,05</w:t>
            </w:r>
          </w:p>
        </w:tc>
      </w:tr>
      <w:tr w:rsidR="001230CF" w:rsidRPr="00932F80" w14:paraId="7D1EB449" w14:textId="77777777" w:rsidTr="00BA71FF">
        <w:trPr>
          <w:trHeight w:val="235"/>
          <w:jc w:val="center"/>
        </w:trPr>
        <w:tc>
          <w:tcPr>
            <w:tcW w:w="7792" w:type="dxa"/>
            <w:shd w:val="clear" w:color="000000" w:fill="0070C0"/>
            <w:vAlign w:val="bottom"/>
            <w:hideMark/>
          </w:tcPr>
          <w:p w14:paraId="4F6D51CF" w14:textId="77777777" w:rsidR="001230CF" w:rsidRPr="00932F80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Réduction des dépenses de fonctionnement des ministères et des agences</w:t>
            </w:r>
            <w:r w:rsidRPr="00866D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</w:t>
            </w:r>
          </w:p>
        </w:tc>
        <w:tc>
          <w:tcPr>
            <w:tcW w:w="2694" w:type="dxa"/>
            <w:shd w:val="clear" w:color="000000" w:fill="0070C0"/>
            <w:noWrap/>
            <w:vAlign w:val="bottom"/>
            <w:hideMark/>
          </w:tcPr>
          <w:p w14:paraId="2FE847FE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932F80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2,56</w:t>
            </w:r>
          </w:p>
        </w:tc>
      </w:tr>
      <w:tr w:rsidR="001230CF" w:rsidRPr="00932F80" w14:paraId="43E7DACF" w14:textId="77777777" w:rsidTr="00BA71FF">
        <w:trPr>
          <w:trHeight w:val="235"/>
          <w:jc w:val="center"/>
        </w:trPr>
        <w:tc>
          <w:tcPr>
            <w:tcW w:w="7792" w:type="dxa"/>
            <w:shd w:val="clear" w:color="auto" w:fill="1F3864" w:themeFill="accent1" w:themeFillShade="80"/>
            <w:vAlign w:val="bottom"/>
          </w:tcPr>
          <w:p w14:paraId="1DF74CA2" w14:textId="77777777" w:rsidR="001230CF" w:rsidRDefault="001230CF" w:rsidP="00BA7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(nouvelles dépenses – réductions dépenses)</w:t>
            </w:r>
          </w:p>
        </w:tc>
        <w:tc>
          <w:tcPr>
            <w:tcW w:w="2694" w:type="dxa"/>
            <w:shd w:val="clear" w:color="auto" w:fill="1F3864" w:themeFill="accent1" w:themeFillShade="80"/>
            <w:noWrap/>
            <w:vAlign w:val="bottom"/>
          </w:tcPr>
          <w:p w14:paraId="33439CEC" w14:textId="77777777" w:rsidR="001230CF" w:rsidRPr="00932F80" w:rsidRDefault="001230CF" w:rsidP="00BA7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13,2</w:t>
            </w:r>
          </w:p>
        </w:tc>
      </w:tr>
    </w:tbl>
    <w:p w14:paraId="30C1FF35" w14:textId="77777777" w:rsidR="001230CF" w:rsidRDefault="001230CF" w:rsidP="001230CF">
      <w:pPr>
        <w:rPr>
          <w:rFonts w:ascii="Segoe UI" w:hAnsi="Segoe UI" w:cs="Segoe UI"/>
          <w:sz w:val="18"/>
          <w:szCs w:val="16"/>
        </w:rPr>
      </w:pPr>
    </w:p>
    <w:p w14:paraId="1D685D16" w14:textId="77777777" w:rsidR="001230CF" w:rsidRDefault="001230CF" w:rsidP="001230CF">
      <w:pPr>
        <w:rPr>
          <w:rFonts w:ascii="Segoe UI" w:hAnsi="Segoe UI" w:cs="Segoe UI"/>
          <w:sz w:val="18"/>
          <w:szCs w:val="16"/>
        </w:rPr>
      </w:pPr>
    </w:p>
    <w:p w14:paraId="47C7DDBF" w14:textId="77777777" w:rsidR="001230CF" w:rsidRDefault="001230CF" w:rsidP="001230CF">
      <w:pPr>
        <w:rPr>
          <w:rFonts w:ascii="Segoe UI" w:hAnsi="Segoe UI" w:cs="Segoe UI"/>
          <w:sz w:val="18"/>
          <w:szCs w:val="16"/>
        </w:rPr>
      </w:pPr>
    </w:p>
    <w:p w14:paraId="5992D089" w14:textId="77777777" w:rsidR="001230CF" w:rsidRDefault="001230CF" w:rsidP="001230CF">
      <w:pPr>
        <w:rPr>
          <w:rFonts w:ascii="Segoe UI" w:hAnsi="Segoe UI" w:cs="Segoe UI"/>
          <w:sz w:val="18"/>
          <w:szCs w:val="16"/>
        </w:rPr>
      </w:pPr>
    </w:p>
    <w:p w14:paraId="7057040A" w14:textId="77777777" w:rsidR="001230CF" w:rsidRDefault="001230CF" w:rsidP="001230CF">
      <w:pPr>
        <w:rPr>
          <w:rFonts w:ascii="Segoe UI" w:hAnsi="Segoe UI" w:cs="Segoe UI"/>
          <w:sz w:val="18"/>
          <w:szCs w:val="16"/>
        </w:rPr>
      </w:pPr>
    </w:p>
    <w:p w14:paraId="5542DF87" w14:textId="77777777" w:rsidR="001230CF" w:rsidRDefault="001230CF" w:rsidP="001230CF">
      <w:pPr>
        <w:rPr>
          <w:rFonts w:ascii="Segoe UI" w:hAnsi="Segoe UI" w:cs="Segoe UI"/>
          <w:sz w:val="18"/>
          <w:szCs w:val="16"/>
        </w:rPr>
      </w:pPr>
    </w:p>
    <w:p w14:paraId="01862D77" w14:textId="77777777" w:rsidR="001230CF" w:rsidRPr="000C38D5" w:rsidRDefault="001230CF" w:rsidP="001230CF">
      <w:pPr>
        <w:rPr>
          <w:rFonts w:ascii="Segoe UI" w:hAnsi="Segoe UI" w:cs="Segoe UI"/>
          <w:b/>
          <w:bCs/>
          <w:sz w:val="18"/>
          <w:szCs w:val="16"/>
          <w:u w:val="single"/>
        </w:rPr>
      </w:pPr>
      <w:r w:rsidRPr="000C38D5">
        <w:rPr>
          <w:rFonts w:ascii="Segoe UI" w:hAnsi="Segoe UI" w:cs="Segoe UI"/>
          <w:b/>
          <w:bCs/>
          <w:sz w:val="18"/>
          <w:szCs w:val="16"/>
          <w:u w:val="single"/>
        </w:rPr>
        <w:lastRenderedPageBreak/>
        <w:t xml:space="preserve">Annexe IV </w:t>
      </w:r>
      <w:r>
        <w:rPr>
          <w:rFonts w:ascii="Segoe UI" w:hAnsi="Segoe UI" w:cs="Segoe UI"/>
          <w:b/>
          <w:bCs/>
          <w:sz w:val="18"/>
          <w:szCs w:val="16"/>
          <w:u w:val="single"/>
        </w:rPr>
        <w:t>–</w:t>
      </w:r>
      <w:r w:rsidRPr="000C38D5">
        <w:rPr>
          <w:rFonts w:ascii="Segoe UI" w:hAnsi="Segoe UI" w:cs="Segoe UI"/>
          <w:b/>
          <w:bCs/>
          <w:sz w:val="18"/>
          <w:szCs w:val="16"/>
          <w:u w:val="single"/>
        </w:rPr>
        <w:t xml:space="preserve"> </w:t>
      </w:r>
      <w:r>
        <w:rPr>
          <w:rFonts w:ascii="Segoe UI" w:hAnsi="Segoe UI" w:cs="Segoe UI"/>
          <w:b/>
          <w:bCs/>
          <w:sz w:val="18"/>
          <w:szCs w:val="16"/>
          <w:u w:val="single"/>
        </w:rPr>
        <w:t xml:space="preserve">Echéancier pour la mise en place des crédits d’impôt à l’investissement dans l’économie propre (source : </w:t>
      </w:r>
      <w:r>
        <w:rPr>
          <w:rFonts w:ascii="Segoe UI" w:hAnsi="Segoe UI" w:cs="Segoe UI"/>
          <w:b/>
          <w:sz w:val="18"/>
          <w:szCs w:val="16"/>
          <w:u w:val="single"/>
        </w:rPr>
        <w:t>Enoncé économique d’automne, Ministère des Finances, novembre 2023)</w:t>
      </w:r>
    </w:p>
    <w:p w14:paraId="138AE588" w14:textId="77777777" w:rsidR="001230CF" w:rsidRPr="006558CB" w:rsidRDefault="001230CF" w:rsidP="001230CF">
      <w:pPr>
        <w:jc w:val="center"/>
        <w:rPr>
          <w:rFonts w:ascii="Segoe UI" w:hAnsi="Segoe UI" w:cs="Segoe UI"/>
          <w:sz w:val="18"/>
          <w:szCs w:val="16"/>
        </w:rPr>
      </w:pPr>
      <w:r>
        <w:rPr>
          <w:noProof/>
        </w:rPr>
        <w:drawing>
          <wp:inline distT="0" distB="0" distL="0" distR="0" wp14:anchorId="40340BFB" wp14:editId="27BC65D7">
            <wp:extent cx="5099323" cy="5697023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063" cy="56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A65B" w14:textId="77777777" w:rsidR="008B1C22" w:rsidRDefault="001230CF"/>
    <w:sectPr w:rsidR="008B1C22" w:rsidSect="0047405B">
      <w:headerReference w:type="default" r:id="rId7"/>
      <w:pgSz w:w="11906" w:h="16838"/>
      <w:pgMar w:top="851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B1CA" w14:textId="77777777" w:rsidR="00F8560F" w:rsidRDefault="001230CF" w:rsidP="00F8560F">
    <w:pPr>
      <w:pStyle w:val="En-tte"/>
      <w:tabs>
        <w:tab w:val="clear" w:pos="4536"/>
        <w:tab w:val="clear" w:pos="9072"/>
        <w:tab w:val="left" w:pos="930"/>
      </w:tabs>
    </w:pPr>
    <w:r w:rsidRPr="00FC6EAE">
      <w:rPr>
        <w:rFonts w:ascii="Segoe UI" w:eastAsia="Segoe UI" w:hAnsi="Segoe UI" w:cs="Segoe UI"/>
        <w:b/>
        <w:bCs/>
        <w:noProof/>
        <w:lang w:eastAsia="fr-FR"/>
      </w:rPr>
      <w:drawing>
        <wp:anchor distT="0" distB="0" distL="114300" distR="114300" simplePos="0" relativeHeight="251659264" behindDoc="0" locked="0" layoutInCell="1" allowOverlap="1" wp14:anchorId="1F9E8DEC" wp14:editId="20B7675C">
          <wp:simplePos x="0" y="0"/>
          <wp:positionH relativeFrom="margin">
            <wp:align>left</wp:align>
          </wp:positionH>
          <wp:positionV relativeFrom="paragraph">
            <wp:posOffset>-381796</wp:posOffset>
          </wp:positionV>
          <wp:extent cx="1440180" cy="518160"/>
          <wp:effectExtent l="0" t="0" r="7620" b="0"/>
          <wp:wrapSquare wrapText="bothSides"/>
          <wp:docPr id="11" name="Image 11" descr="C:\Users\abahuau\AppData\Local\Microsoft\Windows\INetCache\Content.Outlook\S74E6M90\mefsin + dgtreso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huau\AppData\Local\Microsoft\Windows\INetCache\Content.Outlook\S74E6M90\mefsin + dgtreso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CF"/>
    <w:rsid w:val="001230CF"/>
    <w:rsid w:val="00234207"/>
    <w:rsid w:val="00580B81"/>
    <w:rsid w:val="00701CA9"/>
    <w:rsid w:val="00AB38CD"/>
    <w:rsid w:val="00D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DCE3"/>
  <w15:chartTrackingRefBased/>
  <w15:docId w15:val="{30FF4F86-E229-4438-8077-EFFD527D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3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OLIVIERI-BATTESTINI Jean-Toussaint</dc:creator>
  <cp:keywords/>
  <dc:description/>
  <cp:lastModifiedBy>OLIVIERI-BATTESTINI Jean-Toussaint</cp:lastModifiedBy>
  <cp:revision>1</cp:revision>
  <dcterms:created xsi:type="dcterms:W3CDTF">2023-11-23T14:51:00Z</dcterms:created>
  <dcterms:modified xsi:type="dcterms:W3CDTF">2023-11-23T14:51:00Z</dcterms:modified>
</cp:coreProperties>
</file>