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7BE" w:rsidRPr="009544D3" w:rsidRDefault="001557BE" w:rsidP="001557BE">
      <w:pPr>
        <w:rPr>
          <w:color w:val="004559"/>
        </w:rPr>
      </w:pPr>
    </w:p>
    <w:tbl>
      <w:tblPr>
        <w:tblpPr w:leftFromText="141" w:rightFromText="141" w:vertAnchor="text" w:tblpXSpec="right" w:tblpY="1"/>
        <w:tblOverlap w:val="never"/>
        <w:tblW w:w="10356" w:type="dxa"/>
        <w:tblLayout w:type="fixed"/>
        <w:tblCellMar>
          <w:left w:w="70" w:type="dxa"/>
          <w:right w:w="70" w:type="dxa"/>
        </w:tblCellMar>
        <w:tblLook w:val="0000" w:firstRow="0" w:lastRow="0" w:firstColumn="0" w:lastColumn="0" w:noHBand="0" w:noVBand="0"/>
      </w:tblPr>
      <w:tblGrid>
        <w:gridCol w:w="2830"/>
        <w:gridCol w:w="7526"/>
      </w:tblGrid>
      <w:tr w:rsidR="000B1DF7" w:rsidRPr="00F574C3" w:rsidTr="00EC0D4A">
        <w:trPr>
          <w:cantSplit/>
          <w:trHeight w:val="1638"/>
        </w:trPr>
        <w:tc>
          <w:tcPr>
            <w:tcW w:w="2830" w:type="dxa"/>
            <w:vMerge w:val="restart"/>
            <w:vAlign w:val="center"/>
          </w:tcPr>
          <w:p w:rsidR="000B1DF7" w:rsidRPr="00415D0E" w:rsidRDefault="001D26BB" w:rsidP="00836A1D">
            <w:pPr>
              <w:pStyle w:val="Corpsdetexte"/>
              <w:keepNext w:val="0"/>
              <w:ind w:right="0"/>
              <w:jc w:val="left"/>
              <w:rPr>
                <w:b/>
                <w:bCs/>
                <w:color w:val="2A2755"/>
              </w:rPr>
            </w:pPr>
            <w:r>
              <w:rPr>
                <w:b/>
                <w:bCs/>
                <w:noProof/>
                <w:color w:val="2A2755"/>
              </w:rPr>
              <w:drawing>
                <wp:inline distT="0" distB="0" distL="0" distR="0">
                  <wp:extent cx="1608455" cy="1641475"/>
                  <wp:effectExtent l="0" t="0" r="0" b="0"/>
                  <wp:docPr id="5" name="Image 5" descr="KL_Petr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_Petron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8455" cy="1641475"/>
                          </a:xfrm>
                          <a:prstGeom prst="rect">
                            <a:avLst/>
                          </a:prstGeom>
                          <a:noFill/>
                          <a:ln>
                            <a:noFill/>
                          </a:ln>
                        </pic:spPr>
                      </pic:pic>
                    </a:graphicData>
                  </a:graphic>
                </wp:inline>
              </w:drawing>
            </w:r>
          </w:p>
        </w:tc>
        <w:tc>
          <w:tcPr>
            <w:tcW w:w="7526" w:type="dxa"/>
            <w:vAlign w:val="center"/>
          </w:tcPr>
          <w:p w:rsidR="000B1DF7" w:rsidRPr="00C42BFF" w:rsidRDefault="007975F9" w:rsidP="008574EF">
            <w:pPr>
              <w:pStyle w:val="Titre1"/>
              <w:keepNext w:val="0"/>
              <w:ind w:left="0"/>
              <w:jc w:val="center"/>
              <w:rPr>
                <w:rFonts w:ascii="Arial" w:hAnsi="Arial"/>
                <w:color w:val="E1A800"/>
                <w:sz w:val="52"/>
                <w:szCs w:val="52"/>
                <w:lang w:val="fr-FR"/>
                <w14:shadow w14:blurRad="50800" w14:dist="38100" w14:dir="2700000" w14:sx="100000" w14:sy="100000" w14:kx="0" w14:ky="0" w14:algn="tl">
                  <w14:srgbClr w14:val="000000">
                    <w14:alpha w14:val="60000"/>
                  </w14:srgbClr>
                </w14:shadow>
              </w:rPr>
            </w:pPr>
            <w:r w:rsidRPr="00C42BFF">
              <w:rPr>
                <w:rFonts w:ascii="Arial" w:hAnsi="Arial"/>
                <w:color w:val="E1A800"/>
                <w:sz w:val="52"/>
                <w:szCs w:val="52"/>
                <w:lang w:val="fr-FR"/>
                <w14:shadow w14:blurRad="50800" w14:dist="38100" w14:dir="2700000" w14:sx="100000" w14:sy="100000" w14:kx="0" w14:ky="0" w14:algn="tl">
                  <w14:srgbClr w14:val="000000">
                    <w14:alpha w14:val="60000"/>
                  </w14:srgbClr>
                </w14:shadow>
              </w:rPr>
              <w:t>L</w:t>
            </w:r>
            <w:r w:rsidR="008574EF">
              <w:rPr>
                <w:rFonts w:ascii="Arial" w:hAnsi="Arial"/>
                <w:color w:val="E1A800"/>
                <w:sz w:val="52"/>
                <w:szCs w:val="52"/>
                <w:lang w:val="fr-FR"/>
                <w14:shadow w14:blurRad="50800" w14:dist="38100" w14:dir="2700000" w14:sx="100000" w14:sy="100000" w14:kx="0" w14:ky="0" w14:algn="tl">
                  <w14:srgbClr w14:val="000000">
                    <w14:alpha w14:val="60000"/>
                  </w14:srgbClr>
                </w14:shadow>
              </w:rPr>
              <w:t>a propriété intellectuelle en M</w:t>
            </w:r>
            <w:r w:rsidR="00CD3FBB">
              <w:rPr>
                <w:rFonts w:ascii="Arial" w:hAnsi="Arial"/>
                <w:color w:val="E1A800"/>
                <w:sz w:val="52"/>
                <w:szCs w:val="52"/>
                <w:lang w:val="fr-FR"/>
                <w14:shadow w14:blurRad="50800" w14:dist="38100" w14:dir="2700000" w14:sx="100000" w14:sy="100000" w14:kx="0" w14:ky="0" w14:algn="tl">
                  <w14:srgbClr w14:val="000000">
                    <w14:alpha w14:val="60000"/>
                  </w14:srgbClr>
                </w14:shadow>
              </w:rPr>
              <w:t>alaisie</w:t>
            </w:r>
          </w:p>
        </w:tc>
      </w:tr>
      <w:tr w:rsidR="000B1DF7" w:rsidRPr="00BA4D5D" w:rsidTr="00EC0D4A">
        <w:trPr>
          <w:cantSplit/>
          <w:trHeight w:val="285"/>
        </w:trPr>
        <w:tc>
          <w:tcPr>
            <w:tcW w:w="2830" w:type="dxa"/>
            <w:vMerge/>
            <w:vAlign w:val="bottom"/>
          </w:tcPr>
          <w:p w:rsidR="000B1DF7" w:rsidRPr="00415D0E" w:rsidRDefault="000B1DF7" w:rsidP="00836A1D">
            <w:pPr>
              <w:pStyle w:val="Corpsdetexte"/>
              <w:keepNext w:val="0"/>
              <w:ind w:right="0"/>
              <w:jc w:val="center"/>
              <w:rPr>
                <w:b/>
                <w:bCs/>
                <w:color w:val="2A2755"/>
              </w:rPr>
            </w:pPr>
          </w:p>
        </w:tc>
        <w:tc>
          <w:tcPr>
            <w:tcW w:w="7526" w:type="dxa"/>
            <w:vMerge w:val="restart"/>
            <w:vAlign w:val="center"/>
          </w:tcPr>
          <w:p w:rsidR="006F2468" w:rsidRDefault="006F2468" w:rsidP="008A20BF">
            <w:pPr>
              <w:pStyle w:val="En-tte"/>
              <w:tabs>
                <w:tab w:val="clear" w:pos="4536"/>
              </w:tabs>
              <w:jc w:val="right"/>
              <w:rPr>
                <w:rFonts w:ascii="Arial Gras" w:hAnsi="Arial Gras"/>
                <w:b/>
                <w:color w:val="2A2755"/>
                <w:sz w:val="18"/>
                <w:szCs w:val="18"/>
              </w:rPr>
            </w:pPr>
            <w:bookmarkStart w:id="0" w:name="prefixeActu"/>
            <w:bookmarkStart w:id="1" w:name="anActu"/>
            <w:bookmarkEnd w:id="0"/>
            <w:bookmarkEnd w:id="1"/>
          </w:p>
          <w:p w:rsidR="006F2468" w:rsidRDefault="006F2468" w:rsidP="008A20BF">
            <w:pPr>
              <w:pStyle w:val="En-tte"/>
              <w:tabs>
                <w:tab w:val="clear" w:pos="4536"/>
              </w:tabs>
              <w:jc w:val="right"/>
              <w:rPr>
                <w:rFonts w:ascii="Arial Gras" w:hAnsi="Arial Gras"/>
                <w:b/>
                <w:color w:val="2A2755"/>
                <w:sz w:val="18"/>
                <w:szCs w:val="18"/>
              </w:rPr>
            </w:pPr>
          </w:p>
          <w:p w:rsidR="006F2468" w:rsidRDefault="006F2468" w:rsidP="008A20BF">
            <w:pPr>
              <w:pStyle w:val="En-tte"/>
              <w:tabs>
                <w:tab w:val="clear" w:pos="4536"/>
              </w:tabs>
              <w:jc w:val="right"/>
              <w:rPr>
                <w:rFonts w:ascii="Arial Gras" w:hAnsi="Arial Gras"/>
                <w:b/>
                <w:color w:val="2A2755"/>
                <w:sz w:val="18"/>
                <w:szCs w:val="18"/>
              </w:rPr>
            </w:pPr>
          </w:p>
          <w:p w:rsidR="006F2468" w:rsidRDefault="006F2468" w:rsidP="008A20BF">
            <w:pPr>
              <w:pStyle w:val="En-tte"/>
              <w:tabs>
                <w:tab w:val="clear" w:pos="4536"/>
              </w:tabs>
              <w:jc w:val="right"/>
              <w:rPr>
                <w:rFonts w:ascii="Arial Gras" w:hAnsi="Arial Gras"/>
                <w:b/>
                <w:color w:val="2A2755"/>
                <w:sz w:val="18"/>
                <w:szCs w:val="18"/>
              </w:rPr>
            </w:pPr>
          </w:p>
          <w:p w:rsidR="000B1DF7" w:rsidRPr="00415D0E" w:rsidRDefault="00866F80" w:rsidP="00866F80">
            <w:pPr>
              <w:pStyle w:val="En-tte"/>
              <w:tabs>
                <w:tab w:val="clear" w:pos="4536"/>
              </w:tabs>
              <w:jc w:val="right"/>
              <w:rPr>
                <w:rFonts w:ascii="Arial Gras" w:hAnsi="Arial Gras"/>
                <w:b/>
                <w:color w:val="2A2755"/>
                <w:sz w:val="18"/>
                <w:szCs w:val="18"/>
              </w:rPr>
            </w:pPr>
            <w:r>
              <w:rPr>
                <w:rFonts w:ascii="Arial Gras" w:hAnsi="Arial Gras"/>
                <w:b/>
                <w:color w:val="2A2755"/>
                <w:sz w:val="18"/>
                <w:szCs w:val="18"/>
              </w:rPr>
              <w:t xml:space="preserve">Février </w:t>
            </w:r>
            <w:r w:rsidR="00282E42">
              <w:rPr>
                <w:rFonts w:ascii="Arial Gras" w:hAnsi="Arial Gras"/>
                <w:b/>
                <w:color w:val="2A2755"/>
                <w:sz w:val="18"/>
                <w:szCs w:val="18"/>
              </w:rPr>
              <w:t>201</w:t>
            </w:r>
            <w:r>
              <w:rPr>
                <w:rFonts w:ascii="Arial Gras" w:hAnsi="Arial Gras"/>
                <w:b/>
                <w:color w:val="2A2755"/>
                <w:sz w:val="18"/>
                <w:szCs w:val="18"/>
              </w:rPr>
              <w:t>8</w:t>
            </w:r>
          </w:p>
        </w:tc>
      </w:tr>
      <w:tr w:rsidR="000B1DF7" w:rsidTr="00EC0D4A">
        <w:trPr>
          <w:trHeight w:val="80"/>
        </w:trPr>
        <w:tc>
          <w:tcPr>
            <w:tcW w:w="2830" w:type="dxa"/>
            <w:vAlign w:val="center"/>
          </w:tcPr>
          <w:p w:rsidR="000B1DF7" w:rsidRPr="00415D0E" w:rsidRDefault="000B1DF7" w:rsidP="00836A1D">
            <w:pPr>
              <w:rPr>
                <w:color w:val="2A2755"/>
              </w:rPr>
            </w:pPr>
            <w:r w:rsidRPr="00415D0E">
              <w:rPr>
                <w:rFonts w:ascii="Arial" w:hAnsi="Arial" w:cs="Arial"/>
                <w:color w:val="2A2755"/>
                <w:sz w:val="16"/>
              </w:rPr>
              <w:t xml:space="preserve">© </w:t>
            </w:r>
            <w:r w:rsidR="00F525C4" w:rsidRPr="00415D0E">
              <w:rPr>
                <w:rFonts w:ascii="Arial" w:hAnsi="Arial" w:cs="Arial"/>
                <w:color w:val="2A2755"/>
                <w:sz w:val="16"/>
              </w:rPr>
              <w:t>DG Tr</w:t>
            </w:r>
            <w:r w:rsidR="003F6019" w:rsidRPr="00415D0E">
              <w:rPr>
                <w:rFonts w:ascii="Arial" w:hAnsi="Arial" w:cs="Arial"/>
                <w:color w:val="2A2755"/>
                <w:sz w:val="16"/>
              </w:rPr>
              <w:t>é</w:t>
            </w:r>
            <w:r w:rsidR="00F525C4" w:rsidRPr="00415D0E">
              <w:rPr>
                <w:rFonts w:ascii="Arial" w:hAnsi="Arial" w:cs="Arial"/>
                <w:color w:val="2A2755"/>
                <w:sz w:val="16"/>
              </w:rPr>
              <w:t>sor</w:t>
            </w:r>
          </w:p>
        </w:tc>
        <w:tc>
          <w:tcPr>
            <w:tcW w:w="7526" w:type="dxa"/>
            <w:vMerge/>
          </w:tcPr>
          <w:p w:rsidR="000B1DF7" w:rsidRDefault="000B1DF7" w:rsidP="00836A1D">
            <w:pPr>
              <w:pStyle w:val="En-tte"/>
              <w:tabs>
                <w:tab w:val="clear" w:pos="4536"/>
                <w:tab w:val="clear" w:pos="9072"/>
              </w:tabs>
              <w:jc w:val="right"/>
            </w:pPr>
          </w:p>
        </w:tc>
      </w:tr>
      <w:tr w:rsidR="000B1DF7" w:rsidRPr="00F574C3" w:rsidTr="003B2BE6">
        <w:tc>
          <w:tcPr>
            <w:tcW w:w="10356" w:type="dxa"/>
            <w:gridSpan w:val="2"/>
            <w:tcBorders>
              <w:bottom w:val="single" w:sz="4" w:space="0" w:color="auto"/>
            </w:tcBorders>
          </w:tcPr>
          <w:p w:rsidR="002F729D" w:rsidRDefault="002F729D" w:rsidP="00E6209F">
            <w:pPr>
              <w:pStyle w:val="Dtailarticles"/>
              <w:pBdr>
                <w:top w:val="single" w:sz="4" w:space="1" w:color="auto"/>
              </w:pBdr>
              <w:rPr>
                <w:bCs/>
                <w:i/>
              </w:rPr>
            </w:pPr>
          </w:p>
          <w:p w:rsidR="00F51EC0" w:rsidRDefault="00021749" w:rsidP="006F431C">
            <w:pPr>
              <w:autoSpaceDE w:val="0"/>
              <w:autoSpaceDN w:val="0"/>
              <w:adjustRightInd w:val="0"/>
              <w:jc w:val="both"/>
              <w:rPr>
                <w:rFonts w:cs="Arial"/>
                <w:sz w:val="22"/>
                <w:szCs w:val="22"/>
              </w:rPr>
            </w:pPr>
            <w:r w:rsidRPr="00EA4CC4">
              <w:rPr>
                <w:bCs/>
                <w:i/>
                <w:sz w:val="22"/>
                <w:szCs w:val="22"/>
              </w:rPr>
              <w:t xml:space="preserve">Depuis </w:t>
            </w:r>
            <w:r w:rsidR="00D0215E" w:rsidRPr="00EA4CC4">
              <w:rPr>
                <w:bCs/>
                <w:i/>
                <w:sz w:val="22"/>
                <w:szCs w:val="22"/>
              </w:rPr>
              <w:t xml:space="preserve">les années </w:t>
            </w:r>
            <w:r w:rsidRPr="00EA4CC4">
              <w:rPr>
                <w:bCs/>
                <w:i/>
                <w:sz w:val="22"/>
                <w:szCs w:val="22"/>
              </w:rPr>
              <w:t>8</w:t>
            </w:r>
            <w:r w:rsidR="00D0215E" w:rsidRPr="00EA4CC4">
              <w:rPr>
                <w:bCs/>
                <w:i/>
                <w:sz w:val="22"/>
                <w:szCs w:val="22"/>
              </w:rPr>
              <w:t>0</w:t>
            </w:r>
            <w:r w:rsidRPr="00EA4CC4">
              <w:rPr>
                <w:bCs/>
                <w:i/>
                <w:sz w:val="22"/>
                <w:szCs w:val="22"/>
              </w:rPr>
              <w:t xml:space="preserve">, la Malaisie s’est progressivement dotée d’une législation moderne sur la propriété intellectuelle, conforme aux standards </w:t>
            </w:r>
            <w:r w:rsidRPr="006F431C">
              <w:rPr>
                <w:bCs/>
                <w:i/>
                <w:sz w:val="22"/>
                <w:szCs w:val="22"/>
              </w:rPr>
              <w:t>internationaux</w:t>
            </w:r>
            <w:r w:rsidR="006F431C" w:rsidRPr="006F431C">
              <w:rPr>
                <w:i/>
                <w:color w:val="000000"/>
                <w:sz w:val="22"/>
                <w:szCs w:val="22"/>
              </w:rPr>
              <w:t xml:space="preserve"> et considérée comme</w:t>
            </w:r>
            <w:r w:rsidR="006F431C" w:rsidRPr="006F431C">
              <w:rPr>
                <w:b/>
                <w:i/>
                <w:color w:val="000000"/>
                <w:sz w:val="22"/>
                <w:szCs w:val="22"/>
              </w:rPr>
              <w:t xml:space="preserve"> </w:t>
            </w:r>
            <w:r w:rsidR="006F431C" w:rsidRPr="006F431C">
              <w:rPr>
                <w:rStyle w:val="lev"/>
                <w:b w:val="0"/>
                <w:i/>
                <w:color w:val="000000"/>
                <w:sz w:val="22"/>
                <w:szCs w:val="22"/>
              </w:rPr>
              <w:t>l’une des meilleurs parmi les Etats membres de l’ASEAN, voire même de la région Asie.</w:t>
            </w:r>
            <w:r w:rsidR="006F431C">
              <w:t xml:space="preserve"> </w:t>
            </w:r>
            <w:r w:rsidRPr="00EA4CC4">
              <w:rPr>
                <w:bCs/>
                <w:i/>
                <w:sz w:val="22"/>
                <w:szCs w:val="22"/>
              </w:rPr>
              <w:t xml:space="preserve">Cette mise à niveau du cadre légal s’est accompagnée d’une volonté plus affichée de lutter sur le terrain contre la contrefaçon. </w:t>
            </w:r>
            <w:r w:rsidR="00774C2A" w:rsidRPr="00EA4CC4">
              <w:rPr>
                <w:bCs/>
                <w:i/>
                <w:sz w:val="22"/>
                <w:szCs w:val="22"/>
              </w:rPr>
              <w:t>L’année 201</w:t>
            </w:r>
            <w:r w:rsidR="00866F80">
              <w:rPr>
                <w:bCs/>
                <w:i/>
                <w:sz w:val="22"/>
                <w:szCs w:val="22"/>
              </w:rPr>
              <w:t>8</w:t>
            </w:r>
            <w:r w:rsidR="00774C2A" w:rsidRPr="00EA4CC4">
              <w:rPr>
                <w:bCs/>
                <w:i/>
                <w:sz w:val="22"/>
                <w:szCs w:val="22"/>
              </w:rPr>
              <w:t xml:space="preserve"> devrait voir une révision du cadre légal en matière de propriété intellectuelle.</w:t>
            </w:r>
            <w:r w:rsidR="00741737" w:rsidRPr="00EA4CC4">
              <w:rPr>
                <w:bCs/>
                <w:i/>
                <w:sz w:val="22"/>
                <w:szCs w:val="22"/>
              </w:rPr>
              <w:t xml:space="preserve"> </w:t>
            </w:r>
            <w:r w:rsidR="00741737" w:rsidRPr="00EA4CC4">
              <w:rPr>
                <w:rFonts w:cs="Arial"/>
                <w:sz w:val="22"/>
                <w:szCs w:val="22"/>
              </w:rPr>
              <w:t xml:space="preserve"> </w:t>
            </w:r>
          </w:p>
          <w:p w:rsidR="00C664BB" w:rsidRPr="006F431C" w:rsidRDefault="00C664BB" w:rsidP="006F431C">
            <w:pPr>
              <w:autoSpaceDE w:val="0"/>
              <w:autoSpaceDN w:val="0"/>
              <w:adjustRightInd w:val="0"/>
              <w:jc w:val="both"/>
            </w:pPr>
          </w:p>
        </w:tc>
      </w:tr>
      <w:tr w:rsidR="000B1DF7" w:rsidRPr="009B1630" w:rsidTr="003B2BE6">
        <w:tc>
          <w:tcPr>
            <w:tcW w:w="2830" w:type="dxa"/>
            <w:tcBorders>
              <w:top w:val="single" w:sz="4" w:space="0" w:color="auto"/>
            </w:tcBorders>
            <w:shd w:val="clear" w:color="auto" w:fill="E1A800"/>
          </w:tcPr>
          <w:p w:rsidR="000B1DF7" w:rsidRPr="00415D0E" w:rsidRDefault="008574EF" w:rsidP="008574EF">
            <w:pPr>
              <w:pStyle w:val="Titre2"/>
              <w:keepNext w:val="0"/>
              <w:spacing w:line="240" w:lineRule="atLeast"/>
              <w:rPr>
                <w:color w:val="2A2755"/>
              </w:rPr>
            </w:pPr>
            <w:r>
              <w:rPr>
                <w:color w:val="2A2755"/>
              </w:rPr>
              <w:t>Le cadre juridique</w:t>
            </w:r>
          </w:p>
        </w:tc>
        <w:tc>
          <w:tcPr>
            <w:tcW w:w="7526" w:type="dxa"/>
            <w:tcBorders>
              <w:top w:val="single" w:sz="4" w:space="0" w:color="auto"/>
            </w:tcBorders>
            <w:shd w:val="clear" w:color="auto" w:fill="auto"/>
          </w:tcPr>
          <w:p w:rsidR="008A20BF" w:rsidRPr="00B5200A" w:rsidRDefault="00797F24" w:rsidP="00F51EC0">
            <w:pPr>
              <w:pStyle w:val="Titre3"/>
              <w:keepNext w:val="0"/>
              <w:spacing w:line="240" w:lineRule="atLeast"/>
              <w:ind w:left="130"/>
              <w:jc w:val="both"/>
              <w:rPr>
                <w:rFonts w:ascii="Times New Roman" w:hAnsi="Times New Roman" w:cs="Times New Roman"/>
                <w:color w:val="FF0000"/>
                <w:sz w:val="28"/>
                <w:szCs w:val="28"/>
              </w:rPr>
            </w:pPr>
            <w:r w:rsidRPr="00B5200A">
              <w:rPr>
                <w:rFonts w:ascii="Times New Roman" w:hAnsi="Times New Roman" w:cs="Times New Roman"/>
                <w:sz w:val="28"/>
                <w:szCs w:val="28"/>
              </w:rPr>
              <w:t>Un arsenal très complet</w:t>
            </w:r>
          </w:p>
        </w:tc>
      </w:tr>
      <w:tr w:rsidR="000B1DF7" w:rsidRPr="00D5161D" w:rsidTr="0056261B">
        <w:tc>
          <w:tcPr>
            <w:tcW w:w="2830" w:type="dxa"/>
          </w:tcPr>
          <w:p w:rsidR="005A3A53" w:rsidRDefault="005A3A53" w:rsidP="008574EF">
            <w:pPr>
              <w:rPr>
                <w:rFonts w:ascii="Arial" w:hAnsi="Arial" w:cs="Arial"/>
                <w:sz w:val="16"/>
              </w:rPr>
            </w:pPr>
          </w:p>
          <w:p w:rsidR="005A3A53" w:rsidRDefault="005A3A53" w:rsidP="008574EF">
            <w:pPr>
              <w:rPr>
                <w:rFonts w:ascii="Arial" w:hAnsi="Arial" w:cs="Arial"/>
                <w:sz w:val="16"/>
              </w:rPr>
            </w:pPr>
          </w:p>
          <w:p w:rsidR="00976DCC" w:rsidRDefault="005B0D89" w:rsidP="008574EF">
            <w:pPr>
              <w:rPr>
                <w:rFonts w:ascii="Arial" w:hAnsi="Arial" w:cs="Arial"/>
                <w:sz w:val="16"/>
              </w:rPr>
            </w:pPr>
            <w:r>
              <w:rPr>
                <w:noProof/>
              </w:rPr>
              <w:drawing>
                <wp:inline distT="0" distB="0" distL="0" distR="0" wp14:anchorId="0B1DCF2D" wp14:editId="7EFDD8A9">
                  <wp:extent cx="1708150" cy="608965"/>
                  <wp:effectExtent l="0" t="0" r="635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8150" cy="608965"/>
                          </a:xfrm>
                          <a:prstGeom prst="rect">
                            <a:avLst/>
                          </a:prstGeom>
                        </pic:spPr>
                      </pic:pic>
                    </a:graphicData>
                  </a:graphic>
                </wp:inline>
              </w:drawing>
            </w:r>
          </w:p>
          <w:p w:rsidR="00EB676B" w:rsidRDefault="00EB676B" w:rsidP="008574EF">
            <w:pPr>
              <w:rPr>
                <w:rFonts w:ascii="Arial" w:hAnsi="Arial" w:cs="Arial"/>
                <w:sz w:val="16"/>
              </w:rPr>
            </w:pPr>
          </w:p>
          <w:p w:rsidR="00EB676B" w:rsidRPr="00140D1F" w:rsidRDefault="0030420C" w:rsidP="008574EF">
            <w:pPr>
              <w:rPr>
                <w:rFonts w:ascii="Arial" w:hAnsi="Arial" w:cs="Arial"/>
                <w:sz w:val="16"/>
                <w:szCs w:val="16"/>
              </w:rPr>
            </w:pPr>
            <w:hyperlink r:id="rId10" w:history="1">
              <w:r w:rsidR="005A3A53" w:rsidRPr="00140D1F">
                <w:rPr>
                  <w:rStyle w:val="Lienhypertexte"/>
                  <w:rFonts w:ascii="Arial" w:hAnsi="Arial" w:cs="Arial"/>
                  <w:szCs w:val="16"/>
                </w:rPr>
                <w:t>https://www.wto.org/indexfr.htm</w:t>
              </w:r>
            </w:hyperlink>
            <w:r w:rsidR="005A3A53" w:rsidRPr="00140D1F">
              <w:rPr>
                <w:rFonts w:ascii="Arial" w:hAnsi="Arial" w:cs="Arial"/>
                <w:sz w:val="16"/>
                <w:szCs w:val="16"/>
              </w:rPr>
              <w:t xml:space="preserve"> </w:t>
            </w:r>
          </w:p>
          <w:p w:rsidR="0016308E" w:rsidRPr="00E752B2" w:rsidRDefault="0016308E" w:rsidP="008574EF">
            <w:pPr>
              <w:rPr>
                <w:sz w:val="22"/>
                <w:szCs w:val="22"/>
              </w:rPr>
            </w:pPr>
          </w:p>
          <w:p w:rsidR="00EB676B" w:rsidRPr="00140D1F" w:rsidRDefault="0030420C" w:rsidP="008574EF">
            <w:pPr>
              <w:rPr>
                <w:rFonts w:ascii="Arial" w:hAnsi="Arial" w:cs="Arial"/>
                <w:sz w:val="16"/>
                <w:szCs w:val="16"/>
              </w:rPr>
            </w:pPr>
            <w:hyperlink r:id="rId11" w:history="1">
              <w:r w:rsidR="0016308E" w:rsidRPr="00140D1F">
                <w:rPr>
                  <w:rStyle w:val="Lienhypertexte"/>
                  <w:rFonts w:ascii="Arial" w:hAnsi="Arial" w:cs="Arial"/>
                  <w:szCs w:val="16"/>
                </w:rPr>
                <w:t>https://www.wto.org/french/tratop_f/trips_f/trips_f.htm</w:t>
              </w:r>
            </w:hyperlink>
            <w:r w:rsidR="0016308E" w:rsidRPr="00140D1F">
              <w:rPr>
                <w:rFonts w:ascii="Arial" w:hAnsi="Arial" w:cs="Arial"/>
                <w:sz w:val="16"/>
                <w:szCs w:val="16"/>
              </w:rPr>
              <w:t xml:space="preserve"> </w:t>
            </w:r>
          </w:p>
          <w:p w:rsidR="00CB2874" w:rsidRDefault="00CB2874" w:rsidP="008574EF">
            <w:pPr>
              <w:rPr>
                <w:rFonts w:ascii="Arial" w:hAnsi="Arial" w:cs="Arial"/>
                <w:sz w:val="16"/>
              </w:rPr>
            </w:pPr>
          </w:p>
          <w:p w:rsidR="00E155C5" w:rsidRDefault="00E155C5" w:rsidP="008574EF">
            <w:pPr>
              <w:rPr>
                <w:rFonts w:ascii="Arial" w:hAnsi="Arial" w:cs="Arial"/>
                <w:sz w:val="16"/>
              </w:rPr>
            </w:pPr>
          </w:p>
          <w:p w:rsidR="00CB2874" w:rsidRDefault="00CB2874" w:rsidP="008574EF">
            <w:pPr>
              <w:rPr>
                <w:rFonts w:ascii="Arial" w:hAnsi="Arial" w:cs="Arial"/>
                <w:sz w:val="16"/>
              </w:rPr>
            </w:pPr>
            <w:r>
              <w:rPr>
                <w:noProof/>
              </w:rPr>
              <w:drawing>
                <wp:inline distT="0" distB="0" distL="0" distR="0" wp14:anchorId="016561FD" wp14:editId="5F699CA6">
                  <wp:extent cx="1695450" cy="10477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95450" cy="1047750"/>
                          </a:xfrm>
                          <a:prstGeom prst="rect">
                            <a:avLst/>
                          </a:prstGeom>
                        </pic:spPr>
                      </pic:pic>
                    </a:graphicData>
                  </a:graphic>
                </wp:inline>
              </w:drawing>
            </w:r>
          </w:p>
          <w:p w:rsidR="00EB676B" w:rsidRDefault="00EB676B" w:rsidP="008574EF">
            <w:pPr>
              <w:rPr>
                <w:rFonts w:ascii="Arial" w:hAnsi="Arial" w:cs="Arial"/>
                <w:sz w:val="16"/>
              </w:rPr>
            </w:pPr>
          </w:p>
          <w:p w:rsidR="00EB676B" w:rsidRPr="00140D1F" w:rsidRDefault="0030420C" w:rsidP="008574EF">
            <w:pPr>
              <w:rPr>
                <w:rFonts w:ascii="Arial" w:hAnsi="Arial" w:cs="Arial"/>
                <w:sz w:val="16"/>
                <w:szCs w:val="16"/>
              </w:rPr>
            </w:pPr>
            <w:hyperlink r:id="rId13" w:history="1">
              <w:r w:rsidR="005A3A53" w:rsidRPr="00140D1F">
                <w:rPr>
                  <w:rStyle w:val="Lienhypertexte"/>
                  <w:rFonts w:ascii="Arial" w:hAnsi="Arial" w:cs="Arial"/>
                  <w:szCs w:val="16"/>
                </w:rPr>
                <w:t>http://www.wipo.int/portal/fr/index.html</w:t>
              </w:r>
            </w:hyperlink>
            <w:r w:rsidR="005A3A53" w:rsidRPr="00140D1F">
              <w:rPr>
                <w:rFonts w:ascii="Arial" w:hAnsi="Arial" w:cs="Arial"/>
                <w:sz w:val="16"/>
                <w:szCs w:val="16"/>
              </w:rPr>
              <w:t xml:space="preserve"> </w:t>
            </w:r>
          </w:p>
          <w:p w:rsidR="00EB676B" w:rsidRPr="0054222A" w:rsidRDefault="00D37572" w:rsidP="008574EF">
            <w:pPr>
              <w:rPr>
                <w:b/>
                <w:i/>
                <w:sz w:val="20"/>
                <w:szCs w:val="20"/>
              </w:rPr>
            </w:pPr>
            <w:r w:rsidRPr="0054222A">
              <w:rPr>
                <w:b/>
                <w:i/>
                <w:sz w:val="20"/>
                <w:szCs w:val="20"/>
              </w:rPr>
              <w:t xml:space="preserve">Pour en savoir plus sur le Système de Madrid : </w:t>
            </w:r>
          </w:p>
          <w:p w:rsidR="00EB676B" w:rsidRPr="00140D1F" w:rsidRDefault="0030420C" w:rsidP="008574EF">
            <w:pPr>
              <w:rPr>
                <w:rFonts w:ascii="Arial" w:hAnsi="Arial" w:cs="Arial"/>
                <w:i/>
                <w:sz w:val="16"/>
                <w:szCs w:val="16"/>
              </w:rPr>
            </w:pPr>
            <w:hyperlink r:id="rId14" w:history="1">
              <w:r w:rsidR="00D37572" w:rsidRPr="00140D1F">
                <w:rPr>
                  <w:rStyle w:val="Lienhypertexte"/>
                  <w:rFonts w:ascii="Arial" w:hAnsi="Arial" w:cs="Arial"/>
                  <w:i/>
                  <w:szCs w:val="16"/>
                </w:rPr>
                <w:t>http://www.wipo.int/madrid/fr/</w:t>
              </w:r>
            </w:hyperlink>
            <w:r w:rsidR="00D37572" w:rsidRPr="00140D1F">
              <w:rPr>
                <w:rFonts w:ascii="Arial" w:hAnsi="Arial" w:cs="Arial"/>
                <w:i/>
                <w:sz w:val="16"/>
                <w:szCs w:val="16"/>
              </w:rPr>
              <w:t xml:space="preserve"> </w:t>
            </w:r>
          </w:p>
          <w:p w:rsidR="00EB676B" w:rsidRPr="00140D1F" w:rsidRDefault="00EB676B" w:rsidP="008574EF">
            <w:pPr>
              <w:rPr>
                <w:rFonts w:ascii="Arial" w:hAnsi="Arial" w:cs="Arial"/>
                <w:sz w:val="16"/>
                <w:szCs w:val="16"/>
              </w:rPr>
            </w:pPr>
          </w:p>
          <w:p w:rsidR="00140D1F" w:rsidRDefault="00140D1F" w:rsidP="008574EF">
            <w:pPr>
              <w:rPr>
                <w:b/>
                <w:sz w:val="20"/>
                <w:szCs w:val="20"/>
              </w:rPr>
            </w:pPr>
          </w:p>
          <w:p w:rsidR="009E7932" w:rsidRDefault="009E7932" w:rsidP="008574EF">
            <w:pPr>
              <w:rPr>
                <w:b/>
                <w:sz w:val="20"/>
                <w:szCs w:val="20"/>
              </w:rPr>
            </w:pPr>
          </w:p>
          <w:p w:rsidR="00EB676B" w:rsidRPr="0054222A" w:rsidRDefault="00EB676B" w:rsidP="008574EF">
            <w:pPr>
              <w:rPr>
                <w:b/>
                <w:sz w:val="20"/>
                <w:szCs w:val="20"/>
              </w:rPr>
            </w:pPr>
            <w:r w:rsidRPr="0054222A">
              <w:rPr>
                <w:b/>
                <w:sz w:val="20"/>
                <w:szCs w:val="20"/>
              </w:rPr>
              <w:t>Révision du cadre légal attendu en 2017</w:t>
            </w:r>
          </w:p>
          <w:p w:rsidR="00EB676B" w:rsidRDefault="00951938" w:rsidP="008574EF">
            <w:pPr>
              <w:rPr>
                <w:rFonts w:ascii="Arial" w:hAnsi="Arial" w:cs="Arial"/>
                <w:sz w:val="16"/>
              </w:rPr>
            </w:pPr>
            <w:r>
              <w:rPr>
                <w:noProof/>
              </w:rPr>
              <w:lastRenderedPageBreak/>
              <w:drawing>
                <wp:inline distT="0" distB="0" distL="0" distR="0" wp14:anchorId="682DF348" wp14:editId="45DB06F2">
                  <wp:extent cx="1524000"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24000" cy="666750"/>
                          </a:xfrm>
                          <a:prstGeom prst="rect">
                            <a:avLst/>
                          </a:prstGeom>
                        </pic:spPr>
                      </pic:pic>
                    </a:graphicData>
                  </a:graphic>
                </wp:inline>
              </w:drawing>
            </w:r>
          </w:p>
          <w:p w:rsidR="00951938" w:rsidRPr="00140D1F" w:rsidRDefault="0030420C" w:rsidP="00951938">
            <w:pPr>
              <w:rPr>
                <w:rFonts w:ascii="Arial" w:hAnsi="Arial" w:cs="Arial"/>
                <w:color w:val="000000"/>
                <w:sz w:val="16"/>
                <w:szCs w:val="16"/>
              </w:rPr>
            </w:pPr>
            <w:hyperlink r:id="rId16" w:history="1">
              <w:r w:rsidR="00951938" w:rsidRPr="00140D1F">
                <w:rPr>
                  <w:rStyle w:val="Lienhypertexte"/>
                  <w:rFonts w:ascii="Arial" w:hAnsi="Arial" w:cs="Arial"/>
                  <w:szCs w:val="16"/>
                </w:rPr>
                <w:t>http://www.myipo.gov.my/en/myipo/</w:t>
              </w:r>
            </w:hyperlink>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7C5A46" w:rsidRDefault="007C5A46" w:rsidP="008574EF">
            <w:pPr>
              <w:rPr>
                <w:rFonts w:ascii="Arial" w:hAnsi="Arial" w:cs="Arial"/>
                <w:sz w:val="16"/>
              </w:rPr>
            </w:pPr>
          </w:p>
          <w:p w:rsidR="008261ED" w:rsidRDefault="003358F0" w:rsidP="008574EF">
            <w:pPr>
              <w:rPr>
                <w:b/>
                <w:i/>
                <w:color w:val="000000"/>
                <w:sz w:val="20"/>
                <w:szCs w:val="20"/>
              </w:rPr>
            </w:pPr>
            <w:r>
              <w:rPr>
                <w:b/>
                <w:i/>
                <w:color w:val="000000"/>
                <w:sz w:val="20"/>
                <w:szCs w:val="20"/>
              </w:rPr>
              <w:t>En 2016</w:t>
            </w:r>
          </w:p>
          <w:p w:rsidR="007C5A46" w:rsidRPr="0054222A" w:rsidRDefault="007C5A46" w:rsidP="008574EF">
            <w:pPr>
              <w:rPr>
                <w:b/>
                <w:i/>
                <w:color w:val="000000"/>
                <w:sz w:val="20"/>
                <w:szCs w:val="20"/>
              </w:rPr>
            </w:pPr>
            <w:r w:rsidRPr="0054222A">
              <w:rPr>
                <w:b/>
                <w:i/>
                <w:color w:val="000000"/>
                <w:sz w:val="20"/>
                <w:szCs w:val="20"/>
              </w:rPr>
              <w:t xml:space="preserve">Protection des brevets : </w:t>
            </w:r>
            <w:r w:rsidR="003358F0">
              <w:rPr>
                <w:b/>
                <w:i/>
                <w:color w:val="000000"/>
                <w:sz w:val="20"/>
                <w:szCs w:val="20"/>
              </w:rPr>
              <w:t>7236 demandes directes ou entrées dans la phase nationale du PCT</w:t>
            </w:r>
          </w:p>
          <w:p w:rsidR="007C5A46" w:rsidRPr="0054222A" w:rsidRDefault="007C5A46" w:rsidP="008574EF">
            <w:pPr>
              <w:rPr>
                <w:b/>
                <w:i/>
                <w:color w:val="000000"/>
                <w:sz w:val="20"/>
                <w:szCs w:val="20"/>
              </w:rPr>
            </w:pPr>
          </w:p>
          <w:p w:rsidR="007C5A46" w:rsidRDefault="007C5A46" w:rsidP="008574EF">
            <w:pPr>
              <w:rPr>
                <w:b/>
                <w:color w:val="000000"/>
                <w:sz w:val="20"/>
                <w:szCs w:val="20"/>
              </w:rPr>
            </w:pPr>
          </w:p>
          <w:p w:rsidR="008261ED" w:rsidRPr="0054222A" w:rsidRDefault="008261ED" w:rsidP="008574EF">
            <w:pPr>
              <w:rPr>
                <w:b/>
                <w:color w:val="000000"/>
                <w:sz w:val="20"/>
                <w:szCs w:val="20"/>
              </w:rPr>
            </w:pPr>
          </w:p>
          <w:p w:rsidR="007C5A46" w:rsidRPr="0054222A" w:rsidRDefault="007C5A46" w:rsidP="008574EF">
            <w:pPr>
              <w:rPr>
                <w:b/>
                <w:i/>
                <w:color w:val="000000"/>
                <w:sz w:val="20"/>
                <w:szCs w:val="20"/>
              </w:rPr>
            </w:pPr>
            <w:r w:rsidRPr="0054222A">
              <w:rPr>
                <w:b/>
                <w:i/>
                <w:color w:val="000000"/>
                <w:sz w:val="20"/>
                <w:szCs w:val="20"/>
              </w:rPr>
              <w:t xml:space="preserve">Protection des dessins et modèles industriels : </w:t>
            </w:r>
            <w:r w:rsidR="003358F0">
              <w:rPr>
                <w:b/>
                <w:i/>
                <w:color w:val="000000"/>
                <w:sz w:val="20"/>
                <w:szCs w:val="20"/>
              </w:rPr>
              <w:t>1427 dépôts directs ou par le biais du Système de la Haye</w:t>
            </w:r>
          </w:p>
          <w:p w:rsidR="007C5A46" w:rsidRPr="0054222A" w:rsidRDefault="007C5A46" w:rsidP="008574EF">
            <w:pPr>
              <w:rPr>
                <w:b/>
                <w:color w:val="000000"/>
                <w:sz w:val="20"/>
                <w:szCs w:val="20"/>
              </w:rPr>
            </w:pPr>
          </w:p>
          <w:p w:rsidR="007C5A46" w:rsidRDefault="007C5A46" w:rsidP="008574EF">
            <w:pPr>
              <w:rPr>
                <w:rFonts w:ascii="Arial" w:hAnsi="Arial" w:cs="Arial"/>
                <w:b/>
                <w:sz w:val="20"/>
                <w:szCs w:val="20"/>
              </w:rPr>
            </w:pPr>
          </w:p>
          <w:p w:rsidR="008261ED" w:rsidRDefault="008261ED" w:rsidP="008574EF">
            <w:pPr>
              <w:rPr>
                <w:rFonts w:ascii="Arial" w:hAnsi="Arial" w:cs="Arial"/>
                <w:b/>
                <w:sz w:val="20"/>
                <w:szCs w:val="20"/>
              </w:rPr>
            </w:pPr>
          </w:p>
          <w:p w:rsidR="00DA7ADB" w:rsidRPr="0054222A" w:rsidRDefault="00DA7ADB" w:rsidP="00DA7ADB">
            <w:pPr>
              <w:autoSpaceDE w:val="0"/>
              <w:autoSpaceDN w:val="0"/>
              <w:adjustRightInd w:val="0"/>
              <w:jc w:val="both"/>
              <w:rPr>
                <w:b/>
                <w:color w:val="000000"/>
                <w:sz w:val="20"/>
                <w:szCs w:val="20"/>
              </w:rPr>
            </w:pPr>
            <w:r w:rsidRPr="0054222A">
              <w:rPr>
                <w:b/>
                <w:i/>
                <w:color w:val="000000"/>
                <w:sz w:val="20"/>
                <w:szCs w:val="20"/>
              </w:rPr>
              <w:t>Protection des marques </w:t>
            </w:r>
            <w:proofErr w:type="gramStart"/>
            <w:r w:rsidRPr="0054222A">
              <w:rPr>
                <w:b/>
                <w:i/>
                <w:color w:val="000000"/>
                <w:sz w:val="20"/>
                <w:szCs w:val="20"/>
              </w:rPr>
              <w:t xml:space="preserve">: </w:t>
            </w:r>
            <w:r w:rsidR="003358F0">
              <w:rPr>
                <w:b/>
                <w:i/>
                <w:color w:val="000000"/>
                <w:sz w:val="20"/>
                <w:szCs w:val="20"/>
              </w:rPr>
              <w:t xml:space="preserve"> 39107</w:t>
            </w:r>
            <w:proofErr w:type="gramEnd"/>
            <w:r w:rsidR="003358F0">
              <w:rPr>
                <w:b/>
                <w:i/>
                <w:color w:val="000000"/>
                <w:sz w:val="20"/>
                <w:szCs w:val="20"/>
              </w:rPr>
              <w:t xml:space="preserve"> dép</w:t>
            </w:r>
            <w:r w:rsidR="00544FDC">
              <w:rPr>
                <w:b/>
                <w:i/>
                <w:color w:val="000000"/>
                <w:sz w:val="20"/>
                <w:szCs w:val="20"/>
              </w:rPr>
              <w:t xml:space="preserve">ôts </w:t>
            </w:r>
            <w:r w:rsidR="00241DCE">
              <w:rPr>
                <w:b/>
                <w:i/>
                <w:color w:val="000000"/>
                <w:sz w:val="20"/>
                <w:szCs w:val="20"/>
              </w:rPr>
              <w:t xml:space="preserve">directs </w:t>
            </w:r>
            <w:r w:rsidR="00544FDC">
              <w:rPr>
                <w:b/>
                <w:i/>
                <w:color w:val="000000"/>
                <w:sz w:val="20"/>
                <w:szCs w:val="20"/>
              </w:rPr>
              <w:t>de marques</w:t>
            </w:r>
          </w:p>
          <w:p w:rsidR="00EF4873" w:rsidRPr="0054222A" w:rsidRDefault="00EF4873" w:rsidP="008574EF">
            <w:pPr>
              <w:rPr>
                <w:sz w:val="20"/>
                <w:szCs w:val="20"/>
              </w:rPr>
            </w:pPr>
          </w:p>
          <w:p w:rsidR="00951938" w:rsidRPr="003051C6" w:rsidRDefault="003358F0" w:rsidP="008574EF">
            <w:pPr>
              <w:rPr>
                <w:i/>
                <w:sz w:val="20"/>
                <w:szCs w:val="20"/>
              </w:rPr>
            </w:pPr>
            <w:r w:rsidRPr="003051C6">
              <w:rPr>
                <w:i/>
                <w:sz w:val="20"/>
                <w:szCs w:val="20"/>
              </w:rPr>
              <w:t>(source OMPI)</w:t>
            </w:r>
          </w:p>
          <w:p w:rsidR="00951938" w:rsidRDefault="00951938" w:rsidP="008574EF"/>
          <w:p w:rsidR="00516592" w:rsidRDefault="00516592" w:rsidP="008574EF"/>
          <w:p w:rsidR="00516592" w:rsidRDefault="00516592" w:rsidP="008574EF"/>
          <w:p w:rsidR="00516592" w:rsidRDefault="00516592" w:rsidP="008574EF"/>
          <w:p w:rsidR="009C1673" w:rsidRDefault="009C1673" w:rsidP="008574EF">
            <w:pPr>
              <w:rPr>
                <w:b/>
                <w:sz w:val="20"/>
                <w:szCs w:val="20"/>
              </w:rPr>
            </w:pPr>
          </w:p>
          <w:p w:rsidR="00EF4873" w:rsidRPr="00EC17E1" w:rsidRDefault="00EF4873" w:rsidP="008574EF">
            <w:pPr>
              <w:rPr>
                <w:b/>
                <w:i/>
                <w:sz w:val="20"/>
                <w:szCs w:val="20"/>
              </w:rPr>
            </w:pPr>
            <w:r w:rsidRPr="00EC17E1">
              <w:rPr>
                <w:b/>
                <w:sz w:val="20"/>
                <w:szCs w:val="20"/>
              </w:rPr>
              <w:t>73 IG  enregistrées en 2017, dont 7 IG étrangères</w:t>
            </w:r>
          </w:p>
          <w:p w:rsidR="00EF4873" w:rsidRDefault="00EF4873" w:rsidP="008574EF">
            <w:pPr>
              <w:rPr>
                <w:i/>
              </w:rPr>
            </w:pPr>
          </w:p>
          <w:p w:rsidR="00EF4873" w:rsidRPr="0054222A" w:rsidRDefault="00EF4873" w:rsidP="008574EF">
            <w:pPr>
              <w:rPr>
                <w:b/>
                <w:i/>
                <w:color w:val="000000"/>
                <w:sz w:val="20"/>
                <w:szCs w:val="20"/>
              </w:rPr>
            </w:pPr>
            <w:r w:rsidRPr="0054222A">
              <w:rPr>
                <w:b/>
                <w:i/>
                <w:sz w:val="20"/>
                <w:szCs w:val="20"/>
              </w:rPr>
              <w:t>Champagne et Cognac font partie des IG étrangères enregistrées en Malaisie</w:t>
            </w:r>
          </w:p>
          <w:p w:rsidR="00EF4873" w:rsidRDefault="00EF4873" w:rsidP="008574EF">
            <w:pPr>
              <w:rPr>
                <w:rFonts w:ascii="Arial" w:hAnsi="Arial" w:cs="Arial"/>
                <w:b/>
                <w:i/>
                <w:sz w:val="22"/>
                <w:szCs w:val="22"/>
              </w:rPr>
            </w:pPr>
          </w:p>
          <w:p w:rsidR="00416A4D" w:rsidRDefault="00416A4D" w:rsidP="008574EF">
            <w:pPr>
              <w:rPr>
                <w:rFonts w:ascii="Arial" w:hAnsi="Arial" w:cs="Arial"/>
                <w:b/>
                <w:i/>
                <w:sz w:val="22"/>
                <w:szCs w:val="22"/>
              </w:rPr>
            </w:pPr>
          </w:p>
          <w:p w:rsidR="00416A4D" w:rsidRDefault="00416A4D" w:rsidP="008574EF">
            <w:pPr>
              <w:rPr>
                <w:rFonts w:ascii="Arial" w:hAnsi="Arial" w:cs="Arial"/>
                <w:b/>
                <w:i/>
                <w:sz w:val="22"/>
                <w:szCs w:val="22"/>
              </w:rPr>
            </w:pPr>
          </w:p>
          <w:p w:rsidR="00416A4D" w:rsidRDefault="00416A4D" w:rsidP="00416A4D">
            <w:pPr>
              <w:rPr>
                <w:rFonts w:ascii="Arial" w:hAnsi="Arial" w:cs="Arial"/>
                <w:sz w:val="22"/>
                <w:szCs w:val="22"/>
              </w:rPr>
            </w:pPr>
          </w:p>
          <w:p w:rsidR="00416A4D" w:rsidRPr="00416A4D" w:rsidRDefault="00416A4D" w:rsidP="00416A4D">
            <w:pPr>
              <w:jc w:val="center"/>
              <w:rPr>
                <w:rFonts w:ascii="Arial" w:hAnsi="Arial" w:cs="Arial"/>
                <w:sz w:val="22"/>
                <w:szCs w:val="22"/>
              </w:rPr>
            </w:pPr>
          </w:p>
        </w:tc>
        <w:tc>
          <w:tcPr>
            <w:tcW w:w="7526" w:type="dxa"/>
          </w:tcPr>
          <w:p w:rsidR="003051C6" w:rsidRDefault="003051C6" w:rsidP="00D117C1">
            <w:pPr>
              <w:autoSpaceDE w:val="0"/>
              <w:autoSpaceDN w:val="0"/>
              <w:adjustRightInd w:val="0"/>
              <w:jc w:val="both"/>
              <w:rPr>
                <w:b/>
                <w:color w:val="000000"/>
                <w:sz w:val="22"/>
                <w:szCs w:val="22"/>
              </w:rPr>
            </w:pPr>
          </w:p>
          <w:p w:rsidR="003051C6" w:rsidRDefault="00B5200A" w:rsidP="00D117C1">
            <w:pPr>
              <w:autoSpaceDE w:val="0"/>
              <w:autoSpaceDN w:val="0"/>
              <w:adjustRightInd w:val="0"/>
              <w:jc w:val="both"/>
              <w:rPr>
                <w:sz w:val="22"/>
                <w:szCs w:val="22"/>
              </w:rPr>
            </w:pPr>
            <w:r w:rsidRPr="00EA4CC4">
              <w:rPr>
                <w:b/>
                <w:color w:val="000000"/>
                <w:sz w:val="22"/>
                <w:szCs w:val="22"/>
              </w:rPr>
              <w:t>Le droit de la propriété intellectuelle</w:t>
            </w:r>
            <w:r w:rsidRPr="00EA4CC4">
              <w:rPr>
                <w:color w:val="000000"/>
                <w:sz w:val="22"/>
                <w:szCs w:val="22"/>
              </w:rPr>
              <w:t xml:space="preserve"> (PI) en Malaisie est fondé sur le système britannique du droit coutumier (« </w:t>
            </w:r>
            <w:proofErr w:type="spellStart"/>
            <w:r w:rsidRPr="00EA4CC4">
              <w:rPr>
                <w:color w:val="000000"/>
                <w:sz w:val="22"/>
                <w:szCs w:val="22"/>
              </w:rPr>
              <w:t>common</w:t>
            </w:r>
            <w:proofErr w:type="spellEnd"/>
            <w:r w:rsidRPr="00EA4CC4">
              <w:rPr>
                <w:color w:val="000000"/>
                <w:sz w:val="22"/>
                <w:szCs w:val="22"/>
              </w:rPr>
              <w:t xml:space="preserve"> </w:t>
            </w:r>
            <w:proofErr w:type="spellStart"/>
            <w:r w:rsidRPr="00EA4CC4">
              <w:rPr>
                <w:color w:val="000000"/>
                <w:sz w:val="22"/>
                <w:szCs w:val="22"/>
              </w:rPr>
              <w:t>law</w:t>
            </w:r>
            <w:proofErr w:type="spellEnd"/>
            <w:r w:rsidRPr="00EA4CC4">
              <w:rPr>
                <w:color w:val="000000"/>
                <w:sz w:val="22"/>
                <w:szCs w:val="22"/>
              </w:rPr>
              <w:t xml:space="preserve"> »)</w:t>
            </w:r>
            <w:r w:rsidR="00CD17C0" w:rsidRPr="00EA4CC4">
              <w:rPr>
                <w:color w:val="000000"/>
                <w:sz w:val="22"/>
                <w:szCs w:val="22"/>
              </w:rPr>
              <w:t xml:space="preserve"> et, h</w:t>
            </w:r>
            <w:r w:rsidRPr="00EA4CC4">
              <w:rPr>
                <w:color w:val="000000"/>
                <w:sz w:val="22"/>
                <w:szCs w:val="22"/>
              </w:rPr>
              <w:t xml:space="preserve">istoriquement, évolue en fonction des développements de ce droit. </w:t>
            </w:r>
            <w:r w:rsidR="00CD17C0" w:rsidRPr="00EA4CC4">
              <w:rPr>
                <w:color w:val="000000"/>
                <w:sz w:val="22"/>
                <w:szCs w:val="22"/>
              </w:rPr>
              <w:t>E</w:t>
            </w:r>
            <w:r w:rsidRPr="00EA4CC4">
              <w:rPr>
                <w:color w:val="000000"/>
                <w:sz w:val="22"/>
                <w:szCs w:val="22"/>
              </w:rPr>
              <w:t xml:space="preserve">n règle générale, </w:t>
            </w:r>
            <w:r w:rsidR="00CD17C0" w:rsidRPr="00EA4CC4">
              <w:rPr>
                <w:color w:val="000000"/>
                <w:sz w:val="22"/>
                <w:szCs w:val="22"/>
              </w:rPr>
              <w:t xml:space="preserve">il est </w:t>
            </w:r>
            <w:r w:rsidRPr="00EA4CC4">
              <w:rPr>
                <w:b/>
                <w:color w:val="000000"/>
                <w:sz w:val="22"/>
                <w:szCs w:val="22"/>
              </w:rPr>
              <w:t>conforme aux standards internationaux</w:t>
            </w:r>
            <w:r w:rsidR="006F431C">
              <w:rPr>
                <w:b/>
                <w:color w:val="000000"/>
                <w:sz w:val="22"/>
                <w:szCs w:val="22"/>
              </w:rPr>
              <w:t xml:space="preserve">, </w:t>
            </w:r>
            <w:r w:rsidR="006F431C" w:rsidRPr="006F431C">
              <w:rPr>
                <w:color w:val="000000"/>
                <w:sz w:val="22"/>
                <w:szCs w:val="22"/>
              </w:rPr>
              <w:t>p</w:t>
            </w:r>
            <w:r w:rsidRPr="006F431C">
              <w:rPr>
                <w:color w:val="000000"/>
                <w:sz w:val="22"/>
                <w:szCs w:val="22"/>
              </w:rPr>
              <w:t>ar</w:t>
            </w:r>
            <w:r w:rsidRPr="00EA4CC4">
              <w:rPr>
                <w:color w:val="000000"/>
                <w:sz w:val="22"/>
                <w:szCs w:val="22"/>
              </w:rPr>
              <w:t>ticulièrement au regard des amendements apportés en raison des obligations de la Malaisie, e</w:t>
            </w:r>
            <w:r w:rsidRPr="00EA4CC4">
              <w:rPr>
                <w:sz w:val="22"/>
                <w:szCs w:val="22"/>
              </w:rPr>
              <w:t xml:space="preserve">n tant que membre de l’OMC (depuis 1995). A ce titre, il se doit de respecter les Accords </w:t>
            </w:r>
            <w:r w:rsidRPr="00EA4CC4">
              <w:rPr>
                <w:b/>
                <w:i/>
                <w:sz w:val="22"/>
                <w:szCs w:val="22"/>
              </w:rPr>
              <w:t>ADPIC</w:t>
            </w:r>
            <w:r w:rsidRPr="00EA4CC4">
              <w:rPr>
                <w:sz w:val="22"/>
                <w:szCs w:val="22"/>
              </w:rPr>
              <w:t xml:space="preserve"> (</w:t>
            </w:r>
            <w:r w:rsidRPr="00EA4CC4">
              <w:rPr>
                <w:b/>
                <w:i/>
                <w:sz w:val="22"/>
                <w:szCs w:val="22"/>
              </w:rPr>
              <w:t>TRIPS</w:t>
            </w:r>
            <w:r w:rsidRPr="00EA4CC4">
              <w:rPr>
                <w:sz w:val="22"/>
                <w:szCs w:val="22"/>
              </w:rPr>
              <w:t xml:space="preserve"> en anglais, </w:t>
            </w:r>
            <w:r w:rsidRPr="00EA4CC4">
              <w:rPr>
                <w:i/>
                <w:sz w:val="22"/>
                <w:szCs w:val="22"/>
              </w:rPr>
              <w:t xml:space="preserve">Agreement on Trade </w:t>
            </w:r>
            <w:proofErr w:type="spellStart"/>
            <w:r w:rsidRPr="00EA4CC4">
              <w:rPr>
                <w:i/>
                <w:sz w:val="22"/>
                <w:szCs w:val="22"/>
              </w:rPr>
              <w:t>Related</w:t>
            </w:r>
            <w:proofErr w:type="spellEnd"/>
            <w:r w:rsidRPr="00EA4CC4">
              <w:rPr>
                <w:i/>
                <w:sz w:val="22"/>
                <w:szCs w:val="22"/>
              </w:rPr>
              <w:t xml:space="preserve"> Aspects of </w:t>
            </w:r>
            <w:proofErr w:type="spellStart"/>
            <w:r w:rsidRPr="00EA4CC4">
              <w:rPr>
                <w:i/>
                <w:sz w:val="22"/>
                <w:szCs w:val="22"/>
              </w:rPr>
              <w:t>Intellectual</w:t>
            </w:r>
            <w:proofErr w:type="spellEnd"/>
            <w:r w:rsidRPr="00EA4CC4">
              <w:rPr>
                <w:i/>
                <w:sz w:val="22"/>
                <w:szCs w:val="22"/>
              </w:rPr>
              <w:t xml:space="preserve"> </w:t>
            </w:r>
            <w:proofErr w:type="spellStart"/>
            <w:r w:rsidRPr="00EA4CC4">
              <w:rPr>
                <w:i/>
                <w:sz w:val="22"/>
                <w:szCs w:val="22"/>
              </w:rPr>
              <w:t>Property</w:t>
            </w:r>
            <w:proofErr w:type="spellEnd"/>
            <w:r w:rsidRPr="00EA4CC4">
              <w:rPr>
                <w:i/>
                <w:sz w:val="22"/>
                <w:szCs w:val="22"/>
              </w:rPr>
              <w:t xml:space="preserve"> </w:t>
            </w:r>
            <w:proofErr w:type="spellStart"/>
            <w:r w:rsidRPr="00EA4CC4">
              <w:rPr>
                <w:i/>
                <w:sz w:val="22"/>
                <w:szCs w:val="22"/>
              </w:rPr>
              <w:t>Rights</w:t>
            </w:r>
            <w:proofErr w:type="spellEnd"/>
            <w:r w:rsidRPr="00EA4CC4">
              <w:rPr>
                <w:sz w:val="22"/>
                <w:szCs w:val="22"/>
              </w:rPr>
              <w:t xml:space="preserve">) définissant des standards en matière de protection et de défense des droits de PI. </w:t>
            </w:r>
          </w:p>
          <w:p w:rsidR="003051C6" w:rsidRDefault="003051C6" w:rsidP="00D117C1">
            <w:pPr>
              <w:autoSpaceDE w:val="0"/>
              <w:autoSpaceDN w:val="0"/>
              <w:adjustRightInd w:val="0"/>
              <w:jc w:val="both"/>
              <w:rPr>
                <w:sz w:val="22"/>
                <w:szCs w:val="22"/>
              </w:rPr>
            </w:pPr>
          </w:p>
          <w:p w:rsidR="006F431C" w:rsidRDefault="00B5200A" w:rsidP="00D117C1">
            <w:pPr>
              <w:autoSpaceDE w:val="0"/>
              <w:autoSpaceDN w:val="0"/>
              <w:adjustRightInd w:val="0"/>
              <w:jc w:val="both"/>
              <w:rPr>
                <w:sz w:val="22"/>
                <w:szCs w:val="22"/>
              </w:rPr>
            </w:pPr>
            <w:r w:rsidRPr="00EA4CC4">
              <w:rPr>
                <w:sz w:val="22"/>
                <w:szCs w:val="22"/>
              </w:rPr>
              <w:t xml:space="preserve">Le pays est membre de l’OMPI (WIPO, </w:t>
            </w:r>
            <w:r w:rsidRPr="00EA4CC4">
              <w:rPr>
                <w:b/>
                <w:i/>
                <w:sz w:val="22"/>
                <w:szCs w:val="22"/>
              </w:rPr>
              <w:t>Organisation Mondiale de la Propriété Intellectuelle</w:t>
            </w:r>
            <w:r w:rsidRPr="00EA4CC4">
              <w:rPr>
                <w:sz w:val="22"/>
                <w:szCs w:val="22"/>
              </w:rPr>
              <w:t>) depuis 1989 et est signataire de</w:t>
            </w:r>
            <w:r w:rsidR="006F431C">
              <w:rPr>
                <w:sz w:val="22"/>
                <w:szCs w:val="22"/>
              </w:rPr>
              <w:t xml:space="preserve"> la </w:t>
            </w:r>
            <w:r w:rsidRPr="00EA4CC4">
              <w:rPr>
                <w:b/>
                <w:i/>
                <w:sz w:val="22"/>
                <w:szCs w:val="22"/>
              </w:rPr>
              <w:t xml:space="preserve">Convention d’Union de Paris </w:t>
            </w:r>
            <w:r w:rsidR="006F431C">
              <w:rPr>
                <w:b/>
                <w:i/>
                <w:sz w:val="22"/>
                <w:szCs w:val="22"/>
              </w:rPr>
              <w:t>(</w:t>
            </w:r>
            <w:r w:rsidRPr="00EA4CC4">
              <w:rPr>
                <w:sz w:val="22"/>
                <w:szCs w:val="22"/>
              </w:rPr>
              <w:t>protection de la propriété industrielle</w:t>
            </w:r>
            <w:r w:rsidR="006F431C">
              <w:rPr>
                <w:sz w:val="22"/>
                <w:szCs w:val="22"/>
              </w:rPr>
              <w:t xml:space="preserve">, </w:t>
            </w:r>
            <w:r w:rsidRPr="00EA4CC4">
              <w:rPr>
                <w:sz w:val="22"/>
                <w:szCs w:val="22"/>
              </w:rPr>
              <w:t xml:space="preserve">1989), </w:t>
            </w:r>
            <w:r w:rsidR="006F431C">
              <w:rPr>
                <w:sz w:val="22"/>
                <w:szCs w:val="22"/>
              </w:rPr>
              <w:t xml:space="preserve">de la </w:t>
            </w:r>
            <w:r w:rsidRPr="00EA4CC4">
              <w:rPr>
                <w:b/>
                <w:i/>
                <w:sz w:val="22"/>
                <w:szCs w:val="22"/>
              </w:rPr>
              <w:t>Convention de Berne</w:t>
            </w:r>
            <w:r w:rsidRPr="00EA4CC4">
              <w:rPr>
                <w:sz w:val="22"/>
                <w:szCs w:val="22"/>
              </w:rPr>
              <w:t xml:space="preserve"> </w:t>
            </w:r>
            <w:r w:rsidR="006F431C">
              <w:rPr>
                <w:sz w:val="22"/>
                <w:szCs w:val="22"/>
              </w:rPr>
              <w:t>(</w:t>
            </w:r>
            <w:proofErr w:type="spellStart"/>
            <w:r w:rsidR="006F431C">
              <w:rPr>
                <w:sz w:val="22"/>
                <w:szCs w:val="22"/>
              </w:rPr>
              <w:t>oe</w:t>
            </w:r>
            <w:r w:rsidRPr="00EA4CC4">
              <w:rPr>
                <w:sz w:val="22"/>
                <w:szCs w:val="22"/>
              </w:rPr>
              <w:t>uvres</w:t>
            </w:r>
            <w:proofErr w:type="spellEnd"/>
            <w:r w:rsidRPr="00EA4CC4">
              <w:rPr>
                <w:sz w:val="22"/>
                <w:szCs w:val="22"/>
              </w:rPr>
              <w:t xml:space="preserve"> littéraires et artistiques</w:t>
            </w:r>
            <w:r w:rsidR="006F431C">
              <w:rPr>
                <w:sz w:val="22"/>
                <w:szCs w:val="22"/>
              </w:rPr>
              <w:t xml:space="preserve">, </w:t>
            </w:r>
            <w:r w:rsidRPr="00EA4CC4">
              <w:rPr>
                <w:sz w:val="22"/>
                <w:szCs w:val="22"/>
              </w:rPr>
              <w:t xml:space="preserve">1990), </w:t>
            </w:r>
            <w:r w:rsidR="006F431C">
              <w:rPr>
                <w:sz w:val="22"/>
                <w:szCs w:val="22"/>
              </w:rPr>
              <w:t xml:space="preserve">du </w:t>
            </w:r>
            <w:r w:rsidRPr="00EA4CC4">
              <w:rPr>
                <w:b/>
                <w:bCs/>
                <w:i/>
                <w:iCs/>
                <w:sz w:val="22"/>
                <w:szCs w:val="22"/>
              </w:rPr>
              <w:t xml:space="preserve">Patent </w:t>
            </w:r>
            <w:proofErr w:type="spellStart"/>
            <w:r w:rsidRPr="00EA4CC4">
              <w:rPr>
                <w:b/>
                <w:bCs/>
                <w:i/>
                <w:iCs/>
                <w:sz w:val="22"/>
                <w:szCs w:val="22"/>
              </w:rPr>
              <w:t>Cooperation</w:t>
            </w:r>
            <w:proofErr w:type="spellEnd"/>
            <w:r w:rsidRPr="00EA4CC4">
              <w:rPr>
                <w:b/>
                <w:bCs/>
                <w:i/>
                <w:iCs/>
                <w:sz w:val="22"/>
                <w:szCs w:val="22"/>
              </w:rPr>
              <w:t xml:space="preserve"> </w:t>
            </w:r>
            <w:proofErr w:type="spellStart"/>
            <w:r w:rsidRPr="00EA4CC4">
              <w:rPr>
                <w:b/>
                <w:bCs/>
                <w:i/>
                <w:iCs/>
                <w:sz w:val="22"/>
                <w:szCs w:val="22"/>
              </w:rPr>
              <w:t>Treaty</w:t>
            </w:r>
            <w:proofErr w:type="spellEnd"/>
            <w:r w:rsidRPr="00EA4CC4">
              <w:rPr>
                <w:b/>
                <w:bCs/>
                <w:i/>
                <w:iCs/>
                <w:sz w:val="22"/>
                <w:szCs w:val="22"/>
              </w:rPr>
              <w:t xml:space="preserve"> </w:t>
            </w:r>
            <w:r w:rsidR="006F431C">
              <w:rPr>
                <w:b/>
                <w:bCs/>
                <w:i/>
                <w:iCs/>
                <w:sz w:val="22"/>
                <w:szCs w:val="22"/>
              </w:rPr>
              <w:t>-</w:t>
            </w:r>
            <w:r w:rsidRPr="00EA4CC4">
              <w:rPr>
                <w:b/>
                <w:bCs/>
                <w:i/>
                <w:iCs/>
                <w:sz w:val="22"/>
                <w:szCs w:val="22"/>
              </w:rPr>
              <w:t xml:space="preserve">PCT </w:t>
            </w:r>
            <w:r w:rsidR="006F431C">
              <w:rPr>
                <w:b/>
                <w:bCs/>
                <w:i/>
                <w:iCs/>
                <w:sz w:val="22"/>
                <w:szCs w:val="22"/>
              </w:rPr>
              <w:t>(</w:t>
            </w:r>
            <w:r w:rsidRPr="00EA4CC4">
              <w:rPr>
                <w:sz w:val="22"/>
                <w:szCs w:val="22"/>
              </w:rPr>
              <w:t>demandes internationales de brevet</w:t>
            </w:r>
            <w:r w:rsidR="006F431C">
              <w:rPr>
                <w:sz w:val="22"/>
                <w:szCs w:val="22"/>
              </w:rPr>
              <w:t xml:space="preserve">, </w:t>
            </w:r>
            <w:r w:rsidRPr="00EA4CC4">
              <w:rPr>
                <w:sz w:val="22"/>
                <w:szCs w:val="22"/>
              </w:rPr>
              <w:t xml:space="preserve">2006), </w:t>
            </w:r>
            <w:r w:rsidR="006F431C">
              <w:rPr>
                <w:sz w:val="22"/>
                <w:szCs w:val="22"/>
              </w:rPr>
              <w:t xml:space="preserve">des </w:t>
            </w:r>
            <w:r w:rsidRPr="00EA4CC4">
              <w:rPr>
                <w:sz w:val="22"/>
                <w:szCs w:val="22"/>
              </w:rPr>
              <w:t>Traité</w:t>
            </w:r>
            <w:r w:rsidR="006F431C">
              <w:rPr>
                <w:sz w:val="22"/>
                <w:szCs w:val="22"/>
              </w:rPr>
              <w:t>s</w:t>
            </w:r>
            <w:r w:rsidRPr="00EA4CC4">
              <w:rPr>
                <w:sz w:val="22"/>
                <w:szCs w:val="22"/>
              </w:rPr>
              <w:t xml:space="preserve"> de l'OMPI sur le droit d'auteur (2012)</w:t>
            </w:r>
            <w:r w:rsidR="006F431C">
              <w:rPr>
                <w:sz w:val="22"/>
                <w:szCs w:val="22"/>
              </w:rPr>
              <w:t xml:space="preserve"> et </w:t>
            </w:r>
            <w:r w:rsidRPr="00EA4CC4">
              <w:rPr>
                <w:sz w:val="22"/>
                <w:szCs w:val="22"/>
              </w:rPr>
              <w:t xml:space="preserve">sur les interprétations et exécutions et les phonogrammes (2012). </w:t>
            </w:r>
          </w:p>
          <w:p w:rsidR="006F431C" w:rsidRDefault="006F431C" w:rsidP="00D117C1">
            <w:pPr>
              <w:autoSpaceDE w:val="0"/>
              <w:autoSpaceDN w:val="0"/>
              <w:adjustRightInd w:val="0"/>
              <w:jc w:val="both"/>
              <w:rPr>
                <w:sz w:val="22"/>
                <w:szCs w:val="22"/>
              </w:rPr>
            </w:pPr>
          </w:p>
          <w:p w:rsidR="0042127F" w:rsidRDefault="007F0768" w:rsidP="00D117C1">
            <w:pPr>
              <w:autoSpaceDE w:val="0"/>
              <w:autoSpaceDN w:val="0"/>
              <w:adjustRightInd w:val="0"/>
              <w:jc w:val="both"/>
              <w:rPr>
                <w:rStyle w:val="lev"/>
                <w:b w:val="0"/>
                <w:color w:val="000000"/>
                <w:sz w:val="22"/>
                <w:szCs w:val="22"/>
              </w:rPr>
            </w:pPr>
            <w:r w:rsidRPr="00EA4CC4">
              <w:rPr>
                <w:sz w:val="22"/>
                <w:szCs w:val="22"/>
              </w:rPr>
              <w:t xml:space="preserve">En revanche, </w:t>
            </w:r>
            <w:r w:rsidR="00B5200A" w:rsidRPr="00EA4CC4">
              <w:rPr>
                <w:sz w:val="22"/>
                <w:szCs w:val="22"/>
              </w:rPr>
              <w:t>la Malaisie n’est pas membre du Système de Madrid (dépôt international de marques), de La Haye (enregistrement international des dessins et modèles industriels), du Traité de Budapest (reconnaissance internationale du dépôt des micro-organismes aux fins de la procédure en matière de brevets) ou encore de l’Arrangement de Lisbonne (enregistrement international des appellations d’origine). La Malaisie a</w:t>
            </w:r>
            <w:r w:rsidR="00BB3EB5" w:rsidRPr="00EA4CC4">
              <w:rPr>
                <w:sz w:val="22"/>
                <w:szCs w:val="22"/>
              </w:rPr>
              <w:t xml:space="preserve">mbitionne </w:t>
            </w:r>
            <w:r w:rsidR="00B5200A" w:rsidRPr="00EA4CC4">
              <w:rPr>
                <w:sz w:val="22"/>
                <w:szCs w:val="22"/>
              </w:rPr>
              <w:t xml:space="preserve">cependant de rejoindre le </w:t>
            </w:r>
            <w:r w:rsidR="00B5200A" w:rsidRPr="00EA4CC4">
              <w:rPr>
                <w:b/>
                <w:bCs/>
                <w:sz w:val="22"/>
                <w:szCs w:val="22"/>
              </w:rPr>
              <w:t>Protocole de Madrid</w:t>
            </w:r>
            <w:r w:rsidR="00B5200A" w:rsidRPr="00EA4CC4">
              <w:rPr>
                <w:sz w:val="22"/>
                <w:szCs w:val="22"/>
              </w:rPr>
              <w:t xml:space="preserve">, qui permettra </w:t>
            </w:r>
            <w:r w:rsidR="00BB3EB5" w:rsidRPr="00EA4CC4">
              <w:rPr>
                <w:sz w:val="22"/>
                <w:szCs w:val="22"/>
              </w:rPr>
              <w:t>d</w:t>
            </w:r>
            <w:r w:rsidR="00B5200A" w:rsidRPr="00EA4CC4">
              <w:rPr>
                <w:sz w:val="22"/>
                <w:szCs w:val="22"/>
              </w:rPr>
              <w:t>’enregistrer plus facilement des marques en Malaisie sur le fondement des règles internationales existantes</w:t>
            </w:r>
            <w:r w:rsidR="00BB3EB5" w:rsidRPr="00EA4CC4">
              <w:rPr>
                <w:sz w:val="22"/>
                <w:szCs w:val="22"/>
              </w:rPr>
              <w:t xml:space="preserve">, une </w:t>
            </w:r>
            <w:r w:rsidR="00B5200A" w:rsidRPr="00EA4CC4">
              <w:rPr>
                <w:sz w:val="22"/>
                <w:szCs w:val="22"/>
              </w:rPr>
              <w:t xml:space="preserve">adhésion </w:t>
            </w:r>
            <w:r w:rsidR="00BB3EB5" w:rsidRPr="00EA4CC4">
              <w:rPr>
                <w:sz w:val="22"/>
                <w:szCs w:val="22"/>
              </w:rPr>
              <w:t xml:space="preserve">qui </w:t>
            </w:r>
            <w:r w:rsidR="00B5200A" w:rsidRPr="00EA4CC4">
              <w:rPr>
                <w:sz w:val="22"/>
                <w:szCs w:val="22"/>
              </w:rPr>
              <w:t>pourra</w:t>
            </w:r>
            <w:r w:rsidR="00BB3EB5" w:rsidRPr="00EA4CC4">
              <w:rPr>
                <w:sz w:val="22"/>
                <w:szCs w:val="22"/>
              </w:rPr>
              <w:t>it</w:t>
            </w:r>
            <w:r w:rsidR="00B5200A" w:rsidRPr="00EA4CC4">
              <w:rPr>
                <w:sz w:val="22"/>
                <w:szCs w:val="22"/>
              </w:rPr>
              <w:t xml:space="preserve"> être effective en 201</w:t>
            </w:r>
            <w:r w:rsidR="00866F80">
              <w:rPr>
                <w:sz w:val="22"/>
                <w:szCs w:val="22"/>
              </w:rPr>
              <w:t>8</w:t>
            </w:r>
            <w:r w:rsidR="00B5200A" w:rsidRPr="00EA4CC4">
              <w:rPr>
                <w:sz w:val="22"/>
                <w:szCs w:val="22"/>
              </w:rPr>
              <w:t xml:space="preserve">. </w:t>
            </w:r>
          </w:p>
          <w:p w:rsidR="00EA4CC4" w:rsidRPr="00EA4CC4" w:rsidRDefault="00EA4CC4" w:rsidP="00D117C1">
            <w:pPr>
              <w:autoSpaceDE w:val="0"/>
              <w:autoSpaceDN w:val="0"/>
              <w:adjustRightInd w:val="0"/>
              <w:jc w:val="both"/>
              <w:rPr>
                <w:rStyle w:val="lev"/>
                <w:b w:val="0"/>
                <w:color w:val="000000"/>
                <w:sz w:val="22"/>
                <w:szCs w:val="22"/>
              </w:rPr>
            </w:pPr>
          </w:p>
          <w:p w:rsidR="00BD3B04" w:rsidRDefault="00B5200A" w:rsidP="00B5200A">
            <w:pPr>
              <w:jc w:val="both"/>
              <w:rPr>
                <w:sz w:val="22"/>
                <w:szCs w:val="22"/>
              </w:rPr>
            </w:pPr>
            <w:r w:rsidRPr="00EA4CC4">
              <w:rPr>
                <w:b/>
                <w:sz w:val="22"/>
                <w:szCs w:val="22"/>
              </w:rPr>
              <w:t>L’année 201</w:t>
            </w:r>
            <w:r w:rsidR="00866F80">
              <w:rPr>
                <w:b/>
                <w:sz w:val="22"/>
                <w:szCs w:val="22"/>
              </w:rPr>
              <w:t>8</w:t>
            </w:r>
            <w:r w:rsidRPr="00EA4CC4">
              <w:rPr>
                <w:b/>
                <w:sz w:val="22"/>
                <w:szCs w:val="22"/>
              </w:rPr>
              <w:t xml:space="preserve"> devrait voir une révision du cadre légal en matière de PI</w:t>
            </w:r>
            <w:r w:rsidR="00967818" w:rsidRPr="00EA4CC4">
              <w:rPr>
                <w:b/>
                <w:sz w:val="22"/>
                <w:szCs w:val="22"/>
              </w:rPr>
              <w:t xml:space="preserve">, </w:t>
            </w:r>
            <w:r w:rsidR="00967818" w:rsidRPr="00EA4CC4">
              <w:rPr>
                <w:sz w:val="22"/>
                <w:szCs w:val="22"/>
              </w:rPr>
              <w:t>avec</w:t>
            </w:r>
            <w:r w:rsidRPr="00EA4CC4">
              <w:rPr>
                <w:sz w:val="22"/>
                <w:szCs w:val="22"/>
              </w:rPr>
              <w:t xml:space="preserve"> en particulier </w:t>
            </w:r>
            <w:r w:rsidR="00967818" w:rsidRPr="00EA4CC4">
              <w:rPr>
                <w:sz w:val="22"/>
                <w:szCs w:val="22"/>
              </w:rPr>
              <w:t>l’</w:t>
            </w:r>
            <w:r w:rsidRPr="00EA4CC4">
              <w:rPr>
                <w:sz w:val="22"/>
                <w:szCs w:val="22"/>
              </w:rPr>
              <w:t>introdu</w:t>
            </w:r>
            <w:r w:rsidR="00967818" w:rsidRPr="00EA4CC4">
              <w:rPr>
                <w:sz w:val="22"/>
                <w:szCs w:val="22"/>
              </w:rPr>
              <w:t>ction</w:t>
            </w:r>
            <w:r w:rsidRPr="00EA4CC4">
              <w:rPr>
                <w:sz w:val="22"/>
                <w:szCs w:val="22"/>
              </w:rPr>
              <w:t xml:space="preserve"> dans les lois existantes d</w:t>
            </w:r>
            <w:r w:rsidR="00967818" w:rsidRPr="00EA4CC4">
              <w:rPr>
                <w:sz w:val="22"/>
                <w:szCs w:val="22"/>
              </w:rPr>
              <w:t>’</w:t>
            </w:r>
            <w:r w:rsidRPr="00EA4CC4">
              <w:rPr>
                <w:sz w:val="22"/>
                <w:szCs w:val="22"/>
              </w:rPr>
              <w:t>amendements en lien avec des accords de libre</w:t>
            </w:r>
            <w:r w:rsidR="003051C6">
              <w:rPr>
                <w:sz w:val="22"/>
                <w:szCs w:val="22"/>
              </w:rPr>
              <w:t>-</w:t>
            </w:r>
            <w:r w:rsidRPr="00EA4CC4">
              <w:rPr>
                <w:sz w:val="22"/>
                <w:szCs w:val="22"/>
              </w:rPr>
              <w:t>échange</w:t>
            </w:r>
            <w:r w:rsidR="003051C6">
              <w:rPr>
                <w:sz w:val="22"/>
                <w:szCs w:val="22"/>
              </w:rPr>
              <w:t>.</w:t>
            </w:r>
            <w:r w:rsidR="00AD1B13">
              <w:rPr>
                <w:sz w:val="22"/>
                <w:szCs w:val="22"/>
              </w:rPr>
              <w:t xml:space="preserve"> </w:t>
            </w:r>
            <w:r w:rsidR="007E1B25">
              <w:rPr>
                <w:sz w:val="22"/>
                <w:szCs w:val="22"/>
              </w:rPr>
              <w:t xml:space="preserve">Pourraient être ainsi </w:t>
            </w:r>
            <w:r w:rsidR="00866F80">
              <w:rPr>
                <w:sz w:val="22"/>
                <w:szCs w:val="22"/>
              </w:rPr>
              <w:t xml:space="preserve">introduites de nouvelles dispositions relatives aux marques </w:t>
            </w:r>
            <w:r w:rsidR="00AD1B13">
              <w:rPr>
                <w:sz w:val="22"/>
                <w:szCs w:val="22"/>
              </w:rPr>
              <w:t>collectives et de certification en lien avec l’ancien TPP</w:t>
            </w:r>
            <w:r w:rsidRPr="00EA4CC4">
              <w:rPr>
                <w:sz w:val="22"/>
                <w:szCs w:val="22"/>
              </w:rPr>
              <w:t>.</w:t>
            </w:r>
            <w:r w:rsidR="009E7932">
              <w:rPr>
                <w:sz w:val="22"/>
                <w:szCs w:val="22"/>
              </w:rPr>
              <w:t xml:space="preserve"> </w:t>
            </w:r>
          </w:p>
          <w:p w:rsidR="005260C0" w:rsidRDefault="005260C0" w:rsidP="00B5200A">
            <w:pPr>
              <w:jc w:val="both"/>
              <w:rPr>
                <w:sz w:val="22"/>
                <w:szCs w:val="22"/>
              </w:rPr>
            </w:pPr>
          </w:p>
          <w:p w:rsidR="00B5200A" w:rsidRDefault="00B5200A" w:rsidP="00B5200A">
            <w:pPr>
              <w:jc w:val="both"/>
              <w:rPr>
                <w:b/>
                <w:color w:val="000000"/>
                <w:sz w:val="22"/>
                <w:szCs w:val="22"/>
              </w:rPr>
            </w:pPr>
            <w:r w:rsidRPr="00EA4CC4">
              <w:rPr>
                <w:rStyle w:val="lev"/>
                <w:b w:val="0"/>
                <w:color w:val="000000"/>
                <w:sz w:val="22"/>
                <w:szCs w:val="22"/>
              </w:rPr>
              <w:t>Les principales lois visant à protéger la PI sont les suivantes</w:t>
            </w:r>
            <w:r w:rsidRPr="00EA4CC4">
              <w:rPr>
                <w:b/>
                <w:color w:val="000000"/>
                <w:sz w:val="22"/>
                <w:szCs w:val="22"/>
              </w:rPr>
              <w:t> :</w:t>
            </w:r>
          </w:p>
          <w:p w:rsidR="00337211" w:rsidRPr="00EA4CC4" w:rsidRDefault="00337211" w:rsidP="00B5200A">
            <w:pPr>
              <w:jc w:val="both"/>
              <w:rPr>
                <w:b/>
                <w:color w:val="000000"/>
                <w:sz w:val="22"/>
                <w:szCs w:val="22"/>
              </w:rPr>
            </w:pPr>
          </w:p>
          <w:p w:rsidR="00B5200A" w:rsidRDefault="00B5200A" w:rsidP="00B5200A">
            <w:pPr>
              <w:autoSpaceDE w:val="0"/>
              <w:autoSpaceDN w:val="0"/>
              <w:adjustRightInd w:val="0"/>
              <w:jc w:val="both"/>
              <w:rPr>
                <w:color w:val="000000"/>
                <w:sz w:val="22"/>
                <w:szCs w:val="22"/>
              </w:rPr>
            </w:pPr>
            <w:r w:rsidRPr="00EA4CC4">
              <w:rPr>
                <w:color w:val="000000"/>
                <w:sz w:val="22"/>
                <w:szCs w:val="22"/>
                <w:u w:val="single"/>
              </w:rPr>
              <w:t>• Les droits d’auteurs</w:t>
            </w:r>
            <w:r w:rsidR="00B76543" w:rsidRPr="00EA4CC4">
              <w:rPr>
                <w:color w:val="000000"/>
                <w:sz w:val="22"/>
                <w:szCs w:val="22"/>
                <w:u w:val="single"/>
              </w:rPr>
              <w:t> :</w:t>
            </w:r>
            <w:r w:rsidR="00B76543" w:rsidRPr="00EA4CC4">
              <w:rPr>
                <w:color w:val="000000"/>
                <w:sz w:val="22"/>
                <w:szCs w:val="22"/>
              </w:rPr>
              <w:t xml:space="preserve"> </w:t>
            </w:r>
            <w:r w:rsidRPr="00EA4CC4">
              <w:rPr>
                <w:color w:val="000000"/>
                <w:sz w:val="22"/>
                <w:szCs w:val="22"/>
              </w:rPr>
              <w:t xml:space="preserve">La loi sur les droits d’auteurs (Copyright </w:t>
            </w:r>
            <w:proofErr w:type="spellStart"/>
            <w:r w:rsidRPr="00EA4CC4">
              <w:rPr>
                <w:color w:val="000000"/>
                <w:sz w:val="22"/>
                <w:szCs w:val="22"/>
              </w:rPr>
              <w:t>Act</w:t>
            </w:r>
            <w:proofErr w:type="spellEnd"/>
            <w:r w:rsidRPr="00EA4CC4">
              <w:rPr>
                <w:color w:val="000000"/>
                <w:sz w:val="22"/>
                <w:szCs w:val="22"/>
              </w:rPr>
              <w:t xml:space="preserve"> 1987) est entrée en </w:t>
            </w:r>
            <w:r w:rsidR="00D0215E" w:rsidRPr="00EA4CC4">
              <w:rPr>
                <w:color w:val="000000"/>
                <w:sz w:val="22"/>
                <w:szCs w:val="22"/>
              </w:rPr>
              <w:t xml:space="preserve">vigueur </w:t>
            </w:r>
            <w:r w:rsidRPr="00EA4CC4">
              <w:rPr>
                <w:color w:val="000000"/>
                <w:sz w:val="22"/>
                <w:szCs w:val="22"/>
              </w:rPr>
              <w:t>le 1</w:t>
            </w:r>
            <w:r w:rsidR="00C3261B" w:rsidRPr="00EA4CC4">
              <w:rPr>
                <w:color w:val="000000"/>
                <w:sz w:val="22"/>
                <w:szCs w:val="22"/>
              </w:rPr>
              <w:t>/12/1</w:t>
            </w:r>
            <w:r w:rsidRPr="00EA4CC4">
              <w:rPr>
                <w:color w:val="000000"/>
                <w:sz w:val="22"/>
                <w:szCs w:val="22"/>
              </w:rPr>
              <w:t>987</w:t>
            </w:r>
            <w:r w:rsidR="009E7932">
              <w:rPr>
                <w:color w:val="000000"/>
                <w:sz w:val="22"/>
                <w:szCs w:val="22"/>
              </w:rPr>
              <w:t xml:space="preserve"> et a été amendée </w:t>
            </w:r>
            <w:r w:rsidRPr="00EA4CC4">
              <w:rPr>
                <w:color w:val="000000"/>
                <w:sz w:val="22"/>
                <w:szCs w:val="22"/>
              </w:rPr>
              <w:t xml:space="preserve">la dernière fois par le Copyright </w:t>
            </w:r>
            <w:proofErr w:type="spellStart"/>
            <w:r w:rsidRPr="00EA4CC4">
              <w:rPr>
                <w:color w:val="000000"/>
                <w:sz w:val="22"/>
                <w:szCs w:val="22"/>
              </w:rPr>
              <w:t>Amendment</w:t>
            </w:r>
            <w:proofErr w:type="spellEnd"/>
            <w:r w:rsidRPr="00EA4CC4">
              <w:rPr>
                <w:color w:val="000000"/>
                <w:sz w:val="22"/>
                <w:szCs w:val="22"/>
              </w:rPr>
              <w:t xml:space="preserve"> </w:t>
            </w:r>
            <w:proofErr w:type="spellStart"/>
            <w:r w:rsidRPr="00EA4CC4">
              <w:rPr>
                <w:color w:val="000000"/>
                <w:sz w:val="22"/>
                <w:szCs w:val="22"/>
              </w:rPr>
              <w:t>Act</w:t>
            </w:r>
            <w:proofErr w:type="spellEnd"/>
            <w:r w:rsidRPr="00EA4CC4">
              <w:rPr>
                <w:color w:val="000000"/>
                <w:sz w:val="22"/>
                <w:szCs w:val="22"/>
              </w:rPr>
              <w:t xml:space="preserve"> 2012 </w:t>
            </w:r>
            <w:r w:rsidR="00C3261B" w:rsidRPr="00EA4CC4">
              <w:rPr>
                <w:color w:val="000000"/>
                <w:sz w:val="22"/>
                <w:szCs w:val="22"/>
              </w:rPr>
              <w:t xml:space="preserve">du </w:t>
            </w:r>
            <w:r w:rsidRPr="00EA4CC4">
              <w:rPr>
                <w:color w:val="000000"/>
                <w:sz w:val="22"/>
                <w:szCs w:val="22"/>
              </w:rPr>
              <w:t>1</w:t>
            </w:r>
            <w:r w:rsidR="00C3261B" w:rsidRPr="00EA4CC4">
              <w:rPr>
                <w:color w:val="000000"/>
                <w:sz w:val="22"/>
                <w:szCs w:val="22"/>
              </w:rPr>
              <w:t>/03/</w:t>
            </w:r>
            <w:r w:rsidRPr="00EA4CC4">
              <w:rPr>
                <w:color w:val="000000"/>
                <w:sz w:val="22"/>
                <w:szCs w:val="22"/>
              </w:rPr>
              <w:t>2012</w:t>
            </w:r>
            <w:r w:rsidR="009E7932">
              <w:rPr>
                <w:color w:val="000000"/>
                <w:sz w:val="22"/>
                <w:szCs w:val="22"/>
              </w:rPr>
              <w:t>. C</w:t>
            </w:r>
            <w:r w:rsidRPr="00EA4CC4">
              <w:rPr>
                <w:color w:val="000000"/>
                <w:sz w:val="22"/>
                <w:szCs w:val="22"/>
              </w:rPr>
              <w:t xml:space="preserve">ette loi protège les œuvres littéraires (y compris les programmes informatiques), musicales et artistiques jusqu’à la mort de l’auteur et 50 ans après, et  les enregistrements de bandes sonores, les films et diffusions d’images et de sons 50 ans après la </w:t>
            </w:r>
            <w:r w:rsidR="00C3261B" w:rsidRPr="00EA4CC4">
              <w:rPr>
                <w:color w:val="000000"/>
                <w:sz w:val="22"/>
                <w:szCs w:val="22"/>
              </w:rPr>
              <w:t>1</w:t>
            </w:r>
            <w:r w:rsidR="00C3261B" w:rsidRPr="00EA4CC4">
              <w:rPr>
                <w:color w:val="000000"/>
                <w:sz w:val="22"/>
                <w:szCs w:val="22"/>
                <w:vertAlign w:val="superscript"/>
              </w:rPr>
              <w:t>ère</w:t>
            </w:r>
            <w:r w:rsidR="00C3261B" w:rsidRPr="00EA4CC4">
              <w:rPr>
                <w:color w:val="000000"/>
                <w:sz w:val="22"/>
                <w:szCs w:val="22"/>
              </w:rPr>
              <w:t xml:space="preserve"> </w:t>
            </w:r>
            <w:r w:rsidRPr="00EA4CC4">
              <w:rPr>
                <w:color w:val="000000"/>
                <w:sz w:val="22"/>
                <w:szCs w:val="22"/>
              </w:rPr>
              <w:t xml:space="preserve">publication ou la </w:t>
            </w:r>
            <w:r w:rsidR="00D0215E" w:rsidRPr="00EA4CC4">
              <w:rPr>
                <w:color w:val="000000"/>
                <w:sz w:val="22"/>
                <w:szCs w:val="22"/>
              </w:rPr>
              <w:t>1</w:t>
            </w:r>
            <w:r w:rsidR="00D0215E" w:rsidRPr="00EA4CC4">
              <w:rPr>
                <w:color w:val="000000"/>
                <w:sz w:val="22"/>
                <w:szCs w:val="22"/>
                <w:vertAlign w:val="superscript"/>
              </w:rPr>
              <w:t>ère</w:t>
            </w:r>
            <w:r w:rsidR="00D0215E" w:rsidRPr="00EA4CC4">
              <w:rPr>
                <w:color w:val="000000"/>
                <w:sz w:val="22"/>
                <w:szCs w:val="22"/>
              </w:rPr>
              <w:t xml:space="preserve"> </w:t>
            </w:r>
            <w:r w:rsidRPr="00EA4CC4">
              <w:rPr>
                <w:color w:val="000000"/>
                <w:sz w:val="22"/>
                <w:szCs w:val="22"/>
              </w:rPr>
              <w:t xml:space="preserve"> création.</w:t>
            </w:r>
          </w:p>
          <w:p w:rsidR="00E3782C" w:rsidRDefault="00E3782C" w:rsidP="00B5200A">
            <w:pPr>
              <w:autoSpaceDE w:val="0"/>
              <w:autoSpaceDN w:val="0"/>
              <w:adjustRightInd w:val="0"/>
              <w:jc w:val="both"/>
              <w:rPr>
                <w:color w:val="000000"/>
                <w:sz w:val="22"/>
                <w:szCs w:val="22"/>
              </w:rPr>
            </w:pPr>
          </w:p>
          <w:p w:rsidR="003051C6" w:rsidRDefault="00B5200A" w:rsidP="00B5200A">
            <w:pPr>
              <w:autoSpaceDE w:val="0"/>
              <w:autoSpaceDN w:val="0"/>
              <w:adjustRightInd w:val="0"/>
              <w:jc w:val="both"/>
              <w:rPr>
                <w:color w:val="000000"/>
                <w:sz w:val="22"/>
                <w:szCs w:val="22"/>
              </w:rPr>
            </w:pPr>
            <w:r w:rsidRPr="00EA4CC4">
              <w:rPr>
                <w:color w:val="000000"/>
                <w:sz w:val="22"/>
                <w:szCs w:val="22"/>
                <w:u w:val="single"/>
              </w:rPr>
              <w:t>• La protection des brevets</w:t>
            </w:r>
            <w:r w:rsidR="00B76543" w:rsidRPr="00EA4CC4">
              <w:rPr>
                <w:color w:val="000000"/>
                <w:sz w:val="22"/>
                <w:szCs w:val="22"/>
                <w:u w:val="single"/>
              </w:rPr>
              <w:t> :</w:t>
            </w:r>
            <w:r w:rsidR="00B76543" w:rsidRPr="00EA4CC4">
              <w:rPr>
                <w:color w:val="000000"/>
                <w:sz w:val="22"/>
                <w:szCs w:val="22"/>
              </w:rPr>
              <w:t xml:space="preserve"> </w:t>
            </w:r>
            <w:r w:rsidRPr="00EA4CC4">
              <w:rPr>
                <w:color w:val="000000"/>
                <w:sz w:val="22"/>
                <w:szCs w:val="22"/>
              </w:rPr>
              <w:t xml:space="preserve">Elle relève du </w:t>
            </w:r>
            <w:r w:rsidRPr="00EA4CC4">
              <w:rPr>
                <w:i/>
                <w:color w:val="000000"/>
                <w:sz w:val="22"/>
                <w:szCs w:val="22"/>
              </w:rPr>
              <w:t xml:space="preserve">Patents </w:t>
            </w:r>
            <w:proofErr w:type="spellStart"/>
            <w:r w:rsidRPr="00EA4CC4">
              <w:rPr>
                <w:i/>
                <w:color w:val="000000"/>
                <w:sz w:val="22"/>
                <w:szCs w:val="22"/>
              </w:rPr>
              <w:t>Act</w:t>
            </w:r>
            <w:proofErr w:type="spellEnd"/>
            <w:r w:rsidRPr="00EA4CC4">
              <w:rPr>
                <w:color w:val="000000"/>
                <w:sz w:val="22"/>
                <w:szCs w:val="22"/>
              </w:rPr>
              <w:t xml:space="preserve"> 1983 (</w:t>
            </w:r>
            <w:proofErr w:type="spellStart"/>
            <w:r w:rsidRPr="00EA4CC4">
              <w:rPr>
                <w:color w:val="000000"/>
                <w:sz w:val="22"/>
                <w:szCs w:val="22"/>
              </w:rPr>
              <w:t>Act</w:t>
            </w:r>
            <w:proofErr w:type="spellEnd"/>
            <w:r w:rsidRPr="00EA4CC4">
              <w:rPr>
                <w:color w:val="000000"/>
                <w:sz w:val="22"/>
                <w:szCs w:val="22"/>
              </w:rPr>
              <w:t xml:space="preserve"> 291), amendé en 1993</w:t>
            </w:r>
            <w:r w:rsidR="009E7932">
              <w:rPr>
                <w:color w:val="000000"/>
                <w:sz w:val="22"/>
                <w:szCs w:val="22"/>
              </w:rPr>
              <w:t xml:space="preserve"> et </w:t>
            </w:r>
            <w:r w:rsidRPr="00EA4CC4">
              <w:rPr>
                <w:color w:val="000000"/>
                <w:sz w:val="22"/>
                <w:szCs w:val="22"/>
              </w:rPr>
              <w:t>des règlements d’application de 1986 (</w:t>
            </w:r>
            <w:r w:rsidRPr="00EA4CC4">
              <w:rPr>
                <w:i/>
                <w:color w:val="000000"/>
                <w:sz w:val="22"/>
                <w:szCs w:val="22"/>
              </w:rPr>
              <w:t xml:space="preserve">Patents </w:t>
            </w:r>
            <w:proofErr w:type="spellStart"/>
            <w:r w:rsidRPr="00EA4CC4">
              <w:rPr>
                <w:i/>
                <w:color w:val="000000"/>
                <w:sz w:val="22"/>
                <w:szCs w:val="22"/>
              </w:rPr>
              <w:t>Regulations</w:t>
            </w:r>
            <w:proofErr w:type="spellEnd"/>
            <w:r w:rsidRPr="00EA4CC4">
              <w:rPr>
                <w:i/>
                <w:color w:val="000000"/>
                <w:sz w:val="22"/>
                <w:szCs w:val="22"/>
              </w:rPr>
              <w:t xml:space="preserve"> 1986</w:t>
            </w:r>
            <w:r w:rsidRPr="00EA4CC4">
              <w:rPr>
                <w:color w:val="000000"/>
                <w:sz w:val="22"/>
                <w:szCs w:val="22"/>
              </w:rPr>
              <w:t xml:space="preserve">), 1997 et 2011. La Malaisie est signataire depuis le 16 août 2006 du Traité de coopération sur les brevets (PCT). La protection du brevet est accordée pour  20 ans. Il </w:t>
            </w:r>
            <w:r w:rsidR="00663B4C" w:rsidRPr="00EA4CC4">
              <w:rPr>
                <w:color w:val="000000"/>
                <w:sz w:val="22"/>
                <w:szCs w:val="22"/>
              </w:rPr>
              <w:t xml:space="preserve">existe aussi </w:t>
            </w:r>
            <w:r w:rsidRPr="00EA4CC4">
              <w:rPr>
                <w:color w:val="000000"/>
                <w:sz w:val="22"/>
                <w:szCs w:val="22"/>
              </w:rPr>
              <w:t>un « petit » brevet appelé « utility innovation » d’une durée de 10 ans</w:t>
            </w:r>
            <w:r w:rsidR="00663B4C" w:rsidRPr="00EA4CC4">
              <w:rPr>
                <w:color w:val="000000"/>
                <w:sz w:val="22"/>
                <w:szCs w:val="22"/>
              </w:rPr>
              <w:t>,</w:t>
            </w:r>
            <w:r w:rsidRPr="00EA4CC4">
              <w:rPr>
                <w:color w:val="000000"/>
                <w:sz w:val="22"/>
                <w:szCs w:val="22"/>
              </w:rPr>
              <w:t xml:space="preserve"> pouvant être prolongé de</w:t>
            </w:r>
            <w:r w:rsidR="00663B4C" w:rsidRPr="00EA4CC4">
              <w:rPr>
                <w:color w:val="000000"/>
                <w:sz w:val="22"/>
                <w:szCs w:val="22"/>
              </w:rPr>
              <w:t xml:space="preserve">ux fois </w:t>
            </w:r>
            <w:r w:rsidRPr="00EA4CC4">
              <w:rPr>
                <w:color w:val="000000"/>
                <w:sz w:val="22"/>
                <w:szCs w:val="22"/>
              </w:rPr>
              <w:t>consécutive</w:t>
            </w:r>
            <w:r w:rsidR="00663B4C" w:rsidRPr="00EA4CC4">
              <w:rPr>
                <w:color w:val="000000"/>
                <w:sz w:val="22"/>
                <w:szCs w:val="22"/>
              </w:rPr>
              <w:t xml:space="preserve">ment pour </w:t>
            </w:r>
            <w:r w:rsidRPr="00EA4CC4">
              <w:rPr>
                <w:color w:val="000000"/>
                <w:sz w:val="22"/>
                <w:szCs w:val="22"/>
              </w:rPr>
              <w:t xml:space="preserve">5 ans. </w:t>
            </w:r>
          </w:p>
          <w:p w:rsidR="003051C6" w:rsidRDefault="003051C6" w:rsidP="00B5200A">
            <w:pPr>
              <w:autoSpaceDE w:val="0"/>
              <w:autoSpaceDN w:val="0"/>
              <w:adjustRightInd w:val="0"/>
              <w:jc w:val="both"/>
              <w:rPr>
                <w:color w:val="000000"/>
                <w:sz w:val="22"/>
                <w:szCs w:val="22"/>
              </w:rPr>
            </w:pPr>
          </w:p>
          <w:p w:rsidR="00B5200A" w:rsidRDefault="0036764F" w:rsidP="00B5200A">
            <w:pPr>
              <w:autoSpaceDE w:val="0"/>
              <w:autoSpaceDN w:val="0"/>
              <w:adjustRightInd w:val="0"/>
              <w:jc w:val="both"/>
              <w:rPr>
                <w:color w:val="000000"/>
                <w:sz w:val="22"/>
                <w:szCs w:val="22"/>
              </w:rPr>
            </w:pPr>
            <w:r>
              <w:rPr>
                <w:color w:val="000000"/>
                <w:sz w:val="22"/>
                <w:szCs w:val="22"/>
              </w:rPr>
              <w:t xml:space="preserve">En </w:t>
            </w:r>
            <w:r w:rsidR="00A51C2F">
              <w:rPr>
                <w:color w:val="000000"/>
                <w:sz w:val="22"/>
                <w:szCs w:val="22"/>
              </w:rPr>
              <w:t xml:space="preserve">juillet </w:t>
            </w:r>
            <w:r>
              <w:rPr>
                <w:color w:val="000000"/>
                <w:sz w:val="22"/>
                <w:szCs w:val="22"/>
              </w:rPr>
              <w:t xml:space="preserve">2017, </w:t>
            </w:r>
            <w:r w:rsidR="00A51C2F">
              <w:rPr>
                <w:color w:val="000000"/>
                <w:sz w:val="22"/>
                <w:szCs w:val="22"/>
              </w:rPr>
              <w:t xml:space="preserve">l’accord entre la Malaisie et l’OEB </w:t>
            </w:r>
            <w:r>
              <w:rPr>
                <w:color w:val="000000"/>
                <w:sz w:val="22"/>
                <w:szCs w:val="22"/>
              </w:rPr>
              <w:t xml:space="preserve">(Office Européen des Brevets) afin de permettre d’accélérer les examens de brevets </w:t>
            </w:r>
            <w:r w:rsidR="00604FBA">
              <w:rPr>
                <w:color w:val="000000"/>
                <w:sz w:val="22"/>
                <w:szCs w:val="22"/>
              </w:rPr>
              <w:t xml:space="preserve">en particulier </w:t>
            </w:r>
            <w:r>
              <w:rPr>
                <w:color w:val="000000"/>
                <w:sz w:val="22"/>
                <w:szCs w:val="22"/>
              </w:rPr>
              <w:t>dans le pays</w:t>
            </w:r>
            <w:r w:rsidR="00A51C2F">
              <w:rPr>
                <w:color w:val="000000"/>
                <w:sz w:val="22"/>
                <w:szCs w:val="22"/>
              </w:rPr>
              <w:t xml:space="preserve"> est entré en vigueur</w:t>
            </w:r>
            <w:r>
              <w:rPr>
                <w:color w:val="000000"/>
                <w:sz w:val="22"/>
                <w:szCs w:val="22"/>
              </w:rPr>
              <w:t>. Cet accord s’ajoute à ceux déjà existants, en particulier avec le J</w:t>
            </w:r>
            <w:r w:rsidR="00011062">
              <w:rPr>
                <w:color w:val="000000"/>
                <w:sz w:val="22"/>
                <w:szCs w:val="22"/>
              </w:rPr>
              <w:t>apon</w:t>
            </w:r>
            <w:r>
              <w:rPr>
                <w:color w:val="000000"/>
                <w:sz w:val="22"/>
                <w:szCs w:val="22"/>
              </w:rPr>
              <w:t xml:space="preserve"> et </w:t>
            </w:r>
            <w:r w:rsidR="00A51C2F">
              <w:rPr>
                <w:color w:val="000000"/>
                <w:sz w:val="22"/>
                <w:szCs w:val="22"/>
              </w:rPr>
              <w:t>celui signé</w:t>
            </w:r>
            <w:r>
              <w:rPr>
                <w:color w:val="000000"/>
                <w:sz w:val="22"/>
                <w:szCs w:val="22"/>
              </w:rPr>
              <w:t xml:space="preserve"> </w:t>
            </w:r>
            <w:r w:rsidR="00A51C2F">
              <w:rPr>
                <w:color w:val="000000"/>
                <w:sz w:val="22"/>
                <w:szCs w:val="22"/>
              </w:rPr>
              <w:t xml:space="preserve">dans </w:t>
            </w:r>
            <w:r>
              <w:rPr>
                <w:color w:val="000000"/>
                <w:sz w:val="22"/>
                <w:szCs w:val="22"/>
              </w:rPr>
              <w:t>le cadre de l’</w:t>
            </w:r>
            <w:r w:rsidR="00A51C2F">
              <w:rPr>
                <w:color w:val="000000"/>
                <w:sz w:val="22"/>
                <w:szCs w:val="22"/>
              </w:rPr>
              <w:t xml:space="preserve">ASPEC impliquant </w:t>
            </w:r>
            <w:r>
              <w:rPr>
                <w:color w:val="000000"/>
                <w:sz w:val="22"/>
                <w:szCs w:val="22"/>
              </w:rPr>
              <w:t xml:space="preserve">tous les pays ASEAN sauf la </w:t>
            </w:r>
            <w:r w:rsidR="00A51C2F">
              <w:rPr>
                <w:color w:val="000000"/>
                <w:sz w:val="22"/>
                <w:szCs w:val="22"/>
              </w:rPr>
              <w:t>Birmanie</w:t>
            </w:r>
          </w:p>
          <w:p w:rsidR="00E3782C" w:rsidRDefault="00E3782C" w:rsidP="00B5200A">
            <w:pPr>
              <w:autoSpaceDE w:val="0"/>
              <w:autoSpaceDN w:val="0"/>
              <w:adjustRightInd w:val="0"/>
              <w:jc w:val="both"/>
              <w:rPr>
                <w:color w:val="000000"/>
                <w:sz w:val="22"/>
                <w:szCs w:val="22"/>
              </w:rPr>
            </w:pPr>
          </w:p>
          <w:p w:rsidR="00B5200A" w:rsidRDefault="00B5200A" w:rsidP="00B5200A">
            <w:pPr>
              <w:autoSpaceDE w:val="0"/>
              <w:autoSpaceDN w:val="0"/>
              <w:adjustRightInd w:val="0"/>
              <w:jc w:val="both"/>
              <w:rPr>
                <w:color w:val="000000"/>
                <w:sz w:val="22"/>
                <w:szCs w:val="22"/>
              </w:rPr>
            </w:pPr>
            <w:r w:rsidRPr="00EA4CC4">
              <w:rPr>
                <w:color w:val="000000"/>
                <w:sz w:val="22"/>
                <w:szCs w:val="22"/>
                <w:u w:val="single"/>
              </w:rPr>
              <w:t>• La protection des dessins et modèles industriels</w:t>
            </w:r>
            <w:r w:rsidR="00B76543" w:rsidRPr="00EA4CC4">
              <w:rPr>
                <w:color w:val="000000"/>
                <w:sz w:val="22"/>
                <w:szCs w:val="22"/>
                <w:u w:val="single"/>
              </w:rPr>
              <w:t> :</w:t>
            </w:r>
            <w:r w:rsidR="00B76543" w:rsidRPr="00EA4CC4">
              <w:rPr>
                <w:color w:val="000000"/>
                <w:sz w:val="22"/>
                <w:szCs w:val="22"/>
              </w:rPr>
              <w:t xml:space="preserve"> </w:t>
            </w:r>
            <w:r w:rsidRPr="00EA4CC4">
              <w:rPr>
                <w:color w:val="000000"/>
                <w:sz w:val="22"/>
                <w:szCs w:val="22"/>
              </w:rPr>
              <w:t>Depuis l’entrée en vigueur le 1</w:t>
            </w:r>
            <w:r w:rsidR="00C3261B" w:rsidRPr="00EA4CC4">
              <w:rPr>
                <w:color w:val="000000"/>
                <w:sz w:val="22"/>
                <w:szCs w:val="22"/>
              </w:rPr>
              <w:t>/09/</w:t>
            </w:r>
            <w:r w:rsidRPr="00EA4CC4">
              <w:rPr>
                <w:color w:val="000000"/>
                <w:sz w:val="22"/>
                <w:szCs w:val="22"/>
              </w:rPr>
              <w:t xml:space="preserve">1999 de </w:t>
            </w:r>
            <w:r w:rsidRPr="00EA4CC4">
              <w:rPr>
                <w:i/>
                <w:color w:val="000000"/>
                <w:sz w:val="22"/>
                <w:szCs w:val="22"/>
              </w:rPr>
              <w:t>l'</w:t>
            </w:r>
            <w:proofErr w:type="spellStart"/>
            <w:r w:rsidRPr="00EA4CC4">
              <w:rPr>
                <w:i/>
                <w:color w:val="000000"/>
                <w:sz w:val="22"/>
                <w:szCs w:val="22"/>
              </w:rPr>
              <w:t>Industrial</w:t>
            </w:r>
            <w:proofErr w:type="spellEnd"/>
            <w:r w:rsidRPr="00EA4CC4">
              <w:rPr>
                <w:i/>
                <w:color w:val="000000"/>
                <w:sz w:val="22"/>
                <w:szCs w:val="22"/>
              </w:rPr>
              <w:t xml:space="preserve"> Designs </w:t>
            </w:r>
            <w:proofErr w:type="spellStart"/>
            <w:r w:rsidRPr="00EA4CC4">
              <w:rPr>
                <w:i/>
                <w:color w:val="000000"/>
                <w:sz w:val="22"/>
                <w:szCs w:val="22"/>
              </w:rPr>
              <w:t>Act</w:t>
            </w:r>
            <w:proofErr w:type="spellEnd"/>
            <w:r w:rsidRPr="00EA4CC4">
              <w:rPr>
                <w:color w:val="000000"/>
                <w:sz w:val="22"/>
                <w:szCs w:val="22"/>
              </w:rPr>
              <w:t xml:space="preserve"> 1996 (</w:t>
            </w:r>
            <w:proofErr w:type="spellStart"/>
            <w:r w:rsidRPr="00EA4CC4">
              <w:rPr>
                <w:color w:val="000000"/>
                <w:sz w:val="22"/>
                <w:szCs w:val="22"/>
              </w:rPr>
              <w:t>Act</w:t>
            </w:r>
            <w:proofErr w:type="spellEnd"/>
            <w:r w:rsidRPr="00EA4CC4">
              <w:rPr>
                <w:color w:val="000000"/>
                <w:sz w:val="22"/>
                <w:szCs w:val="22"/>
              </w:rPr>
              <w:t xml:space="preserve"> 552) et </w:t>
            </w:r>
            <w:r w:rsidR="00B70866" w:rsidRPr="00EA4CC4">
              <w:rPr>
                <w:color w:val="000000"/>
                <w:sz w:val="22"/>
                <w:szCs w:val="22"/>
              </w:rPr>
              <w:t xml:space="preserve">des </w:t>
            </w:r>
            <w:r w:rsidRPr="00EA4CC4">
              <w:rPr>
                <w:color w:val="000000"/>
                <w:sz w:val="22"/>
                <w:szCs w:val="22"/>
              </w:rPr>
              <w:t xml:space="preserve">règlements amendés en 2012, les dessins et modèles industriels sont protégés pour une durée initiale de </w:t>
            </w:r>
            <w:r w:rsidR="00B70866" w:rsidRPr="00EA4CC4">
              <w:rPr>
                <w:color w:val="000000"/>
                <w:sz w:val="22"/>
                <w:szCs w:val="22"/>
              </w:rPr>
              <w:t>5</w:t>
            </w:r>
            <w:r w:rsidRPr="00EA4CC4">
              <w:rPr>
                <w:color w:val="000000"/>
                <w:sz w:val="22"/>
                <w:szCs w:val="22"/>
              </w:rPr>
              <w:t xml:space="preserve"> ans, renouvelable quatre fois consécutivement, pour une protection maximale de 25 ans. </w:t>
            </w:r>
          </w:p>
          <w:p w:rsidR="00E3782C" w:rsidRDefault="00E3782C" w:rsidP="00B5200A">
            <w:pPr>
              <w:autoSpaceDE w:val="0"/>
              <w:autoSpaceDN w:val="0"/>
              <w:adjustRightInd w:val="0"/>
              <w:jc w:val="both"/>
              <w:rPr>
                <w:color w:val="000000"/>
                <w:sz w:val="22"/>
                <w:szCs w:val="22"/>
              </w:rPr>
            </w:pPr>
          </w:p>
          <w:p w:rsidR="00DA7ADB" w:rsidRDefault="00B5200A" w:rsidP="00B5200A">
            <w:pPr>
              <w:autoSpaceDE w:val="0"/>
              <w:autoSpaceDN w:val="0"/>
              <w:adjustRightInd w:val="0"/>
              <w:jc w:val="both"/>
              <w:rPr>
                <w:color w:val="000000"/>
                <w:sz w:val="22"/>
                <w:szCs w:val="22"/>
              </w:rPr>
            </w:pPr>
            <w:r w:rsidRPr="00EA4CC4">
              <w:rPr>
                <w:color w:val="000000"/>
                <w:sz w:val="22"/>
                <w:szCs w:val="22"/>
                <w:u w:val="single"/>
              </w:rPr>
              <w:t>• La protection des marques</w:t>
            </w:r>
            <w:r w:rsidR="00B76543" w:rsidRPr="00EA4CC4">
              <w:rPr>
                <w:color w:val="000000"/>
                <w:sz w:val="22"/>
                <w:szCs w:val="22"/>
                <w:u w:val="single"/>
              </w:rPr>
              <w:t> :</w:t>
            </w:r>
            <w:r w:rsidR="00B76543" w:rsidRPr="00EA4CC4">
              <w:rPr>
                <w:color w:val="000000"/>
                <w:sz w:val="22"/>
                <w:szCs w:val="22"/>
              </w:rPr>
              <w:t xml:space="preserve"> </w:t>
            </w:r>
            <w:r w:rsidRPr="00EA4CC4">
              <w:rPr>
                <w:color w:val="000000"/>
                <w:sz w:val="22"/>
                <w:szCs w:val="22"/>
              </w:rPr>
              <w:t xml:space="preserve">La loi sur les marques date de 1976 </w:t>
            </w:r>
            <w:r w:rsidR="00E155C5" w:rsidRPr="00EA4CC4">
              <w:rPr>
                <w:color w:val="000000"/>
                <w:sz w:val="22"/>
                <w:szCs w:val="22"/>
              </w:rPr>
              <w:t>(</w:t>
            </w:r>
            <w:r w:rsidRPr="00EA4CC4">
              <w:rPr>
                <w:color w:val="000000"/>
                <w:sz w:val="22"/>
                <w:szCs w:val="22"/>
              </w:rPr>
              <w:t xml:space="preserve">Trade Marks </w:t>
            </w:r>
            <w:proofErr w:type="spellStart"/>
            <w:r w:rsidRPr="00EA4CC4">
              <w:rPr>
                <w:color w:val="000000"/>
                <w:sz w:val="22"/>
                <w:szCs w:val="22"/>
              </w:rPr>
              <w:t>Act</w:t>
            </w:r>
            <w:proofErr w:type="spellEnd"/>
            <w:r w:rsidRPr="00EA4CC4">
              <w:rPr>
                <w:color w:val="000000"/>
                <w:sz w:val="22"/>
                <w:szCs w:val="22"/>
              </w:rPr>
              <w:t xml:space="preserve"> 1976 (</w:t>
            </w:r>
            <w:proofErr w:type="spellStart"/>
            <w:r w:rsidR="00E155C5" w:rsidRPr="00EA4CC4">
              <w:rPr>
                <w:color w:val="000000"/>
                <w:sz w:val="22"/>
                <w:szCs w:val="22"/>
              </w:rPr>
              <w:t>A</w:t>
            </w:r>
            <w:r w:rsidRPr="00EA4CC4">
              <w:rPr>
                <w:color w:val="000000"/>
                <w:sz w:val="22"/>
                <w:szCs w:val="22"/>
              </w:rPr>
              <w:t>ct</w:t>
            </w:r>
            <w:proofErr w:type="spellEnd"/>
            <w:r w:rsidRPr="00EA4CC4">
              <w:rPr>
                <w:color w:val="000000"/>
                <w:sz w:val="22"/>
                <w:szCs w:val="22"/>
              </w:rPr>
              <w:t xml:space="preserve"> 175)</w:t>
            </w:r>
            <w:r w:rsidR="00E155C5" w:rsidRPr="00EA4CC4">
              <w:rPr>
                <w:color w:val="000000"/>
                <w:sz w:val="22"/>
                <w:szCs w:val="22"/>
              </w:rPr>
              <w:t>)</w:t>
            </w:r>
            <w:r w:rsidR="007C43FA">
              <w:rPr>
                <w:color w:val="000000"/>
                <w:sz w:val="22"/>
                <w:szCs w:val="22"/>
              </w:rPr>
              <w:t xml:space="preserve">, </w:t>
            </w:r>
            <w:r w:rsidRPr="00EA4CC4">
              <w:rPr>
                <w:color w:val="000000"/>
                <w:sz w:val="22"/>
                <w:szCs w:val="22"/>
              </w:rPr>
              <w:t>complétée en 1997 par la publication d</w:t>
            </w:r>
            <w:r w:rsidR="007C43FA">
              <w:rPr>
                <w:color w:val="000000"/>
                <w:sz w:val="22"/>
                <w:szCs w:val="22"/>
              </w:rPr>
              <w:t xml:space="preserve">es </w:t>
            </w:r>
            <w:r w:rsidRPr="00EA4CC4">
              <w:rPr>
                <w:i/>
                <w:color w:val="000000"/>
                <w:sz w:val="22"/>
                <w:szCs w:val="22"/>
              </w:rPr>
              <w:t xml:space="preserve">Trade Marks </w:t>
            </w:r>
            <w:proofErr w:type="spellStart"/>
            <w:r w:rsidRPr="00EA4CC4">
              <w:rPr>
                <w:i/>
                <w:color w:val="000000"/>
                <w:sz w:val="22"/>
                <w:szCs w:val="22"/>
              </w:rPr>
              <w:t>Regulations</w:t>
            </w:r>
            <w:proofErr w:type="spellEnd"/>
            <w:r w:rsidRPr="00EA4CC4">
              <w:rPr>
                <w:color w:val="000000"/>
                <w:sz w:val="22"/>
                <w:szCs w:val="22"/>
              </w:rPr>
              <w:t xml:space="preserve"> 1997</w:t>
            </w:r>
            <w:r w:rsidR="007C43FA">
              <w:rPr>
                <w:color w:val="000000"/>
                <w:sz w:val="22"/>
                <w:szCs w:val="22"/>
              </w:rPr>
              <w:t xml:space="preserve"> et </w:t>
            </w:r>
            <w:r w:rsidR="0019230D">
              <w:rPr>
                <w:color w:val="000000"/>
                <w:sz w:val="22"/>
                <w:szCs w:val="22"/>
              </w:rPr>
              <w:t>du</w:t>
            </w:r>
            <w:r w:rsidRPr="00EA4CC4">
              <w:rPr>
                <w:color w:val="000000"/>
                <w:sz w:val="22"/>
                <w:szCs w:val="22"/>
              </w:rPr>
              <w:t xml:space="preserve"> Trade Descriptions </w:t>
            </w:r>
            <w:proofErr w:type="spellStart"/>
            <w:r w:rsidRPr="00EA4CC4">
              <w:rPr>
                <w:color w:val="000000"/>
                <w:sz w:val="22"/>
                <w:szCs w:val="22"/>
              </w:rPr>
              <w:t>Act</w:t>
            </w:r>
            <w:proofErr w:type="spellEnd"/>
            <w:r w:rsidRPr="00EA4CC4">
              <w:rPr>
                <w:color w:val="000000"/>
                <w:sz w:val="22"/>
                <w:szCs w:val="22"/>
              </w:rPr>
              <w:t xml:space="preserve"> 2011</w:t>
            </w:r>
            <w:r w:rsidRPr="00EA4CC4">
              <w:rPr>
                <w:sz w:val="22"/>
                <w:szCs w:val="22"/>
              </w:rPr>
              <w:t xml:space="preserve">. </w:t>
            </w:r>
            <w:r w:rsidR="00E155C5" w:rsidRPr="00EA4CC4">
              <w:rPr>
                <w:sz w:val="22"/>
                <w:szCs w:val="22"/>
              </w:rPr>
              <w:t>En 2007, l</w:t>
            </w:r>
            <w:r w:rsidRPr="00EA4CC4">
              <w:rPr>
                <w:sz w:val="22"/>
                <w:szCs w:val="22"/>
              </w:rPr>
              <w:t xml:space="preserve">a Malaisie </w:t>
            </w:r>
            <w:r w:rsidRPr="00EA4CC4">
              <w:rPr>
                <w:color w:val="000000"/>
                <w:sz w:val="22"/>
                <w:szCs w:val="22"/>
              </w:rPr>
              <w:t>a signé</w:t>
            </w:r>
            <w:r w:rsidR="00E155C5" w:rsidRPr="00EA4CC4">
              <w:rPr>
                <w:color w:val="000000"/>
                <w:sz w:val="22"/>
                <w:szCs w:val="22"/>
              </w:rPr>
              <w:t xml:space="preserve"> </w:t>
            </w:r>
            <w:r w:rsidRPr="00EA4CC4">
              <w:rPr>
                <w:color w:val="000000"/>
                <w:sz w:val="22"/>
                <w:szCs w:val="22"/>
              </w:rPr>
              <w:t>l’accord de Vienne (1985) sur la classification internationale des éléments figuratifs des marques.</w:t>
            </w:r>
            <w:r w:rsidRPr="00EA4CC4">
              <w:rPr>
                <w:color w:val="365F91"/>
                <w:sz w:val="22"/>
                <w:szCs w:val="22"/>
              </w:rPr>
              <w:t xml:space="preserve"> </w:t>
            </w:r>
            <w:r w:rsidRPr="00EA4CC4">
              <w:rPr>
                <w:color w:val="000000"/>
                <w:sz w:val="22"/>
                <w:szCs w:val="22"/>
              </w:rPr>
              <w:t xml:space="preserve">L’enregistrement d’une marque est valable 10 ans et peut être renouvelé sans limite dans le temps, par période de dix ans. A la différence du système français, les dépôts de marque en Malaisie sont des dépôts mono-classe et non multi-classe. </w:t>
            </w:r>
            <w:r w:rsidR="0019230D">
              <w:rPr>
                <w:color w:val="000000"/>
                <w:sz w:val="22"/>
                <w:szCs w:val="22"/>
              </w:rPr>
              <w:t>L</w:t>
            </w:r>
            <w:r w:rsidR="00335239" w:rsidRPr="00EA4CC4">
              <w:rPr>
                <w:color w:val="000000"/>
                <w:sz w:val="22"/>
                <w:szCs w:val="22"/>
              </w:rPr>
              <w:t>’e</w:t>
            </w:r>
            <w:r w:rsidRPr="00EA4CC4">
              <w:rPr>
                <w:color w:val="000000"/>
                <w:sz w:val="22"/>
                <w:szCs w:val="22"/>
              </w:rPr>
              <w:t>nregistrement en Malaisie suit le principe du « premier à utiliser » (principe issu d</w:t>
            </w:r>
            <w:r w:rsidR="00E155C5" w:rsidRPr="00EA4CC4">
              <w:rPr>
                <w:color w:val="000000"/>
                <w:sz w:val="22"/>
                <w:szCs w:val="22"/>
              </w:rPr>
              <w:t xml:space="preserve">e la </w:t>
            </w:r>
            <w:r w:rsidRPr="00EA4CC4">
              <w:rPr>
                <w:color w:val="000000"/>
                <w:sz w:val="22"/>
                <w:szCs w:val="22"/>
              </w:rPr>
              <w:t xml:space="preserve"> </w:t>
            </w:r>
            <w:r w:rsidR="00E155C5" w:rsidRPr="00EA4CC4">
              <w:rPr>
                <w:color w:val="000000"/>
                <w:sz w:val="22"/>
                <w:szCs w:val="22"/>
              </w:rPr>
              <w:t>« </w:t>
            </w:r>
            <w:proofErr w:type="spellStart"/>
            <w:r w:rsidR="00E155C5" w:rsidRPr="00EA4CC4">
              <w:rPr>
                <w:color w:val="000000"/>
                <w:sz w:val="22"/>
                <w:szCs w:val="22"/>
              </w:rPr>
              <w:t>c</w:t>
            </w:r>
            <w:r w:rsidRPr="00EA4CC4">
              <w:rPr>
                <w:color w:val="000000"/>
                <w:sz w:val="22"/>
                <w:szCs w:val="22"/>
              </w:rPr>
              <w:t>ommon</w:t>
            </w:r>
            <w:proofErr w:type="spellEnd"/>
            <w:r w:rsidRPr="00EA4CC4">
              <w:rPr>
                <w:color w:val="000000"/>
                <w:sz w:val="22"/>
                <w:szCs w:val="22"/>
              </w:rPr>
              <w:t xml:space="preserve"> </w:t>
            </w:r>
            <w:proofErr w:type="spellStart"/>
            <w:r w:rsidR="00E155C5" w:rsidRPr="00EA4CC4">
              <w:rPr>
                <w:color w:val="000000"/>
                <w:sz w:val="22"/>
                <w:szCs w:val="22"/>
              </w:rPr>
              <w:t>l</w:t>
            </w:r>
            <w:r w:rsidRPr="00EA4CC4">
              <w:rPr>
                <w:color w:val="000000"/>
                <w:sz w:val="22"/>
                <w:szCs w:val="22"/>
              </w:rPr>
              <w:t>aw</w:t>
            </w:r>
            <w:proofErr w:type="spellEnd"/>
            <w:r w:rsidR="00E155C5" w:rsidRPr="00EA4CC4">
              <w:rPr>
                <w:color w:val="000000"/>
                <w:sz w:val="22"/>
                <w:szCs w:val="22"/>
              </w:rPr>
              <w:t> »</w:t>
            </w:r>
            <w:r w:rsidRPr="00EA4CC4">
              <w:rPr>
                <w:color w:val="000000"/>
                <w:sz w:val="22"/>
                <w:szCs w:val="22"/>
              </w:rPr>
              <w:t xml:space="preserve">) et non du « premier à déposer ».  </w:t>
            </w:r>
          </w:p>
          <w:p w:rsidR="00E3782C" w:rsidRDefault="00E3782C" w:rsidP="00B5200A">
            <w:pPr>
              <w:autoSpaceDE w:val="0"/>
              <w:autoSpaceDN w:val="0"/>
              <w:adjustRightInd w:val="0"/>
              <w:jc w:val="both"/>
              <w:rPr>
                <w:color w:val="000000"/>
                <w:sz w:val="22"/>
                <w:szCs w:val="22"/>
              </w:rPr>
            </w:pPr>
          </w:p>
          <w:p w:rsidR="00C10B85" w:rsidRDefault="00B5200A" w:rsidP="00D55FF6">
            <w:pPr>
              <w:autoSpaceDE w:val="0"/>
              <w:autoSpaceDN w:val="0"/>
              <w:adjustRightInd w:val="0"/>
              <w:jc w:val="both"/>
              <w:rPr>
                <w:sz w:val="22"/>
                <w:szCs w:val="22"/>
              </w:rPr>
            </w:pPr>
            <w:r w:rsidRPr="00EA4CC4">
              <w:rPr>
                <w:color w:val="000000"/>
                <w:sz w:val="22"/>
                <w:szCs w:val="22"/>
                <w:u w:val="single"/>
              </w:rPr>
              <w:t>• Les Indications Géographiques</w:t>
            </w:r>
            <w:r w:rsidR="00D55FF6" w:rsidRPr="00EA4CC4">
              <w:rPr>
                <w:color w:val="000000"/>
                <w:sz w:val="22"/>
                <w:szCs w:val="22"/>
                <w:u w:val="single"/>
              </w:rPr>
              <w:t> :</w:t>
            </w:r>
            <w:r w:rsidR="00D55FF6" w:rsidRPr="00EA4CC4">
              <w:rPr>
                <w:color w:val="000000"/>
                <w:sz w:val="22"/>
                <w:szCs w:val="22"/>
              </w:rPr>
              <w:t xml:space="preserve"> </w:t>
            </w:r>
            <w:r w:rsidRPr="00EA4CC4">
              <w:rPr>
                <w:sz w:val="22"/>
                <w:szCs w:val="22"/>
              </w:rPr>
              <w:t xml:space="preserve">Concernant les </w:t>
            </w:r>
            <w:r w:rsidRPr="00EA4CC4">
              <w:rPr>
                <w:b/>
                <w:bCs/>
                <w:sz w:val="22"/>
                <w:szCs w:val="22"/>
              </w:rPr>
              <w:t>indications géographiques (IG)</w:t>
            </w:r>
            <w:r w:rsidRPr="00EA4CC4">
              <w:rPr>
                <w:sz w:val="22"/>
                <w:szCs w:val="22"/>
              </w:rPr>
              <w:t>, l</w:t>
            </w:r>
            <w:r w:rsidRPr="00EA4CC4">
              <w:rPr>
                <w:color w:val="000000"/>
                <w:sz w:val="22"/>
                <w:szCs w:val="22"/>
              </w:rPr>
              <w:t xml:space="preserve">a Malaisie est l’un des premiers pays d’Asie du Sud-est à avoir mis en place une législation au travers du </w:t>
            </w:r>
            <w:proofErr w:type="spellStart"/>
            <w:r w:rsidRPr="00EA4CC4">
              <w:rPr>
                <w:i/>
                <w:color w:val="000000"/>
                <w:sz w:val="22"/>
                <w:szCs w:val="22"/>
              </w:rPr>
              <w:t>Geographical</w:t>
            </w:r>
            <w:proofErr w:type="spellEnd"/>
            <w:r w:rsidRPr="00EA4CC4">
              <w:rPr>
                <w:i/>
                <w:color w:val="000000"/>
                <w:sz w:val="22"/>
                <w:szCs w:val="22"/>
              </w:rPr>
              <w:t xml:space="preserve"> Indications </w:t>
            </w:r>
            <w:proofErr w:type="spellStart"/>
            <w:r w:rsidRPr="00EA4CC4">
              <w:rPr>
                <w:i/>
                <w:color w:val="000000"/>
                <w:sz w:val="22"/>
                <w:szCs w:val="22"/>
              </w:rPr>
              <w:t>Act</w:t>
            </w:r>
            <w:proofErr w:type="spellEnd"/>
            <w:r w:rsidRPr="00EA4CC4">
              <w:rPr>
                <w:color w:val="000000"/>
                <w:sz w:val="22"/>
                <w:szCs w:val="22"/>
              </w:rPr>
              <w:t xml:space="preserve"> 2000 (</w:t>
            </w:r>
            <w:proofErr w:type="spellStart"/>
            <w:r w:rsidRPr="00EA4CC4">
              <w:rPr>
                <w:color w:val="000000"/>
                <w:sz w:val="22"/>
                <w:szCs w:val="22"/>
              </w:rPr>
              <w:t>Act</w:t>
            </w:r>
            <w:proofErr w:type="spellEnd"/>
            <w:r w:rsidRPr="00EA4CC4">
              <w:rPr>
                <w:color w:val="000000"/>
                <w:sz w:val="22"/>
                <w:szCs w:val="22"/>
              </w:rPr>
              <w:t xml:space="preserve"> 602)</w:t>
            </w:r>
            <w:r w:rsidRPr="00EA4CC4">
              <w:rPr>
                <w:sz w:val="22"/>
                <w:szCs w:val="22"/>
              </w:rPr>
              <w:t xml:space="preserve">, amendé en 2002. </w:t>
            </w:r>
            <w:r w:rsidR="00C3261B" w:rsidRPr="00EA4CC4">
              <w:rPr>
                <w:sz w:val="22"/>
                <w:szCs w:val="22"/>
              </w:rPr>
              <w:t>G</w:t>
            </w:r>
            <w:r w:rsidRPr="00EA4CC4">
              <w:rPr>
                <w:sz w:val="22"/>
                <w:szCs w:val="22"/>
              </w:rPr>
              <w:t xml:space="preserve">éré par l’Office de Propriété Intellectuelle, </w:t>
            </w:r>
            <w:proofErr w:type="spellStart"/>
            <w:r w:rsidRPr="00EA4CC4">
              <w:rPr>
                <w:sz w:val="22"/>
                <w:szCs w:val="22"/>
              </w:rPr>
              <w:t>MyIPO</w:t>
            </w:r>
            <w:proofErr w:type="spellEnd"/>
            <w:r w:rsidR="00C3261B" w:rsidRPr="00EA4CC4">
              <w:rPr>
                <w:sz w:val="22"/>
                <w:szCs w:val="22"/>
              </w:rPr>
              <w:t>, l</w:t>
            </w:r>
            <w:r w:rsidRPr="00EA4CC4">
              <w:rPr>
                <w:sz w:val="22"/>
                <w:szCs w:val="22"/>
              </w:rPr>
              <w:t xml:space="preserve">e système d’enregistrement des IG en Malaisie diffère du système européen dans la mesure où il n’est pas imposé que ce soit un organisme représentant plusieurs producteurs qui dépose la demande d’enregistrement. Un simple producteur peut faire le dépôt. </w:t>
            </w:r>
            <w:r w:rsidR="009C1673">
              <w:rPr>
                <w:sz w:val="22"/>
                <w:szCs w:val="22"/>
              </w:rPr>
              <w:t>A</w:t>
            </w:r>
            <w:r w:rsidRPr="00EA4CC4">
              <w:rPr>
                <w:sz w:val="22"/>
                <w:szCs w:val="22"/>
              </w:rPr>
              <w:t xml:space="preserve">ucun organisme de contrôle indépendant n’est imposé pour s’assurer que les producteurs utilisant l’IG enregistrée produisent des produits respectant le cahier des charges tel que défini pour ladite IG. La protection pour les </w:t>
            </w:r>
            <w:r w:rsidR="00137794" w:rsidRPr="00EA4CC4">
              <w:rPr>
                <w:sz w:val="22"/>
                <w:szCs w:val="22"/>
              </w:rPr>
              <w:t xml:space="preserve">IG </w:t>
            </w:r>
            <w:r w:rsidRPr="00EA4CC4">
              <w:rPr>
                <w:sz w:val="22"/>
                <w:szCs w:val="22"/>
              </w:rPr>
              <w:t>enregistrées en Malaisie est de 10 ans, renouvelable tous les 10 ans tant qu’elle est encore utilisée.</w:t>
            </w:r>
          </w:p>
          <w:p w:rsidR="00E3782C" w:rsidRDefault="00E3782C" w:rsidP="00D55FF6">
            <w:pPr>
              <w:autoSpaceDE w:val="0"/>
              <w:autoSpaceDN w:val="0"/>
              <w:adjustRightInd w:val="0"/>
              <w:jc w:val="both"/>
              <w:rPr>
                <w:sz w:val="22"/>
                <w:szCs w:val="22"/>
              </w:rPr>
            </w:pPr>
          </w:p>
          <w:p w:rsidR="00B5200A" w:rsidRPr="00EA4CC4" w:rsidRDefault="00B5200A" w:rsidP="008A5D46">
            <w:pPr>
              <w:autoSpaceDE w:val="0"/>
              <w:autoSpaceDN w:val="0"/>
              <w:adjustRightInd w:val="0"/>
              <w:jc w:val="both"/>
              <w:rPr>
                <w:sz w:val="22"/>
                <w:szCs w:val="22"/>
              </w:rPr>
            </w:pPr>
            <w:r w:rsidRPr="00EA4CC4">
              <w:rPr>
                <w:sz w:val="22"/>
                <w:szCs w:val="22"/>
                <w:u w:val="single"/>
              </w:rPr>
              <w:t>• La protection des secrets commerciaux</w:t>
            </w:r>
            <w:r w:rsidR="00D55FF6" w:rsidRPr="00EA4CC4">
              <w:rPr>
                <w:sz w:val="22"/>
                <w:szCs w:val="22"/>
                <w:u w:val="single"/>
              </w:rPr>
              <w:t> :</w:t>
            </w:r>
            <w:r w:rsidR="00D55FF6" w:rsidRPr="00EA4CC4">
              <w:rPr>
                <w:sz w:val="22"/>
                <w:szCs w:val="22"/>
              </w:rPr>
              <w:t xml:space="preserve"> </w:t>
            </w:r>
            <w:r w:rsidRPr="00EA4CC4">
              <w:rPr>
                <w:sz w:val="22"/>
                <w:szCs w:val="22"/>
              </w:rPr>
              <w:t xml:space="preserve">les secrets commerciaux sont reconnus en Malaisie </w:t>
            </w:r>
            <w:r w:rsidR="00947634" w:rsidRPr="00EA4CC4">
              <w:rPr>
                <w:sz w:val="22"/>
                <w:szCs w:val="22"/>
              </w:rPr>
              <w:t xml:space="preserve"> </w:t>
            </w:r>
            <w:r w:rsidR="00947634">
              <w:rPr>
                <w:sz w:val="22"/>
                <w:szCs w:val="22"/>
              </w:rPr>
              <w:t>et e</w:t>
            </w:r>
            <w:r w:rsidR="00947634" w:rsidRPr="00EA4CC4">
              <w:rPr>
                <w:sz w:val="22"/>
                <w:szCs w:val="22"/>
              </w:rPr>
              <w:t>n théorie, peuvent durer éternellement tant que l’information n’est pas tombée dans le domaine public.</w:t>
            </w:r>
            <w:r w:rsidR="00947634">
              <w:rPr>
                <w:sz w:val="22"/>
                <w:szCs w:val="22"/>
              </w:rPr>
              <w:t xml:space="preserve"> </w:t>
            </w:r>
            <w:r w:rsidR="00643495">
              <w:rPr>
                <w:sz w:val="22"/>
                <w:szCs w:val="22"/>
              </w:rPr>
              <w:t>En cas de litige, la protection sera accordée si</w:t>
            </w:r>
            <w:r w:rsidR="00947634">
              <w:rPr>
                <w:sz w:val="22"/>
                <w:szCs w:val="22"/>
              </w:rPr>
              <w:t xml:space="preserve"> 3 critères sont remplis : </w:t>
            </w:r>
            <w:r w:rsidR="008A5D46">
              <w:rPr>
                <w:sz w:val="22"/>
                <w:szCs w:val="22"/>
              </w:rPr>
              <w:t>l</w:t>
            </w:r>
            <w:r w:rsidRPr="00EA4CC4">
              <w:rPr>
                <w:sz w:val="22"/>
                <w:szCs w:val="22"/>
              </w:rPr>
              <w:t>’information a un caractère confidentiel et ne doit pas être généralement connue du public ;</w:t>
            </w:r>
            <w:r w:rsidR="008A5D46">
              <w:rPr>
                <w:sz w:val="22"/>
                <w:szCs w:val="22"/>
              </w:rPr>
              <w:t xml:space="preserve"> l</w:t>
            </w:r>
            <w:r w:rsidRPr="00EA4CC4">
              <w:rPr>
                <w:sz w:val="22"/>
                <w:szCs w:val="22"/>
              </w:rPr>
              <w:t xml:space="preserve">e bénéficiaire de l’information doit être conscient de son obligation de confidentialité (i.e. si un accord de confidentialité a été signé) ; </w:t>
            </w:r>
          </w:p>
          <w:p w:rsidR="00B5200A" w:rsidRDefault="008A5D46" w:rsidP="006C6A78">
            <w:pPr>
              <w:autoSpaceDE w:val="0"/>
              <w:autoSpaceDN w:val="0"/>
              <w:adjustRightInd w:val="0"/>
              <w:jc w:val="both"/>
              <w:rPr>
                <w:color w:val="000000"/>
                <w:sz w:val="22"/>
                <w:szCs w:val="22"/>
              </w:rPr>
            </w:pPr>
            <w:r>
              <w:rPr>
                <w:sz w:val="22"/>
                <w:szCs w:val="22"/>
              </w:rPr>
              <w:t>l</w:t>
            </w:r>
            <w:r w:rsidR="00B5200A" w:rsidRPr="00EA4CC4">
              <w:rPr>
                <w:sz w:val="22"/>
                <w:szCs w:val="22"/>
              </w:rPr>
              <w:t xml:space="preserve">’information a été utilisée sans autorisation au détriment du détenteur du secret commercial ou de son activité. </w:t>
            </w:r>
          </w:p>
          <w:p w:rsidR="00E3782C" w:rsidRDefault="00E3782C" w:rsidP="00B5200A">
            <w:pPr>
              <w:autoSpaceDE w:val="0"/>
              <w:autoSpaceDN w:val="0"/>
              <w:adjustRightInd w:val="0"/>
              <w:jc w:val="both"/>
              <w:rPr>
                <w:color w:val="000000"/>
                <w:sz w:val="22"/>
                <w:szCs w:val="22"/>
              </w:rPr>
            </w:pPr>
          </w:p>
          <w:p w:rsidR="00516592" w:rsidRDefault="00B5200A" w:rsidP="00DA2F58">
            <w:pPr>
              <w:autoSpaceDE w:val="0"/>
              <w:autoSpaceDN w:val="0"/>
              <w:adjustRightInd w:val="0"/>
              <w:jc w:val="both"/>
              <w:rPr>
                <w:color w:val="000000"/>
                <w:sz w:val="22"/>
                <w:szCs w:val="22"/>
              </w:rPr>
            </w:pPr>
            <w:r w:rsidRPr="00EA4CC4">
              <w:rPr>
                <w:color w:val="000000"/>
                <w:sz w:val="22"/>
                <w:szCs w:val="22"/>
                <w:u w:val="single"/>
              </w:rPr>
              <w:t>• Le régime de licences pour les fabricants de disques optiques</w:t>
            </w:r>
            <w:r w:rsidR="00D55FF6" w:rsidRPr="00EA4CC4">
              <w:rPr>
                <w:color w:val="000000"/>
                <w:sz w:val="22"/>
                <w:szCs w:val="22"/>
                <w:u w:val="single"/>
              </w:rPr>
              <w:t> :</w:t>
            </w:r>
            <w:r w:rsidR="00D55FF6" w:rsidRPr="00EA4CC4">
              <w:rPr>
                <w:color w:val="000000"/>
                <w:sz w:val="22"/>
                <w:szCs w:val="22"/>
              </w:rPr>
              <w:t xml:space="preserve"> </w:t>
            </w:r>
            <w:r w:rsidRPr="00EA4CC4">
              <w:rPr>
                <w:color w:val="000000"/>
                <w:sz w:val="22"/>
                <w:szCs w:val="22"/>
              </w:rPr>
              <w:t xml:space="preserve">Pour lutter de manière plus spécifique contre la piraterie sous forme de disques optiques, la Malaisie a adopté </w:t>
            </w:r>
            <w:r w:rsidRPr="00EA4CC4">
              <w:rPr>
                <w:i/>
                <w:color w:val="000000"/>
                <w:sz w:val="22"/>
                <w:szCs w:val="22"/>
              </w:rPr>
              <w:t xml:space="preserve">l'Optical Discs </w:t>
            </w:r>
            <w:proofErr w:type="spellStart"/>
            <w:r w:rsidRPr="00EA4CC4">
              <w:rPr>
                <w:i/>
                <w:color w:val="000000"/>
                <w:sz w:val="22"/>
                <w:szCs w:val="22"/>
              </w:rPr>
              <w:t>Act</w:t>
            </w:r>
            <w:proofErr w:type="spellEnd"/>
            <w:r w:rsidRPr="00EA4CC4">
              <w:rPr>
                <w:color w:val="000000"/>
                <w:sz w:val="22"/>
                <w:szCs w:val="22"/>
              </w:rPr>
              <w:t xml:space="preserve"> 2000 (</w:t>
            </w:r>
            <w:proofErr w:type="spellStart"/>
            <w:r w:rsidRPr="00EA4CC4">
              <w:rPr>
                <w:color w:val="000000"/>
                <w:sz w:val="22"/>
                <w:szCs w:val="22"/>
              </w:rPr>
              <w:t>Act</w:t>
            </w:r>
            <w:proofErr w:type="spellEnd"/>
            <w:r w:rsidRPr="00EA4CC4">
              <w:rPr>
                <w:color w:val="000000"/>
                <w:sz w:val="22"/>
                <w:szCs w:val="22"/>
              </w:rPr>
              <w:t xml:space="preserve"> 606), entrée en vigueur le 15 septembre 2000. Outre l’aspect régime de licences, cette loi instaure un contrôle des fabrications et une régulation du marché. </w:t>
            </w:r>
          </w:p>
          <w:p w:rsidR="00E3782C" w:rsidRPr="008F161A" w:rsidRDefault="00E3782C" w:rsidP="00DA2F58">
            <w:pPr>
              <w:autoSpaceDE w:val="0"/>
              <w:autoSpaceDN w:val="0"/>
              <w:adjustRightInd w:val="0"/>
              <w:jc w:val="both"/>
              <w:rPr>
                <w:color w:val="FF0000"/>
              </w:rPr>
            </w:pPr>
          </w:p>
        </w:tc>
      </w:tr>
    </w:tbl>
    <w:tbl>
      <w:tblPr>
        <w:tblW w:w="10206" w:type="dxa"/>
        <w:tblInd w:w="70" w:type="dxa"/>
        <w:tblBorders>
          <w:top w:val="single" w:sz="4" w:space="0" w:color="FF9900"/>
        </w:tblBorders>
        <w:tblLayout w:type="fixed"/>
        <w:tblCellMar>
          <w:left w:w="70" w:type="dxa"/>
          <w:right w:w="70" w:type="dxa"/>
        </w:tblCellMar>
        <w:tblLook w:val="0000" w:firstRow="0" w:lastRow="0" w:firstColumn="0" w:lastColumn="0" w:noHBand="0" w:noVBand="0"/>
      </w:tblPr>
      <w:tblGrid>
        <w:gridCol w:w="2624"/>
        <w:gridCol w:w="1701"/>
        <w:gridCol w:w="2268"/>
        <w:gridCol w:w="3613"/>
      </w:tblGrid>
      <w:tr w:rsidR="004018FB" w:rsidRPr="009B1630" w:rsidTr="004A1BB5">
        <w:tc>
          <w:tcPr>
            <w:tcW w:w="2624" w:type="dxa"/>
            <w:tcBorders>
              <w:top w:val="single" w:sz="4" w:space="0" w:color="2A2755"/>
              <w:bottom w:val="nil"/>
            </w:tcBorders>
            <w:shd w:val="clear" w:color="auto" w:fill="E1A800"/>
          </w:tcPr>
          <w:p w:rsidR="004018FB" w:rsidRPr="00415D0E" w:rsidRDefault="008574EF" w:rsidP="008574EF">
            <w:pPr>
              <w:pStyle w:val="Titre2"/>
              <w:keepNext w:val="0"/>
              <w:spacing w:line="240" w:lineRule="atLeast"/>
              <w:rPr>
                <w:color w:val="2A2755"/>
              </w:rPr>
            </w:pPr>
            <w:r>
              <w:rPr>
                <w:color w:val="2A2755"/>
              </w:rPr>
              <w:t>Les principaux acteurs locaux</w:t>
            </w:r>
          </w:p>
        </w:tc>
        <w:tc>
          <w:tcPr>
            <w:tcW w:w="7582" w:type="dxa"/>
            <w:gridSpan w:val="3"/>
            <w:tcBorders>
              <w:top w:val="single" w:sz="4" w:space="0" w:color="2A2755"/>
              <w:bottom w:val="nil"/>
            </w:tcBorders>
            <w:shd w:val="clear" w:color="auto" w:fill="auto"/>
          </w:tcPr>
          <w:p w:rsidR="004018FB" w:rsidRPr="008F161A" w:rsidRDefault="00B5200A" w:rsidP="00501C29">
            <w:pPr>
              <w:pStyle w:val="Titre3"/>
              <w:keepNext w:val="0"/>
              <w:spacing w:line="240" w:lineRule="atLeast"/>
              <w:ind w:left="130"/>
              <w:jc w:val="both"/>
              <w:rPr>
                <w:rFonts w:ascii="Times New Roman" w:hAnsi="Times New Roman" w:cs="Times New Roman"/>
                <w:color w:val="FF0000"/>
                <w:sz w:val="28"/>
                <w:szCs w:val="28"/>
              </w:rPr>
            </w:pPr>
            <w:proofErr w:type="spellStart"/>
            <w:r w:rsidRPr="00B5200A">
              <w:rPr>
                <w:rFonts w:ascii="Times New Roman" w:hAnsi="Times New Roman" w:cs="Times New Roman"/>
                <w:sz w:val="28"/>
                <w:szCs w:val="28"/>
              </w:rPr>
              <w:t>MyIPO</w:t>
            </w:r>
            <w:proofErr w:type="spellEnd"/>
            <w:r w:rsidRPr="00B5200A">
              <w:rPr>
                <w:rFonts w:ascii="Times New Roman" w:hAnsi="Times New Roman" w:cs="Times New Roman"/>
                <w:sz w:val="28"/>
                <w:szCs w:val="28"/>
              </w:rPr>
              <w:t xml:space="preserve"> au cœur du dispositif</w:t>
            </w:r>
            <w:r w:rsidR="00A81053">
              <w:rPr>
                <w:rFonts w:ascii="Times New Roman" w:hAnsi="Times New Roman" w:cs="Times New Roman"/>
                <w:sz w:val="28"/>
                <w:szCs w:val="28"/>
              </w:rPr>
              <w:t xml:space="preserve"> PI malaisien</w:t>
            </w:r>
          </w:p>
        </w:tc>
      </w:tr>
      <w:tr w:rsidR="004018FB" w:rsidRPr="00D5161D" w:rsidTr="004A1BB5">
        <w:tc>
          <w:tcPr>
            <w:tcW w:w="2624" w:type="dxa"/>
            <w:tcBorders>
              <w:top w:val="nil"/>
              <w:bottom w:val="nil"/>
            </w:tcBorders>
          </w:tcPr>
          <w:p w:rsidR="00E16C96" w:rsidRDefault="00E16C96"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30420C" w:rsidRDefault="0030420C" w:rsidP="00CD3FBB">
            <w:pPr>
              <w:overflowPunct w:val="0"/>
              <w:autoSpaceDE w:val="0"/>
              <w:autoSpaceDN w:val="0"/>
              <w:adjustRightInd w:val="0"/>
              <w:jc w:val="both"/>
              <w:textAlignment w:val="baseline"/>
              <w:rPr>
                <w:sz w:val="20"/>
                <w:szCs w:val="20"/>
              </w:rPr>
            </w:pPr>
          </w:p>
          <w:p w:rsidR="00461394" w:rsidRDefault="006B6009" w:rsidP="00E16C96">
            <w:pPr>
              <w:jc w:val="center"/>
              <w:rPr>
                <w:rFonts w:cs="Arial"/>
                <w:color w:val="000000"/>
                <w:sz w:val="22"/>
                <w:szCs w:val="22"/>
              </w:rPr>
            </w:pPr>
            <w:r>
              <w:rPr>
                <w:noProof/>
              </w:rPr>
              <w:drawing>
                <wp:inline distT="0" distB="0" distL="0" distR="0" wp14:anchorId="4AFE012A" wp14:editId="7B8283A7">
                  <wp:extent cx="1577340" cy="565150"/>
                  <wp:effectExtent l="0" t="0" r="381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577340" cy="565150"/>
                          </a:xfrm>
                          <a:prstGeom prst="rect">
                            <a:avLst/>
                          </a:prstGeom>
                        </pic:spPr>
                      </pic:pic>
                    </a:graphicData>
                  </a:graphic>
                </wp:inline>
              </w:drawing>
            </w:r>
          </w:p>
          <w:p w:rsidR="00461394" w:rsidRPr="005916CF" w:rsidRDefault="0030420C" w:rsidP="00BD1584">
            <w:pPr>
              <w:rPr>
                <w:rFonts w:ascii="Arial" w:hAnsi="Arial" w:cs="Arial"/>
                <w:sz w:val="16"/>
                <w:szCs w:val="16"/>
              </w:rPr>
            </w:pPr>
            <w:hyperlink r:id="rId18" w:history="1">
              <w:r w:rsidR="00461394" w:rsidRPr="005916CF">
                <w:rPr>
                  <w:rStyle w:val="Lienhypertexte"/>
                  <w:rFonts w:ascii="Arial" w:hAnsi="Arial" w:cs="Arial"/>
                  <w:szCs w:val="16"/>
                </w:rPr>
                <w:t>http://www.kpdnkk.gov.my/index.php/en/</w:t>
              </w:r>
            </w:hyperlink>
            <w:r w:rsidR="00461394" w:rsidRPr="005916CF">
              <w:rPr>
                <w:rFonts w:ascii="Arial" w:hAnsi="Arial" w:cs="Arial"/>
                <w:sz w:val="16"/>
                <w:szCs w:val="16"/>
              </w:rPr>
              <w:t xml:space="preserve"> </w:t>
            </w:r>
          </w:p>
          <w:p w:rsidR="00E153B6" w:rsidRDefault="00E153B6" w:rsidP="00BD1584">
            <w:pPr>
              <w:rPr>
                <w:sz w:val="22"/>
                <w:szCs w:val="22"/>
              </w:rPr>
            </w:pPr>
            <w:r>
              <w:rPr>
                <w:noProof/>
              </w:rPr>
              <w:drawing>
                <wp:inline distT="0" distB="0" distL="0" distR="0" wp14:anchorId="5F157DB3" wp14:editId="69E74484">
                  <wp:extent cx="1390650" cy="504825"/>
                  <wp:effectExtent l="0" t="0" r="0"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90650" cy="504825"/>
                          </a:xfrm>
                          <a:prstGeom prst="rect">
                            <a:avLst/>
                          </a:prstGeom>
                        </pic:spPr>
                      </pic:pic>
                    </a:graphicData>
                  </a:graphic>
                </wp:inline>
              </w:drawing>
            </w:r>
          </w:p>
          <w:p w:rsidR="00E153B6" w:rsidRPr="005916CF" w:rsidRDefault="0030420C" w:rsidP="00E153B6">
            <w:pPr>
              <w:rPr>
                <w:rFonts w:ascii="Arial" w:hAnsi="Arial" w:cs="Arial"/>
                <w:sz w:val="16"/>
                <w:szCs w:val="16"/>
              </w:rPr>
            </w:pPr>
            <w:hyperlink r:id="rId20" w:history="1">
              <w:r w:rsidR="00E153B6" w:rsidRPr="005916CF">
                <w:rPr>
                  <w:rStyle w:val="Lienhypertexte"/>
                  <w:rFonts w:ascii="Arial" w:hAnsi="Arial" w:cs="Arial"/>
                  <w:szCs w:val="16"/>
                </w:rPr>
                <w:t>http://www.customs.gov.my/en</w:t>
              </w:r>
            </w:hyperlink>
            <w:r w:rsidR="00E153B6" w:rsidRPr="005916CF">
              <w:rPr>
                <w:rFonts w:ascii="Arial" w:hAnsi="Arial" w:cs="Arial"/>
                <w:sz w:val="16"/>
                <w:szCs w:val="16"/>
              </w:rPr>
              <w:t xml:space="preserve"> </w:t>
            </w:r>
          </w:p>
          <w:p w:rsidR="00A81053" w:rsidRDefault="00A81053" w:rsidP="00E153B6">
            <w:pPr>
              <w:rPr>
                <w:sz w:val="22"/>
                <w:szCs w:val="22"/>
              </w:rPr>
            </w:pPr>
          </w:p>
          <w:p w:rsidR="00EB676B" w:rsidRDefault="00A81053" w:rsidP="00E153B6">
            <w:pPr>
              <w:rPr>
                <w:sz w:val="22"/>
                <w:szCs w:val="22"/>
              </w:rPr>
            </w:pPr>
            <w:r>
              <w:rPr>
                <w:noProof/>
              </w:rPr>
              <w:drawing>
                <wp:inline distT="0" distB="0" distL="0" distR="0" wp14:anchorId="2F2A6406" wp14:editId="2F59EC99">
                  <wp:extent cx="1143000" cy="619125"/>
                  <wp:effectExtent l="0" t="0" r="0" b="952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143000" cy="619125"/>
                          </a:xfrm>
                          <a:prstGeom prst="rect">
                            <a:avLst/>
                          </a:prstGeom>
                        </pic:spPr>
                      </pic:pic>
                    </a:graphicData>
                  </a:graphic>
                </wp:inline>
              </w:drawing>
            </w:r>
          </w:p>
          <w:p w:rsidR="00EB676B" w:rsidRDefault="0030420C" w:rsidP="00EB676B">
            <w:pPr>
              <w:rPr>
                <w:rFonts w:ascii="Arial" w:hAnsi="Arial" w:cs="Arial"/>
                <w:sz w:val="16"/>
                <w:szCs w:val="16"/>
              </w:rPr>
            </w:pPr>
            <w:hyperlink r:id="rId22" w:history="1">
              <w:r w:rsidR="00EB676B" w:rsidRPr="005916CF">
                <w:rPr>
                  <w:rStyle w:val="Lienhypertexte"/>
                  <w:rFonts w:ascii="Arial" w:hAnsi="Arial" w:cs="Arial"/>
                  <w:szCs w:val="16"/>
                </w:rPr>
                <w:t>http://www.rmp.gov.my/</w:t>
              </w:r>
            </w:hyperlink>
            <w:r w:rsidR="00EB676B" w:rsidRPr="005916CF">
              <w:rPr>
                <w:rFonts w:ascii="Arial" w:hAnsi="Arial" w:cs="Arial"/>
                <w:sz w:val="16"/>
                <w:szCs w:val="16"/>
              </w:rPr>
              <w:t xml:space="preserve"> </w:t>
            </w:r>
          </w:p>
          <w:p w:rsidR="0054788F" w:rsidRDefault="0054788F" w:rsidP="00EB676B">
            <w:pPr>
              <w:rPr>
                <w:rFonts w:ascii="Arial" w:hAnsi="Arial" w:cs="Arial"/>
                <w:sz w:val="16"/>
                <w:szCs w:val="16"/>
              </w:rPr>
            </w:pPr>
          </w:p>
          <w:p w:rsidR="0080788B" w:rsidRDefault="0080788B" w:rsidP="00C41302">
            <w:pPr>
              <w:autoSpaceDE w:val="0"/>
              <w:autoSpaceDN w:val="0"/>
              <w:adjustRightInd w:val="0"/>
              <w:jc w:val="both"/>
              <w:rPr>
                <w:rFonts w:cs="Arial"/>
                <w:b/>
                <w:bCs/>
                <w:i/>
                <w:sz w:val="20"/>
                <w:szCs w:val="20"/>
              </w:rPr>
            </w:pPr>
          </w:p>
          <w:p w:rsidR="00C47915" w:rsidRDefault="00C47915" w:rsidP="00C41302">
            <w:pPr>
              <w:autoSpaceDE w:val="0"/>
              <w:autoSpaceDN w:val="0"/>
              <w:adjustRightInd w:val="0"/>
              <w:jc w:val="both"/>
              <w:rPr>
                <w:rFonts w:cs="Arial"/>
                <w:b/>
                <w:bCs/>
                <w:i/>
                <w:sz w:val="20"/>
                <w:szCs w:val="20"/>
              </w:rPr>
            </w:pPr>
          </w:p>
          <w:p w:rsidR="00C47915" w:rsidRDefault="00C47915" w:rsidP="00C41302">
            <w:pPr>
              <w:autoSpaceDE w:val="0"/>
              <w:autoSpaceDN w:val="0"/>
              <w:adjustRightInd w:val="0"/>
              <w:jc w:val="both"/>
              <w:rPr>
                <w:rFonts w:cs="Arial"/>
                <w:b/>
                <w:bCs/>
                <w:i/>
                <w:sz w:val="20"/>
                <w:szCs w:val="20"/>
              </w:rPr>
            </w:pPr>
          </w:p>
          <w:p w:rsidR="00C47915" w:rsidRDefault="00C47915" w:rsidP="00C41302">
            <w:pPr>
              <w:autoSpaceDE w:val="0"/>
              <w:autoSpaceDN w:val="0"/>
              <w:adjustRightInd w:val="0"/>
              <w:jc w:val="both"/>
              <w:rPr>
                <w:rFonts w:cs="Arial"/>
                <w:b/>
                <w:bCs/>
                <w:i/>
                <w:sz w:val="20"/>
                <w:szCs w:val="20"/>
              </w:rPr>
            </w:pPr>
          </w:p>
          <w:p w:rsidR="00C47915" w:rsidRDefault="00C47915" w:rsidP="00C41302">
            <w:pPr>
              <w:autoSpaceDE w:val="0"/>
              <w:autoSpaceDN w:val="0"/>
              <w:adjustRightInd w:val="0"/>
              <w:jc w:val="both"/>
              <w:rPr>
                <w:rFonts w:cs="Arial"/>
                <w:b/>
                <w:bCs/>
                <w:i/>
                <w:sz w:val="20"/>
                <w:szCs w:val="20"/>
              </w:rPr>
            </w:pPr>
          </w:p>
          <w:p w:rsidR="00C47915" w:rsidRPr="005260C0" w:rsidRDefault="00C47915" w:rsidP="00C41302">
            <w:pPr>
              <w:autoSpaceDE w:val="0"/>
              <w:autoSpaceDN w:val="0"/>
              <w:adjustRightInd w:val="0"/>
              <w:jc w:val="both"/>
              <w:rPr>
                <w:rFonts w:cs="Arial"/>
                <w:b/>
                <w:bCs/>
                <w:i/>
                <w:sz w:val="16"/>
                <w:szCs w:val="16"/>
              </w:rPr>
            </w:pPr>
          </w:p>
          <w:p w:rsidR="00C47915" w:rsidRDefault="00C47915" w:rsidP="00C41302">
            <w:pPr>
              <w:autoSpaceDE w:val="0"/>
              <w:autoSpaceDN w:val="0"/>
              <w:adjustRightInd w:val="0"/>
              <w:jc w:val="both"/>
              <w:rPr>
                <w:rFonts w:cs="Arial"/>
                <w:b/>
                <w:bCs/>
                <w:i/>
                <w:sz w:val="20"/>
                <w:szCs w:val="20"/>
              </w:rPr>
            </w:pPr>
          </w:p>
          <w:p w:rsidR="00C47915" w:rsidRDefault="00C47915" w:rsidP="00C41302">
            <w:pPr>
              <w:autoSpaceDE w:val="0"/>
              <w:autoSpaceDN w:val="0"/>
              <w:adjustRightInd w:val="0"/>
              <w:jc w:val="both"/>
              <w:rPr>
                <w:rFonts w:cs="Arial"/>
                <w:b/>
                <w:bCs/>
                <w:i/>
                <w:sz w:val="20"/>
                <w:szCs w:val="20"/>
              </w:rPr>
            </w:pPr>
          </w:p>
          <w:p w:rsidR="00E561F4" w:rsidRDefault="00E561F4" w:rsidP="00C41302">
            <w:pPr>
              <w:autoSpaceDE w:val="0"/>
              <w:autoSpaceDN w:val="0"/>
              <w:adjustRightInd w:val="0"/>
              <w:jc w:val="both"/>
              <w:rPr>
                <w:rFonts w:cs="Arial"/>
                <w:b/>
                <w:bCs/>
                <w:i/>
                <w:sz w:val="20"/>
                <w:szCs w:val="20"/>
              </w:rPr>
            </w:pPr>
          </w:p>
          <w:p w:rsidR="00E561F4" w:rsidRDefault="00E561F4" w:rsidP="00C41302">
            <w:pPr>
              <w:autoSpaceDE w:val="0"/>
              <w:autoSpaceDN w:val="0"/>
              <w:adjustRightInd w:val="0"/>
              <w:jc w:val="both"/>
              <w:rPr>
                <w:rFonts w:cs="Arial"/>
                <w:b/>
                <w:bCs/>
                <w:i/>
                <w:sz w:val="20"/>
                <w:szCs w:val="20"/>
              </w:rPr>
            </w:pPr>
          </w:p>
          <w:p w:rsidR="00C41302" w:rsidRDefault="00C41302" w:rsidP="00C41302">
            <w:pPr>
              <w:autoSpaceDE w:val="0"/>
              <w:autoSpaceDN w:val="0"/>
              <w:adjustRightInd w:val="0"/>
              <w:jc w:val="both"/>
              <w:rPr>
                <w:rFonts w:cs="Arial"/>
                <w:b/>
                <w:bCs/>
                <w:i/>
                <w:sz w:val="20"/>
                <w:szCs w:val="20"/>
              </w:rPr>
            </w:pPr>
            <w:bookmarkStart w:id="2" w:name="_GoBack"/>
            <w:bookmarkEnd w:id="2"/>
            <w:r w:rsidRPr="0054222A">
              <w:rPr>
                <w:rFonts w:cs="Arial"/>
                <w:b/>
                <w:bCs/>
                <w:i/>
                <w:sz w:val="20"/>
                <w:szCs w:val="20"/>
              </w:rPr>
              <w:t>En 201</w:t>
            </w:r>
            <w:r w:rsidR="00C51D08">
              <w:rPr>
                <w:rFonts w:cs="Arial"/>
                <w:b/>
                <w:bCs/>
                <w:i/>
                <w:sz w:val="20"/>
                <w:szCs w:val="20"/>
              </w:rPr>
              <w:t>6</w:t>
            </w:r>
            <w:r w:rsidRPr="0054222A">
              <w:rPr>
                <w:rFonts w:cs="Arial"/>
                <w:b/>
                <w:bCs/>
                <w:i/>
                <w:sz w:val="20"/>
                <w:szCs w:val="20"/>
              </w:rPr>
              <w:t xml:space="preserve">, </w:t>
            </w:r>
            <w:r w:rsidR="00076CB2">
              <w:rPr>
                <w:rFonts w:cs="Arial"/>
                <w:b/>
                <w:bCs/>
                <w:i/>
                <w:sz w:val="20"/>
                <w:szCs w:val="20"/>
              </w:rPr>
              <w:t>les</w:t>
            </w:r>
            <w:r w:rsidRPr="0054222A">
              <w:rPr>
                <w:rFonts w:cs="Arial"/>
                <w:b/>
                <w:bCs/>
                <w:i/>
                <w:sz w:val="20"/>
                <w:szCs w:val="20"/>
              </w:rPr>
              <w:t xml:space="preserve"> marchandises saisies aux frontières </w:t>
            </w:r>
            <w:r w:rsidR="00076CB2">
              <w:rPr>
                <w:rFonts w:cs="Arial"/>
                <w:b/>
                <w:bCs/>
                <w:i/>
                <w:sz w:val="20"/>
                <w:szCs w:val="20"/>
              </w:rPr>
              <w:t>de l’</w:t>
            </w:r>
            <w:r w:rsidRPr="0054222A">
              <w:rPr>
                <w:rFonts w:cs="Arial"/>
                <w:b/>
                <w:bCs/>
                <w:i/>
                <w:sz w:val="20"/>
                <w:szCs w:val="20"/>
              </w:rPr>
              <w:t xml:space="preserve">UE </w:t>
            </w:r>
            <w:r w:rsidR="00076CB2">
              <w:rPr>
                <w:rFonts w:cs="Arial"/>
                <w:b/>
                <w:bCs/>
                <w:i/>
                <w:sz w:val="20"/>
                <w:szCs w:val="20"/>
              </w:rPr>
              <w:t>venant</w:t>
            </w:r>
            <w:r w:rsidR="00076CB2" w:rsidRPr="0054222A">
              <w:rPr>
                <w:rFonts w:cs="Arial"/>
                <w:b/>
                <w:bCs/>
                <w:i/>
                <w:sz w:val="20"/>
                <w:szCs w:val="20"/>
              </w:rPr>
              <w:t xml:space="preserve"> </w:t>
            </w:r>
            <w:r w:rsidRPr="0054222A">
              <w:rPr>
                <w:rFonts w:cs="Arial"/>
                <w:b/>
                <w:bCs/>
                <w:i/>
                <w:sz w:val="20"/>
                <w:szCs w:val="20"/>
              </w:rPr>
              <w:t xml:space="preserve">de Malaisie (fabrication locale ou réexpédition de produits). </w:t>
            </w:r>
          </w:p>
          <w:p w:rsidR="0054788F" w:rsidRDefault="00076CB2" w:rsidP="0080788B">
            <w:pPr>
              <w:autoSpaceDE w:val="0"/>
              <w:autoSpaceDN w:val="0"/>
              <w:adjustRightInd w:val="0"/>
              <w:jc w:val="both"/>
              <w:rPr>
                <w:rFonts w:cs="Arial"/>
                <w:b/>
                <w:bCs/>
                <w:i/>
                <w:sz w:val="20"/>
                <w:szCs w:val="20"/>
              </w:rPr>
            </w:pPr>
            <w:r>
              <w:rPr>
                <w:rFonts w:cs="Arial"/>
                <w:b/>
                <w:bCs/>
                <w:i/>
                <w:sz w:val="20"/>
                <w:szCs w:val="20"/>
              </w:rPr>
              <w:t>concernent</w:t>
            </w:r>
            <w:r w:rsidR="00C41302">
              <w:rPr>
                <w:rFonts w:cs="Arial"/>
                <w:b/>
                <w:bCs/>
                <w:i/>
                <w:sz w:val="20"/>
                <w:szCs w:val="20"/>
              </w:rPr>
              <w:t xml:space="preserve"> </w:t>
            </w:r>
            <w:r w:rsidR="00C41302" w:rsidRPr="0054222A">
              <w:rPr>
                <w:rFonts w:cs="Arial"/>
                <w:b/>
                <w:bCs/>
                <w:i/>
                <w:sz w:val="20"/>
                <w:szCs w:val="20"/>
              </w:rPr>
              <w:t xml:space="preserve">: chaussures </w:t>
            </w:r>
            <w:r>
              <w:rPr>
                <w:rFonts w:cs="Arial"/>
                <w:b/>
                <w:bCs/>
                <w:i/>
                <w:sz w:val="20"/>
                <w:szCs w:val="20"/>
              </w:rPr>
              <w:t xml:space="preserve">autres que </w:t>
            </w:r>
            <w:r w:rsidR="00C41302" w:rsidRPr="0054222A">
              <w:rPr>
                <w:rFonts w:cs="Arial"/>
                <w:b/>
                <w:bCs/>
                <w:i/>
                <w:sz w:val="20"/>
                <w:szCs w:val="20"/>
              </w:rPr>
              <w:t>de sports</w:t>
            </w:r>
            <w:r>
              <w:rPr>
                <w:rFonts w:cs="Arial"/>
                <w:b/>
                <w:bCs/>
                <w:i/>
                <w:sz w:val="20"/>
                <w:szCs w:val="20"/>
              </w:rPr>
              <w:t xml:space="preserve"> et </w:t>
            </w:r>
            <w:proofErr w:type="spellStart"/>
            <w:r>
              <w:rPr>
                <w:rFonts w:cs="Arial"/>
                <w:b/>
                <w:bCs/>
                <w:i/>
                <w:sz w:val="20"/>
                <w:szCs w:val="20"/>
              </w:rPr>
              <w:t>lesproduits</w:t>
            </w:r>
            <w:proofErr w:type="spellEnd"/>
            <w:r>
              <w:rPr>
                <w:rFonts w:cs="Arial"/>
                <w:b/>
                <w:bCs/>
                <w:i/>
                <w:sz w:val="20"/>
                <w:szCs w:val="20"/>
              </w:rPr>
              <w:t xml:space="preserve"> de tabac autres que les cigarettes</w:t>
            </w:r>
          </w:p>
          <w:p w:rsidR="00B54985" w:rsidRDefault="00B54985" w:rsidP="0080788B">
            <w:pPr>
              <w:autoSpaceDE w:val="0"/>
              <w:autoSpaceDN w:val="0"/>
              <w:adjustRightInd w:val="0"/>
              <w:jc w:val="both"/>
              <w:rPr>
                <w:sz w:val="16"/>
                <w:szCs w:val="16"/>
                <w:lang w:val="en-US"/>
              </w:rPr>
            </w:pPr>
            <w:r w:rsidRPr="005260C0">
              <w:rPr>
                <w:sz w:val="20"/>
                <w:szCs w:val="20"/>
                <w:lang w:val="en-US"/>
              </w:rPr>
              <w:t>(</w:t>
            </w:r>
            <w:r w:rsidRPr="005260C0">
              <w:rPr>
                <w:sz w:val="16"/>
                <w:szCs w:val="16"/>
                <w:lang w:val="en-US"/>
              </w:rPr>
              <w:t>source : Report of E</w:t>
            </w:r>
            <w:r w:rsidRPr="00B54985">
              <w:rPr>
                <w:sz w:val="16"/>
                <w:szCs w:val="16"/>
                <w:lang w:val="en-US"/>
              </w:rPr>
              <w:t>U c</w:t>
            </w:r>
            <w:r w:rsidRPr="005260C0">
              <w:rPr>
                <w:sz w:val="16"/>
                <w:szCs w:val="16"/>
                <w:lang w:val="en-US"/>
              </w:rPr>
              <w:t xml:space="preserve">ustoms </w:t>
            </w:r>
            <w:r>
              <w:rPr>
                <w:sz w:val="16"/>
                <w:szCs w:val="16"/>
                <w:lang w:val="en-US"/>
              </w:rPr>
              <w:t>enforcement of intellectual property rights, Result at the EU border, 201</w:t>
            </w:r>
            <w:r w:rsidR="00C51D08">
              <w:rPr>
                <w:sz w:val="16"/>
                <w:szCs w:val="16"/>
                <w:lang w:val="en-US"/>
              </w:rPr>
              <w:t>6</w:t>
            </w:r>
          </w:p>
          <w:p w:rsidR="00337211" w:rsidRPr="005260C0" w:rsidRDefault="00C51D08" w:rsidP="0080788B">
            <w:pPr>
              <w:autoSpaceDE w:val="0"/>
              <w:autoSpaceDN w:val="0"/>
              <w:adjustRightInd w:val="0"/>
              <w:jc w:val="both"/>
              <w:rPr>
                <w:sz w:val="20"/>
                <w:szCs w:val="20"/>
                <w:lang w:val="en-US"/>
              </w:rPr>
            </w:pPr>
            <w:r w:rsidRPr="003051C6">
              <w:rPr>
                <w:sz w:val="16"/>
                <w:szCs w:val="16"/>
                <w:lang w:val="en-US"/>
              </w:rPr>
              <w:t>https://ec.europa.eu/taxation_customs/sites/taxation/files/report_on_eu_customs_enforcement_of_ipr_at_the_border_2017.pdf</w:t>
            </w:r>
            <w:r w:rsidR="00B54985" w:rsidRPr="00B54985">
              <w:rPr>
                <w:sz w:val="20"/>
                <w:szCs w:val="20"/>
                <w:lang w:val="en-US"/>
              </w:rPr>
              <w:t>)</w:t>
            </w:r>
          </w:p>
        </w:tc>
        <w:tc>
          <w:tcPr>
            <w:tcW w:w="7582" w:type="dxa"/>
            <w:gridSpan w:val="3"/>
            <w:tcBorders>
              <w:top w:val="nil"/>
              <w:bottom w:val="nil"/>
            </w:tcBorders>
          </w:tcPr>
          <w:p w:rsidR="00C41302" w:rsidRDefault="00322B21" w:rsidP="00C41302">
            <w:pPr>
              <w:pStyle w:val="Paragraphedeliste"/>
              <w:numPr>
                <w:ilvl w:val="0"/>
                <w:numId w:val="24"/>
              </w:numPr>
              <w:autoSpaceDE w:val="0"/>
              <w:autoSpaceDN w:val="0"/>
              <w:adjustRightInd w:val="0"/>
              <w:jc w:val="both"/>
              <w:rPr>
                <w:rFonts w:cs="Arial"/>
                <w:i/>
                <w:color w:val="000000"/>
                <w:sz w:val="22"/>
                <w:szCs w:val="22"/>
              </w:rPr>
            </w:pPr>
            <w:r w:rsidRPr="00C41302">
              <w:rPr>
                <w:rFonts w:cs="Arial"/>
                <w:i/>
                <w:color w:val="000000"/>
                <w:sz w:val="22"/>
                <w:szCs w:val="22"/>
              </w:rPr>
              <w:t>La protection et la promotion des droits de propriété intellectuelle </w:t>
            </w:r>
          </w:p>
          <w:p w:rsidR="005260C0" w:rsidRPr="00C41302" w:rsidRDefault="005260C0" w:rsidP="005260C0">
            <w:pPr>
              <w:pStyle w:val="Paragraphedeliste"/>
              <w:autoSpaceDE w:val="0"/>
              <w:autoSpaceDN w:val="0"/>
              <w:adjustRightInd w:val="0"/>
              <w:ind w:left="720"/>
              <w:jc w:val="both"/>
              <w:rPr>
                <w:rFonts w:cs="Arial"/>
                <w:i/>
                <w:color w:val="000000"/>
                <w:sz w:val="22"/>
                <w:szCs w:val="22"/>
              </w:rPr>
            </w:pPr>
          </w:p>
          <w:p w:rsidR="008E4071" w:rsidRPr="00C41302" w:rsidRDefault="008E4071" w:rsidP="00C41302">
            <w:pPr>
              <w:autoSpaceDE w:val="0"/>
              <w:autoSpaceDN w:val="0"/>
              <w:adjustRightInd w:val="0"/>
              <w:jc w:val="both"/>
              <w:rPr>
                <w:rFonts w:cs="Arial"/>
                <w:color w:val="000000"/>
                <w:sz w:val="22"/>
                <w:szCs w:val="22"/>
              </w:rPr>
            </w:pPr>
            <w:r w:rsidRPr="00C41302">
              <w:rPr>
                <w:rFonts w:cs="Arial"/>
                <w:b/>
                <w:color w:val="000000"/>
                <w:sz w:val="22"/>
                <w:szCs w:val="22"/>
              </w:rPr>
              <w:t>L’organisme central en charge de la protection et de la promotion des droits de propriété intellectuelle</w:t>
            </w:r>
            <w:r w:rsidRPr="00C41302">
              <w:rPr>
                <w:rFonts w:cs="Arial"/>
                <w:color w:val="000000"/>
                <w:sz w:val="22"/>
                <w:szCs w:val="22"/>
              </w:rPr>
              <w:t xml:space="preserve"> est la </w:t>
            </w:r>
            <w:proofErr w:type="spellStart"/>
            <w:r w:rsidRPr="00C41302">
              <w:rPr>
                <w:rFonts w:cs="Arial"/>
                <w:b/>
                <w:color w:val="000000"/>
                <w:sz w:val="22"/>
                <w:szCs w:val="22"/>
              </w:rPr>
              <w:t>Malaysian</w:t>
            </w:r>
            <w:proofErr w:type="spellEnd"/>
            <w:r w:rsidRPr="00C41302">
              <w:rPr>
                <w:rFonts w:cs="Arial"/>
                <w:b/>
                <w:color w:val="000000"/>
                <w:sz w:val="22"/>
                <w:szCs w:val="22"/>
              </w:rPr>
              <w:t xml:space="preserve"> </w:t>
            </w:r>
            <w:proofErr w:type="spellStart"/>
            <w:r w:rsidRPr="00C41302">
              <w:rPr>
                <w:rFonts w:cs="Arial"/>
                <w:b/>
                <w:color w:val="000000"/>
                <w:sz w:val="22"/>
                <w:szCs w:val="22"/>
              </w:rPr>
              <w:t>Intellectual</w:t>
            </w:r>
            <w:proofErr w:type="spellEnd"/>
            <w:r w:rsidRPr="00C41302">
              <w:rPr>
                <w:rFonts w:cs="Arial"/>
                <w:b/>
                <w:color w:val="000000"/>
                <w:sz w:val="22"/>
                <w:szCs w:val="22"/>
              </w:rPr>
              <w:t xml:space="preserve"> </w:t>
            </w:r>
            <w:proofErr w:type="spellStart"/>
            <w:r w:rsidRPr="00C41302">
              <w:rPr>
                <w:rFonts w:cs="Arial"/>
                <w:b/>
                <w:color w:val="000000"/>
                <w:sz w:val="22"/>
                <w:szCs w:val="22"/>
              </w:rPr>
              <w:t>Property</w:t>
            </w:r>
            <w:proofErr w:type="spellEnd"/>
            <w:r w:rsidRPr="00C41302">
              <w:rPr>
                <w:rFonts w:cs="Arial"/>
                <w:b/>
                <w:color w:val="000000"/>
                <w:sz w:val="22"/>
                <w:szCs w:val="22"/>
              </w:rPr>
              <w:t xml:space="preserve"> Corporation</w:t>
            </w:r>
            <w:r w:rsidRPr="00C41302">
              <w:rPr>
                <w:rFonts w:cs="Arial"/>
                <w:color w:val="000000"/>
                <w:sz w:val="22"/>
                <w:szCs w:val="22"/>
              </w:rPr>
              <w:t xml:space="preserve"> (</w:t>
            </w:r>
            <w:proofErr w:type="spellStart"/>
            <w:r w:rsidRPr="00C41302">
              <w:rPr>
                <w:rFonts w:cs="Arial"/>
                <w:color w:val="000000"/>
                <w:sz w:val="22"/>
                <w:szCs w:val="22"/>
              </w:rPr>
              <w:t>MyIPO</w:t>
            </w:r>
            <w:proofErr w:type="spellEnd"/>
            <w:r w:rsidRPr="00C41302">
              <w:rPr>
                <w:rFonts w:cs="Arial"/>
                <w:color w:val="000000"/>
                <w:sz w:val="22"/>
                <w:szCs w:val="22"/>
              </w:rPr>
              <w:t xml:space="preserve"> ; </w:t>
            </w:r>
            <w:hyperlink r:id="rId23" w:history="1">
              <w:r w:rsidRPr="00C41302">
                <w:rPr>
                  <w:rStyle w:val="Lienhypertexte"/>
                  <w:rFonts w:cs="Arial"/>
                  <w:sz w:val="22"/>
                  <w:szCs w:val="22"/>
                </w:rPr>
                <w:t>http://www.myipo.gov.my/en/myipo/</w:t>
              </w:r>
            </w:hyperlink>
            <w:r w:rsidRPr="00C41302">
              <w:rPr>
                <w:rFonts w:cs="Arial"/>
                <w:color w:val="000000"/>
                <w:sz w:val="22"/>
                <w:szCs w:val="22"/>
              </w:rPr>
              <w:t xml:space="preserve"> ). </w:t>
            </w:r>
            <w:r w:rsidR="001E2757" w:rsidRPr="00C41302">
              <w:rPr>
                <w:rFonts w:cs="Arial"/>
                <w:color w:val="000000"/>
                <w:sz w:val="22"/>
                <w:szCs w:val="22"/>
              </w:rPr>
              <w:t xml:space="preserve">Il est </w:t>
            </w:r>
            <w:r w:rsidRPr="00C41302">
              <w:rPr>
                <w:rFonts w:cs="Arial"/>
                <w:color w:val="000000"/>
                <w:sz w:val="22"/>
                <w:szCs w:val="22"/>
              </w:rPr>
              <w:t>en charge de la politique gé</w:t>
            </w:r>
            <w:r w:rsidR="00EE064F" w:rsidRPr="00C41302">
              <w:rPr>
                <w:rFonts w:cs="Arial"/>
                <w:color w:val="000000"/>
                <w:sz w:val="22"/>
                <w:szCs w:val="22"/>
              </w:rPr>
              <w:t>nérale et de l’enregistrement</w:t>
            </w:r>
            <w:r w:rsidR="001E2757" w:rsidRPr="00C41302">
              <w:rPr>
                <w:rFonts w:cs="Arial"/>
                <w:color w:val="000000"/>
                <w:sz w:val="22"/>
                <w:szCs w:val="22"/>
              </w:rPr>
              <w:t xml:space="preserve">, et </w:t>
            </w:r>
            <w:r w:rsidRPr="00C41302">
              <w:rPr>
                <w:rFonts w:cs="Arial"/>
                <w:color w:val="000000"/>
                <w:sz w:val="22"/>
                <w:szCs w:val="22"/>
              </w:rPr>
              <w:t>est autonome administrativement et financièrement depuis mars 2003.</w:t>
            </w:r>
          </w:p>
          <w:p w:rsidR="00E16C96" w:rsidRDefault="00E16C96" w:rsidP="008E4071">
            <w:pPr>
              <w:jc w:val="both"/>
              <w:rPr>
                <w:color w:val="000000"/>
                <w:sz w:val="22"/>
                <w:szCs w:val="22"/>
              </w:rPr>
            </w:pPr>
          </w:p>
          <w:p w:rsidR="00C41302" w:rsidRPr="005260C0" w:rsidRDefault="00322B21" w:rsidP="00851D89">
            <w:pPr>
              <w:pStyle w:val="Paragraphedeliste"/>
              <w:numPr>
                <w:ilvl w:val="0"/>
                <w:numId w:val="23"/>
              </w:numPr>
              <w:jc w:val="both"/>
              <w:rPr>
                <w:color w:val="000000"/>
                <w:sz w:val="22"/>
                <w:szCs w:val="22"/>
              </w:rPr>
            </w:pPr>
            <w:r w:rsidRPr="00851D89">
              <w:rPr>
                <w:i/>
                <w:color w:val="000000"/>
                <w:sz w:val="22"/>
                <w:szCs w:val="22"/>
              </w:rPr>
              <w:t>Le respect des droits de propriété intellectuelle</w:t>
            </w:r>
          </w:p>
          <w:p w:rsidR="005260C0" w:rsidRPr="00C41302" w:rsidRDefault="005260C0" w:rsidP="005260C0">
            <w:pPr>
              <w:pStyle w:val="Paragraphedeliste"/>
              <w:ind w:left="360"/>
              <w:jc w:val="both"/>
              <w:rPr>
                <w:color w:val="000000"/>
                <w:sz w:val="22"/>
                <w:szCs w:val="22"/>
              </w:rPr>
            </w:pPr>
          </w:p>
          <w:p w:rsidR="003051C6" w:rsidRDefault="00C41302" w:rsidP="0080788B">
            <w:pPr>
              <w:autoSpaceDE w:val="0"/>
              <w:autoSpaceDN w:val="0"/>
              <w:adjustRightInd w:val="0"/>
              <w:jc w:val="both"/>
              <w:rPr>
                <w:color w:val="000000"/>
                <w:sz w:val="22"/>
                <w:szCs w:val="22"/>
              </w:rPr>
            </w:pPr>
            <w:r w:rsidRPr="00C41302">
              <w:rPr>
                <w:color w:val="000000"/>
                <w:sz w:val="22"/>
                <w:szCs w:val="22"/>
              </w:rPr>
              <w:t>L</w:t>
            </w:r>
            <w:r w:rsidR="008E4071" w:rsidRPr="00C41302">
              <w:rPr>
                <w:color w:val="000000"/>
                <w:sz w:val="22"/>
                <w:szCs w:val="22"/>
              </w:rPr>
              <w:t xml:space="preserve">’autorité compétente est le </w:t>
            </w:r>
            <w:r w:rsidR="008E4071" w:rsidRPr="00C41302">
              <w:rPr>
                <w:b/>
                <w:color w:val="000000"/>
                <w:sz w:val="22"/>
                <w:szCs w:val="22"/>
              </w:rPr>
              <w:t xml:space="preserve">Ministry of </w:t>
            </w:r>
            <w:proofErr w:type="spellStart"/>
            <w:r w:rsidR="008E4071" w:rsidRPr="00C41302">
              <w:rPr>
                <w:b/>
                <w:color w:val="000000"/>
                <w:sz w:val="22"/>
                <w:szCs w:val="22"/>
              </w:rPr>
              <w:t>Domestic</w:t>
            </w:r>
            <w:proofErr w:type="spellEnd"/>
            <w:r w:rsidR="008E4071" w:rsidRPr="00C41302">
              <w:rPr>
                <w:b/>
                <w:color w:val="000000"/>
                <w:sz w:val="22"/>
                <w:szCs w:val="22"/>
              </w:rPr>
              <w:t xml:space="preserve"> Trade, </w:t>
            </w:r>
            <w:proofErr w:type="spellStart"/>
            <w:r w:rsidR="008E4071" w:rsidRPr="00C41302">
              <w:rPr>
                <w:b/>
                <w:color w:val="000000"/>
                <w:sz w:val="22"/>
                <w:szCs w:val="22"/>
              </w:rPr>
              <w:t>Co-operatives</w:t>
            </w:r>
            <w:proofErr w:type="spellEnd"/>
            <w:r w:rsidR="008E4071" w:rsidRPr="00C41302">
              <w:rPr>
                <w:b/>
                <w:color w:val="000000"/>
                <w:sz w:val="22"/>
                <w:szCs w:val="22"/>
              </w:rPr>
              <w:t xml:space="preserve"> and </w:t>
            </w:r>
            <w:proofErr w:type="spellStart"/>
            <w:r w:rsidR="008E4071" w:rsidRPr="00C41302">
              <w:rPr>
                <w:b/>
                <w:color w:val="000000"/>
                <w:sz w:val="22"/>
                <w:szCs w:val="22"/>
              </w:rPr>
              <w:t>Consumerism</w:t>
            </w:r>
            <w:proofErr w:type="spellEnd"/>
            <w:r w:rsidR="008E4071" w:rsidRPr="00C41302">
              <w:rPr>
                <w:color w:val="000000"/>
                <w:sz w:val="22"/>
                <w:szCs w:val="22"/>
              </w:rPr>
              <w:t xml:space="preserve"> (MDTCC), qui s’occupe des problèmes de contrefaçon et de piratage et dispose d’une division de respect des droits de PI (« </w:t>
            </w:r>
            <w:proofErr w:type="spellStart"/>
            <w:r w:rsidR="008E4071" w:rsidRPr="00C41302">
              <w:rPr>
                <w:color w:val="000000"/>
                <w:sz w:val="22"/>
                <w:szCs w:val="22"/>
              </w:rPr>
              <w:t>Enforcement</w:t>
            </w:r>
            <w:proofErr w:type="spellEnd"/>
            <w:r w:rsidR="008E4071" w:rsidRPr="00C41302">
              <w:rPr>
                <w:color w:val="000000"/>
                <w:sz w:val="22"/>
                <w:szCs w:val="22"/>
              </w:rPr>
              <w:t xml:space="preserve"> Division »), avec du personnel pouvant effectuer des raids dans les établissements enfreignant les marques et droits d’auteurs et saisir les marchandises correspondantes. </w:t>
            </w:r>
            <w:r w:rsidR="008E4071" w:rsidRPr="00C41302">
              <w:rPr>
                <w:rFonts w:cs="Arial"/>
                <w:sz w:val="22"/>
                <w:szCs w:val="22"/>
              </w:rPr>
              <w:t xml:space="preserve">Ce département travaille en collaboration avec la Royal </w:t>
            </w:r>
            <w:proofErr w:type="spellStart"/>
            <w:r w:rsidR="008E4071" w:rsidRPr="00C41302">
              <w:rPr>
                <w:rFonts w:cs="Arial"/>
                <w:sz w:val="22"/>
                <w:szCs w:val="22"/>
              </w:rPr>
              <w:t>Malaysian</w:t>
            </w:r>
            <w:proofErr w:type="spellEnd"/>
            <w:r w:rsidR="008E4071" w:rsidRPr="00C41302">
              <w:rPr>
                <w:rFonts w:cs="Arial"/>
                <w:sz w:val="22"/>
                <w:szCs w:val="22"/>
              </w:rPr>
              <w:t xml:space="preserve"> Police et les Royal </w:t>
            </w:r>
            <w:proofErr w:type="spellStart"/>
            <w:r w:rsidR="008E4071" w:rsidRPr="00C41302">
              <w:rPr>
                <w:rFonts w:cs="Arial"/>
                <w:sz w:val="22"/>
                <w:szCs w:val="22"/>
              </w:rPr>
              <w:t>Malaysian</w:t>
            </w:r>
            <w:proofErr w:type="spellEnd"/>
            <w:r w:rsidR="008E4071" w:rsidRPr="00C41302">
              <w:rPr>
                <w:rFonts w:cs="Arial"/>
                <w:sz w:val="22"/>
                <w:szCs w:val="22"/>
              </w:rPr>
              <w:t xml:space="preserve"> Customs. </w:t>
            </w:r>
            <w:r w:rsidR="008E4071" w:rsidRPr="00C41302">
              <w:rPr>
                <w:color w:val="000000"/>
                <w:sz w:val="22"/>
                <w:szCs w:val="22"/>
              </w:rPr>
              <w:t xml:space="preserve">La Malaisie a été retirée de l’US </w:t>
            </w:r>
            <w:proofErr w:type="spellStart"/>
            <w:r w:rsidR="008E4071" w:rsidRPr="00C41302">
              <w:rPr>
                <w:color w:val="000000"/>
                <w:sz w:val="22"/>
                <w:szCs w:val="22"/>
              </w:rPr>
              <w:t>Special</w:t>
            </w:r>
            <w:proofErr w:type="spellEnd"/>
            <w:r w:rsidR="008E4071" w:rsidRPr="00C41302">
              <w:rPr>
                <w:color w:val="000000"/>
                <w:sz w:val="22"/>
                <w:szCs w:val="22"/>
              </w:rPr>
              <w:t xml:space="preserve"> 301 Watch List de l’USTR (United States Trade </w:t>
            </w:r>
            <w:proofErr w:type="spellStart"/>
            <w:r w:rsidR="008E4071" w:rsidRPr="00C41302">
              <w:rPr>
                <w:color w:val="000000"/>
                <w:sz w:val="22"/>
                <w:szCs w:val="22"/>
              </w:rPr>
              <w:t>Representative</w:t>
            </w:r>
            <w:proofErr w:type="spellEnd"/>
            <w:r w:rsidR="008E4071" w:rsidRPr="00C41302">
              <w:rPr>
                <w:color w:val="000000"/>
                <w:sz w:val="22"/>
                <w:szCs w:val="22"/>
              </w:rPr>
              <w:t>) depuis 2012</w:t>
            </w:r>
            <w:r w:rsidR="001E2757" w:rsidRPr="00C41302">
              <w:rPr>
                <w:color w:val="000000"/>
                <w:sz w:val="22"/>
                <w:szCs w:val="22"/>
              </w:rPr>
              <w:t>. L</w:t>
            </w:r>
            <w:r w:rsidR="00637DB7" w:rsidRPr="00C41302">
              <w:rPr>
                <w:color w:val="000000"/>
                <w:sz w:val="22"/>
                <w:szCs w:val="22"/>
              </w:rPr>
              <w:t xml:space="preserve">e pays est aujourd’hui </w:t>
            </w:r>
            <w:r w:rsidR="008E4071" w:rsidRPr="00C41302">
              <w:rPr>
                <w:color w:val="000000"/>
                <w:sz w:val="22"/>
                <w:szCs w:val="22"/>
              </w:rPr>
              <w:t xml:space="preserve">cité </w:t>
            </w:r>
            <w:r w:rsidR="0080788B">
              <w:rPr>
                <w:color w:val="000000"/>
                <w:sz w:val="22"/>
                <w:szCs w:val="22"/>
              </w:rPr>
              <w:t xml:space="preserve">par l’USTR </w:t>
            </w:r>
            <w:r w:rsidR="008E4071" w:rsidRPr="00C41302">
              <w:rPr>
                <w:color w:val="000000"/>
                <w:sz w:val="22"/>
                <w:szCs w:val="22"/>
              </w:rPr>
              <w:t>pour ses efforts en matière de coopération et de coordination des agences gouvernementales</w:t>
            </w:r>
            <w:r w:rsidR="001E2757" w:rsidRPr="00C41302">
              <w:rPr>
                <w:color w:val="000000"/>
                <w:sz w:val="22"/>
                <w:szCs w:val="22"/>
              </w:rPr>
              <w:t>, sou</w:t>
            </w:r>
            <w:r w:rsidR="008E4071" w:rsidRPr="00C41302">
              <w:rPr>
                <w:color w:val="000000"/>
                <w:sz w:val="22"/>
                <w:szCs w:val="22"/>
              </w:rPr>
              <w:t>lign</w:t>
            </w:r>
            <w:r w:rsidR="001E2757" w:rsidRPr="00C41302">
              <w:rPr>
                <w:color w:val="000000"/>
                <w:sz w:val="22"/>
                <w:szCs w:val="22"/>
              </w:rPr>
              <w:t>ant</w:t>
            </w:r>
            <w:r w:rsidR="008E4071" w:rsidRPr="00C41302">
              <w:rPr>
                <w:color w:val="000000"/>
                <w:sz w:val="22"/>
                <w:szCs w:val="22"/>
              </w:rPr>
              <w:t xml:space="preserve"> ainsi les progrès réalisés par la </w:t>
            </w:r>
            <w:proofErr w:type="spellStart"/>
            <w:r w:rsidR="008E4071" w:rsidRPr="00C41302">
              <w:rPr>
                <w:b/>
                <w:i/>
                <w:color w:val="000000"/>
                <w:sz w:val="22"/>
                <w:szCs w:val="22"/>
              </w:rPr>
              <w:t>Special</w:t>
            </w:r>
            <w:proofErr w:type="spellEnd"/>
            <w:r w:rsidR="008E4071" w:rsidRPr="00C41302">
              <w:rPr>
                <w:b/>
                <w:i/>
                <w:color w:val="000000"/>
                <w:sz w:val="22"/>
                <w:szCs w:val="22"/>
              </w:rPr>
              <w:t xml:space="preserve"> Anti-</w:t>
            </w:r>
            <w:proofErr w:type="spellStart"/>
            <w:r w:rsidR="008E4071" w:rsidRPr="00C41302">
              <w:rPr>
                <w:b/>
                <w:i/>
                <w:color w:val="000000"/>
                <w:sz w:val="22"/>
                <w:szCs w:val="22"/>
              </w:rPr>
              <w:t>Piracy</w:t>
            </w:r>
            <w:proofErr w:type="spellEnd"/>
            <w:r w:rsidR="008E4071" w:rsidRPr="00C41302">
              <w:rPr>
                <w:b/>
                <w:i/>
                <w:color w:val="000000"/>
                <w:sz w:val="22"/>
                <w:szCs w:val="22"/>
              </w:rPr>
              <w:t xml:space="preserve"> </w:t>
            </w:r>
            <w:proofErr w:type="spellStart"/>
            <w:r w:rsidR="008E4071" w:rsidRPr="00C41302">
              <w:rPr>
                <w:b/>
                <w:i/>
                <w:color w:val="000000"/>
                <w:sz w:val="22"/>
                <w:szCs w:val="22"/>
              </w:rPr>
              <w:t>Task</w:t>
            </w:r>
            <w:proofErr w:type="spellEnd"/>
            <w:r w:rsidR="008E4071" w:rsidRPr="00C41302">
              <w:rPr>
                <w:b/>
                <w:i/>
                <w:color w:val="000000"/>
                <w:sz w:val="22"/>
                <w:szCs w:val="22"/>
              </w:rPr>
              <w:t xml:space="preserve"> Force</w:t>
            </w:r>
            <w:r w:rsidR="008E4071" w:rsidRPr="00C41302">
              <w:rPr>
                <w:color w:val="000000"/>
                <w:sz w:val="22"/>
                <w:szCs w:val="22"/>
              </w:rPr>
              <w:t xml:space="preserve"> </w:t>
            </w:r>
            <w:r w:rsidR="001E2757" w:rsidRPr="00C41302">
              <w:rPr>
                <w:color w:val="000000"/>
                <w:sz w:val="22"/>
                <w:szCs w:val="22"/>
              </w:rPr>
              <w:t>d</w:t>
            </w:r>
            <w:r w:rsidR="008E4071" w:rsidRPr="00C41302">
              <w:rPr>
                <w:color w:val="000000"/>
                <w:sz w:val="22"/>
                <w:szCs w:val="22"/>
              </w:rPr>
              <w:t>ans la dissuasion et la prévention des réseaux de distribution de contrefaçons</w:t>
            </w:r>
            <w:r w:rsidR="00C47915">
              <w:rPr>
                <w:color w:val="000000"/>
                <w:sz w:val="22"/>
                <w:szCs w:val="22"/>
              </w:rPr>
              <w:t xml:space="preserve">, et </w:t>
            </w:r>
            <w:r w:rsidR="008E4071" w:rsidRPr="00C41302">
              <w:rPr>
                <w:color w:val="000000"/>
                <w:sz w:val="22"/>
                <w:szCs w:val="22"/>
              </w:rPr>
              <w:t xml:space="preserve">les bons résultats de l’unité </w:t>
            </w:r>
            <w:proofErr w:type="spellStart"/>
            <w:r w:rsidR="008E4071" w:rsidRPr="00C41302">
              <w:rPr>
                <w:b/>
                <w:i/>
                <w:color w:val="000000"/>
                <w:sz w:val="22"/>
                <w:szCs w:val="22"/>
              </w:rPr>
              <w:t>Special</w:t>
            </w:r>
            <w:proofErr w:type="spellEnd"/>
            <w:r w:rsidR="008E4071" w:rsidRPr="00C41302">
              <w:rPr>
                <w:b/>
                <w:i/>
                <w:color w:val="000000"/>
                <w:sz w:val="22"/>
                <w:szCs w:val="22"/>
              </w:rPr>
              <w:t xml:space="preserve"> Internet </w:t>
            </w:r>
            <w:proofErr w:type="spellStart"/>
            <w:r w:rsidR="008E4071" w:rsidRPr="00C41302">
              <w:rPr>
                <w:b/>
                <w:i/>
                <w:color w:val="000000"/>
                <w:sz w:val="22"/>
                <w:szCs w:val="22"/>
              </w:rPr>
              <w:t>Forensics</w:t>
            </w:r>
            <w:proofErr w:type="spellEnd"/>
            <w:r w:rsidR="008E4071" w:rsidRPr="00C41302">
              <w:rPr>
                <w:b/>
                <w:i/>
                <w:color w:val="000000"/>
                <w:sz w:val="22"/>
                <w:szCs w:val="22"/>
              </w:rPr>
              <w:t xml:space="preserve"> Unit </w:t>
            </w:r>
            <w:r w:rsidR="008E4071" w:rsidRPr="00C41302">
              <w:rPr>
                <w:color w:val="000000"/>
                <w:sz w:val="22"/>
                <w:szCs w:val="22"/>
              </w:rPr>
              <w:t>du MDTCC</w:t>
            </w:r>
            <w:r w:rsidR="001E2757" w:rsidRPr="00C41302">
              <w:rPr>
                <w:color w:val="000000"/>
                <w:sz w:val="22"/>
                <w:szCs w:val="22"/>
              </w:rPr>
              <w:t xml:space="preserve">. </w:t>
            </w:r>
          </w:p>
          <w:p w:rsidR="003051C6" w:rsidRDefault="003051C6" w:rsidP="0080788B">
            <w:pPr>
              <w:autoSpaceDE w:val="0"/>
              <w:autoSpaceDN w:val="0"/>
              <w:adjustRightInd w:val="0"/>
              <w:jc w:val="both"/>
              <w:rPr>
                <w:color w:val="000000"/>
                <w:sz w:val="22"/>
                <w:szCs w:val="22"/>
              </w:rPr>
            </w:pPr>
          </w:p>
          <w:p w:rsidR="0080788B" w:rsidRPr="0080788B" w:rsidRDefault="0080788B" w:rsidP="0080788B">
            <w:pPr>
              <w:autoSpaceDE w:val="0"/>
              <w:autoSpaceDN w:val="0"/>
              <w:adjustRightInd w:val="0"/>
              <w:jc w:val="both"/>
              <w:rPr>
                <w:rFonts w:cs="Arial"/>
                <w:sz w:val="22"/>
                <w:szCs w:val="22"/>
              </w:rPr>
            </w:pPr>
            <w:r>
              <w:rPr>
                <w:color w:val="000000"/>
                <w:sz w:val="22"/>
                <w:szCs w:val="22"/>
              </w:rPr>
              <w:t xml:space="preserve">Il convient enfin de noter que </w:t>
            </w:r>
            <w:r w:rsidRPr="00CB0421">
              <w:rPr>
                <w:b/>
                <w:color w:val="000000"/>
                <w:sz w:val="22"/>
                <w:szCs w:val="22"/>
              </w:rPr>
              <w:t>d</w:t>
            </w:r>
            <w:r w:rsidRPr="00CB0421">
              <w:rPr>
                <w:rFonts w:cs="Arial"/>
                <w:b/>
                <w:sz w:val="22"/>
                <w:szCs w:val="22"/>
              </w:rPr>
              <w:t>epuis le 17/07/2007, la Malaisie est dotée de juridictions spécialisées en PI</w:t>
            </w:r>
            <w:r>
              <w:rPr>
                <w:rFonts w:cs="Arial"/>
                <w:sz w:val="22"/>
                <w:szCs w:val="22"/>
              </w:rPr>
              <w:t xml:space="preserve"> : </w:t>
            </w:r>
            <w:r w:rsidRPr="0080788B">
              <w:rPr>
                <w:rFonts w:cs="Arial"/>
                <w:sz w:val="22"/>
                <w:szCs w:val="22"/>
              </w:rPr>
              <w:t>15 « Sessions Courts » compétentes au pénal dans chaque Etat et 6 « High Courts » au civil dans les Etats de Kuala Lumpur, de Johor, du Perak, du Selangor, du Sabah et du Sarawak</w:t>
            </w:r>
            <w:r>
              <w:rPr>
                <w:rFonts w:cs="Arial"/>
                <w:sz w:val="22"/>
                <w:szCs w:val="22"/>
              </w:rPr>
              <w:t>.</w:t>
            </w:r>
          </w:p>
          <w:p w:rsidR="00C41302" w:rsidRDefault="00C41302" w:rsidP="00C41302">
            <w:pPr>
              <w:jc w:val="both"/>
              <w:rPr>
                <w:color w:val="000000"/>
                <w:sz w:val="22"/>
                <w:szCs w:val="22"/>
              </w:rPr>
            </w:pPr>
          </w:p>
          <w:p w:rsidR="0080788B" w:rsidRDefault="00C41302" w:rsidP="00C41302">
            <w:pPr>
              <w:jc w:val="both"/>
              <w:rPr>
                <w:rFonts w:cs="Arial"/>
                <w:bCs/>
                <w:sz w:val="22"/>
                <w:szCs w:val="22"/>
              </w:rPr>
            </w:pPr>
            <w:r w:rsidRPr="00EA4CC4">
              <w:rPr>
                <w:sz w:val="22"/>
                <w:szCs w:val="22"/>
              </w:rPr>
              <w:t xml:space="preserve">Les contrefaçons en Malaisie concernent </w:t>
            </w:r>
            <w:r w:rsidR="00C47915">
              <w:rPr>
                <w:sz w:val="22"/>
                <w:szCs w:val="22"/>
              </w:rPr>
              <w:t>principalement :</w:t>
            </w:r>
            <w:r w:rsidRPr="00EA4CC4">
              <w:rPr>
                <w:sz w:val="22"/>
                <w:szCs w:val="22"/>
              </w:rPr>
              <w:t xml:space="preserve"> les disques optiques</w:t>
            </w:r>
            <w:r>
              <w:rPr>
                <w:sz w:val="22"/>
                <w:szCs w:val="22"/>
              </w:rPr>
              <w:t xml:space="preserve">, </w:t>
            </w:r>
            <w:r w:rsidRPr="00EA4CC4">
              <w:rPr>
                <w:rFonts w:cs="Arial"/>
                <w:bCs/>
                <w:sz w:val="22"/>
                <w:szCs w:val="22"/>
              </w:rPr>
              <w:t>le prêt-à-porter</w:t>
            </w:r>
            <w:r w:rsidR="00FA6382">
              <w:rPr>
                <w:rFonts w:cs="Arial"/>
                <w:bCs/>
                <w:sz w:val="22"/>
                <w:szCs w:val="22"/>
              </w:rPr>
              <w:t>, la papeterie et les accessoires de téléphones portables mais également et de manière plus prononcée les cartouches pour imprimantes lasers</w:t>
            </w:r>
            <w:r w:rsidRPr="00EA4CC4">
              <w:rPr>
                <w:rFonts w:cs="Arial"/>
                <w:bCs/>
                <w:sz w:val="22"/>
                <w:szCs w:val="22"/>
              </w:rPr>
              <w:t xml:space="preserve">. </w:t>
            </w:r>
            <w:r>
              <w:rPr>
                <w:rFonts w:cs="Arial"/>
                <w:bCs/>
                <w:sz w:val="22"/>
                <w:szCs w:val="22"/>
              </w:rPr>
              <w:t xml:space="preserve">La Malaisie </w:t>
            </w:r>
            <w:r w:rsidRPr="00EA4CC4">
              <w:rPr>
                <w:rFonts w:cs="Arial"/>
                <w:bCs/>
                <w:sz w:val="22"/>
                <w:szCs w:val="22"/>
              </w:rPr>
              <w:t xml:space="preserve">est également </w:t>
            </w:r>
            <w:r w:rsidRPr="00EA4CC4">
              <w:rPr>
                <w:rFonts w:cs="Arial"/>
                <w:bCs/>
                <w:sz w:val="22"/>
                <w:szCs w:val="22"/>
              </w:rPr>
              <w:lastRenderedPageBreak/>
              <w:t>devenue une plate-forme de réexpédition d</w:t>
            </w:r>
            <w:r w:rsidR="0080788B">
              <w:rPr>
                <w:rFonts w:cs="Arial"/>
                <w:bCs/>
                <w:sz w:val="22"/>
                <w:szCs w:val="22"/>
              </w:rPr>
              <w:t>’articles contrefaits v</w:t>
            </w:r>
            <w:r w:rsidRPr="00EA4CC4">
              <w:rPr>
                <w:rFonts w:cs="Arial"/>
                <w:bCs/>
                <w:sz w:val="22"/>
                <w:szCs w:val="22"/>
              </w:rPr>
              <w:t xml:space="preserve">ers l’Asie, l’Europe et également l’Amérique. </w:t>
            </w:r>
          </w:p>
          <w:p w:rsidR="005260C0" w:rsidRDefault="005260C0" w:rsidP="00C41302">
            <w:pPr>
              <w:jc w:val="both"/>
              <w:rPr>
                <w:rFonts w:cs="Arial"/>
                <w:bCs/>
                <w:sz w:val="22"/>
                <w:szCs w:val="22"/>
              </w:rPr>
            </w:pPr>
          </w:p>
          <w:p w:rsidR="005260C0" w:rsidRPr="005260C0" w:rsidRDefault="00322B21" w:rsidP="00F542CA">
            <w:pPr>
              <w:pStyle w:val="Paragraphedeliste"/>
              <w:numPr>
                <w:ilvl w:val="0"/>
                <w:numId w:val="23"/>
              </w:numPr>
              <w:jc w:val="both"/>
              <w:rPr>
                <w:rFonts w:cs="Arial"/>
                <w:bCs/>
                <w:sz w:val="22"/>
                <w:szCs w:val="22"/>
              </w:rPr>
            </w:pPr>
            <w:r w:rsidRPr="005260C0">
              <w:rPr>
                <w:rFonts w:cs="Arial"/>
                <w:i/>
                <w:sz w:val="22"/>
                <w:szCs w:val="22"/>
              </w:rPr>
              <w:t>Un système perfectible</w:t>
            </w:r>
          </w:p>
          <w:p w:rsidR="005260C0" w:rsidRDefault="005260C0" w:rsidP="005260C0">
            <w:pPr>
              <w:jc w:val="both"/>
              <w:rPr>
                <w:rFonts w:cs="Arial"/>
                <w:sz w:val="22"/>
                <w:szCs w:val="22"/>
              </w:rPr>
            </w:pPr>
          </w:p>
          <w:p w:rsidR="00322B21" w:rsidRPr="005260C0" w:rsidRDefault="00C41302" w:rsidP="005260C0">
            <w:pPr>
              <w:jc w:val="both"/>
              <w:rPr>
                <w:rFonts w:cs="Arial"/>
                <w:bCs/>
                <w:sz w:val="22"/>
                <w:szCs w:val="22"/>
              </w:rPr>
            </w:pPr>
            <w:r w:rsidRPr="005260C0">
              <w:rPr>
                <w:rFonts w:cs="Arial"/>
                <w:sz w:val="22"/>
                <w:szCs w:val="22"/>
              </w:rPr>
              <w:t>M</w:t>
            </w:r>
            <w:r w:rsidR="0042127F" w:rsidRPr="005260C0">
              <w:rPr>
                <w:sz w:val="22"/>
                <w:szCs w:val="22"/>
              </w:rPr>
              <w:t>algré ces efforts pour respecter le droit international, le droit de la PI en Malaisie présente des faiblesses, singulièrement dans le domaine des produits pharmaceutiques (durée des brevets, protection des données de test</w:t>
            </w:r>
            <w:r w:rsidR="00ED10D1">
              <w:rPr>
                <w:sz w:val="22"/>
                <w:szCs w:val="22"/>
              </w:rPr>
              <w:t>, problématique des licences obligatoires en particulier suite au cas « </w:t>
            </w:r>
            <w:proofErr w:type="spellStart"/>
            <w:r w:rsidR="00ED10D1">
              <w:rPr>
                <w:sz w:val="22"/>
                <w:szCs w:val="22"/>
              </w:rPr>
              <w:t>sofosbuvir</w:t>
            </w:r>
            <w:proofErr w:type="spellEnd"/>
            <w:r w:rsidR="00ED10D1">
              <w:rPr>
                <w:sz w:val="22"/>
                <w:szCs w:val="22"/>
              </w:rPr>
              <w:t> » en 2017</w:t>
            </w:r>
            <w:r w:rsidR="0042127F" w:rsidRPr="005260C0">
              <w:rPr>
                <w:sz w:val="22"/>
                <w:szCs w:val="22"/>
              </w:rPr>
              <w:t>).</w:t>
            </w:r>
            <w:r w:rsidR="0054788F" w:rsidRPr="005260C0">
              <w:rPr>
                <w:rFonts w:cs="Arial"/>
                <w:sz w:val="22"/>
                <w:szCs w:val="22"/>
              </w:rPr>
              <w:t xml:space="preserve"> L</w:t>
            </w:r>
            <w:r w:rsidR="008E4071" w:rsidRPr="005260C0">
              <w:rPr>
                <w:sz w:val="22"/>
                <w:szCs w:val="22"/>
              </w:rPr>
              <w:t>e</w:t>
            </w:r>
            <w:r w:rsidR="00D117C1" w:rsidRPr="005260C0">
              <w:rPr>
                <w:sz w:val="22"/>
                <w:szCs w:val="22"/>
              </w:rPr>
              <w:t xml:space="preserve"> </w:t>
            </w:r>
            <w:r w:rsidR="008E4071" w:rsidRPr="005260C0">
              <w:rPr>
                <w:sz w:val="22"/>
                <w:szCs w:val="22"/>
              </w:rPr>
              <w:t xml:space="preserve">système actuel a </w:t>
            </w:r>
            <w:r w:rsidR="0054788F" w:rsidRPr="005260C0">
              <w:rPr>
                <w:sz w:val="22"/>
                <w:szCs w:val="22"/>
              </w:rPr>
              <w:t xml:space="preserve">donc </w:t>
            </w:r>
            <w:r w:rsidR="008E4071" w:rsidRPr="005260C0">
              <w:rPr>
                <w:sz w:val="22"/>
                <w:szCs w:val="22"/>
              </w:rPr>
              <w:t>encore une marge de progression certaine</w:t>
            </w:r>
            <w:r w:rsidR="0080788B" w:rsidRPr="005260C0">
              <w:rPr>
                <w:sz w:val="22"/>
                <w:szCs w:val="22"/>
              </w:rPr>
              <w:t>, même si l’</w:t>
            </w:r>
            <w:r w:rsidR="0080788B" w:rsidRPr="005260C0">
              <w:rPr>
                <w:rFonts w:cs="Arial"/>
                <w:bCs/>
                <w:sz w:val="22"/>
                <w:szCs w:val="22"/>
              </w:rPr>
              <w:t xml:space="preserve">implication des autorités n’est pas mise en doute. </w:t>
            </w:r>
            <w:r w:rsidR="00EB676B" w:rsidRPr="005260C0">
              <w:rPr>
                <w:sz w:val="22"/>
                <w:szCs w:val="22"/>
              </w:rPr>
              <w:t>L</w:t>
            </w:r>
            <w:r w:rsidR="008E4071" w:rsidRPr="005260C0">
              <w:rPr>
                <w:sz w:val="22"/>
                <w:szCs w:val="22"/>
              </w:rPr>
              <w:t>es principales difficultés notées jusqu’à présent sont les suivantes : modestie des peines encourues par les contrevenants pour être véritablement dissuasives</w:t>
            </w:r>
            <w:r w:rsidR="001E2757" w:rsidRPr="005260C0">
              <w:rPr>
                <w:sz w:val="22"/>
                <w:szCs w:val="22"/>
              </w:rPr>
              <w:t xml:space="preserve"> ; </w:t>
            </w:r>
            <w:r w:rsidR="008E4071" w:rsidRPr="005260C0">
              <w:rPr>
                <w:sz w:val="22"/>
                <w:szCs w:val="22"/>
              </w:rPr>
              <w:t xml:space="preserve">absence d’une réelle coopération entre pays voisins, notamment </w:t>
            </w:r>
            <w:r w:rsidR="0054788F" w:rsidRPr="005260C0">
              <w:rPr>
                <w:sz w:val="22"/>
                <w:szCs w:val="22"/>
              </w:rPr>
              <w:t>au sein d</w:t>
            </w:r>
            <w:r w:rsidR="008E4071" w:rsidRPr="005260C0">
              <w:rPr>
                <w:sz w:val="22"/>
                <w:szCs w:val="22"/>
              </w:rPr>
              <w:t>e l’ASEAN ;</w:t>
            </w:r>
            <w:r w:rsidR="001E2757" w:rsidRPr="005260C0">
              <w:rPr>
                <w:sz w:val="22"/>
                <w:szCs w:val="22"/>
              </w:rPr>
              <w:t xml:space="preserve"> </w:t>
            </w:r>
            <w:r w:rsidR="00CB0259" w:rsidRPr="005260C0">
              <w:rPr>
                <w:sz w:val="22"/>
                <w:szCs w:val="22"/>
              </w:rPr>
              <w:t>c</w:t>
            </w:r>
            <w:r w:rsidR="008E4071" w:rsidRPr="005260C0">
              <w:rPr>
                <w:sz w:val="22"/>
                <w:szCs w:val="22"/>
              </w:rPr>
              <w:t>riminalité organisée, qui rend les opérations de raid dangereuses ;</w:t>
            </w:r>
            <w:r w:rsidR="00226347" w:rsidRPr="005260C0">
              <w:rPr>
                <w:sz w:val="22"/>
                <w:szCs w:val="22"/>
              </w:rPr>
              <w:t xml:space="preserve"> </w:t>
            </w:r>
            <w:r w:rsidR="008E4071" w:rsidRPr="005260C0">
              <w:rPr>
                <w:rFonts w:cs="Arial"/>
                <w:sz w:val="22"/>
                <w:szCs w:val="22"/>
              </w:rPr>
              <w:t>nombreuses contrefaçons commercialisées par Internet</w:t>
            </w:r>
            <w:r w:rsidR="00E26B79" w:rsidRPr="005260C0">
              <w:rPr>
                <w:rFonts w:cs="Arial"/>
                <w:sz w:val="22"/>
                <w:szCs w:val="22"/>
              </w:rPr>
              <w:t xml:space="preserve"> </w:t>
            </w:r>
            <w:r w:rsidR="008E4071" w:rsidRPr="005260C0">
              <w:rPr>
                <w:rFonts w:cs="Arial"/>
                <w:sz w:val="22"/>
                <w:szCs w:val="22"/>
              </w:rPr>
              <w:t>(</w:t>
            </w:r>
            <w:r w:rsidR="00E26B79" w:rsidRPr="005260C0">
              <w:rPr>
                <w:rFonts w:cs="Arial"/>
                <w:sz w:val="22"/>
                <w:szCs w:val="22"/>
              </w:rPr>
              <w:t xml:space="preserve">ex : </w:t>
            </w:r>
            <w:r w:rsidR="008E4071" w:rsidRPr="005260C0">
              <w:rPr>
                <w:rFonts w:cs="Arial"/>
                <w:sz w:val="22"/>
                <w:szCs w:val="22"/>
              </w:rPr>
              <w:t>médicaments), rendant ainsi très difficiles l’identification et la sanction des fraudeurs.</w:t>
            </w:r>
            <w:r w:rsidR="0080788B" w:rsidRPr="005260C0">
              <w:rPr>
                <w:rFonts w:cs="Arial"/>
                <w:bCs/>
                <w:sz w:val="22"/>
                <w:szCs w:val="22"/>
              </w:rPr>
              <w:t xml:space="preserve"> </w:t>
            </w:r>
          </w:p>
          <w:p w:rsidR="0080788B" w:rsidRPr="00C41302" w:rsidRDefault="0080788B" w:rsidP="0080788B">
            <w:pPr>
              <w:jc w:val="both"/>
              <w:rPr>
                <w:rFonts w:eastAsia="Calibri"/>
                <w:i/>
                <w:color w:val="FF0000"/>
                <w:sz w:val="20"/>
                <w:szCs w:val="20"/>
              </w:rPr>
            </w:pPr>
          </w:p>
        </w:tc>
      </w:tr>
      <w:tr w:rsidR="00E23936" w:rsidRPr="009B1630" w:rsidTr="004A1BB5">
        <w:tc>
          <w:tcPr>
            <w:tcW w:w="2624" w:type="dxa"/>
            <w:tcBorders>
              <w:top w:val="single" w:sz="4" w:space="0" w:color="2A2755"/>
              <w:bottom w:val="nil"/>
            </w:tcBorders>
            <w:shd w:val="clear" w:color="auto" w:fill="E1A800"/>
          </w:tcPr>
          <w:p w:rsidR="00E23936" w:rsidRPr="00415D0E" w:rsidRDefault="008261ED" w:rsidP="00A705E5">
            <w:pPr>
              <w:pStyle w:val="Titre2"/>
              <w:keepNext w:val="0"/>
              <w:spacing w:line="240" w:lineRule="atLeast"/>
              <w:rPr>
                <w:color w:val="2A2755"/>
              </w:rPr>
            </w:pPr>
            <w:r>
              <w:rPr>
                <w:color w:val="2A2755"/>
              </w:rPr>
              <w:lastRenderedPageBreak/>
              <w:t>Con</w:t>
            </w:r>
            <w:r w:rsidR="00637DB7">
              <w:rPr>
                <w:color w:val="2A2755"/>
              </w:rPr>
              <w:t xml:space="preserve">tacts </w:t>
            </w:r>
            <w:r w:rsidR="00A705E5">
              <w:rPr>
                <w:color w:val="2A2755"/>
              </w:rPr>
              <w:t xml:space="preserve">utiles </w:t>
            </w:r>
          </w:p>
        </w:tc>
        <w:tc>
          <w:tcPr>
            <w:tcW w:w="7582" w:type="dxa"/>
            <w:gridSpan w:val="3"/>
            <w:tcBorders>
              <w:top w:val="single" w:sz="4" w:space="0" w:color="2A2755"/>
              <w:bottom w:val="nil"/>
            </w:tcBorders>
            <w:shd w:val="clear" w:color="auto" w:fill="auto"/>
          </w:tcPr>
          <w:p w:rsidR="00E23936" w:rsidRPr="008F161A" w:rsidRDefault="00A705E5" w:rsidP="00416A4D">
            <w:pPr>
              <w:pStyle w:val="Titre3"/>
              <w:keepNext w:val="0"/>
              <w:spacing w:line="240" w:lineRule="atLeast"/>
              <w:ind w:left="130"/>
              <w:jc w:val="both"/>
              <w:rPr>
                <w:rFonts w:ascii="Times New Roman" w:hAnsi="Times New Roman" w:cs="Times New Roman"/>
                <w:color w:val="FF0000"/>
                <w:sz w:val="28"/>
                <w:szCs w:val="28"/>
              </w:rPr>
            </w:pPr>
            <w:r w:rsidRPr="00A705E5">
              <w:rPr>
                <w:rFonts w:ascii="Times New Roman" w:hAnsi="Times New Roman" w:cs="Times New Roman"/>
                <w:sz w:val="28"/>
                <w:szCs w:val="28"/>
              </w:rPr>
              <w:t>Contact</w:t>
            </w:r>
            <w:r w:rsidR="00416A4D">
              <w:rPr>
                <w:rFonts w:ascii="Times New Roman" w:hAnsi="Times New Roman" w:cs="Times New Roman"/>
                <w:sz w:val="28"/>
                <w:szCs w:val="28"/>
              </w:rPr>
              <w:t>s</w:t>
            </w:r>
            <w:r w:rsidRPr="00A705E5">
              <w:rPr>
                <w:rFonts w:ascii="Times New Roman" w:hAnsi="Times New Roman" w:cs="Times New Roman"/>
                <w:sz w:val="28"/>
                <w:szCs w:val="28"/>
              </w:rPr>
              <w:t xml:space="preserve"> en Asean</w:t>
            </w:r>
          </w:p>
        </w:tc>
      </w:tr>
      <w:tr w:rsidR="00C42BFF" w:rsidRPr="005D1052" w:rsidTr="004A1BB5">
        <w:tc>
          <w:tcPr>
            <w:tcW w:w="2624" w:type="dxa"/>
            <w:tcBorders>
              <w:top w:val="nil"/>
              <w:bottom w:val="nil"/>
            </w:tcBorders>
          </w:tcPr>
          <w:p w:rsidR="00DA2F58" w:rsidRDefault="00DA2F58" w:rsidP="00DE7354">
            <w:pPr>
              <w:autoSpaceDE w:val="0"/>
              <w:autoSpaceDN w:val="0"/>
              <w:adjustRightInd w:val="0"/>
              <w:jc w:val="both"/>
              <w:rPr>
                <w:rFonts w:cs="Arial"/>
                <w:b/>
                <w:bCs/>
                <w:i/>
                <w:sz w:val="20"/>
                <w:szCs w:val="20"/>
              </w:rPr>
            </w:pPr>
          </w:p>
          <w:p w:rsidR="003A6ACC" w:rsidRDefault="00A705E5" w:rsidP="00637DB7">
            <w:pPr>
              <w:autoSpaceDE w:val="0"/>
              <w:autoSpaceDN w:val="0"/>
              <w:adjustRightInd w:val="0"/>
              <w:jc w:val="both"/>
              <w:rPr>
                <w:sz w:val="20"/>
                <w:szCs w:val="20"/>
              </w:rPr>
            </w:pPr>
            <w:r>
              <w:rPr>
                <w:noProof/>
                <w:color w:val="1F497D"/>
              </w:rPr>
              <w:drawing>
                <wp:inline distT="0" distB="0" distL="0" distR="0">
                  <wp:extent cx="819150" cy="476250"/>
                  <wp:effectExtent l="0" t="0" r="0" b="0"/>
                  <wp:docPr id="4" name="Image 4" descr="https://www.inpi.fr/sites/default/fil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npi.fr/sites/default/files/logo.pn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819150" cy="476250"/>
                          </a:xfrm>
                          <a:prstGeom prst="rect">
                            <a:avLst/>
                          </a:prstGeom>
                          <a:noFill/>
                          <a:ln>
                            <a:noFill/>
                          </a:ln>
                        </pic:spPr>
                      </pic:pic>
                    </a:graphicData>
                  </a:graphic>
                </wp:inline>
              </w:drawing>
            </w:r>
          </w:p>
          <w:p w:rsidR="00416A4D" w:rsidRDefault="00416A4D" w:rsidP="00637DB7">
            <w:pPr>
              <w:autoSpaceDE w:val="0"/>
              <w:autoSpaceDN w:val="0"/>
              <w:adjustRightInd w:val="0"/>
              <w:jc w:val="both"/>
              <w:rPr>
                <w:sz w:val="20"/>
                <w:szCs w:val="20"/>
              </w:rPr>
            </w:pPr>
          </w:p>
          <w:p w:rsidR="00416A4D" w:rsidRDefault="0030420C" w:rsidP="00637DB7">
            <w:pPr>
              <w:autoSpaceDE w:val="0"/>
              <w:autoSpaceDN w:val="0"/>
              <w:adjustRightInd w:val="0"/>
              <w:jc w:val="both"/>
              <w:rPr>
                <w:sz w:val="20"/>
                <w:szCs w:val="20"/>
              </w:rPr>
            </w:pPr>
            <w:hyperlink r:id="rId26" w:history="1">
              <w:r w:rsidR="00EC5EE9" w:rsidRPr="00FC4218">
                <w:rPr>
                  <w:rStyle w:val="Lienhypertexte"/>
                  <w:sz w:val="20"/>
                  <w:szCs w:val="20"/>
                </w:rPr>
                <w:t>https://www.inpi.fr/fr</w:t>
              </w:r>
            </w:hyperlink>
            <w:r w:rsidR="00EC5EE9">
              <w:rPr>
                <w:sz w:val="20"/>
                <w:szCs w:val="20"/>
              </w:rPr>
              <w:t xml:space="preserve"> </w:t>
            </w:r>
          </w:p>
          <w:p w:rsidR="00416A4D" w:rsidRDefault="00416A4D" w:rsidP="00637DB7">
            <w:pPr>
              <w:autoSpaceDE w:val="0"/>
              <w:autoSpaceDN w:val="0"/>
              <w:adjustRightInd w:val="0"/>
              <w:jc w:val="both"/>
              <w:rPr>
                <w:sz w:val="20"/>
                <w:szCs w:val="20"/>
              </w:rPr>
            </w:pPr>
          </w:p>
          <w:p w:rsidR="0080788B" w:rsidRDefault="0080788B" w:rsidP="00637DB7">
            <w:pPr>
              <w:autoSpaceDE w:val="0"/>
              <w:autoSpaceDN w:val="0"/>
              <w:adjustRightInd w:val="0"/>
              <w:jc w:val="both"/>
              <w:rPr>
                <w:sz w:val="20"/>
                <w:szCs w:val="20"/>
              </w:rPr>
            </w:pPr>
          </w:p>
          <w:p w:rsidR="00416A4D" w:rsidRPr="000D2FE6" w:rsidRDefault="00416A4D" w:rsidP="00637DB7">
            <w:pPr>
              <w:autoSpaceDE w:val="0"/>
              <w:autoSpaceDN w:val="0"/>
              <w:adjustRightInd w:val="0"/>
              <w:jc w:val="both"/>
              <w:rPr>
                <w:sz w:val="20"/>
                <w:szCs w:val="20"/>
              </w:rPr>
            </w:pPr>
            <w:r>
              <w:rPr>
                <w:rFonts w:ascii="Verdana" w:hAnsi="Verdana" w:cs="Arial"/>
                <w:noProof/>
                <w:color w:val="006833"/>
                <w:sz w:val="21"/>
                <w:szCs w:val="21"/>
              </w:rPr>
              <w:drawing>
                <wp:inline distT="0" distB="0" distL="0" distR="0">
                  <wp:extent cx="1571625" cy="504825"/>
                  <wp:effectExtent l="0" t="0" r="9525" b="9525"/>
                  <wp:docPr id="11" name="Image 11" descr="Home">
                    <a:hlinkClick xmlns:a="http://schemas.openxmlformats.org/drawingml/2006/main" r:id="rId2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me">
                            <a:hlinkClick r:id="rId27" tooltip="&quot;Home&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71625" cy="504825"/>
                          </a:xfrm>
                          <a:prstGeom prst="rect">
                            <a:avLst/>
                          </a:prstGeom>
                          <a:noFill/>
                          <a:ln>
                            <a:noFill/>
                          </a:ln>
                        </pic:spPr>
                      </pic:pic>
                    </a:graphicData>
                  </a:graphic>
                </wp:inline>
              </w:drawing>
            </w:r>
          </w:p>
        </w:tc>
        <w:tc>
          <w:tcPr>
            <w:tcW w:w="7582" w:type="dxa"/>
            <w:gridSpan w:val="3"/>
            <w:tcBorders>
              <w:top w:val="nil"/>
              <w:bottom w:val="nil"/>
            </w:tcBorders>
          </w:tcPr>
          <w:p w:rsidR="00D52C83" w:rsidRDefault="00A25E0C" w:rsidP="00637DB7">
            <w:pPr>
              <w:overflowPunct w:val="0"/>
              <w:autoSpaceDE w:val="0"/>
              <w:autoSpaceDN w:val="0"/>
              <w:adjustRightInd w:val="0"/>
              <w:jc w:val="both"/>
              <w:textAlignment w:val="baseline"/>
              <w:rPr>
                <w:rFonts w:cs="Arial"/>
                <w:bCs/>
                <w:sz w:val="22"/>
                <w:szCs w:val="22"/>
              </w:rPr>
            </w:pPr>
            <w:r w:rsidRPr="008F161A">
              <w:rPr>
                <w:rFonts w:eastAsiaTheme="minorHAnsi"/>
                <w:color w:val="FF0000"/>
                <w:sz w:val="22"/>
                <w:szCs w:val="22"/>
                <w:lang w:eastAsia="en-US"/>
              </w:rPr>
              <w:t xml:space="preserve"> </w:t>
            </w:r>
          </w:p>
          <w:p w:rsidR="00643495" w:rsidRPr="00643495" w:rsidRDefault="00A705E5" w:rsidP="00416A4D">
            <w:pPr>
              <w:pStyle w:val="Paragraphedeliste"/>
              <w:numPr>
                <w:ilvl w:val="0"/>
                <w:numId w:val="19"/>
              </w:numPr>
              <w:rPr>
                <w:sz w:val="22"/>
                <w:szCs w:val="22"/>
              </w:rPr>
            </w:pPr>
            <w:r w:rsidRPr="00416A4D">
              <w:rPr>
                <w:sz w:val="22"/>
                <w:szCs w:val="22"/>
              </w:rPr>
              <w:t>Stéphanie LEPARMENTIER</w:t>
            </w:r>
            <w:r w:rsidR="00416A4D" w:rsidRPr="00416A4D">
              <w:rPr>
                <w:sz w:val="22"/>
                <w:szCs w:val="22"/>
              </w:rPr>
              <w:t>,</w:t>
            </w:r>
            <w:r w:rsidR="006C6A78">
              <w:rPr>
                <w:sz w:val="22"/>
                <w:szCs w:val="22"/>
              </w:rPr>
              <w:t xml:space="preserve"> </w:t>
            </w:r>
            <w:r w:rsidR="002A7AC7" w:rsidRPr="00643495">
              <w:rPr>
                <w:b/>
                <w:i/>
                <w:sz w:val="22"/>
                <w:szCs w:val="22"/>
              </w:rPr>
              <w:t>Représentante</w:t>
            </w:r>
            <w:r w:rsidR="006C6A78" w:rsidRPr="00643495">
              <w:rPr>
                <w:b/>
                <w:i/>
                <w:sz w:val="22"/>
                <w:szCs w:val="22"/>
              </w:rPr>
              <w:t xml:space="preserve"> INPI,</w:t>
            </w:r>
            <w:r w:rsidR="006C6A78">
              <w:rPr>
                <w:sz w:val="22"/>
                <w:szCs w:val="22"/>
              </w:rPr>
              <w:t xml:space="preserve"> </w:t>
            </w:r>
            <w:r w:rsidRPr="00416A4D">
              <w:rPr>
                <w:b/>
                <w:bCs/>
                <w:i/>
                <w:iCs/>
                <w:sz w:val="22"/>
                <w:szCs w:val="22"/>
              </w:rPr>
              <w:t>Conseillère régionale en Propriété Intell</w:t>
            </w:r>
            <w:r w:rsidR="00643495">
              <w:rPr>
                <w:b/>
                <w:bCs/>
                <w:i/>
                <w:iCs/>
                <w:sz w:val="22"/>
                <w:szCs w:val="22"/>
              </w:rPr>
              <w:t>ectuelle pour l’Asie du Sud-Est</w:t>
            </w:r>
          </w:p>
          <w:p w:rsidR="00A705E5" w:rsidRPr="00670788" w:rsidRDefault="00A705E5" w:rsidP="00643495">
            <w:pPr>
              <w:pStyle w:val="Paragraphedeliste"/>
              <w:ind w:left="720"/>
              <w:rPr>
                <w:sz w:val="22"/>
                <w:szCs w:val="22"/>
              </w:rPr>
            </w:pPr>
            <w:r w:rsidRPr="00670788">
              <w:rPr>
                <w:iCs/>
                <w:sz w:val="22"/>
                <w:szCs w:val="22"/>
              </w:rPr>
              <w:t>Service Economique Régional</w:t>
            </w:r>
            <w:r w:rsidR="00416A4D" w:rsidRPr="00670788">
              <w:rPr>
                <w:iCs/>
                <w:sz w:val="22"/>
                <w:szCs w:val="22"/>
              </w:rPr>
              <w:t xml:space="preserve">, </w:t>
            </w:r>
            <w:r w:rsidRPr="00670788">
              <w:rPr>
                <w:iCs/>
                <w:sz w:val="22"/>
                <w:szCs w:val="22"/>
              </w:rPr>
              <w:t>Ambassade de France à Singapour</w:t>
            </w:r>
          </w:p>
          <w:p w:rsidR="00637DB7" w:rsidRDefault="00A705E5" w:rsidP="00416A4D">
            <w:pPr>
              <w:pStyle w:val="Paragraphedeliste"/>
              <w:ind w:left="720"/>
              <w:rPr>
                <w:iCs/>
                <w:color w:val="595959"/>
                <w:sz w:val="22"/>
                <w:szCs w:val="22"/>
                <w:lang w:val="en-US"/>
              </w:rPr>
            </w:pPr>
            <w:r w:rsidRPr="00670788">
              <w:rPr>
                <w:iCs/>
                <w:sz w:val="22"/>
                <w:szCs w:val="22"/>
                <w:lang w:val="en-US"/>
              </w:rPr>
              <w:t>101-103 Cluny Park Road SINGAPORE 259595</w:t>
            </w:r>
            <w:r w:rsidRPr="00670788">
              <w:rPr>
                <w:iCs/>
                <w:sz w:val="22"/>
                <w:szCs w:val="22"/>
                <w:bdr w:val="none" w:sz="0" w:space="0" w:color="auto" w:frame="1"/>
                <w:lang w:val="en-US"/>
              </w:rPr>
              <w:br/>
            </w:r>
            <w:r w:rsidRPr="00670788">
              <w:rPr>
                <w:iCs/>
                <w:sz w:val="22"/>
                <w:szCs w:val="22"/>
                <w:bdr w:val="none" w:sz="0" w:space="0" w:color="auto" w:frame="1"/>
                <w:lang w:val="de-DE"/>
              </w:rPr>
              <w:t xml:space="preserve">Tel : </w:t>
            </w:r>
            <w:r w:rsidRPr="00670788">
              <w:rPr>
                <w:iCs/>
                <w:sz w:val="22"/>
                <w:szCs w:val="22"/>
                <w:lang w:val="en-US"/>
              </w:rPr>
              <w:t>+65 6880 7779</w:t>
            </w:r>
            <w:r w:rsidR="00416A4D" w:rsidRPr="00670788">
              <w:rPr>
                <w:iCs/>
                <w:sz w:val="22"/>
                <w:szCs w:val="22"/>
                <w:lang w:val="en-US"/>
              </w:rPr>
              <w:t xml:space="preserve"> ; </w:t>
            </w:r>
            <w:r w:rsidRPr="00670788">
              <w:rPr>
                <w:iCs/>
                <w:sz w:val="22"/>
                <w:szCs w:val="22"/>
                <w:lang w:val="en-US"/>
              </w:rPr>
              <w:t>Mail :</w:t>
            </w:r>
            <w:r w:rsidRPr="00670788">
              <w:rPr>
                <w:iCs/>
                <w:lang w:val="en-US"/>
              </w:rPr>
              <w:t xml:space="preserve"> </w:t>
            </w:r>
            <w:hyperlink r:id="rId29" w:history="1">
              <w:r w:rsidRPr="00670788">
                <w:rPr>
                  <w:rStyle w:val="Lienhypertexte"/>
                  <w:iCs/>
                  <w:sz w:val="22"/>
                  <w:szCs w:val="22"/>
                  <w:lang w:val="en-US"/>
                </w:rPr>
                <w:t>stephanie.leparmentier@dgtresor.gouv.fr</w:t>
              </w:r>
            </w:hyperlink>
            <w:r w:rsidRPr="00670788">
              <w:rPr>
                <w:iCs/>
                <w:color w:val="595959"/>
                <w:sz w:val="22"/>
                <w:szCs w:val="22"/>
                <w:lang w:val="en-US"/>
              </w:rPr>
              <w:t xml:space="preserve"> </w:t>
            </w:r>
          </w:p>
          <w:p w:rsidR="0080788B" w:rsidRDefault="0080788B" w:rsidP="00416A4D">
            <w:pPr>
              <w:pStyle w:val="Paragraphedeliste"/>
              <w:ind w:left="720"/>
              <w:rPr>
                <w:iCs/>
                <w:color w:val="595959"/>
                <w:sz w:val="22"/>
                <w:szCs w:val="22"/>
                <w:lang w:val="en-US"/>
              </w:rPr>
            </w:pPr>
          </w:p>
          <w:p w:rsidR="00416A4D" w:rsidRDefault="00F67FB6" w:rsidP="00643495">
            <w:pPr>
              <w:pStyle w:val="Paragraphedeliste"/>
              <w:ind w:left="720"/>
              <w:jc w:val="both"/>
              <w:rPr>
                <w:iCs/>
                <w:sz w:val="22"/>
                <w:szCs w:val="22"/>
              </w:rPr>
            </w:pPr>
            <w:r w:rsidRPr="002C23B7">
              <w:rPr>
                <w:sz w:val="22"/>
                <w:szCs w:val="22"/>
              </w:rPr>
              <w:t>«</w:t>
            </w:r>
            <w:r w:rsidR="00643495">
              <w:rPr>
                <w:sz w:val="22"/>
                <w:szCs w:val="22"/>
              </w:rPr>
              <w:t xml:space="preserve"> </w:t>
            </w:r>
            <w:r w:rsidRPr="002C23B7">
              <w:rPr>
                <w:sz w:val="22"/>
                <w:szCs w:val="22"/>
              </w:rPr>
              <w:t>Je suis là pour soutenir les</w:t>
            </w:r>
            <w:r w:rsidR="00B54985" w:rsidRPr="002C23B7">
              <w:rPr>
                <w:sz w:val="22"/>
                <w:szCs w:val="22"/>
              </w:rPr>
              <w:t xml:space="preserve"> acteurs économiques </w:t>
            </w:r>
            <w:r w:rsidRPr="002C23B7">
              <w:rPr>
                <w:sz w:val="22"/>
                <w:szCs w:val="22"/>
              </w:rPr>
              <w:t xml:space="preserve">français </w:t>
            </w:r>
            <w:r w:rsidR="00643495">
              <w:rPr>
                <w:sz w:val="22"/>
                <w:szCs w:val="22"/>
              </w:rPr>
              <w:t>et</w:t>
            </w:r>
            <w:r w:rsidRPr="002C23B7">
              <w:rPr>
                <w:sz w:val="22"/>
                <w:szCs w:val="22"/>
              </w:rPr>
              <w:t xml:space="preserve"> les</w:t>
            </w:r>
            <w:r w:rsidRPr="002C23B7">
              <w:rPr>
                <w:iCs/>
                <w:sz w:val="22"/>
                <w:szCs w:val="22"/>
              </w:rPr>
              <w:t xml:space="preserve"> aider à faire respecter et à valoriser leurs droits de PI, ce qui recouvre notamment l'information sur les formalités d'enregistrement et de délivrance ainsi que sur les procédures judiciaires ou d'arbitrage, l'orientation vers les interlocuteurs compétents,…</w:t>
            </w:r>
            <w:r w:rsidR="00643495">
              <w:rPr>
                <w:iCs/>
                <w:sz w:val="22"/>
                <w:szCs w:val="22"/>
              </w:rPr>
              <w:t xml:space="preserve"> </w:t>
            </w:r>
            <w:r w:rsidRPr="002C23B7">
              <w:rPr>
                <w:iCs/>
                <w:sz w:val="22"/>
                <w:szCs w:val="22"/>
              </w:rPr>
              <w:t>N’hésitez pas à me solliciter ! »</w:t>
            </w:r>
          </w:p>
          <w:p w:rsidR="002C23B7" w:rsidRPr="002C23B7" w:rsidRDefault="002C23B7" w:rsidP="00416A4D">
            <w:pPr>
              <w:pStyle w:val="Paragraphedeliste"/>
              <w:ind w:left="720"/>
              <w:rPr>
                <w:rFonts w:eastAsia="Calibri"/>
                <w:sz w:val="20"/>
                <w:szCs w:val="20"/>
              </w:rPr>
            </w:pPr>
          </w:p>
          <w:p w:rsidR="000E2C8D" w:rsidRPr="00670788" w:rsidRDefault="00670788" w:rsidP="000E2C8D">
            <w:pPr>
              <w:pStyle w:val="Paragraphedeliste"/>
              <w:numPr>
                <w:ilvl w:val="0"/>
                <w:numId w:val="19"/>
              </w:numPr>
              <w:rPr>
                <w:rFonts w:eastAsia="Calibri"/>
                <w:sz w:val="22"/>
                <w:szCs w:val="22"/>
                <w:lang w:val="en-US"/>
              </w:rPr>
            </w:pPr>
            <w:r w:rsidRPr="00670788">
              <w:rPr>
                <w:sz w:val="22"/>
                <w:szCs w:val="22"/>
                <w:lang w:val="en-US"/>
              </w:rPr>
              <w:t>South-East Asia IPR SME Helpdesk</w:t>
            </w:r>
          </w:p>
          <w:p w:rsidR="000E2C8D" w:rsidRDefault="00A73963" w:rsidP="00670788">
            <w:pPr>
              <w:pStyle w:val="Paragraphedeliste"/>
              <w:ind w:left="720"/>
              <w:rPr>
                <w:rFonts w:eastAsia="Calibri"/>
                <w:color w:val="FF0000"/>
                <w:sz w:val="20"/>
                <w:szCs w:val="20"/>
                <w:lang w:val="en-US"/>
              </w:rPr>
            </w:pPr>
            <w:hyperlink r:id="rId30" w:history="1">
              <w:r w:rsidR="00670788" w:rsidRPr="00B91993">
                <w:rPr>
                  <w:rStyle w:val="Lienhypertexte"/>
                  <w:rFonts w:eastAsia="Calibri"/>
                  <w:sz w:val="22"/>
                  <w:szCs w:val="22"/>
                  <w:lang w:val="en-US"/>
                </w:rPr>
                <w:t>http://www.southeastasia-iprhelpdesk.eu/en</w:t>
              </w:r>
            </w:hyperlink>
            <w:r w:rsidR="00670788">
              <w:rPr>
                <w:rFonts w:eastAsia="Calibri"/>
                <w:sz w:val="22"/>
                <w:szCs w:val="22"/>
                <w:lang w:val="en-US"/>
              </w:rPr>
              <w:t xml:space="preserve"> </w:t>
            </w:r>
          </w:p>
          <w:p w:rsidR="000E2C8D" w:rsidRDefault="000E2C8D" w:rsidP="000E2C8D">
            <w:pPr>
              <w:rPr>
                <w:rFonts w:eastAsia="Calibri"/>
                <w:color w:val="FF0000"/>
                <w:sz w:val="20"/>
                <w:szCs w:val="20"/>
                <w:lang w:val="en-US"/>
              </w:rPr>
            </w:pPr>
          </w:p>
          <w:p w:rsidR="0080788B" w:rsidRPr="000E2C8D" w:rsidRDefault="0080788B" w:rsidP="000E2C8D">
            <w:pPr>
              <w:rPr>
                <w:rFonts w:eastAsia="Calibri"/>
                <w:color w:val="FF0000"/>
                <w:sz w:val="20"/>
                <w:szCs w:val="20"/>
                <w:lang w:val="en-US"/>
              </w:rPr>
            </w:pPr>
          </w:p>
        </w:tc>
      </w:tr>
      <w:tr w:rsidR="000B1DF7" w:rsidTr="00DD62BA">
        <w:tblPrEx>
          <w:tblBorders>
            <w:top w:val="none" w:sz="0" w:space="0" w:color="auto"/>
          </w:tblBorders>
        </w:tblPrEx>
        <w:tc>
          <w:tcPr>
            <w:tcW w:w="4325" w:type="dxa"/>
            <w:gridSpan w:val="2"/>
            <w:shd w:val="clear" w:color="auto" w:fill="E1A800"/>
          </w:tcPr>
          <w:p w:rsidR="008E4DB0" w:rsidRPr="00415D0E" w:rsidRDefault="008E4DB0" w:rsidP="008E4DB0">
            <w:pPr>
              <w:pStyle w:val="mentionslgales"/>
              <w:keepLines/>
              <w:rPr>
                <w:rFonts w:ascii="Arial Gras" w:hAnsi="Arial Gras"/>
                <w:b/>
                <w:bCs/>
                <w:color w:val="2A2755"/>
              </w:rPr>
            </w:pPr>
            <w:r w:rsidRPr="00415D0E">
              <w:rPr>
                <w:rFonts w:ascii="Arial Gras" w:hAnsi="Arial Gras"/>
                <w:b/>
                <w:bCs/>
                <w:color w:val="2A2755"/>
              </w:rPr>
              <w:t>Copyright</w:t>
            </w:r>
          </w:p>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 xml:space="preserve">Tous droits de reproduction réservés, sauf autorisation expresse du Service Économique </w:t>
            </w:r>
            <w:r>
              <w:rPr>
                <w:rFonts w:ascii="Arial Gras" w:hAnsi="Arial Gras"/>
                <w:b/>
                <w:color w:val="2A2755"/>
              </w:rPr>
              <w:t xml:space="preserve">de Kuala Lumpur </w:t>
            </w:r>
            <w:r w:rsidRPr="00415D0E">
              <w:rPr>
                <w:rFonts w:ascii="Arial Gras" w:hAnsi="Arial Gras"/>
                <w:b/>
                <w:color w:val="2A2755"/>
              </w:rPr>
              <w:t>(adresser les demandes à</w:t>
            </w:r>
            <w:r>
              <w:rPr>
                <w:rFonts w:ascii="Arial Gras" w:hAnsi="Arial Gras"/>
                <w:b/>
                <w:color w:val="2A2755"/>
              </w:rPr>
              <w:t xml:space="preserve"> </w:t>
            </w:r>
            <w:hyperlink r:id="rId31" w:history="1">
              <w:r w:rsidRPr="00BF4332">
                <w:rPr>
                  <w:rStyle w:val="Lienhypertexte"/>
                  <w:rFonts w:ascii="Arial Gras" w:hAnsi="Arial Gras"/>
                  <w:b/>
                  <w:sz w:val="14"/>
                </w:rPr>
                <w:t>kualalumpur@dgtresor.gouv.fr</w:t>
              </w:r>
            </w:hyperlink>
            <w:r>
              <w:rPr>
                <w:rFonts w:ascii="Arial Gras" w:hAnsi="Arial Gras"/>
                <w:b/>
                <w:color w:val="2A2755"/>
              </w:rPr>
              <w:t xml:space="preserve"> </w:t>
            </w:r>
            <w:r w:rsidRPr="00415D0E">
              <w:rPr>
                <w:rFonts w:ascii="Arial Gras" w:hAnsi="Arial Gras"/>
                <w:b/>
                <w:color w:val="2A2755"/>
              </w:rPr>
              <w:t>).</w:t>
            </w:r>
            <w:r w:rsidR="00DD62BA">
              <w:rPr>
                <w:rFonts w:ascii="Arial Gras" w:hAnsi="Arial Gras"/>
                <w:b/>
                <w:noProof/>
                <w:color w:val="2A2755"/>
              </w:rPr>
              <w:t xml:space="preserve"> </w:t>
            </w:r>
          </w:p>
          <w:p w:rsidR="000B1DF7" w:rsidRPr="00415D0E" w:rsidRDefault="000B1DF7" w:rsidP="00AA0F89">
            <w:pPr>
              <w:pStyle w:val="mentionslgales"/>
              <w:keepLines/>
              <w:rPr>
                <w:rFonts w:ascii="Arial Gras" w:hAnsi="Arial Gras"/>
                <w:b/>
                <w:bCs/>
                <w:color w:val="2A2755"/>
              </w:rPr>
            </w:pPr>
            <w:r w:rsidRPr="00415D0E">
              <w:rPr>
                <w:rFonts w:ascii="Arial Gras" w:hAnsi="Arial Gras"/>
                <w:b/>
                <w:color w:val="2A2755"/>
              </w:rPr>
              <w:tab/>
              <w:t xml:space="preserve"> </w:t>
            </w:r>
            <w:r w:rsidRPr="00415D0E">
              <w:rPr>
                <w:rFonts w:ascii="Arial Gras" w:hAnsi="Arial Gras"/>
                <w:b/>
                <w:color w:val="2A2755"/>
              </w:rPr>
              <w:br/>
            </w:r>
            <w:r w:rsidRPr="00415D0E">
              <w:rPr>
                <w:rFonts w:ascii="Arial Gras" w:hAnsi="Arial Gras"/>
                <w:b/>
                <w:bCs/>
                <w:color w:val="2A2755"/>
              </w:rPr>
              <w:t>Clause de non-responsabilité</w:t>
            </w: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Le Service Économique s’efforce de diffuser des informations exactes et à jour, et corrigera, dans la mesure du possible, les erreurs qui lui seront signalées. Toutefois, il ne peut en aucun cas être tenu responsable de l’utilisation et de l’interprétation de l’information contenue dans cette publication.</w:t>
            </w:r>
          </w:p>
          <w:p w:rsidR="000B1DF7" w:rsidRDefault="000B1DF7" w:rsidP="00AA0F89">
            <w:pPr>
              <w:pStyle w:val="mentionslgales"/>
              <w:keepLines/>
            </w:pPr>
          </w:p>
        </w:tc>
        <w:tc>
          <w:tcPr>
            <w:tcW w:w="2268" w:type="dxa"/>
            <w:shd w:val="clear" w:color="auto" w:fill="E1A800"/>
            <w:vAlign w:val="center"/>
          </w:tcPr>
          <w:p w:rsidR="000B1DF7" w:rsidRDefault="00F8525A" w:rsidP="000E7D1C">
            <w:pPr>
              <w:pStyle w:val="mentionslgales"/>
              <w:keepLines/>
              <w:spacing w:line="240" w:lineRule="auto"/>
              <w:jc w:val="center"/>
            </w:pPr>
            <w:r w:rsidRPr="0000628D">
              <w:rPr>
                <w:noProof/>
              </w:rPr>
              <w:drawing>
                <wp:inline distT="0" distB="0" distL="0" distR="0" wp14:anchorId="63980548" wp14:editId="5A0F7957">
                  <wp:extent cx="1371600" cy="1943100"/>
                  <wp:effectExtent l="0" t="0" r="0" b="0"/>
                  <wp:docPr id="6" name="Image 6" descr="C:\Users\wpecriaux\Downloads\.ptmp874122\bloc-sap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pecriaux\Downloads\.ptmp874122\bloc-sapin.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71600" cy="1943100"/>
                          </a:xfrm>
                          <a:prstGeom prst="rect">
                            <a:avLst/>
                          </a:prstGeom>
                          <a:noFill/>
                          <a:ln>
                            <a:noFill/>
                          </a:ln>
                        </pic:spPr>
                      </pic:pic>
                    </a:graphicData>
                  </a:graphic>
                </wp:inline>
              </w:drawing>
            </w:r>
          </w:p>
        </w:tc>
        <w:tc>
          <w:tcPr>
            <w:tcW w:w="3613" w:type="dxa"/>
            <w:shd w:val="clear" w:color="auto" w:fill="E1A800"/>
          </w:tcPr>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Auteur :</w:t>
            </w:r>
            <w:r>
              <w:rPr>
                <w:rFonts w:ascii="Arial Gras" w:hAnsi="Arial Gras"/>
                <w:b/>
                <w:color w:val="2A2755"/>
              </w:rPr>
              <w:t xml:space="preserve"> </w:t>
            </w:r>
          </w:p>
          <w:p w:rsidR="008E4DB0" w:rsidRPr="00415D0E" w:rsidRDefault="008E4DB0" w:rsidP="008E4DB0">
            <w:pPr>
              <w:pStyle w:val="mentionslgales"/>
              <w:keepLines/>
              <w:rPr>
                <w:rFonts w:ascii="Arial Gras" w:hAnsi="Arial Gras"/>
                <w:b/>
                <w:color w:val="2A2755"/>
              </w:rPr>
            </w:pPr>
            <w:r w:rsidRPr="00415D0E">
              <w:rPr>
                <w:rFonts w:ascii="Arial Gras" w:hAnsi="Arial Gras"/>
                <w:b/>
                <w:color w:val="2A2755"/>
              </w:rPr>
              <w:t xml:space="preserve">Service Économique </w:t>
            </w:r>
            <w:r>
              <w:rPr>
                <w:rFonts w:ascii="Arial Gras" w:hAnsi="Arial Gras"/>
                <w:b/>
                <w:color w:val="2A2755"/>
              </w:rPr>
              <w:t>de Kuala Lumpur</w:t>
            </w:r>
          </w:p>
          <w:p w:rsidR="008E4DB0" w:rsidRDefault="008E4DB0" w:rsidP="008E4DB0">
            <w:pPr>
              <w:pStyle w:val="mentionslgales"/>
              <w:keepLines/>
              <w:rPr>
                <w:rFonts w:ascii="Arial Gras" w:hAnsi="Arial Gras"/>
                <w:b/>
                <w:color w:val="2A2755"/>
              </w:rPr>
            </w:pPr>
            <w:r w:rsidRPr="00415D0E">
              <w:rPr>
                <w:rFonts w:ascii="Arial Gras" w:hAnsi="Arial Gras"/>
                <w:b/>
                <w:color w:val="2A2755"/>
              </w:rPr>
              <w:t xml:space="preserve">Adresse : </w:t>
            </w:r>
            <w:r>
              <w:rPr>
                <w:rFonts w:ascii="Arial Gras" w:hAnsi="Arial Gras"/>
                <w:b/>
                <w:color w:val="2A2755"/>
              </w:rPr>
              <w:t>Ambassade de France</w:t>
            </w:r>
          </w:p>
          <w:p w:rsidR="008E4DB0" w:rsidRDefault="008E4DB0" w:rsidP="008E4DB0">
            <w:pPr>
              <w:pStyle w:val="mentionslgales"/>
              <w:keepLines/>
              <w:rPr>
                <w:rFonts w:ascii="Arial Gras" w:hAnsi="Arial Gras"/>
                <w:b/>
                <w:color w:val="2A2755"/>
              </w:rPr>
            </w:pPr>
            <w:r>
              <w:rPr>
                <w:rFonts w:ascii="Arial Gras" w:hAnsi="Arial Gras"/>
                <w:b/>
                <w:color w:val="2A2755"/>
              </w:rPr>
              <w:t xml:space="preserve">196, </w:t>
            </w:r>
            <w:proofErr w:type="spellStart"/>
            <w:r>
              <w:rPr>
                <w:rFonts w:ascii="Arial Gras" w:hAnsi="Arial Gras"/>
                <w:b/>
                <w:color w:val="2A2755"/>
              </w:rPr>
              <w:t>Jalan</w:t>
            </w:r>
            <w:proofErr w:type="spellEnd"/>
            <w:r>
              <w:rPr>
                <w:rFonts w:ascii="Arial Gras" w:hAnsi="Arial Gras"/>
                <w:b/>
                <w:color w:val="2A2755"/>
              </w:rPr>
              <w:t xml:space="preserve"> </w:t>
            </w:r>
            <w:proofErr w:type="spellStart"/>
            <w:r>
              <w:rPr>
                <w:rFonts w:ascii="Arial Gras" w:hAnsi="Arial Gras"/>
                <w:b/>
                <w:color w:val="2A2755"/>
              </w:rPr>
              <w:t>Ampang</w:t>
            </w:r>
            <w:proofErr w:type="spellEnd"/>
            <w:r>
              <w:rPr>
                <w:rFonts w:ascii="Arial Gras" w:hAnsi="Arial Gras"/>
                <w:b/>
                <w:color w:val="2A2755"/>
              </w:rPr>
              <w:t>, PO Box 10575</w:t>
            </w:r>
          </w:p>
          <w:p w:rsidR="008E4DB0" w:rsidRDefault="008E4DB0" w:rsidP="008E4DB0">
            <w:pPr>
              <w:pStyle w:val="mentionslgales"/>
              <w:keepLines/>
              <w:rPr>
                <w:rFonts w:ascii="Arial Gras" w:hAnsi="Arial Gras"/>
                <w:b/>
                <w:color w:val="2A2755"/>
              </w:rPr>
            </w:pPr>
            <w:r>
              <w:rPr>
                <w:rFonts w:ascii="Arial Gras" w:hAnsi="Arial Gras"/>
                <w:b/>
                <w:color w:val="2A2755"/>
              </w:rPr>
              <w:t>Kuala Lumpur 50718</w:t>
            </w:r>
          </w:p>
          <w:p w:rsidR="008E4DB0" w:rsidRDefault="008E4DB0" w:rsidP="008E4DB0">
            <w:pPr>
              <w:pStyle w:val="mentionslgales"/>
              <w:keepLines/>
              <w:rPr>
                <w:rFonts w:ascii="Arial Gras" w:hAnsi="Arial Gras"/>
                <w:b/>
                <w:color w:val="2A2755"/>
              </w:rPr>
            </w:pPr>
            <w:r>
              <w:rPr>
                <w:rFonts w:ascii="Arial Gras" w:hAnsi="Arial Gras"/>
                <w:b/>
                <w:color w:val="2A2755"/>
              </w:rPr>
              <w:t>Malaisie</w:t>
            </w:r>
          </w:p>
          <w:p w:rsidR="000B1DF7" w:rsidRPr="00415D0E" w:rsidRDefault="000B1DF7" w:rsidP="00AA0F89">
            <w:pPr>
              <w:pStyle w:val="mentionslgales"/>
              <w:keepLines/>
              <w:rPr>
                <w:rFonts w:ascii="Arial Gras" w:hAnsi="Arial Gras"/>
                <w:b/>
                <w:color w:val="2A2755"/>
              </w:rPr>
            </w:pPr>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Rédigé par :</w:t>
            </w:r>
            <w:r w:rsidR="00D267D6">
              <w:rPr>
                <w:rFonts w:ascii="Arial Gras" w:hAnsi="Arial Gras"/>
                <w:b/>
                <w:color w:val="2A2755"/>
              </w:rPr>
              <w:t xml:space="preserve"> </w:t>
            </w:r>
            <w:r w:rsidR="007579F5">
              <w:rPr>
                <w:rFonts w:ascii="Arial Gras" w:hAnsi="Arial Gras"/>
                <w:b/>
                <w:color w:val="2A2755"/>
              </w:rPr>
              <w:t xml:space="preserve">Stéphanie </w:t>
            </w:r>
            <w:proofErr w:type="spellStart"/>
            <w:r w:rsidR="007579F5">
              <w:rPr>
                <w:rFonts w:ascii="Arial Gras" w:hAnsi="Arial Gras"/>
                <w:b/>
                <w:color w:val="2A2755"/>
              </w:rPr>
              <w:t>Leparmentier</w:t>
            </w:r>
            <w:proofErr w:type="spellEnd"/>
            <w:r w:rsidR="007579F5">
              <w:rPr>
                <w:rFonts w:ascii="Arial Gras" w:hAnsi="Arial Gras"/>
                <w:b/>
                <w:color w:val="2A2755"/>
              </w:rPr>
              <w:t xml:space="preserve"> &amp; W</w:t>
            </w:r>
            <w:r w:rsidR="001D26BB">
              <w:rPr>
                <w:rFonts w:ascii="Arial Gras" w:hAnsi="Arial Gras"/>
                <w:b/>
                <w:color w:val="2A2755"/>
              </w:rPr>
              <w:t xml:space="preserve">illiam </w:t>
            </w:r>
            <w:proofErr w:type="spellStart"/>
            <w:r w:rsidR="001D26BB">
              <w:rPr>
                <w:rFonts w:ascii="Arial Gras" w:hAnsi="Arial Gras"/>
                <w:b/>
                <w:color w:val="2A2755"/>
              </w:rPr>
              <w:t>Pécriaux</w:t>
            </w:r>
            <w:proofErr w:type="spellEnd"/>
          </w:p>
          <w:p w:rsidR="000B1DF7" w:rsidRPr="00415D0E" w:rsidRDefault="000B1DF7" w:rsidP="00AA0F89">
            <w:pPr>
              <w:pStyle w:val="mentionslgales"/>
              <w:keepLines/>
              <w:rPr>
                <w:rFonts w:ascii="Arial Gras" w:hAnsi="Arial Gras"/>
                <w:b/>
                <w:color w:val="2A2755"/>
              </w:rPr>
            </w:pPr>
            <w:r w:rsidRPr="00415D0E">
              <w:rPr>
                <w:rFonts w:ascii="Arial Gras" w:hAnsi="Arial Gras"/>
                <w:b/>
                <w:color w:val="2A2755"/>
              </w:rPr>
              <w:t>Revu par :</w:t>
            </w:r>
            <w:r w:rsidR="00914775">
              <w:rPr>
                <w:rFonts w:ascii="Arial Gras" w:hAnsi="Arial Gras"/>
                <w:b/>
                <w:color w:val="2A2755"/>
              </w:rPr>
              <w:t xml:space="preserve"> </w:t>
            </w:r>
            <w:r w:rsidR="000B62C4">
              <w:rPr>
                <w:rFonts w:ascii="Arial Gras" w:hAnsi="Arial Gras"/>
                <w:b/>
                <w:color w:val="2A2755"/>
              </w:rPr>
              <w:t>Arnaud Boulanger</w:t>
            </w:r>
          </w:p>
          <w:p w:rsidR="000B1DF7" w:rsidRPr="00415D0E" w:rsidRDefault="000B1DF7" w:rsidP="00AA0F89">
            <w:pPr>
              <w:pStyle w:val="mentionslgales"/>
              <w:keepLines/>
              <w:rPr>
                <w:rFonts w:ascii="Arial Gras" w:hAnsi="Arial Gras"/>
                <w:b/>
                <w:color w:val="2A2755"/>
              </w:rPr>
            </w:pPr>
          </w:p>
          <w:p w:rsidR="000B1DF7" w:rsidRPr="00795E7F" w:rsidRDefault="000B1DF7" w:rsidP="00AA0F89">
            <w:pPr>
              <w:pStyle w:val="mentionslgales"/>
              <w:keepLines/>
              <w:rPr>
                <w:rFonts w:ascii="Arial Gras" w:hAnsi="Arial Gras"/>
                <w:b/>
                <w:color w:val="004559"/>
              </w:rPr>
            </w:pPr>
            <w:r w:rsidRPr="00415D0E">
              <w:rPr>
                <w:rFonts w:ascii="Arial Gras" w:hAnsi="Arial Gras"/>
                <w:b/>
                <w:color w:val="2A2755"/>
              </w:rPr>
              <w:t>Version originelle</w:t>
            </w:r>
            <w:r w:rsidR="00DF2015">
              <w:rPr>
                <w:rFonts w:ascii="Arial Gras" w:hAnsi="Arial Gras"/>
                <w:b/>
                <w:color w:val="2A2755"/>
              </w:rPr>
              <w:t xml:space="preserve"> du</w:t>
            </w:r>
            <w:r w:rsidR="00EF7888">
              <w:rPr>
                <w:rFonts w:ascii="Arial Gras" w:hAnsi="Arial Gras"/>
                <w:b/>
                <w:color w:val="2A2755"/>
              </w:rPr>
              <w:t xml:space="preserve"> </w:t>
            </w:r>
            <w:bookmarkStart w:id="3" w:name="newVersion"/>
            <w:bookmarkEnd w:id="3"/>
            <w:r w:rsidR="00627F6D">
              <w:rPr>
                <w:rFonts w:ascii="Arial Gras" w:hAnsi="Arial Gras"/>
                <w:b/>
                <w:color w:val="2A2755"/>
              </w:rPr>
              <w:t>1</w:t>
            </w:r>
            <w:r w:rsidR="00D117C1">
              <w:rPr>
                <w:rFonts w:ascii="Arial Gras" w:hAnsi="Arial Gras"/>
                <w:b/>
                <w:color w:val="2A2755"/>
              </w:rPr>
              <w:t>3</w:t>
            </w:r>
            <w:r w:rsidR="0053244A">
              <w:rPr>
                <w:rFonts w:ascii="Arial Gras" w:hAnsi="Arial Gras"/>
                <w:b/>
                <w:color w:val="2A2755"/>
              </w:rPr>
              <w:t>/03/201</w:t>
            </w:r>
            <w:r w:rsidR="00627F6D">
              <w:rPr>
                <w:rFonts w:ascii="Arial Gras" w:hAnsi="Arial Gras"/>
                <w:b/>
                <w:color w:val="2A2755"/>
              </w:rPr>
              <w:t>7</w:t>
            </w:r>
          </w:p>
          <w:p w:rsidR="000B1DF7" w:rsidRDefault="000B1DF7" w:rsidP="00AA0F89">
            <w:pPr>
              <w:pStyle w:val="mentionslgales"/>
              <w:keepLines/>
            </w:pPr>
          </w:p>
        </w:tc>
      </w:tr>
    </w:tbl>
    <w:p w:rsidR="001557BE" w:rsidRDefault="001557BE" w:rsidP="008143A4"/>
    <w:sectPr w:rsidR="001557BE" w:rsidSect="001B2C40">
      <w:headerReference w:type="default" r:id="rId33"/>
      <w:footerReference w:type="default" r:id="rId34"/>
      <w:headerReference w:type="first" r:id="rId35"/>
      <w:footerReference w:type="first" r:id="rId36"/>
      <w:pgSz w:w="11906" w:h="16838"/>
      <w:pgMar w:top="1701" w:right="737" w:bottom="1191" w:left="73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79F" w:rsidRDefault="0039479F">
      <w:r>
        <w:separator/>
      </w:r>
    </w:p>
  </w:endnote>
  <w:endnote w:type="continuationSeparator" w:id="0">
    <w:p w:rsidR="0039479F" w:rsidRDefault="0039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Gras">
    <w:altName w:val="Times New Roman"/>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9544D3">
    <w:pPr>
      <w:pStyle w:val="Pieddepage"/>
    </w:pPr>
  </w:p>
  <w:p w:rsidR="009544D3" w:rsidRDefault="009544D3" w:rsidP="00C42BFF">
    <w:pPr>
      <w:pStyle w:val="Pieddepage"/>
    </w:pPr>
    <w:bookmarkStart w:id="7" w:name="piedPage1"/>
    <w:bookmarkEnd w:id="7"/>
    <w:r>
      <w:t xml:space="preserve">Ambassade de France en </w:t>
    </w:r>
    <w:r w:rsidR="00C42BFF">
      <w:t>MALAISIE</w:t>
    </w:r>
    <w:r>
      <w:t xml:space="preserve"> - SERVICE </w:t>
    </w:r>
    <w:r>
      <w:rPr>
        <w:rFonts w:hint="eastAsia"/>
      </w:rPr>
      <w:t>É</w:t>
    </w:r>
    <w:r>
      <w:t>conomique</w:t>
    </w:r>
  </w:p>
  <w:p w:rsidR="009544D3" w:rsidRDefault="009544D3">
    <w:pPr>
      <w:pStyle w:val="Pieddepage"/>
    </w:pPr>
    <w:r>
      <w:t xml:space="preserve">- </w:t>
    </w:r>
    <w:r>
      <w:fldChar w:fldCharType="begin"/>
    </w:r>
    <w:r>
      <w:instrText xml:space="preserve"> PAGE </w:instrText>
    </w:r>
    <w:r>
      <w:fldChar w:fldCharType="separate"/>
    </w:r>
    <w:r w:rsidR="0030420C">
      <w:rPr>
        <w:noProof/>
      </w:rPr>
      <w:t>3</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9544D3">
    <w:pPr>
      <w:pStyle w:val="Pieddepage"/>
    </w:pPr>
    <w:r>
      <w:br/>
    </w:r>
    <w:bookmarkStart w:id="8" w:name="piedPage"/>
    <w:bookmarkEnd w:id="8"/>
    <w:r>
      <w:t xml:space="preserve">Ambassade de France en </w:t>
    </w:r>
    <w:r w:rsidR="00C42BFF">
      <w:t>MALAISIE</w:t>
    </w:r>
    <w:r>
      <w:t xml:space="preserve"> - SERVICE </w:t>
    </w:r>
    <w:r>
      <w:rPr>
        <w:rFonts w:hint="eastAsia"/>
      </w:rPr>
      <w:t>É</w:t>
    </w:r>
    <w:r>
      <w:t>conomique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79F" w:rsidRDefault="0039479F">
      <w:r>
        <w:separator/>
      </w:r>
    </w:p>
  </w:footnote>
  <w:footnote w:type="continuationSeparator" w:id="0">
    <w:p w:rsidR="0039479F" w:rsidRDefault="0039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C42BFF" w:rsidP="00127BB6">
    <w:pPr>
      <w:pStyle w:val="En-tte"/>
      <w:spacing w:before="40"/>
      <w:jc w:val="center"/>
      <w:rPr>
        <w:rFonts w:ascii="Arial" w:hAnsi="Arial" w:cs="Arial"/>
        <w:sz w:val="16"/>
      </w:rPr>
    </w:pPr>
    <w:r>
      <w:rPr>
        <w:noProof/>
      </w:rPr>
      <w:drawing>
        <wp:inline distT="0" distB="0" distL="0" distR="0" wp14:anchorId="7E6670FC" wp14:editId="3B097ADE">
          <wp:extent cx="6409055" cy="779145"/>
          <wp:effectExtent l="0" t="0" r="0" b="1905"/>
          <wp:docPr id="9" name="Image 9" descr="Nouvelle 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uvelle imag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9055" cy="779145"/>
                  </a:xfrm>
                  <a:prstGeom prst="rect">
                    <a:avLst/>
                  </a:prstGeom>
                  <a:noFill/>
                  <a:ln>
                    <a:noFill/>
                  </a:ln>
                </pic:spPr>
              </pic:pic>
            </a:graphicData>
          </a:graphic>
        </wp:inline>
      </w:drawing>
    </w:r>
  </w:p>
  <w:tbl>
    <w:tblPr>
      <w:tblW w:w="10206" w:type="dxa"/>
      <w:tblInd w:w="70" w:type="dxa"/>
      <w:tblCellMar>
        <w:left w:w="70" w:type="dxa"/>
        <w:right w:w="70" w:type="dxa"/>
      </w:tblCellMar>
      <w:tblLook w:val="0000" w:firstRow="0" w:lastRow="0" w:firstColumn="0" w:lastColumn="0" w:noHBand="0" w:noVBand="0"/>
    </w:tblPr>
    <w:tblGrid>
      <w:gridCol w:w="10206"/>
    </w:tblGrid>
    <w:tr w:rsidR="009544D3" w:rsidTr="00BC6975">
      <w:tc>
        <w:tcPr>
          <w:tcW w:w="10206" w:type="dxa"/>
        </w:tcPr>
        <w:p w:rsidR="009544D3" w:rsidRDefault="00703822" w:rsidP="009C73D8">
          <w:pPr>
            <w:pStyle w:val="En-tte"/>
            <w:keepNext/>
            <w:keepLines/>
            <w:suppressAutoHyphens/>
            <w:spacing w:before="60"/>
            <w:ind w:left="181"/>
            <w:rPr>
              <w:rFonts w:ascii="Arial Gras" w:hAnsi="Arial Gras" w:cs="Arial"/>
              <w:b/>
              <w:bCs/>
              <w:spacing w:val="40"/>
              <w:sz w:val="16"/>
            </w:rPr>
          </w:pPr>
          <w:bookmarkStart w:id="4" w:name="titreHead"/>
          <w:bookmarkEnd w:id="4"/>
          <w:r w:rsidRPr="00836A1D">
            <w:rPr>
              <w:rFonts w:ascii="Arial Gras" w:hAnsi="Arial Gras" w:cs="Arial"/>
              <w:b/>
              <w:bCs/>
              <w:color w:val="DAA800"/>
              <w:spacing w:val="30"/>
              <w:sz w:val="16"/>
            </w:rPr>
            <w:t>L</w:t>
          </w:r>
          <w:r>
            <w:rPr>
              <w:rFonts w:ascii="Arial Gras" w:hAnsi="Arial Gras" w:cs="Arial"/>
              <w:b/>
              <w:bCs/>
              <w:color w:val="DAA800"/>
              <w:spacing w:val="30"/>
              <w:sz w:val="16"/>
            </w:rPr>
            <w:t xml:space="preserve">es échanges commerciaux franco-malaisiens en 2015 </w:t>
          </w:r>
          <w:r w:rsidR="009544D3" w:rsidRPr="00BA4D5D">
            <w:rPr>
              <w:rFonts w:ascii="Arial Gras" w:hAnsi="Arial Gras" w:cs="Arial"/>
              <w:b/>
              <w:bCs/>
              <w:color w:val="004559"/>
              <w:spacing w:val="30"/>
              <w:sz w:val="16"/>
            </w:rPr>
            <w:t>–</w:t>
          </w:r>
          <w:bookmarkStart w:id="5" w:name="moisActuHead"/>
          <w:bookmarkEnd w:id="5"/>
          <w:r w:rsidR="009544D3">
            <w:rPr>
              <w:rFonts w:ascii="Arial Gras" w:hAnsi="Arial Gras" w:cs="Arial"/>
              <w:b/>
              <w:bCs/>
              <w:color w:val="336699"/>
              <w:spacing w:val="30"/>
              <w:sz w:val="16"/>
            </w:rPr>
            <w:t xml:space="preserve"> </w:t>
          </w:r>
          <w:bookmarkStart w:id="6" w:name="anActuHead"/>
          <w:bookmarkEnd w:id="6"/>
          <w:r w:rsidR="009C73D8">
            <w:rPr>
              <w:rFonts w:ascii="Arial Gras" w:hAnsi="Arial Gras" w:cs="Arial"/>
              <w:b/>
              <w:bCs/>
              <w:color w:val="336699"/>
              <w:spacing w:val="30"/>
              <w:sz w:val="16"/>
            </w:rPr>
            <w:t>mars</w:t>
          </w:r>
          <w:r w:rsidR="007274D5">
            <w:rPr>
              <w:rFonts w:ascii="Arial Gras" w:hAnsi="Arial Gras" w:cs="Arial"/>
              <w:b/>
              <w:bCs/>
              <w:color w:val="336699"/>
              <w:spacing w:val="30"/>
              <w:sz w:val="16"/>
            </w:rPr>
            <w:t xml:space="preserve"> </w:t>
          </w:r>
          <w:r w:rsidR="009544D3">
            <w:rPr>
              <w:rFonts w:ascii="Arial Gras" w:hAnsi="Arial Gras" w:cs="Arial"/>
              <w:b/>
              <w:bCs/>
              <w:color w:val="336699"/>
              <w:spacing w:val="30"/>
              <w:sz w:val="16"/>
            </w:rPr>
            <w:t>20</w:t>
          </w:r>
          <w:r w:rsidR="00836A1D">
            <w:rPr>
              <w:rFonts w:ascii="Arial Gras" w:hAnsi="Arial Gras" w:cs="Arial"/>
              <w:b/>
              <w:bCs/>
              <w:color w:val="336699"/>
              <w:spacing w:val="30"/>
              <w:sz w:val="16"/>
            </w:rPr>
            <w:t>1</w:t>
          </w:r>
          <w:r w:rsidR="007274D5">
            <w:rPr>
              <w:rFonts w:ascii="Arial Gras" w:hAnsi="Arial Gras" w:cs="Arial"/>
              <w:b/>
              <w:bCs/>
              <w:color w:val="336699"/>
              <w:spacing w:val="30"/>
              <w:sz w:val="16"/>
            </w:rPr>
            <w:t>6</w:t>
          </w:r>
          <w:r w:rsidR="009544D3">
            <w:rPr>
              <w:rFonts w:ascii="Arial Gras" w:hAnsi="Arial Gras" w:cs="Arial"/>
              <w:b/>
              <w:bCs/>
              <w:color w:val="336699"/>
              <w:spacing w:val="30"/>
              <w:sz w:val="16"/>
            </w:rPr>
            <w:t xml:space="preserve"> </w:t>
          </w:r>
          <w:r w:rsidR="009544D3">
            <w:rPr>
              <w:rFonts w:ascii="Arial" w:hAnsi="Arial" w:cs="Arial"/>
              <w:sz w:val="16"/>
            </w:rPr>
            <w:t>©</w:t>
          </w:r>
          <w:r w:rsidR="00D00072">
            <w:rPr>
              <w:rFonts w:ascii="Arial" w:hAnsi="Arial" w:cs="Arial"/>
              <w:sz w:val="16"/>
            </w:rPr>
            <w:t xml:space="preserve"> </w:t>
          </w:r>
          <w:r w:rsidR="009544D3">
            <w:rPr>
              <w:rFonts w:ascii="Arial" w:hAnsi="Arial" w:cs="Arial"/>
              <w:sz w:val="16"/>
            </w:rPr>
            <w:t>DG</w:t>
          </w:r>
          <w:r w:rsidR="008C7F92">
            <w:rPr>
              <w:rFonts w:ascii="Arial" w:hAnsi="Arial" w:cs="Arial"/>
              <w:sz w:val="16"/>
            </w:rPr>
            <w:t xml:space="preserve"> </w:t>
          </w:r>
          <w:r w:rsidR="009544D3">
            <w:rPr>
              <w:rFonts w:ascii="Arial" w:hAnsi="Arial" w:cs="Arial"/>
              <w:sz w:val="16"/>
            </w:rPr>
            <w:t>T</w:t>
          </w:r>
          <w:r w:rsidR="008C7F92">
            <w:rPr>
              <w:rFonts w:ascii="Arial" w:hAnsi="Arial" w:cs="Arial"/>
              <w:sz w:val="16"/>
            </w:rPr>
            <w:t>résor</w:t>
          </w:r>
        </w:p>
      </w:tc>
    </w:tr>
  </w:tbl>
  <w:p w:rsidR="009544D3" w:rsidRDefault="009544D3">
    <w:pPr>
      <w:pStyle w:val="En-tte"/>
      <w:spacing w:before="40"/>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4D3" w:rsidRDefault="00C42BFF" w:rsidP="005120C0">
    <w:pPr>
      <w:pStyle w:val="En-tte"/>
      <w:tabs>
        <w:tab w:val="left" w:pos="142"/>
      </w:tabs>
    </w:pPr>
    <w:r>
      <w:rPr>
        <w:noProof/>
      </w:rPr>
      <w:drawing>
        <wp:inline distT="0" distB="0" distL="0" distR="0">
          <wp:extent cx="6448425" cy="1208405"/>
          <wp:effectExtent l="0" t="0" r="9525" b="0"/>
          <wp:docPr id="12" name="Image 12" descr="Bandeau_publications_services_économiques_2010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andeau_publications_services_économiques_2010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8425" cy="12084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57648"/>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F03849"/>
    <w:multiLevelType w:val="hybridMultilevel"/>
    <w:tmpl w:val="320C5FBC"/>
    <w:lvl w:ilvl="0" w:tplc="365AA93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38637DA"/>
    <w:multiLevelType w:val="hybridMultilevel"/>
    <w:tmpl w:val="84285594"/>
    <w:lvl w:ilvl="0" w:tplc="46FC9D1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121A1C"/>
    <w:multiLevelType w:val="hybridMultilevel"/>
    <w:tmpl w:val="C3AC1F86"/>
    <w:lvl w:ilvl="0" w:tplc="81B0B3BC">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73A386B"/>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422424"/>
    <w:multiLevelType w:val="hybridMultilevel"/>
    <w:tmpl w:val="6F849D24"/>
    <w:lvl w:ilvl="0" w:tplc="F440DF2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D157A7"/>
    <w:multiLevelType w:val="hybridMultilevel"/>
    <w:tmpl w:val="1B90C634"/>
    <w:lvl w:ilvl="0" w:tplc="779AD0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E93857"/>
    <w:multiLevelType w:val="hybridMultilevel"/>
    <w:tmpl w:val="20407A66"/>
    <w:lvl w:ilvl="0" w:tplc="ECC6097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5106C0"/>
    <w:multiLevelType w:val="hybridMultilevel"/>
    <w:tmpl w:val="9D7AD30C"/>
    <w:lvl w:ilvl="0" w:tplc="7D92DE24">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B521FE8"/>
    <w:multiLevelType w:val="hybridMultilevel"/>
    <w:tmpl w:val="AD202244"/>
    <w:lvl w:ilvl="0" w:tplc="913891CC">
      <w:start w:val="5"/>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BE538F"/>
    <w:multiLevelType w:val="hybridMultilevel"/>
    <w:tmpl w:val="2A7886E4"/>
    <w:lvl w:ilvl="0" w:tplc="B75AAEBE">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F92E5C"/>
    <w:multiLevelType w:val="hybridMultilevel"/>
    <w:tmpl w:val="A732BF42"/>
    <w:lvl w:ilvl="0" w:tplc="5AE6A28E">
      <w:start w:val="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2CE4B5C"/>
    <w:multiLevelType w:val="hybridMultilevel"/>
    <w:tmpl w:val="381E21A0"/>
    <w:lvl w:ilvl="0" w:tplc="5C48C686">
      <w:numFmt w:val="bullet"/>
      <w:lvlText w:val=""/>
      <w:lvlJc w:val="left"/>
      <w:pPr>
        <w:tabs>
          <w:tab w:val="num" w:pos="397"/>
        </w:tabs>
        <w:ind w:left="340" w:hanging="340"/>
      </w:pPr>
      <w:rPr>
        <w:rFonts w:ascii="Wingdings" w:hAnsi="Wingdings" w:hint="default"/>
        <w:color w:val="DAA800"/>
        <w:sz w:val="16"/>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323574"/>
    <w:multiLevelType w:val="hybridMultilevel"/>
    <w:tmpl w:val="1B9E003E"/>
    <w:lvl w:ilvl="0" w:tplc="D92E3B3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752C18"/>
    <w:multiLevelType w:val="hybridMultilevel"/>
    <w:tmpl w:val="B84A875C"/>
    <w:lvl w:ilvl="0" w:tplc="CFD844CC">
      <w:start w:val="1"/>
      <w:numFmt w:val="bullet"/>
      <w:lvlText w:val="-"/>
      <w:lvlJc w:val="left"/>
      <w:pPr>
        <w:ind w:left="360" w:hanging="360"/>
      </w:pPr>
      <w:rPr>
        <w:rFonts w:ascii="Times New Roman" w:eastAsia="Times New Roman" w:hAnsi="Times New Roman" w:cs="Times New Roman"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407D2D5C"/>
    <w:multiLevelType w:val="hybridMultilevel"/>
    <w:tmpl w:val="DCE24356"/>
    <w:lvl w:ilvl="0" w:tplc="365AA9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84379A"/>
    <w:multiLevelType w:val="hybridMultilevel"/>
    <w:tmpl w:val="D480CBC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923E31"/>
    <w:multiLevelType w:val="hybridMultilevel"/>
    <w:tmpl w:val="0ED211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800693"/>
    <w:multiLevelType w:val="hybridMultilevel"/>
    <w:tmpl w:val="C67067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32364F"/>
    <w:multiLevelType w:val="hybridMultilevel"/>
    <w:tmpl w:val="F8F47270"/>
    <w:lvl w:ilvl="0" w:tplc="F3801398">
      <w:start w:val="1"/>
      <w:numFmt w:val="bullet"/>
      <w:lvlText w:val="-"/>
      <w:lvlJc w:val="left"/>
      <w:pPr>
        <w:ind w:left="360" w:hanging="360"/>
      </w:pPr>
      <w:rPr>
        <w:rFonts w:ascii="Times New Roman" w:eastAsia="Times New Roman" w:hAnsi="Times New Roman" w:cs="Times New Roman" w:hint="default"/>
        <w:i/>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0492CF6"/>
    <w:multiLevelType w:val="hybridMultilevel"/>
    <w:tmpl w:val="05586DD2"/>
    <w:lvl w:ilvl="0" w:tplc="9E0CD5D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1F42459"/>
    <w:multiLevelType w:val="hybridMultilevel"/>
    <w:tmpl w:val="B5726B86"/>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9F76568"/>
    <w:multiLevelType w:val="hybridMultilevel"/>
    <w:tmpl w:val="3E9C4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D2956A2"/>
    <w:multiLevelType w:val="hybridMultilevel"/>
    <w:tmpl w:val="1B90C634"/>
    <w:lvl w:ilvl="0" w:tplc="779AD0D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22"/>
  </w:num>
  <w:num w:numId="3">
    <w:abstractNumId w:val="23"/>
  </w:num>
  <w:num w:numId="4">
    <w:abstractNumId w:val="20"/>
  </w:num>
  <w:num w:numId="5">
    <w:abstractNumId w:val="6"/>
  </w:num>
  <w:num w:numId="6">
    <w:abstractNumId w:val="16"/>
  </w:num>
  <w:num w:numId="7">
    <w:abstractNumId w:val="5"/>
  </w:num>
  <w:num w:numId="8">
    <w:abstractNumId w:val="13"/>
  </w:num>
  <w:num w:numId="9">
    <w:abstractNumId w:val="7"/>
  </w:num>
  <w:num w:numId="10">
    <w:abstractNumId w:val="0"/>
  </w:num>
  <w:num w:numId="11">
    <w:abstractNumId w:val="4"/>
  </w:num>
  <w:num w:numId="12">
    <w:abstractNumId w:val="1"/>
  </w:num>
  <w:num w:numId="13">
    <w:abstractNumId w:val="3"/>
  </w:num>
  <w:num w:numId="14">
    <w:abstractNumId w:val="15"/>
  </w:num>
  <w:num w:numId="15">
    <w:abstractNumId w:val="10"/>
  </w:num>
  <w:num w:numId="16">
    <w:abstractNumId w:val="21"/>
  </w:num>
  <w:num w:numId="17">
    <w:abstractNumId w:val="9"/>
  </w:num>
  <w:num w:numId="18">
    <w:abstractNumId w:val="17"/>
  </w:num>
  <w:num w:numId="19">
    <w:abstractNumId w:val="18"/>
  </w:num>
  <w:num w:numId="20">
    <w:abstractNumId w:val="14"/>
  </w:num>
  <w:num w:numId="21">
    <w:abstractNumId w:val="11"/>
  </w:num>
  <w:num w:numId="22">
    <w:abstractNumId w:val="8"/>
  </w:num>
  <w:num w:numId="23">
    <w:abstractNumId w:val="19"/>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7BE"/>
    <w:rsid w:val="00000547"/>
    <w:rsid w:val="0000312F"/>
    <w:rsid w:val="00005F40"/>
    <w:rsid w:val="00011062"/>
    <w:rsid w:val="00021749"/>
    <w:rsid w:val="0003322A"/>
    <w:rsid w:val="000332CC"/>
    <w:rsid w:val="000366E9"/>
    <w:rsid w:val="00037CBF"/>
    <w:rsid w:val="00044F92"/>
    <w:rsid w:val="00051190"/>
    <w:rsid w:val="000614D3"/>
    <w:rsid w:val="00064D40"/>
    <w:rsid w:val="0007430E"/>
    <w:rsid w:val="0007527D"/>
    <w:rsid w:val="00076CB2"/>
    <w:rsid w:val="00076F0B"/>
    <w:rsid w:val="00081F73"/>
    <w:rsid w:val="0008510A"/>
    <w:rsid w:val="000A42FF"/>
    <w:rsid w:val="000B1DF7"/>
    <w:rsid w:val="000B2C8F"/>
    <w:rsid w:val="000B62C4"/>
    <w:rsid w:val="000C0327"/>
    <w:rsid w:val="000C35FF"/>
    <w:rsid w:val="000C375A"/>
    <w:rsid w:val="000D2FE6"/>
    <w:rsid w:val="000D456B"/>
    <w:rsid w:val="000D708E"/>
    <w:rsid w:val="000E086B"/>
    <w:rsid w:val="000E2C8D"/>
    <w:rsid w:val="000E7D1C"/>
    <w:rsid w:val="00103348"/>
    <w:rsid w:val="00104E59"/>
    <w:rsid w:val="00105E70"/>
    <w:rsid w:val="00110072"/>
    <w:rsid w:val="001110EE"/>
    <w:rsid w:val="0012250E"/>
    <w:rsid w:val="00127BB6"/>
    <w:rsid w:val="00127F59"/>
    <w:rsid w:val="0013290B"/>
    <w:rsid w:val="001351E2"/>
    <w:rsid w:val="00137794"/>
    <w:rsid w:val="00140D1F"/>
    <w:rsid w:val="00144A7C"/>
    <w:rsid w:val="00145E73"/>
    <w:rsid w:val="001557BE"/>
    <w:rsid w:val="00155982"/>
    <w:rsid w:val="00161E86"/>
    <w:rsid w:val="0016308E"/>
    <w:rsid w:val="00170C70"/>
    <w:rsid w:val="00177978"/>
    <w:rsid w:val="00182200"/>
    <w:rsid w:val="00187C93"/>
    <w:rsid w:val="001903D6"/>
    <w:rsid w:val="0019099E"/>
    <w:rsid w:val="0019230D"/>
    <w:rsid w:val="001A08A1"/>
    <w:rsid w:val="001A7013"/>
    <w:rsid w:val="001B2C40"/>
    <w:rsid w:val="001B4B99"/>
    <w:rsid w:val="001B534B"/>
    <w:rsid w:val="001C2E60"/>
    <w:rsid w:val="001D218F"/>
    <w:rsid w:val="001D26BB"/>
    <w:rsid w:val="001D63CD"/>
    <w:rsid w:val="001E1639"/>
    <w:rsid w:val="001E2757"/>
    <w:rsid w:val="001E3F84"/>
    <w:rsid w:val="001F16C8"/>
    <w:rsid w:val="002121E0"/>
    <w:rsid w:val="00213F06"/>
    <w:rsid w:val="00226347"/>
    <w:rsid w:val="002311BE"/>
    <w:rsid w:val="0023393A"/>
    <w:rsid w:val="00241DCE"/>
    <w:rsid w:val="002473C6"/>
    <w:rsid w:val="00250BBC"/>
    <w:rsid w:val="0025240D"/>
    <w:rsid w:val="00257F24"/>
    <w:rsid w:val="00266929"/>
    <w:rsid w:val="0027159E"/>
    <w:rsid w:val="00274703"/>
    <w:rsid w:val="00282E42"/>
    <w:rsid w:val="00284645"/>
    <w:rsid w:val="002867DE"/>
    <w:rsid w:val="00290147"/>
    <w:rsid w:val="00292CEB"/>
    <w:rsid w:val="002A218A"/>
    <w:rsid w:val="002A5171"/>
    <w:rsid w:val="002A7AC7"/>
    <w:rsid w:val="002B321F"/>
    <w:rsid w:val="002C01D5"/>
    <w:rsid w:val="002C23B4"/>
    <w:rsid w:val="002C23B7"/>
    <w:rsid w:val="002D23E4"/>
    <w:rsid w:val="002D3F9C"/>
    <w:rsid w:val="002E1B34"/>
    <w:rsid w:val="002E5B13"/>
    <w:rsid w:val="002F047F"/>
    <w:rsid w:val="002F46CA"/>
    <w:rsid w:val="002F729D"/>
    <w:rsid w:val="0030420C"/>
    <w:rsid w:val="003051C6"/>
    <w:rsid w:val="00311205"/>
    <w:rsid w:val="00311A2B"/>
    <w:rsid w:val="003121DB"/>
    <w:rsid w:val="00312C0F"/>
    <w:rsid w:val="00317454"/>
    <w:rsid w:val="003201E4"/>
    <w:rsid w:val="00322B21"/>
    <w:rsid w:val="00325030"/>
    <w:rsid w:val="003258CC"/>
    <w:rsid w:val="00335239"/>
    <w:rsid w:val="003358F0"/>
    <w:rsid w:val="00337211"/>
    <w:rsid w:val="0034070F"/>
    <w:rsid w:val="00345B4C"/>
    <w:rsid w:val="00350FAD"/>
    <w:rsid w:val="00352F7A"/>
    <w:rsid w:val="00355FF9"/>
    <w:rsid w:val="003632B9"/>
    <w:rsid w:val="00365F07"/>
    <w:rsid w:val="0036764F"/>
    <w:rsid w:val="0037014D"/>
    <w:rsid w:val="00373746"/>
    <w:rsid w:val="00387EB8"/>
    <w:rsid w:val="0039479F"/>
    <w:rsid w:val="003954B5"/>
    <w:rsid w:val="00396B14"/>
    <w:rsid w:val="003A1FAF"/>
    <w:rsid w:val="003A36E0"/>
    <w:rsid w:val="003A495B"/>
    <w:rsid w:val="003A6ACC"/>
    <w:rsid w:val="003A6C17"/>
    <w:rsid w:val="003B2BE6"/>
    <w:rsid w:val="003B528B"/>
    <w:rsid w:val="003B6FB7"/>
    <w:rsid w:val="003C55EC"/>
    <w:rsid w:val="003C7547"/>
    <w:rsid w:val="003D3685"/>
    <w:rsid w:val="003D57F1"/>
    <w:rsid w:val="003F4E0A"/>
    <w:rsid w:val="003F6019"/>
    <w:rsid w:val="004018FB"/>
    <w:rsid w:val="004045E3"/>
    <w:rsid w:val="004057BD"/>
    <w:rsid w:val="00413FA5"/>
    <w:rsid w:val="00415D0E"/>
    <w:rsid w:val="00416240"/>
    <w:rsid w:val="00416A4D"/>
    <w:rsid w:val="0042127F"/>
    <w:rsid w:val="00425934"/>
    <w:rsid w:val="00432A0E"/>
    <w:rsid w:val="00433FA4"/>
    <w:rsid w:val="00434EEC"/>
    <w:rsid w:val="00445689"/>
    <w:rsid w:val="0044570D"/>
    <w:rsid w:val="00450E26"/>
    <w:rsid w:val="0045269C"/>
    <w:rsid w:val="00456BE5"/>
    <w:rsid w:val="00460AEF"/>
    <w:rsid w:val="00461394"/>
    <w:rsid w:val="00474A2C"/>
    <w:rsid w:val="00480096"/>
    <w:rsid w:val="00486D9D"/>
    <w:rsid w:val="00490ABB"/>
    <w:rsid w:val="004955CF"/>
    <w:rsid w:val="004A1BB5"/>
    <w:rsid w:val="004A1D7E"/>
    <w:rsid w:val="004A709E"/>
    <w:rsid w:val="004A7F5F"/>
    <w:rsid w:val="004B360F"/>
    <w:rsid w:val="004B39E5"/>
    <w:rsid w:val="004D50B5"/>
    <w:rsid w:val="004D6872"/>
    <w:rsid w:val="004E1299"/>
    <w:rsid w:val="004F17D5"/>
    <w:rsid w:val="004F3FD9"/>
    <w:rsid w:val="004F6561"/>
    <w:rsid w:val="00501C29"/>
    <w:rsid w:val="0050539D"/>
    <w:rsid w:val="00510265"/>
    <w:rsid w:val="005120C0"/>
    <w:rsid w:val="0051270F"/>
    <w:rsid w:val="00512A60"/>
    <w:rsid w:val="00516592"/>
    <w:rsid w:val="0052086C"/>
    <w:rsid w:val="005260C0"/>
    <w:rsid w:val="0053244A"/>
    <w:rsid w:val="00541998"/>
    <w:rsid w:val="005420D4"/>
    <w:rsid w:val="00542220"/>
    <w:rsid w:val="0054222A"/>
    <w:rsid w:val="005449D0"/>
    <w:rsid w:val="00544FDC"/>
    <w:rsid w:val="0054788F"/>
    <w:rsid w:val="0055517B"/>
    <w:rsid w:val="00560420"/>
    <w:rsid w:val="0056261B"/>
    <w:rsid w:val="00562F9D"/>
    <w:rsid w:val="00576A15"/>
    <w:rsid w:val="00585649"/>
    <w:rsid w:val="0059156C"/>
    <w:rsid w:val="005916CF"/>
    <w:rsid w:val="005A3A53"/>
    <w:rsid w:val="005A6F04"/>
    <w:rsid w:val="005B0D89"/>
    <w:rsid w:val="005B55FE"/>
    <w:rsid w:val="005B74BD"/>
    <w:rsid w:val="005C55F9"/>
    <w:rsid w:val="005D1052"/>
    <w:rsid w:val="005D3ECE"/>
    <w:rsid w:val="005E04A3"/>
    <w:rsid w:val="005E36E6"/>
    <w:rsid w:val="005E492D"/>
    <w:rsid w:val="005E6FCA"/>
    <w:rsid w:val="005E731B"/>
    <w:rsid w:val="00600978"/>
    <w:rsid w:val="006010CF"/>
    <w:rsid w:val="006017C8"/>
    <w:rsid w:val="00604FBA"/>
    <w:rsid w:val="00627F6D"/>
    <w:rsid w:val="0063119B"/>
    <w:rsid w:val="00637C09"/>
    <w:rsid w:val="00637DB7"/>
    <w:rsid w:val="00643495"/>
    <w:rsid w:val="00657F3C"/>
    <w:rsid w:val="00663B4C"/>
    <w:rsid w:val="00670788"/>
    <w:rsid w:val="00682C09"/>
    <w:rsid w:val="00690351"/>
    <w:rsid w:val="006907C9"/>
    <w:rsid w:val="00692B34"/>
    <w:rsid w:val="00696A9C"/>
    <w:rsid w:val="006B495F"/>
    <w:rsid w:val="006B6009"/>
    <w:rsid w:val="006C6A78"/>
    <w:rsid w:val="006D006F"/>
    <w:rsid w:val="006D20A4"/>
    <w:rsid w:val="006D2EF8"/>
    <w:rsid w:val="006D41EE"/>
    <w:rsid w:val="006D7BA7"/>
    <w:rsid w:val="006D7D96"/>
    <w:rsid w:val="006E1212"/>
    <w:rsid w:val="006F2468"/>
    <w:rsid w:val="006F431C"/>
    <w:rsid w:val="006F671F"/>
    <w:rsid w:val="006F7D83"/>
    <w:rsid w:val="00703822"/>
    <w:rsid w:val="0071081A"/>
    <w:rsid w:val="00716928"/>
    <w:rsid w:val="0072325F"/>
    <w:rsid w:val="007242E9"/>
    <w:rsid w:val="00727383"/>
    <w:rsid w:val="007274D5"/>
    <w:rsid w:val="00727994"/>
    <w:rsid w:val="00733AA5"/>
    <w:rsid w:val="007363E2"/>
    <w:rsid w:val="00741737"/>
    <w:rsid w:val="007453F9"/>
    <w:rsid w:val="007464EC"/>
    <w:rsid w:val="007509AB"/>
    <w:rsid w:val="007579F5"/>
    <w:rsid w:val="007676E7"/>
    <w:rsid w:val="007717A9"/>
    <w:rsid w:val="00774C2A"/>
    <w:rsid w:val="00784DB5"/>
    <w:rsid w:val="00785392"/>
    <w:rsid w:val="007939C8"/>
    <w:rsid w:val="007975F9"/>
    <w:rsid w:val="00797F24"/>
    <w:rsid w:val="007A3E35"/>
    <w:rsid w:val="007A4C07"/>
    <w:rsid w:val="007B6300"/>
    <w:rsid w:val="007B6DB9"/>
    <w:rsid w:val="007C43FA"/>
    <w:rsid w:val="007C5A46"/>
    <w:rsid w:val="007D19E4"/>
    <w:rsid w:val="007D2936"/>
    <w:rsid w:val="007D347B"/>
    <w:rsid w:val="007D770E"/>
    <w:rsid w:val="007D7C76"/>
    <w:rsid w:val="007E1B25"/>
    <w:rsid w:val="007E4A2D"/>
    <w:rsid w:val="007E5B8B"/>
    <w:rsid w:val="007F0768"/>
    <w:rsid w:val="007F0EF4"/>
    <w:rsid w:val="007F2398"/>
    <w:rsid w:val="007F389E"/>
    <w:rsid w:val="007F4A8E"/>
    <w:rsid w:val="00801AB6"/>
    <w:rsid w:val="0080788B"/>
    <w:rsid w:val="008143A4"/>
    <w:rsid w:val="00814679"/>
    <w:rsid w:val="00815B81"/>
    <w:rsid w:val="008261ED"/>
    <w:rsid w:val="008345A5"/>
    <w:rsid w:val="00836A1D"/>
    <w:rsid w:val="008463CB"/>
    <w:rsid w:val="00846ADA"/>
    <w:rsid w:val="00851D89"/>
    <w:rsid w:val="00856DEB"/>
    <w:rsid w:val="008574EF"/>
    <w:rsid w:val="00864CC8"/>
    <w:rsid w:val="00865892"/>
    <w:rsid w:val="00866D33"/>
    <w:rsid w:val="00866F80"/>
    <w:rsid w:val="00872867"/>
    <w:rsid w:val="00885371"/>
    <w:rsid w:val="00897F3F"/>
    <w:rsid w:val="008A20BF"/>
    <w:rsid w:val="008A5D46"/>
    <w:rsid w:val="008C7F92"/>
    <w:rsid w:val="008D45B1"/>
    <w:rsid w:val="008E4071"/>
    <w:rsid w:val="008E4DB0"/>
    <w:rsid w:val="008F161A"/>
    <w:rsid w:val="008F4E2F"/>
    <w:rsid w:val="00900E2B"/>
    <w:rsid w:val="00907496"/>
    <w:rsid w:val="009131EF"/>
    <w:rsid w:val="00913224"/>
    <w:rsid w:val="00914775"/>
    <w:rsid w:val="0091653F"/>
    <w:rsid w:val="00917510"/>
    <w:rsid w:val="00917B0C"/>
    <w:rsid w:val="0092214B"/>
    <w:rsid w:val="009233B8"/>
    <w:rsid w:val="009457A4"/>
    <w:rsid w:val="009457EA"/>
    <w:rsid w:val="00946887"/>
    <w:rsid w:val="00947634"/>
    <w:rsid w:val="00950B04"/>
    <w:rsid w:val="00951938"/>
    <w:rsid w:val="00953587"/>
    <w:rsid w:val="009544D3"/>
    <w:rsid w:val="009554E4"/>
    <w:rsid w:val="0096110F"/>
    <w:rsid w:val="00963663"/>
    <w:rsid w:val="00966A71"/>
    <w:rsid w:val="00967818"/>
    <w:rsid w:val="00976DCC"/>
    <w:rsid w:val="00981FC8"/>
    <w:rsid w:val="009838D6"/>
    <w:rsid w:val="00987749"/>
    <w:rsid w:val="00992D98"/>
    <w:rsid w:val="009B14D4"/>
    <w:rsid w:val="009B2CF9"/>
    <w:rsid w:val="009C084A"/>
    <w:rsid w:val="009C10F3"/>
    <w:rsid w:val="009C1673"/>
    <w:rsid w:val="009C7368"/>
    <w:rsid w:val="009C73D8"/>
    <w:rsid w:val="009D093F"/>
    <w:rsid w:val="009D0A11"/>
    <w:rsid w:val="009D67A4"/>
    <w:rsid w:val="009D764D"/>
    <w:rsid w:val="009D7A17"/>
    <w:rsid w:val="009E6B15"/>
    <w:rsid w:val="009E7932"/>
    <w:rsid w:val="009F3963"/>
    <w:rsid w:val="00A00DAF"/>
    <w:rsid w:val="00A0623F"/>
    <w:rsid w:val="00A21A69"/>
    <w:rsid w:val="00A23280"/>
    <w:rsid w:val="00A25E0C"/>
    <w:rsid w:val="00A30F6F"/>
    <w:rsid w:val="00A47CD2"/>
    <w:rsid w:val="00A51C2F"/>
    <w:rsid w:val="00A536BB"/>
    <w:rsid w:val="00A60C73"/>
    <w:rsid w:val="00A61809"/>
    <w:rsid w:val="00A705E5"/>
    <w:rsid w:val="00A71F38"/>
    <w:rsid w:val="00A73963"/>
    <w:rsid w:val="00A739E8"/>
    <w:rsid w:val="00A742AF"/>
    <w:rsid w:val="00A74FB5"/>
    <w:rsid w:val="00A81053"/>
    <w:rsid w:val="00A8459A"/>
    <w:rsid w:val="00A90F44"/>
    <w:rsid w:val="00A927B8"/>
    <w:rsid w:val="00AA0F89"/>
    <w:rsid w:val="00AA4425"/>
    <w:rsid w:val="00AA6D34"/>
    <w:rsid w:val="00AB0D99"/>
    <w:rsid w:val="00AC7854"/>
    <w:rsid w:val="00AD1B13"/>
    <w:rsid w:val="00AD6933"/>
    <w:rsid w:val="00AE033E"/>
    <w:rsid w:val="00AE3E32"/>
    <w:rsid w:val="00B131A6"/>
    <w:rsid w:val="00B1389F"/>
    <w:rsid w:val="00B16A08"/>
    <w:rsid w:val="00B17652"/>
    <w:rsid w:val="00B22AEE"/>
    <w:rsid w:val="00B26BBF"/>
    <w:rsid w:val="00B37162"/>
    <w:rsid w:val="00B40074"/>
    <w:rsid w:val="00B47180"/>
    <w:rsid w:val="00B47CBD"/>
    <w:rsid w:val="00B47ED9"/>
    <w:rsid w:val="00B5200A"/>
    <w:rsid w:val="00B52300"/>
    <w:rsid w:val="00B54985"/>
    <w:rsid w:val="00B60295"/>
    <w:rsid w:val="00B6555B"/>
    <w:rsid w:val="00B655F0"/>
    <w:rsid w:val="00B70866"/>
    <w:rsid w:val="00B73C52"/>
    <w:rsid w:val="00B75AB0"/>
    <w:rsid w:val="00B76543"/>
    <w:rsid w:val="00B8058A"/>
    <w:rsid w:val="00B829C7"/>
    <w:rsid w:val="00B85F26"/>
    <w:rsid w:val="00B87F54"/>
    <w:rsid w:val="00B90BCE"/>
    <w:rsid w:val="00B93C98"/>
    <w:rsid w:val="00BA0300"/>
    <w:rsid w:val="00BA4E3F"/>
    <w:rsid w:val="00BB1544"/>
    <w:rsid w:val="00BB3EB5"/>
    <w:rsid w:val="00BC0605"/>
    <w:rsid w:val="00BC5B74"/>
    <w:rsid w:val="00BC5F8C"/>
    <w:rsid w:val="00BC6975"/>
    <w:rsid w:val="00BC7B92"/>
    <w:rsid w:val="00BD1584"/>
    <w:rsid w:val="00BD2D3D"/>
    <w:rsid w:val="00BD2DD1"/>
    <w:rsid w:val="00BD3B04"/>
    <w:rsid w:val="00BD4AC0"/>
    <w:rsid w:val="00BD77CF"/>
    <w:rsid w:val="00BE35C0"/>
    <w:rsid w:val="00BE3BC0"/>
    <w:rsid w:val="00BE4416"/>
    <w:rsid w:val="00BE4E60"/>
    <w:rsid w:val="00BE5D75"/>
    <w:rsid w:val="00BE6F5B"/>
    <w:rsid w:val="00BE7448"/>
    <w:rsid w:val="00BE74A6"/>
    <w:rsid w:val="00BF1D34"/>
    <w:rsid w:val="00BF55A4"/>
    <w:rsid w:val="00BF771E"/>
    <w:rsid w:val="00C029FB"/>
    <w:rsid w:val="00C05630"/>
    <w:rsid w:val="00C10B85"/>
    <w:rsid w:val="00C112F9"/>
    <w:rsid w:val="00C1245E"/>
    <w:rsid w:val="00C1503D"/>
    <w:rsid w:val="00C24717"/>
    <w:rsid w:val="00C25020"/>
    <w:rsid w:val="00C30185"/>
    <w:rsid w:val="00C3198E"/>
    <w:rsid w:val="00C3261B"/>
    <w:rsid w:val="00C33D31"/>
    <w:rsid w:val="00C36E6A"/>
    <w:rsid w:val="00C41302"/>
    <w:rsid w:val="00C42BFF"/>
    <w:rsid w:val="00C47915"/>
    <w:rsid w:val="00C51D08"/>
    <w:rsid w:val="00C52E2B"/>
    <w:rsid w:val="00C53565"/>
    <w:rsid w:val="00C571C2"/>
    <w:rsid w:val="00C60B7A"/>
    <w:rsid w:val="00C664BB"/>
    <w:rsid w:val="00C75758"/>
    <w:rsid w:val="00CA3F0D"/>
    <w:rsid w:val="00CA5BDF"/>
    <w:rsid w:val="00CB0259"/>
    <w:rsid w:val="00CB0421"/>
    <w:rsid w:val="00CB2874"/>
    <w:rsid w:val="00CC02E4"/>
    <w:rsid w:val="00CC5116"/>
    <w:rsid w:val="00CD17C0"/>
    <w:rsid w:val="00CD3FBB"/>
    <w:rsid w:val="00CD547F"/>
    <w:rsid w:val="00CE08F1"/>
    <w:rsid w:val="00CE4CDB"/>
    <w:rsid w:val="00CE4F55"/>
    <w:rsid w:val="00CF415D"/>
    <w:rsid w:val="00D00072"/>
    <w:rsid w:val="00D00B51"/>
    <w:rsid w:val="00D0215E"/>
    <w:rsid w:val="00D117C1"/>
    <w:rsid w:val="00D22DAD"/>
    <w:rsid w:val="00D25464"/>
    <w:rsid w:val="00D267D6"/>
    <w:rsid w:val="00D26835"/>
    <w:rsid w:val="00D32BEC"/>
    <w:rsid w:val="00D37572"/>
    <w:rsid w:val="00D41CB5"/>
    <w:rsid w:val="00D423E0"/>
    <w:rsid w:val="00D436AF"/>
    <w:rsid w:val="00D4518A"/>
    <w:rsid w:val="00D4551C"/>
    <w:rsid w:val="00D47944"/>
    <w:rsid w:val="00D5143B"/>
    <w:rsid w:val="00D52C83"/>
    <w:rsid w:val="00D533CB"/>
    <w:rsid w:val="00D53919"/>
    <w:rsid w:val="00D553AB"/>
    <w:rsid w:val="00D55FF6"/>
    <w:rsid w:val="00D60D74"/>
    <w:rsid w:val="00D71115"/>
    <w:rsid w:val="00D7591D"/>
    <w:rsid w:val="00D764C4"/>
    <w:rsid w:val="00D80EB8"/>
    <w:rsid w:val="00D90702"/>
    <w:rsid w:val="00D9686F"/>
    <w:rsid w:val="00DA2F58"/>
    <w:rsid w:val="00DA4968"/>
    <w:rsid w:val="00DA7ADB"/>
    <w:rsid w:val="00DB1BE2"/>
    <w:rsid w:val="00DB7338"/>
    <w:rsid w:val="00DB7F34"/>
    <w:rsid w:val="00DC2CE2"/>
    <w:rsid w:val="00DD62BA"/>
    <w:rsid w:val="00DD7D9C"/>
    <w:rsid w:val="00DE7354"/>
    <w:rsid w:val="00DF0123"/>
    <w:rsid w:val="00DF2015"/>
    <w:rsid w:val="00DF4BC3"/>
    <w:rsid w:val="00E02F60"/>
    <w:rsid w:val="00E153B6"/>
    <w:rsid w:val="00E155C5"/>
    <w:rsid w:val="00E16C96"/>
    <w:rsid w:val="00E21909"/>
    <w:rsid w:val="00E21A27"/>
    <w:rsid w:val="00E228A6"/>
    <w:rsid w:val="00E23936"/>
    <w:rsid w:val="00E26B79"/>
    <w:rsid w:val="00E33A09"/>
    <w:rsid w:val="00E356D5"/>
    <w:rsid w:val="00E3782C"/>
    <w:rsid w:val="00E42B07"/>
    <w:rsid w:val="00E433F6"/>
    <w:rsid w:val="00E47DC3"/>
    <w:rsid w:val="00E50B8B"/>
    <w:rsid w:val="00E561F4"/>
    <w:rsid w:val="00E6209F"/>
    <w:rsid w:val="00E74449"/>
    <w:rsid w:val="00E752B2"/>
    <w:rsid w:val="00E830F5"/>
    <w:rsid w:val="00E83886"/>
    <w:rsid w:val="00E903E3"/>
    <w:rsid w:val="00E96BD7"/>
    <w:rsid w:val="00EA2986"/>
    <w:rsid w:val="00EA4CC4"/>
    <w:rsid w:val="00EA5702"/>
    <w:rsid w:val="00EA5A7F"/>
    <w:rsid w:val="00EB1FDF"/>
    <w:rsid w:val="00EB664D"/>
    <w:rsid w:val="00EB676B"/>
    <w:rsid w:val="00EB7034"/>
    <w:rsid w:val="00EC0D4A"/>
    <w:rsid w:val="00EC17E1"/>
    <w:rsid w:val="00EC1E43"/>
    <w:rsid w:val="00EC358B"/>
    <w:rsid w:val="00EC4536"/>
    <w:rsid w:val="00EC5DB8"/>
    <w:rsid w:val="00EC5EE9"/>
    <w:rsid w:val="00EC7CC8"/>
    <w:rsid w:val="00ED10D1"/>
    <w:rsid w:val="00ED1C0E"/>
    <w:rsid w:val="00ED2617"/>
    <w:rsid w:val="00EE064F"/>
    <w:rsid w:val="00EE1643"/>
    <w:rsid w:val="00EE2F87"/>
    <w:rsid w:val="00EF14BD"/>
    <w:rsid w:val="00EF4873"/>
    <w:rsid w:val="00EF7888"/>
    <w:rsid w:val="00F07CA4"/>
    <w:rsid w:val="00F10ED7"/>
    <w:rsid w:val="00F115F1"/>
    <w:rsid w:val="00F119AB"/>
    <w:rsid w:val="00F155DD"/>
    <w:rsid w:val="00F20611"/>
    <w:rsid w:val="00F26235"/>
    <w:rsid w:val="00F31BC3"/>
    <w:rsid w:val="00F320DC"/>
    <w:rsid w:val="00F469B8"/>
    <w:rsid w:val="00F50E17"/>
    <w:rsid w:val="00F51EC0"/>
    <w:rsid w:val="00F525C4"/>
    <w:rsid w:val="00F52743"/>
    <w:rsid w:val="00F57AC6"/>
    <w:rsid w:val="00F67E05"/>
    <w:rsid w:val="00F67FB6"/>
    <w:rsid w:val="00F72D84"/>
    <w:rsid w:val="00F75D84"/>
    <w:rsid w:val="00F8525A"/>
    <w:rsid w:val="00FA2A49"/>
    <w:rsid w:val="00FA5A7D"/>
    <w:rsid w:val="00FA6382"/>
    <w:rsid w:val="00FB1CE2"/>
    <w:rsid w:val="00FC0B10"/>
    <w:rsid w:val="00FC1841"/>
    <w:rsid w:val="00FE04DF"/>
    <w:rsid w:val="00FE5091"/>
    <w:rsid w:val="00FE779F"/>
    <w:rsid w:val="00FF05E0"/>
    <w:rsid w:val="00FF3FC7"/>
    <w:rsid w:val="00FF4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1A4EB7C5-F0EE-4C63-9866-DCA89873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7BE"/>
    <w:rPr>
      <w:sz w:val="24"/>
      <w:szCs w:val="24"/>
    </w:rPr>
  </w:style>
  <w:style w:type="paragraph" w:styleId="Titre1">
    <w:name w:val="heading 1"/>
    <w:basedOn w:val="Normal"/>
    <w:next w:val="Normal"/>
    <w:qFormat/>
    <w:rsid w:val="001557BE"/>
    <w:pPr>
      <w:keepNext/>
      <w:spacing w:before="200"/>
      <w:ind w:left="113"/>
      <w:outlineLvl w:val="0"/>
    </w:pPr>
    <w:rPr>
      <w:rFonts w:ascii="Arial Gras" w:hAnsi="Arial Gras" w:cs="Arial"/>
      <w:b/>
      <w:bCs/>
      <w:color w:val="258946"/>
      <w:kern w:val="2"/>
      <w:sz w:val="72"/>
      <w:szCs w:val="32"/>
      <w:lang w:val="en-GB"/>
    </w:rPr>
  </w:style>
  <w:style w:type="paragraph" w:styleId="Titre2">
    <w:name w:val="heading 2"/>
    <w:next w:val="Normal"/>
    <w:qFormat/>
    <w:rsid w:val="001557BE"/>
    <w:pPr>
      <w:keepNext/>
      <w:spacing w:before="60" w:after="60" w:line="240" w:lineRule="exact"/>
      <w:outlineLvl w:val="1"/>
    </w:pPr>
    <w:rPr>
      <w:rFonts w:ascii="Arial Gras" w:hAnsi="Arial Gras" w:cs="Arial"/>
      <w:b/>
      <w:bCs/>
      <w:iCs/>
      <w:color w:val="003366"/>
      <w:sz w:val="24"/>
      <w:szCs w:val="28"/>
    </w:rPr>
  </w:style>
  <w:style w:type="paragraph" w:styleId="Titre3">
    <w:name w:val="heading 3"/>
    <w:basedOn w:val="Normal"/>
    <w:next w:val="Normal"/>
    <w:qFormat/>
    <w:rsid w:val="001557BE"/>
    <w:pPr>
      <w:keepNext/>
      <w:spacing w:before="120" w:after="60" w:line="240" w:lineRule="exact"/>
      <w:outlineLvl w:val="2"/>
    </w:pPr>
    <w:rPr>
      <w:rFonts w:ascii="Arial Gras" w:hAnsi="Arial Gras" w:cs="Arial"/>
      <w:b/>
      <w:bCs/>
      <w:szCs w:val="26"/>
    </w:rPr>
  </w:style>
  <w:style w:type="paragraph" w:styleId="Titre4">
    <w:name w:val="heading 4"/>
    <w:basedOn w:val="Normal"/>
    <w:next w:val="Normal"/>
    <w:link w:val="Titre4Car"/>
    <w:semiHidden/>
    <w:unhideWhenUsed/>
    <w:qFormat/>
    <w:rsid w:val="007975F9"/>
    <w:pPr>
      <w:keepNext/>
      <w:spacing w:before="240" w:after="60"/>
      <w:outlineLvl w:val="3"/>
    </w:pPr>
    <w:rPr>
      <w:rFonts w:asciiTheme="minorHAnsi" w:eastAsiaTheme="minorEastAsia" w:hAnsiTheme="minorHAnsi" w:cstheme="minorBid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557BE"/>
    <w:pPr>
      <w:tabs>
        <w:tab w:val="center" w:pos="4536"/>
        <w:tab w:val="right" w:pos="9072"/>
      </w:tabs>
    </w:pPr>
  </w:style>
  <w:style w:type="paragraph" w:styleId="Pieddepage">
    <w:name w:val="footer"/>
    <w:rsid w:val="001557BE"/>
    <w:pPr>
      <w:pBdr>
        <w:top w:val="single" w:sz="4" w:space="1" w:color="auto"/>
      </w:pBdr>
      <w:tabs>
        <w:tab w:val="center" w:pos="4536"/>
        <w:tab w:val="right" w:pos="9072"/>
      </w:tabs>
      <w:spacing w:before="60"/>
      <w:jc w:val="center"/>
    </w:pPr>
    <w:rPr>
      <w:rFonts w:ascii="Arial Gras" w:hAnsi="Arial Gras" w:cs="Arial"/>
      <w:b/>
      <w:bCs/>
      <w:caps/>
      <w:spacing w:val="34"/>
      <w:sz w:val="14"/>
      <w:szCs w:val="14"/>
    </w:rPr>
  </w:style>
  <w:style w:type="character" w:styleId="Lienhypertexte">
    <w:name w:val="Hyperlink"/>
    <w:rsid w:val="001557BE"/>
    <w:rPr>
      <w:rFonts w:ascii="Times New Roman" w:hAnsi="Times New Roman"/>
      <w:color w:val="0000FF"/>
      <w:sz w:val="16"/>
      <w:u w:val="single"/>
    </w:rPr>
  </w:style>
  <w:style w:type="paragraph" w:customStyle="1" w:styleId="textecourant">
    <w:name w:val="texte courant"/>
    <w:link w:val="textecourantCar"/>
    <w:rsid w:val="001557BE"/>
    <w:pPr>
      <w:spacing w:line="240" w:lineRule="atLeast"/>
      <w:jc w:val="both"/>
    </w:pPr>
  </w:style>
  <w:style w:type="paragraph" w:customStyle="1" w:styleId="Dtailarticles">
    <w:name w:val="Détail articles"/>
    <w:link w:val="DtailarticlesCar"/>
    <w:rsid w:val="001557BE"/>
    <w:pPr>
      <w:spacing w:line="240" w:lineRule="atLeast"/>
      <w:jc w:val="both"/>
    </w:pPr>
    <w:rPr>
      <w:rFonts w:ascii="Arial" w:hAnsi="Arial"/>
      <w:sz w:val="16"/>
    </w:rPr>
  </w:style>
  <w:style w:type="paragraph" w:customStyle="1" w:styleId="mentionslgales">
    <w:name w:val="mentionslégales"/>
    <w:rsid w:val="001557BE"/>
    <w:pPr>
      <w:spacing w:line="180" w:lineRule="exact"/>
      <w:jc w:val="both"/>
    </w:pPr>
    <w:rPr>
      <w:rFonts w:ascii="Arial" w:hAnsi="Arial"/>
      <w:sz w:val="14"/>
    </w:rPr>
  </w:style>
  <w:style w:type="paragraph" w:styleId="Corpsdetexte">
    <w:name w:val="Body Text"/>
    <w:basedOn w:val="Normal"/>
    <w:rsid w:val="001557BE"/>
    <w:pPr>
      <w:keepNext/>
      <w:ind w:right="284"/>
      <w:jc w:val="right"/>
    </w:pPr>
  </w:style>
  <w:style w:type="character" w:customStyle="1" w:styleId="textecourantCar">
    <w:name w:val="texte courant Car"/>
    <w:link w:val="textecourant"/>
    <w:rsid w:val="001557BE"/>
    <w:rPr>
      <w:lang w:val="fr-FR" w:eastAsia="fr-FR" w:bidi="ar-SA"/>
    </w:rPr>
  </w:style>
  <w:style w:type="character" w:customStyle="1" w:styleId="DtailarticlesCar">
    <w:name w:val="Détail articles Car"/>
    <w:link w:val="Dtailarticles"/>
    <w:rsid w:val="001557BE"/>
    <w:rPr>
      <w:rFonts w:ascii="Arial" w:hAnsi="Arial"/>
      <w:sz w:val="16"/>
      <w:lang w:val="fr-FR" w:eastAsia="fr-FR" w:bidi="ar-SA"/>
    </w:rPr>
  </w:style>
  <w:style w:type="paragraph" w:styleId="Paragraphedeliste">
    <w:name w:val="List Paragraph"/>
    <w:basedOn w:val="Normal"/>
    <w:uiPriority w:val="34"/>
    <w:qFormat/>
    <w:rsid w:val="009544D3"/>
    <w:pPr>
      <w:ind w:left="708"/>
    </w:pPr>
  </w:style>
  <w:style w:type="paragraph" w:styleId="Titre">
    <w:name w:val="Title"/>
    <w:basedOn w:val="Normal"/>
    <w:next w:val="Normal"/>
    <w:link w:val="TitreCar"/>
    <w:uiPriority w:val="10"/>
    <w:qFormat/>
    <w:rsid w:val="007975F9"/>
    <w:pPr>
      <w:pBdr>
        <w:top w:val="single" w:sz="12" w:space="1" w:color="E6A300"/>
        <w:bottom w:val="single" w:sz="12" w:space="1" w:color="E6A300"/>
      </w:pBdr>
      <w:shd w:val="clear" w:color="auto" w:fill="FFFFFF"/>
      <w:spacing w:after="300"/>
      <w:contextualSpacing/>
    </w:pPr>
    <w:rPr>
      <w:rFonts w:ascii="Arial" w:hAnsi="Arial"/>
      <w:color w:val="122255"/>
      <w:spacing w:val="5"/>
      <w:kern w:val="28"/>
      <w:sz w:val="52"/>
      <w:szCs w:val="52"/>
      <w:lang w:eastAsia="en-US"/>
    </w:rPr>
  </w:style>
  <w:style w:type="character" w:customStyle="1" w:styleId="TitreCar">
    <w:name w:val="Titre Car"/>
    <w:basedOn w:val="Policepardfaut"/>
    <w:link w:val="Titre"/>
    <w:uiPriority w:val="10"/>
    <w:rsid w:val="007975F9"/>
    <w:rPr>
      <w:rFonts w:ascii="Arial" w:hAnsi="Arial"/>
      <w:color w:val="122255"/>
      <w:spacing w:val="5"/>
      <w:kern w:val="28"/>
      <w:sz w:val="52"/>
      <w:szCs w:val="52"/>
      <w:shd w:val="clear" w:color="auto" w:fill="FFFFFF"/>
      <w:lang w:eastAsia="en-US"/>
    </w:rPr>
  </w:style>
  <w:style w:type="character" w:customStyle="1" w:styleId="Titre4Car">
    <w:name w:val="Titre 4 Car"/>
    <w:basedOn w:val="Policepardfaut"/>
    <w:link w:val="Titre4"/>
    <w:semiHidden/>
    <w:rsid w:val="007975F9"/>
    <w:rPr>
      <w:rFonts w:asciiTheme="minorHAnsi" w:eastAsiaTheme="minorEastAsia" w:hAnsiTheme="minorHAnsi" w:cstheme="minorBidi"/>
      <w:b/>
      <w:bCs/>
      <w:sz w:val="28"/>
      <w:szCs w:val="28"/>
    </w:rPr>
  </w:style>
  <w:style w:type="paragraph" w:styleId="Lgende">
    <w:name w:val="caption"/>
    <w:basedOn w:val="Normal"/>
    <w:next w:val="Normal"/>
    <w:unhideWhenUsed/>
    <w:qFormat/>
    <w:rsid w:val="00907496"/>
    <w:pPr>
      <w:spacing w:after="200"/>
    </w:pPr>
    <w:rPr>
      <w:i/>
      <w:iCs/>
      <w:color w:val="44546A" w:themeColor="text2"/>
      <w:sz w:val="18"/>
      <w:szCs w:val="18"/>
    </w:rPr>
  </w:style>
  <w:style w:type="table" w:customStyle="1" w:styleId="TableauGrille2-Accentuation41">
    <w:name w:val="Tableau Grille 2 - Accentuation 41"/>
    <w:basedOn w:val="TableauNormal"/>
    <w:uiPriority w:val="47"/>
    <w:rsid w:val="005449D0"/>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Textedebulles">
    <w:name w:val="Balloon Text"/>
    <w:basedOn w:val="Normal"/>
    <w:link w:val="TextedebullesCar"/>
    <w:rsid w:val="006B495F"/>
    <w:rPr>
      <w:rFonts w:ascii="Segoe UI" w:hAnsi="Segoe UI" w:cs="Segoe UI"/>
      <w:sz w:val="18"/>
      <w:szCs w:val="18"/>
    </w:rPr>
  </w:style>
  <w:style w:type="character" w:customStyle="1" w:styleId="TextedebullesCar">
    <w:name w:val="Texte de bulles Car"/>
    <w:basedOn w:val="Policepardfaut"/>
    <w:link w:val="Textedebulles"/>
    <w:rsid w:val="006B495F"/>
    <w:rPr>
      <w:rFonts w:ascii="Segoe UI" w:hAnsi="Segoe UI" w:cs="Segoe UI"/>
      <w:sz w:val="18"/>
      <w:szCs w:val="18"/>
    </w:rPr>
  </w:style>
  <w:style w:type="character" w:styleId="Lienhypertextesuivivisit">
    <w:name w:val="FollowedHyperlink"/>
    <w:basedOn w:val="Policepardfaut"/>
    <w:rsid w:val="00A536BB"/>
    <w:rPr>
      <w:color w:val="954F72" w:themeColor="followedHyperlink"/>
      <w:u w:val="single"/>
    </w:rPr>
  </w:style>
  <w:style w:type="table" w:styleId="Grilledutableau">
    <w:name w:val="Table Grid"/>
    <w:basedOn w:val="TableauNormal"/>
    <w:uiPriority w:val="39"/>
    <w:rsid w:val="005915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274703"/>
    <w:pPr>
      <w:overflowPunct w:val="0"/>
      <w:autoSpaceDE w:val="0"/>
      <w:autoSpaceDN w:val="0"/>
      <w:adjustRightInd w:val="0"/>
      <w:textAlignment w:val="baseline"/>
    </w:pPr>
    <w:rPr>
      <w:rFonts w:ascii="Univers" w:hAnsi="Univers" w:cs="Arial"/>
      <w:sz w:val="20"/>
      <w:szCs w:val="20"/>
    </w:rPr>
  </w:style>
  <w:style w:type="character" w:customStyle="1" w:styleId="NotedebasdepageCar">
    <w:name w:val="Note de bas de page Car"/>
    <w:basedOn w:val="Policepardfaut"/>
    <w:link w:val="Notedebasdepage"/>
    <w:uiPriority w:val="99"/>
    <w:semiHidden/>
    <w:rsid w:val="00274703"/>
    <w:rPr>
      <w:rFonts w:ascii="Univers" w:hAnsi="Univers" w:cs="Arial"/>
    </w:rPr>
  </w:style>
  <w:style w:type="character" w:styleId="Appelnotedebasdep">
    <w:name w:val="footnote reference"/>
    <w:basedOn w:val="Policepardfaut"/>
    <w:uiPriority w:val="99"/>
    <w:semiHidden/>
    <w:unhideWhenUsed/>
    <w:rsid w:val="00274703"/>
    <w:rPr>
      <w:vertAlign w:val="superscript"/>
    </w:rPr>
  </w:style>
  <w:style w:type="character" w:styleId="lev">
    <w:name w:val="Strong"/>
    <w:uiPriority w:val="22"/>
    <w:qFormat/>
    <w:rsid w:val="00B52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36486">
      <w:bodyDiv w:val="1"/>
      <w:marLeft w:val="0"/>
      <w:marRight w:val="0"/>
      <w:marTop w:val="0"/>
      <w:marBottom w:val="0"/>
      <w:divBdr>
        <w:top w:val="none" w:sz="0" w:space="0" w:color="auto"/>
        <w:left w:val="none" w:sz="0" w:space="0" w:color="auto"/>
        <w:bottom w:val="none" w:sz="0" w:space="0" w:color="auto"/>
        <w:right w:val="none" w:sz="0" w:space="0" w:color="auto"/>
      </w:divBdr>
    </w:div>
    <w:div w:id="227805475">
      <w:bodyDiv w:val="1"/>
      <w:marLeft w:val="0"/>
      <w:marRight w:val="0"/>
      <w:marTop w:val="0"/>
      <w:marBottom w:val="0"/>
      <w:divBdr>
        <w:top w:val="none" w:sz="0" w:space="0" w:color="auto"/>
        <w:left w:val="none" w:sz="0" w:space="0" w:color="auto"/>
        <w:bottom w:val="none" w:sz="0" w:space="0" w:color="auto"/>
        <w:right w:val="none" w:sz="0" w:space="0" w:color="auto"/>
      </w:divBdr>
    </w:div>
    <w:div w:id="269093531">
      <w:bodyDiv w:val="1"/>
      <w:marLeft w:val="0"/>
      <w:marRight w:val="0"/>
      <w:marTop w:val="0"/>
      <w:marBottom w:val="0"/>
      <w:divBdr>
        <w:top w:val="none" w:sz="0" w:space="0" w:color="auto"/>
        <w:left w:val="none" w:sz="0" w:space="0" w:color="auto"/>
        <w:bottom w:val="none" w:sz="0" w:space="0" w:color="auto"/>
        <w:right w:val="none" w:sz="0" w:space="0" w:color="auto"/>
      </w:divBdr>
    </w:div>
    <w:div w:id="316694959">
      <w:bodyDiv w:val="1"/>
      <w:marLeft w:val="0"/>
      <w:marRight w:val="0"/>
      <w:marTop w:val="0"/>
      <w:marBottom w:val="0"/>
      <w:divBdr>
        <w:top w:val="none" w:sz="0" w:space="0" w:color="auto"/>
        <w:left w:val="none" w:sz="0" w:space="0" w:color="auto"/>
        <w:bottom w:val="none" w:sz="0" w:space="0" w:color="auto"/>
        <w:right w:val="none" w:sz="0" w:space="0" w:color="auto"/>
      </w:divBdr>
    </w:div>
    <w:div w:id="435448700">
      <w:bodyDiv w:val="1"/>
      <w:marLeft w:val="0"/>
      <w:marRight w:val="0"/>
      <w:marTop w:val="0"/>
      <w:marBottom w:val="0"/>
      <w:divBdr>
        <w:top w:val="none" w:sz="0" w:space="0" w:color="auto"/>
        <w:left w:val="none" w:sz="0" w:space="0" w:color="auto"/>
        <w:bottom w:val="none" w:sz="0" w:space="0" w:color="auto"/>
        <w:right w:val="none" w:sz="0" w:space="0" w:color="auto"/>
      </w:divBdr>
    </w:div>
    <w:div w:id="467237636">
      <w:bodyDiv w:val="1"/>
      <w:marLeft w:val="0"/>
      <w:marRight w:val="0"/>
      <w:marTop w:val="0"/>
      <w:marBottom w:val="0"/>
      <w:divBdr>
        <w:top w:val="none" w:sz="0" w:space="0" w:color="auto"/>
        <w:left w:val="none" w:sz="0" w:space="0" w:color="auto"/>
        <w:bottom w:val="none" w:sz="0" w:space="0" w:color="auto"/>
        <w:right w:val="none" w:sz="0" w:space="0" w:color="auto"/>
      </w:divBdr>
    </w:div>
    <w:div w:id="884175836">
      <w:bodyDiv w:val="1"/>
      <w:marLeft w:val="0"/>
      <w:marRight w:val="0"/>
      <w:marTop w:val="0"/>
      <w:marBottom w:val="0"/>
      <w:divBdr>
        <w:top w:val="none" w:sz="0" w:space="0" w:color="auto"/>
        <w:left w:val="none" w:sz="0" w:space="0" w:color="auto"/>
        <w:bottom w:val="none" w:sz="0" w:space="0" w:color="auto"/>
        <w:right w:val="none" w:sz="0" w:space="0" w:color="auto"/>
      </w:divBdr>
    </w:div>
    <w:div w:id="1012414844">
      <w:bodyDiv w:val="1"/>
      <w:marLeft w:val="0"/>
      <w:marRight w:val="0"/>
      <w:marTop w:val="0"/>
      <w:marBottom w:val="0"/>
      <w:divBdr>
        <w:top w:val="none" w:sz="0" w:space="0" w:color="auto"/>
        <w:left w:val="none" w:sz="0" w:space="0" w:color="auto"/>
        <w:bottom w:val="none" w:sz="0" w:space="0" w:color="auto"/>
        <w:right w:val="none" w:sz="0" w:space="0" w:color="auto"/>
      </w:divBdr>
    </w:div>
    <w:div w:id="1805807286">
      <w:bodyDiv w:val="1"/>
      <w:marLeft w:val="0"/>
      <w:marRight w:val="0"/>
      <w:marTop w:val="0"/>
      <w:marBottom w:val="0"/>
      <w:divBdr>
        <w:top w:val="none" w:sz="0" w:space="0" w:color="auto"/>
        <w:left w:val="none" w:sz="0" w:space="0" w:color="auto"/>
        <w:bottom w:val="none" w:sz="0" w:space="0" w:color="auto"/>
        <w:right w:val="none" w:sz="0" w:space="0" w:color="auto"/>
      </w:divBdr>
    </w:div>
    <w:div w:id="2064717890">
      <w:bodyDiv w:val="1"/>
      <w:marLeft w:val="0"/>
      <w:marRight w:val="0"/>
      <w:marTop w:val="0"/>
      <w:marBottom w:val="0"/>
      <w:divBdr>
        <w:top w:val="none" w:sz="0" w:space="0" w:color="auto"/>
        <w:left w:val="none" w:sz="0" w:space="0" w:color="auto"/>
        <w:bottom w:val="none" w:sz="0" w:space="0" w:color="auto"/>
        <w:right w:val="none" w:sz="0" w:space="0" w:color="auto"/>
      </w:divBdr>
    </w:div>
    <w:div w:id="2085952978">
      <w:bodyDiv w:val="1"/>
      <w:marLeft w:val="0"/>
      <w:marRight w:val="0"/>
      <w:marTop w:val="0"/>
      <w:marBottom w:val="0"/>
      <w:divBdr>
        <w:top w:val="none" w:sz="0" w:space="0" w:color="auto"/>
        <w:left w:val="none" w:sz="0" w:space="0" w:color="auto"/>
        <w:bottom w:val="none" w:sz="0" w:space="0" w:color="auto"/>
        <w:right w:val="none" w:sz="0" w:space="0" w:color="auto"/>
      </w:divBdr>
    </w:div>
    <w:div w:id="21194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ipo.int/portal/fr/index.html" TargetMode="External"/><Relationship Id="rId18" Type="http://schemas.openxmlformats.org/officeDocument/2006/relationships/hyperlink" Target="http://www.kpdnkk.gov.my/index.php/en/" TargetMode="External"/><Relationship Id="rId26" Type="http://schemas.openxmlformats.org/officeDocument/2006/relationships/hyperlink" Target="https://www.inpi.fr/fr"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image" Target="cid:image004.png@01D29C34.E453DF20"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yipo.gov.my/en/myipo/" TargetMode="External"/><Relationship Id="rId20" Type="http://schemas.openxmlformats.org/officeDocument/2006/relationships/hyperlink" Target="http://www.customs.gov.my/en" TargetMode="External"/><Relationship Id="rId29" Type="http://schemas.openxmlformats.org/officeDocument/2006/relationships/hyperlink" Target="mailto:stephanie.leparmentier@dgtresor.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to.org/french/tratop_f/trips_f/trips_f.htm" TargetMode="External"/><Relationship Id="rId24" Type="http://schemas.openxmlformats.org/officeDocument/2006/relationships/image" Target="media/image8.png"/><Relationship Id="rId32" Type="http://schemas.openxmlformats.org/officeDocument/2006/relationships/image" Target="media/image10.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myipo.gov.my/en/myipo/" TargetMode="External"/><Relationship Id="rId28" Type="http://schemas.openxmlformats.org/officeDocument/2006/relationships/image" Target="media/image9.png"/><Relationship Id="rId36" Type="http://schemas.openxmlformats.org/officeDocument/2006/relationships/footer" Target="footer2.xml"/><Relationship Id="rId10" Type="http://schemas.openxmlformats.org/officeDocument/2006/relationships/hyperlink" Target="https://www.wto.org/indexfr.htm" TargetMode="External"/><Relationship Id="rId19" Type="http://schemas.openxmlformats.org/officeDocument/2006/relationships/image" Target="media/image6.png"/><Relationship Id="rId31" Type="http://schemas.openxmlformats.org/officeDocument/2006/relationships/hyperlink" Target="mailto:kualalumpur@dgtresor.gouv.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wipo.int/madrid/fr/" TargetMode="External"/><Relationship Id="rId22" Type="http://schemas.openxmlformats.org/officeDocument/2006/relationships/hyperlink" Target="http://www.rmp.gov.my/" TargetMode="External"/><Relationship Id="rId27" Type="http://schemas.openxmlformats.org/officeDocument/2006/relationships/hyperlink" Target="http://www.southeastasia-iprhelpdesk.eu/en" TargetMode="External"/><Relationship Id="rId30" Type="http://schemas.openxmlformats.org/officeDocument/2006/relationships/hyperlink" Target="http://www.southeastasia-iprhelpdesk.eu/en"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055E2-DB8F-4015-84EF-B062FF91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1910</Words>
  <Characters>11786</Characters>
  <Application>Microsoft Office Word</Application>
  <DocSecurity>0</DocSecurity>
  <Lines>98</Lines>
  <Paragraphs>27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Photo ou illustration</vt:lpstr>
      <vt:lpstr>Photo ou illustration</vt:lpstr>
    </vt:vector>
  </TitlesOfParts>
  <Company>DREE</Company>
  <LinksUpToDate>false</LinksUpToDate>
  <CharactersWithSpaces>13669</CharactersWithSpaces>
  <SharedDoc>false</SharedDoc>
  <HLinks>
    <vt:vector size="6" baseType="variant">
      <vt:variant>
        <vt:i4>917566</vt:i4>
      </vt:variant>
      <vt:variant>
        <vt:i4>0</vt:i4>
      </vt:variant>
      <vt:variant>
        <vt:i4>0</vt:i4>
      </vt:variant>
      <vt:variant>
        <vt:i4>5</vt:i4>
      </vt:variant>
      <vt:variant>
        <vt:lpwstr>mailto:machin@dgtpe.fr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 ou illustration</dc:title>
  <dc:creator>LIM Shih-Jun</dc:creator>
  <cp:lastModifiedBy>PECRIAUX William</cp:lastModifiedBy>
  <cp:revision>4</cp:revision>
  <cp:lastPrinted>2017-03-15T02:47:00Z</cp:lastPrinted>
  <dcterms:created xsi:type="dcterms:W3CDTF">2018-03-09T06:38:00Z</dcterms:created>
  <dcterms:modified xsi:type="dcterms:W3CDTF">2018-03-09T07:12:00Z</dcterms:modified>
</cp:coreProperties>
</file>