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AAA" w:rsidRDefault="00976AAA" w:rsidP="00976AAA">
      <w:pPr>
        <w:pStyle w:val="Textedebulles"/>
        <w:rPr>
          <w:rFonts w:ascii="Times New Roman" w:hAnsi="Times New Roman" w:cs="Arial"/>
          <w:b/>
          <w:bCs/>
          <w:smallCaps/>
          <w:sz w:val="24"/>
          <w:szCs w:val="20"/>
        </w:rPr>
      </w:pPr>
    </w:p>
    <w:p w:rsidR="00E13F17" w:rsidRDefault="00E13F17" w:rsidP="00E13F17">
      <w:pPr>
        <w:pStyle w:val="Textedebulles"/>
        <w:ind w:left="-567"/>
        <w:rPr>
          <w:rFonts w:ascii="Times New Roman" w:hAnsi="Times New Roman" w:cs="Times New Roman"/>
          <w:sz w:val="18"/>
          <w:szCs w:val="18"/>
        </w:rPr>
      </w:pPr>
    </w:p>
    <w:p w:rsidR="00976AAA" w:rsidRPr="00CF6E70" w:rsidRDefault="00976AAA" w:rsidP="00E13F17">
      <w:pPr>
        <w:pStyle w:val="Textedebulles"/>
        <w:ind w:left="-567"/>
        <w:rPr>
          <w:rFonts w:ascii="Times New Roman" w:hAnsi="Times New Roman" w:cs="Times New Roman"/>
          <w:sz w:val="18"/>
          <w:szCs w:val="18"/>
        </w:rPr>
      </w:pPr>
      <w:r>
        <w:rPr>
          <w:rFonts w:ascii="Times New Roman" w:hAnsi="Times New Roman" w:cs="Times New Roman"/>
          <w:sz w:val="18"/>
          <w:szCs w:val="18"/>
        </w:rPr>
        <w:t>Dossier s</w:t>
      </w:r>
      <w:r w:rsidRPr="00976AAA">
        <w:rPr>
          <w:rFonts w:ascii="Times New Roman" w:hAnsi="Times New Roman" w:cs="Times New Roman"/>
          <w:sz w:val="18"/>
          <w:szCs w:val="18"/>
        </w:rPr>
        <w:t>uivi</w:t>
      </w:r>
      <w:r>
        <w:rPr>
          <w:rFonts w:ascii="Times New Roman" w:hAnsi="Times New Roman" w:cs="Times New Roman"/>
          <w:sz w:val="18"/>
          <w:szCs w:val="18"/>
        </w:rPr>
        <w:t xml:space="preserve"> par : François PETIT / Somen DUTTA</w:t>
      </w:r>
    </w:p>
    <w:p w:rsidR="00FC36B1" w:rsidRDefault="00FC36B1" w:rsidP="00FC36B1"/>
    <w:p w:rsidR="00FC36B1" w:rsidRDefault="00FC36B1" w:rsidP="00FC36B1"/>
    <w:p w:rsidR="00BB2170" w:rsidRDefault="00BB2170" w:rsidP="001D727E">
      <w:pPr>
        <w:pStyle w:val="Corpsdetexte"/>
        <w:rPr>
          <w:rFonts w:ascii="Times New Roman" w:hAnsi="Times New Roman"/>
          <w:b/>
          <w:bCs/>
          <w:iCs/>
          <w:sz w:val="22"/>
          <w:u w:val="single"/>
        </w:rPr>
      </w:pPr>
    </w:p>
    <w:p w:rsidR="00BB2170" w:rsidRDefault="00BB2170" w:rsidP="001D727E">
      <w:pPr>
        <w:pStyle w:val="Corpsdetexte"/>
        <w:rPr>
          <w:rFonts w:ascii="Times New Roman" w:hAnsi="Times New Roman"/>
          <w:b/>
          <w:bCs/>
          <w:iCs/>
          <w:sz w:val="22"/>
          <w:u w:val="single"/>
        </w:rPr>
      </w:pPr>
    </w:p>
    <w:p w:rsidR="00533AEC" w:rsidRDefault="00533AEC" w:rsidP="00533AEC">
      <w:pPr>
        <w:pStyle w:val="Corpsdetexte"/>
        <w:pBdr>
          <w:top w:val="single" w:sz="4" w:space="1" w:color="auto"/>
          <w:left w:val="single" w:sz="4" w:space="4" w:color="auto"/>
          <w:bottom w:val="single" w:sz="4" w:space="1" w:color="auto"/>
          <w:right w:val="single" w:sz="4" w:space="4" w:color="auto"/>
        </w:pBdr>
        <w:jc w:val="center"/>
        <w:rPr>
          <w:rFonts w:ascii="Times New Roman" w:hAnsi="Times New Roman"/>
          <w:b/>
          <w:bCs/>
          <w:smallCaps/>
          <w:sz w:val="22"/>
          <w:szCs w:val="22"/>
        </w:rPr>
      </w:pPr>
    </w:p>
    <w:p w:rsidR="00533AEC" w:rsidRDefault="00533AEC" w:rsidP="00533AEC">
      <w:pPr>
        <w:pStyle w:val="Corpsdetexte"/>
        <w:pBdr>
          <w:top w:val="single" w:sz="4" w:space="1" w:color="auto"/>
          <w:left w:val="single" w:sz="4" w:space="4" w:color="auto"/>
          <w:bottom w:val="single" w:sz="4" w:space="1" w:color="auto"/>
          <w:right w:val="single" w:sz="4" w:space="4" w:color="auto"/>
        </w:pBdr>
        <w:jc w:val="center"/>
        <w:rPr>
          <w:rFonts w:ascii="Times New Roman" w:hAnsi="Times New Roman"/>
          <w:b/>
          <w:bCs/>
          <w:smallCaps/>
          <w:sz w:val="22"/>
          <w:szCs w:val="22"/>
        </w:rPr>
      </w:pPr>
      <w:r>
        <w:rPr>
          <w:rFonts w:ascii="Times New Roman" w:hAnsi="Times New Roman"/>
          <w:b/>
          <w:bCs/>
          <w:smallCaps/>
          <w:sz w:val="22"/>
          <w:szCs w:val="22"/>
        </w:rPr>
        <w:t>Coup de Projecteur sur l’Economie Bangladaise</w:t>
      </w:r>
    </w:p>
    <w:p w:rsidR="00533AEC" w:rsidRDefault="00533AEC" w:rsidP="00533AEC">
      <w:pPr>
        <w:pStyle w:val="Corpsdetexte"/>
        <w:pBdr>
          <w:top w:val="single" w:sz="4" w:space="1" w:color="auto"/>
          <w:left w:val="single" w:sz="4" w:space="4" w:color="auto"/>
          <w:bottom w:val="single" w:sz="4" w:space="1" w:color="auto"/>
          <w:right w:val="single" w:sz="4" w:space="4" w:color="auto"/>
        </w:pBdr>
        <w:jc w:val="center"/>
        <w:rPr>
          <w:rFonts w:ascii="Times New Roman" w:hAnsi="Times New Roman"/>
          <w:b/>
          <w:bCs/>
          <w:smallCaps/>
          <w:sz w:val="22"/>
          <w:szCs w:val="22"/>
        </w:rPr>
      </w:pPr>
    </w:p>
    <w:p w:rsidR="00533AEC" w:rsidRDefault="00533AEC" w:rsidP="00A51FDE">
      <w:pPr>
        <w:pStyle w:val="Corpsdetexte"/>
        <w:rPr>
          <w:rFonts w:ascii="Times New Roman" w:hAnsi="Times New Roman"/>
          <w:b/>
          <w:bCs/>
          <w:smallCaps/>
          <w:sz w:val="22"/>
          <w:szCs w:val="22"/>
        </w:rPr>
      </w:pPr>
    </w:p>
    <w:p w:rsidR="00533AEC" w:rsidRDefault="00533AEC" w:rsidP="00A51FDE">
      <w:pPr>
        <w:pStyle w:val="Corpsdetexte"/>
        <w:rPr>
          <w:rFonts w:ascii="Times New Roman" w:hAnsi="Times New Roman"/>
          <w:b/>
          <w:bCs/>
          <w:smallCaps/>
          <w:sz w:val="22"/>
          <w:szCs w:val="22"/>
        </w:rPr>
      </w:pPr>
    </w:p>
    <w:p w:rsidR="00FC36B1" w:rsidRPr="001D727E" w:rsidRDefault="001D727E" w:rsidP="00A51FDE">
      <w:pPr>
        <w:pStyle w:val="Corpsdetexte"/>
        <w:rPr>
          <w:rFonts w:ascii="Times New Roman" w:hAnsi="Times New Roman"/>
          <w:b/>
          <w:bCs/>
          <w:smallCaps/>
          <w:sz w:val="22"/>
          <w:szCs w:val="22"/>
        </w:rPr>
      </w:pPr>
      <w:r w:rsidRPr="001D727E">
        <w:rPr>
          <w:rFonts w:ascii="Times New Roman" w:hAnsi="Times New Roman"/>
          <w:b/>
          <w:bCs/>
          <w:smallCaps/>
          <w:sz w:val="22"/>
          <w:szCs w:val="22"/>
        </w:rPr>
        <w:t>1</w:t>
      </w:r>
      <w:r w:rsidR="001E28AD">
        <w:rPr>
          <w:rFonts w:ascii="Times New Roman" w:hAnsi="Times New Roman"/>
          <w:b/>
          <w:bCs/>
          <w:smallCaps/>
          <w:sz w:val="22"/>
          <w:szCs w:val="22"/>
        </w:rPr>
        <w:t>/</w:t>
      </w:r>
      <w:r w:rsidR="001E28AD" w:rsidRPr="001E28AD">
        <w:t xml:space="preserve"> </w:t>
      </w:r>
      <w:r w:rsidR="001E28AD" w:rsidRPr="001E28AD">
        <w:rPr>
          <w:rFonts w:ascii="Times New Roman" w:hAnsi="Times New Roman"/>
          <w:b/>
          <w:bCs/>
          <w:smallCaps/>
          <w:sz w:val="22"/>
          <w:szCs w:val="22"/>
        </w:rPr>
        <w:t>Pour aussi satisfaisants soient-il</w:t>
      </w:r>
      <w:r w:rsidR="001E28AD">
        <w:rPr>
          <w:rFonts w:ascii="Times New Roman" w:hAnsi="Times New Roman"/>
          <w:b/>
          <w:bCs/>
          <w:smallCaps/>
          <w:sz w:val="22"/>
          <w:szCs w:val="22"/>
        </w:rPr>
        <w:t>s, l</w:t>
      </w:r>
      <w:r w:rsidR="001E28AD" w:rsidRPr="001E28AD">
        <w:rPr>
          <w:rFonts w:ascii="Times New Roman" w:hAnsi="Times New Roman"/>
          <w:b/>
          <w:bCs/>
          <w:smallCaps/>
          <w:sz w:val="22"/>
          <w:szCs w:val="22"/>
        </w:rPr>
        <w:t xml:space="preserve">es </w:t>
      </w:r>
      <w:r w:rsidR="00EB7DBF">
        <w:rPr>
          <w:rFonts w:ascii="Times New Roman" w:hAnsi="Times New Roman"/>
          <w:b/>
          <w:bCs/>
          <w:smallCaps/>
          <w:sz w:val="22"/>
          <w:szCs w:val="22"/>
        </w:rPr>
        <w:t xml:space="preserve">fondamentaux </w:t>
      </w:r>
      <w:r w:rsidR="001E28AD" w:rsidRPr="001E28AD">
        <w:rPr>
          <w:rFonts w:ascii="Times New Roman" w:hAnsi="Times New Roman"/>
          <w:b/>
          <w:bCs/>
          <w:smallCaps/>
          <w:sz w:val="22"/>
          <w:szCs w:val="22"/>
        </w:rPr>
        <w:t>ne doiven</w:t>
      </w:r>
      <w:r w:rsidR="001E28AD">
        <w:rPr>
          <w:rFonts w:ascii="Times New Roman" w:hAnsi="Times New Roman"/>
          <w:b/>
          <w:bCs/>
          <w:smallCaps/>
          <w:sz w:val="22"/>
          <w:szCs w:val="22"/>
        </w:rPr>
        <w:t xml:space="preserve">t pas masquer la </w:t>
      </w:r>
      <w:r w:rsidR="00A51FDE">
        <w:rPr>
          <w:rFonts w:ascii="Times New Roman" w:hAnsi="Times New Roman"/>
          <w:b/>
          <w:bCs/>
          <w:smallCaps/>
          <w:sz w:val="22"/>
          <w:szCs w:val="22"/>
        </w:rPr>
        <w:t xml:space="preserve">relative </w:t>
      </w:r>
      <w:r w:rsidR="001E28AD">
        <w:rPr>
          <w:rFonts w:ascii="Times New Roman" w:hAnsi="Times New Roman"/>
          <w:b/>
          <w:bCs/>
          <w:smallCaps/>
          <w:sz w:val="22"/>
          <w:szCs w:val="22"/>
        </w:rPr>
        <w:t>fragilité de l’</w:t>
      </w:r>
      <w:r w:rsidR="001E28AD" w:rsidRPr="001E28AD">
        <w:rPr>
          <w:rFonts w:ascii="Times New Roman" w:hAnsi="Times New Roman"/>
          <w:b/>
          <w:bCs/>
          <w:smallCaps/>
          <w:sz w:val="22"/>
          <w:szCs w:val="22"/>
        </w:rPr>
        <w:t>économie</w:t>
      </w:r>
      <w:r w:rsidR="001E28AD">
        <w:rPr>
          <w:rFonts w:ascii="Times New Roman" w:hAnsi="Times New Roman"/>
          <w:b/>
          <w:bCs/>
          <w:smallCaps/>
          <w:sz w:val="22"/>
          <w:szCs w:val="22"/>
        </w:rPr>
        <w:t xml:space="preserve"> bangladaise</w:t>
      </w:r>
    </w:p>
    <w:p w:rsidR="00FC36B1" w:rsidRPr="00657544" w:rsidRDefault="00FC36B1" w:rsidP="00E20C37">
      <w:pPr>
        <w:pStyle w:val="Corpsdetexte"/>
        <w:ind w:left="720"/>
        <w:rPr>
          <w:rFonts w:ascii="Times New Roman" w:hAnsi="Times New Roman"/>
          <w:b/>
          <w:bCs/>
          <w:iCs/>
          <w:sz w:val="22"/>
          <w:u w:val="single"/>
        </w:rPr>
      </w:pPr>
    </w:p>
    <w:tbl>
      <w:tblPr>
        <w:tblStyle w:val="Grilledutableau"/>
        <w:tblW w:w="9322" w:type="dxa"/>
        <w:tblLayout w:type="fixed"/>
        <w:tblLook w:val="04A0" w:firstRow="1" w:lastRow="0" w:firstColumn="1" w:lastColumn="0" w:noHBand="0" w:noVBand="1"/>
      </w:tblPr>
      <w:tblGrid>
        <w:gridCol w:w="4595"/>
        <w:gridCol w:w="1437"/>
        <w:gridCol w:w="1437"/>
        <w:gridCol w:w="1853"/>
      </w:tblGrid>
      <w:tr w:rsidR="009A264B" w:rsidRPr="00DF48EA" w:rsidTr="00916847">
        <w:trPr>
          <w:trHeight w:val="308"/>
        </w:trPr>
        <w:tc>
          <w:tcPr>
            <w:tcW w:w="9322" w:type="dxa"/>
            <w:gridSpan w:val="4"/>
          </w:tcPr>
          <w:p w:rsidR="009A264B" w:rsidRPr="00DF48EA" w:rsidRDefault="009A264B" w:rsidP="00976AAA">
            <w:pPr>
              <w:jc w:val="center"/>
              <w:rPr>
                <w:rFonts w:asciiTheme="majorHAnsi" w:hAnsiTheme="majorHAnsi"/>
                <w:b/>
              </w:rPr>
            </w:pPr>
            <w:r w:rsidRPr="00DF48EA">
              <w:rPr>
                <w:rFonts w:asciiTheme="majorHAnsi" w:hAnsiTheme="majorHAnsi"/>
                <w:b/>
                <w:color w:val="FF0000"/>
              </w:rPr>
              <w:t>PRINCIPAUX INDICATEURS MACROENOMIQUES</w:t>
            </w:r>
          </w:p>
        </w:tc>
      </w:tr>
      <w:tr w:rsidR="009A264B" w:rsidRPr="00DF48EA" w:rsidTr="00916847">
        <w:trPr>
          <w:trHeight w:val="308"/>
        </w:trPr>
        <w:tc>
          <w:tcPr>
            <w:tcW w:w="4595" w:type="dxa"/>
          </w:tcPr>
          <w:p w:rsidR="009A264B" w:rsidRPr="00DF48EA" w:rsidRDefault="009A264B" w:rsidP="00976AAA">
            <w:pPr>
              <w:jc w:val="both"/>
              <w:rPr>
                <w:rFonts w:asciiTheme="majorHAnsi" w:hAnsiTheme="majorHAnsi"/>
              </w:rPr>
            </w:pPr>
          </w:p>
        </w:tc>
        <w:tc>
          <w:tcPr>
            <w:tcW w:w="1437" w:type="dxa"/>
          </w:tcPr>
          <w:p w:rsidR="009A264B" w:rsidRPr="00EC4DC7" w:rsidRDefault="009F6E4E" w:rsidP="00976AAA">
            <w:pPr>
              <w:jc w:val="center"/>
              <w:rPr>
                <w:rFonts w:asciiTheme="majorHAnsi" w:hAnsiTheme="majorHAnsi"/>
                <w:b/>
              </w:rPr>
            </w:pPr>
            <w:r>
              <w:rPr>
                <w:rFonts w:asciiTheme="majorHAnsi" w:hAnsiTheme="majorHAnsi"/>
                <w:b/>
              </w:rPr>
              <w:t>2015-16</w:t>
            </w:r>
          </w:p>
        </w:tc>
        <w:tc>
          <w:tcPr>
            <w:tcW w:w="1437" w:type="dxa"/>
          </w:tcPr>
          <w:p w:rsidR="009A264B" w:rsidRPr="00EC4DC7" w:rsidRDefault="009A264B" w:rsidP="00976AAA">
            <w:pPr>
              <w:rPr>
                <w:rFonts w:asciiTheme="majorHAnsi" w:hAnsiTheme="majorHAnsi"/>
                <w:b/>
              </w:rPr>
            </w:pPr>
            <w:r>
              <w:rPr>
                <w:rFonts w:asciiTheme="majorHAnsi" w:hAnsiTheme="majorHAnsi"/>
                <w:b/>
              </w:rPr>
              <w:t xml:space="preserve">  </w:t>
            </w:r>
            <w:r w:rsidR="009F6E4E">
              <w:rPr>
                <w:rFonts w:asciiTheme="majorHAnsi" w:hAnsiTheme="majorHAnsi"/>
                <w:b/>
              </w:rPr>
              <w:t>2016-17</w:t>
            </w:r>
          </w:p>
        </w:tc>
        <w:tc>
          <w:tcPr>
            <w:tcW w:w="1853" w:type="dxa"/>
          </w:tcPr>
          <w:p w:rsidR="009A264B" w:rsidRPr="00ED6940" w:rsidRDefault="00F265E3" w:rsidP="00976AAA">
            <w:pPr>
              <w:jc w:val="center"/>
              <w:rPr>
                <w:rFonts w:asciiTheme="majorHAnsi" w:hAnsiTheme="majorHAnsi"/>
                <w:b/>
                <w:vertAlign w:val="superscript"/>
              </w:rPr>
            </w:pPr>
            <w:r>
              <w:rPr>
                <w:rFonts w:asciiTheme="majorHAnsi" w:hAnsiTheme="majorHAnsi"/>
                <w:b/>
              </w:rPr>
              <w:t>2017-18</w:t>
            </w:r>
            <w:r w:rsidR="00F05281">
              <w:rPr>
                <w:rFonts w:asciiTheme="majorHAnsi" w:hAnsiTheme="majorHAnsi"/>
                <w:b/>
                <w:vertAlign w:val="superscript"/>
              </w:rPr>
              <w:t>p</w:t>
            </w:r>
          </w:p>
        </w:tc>
      </w:tr>
      <w:tr w:rsidR="009A264B" w:rsidRPr="00DF48EA" w:rsidTr="00916847">
        <w:trPr>
          <w:trHeight w:val="291"/>
        </w:trPr>
        <w:tc>
          <w:tcPr>
            <w:tcW w:w="4595" w:type="dxa"/>
          </w:tcPr>
          <w:p w:rsidR="009A264B" w:rsidRPr="00DF48EA" w:rsidRDefault="009A264B" w:rsidP="00976AAA">
            <w:pPr>
              <w:jc w:val="both"/>
              <w:rPr>
                <w:rFonts w:asciiTheme="majorHAnsi" w:hAnsiTheme="majorHAnsi"/>
              </w:rPr>
            </w:pPr>
            <w:r w:rsidRPr="00DF48EA">
              <w:rPr>
                <w:rFonts w:asciiTheme="majorHAnsi" w:hAnsiTheme="majorHAnsi"/>
              </w:rPr>
              <w:t>PIB (Mds $)</w:t>
            </w:r>
          </w:p>
        </w:tc>
        <w:tc>
          <w:tcPr>
            <w:tcW w:w="1437" w:type="dxa"/>
          </w:tcPr>
          <w:p w:rsidR="009A264B" w:rsidRPr="00DF48EA" w:rsidRDefault="009F6E4E" w:rsidP="00976AAA">
            <w:pPr>
              <w:jc w:val="center"/>
              <w:rPr>
                <w:rFonts w:asciiTheme="majorHAnsi" w:hAnsiTheme="majorHAnsi"/>
              </w:rPr>
            </w:pPr>
            <w:r>
              <w:rPr>
                <w:rFonts w:asciiTheme="majorHAnsi" w:hAnsiTheme="majorHAnsi"/>
              </w:rPr>
              <w:t>195,1</w:t>
            </w:r>
          </w:p>
        </w:tc>
        <w:tc>
          <w:tcPr>
            <w:tcW w:w="1437" w:type="dxa"/>
          </w:tcPr>
          <w:p w:rsidR="009A264B" w:rsidRPr="00DF48EA" w:rsidRDefault="00F265E3" w:rsidP="00976AAA">
            <w:pPr>
              <w:jc w:val="center"/>
              <w:rPr>
                <w:rFonts w:asciiTheme="majorHAnsi" w:hAnsiTheme="majorHAnsi"/>
              </w:rPr>
            </w:pPr>
            <w:r>
              <w:rPr>
                <w:rFonts w:asciiTheme="majorHAnsi" w:hAnsiTheme="majorHAnsi"/>
              </w:rPr>
              <w:t>221,4</w:t>
            </w:r>
          </w:p>
        </w:tc>
        <w:tc>
          <w:tcPr>
            <w:tcW w:w="1853" w:type="dxa"/>
          </w:tcPr>
          <w:p w:rsidR="009A264B" w:rsidRPr="00DF48EA" w:rsidRDefault="00891762" w:rsidP="00976AAA">
            <w:pPr>
              <w:jc w:val="center"/>
              <w:rPr>
                <w:rFonts w:asciiTheme="majorHAnsi" w:hAnsiTheme="majorHAnsi"/>
              </w:rPr>
            </w:pPr>
            <w:r>
              <w:rPr>
                <w:rFonts w:asciiTheme="majorHAnsi" w:hAnsiTheme="majorHAnsi"/>
              </w:rPr>
              <w:t>274,5</w:t>
            </w:r>
          </w:p>
        </w:tc>
      </w:tr>
      <w:tr w:rsidR="009A264B" w:rsidRPr="00DF48EA" w:rsidTr="00916847">
        <w:trPr>
          <w:trHeight w:val="291"/>
        </w:trPr>
        <w:tc>
          <w:tcPr>
            <w:tcW w:w="4595" w:type="dxa"/>
          </w:tcPr>
          <w:p w:rsidR="009A264B" w:rsidRPr="00DF48EA" w:rsidRDefault="009A264B" w:rsidP="00976AAA">
            <w:pPr>
              <w:jc w:val="both"/>
              <w:rPr>
                <w:rFonts w:asciiTheme="majorHAnsi" w:hAnsiTheme="majorHAnsi"/>
              </w:rPr>
            </w:pPr>
            <w:r w:rsidRPr="00DF48EA">
              <w:rPr>
                <w:rFonts w:asciiTheme="majorHAnsi" w:hAnsiTheme="majorHAnsi"/>
              </w:rPr>
              <w:t>PIB/Habitant ($)</w:t>
            </w:r>
          </w:p>
        </w:tc>
        <w:tc>
          <w:tcPr>
            <w:tcW w:w="1437" w:type="dxa"/>
          </w:tcPr>
          <w:p w:rsidR="009A264B" w:rsidRPr="00DF48EA" w:rsidRDefault="009F6E4E" w:rsidP="00976AAA">
            <w:pPr>
              <w:jc w:val="center"/>
              <w:rPr>
                <w:rFonts w:asciiTheme="majorHAnsi" w:hAnsiTheme="majorHAnsi"/>
              </w:rPr>
            </w:pPr>
            <w:r>
              <w:rPr>
                <w:rFonts w:asciiTheme="majorHAnsi" w:hAnsiTheme="majorHAnsi"/>
              </w:rPr>
              <w:t>1 211</w:t>
            </w:r>
          </w:p>
        </w:tc>
        <w:tc>
          <w:tcPr>
            <w:tcW w:w="1437" w:type="dxa"/>
          </w:tcPr>
          <w:p w:rsidR="009A264B" w:rsidRPr="00DF48EA" w:rsidRDefault="00F265E3" w:rsidP="00976AAA">
            <w:pPr>
              <w:jc w:val="center"/>
              <w:rPr>
                <w:rFonts w:asciiTheme="majorHAnsi" w:hAnsiTheme="majorHAnsi"/>
              </w:rPr>
            </w:pPr>
            <w:r>
              <w:rPr>
                <w:rFonts w:asciiTheme="majorHAnsi" w:hAnsiTheme="majorHAnsi"/>
              </w:rPr>
              <w:t>1 358</w:t>
            </w:r>
          </w:p>
        </w:tc>
        <w:tc>
          <w:tcPr>
            <w:tcW w:w="1853" w:type="dxa"/>
          </w:tcPr>
          <w:p w:rsidR="009A264B" w:rsidRPr="00DF48EA" w:rsidRDefault="002E2ADF" w:rsidP="00976AAA">
            <w:pPr>
              <w:jc w:val="center"/>
              <w:rPr>
                <w:rFonts w:asciiTheme="majorHAnsi" w:hAnsiTheme="majorHAnsi"/>
              </w:rPr>
            </w:pPr>
            <w:r>
              <w:rPr>
                <w:rFonts w:asciiTheme="majorHAnsi" w:hAnsiTheme="majorHAnsi"/>
              </w:rPr>
              <w:t>1 538</w:t>
            </w:r>
          </w:p>
        </w:tc>
      </w:tr>
      <w:tr w:rsidR="009A264B" w:rsidRPr="00DF48EA" w:rsidTr="00916847">
        <w:trPr>
          <w:trHeight w:val="308"/>
        </w:trPr>
        <w:tc>
          <w:tcPr>
            <w:tcW w:w="4595" w:type="dxa"/>
          </w:tcPr>
          <w:p w:rsidR="009A264B" w:rsidRPr="00DF48EA" w:rsidRDefault="009A264B" w:rsidP="00976AAA">
            <w:pPr>
              <w:jc w:val="both"/>
              <w:rPr>
                <w:rFonts w:asciiTheme="majorHAnsi" w:hAnsiTheme="majorHAnsi"/>
                <w:color w:val="000000" w:themeColor="text1"/>
              </w:rPr>
            </w:pPr>
            <w:r w:rsidRPr="00DF48EA">
              <w:rPr>
                <w:rFonts w:asciiTheme="majorHAnsi" w:hAnsiTheme="majorHAnsi"/>
                <w:color w:val="000000" w:themeColor="text1"/>
              </w:rPr>
              <w:t>Croissance économique (%)</w:t>
            </w:r>
          </w:p>
        </w:tc>
        <w:tc>
          <w:tcPr>
            <w:tcW w:w="1437" w:type="dxa"/>
          </w:tcPr>
          <w:p w:rsidR="009A264B" w:rsidRPr="00DF48EA" w:rsidRDefault="009F6E4E" w:rsidP="00976AAA">
            <w:pPr>
              <w:jc w:val="center"/>
              <w:rPr>
                <w:rFonts w:asciiTheme="majorHAnsi" w:hAnsiTheme="majorHAnsi"/>
                <w:color w:val="000000" w:themeColor="text1"/>
              </w:rPr>
            </w:pPr>
            <w:r>
              <w:rPr>
                <w:rFonts w:asciiTheme="majorHAnsi" w:hAnsiTheme="majorHAnsi"/>
                <w:color w:val="000000" w:themeColor="text1"/>
              </w:rPr>
              <w:t>7,0</w:t>
            </w:r>
          </w:p>
        </w:tc>
        <w:tc>
          <w:tcPr>
            <w:tcW w:w="1437" w:type="dxa"/>
          </w:tcPr>
          <w:p w:rsidR="009A264B" w:rsidRPr="00DF48EA" w:rsidRDefault="009A264B" w:rsidP="00976AAA">
            <w:pPr>
              <w:jc w:val="center"/>
              <w:rPr>
                <w:rFonts w:asciiTheme="majorHAnsi" w:hAnsiTheme="majorHAnsi"/>
                <w:color w:val="000000" w:themeColor="text1"/>
              </w:rPr>
            </w:pPr>
            <w:r>
              <w:rPr>
                <w:rFonts w:asciiTheme="majorHAnsi" w:hAnsiTheme="majorHAnsi"/>
                <w:color w:val="000000" w:themeColor="text1"/>
              </w:rPr>
              <w:t>7,</w:t>
            </w:r>
            <w:r w:rsidR="00F265E3">
              <w:rPr>
                <w:rFonts w:asciiTheme="majorHAnsi" w:hAnsiTheme="majorHAnsi"/>
                <w:color w:val="000000" w:themeColor="text1"/>
              </w:rPr>
              <w:t>2</w:t>
            </w:r>
          </w:p>
        </w:tc>
        <w:tc>
          <w:tcPr>
            <w:tcW w:w="1853" w:type="dxa"/>
          </w:tcPr>
          <w:p w:rsidR="009A264B" w:rsidRPr="00DF48EA" w:rsidRDefault="009A264B" w:rsidP="00976AAA">
            <w:pPr>
              <w:jc w:val="center"/>
              <w:rPr>
                <w:rFonts w:asciiTheme="majorHAnsi" w:hAnsiTheme="majorHAnsi"/>
                <w:color w:val="000000" w:themeColor="text1"/>
              </w:rPr>
            </w:pPr>
            <w:r>
              <w:rPr>
                <w:rFonts w:asciiTheme="majorHAnsi" w:hAnsiTheme="majorHAnsi"/>
                <w:color w:val="000000" w:themeColor="text1"/>
              </w:rPr>
              <w:t>7,</w:t>
            </w:r>
            <w:r w:rsidR="002E2ADF">
              <w:rPr>
                <w:rFonts w:asciiTheme="majorHAnsi" w:hAnsiTheme="majorHAnsi"/>
                <w:color w:val="000000" w:themeColor="text1"/>
              </w:rPr>
              <w:t>4</w:t>
            </w:r>
          </w:p>
        </w:tc>
      </w:tr>
      <w:tr w:rsidR="009A264B" w:rsidRPr="00DF48EA" w:rsidTr="00916847">
        <w:trPr>
          <w:trHeight w:val="291"/>
        </w:trPr>
        <w:tc>
          <w:tcPr>
            <w:tcW w:w="4595" w:type="dxa"/>
          </w:tcPr>
          <w:p w:rsidR="009A264B" w:rsidRPr="00DF48EA" w:rsidRDefault="009A264B" w:rsidP="00976AAA">
            <w:pPr>
              <w:jc w:val="both"/>
              <w:rPr>
                <w:rFonts w:asciiTheme="majorHAnsi" w:hAnsiTheme="majorHAnsi"/>
                <w:color w:val="000000" w:themeColor="text1"/>
              </w:rPr>
            </w:pPr>
            <w:r w:rsidRPr="00DF48EA">
              <w:rPr>
                <w:rFonts w:asciiTheme="majorHAnsi" w:hAnsiTheme="majorHAnsi"/>
                <w:color w:val="000000" w:themeColor="text1"/>
              </w:rPr>
              <w:t>Inflation (moyenne annuelle en %)</w:t>
            </w:r>
          </w:p>
        </w:tc>
        <w:tc>
          <w:tcPr>
            <w:tcW w:w="1437" w:type="dxa"/>
          </w:tcPr>
          <w:p w:rsidR="009A264B" w:rsidRPr="00DF48EA" w:rsidRDefault="009F6E4E" w:rsidP="00976AAA">
            <w:pPr>
              <w:jc w:val="center"/>
              <w:rPr>
                <w:rFonts w:asciiTheme="majorHAnsi" w:hAnsiTheme="majorHAnsi"/>
                <w:color w:val="000000" w:themeColor="text1"/>
              </w:rPr>
            </w:pPr>
            <w:r>
              <w:rPr>
                <w:rFonts w:asciiTheme="majorHAnsi" w:hAnsiTheme="majorHAnsi"/>
                <w:color w:val="000000" w:themeColor="text1"/>
              </w:rPr>
              <w:t>5,9</w:t>
            </w:r>
          </w:p>
        </w:tc>
        <w:tc>
          <w:tcPr>
            <w:tcW w:w="1437" w:type="dxa"/>
          </w:tcPr>
          <w:p w:rsidR="009A264B" w:rsidRPr="00DF48EA" w:rsidRDefault="009A264B" w:rsidP="00976AAA">
            <w:pPr>
              <w:jc w:val="center"/>
              <w:rPr>
                <w:rFonts w:asciiTheme="majorHAnsi" w:hAnsiTheme="majorHAnsi"/>
                <w:color w:val="000000" w:themeColor="text1"/>
              </w:rPr>
            </w:pPr>
            <w:r>
              <w:rPr>
                <w:rFonts w:asciiTheme="majorHAnsi" w:hAnsiTheme="majorHAnsi"/>
                <w:color w:val="000000" w:themeColor="text1"/>
              </w:rPr>
              <w:t>5,</w:t>
            </w:r>
            <w:r w:rsidR="00F265E3">
              <w:rPr>
                <w:rFonts w:asciiTheme="majorHAnsi" w:hAnsiTheme="majorHAnsi"/>
                <w:color w:val="000000" w:themeColor="text1"/>
              </w:rPr>
              <w:t>4</w:t>
            </w:r>
          </w:p>
        </w:tc>
        <w:tc>
          <w:tcPr>
            <w:tcW w:w="1853" w:type="dxa"/>
          </w:tcPr>
          <w:p w:rsidR="009A264B" w:rsidRPr="00DF48EA" w:rsidRDefault="009A264B" w:rsidP="00976AAA">
            <w:pPr>
              <w:jc w:val="center"/>
              <w:rPr>
                <w:rFonts w:asciiTheme="majorHAnsi" w:hAnsiTheme="majorHAnsi"/>
                <w:color w:val="000000" w:themeColor="text1"/>
              </w:rPr>
            </w:pPr>
            <w:r>
              <w:rPr>
                <w:rFonts w:asciiTheme="majorHAnsi" w:hAnsiTheme="majorHAnsi"/>
                <w:color w:val="000000" w:themeColor="text1"/>
              </w:rPr>
              <w:t>5,</w:t>
            </w:r>
            <w:r w:rsidR="002E2ADF">
              <w:rPr>
                <w:rFonts w:asciiTheme="majorHAnsi" w:hAnsiTheme="majorHAnsi"/>
                <w:color w:val="000000" w:themeColor="text1"/>
              </w:rPr>
              <w:t>5</w:t>
            </w:r>
          </w:p>
        </w:tc>
      </w:tr>
      <w:tr w:rsidR="009A264B" w:rsidRPr="00DF48EA" w:rsidTr="00916847">
        <w:trPr>
          <w:trHeight w:val="291"/>
        </w:trPr>
        <w:tc>
          <w:tcPr>
            <w:tcW w:w="4595" w:type="dxa"/>
          </w:tcPr>
          <w:p w:rsidR="009A264B" w:rsidRPr="00DF48EA" w:rsidRDefault="009A264B" w:rsidP="00976AAA">
            <w:pPr>
              <w:jc w:val="both"/>
              <w:rPr>
                <w:rFonts w:asciiTheme="majorHAnsi" w:hAnsiTheme="majorHAnsi"/>
              </w:rPr>
            </w:pPr>
            <w:r>
              <w:rPr>
                <w:rFonts w:asciiTheme="majorHAnsi" w:hAnsiTheme="majorHAnsi"/>
                <w:color w:val="000000" w:themeColor="text1"/>
              </w:rPr>
              <w:t>Déficit</w:t>
            </w:r>
            <w:r w:rsidRPr="00DF48EA">
              <w:rPr>
                <w:rFonts w:asciiTheme="majorHAnsi" w:hAnsiTheme="majorHAnsi"/>
                <w:color w:val="000000" w:themeColor="text1"/>
              </w:rPr>
              <w:t xml:space="preserve"> public/PIB (%)</w:t>
            </w:r>
          </w:p>
        </w:tc>
        <w:tc>
          <w:tcPr>
            <w:tcW w:w="1437" w:type="dxa"/>
          </w:tcPr>
          <w:p w:rsidR="009A264B" w:rsidRPr="00DF48EA" w:rsidRDefault="00145FCB" w:rsidP="00976AAA">
            <w:pPr>
              <w:jc w:val="center"/>
              <w:rPr>
                <w:rFonts w:asciiTheme="majorHAnsi" w:hAnsiTheme="majorHAnsi"/>
                <w:color w:val="000000" w:themeColor="text1"/>
              </w:rPr>
            </w:pPr>
            <w:r>
              <w:rPr>
                <w:rFonts w:asciiTheme="majorHAnsi" w:hAnsiTheme="majorHAnsi"/>
                <w:color w:val="000000" w:themeColor="text1"/>
              </w:rPr>
              <w:t>5,0</w:t>
            </w:r>
          </w:p>
        </w:tc>
        <w:tc>
          <w:tcPr>
            <w:tcW w:w="1437" w:type="dxa"/>
          </w:tcPr>
          <w:p w:rsidR="009A264B" w:rsidRPr="00DF48EA" w:rsidRDefault="001F0CD9" w:rsidP="00976AAA">
            <w:pPr>
              <w:jc w:val="center"/>
              <w:rPr>
                <w:rFonts w:asciiTheme="majorHAnsi" w:hAnsiTheme="majorHAnsi"/>
                <w:color w:val="000000" w:themeColor="text1"/>
              </w:rPr>
            </w:pPr>
            <w:r>
              <w:rPr>
                <w:rFonts w:asciiTheme="majorHAnsi" w:hAnsiTheme="majorHAnsi"/>
                <w:color w:val="000000" w:themeColor="text1"/>
              </w:rPr>
              <w:t>4,6</w:t>
            </w:r>
          </w:p>
        </w:tc>
        <w:tc>
          <w:tcPr>
            <w:tcW w:w="1853" w:type="dxa"/>
          </w:tcPr>
          <w:p w:rsidR="009A264B" w:rsidRPr="00DF48EA" w:rsidRDefault="002E2ADF" w:rsidP="002E2ADF">
            <w:pPr>
              <w:tabs>
                <w:tab w:val="center" w:pos="818"/>
              </w:tabs>
              <w:rPr>
                <w:rFonts w:asciiTheme="majorHAnsi" w:hAnsiTheme="majorHAnsi"/>
                <w:color w:val="000000" w:themeColor="text1"/>
              </w:rPr>
            </w:pPr>
            <w:r>
              <w:rPr>
                <w:rFonts w:asciiTheme="majorHAnsi" w:hAnsiTheme="majorHAnsi"/>
                <w:color w:val="000000" w:themeColor="text1"/>
              </w:rPr>
              <w:tab/>
              <w:t>5,0</w:t>
            </w:r>
          </w:p>
        </w:tc>
      </w:tr>
      <w:tr w:rsidR="009A264B" w:rsidRPr="00DF48EA" w:rsidTr="00916847">
        <w:trPr>
          <w:trHeight w:val="291"/>
        </w:trPr>
        <w:tc>
          <w:tcPr>
            <w:tcW w:w="4595" w:type="dxa"/>
          </w:tcPr>
          <w:p w:rsidR="009A264B" w:rsidRPr="00DF48EA" w:rsidRDefault="009A264B" w:rsidP="00976AAA">
            <w:pPr>
              <w:jc w:val="both"/>
              <w:rPr>
                <w:rFonts w:asciiTheme="majorHAnsi" w:hAnsiTheme="majorHAnsi"/>
              </w:rPr>
            </w:pPr>
            <w:r w:rsidRPr="00DF48EA">
              <w:rPr>
                <w:rFonts w:asciiTheme="majorHAnsi" w:hAnsiTheme="majorHAnsi"/>
              </w:rPr>
              <w:t>Dette publique / PIB (%)</w:t>
            </w:r>
          </w:p>
        </w:tc>
        <w:tc>
          <w:tcPr>
            <w:tcW w:w="1437" w:type="dxa"/>
          </w:tcPr>
          <w:p w:rsidR="009A264B" w:rsidRPr="00DF48EA" w:rsidRDefault="009A264B" w:rsidP="00976AAA">
            <w:pPr>
              <w:jc w:val="center"/>
              <w:rPr>
                <w:rFonts w:asciiTheme="majorHAnsi" w:hAnsiTheme="majorHAnsi"/>
                <w:color w:val="000000" w:themeColor="text1"/>
              </w:rPr>
            </w:pPr>
            <w:r>
              <w:rPr>
                <w:rFonts w:asciiTheme="majorHAnsi" w:hAnsiTheme="majorHAnsi"/>
                <w:color w:val="000000" w:themeColor="text1"/>
              </w:rPr>
              <w:t>38,</w:t>
            </w:r>
            <w:r w:rsidR="009F6E4E">
              <w:rPr>
                <w:rFonts w:asciiTheme="majorHAnsi" w:hAnsiTheme="majorHAnsi"/>
                <w:color w:val="000000" w:themeColor="text1"/>
              </w:rPr>
              <w:t>0</w:t>
            </w:r>
          </w:p>
        </w:tc>
        <w:tc>
          <w:tcPr>
            <w:tcW w:w="1437" w:type="dxa"/>
          </w:tcPr>
          <w:p w:rsidR="009A264B" w:rsidRPr="00DF48EA" w:rsidRDefault="00F265E3" w:rsidP="00976AAA">
            <w:pPr>
              <w:jc w:val="center"/>
              <w:rPr>
                <w:rFonts w:asciiTheme="majorHAnsi" w:hAnsiTheme="majorHAnsi"/>
                <w:color w:val="000000" w:themeColor="text1"/>
              </w:rPr>
            </w:pPr>
            <w:r>
              <w:rPr>
                <w:rFonts w:asciiTheme="majorHAnsi" w:hAnsiTheme="majorHAnsi"/>
                <w:color w:val="000000" w:themeColor="text1"/>
              </w:rPr>
              <w:t>36,0</w:t>
            </w:r>
          </w:p>
        </w:tc>
        <w:tc>
          <w:tcPr>
            <w:tcW w:w="1853" w:type="dxa"/>
          </w:tcPr>
          <w:p w:rsidR="009A264B" w:rsidRPr="00DF48EA" w:rsidRDefault="001D3820" w:rsidP="00976AAA">
            <w:pPr>
              <w:jc w:val="center"/>
              <w:rPr>
                <w:rFonts w:asciiTheme="majorHAnsi" w:hAnsiTheme="majorHAnsi"/>
                <w:color w:val="000000" w:themeColor="text1"/>
              </w:rPr>
            </w:pPr>
            <w:r>
              <w:rPr>
                <w:rFonts w:asciiTheme="majorHAnsi" w:hAnsiTheme="majorHAnsi"/>
                <w:color w:val="000000" w:themeColor="text1"/>
              </w:rPr>
              <w:t>36,6</w:t>
            </w:r>
          </w:p>
        </w:tc>
      </w:tr>
      <w:tr w:rsidR="009A264B" w:rsidRPr="00DF48EA" w:rsidTr="00916847">
        <w:trPr>
          <w:trHeight w:val="291"/>
        </w:trPr>
        <w:tc>
          <w:tcPr>
            <w:tcW w:w="4595" w:type="dxa"/>
          </w:tcPr>
          <w:p w:rsidR="009A264B" w:rsidRPr="00DF48EA" w:rsidRDefault="009A264B" w:rsidP="00976AAA">
            <w:pPr>
              <w:jc w:val="both"/>
              <w:rPr>
                <w:rFonts w:asciiTheme="majorHAnsi" w:hAnsiTheme="majorHAnsi"/>
              </w:rPr>
            </w:pPr>
            <w:r w:rsidRPr="00DF48EA">
              <w:rPr>
                <w:rFonts w:asciiTheme="majorHAnsi" w:hAnsiTheme="majorHAnsi"/>
              </w:rPr>
              <w:t>Dette extérieure totale / PIB (%)</w:t>
            </w:r>
          </w:p>
        </w:tc>
        <w:tc>
          <w:tcPr>
            <w:tcW w:w="1437" w:type="dxa"/>
          </w:tcPr>
          <w:p w:rsidR="009A264B" w:rsidRPr="00DF48EA" w:rsidRDefault="009F6E4E" w:rsidP="00976AAA">
            <w:pPr>
              <w:jc w:val="center"/>
              <w:rPr>
                <w:rFonts w:asciiTheme="majorHAnsi" w:hAnsiTheme="majorHAnsi"/>
                <w:color w:val="000000" w:themeColor="text1"/>
              </w:rPr>
            </w:pPr>
            <w:r>
              <w:rPr>
                <w:rFonts w:asciiTheme="majorHAnsi" w:hAnsiTheme="majorHAnsi"/>
                <w:color w:val="000000" w:themeColor="text1"/>
              </w:rPr>
              <w:t>12,7</w:t>
            </w:r>
          </w:p>
        </w:tc>
        <w:tc>
          <w:tcPr>
            <w:tcW w:w="1437" w:type="dxa"/>
          </w:tcPr>
          <w:p w:rsidR="009A264B" w:rsidRPr="00DF48EA" w:rsidRDefault="00F265E3" w:rsidP="00976AAA">
            <w:pPr>
              <w:jc w:val="center"/>
              <w:rPr>
                <w:rFonts w:asciiTheme="majorHAnsi" w:hAnsiTheme="majorHAnsi"/>
                <w:color w:val="000000" w:themeColor="text1"/>
              </w:rPr>
            </w:pPr>
            <w:r>
              <w:rPr>
                <w:rFonts w:asciiTheme="majorHAnsi" w:hAnsiTheme="majorHAnsi"/>
                <w:color w:val="000000" w:themeColor="text1"/>
              </w:rPr>
              <w:t>13,5</w:t>
            </w:r>
          </w:p>
        </w:tc>
        <w:tc>
          <w:tcPr>
            <w:tcW w:w="1853" w:type="dxa"/>
          </w:tcPr>
          <w:p w:rsidR="009A264B" w:rsidRPr="00DF48EA" w:rsidRDefault="001D3820" w:rsidP="00976AAA">
            <w:pPr>
              <w:jc w:val="center"/>
              <w:rPr>
                <w:rFonts w:asciiTheme="majorHAnsi" w:hAnsiTheme="majorHAnsi"/>
                <w:color w:val="000000" w:themeColor="text1"/>
              </w:rPr>
            </w:pPr>
            <w:r>
              <w:rPr>
                <w:rFonts w:asciiTheme="majorHAnsi" w:hAnsiTheme="majorHAnsi"/>
                <w:color w:val="000000" w:themeColor="text1"/>
              </w:rPr>
              <w:t>13,5</w:t>
            </w:r>
          </w:p>
        </w:tc>
      </w:tr>
      <w:tr w:rsidR="001D3820" w:rsidRPr="00DF48EA" w:rsidTr="00916847">
        <w:trPr>
          <w:trHeight w:val="291"/>
        </w:trPr>
        <w:tc>
          <w:tcPr>
            <w:tcW w:w="4595" w:type="dxa"/>
          </w:tcPr>
          <w:p w:rsidR="001D3820" w:rsidRPr="00DF48EA" w:rsidRDefault="001D3820" w:rsidP="00976AAA">
            <w:pPr>
              <w:jc w:val="both"/>
              <w:rPr>
                <w:rFonts w:asciiTheme="majorHAnsi" w:hAnsiTheme="majorHAnsi"/>
              </w:rPr>
            </w:pPr>
            <w:r>
              <w:rPr>
                <w:rFonts w:asciiTheme="majorHAnsi" w:hAnsiTheme="majorHAnsi"/>
              </w:rPr>
              <w:t>Notation OCDE</w:t>
            </w:r>
          </w:p>
        </w:tc>
        <w:tc>
          <w:tcPr>
            <w:tcW w:w="1437" w:type="dxa"/>
          </w:tcPr>
          <w:p w:rsidR="001D3820" w:rsidRDefault="004834FC" w:rsidP="00976AAA">
            <w:pPr>
              <w:jc w:val="center"/>
              <w:rPr>
                <w:rFonts w:asciiTheme="majorHAnsi" w:hAnsiTheme="majorHAnsi"/>
                <w:color w:val="000000" w:themeColor="text1"/>
              </w:rPr>
            </w:pPr>
            <w:r>
              <w:rPr>
                <w:rFonts w:asciiTheme="majorHAnsi" w:hAnsiTheme="majorHAnsi"/>
                <w:color w:val="000000" w:themeColor="text1"/>
              </w:rPr>
              <w:t>5</w:t>
            </w:r>
          </w:p>
        </w:tc>
        <w:tc>
          <w:tcPr>
            <w:tcW w:w="1437" w:type="dxa"/>
          </w:tcPr>
          <w:p w:rsidR="001D3820" w:rsidRDefault="004834FC" w:rsidP="00976AAA">
            <w:pPr>
              <w:jc w:val="center"/>
              <w:rPr>
                <w:rFonts w:asciiTheme="majorHAnsi" w:hAnsiTheme="majorHAnsi"/>
                <w:color w:val="000000" w:themeColor="text1"/>
              </w:rPr>
            </w:pPr>
            <w:r>
              <w:rPr>
                <w:rFonts w:asciiTheme="majorHAnsi" w:hAnsiTheme="majorHAnsi"/>
                <w:color w:val="000000" w:themeColor="text1"/>
              </w:rPr>
              <w:t>5</w:t>
            </w:r>
          </w:p>
        </w:tc>
        <w:tc>
          <w:tcPr>
            <w:tcW w:w="1853" w:type="dxa"/>
          </w:tcPr>
          <w:p w:rsidR="001D3820" w:rsidRDefault="00BB2170" w:rsidP="00976AAA">
            <w:pPr>
              <w:jc w:val="center"/>
              <w:rPr>
                <w:rFonts w:asciiTheme="majorHAnsi" w:hAnsiTheme="majorHAnsi"/>
                <w:color w:val="000000" w:themeColor="text1"/>
              </w:rPr>
            </w:pPr>
            <w:r>
              <w:rPr>
                <w:rFonts w:asciiTheme="majorHAnsi" w:hAnsiTheme="majorHAnsi"/>
                <w:color w:val="000000" w:themeColor="text1"/>
              </w:rPr>
              <w:t>5</w:t>
            </w:r>
          </w:p>
        </w:tc>
      </w:tr>
      <w:tr w:rsidR="001D3820" w:rsidRPr="00DF48EA" w:rsidTr="00916847">
        <w:trPr>
          <w:trHeight w:val="291"/>
        </w:trPr>
        <w:tc>
          <w:tcPr>
            <w:tcW w:w="4595" w:type="dxa"/>
          </w:tcPr>
          <w:p w:rsidR="001D3820" w:rsidRDefault="007B31A9" w:rsidP="00976AAA">
            <w:pPr>
              <w:jc w:val="both"/>
              <w:rPr>
                <w:rFonts w:asciiTheme="majorHAnsi" w:hAnsiTheme="majorHAnsi"/>
              </w:rPr>
            </w:pPr>
            <w:r>
              <w:rPr>
                <w:rFonts w:ascii="Times New Roman" w:hAnsi="Times New Roman" w:cs="Times New Roman"/>
                <w:sz w:val="24"/>
                <w:szCs w:val="24"/>
                <w:lang w:val="en-US"/>
              </w:rPr>
              <w:t xml:space="preserve">Notation </w:t>
            </w:r>
            <w:r w:rsidR="001D3820" w:rsidRPr="00D9342D">
              <w:rPr>
                <w:rFonts w:ascii="Times New Roman" w:hAnsi="Times New Roman" w:cs="Times New Roman"/>
                <w:sz w:val="24"/>
                <w:szCs w:val="24"/>
                <w:lang w:val="en-US"/>
              </w:rPr>
              <w:t>Moody’s</w:t>
            </w:r>
          </w:p>
        </w:tc>
        <w:tc>
          <w:tcPr>
            <w:tcW w:w="1437" w:type="dxa"/>
          </w:tcPr>
          <w:p w:rsidR="001D3820" w:rsidRDefault="007B31A9" w:rsidP="00976AAA">
            <w:pPr>
              <w:jc w:val="center"/>
              <w:rPr>
                <w:rFonts w:asciiTheme="majorHAnsi" w:hAnsiTheme="majorHAnsi"/>
                <w:color w:val="000000" w:themeColor="text1"/>
              </w:rPr>
            </w:pPr>
            <w:r>
              <w:rPr>
                <w:rFonts w:asciiTheme="majorHAnsi" w:hAnsiTheme="majorHAnsi"/>
                <w:color w:val="000000" w:themeColor="text1"/>
              </w:rPr>
              <w:t>Ba3</w:t>
            </w:r>
          </w:p>
        </w:tc>
        <w:tc>
          <w:tcPr>
            <w:tcW w:w="1437" w:type="dxa"/>
          </w:tcPr>
          <w:p w:rsidR="001D3820" w:rsidRDefault="007B31A9" w:rsidP="00976AAA">
            <w:pPr>
              <w:jc w:val="center"/>
              <w:rPr>
                <w:rFonts w:asciiTheme="majorHAnsi" w:hAnsiTheme="majorHAnsi"/>
                <w:color w:val="000000" w:themeColor="text1"/>
              </w:rPr>
            </w:pPr>
            <w:r>
              <w:rPr>
                <w:rFonts w:asciiTheme="majorHAnsi" w:hAnsiTheme="majorHAnsi"/>
                <w:color w:val="000000" w:themeColor="text1"/>
              </w:rPr>
              <w:t>Ba3</w:t>
            </w:r>
          </w:p>
        </w:tc>
        <w:tc>
          <w:tcPr>
            <w:tcW w:w="1853" w:type="dxa"/>
          </w:tcPr>
          <w:p w:rsidR="001D3820" w:rsidRDefault="00BB2170" w:rsidP="00976AAA">
            <w:pPr>
              <w:jc w:val="center"/>
              <w:rPr>
                <w:rFonts w:asciiTheme="majorHAnsi" w:hAnsiTheme="majorHAnsi"/>
                <w:color w:val="000000" w:themeColor="text1"/>
              </w:rPr>
            </w:pPr>
            <w:r>
              <w:rPr>
                <w:rFonts w:asciiTheme="majorHAnsi" w:hAnsiTheme="majorHAnsi"/>
                <w:color w:val="000000" w:themeColor="text1"/>
              </w:rPr>
              <w:t>Ba3</w:t>
            </w:r>
          </w:p>
        </w:tc>
      </w:tr>
    </w:tbl>
    <w:p w:rsidR="00125FB2" w:rsidRPr="00BB2170" w:rsidRDefault="00EC0C54" w:rsidP="00125FB2">
      <w:pPr>
        <w:rPr>
          <w:rFonts w:ascii="Times New Roman" w:hAnsi="Times New Roman" w:cs="Times New Roman"/>
        </w:rPr>
      </w:pPr>
      <w:r w:rsidRPr="00EC0C54">
        <w:rPr>
          <w:rFonts w:ascii="Times New Roman" w:hAnsi="Times New Roman" w:cs="Times New Roman"/>
        </w:rPr>
        <w:t>Source</w:t>
      </w:r>
      <w:r w:rsidR="00590720">
        <w:rPr>
          <w:rFonts w:ascii="Times New Roman" w:hAnsi="Times New Roman" w:cs="Times New Roman"/>
        </w:rPr>
        <w:t>s</w:t>
      </w:r>
      <w:r w:rsidRPr="00EC0C54">
        <w:rPr>
          <w:rFonts w:ascii="Times New Roman" w:hAnsi="Times New Roman" w:cs="Times New Roman"/>
        </w:rPr>
        <w:t> : FMI</w:t>
      </w:r>
      <w:r w:rsidR="002E2ADF">
        <w:rPr>
          <w:rFonts w:ascii="Times New Roman" w:hAnsi="Times New Roman" w:cs="Times New Roman"/>
        </w:rPr>
        <w:t>/ Bangladesh Bank</w:t>
      </w:r>
      <w:r w:rsidR="00BB2170">
        <w:rPr>
          <w:rFonts w:ascii="Times New Roman" w:hAnsi="Times New Roman" w:cs="Times New Roman"/>
        </w:rPr>
        <w:t xml:space="preserve"> ; </w:t>
      </w:r>
      <w:r w:rsidR="00125FB2" w:rsidRPr="00125FB2">
        <w:rPr>
          <w:rFonts w:ascii="Times New Roman" w:hAnsi="Times New Roman" w:cs="Times New Roman"/>
          <w:i/>
          <w:sz w:val="18"/>
          <w:szCs w:val="18"/>
        </w:rPr>
        <w:t xml:space="preserve">* </w:t>
      </w:r>
      <w:r w:rsidR="00FC36B1">
        <w:rPr>
          <w:rFonts w:ascii="Times New Roman" w:hAnsi="Times New Roman" w:cs="Times New Roman"/>
          <w:i/>
          <w:sz w:val="18"/>
          <w:szCs w:val="18"/>
        </w:rPr>
        <w:t>A</w:t>
      </w:r>
      <w:r w:rsidR="00125FB2" w:rsidRPr="00125FB2">
        <w:rPr>
          <w:rFonts w:ascii="Times New Roman" w:hAnsi="Times New Roman" w:cs="Times New Roman"/>
          <w:i/>
          <w:sz w:val="18"/>
          <w:szCs w:val="18"/>
        </w:rPr>
        <w:t>nnée budgétaire</w:t>
      </w:r>
      <w:r w:rsidR="00FC36B1">
        <w:rPr>
          <w:rFonts w:ascii="Times New Roman" w:hAnsi="Times New Roman" w:cs="Times New Roman"/>
          <w:i/>
          <w:sz w:val="18"/>
          <w:szCs w:val="18"/>
        </w:rPr>
        <w:t> : juillet - juin</w:t>
      </w:r>
    </w:p>
    <w:p w:rsidR="009A264B" w:rsidRDefault="009A264B" w:rsidP="00F961C8">
      <w:pPr>
        <w:rPr>
          <w:rFonts w:ascii="Times New Roman" w:hAnsi="Times New Roman" w:cs="Times New Roman"/>
        </w:rPr>
      </w:pPr>
    </w:p>
    <w:p w:rsidR="00975099" w:rsidRDefault="00975099" w:rsidP="007C4E59">
      <w:pPr>
        <w:jc w:val="both"/>
        <w:rPr>
          <w:rFonts w:ascii="Times New Roman" w:hAnsi="Times New Roman" w:cs="Times New Roman"/>
          <w:b/>
          <w:sz w:val="22"/>
          <w:szCs w:val="22"/>
        </w:rPr>
      </w:pPr>
    </w:p>
    <w:p w:rsidR="00975099" w:rsidRDefault="00975099" w:rsidP="00975099">
      <w:pPr>
        <w:jc w:val="both"/>
        <w:rPr>
          <w:rFonts w:ascii="Times New Roman" w:hAnsi="Times New Roman" w:cs="Times New Roman"/>
          <w:sz w:val="22"/>
          <w:szCs w:val="22"/>
        </w:rPr>
      </w:pPr>
      <w:r w:rsidRPr="00916946">
        <w:rPr>
          <w:rFonts w:ascii="Times New Roman" w:hAnsi="Times New Roman" w:cs="Times New Roman"/>
          <w:sz w:val="22"/>
          <w:szCs w:val="22"/>
        </w:rPr>
        <w:t xml:space="preserve">Le </w:t>
      </w:r>
      <w:r w:rsidR="00590720">
        <w:rPr>
          <w:rFonts w:ascii="Times New Roman" w:hAnsi="Times New Roman" w:cs="Times New Roman"/>
          <w:sz w:val="22"/>
          <w:szCs w:val="22"/>
        </w:rPr>
        <w:t xml:space="preserve">Bangladesh s’est fixé pour </w:t>
      </w:r>
      <w:r w:rsidRPr="00916946">
        <w:rPr>
          <w:rFonts w:ascii="Times New Roman" w:hAnsi="Times New Roman" w:cs="Times New Roman"/>
          <w:sz w:val="22"/>
          <w:szCs w:val="22"/>
        </w:rPr>
        <w:t>objectif de rejoindre en 2021</w:t>
      </w:r>
      <w:r>
        <w:rPr>
          <w:rFonts w:ascii="Times New Roman" w:hAnsi="Times New Roman" w:cs="Times New Roman"/>
          <w:sz w:val="22"/>
          <w:szCs w:val="22"/>
        </w:rPr>
        <w:t>,</w:t>
      </w:r>
      <w:r w:rsidRPr="00916946">
        <w:rPr>
          <w:rFonts w:ascii="Times New Roman" w:hAnsi="Times New Roman" w:cs="Times New Roman"/>
          <w:sz w:val="22"/>
          <w:szCs w:val="22"/>
        </w:rPr>
        <w:t xml:space="preserve"> </w:t>
      </w:r>
      <w:r w:rsidRPr="00004DEA">
        <w:rPr>
          <w:rFonts w:ascii="Times New Roman" w:hAnsi="Times New Roman" w:cs="Times New Roman"/>
          <w:sz w:val="22"/>
          <w:szCs w:val="22"/>
        </w:rPr>
        <w:t>année du cinquantième anniversaire de l’indépendance</w:t>
      </w:r>
      <w:r>
        <w:rPr>
          <w:rFonts w:ascii="Times New Roman" w:hAnsi="Times New Roman" w:cs="Times New Roman"/>
          <w:sz w:val="22"/>
          <w:szCs w:val="22"/>
        </w:rPr>
        <w:t>,</w:t>
      </w:r>
      <w:r w:rsidRPr="00004DEA">
        <w:rPr>
          <w:rFonts w:ascii="Times New Roman" w:hAnsi="Times New Roman" w:cs="Times New Roman"/>
          <w:sz w:val="22"/>
          <w:szCs w:val="22"/>
        </w:rPr>
        <w:t xml:space="preserve"> </w:t>
      </w:r>
      <w:r w:rsidR="00590720">
        <w:rPr>
          <w:rFonts w:ascii="Times New Roman" w:hAnsi="Times New Roman" w:cs="Times New Roman"/>
          <w:sz w:val="22"/>
          <w:szCs w:val="22"/>
        </w:rPr>
        <w:t>le groupe</w:t>
      </w:r>
      <w:r w:rsidRPr="00916946">
        <w:rPr>
          <w:rFonts w:ascii="Times New Roman" w:hAnsi="Times New Roman" w:cs="Times New Roman"/>
          <w:sz w:val="22"/>
          <w:szCs w:val="22"/>
        </w:rPr>
        <w:t xml:space="preserve"> des « Pays à Revenu intermédiaire » (PRI)</w:t>
      </w:r>
      <w:r>
        <w:rPr>
          <w:rFonts w:ascii="Times New Roman" w:hAnsi="Times New Roman" w:cs="Times New Roman"/>
          <w:sz w:val="22"/>
          <w:szCs w:val="22"/>
        </w:rPr>
        <w:t>. I</w:t>
      </w:r>
      <w:r w:rsidRPr="00004DEA">
        <w:rPr>
          <w:rFonts w:ascii="Times New Roman" w:hAnsi="Times New Roman" w:cs="Times New Roman"/>
          <w:sz w:val="22"/>
          <w:szCs w:val="22"/>
        </w:rPr>
        <w:t xml:space="preserve">l </w:t>
      </w:r>
      <w:r>
        <w:rPr>
          <w:rFonts w:ascii="Times New Roman" w:hAnsi="Times New Roman" w:cs="Times New Roman"/>
          <w:sz w:val="22"/>
          <w:szCs w:val="22"/>
        </w:rPr>
        <w:t>lui faudra</w:t>
      </w:r>
      <w:r w:rsidR="00590720">
        <w:rPr>
          <w:rFonts w:ascii="Times New Roman" w:hAnsi="Times New Roman" w:cs="Times New Roman"/>
          <w:sz w:val="22"/>
          <w:szCs w:val="22"/>
        </w:rPr>
        <w:t>it</w:t>
      </w:r>
      <w:r>
        <w:rPr>
          <w:rFonts w:ascii="Times New Roman" w:hAnsi="Times New Roman" w:cs="Times New Roman"/>
          <w:sz w:val="22"/>
          <w:szCs w:val="22"/>
        </w:rPr>
        <w:t xml:space="preserve"> pour cela atteindre un PIB/h de 4 025 US$, ce qui semble</w:t>
      </w:r>
      <w:r w:rsidRPr="00004DEA">
        <w:rPr>
          <w:rFonts w:ascii="Times New Roman" w:hAnsi="Times New Roman" w:cs="Times New Roman"/>
          <w:sz w:val="22"/>
          <w:szCs w:val="22"/>
        </w:rPr>
        <w:t xml:space="preserve"> </w:t>
      </w:r>
      <w:r w:rsidR="00BB2170">
        <w:rPr>
          <w:rFonts w:ascii="Times New Roman" w:hAnsi="Times New Roman" w:cs="Times New Roman"/>
          <w:sz w:val="22"/>
          <w:szCs w:val="22"/>
        </w:rPr>
        <w:t>à ce stade</w:t>
      </w:r>
      <w:r w:rsidR="00590720">
        <w:rPr>
          <w:rFonts w:ascii="Times New Roman" w:hAnsi="Times New Roman" w:cs="Times New Roman"/>
          <w:sz w:val="22"/>
          <w:szCs w:val="22"/>
        </w:rPr>
        <w:t xml:space="preserve"> très</w:t>
      </w:r>
      <w:r w:rsidR="00BB2170">
        <w:rPr>
          <w:rFonts w:ascii="Times New Roman" w:hAnsi="Times New Roman" w:cs="Times New Roman"/>
          <w:sz w:val="22"/>
          <w:szCs w:val="22"/>
        </w:rPr>
        <w:t xml:space="preserve"> improbable</w:t>
      </w:r>
      <w:r>
        <w:rPr>
          <w:rFonts w:ascii="Times New Roman" w:hAnsi="Times New Roman" w:cs="Times New Roman"/>
          <w:sz w:val="22"/>
          <w:szCs w:val="22"/>
        </w:rPr>
        <w:t>.</w:t>
      </w:r>
    </w:p>
    <w:p w:rsidR="00975099" w:rsidRDefault="00975099" w:rsidP="00975099">
      <w:pPr>
        <w:jc w:val="both"/>
        <w:rPr>
          <w:rFonts w:ascii="Times New Roman" w:hAnsi="Times New Roman" w:cs="Times New Roman"/>
          <w:sz w:val="22"/>
          <w:szCs w:val="22"/>
        </w:rPr>
      </w:pPr>
    </w:p>
    <w:p w:rsidR="00975099" w:rsidRDefault="00975099" w:rsidP="00975099">
      <w:pPr>
        <w:jc w:val="both"/>
        <w:rPr>
          <w:rFonts w:ascii="Times New Roman" w:hAnsi="Times New Roman" w:cs="Times New Roman"/>
          <w:sz w:val="22"/>
          <w:szCs w:val="22"/>
        </w:rPr>
      </w:pPr>
      <w:r>
        <w:rPr>
          <w:rFonts w:ascii="Times New Roman" w:hAnsi="Times New Roman" w:cs="Times New Roman"/>
          <w:sz w:val="22"/>
          <w:szCs w:val="22"/>
        </w:rPr>
        <w:t xml:space="preserve">En se situant </w:t>
      </w:r>
      <w:r w:rsidRPr="00916946">
        <w:rPr>
          <w:rFonts w:ascii="Times New Roman" w:hAnsi="Times New Roman" w:cs="Times New Roman"/>
          <w:sz w:val="22"/>
          <w:szCs w:val="22"/>
        </w:rPr>
        <w:t>dans le</w:t>
      </w:r>
      <w:r>
        <w:rPr>
          <w:rFonts w:ascii="Times New Roman" w:hAnsi="Times New Roman" w:cs="Times New Roman"/>
          <w:sz w:val="22"/>
          <w:szCs w:val="22"/>
        </w:rPr>
        <w:t xml:space="preserve"> top 100 (99ème) du dernier rapport du World </w:t>
      </w:r>
      <w:proofErr w:type="spellStart"/>
      <w:r>
        <w:rPr>
          <w:rFonts w:ascii="Times New Roman" w:hAnsi="Times New Roman" w:cs="Times New Roman"/>
          <w:sz w:val="22"/>
          <w:szCs w:val="22"/>
        </w:rPr>
        <w:t>Economic</w:t>
      </w:r>
      <w:proofErr w:type="spellEnd"/>
      <w:r>
        <w:rPr>
          <w:rFonts w:ascii="Times New Roman" w:hAnsi="Times New Roman" w:cs="Times New Roman"/>
          <w:sz w:val="22"/>
          <w:szCs w:val="22"/>
        </w:rPr>
        <w:t xml:space="preserve"> Forum sur</w:t>
      </w:r>
      <w:r w:rsidRPr="00004DEA">
        <w:rPr>
          <w:rFonts w:ascii="Times New Roman" w:hAnsi="Times New Roman" w:cs="Times New Roman"/>
          <w:sz w:val="22"/>
          <w:szCs w:val="22"/>
        </w:rPr>
        <w:t xml:space="preserve"> la compétitivité </w:t>
      </w:r>
      <w:r>
        <w:rPr>
          <w:rFonts w:ascii="Times New Roman" w:hAnsi="Times New Roman" w:cs="Times New Roman"/>
          <w:sz w:val="22"/>
          <w:szCs w:val="22"/>
        </w:rPr>
        <w:t xml:space="preserve">globale et en surpassant, pour la première fois, le PIB/h </w:t>
      </w:r>
      <w:r w:rsidRPr="009C625D">
        <w:rPr>
          <w:rFonts w:ascii="Times New Roman" w:hAnsi="Times New Roman" w:cs="Times New Roman"/>
          <w:sz w:val="22"/>
          <w:szCs w:val="22"/>
        </w:rPr>
        <w:t>du Pakistan, le</w:t>
      </w:r>
      <w:r w:rsidR="001C4459">
        <w:rPr>
          <w:rFonts w:ascii="Times New Roman" w:hAnsi="Times New Roman" w:cs="Times New Roman"/>
          <w:sz w:val="22"/>
          <w:szCs w:val="22"/>
        </w:rPr>
        <w:t xml:space="preserve"> Bangladesh (1 538</w:t>
      </w:r>
      <w:r>
        <w:rPr>
          <w:rFonts w:ascii="Times New Roman" w:hAnsi="Times New Roman" w:cs="Times New Roman"/>
          <w:sz w:val="22"/>
          <w:szCs w:val="22"/>
        </w:rPr>
        <w:t xml:space="preserve"> US$ contre 1 470 US$) semble cependant sur la bonne voie pour y parvenir quelques années plus tard. Les institutions internationales anticipent à nouveau un taux de croissance significatif, compris entre 6,4 et 7%, pour l’année fiscale 2017-2018. Avec 7,4%, la Banque du Ba</w:t>
      </w:r>
      <w:bookmarkStart w:id="0" w:name="_GoBack"/>
      <w:bookmarkEnd w:id="0"/>
      <w:r>
        <w:rPr>
          <w:rFonts w:ascii="Times New Roman" w:hAnsi="Times New Roman" w:cs="Times New Roman"/>
          <w:sz w:val="22"/>
          <w:szCs w:val="22"/>
        </w:rPr>
        <w:t xml:space="preserve">ngladesh se montre encore plus optimiste.  </w:t>
      </w:r>
    </w:p>
    <w:p w:rsidR="00975099" w:rsidRPr="009C625D" w:rsidRDefault="00975099" w:rsidP="00975099">
      <w:pPr>
        <w:jc w:val="both"/>
        <w:rPr>
          <w:rFonts w:ascii="Times New Roman" w:hAnsi="Times New Roman" w:cs="Times New Roman"/>
          <w:sz w:val="22"/>
          <w:szCs w:val="22"/>
        </w:rPr>
      </w:pPr>
    </w:p>
    <w:p w:rsidR="00975099" w:rsidRDefault="00975099" w:rsidP="00975099">
      <w:pPr>
        <w:jc w:val="both"/>
        <w:rPr>
          <w:rFonts w:ascii="Times New Roman" w:hAnsi="Times New Roman" w:cs="Times New Roman"/>
          <w:sz w:val="22"/>
          <w:szCs w:val="22"/>
        </w:rPr>
      </w:pPr>
      <w:r w:rsidRPr="000E61FD">
        <w:rPr>
          <w:rFonts w:ascii="Times New Roman" w:hAnsi="Times New Roman" w:cs="Times New Roman"/>
          <w:sz w:val="22"/>
          <w:szCs w:val="22"/>
        </w:rPr>
        <w:t>Pour aussi satisf</w:t>
      </w:r>
      <w:r w:rsidR="006F1380">
        <w:rPr>
          <w:rFonts w:ascii="Times New Roman" w:hAnsi="Times New Roman" w:cs="Times New Roman"/>
          <w:sz w:val="22"/>
          <w:szCs w:val="22"/>
        </w:rPr>
        <w:t>aisants que soient la très grande majorité d’entre eux, les fondamentaux</w:t>
      </w:r>
      <w:r w:rsidRPr="000E61FD">
        <w:rPr>
          <w:rFonts w:ascii="Times New Roman" w:hAnsi="Times New Roman" w:cs="Times New Roman"/>
          <w:sz w:val="22"/>
          <w:szCs w:val="22"/>
        </w:rPr>
        <w:t xml:space="preserve"> ne doivent pas masquer la fragilité </w:t>
      </w:r>
      <w:r w:rsidR="00401DEA">
        <w:rPr>
          <w:rFonts w:ascii="Times New Roman" w:hAnsi="Times New Roman" w:cs="Times New Roman"/>
          <w:sz w:val="22"/>
          <w:szCs w:val="22"/>
        </w:rPr>
        <w:t xml:space="preserve">de deux </w:t>
      </w:r>
      <w:r w:rsidRPr="000E61FD">
        <w:rPr>
          <w:rFonts w:ascii="Times New Roman" w:hAnsi="Times New Roman" w:cs="Times New Roman"/>
          <w:sz w:val="22"/>
          <w:szCs w:val="22"/>
        </w:rPr>
        <w:t>d</w:t>
      </w:r>
      <w:r w:rsidR="00DE5746">
        <w:rPr>
          <w:rFonts w:ascii="Times New Roman" w:hAnsi="Times New Roman" w:cs="Times New Roman"/>
          <w:sz w:val="22"/>
          <w:szCs w:val="22"/>
        </w:rPr>
        <w:t xml:space="preserve">es </w:t>
      </w:r>
      <w:r w:rsidR="00401DEA">
        <w:rPr>
          <w:rFonts w:ascii="Times New Roman" w:hAnsi="Times New Roman" w:cs="Times New Roman"/>
          <w:sz w:val="22"/>
          <w:szCs w:val="22"/>
        </w:rPr>
        <w:t xml:space="preserve">principaux </w:t>
      </w:r>
      <w:r w:rsidR="00DE5746">
        <w:rPr>
          <w:rFonts w:ascii="Times New Roman" w:hAnsi="Times New Roman" w:cs="Times New Roman"/>
          <w:sz w:val="22"/>
          <w:szCs w:val="22"/>
        </w:rPr>
        <w:t>piliers de l’économie</w:t>
      </w:r>
      <w:r w:rsidR="00401DEA">
        <w:rPr>
          <w:rFonts w:ascii="Times New Roman" w:hAnsi="Times New Roman" w:cs="Times New Roman"/>
          <w:sz w:val="22"/>
          <w:szCs w:val="22"/>
        </w:rPr>
        <w:t xml:space="preserve"> bangladaise</w:t>
      </w:r>
      <w:r w:rsidR="006F1380">
        <w:rPr>
          <w:rFonts w:ascii="Times New Roman" w:hAnsi="Times New Roman" w:cs="Times New Roman"/>
          <w:sz w:val="22"/>
          <w:szCs w:val="22"/>
        </w:rPr>
        <w:t>, à savoir</w:t>
      </w:r>
      <w:r w:rsidRPr="000E61FD">
        <w:rPr>
          <w:rFonts w:ascii="Times New Roman" w:hAnsi="Times New Roman" w:cs="Times New Roman"/>
          <w:sz w:val="22"/>
          <w:szCs w:val="22"/>
        </w:rPr>
        <w:t xml:space="preserve"> la consommation intérieure</w:t>
      </w:r>
      <w:r w:rsidR="00401DEA">
        <w:rPr>
          <w:rFonts w:ascii="Times New Roman" w:hAnsi="Times New Roman" w:cs="Times New Roman"/>
          <w:sz w:val="22"/>
          <w:szCs w:val="22"/>
        </w:rPr>
        <w:t xml:space="preserve"> et</w:t>
      </w:r>
      <w:r w:rsidR="00DE5746">
        <w:rPr>
          <w:rFonts w:ascii="Times New Roman" w:hAnsi="Times New Roman" w:cs="Times New Roman"/>
          <w:sz w:val="22"/>
          <w:szCs w:val="22"/>
        </w:rPr>
        <w:t xml:space="preserve"> </w:t>
      </w:r>
      <w:r w:rsidRPr="000E61FD">
        <w:rPr>
          <w:rFonts w:ascii="Times New Roman" w:hAnsi="Times New Roman" w:cs="Times New Roman"/>
          <w:sz w:val="22"/>
          <w:szCs w:val="22"/>
        </w:rPr>
        <w:t>les exportations de prêt à porter (PAP)</w:t>
      </w:r>
      <w:r w:rsidR="001E28AD">
        <w:rPr>
          <w:rFonts w:ascii="Times New Roman" w:hAnsi="Times New Roman" w:cs="Times New Roman"/>
          <w:sz w:val="22"/>
          <w:szCs w:val="22"/>
        </w:rPr>
        <w:t>:</w:t>
      </w:r>
    </w:p>
    <w:p w:rsidR="001E28AD" w:rsidRPr="000E61FD" w:rsidRDefault="001E28AD" w:rsidP="00975099">
      <w:pPr>
        <w:jc w:val="both"/>
        <w:rPr>
          <w:rFonts w:ascii="Times New Roman" w:hAnsi="Times New Roman" w:cs="Times New Roman"/>
          <w:sz w:val="22"/>
          <w:szCs w:val="22"/>
        </w:rPr>
      </w:pPr>
    </w:p>
    <w:p w:rsidR="00975099" w:rsidRDefault="00975099" w:rsidP="00975099">
      <w:pPr>
        <w:jc w:val="both"/>
        <w:rPr>
          <w:rFonts w:ascii="Times New Roman" w:hAnsi="Times New Roman" w:cs="Times New Roman"/>
          <w:b/>
          <w:sz w:val="22"/>
          <w:szCs w:val="22"/>
        </w:rPr>
      </w:pPr>
    </w:p>
    <w:p w:rsidR="00975099" w:rsidRDefault="00975099" w:rsidP="00975099">
      <w:pPr>
        <w:pStyle w:val="Paragraphedeliste"/>
        <w:numPr>
          <w:ilvl w:val="0"/>
          <w:numId w:val="21"/>
        </w:numPr>
        <w:jc w:val="both"/>
        <w:rPr>
          <w:rFonts w:ascii="Times New Roman" w:hAnsi="Times New Roman" w:cs="Times New Roman"/>
          <w:bCs/>
          <w:color w:val="000000"/>
          <w:sz w:val="22"/>
          <w:szCs w:val="22"/>
          <w:lang w:eastAsia="en-US"/>
        </w:rPr>
      </w:pPr>
      <w:r w:rsidRPr="009C54A2">
        <w:rPr>
          <w:rFonts w:ascii="Times New Roman" w:hAnsi="Times New Roman" w:cs="Times New Roman"/>
          <w:sz w:val="22"/>
          <w:szCs w:val="22"/>
        </w:rPr>
        <w:lastRenderedPageBreak/>
        <w:t xml:space="preserve">La dynamique de la </w:t>
      </w:r>
      <w:r w:rsidRPr="000E61FD">
        <w:rPr>
          <w:rFonts w:ascii="Times New Roman" w:hAnsi="Times New Roman" w:cs="Times New Roman"/>
          <w:b/>
          <w:sz w:val="22"/>
          <w:szCs w:val="22"/>
        </w:rPr>
        <w:t>consommation intérieure</w:t>
      </w:r>
      <w:r w:rsidRPr="009C54A2">
        <w:rPr>
          <w:rFonts w:ascii="Times New Roman" w:hAnsi="Times New Roman" w:cs="Times New Roman"/>
          <w:sz w:val="22"/>
          <w:szCs w:val="22"/>
        </w:rPr>
        <w:t xml:space="preserve"> est </w:t>
      </w:r>
      <w:r w:rsidR="00364836">
        <w:rPr>
          <w:rFonts w:ascii="Times New Roman" w:hAnsi="Times New Roman" w:cs="Times New Roman"/>
          <w:sz w:val="22"/>
          <w:szCs w:val="22"/>
        </w:rPr>
        <w:t xml:space="preserve">portée par un pourcentage limité de la population. La très grande majorité d’entre elle est non </w:t>
      </w:r>
      <w:r w:rsidRPr="009C54A2">
        <w:rPr>
          <w:rFonts w:ascii="Times New Roman" w:hAnsi="Times New Roman" w:cs="Times New Roman"/>
          <w:sz w:val="22"/>
          <w:szCs w:val="22"/>
        </w:rPr>
        <w:t xml:space="preserve">seulement affectée par la </w:t>
      </w:r>
      <w:r w:rsidRPr="009C54A2">
        <w:rPr>
          <w:rFonts w:ascii="Times New Roman" w:hAnsi="Times New Roman" w:cs="Times New Roman"/>
          <w:bCs/>
          <w:color w:val="000000"/>
          <w:sz w:val="22"/>
          <w:szCs w:val="22"/>
          <w:lang w:eastAsia="en-US"/>
        </w:rPr>
        <w:t xml:space="preserve">vive contraction (-14,5% en </w:t>
      </w:r>
      <w:proofErr w:type="spellStart"/>
      <w:r w:rsidRPr="009C54A2">
        <w:rPr>
          <w:rFonts w:ascii="Times New Roman" w:hAnsi="Times New Roman" w:cs="Times New Roman"/>
          <w:bCs/>
          <w:color w:val="000000"/>
          <w:sz w:val="22"/>
          <w:szCs w:val="22"/>
          <w:lang w:eastAsia="en-US"/>
        </w:rPr>
        <w:t>g.a</w:t>
      </w:r>
      <w:proofErr w:type="spellEnd"/>
      <w:r>
        <w:rPr>
          <w:rFonts w:ascii="Times New Roman" w:hAnsi="Times New Roman" w:cs="Times New Roman"/>
          <w:bCs/>
          <w:color w:val="000000"/>
          <w:sz w:val="22"/>
          <w:szCs w:val="22"/>
          <w:lang w:eastAsia="en-US"/>
        </w:rPr>
        <w:t xml:space="preserve">.) des </w:t>
      </w:r>
      <w:r w:rsidRPr="000E61FD">
        <w:rPr>
          <w:rFonts w:ascii="Times New Roman" w:hAnsi="Times New Roman" w:cs="Times New Roman"/>
          <w:b/>
          <w:bCs/>
          <w:color w:val="000000"/>
          <w:sz w:val="22"/>
          <w:szCs w:val="22"/>
          <w:lang w:eastAsia="en-US"/>
        </w:rPr>
        <w:t>rapatriements de devises</w:t>
      </w:r>
      <w:r w:rsidRPr="009C54A2">
        <w:rPr>
          <w:rFonts w:ascii="Times New Roman" w:hAnsi="Times New Roman" w:cs="Times New Roman"/>
          <w:bCs/>
          <w:color w:val="000000"/>
          <w:sz w:val="22"/>
          <w:szCs w:val="22"/>
          <w:lang w:eastAsia="en-US"/>
        </w:rPr>
        <w:t xml:space="preserve"> en provenance des émigrés</w:t>
      </w:r>
      <w:r>
        <w:rPr>
          <w:rFonts w:ascii="Times New Roman" w:hAnsi="Times New Roman" w:cs="Times New Roman"/>
          <w:bCs/>
          <w:color w:val="000000"/>
          <w:sz w:val="22"/>
          <w:szCs w:val="22"/>
          <w:lang w:eastAsia="en-US"/>
        </w:rPr>
        <w:t>,</w:t>
      </w:r>
      <w:r w:rsidRPr="009C54A2">
        <w:rPr>
          <w:rFonts w:ascii="Times New Roman" w:hAnsi="Times New Roman" w:cs="Times New Roman"/>
          <w:bCs/>
          <w:color w:val="000000"/>
          <w:sz w:val="22"/>
          <w:szCs w:val="22"/>
          <w:lang w:eastAsia="en-US"/>
        </w:rPr>
        <w:t xml:space="preserve"> mais aussi par </w:t>
      </w:r>
      <w:r w:rsidRPr="000E61FD">
        <w:rPr>
          <w:rFonts w:ascii="Times New Roman" w:hAnsi="Times New Roman" w:cs="Times New Roman"/>
          <w:b/>
          <w:bCs/>
          <w:color w:val="000000"/>
          <w:sz w:val="22"/>
          <w:szCs w:val="22"/>
          <w:lang w:eastAsia="en-US"/>
        </w:rPr>
        <w:t>la hausse très significative du prix du riz</w:t>
      </w:r>
      <w:r w:rsidRPr="009C54A2">
        <w:rPr>
          <w:rFonts w:ascii="Times New Roman" w:hAnsi="Times New Roman" w:cs="Times New Roman"/>
          <w:bCs/>
          <w:color w:val="000000"/>
          <w:sz w:val="22"/>
          <w:szCs w:val="22"/>
          <w:lang w:eastAsia="en-US"/>
        </w:rPr>
        <w:t xml:space="preserve"> que le </w:t>
      </w:r>
      <w:r>
        <w:rPr>
          <w:rFonts w:ascii="Times New Roman" w:hAnsi="Times New Roman" w:cs="Times New Roman"/>
          <w:bCs/>
          <w:color w:val="000000"/>
          <w:sz w:val="22"/>
          <w:szCs w:val="22"/>
          <w:lang w:eastAsia="en-US"/>
        </w:rPr>
        <w:t>Bangladesh</w:t>
      </w:r>
      <w:r w:rsidRPr="009C54A2">
        <w:rPr>
          <w:rFonts w:ascii="Times New Roman" w:hAnsi="Times New Roman" w:cs="Times New Roman"/>
          <w:bCs/>
          <w:color w:val="000000"/>
          <w:sz w:val="22"/>
          <w:szCs w:val="22"/>
          <w:lang w:eastAsia="en-US"/>
        </w:rPr>
        <w:t xml:space="preserve"> </w:t>
      </w:r>
      <w:r w:rsidR="000E61FD">
        <w:rPr>
          <w:rFonts w:ascii="Times New Roman" w:hAnsi="Times New Roman" w:cs="Times New Roman"/>
          <w:bCs/>
          <w:color w:val="000000"/>
          <w:sz w:val="22"/>
          <w:szCs w:val="22"/>
          <w:lang w:eastAsia="en-US"/>
        </w:rPr>
        <w:t>s’est résolu à im</w:t>
      </w:r>
      <w:r w:rsidRPr="009C54A2">
        <w:rPr>
          <w:rFonts w:ascii="Times New Roman" w:hAnsi="Times New Roman" w:cs="Times New Roman"/>
          <w:bCs/>
          <w:color w:val="000000"/>
          <w:sz w:val="22"/>
          <w:szCs w:val="22"/>
          <w:lang w:eastAsia="en-US"/>
        </w:rPr>
        <w:t>port</w:t>
      </w:r>
      <w:r w:rsidR="000E61FD">
        <w:rPr>
          <w:rFonts w:ascii="Times New Roman" w:hAnsi="Times New Roman" w:cs="Times New Roman"/>
          <w:bCs/>
          <w:color w:val="000000"/>
          <w:sz w:val="22"/>
          <w:szCs w:val="22"/>
          <w:lang w:eastAsia="en-US"/>
        </w:rPr>
        <w:t>er</w:t>
      </w:r>
      <w:r w:rsidR="00364836">
        <w:rPr>
          <w:rFonts w:ascii="Times New Roman" w:hAnsi="Times New Roman" w:cs="Times New Roman"/>
          <w:bCs/>
          <w:color w:val="000000"/>
          <w:sz w:val="22"/>
          <w:szCs w:val="22"/>
          <w:lang w:eastAsia="en-US"/>
        </w:rPr>
        <w:t xml:space="preserve"> suite aux graves inondations qui ont touché le pays. </w:t>
      </w:r>
      <w:r w:rsidRPr="009C54A2">
        <w:rPr>
          <w:rFonts w:ascii="Times New Roman" w:hAnsi="Times New Roman" w:cs="Times New Roman"/>
          <w:bCs/>
          <w:color w:val="000000"/>
          <w:sz w:val="22"/>
          <w:szCs w:val="22"/>
          <w:lang w:eastAsia="en-US"/>
        </w:rPr>
        <w:t xml:space="preserve">Cette situation contribue à creuser davantage encore </w:t>
      </w:r>
      <w:r w:rsidR="00364836">
        <w:rPr>
          <w:rFonts w:ascii="Times New Roman" w:hAnsi="Times New Roman" w:cs="Times New Roman"/>
          <w:bCs/>
          <w:color w:val="000000"/>
          <w:sz w:val="22"/>
          <w:szCs w:val="22"/>
          <w:lang w:eastAsia="en-US"/>
        </w:rPr>
        <w:t xml:space="preserve">les inégalités ainsi que </w:t>
      </w:r>
      <w:r w:rsidR="00364836" w:rsidRPr="00364836">
        <w:rPr>
          <w:rFonts w:ascii="Times New Roman" w:hAnsi="Times New Roman" w:cs="Times New Roman"/>
          <w:b/>
          <w:bCs/>
          <w:color w:val="000000"/>
          <w:sz w:val="22"/>
          <w:szCs w:val="22"/>
          <w:lang w:eastAsia="en-US"/>
        </w:rPr>
        <w:t>l</w:t>
      </w:r>
      <w:r w:rsidR="00590720" w:rsidRPr="00364836">
        <w:rPr>
          <w:rFonts w:ascii="Times New Roman" w:hAnsi="Times New Roman" w:cs="Times New Roman"/>
          <w:b/>
          <w:bCs/>
          <w:color w:val="000000"/>
          <w:sz w:val="22"/>
          <w:szCs w:val="22"/>
          <w:lang w:eastAsia="en-US"/>
        </w:rPr>
        <w:t>e</w:t>
      </w:r>
      <w:r w:rsidR="00590720">
        <w:rPr>
          <w:rFonts w:ascii="Times New Roman" w:hAnsi="Times New Roman" w:cs="Times New Roman"/>
          <w:b/>
          <w:bCs/>
          <w:color w:val="000000"/>
          <w:sz w:val="22"/>
          <w:szCs w:val="22"/>
          <w:lang w:eastAsia="en-US"/>
        </w:rPr>
        <w:t xml:space="preserve"> déficit chronique</w:t>
      </w:r>
      <w:r w:rsidR="0004563B">
        <w:rPr>
          <w:rFonts w:ascii="Times New Roman" w:hAnsi="Times New Roman" w:cs="Times New Roman"/>
          <w:b/>
          <w:bCs/>
          <w:color w:val="000000"/>
          <w:sz w:val="22"/>
          <w:szCs w:val="22"/>
          <w:lang w:eastAsia="en-US"/>
        </w:rPr>
        <w:t xml:space="preserve"> de l</w:t>
      </w:r>
      <w:r w:rsidR="001E5599" w:rsidRPr="000E61FD">
        <w:rPr>
          <w:rFonts w:ascii="Times New Roman" w:hAnsi="Times New Roman" w:cs="Times New Roman"/>
          <w:b/>
          <w:bCs/>
          <w:color w:val="000000"/>
          <w:sz w:val="22"/>
          <w:szCs w:val="22"/>
          <w:lang w:eastAsia="en-US"/>
        </w:rPr>
        <w:t>a balance commerciale</w:t>
      </w:r>
      <w:r w:rsidR="00590720">
        <w:rPr>
          <w:rFonts w:ascii="Times New Roman" w:hAnsi="Times New Roman" w:cs="Times New Roman"/>
          <w:b/>
          <w:bCs/>
          <w:color w:val="000000"/>
          <w:sz w:val="22"/>
          <w:szCs w:val="22"/>
          <w:lang w:eastAsia="en-US"/>
        </w:rPr>
        <w:t xml:space="preserve"> ; </w:t>
      </w:r>
    </w:p>
    <w:p w:rsidR="00975099" w:rsidRPr="009C54A2" w:rsidRDefault="00975099" w:rsidP="00975099">
      <w:pPr>
        <w:pStyle w:val="Paragraphedeliste"/>
        <w:ind w:left="1211"/>
        <w:jc w:val="both"/>
        <w:rPr>
          <w:rFonts w:ascii="Times New Roman" w:hAnsi="Times New Roman" w:cs="Times New Roman"/>
          <w:bCs/>
          <w:color w:val="000000"/>
          <w:sz w:val="22"/>
          <w:szCs w:val="22"/>
          <w:lang w:eastAsia="en-US"/>
        </w:rPr>
      </w:pPr>
    </w:p>
    <w:p w:rsidR="00975099" w:rsidRDefault="00975099" w:rsidP="00975099">
      <w:pPr>
        <w:pStyle w:val="Paragraphedeliste"/>
        <w:numPr>
          <w:ilvl w:val="0"/>
          <w:numId w:val="21"/>
        </w:numPr>
        <w:jc w:val="both"/>
        <w:rPr>
          <w:rFonts w:ascii="Times New Roman" w:hAnsi="Times New Roman" w:cs="Times New Roman"/>
          <w:sz w:val="22"/>
          <w:szCs w:val="22"/>
        </w:rPr>
      </w:pPr>
      <w:r w:rsidRPr="009C54A2">
        <w:rPr>
          <w:rFonts w:ascii="Times New Roman" w:hAnsi="Times New Roman" w:cs="Times New Roman"/>
          <w:sz w:val="22"/>
          <w:szCs w:val="22"/>
        </w:rPr>
        <w:t>Après de nombreuses années de croissance à deux chiffres</w:t>
      </w:r>
      <w:r w:rsidRPr="000E61FD">
        <w:rPr>
          <w:rFonts w:ascii="Times New Roman" w:hAnsi="Times New Roman" w:cs="Times New Roman"/>
          <w:b/>
          <w:sz w:val="22"/>
          <w:szCs w:val="22"/>
        </w:rPr>
        <w:t>, la stagnation des exportations de PAP</w:t>
      </w:r>
      <w:r w:rsidRPr="009C54A2">
        <w:rPr>
          <w:rFonts w:ascii="Times New Roman" w:hAnsi="Times New Roman" w:cs="Times New Roman"/>
          <w:sz w:val="22"/>
          <w:szCs w:val="22"/>
        </w:rPr>
        <w:t xml:space="preserve"> (juillet 2016</w:t>
      </w:r>
      <w:r w:rsidR="00EC7F0B">
        <w:rPr>
          <w:rFonts w:ascii="Times New Roman" w:hAnsi="Times New Roman" w:cs="Times New Roman"/>
          <w:sz w:val="22"/>
          <w:szCs w:val="22"/>
        </w:rPr>
        <w:t xml:space="preserve"> </w:t>
      </w:r>
      <w:r w:rsidRPr="009C54A2">
        <w:rPr>
          <w:rFonts w:ascii="Times New Roman" w:hAnsi="Times New Roman" w:cs="Times New Roman"/>
          <w:sz w:val="22"/>
          <w:szCs w:val="22"/>
        </w:rPr>
        <w:t xml:space="preserve">- juin 2017) est quant à elle d’autant plus inattendue </w:t>
      </w:r>
      <w:r>
        <w:rPr>
          <w:rFonts w:ascii="Times New Roman" w:hAnsi="Times New Roman" w:cs="Times New Roman"/>
          <w:sz w:val="22"/>
          <w:szCs w:val="22"/>
        </w:rPr>
        <w:t xml:space="preserve">pour la profession </w:t>
      </w:r>
      <w:r w:rsidRPr="009C54A2">
        <w:rPr>
          <w:rFonts w:ascii="Times New Roman" w:hAnsi="Times New Roman" w:cs="Times New Roman"/>
          <w:sz w:val="22"/>
          <w:szCs w:val="22"/>
        </w:rPr>
        <w:t>que la</w:t>
      </w:r>
      <w:r>
        <w:rPr>
          <w:rFonts w:ascii="Times New Roman" w:hAnsi="Times New Roman" w:cs="Times New Roman"/>
          <w:sz w:val="22"/>
          <w:szCs w:val="22"/>
        </w:rPr>
        <w:t xml:space="preserve"> dépréciation </w:t>
      </w:r>
      <w:r w:rsidR="000E61FD">
        <w:rPr>
          <w:rFonts w:ascii="Times New Roman" w:hAnsi="Times New Roman" w:cs="Times New Roman"/>
          <w:sz w:val="22"/>
          <w:szCs w:val="22"/>
        </w:rPr>
        <w:t xml:space="preserve">(6%) </w:t>
      </w:r>
      <w:r>
        <w:rPr>
          <w:rFonts w:ascii="Times New Roman" w:hAnsi="Times New Roman" w:cs="Times New Roman"/>
          <w:sz w:val="22"/>
          <w:szCs w:val="22"/>
        </w:rPr>
        <w:t xml:space="preserve">du Taka vis-à-vis de l’Euro a renforcé la compétitivité du « Made in Bangladesh ». </w:t>
      </w:r>
      <w:r w:rsidRPr="009C54A2">
        <w:rPr>
          <w:rFonts w:ascii="Times New Roman" w:hAnsi="Times New Roman" w:cs="Times New Roman"/>
          <w:sz w:val="22"/>
          <w:szCs w:val="22"/>
        </w:rPr>
        <w:t>Pour mémoire, l’UE absorbe plus de 50% des ex</w:t>
      </w:r>
      <w:r w:rsidR="001E5599">
        <w:rPr>
          <w:rFonts w:ascii="Times New Roman" w:hAnsi="Times New Roman" w:cs="Times New Roman"/>
          <w:sz w:val="22"/>
          <w:szCs w:val="22"/>
        </w:rPr>
        <w:t>portations bangladaises de PAP</w:t>
      </w:r>
      <w:r w:rsidR="0004563B">
        <w:rPr>
          <w:rFonts w:ascii="Times New Roman" w:hAnsi="Times New Roman" w:cs="Times New Roman"/>
          <w:sz w:val="22"/>
          <w:szCs w:val="22"/>
        </w:rPr>
        <w:t>.</w:t>
      </w:r>
    </w:p>
    <w:p w:rsidR="00597394" w:rsidRDefault="00597394" w:rsidP="00C32652">
      <w:pPr>
        <w:jc w:val="both"/>
        <w:rPr>
          <w:rFonts w:ascii="Times New Roman" w:hAnsi="Times New Roman" w:cs="Times New Roman"/>
          <w:sz w:val="22"/>
          <w:szCs w:val="22"/>
        </w:rPr>
      </w:pPr>
    </w:p>
    <w:p w:rsidR="00597394" w:rsidRPr="00597394" w:rsidRDefault="00E35A3E" w:rsidP="00597394">
      <w:pPr>
        <w:jc w:val="both"/>
        <w:rPr>
          <w:rFonts w:ascii="Times New Roman" w:hAnsi="Times New Roman" w:cs="Times New Roman"/>
          <w:sz w:val="22"/>
          <w:szCs w:val="22"/>
        </w:rPr>
      </w:pPr>
      <w:r>
        <w:rPr>
          <w:rFonts w:ascii="Times New Roman" w:hAnsi="Times New Roman" w:cs="Times New Roman"/>
          <w:sz w:val="22"/>
          <w:szCs w:val="22"/>
        </w:rPr>
        <w:t>En termes de fondamentaux, l</w:t>
      </w:r>
      <w:r w:rsidR="00597394" w:rsidRPr="00597394">
        <w:rPr>
          <w:rFonts w:ascii="Times New Roman" w:hAnsi="Times New Roman" w:cs="Times New Roman"/>
          <w:sz w:val="22"/>
          <w:szCs w:val="22"/>
        </w:rPr>
        <w:t xml:space="preserve">a tendance entrevue en 2016-2017 se confirme lors des deux premiers mois de l’année 2017-2018. </w:t>
      </w:r>
      <w:r w:rsidR="00597394" w:rsidRPr="00597394">
        <w:rPr>
          <w:rFonts w:ascii="Times New Roman" w:hAnsi="Times New Roman" w:cs="Times New Roman"/>
          <w:b/>
          <w:sz w:val="22"/>
          <w:szCs w:val="22"/>
        </w:rPr>
        <w:t>Le déficit du compte courant</w:t>
      </w:r>
      <w:r w:rsidR="00597394" w:rsidRPr="00597394">
        <w:rPr>
          <w:rFonts w:ascii="Times New Roman" w:hAnsi="Times New Roman" w:cs="Times New Roman"/>
          <w:sz w:val="22"/>
          <w:szCs w:val="22"/>
        </w:rPr>
        <w:t xml:space="preserve"> se creuse en effet (- 451 M US$) et  </w:t>
      </w:r>
      <w:r w:rsidR="00597394" w:rsidRPr="0004563B">
        <w:rPr>
          <w:rFonts w:ascii="Times New Roman" w:hAnsi="Times New Roman" w:cs="Times New Roman"/>
          <w:b/>
          <w:sz w:val="22"/>
          <w:szCs w:val="22"/>
        </w:rPr>
        <w:t>la variation nette des réserves de change (hors-dépréciations)</w:t>
      </w:r>
      <w:r w:rsidR="00597394" w:rsidRPr="00597394">
        <w:rPr>
          <w:rFonts w:ascii="Times New Roman" w:hAnsi="Times New Roman" w:cs="Times New Roman"/>
          <w:sz w:val="22"/>
          <w:szCs w:val="22"/>
        </w:rPr>
        <w:t xml:space="preserve"> bascule en territoire négatif (- 206 M US$). Ces deux indicateurs étaient largement excédentaires en juillet-août 2016, respectivement 1,1 Md US$ et 812 M US$. Equivalentes à 9 mois d’importation, les réserves de change sont par contre satisfaisantes.</w:t>
      </w:r>
    </w:p>
    <w:p w:rsidR="00597394" w:rsidRPr="00070B61" w:rsidRDefault="00597394" w:rsidP="00070B61">
      <w:pPr>
        <w:jc w:val="both"/>
        <w:rPr>
          <w:rFonts w:ascii="Times New Roman" w:hAnsi="Times New Roman" w:cs="Times New Roman"/>
          <w:sz w:val="22"/>
          <w:szCs w:val="22"/>
        </w:rPr>
      </w:pPr>
    </w:p>
    <w:p w:rsidR="00975099" w:rsidRDefault="00E35A3E" w:rsidP="00975099">
      <w:pPr>
        <w:jc w:val="both"/>
        <w:rPr>
          <w:rFonts w:ascii="Times New Roman" w:hAnsi="Times New Roman" w:cs="Times New Roman"/>
          <w:sz w:val="22"/>
          <w:szCs w:val="22"/>
        </w:rPr>
      </w:pPr>
      <w:r w:rsidRPr="00E35A3E">
        <w:rPr>
          <w:rFonts w:ascii="Times New Roman" w:hAnsi="Times New Roman" w:cs="Times New Roman"/>
          <w:sz w:val="22"/>
          <w:szCs w:val="22"/>
        </w:rPr>
        <w:t>Enfin, l’impact de</w:t>
      </w:r>
      <w:r>
        <w:rPr>
          <w:rFonts w:ascii="Times New Roman" w:hAnsi="Times New Roman" w:cs="Times New Roman"/>
          <w:b/>
          <w:sz w:val="22"/>
          <w:szCs w:val="22"/>
        </w:rPr>
        <w:t xml:space="preserve"> la </w:t>
      </w:r>
      <w:r w:rsidR="00975099" w:rsidRPr="009C54A2">
        <w:rPr>
          <w:rFonts w:ascii="Times New Roman" w:hAnsi="Times New Roman" w:cs="Times New Roman"/>
          <w:b/>
          <w:sz w:val="22"/>
          <w:szCs w:val="22"/>
        </w:rPr>
        <w:t xml:space="preserve">crise des </w:t>
      </w:r>
      <w:proofErr w:type="spellStart"/>
      <w:r w:rsidR="00975099" w:rsidRPr="009C54A2">
        <w:rPr>
          <w:rFonts w:ascii="Times New Roman" w:hAnsi="Times New Roman" w:cs="Times New Roman"/>
          <w:b/>
          <w:sz w:val="22"/>
          <w:szCs w:val="22"/>
        </w:rPr>
        <w:t>Rohingyas</w:t>
      </w:r>
      <w:proofErr w:type="spellEnd"/>
      <w:r w:rsidR="004B5C22">
        <w:rPr>
          <w:rFonts w:ascii="Times New Roman" w:hAnsi="Times New Roman" w:cs="Times New Roman"/>
          <w:sz w:val="22"/>
          <w:szCs w:val="22"/>
        </w:rPr>
        <w:t xml:space="preserve"> </w:t>
      </w:r>
      <w:r>
        <w:rPr>
          <w:rFonts w:ascii="Times New Roman" w:hAnsi="Times New Roman" w:cs="Times New Roman"/>
          <w:sz w:val="22"/>
          <w:szCs w:val="22"/>
        </w:rPr>
        <w:t xml:space="preserve">sur l’économie du pays ne peut être chiffré avec précision à ce stade. Il </w:t>
      </w:r>
      <w:r w:rsidR="00C72891">
        <w:rPr>
          <w:rFonts w:ascii="Times New Roman" w:hAnsi="Times New Roman" w:cs="Times New Roman"/>
          <w:sz w:val="22"/>
          <w:szCs w:val="22"/>
        </w:rPr>
        <w:t xml:space="preserve">sera probablement </w:t>
      </w:r>
      <w:r>
        <w:rPr>
          <w:rFonts w:ascii="Times New Roman" w:hAnsi="Times New Roman" w:cs="Times New Roman"/>
          <w:sz w:val="22"/>
          <w:szCs w:val="22"/>
        </w:rPr>
        <w:t xml:space="preserve">significatif. </w:t>
      </w:r>
    </w:p>
    <w:p w:rsidR="00CF4B6B" w:rsidRDefault="00CF4B6B" w:rsidP="00CB4ECF">
      <w:pPr>
        <w:jc w:val="both"/>
        <w:rPr>
          <w:rFonts w:ascii="Times New Roman" w:hAnsi="Times New Roman" w:cs="Times New Roman"/>
          <w:sz w:val="24"/>
        </w:rPr>
      </w:pPr>
    </w:p>
    <w:p w:rsidR="00444B7A" w:rsidRPr="00444B7A" w:rsidRDefault="00804970" w:rsidP="00444B7A">
      <w:pPr>
        <w:pStyle w:val="Paragraphedeliste"/>
        <w:numPr>
          <w:ilvl w:val="1"/>
          <w:numId w:val="22"/>
        </w:numPr>
        <w:jc w:val="both"/>
        <w:rPr>
          <w:rFonts w:ascii="Times New Roman" w:hAnsi="Times New Roman" w:cs="Times New Roman"/>
          <w:smallCaps/>
          <w:sz w:val="22"/>
          <w:u w:val="single"/>
        </w:rPr>
      </w:pPr>
      <w:r w:rsidRPr="00444B7A">
        <w:rPr>
          <w:rFonts w:ascii="Times New Roman" w:hAnsi="Times New Roman" w:cs="Times New Roman"/>
          <w:smallCaps/>
          <w:sz w:val="22"/>
          <w:u w:val="single"/>
        </w:rPr>
        <w:t xml:space="preserve">Les institutions internationales anticipent un taux de croissance compris entre 6,4 et 7%, pour 2017-2018. </w:t>
      </w:r>
    </w:p>
    <w:p w:rsidR="00444B7A" w:rsidRDefault="00444B7A" w:rsidP="00444B7A">
      <w:pPr>
        <w:jc w:val="both"/>
        <w:rPr>
          <w:rFonts w:ascii="Times New Roman" w:hAnsi="Times New Roman" w:cs="Times New Roman"/>
          <w:smallCaps/>
          <w:sz w:val="22"/>
          <w:u w:val="single"/>
        </w:rPr>
      </w:pPr>
    </w:p>
    <w:p w:rsidR="00992FE3" w:rsidRDefault="00976AAA" w:rsidP="00A66669">
      <w:pPr>
        <w:jc w:val="both"/>
        <w:rPr>
          <w:rFonts w:ascii="Times New Roman" w:hAnsi="Times New Roman" w:cs="Times New Roman"/>
          <w:sz w:val="22"/>
          <w:szCs w:val="22"/>
        </w:rPr>
      </w:pPr>
      <w:r>
        <w:rPr>
          <w:rFonts w:ascii="Times New Roman" w:hAnsi="Times New Roman" w:cs="Times New Roman"/>
          <w:sz w:val="22"/>
          <w:szCs w:val="22"/>
        </w:rPr>
        <w:t xml:space="preserve">Bien que sensiblement inférieure à celle de l’Inde, la croissance économique du Bangladesh n’en </w:t>
      </w:r>
      <w:r w:rsidR="00165CED">
        <w:rPr>
          <w:rFonts w:ascii="Times New Roman" w:hAnsi="Times New Roman" w:cs="Times New Roman"/>
          <w:sz w:val="22"/>
          <w:szCs w:val="22"/>
        </w:rPr>
        <w:t xml:space="preserve">a pas moins été </w:t>
      </w:r>
      <w:r>
        <w:rPr>
          <w:rFonts w:ascii="Times New Roman" w:hAnsi="Times New Roman" w:cs="Times New Roman"/>
          <w:sz w:val="22"/>
          <w:szCs w:val="22"/>
        </w:rPr>
        <w:t>remarquable au cours des dix dernières années, ne serait-ce qu</w:t>
      </w:r>
      <w:r w:rsidR="00DE6167">
        <w:rPr>
          <w:rFonts w:ascii="Times New Roman" w:hAnsi="Times New Roman" w:cs="Times New Roman"/>
          <w:sz w:val="22"/>
          <w:szCs w:val="22"/>
        </w:rPr>
        <w:t xml:space="preserve">’en raison des </w:t>
      </w:r>
      <w:r>
        <w:rPr>
          <w:rFonts w:ascii="Times New Roman" w:hAnsi="Times New Roman" w:cs="Times New Roman"/>
          <w:sz w:val="22"/>
          <w:szCs w:val="22"/>
        </w:rPr>
        <w:t>nombreuses et récurrentes catastrophes</w:t>
      </w:r>
      <w:r w:rsidR="00F73156">
        <w:rPr>
          <w:rFonts w:ascii="Times New Roman" w:hAnsi="Times New Roman" w:cs="Times New Roman"/>
          <w:sz w:val="22"/>
          <w:szCs w:val="22"/>
        </w:rPr>
        <w:t>,</w:t>
      </w:r>
      <w:r>
        <w:rPr>
          <w:rFonts w:ascii="Times New Roman" w:hAnsi="Times New Roman" w:cs="Times New Roman"/>
          <w:sz w:val="22"/>
          <w:szCs w:val="22"/>
        </w:rPr>
        <w:t xml:space="preserve"> naturelles</w:t>
      </w:r>
      <w:r w:rsidR="00832A98">
        <w:rPr>
          <w:rFonts w:ascii="Times New Roman" w:hAnsi="Times New Roman" w:cs="Times New Roman"/>
          <w:sz w:val="22"/>
          <w:szCs w:val="22"/>
        </w:rPr>
        <w:t xml:space="preserve"> ou non, auxquelles le pays</w:t>
      </w:r>
      <w:r w:rsidR="00F73156">
        <w:rPr>
          <w:rFonts w:ascii="Times New Roman" w:hAnsi="Times New Roman" w:cs="Times New Roman"/>
          <w:sz w:val="22"/>
          <w:szCs w:val="22"/>
        </w:rPr>
        <w:t xml:space="preserve"> est confronté</w:t>
      </w:r>
      <w:r w:rsidR="00165CED">
        <w:rPr>
          <w:rFonts w:ascii="Times New Roman" w:hAnsi="Times New Roman" w:cs="Times New Roman"/>
          <w:sz w:val="22"/>
          <w:szCs w:val="22"/>
        </w:rPr>
        <w:t xml:space="preserve">. </w:t>
      </w:r>
    </w:p>
    <w:p w:rsidR="00992FE3" w:rsidRDefault="00992FE3" w:rsidP="00A66669">
      <w:pPr>
        <w:jc w:val="both"/>
        <w:rPr>
          <w:rFonts w:ascii="Times New Roman" w:hAnsi="Times New Roman" w:cs="Times New Roman"/>
          <w:sz w:val="22"/>
          <w:szCs w:val="22"/>
        </w:rPr>
      </w:pPr>
    </w:p>
    <w:p w:rsidR="0005527A" w:rsidRDefault="00444B7A" w:rsidP="0005527A">
      <w:pPr>
        <w:jc w:val="both"/>
        <w:rPr>
          <w:rFonts w:ascii="Times New Roman" w:hAnsi="Times New Roman" w:cs="Times New Roman"/>
          <w:sz w:val="22"/>
          <w:szCs w:val="22"/>
        </w:rPr>
      </w:pPr>
      <w:r w:rsidRPr="00C060CA">
        <w:rPr>
          <w:rFonts w:ascii="Times New Roman" w:hAnsi="Times New Roman" w:cs="Times New Roman"/>
          <w:sz w:val="22"/>
          <w:szCs w:val="22"/>
        </w:rPr>
        <w:t>En augmentation de 3,3 % d’une année à l’</w:t>
      </w:r>
      <w:r w:rsidR="00F161C2">
        <w:rPr>
          <w:rFonts w:ascii="Times New Roman" w:hAnsi="Times New Roman" w:cs="Times New Roman"/>
          <w:sz w:val="22"/>
          <w:szCs w:val="22"/>
        </w:rPr>
        <w:t>autre le secteur tertiaire</w:t>
      </w:r>
      <w:r w:rsidRPr="00C060CA">
        <w:rPr>
          <w:rFonts w:ascii="Times New Roman" w:hAnsi="Times New Roman" w:cs="Times New Roman"/>
          <w:sz w:val="22"/>
          <w:szCs w:val="22"/>
        </w:rPr>
        <w:t xml:space="preserve"> est le principal contributeur à la croissance. Il est suivi d</w:t>
      </w:r>
      <w:r w:rsidR="00C060CA" w:rsidRPr="00C060CA">
        <w:rPr>
          <w:rFonts w:ascii="Times New Roman" w:hAnsi="Times New Roman" w:cs="Times New Roman"/>
          <w:sz w:val="22"/>
          <w:szCs w:val="22"/>
        </w:rPr>
        <w:t xml:space="preserve">u secteur </w:t>
      </w:r>
      <w:r w:rsidR="00F161C2">
        <w:rPr>
          <w:rFonts w:ascii="Times New Roman" w:hAnsi="Times New Roman" w:cs="Times New Roman"/>
          <w:sz w:val="22"/>
          <w:szCs w:val="22"/>
        </w:rPr>
        <w:t xml:space="preserve">secondaire </w:t>
      </w:r>
      <w:r w:rsidR="00C060CA" w:rsidRPr="00C060CA">
        <w:rPr>
          <w:rFonts w:ascii="Times New Roman" w:hAnsi="Times New Roman" w:cs="Times New Roman"/>
          <w:sz w:val="22"/>
          <w:szCs w:val="22"/>
        </w:rPr>
        <w:t>(3,2%) et d</w:t>
      </w:r>
      <w:r w:rsidR="00D91CAB">
        <w:rPr>
          <w:rFonts w:ascii="Times New Roman" w:hAnsi="Times New Roman" w:cs="Times New Roman"/>
          <w:sz w:val="22"/>
          <w:szCs w:val="22"/>
        </w:rPr>
        <w:t>u secteur primaire</w:t>
      </w:r>
      <w:r w:rsidR="00C060CA" w:rsidRPr="00C060CA">
        <w:rPr>
          <w:rFonts w:ascii="Times New Roman" w:hAnsi="Times New Roman" w:cs="Times New Roman"/>
          <w:sz w:val="22"/>
          <w:szCs w:val="22"/>
        </w:rPr>
        <w:t xml:space="preserve"> (0,5%). L</w:t>
      </w:r>
      <w:r w:rsidR="003238D7">
        <w:rPr>
          <w:rFonts w:ascii="Times New Roman" w:hAnsi="Times New Roman" w:cs="Times New Roman"/>
          <w:sz w:val="22"/>
          <w:szCs w:val="22"/>
        </w:rPr>
        <w:t xml:space="preserve">a part de </w:t>
      </w:r>
      <w:r w:rsidR="00C060CA">
        <w:rPr>
          <w:rFonts w:ascii="Times New Roman" w:hAnsi="Times New Roman" w:cs="Times New Roman"/>
          <w:sz w:val="22"/>
          <w:szCs w:val="22"/>
        </w:rPr>
        <w:t>l’</w:t>
      </w:r>
      <w:r w:rsidR="003238D7">
        <w:rPr>
          <w:rFonts w:ascii="Times New Roman" w:hAnsi="Times New Roman" w:cs="Times New Roman"/>
          <w:sz w:val="22"/>
          <w:szCs w:val="22"/>
        </w:rPr>
        <w:t>i</w:t>
      </w:r>
      <w:r w:rsidR="00C060CA">
        <w:rPr>
          <w:rFonts w:ascii="Times New Roman" w:hAnsi="Times New Roman" w:cs="Times New Roman"/>
          <w:sz w:val="22"/>
          <w:szCs w:val="22"/>
        </w:rPr>
        <w:t xml:space="preserve">nvestissement en termes de </w:t>
      </w:r>
      <w:r w:rsidR="005F4E12">
        <w:rPr>
          <w:rFonts w:ascii="Times New Roman" w:hAnsi="Times New Roman" w:cs="Times New Roman"/>
          <w:sz w:val="22"/>
          <w:szCs w:val="22"/>
        </w:rPr>
        <w:t>contribution à</w:t>
      </w:r>
      <w:r w:rsidR="00C060CA">
        <w:rPr>
          <w:rFonts w:ascii="Times New Roman" w:hAnsi="Times New Roman" w:cs="Times New Roman"/>
          <w:sz w:val="22"/>
          <w:szCs w:val="22"/>
        </w:rPr>
        <w:t xml:space="preserve"> la croissance est </w:t>
      </w:r>
      <w:r w:rsidR="00F161C2">
        <w:rPr>
          <w:rFonts w:ascii="Times New Roman" w:hAnsi="Times New Roman" w:cs="Times New Roman"/>
          <w:sz w:val="22"/>
          <w:szCs w:val="22"/>
        </w:rPr>
        <w:t xml:space="preserve">quant à elle </w:t>
      </w:r>
      <w:r w:rsidR="00C060CA">
        <w:rPr>
          <w:rFonts w:ascii="Times New Roman" w:hAnsi="Times New Roman" w:cs="Times New Roman"/>
          <w:sz w:val="22"/>
          <w:szCs w:val="22"/>
        </w:rPr>
        <w:t>estimé</w:t>
      </w:r>
      <w:r w:rsidR="004E6796">
        <w:rPr>
          <w:rFonts w:ascii="Times New Roman" w:hAnsi="Times New Roman" w:cs="Times New Roman"/>
          <w:sz w:val="22"/>
          <w:szCs w:val="22"/>
        </w:rPr>
        <w:t>e</w:t>
      </w:r>
      <w:r w:rsidR="00C060CA">
        <w:rPr>
          <w:rFonts w:ascii="Times New Roman" w:hAnsi="Times New Roman" w:cs="Times New Roman"/>
          <w:sz w:val="22"/>
          <w:szCs w:val="22"/>
        </w:rPr>
        <w:t xml:space="preserve"> à 30,3%, l</w:t>
      </w:r>
      <w:r w:rsidR="003238D7">
        <w:rPr>
          <w:rFonts w:ascii="Times New Roman" w:hAnsi="Times New Roman" w:cs="Times New Roman"/>
          <w:sz w:val="22"/>
          <w:szCs w:val="22"/>
        </w:rPr>
        <w:t xml:space="preserve">’investissement privé </w:t>
      </w:r>
      <w:r w:rsidR="00C060CA">
        <w:rPr>
          <w:rFonts w:ascii="Times New Roman" w:hAnsi="Times New Roman" w:cs="Times New Roman"/>
          <w:sz w:val="22"/>
          <w:szCs w:val="22"/>
        </w:rPr>
        <w:t xml:space="preserve">comptant pour 23% et </w:t>
      </w:r>
      <w:r w:rsidR="003238D7">
        <w:rPr>
          <w:rFonts w:ascii="Times New Roman" w:hAnsi="Times New Roman" w:cs="Times New Roman"/>
          <w:sz w:val="22"/>
          <w:szCs w:val="22"/>
        </w:rPr>
        <w:t xml:space="preserve">celui du </w:t>
      </w:r>
      <w:r w:rsidR="00C060CA">
        <w:rPr>
          <w:rFonts w:ascii="Times New Roman" w:hAnsi="Times New Roman" w:cs="Times New Roman"/>
          <w:sz w:val="22"/>
          <w:szCs w:val="22"/>
        </w:rPr>
        <w:t>secte</w:t>
      </w:r>
      <w:r w:rsidR="005F4E12">
        <w:rPr>
          <w:rFonts w:ascii="Times New Roman" w:hAnsi="Times New Roman" w:cs="Times New Roman"/>
          <w:sz w:val="22"/>
          <w:szCs w:val="22"/>
        </w:rPr>
        <w:t>ur public pour 7,3%.</w:t>
      </w:r>
    </w:p>
    <w:p w:rsidR="002D4E6C" w:rsidRDefault="002D4E6C" w:rsidP="00A66669">
      <w:pPr>
        <w:jc w:val="both"/>
        <w:rPr>
          <w:rFonts w:ascii="Times New Roman" w:hAnsi="Times New Roman" w:cs="Times New Roman"/>
          <w:sz w:val="22"/>
          <w:szCs w:val="22"/>
        </w:rPr>
      </w:pPr>
    </w:p>
    <w:p w:rsidR="007C04AD" w:rsidRDefault="006F11DD" w:rsidP="00115F0B">
      <w:pPr>
        <w:jc w:val="both"/>
        <w:rPr>
          <w:rFonts w:ascii="Times New Roman" w:hAnsi="Times New Roman" w:cs="Times New Roman"/>
          <w:sz w:val="23"/>
          <w:szCs w:val="23"/>
        </w:rPr>
      </w:pPr>
      <w:r>
        <w:rPr>
          <w:rFonts w:ascii="Times New Roman" w:hAnsi="Times New Roman" w:cs="Times New Roman"/>
          <w:sz w:val="23"/>
          <w:szCs w:val="23"/>
        </w:rPr>
        <w:t>Au-delà des enjeux liés à sa c</w:t>
      </w:r>
      <w:r w:rsidR="00115F0B">
        <w:rPr>
          <w:rFonts w:ascii="Times New Roman" w:hAnsi="Times New Roman" w:cs="Times New Roman"/>
          <w:sz w:val="23"/>
          <w:szCs w:val="23"/>
        </w:rPr>
        <w:t xml:space="preserve">apacité à </w:t>
      </w:r>
      <w:r w:rsidR="00877528">
        <w:rPr>
          <w:rFonts w:ascii="Times New Roman" w:hAnsi="Times New Roman" w:cs="Times New Roman"/>
          <w:sz w:val="23"/>
          <w:szCs w:val="23"/>
        </w:rPr>
        <w:t xml:space="preserve">accroître le taux de décaissement des </w:t>
      </w:r>
      <w:r>
        <w:rPr>
          <w:rFonts w:ascii="Times New Roman" w:hAnsi="Times New Roman" w:cs="Times New Roman"/>
          <w:sz w:val="23"/>
          <w:szCs w:val="23"/>
        </w:rPr>
        <w:t xml:space="preserve">financements </w:t>
      </w:r>
      <w:r w:rsidR="003238D7">
        <w:rPr>
          <w:rFonts w:ascii="Times New Roman" w:hAnsi="Times New Roman" w:cs="Times New Roman"/>
          <w:sz w:val="23"/>
          <w:szCs w:val="23"/>
        </w:rPr>
        <w:t xml:space="preserve">internationaux </w:t>
      </w:r>
      <w:r w:rsidR="00877528">
        <w:rPr>
          <w:rFonts w:ascii="Times New Roman" w:hAnsi="Times New Roman" w:cs="Times New Roman"/>
          <w:sz w:val="23"/>
          <w:szCs w:val="23"/>
        </w:rPr>
        <w:t>mis à sa disposition</w:t>
      </w:r>
      <w:r w:rsidR="009402FB">
        <w:rPr>
          <w:rFonts w:ascii="Times New Roman" w:hAnsi="Times New Roman" w:cs="Times New Roman"/>
          <w:sz w:val="23"/>
          <w:szCs w:val="23"/>
        </w:rPr>
        <w:t xml:space="preserve"> pour moderniser les infrastructures</w:t>
      </w:r>
      <w:r>
        <w:rPr>
          <w:rFonts w:ascii="Times New Roman" w:hAnsi="Times New Roman" w:cs="Times New Roman"/>
          <w:sz w:val="23"/>
          <w:szCs w:val="23"/>
        </w:rPr>
        <w:t xml:space="preserve">, le Bangladesh se doit de diversifier </w:t>
      </w:r>
      <w:r w:rsidR="00DB704E">
        <w:rPr>
          <w:rFonts w:ascii="Times New Roman" w:hAnsi="Times New Roman" w:cs="Times New Roman"/>
          <w:sz w:val="23"/>
          <w:szCs w:val="23"/>
        </w:rPr>
        <w:t xml:space="preserve">et de moderniser </w:t>
      </w:r>
      <w:r>
        <w:rPr>
          <w:rFonts w:ascii="Times New Roman" w:hAnsi="Times New Roman" w:cs="Times New Roman"/>
          <w:sz w:val="23"/>
          <w:szCs w:val="23"/>
        </w:rPr>
        <w:t>son outil de production</w:t>
      </w:r>
      <w:r w:rsidR="00804970">
        <w:rPr>
          <w:rFonts w:ascii="Times New Roman" w:hAnsi="Times New Roman" w:cs="Times New Roman"/>
          <w:sz w:val="23"/>
          <w:szCs w:val="23"/>
        </w:rPr>
        <w:t xml:space="preserve"> </w:t>
      </w:r>
      <w:r>
        <w:rPr>
          <w:rFonts w:ascii="Times New Roman" w:hAnsi="Times New Roman" w:cs="Times New Roman"/>
          <w:sz w:val="23"/>
          <w:szCs w:val="23"/>
        </w:rPr>
        <w:t>qu</w:t>
      </w:r>
      <w:r w:rsidR="0005527A">
        <w:rPr>
          <w:rFonts w:ascii="Times New Roman" w:hAnsi="Times New Roman" w:cs="Times New Roman"/>
          <w:sz w:val="23"/>
          <w:szCs w:val="23"/>
        </w:rPr>
        <w:t xml:space="preserve">i repose </w:t>
      </w:r>
      <w:r w:rsidR="00877528">
        <w:rPr>
          <w:rFonts w:ascii="Times New Roman" w:hAnsi="Times New Roman" w:cs="Times New Roman"/>
          <w:sz w:val="23"/>
          <w:szCs w:val="23"/>
        </w:rPr>
        <w:t xml:space="preserve">très </w:t>
      </w:r>
      <w:r w:rsidR="00804970">
        <w:rPr>
          <w:rFonts w:ascii="Times New Roman" w:hAnsi="Times New Roman" w:cs="Times New Roman"/>
          <w:sz w:val="23"/>
          <w:szCs w:val="23"/>
        </w:rPr>
        <w:t xml:space="preserve">majoritairement </w:t>
      </w:r>
      <w:r>
        <w:rPr>
          <w:rFonts w:ascii="Times New Roman" w:hAnsi="Times New Roman" w:cs="Times New Roman"/>
          <w:sz w:val="23"/>
          <w:szCs w:val="23"/>
        </w:rPr>
        <w:t>sur la filière textile</w:t>
      </w:r>
      <w:r w:rsidR="00804970">
        <w:rPr>
          <w:rFonts w:ascii="Times New Roman" w:hAnsi="Times New Roman" w:cs="Times New Roman"/>
          <w:sz w:val="23"/>
          <w:szCs w:val="23"/>
        </w:rPr>
        <w:t xml:space="preserve">. </w:t>
      </w:r>
    </w:p>
    <w:p w:rsidR="007C04AD" w:rsidRDefault="007C04AD" w:rsidP="00115F0B">
      <w:pPr>
        <w:jc w:val="both"/>
        <w:rPr>
          <w:rFonts w:ascii="Times New Roman" w:hAnsi="Times New Roman" w:cs="Times New Roman"/>
          <w:sz w:val="23"/>
          <w:szCs w:val="23"/>
        </w:rPr>
      </w:pPr>
    </w:p>
    <w:p w:rsidR="00DB0414" w:rsidRDefault="00DB704E" w:rsidP="00115F0B">
      <w:pPr>
        <w:jc w:val="both"/>
        <w:rPr>
          <w:rFonts w:ascii="Times New Roman" w:hAnsi="Times New Roman" w:cs="Times New Roman"/>
          <w:sz w:val="23"/>
          <w:szCs w:val="23"/>
        </w:rPr>
      </w:pPr>
      <w:r>
        <w:rPr>
          <w:rFonts w:ascii="Times New Roman" w:hAnsi="Times New Roman" w:cs="Times New Roman"/>
          <w:sz w:val="23"/>
          <w:szCs w:val="23"/>
        </w:rPr>
        <w:t xml:space="preserve">Si les « National </w:t>
      </w:r>
      <w:proofErr w:type="spellStart"/>
      <w:r>
        <w:rPr>
          <w:rFonts w:ascii="Times New Roman" w:hAnsi="Times New Roman" w:cs="Times New Roman"/>
          <w:sz w:val="23"/>
          <w:szCs w:val="23"/>
        </w:rPr>
        <w:t>Savings</w:t>
      </w:r>
      <w:proofErr w:type="spellEnd"/>
      <w:r>
        <w:rPr>
          <w:rFonts w:ascii="Times New Roman" w:hAnsi="Times New Roman" w:cs="Times New Roman"/>
          <w:sz w:val="23"/>
          <w:szCs w:val="23"/>
        </w:rPr>
        <w:t xml:space="preserve"> </w:t>
      </w:r>
      <w:proofErr w:type="spellStart"/>
      <w:r w:rsidR="007C04AD">
        <w:rPr>
          <w:rFonts w:ascii="Times New Roman" w:hAnsi="Times New Roman" w:cs="Times New Roman"/>
          <w:sz w:val="23"/>
          <w:szCs w:val="23"/>
        </w:rPr>
        <w:t>Certificates</w:t>
      </w:r>
      <w:proofErr w:type="spellEnd"/>
      <w:r w:rsidR="007C04AD">
        <w:rPr>
          <w:rFonts w:ascii="Times New Roman" w:hAnsi="Times New Roman" w:cs="Times New Roman"/>
          <w:sz w:val="23"/>
          <w:szCs w:val="23"/>
        </w:rPr>
        <w:t> » lancés en 2015 pour financer la construction du Pont sur le fleuve Padma</w:t>
      </w:r>
      <w:r w:rsidR="009B4815">
        <w:rPr>
          <w:rFonts w:ascii="Times New Roman" w:hAnsi="Times New Roman" w:cs="Times New Roman"/>
          <w:sz w:val="23"/>
          <w:szCs w:val="23"/>
        </w:rPr>
        <w:t>,</w:t>
      </w:r>
      <w:r>
        <w:rPr>
          <w:rFonts w:ascii="Times New Roman" w:hAnsi="Times New Roman" w:cs="Times New Roman"/>
          <w:sz w:val="23"/>
          <w:szCs w:val="23"/>
        </w:rPr>
        <w:t xml:space="preserve"> ont parfaitement </w:t>
      </w:r>
      <w:r w:rsidR="007C04AD">
        <w:rPr>
          <w:rFonts w:ascii="Times New Roman" w:hAnsi="Times New Roman" w:cs="Times New Roman"/>
          <w:sz w:val="23"/>
          <w:szCs w:val="23"/>
        </w:rPr>
        <w:t>joué leur rôle en</w:t>
      </w:r>
      <w:r w:rsidR="00E35A3E">
        <w:rPr>
          <w:rFonts w:ascii="Times New Roman" w:hAnsi="Times New Roman" w:cs="Times New Roman"/>
          <w:sz w:val="23"/>
          <w:szCs w:val="23"/>
        </w:rPr>
        <w:t xml:space="preserve"> contribuant à la </w:t>
      </w:r>
      <w:r w:rsidR="007C04AD">
        <w:rPr>
          <w:rFonts w:ascii="Times New Roman" w:hAnsi="Times New Roman" w:cs="Times New Roman"/>
          <w:sz w:val="23"/>
          <w:szCs w:val="23"/>
        </w:rPr>
        <w:t>mobilisa</w:t>
      </w:r>
      <w:r w:rsidR="00E35A3E">
        <w:rPr>
          <w:rFonts w:ascii="Times New Roman" w:hAnsi="Times New Roman" w:cs="Times New Roman"/>
          <w:sz w:val="23"/>
          <w:szCs w:val="23"/>
        </w:rPr>
        <w:t>tion de</w:t>
      </w:r>
      <w:r w:rsidR="007C04AD">
        <w:rPr>
          <w:rFonts w:ascii="Times New Roman" w:hAnsi="Times New Roman" w:cs="Times New Roman"/>
          <w:sz w:val="23"/>
          <w:szCs w:val="23"/>
        </w:rPr>
        <w:t xml:space="preserve"> l’épargne et en stimulant la consommation intérieure avec un</w:t>
      </w:r>
      <w:r w:rsidR="009B4815">
        <w:rPr>
          <w:rFonts w:ascii="Times New Roman" w:hAnsi="Times New Roman" w:cs="Times New Roman"/>
          <w:sz w:val="23"/>
          <w:szCs w:val="23"/>
        </w:rPr>
        <w:t xml:space="preserve"> taux de rendement moyen de 1</w:t>
      </w:r>
      <w:r w:rsidR="00E35A3E">
        <w:rPr>
          <w:rFonts w:ascii="Times New Roman" w:hAnsi="Times New Roman" w:cs="Times New Roman"/>
          <w:sz w:val="23"/>
          <w:szCs w:val="23"/>
        </w:rPr>
        <w:t>3</w:t>
      </w:r>
      <w:r w:rsidR="009B4815">
        <w:rPr>
          <w:rFonts w:ascii="Times New Roman" w:hAnsi="Times New Roman" w:cs="Times New Roman"/>
          <w:sz w:val="23"/>
          <w:szCs w:val="23"/>
        </w:rPr>
        <w:t>%, force est de constater que cette mesure ne concerne qu’une minorité de la population et qu’un tel différentiel avec le taux d’inflation (5,5%) n’est pas supportable dans la durée. Erodé par l’augmentation (40%) du prix du riz (1/3 de la récolte a probablement été détruite par les inondations</w:t>
      </w:r>
      <w:r w:rsidR="000159EB">
        <w:rPr>
          <w:rFonts w:ascii="Times New Roman" w:hAnsi="Times New Roman" w:cs="Times New Roman"/>
          <w:sz w:val="23"/>
          <w:szCs w:val="23"/>
        </w:rPr>
        <w:t>)</w:t>
      </w:r>
      <w:r w:rsidR="009B4815">
        <w:rPr>
          <w:rFonts w:ascii="Times New Roman" w:hAnsi="Times New Roman" w:cs="Times New Roman"/>
          <w:sz w:val="23"/>
          <w:szCs w:val="23"/>
        </w:rPr>
        <w:t xml:space="preserve">, le pouvoir d’achat de la </w:t>
      </w:r>
      <w:r w:rsidR="000159EB">
        <w:rPr>
          <w:rFonts w:ascii="Times New Roman" w:hAnsi="Times New Roman" w:cs="Times New Roman"/>
          <w:sz w:val="23"/>
          <w:szCs w:val="23"/>
        </w:rPr>
        <w:t xml:space="preserve">très grande </w:t>
      </w:r>
      <w:r w:rsidR="009B4815">
        <w:rPr>
          <w:rFonts w:ascii="Times New Roman" w:hAnsi="Times New Roman" w:cs="Times New Roman"/>
          <w:sz w:val="23"/>
          <w:szCs w:val="23"/>
        </w:rPr>
        <w:t xml:space="preserve">majorité des ménages </w:t>
      </w:r>
      <w:r w:rsidR="000159EB">
        <w:rPr>
          <w:rFonts w:ascii="Times New Roman" w:hAnsi="Times New Roman" w:cs="Times New Roman"/>
          <w:sz w:val="23"/>
          <w:szCs w:val="23"/>
        </w:rPr>
        <w:t>diminue</w:t>
      </w:r>
      <w:r w:rsidR="00E8754F">
        <w:rPr>
          <w:rFonts w:ascii="Times New Roman" w:hAnsi="Times New Roman" w:cs="Times New Roman"/>
          <w:sz w:val="23"/>
          <w:szCs w:val="23"/>
        </w:rPr>
        <w:t xml:space="preserve"> et contribue à ce que nombre d’individus repassent sous le seuil de la pauvreté</w:t>
      </w:r>
      <w:r w:rsidR="00D91CAB">
        <w:rPr>
          <w:rFonts w:ascii="Times New Roman" w:hAnsi="Times New Roman" w:cs="Times New Roman"/>
          <w:sz w:val="23"/>
          <w:szCs w:val="23"/>
        </w:rPr>
        <w:t xml:space="preserve">.  Les vives tensions sociales qui en découlent sont de nature à peser, à terme, sur la croissance du pays. </w:t>
      </w:r>
    </w:p>
    <w:p w:rsidR="00CB6277" w:rsidRPr="00DB0414" w:rsidRDefault="00CB6277" w:rsidP="00115F0B">
      <w:pPr>
        <w:jc w:val="both"/>
        <w:rPr>
          <w:rFonts w:ascii="Times New Roman" w:hAnsi="Times New Roman" w:cs="Times New Roman"/>
          <w:sz w:val="23"/>
          <w:szCs w:val="23"/>
        </w:rPr>
      </w:pPr>
    </w:p>
    <w:p w:rsidR="00EC0DBF" w:rsidRPr="00A66669" w:rsidRDefault="00EC0DBF" w:rsidP="00A66669">
      <w:pPr>
        <w:jc w:val="both"/>
        <w:rPr>
          <w:rFonts w:ascii="Times New Roman" w:eastAsia="Calibri" w:hAnsi="Times New Roman" w:cs="Times New Roman"/>
          <w:b/>
          <w:sz w:val="22"/>
        </w:rPr>
      </w:pPr>
    </w:p>
    <w:p w:rsidR="00CF4B6B" w:rsidRDefault="00845F20" w:rsidP="009A675E">
      <w:pPr>
        <w:jc w:val="both"/>
        <w:rPr>
          <w:rFonts w:ascii="Times New Roman" w:hAnsi="Times New Roman" w:cs="Times New Roman"/>
          <w:smallCaps/>
          <w:sz w:val="22"/>
          <w:u w:val="single"/>
        </w:rPr>
      </w:pPr>
      <w:r w:rsidRPr="00845F20">
        <w:rPr>
          <w:rFonts w:ascii="Times New Roman" w:hAnsi="Times New Roman" w:cs="Times New Roman"/>
          <w:smallCaps/>
          <w:sz w:val="24"/>
        </w:rPr>
        <w:lastRenderedPageBreak/>
        <w:t xml:space="preserve">1.2  </w:t>
      </w:r>
      <w:r w:rsidRPr="00845F20">
        <w:rPr>
          <w:rFonts w:ascii="Times New Roman" w:hAnsi="Times New Roman" w:cs="Times New Roman"/>
          <w:smallCaps/>
          <w:sz w:val="22"/>
          <w:u w:val="single"/>
        </w:rPr>
        <w:t xml:space="preserve">L’analyse de la soutenabilité de la dette par le FMI (mai 2017) conclut à un faible risque de défaut, sous réserve que les </w:t>
      </w:r>
      <w:r>
        <w:rPr>
          <w:rFonts w:ascii="Times New Roman" w:hAnsi="Times New Roman" w:cs="Times New Roman"/>
          <w:smallCaps/>
          <w:sz w:val="22"/>
          <w:u w:val="single"/>
        </w:rPr>
        <w:t xml:space="preserve">conditions offertes par les bailleurs de fonds </w:t>
      </w:r>
      <w:r w:rsidRPr="00845F20">
        <w:rPr>
          <w:rFonts w:ascii="Times New Roman" w:hAnsi="Times New Roman" w:cs="Times New Roman"/>
          <w:smallCaps/>
          <w:sz w:val="22"/>
          <w:u w:val="single"/>
        </w:rPr>
        <w:t>restent concessionnel</w:t>
      </w:r>
      <w:r w:rsidR="00047BE5">
        <w:rPr>
          <w:rFonts w:ascii="Times New Roman" w:hAnsi="Times New Roman" w:cs="Times New Roman"/>
          <w:smallCaps/>
          <w:sz w:val="22"/>
          <w:u w:val="single"/>
        </w:rPr>
        <w:t>les</w:t>
      </w:r>
    </w:p>
    <w:p w:rsidR="00CF4B6B" w:rsidRDefault="00CF4B6B" w:rsidP="009A675E">
      <w:pPr>
        <w:jc w:val="both"/>
        <w:rPr>
          <w:rFonts w:ascii="Times New Roman" w:hAnsi="Times New Roman" w:cs="Times New Roman"/>
          <w:smallCaps/>
          <w:sz w:val="22"/>
        </w:rPr>
      </w:pPr>
    </w:p>
    <w:p w:rsidR="009A675E" w:rsidRPr="00CF4B6B" w:rsidRDefault="009A675E" w:rsidP="009A675E">
      <w:pPr>
        <w:jc w:val="both"/>
        <w:rPr>
          <w:rFonts w:ascii="Times New Roman" w:hAnsi="Times New Roman" w:cs="Times New Roman"/>
          <w:smallCaps/>
          <w:sz w:val="22"/>
        </w:rPr>
      </w:pPr>
      <w:r w:rsidRPr="00534956">
        <w:rPr>
          <w:rFonts w:ascii="Times New Roman" w:hAnsi="Times New Roman" w:cs="Times New Roman"/>
          <w:sz w:val="22"/>
          <w:szCs w:val="22"/>
        </w:rPr>
        <w:t xml:space="preserve">En dépit d’un solde </w:t>
      </w:r>
      <w:r w:rsidR="00EC7F0B">
        <w:rPr>
          <w:rFonts w:ascii="Times New Roman" w:hAnsi="Times New Roman" w:cs="Times New Roman"/>
          <w:sz w:val="22"/>
          <w:szCs w:val="22"/>
        </w:rPr>
        <w:t xml:space="preserve">de la balance </w:t>
      </w:r>
      <w:r w:rsidRPr="00534956">
        <w:rPr>
          <w:rFonts w:ascii="Times New Roman" w:hAnsi="Times New Roman" w:cs="Times New Roman"/>
          <w:sz w:val="22"/>
          <w:szCs w:val="22"/>
        </w:rPr>
        <w:t>commercial</w:t>
      </w:r>
      <w:r w:rsidR="00EC7F0B">
        <w:rPr>
          <w:rFonts w:ascii="Times New Roman" w:hAnsi="Times New Roman" w:cs="Times New Roman"/>
          <w:sz w:val="22"/>
          <w:szCs w:val="22"/>
        </w:rPr>
        <w:t>e</w:t>
      </w:r>
      <w:r w:rsidRPr="00534956">
        <w:rPr>
          <w:rFonts w:ascii="Times New Roman" w:hAnsi="Times New Roman" w:cs="Times New Roman"/>
          <w:sz w:val="22"/>
          <w:szCs w:val="22"/>
        </w:rPr>
        <w:t xml:space="preserve"> défici</w:t>
      </w:r>
      <w:r w:rsidR="00C064EE" w:rsidRPr="00534956">
        <w:rPr>
          <w:rFonts w:ascii="Times New Roman" w:hAnsi="Times New Roman" w:cs="Times New Roman"/>
          <w:sz w:val="22"/>
          <w:szCs w:val="22"/>
        </w:rPr>
        <w:t>taire</w:t>
      </w:r>
      <w:r w:rsidR="00A111B4" w:rsidRPr="00534956">
        <w:rPr>
          <w:rFonts w:ascii="Times New Roman" w:hAnsi="Times New Roman" w:cs="Times New Roman"/>
          <w:sz w:val="22"/>
          <w:szCs w:val="22"/>
        </w:rPr>
        <w:t xml:space="preserve"> (-31,7% en </w:t>
      </w:r>
      <w:proofErr w:type="spellStart"/>
      <w:r w:rsidR="00A111B4" w:rsidRPr="00534956">
        <w:rPr>
          <w:rFonts w:ascii="Times New Roman" w:hAnsi="Times New Roman" w:cs="Times New Roman"/>
          <w:sz w:val="22"/>
          <w:szCs w:val="22"/>
        </w:rPr>
        <w:t>g.a</w:t>
      </w:r>
      <w:proofErr w:type="spellEnd"/>
      <w:r w:rsidR="00A111B4" w:rsidRPr="00534956">
        <w:rPr>
          <w:rFonts w:ascii="Times New Roman" w:hAnsi="Times New Roman" w:cs="Times New Roman"/>
          <w:sz w:val="22"/>
          <w:szCs w:val="22"/>
        </w:rPr>
        <w:t>)</w:t>
      </w:r>
      <w:r w:rsidR="00C064EE" w:rsidRPr="00534956">
        <w:rPr>
          <w:rFonts w:ascii="Times New Roman" w:hAnsi="Times New Roman" w:cs="Times New Roman"/>
          <w:sz w:val="22"/>
          <w:szCs w:val="22"/>
        </w:rPr>
        <w:t xml:space="preserve"> et d’une diminution (-</w:t>
      </w:r>
      <w:r w:rsidR="00A111B4" w:rsidRPr="00534956">
        <w:rPr>
          <w:rFonts w:ascii="Times New Roman" w:hAnsi="Times New Roman" w:cs="Times New Roman"/>
          <w:sz w:val="22"/>
          <w:szCs w:val="22"/>
        </w:rPr>
        <w:t>14,2</w:t>
      </w:r>
      <w:r w:rsidRPr="00534956">
        <w:rPr>
          <w:rFonts w:ascii="Times New Roman" w:hAnsi="Times New Roman" w:cs="Times New Roman"/>
          <w:sz w:val="22"/>
          <w:szCs w:val="22"/>
        </w:rPr>
        <w:t xml:space="preserve">% en </w:t>
      </w:r>
      <w:proofErr w:type="spellStart"/>
      <w:r w:rsidRPr="00534956">
        <w:rPr>
          <w:rFonts w:ascii="Times New Roman" w:hAnsi="Times New Roman" w:cs="Times New Roman"/>
          <w:sz w:val="22"/>
          <w:szCs w:val="22"/>
        </w:rPr>
        <w:t>g.a</w:t>
      </w:r>
      <w:proofErr w:type="spellEnd"/>
      <w:r w:rsidRPr="00534956">
        <w:rPr>
          <w:rFonts w:ascii="Times New Roman" w:hAnsi="Times New Roman" w:cs="Times New Roman"/>
          <w:sz w:val="22"/>
          <w:szCs w:val="22"/>
        </w:rPr>
        <w:t xml:space="preserve">.) </w:t>
      </w:r>
      <w:r w:rsidR="00534956">
        <w:rPr>
          <w:rFonts w:ascii="Times New Roman" w:hAnsi="Times New Roman" w:cs="Times New Roman"/>
          <w:sz w:val="22"/>
          <w:szCs w:val="22"/>
        </w:rPr>
        <w:t>des transferts des travailleur</w:t>
      </w:r>
      <w:r w:rsidR="00845F20">
        <w:rPr>
          <w:rFonts w:ascii="Times New Roman" w:hAnsi="Times New Roman" w:cs="Times New Roman"/>
          <w:sz w:val="22"/>
          <w:szCs w:val="22"/>
        </w:rPr>
        <w:t xml:space="preserve">s </w:t>
      </w:r>
      <w:r w:rsidR="00EC7F0B">
        <w:rPr>
          <w:rFonts w:ascii="Times New Roman" w:hAnsi="Times New Roman" w:cs="Times New Roman"/>
          <w:sz w:val="22"/>
          <w:szCs w:val="22"/>
        </w:rPr>
        <w:t>émigrés</w:t>
      </w:r>
      <w:r w:rsidRPr="00534956">
        <w:rPr>
          <w:rFonts w:ascii="Times New Roman" w:hAnsi="Times New Roman" w:cs="Times New Roman"/>
          <w:sz w:val="22"/>
          <w:szCs w:val="22"/>
        </w:rPr>
        <w:t>, la balan</w:t>
      </w:r>
      <w:r w:rsidR="00A111B4" w:rsidRPr="00534956">
        <w:rPr>
          <w:rFonts w:ascii="Times New Roman" w:hAnsi="Times New Roman" w:cs="Times New Roman"/>
          <w:sz w:val="22"/>
          <w:szCs w:val="22"/>
        </w:rPr>
        <w:t xml:space="preserve">ce des paiements </w:t>
      </w:r>
      <w:r w:rsidR="00EC7F0B">
        <w:rPr>
          <w:rFonts w:ascii="Times New Roman" w:hAnsi="Times New Roman" w:cs="Times New Roman"/>
          <w:sz w:val="22"/>
          <w:szCs w:val="22"/>
        </w:rPr>
        <w:t xml:space="preserve">a dégagé </w:t>
      </w:r>
      <w:r w:rsidR="00A7592D" w:rsidRPr="00534956">
        <w:rPr>
          <w:rFonts w:ascii="Times New Roman" w:hAnsi="Times New Roman" w:cs="Times New Roman"/>
          <w:sz w:val="22"/>
          <w:szCs w:val="22"/>
        </w:rPr>
        <w:t>un excéden</w:t>
      </w:r>
      <w:r w:rsidR="00B952EC">
        <w:rPr>
          <w:rFonts w:ascii="Times New Roman" w:hAnsi="Times New Roman" w:cs="Times New Roman"/>
          <w:sz w:val="22"/>
          <w:szCs w:val="22"/>
        </w:rPr>
        <w:t>t significatif de 3,1 Mds de US$</w:t>
      </w:r>
      <w:r w:rsidR="00A7592D" w:rsidRPr="00534956">
        <w:rPr>
          <w:rFonts w:ascii="Times New Roman" w:hAnsi="Times New Roman" w:cs="Times New Roman"/>
          <w:sz w:val="22"/>
          <w:szCs w:val="22"/>
        </w:rPr>
        <w:t xml:space="preserve">, </w:t>
      </w:r>
      <w:r w:rsidR="00B952EC">
        <w:rPr>
          <w:rFonts w:ascii="Times New Roman" w:hAnsi="Times New Roman" w:cs="Times New Roman"/>
          <w:sz w:val="22"/>
          <w:szCs w:val="22"/>
        </w:rPr>
        <w:t xml:space="preserve">en repli cependant par rapport à l’année fiscale précédente (5 Mds US$). </w:t>
      </w:r>
    </w:p>
    <w:p w:rsidR="009A675E" w:rsidRPr="00C55AA3" w:rsidRDefault="009A675E" w:rsidP="00C55AA3">
      <w:pPr>
        <w:jc w:val="both"/>
        <w:rPr>
          <w:rFonts w:ascii="Times New Roman" w:hAnsi="Times New Roman" w:cs="Times New Roman"/>
          <w:sz w:val="22"/>
          <w:szCs w:val="22"/>
        </w:rPr>
      </w:pPr>
    </w:p>
    <w:p w:rsidR="002A0D18" w:rsidRPr="00C55AA3" w:rsidRDefault="00534956" w:rsidP="00C55AA3">
      <w:pPr>
        <w:jc w:val="both"/>
        <w:rPr>
          <w:rFonts w:ascii="Times New Roman" w:hAnsi="Times New Roman" w:cs="Times New Roman"/>
          <w:sz w:val="22"/>
          <w:szCs w:val="22"/>
        </w:rPr>
      </w:pPr>
      <w:r w:rsidRPr="00C55AA3">
        <w:rPr>
          <w:rFonts w:ascii="Times New Roman" w:hAnsi="Times New Roman" w:cs="Times New Roman"/>
          <w:sz w:val="22"/>
          <w:szCs w:val="22"/>
        </w:rPr>
        <w:t xml:space="preserve">Le compte financier </w:t>
      </w:r>
      <w:r w:rsidR="00E13329" w:rsidRPr="00C55AA3">
        <w:rPr>
          <w:rFonts w:ascii="Times New Roman" w:hAnsi="Times New Roman" w:cs="Times New Roman"/>
          <w:sz w:val="22"/>
          <w:szCs w:val="22"/>
        </w:rPr>
        <w:t>(</w:t>
      </w:r>
      <w:r w:rsidR="00EB7DBF" w:rsidRPr="00C55AA3">
        <w:rPr>
          <w:rFonts w:ascii="Times New Roman" w:hAnsi="Times New Roman" w:cs="Times New Roman"/>
          <w:sz w:val="22"/>
          <w:szCs w:val="22"/>
        </w:rPr>
        <w:t>4,1Mds US$ contre 944 M US$ en 2015-16) et le compte de capital (314 M US$ contre 464 M US$)</w:t>
      </w:r>
      <w:r w:rsidR="00E13329" w:rsidRPr="00C55AA3">
        <w:rPr>
          <w:rFonts w:ascii="Times New Roman" w:hAnsi="Times New Roman" w:cs="Times New Roman"/>
          <w:sz w:val="22"/>
          <w:szCs w:val="22"/>
        </w:rPr>
        <w:t xml:space="preserve"> dégagent également un excédent en dépit des sorties de capitaux </w:t>
      </w:r>
      <w:r w:rsidR="002A0D18" w:rsidRPr="00C55AA3">
        <w:rPr>
          <w:rFonts w:ascii="Times New Roman" w:hAnsi="Times New Roman" w:cs="Times New Roman"/>
          <w:sz w:val="22"/>
          <w:szCs w:val="22"/>
        </w:rPr>
        <w:t xml:space="preserve">répertoriés </w:t>
      </w:r>
      <w:r w:rsidR="0078476B" w:rsidRPr="00C55AA3">
        <w:rPr>
          <w:rFonts w:ascii="Times New Roman" w:hAnsi="Times New Roman" w:cs="Times New Roman"/>
          <w:sz w:val="22"/>
          <w:szCs w:val="22"/>
        </w:rPr>
        <w:t>dans les postes « autres » et « erreurs et omissions »</w:t>
      </w:r>
      <w:r w:rsidR="002A0D18" w:rsidRPr="00C55AA3">
        <w:rPr>
          <w:rFonts w:ascii="Times New Roman" w:hAnsi="Times New Roman" w:cs="Times New Roman"/>
          <w:sz w:val="22"/>
          <w:szCs w:val="22"/>
        </w:rPr>
        <w:t xml:space="preserve"> de la Banque Centrale</w:t>
      </w:r>
      <w:r w:rsidR="00E13329" w:rsidRPr="00C55AA3">
        <w:rPr>
          <w:rFonts w:ascii="Times New Roman" w:hAnsi="Times New Roman" w:cs="Times New Roman"/>
          <w:sz w:val="22"/>
          <w:szCs w:val="22"/>
        </w:rPr>
        <w:t xml:space="preserve">. Les </w:t>
      </w:r>
      <w:r w:rsidRPr="00C55AA3">
        <w:rPr>
          <w:rFonts w:ascii="Times New Roman" w:hAnsi="Times New Roman" w:cs="Times New Roman"/>
          <w:sz w:val="22"/>
          <w:szCs w:val="22"/>
        </w:rPr>
        <w:t>flux de capitaux</w:t>
      </w:r>
      <w:r w:rsidR="00E13329" w:rsidRPr="00C55AA3">
        <w:rPr>
          <w:rFonts w:ascii="Times New Roman" w:hAnsi="Times New Roman" w:cs="Times New Roman"/>
          <w:sz w:val="22"/>
          <w:szCs w:val="22"/>
        </w:rPr>
        <w:t xml:space="preserve"> (investissements en</w:t>
      </w:r>
      <w:r w:rsidRPr="00C55AA3">
        <w:rPr>
          <w:rFonts w:ascii="Times New Roman" w:hAnsi="Times New Roman" w:cs="Times New Roman"/>
          <w:sz w:val="22"/>
          <w:szCs w:val="22"/>
        </w:rPr>
        <w:t xml:space="preserve"> portefeuil</w:t>
      </w:r>
      <w:r w:rsidR="004158D2" w:rsidRPr="00C55AA3">
        <w:rPr>
          <w:rFonts w:ascii="Times New Roman" w:hAnsi="Times New Roman" w:cs="Times New Roman"/>
          <w:sz w:val="22"/>
          <w:szCs w:val="22"/>
        </w:rPr>
        <w:t xml:space="preserve">le) </w:t>
      </w:r>
      <w:r w:rsidR="00E13329" w:rsidRPr="00C55AA3">
        <w:rPr>
          <w:rFonts w:ascii="Times New Roman" w:hAnsi="Times New Roman" w:cs="Times New Roman"/>
          <w:sz w:val="22"/>
          <w:szCs w:val="22"/>
        </w:rPr>
        <w:t>et l’aide internationale</w:t>
      </w:r>
      <w:r w:rsidR="0078476B" w:rsidRPr="00C55AA3">
        <w:rPr>
          <w:rFonts w:ascii="Times New Roman" w:hAnsi="Times New Roman" w:cs="Times New Roman"/>
          <w:sz w:val="22"/>
          <w:szCs w:val="22"/>
        </w:rPr>
        <w:t>, y compris les décaissements de l’ECF du FMI,</w:t>
      </w:r>
      <w:r w:rsidR="00E13329" w:rsidRPr="00C55AA3">
        <w:rPr>
          <w:rFonts w:ascii="Times New Roman" w:hAnsi="Times New Roman" w:cs="Times New Roman"/>
          <w:sz w:val="22"/>
          <w:szCs w:val="22"/>
        </w:rPr>
        <w:t xml:space="preserve"> comptent respectivement pour </w:t>
      </w:r>
      <w:r w:rsidR="004158D2" w:rsidRPr="00C55AA3">
        <w:rPr>
          <w:rFonts w:ascii="Times New Roman" w:hAnsi="Times New Roman" w:cs="Times New Roman"/>
          <w:sz w:val="22"/>
          <w:szCs w:val="22"/>
        </w:rPr>
        <w:t>1,5</w:t>
      </w:r>
      <w:r w:rsidR="00E13329" w:rsidRPr="00C55AA3">
        <w:rPr>
          <w:rFonts w:ascii="Times New Roman" w:hAnsi="Times New Roman" w:cs="Times New Roman"/>
          <w:sz w:val="22"/>
          <w:szCs w:val="22"/>
        </w:rPr>
        <w:t xml:space="preserve"> % et 1% du PIB</w:t>
      </w:r>
      <w:r w:rsidR="0078476B" w:rsidRPr="00C55AA3">
        <w:rPr>
          <w:rFonts w:ascii="Times New Roman" w:hAnsi="Times New Roman" w:cs="Times New Roman"/>
          <w:sz w:val="22"/>
          <w:szCs w:val="22"/>
        </w:rPr>
        <w:t xml:space="preserve">. </w:t>
      </w:r>
      <w:r w:rsidR="002A0D18" w:rsidRPr="00C55AA3">
        <w:rPr>
          <w:rFonts w:ascii="Times New Roman" w:hAnsi="Times New Roman" w:cs="Times New Roman"/>
          <w:sz w:val="22"/>
          <w:szCs w:val="22"/>
        </w:rPr>
        <w:t>Etant donné la dépendance accrue du B</w:t>
      </w:r>
      <w:r w:rsidR="00A80429" w:rsidRPr="00C55AA3">
        <w:rPr>
          <w:rFonts w:ascii="Times New Roman" w:hAnsi="Times New Roman" w:cs="Times New Roman"/>
          <w:sz w:val="22"/>
          <w:szCs w:val="22"/>
        </w:rPr>
        <w:t>a</w:t>
      </w:r>
      <w:r w:rsidR="002A0D18" w:rsidRPr="00C55AA3">
        <w:rPr>
          <w:rFonts w:ascii="Times New Roman" w:hAnsi="Times New Roman" w:cs="Times New Roman"/>
          <w:sz w:val="22"/>
          <w:szCs w:val="22"/>
        </w:rPr>
        <w:t>ngladesh à l’égard des importations d’hydrocarbures, no</w:t>
      </w:r>
      <w:r w:rsidR="00A80429" w:rsidRPr="00C55AA3">
        <w:rPr>
          <w:rFonts w:ascii="Times New Roman" w:hAnsi="Times New Roman" w:cs="Times New Roman"/>
          <w:sz w:val="22"/>
          <w:szCs w:val="22"/>
        </w:rPr>
        <w:t>tamment de gaz, le poids des emprunts à court terme ne fera que s’accroître</w:t>
      </w:r>
      <w:r w:rsidR="00CF4B6B">
        <w:rPr>
          <w:rFonts w:ascii="Times New Roman" w:hAnsi="Times New Roman" w:cs="Times New Roman"/>
          <w:sz w:val="22"/>
          <w:szCs w:val="22"/>
        </w:rPr>
        <w:t xml:space="preserve"> avec le temps</w:t>
      </w:r>
      <w:r w:rsidR="00A80429" w:rsidRPr="00C55AA3">
        <w:rPr>
          <w:rFonts w:ascii="Times New Roman" w:hAnsi="Times New Roman" w:cs="Times New Roman"/>
          <w:sz w:val="22"/>
          <w:szCs w:val="22"/>
        </w:rPr>
        <w:t xml:space="preserve">. </w:t>
      </w:r>
    </w:p>
    <w:p w:rsidR="00A9689E" w:rsidRPr="00C55AA3" w:rsidRDefault="00534956" w:rsidP="00C55AA3">
      <w:pPr>
        <w:jc w:val="both"/>
        <w:rPr>
          <w:rFonts w:ascii="Times New Roman" w:hAnsi="Times New Roman" w:cs="Times New Roman"/>
          <w:sz w:val="22"/>
          <w:szCs w:val="22"/>
        </w:rPr>
      </w:pPr>
      <w:r w:rsidRPr="00C55AA3">
        <w:rPr>
          <w:rFonts w:ascii="Times New Roman" w:hAnsi="Times New Roman" w:cs="Times New Roman"/>
          <w:sz w:val="22"/>
          <w:szCs w:val="22"/>
        </w:rPr>
        <w:t xml:space="preserve"> </w:t>
      </w:r>
    </w:p>
    <w:p w:rsidR="00EF0FE8" w:rsidRDefault="00C55AA3" w:rsidP="006E41ED">
      <w:pPr>
        <w:jc w:val="both"/>
        <w:rPr>
          <w:rFonts w:ascii="Times New Roman" w:hAnsi="Times New Roman" w:cs="Times New Roman"/>
          <w:sz w:val="22"/>
          <w:szCs w:val="22"/>
        </w:rPr>
      </w:pPr>
      <w:r>
        <w:rPr>
          <w:rFonts w:ascii="Times New Roman" w:hAnsi="Times New Roman" w:cs="Times New Roman"/>
          <w:sz w:val="22"/>
          <w:szCs w:val="22"/>
        </w:rPr>
        <w:t>L</w:t>
      </w:r>
      <w:r w:rsidR="00B952EC" w:rsidRPr="00C55AA3">
        <w:rPr>
          <w:rFonts w:ascii="Times New Roman" w:hAnsi="Times New Roman" w:cs="Times New Roman"/>
          <w:sz w:val="22"/>
          <w:szCs w:val="22"/>
        </w:rPr>
        <w:t>a balance des comptes courants enregistre quant à elle un déficit de 1,4 Mds USD en 2016-17</w:t>
      </w:r>
      <w:r>
        <w:rPr>
          <w:rFonts w:ascii="Times New Roman" w:hAnsi="Times New Roman" w:cs="Times New Roman"/>
          <w:sz w:val="22"/>
          <w:szCs w:val="22"/>
        </w:rPr>
        <w:t xml:space="preserve">, contre un excédent de </w:t>
      </w:r>
      <w:r w:rsidR="00B952EC" w:rsidRPr="00C55AA3">
        <w:rPr>
          <w:rFonts w:ascii="Times New Roman" w:hAnsi="Times New Roman" w:cs="Times New Roman"/>
          <w:sz w:val="22"/>
          <w:szCs w:val="22"/>
        </w:rPr>
        <w:t>4,2</w:t>
      </w:r>
      <w:r>
        <w:rPr>
          <w:rFonts w:ascii="Times New Roman" w:hAnsi="Times New Roman" w:cs="Times New Roman"/>
          <w:sz w:val="22"/>
          <w:szCs w:val="22"/>
        </w:rPr>
        <w:t xml:space="preserve"> Mds USD en 2015-2016</w:t>
      </w:r>
      <w:r w:rsidR="00B952EC" w:rsidRPr="00C55AA3">
        <w:rPr>
          <w:rFonts w:ascii="Times New Roman" w:hAnsi="Times New Roman" w:cs="Times New Roman"/>
          <w:sz w:val="22"/>
          <w:szCs w:val="22"/>
        </w:rPr>
        <w:t>.</w:t>
      </w:r>
    </w:p>
    <w:p w:rsidR="00EF0FE8" w:rsidRDefault="00EF0FE8" w:rsidP="006E41ED">
      <w:pPr>
        <w:jc w:val="both"/>
        <w:rPr>
          <w:rFonts w:ascii="Times New Roman" w:hAnsi="Times New Roman" w:cs="Times New Roman"/>
          <w:sz w:val="22"/>
          <w:szCs w:val="22"/>
        </w:rPr>
      </w:pPr>
    </w:p>
    <w:p w:rsidR="00EF0FE8" w:rsidRDefault="00EF0FE8" w:rsidP="00EF0FE8">
      <w:pPr>
        <w:jc w:val="center"/>
        <w:rPr>
          <w:rFonts w:ascii="Times New Roman" w:hAnsi="Times New Roman" w:cs="Times New Roman"/>
          <w:sz w:val="22"/>
          <w:szCs w:val="22"/>
        </w:rPr>
      </w:pPr>
      <w:r w:rsidRPr="00336B32">
        <w:rPr>
          <w:rFonts w:ascii="Helvetica" w:hAnsi="Helvetica"/>
          <w:noProof/>
          <w:color w:val="333333"/>
          <w:sz w:val="21"/>
          <w:szCs w:val="21"/>
        </w:rPr>
        <w:drawing>
          <wp:inline distT="0" distB="0" distL="0" distR="0" wp14:anchorId="55092500" wp14:editId="5ADD4837">
            <wp:extent cx="3114675" cy="2076450"/>
            <wp:effectExtent l="0" t="0" r="9525" b="0"/>
            <wp:docPr id="2" name="Image 2" descr="http://thefinancialexpress.com.bd/uploads/1503980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efinancialexpress.com.bd/uploads/150398092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5191" cy="2076794"/>
                    </a:xfrm>
                    <a:prstGeom prst="rect">
                      <a:avLst/>
                    </a:prstGeom>
                    <a:noFill/>
                    <a:ln>
                      <a:noFill/>
                    </a:ln>
                  </pic:spPr>
                </pic:pic>
              </a:graphicData>
            </a:graphic>
          </wp:inline>
        </w:drawing>
      </w:r>
    </w:p>
    <w:p w:rsidR="00EF0FE8" w:rsidRDefault="00EF0FE8" w:rsidP="006E41ED">
      <w:pPr>
        <w:jc w:val="both"/>
        <w:rPr>
          <w:rFonts w:ascii="Times New Roman" w:hAnsi="Times New Roman" w:cs="Times New Roman"/>
          <w:sz w:val="22"/>
          <w:szCs w:val="22"/>
        </w:rPr>
      </w:pPr>
    </w:p>
    <w:p w:rsidR="00D26F8C" w:rsidRDefault="00EF0FE8" w:rsidP="00EF0FE8">
      <w:pPr>
        <w:jc w:val="both"/>
        <w:rPr>
          <w:rFonts w:ascii="Times New Roman" w:hAnsi="Times New Roman" w:cs="Times New Roman"/>
          <w:color w:val="000000"/>
          <w:sz w:val="22"/>
          <w:szCs w:val="22"/>
          <w:lang w:val="en"/>
        </w:rPr>
      </w:pPr>
      <w:r>
        <w:rPr>
          <w:rFonts w:ascii="Times New Roman" w:hAnsi="Times New Roman" w:cs="Times New Roman"/>
          <w:sz w:val="22"/>
          <w:szCs w:val="22"/>
        </w:rPr>
        <w:t xml:space="preserve">Tout en restant concessionnelles, les conditions offertes par les bailleurs de fonds se dégradent. C’est ainsi que </w:t>
      </w:r>
      <w:r w:rsidR="001A4A58">
        <w:rPr>
          <w:rFonts w:ascii="Times New Roman" w:hAnsi="Times New Roman" w:cs="Times New Roman"/>
          <w:sz w:val="22"/>
          <w:szCs w:val="22"/>
        </w:rPr>
        <w:t>le Japon, p</w:t>
      </w:r>
      <w:r w:rsidR="007B4694">
        <w:rPr>
          <w:rFonts w:ascii="Times New Roman" w:hAnsi="Times New Roman" w:cs="Times New Roman"/>
          <w:sz w:val="22"/>
          <w:szCs w:val="22"/>
        </w:rPr>
        <w:t xml:space="preserve">remier </w:t>
      </w:r>
      <w:r w:rsidR="00E9592D">
        <w:rPr>
          <w:rFonts w:ascii="Times New Roman" w:hAnsi="Times New Roman" w:cs="Times New Roman"/>
          <w:sz w:val="22"/>
          <w:szCs w:val="22"/>
        </w:rPr>
        <w:t>d’entre eux</w:t>
      </w:r>
      <w:r w:rsidR="007B4694">
        <w:rPr>
          <w:rFonts w:ascii="Times New Roman" w:hAnsi="Times New Roman" w:cs="Times New Roman"/>
          <w:sz w:val="22"/>
          <w:szCs w:val="22"/>
        </w:rPr>
        <w:t>, a assorti</w:t>
      </w:r>
      <w:r w:rsidR="00E9592D">
        <w:rPr>
          <w:rFonts w:ascii="Times New Roman" w:hAnsi="Times New Roman" w:cs="Times New Roman"/>
          <w:sz w:val="22"/>
          <w:szCs w:val="22"/>
        </w:rPr>
        <w:t>,</w:t>
      </w:r>
      <w:r w:rsidR="007B4694">
        <w:rPr>
          <w:rFonts w:ascii="Times New Roman" w:hAnsi="Times New Roman" w:cs="Times New Roman"/>
          <w:sz w:val="22"/>
          <w:szCs w:val="22"/>
        </w:rPr>
        <w:t xml:space="preserve"> </w:t>
      </w:r>
      <w:r w:rsidR="00D26F8C">
        <w:rPr>
          <w:rFonts w:ascii="Times New Roman" w:hAnsi="Times New Roman" w:cs="Times New Roman"/>
          <w:sz w:val="22"/>
          <w:szCs w:val="22"/>
        </w:rPr>
        <w:t xml:space="preserve">en septembre </w:t>
      </w:r>
      <w:r w:rsidR="00E9592D">
        <w:rPr>
          <w:rFonts w:ascii="Times New Roman" w:hAnsi="Times New Roman" w:cs="Times New Roman"/>
          <w:sz w:val="22"/>
          <w:szCs w:val="22"/>
        </w:rPr>
        <w:t xml:space="preserve">dernier, </w:t>
      </w:r>
      <w:r w:rsidR="007B4694">
        <w:rPr>
          <w:rFonts w:ascii="Times New Roman" w:hAnsi="Times New Roman" w:cs="Times New Roman"/>
          <w:sz w:val="22"/>
          <w:szCs w:val="22"/>
        </w:rPr>
        <w:t>sa 38</w:t>
      </w:r>
      <w:r w:rsidR="007B4694" w:rsidRPr="007B4694">
        <w:rPr>
          <w:rFonts w:ascii="Times New Roman" w:hAnsi="Times New Roman" w:cs="Times New Roman"/>
          <w:sz w:val="22"/>
          <w:szCs w:val="22"/>
          <w:vertAlign w:val="superscript"/>
        </w:rPr>
        <w:t>ème</w:t>
      </w:r>
      <w:r w:rsidR="007B4694">
        <w:rPr>
          <w:rFonts w:ascii="Times New Roman" w:hAnsi="Times New Roman" w:cs="Times New Roman"/>
          <w:sz w:val="22"/>
          <w:szCs w:val="22"/>
        </w:rPr>
        <w:t xml:space="preserve"> offre de financement</w:t>
      </w:r>
      <w:r>
        <w:rPr>
          <w:rFonts w:ascii="Times New Roman" w:hAnsi="Times New Roman" w:cs="Times New Roman"/>
          <w:sz w:val="22"/>
          <w:szCs w:val="22"/>
        </w:rPr>
        <w:t>s</w:t>
      </w:r>
      <w:r w:rsidR="00B43013">
        <w:rPr>
          <w:rFonts w:ascii="Times New Roman" w:hAnsi="Times New Roman" w:cs="Times New Roman"/>
          <w:sz w:val="22"/>
          <w:szCs w:val="22"/>
        </w:rPr>
        <w:t>,</w:t>
      </w:r>
      <w:r w:rsidR="007B4694">
        <w:rPr>
          <w:rFonts w:ascii="Times New Roman" w:hAnsi="Times New Roman" w:cs="Times New Roman"/>
          <w:sz w:val="22"/>
          <w:szCs w:val="22"/>
        </w:rPr>
        <w:t xml:space="preserve"> </w:t>
      </w:r>
      <w:r w:rsidR="00B43013">
        <w:rPr>
          <w:rFonts w:ascii="Times New Roman" w:hAnsi="Times New Roman" w:cs="Times New Roman"/>
          <w:sz w:val="22"/>
          <w:szCs w:val="22"/>
        </w:rPr>
        <w:t>d’un taux de crédit de 0,7% contre 0,01 précédemment.</w:t>
      </w:r>
      <w:r w:rsidR="001A4A58">
        <w:rPr>
          <w:rFonts w:ascii="Times New Roman" w:hAnsi="Times New Roman" w:cs="Times New Roman"/>
          <w:sz w:val="22"/>
          <w:szCs w:val="22"/>
        </w:rPr>
        <w:t xml:space="preserve"> </w:t>
      </w:r>
      <w:r w:rsidR="00877528">
        <w:rPr>
          <w:rFonts w:ascii="Times New Roman" w:hAnsi="Times New Roman" w:cs="Times New Roman"/>
          <w:sz w:val="22"/>
          <w:szCs w:val="22"/>
        </w:rPr>
        <w:t>Ce « package » comprend</w:t>
      </w:r>
      <w:r>
        <w:rPr>
          <w:rFonts w:ascii="Times New Roman" w:hAnsi="Times New Roman" w:cs="Times New Roman"/>
          <w:sz w:val="22"/>
          <w:szCs w:val="22"/>
        </w:rPr>
        <w:t xml:space="preserve"> 6 projets d’un montant total de 1,64 M US$. </w:t>
      </w:r>
      <w:r w:rsidR="001A4A58">
        <w:rPr>
          <w:rFonts w:ascii="Times New Roman" w:hAnsi="Times New Roman" w:cs="Times New Roman"/>
          <w:sz w:val="22"/>
          <w:szCs w:val="22"/>
        </w:rPr>
        <w:t>Au même moment, la Banque Mondiale (</w:t>
      </w:r>
      <w:r w:rsidR="00450A20">
        <w:rPr>
          <w:rFonts w:ascii="Times New Roman" w:hAnsi="Times New Roman" w:cs="Times New Roman"/>
          <w:sz w:val="22"/>
          <w:szCs w:val="22"/>
        </w:rPr>
        <w:t xml:space="preserve">1 </w:t>
      </w:r>
      <w:r w:rsidR="001A4A58">
        <w:rPr>
          <w:rFonts w:ascii="Times New Roman" w:hAnsi="Times New Roman" w:cs="Times New Roman"/>
          <w:sz w:val="22"/>
          <w:szCs w:val="22"/>
        </w:rPr>
        <w:t xml:space="preserve">Mds US$ </w:t>
      </w:r>
      <w:r w:rsidR="00450A20">
        <w:rPr>
          <w:rFonts w:ascii="Times New Roman" w:hAnsi="Times New Roman" w:cs="Times New Roman"/>
          <w:sz w:val="22"/>
          <w:szCs w:val="22"/>
        </w:rPr>
        <w:t xml:space="preserve">de promesses en moyenne </w:t>
      </w:r>
      <w:r w:rsidR="001A4A58">
        <w:rPr>
          <w:rFonts w:ascii="Times New Roman" w:hAnsi="Times New Roman" w:cs="Times New Roman"/>
          <w:sz w:val="22"/>
          <w:szCs w:val="22"/>
        </w:rPr>
        <w:t xml:space="preserve">chaque année) annonçait le doublement de son taux, </w:t>
      </w:r>
      <w:r w:rsidR="001A4A58" w:rsidRPr="001A4A58">
        <w:rPr>
          <w:rFonts w:ascii="Times New Roman" w:hAnsi="Times New Roman" w:cs="Times New Roman"/>
          <w:sz w:val="22"/>
          <w:szCs w:val="22"/>
        </w:rPr>
        <w:t xml:space="preserve">de </w:t>
      </w:r>
      <w:r w:rsidR="001A4A58" w:rsidRPr="001A4A58">
        <w:rPr>
          <w:rFonts w:ascii="Times New Roman" w:hAnsi="Times New Roman" w:cs="Times New Roman"/>
          <w:color w:val="000000"/>
          <w:sz w:val="22"/>
          <w:szCs w:val="22"/>
          <w:lang w:val="en"/>
        </w:rPr>
        <w:t>1.25</w:t>
      </w:r>
      <w:r w:rsidR="001A4A58">
        <w:rPr>
          <w:rFonts w:ascii="Times New Roman" w:hAnsi="Times New Roman" w:cs="Times New Roman"/>
          <w:color w:val="000000"/>
          <w:sz w:val="22"/>
          <w:szCs w:val="22"/>
          <w:lang w:val="en"/>
        </w:rPr>
        <w:t>% à</w:t>
      </w:r>
      <w:r w:rsidR="001A4A58" w:rsidRPr="001A4A58">
        <w:rPr>
          <w:rFonts w:ascii="Times New Roman" w:hAnsi="Times New Roman" w:cs="Times New Roman"/>
          <w:color w:val="000000"/>
          <w:sz w:val="22"/>
          <w:szCs w:val="22"/>
          <w:lang w:val="en"/>
        </w:rPr>
        <w:t xml:space="preserve"> 2.62%</w:t>
      </w:r>
      <w:r w:rsidR="001A4A58">
        <w:rPr>
          <w:rFonts w:ascii="Times New Roman" w:hAnsi="Times New Roman" w:cs="Times New Roman"/>
          <w:color w:val="000000"/>
          <w:sz w:val="22"/>
          <w:szCs w:val="22"/>
          <w:lang w:val="en"/>
        </w:rPr>
        <w:t xml:space="preserve">. </w:t>
      </w:r>
      <w:r w:rsidR="00FE6273">
        <w:rPr>
          <w:rFonts w:ascii="Times New Roman" w:hAnsi="Times New Roman" w:cs="Times New Roman"/>
          <w:color w:val="000000"/>
          <w:sz w:val="22"/>
          <w:szCs w:val="22"/>
          <w:lang w:val="en"/>
        </w:rPr>
        <w:t xml:space="preserve">La Chine, qui </w:t>
      </w:r>
      <w:proofErr w:type="spellStart"/>
      <w:r w:rsidR="00FE6273">
        <w:rPr>
          <w:rFonts w:ascii="Times New Roman" w:hAnsi="Times New Roman" w:cs="Times New Roman"/>
          <w:color w:val="000000"/>
          <w:sz w:val="22"/>
          <w:szCs w:val="22"/>
          <w:lang w:val="en"/>
        </w:rPr>
        <w:t>s’est</w:t>
      </w:r>
      <w:proofErr w:type="spellEnd"/>
      <w:r w:rsidR="00FE6273">
        <w:rPr>
          <w:rFonts w:ascii="Times New Roman" w:hAnsi="Times New Roman" w:cs="Times New Roman"/>
          <w:color w:val="000000"/>
          <w:sz w:val="22"/>
          <w:szCs w:val="22"/>
          <w:lang w:val="en"/>
        </w:rPr>
        <w:t xml:space="preserve"> </w:t>
      </w:r>
      <w:proofErr w:type="spellStart"/>
      <w:r w:rsidR="00FE6273">
        <w:rPr>
          <w:rFonts w:ascii="Times New Roman" w:hAnsi="Times New Roman" w:cs="Times New Roman"/>
          <w:color w:val="000000"/>
          <w:sz w:val="22"/>
          <w:szCs w:val="22"/>
          <w:lang w:val="en"/>
        </w:rPr>
        <w:t>engagé</w:t>
      </w:r>
      <w:r w:rsidR="008E2235">
        <w:rPr>
          <w:rFonts w:ascii="Times New Roman" w:hAnsi="Times New Roman" w:cs="Times New Roman"/>
          <w:color w:val="000000"/>
          <w:sz w:val="22"/>
          <w:szCs w:val="22"/>
          <w:lang w:val="en"/>
        </w:rPr>
        <w:t>e</w:t>
      </w:r>
      <w:proofErr w:type="spellEnd"/>
      <w:r w:rsidR="00FE6273">
        <w:rPr>
          <w:rFonts w:ascii="Times New Roman" w:hAnsi="Times New Roman" w:cs="Times New Roman"/>
          <w:color w:val="000000"/>
          <w:sz w:val="22"/>
          <w:szCs w:val="22"/>
          <w:lang w:val="en"/>
        </w:rPr>
        <w:t xml:space="preserve"> à hauteur de 24 </w:t>
      </w:r>
      <w:proofErr w:type="spellStart"/>
      <w:r w:rsidR="00FE6273">
        <w:rPr>
          <w:rFonts w:ascii="Times New Roman" w:hAnsi="Times New Roman" w:cs="Times New Roman"/>
          <w:color w:val="000000"/>
          <w:sz w:val="22"/>
          <w:szCs w:val="22"/>
          <w:lang w:val="en"/>
        </w:rPr>
        <w:t>Mds</w:t>
      </w:r>
      <w:proofErr w:type="spellEnd"/>
      <w:r w:rsidR="00FE6273">
        <w:rPr>
          <w:rFonts w:ascii="Times New Roman" w:hAnsi="Times New Roman" w:cs="Times New Roman"/>
          <w:color w:val="000000"/>
          <w:sz w:val="22"/>
          <w:szCs w:val="22"/>
          <w:lang w:val="en"/>
        </w:rPr>
        <w:t xml:space="preserve"> US$ </w:t>
      </w:r>
      <w:proofErr w:type="spellStart"/>
      <w:r w:rsidR="00FE6273">
        <w:rPr>
          <w:rFonts w:ascii="Times New Roman" w:hAnsi="Times New Roman" w:cs="Times New Roman"/>
          <w:color w:val="000000"/>
          <w:sz w:val="22"/>
          <w:szCs w:val="22"/>
          <w:lang w:val="en"/>
        </w:rPr>
        <w:t>lor</w:t>
      </w:r>
      <w:r w:rsidR="0039362A">
        <w:rPr>
          <w:rFonts w:ascii="Times New Roman" w:hAnsi="Times New Roman" w:cs="Times New Roman"/>
          <w:color w:val="000000"/>
          <w:sz w:val="22"/>
          <w:szCs w:val="22"/>
          <w:lang w:val="en"/>
        </w:rPr>
        <w:t>s</w:t>
      </w:r>
      <w:proofErr w:type="spellEnd"/>
      <w:r w:rsidR="0039362A">
        <w:rPr>
          <w:rFonts w:ascii="Times New Roman" w:hAnsi="Times New Roman" w:cs="Times New Roman"/>
          <w:color w:val="000000"/>
          <w:sz w:val="22"/>
          <w:szCs w:val="22"/>
          <w:lang w:val="en"/>
        </w:rPr>
        <w:t xml:space="preserve"> de la </w:t>
      </w:r>
      <w:proofErr w:type="spellStart"/>
      <w:r w:rsidR="0039362A">
        <w:rPr>
          <w:rFonts w:ascii="Times New Roman" w:hAnsi="Times New Roman" w:cs="Times New Roman"/>
          <w:color w:val="000000"/>
          <w:sz w:val="22"/>
          <w:szCs w:val="22"/>
          <w:lang w:val="en"/>
        </w:rPr>
        <w:t>visite</w:t>
      </w:r>
      <w:proofErr w:type="spellEnd"/>
      <w:r w:rsidR="0039362A">
        <w:rPr>
          <w:rFonts w:ascii="Times New Roman" w:hAnsi="Times New Roman" w:cs="Times New Roman"/>
          <w:color w:val="000000"/>
          <w:sz w:val="22"/>
          <w:szCs w:val="22"/>
          <w:lang w:val="en"/>
        </w:rPr>
        <w:t xml:space="preserve"> du </w:t>
      </w:r>
      <w:proofErr w:type="spellStart"/>
      <w:r w:rsidR="0039362A">
        <w:rPr>
          <w:rFonts w:ascii="Times New Roman" w:hAnsi="Times New Roman" w:cs="Times New Roman"/>
          <w:color w:val="000000"/>
          <w:sz w:val="22"/>
          <w:szCs w:val="22"/>
          <w:lang w:val="en"/>
        </w:rPr>
        <w:t>président</w:t>
      </w:r>
      <w:proofErr w:type="spellEnd"/>
      <w:r w:rsidR="0039362A">
        <w:rPr>
          <w:rFonts w:ascii="Times New Roman" w:hAnsi="Times New Roman" w:cs="Times New Roman"/>
          <w:color w:val="000000"/>
          <w:sz w:val="22"/>
          <w:szCs w:val="22"/>
          <w:lang w:val="en"/>
        </w:rPr>
        <w:t xml:space="preserve"> XI J</w:t>
      </w:r>
      <w:r w:rsidR="00FE6273">
        <w:rPr>
          <w:rFonts w:ascii="Times New Roman" w:hAnsi="Times New Roman" w:cs="Times New Roman"/>
          <w:color w:val="000000"/>
          <w:sz w:val="22"/>
          <w:szCs w:val="22"/>
          <w:lang w:val="en"/>
        </w:rPr>
        <w:t>inping</w:t>
      </w:r>
      <w:r w:rsidR="005634B8">
        <w:rPr>
          <w:rFonts w:ascii="Times New Roman" w:hAnsi="Times New Roman" w:cs="Times New Roman"/>
          <w:color w:val="000000"/>
          <w:sz w:val="22"/>
          <w:szCs w:val="22"/>
          <w:lang w:val="en"/>
        </w:rPr>
        <w:t xml:space="preserve"> </w:t>
      </w:r>
      <w:proofErr w:type="spellStart"/>
      <w:r w:rsidR="005634B8">
        <w:rPr>
          <w:rFonts w:ascii="Times New Roman" w:hAnsi="Times New Roman" w:cs="Times New Roman"/>
          <w:color w:val="000000"/>
          <w:sz w:val="22"/>
          <w:szCs w:val="22"/>
          <w:lang w:val="en"/>
        </w:rPr>
        <w:t>en</w:t>
      </w:r>
      <w:proofErr w:type="spellEnd"/>
      <w:r w:rsidR="005634B8">
        <w:rPr>
          <w:rFonts w:ascii="Times New Roman" w:hAnsi="Times New Roman" w:cs="Times New Roman"/>
          <w:color w:val="000000"/>
          <w:sz w:val="22"/>
          <w:szCs w:val="22"/>
          <w:lang w:val="en"/>
        </w:rPr>
        <w:t xml:space="preserve"> </w:t>
      </w:r>
      <w:proofErr w:type="spellStart"/>
      <w:r w:rsidR="005634B8">
        <w:rPr>
          <w:rFonts w:ascii="Times New Roman" w:hAnsi="Times New Roman" w:cs="Times New Roman"/>
          <w:color w:val="000000"/>
          <w:sz w:val="22"/>
          <w:szCs w:val="22"/>
          <w:lang w:val="en"/>
        </w:rPr>
        <w:t>octobre</w:t>
      </w:r>
      <w:proofErr w:type="spellEnd"/>
      <w:r w:rsidR="005634B8">
        <w:rPr>
          <w:rFonts w:ascii="Times New Roman" w:hAnsi="Times New Roman" w:cs="Times New Roman"/>
          <w:color w:val="000000"/>
          <w:sz w:val="22"/>
          <w:szCs w:val="22"/>
          <w:lang w:val="en"/>
        </w:rPr>
        <w:t xml:space="preserve"> </w:t>
      </w:r>
      <w:r>
        <w:rPr>
          <w:rFonts w:ascii="Times New Roman" w:hAnsi="Times New Roman" w:cs="Times New Roman"/>
          <w:color w:val="000000"/>
          <w:sz w:val="22"/>
          <w:szCs w:val="22"/>
          <w:lang w:val="en"/>
        </w:rPr>
        <w:t>2016</w:t>
      </w:r>
      <w:r w:rsidR="00627EE1">
        <w:rPr>
          <w:rFonts w:ascii="Times New Roman" w:hAnsi="Times New Roman" w:cs="Times New Roman"/>
          <w:color w:val="000000"/>
          <w:sz w:val="22"/>
          <w:szCs w:val="22"/>
          <w:lang w:val="en"/>
        </w:rPr>
        <w:t>,</w:t>
      </w:r>
      <w:r w:rsidR="00FE6273">
        <w:rPr>
          <w:rFonts w:ascii="Times New Roman" w:hAnsi="Times New Roman" w:cs="Times New Roman"/>
          <w:color w:val="000000"/>
          <w:sz w:val="22"/>
          <w:szCs w:val="22"/>
          <w:lang w:val="en"/>
        </w:rPr>
        <w:t xml:space="preserve"> </w:t>
      </w:r>
      <w:proofErr w:type="gramStart"/>
      <w:r w:rsidR="00FE6273">
        <w:rPr>
          <w:rFonts w:ascii="Times New Roman" w:hAnsi="Times New Roman" w:cs="Times New Roman"/>
          <w:color w:val="000000"/>
          <w:sz w:val="22"/>
          <w:szCs w:val="22"/>
          <w:lang w:val="en"/>
        </w:rPr>
        <w:t>et</w:t>
      </w:r>
      <w:proofErr w:type="gramEnd"/>
      <w:r w:rsidR="00FE6273">
        <w:rPr>
          <w:rFonts w:ascii="Times New Roman" w:hAnsi="Times New Roman" w:cs="Times New Roman"/>
          <w:color w:val="000000"/>
          <w:sz w:val="22"/>
          <w:szCs w:val="22"/>
          <w:lang w:val="en"/>
        </w:rPr>
        <w:t xml:space="preserve"> l</w:t>
      </w:r>
      <w:r w:rsidR="0039362A">
        <w:rPr>
          <w:rFonts w:ascii="Times New Roman" w:hAnsi="Times New Roman" w:cs="Times New Roman"/>
          <w:color w:val="000000"/>
          <w:sz w:val="22"/>
          <w:szCs w:val="22"/>
          <w:lang w:val="en"/>
        </w:rPr>
        <w:t>a BAD</w:t>
      </w:r>
      <w:r w:rsidR="00FE6273">
        <w:rPr>
          <w:rFonts w:ascii="Times New Roman" w:hAnsi="Times New Roman" w:cs="Times New Roman"/>
          <w:color w:val="000000"/>
          <w:sz w:val="22"/>
          <w:szCs w:val="22"/>
          <w:lang w:val="en"/>
        </w:rPr>
        <w:t xml:space="preserve"> </w:t>
      </w:r>
      <w:proofErr w:type="spellStart"/>
      <w:r w:rsidR="00FE6273">
        <w:rPr>
          <w:rFonts w:ascii="Times New Roman" w:hAnsi="Times New Roman" w:cs="Times New Roman"/>
          <w:color w:val="000000"/>
          <w:sz w:val="22"/>
          <w:szCs w:val="22"/>
          <w:lang w:val="en"/>
        </w:rPr>
        <w:t>assortiraient</w:t>
      </w:r>
      <w:proofErr w:type="spellEnd"/>
      <w:r w:rsidR="00FE6273">
        <w:rPr>
          <w:rFonts w:ascii="Times New Roman" w:hAnsi="Times New Roman" w:cs="Times New Roman"/>
          <w:color w:val="000000"/>
          <w:sz w:val="22"/>
          <w:szCs w:val="22"/>
          <w:lang w:val="en"/>
        </w:rPr>
        <w:t xml:space="preserve"> </w:t>
      </w:r>
      <w:proofErr w:type="spellStart"/>
      <w:r w:rsidR="00FE6273">
        <w:rPr>
          <w:rFonts w:ascii="Times New Roman" w:hAnsi="Times New Roman" w:cs="Times New Roman"/>
          <w:color w:val="000000"/>
          <w:sz w:val="22"/>
          <w:szCs w:val="22"/>
          <w:lang w:val="en"/>
        </w:rPr>
        <w:t>leurs</w:t>
      </w:r>
      <w:proofErr w:type="spellEnd"/>
      <w:r w:rsidR="00FE6273">
        <w:rPr>
          <w:rFonts w:ascii="Times New Roman" w:hAnsi="Times New Roman" w:cs="Times New Roman"/>
          <w:color w:val="000000"/>
          <w:sz w:val="22"/>
          <w:szCs w:val="22"/>
          <w:lang w:val="en"/>
        </w:rPr>
        <w:t xml:space="preserve"> </w:t>
      </w:r>
      <w:proofErr w:type="spellStart"/>
      <w:r w:rsidR="00FE6273">
        <w:rPr>
          <w:rFonts w:ascii="Times New Roman" w:hAnsi="Times New Roman" w:cs="Times New Roman"/>
          <w:color w:val="000000"/>
          <w:sz w:val="22"/>
          <w:szCs w:val="22"/>
          <w:lang w:val="en"/>
        </w:rPr>
        <w:t>offres</w:t>
      </w:r>
      <w:proofErr w:type="spellEnd"/>
      <w:r w:rsidR="00FE6273">
        <w:rPr>
          <w:rFonts w:ascii="Times New Roman" w:hAnsi="Times New Roman" w:cs="Times New Roman"/>
          <w:color w:val="000000"/>
          <w:sz w:val="22"/>
          <w:szCs w:val="22"/>
          <w:lang w:val="en"/>
        </w:rPr>
        <w:t xml:space="preserve"> </w:t>
      </w:r>
      <w:proofErr w:type="spellStart"/>
      <w:r w:rsidR="00FE6273">
        <w:rPr>
          <w:rFonts w:ascii="Times New Roman" w:hAnsi="Times New Roman" w:cs="Times New Roman"/>
          <w:color w:val="000000"/>
          <w:sz w:val="22"/>
          <w:szCs w:val="22"/>
          <w:lang w:val="en"/>
        </w:rPr>
        <w:t>financières</w:t>
      </w:r>
      <w:proofErr w:type="spellEnd"/>
      <w:r w:rsidR="00FE6273">
        <w:rPr>
          <w:rFonts w:ascii="Times New Roman" w:hAnsi="Times New Roman" w:cs="Times New Roman"/>
          <w:color w:val="000000"/>
          <w:sz w:val="22"/>
          <w:szCs w:val="22"/>
          <w:lang w:val="en"/>
        </w:rPr>
        <w:t xml:space="preserve"> d’un </w:t>
      </w:r>
      <w:proofErr w:type="spellStart"/>
      <w:r w:rsidR="00FE6273">
        <w:rPr>
          <w:rFonts w:ascii="Times New Roman" w:hAnsi="Times New Roman" w:cs="Times New Roman"/>
          <w:color w:val="000000"/>
          <w:sz w:val="22"/>
          <w:szCs w:val="22"/>
          <w:lang w:val="en"/>
        </w:rPr>
        <w:t>taux</w:t>
      </w:r>
      <w:proofErr w:type="spellEnd"/>
      <w:r w:rsidR="00FE6273">
        <w:rPr>
          <w:rFonts w:ascii="Times New Roman" w:hAnsi="Times New Roman" w:cs="Times New Roman"/>
          <w:color w:val="000000"/>
          <w:sz w:val="22"/>
          <w:szCs w:val="22"/>
          <w:lang w:val="en"/>
        </w:rPr>
        <w:t xml:space="preserve"> de 2%. </w:t>
      </w:r>
    </w:p>
    <w:p w:rsidR="007B4694" w:rsidRPr="00C55AA3" w:rsidRDefault="007B4694" w:rsidP="00C55AA3">
      <w:pPr>
        <w:jc w:val="both"/>
        <w:rPr>
          <w:rFonts w:ascii="Times New Roman" w:hAnsi="Times New Roman" w:cs="Times New Roman"/>
          <w:sz w:val="22"/>
          <w:szCs w:val="22"/>
        </w:rPr>
      </w:pPr>
    </w:p>
    <w:p w:rsidR="00683EF5" w:rsidRPr="00311666" w:rsidRDefault="00311666" w:rsidP="00683EF5">
      <w:pPr>
        <w:jc w:val="both"/>
        <w:rPr>
          <w:rFonts w:ascii="Times New Roman" w:hAnsi="Times New Roman" w:cs="Times New Roman"/>
          <w:smallCaps/>
          <w:sz w:val="22"/>
          <w:szCs w:val="22"/>
          <w:u w:val="single"/>
        </w:rPr>
      </w:pPr>
      <w:r w:rsidRPr="00311666">
        <w:rPr>
          <w:rFonts w:ascii="Times New Roman" w:hAnsi="Times New Roman" w:cs="Times New Roman"/>
          <w:smallCaps/>
          <w:sz w:val="22"/>
          <w:szCs w:val="22"/>
        </w:rPr>
        <w:t>1.3</w:t>
      </w:r>
      <w:r w:rsidR="00683EF5" w:rsidRPr="00311666">
        <w:rPr>
          <w:rFonts w:ascii="Times New Roman" w:hAnsi="Times New Roman" w:cs="Times New Roman"/>
          <w:smallCaps/>
          <w:sz w:val="22"/>
          <w:szCs w:val="22"/>
        </w:rPr>
        <w:t xml:space="preserve"> </w:t>
      </w:r>
      <w:r w:rsidR="00683EF5" w:rsidRPr="00311666">
        <w:rPr>
          <w:rFonts w:ascii="Times New Roman" w:hAnsi="Times New Roman" w:cs="Times New Roman"/>
          <w:smallCaps/>
          <w:sz w:val="22"/>
          <w:szCs w:val="22"/>
          <w:u w:val="single"/>
        </w:rPr>
        <w:t>Le</w:t>
      </w:r>
      <w:r w:rsidR="0012499D" w:rsidRPr="00311666">
        <w:rPr>
          <w:rFonts w:ascii="Times New Roman" w:hAnsi="Times New Roman" w:cs="Times New Roman"/>
          <w:smallCaps/>
          <w:sz w:val="22"/>
          <w:szCs w:val="22"/>
          <w:u w:val="single"/>
        </w:rPr>
        <w:t xml:space="preserve"> niveau de l’endettement public reste sous contrôle</w:t>
      </w:r>
      <w:r w:rsidR="00EA031E" w:rsidRPr="00311666">
        <w:rPr>
          <w:rFonts w:ascii="Times New Roman" w:hAnsi="Times New Roman" w:cs="Times New Roman"/>
          <w:smallCaps/>
          <w:sz w:val="22"/>
          <w:szCs w:val="22"/>
          <w:u w:val="single"/>
        </w:rPr>
        <w:t xml:space="preserve"> et le budget est</w:t>
      </w:r>
      <w:r w:rsidR="00FF7E9E" w:rsidRPr="00311666">
        <w:rPr>
          <w:rFonts w:ascii="Times New Roman" w:hAnsi="Times New Roman" w:cs="Times New Roman"/>
          <w:smallCaps/>
          <w:sz w:val="22"/>
          <w:szCs w:val="22"/>
          <w:u w:val="single"/>
        </w:rPr>
        <w:t xml:space="preserve"> en cohérence avec les ambitions du pays</w:t>
      </w:r>
    </w:p>
    <w:p w:rsidR="00085A54" w:rsidRPr="00A4781F" w:rsidRDefault="00085A54" w:rsidP="00085A54"/>
    <w:p w:rsidR="00AF0A13" w:rsidRPr="00AF0A13" w:rsidRDefault="00AF0A13" w:rsidP="00AF0A13">
      <w:pPr>
        <w:pStyle w:val="Default"/>
        <w:jc w:val="both"/>
        <w:rPr>
          <w:iCs/>
          <w:sz w:val="22"/>
          <w:szCs w:val="22"/>
        </w:rPr>
      </w:pPr>
      <w:r w:rsidRPr="00AF0A13">
        <w:rPr>
          <w:iCs/>
          <w:sz w:val="22"/>
          <w:szCs w:val="22"/>
        </w:rPr>
        <w:t xml:space="preserve">Adopté avec modifications par le Parlement le 28 juin dernier, le projet de budget se fonde sur une prévision de croissance de 7,4 % et anticipe un déficit budgétaire de 12,4 Mds €, soit 5% du PIB. Les ambitieuses hypothèses retenues, tant en termes de croissance que de recettes fiscales et de décaissements, sont sinon irréalistes, du moins très difficiles à atteindre. Il y a donc fort à parier que le budget ne sera pas exécuté dans son intégralité pour la huitième année consécutive. Les objectifs d’allocation budgétaire du cadrage privilégient la Santé et l’Education ainsi que le Programme Annuel de Développement (PAD). </w:t>
      </w:r>
    </w:p>
    <w:p w:rsidR="00AF0A13" w:rsidRPr="00AF0A13" w:rsidRDefault="00AF0A13" w:rsidP="00AF0A13">
      <w:pPr>
        <w:pStyle w:val="Default"/>
        <w:jc w:val="both"/>
        <w:rPr>
          <w:sz w:val="22"/>
          <w:szCs w:val="22"/>
        </w:rPr>
      </w:pPr>
    </w:p>
    <w:p w:rsidR="00AF0A13" w:rsidRDefault="00AF0A13" w:rsidP="00AF0A13">
      <w:pPr>
        <w:pStyle w:val="Default"/>
        <w:jc w:val="both"/>
        <w:rPr>
          <w:iCs/>
          <w:sz w:val="22"/>
          <w:szCs w:val="22"/>
        </w:rPr>
      </w:pPr>
      <w:r w:rsidRPr="00AF0A13">
        <w:rPr>
          <w:iCs/>
          <w:sz w:val="22"/>
          <w:szCs w:val="22"/>
        </w:rPr>
        <w:t xml:space="preserve">Suite à l’intervention de la Première Ministre, la généralisation d’une TVA uniforme de 15% a été reportée de deux ans. Les droits d’accises sur les dépôts bancaires et la taxe sur les exportations de prêt </w:t>
      </w:r>
      <w:r w:rsidRPr="00AF0A13">
        <w:rPr>
          <w:iCs/>
          <w:sz w:val="22"/>
          <w:szCs w:val="22"/>
        </w:rPr>
        <w:lastRenderedPageBreak/>
        <w:t xml:space="preserve">à porter ont </w:t>
      </w:r>
      <w:r w:rsidR="004168D6" w:rsidRPr="00AF0A13">
        <w:rPr>
          <w:iCs/>
          <w:sz w:val="22"/>
          <w:szCs w:val="22"/>
        </w:rPr>
        <w:t xml:space="preserve">par ailleurs </w:t>
      </w:r>
      <w:r w:rsidRPr="00AF0A13">
        <w:rPr>
          <w:iCs/>
          <w:sz w:val="22"/>
          <w:szCs w:val="22"/>
        </w:rPr>
        <w:t xml:space="preserve">été revus à la baisse. L’impact de ces décisions ne sera quantifié que lors de la révision du projet de budget, en milieu d’année fiscale. </w:t>
      </w:r>
    </w:p>
    <w:p w:rsidR="00AF0A13" w:rsidRDefault="00AF0A13" w:rsidP="00AF0A13">
      <w:pPr>
        <w:pStyle w:val="Default"/>
        <w:jc w:val="both"/>
        <w:rPr>
          <w:iCs/>
          <w:sz w:val="22"/>
          <w:szCs w:val="22"/>
        </w:rPr>
      </w:pPr>
    </w:p>
    <w:p w:rsidR="00AF0A13" w:rsidRPr="00AF0A13" w:rsidRDefault="00AF0A13" w:rsidP="00AF0A13">
      <w:pPr>
        <w:pStyle w:val="Default"/>
        <w:jc w:val="both"/>
        <w:rPr>
          <w:b/>
          <w:iCs/>
          <w:sz w:val="22"/>
          <w:szCs w:val="22"/>
        </w:rPr>
      </w:pPr>
      <w:proofErr w:type="gramStart"/>
      <w:r w:rsidRPr="00AF0A13">
        <w:rPr>
          <w:b/>
          <w:iCs/>
          <w:sz w:val="22"/>
          <w:szCs w:val="22"/>
        </w:rPr>
        <w:t>a</w:t>
      </w:r>
      <w:proofErr w:type="gramEnd"/>
      <w:r w:rsidRPr="00AF0A13">
        <w:rPr>
          <w:b/>
          <w:iCs/>
          <w:sz w:val="22"/>
          <w:szCs w:val="22"/>
        </w:rPr>
        <w:t xml:space="preserve">/ Un déficit budgétaire accru en dépit d’une hypothèse de croissance optimiste </w:t>
      </w:r>
    </w:p>
    <w:p w:rsidR="00AF0A13" w:rsidRDefault="00AF0A13" w:rsidP="00AF0A13">
      <w:pPr>
        <w:pStyle w:val="Default"/>
        <w:rPr>
          <w:sz w:val="22"/>
          <w:szCs w:val="22"/>
        </w:rPr>
      </w:pPr>
    </w:p>
    <w:p w:rsidR="00AF0A13" w:rsidRDefault="00AF0A13" w:rsidP="00AF0A13">
      <w:pPr>
        <w:pStyle w:val="Default"/>
        <w:jc w:val="both"/>
        <w:rPr>
          <w:sz w:val="22"/>
          <w:szCs w:val="22"/>
        </w:rPr>
      </w:pPr>
      <w:r>
        <w:rPr>
          <w:sz w:val="22"/>
          <w:szCs w:val="22"/>
        </w:rPr>
        <w:t>Le projet de budget se fonde sur une hypothèse de croissance économique de 7,4% largement supérieure à toutes les prévisions, notamm</w:t>
      </w:r>
      <w:r w:rsidR="00041DBF">
        <w:rPr>
          <w:sz w:val="22"/>
          <w:szCs w:val="22"/>
        </w:rPr>
        <w:t>ent celles de la Banque Mondiale</w:t>
      </w:r>
      <w:r>
        <w:rPr>
          <w:sz w:val="22"/>
          <w:szCs w:val="22"/>
        </w:rPr>
        <w:t xml:space="preserve"> et du FMI qui pronostiquent respectivement 6,4% et 6,9%. Dans le même temps, l’inflation est stable à 5,4%. </w:t>
      </w:r>
    </w:p>
    <w:p w:rsidR="00AF0A13" w:rsidRDefault="00AF0A13" w:rsidP="00AF0A13">
      <w:pPr>
        <w:pStyle w:val="Default"/>
        <w:jc w:val="both"/>
        <w:rPr>
          <w:sz w:val="22"/>
          <w:szCs w:val="22"/>
        </w:rPr>
      </w:pPr>
    </w:p>
    <w:p w:rsidR="00047BE5" w:rsidRPr="003C4F34" w:rsidRDefault="00AF0A13" w:rsidP="003C4F34">
      <w:pPr>
        <w:pStyle w:val="Default"/>
        <w:jc w:val="both"/>
        <w:rPr>
          <w:sz w:val="22"/>
          <w:szCs w:val="22"/>
        </w:rPr>
      </w:pPr>
      <w:r>
        <w:rPr>
          <w:sz w:val="22"/>
          <w:szCs w:val="22"/>
        </w:rPr>
        <w:t xml:space="preserve">Le déficit budgétaire </w:t>
      </w:r>
      <w:r w:rsidR="00041DBF">
        <w:rPr>
          <w:sz w:val="22"/>
          <w:szCs w:val="22"/>
        </w:rPr>
        <w:t xml:space="preserve">y </w:t>
      </w:r>
      <w:r>
        <w:rPr>
          <w:sz w:val="22"/>
          <w:szCs w:val="22"/>
        </w:rPr>
        <w:t xml:space="preserve">est porté à 5% du PIB contre 4,6% l’année précédente. Les dépenses de l'État s’élèveraient à 44,28 Mds € (+26,2% en </w:t>
      </w:r>
      <w:proofErr w:type="spellStart"/>
      <w:r>
        <w:rPr>
          <w:sz w:val="22"/>
          <w:szCs w:val="22"/>
        </w:rPr>
        <w:t>g.a</w:t>
      </w:r>
      <w:proofErr w:type="spellEnd"/>
      <w:r>
        <w:rPr>
          <w:sz w:val="22"/>
          <w:szCs w:val="22"/>
        </w:rPr>
        <w:t xml:space="preserve">) et les recettes nettes à 31,9 Mds € (+31,8% en </w:t>
      </w:r>
      <w:proofErr w:type="spellStart"/>
      <w:r>
        <w:rPr>
          <w:sz w:val="22"/>
          <w:szCs w:val="22"/>
        </w:rPr>
        <w:t>g.a</w:t>
      </w:r>
      <w:proofErr w:type="spellEnd"/>
      <w:r>
        <w:rPr>
          <w:sz w:val="22"/>
          <w:szCs w:val="22"/>
        </w:rPr>
        <w:t xml:space="preserve">). Fin 2016, le stock de la dette publique du Bangladesh était estimé 36% du PIB, dont 13,5 % serait constitué par de la dette externe et 21,3% par de la dette interne. Le financement de la dette externe progresserait de 46,2% en raison d’un accroissement des engagements pris auprès des bailleurs de fonds internationaux, le Bangladesh étant le premier récipiendaire de l’aide internationale. </w:t>
      </w:r>
      <w:r w:rsidR="00585E4D" w:rsidRPr="00AD7464">
        <w:rPr>
          <w:sz w:val="22"/>
        </w:rPr>
        <w:t>La dette intérieure repré</w:t>
      </w:r>
      <w:r w:rsidR="003C4F34">
        <w:rPr>
          <w:sz w:val="22"/>
        </w:rPr>
        <w:t>senterait quant à elle 21,3% du PIB.</w:t>
      </w:r>
    </w:p>
    <w:p w:rsidR="00AF0A13" w:rsidRDefault="00AF0A13" w:rsidP="00AF0A13">
      <w:pPr>
        <w:pStyle w:val="Default"/>
        <w:jc w:val="both"/>
        <w:rPr>
          <w:sz w:val="22"/>
          <w:szCs w:val="22"/>
        </w:rPr>
      </w:pPr>
    </w:p>
    <w:p w:rsidR="00AF0A13" w:rsidRPr="00AF0A13" w:rsidRDefault="00AF0A13" w:rsidP="00AF0A13">
      <w:pPr>
        <w:pStyle w:val="Default"/>
        <w:jc w:val="both"/>
        <w:rPr>
          <w:b/>
          <w:sz w:val="22"/>
          <w:szCs w:val="22"/>
        </w:rPr>
      </w:pPr>
      <w:proofErr w:type="gramStart"/>
      <w:r w:rsidRPr="00AF0A13">
        <w:rPr>
          <w:b/>
          <w:sz w:val="22"/>
          <w:szCs w:val="22"/>
        </w:rPr>
        <w:t>b</w:t>
      </w:r>
      <w:proofErr w:type="gramEnd"/>
      <w:r w:rsidRPr="00AF0A13">
        <w:rPr>
          <w:b/>
          <w:sz w:val="22"/>
          <w:szCs w:val="22"/>
        </w:rPr>
        <w:t xml:space="preserve">/ Accentuation de la pression fiscale pour financer des besoins en hausse très sensible </w:t>
      </w:r>
    </w:p>
    <w:p w:rsidR="00AF0A13" w:rsidRDefault="00AF0A13" w:rsidP="00AF0A13">
      <w:pPr>
        <w:pStyle w:val="Default"/>
        <w:jc w:val="both"/>
        <w:rPr>
          <w:sz w:val="22"/>
          <w:szCs w:val="22"/>
        </w:rPr>
      </w:pPr>
    </w:p>
    <w:p w:rsidR="00AF0A13" w:rsidRDefault="00AF0A13" w:rsidP="00041DBF">
      <w:pPr>
        <w:pStyle w:val="Default"/>
        <w:jc w:val="both"/>
        <w:rPr>
          <w:color w:val="auto"/>
          <w:sz w:val="22"/>
          <w:szCs w:val="22"/>
        </w:rPr>
      </w:pPr>
      <w:r>
        <w:rPr>
          <w:color w:val="auto"/>
          <w:sz w:val="22"/>
          <w:szCs w:val="22"/>
        </w:rPr>
        <w:t xml:space="preserve">Représentant 18% du PIB, les dépenses sont estimées à 44,3 Mds €, soit une progression de 26,2% par rapport à l’année écoulée. Avec 51,7% du total, les dépenses hors programme de développement (+16,2%) sont majoritaires, celles affectées au Programme Annuel de développement (PAD) n’en représentant que 38,3%. Les priorités sectorielles du PAD sont les suivantes : éducation, santé, transports, développement rural et énergie. </w:t>
      </w:r>
    </w:p>
    <w:p w:rsidR="001E28AD" w:rsidRDefault="001E28AD" w:rsidP="001E28AD">
      <w:pPr>
        <w:pStyle w:val="Default"/>
        <w:jc w:val="both"/>
        <w:rPr>
          <w:color w:val="auto"/>
          <w:sz w:val="22"/>
          <w:szCs w:val="22"/>
        </w:rPr>
      </w:pPr>
    </w:p>
    <w:p w:rsidR="00AF0A13" w:rsidRDefault="00AF0A13" w:rsidP="001E28AD">
      <w:pPr>
        <w:pStyle w:val="Default"/>
        <w:jc w:val="both"/>
        <w:rPr>
          <w:color w:val="auto"/>
          <w:sz w:val="22"/>
          <w:szCs w:val="22"/>
        </w:rPr>
      </w:pPr>
      <w:r>
        <w:rPr>
          <w:color w:val="auto"/>
          <w:sz w:val="22"/>
          <w:szCs w:val="22"/>
        </w:rPr>
        <w:t>Dans le même temps, ce projet anticipe une progression significative des recettes (32%) à la faveur d’une augmentation très</w:t>
      </w:r>
      <w:r w:rsidR="004C1FEA">
        <w:rPr>
          <w:color w:val="auto"/>
          <w:sz w:val="22"/>
          <w:szCs w:val="22"/>
        </w:rPr>
        <w:t xml:space="preserve"> ambitieuse (34,1%) des revenus fiscaux</w:t>
      </w:r>
      <w:r>
        <w:rPr>
          <w:color w:val="auto"/>
          <w:sz w:val="22"/>
          <w:szCs w:val="22"/>
        </w:rPr>
        <w:t xml:space="preserve"> qui comptent pour 89% des ressources budgétaires du pays. Dans l’hypothèse la plus favorable, 56,6% des revenus fiscaux seraient alimentés par le produit d’impôts indirects dont 31,6% pour la seule TVA. La part de l’impôt sur le revenu serait de 29,5% </w:t>
      </w:r>
      <w:r w:rsidR="001E28AD">
        <w:rPr>
          <w:color w:val="auto"/>
          <w:sz w:val="22"/>
          <w:szCs w:val="22"/>
        </w:rPr>
        <w:t xml:space="preserve"> </w:t>
      </w:r>
      <w:r>
        <w:rPr>
          <w:color w:val="auto"/>
          <w:sz w:val="22"/>
          <w:szCs w:val="22"/>
        </w:rPr>
        <w:t xml:space="preserve">Le déficit budgétaire passerait quant à lui de 10,7 Mds € à 12,3 Mds €. </w:t>
      </w:r>
    </w:p>
    <w:p w:rsidR="00AD7464" w:rsidRPr="00085A54" w:rsidRDefault="00AD7464" w:rsidP="00085A54">
      <w:pPr>
        <w:jc w:val="both"/>
        <w:rPr>
          <w:rFonts w:ascii="Times New Roman" w:hAnsi="Times New Roman" w:cs="Times New Roman"/>
          <w:sz w:val="22"/>
          <w:szCs w:val="22"/>
        </w:rPr>
      </w:pPr>
    </w:p>
    <w:p w:rsidR="00085A54" w:rsidRPr="00832A98" w:rsidRDefault="00832A98" w:rsidP="00665A12">
      <w:pPr>
        <w:jc w:val="both"/>
        <w:rPr>
          <w:rFonts w:ascii="Times New Roman" w:hAnsi="Times New Roman" w:cs="Times New Roman"/>
          <w:smallCaps/>
          <w:sz w:val="22"/>
          <w:szCs w:val="22"/>
        </w:rPr>
      </w:pPr>
      <w:r w:rsidRPr="00832A98">
        <w:rPr>
          <w:rFonts w:ascii="Times New Roman" w:hAnsi="Times New Roman" w:cs="Times New Roman"/>
          <w:smallCaps/>
          <w:sz w:val="22"/>
          <w:szCs w:val="22"/>
        </w:rPr>
        <w:t>1.4</w:t>
      </w:r>
      <w:r w:rsidR="00C67EC0" w:rsidRPr="00832A98">
        <w:rPr>
          <w:rFonts w:ascii="Times New Roman" w:hAnsi="Times New Roman" w:cs="Times New Roman"/>
          <w:smallCaps/>
          <w:sz w:val="22"/>
          <w:szCs w:val="22"/>
        </w:rPr>
        <w:t xml:space="preserve"> </w:t>
      </w:r>
      <w:r w:rsidR="001C3F65" w:rsidRPr="003C4F34">
        <w:rPr>
          <w:rFonts w:ascii="Times New Roman" w:hAnsi="Times New Roman" w:cs="Times New Roman"/>
          <w:smallCaps/>
          <w:sz w:val="22"/>
          <w:szCs w:val="22"/>
          <w:u w:val="single"/>
        </w:rPr>
        <w:t>Risque de crise de change et réserves de devises</w:t>
      </w:r>
      <w:r w:rsidR="001C3F65" w:rsidRPr="00832A98">
        <w:rPr>
          <w:rFonts w:ascii="Times New Roman" w:hAnsi="Times New Roman" w:cs="Times New Roman"/>
          <w:smallCaps/>
          <w:sz w:val="22"/>
          <w:szCs w:val="22"/>
        </w:rPr>
        <w:t xml:space="preserve"> </w:t>
      </w:r>
    </w:p>
    <w:p w:rsidR="00832A98" w:rsidRDefault="00832A98" w:rsidP="00665A12">
      <w:pPr>
        <w:jc w:val="both"/>
        <w:rPr>
          <w:rFonts w:ascii="Times New Roman" w:hAnsi="Times New Roman" w:cs="Times New Roman"/>
          <w:b/>
          <w:sz w:val="22"/>
          <w:szCs w:val="22"/>
        </w:rPr>
      </w:pPr>
    </w:p>
    <w:p w:rsidR="007979DF" w:rsidRDefault="00B21F16" w:rsidP="003C4F34">
      <w:pPr>
        <w:jc w:val="both"/>
        <w:rPr>
          <w:rFonts w:ascii="Times New Roman" w:hAnsi="Times New Roman" w:cs="Times New Roman"/>
          <w:sz w:val="23"/>
          <w:szCs w:val="23"/>
        </w:rPr>
      </w:pPr>
      <w:r>
        <w:rPr>
          <w:rFonts w:ascii="Times New Roman" w:hAnsi="Times New Roman" w:cs="Times New Roman"/>
          <w:sz w:val="23"/>
          <w:szCs w:val="23"/>
        </w:rPr>
        <w:t>Le Taka a été stable vis-à-vis du Dollar américain et s’est déprécié de 6% par rapport à l’Euro</w:t>
      </w:r>
      <w:r w:rsidR="007979DF">
        <w:rPr>
          <w:rFonts w:ascii="Times New Roman" w:hAnsi="Times New Roman" w:cs="Times New Roman"/>
          <w:sz w:val="23"/>
          <w:szCs w:val="23"/>
        </w:rPr>
        <w:t xml:space="preserve"> de juillet 2016 à juin 2007</w:t>
      </w:r>
      <w:r>
        <w:rPr>
          <w:rFonts w:ascii="Times New Roman" w:hAnsi="Times New Roman" w:cs="Times New Roman"/>
          <w:sz w:val="23"/>
          <w:szCs w:val="23"/>
        </w:rPr>
        <w:t xml:space="preserve">. </w:t>
      </w:r>
      <w:r w:rsidR="00861B70">
        <w:rPr>
          <w:rFonts w:ascii="Times New Roman" w:hAnsi="Times New Roman" w:cs="Times New Roman"/>
          <w:sz w:val="23"/>
          <w:szCs w:val="23"/>
        </w:rPr>
        <w:t>Les réserves de change sont</w:t>
      </w:r>
      <w:r w:rsidR="007979DF">
        <w:rPr>
          <w:rFonts w:ascii="Times New Roman" w:hAnsi="Times New Roman" w:cs="Times New Roman"/>
          <w:sz w:val="23"/>
          <w:szCs w:val="23"/>
        </w:rPr>
        <w:t xml:space="preserve"> d’autre part</w:t>
      </w:r>
      <w:r w:rsidR="00861B70">
        <w:rPr>
          <w:rFonts w:ascii="Times New Roman" w:hAnsi="Times New Roman" w:cs="Times New Roman"/>
          <w:sz w:val="23"/>
          <w:szCs w:val="23"/>
        </w:rPr>
        <w:t xml:space="preserve"> équivalentes à 9 mois d’importations. </w:t>
      </w:r>
    </w:p>
    <w:p w:rsidR="007979DF" w:rsidRDefault="007979DF" w:rsidP="003C4F34">
      <w:pPr>
        <w:jc w:val="both"/>
        <w:rPr>
          <w:rFonts w:ascii="Times New Roman" w:hAnsi="Times New Roman" w:cs="Times New Roman"/>
          <w:sz w:val="23"/>
          <w:szCs w:val="23"/>
        </w:rPr>
      </w:pPr>
    </w:p>
    <w:p w:rsidR="00F8318F" w:rsidRPr="003C4F34" w:rsidRDefault="00861B70" w:rsidP="003C4F34">
      <w:pPr>
        <w:jc w:val="both"/>
        <w:rPr>
          <w:rFonts w:ascii="Times New Roman" w:hAnsi="Times New Roman" w:cs="Times New Roman"/>
          <w:sz w:val="23"/>
          <w:szCs w:val="23"/>
        </w:rPr>
      </w:pPr>
      <w:r>
        <w:rPr>
          <w:rFonts w:ascii="Times New Roman" w:hAnsi="Times New Roman" w:cs="Times New Roman"/>
          <w:sz w:val="23"/>
          <w:szCs w:val="23"/>
        </w:rPr>
        <w:t>Compte tenu de la forte dépendance du pays à l’égard des importations, la Bank of Bangladesh s’efforce de contrôler les risques d’appréciation de la devise locale.</w:t>
      </w:r>
      <w:r w:rsidR="00664366">
        <w:rPr>
          <w:rFonts w:ascii="Times New Roman" w:hAnsi="Times New Roman" w:cs="Times New Roman"/>
          <w:sz w:val="23"/>
          <w:szCs w:val="23"/>
        </w:rPr>
        <w:t xml:space="preserve"> </w:t>
      </w:r>
      <w:r w:rsidR="007979DF">
        <w:rPr>
          <w:rFonts w:ascii="Times New Roman" w:hAnsi="Times New Roman" w:cs="Times New Roman"/>
          <w:sz w:val="23"/>
          <w:szCs w:val="23"/>
        </w:rPr>
        <w:t>U</w:t>
      </w:r>
      <w:r w:rsidR="00664366">
        <w:rPr>
          <w:rFonts w:ascii="Times New Roman" w:hAnsi="Times New Roman" w:cs="Times New Roman"/>
          <w:sz w:val="23"/>
          <w:szCs w:val="23"/>
        </w:rPr>
        <w:t>ne crise de change et une dégradation des réserves de change à court terme</w:t>
      </w:r>
      <w:r w:rsidR="007979DF">
        <w:rPr>
          <w:rFonts w:ascii="Times New Roman" w:hAnsi="Times New Roman" w:cs="Times New Roman"/>
          <w:sz w:val="23"/>
          <w:szCs w:val="23"/>
        </w:rPr>
        <w:t xml:space="preserve"> n’est pas une hypothèse retenue par la Bank of Bangladesh</w:t>
      </w:r>
      <w:r w:rsidR="00664366">
        <w:rPr>
          <w:rFonts w:ascii="Times New Roman" w:hAnsi="Times New Roman" w:cs="Times New Roman"/>
          <w:sz w:val="23"/>
          <w:szCs w:val="23"/>
        </w:rPr>
        <w:t xml:space="preserve">. </w:t>
      </w:r>
    </w:p>
    <w:p w:rsidR="000D7D64" w:rsidRDefault="000D7D64" w:rsidP="002B2ACB">
      <w:pPr>
        <w:jc w:val="both"/>
        <w:rPr>
          <w:rFonts w:ascii="Times New Roman" w:hAnsi="Times New Roman" w:cs="Times New Roman"/>
          <w:sz w:val="22"/>
          <w:szCs w:val="22"/>
        </w:rPr>
      </w:pPr>
    </w:p>
    <w:p w:rsidR="001C3F65" w:rsidRPr="00585E4D" w:rsidRDefault="001D727E" w:rsidP="002B2ACB">
      <w:pPr>
        <w:jc w:val="both"/>
        <w:rPr>
          <w:rFonts w:ascii="Times New Roman" w:hAnsi="Times New Roman" w:cs="Times New Roman"/>
          <w:sz w:val="22"/>
          <w:szCs w:val="22"/>
        </w:rPr>
      </w:pPr>
      <w:r w:rsidRPr="00585E4D">
        <w:rPr>
          <w:rFonts w:ascii="Times New Roman" w:hAnsi="Times New Roman" w:cs="Times New Roman"/>
          <w:sz w:val="22"/>
          <w:szCs w:val="22"/>
        </w:rPr>
        <w:t>1.5</w:t>
      </w:r>
      <w:r w:rsidR="000D7D64" w:rsidRPr="00585E4D">
        <w:rPr>
          <w:rFonts w:ascii="Times New Roman" w:hAnsi="Times New Roman" w:cs="Times New Roman"/>
          <w:sz w:val="22"/>
          <w:szCs w:val="22"/>
        </w:rPr>
        <w:t xml:space="preserve"> </w:t>
      </w:r>
      <w:r w:rsidR="00585E4D" w:rsidRPr="003C4F34">
        <w:rPr>
          <w:rFonts w:ascii="Times New Roman" w:hAnsi="Times New Roman" w:cs="Times New Roman"/>
          <w:smallCaps/>
          <w:sz w:val="22"/>
          <w:szCs w:val="22"/>
          <w:u w:val="single"/>
        </w:rPr>
        <w:t>L’atomisation du secteur bancaire ne facilite par sa restructuration</w:t>
      </w:r>
    </w:p>
    <w:p w:rsidR="00585E4D" w:rsidRDefault="00585E4D" w:rsidP="002B2ACB">
      <w:pPr>
        <w:jc w:val="both"/>
        <w:rPr>
          <w:rFonts w:ascii="Times New Roman" w:hAnsi="Times New Roman" w:cs="Times New Roman"/>
          <w:b/>
          <w:sz w:val="22"/>
          <w:szCs w:val="22"/>
        </w:rPr>
      </w:pPr>
    </w:p>
    <w:p w:rsidR="002B7A9F" w:rsidRDefault="00606A57" w:rsidP="00606A57">
      <w:pPr>
        <w:jc w:val="both"/>
        <w:rPr>
          <w:rFonts w:ascii="Times" w:hAnsi="Times" w:cs="Times New Roman"/>
          <w:sz w:val="22"/>
          <w:szCs w:val="22"/>
        </w:rPr>
      </w:pPr>
      <w:r w:rsidRPr="00EC2B5B">
        <w:rPr>
          <w:rFonts w:ascii="Times" w:hAnsi="Times" w:cs="Times New Roman"/>
          <w:sz w:val="22"/>
          <w:szCs w:val="22"/>
        </w:rPr>
        <w:t>Le secteur bancaire</w:t>
      </w:r>
      <w:r>
        <w:rPr>
          <w:rFonts w:ascii="Times" w:hAnsi="Times" w:cs="Times New Roman"/>
          <w:sz w:val="22"/>
          <w:szCs w:val="22"/>
        </w:rPr>
        <w:t xml:space="preserve"> local demeure très peu utilisé pour le f</w:t>
      </w:r>
      <w:r w:rsidRPr="00EC2B5B">
        <w:rPr>
          <w:rFonts w:ascii="Times" w:hAnsi="Times" w:cs="Times New Roman"/>
          <w:sz w:val="22"/>
          <w:szCs w:val="22"/>
        </w:rPr>
        <w:t>inancement</w:t>
      </w:r>
      <w:r>
        <w:rPr>
          <w:rFonts w:ascii="Times" w:hAnsi="Times" w:cs="Times New Roman"/>
          <w:sz w:val="22"/>
          <w:szCs w:val="22"/>
        </w:rPr>
        <w:t xml:space="preserve"> des projets de modernisation des infrastructures ainsi que </w:t>
      </w:r>
      <w:r w:rsidR="003C4F34">
        <w:rPr>
          <w:rFonts w:ascii="Times" w:hAnsi="Times" w:cs="Times New Roman"/>
          <w:sz w:val="22"/>
          <w:szCs w:val="22"/>
        </w:rPr>
        <w:t xml:space="preserve">pour </w:t>
      </w:r>
      <w:r>
        <w:rPr>
          <w:rFonts w:ascii="Times" w:hAnsi="Times" w:cs="Times New Roman"/>
          <w:sz w:val="22"/>
          <w:szCs w:val="22"/>
        </w:rPr>
        <w:t>ceux du secteur privé, qu’il</w:t>
      </w:r>
      <w:r w:rsidR="002B7A9F">
        <w:rPr>
          <w:rFonts w:ascii="Times" w:hAnsi="Times" w:cs="Times New Roman"/>
          <w:sz w:val="22"/>
          <w:szCs w:val="22"/>
        </w:rPr>
        <w:t>s</w:t>
      </w:r>
      <w:r>
        <w:rPr>
          <w:rFonts w:ascii="Times" w:hAnsi="Times" w:cs="Times New Roman"/>
          <w:sz w:val="22"/>
          <w:szCs w:val="22"/>
        </w:rPr>
        <w:t xml:space="preserve"> s’agissent de </w:t>
      </w:r>
      <w:r w:rsidR="002B7A9F">
        <w:rPr>
          <w:rFonts w:ascii="Times" w:hAnsi="Times" w:cs="Times New Roman"/>
          <w:sz w:val="22"/>
          <w:szCs w:val="22"/>
        </w:rPr>
        <w:t>grand</w:t>
      </w:r>
      <w:r>
        <w:rPr>
          <w:rFonts w:ascii="Times" w:hAnsi="Times" w:cs="Times New Roman"/>
          <w:sz w:val="22"/>
          <w:szCs w:val="22"/>
        </w:rPr>
        <w:t xml:space="preserve">s </w:t>
      </w:r>
      <w:r w:rsidR="002B7A9F">
        <w:rPr>
          <w:rFonts w:ascii="Times" w:hAnsi="Times" w:cs="Times New Roman"/>
          <w:sz w:val="22"/>
          <w:szCs w:val="22"/>
        </w:rPr>
        <w:t>groupes ou de PME</w:t>
      </w:r>
      <w:r>
        <w:rPr>
          <w:rFonts w:ascii="Times" w:hAnsi="Times" w:cs="Times New Roman"/>
          <w:sz w:val="22"/>
          <w:szCs w:val="22"/>
        </w:rPr>
        <w:t>.</w:t>
      </w:r>
      <w:r w:rsidRPr="00EC2B5B">
        <w:rPr>
          <w:rFonts w:ascii="Times" w:hAnsi="Times" w:cs="Times New Roman"/>
          <w:sz w:val="22"/>
          <w:szCs w:val="22"/>
        </w:rPr>
        <w:t xml:space="preserve"> Sa compétitivité est grevée par un ratio de prêt</w:t>
      </w:r>
      <w:r>
        <w:rPr>
          <w:rFonts w:ascii="Times" w:hAnsi="Times" w:cs="Times New Roman"/>
          <w:sz w:val="22"/>
          <w:szCs w:val="22"/>
        </w:rPr>
        <w:t>s</w:t>
      </w:r>
      <w:r w:rsidRPr="00EC2B5B">
        <w:rPr>
          <w:rFonts w:ascii="Times" w:hAnsi="Times" w:cs="Times New Roman"/>
          <w:sz w:val="22"/>
          <w:szCs w:val="22"/>
        </w:rPr>
        <w:t xml:space="preserve"> non performant</w:t>
      </w:r>
      <w:r>
        <w:rPr>
          <w:rFonts w:ascii="Times" w:hAnsi="Times" w:cs="Times New Roman"/>
          <w:sz w:val="22"/>
          <w:szCs w:val="22"/>
        </w:rPr>
        <w:t>s</w:t>
      </w:r>
      <w:r w:rsidRPr="00EC2B5B">
        <w:rPr>
          <w:rFonts w:ascii="Times" w:hAnsi="Times" w:cs="Times New Roman"/>
          <w:sz w:val="22"/>
          <w:szCs w:val="22"/>
        </w:rPr>
        <w:t xml:space="preserve"> dépassant les 10%. Avec un spread de crédit </w:t>
      </w:r>
      <w:r>
        <w:rPr>
          <w:rFonts w:ascii="Times" w:hAnsi="Times" w:cs="Times New Roman"/>
          <w:sz w:val="22"/>
          <w:szCs w:val="22"/>
        </w:rPr>
        <w:t xml:space="preserve">de </w:t>
      </w:r>
      <w:r w:rsidRPr="00EC2B5B">
        <w:rPr>
          <w:rFonts w:ascii="Times" w:hAnsi="Times" w:cs="Times New Roman"/>
          <w:sz w:val="22"/>
          <w:szCs w:val="22"/>
        </w:rPr>
        <w:t xml:space="preserve">4,72%, les taux d’intérêts </w:t>
      </w:r>
      <w:r>
        <w:rPr>
          <w:rFonts w:ascii="Times" w:hAnsi="Times" w:cs="Times New Roman"/>
          <w:sz w:val="22"/>
          <w:szCs w:val="22"/>
        </w:rPr>
        <w:t xml:space="preserve">pratiqués sont rarement inférieurs à 9% (9,56% </w:t>
      </w:r>
      <w:r w:rsidR="00861B70">
        <w:rPr>
          <w:rFonts w:ascii="Times" w:hAnsi="Times" w:cs="Times New Roman"/>
          <w:sz w:val="22"/>
          <w:szCs w:val="22"/>
        </w:rPr>
        <w:t>en moyenne)</w:t>
      </w:r>
      <w:r w:rsidRPr="00EC2B5B">
        <w:rPr>
          <w:rFonts w:ascii="Times" w:hAnsi="Times" w:cs="Times New Roman"/>
          <w:sz w:val="22"/>
          <w:szCs w:val="22"/>
        </w:rPr>
        <w:t xml:space="preserve"> selon les données de la Banque Centrale. </w:t>
      </w:r>
    </w:p>
    <w:p w:rsidR="002B7A9F" w:rsidRDefault="002B7A9F" w:rsidP="00606A57">
      <w:pPr>
        <w:jc w:val="both"/>
        <w:rPr>
          <w:rFonts w:ascii="Times" w:hAnsi="Times" w:cs="Times New Roman"/>
          <w:sz w:val="22"/>
          <w:szCs w:val="22"/>
        </w:rPr>
      </w:pPr>
    </w:p>
    <w:p w:rsidR="00606A57" w:rsidRDefault="00606A57" w:rsidP="00606A57">
      <w:pPr>
        <w:jc w:val="both"/>
        <w:rPr>
          <w:rFonts w:ascii="Times" w:hAnsi="Times" w:cs="Times New Roman"/>
          <w:sz w:val="22"/>
          <w:szCs w:val="22"/>
        </w:rPr>
      </w:pPr>
      <w:r w:rsidRPr="00EC2B5B">
        <w:rPr>
          <w:rFonts w:ascii="Times" w:hAnsi="Times" w:cs="Times New Roman"/>
          <w:sz w:val="22"/>
          <w:szCs w:val="22"/>
        </w:rPr>
        <w:t>Additionné</w:t>
      </w:r>
      <w:r>
        <w:rPr>
          <w:rFonts w:ascii="Times" w:hAnsi="Times" w:cs="Times New Roman"/>
          <w:sz w:val="22"/>
          <w:szCs w:val="22"/>
        </w:rPr>
        <w:t>e</w:t>
      </w:r>
      <w:r w:rsidRPr="00EC2B5B">
        <w:rPr>
          <w:rFonts w:ascii="Times" w:hAnsi="Times" w:cs="Times New Roman"/>
          <w:sz w:val="22"/>
          <w:szCs w:val="22"/>
        </w:rPr>
        <w:t>s aux garanties sollicité</w:t>
      </w:r>
      <w:r>
        <w:rPr>
          <w:rFonts w:ascii="Times" w:hAnsi="Times" w:cs="Times New Roman"/>
          <w:sz w:val="22"/>
          <w:szCs w:val="22"/>
        </w:rPr>
        <w:t>e</w:t>
      </w:r>
      <w:r w:rsidRPr="00EC2B5B">
        <w:rPr>
          <w:rFonts w:ascii="Times" w:hAnsi="Times" w:cs="Times New Roman"/>
          <w:sz w:val="22"/>
          <w:szCs w:val="22"/>
        </w:rPr>
        <w:t xml:space="preserve">s, les modalités d’accès aux emprunts sont prohibitives. </w:t>
      </w:r>
      <w:r>
        <w:rPr>
          <w:rFonts w:ascii="Times" w:hAnsi="Times" w:cs="Times New Roman"/>
          <w:sz w:val="22"/>
          <w:szCs w:val="22"/>
        </w:rPr>
        <w:t xml:space="preserve">En dépit d’un excès de liquidité, les banques locales, qu’elles soient privées ou publiques, ne sont pas en mesure de concurrencer l’offre </w:t>
      </w:r>
      <w:r w:rsidR="003C4F34">
        <w:rPr>
          <w:rFonts w:ascii="Times" w:hAnsi="Times" w:cs="Times New Roman"/>
          <w:sz w:val="22"/>
          <w:szCs w:val="22"/>
        </w:rPr>
        <w:t>des banques étrangères</w:t>
      </w:r>
      <w:r w:rsidR="004C1FEA">
        <w:rPr>
          <w:rFonts w:ascii="Times" w:hAnsi="Times" w:cs="Times New Roman"/>
          <w:sz w:val="22"/>
          <w:szCs w:val="22"/>
        </w:rPr>
        <w:t xml:space="preserve"> et ne</w:t>
      </w:r>
      <w:r w:rsidR="000664B8">
        <w:rPr>
          <w:rFonts w:ascii="Times" w:hAnsi="Times" w:cs="Times New Roman"/>
          <w:sz w:val="22"/>
          <w:szCs w:val="22"/>
        </w:rPr>
        <w:t xml:space="preserve"> </w:t>
      </w:r>
      <w:r w:rsidR="00C81FF7">
        <w:rPr>
          <w:rFonts w:ascii="Times" w:hAnsi="Times" w:cs="Times New Roman"/>
          <w:sz w:val="22"/>
          <w:szCs w:val="22"/>
        </w:rPr>
        <w:t>contribuent que marginalement au développement économique du pays</w:t>
      </w:r>
      <w:r>
        <w:rPr>
          <w:rFonts w:ascii="Times" w:hAnsi="Times" w:cs="Times New Roman"/>
          <w:sz w:val="22"/>
          <w:szCs w:val="22"/>
        </w:rPr>
        <w:t xml:space="preserve">. </w:t>
      </w:r>
    </w:p>
    <w:p w:rsidR="00606A57" w:rsidRDefault="00606A57" w:rsidP="00606A57">
      <w:pPr>
        <w:jc w:val="both"/>
        <w:rPr>
          <w:rFonts w:ascii="Times" w:hAnsi="Times" w:cs="Times New Roman"/>
          <w:sz w:val="22"/>
          <w:szCs w:val="22"/>
        </w:rPr>
      </w:pPr>
    </w:p>
    <w:p w:rsidR="00585E4D" w:rsidRDefault="00C81FF7" w:rsidP="00585E4D">
      <w:pPr>
        <w:jc w:val="both"/>
        <w:rPr>
          <w:rFonts w:ascii="Times New Roman" w:hAnsi="Times New Roman" w:cs="Times New Roman"/>
          <w:sz w:val="22"/>
        </w:rPr>
      </w:pPr>
      <w:r>
        <w:rPr>
          <w:rFonts w:ascii="Times New Roman" w:hAnsi="Times New Roman" w:cs="Times New Roman"/>
          <w:sz w:val="22"/>
        </w:rPr>
        <w:lastRenderedPageBreak/>
        <w:t xml:space="preserve">D’autre part, il est peu probable que les banques publiques puissent </w:t>
      </w:r>
      <w:r w:rsidR="00B477A4">
        <w:rPr>
          <w:rFonts w:ascii="Times New Roman" w:hAnsi="Times New Roman" w:cs="Times New Roman"/>
          <w:sz w:val="22"/>
        </w:rPr>
        <w:t xml:space="preserve">se mettre en </w:t>
      </w:r>
      <w:r>
        <w:rPr>
          <w:rFonts w:ascii="Times New Roman" w:hAnsi="Times New Roman" w:cs="Times New Roman"/>
          <w:sz w:val="22"/>
        </w:rPr>
        <w:t xml:space="preserve">conformité avec les </w:t>
      </w:r>
      <w:r w:rsidR="00585E4D">
        <w:rPr>
          <w:rFonts w:ascii="Times New Roman" w:hAnsi="Times New Roman" w:cs="Times New Roman"/>
          <w:sz w:val="22"/>
        </w:rPr>
        <w:t>exigences de Bâle III d’ici 2019</w:t>
      </w:r>
      <w:r>
        <w:rPr>
          <w:rFonts w:ascii="Times New Roman" w:hAnsi="Times New Roman" w:cs="Times New Roman"/>
          <w:sz w:val="22"/>
        </w:rPr>
        <w:t>. L</w:t>
      </w:r>
      <w:r w:rsidR="003B1E3A">
        <w:rPr>
          <w:rFonts w:ascii="Times New Roman" w:hAnsi="Times New Roman" w:cs="Times New Roman"/>
          <w:sz w:val="22"/>
        </w:rPr>
        <w:t>e ratio</w:t>
      </w:r>
      <w:r w:rsidR="00A132D6">
        <w:rPr>
          <w:rFonts w:ascii="Times New Roman" w:hAnsi="Times New Roman" w:cs="Times New Roman"/>
          <w:sz w:val="22"/>
        </w:rPr>
        <w:t xml:space="preserve"> d’adéquation d</w:t>
      </w:r>
      <w:r w:rsidR="00B477A4">
        <w:rPr>
          <w:rFonts w:ascii="Times New Roman" w:hAnsi="Times New Roman" w:cs="Times New Roman"/>
          <w:sz w:val="22"/>
        </w:rPr>
        <w:t>es fonds propres de ces banques</w:t>
      </w:r>
      <w:r w:rsidR="00A132D6">
        <w:rPr>
          <w:rFonts w:ascii="Times New Roman" w:hAnsi="Times New Roman" w:cs="Times New Roman"/>
          <w:sz w:val="22"/>
        </w:rPr>
        <w:t xml:space="preserve"> </w:t>
      </w:r>
      <w:r w:rsidR="003B1E3A">
        <w:rPr>
          <w:rFonts w:ascii="Times New Roman" w:hAnsi="Times New Roman" w:cs="Times New Roman"/>
          <w:sz w:val="22"/>
        </w:rPr>
        <w:t xml:space="preserve">serait à peine supérieur à 6%. </w:t>
      </w:r>
    </w:p>
    <w:p w:rsidR="00585E4D" w:rsidRDefault="00585E4D" w:rsidP="00585E4D">
      <w:pPr>
        <w:jc w:val="both"/>
        <w:rPr>
          <w:rFonts w:ascii="Times New Roman" w:hAnsi="Times New Roman" w:cs="Times New Roman"/>
          <w:sz w:val="22"/>
        </w:rPr>
      </w:pPr>
    </w:p>
    <w:p w:rsidR="00585E4D" w:rsidRPr="00C67EC0" w:rsidRDefault="00585E4D" w:rsidP="00585E4D">
      <w:pPr>
        <w:jc w:val="both"/>
        <w:rPr>
          <w:rFonts w:ascii="Times New Roman" w:hAnsi="Times New Roman" w:cs="Times New Roman"/>
          <w:sz w:val="22"/>
          <w:szCs w:val="22"/>
        </w:rPr>
      </w:pPr>
      <w:r w:rsidRPr="00C67EC0">
        <w:rPr>
          <w:rFonts w:ascii="Times New Roman" w:hAnsi="Times New Roman" w:cs="Times New Roman"/>
          <w:sz w:val="22"/>
          <w:szCs w:val="22"/>
        </w:rPr>
        <w:t xml:space="preserve">Enfin, </w:t>
      </w:r>
      <w:r w:rsidRPr="001D727E">
        <w:rPr>
          <w:rFonts w:ascii="Times New Roman" w:hAnsi="Times New Roman" w:cs="Times New Roman"/>
          <w:sz w:val="22"/>
          <w:szCs w:val="22"/>
        </w:rPr>
        <w:t xml:space="preserve">l’environnement des affaires demeure contraignant, </w:t>
      </w:r>
      <w:r w:rsidRPr="00C67EC0">
        <w:rPr>
          <w:rFonts w:ascii="Times New Roman" w:hAnsi="Times New Roman" w:cs="Times New Roman"/>
          <w:sz w:val="22"/>
          <w:szCs w:val="22"/>
        </w:rPr>
        <w:t xml:space="preserve">marqué </w:t>
      </w:r>
      <w:r w:rsidR="00DF2586">
        <w:rPr>
          <w:rFonts w:ascii="Times New Roman" w:hAnsi="Times New Roman" w:cs="Times New Roman"/>
          <w:sz w:val="22"/>
          <w:szCs w:val="22"/>
        </w:rPr>
        <w:t xml:space="preserve">qu’il est </w:t>
      </w:r>
      <w:r w:rsidRPr="00C67EC0">
        <w:rPr>
          <w:rFonts w:ascii="Times New Roman" w:hAnsi="Times New Roman" w:cs="Times New Roman"/>
          <w:sz w:val="22"/>
          <w:szCs w:val="22"/>
        </w:rPr>
        <w:t xml:space="preserve">par des procédures administratives longues et coûteuses, une bureaucratie souvent arbitraire et corrompue </w:t>
      </w:r>
      <w:r w:rsidR="003B1E3A">
        <w:rPr>
          <w:rFonts w:ascii="Times New Roman" w:hAnsi="Times New Roman" w:cs="Times New Roman"/>
          <w:sz w:val="22"/>
          <w:szCs w:val="22"/>
        </w:rPr>
        <w:t xml:space="preserve">ainsi qu’un </w:t>
      </w:r>
      <w:r w:rsidRPr="00C67EC0">
        <w:rPr>
          <w:rFonts w:ascii="Times New Roman" w:hAnsi="Times New Roman" w:cs="Times New Roman"/>
          <w:sz w:val="22"/>
          <w:szCs w:val="22"/>
        </w:rPr>
        <w:t xml:space="preserve">environnement juridique opaque voire imprévisible. </w:t>
      </w:r>
      <w:r w:rsidR="00C951B8">
        <w:rPr>
          <w:rFonts w:ascii="Times New Roman" w:hAnsi="Times New Roman" w:cs="Times New Roman"/>
          <w:sz w:val="22"/>
          <w:szCs w:val="22"/>
        </w:rPr>
        <w:t xml:space="preserve">Témoin de cette situation, </w:t>
      </w:r>
      <w:r w:rsidR="003B1E3A">
        <w:rPr>
          <w:rFonts w:ascii="Times New Roman" w:hAnsi="Times New Roman" w:cs="Times New Roman"/>
          <w:sz w:val="22"/>
          <w:szCs w:val="22"/>
        </w:rPr>
        <w:t xml:space="preserve">le Bangladesh </w:t>
      </w:r>
      <w:r w:rsidR="00C951B8">
        <w:rPr>
          <w:rFonts w:ascii="Times New Roman" w:hAnsi="Times New Roman" w:cs="Times New Roman"/>
          <w:sz w:val="22"/>
          <w:szCs w:val="22"/>
        </w:rPr>
        <w:t>est en recul d’une place, 177</w:t>
      </w:r>
      <w:r w:rsidR="00C951B8" w:rsidRPr="00C951B8">
        <w:rPr>
          <w:rFonts w:ascii="Times New Roman" w:hAnsi="Times New Roman" w:cs="Times New Roman"/>
          <w:sz w:val="22"/>
          <w:szCs w:val="22"/>
          <w:vertAlign w:val="superscript"/>
        </w:rPr>
        <w:t>ème</w:t>
      </w:r>
      <w:r w:rsidR="00C951B8">
        <w:rPr>
          <w:rFonts w:ascii="Times New Roman" w:hAnsi="Times New Roman" w:cs="Times New Roman"/>
          <w:sz w:val="22"/>
          <w:szCs w:val="22"/>
        </w:rPr>
        <w:t xml:space="preserve"> </w:t>
      </w:r>
      <w:r w:rsidR="003B1E3A">
        <w:rPr>
          <w:rFonts w:ascii="Times New Roman" w:hAnsi="Times New Roman" w:cs="Times New Roman"/>
          <w:sz w:val="22"/>
          <w:szCs w:val="22"/>
        </w:rPr>
        <w:t>sur 182 pays</w:t>
      </w:r>
      <w:r w:rsidR="00C951B8">
        <w:rPr>
          <w:rFonts w:ascii="Times New Roman" w:hAnsi="Times New Roman" w:cs="Times New Roman"/>
          <w:sz w:val="22"/>
          <w:szCs w:val="22"/>
        </w:rPr>
        <w:t>,</w:t>
      </w:r>
      <w:r w:rsidR="003B1E3A">
        <w:rPr>
          <w:rFonts w:ascii="Times New Roman" w:hAnsi="Times New Roman" w:cs="Times New Roman"/>
          <w:sz w:val="22"/>
          <w:szCs w:val="22"/>
        </w:rPr>
        <w:t xml:space="preserve"> </w:t>
      </w:r>
      <w:r w:rsidR="00A52E2C">
        <w:rPr>
          <w:rFonts w:ascii="Times New Roman" w:hAnsi="Times New Roman" w:cs="Times New Roman"/>
          <w:sz w:val="22"/>
          <w:szCs w:val="22"/>
        </w:rPr>
        <w:t xml:space="preserve">dans le </w:t>
      </w:r>
      <w:r w:rsidR="00C951B8">
        <w:rPr>
          <w:rFonts w:ascii="Times New Roman" w:hAnsi="Times New Roman" w:cs="Times New Roman"/>
          <w:sz w:val="22"/>
          <w:szCs w:val="22"/>
        </w:rPr>
        <w:t xml:space="preserve">dernier </w:t>
      </w:r>
      <w:r w:rsidR="00A52E2C">
        <w:rPr>
          <w:rFonts w:ascii="Times New Roman" w:hAnsi="Times New Roman" w:cs="Times New Roman"/>
          <w:sz w:val="22"/>
          <w:szCs w:val="22"/>
        </w:rPr>
        <w:t>rapport « </w:t>
      </w:r>
      <w:proofErr w:type="spellStart"/>
      <w:r w:rsidR="00A52E2C">
        <w:rPr>
          <w:rFonts w:ascii="Times New Roman" w:hAnsi="Times New Roman" w:cs="Times New Roman"/>
          <w:sz w:val="22"/>
          <w:szCs w:val="22"/>
        </w:rPr>
        <w:t>Doing</w:t>
      </w:r>
      <w:proofErr w:type="spellEnd"/>
      <w:r w:rsidR="00A52E2C">
        <w:rPr>
          <w:rFonts w:ascii="Times New Roman" w:hAnsi="Times New Roman" w:cs="Times New Roman"/>
          <w:sz w:val="22"/>
          <w:szCs w:val="22"/>
        </w:rPr>
        <w:t xml:space="preserve"> Business » de la </w:t>
      </w:r>
      <w:r w:rsidR="003B1E3A">
        <w:rPr>
          <w:rFonts w:ascii="Times New Roman" w:hAnsi="Times New Roman" w:cs="Times New Roman"/>
          <w:sz w:val="22"/>
          <w:szCs w:val="22"/>
        </w:rPr>
        <w:t>Banque Mondiale</w:t>
      </w:r>
      <w:r w:rsidR="00A52E2C">
        <w:rPr>
          <w:rFonts w:ascii="Times New Roman" w:hAnsi="Times New Roman" w:cs="Times New Roman"/>
          <w:sz w:val="22"/>
          <w:szCs w:val="22"/>
        </w:rPr>
        <w:t xml:space="preserve">. </w:t>
      </w:r>
    </w:p>
    <w:p w:rsidR="003962EB" w:rsidRDefault="003962EB" w:rsidP="006B1CA0">
      <w:pPr>
        <w:jc w:val="both"/>
        <w:rPr>
          <w:rFonts w:ascii="Times New Roman" w:hAnsi="Times New Roman" w:cs="Times New Roman"/>
          <w:sz w:val="22"/>
          <w:szCs w:val="22"/>
          <w:u w:val="single"/>
        </w:rPr>
      </w:pPr>
    </w:p>
    <w:p w:rsidR="00804970" w:rsidRPr="003962EB" w:rsidRDefault="001C3F65" w:rsidP="006B1CA0">
      <w:pPr>
        <w:jc w:val="both"/>
        <w:rPr>
          <w:rFonts w:ascii="Times New Roman" w:hAnsi="Times New Roman" w:cs="Times New Roman"/>
          <w:smallCaps/>
          <w:sz w:val="22"/>
          <w:szCs w:val="22"/>
          <w:u w:val="single"/>
        </w:rPr>
      </w:pPr>
      <w:r w:rsidRPr="00E64491">
        <w:rPr>
          <w:rFonts w:ascii="Times New Roman" w:hAnsi="Times New Roman" w:cs="Times New Roman"/>
          <w:sz w:val="22"/>
          <w:szCs w:val="22"/>
          <w:u w:val="single"/>
        </w:rPr>
        <w:t xml:space="preserve">1.6 </w:t>
      </w:r>
      <w:r w:rsidR="006B1CA0" w:rsidRPr="00E64491">
        <w:rPr>
          <w:rFonts w:ascii="Times New Roman" w:hAnsi="Times New Roman" w:cs="Times New Roman"/>
          <w:sz w:val="22"/>
          <w:szCs w:val="22"/>
          <w:u w:val="single"/>
        </w:rPr>
        <w:t xml:space="preserve"> </w:t>
      </w:r>
      <w:r w:rsidR="006B1CA0" w:rsidRPr="003962EB">
        <w:rPr>
          <w:rFonts w:ascii="Times New Roman" w:hAnsi="Times New Roman" w:cs="Times New Roman"/>
          <w:smallCaps/>
          <w:sz w:val="22"/>
          <w:szCs w:val="22"/>
          <w:u w:val="single"/>
        </w:rPr>
        <w:t xml:space="preserve">La bonne gestion du risque sécuritaire par le pouvoir politique est un préalable indispensable </w:t>
      </w:r>
      <w:r w:rsidR="00E64491" w:rsidRPr="003962EB">
        <w:rPr>
          <w:rFonts w:ascii="Times New Roman" w:hAnsi="Times New Roman" w:cs="Times New Roman"/>
          <w:smallCaps/>
          <w:sz w:val="22"/>
          <w:szCs w:val="22"/>
          <w:u w:val="single"/>
        </w:rPr>
        <w:t xml:space="preserve">au maintien de la croissance </w:t>
      </w:r>
      <w:r w:rsidR="006B1CA0" w:rsidRPr="003962EB">
        <w:rPr>
          <w:rFonts w:ascii="Times New Roman" w:hAnsi="Times New Roman" w:cs="Times New Roman"/>
          <w:smallCaps/>
          <w:sz w:val="22"/>
          <w:szCs w:val="22"/>
          <w:u w:val="single"/>
        </w:rPr>
        <w:t xml:space="preserve">mais aussi et surtout à la confiance de la communauté d’affaires locales </w:t>
      </w:r>
      <w:r w:rsidR="00E64491" w:rsidRPr="003962EB">
        <w:rPr>
          <w:rFonts w:ascii="Times New Roman" w:hAnsi="Times New Roman" w:cs="Times New Roman"/>
          <w:smallCaps/>
          <w:sz w:val="22"/>
          <w:szCs w:val="22"/>
          <w:u w:val="single"/>
        </w:rPr>
        <w:t>et étrangères à l’égard du pays</w:t>
      </w:r>
    </w:p>
    <w:p w:rsidR="006B1CA0" w:rsidRDefault="006B1CA0" w:rsidP="002B2ACB">
      <w:pPr>
        <w:jc w:val="both"/>
        <w:rPr>
          <w:rFonts w:ascii="Times New Roman" w:hAnsi="Times New Roman" w:cs="Times New Roman"/>
          <w:sz w:val="22"/>
          <w:szCs w:val="22"/>
        </w:rPr>
      </w:pPr>
    </w:p>
    <w:p w:rsidR="00E64491" w:rsidRPr="00EC7F0B" w:rsidRDefault="00E64491" w:rsidP="00E64491">
      <w:pPr>
        <w:jc w:val="both"/>
        <w:rPr>
          <w:rFonts w:ascii="Times New Roman" w:hAnsi="Times New Roman" w:cs="Times New Roman"/>
          <w:sz w:val="22"/>
          <w:szCs w:val="22"/>
        </w:rPr>
      </w:pPr>
      <w:r>
        <w:rPr>
          <w:rFonts w:ascii="Times New Roman" w:hAnsi="Times New Roman" w:cs="Times New Roman"/>
          <w:sz w:val="22"/>
          <w:szCs w:val="22"/>
        </w:rPr>
        <w:t>L’</w:t>
      </w:r>
      <w:r w:rsidRPr="00F46CC3">
        <w:rPr>
          <w:rFonts w:ascii="Times New Roman" w:hAnsi="Times New Roman" w:cs="Times New Roman"/>
          <w:sz w:val="22"/>
          <w:szCs w:val="22"/>
        </w:rPr>
        <w:t>assouplissement très récent des règles d’expatriation des familles américaines et britanniques,  près de 18 mois après le « </w:t>
      </w:r>
      <w:proofErr w:type="spellStart"/>
      <w:r w:rsidRPr="00F46CC3">
        <w:rPr>
          <w:rFonts w:ascii="Times New Roman" w:hAnsi="Times New Roman" w:cs="Times New Roman"/>
          <w:sz w:val="22"/>
          <w:szCs w:val="22"/>
        </w:rPr>
        <w:t>violentissime</w:t>
      </w:r>
      <w:proofErr w:type="spellEnd"/>
      <w:r w:rsidRPr="00F46CC3">
        <w:rPr>
          <w:rFonts w:ascii="Times New Roman" w:hAnsi="Times New Roman" w:cs="Times New Roman"/>
          <w:sz w:val="22"/>
          <w:szCs w:val="22"/>
        </w:rPr>
        <w:t xml:space="preserve"> » attentat </w:t>
      </w:r>
      <w:r>
        <w:rPr>
          <w:rFonts w:ascii="Times New Roman" w:hAnsi="Times New Roman" w:cs="Times New Roman"/>
          <w:sz w:val="22"/>
          <w:szCs w:val="22"/>
        </w:rPr>
        <w:t>qui a ébranlé la communauté locale et internationale</w:t>
      </w:r>
      <w:r w:rsidRPr="00F46CC3">
        <w:rPr>
          <w:rFonts w:ascii="Times New Roman" w:hAnsi="Times New Roman" w:cs="Times New Roman"/>
          <w:sz w:val="22"/>
          <w:szCs w:val="22"/>
        </w:rPr>
        <w:t xml:space="preserve">, témoigne de la bonne gestion du </w:t>
      </w:r>
      <w:r w:rsidRPr="00F46CC3">
        <w:rPr>
          <w:rFonts w:ascii="Times New Roman" w:hAnsi="Times New Roman" w:cs="Times New Roman"/>
          <w:b/>
          <w:sz w:val="22"/>
          <w:szCs w:val="22"/>
        </w:rPr>
        <w:t>risque sécuritaire</w:t>
      </w:r>
      <w:r w:rsidRPr="00F46CC3">
        <w:rPr>
          <w:rFonts w:ascii="Times New Roman" w:hAnsi="Times New Roman" w:cs="Times New Roman"/>
          <w:sz w:val="22"/>
          <w:szCs w:val="22"/>
        </w:rPr>
        <w:t xml:space="preserve"> par les autorités locales, préalable indispensable au maintien de la croissance. </w:t>
      </w:r>
    </w:p>
    <w:p w:rsidR="00E64491" w:rsidRDefault="00E64491" w:rsidP="006B1CA0">
      <w:pPr>
        <w:jc w:val="both"/>
        <w:rPr>
          <w:rFonts w:ascii="Times New Roman" w:hAnsi="Times New Roman" w:cs="Times New Roman"/>
          <w:b/>
          <w:sz w:val="22"/>
          <w:szCs w:val="22"/>
        </w:rPr>
      </w:pPr>
    </w:p>
    <w:p w:rsidR="00081600" w:rsidRDefault="006B1CA0" w:rsidP="006B1CA0">
      <w:pPr>
        <w:jc w:val="both"/>
        <w:rPr>
          <w:rFonts w:ascii="Times New Roman" w:hAnsi="Times New Roman" w:cs="Times New Roman"/>
          <w:sz w:val="22"/>
          <w:szCs w:val="22"/>
        </w:rPr>
      </w:pPr>
      <w:r w:rsidRPr="009C54A2">
        <w:rPr>
          <w:rFonts w:ascii="Times New Roman" w:hAnsi="Times New Roman" w:cs="Times New Roman"/>
          <w:b/>
          <w:sz w:val="22"/>
          <w:szCs w:val="22"/>
        </w:rPr>
        <w:t xml:space="preserve">La crise des </w:t>
      </w:r>
      <w:proofErr w:type="spellStart"/>
      <w:r w:rsidRPr="009C54A2">
        <w:rPr>
          <w:rFonts w:ascii="Times New Roman" w:hAnsi="Times New Roman" w:cs="Times New Roman"/>
          <w:b/>
          <w:sz w:val="22"/>
          <w:szCs w:val="22"/>
        </w:rPr>
        <w:t>Rohingyas</w:t>
      </w:r>
      <w:proofErr w:type="spellEnd"/>
      <w:r w:rsidRPr="00F46CC3">
        <w:rPr>
          <w:rFonts w:ascii="Times New Roman" w:hAnsi="Times New Roman" w:cs="Times New Roman"/>
          <w:sz w:val="22"/>
          <w:szCs w:val="22"/>
        </w:rPr>
        <w:t>, dont le coût économique est estimé à près de 500 Millions de US$ pour les seuls six prochains mois, et</w:t>
      </w:r>
      <w:r w:rsidRPr="009C54A2">
        <w:rPr>
          <w:rFonts w:ascii="Times New Roman" w:hAnsi="Times New Roman" w:cs="Times New Roman"/>
          <w:b/>
          <w:sz w:val="22"/>
          <w:szCs w:val="22"/>
        </w:rPr>
        <w:t xml:space="preserve"> les graves inondations </w:t>
      </w:r>
      <w:r>
        <w:rPr>
          <w:rFonts w:ascii="Times New Roman" w:hAnsi="Times New Roman" w:cs="Times New Roman"/>
          <w:sz w:val="22"/>
          <w:szCs w:val="22"/>
        </w:rPr>
        <w:t>qu’a connu le pays cet été</w:t>
      </w:r>
      <w:r w:rsidRPr="00F46CC3">
        <w:rPr>
          <w:rFonts w:ascii="Times New Roman" w:hAnsi="Times New Roman" w:cs="Times New Roman"/>
          <w:sz w:val="22"/>
          <w:szCs w:val="22"/>
        </w:rPr>
        <w:t xml:space="preserve"> fragilise </w:t>
      </w:r>
      <w:r>
        <w:rPr>
          <w:rFonts w:ascii="Times New Roman" w:hAnsi="Times New Roman" w:cs="Times New Roman"/>
          <w:sz w:val="22"/>
          <w:szCs w:val="22"/>
        </w:rPr>
        <w:t>l’économie bangladaise</w:t>
      </w:r>
      <w:r w:rsidRPr="00F46CC3">
        <w:rPr>
          <w:rFonts w:ascii="Times New Roman" w:hAnsi="Times New Roman" w:cs="Times New Roman"/>
          <w:sz w:val="22"/>
          <w:szCs w:val="22"/>
        </w:rPr>
        <w:t xml:space="preserve">. </w:t>
      </w:r>
    </w:p>
    <w:p w:rsidR="00081600" w:rsidRDefault="00081600" w:rsidP="006B1CA0">
      <w:pPr>
        <w:jc w:val="both"/>
        <w:rPr>
          <w:rFonts w:ascii="Times New Roman" w:hAnsi="Times New Roman" w:cs="Times New Roman"/>
          <w:sz w:val="22"/>
          <w:szCs w:val="22"/>
        </w:rPr>
      </w:pPr>
    </w:p>
    <w:p w:rsidR="006B1CA0" w:rsidRDefault="006B1CA0" w:rsidP="006B1CA0">
      <w:pPr>
        <w:jc w:val="both"/>
        <w:rPr>
          <w:rFonts w:ascii="Times New Roman" w:hAnsi="Times New Roman" w:cs="Times New Roman"/>
          <w:sz w:val="22"/>
          <w:szCs w:val="22"/>
        </w:rPr>
      </w:pPr>
      <w:r>
        <w:rPr>
          <w:rFonts w:ascii="Times New Roman" w:hAnsi="Times New Roman" w:cs="Times New Roman"/>
          <w:sz w:val="22"/>
          <w:szCs w:val="22"/>
        </w:rPr>
        <w:t xml:space="preserve">A ce stade, il n’est en effet pas acquis que la contribution financière de la communauté internationale à la gestion de </w:t>
      </w:r>
      <w:r w:rsidR="00081600">
        <w:rPr>
          <w:rFonts w:ascii="Times New Roman" w:hAnsi="Times New Roman" w:cs="Times New Roman"/>
          <w:sz w:val="22"/>
          <w:szCs w:val="22"/>
        </w:rPr>
        <w:t xml:space="preserve">la crise des </w:t>
      </w:r>
      <w:proofErr w:type="spellStart"/>
      <w:r w:rsidR="00081600">
        <w:rPr>
          <w:rFonts w:ascii="Times New Roman" w:hAnsi="Times New Roman" w:cs="Times New Roman"/>
          <w:sz w:val="22"/>
          <w:szCs w:val="22"/>
        </w:rPr>
        <w:t>Rohingyas</w:t>
      </w:r>
      <w:proofErr w:type="spellEnd"/>
      <w:r>
        <w:rPr>
          <w:rFonts w:ascii="Times New Roman" w:hAnsi="Times New Roman" w:cs="Times New Roman"/>
          <w:sz w:val="22"/>
          <w:szCs w:val="22"/>
        </w:rPr>
        <w:t xml:space="preserve"> soit suffisante. Aucune estimation des coûts économiques induits et sociaux de ce flux migratoire (1 million de personnes selon les dernières estimations) n’a d’autre part été à ce jour publiée!  </w:t>
      </w:r>
    </w:p>
    <w:p w:rsidR="006B1CA0" w:rsidRDefault="006B1CA0" w:rsidP="002B2ACB">
      <w:pPr>
        <w:jc w:val="both"/>
        <w:rPr>
          <w:rFonts w:ascii="Times New Roman" w:hAnsi="Times New Roman" w:cs="Times New Roman"/>
          <w:sz w:val="22"/>
          <w:szCs w:val="22"/>
        </w:rPr>
      </w:pPr>
    </w:p>
    <w:p w:rsidR="0086321D" w:rsidRDefault="0086321D" w:rsidP="009E3710">
      <w:pPr>
        <w:jc w:val="both"/>
        <w:textAlignment w:val="auto"/>
        <w:rPr>
          <w:rFonts w:ascii="Times New Roman" w:hAnsi="Times New Roman" w:cs="Times New Roman"/>
          <w:sz w:val="23"/>
          <w:szCs w:val="23"/>
        </w:rPr>
      </w:pPr>
    </w:p>
    <w:p w:rsidR="00533AEC" w:rsidRDefault="00533AEC" w:rsidP="009E3710">
      <w:pPr>
        <w:jc w:val="both"/>
        <w:textAlignment w:val="auto"/>
        <w:rPr>
          <w:rFonts w:ascii="Times New Roman" w:hAnsi="Times New Roman" w:cs="Times New Roman"/>
          <w:sz w:val="23"/>
          <w:szCs w:val="23"/>
        </w:rPr>
      </w:pPr>
    </w:p>
    <w:p w:rsidR="00533AEC" w:rsidRDefault="00533AEC" w:rsidP="009E3710">
      <w:pPr>
        <w:jc w:val="both"/>
        <w:textAlignment w:val="auto"/>
        <w:rPr>
          <w:rFonts w:ascii="Times New Roman" w:hAnsi="Times New Roman" w:cs="Times New Roman"/>
          <w:sz w:val="23"/>
          <w:szCs w:val="23"/>
        </w:rPr>
      </w:pPr>
    </w:p>
    <w:p w:rsidR="008631AF" w:rsidRDefault="0037733A" w:rsidP="0037733A">
      <w:pPr>
        <w:ind w:firstLine="6237"/>
        <w:rPr>
          <w:rFonts w:ascii="Times New Roman" w:hAnsi="Times New Roman" w:cs="Times New Roman"/>
          <w:sz w:val="22"/>
          <w:szCs w:val="22"/>
        </w:rPr>
      </w:pPr>
      <w:r>
        <w:rPr>
          <w:rFonts w:ascii="Times New Roman" w:hAnsi="Times New Roman" w:cs="Times New Roman"/>
          <w:sz w:val="22"/>
          <w:szCs w:val="22"/>
        </w:rPr>
        <w:t>François PETIT</w:t>
      </w:r>
    </w:p>
    <w:sectPr w:rsidR="008631AF" w:rsidSect="00914077">
      <w:footerReference w:type="even" r:id="rId11"/>
      <w:footerReference w:type="default" r:id="rId12"/>
      <w:headerReference w:type="first" r:id="rId13"/>
      <w:footerReference w:type="first" r:id="rId14"/>
      <w:pgSz w:w="11907" w:h="16840" w:code="9"/>
      <w:pgMar w:top="1418" w:right="1418" w:bottom="1418" w:left="1418" w:header="544" w:footer="53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17C" w:rsidRDefault="0040617C">
      <w:r>
        <w:separator/>
      </w:r>
    </w:p>
  </w:endnote>
  <w:endnote w:type="continuationSeparator" w:id="0">
    <w:p w:rsidR="0040617C" w:rsidRDefault="0040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Univers 55">
    <w:panose1 w:val="00000000000000000000"/>
    <w:charset w:val="00"/>
    <w:family w:val="swiss"/>
    <w:notTrueType/>
    <w:pitch w:val="variable"/>
    <w:sig w:usb0="00000003" w:usb1="00000000" w:usb2="00000000" w:usb3="00000000" w:csb0="00000001" w:csb1="00000000"/>
  </w:font>
  <w:font w:name="Univers 57 Condensed">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F02" w:rsidRDefault="00593F02" w:rsidP="00FF3C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593F02" w:rsidRDefault="00593F02" w:rsidP="0030160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F02" w:rsidRDefault="00593F02" w:rsidP="00FF3C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63974">
      <w:rPr>
        <w:rStyle w:val="Numrodepage"/>
        <w:noProof/>
      </w:rPr>
      <w:t>2</w:t>
    </w:r>
    <w:r>
      <w:rPr>
        <w:rStyle w:val="Numrodepage"/>
      </w:rPr>
      <w:fldChar w:fldCharType="end"/>
    </w:r>
  </w:p>
  <w:p w:rsidR="00593F02" w:rsidRDefault="00593F02" w:rsidP="0030160F">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1E0" w:firstRow="1" w:lastRow="1" w:firstColumn="1" w:lastColumn="1" w:noHBand="0" w:noVBand="0"/>
    </w:tblPr>
    <w:tblGrid>
      <w:gridCol w:w="9071"/>
    </w:tblGrid>
    <w:tr w:rsidR="00593F02" w:rsidRPr="00990DE9">
      <w:trPr>
        <w:cantSplit/>
      </w:trPr>
      <w:tc>
        <w:tcPr>
          <w:tcW w:w="9287" w:type="dxa"/>
        </w:tcPr>
        <w:p w:rsidR="00593F02" w:rsidRPr="00990DE9" w:rsidRDefault="00593F02" w:rsidP="00B50F1C">
          <w:pPr>
            <w:pStyle w:val="Pieddepage"/>
            <w:tabs>
              <w:tab w:val="left" w:pos="1907"/>
              <w:tab w:val="left" w:pos="8106"/>
            </w:tabs>
            <w:spacing w:before="120" w:after="120"/>
            <w:jc w:val="center"/>
            <w:rPr>
              <w:rFonts w:ascii="Univers 57 Condensed" w:hAnsi="Univers 57 Condensed"/>
              <w:b w:val="0"/>
              <w:szCs w:val="16"/>
            </w:rPr>
          </w:pPr>
          <w:r w:rsidRPr="00990DE9">
            <w:rPr>
              <w:rFonts w:ascii="Univers 55" w:hAnsi="Univers 55"/>
              <w:b w:val="0"/>
              <w:szCs w:val="16"/>
            </w:rPr>
            <w:t>tresor.economie.gouv.fr/</w:t>
          </w:r>
          <w:r>
            <w:rPr>
              <w:rFonts w:ascii="Univers 55" w:hAnsi="Univers 55"/>
              <w:b w:val="0"/>
              <w:szCs w:val="16"/>
            </w:rPr>
            <w:t>Pays/Bangladesh</w:t>
          </w:r>
        </w:p>
      </w:tc>
    </w:tr>
  </w:tbl>
  <w:p w:rsidR="00593F02" w:rsidRDefault="00593F02" w:rsidP="00823C30">
    <w:pPr>
      <w:pStyle w:val="Pieddepage"/>
      <w:tabs>
        <w:tab w:val="left" w:pos="8106"/>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17C" w:rsidRDefault="0040617C">
      <w:r>
        <w:separator/>
      </w:r>
    </w:p>
  </w:footnote>
  <w:footnote w:type="continuationSeparator" w:id="0">
    <w:p w:rsidR="0040617C" w:rsidRDefault="00406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F02" w:rsidRDefault="00593F02" w:rsidP="00F24D97">
    <w:pPr>
      <w:pStyle w:val="En-tte"/>
      <w:jc w:val="center"/>
    </w:pPr>
    <w:r>
      <w:rPr>
        <w:noProof/>
      </w:rPr>
      <w:drawing>
        <wp:inline distT="0" distB="0" distL="0" distR="0" wp14:anchorId="722761A3" wp14:editId="6BD9AD69">
          <wp:extent cx="914400" cy="544830"/>
          <wp:effectExtent l="0" t="0" r="0" b="7620"/>
          <wp:docPr id="1" name="Image 1" descr="MariannePant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nnePanto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4830"/>
                  </a:xfrm>
                  <a:prstGeom prst="rect">
                    <a:avLst/>
                  </a:prstGeom>
                  <a:noFill/>
                  <a:ln>
                    <a:noFill/>
                  </a:ln>
                </pic:spPr>
              </pic:pic>
            </a:graphicData>
          </a:graphic>
        </wp:inline>
      </w:drawing>
    </w:r>
  </w:p>
  <w:p w:rsidR="00593F02" w:rsidRPr="00823C30" w:rsidRDefault="00593F02">
    <w:pPr>
      <w:pStyle w:val="En-tte"/>
      <w:jc w:val="center"/>
      <w:rPr>
        <w:smallCaps/>
        <w:sz w:val="24"/>
        <w:szCs w:val="24"/>
      </w:rPr>
    </w:pPr>
  </w:p>
  <w:p w:rsidR="00593F02" w:rsidRDefault="00593F02">
    <w:pPr>
      <w:pStyle w:val="En-tte"/>
      <w:jc w:val="center"/>
      <w:rPr>
        <w:rFonts w:ascii="Univers 55" w:hAnsi="Univers 55"/>
        <w:b/>
        <w:smallCaps/>
        <w:sz w:val="24"/>
        <w:szCs w:val="24"/>
      </w:rPr>
    </w:pPr>
    <w:bookmarkStart w:id="1" w:name="Entête"/>
    <w:bookmarkEnd w:id="1"/>
    <w:r w:rsidRPr="00F6667B">
      <w:rPr>
        <w:rFonts w:ascii="Univers 55" w:hAnsi="Univers 55"/>
        <w:b/>
        <w:smallCaps/>
        <w:sz w:val="24"/>
        <w:szCs w:val="24"/>
      </w:rPr>
      <w:t>ambassade</w:t>
    </w:r>
    <w:r w:rsidRPr="003220F5">
      <w:rPr>
        <w:rFonts w:ascii="Univers 55" w:hAnsi="Univers 55"/>
        <w:b/>
        <w:smallCaps/>
        <w:sz w:val="24"/>
        <w:szCs w:val="24"/>
      </w:rPr>
      <w:t xml:space="preserve"> de </w:t>
    </w:r>
    <w:proofErr w:type="spellStart"/>
    <w:r w:rsidRPr="003220F5">
      <w:rPr>
        <w:rFonts w:ascii="Univers 55" w:hAnsi="Univers 55"/>
        <w:b/>
        <w:smallCaps/>
        <w:sz w:val="24"/>
        <w:szCs w:val="24"/>
      </w:rPr>
      <w:t>france</w:t>
    </w:r>
    <w:proofErr w:type="spellEnd"/>
    <w:r w:rsidRPr="003220F5">
      <w:rPr>
        <w:rFonts w:ascii="Univers 55" w:hAnsi="Univers 55"/>
        <w:b/>
        <w:smallCaps/>
        <w:sz w:val="24"/>
        <w:szCs w:val="24"/>
      </w:rPr>
      <w:t xml:space="preserve"> </w:t>
    </w:r>
    <w:r>
      <w:rPr>
        <w:rFonts w:ascii="Univers 55" w:hAnsi="Univers 55"/>
        <w:b/>
        <w:smallCaps/>
        <w:sz w:val="24"/>
        <w:szCs w:val="24"/>
      </w:rPr>
      <w:t xml:space="preserve">au </w:t>
    </w:r>
    <w:proofErr w:type="spellStart"/>
    <w:r>
      <w:rPr>
        <w:rFonts w:ascii="Univers 55" w:hAnsi="Univers 55"/>
        <w:b/>
        <w:smallCaps/>
        <w:sz w:val="24"/>
        <w:szCs w:val="24"/>
      </w:rPr>
      <w:t>bangladesh</w:t>
    </w:r>
    <w:proofErr w:type="spellEnd"/>
  </w:p>
  <w:p w:rsidR="00533AEC" w:rsidRPr="003220F5" w:rsidRDefault="00533AEC">
    <w:pPr>
      <w:pStyle w:val="En-tte"/>
      <w:jc w:val="center"/>
      <w:rPr>
        <w:rFonts w:ascii="Univers 55" w:hAnsi="Univers 55"/>
        <w:b/>
        <w:smallCaps/>
        <w:sz w:val="24"/>
        <w:szCs w:val="24"/>
      </w:rPr>
    </w:pPr>
  </w:p>
  <w:p w:rsidR="00593F02" w:rsidRPr="003220F5" w:rsidRDefault="00593F02">
    <w:pPr>
      <w:pStyle w:val="En-tte"/>
      <w:jc w:val="center"/>
      <w:rPr>
        <w:rFonts w:ascii="Univers 55" w:hAnsi="Univers 55"/>
        <w:b/>
        <w:smallCaps/>
        <w:sz w:val="24"/>
        <w:szCs w:val="24"/>
      </w:rPr>
    </w:pPr>
    <w:r w:rsidRPr="003220F5">
      <w:rPr>
        <w:rFonts w:ascii="Univers 55" w:hAnsi="Univers 55"/>
        <w:b/>
        <w:smallCaps/>
        <w:sz w:val="24"/>
        <w:szCs w:val="24"/>
      </w:rPr>
      <w:t>service économique</w:t>
    </w:r>
  </w:p>
  <w:tbl>
    <w:tblPr>
      <w:tblW w:w="10206" w:type="dxa"/>
      <w:tblInd w:w="-567" w:type="dxa"/>
      <w:tblCellMar>
        <w:left w:w="70" w:type="dxa"/>
        <w:right w:w="70" w:type="dxa"/>
      </w:tblCellMar>
      <w:tblLook w:val="0000" w:firstRow="0" w:lastRow="0" w:firstColumn="0" w:lastColumn="0" w:noHBand="0" w:noVBand="0"/>
    </w:tblPr>
    <w:tblGrid>
      <w:gridCol w:w="6166"/>
      <w:gridCol w:w="4040"/>
    </w:tblGrid>
    <w:tr w:rsidR="00593F02" w:rsidRPr="00E13F17" w:rsidTr="00E13F17">
      <w:tc>
        <w:tcPr>
          <w:tcW w:w="6166" w:type="dxa"/>
          <w:vAlign w:val="center"/>
        </w:tcPr>
        <w:p w:rsidR="00593F02" w:rsidRPr="00E13F17" w:rsidRDefault="00593F02" w:rsidP="00E13F17">
          <w:pPr>
            <w:pStyle w:val="En-tte"/>
            <w:spacing w:before="600"/>
            <w:ind w:left="-70"/>
            <w:rPr>
              <w:rFonts w:ascii="Univers 55" w:hAnsi="Univers 55"/>
              <w:i/>
            </w:rPr>
          </w:pPr>
          <w:bookmarkStart w:id="2" w:name="IntituleEntete"/>
          <w:bookmarkEnd w:id="2"/>
          <w:r w:rsidRPr="00E13F17">
            <w:rPr>
              <w:rFonts w:ascii="Univers 55" w:hAnsi="Univers 55"/>
              <w:i/>
            </w:rPr>
            <w:t>Le Chef de Service Economique</w:t>
          </w:r>
        </w:p>
      </w:tc>
      <w:tc>
        <w:tcPr>
          <w:tcW w:w="4040" w:type="dxa"/>
          <w:vAlign w:val="center"/>
        </w:tcPr>
        <w:p w:rsidR="00593F02" w:rsidRPr="00E13F17" w:rsidRDefault="00593F02" w:rsidP="00E13F17">
          <w:pPr>
            <w:pStyle w:val="En-tte"/>
            <w:spacing w:before="600"/>
            <w:ind w:left="-70" w:firstLine="140"/>
            <w:rPr>
              <w:rFonts w:ascii="Univers 55" w:hAnsi="Univers 55"/>
              <w:i/>
            </w:rPr>
          </w:pPr>
          <w:bookmarkStart w:id="3" w:name="Ville"/>
          <w:bookmarkEnd w:id="3"/>
          <w:r w:rsidRPr="00E13F17">
            <w:rPr>
              <w:rFonts w:ascii="Univers 55" w:hAnsi="Univers 55"/>
              <w:i/>
            </w:rPr>
            <w:t xml:space="preserve">    </w:t>
          </w:r>
          <w:r w:rsidR="00B74EB2" w:rsidRPr="00E13F17">
            <w:rPr>
              <w:rFonts w:ascii="Univers 55" w:hAnsi="Univers 55"/>
              <w:i/>
            </w:rPr>
            <w:t xml:space="preserve">                            </w:t>
          </w:r>
          <w:r w:rsidR="00E13F17">
            <w:rPr>
              <w:rFonts w:ascii="Univers 55" w:hAnsi="Univers 55"/>
              <w:i/>
            </w:rPr>
            <w:t xml:space="preserve">               </w:t>
          </w:r>
          <w:r w:rsidR="00BD2BE6" w:rsidRPr="00E13F17">
            <w:rPr>
              <w:rFonts w:ascii="Univers 55" w:hAnsi="Univers 55"/>
              <w:i/>
            </w:rPr>
            <w:t>Octobre 2017</w:t>
          </w:r>
        </w:p>
      </w:tc>
    </w:tr>
  </w:tbl>
  <w:p w:rsidR="00593F02" w:rsidRPr="002824A7" w:rsidRDefault="00593F02" w:rsidP="003220F5">
    <w:pPr>
      <w:pStyle w:val="Textedebulles"/>
      <w:rPr>
        <w:rFonts w:ascii="Univers 55" w:hAnsi="Univers 5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61256"/>
    <w:multiLevelType w:val="multilevel"/>
    <w:tmpl w:val="B9104168"/>
    <w:lvl w:ilvl="0">
      <w:start w:val="1"/>
      <w:numFmt w:val="decimal"/>
      <w:lvlText w:val="%1."/>
      <w:lvlJc w:val="left"/>
      <w:pPr>
        <w:ind w:left="720" w:hanging="360"/>
      </w:pPr>
      <w:rPr>
        <w:strike w:val="0"/>
        <w:dstrike w:val="0"/>
        <w:u w:val="none"/>
        <w:effect w:val="none"/>
      </w:r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5C132C2"/>
    <w:multiLevelType w:val="hybridMultilevel"/>
    <w:tmpl w:val="F00C995C"/>
    <w:lvl w:ilvl="0" w:tplc="040C000B">
      <w:start w:val="1"/>
      <w:numFmt w:val="bullet"/>
      <w:lvlText w:val=""/>
      <w:lvlJc w:val="left"/>
      <w:pPr>
        <w:tabs>
          <w:tab w:val="num" w:pos="1117"/>
        </w:tabs>
        <w:ind w:left="1117" w:hanging="360"/>
      </w:pPr>
      <w:rPr>
        <w:rFonts w:ascii="Wingdings" w:hAnsi="Wingdings" w:hint="default"/>
      </w:rPr>
    </w:lvl>
    <w:lvl w:ilvl="1" w:tplc="040C0003" w:tentative="1">
      <w:start w:val="1"/>
      <w:numFmt w:val="bullet"/>
      <w:lvlText w:val="o"/>
      <w:lvlJc w:val="left"/>
      <w:pPr>
        <w:tabs>
          <w:tab w:val="num" w:pos="1837"/>
        </w:tabs>
        <w:ind w:left="1837" w:hanging="360"/>
      </w:pPr>
      <w:rPr>
        <w:rFonts w:ascii="Courier New" w:hAnsi="Courier New" w:cs="Courier New" w:hint="default"/>
      </w:rPr>
    </w:lvl>
    <w:lvl w:ilvl="2" w:tplc="040C0005" w:tentative="1">
      <w:start w:val="1"/>
      <w:numFmt w:val="bullet"/>
      <w:lvlText w:val=""/>
      <w:lvlJc w:val="left"/>
      <w:pPr>
        <w:tabs>
          <w:tab w:val="num" w:pos="2557"/>
        </w:tabs>
        <w:ind w:left="2557" w:hanging="360"/>
      </w:pPr>
      <w:rPr>
        <w:rFonts w:ascii="Wingdings" w:hAnsi="Wingdings" w:hint="default"/>
      </w:rPr>
    </w:lvl>
    <w:lvl w:ilvl="3" w:tplc="040C0001" w:tentative="1">
      <w:start w:val="1"/>
      <w:numFmt w:val="bullet"/>
      <w:lvlText w:val=""/>
      <w:lvlJc w:val="left"/>
      <w:pPr>
        <w:tabs>
          <w:tab w:val="num" w:pos="3277"/>
        </w:tabs>
        <w:ind w:left="3277" w:hanging="360"/>
      </w:pPr>
      <w:rPr>
        <w:rFonts w:ascii="Symbol" w:hAnsi="Symbol" w:hint="default"/>
      </w:rPr>
    </w:lvl>
    <w:lvl w:ilvl="4" w:tplc="040C0003" w:tentative="1">
      <w:start w:val="1"/>
      <w:numFmt w:val="bullet"/>
      <w:lvlText w:val="o"/>
      <w:lvlJc w:val="left"/>
      <w:pPr>
        <w:tabs>
          <w:tab w:val="num" w:pos="3997"/>
        </w:tabs>
        <w:ind w:left="3997" w:hanging="360"/>
      </w:pPr>
      <w:rPr>
        <w:rFonts w:ascii="Courier New" w:hAnsi="Courier New" w:cs="Courier New" w:hint="default"/>
      </w:rPr>
    </w:lvl>
    <w:lvl w:ilvl="5" w:tplc="040C0005" w:tentative="1">
      <w:start w:val="1"/>
      <w:numFmt w:val="bullet"/>
      <w:lvlText w:val=""/>
      <w:lvlJc w:val="left"/>
      <w:pPr>
        <w:tabs>
          <w:tab w:val="num" w:pos="4717"/>
        </w:tabs>
        <w:ind w:left="4717" w:hanging="360"/>
      </w:pPr>
      <w:rPr>
        <w:rFonts w:ascii="Wingdings" w:hAnsi="Wingdings" w:hint="default"/>
      </w:rPr>
    </w:lvl>
    <w:lvl w:ilvl="6" w:tplc="040C0001" w:tentative="1">
      <w:start w:val="1"/>
      <w:numFmt w:val="bullet"/>
      <w:lvlText w:val=""/>
      <w:lvlJc w:val="left"/>
      <w:pPr>
        <w:tabs>
          <w:tab w:val="num" w:pos="5437"/>
        </w:tabs>
        <w:ind w:left="5437" w:hanging="360"/>
      </w:pPr>
      <w:rPr>
        <w:rFonts w:ascii="Symbol" w:hAnsi="Symbol" w:hint="default"/>
      </w:rPr>
    </w:lvl>
    <w:lvl w:ilvl="7" w:tplc="040C0003" w:tentative="1">
      <w:start w:val="1"/>
      <w:numFmt w:val="bullet"/>
      <w:lvlText w:val="o"/>
      <w:lvlJc w:val="left"/>
      <w:pPr>
        <w:tabs>
          <w:tab w:val="num" w:pos="6157"/>
        </w:tabs>
        <w:ind w:left="6157" w:hanging="360"/>
      </w:pPr>
      <w:rPr>
        <w:rFonts w:ascii="Courier New" w:hAnsi="Courier New" w:cs="Courier New" w:hint="default"/>
      </w:rPr>
    </w:lvl>
    <w:lvl w:ilvl="8" w:tplc="040C0005" w:tentative="1">
      <w:start w:val="1"/>
      <w:numFmt w:val="bullet"/>
      <w:lvlText w:val=""/>
      <w:lvlJc w:val="left"/>
      <w:pPr>
        <w:tabs>
          <w:tab w:val="num" w:pos="6877"/>
        </w:tabs>
        <w:ind w:left="6877" w:hanging="360"/>
      </w:pPr>
      <w:rPr>
        <w:rFonts w:ascii="Wingdings" w:hAnsi="Wingdings" w:hint="default"/>
      </w:rPr>
    </w:lvl>
  </w:abstractNum>
  <w:abstractNum w:abstractNumId="2" w15:restartNumberingAfterBreak="0">
    <w:nsid w:val="18122D9C"/>
    <w:multiLevelType w:val="hybridMultilevel"/>
    <w:tmpl w:val="076E4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D52F29"/>
    <w:multiLevelType w:val="hybridMultilevel"/>
    <w:tmpl w:val="3C3C4EAE"/>
    <w:lvl w:ilvl="0" w:tplc="6F34AEA4">
      <w:numFmt w:val="bullet"/>
      <w:lvlText w:val="-"/>
      <w:lvlJc w:val="left"/>
      <w:pPr>
        <w:ind w:left="1211" w:hanging="360"/>
      </w:pPr>
      <w:rPr>
        <w:rFonts w:ascii="Times New Roman" w:eastAsia="Times New Roman" w:hAnsi="Times New Roman" w:cs="Times New Roman" w:hint="default"/>
        <w:color w:val="auto"/>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 w15:restartNumberingAfterBreak="0">
    <w:nsid w:val="19E52511"/>
    <w:multiLevelType w:val="hybridMultilevel"/>
    <w:tmpl w:val="5B68049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409169B"/>
    <w:multiLevelType w:val="hybridMultilevel"/>
    <w:tmpl w:val="C592F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5A4870"/>
    <w:multiLevelType w:val="hybridMultilevel"/>
    <w:tmpl w:val="DA848A8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B8D7161"/>
    <w:multiLevelType w:val="hybridMultilevel"/>
    <w:tmpl w:val="58FAEDE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E6217C"/>
    <w:multiLevelType w:val="hybridMultilevel"/>
    <w:tmpl w:val="9BC2CD94"/>
    <w:lvl w:ilvl="0" w:tplc="0BBED2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71A1B"/>
    <w:multiLevelType w:val="hybridMultilevel"/>
    <w:tmpl w:val="89029390"/>
    <w:lvl w:ilvl="0" w:tplc="8E584AD6">
      <w:numFmt w:val="bullet"/>
      <w:lvlText w:val="-"/>
      <w:lvlJc w:val="left"/>
      <w:pPr>
        <w:tabs>
          <w:tab w:val="num" w:pos="720"/>
        </w:tabs>
        <w:ind w:left="720" w:hanging="360"/>
      </w:pPr>
      <w:rPr>
        <w:rFonts w:ascii="Univers" w:eastAsia="Times New Roman" w:hAnsi="Univer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F35005"/>
    <w:multiLevelType w:val="hybridMultilevel"/>
    <w:tmpl w:val="FFC60A80"/>
    <w:lvl w:ilvl="0" w:tplc="3E4420B4">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 w15:restartNumberingAfterBreak="0">
    <w:nsid w:val="5E0536DE"/>
    <w:multiLevelType w:val="multilevel"/>
    <w:tmpl w:val="2098C30C"/>
    <w:lvl w:ilvl="0">
      <w:start w:val="1"/>
      <w:numFmt w:val="decimal"/>
      <w:lvlText w:val="%1"/>
      <w:lvlJc w:val="left"/>
      <w:pPr>
        <w:ind w:left="360" w:hanging="360"/>
      </w:pPr>
      <w:rPr>
        <w:rFonts w:hint="default"/>
        <w:sz w:val="24"/>
        <w:u w:val="none"/>
      </w:rPr>
    </w:lvl>
    <w:lvl w:ilvl="1">
      <w:start w:val="1"/>
      <w:numFmt w:val="decimal"/>
      <w:lvlText w:val="%1.%2"/>
      <w:lvlJc w:val="left"/>
      <w:pPr>
        <w:ind w:left="360" w:hanging="360"/>
      </w:pPr>
      <w:rPr>
        <w:rFonts w:hint="default"/>
        <w:sz w:val="24"/>
        <w:u w:val="none"/>
      </w:rPr>
    </w:lvl>
    <w:lvl w:ilvl="2">
      <w:start w:val="1"/>
      <w:numFmt w:val="decimal"/>
      <w:lvlText w:val="%1.%2.%3"/>
      <w:lvlJc w:val="left"/>
      <w:pPr>
        <w:ind w:left="720" w:hanging="720"/>
      </w:pPr>
      <w:rPr>
        <w:rFonts w:hint="default"/>
        <w:sz w:val="24"/>
        <w:u w:val="none"/>
      </w:rPr>
    </w:lvl>
    <w:lvl w:ilvl="3">
      <w:start w:val="1"/>
      <w:numFmt w:val="decimal"/>
      <w:lvlText w:val="%1.%2.%3.%4"/>
      <w:lvlJc w:val="left"/>
      <w:pPr>
        <w:ind w:left="720" w:hanging="720"/>
      </w:pPr>
      <w:rPr>
        <w:rFonts w:hint="default"/>
        <w:sz w:val="24"/>
        <w:u w:val="none"/>
      </w:rPr>
    </w:lvl>
    <w:lvl w:ilvl="4">
      <w:start w:val="1"/>
      <w:numFmt w:val="decimal"/>
      <w:lvlText w:val="%1.%2.%3.%4.%5"/>
      <w:lvlJc w:val="left"/>
      <w:pPr>
        <w:ind w:left="1080" w:hanging="1080"/>
      </w:pPr>
      <w:rPr>
        <w:rFonts w:hint="default"/>
        <w:sz w:val="24"/>
        <w:u w:val="none"/>
      </w:rPr>
    </w:lvl>
    <w:lvl w:ilvl="5">
      <w:start w:val="1"/>
      <w:numFmt w:val="decimal"/>
      <w:lvlText w:val="%1.%2.%3.%4.%5.%6"/>
      <w:lvlJc w:val="left"/>
      <w:pPr>
        <w:ind w:left="1080" w:hanging="1080"/>
      </w:pPr>
      <w:rPr>
        <w:rFonts w:hint="default"/>
        <w:sz w:val="24"/>
        <w:u w:val="none"/>
      </w:rPr>
    </w:lvl>
    <w:lvl w:ilvl="6">
      <w:start w:val="1"/>
      <w:numFmt w:val="decimal"/>
      <w:lvlText w:val="%1.%2.%3.%4.%5.%6.%7"/>
      <w:lvlJc w:val="left"/>
      <w:pPr>
        <w:ind w:left="1440" w:hanging="1440"/>
      </w:pPr>
      <w:rPr>
        <w:rFonts w:hint="default"/>
        <w:sz w:val="24"/>
        <w:u w:val="none"/>
      </w:rPr>
    </w:lvl>
    <w:lvl w:ilvl="7">
      <w:start w:val="1"/>
      <w:numFmt w:val="decimal"/>
      <w:lvlText w:val="%1.%2.%3.%4.%5.%6.%7.%8"/>
      <w:lvlJc w:val="left"/>
      <w:pPr>
        <w:ind w:left="1440" w:hanging="1440"/>
      </w:pPr>
      <w:rPr>
        <w:rFonts w:hint="default"/>
        <w:sz w:val="24"/>
        <w:u w:val="none"/>
      </w:rPr>
    </w:lvl>
    <w:lvl w:ilvl="8">
      <w:start w:val="1"/>
      <w:numFmt w:val="decimal"/>
      <w:lvlText w:val="%1.%2.%3.%4.%5.%6.%7.%8.%9"/>
      <w:lvlJc w:val="left"/>
      <w:pPr>
        <w:ind w:left="1440" w:hanging="1440"/>
      </w:pPr>
      <w:rPr>
        <w:rFonts w:hint="default"/>
        <w:sz w:val="24"/>
        <w:u w:val="none"/>
      </w:rPr>
    </w:lvl>
  </w:abstractNum>
  <w:abstractNum w:abstractNumId="12" w15:restartNumberingAfterBreak="0">
    <w:nsid w:val="5EFE129F"/>
    <w:multiLevelType w:val="hybridMultilevel"/>
    <w:tmpl w:val="0262A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5B5822"/>
    <w:multiLevelType w:val="hybridMultilevel"/>
    <w:tmpl w:val="A2AE5D62"/>
    <w:lvl w:ilvl="0" w:tplc="381284E2">
      <w:start w:val="1"/>
      <w:numFmt w:val="bullet"/>
      <w:lvlText w:val="-"/>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5021A2"/>
    <w:multiLevelType w:val="hybridMultilevel"/>
    <w:tmpl w:val="E1BC793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6BD93837"/>
    <w:multiLevelType w:val="hybridMultilevel"/>
    <w:tmpl w:val="EFFA1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596234"/>
    <w:multiLevelType w:val="hybridMultilevel"/>
    <w:tmpl w:val="5F2C9850"/>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837"/>
        </w:tabs>
        <w:ind w:left="1837" w:hanging="360"/>
      </w:pPr>
      <w:rPr>
        <w:rFonts w:ascii="Courier New" w:hAnsi="Courier New" w:cs="Courier New" w:hint="default"/>
      </w:rPr>
    </w:lvl>
    <w:lvl w:ilvl="2" w:tplc="040C0005" w:tentative="1">
      <w:start w:val="1"/>
      <w:numFmt w:val="bullet"/>
      <w:lvlText w:val=""/>
      <w:lvlJc w:val="left"/>
      <w:pPr>
        <w:tabs>
          <w:tab w:val="num" w:pos="2557"/>
        </w:tabs>
        <w:ind w:left="2557" w:hanging="360"/>
      </w:pPr>
      <w:rPr>
        <w:rFonts w:ascii="Wingdings" w:hAnsi="Wingdings" w:hint="default"/>
      </w:rPr>
    </w:lvl>
    <w:lvl w:ilvl="3" w:tplc="040C0001" w:tentative="1">
      <w:start w:val="1"/>
      <w:numFmt w:val="bullet"/>
      <w:lvlText w:val=""/>
      <w:lvlJc w:val="left"/>
      <w:pPr>
        <w:tabs>
          <w:tab w:val="num" w:pos="3277"/>
        </w:tabs>
        <w:ind w:left="3277" w:hanging="360"/>
      </w:pPr>
      <w:rPr>
        <w:rFonts w:ascii="Symbol" w:hAnsi="Symbol" w:hint="default"/>
      </w:rPr>
    </w:lvl>
    <w:lvl w:ilvl="4" w:tplc="040C0003" w:tentative="1">
      <w:start w:val="1"/>
      <w:numFmt w:val="bullet"/>
      <w:lvlText w:val="o"/>
      <w:lvlJc w:val="left"/>
      <w:pPr>
        <w:tabs>
          <w:tab w:val="num" w:pos="3997"/>
        </w:tabs>
        <w:ind w:left="3997" w:hanging="360"/>
      </w:pPr>
      <w:rPr>
        <w:rFonts w:ascii="Courier New" w:hAnsi="Courier New" w:cs="Courier New" w:hint="default"/>
      </w:rPr>
    </w:lvl>
    <w:lvl w:ilvl="5" w:tplc="040C0005" w:tentative="1">
      <w:start w:val="1"/>
      <w:numFmt w:val="bullet"/>
      <w:lvlText w:val=""/>
      <w:lvlJc w:val="left"/>
      <w:pPr>
        <w:tabs>
          <w:tab w:val="num" w:pos="4717"/>
        </w:tabs>
        <w:ind w:left="4717" w:hanging="360"/>
      </w:pPr>
      <w:rPr>
        <w:rFonts w:ascii="Wingdings" w:hAnsi="Wingdings" w:hint="default"/>
      </w:rPr>
    </w:lvl>
    <w:lvl w:ilvl="6" w:tplc="040C0001" w:tentative="1">
      <w:start w:val="1"/>
      <w:numFmt w:val="bullet"/>
      <w:lvlText w:val=""/>
      <w:lvlJc w:val="left"/>
      <w:pPr>
        <w:tabs>
          <w:tab w:val="num" w:pos="5437"/>
        </w:tabs>
        <w:ind w:left="5437" w:hanging="360"/>
      </w:pPr>
      <w:rPr>
        <w:rFonts w:ascii="Symbol" w:hAnsi="Symbol" w:hint="default"/>
      </w:rPr>
    </w:lvl>
    <w:lvl w:ilvl="7" w:tplc="040C0003" w:tentative="1">
      <w:start w:val="1"/>
      <w:numFmt w:val="bullet"/>
      <w:lvlText w:val="o"/>
      <w:lvlJc w:val="left"/>
      <w:pPr>
        <w:tabs>
          <w:tab w:val="num" w:pos="6157"/>
        </w:tabs>
        <w:ind w:left="6157" w:hanging="360"/>
      </w:pPr>
      <w:rPr>
        <w:rFonts w:ascii="Courier New" w:hAnsi="Courier New" w:cs="Courier New" w:hint="default"/>
      </w:rPr>
    </w:lvl>
    <w:lvl w:ilvl="8" w:tplc="040C0005" w:tentative="1">
      <w:start w:val="1"/>
      <w:numFmt w:val="bullet"/>
      <w:lvlText w:val=""/>
      <w:lvlJc w:val="left"/>
      <w:pPr>
        <w:tabs>
          <w:tab w:val="num" w:pos="6877"/>
        </w:tabs>
        <w:ind w:left="6877" w:hanging="360"/>
      </w:pPr>
      <w:rPr>
        <w:rFonts w:ascii="Wingdings" w:hAnsi="Wingdings" w:hint="default"/>
      </w:rPr>
    </w:lvl>
  </w:abstractNum>
  <w:abstractNum w:abstractNumId="17" w15:restartNumberingAfterBreak="0">
    <w:nsid w:val="70B10CE8"/>
    <w:multiLevelType w:val="multilevel"/>
    <w:tmpl w:val="ABBE16E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D11F56"/>
    <w:multiLevelType w:val="hybridMultilevel"/>
    <w:tmpl w:val="9AA66A70"/>
    <w:lvl w:ilvl="0" w:tplc="381284E2">
      <w:start w:val="1"/>
      <w:numFmt w:val="bullet"/>
      <w:lvlText w:val="-"/>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C009AA"/>
    <w:multiLevelType w:val="hybridMultilevel"/>
    <w:tmpl w:val="A9165826"/>
    <w:lvl w:ilvl="0" w:tplc="BB0657E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77A55929"/>
    <w:multiLevelType w:val="hybridMultilevel"/>
    <w:tmpl w:val="ABBE16E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20"/>
  </w:num>
  <w:num w:numId="4">
    <w:abstractNumId w:val="17"/>
  </w:num>
  <w:num w:numId="5">
    <w:abstractNumId w:val="13"/>
  </w:num>
  <w:num w:numId="6">
    <w:abstractNumId w:val="18"/>
  </w:num>
  <w:num w:numId="7">
    <w:abstractNumId w:val="1"/>
  </w:num>
  <w:num w:numId="8">
    <w:abstractNumId w:val="16"/>
  </w:num>
  <w:num w:numId="9">
    <w:abstractNumId w:val="7"/>
  </w:num>
  <w:num w:numId="10">
    <w:abstractNumId w:val="10"/>
  </w:num>
  <w:num w:numId="11">
    <w:abstractNumId w:val="15"/>
  </w:num>
  <w:num w:numId="12">
    <w:abstractNumId w:val="1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2"/>
  </w:num>
  <w:num w:numId="17">
    <w:abstractNumId w:val="6"/>
  </w:num>
  <w:num w:numId="18">
    <w:abstractNumId w:val="8"/>
  </w:num>
  <w:num w:numId="19">
    <w:abstractNumId w:val="8"/>
  </w:num>
  <w:num w:numId="20">
    <w:abstractNumId w:val="12"/>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6F6"/>
    <w:rsid w:val="00004503"/>
    <w:rsid w:val="00015965"/>
    <w:rsid w:val="000159EB"/>
    <w:rsid w:val="000222BB"/>
    <w:rsid w:val="00031509"/>
    <w:rsid w:val="0003416E"/>
    <w:rsid w:val="000412CB"/>
    <w:rsid w:val="00041DBF"/>
    <w:rsid w:val="0004563B"/>
    <w:rsid w:val="00047BE5"/>
    <w:rsid w:val="00051499"/>
    <w:rsid w:val="00052C60"/>
    <w:rsid w:val="0005527A"/>
    <w:rsid w:val="00061E97"/>
    <w:rsid w:val="0006251E"/>
    <w:rsid w:val="00065059"/>
    <w:rsid w:val="000664B8"/>
    <w:rsid w:val="00066B4B"/>
    <w:rsid w:val="00070B61"/>
    <w:rsid w:val="000738DE"/>
    <w:rsid w:val="00076994"/>
    <w:rsid w:val="00081600"/>
    <w:rsid w:val="00085A54"/>
    <w:rsid w:val="00086CC8"/>
    <w:rsid w:val="000A6B5B"/>
    <w:rsid w:val="000B08C2"/>
    <w:rsid w:val="000B2C95"/>
    <w:rsid w:val="000B62E4"/>
    <w:rsid w:val="000C5E2A"/>
    <w:rsid w:val="000D2F98"/>
    <w:rsid w:val="000D5AB7"/>
    <w:rsid w:val="000D7D64"/>
    <w:rsid w:val="000E2A5C"/>
    <w:rsid w:val="000E61FD"/>
    <w:rsid w:val="000F2930"/>
    <w:rsid w:val="000F39C2"/>
    <w:rsid w:val="00102719"/>
    <w:rsid w:val="001079EE"/>
    <w:rsid w:val="00110984"/>
    <w:rsid w:val="001142D9"/>
    <w:rsid w:val="00115F0B"/>
    <w:rsid w:val="00117131"/>
    <w:rsid w:val="00122CCA"/>
    <w:rsid w:val="00124430"/>
    <w:rsid w:val="0012499D"/>
    <w:rsid w:val="00125FB2"/>
    <w:rsid w:val="00144FE5"/>
    <w:rsid w:val="001457BA"/>
    <w:rsid w:val="00145FCB"/>
    <w:rsid w:val="00151FC8"/>
    <w:rsid w:val="00165CED"/>
    <w:rsid w:val="00170258"/>
    <w:rsid w:val="0017766D"/>
    <w:rsid w:val="00193650"/>
    <w:rsid w:val="001A4A58"/>
    <w:rsid w:val="001A6A07"/>
    <w:rsid w:val="001A6CEC"/>
    <w:rsid w:val="001B2EB7"/>
    <w:rsid w:val="001B73E1"/>
    <w:rsid w:val="001C153E"/>
    <w:rsid w:val="001C1CA1"/>
    <w:rsid w:val="001C3F65"/>
    <w:rsid w:val="001C4459"/>
    <w:rsid w:val="001C7A4A"/>
    <w:rsid w:val="001D3820"/>
    <w:rsid w:val="001D6F44"/>
    <w:rsid w:val="001D727E"/>
    <w:rsid w:val="001E28AD"/>
    <w:rsid w:val="001E5599"/>
    <w:rsid w:val="001F09AC"/>
    <w:rsid w:val="001F0CD9"/>
    <w:rsid w:val="001F68CC"/>
    <w:rsid w:val="00201A00"/>
    <w:rsid w:val="00204CA8"/>
    <w:rsid w:val="00207324"/>
    <w:rsid w:val="00207C84"/>
    <w:rsid w:val="00212AAC"/>
    <w:rsid w:val="00214C35"/>
    <w:rsid w:val="00220310"/>
    <w:rsid w:val="00221877"/>
    <w:rsid w:val="002233B1"/>
    <w:rsid w:val="00224A96"/>
    <w:rsid w:val="00246D0A"/>
    <w:rsid w:val="002477F5"/>
    <w:rsid w:val="00247F27"/>
    <w:rsid w:val="0025050F"/>
    <w:rsid w:val="002519BE"/>
    <w:rsid w:val="00260B44"/>
    <w:rsid w:val="00261439"/>
    <w:rsid w:val="002632D0"/>
    <w:rsid w:val="002634AC"/>
    <w:rsid w:val="00263525"/>
    <w:rsid w:val="002666AE"/>
    <w:rsid w:val="002735B6"/>
    <w:rsid w:val="002824A7"/>
    <w:rsid w:val="0028426E"/>
    <w:rsid w:val="0029116C"/>
    <w:rsid w:val="0029448B"/>
    <w:rsid w:val="002A0D18"/>
    <w:rsid w:val="002A3406"/>
    <w:rsid w:val="002A406D"/>
    <w:rsid w:val="002B2ACB"/>
    <w:rsid w:val="002B569E"/>
    <w:rsid w:val="002B7A9F"/>
    <w:rsid w:val="002C1E7F"/>
    <w:rsid w:val="002C60EE"/>
    <w:rsid w:val="002D1FE1"/>
    <w:rsid w:val="002D2AC3"/>
    <w:rsid w:val="002D4E6C"/>
    <w:rsid w:val="002D6E60"/>
    <w:rsid w:val="002E2ADF"/>
    <w:rsid w:val="002E46C9"/>
    <w:rsid w:val="00300325"/>
    <w:rsid w:val="0030160F"/>
    <w:rsid w:val="0030495E"/>
    <w:rsid w:val="00305B62"/>
    <w:rsid w:val="003068C2"/>
    <w:rsid w:val="00311666"/>
    <w:rsid w:val="00314281"/>
    <w:rsid w:val="00315E70"/>
    <w:rsid w:val="003202B6"/>
    <w:rsid w:val="003220F5"/>
    <w:rsid w:val="00323441"/>
    <w:rsid w:val="003238D7"/>
    <w:rsid w:val="003337F2"/>
    <w:rsid w:val="00336D83"/>
    <w:rsid w:val="00336D8A"/>
    <w:rsid w:val="00340BD4"/>
    <w:rsid w:val="00344E4D"/>
    <w:rsid w:val="00347E01"/>
    <w:rsid w:val="00364836"/>
    <w:rsid w:val="00365F4E"/>
    <w:rsid w:val="00371770"/>
    <w:rsid w:val="00372637"/>
    <w:rsid w:val="00372F24"/>
    <w:rsid w:val="0037580E"/>
    <w:rsid w:val="00376BC4"/>
    <w:rsid w:val="0037724D"/>
    <w:rsid w:val="0037733A"/>
    <w:rsid w:val="003906F9"/>
    <w:rsid w:val="0039362A"/>
    <w:rsid w:val="00394CC8"/>
    <w:rsid w:val="003962EB"/>
    <w:rsid w:val="00396366"/>
    <w:rsid w:val="003A6440"/>
    <w:rsid w:val="003B07B8"/>
    <w:rsid w:val="003B1E3A"/>
    <w:rsid w:val="003B2F49"/>
    <w:rsid w:val="003B6792"/>
    <w:rsid w:val="003B757A"/>
    <w:rsid w:val="003C4F34"/>
    <w:rsid w:val="003D39BF"/>
    <w:rsid w:val="003F30B2"/>
    <w:rsid w:val="003F3320"/>
    <w:rsid w:val="003F3D5E"/>
    <w:rsid w:val="003F6E1F"/>
    <w:rsid w:val="00401DEA"/>
    <w:rsid w:val="0040617C"/>
    <w:rsid w:val="00412EFD"/>
    <w:rsid w:val="00413774"/>
    <w:rsid w:val="004158D2"/>
    <w:rsid w:val="00416311"/>
    <w:rsid w:val="004168D6"/>
    <w:rsid w:val="00422094"/>
    <w:rsid w:val="00433170"/>
    <w:rsid w:val="00434BB4"/>
    <w:rsid w:val="00436B27"/>
    <w:rsid w:val="00437195"/>
    <w:rsid w:val="00441063"/>
    <w:rsid w:val="00444B7A"/>
    <w:rsid w:val="00450A20"/>
    <w:rsid w:val="0045115F"/>
    <w:rsid w:val="004564C9"/>
    <w:rsid w:val="00463974"/>
    <w:rsid w:val="004834FC"/>
    <w:rsid w:val="0048499B"/>
    <w:rsid w:val="004853B8"/>
    <w:rsid w:val="004854A9"/>
    <w:rsid w:val="004870BF"/>
    <w:rsid w:val="00496FB5"/>
    <w:rsid w:val="00497C51"/>
    <w:rsid w:val="004B29FC"/>
    <w:rsid w:val="004B5C22"/>
    <w:rsid w:val="004B6E49"/>
    <w:rsid w:val="004C1FEA"/>
    <w:rsid w:val="004C4619"/>
    <w:rsid w:val="004D110A"/>
    <w:rsid w:val="004D2B6E"/>
    <w:rsid w:val="004D3023"/>
    <w:rsid w:val="004D47B7"/>
    <w:rsid w:val="004D4C79"/>
    <w:rsid w:val="004E15E3"/>
    <w:rsid w:val="004E3CFA"/>
    <w:rsid w:val="004E6796"/>
    <w:rsid w:val="004F06F6"/>
    <w:rsid w:val="004F34A6"/>
    <w:rsid w:val="004F74BC"/>
    <w:rsid w:val="00505243"/>
    <w:rsid w:val="00513A6C"/>
    <w:rsid w:val="00516054"/>
    <w:rsid w:val="005172D2"/>
    <w:rsid w:val="005213E0"/>
    <w:rsid w:val="00533AEC"/>
    <w:rsid w:val="00534956"/>
    <w:rsid w:val="00547158"/>
    <w:rsid w:val="00556337"/>
    <w:rsid w:val="005634B8"/>
    <w:rsid w:val="005648C3"/>
    <w:rsid w:val="00571A7E"/>
    <w:rsid w:val="005775E3"/>
    <w:rsid w:val="00585E4D"/>
    <w:rsid w:val="00590720"/>
    <w:rsid w:val="005915CC"/>
    <w:rsid w:val="00593F02"/>
    <w:rsid w:val="00597394"/>
    <w:rsid w:val="005976C6"/>
    <w:rsid w:val="005A7791"/>
    <w:rsid w:val="005D0601"/>
    <w:rsid w:val="005D79FE"/>
    <w:rsid w:val="005E4AE8"/>
    <w:rsid w:val="005E6EAE"/>
    <w:rsid w:val="005F4E12"/>
    <w:rsid w:val="00606A57"/>
    <w:rsid w:val="00610DAC"/>
    <w:rsid w:val="00612021"/>
    <w:rsid w:val="00620222"/>
    <w:rsid w:val="00620ABB"/>
    <w:rsid w:val="00624D63"/>
    <w:rsid w:val="00627EE1"/>
    <w:rsid w:val="00634BDC"/>
    <w:rsid w:val="00636798"/>
    <w:rsid w:val="00643020"/>
    <w:rsid w:val="0064375F"/>
    <w:rsid w:val="0064695F"/>
    <w:rsid w:val="00664366"/>
    <w:rsid w:val="00665462"/>
    <w:rsid w:val="00665A12"/>
    <w:rsid w:val="00666118"/>
    <w:rsid w:val="00666ABA"/>
    <w:rsid w:val="00677C52"/>
    <w:rsid w:val="00683EF5"/>
    <w:rsid w:val="00686CD8"/>
    <w:rsid w:val="00691FBC"/>
    <w:rsid w:val="0069377D"/>
    <w:rsid w:val="00695453"/>
    <w:rsid w:val="006A009C"/>
    <w:rsid w:val="006A3913"/>
    <w:rsid w:val="006A51C3"/>
    <w:rsid w:val="006A6907"/>
    <w:rsid w:val="006A75D4"/>
    <w:rsid w:val="006B1CA0"/>
    <w:rsid w:val="006B2517"/>
    <w:rsid w:val="006B4945"/>
    <w:rsid w:val="006B5838"/>
    <w:rsid w:val="006B72C7"/>
    <w:rsid w:val="006B7F2C"/>
    <w:rsid w:val="006C1355"/>
    <w:rsid w:val="006C1818"/>
    <w:rsid w:val="006C6763"/>
    <w:rsid w:val="006D237B"/>
    <w:rsid w:val="006E41ED"/>
    <w:rsid w:val="006F11DD"/>
    <w:rsid w:val="006F1380"/>
    <w:rsid w:val="006F41BB"/>
    <w:rsid w:val="006F67C5"/>
    <w:rsid w:val="00700A14"/>
    <w:rsid w:val="00710462"/>
    <w:rsid w:val="007149A9"/>
    <w:rsid w:val="00721921"/>
    <w:rsid w:val="00723938"/>
    <w:rsid w:val="007242C3"/>
    <w:rsid w:val="00733C63"/>
    <w:rsid w:val="00737764"/>
    <w:rsid w:val="00742E73"/>
    <w:rsid w:val="0075031C"/>
    <w:rsid w:val="00766400"/>
    <w:rsid w:val="00770AFB"/>
    <w:rsid w:val="0077224C"/>
    <w:rsid w:val="0077410C"/>
    <w:rsid w:val="007842F8"/>
    <w:rsid w:val="0078476B"/>
    <w:rsid w:val="00792456"/>
    <w:rsid w:val="007979DF"/>
    <w:rsid w:val="007A1396"/>
    <w:rsid w:val="007A5832"/>
    <w:rsid w:val="007A6D3A"/>
    <w:rsid w:val="007B31A9"/>
    <w:rsid w:val="007B4694"/>
    <w:rsid w:val="007B6CB2"/>
    <w:rsid w:val="007B7527"/>
    <w:rsid w:val="007C04AD"/>
    <w:rsid w:val="007C0B1B"/>
    <w:rsid w:val="007C4E59"/>
    <w:rsid w:val="007C6496"/>
    <w:rsid w:val="007D33A5"/>
    <w:rsid w:val="00801307"/>
    <w:rsid w:val="00803D63"/>
    <w:rsid w:val="00804970"/>
    <w:rsid w:val="00812BCE"/>
    <w:rsid w:val="008168DB"/>
    <w:rsid w:val="00822607"/>
    <w:rsid w:val="00823C30"/>
    <w:rsid w:val="00826ABC"/>
    <w:rsid w:val="00832A98"/>
    <w:rsid w:val="00837034"/>
    <w:rsid w:val="008376A2"/>
    <w:rsid w:val="00845F20"/>
    <w:rsid w:val="00856837"/>
    <w:rsid w:val="00861B70"/>
    <w:rsid w:val="00862497"/>
    <w:rsid w:val="008631AF"/>
    <w:rsid w:val="0086321D"/>
    <w:rsid w:val="00871853"/>
    <w:rsid w:val="00874544"/>
    <w:rsid w:val="00876804"/>
    <w:rsid w:val="00877528"/>
    <w:rsid w:val="008853C6"/>
    <w:rsid w:val="008858BA"/>
    <w:rsid w:val="00891762"/>
    <w:rsid w:val="00892731"/>
    <w:rsid w:val="008A0148"/>
    <w:rsid w:val="008B01D0"/>
    <w:rsid w:val="008B56CA"/>
    <w:rsid w:val="008D6E01"/>
    <w:rsid w:val="008E2235"/>
    <w:rsid w:val="008E5833"/>
    <w:rsid w:val="00904ADE"/>
    <w:rsid w:val="00912B89"/>
    <w:rsid w:val="00914077"/>
    <w:rsid w:val="00915A76"/>
    <w:rsid w:val="00916847"/>
    <w:rsid w:val="00921A82"/>
    <w:rsid w:val="009227B8"/>
    <w:rsid w:val="009402FB"/>
    <w:rsid w:val="00955923"/>
    <w:rsid w:val="0097091C"/>
    <w:rsid w:val="0097102B"/>
    <w:rsid w:val="00971211"/>
    <w:rsid w:val="00975099"/>
    <w:rsid w:val="0097511C"/>
    <w:rsid w:val="00976AAA"/>
    <w:rsid w:val="009805D1"/>
    <w:rsid w:val="009809E2"/>
    <w:rsid w:val="00986525"/>
    <w:rsid w:val="00990DE9"/>
    <w:rsid w:val="00992FE3"/>
    <w:rsid w:val="00997E3E"/>
    <w:rsid w:val="009A08C1"/>
    <w:rsid w:val="009A0A1D"/>
    <w:rsid w:val="009A209D"/>
    <w:rsid w:val="009A264B"/>
    <w:rsid w:val="009A3025"/>
    <w:rsid w:val="009A59B7"/>
    <w:rsid w:val="009A675E"/>
    <w:rsid w:val="009B0E50"/>
    <w:rsid w:val="009B12B8"/>
    <w:rsid w:val="009B4815"/>
    <w:rsid w:val="009D07E5"/>
    <w:rsid w:val="009E2323"/>
    <w:rsid w:val="009E3710"/>
    <w:rsid w:val="009E7F7C"/>
    <w:rsid w:val="009F0460"/>
    <w:rsid w:val="009F461F"/>
    <w:rsid w:val="009F6E4E"/>
    <w:rsid w:val="00A00C7A"/>
    <w:rsid w:val="00A021E8"/>
    <w:rsid w:val="00A10A68"/>
    <w:rsid w:val="00A111B4"/>
    <w:rsid w:val="00A132D6"/>
    <w:rsid w:val="00A148C4"/>
    <w:rsid w:val="00A2033D"/>
    <w:rsid w:val="00A23787"/>
    <w:rsid w:val="00A246B6"/>
    <w:rsid w:val="00A2494F"/>
    <w:rsid w:val="00A267A3"/>
    <w:rsid w:val="00A36849"/>
    <w:rsid w:val="00A4019F"/>
    <w:rsid w:val="00A44156"/>
    <w:rsid w:val="00A46150"/>
    <w:rsid w:val="00A51FDE"/>
    <w:rsid w:val="00A52E2C"/>
    <w:rsid w:val="00A5707F"/>
    <w:rsid w:val="00A66669"/>
    <w:rsid w:val="00A7592D"/>
    <w:rsid w:val="00A80429"/>
    <w:rsid w:val="00A80AEE"/>
    <w:rsid w:val="00A85565"/>
    <w:rsid w:val="00A93FBD"/>
    <w:rsid w:val="00A9689E"/>
    <w:rsid w:val="00AB2A71"/>
    <w:rsid w:val="00AB4EDD"/>
    <w:rsid w:val="00AD0BA4"/>
    <w:rsid w:val="00AD179F"/>
    <w:rsid w:val="00AD24BF"/>
    <w:rsid w:val="00AD275F"/>
    <w:rsid w:val="00AD73B0"/>
    <w:rsid w:val="00AD7464"/>
    <w:rsid w:val="00AE5534"/>
    <w:rsid w:val="00AE7A20"/>
    <w:rsid w:val="00AF0A13"/>
    <w:rsid w:val="00AF7726"/>
    <w:rsid w:val="00AF7922"/>
    <w:rsid w:val="00B01E3B"/>
    <w:rsid w:val="00B02EFA"/>
    <w:rsid w:val="00B15F00"/>
    <w:rsid w:val="00B1618B"/>
    <w:rsid w:val="00B16C24"/>
    <w:rsid w:val="00B21F16"/>
    <w:rsid w:val="00B339C8"/>
    <w:rsid w:val="00B34DB0"/>
    <w:rsid w:val="00B42AEE"/>
    <w:rsid w:val="00B43013"/>
    <w:rsid w:val="00B477A4"/>
    <w:rsid w:val="00B50F1C"/>
    <w:rsid w:val="00B54C05"/>
    <w:rsid w:val="00B55F32"/>
    <w:rsid w:val="00B64CA4"/>
    <w:rsid w:val="00B7391F"/>
    <w:rsid w:val="00B74EB2"/>
    <w:rsid w:val="00B8244E"/>
    <w:rsid w:val="00B952EC"/>
    <w:rsid w:val="00BA1977"/>
    <w:rsid w:val="00BA42FE"/>
    <w:rsid w:val="00BB017A"/>
    <w:rsid w:val="00BB2170"/>
    <w:rsid w:val="00BB6F24"/>
    <w:rsid w:val="00BC11EF"/>
    <w:rsid w:val="00BC3DF9"/>
    <w:rsid w:val="00BD2BE6"/>
    <w:rsid w:val="00BD3FD0"/>
    <w:rsid w:val="00BD50EA"/>
    <w:rsid w:val="00BE04C4"/>
    <w:rsid w:val="00BE08FE"/>
    <w:rsid w:val="00BE1BA0"/>
    <w:rsid w:val="00BE59DE"/>
    <w:rsid w:val="00BF37D2"/>
    <w:rsid w:val="00BF4C05"/>
    <w:rsid w:val="00C060CA"/>
    <w:rsid w:val="00C064EE"/>
    <w:rsid w:val="00C10FF1"/>
    <w:rsid w:val="00C17889"/>
    <w:rsid w:val="00C3232B"/>
    <w:rsid w:val="00C3258A"/>
    <w:rsid w:val="00C32652"/>
    <w:rsid w:val="00C34CCC"/>
    <w:rsid w:val="00C55AA3"/>
    <w:rsid w:val="00C67EC0"/>
    <w:rsid w:val="00C70A5F"/>
    <w:rsid w:val="00C72891"/>
    <w:rsid w:val="00C750FB"/>
    <w:rsid w:val="00C771E8"/>
    <w:rsid w:val="00C81FF7"/>
    <w:rsid w:val="00C82EFD"/>
    <w:rsid w:val="00C91166"/>
    <w:rsid w:val="00C9486F"/>
    <w:rsid w:val="00C951B8"/>
    <w:rsid w:val="00CA588F"/>
    <w:rsid w:val="00CA7CE9"/>
    <w:rsid w:val="00CB3EE8"/>
    <w:rsid w:val="00CB4ECF"/>
    <w:rsid w:val="00CB6277"/>
    <w:rsid w:val="00CC1376"/>
    <w:rsid w:val="00CC308A"/>
    <w:rsid w:val="00CC605B"/>
    <w:rsid w:val="00CC698D"/>
    <w:rsid w:val="00CC7F31"/>
    <w:rsid w:val="00CD01D2"/>
    <w:rsid w:val="00CD0C4C"/>
    <w:rsid w:val="00CE391C"/>
    <w:rsid w:val="00CE4BF8"/>
    <w:rsid w:val="00CF2B31"/>
    <w:rsid w:val="00CF3682"/>
    <w:rsid w:val="00CF4B6B"/>
    <w:rsid w:val="00CF6E70"/>
    <w:rsid w:val="00D04C1D"/>
    <w:rsid w:val="00D05F04"/>
    <w:rsid w:val="00D10032"/>
    <w:rsid w:val="00D100D0"/>
    <w:rsid w:val="00D21CC3"/>
    <w:rsid w:val="00D24A83"/>
    <w:rsid w:val="00D25A07"/>
    <w:rsid w:val="00D25D3A"/>
    <w:rsid w:val="00D26F8C"/>
    <w:rsid w:val="00D30922"/>
    <w:rsid w:val="00D3284B"/>
    <w:rsid w:val="00D33B90"/>
    <w:rsid w:val="00D37029"/>
    <w:rsid w:val="00D509F7"/>
    <w:rsid w:val="00D51946"/>
    <w:rsid w:val="00D57CF8"/>
    <w:rsid w:val="00D628CA"/>
    <w:rsid w:val="00D72B34"/>
    <w:rsid w:val="00D74630"/>
    <w:rsid w:val="00D76A27"/>
    <w:rsid w:val="00D76E4A"/>
    <w:rsid w:val="00D77CED"/>
    <w:rsid w:val="00D807D4"/>
    <w:rsid w:val="00D91CAB"/>
    <w:rsid w:val="00D92F0B"/>
    <w:rsid w:val="00D95D38"/>
    <w:rsid w:val="00DA77A9"/>
    <w:rsid w:val="00DB0414"/>
    <w:rsid w:val="00DB704E"/>
    <w:rsid w:val="00DC1B7B"/>
    <w:rsid w:val="00DC2387"/>
    <w:rsid w:val="00DC4E27"/>
    <w:rsid w:val="00DD3428"/>
    <w:rsid w:val="00DD45B9"/>
    <w:rsid w:val="00DE5746"/>
    <w:rsid w:val="00DE6167"/>
    <w:rsid w:val="00DE6EF2"/>
    <w:rsid w:val="00DF2586"/>
    <w:rsid w:val="00DF5D6F"/>
    <w:rsid w:val="00E023C9"/>
    <w:rsid w:val="00E062D7"/>
    <w:rsid w:val="00E0669F"/>
    <w:rsid w:val="00E10972"/>
    <w:rsid w:val="00E13329"/>
    <w:rsid w:val="00E13F17"/>
    <w:rsid w:val="00E144FE"/>
    <w:rsid w:val="00E15B7D"/>
    <w:rsid w:val="00E20C37"/>
    <w:rsid w:val="00E21012"/>
    <w:rsid w:val="00E24F04"/>
    <w:rsid w:val="00E35202"/>
    <w:rsid w:val="00E35A3E"/>
    <w:rsid w:val="00E459CB"/>
    <w:rsid w:val="00E51AD9"/>
    <w:rsid w:val="00E617D3"/>
    <w:rsid w:val="00E64491"/>
    <w:rsid w:val="00E864F6"/>
    <w:rsid w:val="00E8754F"/>
    <w:rsid w:val="00E93944"/>
    <w:rsid w:val="00E9592D"/>
    <w:rsid w:val="00EA031E"/>
    <w:rsid w:val="00EB6EC9"/>
    <w:rsid w:val="00EB7DBF"/>
    <w:rsid w:val="00EC0C54"/>
    <w:rsid w:val="00EC0DBF"/>
    <w:rsid w:val="00EC4F07"/>
    <w:rsid w:val="00EC7F0B"/>
    <w:rsid w:val="00ED6940"/>
    <w:rsid w:val="00EE0185"/>
    <w:rsid w:val="00EE2E90"/>
    <w:rsid w:val="00EE3DD6"/>
    <w:rsid w:val="00EE5F00"/>
    <w:rsid w:val="00EF0FE8"/>
    <w:rsid w:val="00F05281"/>
    <w:rsid w:val="00F05AC6"/>
    <w:rsid w:val="00F13820"/>
    <w:rsid w:val="00F14C73"/>
    <w:rsid w:val="00F161C2"/>
    <w:rsid w:val="00F208B2"/>
    <w:rsid w:val="00F232F0"/>
    <w:rsid w:val="00F24D97"/>
    <w:rsid w:val="00F265E3"/>
    <w:rsid w:val="00F3297B"/>
    <w:rsid w:val="00F40B28"/>
    <w:rsid w:val="00F419C8"/>
    <w:rsid w:val="00F501AA"/>
    <w:rsid w:val="00F6667B"/>
    <w:rsid w:val="00F67E15"/>
    <w:rsid w:val="00F73156"/>
    <w:rsid w:val="00F74E7E"/>
    <w:rsid w:val="00F8318F"/>
    <w:rsid w:val="00F961C8"/>
    <w:rsid w:val="00FA1D24"/>
    <w:rsid w:val="00FA3087"/>
    <w:rsid w:val="00FC36B1"/>
    <w:rsid w:val="00FC66FA"/>
    <w:rsid w:val="00FE2FF0"/>
    <w:rsid w:val="00FE58BF"/>
    <w:rsid w:val="00FE6273"/>
    <w:rsid w:val="00FE72AC"/>
    <w:rsid w:val="00FF3C10"/>
    <w:rsid w:val="00FF5244"/>
    <w:rsid w:val="00FF6CD3"/>
    <w:rsid w:val="00FF7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CCAEA3D6-8E14-4BC0-89F0-F31E81D8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F27"/>
    <w:pPr>
      <w:overflowPunct w:val="0"/>
      <w:autoSpaceDE w:val="0"/>
      <w:autoSpaceDN w:val="0"/>
      <w:adjustRightInd w:val="0"/>
      <w:textAlignment w:val="baseline"/>
    </w:pPr>
    <w:rPr>
      <w:rFonts w:ascii="Univers" w:hAnsi="Univers" w:cs="Arial"/>
    </w:rPr>
  </w:style>
  <w:style w:type="paragraph" w:styleId="Titre1">
    <w:name w:val="heading 1"/>
    <w:basedOn w:val="Normal"/>
    <w:next w:val="Normal"/>
    <w:qFormat/>
    <w:rsid w:val="00247F27"/>
    <w:pPr>
      <w:keepNext/>
      <w:spacing w:after="240"/>
      <w:jc w:val="center"/>
      <w:outlineLvl w:val="0"/>
    </w:pPr>
    <w:rPr>
      <w:b/>
      <w:bCs/>
    </w:rPr>
  </w:style>
  <w:style w:type="paragraph" w:styleId="Titre2">
    <w:name w:val="heading 2"/>
    <w:basedOn w:val="Normal"/>
    <w:next w:val="Normal"/>
    <w:link w:val="Titre2Car"/>
    <w:uiPriority w:val="9"/>
    <w:unhideWhenUsed/>
    <w:qFormat/>
    <w:rsid w:val="009A264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47F27"/>
    <w:pPr>
      <w:tabs>
        <w:tab w:val="center" w:pos="4536"/>
        <w:tab w:val="right" w:pos="9072"/>
      </w:tabs>
    </w:pPr>
  </w:style>
  <w:style w:type="paragraph" w:styleId="Pieddepage">
    <w:name w:val="footer"/>
    <w:basedOn w:val="Normal"/>
    <w:rsid w:val="00247F27"/>
    <w:pPr>
      <w:tabs>
        <w:tab w:val="center" w:pos="4536"/>
        <w:tab w:val="right" w:pos="9072"/>
      </w:tabs>
    </w:pPr>
    <w:rPr>
      <w:b/>
      <w:sz w:val="16"/>
    </w:rPr>
  </w:style>
  <w:style w:type="paragraph" w:styleId="Explorateurdedocuments">
    <w:name w:val="Document Map"/>
    <w:basedOn w:val="Normal"/>
    <w:semiHidden/>
    <w:rsid w:val="00247F27"/>
    <w:pPr>
      <w:shd w:val="clear" w:color="auto" w:fill="000080"/>
    </w:pPr>
    <w:rPr>
      <w:rFonts w:ascii="Tahoma" w:hAnsi="Tahoma" w:cs="Tahoma"/>
    </w:rPr>
  </w:style>
  <w:style w:type="character" w:styleId="Accentuation">
    <w:name w:val="Emphasis"/>
    <w:basedOn w:val="Policepardfaut"/>
    <w:qFormat/>
    <w:rsid w:val="00E459CB"/>
    <w:rPr>
      <w:b/>
      <w:bCs/>
      <w:i w:val="0"/>
      <w:iCs w:val="0"/>
    </w:rPr>
  </w:style>
  <w:style w:type="paragraph" w:styleId="Textedebulles">
    <w:name w:val="Balloon Text"/>
    <w:basedOn w:val="Normal"/>
    <w:semiHidden/>
    <w:rsid w:val="00247F27"/>
    <w:rPr>
      <w:rFonts w:ascii="Tahoma" w:hAnsi="Tahoma" w:cs="Tahoma"/>
      <w:sz w:val="16"/>
      <w:szCs w:val="16"/>
    </w:rPr>
  </w:style>
  <w:style w:type="character" w:styleId="Numrodepage">
    <w:name w:val="page number"/>
    <w:basedOn w:val="Policepardfaut"/>
    <w:rsid w:val="0030160F"/>
  </w:style>
  <w:style w:type="paragraph" w:styleId="Corpsdetexte">
    <w:name w:val="Body Text"/>
    <w:basedOn w:val="Normal"/>
    <w:link w:val="CorpsdetexteCar"/>
    <w:rsid w:val="00E20C37"/>
    <w:pPr>
      <w:overflowPunct/>
      <w:autoSpaceDE/>
      <w:autoSpaceDN/>
      <w:adjustRightInd/>
      <w:jc w:val="both"/>
      <w:textAlignment w:val="auto"/>
    </w:pPr>
    <w:rPr>
      <w:rFonts w:cs="Times New Roman"/>
    </w:rPr>
  </w:style>
  <w:style w:type="character" w:customStyle="1" w:styleId="CorpsdetexteCar">
    <w:name w:val="Corps de texte Car"/>
    <w:basedOn w:val="Policepardfaut"/>
    <w:link w:val="Corpsdetexte"/>
    <w:rsid w:val="00E20C37"/>
    <w:rPr>
      <w:rFonts w:ascii="Univers" w:hAnsi="Univers"/>
    </w:rPr>
  </w:style>
  <w:style w:type="paragraph" w:styleId="Paragraphedeliste">
    <w:name w:val="List Paragraph"/>
    <w:basedOn w:val="Normal"/>
    <w:uiPriority w:val="34"/>
    <w:qFormat/>
    <w:rsid w:val="00E20C37"/>
    <w:pPr>
      <w:ind w:left="720"/>
      <w:contextualSpacing/>
    </w:pPr>
  </w:style>
  <w:style w:type="table" w:styleId="Grilledutableau">
    <w:name w:val="Table Grid"/>
    <w:basedOn w:val="TableauNormal"/>
    <w:uiPriority w:val="39"/>
    <w:rsid w:val="009A26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9A264B"/>
    <w:rPr>
      <w:rFonts w:asciiTheme="majorHAnsi" w:eastAsiaTheme="majorEastAsia" w:hAnsiTheme="majorHAnsi" w:cstheme="majorBidi"/>
      <w:b/>
      <w:bCs/>
      <w:color w:val="4F81BD" w:themeColor="accent1"/>
      <w:sz w:val="26"/>
      <w:szCs w:val="26"/>
    </w:rPr>
  </w:style>
  <w:style w:type="paragraph" w:styleId="Corpsdetexte2">
    <w:name w:val="Body Text 2"/>
    <w:basedOn w:val="Normal"/>
    <w:link w:val="Corpsdetexte2Car"/>
    <w:uiPriority w:val="99"/>
    <w:unhideWhenUsed/>
    <w:rsid w:val="009A264B"/>
    <w:pPr>
      <w:spacing w:after="120" w:line="480" w:lineRule="auto"/>
    </w:pPr>
  </w:style>
  <w:style w:type="character" w:customStyle="1" w:styleId="Corpsdetexte2Car">
    <w:name w:val="Corps de texte 2 Car"/>
    <w:basedOn w:val="Policepardfaut"/>
    <w:link w:val="Corpsdetexte2"/>
    <w:uiPriority w:val="99"/>
    <w:rsid w:val="009A264B"/>
    <w:rPr>
      <w:rFonts w:ascii="Univers" w:hAnsi="Univers" w:cs="Arial"/>
    </w:rPr>
  </w:style>
  <w:style w:type="table" w:customStyle="1" w:styleId="Grilledutableau1">
    <w:name w:val="Grille du tableau1"/>
    <w:basedOn w:val="TableauNormal"/>
    <w:next w:val="Grilledutableau"/>
    <w:uiPriority w:val="39"/>
    <w:rsid w:val="000D7D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666AE"/>
    <w:rPr>
      <w:rFonts w:ascii="Calibri" w:eastAsia="Calibri" w:hAnsi="Calibri"/>
      <w:sz w:val="22"/>
      <w:szCs w:val="22"/>
      <w:lang w:eastAsia="en-US"/>
    </w:rPr>
  </w:style>
  <w:style w:type="table" w:customStyle="1" w:styleId="Grilledutableau2">
    <w:name w:val="Grille du tableau2"/>
    <w:basedOn w:val="TableauNormal"/>
    <w:next w:val="Grilledutableau"/>
    <w:uiPriority w:val="59"/>
    <w:rsid w:val="00C70A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C3258A"/>
  </w:style>
  <w:style w:type="paragraph" w:customStyle="1" w:styleId="Default">
    <w:name w:val="Default"/>
    <w:rsid w:val="0048499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9176">
      <w:bodyDiv w:val="1"/>
      <w:marLeft w:val="0"/>
      <w:marRight w:val="0"/>
      <w:marTop w:val="0"/>
      <w:marBottom w:val="0"/>
      <w:divBdr>
        <w:top w:val="none" w:sz="0" w:space="0" w:color="auto"/>
        <w:left w:val="none" w:sz="0" w:space="0" w:color="auto"/>
        <w:bottom w:val="none" w:sz="0" w:space="0" w:color="auto"/>
        <w:right w:val="none" w:sz="0" w:space="0" w:color="auto"/>
      </w:divBdr>
    </w:div>
    <w:div w:id="203905639">
      <w:bodyDiv w:val="1"/>
      <w:marLeft w:val="0"/>
      <w:marRight w:val="0"/>
      <w:marTop w:val="0"/>
      <w:marBottom w:val="0"/>
      <w:divBdr>
        <w:top w:val="none" w:sz="0" w:space="0" w:color="auto"/>
        <w:left w:val="none" w:sz="0" w:space="0" w:color="auto"/>
        <w:bottom w:val="none" w:sz="0" w:space="0" w:color="auto"/>
        <w:right w:val="none" w:sz="0" w:space="0" w:color="auto"/>
      </w:divBdr>
    </w:div>
    <w:div w:id="412052303">
      <w:bodyDiv w:val="1"/>
      <w:marLeft w:val="0"/>
      <w:marRight w:val="0"/>
      <w:marTop w:val="0"/>
      <w:marBottom w:val="0"/>
      <w:divBdr>
        <w:top w:val="none" w:sz="0" w:space="0" w:color="auto"/>
        <w:left w:val="none" w:sz="0" w:space="0" w:color="auto"/>
        <w:bottom w:val="none" w:sz="0" w:space="0" w:color="auto"/>
        <w:right w:val="none" w:sz="0" w:space="0" w:color="auto"/>
      </w:divBdr>
      <w:divsChild>
        <w:div w:id="377822734">
          <w:marLeft w:val="0"/>
          <w:marRight w:val="0"/>
          <w:marTop w:val="0"/>
          <w:marBottom w:val="0"/>
          <w:divBdr>
            <w:top w:val="none" w:sz="0" w:space="0" w:color="auto"/>
            <w:left w:val="none" w:sz="0" w:space="0" w:color="auto"/>
            <w:bottom w:val="none" w:sz="0" w:space="0" w:color="auto"/>
            <w:right w:val="none" w:sz="0" w:space="0" w:color="auto"/>
          </w:divBdr>
        </w:div>
      </w:divsChild>
    </w:div>
    <w:div w:id="460538989">
      <w:bodyDiv w:val="1"/>
      <w:marLeft w:val="0"/>
      <w:marRight w:val="0"/>
      <w:marTop w:val="0"/>
      <w:marBottom w:val="0"/>
      <w:divBdr>
        <w:top w:val="none" w:sz="0" w:space="0" w:color="auto"/>
        <w:left w:val="none" w:sz="0" w:space="0" w:color="auto"/>
        <w:bottom w:val="none" w:sz="0" w:space="0" w:color="auto"/>
        <w:right w:val="none" w:sz="0" w:space="0" w:color="auto"/>
      </w:divBdr>
    </w:div>
    <w:div w:id="504782158">
      <w:bodyDiv w:val="1"/>
      <w:marLeft w:val="0"/>
      <w:marRight w:val="0"/>
      <w:marTop w:val="0"/>
      <w:marBottom w:val="0"/>
      <w:divBdr>
        <w:top w:val="none" w:sz="0" w:space="0" w:color="auto"/>
        <w:left w:val="none" w:sz="0" w:space="0" w:color="auto"/>
        <w:bottom w:val="none" w:sz="0" w:space="0" w:color="auto"/>
        <w:right w:val="none" w:sz="0" w:space="0" w:color="auto"/>
      </w:divBdr>
    </w:div>
    <w:div w:id="559486792">
      <w:bodyDiv w:val="1"/>
      <w:marLeft w:val="0"/>
      <w:marRight w:val="0"/>
      <w:marTop w:val="0"/>
      <w:marBottom w:val="0"/>
      <w:divBdr>
        <w:top w:val="none" w:sz="0" w:space="0" w:color="auto"/>
        <w:left w:val="none" w:sz="0" w:space="0" w:color="auto"/>
        <w:bottom w:val="none" w:sz="0" w:space="0" w:color="auto"/>
        <w:right w:val="none" w:sz="0" w:space="0" w:color="auto"/>
      </w:divBdr>
    </w:div>
    <w:div w:id="666127277">
      <w:bodyDiv w:val="1"/>
      <w:marLeft w:val="0"/>
      <w:marRight w:val="0"/>
      <w:marTop w:val="0"/>
      <w:marBottom w:val="0"/>
      <w:divBdr>
        <w:top w:val="none" w:sz="0" w:space="0" w:color="auto"/>
        <w:left w:val="none" w:sz="0" w:space="0" w:color="auto"/>
        <w:bottom w:val="none" w:sz="0" w:space="0" w:color="auto"/>
        <w:right w:val="none" w:sz="0" w:space="0" w:color="auto"/>
      </w:divBdr>
    </w:div>
    <w:div w:id="802507118">
      <w:bodyDiv w:val="1"/>
      <w:marLeft w:val="0"/>
      <w:marRight w:val="0"/>
      <w:marTop w:val="0"/>
      <w:marBottom w:val="0"/>
      <w:divBdr>
        <w:top w:val="none" w:sz="0" w:space="0" w:color="auto"/>
        <w:left w:val="none" w:sz="0" w:space="0" w:color="auto"/>
        <w:bottom w:val="none" w:sz="0" w:space="0" w:color="auto"/>
        <w:right w:val="none" w:sz="0" w:space="0" w:color="auto"/>
      </w:divBdr>
    </w:div>
    <w:div w:id="1035159136">
      <w:bodyDiv w:val="1"/>
      <w:marLeft w:val="0"/>
      <w:marRight w:val="0"/>
      <w:marTop w:val="0"/>
      <w:marBottom w:val="0"/>
      <w:divBdr>
        <w:top w:val="none" w:sz="0" w:space="0" w:color="auto"/>
        <w:left w:val="none" w:sz="0" w:space="0" w:color="auto"/>
        <w:bottom w:val="none" w:sz="0" w:space="0" w:color="auto"/>
        <w:right w:val="none" w:sz="0" w:space="0" w:color="auto"/>
      </w:divBdr>
    </w:div>
    <w:div w:id="1476408016">
      <w:bodyDiv w:val="1"/>
      <w:marLeft w:val="0"/>
      <w:marRight w:val="0"/>
      <w:marTop w:val="0"/>
      <w:marBottom w:val="0"/>
      <w:divBdr>
        <w:top w:val="none" w:sz="0" w:space="0" w:color="auto"/>
        <w:left w:val="none" w:sz="0" w:space="0" w:color="auto"/>
        <w:bottom w:val="none" w:sz="0" w:space="0" w:color="auto"/>
        <w:right w:val="none" w:sz="0" w:space="0" w:color="auto"/>
      </w:divBdr>
    </w:div>
    <w:div w:id="1547837424">
      <w:bodyDiv w:val="1"/>
      <w:marLeft w:val="0"/>
      <w:marRight w:val="0"/>
      <w:marTop w:val="0"/>
      <w:marBottom w:val="0"/>
      <w:divBdr>
        <w:top w:val="none" w:sz="0" w:space="0" w:color="auto"/>
        <w:left w:val="none" w:sz="0" w:space="0" w:color="auto"/>
        <w:bottom w:val="none" w:sz="0" w:space="0" w:color="auto"/>
        <w:right w:val="none" w:sz="0" w:space="0" w:color="auto"/>
      </w:divBdr>
    </w:div>
    <w:div w:id="1596746821">
      <w:bodyDiv w:val="1"/>
      <w:marLeft w:val="0"/>
      <w:marRight w:val="0"/>
      <w:marTop w:val="0"/>
      <w:marBottom w:val="0"/>
      <w:divBdr>
        <w:top w:val="none" w:sz="0" w:space="0" w:color="auto"/>
        <w:left w:val="none" w:sz="0" w:space="0" w:color="auto"/>
        <w:bottom w:val="none" w:sz="0" w:space="0" w:color="auto"/>
        <w:right w:val="none" w:sz="0" w:space="0" w:color="auto"/>
      </w:divBdr>
    </w:div>
    <w:div w:id="1759595466">
      <w:bodyDiv w:val="1"/>
      <w:marLeft w:val="0"/>
      <w:marRight w:val="0"/>
      <w:marTop w:val="0"/>
      <w:marBottom w:val="0"/>
      <w:divBdr>
        <w:top w:val="none" w:sz="0" w:space="0" w:color="auto"/>
        <w:left w:val="none" w:sz="0" w:space="0" w:color="auto"/>
        <w:bottom w:val="none" w:sz="0" w:space="0" w:color="auto"/>
        <w:right w:val="none" w:sz="0" w:space="0" w:color="auto"/>
      </w:divBdr>
    </w:div>
    <w:div w:id="1913463651">
      <w:bodyDiv w:val="1"/>
      <w:marLeft w:val="0"/>
      <w:marRight w:val="0"/>
      <w:marTop w:val="0"/>
      <w:marBottom w:val="0"/>
      <w:divBdr>
        <w:top w:val="none" w:sz="0" w:space="0" w:color="auto"/>
        <w:left w:val="none" w:sz="0" w:space="0" w:color="auto"/>
        <w:bottom w:val="none" w:sz="0" w:space="0" w:color="auto"/>
        <w:right w:val="none" w:sz="0" w:space="0" w:color="auto"/>
      </w:divBdr>
    </w:div>
    <w:div w:id="197113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555A98E4342F4DB4651D9F717D6742" ma:contentTypeVersion="0" ma:contentTypeDescription="Crée un document." ma:contentTypeScope="" ma:versionID="0f0752d98b389326e3ea34302b3e4eb8">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B7B91-503A-4264-809C-35D5D70D4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CC27E15-2432-40C2-BD8E-7BC076FB10C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172C582-688B-4E2C-A154-A52A74743B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2170</Words>
  <Characters>11298</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avis sur le rapport au titre de l'Article IV/FMI sur l'Albanie, Lettre à Hunsinger</vt:lpstr>
      <vt:lpstr>avis sur le rapport au titre de l'Article IV/FMI sur l'Albanie, Lettre à Hunsinger</vt:lpstr>
    </vt:vector>
  </TitlesOfParts>
  <Company>DG Tresor</Company>
  <LinksUpToDate>false</LinksUpToDate>
  <CharactersWithSpaces>13442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sur le rapport au titre de l'Article IV/FMI sur l'Albanie, Lettre à Hunsinger</dc:title>
  <dc:creator>DUTTA Somen</dc:creator>
  <cp:lastModifiedBy>PETIT François</cp:lastModifiedBy>
  <cp:revision>4</cp:revision>
  <cp:lastPrinted>2017-11-06T07:49:00Z</cp:lastPrinted>
  <dcterms:created xsi:type="dcterms:W3CDTF">2017-11-06T07:47:00Z</dcterms:created>
  <dcterms:modified xsi:type="dcterms:W3CDTF">2017-11-06T08:20:00Z</dcterms:modified>
  <cp:category>Régalien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eurs">
    <vt:lpwstr/>
  </property>
  <property fmtid="{D5CDD505-2E9C-101B-9397-08002B2CF9AE}" pid="3" name="IDSecteurs">
    <vt:lpwstr/>
  </property>
  <property fmtid="{D5CDD505-2E9C-101B-9397-08002B2CF9AE}" pid="4" name="Pays">
    <vt:lpwstr>BOSNIE-HERZÉGOVINE; BULGARIE; CROATIE; ROUMANIE; SERBIE; ALBANIE; MACÉDOINE</vt:lpwstr>
  </property>
  <property fmtid="{D5CDD505-2E9C-101B-9397-08002B2CF9AE}" pid="5" name="IDPays">
    <vt:lpwstr>14; 18; 30; 98; 101; 368; 1056</vt:lpwstr>
  </property>
  <property fmtid="{D5CDD505-2E9C-101B-9397-08002B2CF9AE}" pid="6" name="TypeDocument">
    <vt:lpwstr>Lettre</vt:lpwstr>
  </property>
  <property fmtid="{D5CDD505-2E9C-101B-9397-08002B2CF9AE}" pid="7" name="IDTypeDocument">
    <vt:i4>1002</vt:i4>
  </property>
  <property fmtid="{D5CDD505-2E9C-101B-9397-08002B2CF9AE}" pid="8" name="DateFinValidite">
    <vt:filetime>2011-01-18T22:00:00Z</vt:filetime>
  </property>
  <property fmtid="{D5CDD505-2E9C-101B-9397-08002B2CF9AE}" pid="9" name="Destinataire">
    <vt:lpwstr>Hunsinger</vt:lpwstr>
  </property>
  <property fmtid="{D5CDD505-2E9C-101B-9397-08002B2CF9AE}" pid="10" name="SociétéDestinat">
    <vt:lpwstr>DGTPE</vt:lpwstr>
  </property>
  <property fmtid="{D5CDD505-2E9C-101B-9397-08002B2CF9AE}" pid="11" name="ContentTypeId">
    <vt:lpwstr>0x010100CA555A98E4342F4DB4651D9F717D6742</vt:lpwstr>
  </property>
</Properties>
</file>