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4DAA" w:rsidRPr="00A249BE" w:rsidRDefault="00154DAA" w:rsidP="00154DAA">
      <w:pPr>
        <w:jc w:val="right"/>
        <w:rPr>
          <w:rFonts w:ascii="Times New Roman" w:hAnsi="Times New Roman" w:cs="Times New Roman"/>
          <w:sz w:val="22"/>
          <w:szCs w:val="22"/>
        </w:rPr>
      </w:pPr>
      <w:r w:rsidRPr="00A249BE">
        <w:rPr>
          <w:rFonts w:ascii="Times New Roman" w:hAnsi="Times New Roman" w:cs="Times New Roman"/>
          <w:sz w:val="22"/>
          <w:szCs w:val="22"/>
        </w:rPr>
        <w:t>Manille, le 5 avril 2018</w:t>
      </w:r>
    </w:p>
    <w:p w:rsidR="00154DAA" w:rsidRPr="00A249BE" w:rsidRDefault="00154DAA" w:rsidP="00154DAA">
      <w:pPr>
        <w:jc w:val="both"/>
        <w:rPr>
          <w:rFonts w:ascii="Times New Roman" w:hAnsi="Times New Roman" w:cs="Times New Roman"/>
          <w:sz w:val="22"/>
          <w:szCs w:val="22"/>
        </w:rPr>
      </w:pPr>
    </w:p>
    <w:p w:rsidR="00154DAA" w:rsidRPr="00A249BE" w:rsidRDefault="00154DAA" w:rsidP="00154DAA">
      <w:pPr>
        <w:jc w:val="center"/>
        <w:rPr>
          <w:rFonts w:ascii="Times New Roman" w:hAnsi="Times New Roman" w:cs="Times New Roman"/>
          <w:b/>
          <w:sz w:val="22"/>
          <w:szCs w:val="22"/>
        </w:rPr>
      </w:pPr>
      <w:r w:rsidRPr="00A249BE">
        <w:rPr>
          <w:rFonts w:ascii="Times New Roman" w:hAnsi="Times New Roman" w:cs="Times New Roman"/>
          <w:b/>
          <w:sz w:val="22"/>
          <w:szCs w:val="22"/>
        </w:rPr>
        <w:t>NOTE</w:t>
      </w:r>
    </w:p>
    <w:p w:rsidR="00154DAA" w:rsidRPr="00A249BE" w:rsidRDefault="00154DAA" w:rsidP="00154DAA">
      <w:pPr>
        <w:jc w:val="both"/>
        <w:rPr>
          <w:rFonts w:ascii="Times New Roman" w:hAnsi="Times New Roman" w:cs="Times New Roman"/>
          <w:sz w:val="22"/>
          <w:szCs w:val="22"/>
        </w:rPr>
      </w:pPr>
    </w:p>
    <w:p w:rsidR="00154DAA" w:rsidRPr="00A249BE" w:rsidRDefault="00154DAA" w:rsidP="00154DAA">
      <w:pPr>
        <w:jc w:val="both"/>
        <w:rPr>
          <w:rFonts w:ascii="Times New Roman" w:hAnsi="Times New Roman" w:cs="Times New Roman"/>
          <w:b/>
          <w:sz w:val="22"/>
          <w:szCs w:val="22"/>
        </w:rPr>
      </w:pPr>
      <w:r w:rsidRPr="00A249BE">
        <w:rPr>
          <w:rFonts w:ascii="Times New Roman" w:hAnsi="Times New Roman" w:cs="Times New Roman"/>
          <w:b/>
          <w:sz w:val="22"/>
          <w:szCs w:val="22"/>
        </w:rPr>
        <w:t>Objet : Les Philippines et les nouvelles routes de la soie</w:t>
      </w:r>
    </w:p>
    <w:p w:rsidR="00154DAA" w:rsidRDefault="00154DAA" w:rsidP="00154DAA">
      <w:pPr>
        <w:jc w:val="both"/>
        <w:rPr>
          <w:rFonts w:ascii="Times New Roman" w:hAnsi="Times New Roman" w:cs="Times New Roman"/>
          <w:sz w:val="22"/>
          <w:szCs w:val="22"/>
        </w:rPr>
      </w:pPr>
    </w:p>
    <w:tbl>
      <w:tblPr>
        <w:tblStyle w:val="Grilledutableau"/>
        <w:tblW w:w="0" w:type="auto"/>
        <w:tblLook w:val="04A0" w:firstRow="1" w:lastRow="0" w:firstColumn="1" w:lastColumn="0" w:noHBand="0" w:noVBand="1"/>
      </w:tblPr>
      <w:tblGrid>
        <w:gridCol w:w="9075"/>
      </w:tblGrid>
      <w:tr w:rsidR="00A249BE" w:rsidTr="00A249BE">
        <w:tc>
          <w:tcPr>
            <w:tcW w:w="9075" w:type="dxa"/>
          </w:tcPr>
          <w:p w:rsidR="00A249BE" w:rsidRDefault="00A249BE" w:rsidP="00A249BE">
            <w:pPr>
              <w:spacing w:before="120" w:after="120"/>
              <w:jc w:val="both"/>
              <w:rPr>
                <w:rFonts w:ascii="Times New Roman" w:hAnsi="Times New Roman" w:cs="Times New Roman"/>
                <w:sz w:val="22"/>
                <w:szCs w:val="22"/>
              </w:rPr>
            </w:pPr>
            <w:r w:rsidRPr="00A249BE">
              <w:rPr>
                <w:rFonts w:ascii="Times New Roman" w:hAnsi="Times New Roman" w:cs="Times New Roman"/>
                <w:sz w:val="22"/>
                <w:szCs w:val="22"/>
              </w:rPr>
              <w:t xml:space="preserve">Le rapprochement avec la Chine engagé par l'administration du Président </w:t>
            </w:r>
            <w:proofErr w:type="spellStart"/>
            <w:r w:rsidRPr="00A249BE">
              <w:rPr>
                <w:rFonts w:ascii="Times New Roman" w:hAnsi="Times New Roman" w:cs="Times New Roman"/>
                <w:sz w:val="22"/>
                <w:szCs w:val="22"/>
              </w:rPr>
              <w:t>Duterte</w:t>
            </w:r>
            <w:proofErr w:type="spellEnd"/>
            <w:r w:rsidRPr="00A249BE">
              <w:rPr>
                <w:rFonts w:ascii="Times New Roman" w:hAnsi="Times New Roman" w:cs="Times New Roman"/>
                <w:sz w:val="22"/>
                <w:szCs w:val="22"/>
              </w:rPr>
              <w:t xml:space="preserve"> intègre des attentes de participation d'entreprises chinoises à l'ambitieux programme de développements des infrastructures. Force est de constater qu'à ce stade, les visites bilatérales de délégations économiques et commerciales successives à Pékin et Manille depuis près de deux ans n'ont abouti à aucun accord formel d'engagement financier de la part des autorités chinoises. </w:t>
            </w:r>
            <w:r>
              <w:rPr>
                <w:rFonts w:ascii="Times New Roman" w:hAnsi="Times New Roman" w:cs="Times New Roman"/>
                <w:sz w:val="22"/>
                <w:szCs w:val="22"/>
              </w:rPr>
              <w:t>L</w:t>
            </w:r>
            <w:r w:rsidRPr="00A249BE">
              <w:rPr>
                <w:rFonts w:ascii="Times New Roman" w:hAnsi="Times New Roman" w:cs="Times New Roman"/>
                <w:sz w:val="22"/>
                <w:szCs w:val="22"/>
              </w:rPr>
              <w:t>es Philippines restent pour Pékin un pays en marge de son initiative des routes de la soie. La perspective, d'une participation d'entreprises chinoises dans des projets d'infrastructures majeurs n</w:t>
            </w:r>
            <w:r>
              <w:rPr>
                <w:rFonts w:ascii="Times New Roman" w:hAnsi="Times New Roman" w:cs="Times New Roman"/>
                <w:sz w:val="22"/>
                <w:szCs w:val="22"/>
              </w:rPr>
              <w:t>e s’est à ce jour pas matérialisée</w:t>
            </w:r>
            <w:r w:rsidRPr="00A249BE">
              <w:rPr>
                <w:rFonts w:ascii="Times New Roman" w:hAnsi="Times New Roman" w:cs="Times New Roman"/>
                <w:sz w:val="22"/>
                <w:szCs w:val="22"/>
              </w:rPr>
              <w:t>.</w:t>
            </w:r>
          </w:p>
        </w:tc>
      </w:tr>
    </w:tbl>
    <w:p w:rsidR="00A249BE" w:rsidRPr="00A249BE" w:rsidRDefault="00A249BE" w:rsidP="00154DAA">
      <w:pPr>
        <w:jc w:val="both"/>
        <w:rPr>
          <w:rFonts w:ascii="Times New Roman" w:hAnsi="Times New Roman" w:cs="Times New Roman"/>
          <w:sz w:val="22"/>
          <w:szCs w:val="22"/>
        </w:rPr>
      </w:pPr>
    </w:p>
    <w:p w:rsidR="00154DAA" w:rsidRPr="00A249BE" w:rsidRDefault="00154DAA" w:rsidP="00E265DE">
      <w:pPr>
        <w:pStyle w:val="Paragraphedeliste"/>
        <w:numPr>
          <w:ilvl w:val="0"/>
          <w:numId w:val="2"/>
        </w:numPr>
        <w:spacing w:after="120"/>
        <w:ind w:left="714" w:hanging="357"/>
        <w:contextualSpacing w:val="0"/>
        <w:jc w:val="both"/>
        <w:rPr>
          <w:rFonts w:ascii="Times New Roman" w:hAnsi="Times New Roman" w:cs="Times New Roman"/>
          <w:b/>
          <w:color w:val="222222"/>
          <w:sz w:val="22"/>
          <w:szCs w:val="22"/>
          <w:lang w:eastAsia="en-US"/>
        </w:rPr>
      </w:pPr>
      <w:r w:rsidRPr="00A249BE">
        <w:rPr>
          <w:rFonts w:ascii="Times New Roman" w:hAnsi="Times New Roman" w:cs="Times New Roman"/>
          <w:b/>
          <w:color w:val="222222"/>
          <w:sz w:val="22"/>
          <w:szCs w:val="22"/>
          <w:lang w:eastAsia="en-US"/>
        </w:rPr>
        <w:t>Le gouvernement philippin prévoit d’augmenter ses emprunts à l’étranger pour financer ses projets d’infrastructures</w:t>
      </w:r>
    </w:p>
    <w:p w:rsidR="00154DAA" w:rsidRPr="00A249BE" w:rsidRDefault="00154DAA" w:rsidP="00E265DE">
      <w:pPr>
        <w:spacing w:after="120"/>
        <w:jc w:val="both"/>
        <w:rPr>
          <w:rFonts w:ascii="Times New Roman" w:hAnsi="Times New Roman" w:cs="Times New Roman"/>
          <w:color w:val="222222"/>
          <w:sz w:val="22"/>
          <w:szCs w:val="22"/>
        </w:rPr>
      </w:pPr>
      <w:r w:rsidRPr="00A249BE">
        <w:rPr>
          <w:rFonts w:ascii="Times New Roman" w:hAnsi="Times New Roman" w:cs="Times New Roman"/>
          <w:color w:val="222222"/>
          <w:sz w:val="22"/>
          <w:szCs w:val="22"/>
        </w:rPr>
        <w:t>Le manque d’investissement dans les infrastructures a été identifié comme l’un des principaux freins à la croissance des Philippines, bien que l'économie soit parmi l’une des plus dynamiques d'Asie du Sud-Est, avec une croissance moyenne de 6,3% au cours des six dernières années. En 2017-2018, les Philippines se classaient 97</w:t>
      </w:r>
      <w:r w:rsidR="00F83CEF" w:rsidRPr="00A249BE">
        <w:rPr>
          <w:rFonts w:ascii="Times New Roman" w:hAnsi="Times New Roman" w:cs="Times New Roman"/>
          <w:color w:val="222222"/>
          <w:sz w:val="22"/>
          <w:szCs w:val="22"/>
          <w:vertAlign w:val="superscript"/>
        </w:rPr>
        <w:t>ème</w:t>
      </w:r>
      <w:r w:rsidR="00F83CEF" w:rsidRPr="00A249BE">
        <w:rPr>
          <w:rFonts w:ascii="Times New Roman" w:hAnsi="Times New Roman" w:cs="Times New Roman"/>
          <w:color w:val="222222"/>
          <w:sz w:val="22"/>
          <w:szCs w:val="22"/>
        </w:rPr>
        <w:t xml:space="preserve"> </w:t>
      </w:r>
      <w:r w:rsidRPr="00A249BE">
        <w:rPr>
          <w:rFonts w:ascii="Times New Roman" w:hAnsi="Times New Roman" w:cs="Times New Roman"/>
          <w:color w:val="222222"/>
          <w:sz w:val="22"/>
          <w:szCs w:val="22"/>
        </w:rPr>
        <w:t xml:space="preserve">sur 137 pays en termes d'infrastructures selon le </w:t>
      </w:r>
      <w:r w:rsidRPr="00A249BE">
        <w:rPr>
          <w:rFonts w:ascii="Times New Roman" w:hAnsi="Times New Roman" w:cs="Times New Roman"/>
          <w:i/>
          <w:color w:val="222222"/>
          <w:sz w:val="22"/>
          <w:szCs w:val="22"/>
        </w:rPr>
        <w:t xml:space="preserve">Global </w:t>
      </w:r>
      <w:proofErr w:type="spellStart"/>
      <w:r w:rsidRPr="00A249BE">
        <w:rPr>
          <w:rFonts w:ascii="Times New Roman" w:hAnsi="Times New Roman" w:cs="Times New Roman"/>
          <w:i/>
          <w:color w:val="222222"/>
          <w:sz w:val="22"/>
          <w:szCs w:val="22"/>
        </w:rPr>
        <w:t>Competitiveness</w:t>
      </w:r>
      <w:proofErr w:type="spellEnd"/>
      <w:r w:rsidRPr="00A249BE">
        <w:rPr>
          <w:rFonts w:ascii="Times New Roman" w:hAnsi="Times New Roman" w:cs="Times New Roman"/>
          <w:i/>
          <w:color w:val="222222"/>
          <w:sz w:val="22"/>
          <w:szCs w:val="22"/>
        </w:rPr>
        <w:t xml:space="preserve"> Index</w:t>
      </w:r>
      <w:r w:rsidRPr="00A249BE">
        <w:rPr>
          <w:rFonts w:ascii="Times New Roman" w:hAnsi="Times New Roman" w:cs="Times New Roman"/>
          <w:color w:val="222222"/>
          <w:sz w:val="22"/>
          <w:szCs w:val="22"/>
        </w:rPr>
        <w:t xml:space="preserve"> du </w:t>
      </w:r>
      <w:r w:rsidRPr="00A249BE">
        <w:rPr>
          <w:rFonts w:ascii="Times New Roman" w:hAnsi="Times New Roman" w:cs="Times New Roman"/>
          <w:i/>
          <w:color w:val="222222"/>
          <w:sz w:val="22"/>
          <w:szCs w:val="22"/>
        </w:rPr>
        <w:t xml:space="preserve">World </w:t>
      </w:r>
      <w:proofErr w:type="spellStart"/>
      <w:r w:rsidRPr="00A249BE">
        <w:rPr>
          <w:rFonts w:ascii="Times New Roman" w:hAnsi="Times New Roman" w:cs="Times New Roman"/>
          <w:i/>
          <w:color w:val="222222"/>
          <w:sz w:val="22"/>
          <w:szCs w:val="22"/>
        </w:rPr>
        <w:t>Economic</w:t>
      </w:r>
      <w:proofErr w:type="spellEnd"/>
      <w:r w:rsidRPr="00A249BE">
        <w:rPr>
          <w:rFonts w:ascii="Times New Roman" w:hAnsi="Times New Roman" w:cs="Times New Roman"/>
          <w:i/>
          <w:color w:val="222222"/>
          <w:sz w:val="22"/>
          <w:szCs w:val="22"/>
        </w:rPr>
        <w:t xml:space="preserve"> Forum</w:t>
      </w:r>
      <w:r w:rsidRPr="00A249BE">
        <w:rPr>
          <w:rFonts w:ascii="Times New Roman" w:hAnsi="Times New Roman" w:cs="Times New Roman"/>
          <w:color w:val="222222"/>
          <w:sz w:val="22"/>
          <w:szCs w:val="22"/>
        </w:rPr>
        <w:t xml:space="preserve">, bien </w:t>
      </w:r>
      <w:r w:rsidR="00F83CEF" w:rsidRPr="00A249BE">
        <w:rPr>
          <w:rFonts w:ascii="Times New Roman" w:hAnsi="Times New Roman" w:cs="Times New Roman"/>
          <w:color w:val="222222"/>
          <w:sz w:val="22"/>
          <w:szCs w:val="22"/>
        </w:rPr>
        <w:t xml:space="preserve">après </w:t>
      </w:r>
      <w:r w:rsidRPr="00A249BE">
        <w:rPr>
          <w:rFonts w:ascii="Times New Roman" w:hAnsi="Times New Roman" w:cs="Times New Roman"/>
          <w:color w:val="222222"/>
          <w:sz w:val="22"/>
          <w:szCs w:val="22"/>
        </w:rPr>
        <w:t>la Malaisie (22</w:t>
      </w:r>
      <w:r w:rsidR="00F83CEF" w:rsidRPr="00A249BE">
        <w:rPr>
          <w:rFonts w:ascii="Times New Roman" w:hAnsi="Times New Roman" w:cs="Times New Roman"/>
          <w:color w:val="222222"/>
          <w:sz w:val="22"/>
          <w:szCs w:val="22"/>
          <w:vertAlign w:val="superscript"/>
        </w:rPr>
        <w:t>ème</w:t>
      </w:r>
      <w:r w:rsidRPr="00A249BE">
        <w:rPr>
          <w:rFonts w:ascii="Times New Roman" w:hAnsi="Times New Roman" w:cs="Times New Roman"/>
          <w:color w:val="222222"/>
          <w:sz w:val="22"/>
          <w:szCs w:val="22"/>
        </w:rPr>
        <w:t>), la Thaïlande (43</w:t>
      </w:r>
      <w:r w:rsidR="00F83CEF" w:rsidRPr="00A249BE">
        <w:rPr>
          <w:rFonts w:ascii="Times New Roman" w:hAnsi="Times New Roman" w:cs="Times New Roman"/>
          <w:color w:val="222222"/>
          <w:sz w:val="22"/>
          <w:szCs w:val="22"/>
          <w:vertAlign w:val="superscript"/>
        </w:rPr>
        <w:t>ème</w:t>
      </w:r>
      <w:r w:rsidRPr="00A249BE">
        <w:rPr>
          <w:rFonts w:ascii="Times New Roman" w:hAnsi="Times New Roman" w:cs="Times New Roman"/>
          <w:color w:val="222222"/>
          <w:sz w:val="22"/>
          <w:szCs w:val="22"/>
        </w:rPr>
        <w:t>) et l'Indonésie (52</w:t>
      </w:r>
      <w:r w:rsidR="00F83CEF" w:rsidRPr="00A249BE">
        <w:rPr>
          <w:rFonts w:ascii="Times New Roman" w:hAnsi="Times New Roman" w:cs="Times New Roman"/>
          <w:color w:val="222222"/>
          <w:sz w:val="22"/>
          <w:szCs w:val="22"/>
          <w:vertAlign w:val="superscript"/>
        </w:rPr>
        <w:t>ème</w:t>
      </w:r>
      <w:r w:rsidR="00F83CEF" w:rsidRPr="00A249BE">
        <w:rPr>
          <w:rFonts w:ascii="Times New Roman" w:hAnsi="Times New Roman" w:cs="Times New Roman"/>
          <w:color w:val="222222"/>
          <w:sz w:val="22"/>
          <w:szCs w:val="22"/>
        </w:rPr>
        <w:t>)</w:t>
      </w:r>
      <w:r w:rsidRPr="00A249BE">
        <w:rPr>
          <w:rFonts w:ascii="Times New Roman" w:hAnsi="Times New Roman" w:cs="Times New Roman"/>
          <w:color w:val="222222"/>
          <w:sz w:val="22"/>
          <w:szCs w:val="22"/>
        </w:rPr>
        <w:t>.</w:t>
      </w:r>
    </w:p>
    <w:p w:rsidR="00154DAA" w:rsidRPr="00A249BE" w:rsidRDefault="00154DAA" w:rsidP="00E265DE">
      <w:pPr>
        <w:spacing w:after="120"/>
        <w:jc w:val="both"/>
        <w:rPr>
          <w:rFonts w:ascii="Times New Roman" w:hAnsi="Times New Roman" w:cs="Times New Roman"/>
          <w:color w:val="222222"/>
          <w:sz w:val="22"/>
          <w:szCs w:val="22"/>
        </w:rPr>
      </w:pPr>
      <w:r w:rsidRPr="00A249BE">
        <w:rPr>
          <w:rFonts w:ascii="Times New Roman" w:hAnsi="Times New Roman" w:cs="Times New Roman"/>
          <w:color w:val="222222"/>
          <w:sz w:val="22"/>
          <w:szCs w:val="22"/>
        </w:rPr>
        <w:t xml:space="preserve">Pour inaugurer ce qu'il appelle «l'âge d'or des infrastructures», le gouvernement philippin prévoit de dépenser </w:t>
      </w:r>
      <w:r w:rsidR="00FA1A65" w:rsidRPr="00A249BE">
        <w:rPr>
          <w:rFonts w:ascii="Times New Roman" w:hAnsi="Times New Roman" w:cs="Times New Roman"/>
          <w:color w:val="222222"/>
          <w:sz w:val="22"/>
          <w:szCs w:val="22"/>
        </w:rPr>
        <w:t xml:space="preserve">dans les programmes d’infrastructures </w:t>
      </w:r>
      <w:r w:rsidRPr="00A249BE">
        <w:rPr>
          <w:rFonts w:ascii="Times New Roman" w:hAnsi="Times New Roman" w:cs="Times New Roman"/>
          <w:color w:val="222222"/>
          <w:sz w:val="22"/>
          <w:szCs w:val="22"/>
        </w:rPr>
        <w:t xml:space="preserve">l'équivalent de 6,1% du produit intérieur brut (PIB) en 2018, contre 5,6% en 2017 et une moyenne de moins de 3% de 2010 à 2016. Les dépenses </w:t>
      </w:r>
      <w:r w:rsidR="00FA1A65" w:rsidRPr="00A249BE">
        <w:rPr>
          <w:rFonts w:ascii="Times New Roman" w:hAnsi="Times New Roman" w:cs="Times New Roman"/>
          <w:color w:val="222222"/>
          <w:sz w:val="22"/>
          <w:szCs w:val="22"/>
        </w:rPr>
        <w:t xml:space="preserve">publiques </w:t>
      </w:r>
      <w:r w:rsidRPr="00A249BE">
        <w:rPr>
          <w:rFonts w:ascii="Times New Roman" w:hAnsi="Times New Roman" w:cs="Times New Roman"/>
          <w:color w:val="222222"/>
          <w:sz w:val="22"/>
          <w:szCs w:val="22"/>
        </w:rPr>
        <w:t>d'infrastructure</w:t>
      </w:r>
      <w:r w:rsidR="00FA1A65" w:rsidRPr="00A249BE">
        <w:rPr>
          <w:rFonts w:ascii="Times New Roman" w:hAnsi="Times New Roman" w:cs="Times New Roman"/>
          <w:color w:val="222222"/>
          <w:sz w:val="22"/>
          <w:szCs w:val="22"/>
        </w:rPr>
        <w:t>s</w:t>
      </w:r>
      <w:r w:rsidRPr="00A249BE">
        <w:rPr>
          <w:rFonts w:ascii="Times New Roman" w:hAnsi="Times New Roman" w:cs="Times New Roman"/>
          <w:color w:val="222222"/>
          <w:sz w:val="22"/>
          <w:szCs w:val="22"/>
        </w:rPr>
        <w:t xml:space="preserve">  devraient  s’accélérer pour atteindre environ 7,4% d'ici 2022 dans le cadre du programme BBB («</w:t>
      </w:r>
      <w:proofErr w:type="spellStart"/>
      <w:r w:rsidRPr="00A249BE">
        <w:rPr>
          <w:rFonts w:ascii="Times New Roman" w:hAnsi="Times New Roman" w:cs="Times New Roman"/>
          <w:color w:val="222222"/>
          <w:sz w:val="22"/>
          <w:szCs w:val="22"/>
        </w:rPr>
        <w:t>Build</w:t>
      </w:r>
      <w:proofErr w:type="spellEnd"/>
      <w:r w:rsidRPr="00A249BE">
        <w:rPr>
          <w:rFonts w:ascii="Times New Roman" w:hAnsi="Times New Roman" w:cs="Times New Roman"/>
          <w:color w:val="222222"/>
          <w:sz w:val="22"/>
          <w:szCs w:val="22"/>
        </w:rPr>
        <w:t xml:space="preserve"> </w:t>
      </w:r>
      <w:proofErr w:type="spellStart"/>
      <w:r w:rsidRPr="00A249BE">
        <w:rPr>
          <w:rFonts w:ascii="Times New Roman" w:hAnsi="Times New Roman" w:cs="Times New Roman"/>
          <w:color w:val="222222"/>
          <w:sz w:val="22"/>
          <w:szCs w:val="22"/>
        </w:rPr>
        <w:t>Build</w:t>
      </w:r>
      <w:proofErr w:type="spellEnd"/>
      <w:r w:rsidRPr="00A249BE">
        <w:rPr>
          <w:rFonts w:ascii="Times New Roman" w:hAnsi="Times New Roman" w:cs="Times New Roman"/>
          <w:color w:val="222222"/>
          <w:sz w:val="22"/>
          <w:szCs w:val="22"/>
        </w:rPr>
        <w:t xml:space="preserve"> </w:t>
      </w:r>
      <w:proofErr w:type="spellStart"/>
      <w:r w:rsidRPr="00A249BE">
        <w:rPr>
          <w:rFonts w:ascii="Times New Roman" w:hAnsi="Times New Roman" w:cs="Times New Roman"/>
          <w:color w:val="222222"/>
          <w:sz w:val="22"/>
          <w:szCs w:val="22"/>
        </w:rPr>
        <w:t>Build</w:t>
      </w:r>
      <w:proofErr w:type="spellEnd"/>
      <w:r w:rsidRPr="00A249BE">
        <w:rPr>
          <w:rFonts w:ascii="Times New Roman" w:hAnsi="Times New Roman" w:cs="Times New Roman"/>
          <w:color w:val="222222"/>
          <w:sz w:val="22"/>
          <w:szCs w:val="22"/>
        </w:rPr>
        <w:t xml:space="preserve"> »), qui couvre 160 à 180 Mds USD de projets jusqu'en 2022 - principalement des routes, des </w:t>
      </w:r>
      <w:r w:rsidR="00FA1A65" w:rsidRPr="00A249BE">
        <w:rPr>
          <w:rFonts w:ascii="Times New Roman" w:hAnsi="Times New Roman" w:cs="Times New Roman"/>
          <w:color w:val="222222"/>
          <w:sz w:val="22"/>
          <w:szCs w:val="22"/>
        </w:rPr>
        <w:t>projets ferroviaires et de transport urbain</w:t>
      </w:r>
      <w:r w:rsidRPr="00A249BE">
        <w:rPr>
          <w:rFonts w:ascii="Times New Roman" w:hAnsi="Times New Roman" w:cs="Times New Roman"/>
          <w:color w:val="222222"/>
          <w:sz w:val="22"/>
          <w:szCs w:val="22"/>
        </w:rPr>
        <w:t>, des ponts, des aéroports et des ports maritimes. Le gouvernement prévoit de financer ces projets grâce à une combinaison de financements publics, de partenariats public-privé (PPP) et d'aide publique au développement.</w:t>
      </w:r>
    </w:p>
    <w:p w:rsidR="00F674FC" w:rsidRPr="00A249BE" w:rsidRDefault="00154DAA" w:rsidP="00E265DE">
      <w:pPr>
        <w:pStyle w:val="Default"/>
        <w:spacing w:after="120"/>
        <w:jc w:val="both"/>
        <w:rPr>
          <w:color w:val="222222"/>
          <w:sz w:val="22"/>
          <w:szCs w:val="22"/>
        </w:rPr>
      </w:pPr>
      <w:r w:rsidRPr="00A249BE">
        <w:rPr>
          <w:color w:val="222222"/>
          <w:sz w:val="22"/>
          <w:szCs w:val="22"/>
        </w:rPr>
        <w:t xml:space="preserve">D’après les dernières données publiées par le Trésor philippin, le ratio dette publique/PIB s’est maintenu à 42,1% fin 2017, </w:t>
      </w:r>
      <w:r w:rsidR="00016372" w:rsidRPr="00A249BE">
        <w:rPr>
          <w:color w:val="222222"/>
          <w:sz w:val="22"/>
          <w:szCs w:val="22"/>
        </w:rPr>
        <w:t>inchangé par rapport à</w:t>
      </w:r>
      <w:r w:rsidRPr="00A249BE">
        <w:rPr>
          <w:color w:val="222222"/>
          <w:sz w:val="22"/>
          <w:szCs w:val="22"/>
        </w:rPr>
        <w:t xml:space="preserve"> 2016. Le gouvernement prévoit d’augmenter la part des emprunts extérieurs en 2018 de 20% à 26% (tout en conservant un ratio de 80-20 en faveur des emprunts domestiques entre 2019 et 2022). La dette extérieure a d’ailleurs augmenté de 2,6% en 2017 à 42 Mds USD, en partie dû à la </w:t>
      </w:r>
      <w:r w:rsidR="00016372" w:rsidRPr="00A249BE">
        <w:rPr>
          <w:color w:val="222222"/>
          <w:sz w:val="22"/>
          <w:szCs w:val="22"/>
        </w:rPr>
        <w:t xml:space="preserve">dépréciation </w:t>
      </w:r>
      <w:r w:rsidRPr="00A249BE">
        <w:rPr>
          <w:color w:val="222222"/>
          <w:sz w:val="22"/>
          <w:szCs w:val="22"/>
        </w:rPr>
        <w:t xml:space="preserve">du peso l’an dernier. </w:t>
      </w:r>
    </w:p>
    <w:p w:rsidR="00E265DE" w:rsidRDefault="00F674FC" w:rsidP="00E265DE">
      <w:pPr>
        <w:pStyle w:val="Default"/>
        <w:spacing w:after="120"/>
        <w:jc w:val="both"/>
        <w:rPr>
          <w:color w:val="222222"/>
          <w:sz w:val="22"/>
          <w:szCs w:val="22"/>
        </w:rPr>
      </w:pPr>
      <w:r w:rsidRPr="00A249BE">
        <w:rPr>
          <w:color w:val="222222"/>
          <w:sz w:val="22"/>
          <w:szCs w:val="22"/>
        </w:rPr>
        <w:t>Les autorités philippines ont levé 1,46 Md RMB (230 M USD) lors de la première émission « panda » en Asie du Sud-Est, effectuée le 20 mars sur le marché obligataire chinois. Présentant une maturité de 3 ans et un coupon de 5,00% – de 35 points de base supérieur au taux de référence des bons à 3 ans de la China Development</w:t>
      </w:r>
      <w:bookmarkStart w:id="0" w:name="_GoBack"/>
      <w:bookmarkEnd w:id="0"/>
      <w:r w:rsidRPr="00A249BE">
        <w:rPr>
          <w:color w:val="222222"/>
          <w:sz w:val="22"/>
          <w:szCs w:val="22"/>
        </w:rPr>
        <w:t xml:space="preserve"> Bank – cette émission, sursouscrite plus de six fois, a rencontré un vif intérêt auprès des investisseurs non-résidents (offshore), qui représentent 87,7% du montant total. </w:t>
      </w:r>
      <w:r w:rsidR="00154DAA" w:rsidRPr="00A249BE">
        <w:rPr>
          <w:color w:val="222222"/>
          <w:sz w:val="22"/>
          <w:szCs w:val="22"/>
        </w:rPr>
        <w:t xml:space="preserve">Certains critiques, tels que le magazine Forbes en mai 2017, </w:t>
      </w:r>
      <w:r w:rsidR="00097177" w:rsidRPr="00A249BE">
        <w:rPr>
          <w:color w:val="222222"/>
          <w:sz w:val="22"/>
          <w:szCs w:val="22"/>
        </w:rPr>
        <w:t>suggèrent que l’augmentation des</w:t>
      </w:r>
      <w:r w:rsidR="00154DAA" w:rsidRPr="00A249BE">
        <w:rPr>
          <w:color w:val="222222"/>
          <w:sz w:val="22"/>
          <w:szCs w:val="22"/>
        </w:rPr>
        <w:t xml:space="preserve"> </w:t>
      </w:r>
      <w:r w:rsidR="00097177" w:rsidRPr="00A249BE">
        <w:rPr>
          <w:color w:val="222222"/>
          <w:sz w:val="22"/>
          <w:szCs w:val="22"/>
        </w:rPr>
        <w:t>emprunts philippins à la Chine</w:t>
      </w:r>
      <w:r w:rsidR="00154DAA" w:rsidRPr="00A249BE">
        <w:rPr>
          <w:color w:val="222222"/>
          <w:sz w:val="22"/>
          <w:szCs w:val="22"/>
        </w:rPr>
        <w:t xml:space="preserve"> pourraient assujettir le pays à de lourdes dettes et le rendre possiblement vulnérable aux pressions chinoises sur la mer de Chine méridionale. La crise de la dette liée aux dépenses en infrastructures qui a frappé l'économie dans les années 1980 est un rappel des dangers occasionnés par d’importants emprunts à l’étranger.</w:t>
      </w:r>
    </w:p>
    <w:p w:rsidR="00E265DE" w:rsidRDefault="00E265DE">
      <w:pPr>
        <w:overflowPunct/>
        <w:autoSpaceDE/>
        <w:autoSpaceDN/>
        <w:adjustRightInd/>
        <w:rPr>
          <w:rFonts w:ascii="Times New Roman" w:hAnsi="Times New Roman" w:cs="Times New Roman"/>
          <w:color w:val="222222"/>
          <w:sz w:val="22"/>
          <w:szCs w:val="22"/>
        </w:rPr>
      </w:pPr>
      <w:r>
        <w:rPr>
          <w:color w:val="222222"/>
          <w:sz w:val="22"/>
          <w:szCs w:val="22"/>
        </w:rPr>
        <w:br w:type="page"/>
      </w:r>
    </w:p>
    <w:p w:rsidR="00154DAA" w:rsidRPr="00A249BE" w:rsidRDefault="00154DAA" w:rsidP="00E265DE">
      <w:pPr>
        <w:pStyle w:val="Paragraphedeliste"/>
        <w:numPr>
          <w:ilvl w:val="0"/>
          <w:numId w:val="2"/>
        </w:numPr>
        <w:spacing w:after="120"/>
        <w:contextualSpacing w:val="0"/>
        <w:jc w:val="both"/>
        <w:rPr>
          <w:rFonts w:ascii="Times New Roman" w:hAnsi="Times New Roman" w:cs="Times New Roman"/>
          <w:b/>
          <w:sz w:val="22"/>
          <w:szCs w:val="22"/>
        </w:rPr>
      </w:pPr>
      <w:r w:rsidRPr="00A249BE">
        <w:rPr>
          <w:rFonts w:ascii="Times New Roman" w:hAnsi="Times New Roman" w:cs="Times New Roman"/>
          <w:b/>
          <w:sz w:val="22"/>
          <w:szCs w:val="22"/>
        </w:rPr>
        <w:lastRenderedPageBreak/>
        <w:t>Malgré une politique de rapprochement avec la Chine depuis 2016, les Philippines se trouve</w:t>
      </w:r>
      <w:r w:rsidR="00016372" w:rsidRPr="00A249BE">
        <w:rPr>
          <w:rFonts w:ascii="Times New Roman" w:hAnsi="Times New Roman" w:cs="Times New Roman"/>
          <w:b/>
          <w:sz w:val="22"/>
          <w:szCs w:val="22"/>
        </w:rPr>
        <w:t>nt</w:t>
      </w:r>
      <w:r w:rsidRPr="00A249BE">
        <w:rPr>
          <w:rFonts w:ascii="Times New Roman" w:hAnsi="Times New Roman" w:cs="Times New Roman"/>
          <w:b/>
          <w:sz w:val="22"/>
          <w:szCs w:val="22"/>
        </w:rPr>
        <w:t xml:space="preserve"> en marge du programme </w:t>
      </w:r>
      <w:r w:rsidRPr="00A249BE">
        <w:rPr>
          <w:rFonts w:ascii="Times New Roman" w:hAnsi="Times New Roman" w:cs="Times New Roman"/>
          <w:b/>
          <w:color w:val="222222"/>
          <w:sz w:val="22"/>
          <w:szCs w:val="22"/>
          <w:lang w:eastAsia="en-US"/>
        </w:rPr>
        <w:t xml:space="preserve">« Belt Road Initiative » (BRI) </w:t>
      </w:r>
    </w:p>
    <w:p w:rsidR="00154DAA" w:rsidRPr="00A249BE" w:rsidRDefault="00154DAA" w:rsidP="00E265DE">
      <w:pPr>
        <w:spacing w:after="120"/>
        <w:jc w:val="both"/>
        <w:rPr>
          <w:rFonts w:ascii="Times New Roman" w:hAnsi="Times New Roman" w:cs="Times New Roman"/>
          <w:sz w:val="22"/>
          <w:szCs w:val="22"/>
        </w:rPr>
      </w:pPr>
      <w:r w:rsidRPr="00A249BE">
        <w:rPr>
          <w:rFonts w:ascii="Times New Roman" w:hAnsi="Times New Roman" w:cs="Times New Roman"/>
          <w:sz w:val="22"/>
          <w:szCs w:val="22"/>
        </w:rPr>
        <w:t xml:space="preserve">Malgré les tensions liées aux revendications contestées de la Chine en mer de Chine Méridionale, le Président </w:t>
      </w:r>
      <w:proofErr w:type="spellStart"/>
      <w:r w:rsidRPr="00A249BE">
        <w:rPr>
          <w:rFonts w:ascii="Times New Roman" w:hAnsi="Times New Roman" w:cs="Times New Roman"/>
          <w:sz w:val="22"/>
          <w:szCs w:val="22"/>
        </w:rPr>
        <w:t>Duterte</w:t>
      </w:r>
      <w:proofErr w:type="spellEnd"/>
      <w:r w:rsidRPr="00A249BE">
        <w:rPr>
          <w:rFonts w:ascii="Times New Roman" w:hAnsi="Times New Roman" w:cs="Times New Roman"/>
          <w:sz w:val="22"/>
          <w:szCs w:val="22"/>
        </w:rPr>
        <w:t xml:space="preserve"> a mis en place une politique de rapprochement avec la Chine depuis son élection en juin 2016. Cela s’est matérialisé deux visites du Président philippin en Chine depuis 2016 (octobre 2016 et mai 2017 pour le forum </w:t>
      </w:r>
      <w:r w:rsidR="0075096B" w:rsidRPr="00A249BE">
        <w:rPr>
          <w:rFonts w:ascii="Times New Roman" w:hAnsi="Times New Roman" w:cs="Times New Roman"/>
          <w:sz w:val="22"/>
          <w:szCs w:val="22"/>
        </w:rPr>
        <w:t>OBOR</w:t>
      </w:r>
      <w:r w:rsidRPr="00A249BE">
        <w:rPr>
          <w:rFonts w:ascii="Times New Roman" w:hAnsi="Times New Roman" w:cs="Times New Roman"/>
          <w:sz w:val="22"/>
          <w:szCs w:val="22"/>
        </w:rPr>
        <w:t>)</w:t>
      </w:r>
      <w:r w:rsidR="00CF4274" w:rsidRPr="00A249BE">
        <w:rPr>
          <w:rFonts w:ascii="Times New Roman" w:hAnsi="Times New Roman" w:cs="Times New Roman"/>
          <w:sz w:val="22"/>
          <w:szCs w:val="22"/>
        </w:rPr>
        <w:t xml:space="preserve"> et par plusieurs visites ministérielles à Pékin.</w:t>
      </w:r>
      <w:r w:rsidRPr="00A249BE">
        <w:rPr>
          <w:rFonts w:ascii="Times New Roman" w:hAnsi="Times New Roman" w:cs="Times New Roman"/>
          <w:sz w:val="22"/>
          <w:szCs w:val="22"/>
        </w:rPr>
        <w:t xml:space="preserve"> Le ministre du Commerce chinois et le vice-Premier ministre ont également</w:t>
      </w:r>
      <w:r w:rsidR="00CF4274" w:rsidRPr="00A249BE">
        <w:rPr>
          <w:rFonts w:ascii="Times New Roman" w:hAnsi="Times New Roman" w:cs="Times New Roman"/>
          <w:sz w:val="22"/>
          <w:szCs w:val="22"/>
        </w:rPr>
        <w:t xml:space="preserve"> </w:t>
      </w:r>
      <w:r w:rsidRPr="00A249BE">
        <w:rPr>
          <w:rFonts w:ascii="Times New Roman" w:hAnsi="Times New Roman" w:cs="Times New Roman"/>
          <w:sz w:val="22"/>
          <w:szCs w:val="22"/>
        </w:rPr>
        <w:t>fait le déplacement à Manille en mars 2017. Après cinq années d’interruption, les autorités des deux pays ont convenu de reprendre les activités du Comité mixte Philippines – Chine sur la coopération économique et commerciale (JCETC)</w:t>
      </w:r>
      <w:r w:rsidR="00097177" w:rsidRPr="00A249BE">
        <w:rPr>
          <w:rFonts w:ascii="Times New Roman" w:hAnsi="Times New Roman" w:cs="Times New Roman"/>
          <w:sz w:val="22"/>
          <w:szCs w:val="22"/>
        </w:rPr>
        <w:t xml:space="preserve">. </w:t>
      </w:r>
      <w:r w:rsidRPr="00A249BE">
        <w:rPr>
          <w:rFonts w:ascii="Times New Roman" w:hAnsi="Times New Roman" w:cs="Times New Roman"/>
          <w:sz w:val="22"/>
          <w:szCs w:val="22"/>
        </w:rPr>
        <w:t>Un programme de développement économique et commercial sur six ans (2017-2022) a également été signé en mars 2017. Pékin a également levé l'embargo imposé sur les produits agricoles philippins et assoupli les restrictions imposées aux pêcheurs philippins dans les zones de pêche contestées de la mer de Chine méridionale.</w:t>
      </w:r>
    </w:p>
    <w:p w:rsidR="00154DAA" w:rsidRPr="00A249BE" w:rsidRDefault="00154DAA" w:rsidP="00E265DE">
      <w:pPr>
        <w:jc w:val="both"/>
        <w:rPr>
          <w:rFonts w:ascii="Times New Roman" w:hAnsi="Times New Roman" w:cs="Times New Roman"/>
          <w:sz w:val="22"/>
          <w:szCs w:val="22"/>
        </w:rPr>
      </w:pPr>
      <w:r w:rsidRPr="00A249BE">
        <w:rPr>
          <w:rFonts w:ascii="Times New Roman" w:hAnsi="Times New Roman" w:cs="Times New Roman"/>
          <w:color w:val="222222"/>
          <w:sz w:val="22"/>
          <w:szCs w:val="22"/>
          <w:lang w:eastAsia="en-US"/>
        </w:rPr>
        <w:t xml:space="preserve">Cependant, les Philippines ne se trouvant pas géographiquement sur une des deux nouvelles routes de la soie (terrestre et maritime), elle ne fait pas partie des territoires prioritaires d’intervention des </w:t>
      </w:r>
      <w:r w:rsidR="0075096B" w:rsidRPr="00A249BE">
        <w:rPr>
          <w:rFonts w:ascii="Times New Roman" w:hAnsi="Times New Roman" w:cs="Times New Roman"/>
          <w:color w:val="222222"/>
          <w:sz w:val="22"/>
          <w:szCs w:val="22"/>
          <w:lang w:eastAsia="en-US"/>
        </w:rPr>
        <w:t xml:space="preserve">autorités </w:t>
      </w:r>
      <w:r w:rsidRPr="00A249BE">
        <w:rPr>
          <w:rFonts w:ascii="Times New Roman" w:hAnsi="Times New Roman" w:cs="Times New Roman"/>
          <w:color w:val="222222"/>
          <w:sz w:val="22"/>
          <w:szCs w:val="22"/>
          <w:lang w:eastAsia="en-US"/>
        </w:rPr>
        <w:t>chinois</w:t>
      </w:r>
      <w:r w:rsidR="0075096B" w:rsidRPr="00A249BE">
        <w:rPr>
          <w:rFonts w:ascii="Times New Roman" w:hAnsi="Times New Roman" w:cs="Times New Roman"/>
          <w:color w:val="222222"/>
          <w:sz w:val="22"/>
          <w:szCs w:val="22"/>
          <w:lang w:eastAsia="en-US"/>
        </w:rPr>
        <w:t>es</w:t>
      </w:r>
      <w:r w:rsidRPr="00A249BE">
        <w:rPr>
          <w:rFonts w:ascii="Times New Roman" w:hAnsi="Times New Roman" w:cs="Times New Roman"/>
          <w:color w:val="222222"/>
          <w:sz w:val="22"/>
          <w:szCs w:val="22"/>
          <w:lang w:eastAsia="en-US"/>
        </w:rPr>
        <w:t>. Aucun financement chinois ou aucune promesse de financement pour des projets d’infrastructure</w:t>
      </w:r>
      <w:r w:rsidR="0075096B" w:rsidRPr="00A249BE">
        <w:rPr>
          <w:rFonts w:ascii="Times New Roman" w:hAnsi="Times New Roman" w:cs="Times New Roman"/>
          <w:color w:val="222222"/>
          <w:sz w:val="22"/>
          <w:szCs w:val="22"/>
          <w:lang w:eastAsia="en-US"/>
        </w:rPr>
        <w:t>s</w:t>
      </w:r>
      <w:r w:rsidRPr="00A249BE">
        <w:rPr>
          <w:rFonts w:ascii="Times New Roman" w:hAnsi="Times New Roman" w:cs="Times New Roman"/>
          <w:color w:val="222222"/>
          <w:sz w:val="22"/>
          <w:szCs w:val="22"/>
          <w:lang w:eastAsia="en-US"/>
        </w:rPr>
        <w:t xml:space="preserve"> aux Philippines </w:t>
      </w:r>
      <w:r w:rsidRPr="00A249BE">
        <w:rPr>
          <w:rFonts w:ascii="Times New Roman" w:hAnsi="Times New Roman" w:cs="Times New Roman"/>
          <w:sz w:val="22"/>
          <w:szCs w:val="22"/>
        </w:rPr>
        <w:t xml:space="preserve">ne fait partie de l’initiative BRI. Le gouvernement philippin cherche tout de même à être inclus dans l’initiative, comme peut le démontrer la visite du Président </w:t>
      </w:r>
      <w:proofErr w:type="spellStart"/>
      <w:r w:rsidRPr="00A249BE">
        <w:rPr>
          <w:rFonts w:ascii="Times New Roman" w:hAnsi="Times New Roman" w:cs="Times New Roman"/>
          <w:sz w:val="22"/>
          <w:szCs w:val="22"/>
        </w:rPr>
        <w:t>Duterte</w:t>
      </w:r>
      <w:proofErr w:type="spellEnd"/>
      <w:r w:rsidRPr="00A249BE">
        <w:rPr>
          <w:rFonts w:ascii="Times New Roman" w:hAnsi="Times New Roman" w:cs="Times New Roman"/>
          <w:sz w:val="22"/>
          <w:szCs w:val="22"/>
        </w:rPr>
        <w:t xml:space="preserve"> au forum OBOR en mai 2017 où le Président</w:t>
      </w:r>
      <w:r w:rsidRPr="00A249BE">
        <w:rPr>
          <w:rFonts w:ascii="Times New Roman" w:hAnsi="Times New Roman" w:cs="Times New Roman"/>
          <w:color w:val="222222"/>
          <w:sz w:val="22"/>
          <w:szCs w:val="22"/>
        </w:rPr>
        <w:t xml:space="preserve"> et ses responsables économiques ont cherché à présenter les "zones de convergence" entre le programme socio-économique en 10 points de son administration et l'initiative "Belt and Road Initiative" du président chinois Xi </w:t>
      </w:r>
      <w:proofErr w:type="spellStart"/>
      <w:r w:rsidRPr="00A249BE">
        <w:rPr>
          <w:rFonts w:ascii="Times New Roman" w:hAnsi="Times New Roman" w:cs="Times New Roman"/>
          <w:color w:val="222222"/>
          <w:sz w:val="22"/>
          <w:szCs w:val="22"/>
        </w:rPr>
        <w:t>Jinping</w:t>
      </w:r>
      <w:proofErr w:type="spellEnd"/>
      <w:r w:rsidRPr="00A249BE">
        <w:rPr>
          <w:rFonts w:ascii="Times New Roman" w:hAnsi="Times New Roman" w:cs="Times New Roman"/>
          <w:color w:val="222222"/>
          <w:sz w:val="22"/>
          <w:szCs w:val="22"/>
        </w:rPr>
        <w:t>.</w:t>
      </w:r>
      <w:r w:rsidRPr="00A249BE">
        <w:rPr>
          <w:rFonts w:ascii="Times New Roman" w:hAnsi="Times New Roman" w:cs="Times New Roman"/>
          <w:sz w:val="22"/>
          <w:szCs w:val="22"/>
        </w:rPr>
        <w:t xml:space="preserve"> </w:t>
      </w:r>
    </w:p>
    <w:p w:rsidR="00154DAA" w:rsidRPr="00A249BE" w:rsidRDefault="00154DAA" w:rsidP="00E265DE">
      <w:pPr>
        <w:jc w:val="both"/>
        <w:rPr>
          <w:rFonts w:ascii="Times New Roman" w:hAnsi="Times New Roman" w:cs="Times New Roman"/>
          <w:sz w:val="22"/>
          <w:szCs w:val="22"/>
        </w:rPr>
      </w:pPr>
    </w:p>
    <w:p w:rsidR="00154DAA" w:rsidRPr="00A249BE" w:rsidRDefault="00154DAA" w:rsidP="00E265DE">
      <w:pPr>
        <w:pStyle w:val="Paragraphedeliste"/>
        <w:numPr>
          <w:ilvl w:val="0"/>
          <w:numId w:val="2"/>
        </w:numPr>
        <w:spacing w:after="120"/>
        <w:contextualSpacing w:val="0"/>
        <w:jc w:val="both"/>
        <w:rPr>
          <w:rFonts w:ascii="Times New Roman" w:hAnsi="Times New Roman" w:cs="Times New Roman"/>
          <w:b/>
          <w:sz w:val="22"/>
          <w:szCs w:val="22"/>
        </w:rPr>
      </w:pPr>
      <w:r w:rsidRPr="00A249BE">
        <w:rPr>
          <w:rFonts w:ascii="Times New Roman" w:hAnsi="Times New Roman" w:cs="Times New Roman"/>
          <w:b/>
          <w:sz w:val="22"/>
          <w:szCs w:val="22"/>
        </w:rPr>
        <w:t>Les promesses de financements chinois prennent du temps à se matérialiser</w:t>
      </w:r>
    </w:p>
    <w:p w:rsidR="00154DAA" w:rsidRPr="00A249BE" w:rsidRDefault="00154DAA" w:rsidP="00E265DE">
      <w:pPr>
        <w:spacing w:after="120"/>
        <w:jc w:val="both"/>
        <w:rPr>
          <w:rFonts w:ascii="Times New Roman" w:hAnsi="Times New Roman" w:cs="Times New Roman"/>
          <w:color w:val="222222"/>
          <w:sz w:val="22"/>
          <w:szCs w:val="22"/>
          <w:lang w:eastAsia="en-US"/>
        </w:rPr>
      </w:pPr>
      <w:r w:rsidRPr="00A249BE">
        <w:rPr>
          <w:rFonts w:ascii="Times New Roman" w:hAnsi="Times New Roman" w:cs="Times New Roman"/>
          <w:color w:val="222222"/>
          <w:sz w:val="22"/>
          <w:szCs w:val="22"/>
          <w:lang w:eastAsia="en-US"/>
        </w:rPr>
        <w:t xml:space="preserve">Lors de la visite d'Etat en Chine du président Rodrigo </w:t>
      </w:r>
      <w:proofErr w:type="spellStart"/>
      <w:r w:rsidRPr="00A249BE">
        <w:rPr>
          <w:rFonts w:ascii="Times New Roman" w:hAnsi="Times New Roman" w:cs="Times New Roman"/>
          <w:color w:val="222222"/>
          <w:sz w:val="22"/>
          <w:szCs w:val="22"/>
          <w:lang w:eastAsia="en-US"/>
        </w:rPr>
        <w:t>Duterte</w:t>
      </w:r>
      <w:proofErr w:type="spellEnd"/>
      <w:r w:rsidRPr="00A249BE">
        <w:rPr>
          <w:rFonts w:ascii="Times New Roman" w:hAnsi="Times New Roman" w:cs="Times New Roman"/>
          <w:color w:val="222222"/>
          <w:sz w:val="22"/>
          <w:szCs w:val="22"/>
          <w:lang w:eastAsia="en-US"/>
        </w:rPr>
        <w:t xml:space="preserve"> en octobre 2016, les autorités chinoises s’étaient engagées sur plus de 15 Mds USD d'investissements aux Philippines (financements hors B</w:t>
      </w:r>
      <w:r w:rsidR="0075096B" w:rsidRPr="00A249BE">
        <w:rPr>
          <w:rFonts w:ascii="Times New Roman" w:hAnsi="Times New Roman" w:cs="Times New Roman"/>
          <w:color w:val="222222"/>
          <w:sz w:val="22"/>
          <w:szCs w:val="22"/>
          <w:lang w:eastAsia="en-US"/>
        </w:rPr>
        <w:t>R</w:t>
      </w:r>
      <w:r w:rsidRPr="00A249BE">
        <w:rPr>
          <w:rFonts w:ascii="Times New Roman" w:hAnsi="Times New Roman" w:cs="Times New Roman"/>
          <w:color w:val="222222"/>
          <w:sz w:val="22"/>
          <w:szCs w:val="22"/>
          <w:lang w:eastAsia="en-US"/>
        </w:rPr>
        <w:t xml:space="preserve">I). Début 2017, lors de la visite du ministre des Finances philippin en Chine, le ministre du Commerce chinois a indiqué que la Chine coopérerait sur une liste initiale de plus de 30 projets aux Philippines d’une valeur de 3,7 Mds USD. Or, plus d’un an après, aucun financement chinois n’a été accordé et aucun projet n’a été lancé. </w:t>
      </w:r>
    </w:p>
    <w:p w:rsidR="00154DAA" w:rsidRPr="00A249BE" w:rsidRDefault="00154DAA" w:rsidP="00E265DE">
      <w:pPr>
        <w:spacing w:after="120"/>
        <w:jc w:val="both"/>
        <w:rPr>
          <w:rFonts w:ascii="Times New Roman" w:hAnsi="Times New Roman" w:cs="Times New Roman"/>
          <w:color w:val="222222"/>
          <w:sz w:val="22"/>
          <w:szCs w:val="22"/>
          <w:lang w:eastAsia="en-US"/>
        </w:rPr>
      </w:pPr>
      <w:r w:rsidRPr="00A249BE">
        <w:rPr>
          <w:rFonts w:ascii="Times New Roman" w:hAnsi="Times New Roman" w:cs="Times New Roman"/>
          <w:color w:val="222222"/>
          <w:sz w:val="22"/>
          <w:szCs w:val="22"/>
          <w:lang w:eastAsia="en-US"/>
        </w:rPr>
        <w:t>L’</w:t>
      </w:r>
      <w:r w:rsidR="009A7512" w:rsidRPr="00A249BE">
        <w:rPr>
          <w:rFonts w:ascii="Times New Roman" w:hAnsi="Times New Roman" w:cs="Times New Roman"/>
          <w:color w:val="222222"/>
          <w:sz w:val="22"/>
          <w:szCs w:val="22"/>
          <w:lang w:eastAsia="en-US"/>
        </w:rPr>
        <w:t xml:space="preserve">attention initiale portée </w:t>
      </w:r>
      <w:r w:rsidRPr="00A249BE">
        <w:rPr>
          <w:rFonts w:ascii="Times New Roman" w:hAnsi="Times New Roman" w:cs="Times New Roman"/>
          <w:color w:val="222222"/>
          <w:sz w:val="22"/>
          <w:szCs w:val="22"/>
          <w:lang w:eastAsia="en-US"/>
        </w:rPr>
        <w:t xml:space="preserve">aux annonces des </w:t>
      </w:r>
      <w:r w:rsidR="009A7512" w:rsidRPr="00A249BE">
        <w:rPr>
          <w:rFonts w:ascii="Times New Roman" w:hAnsi="Times New Roman" w:cs="Times New Roman"/>
          <w:color w:val="222222"/>
          <w:sz w:val="22"/>
          <w:szCs w:val="22"/>
          <w:lang w:eastAsia="en-US"/>
        </w:rPr>
        <w:t>autorités c</w:t>
      </w:r>
      <w:r w:rsidRPr="00A249BE">
        <w:rPr>
          <w:rFonts w:ascii="Times New Roman" w:hAnsi="Times New Roman" w:cs="Times New Roman"/>
          <w:color w:val="222222"/>
          <w:sz w:val="22"/>
          <w:szCs w:val="22"/>
          <w:lang w:eastAsia="en-US"/>
        </w:rPr>
        <w:t>hinois</w:t>
      </w:r>
      <w:r w:rsidR="009A7512" w:rsidRPr="00A249BE">
        <w:rPr>
          <w:rFonts w:ascii="Times New Roman" w:hAnsi="Times New Roman" w:cs="Times New Roman"/>
          <w:color w:val="222222"/>
          <w:sz w:val="22"/>
          <w:szCs w:val="22"/>
          <w:lang w:eastAsia="en-US"/>
        </w:rPr>
        <w:t>es</w:t>
      </w:r>
      <w:r w:rsidRPr="00A249BE">
        <w:rPr>
          <w:rFonts w:ascii="Times New Roman" w:hAnsi="Times New Roman" w:cs="Times New Roman"/>
          <w:color w:val="222222"/>
          <w:sz w:val="22"/>
          <w:szCs w:val="22"/>
          <w:lang w:eastAsia="en-US"/>
        </w:rPr>
        <w:t xml:space="preserve"> de finance</w:t>
      </w:r>
      <w:r w:rsidR="00187DA5" w:rsidRPr="00A249BE">
        <w:rPr>
          <w:rFonts w:ascii="Times New Roman" w:hAnsi="Times New Roman" w:cs="Times New Roman"/>
          <w:color w:val="222222"/>
          <w:sz w:val="22"/>
          <w:szCs w:val="22"/>
          <w:lang w:eastAsia="en-US"/>
        </w:rPr>
        <w:t>ment</w:t>
      </w:r>
      <w:r w:rsidRPr="00A249BE">
        <w:rPr>
          <w:rFonts w:ascii="Times New Roman" w:hAnsi="Times New Roman" w:cs="Times New Roman"/>
          <w:color w:val="222222"/>
          <w:sz w:val="22"/>
          <w:szCs w:val="22"/>
          <w:lang w:eastAsia="en-US"/>
        </w:rPr>
        <w:t xml:space="preserve"> de gr</w:t>
      </w:r>
      <w:r w:rsidR="00E417C0" w:rsidRPr="00A249BE">
        <w:rPr>
          <w:rFonts w:ascii="Times New Roman" w:hAnsi="Times New Roman" w:cs="Times New Roman"/>
          <w:color w:val="222222"/>
          <w:sz w:val="22"/>
          <w:szCs w:val="22"/>
          <w:lang w:eastAsia="en-US"/>
        </w:rPr>
        <w:t>ands</w:t>
      </w:r>
      <w:r w:rsidRPr="00A249BE">
        <w:rPr>
          <w:rFonts w:ascii="Times New Roman" w:hAnsi="Times New Roman" w:cs="Times New Roman"/>
          <w:color w:val="222222"/>
          <w:sz w:val="22"/>
          <w:szCs w:val="22"/>
          <w:lang w:eastAsia="en-US"/>
        </w:rPr>
        <w:t xml:space="preserve"> projets d’infrastructures aux </w:t>
      </w:r>
      <w:r w:rsidR="00E417C0" w:rsidRPr="00A249BE">
        <w:rPr>
          <w:rFonts w:ascii="Times New Roman" w:hAnsi="Times New Roman" w:cs="Times New Roman"/>
          <w:color w:val="222222"/>
          <w:sz w:val="22"/>
          <w:szCs w:val="22"/>
          <w:lang w:eastAsia="en-US"/>
        </w:rPr>
        <w:t>P</w:t>
      </w:r>
      <w:r w:rsidRPr="00A249BE">
        <w:rPr>
          <w:rFonts w:ascii="Times New Roman" w:hAnsi="Times New Roman" w:cs="Times New Roman"/>
          <w:color w:val="222222"/>
          <w:sz w:val="22"/>
          <w:szCs w:val="22"/>
          <w:lang w:eastAsia="en-US"/>
        </w:rPr>
        <w:t xml:space="preserve">hilippines est retombée depuis quelques mois puisqu’il existe très peu d’avancement. Le gouvernement philippin reste cependant optimiste et espère signer trois accords de financement avec les </w:t>
      </w:r>
      <w:r w:rsidR="00E417C0" w:rsidRPr="00A249BE">
        <w:rPr>
          <w:rFonts w:ascii="Times New Roman" w:hAnsi="Times New Roman" w:cs="Times New Roman"/>
          <w:color w:val="222222"/>
          <w:sz w:val="22"/>
          <w:szCs w:val="22"/>
          <w:lang w:eastAsia="en-US"/>
        </w:rPr>
        <w:t xml:space="preserve">autorités </w:t>
      </w:r>
      <w:r w:rsidRPr="00A249BE">
        <w:rPr>
          <w:rFonts w:ascii="Times New Roman" w:hAnsi="Times New Roman" w:cs="Times New Roman"/>
          <w:color w:val="222222"/>
          <w:sz w:val="22"/>
          <w:szCs w:val="22"/>
          <w:lang w:eastAsia="en-US"/>
        </w:rPr>
        <w:t>chinois</w:t>
      </w:r>
      <w:r w:rsidR="00E417C0" w:rsidRPr="00A249BE">
        <w:rPr>
          <w:rFonts w:ascii="Times New Roman" w:hAnsi="Times New Roman" w:cs="Times New Roman"/>
          <w:color w:val="222222"/>
          <w:sz w:val="22"/>
          <w:szCs w:val="22"/>
          <w:lang w:eastAsia="en-US"/>
        </w:rPr>
        <w:t>es</w:t>
      </w:r>
      <w:r w:rsidRPr="00A249BE">
        <w:rPr>
          <w:rFonts w:ascii="Times New Roman" w:hAnsi="Times New Roman" w:cs="Times New Roman"/>
          <w:color w:val="222222"/>
          <w:sz w:val="22"/>
          <w:szCs w:val="22"/>
          <w:lang w:eastAsia="en-US"/>
        </w:rPr>
        <w:t xml:space="preserve"> en 2018</w:t>
      </w:r>
      <w:r w:rsidR="00E417C0" w:rsidRPr="00A249BE">
        <w:rPr>
          <w:rFonts w:ascii="Times New Roman" w:hAnsi="Times New Roman" w:cs="Times New Roman"/>
          <w:color w:val="222222"/>
          <w:sz w:val="22"/>
          <w:szCs w:val="22"/>
          <w:lang w:eastAsia="en-US"/>
        </w:rPr>
        <w:t xml:space="preserve"> </w:t>
      </w:r>
      <w:r w:rsidR="00F674FC" w:rsidRPr="00A249BE">
        <w:rPr>
          <w:rFonts w:ascii="Times New Roman" w:hAnsi="Times New Roman" w:cs="Times New Roman"/>
          <w:color w:val="222222"/>
          <w:sz w:val="22"/>
          <w:szCs w:val="22"/>
          <w:lang w:eastAsia="en-US"/>
        </w:rPr>
        <w:t>pour :</w:t>
      </w:r>
    </w:p>
    <w:p w:rsidR="00154DAA" w:rsidRPr="00A249BE" w:rsidRDefault="00E417C0" w:rsidP="00E265DE">
      <w:pPr>
        <w:pStyle w:val="Paragraphedeliste"/>
        <w:numPr>
          <w:ilvl w:val="0"/>
          <w:numId w:val="1"/>
        </w:numPr>
        <w:spacing w:after="120"/>
        <w:contextualSpacing w:val="0"/>
        <w:jc w:val="both"/>
        <w:rPr>
          <w:rFonts w:ascii="Times New Roman" w:hAnsi="Times New Roman" w:cs="Times New Roman"/>
          <w:color w:val="222222"/>
          <w:sz w:val="22"/>
          <w:szCs w:val="22"/>
          <w:lang w:eastAsia="en-US"/>
        </w:rPr>
      </w:pPr>
      <w:r w:rsidRPr="00A249BE">
        <w:rPr>
          <w:rFonts w:ascii="Times New Roman" w:hAnsi="Times New Roman" w:cs="Times New Roman"/>
          <w:color w:val="222222"/>
          <w:sz w:val="22"/>
          <w:szCs w:val="22"/>
          <w:lang w:eastAsia="en-US"/>
        </w:rPr>
        <w:t>u</w:t>
      </w:r>
      <w:r w:rsidR="00154DAA" w:rsidRPr="00A249BE">
        <w:rPr>
          <w:rFonts w:ascii="Times New Roman" w:hAnsi="Times New Roman" w:cs="Times New Roman"/>
          <w:color w:val="222222"/>
          <w:sz w:val="22"/>
          <w:szCs w:val="22"/>
          <w:lang w:eastAsia="en-US"/>
        </w:rPr>
        <w:t>n projet d’irrigation de la rivière Chico (72 M USD)</w:t>
      </w:r>
    </w:p>
    <w:p w:rsidR="00154DAA" w:rsidRPr="00A249BE" w:rsidRDefault="00E417C0" w:rsidP="00E265DE">
      <w:pPr>
        <w:pStyle w:val="Paragraphedeliste"/>
        <w:numPr>
          <w:ilvl w:val="0"/>
          <w:numId w:val="1"/>
        </w:numPr>
        <w:spacing w:after="120"/>
        <w:contextualSpacing w:val="0"/>
        <w:jc w:val="both"/>
        <w:rPr>
          <w:rFonts w:ascii="Times New Roman" w:hAnsi="Times New Roman" w:cs="Times New Roman"/>
          <w:color w:val="222222"/>
          <w:sz w:val="22"/>
          <w:szCs w:val="22"/>
          <w:lang w:eastAsia="en-US"/>
        </w:rPr>
      </w:pPr>
      <w:r w:rsidRPr="00A249BE">
        <w:rPr>
          <w:rFonts w:ascii="Times New Roman" w:hAnsi="Times New Roman" w:cs="Times New Roman"/>
          <w:color w:val="222222"/>
          <w:sz w:val="22"/>
          <w:szCs w:val="22"/>
          <w:lang w:eastAsia="en-US"/>
        </w:rPr>
        <w:t>u</w:t>
      </w:r>
      <w:r w:rsidR="00154DAA" w:rsidRPr="00A249BE">
        <w:rPr>
          <w:rFonts w:ascii="Times New Roman" w:hAnsi="Times New Roman" w:cs="Times New Roman"/>
          <w:color w:val="222222"/>
          <w:sz w:val="22"/>
          <w:szCs w:val="22"/>
          <w:lang w:eastAsia="en-US"/>
        </w:rPr>
        <w:t xml:space="preserve">n projet de barrage à </w:t>
      </w:r>
      <w:proofErr w:type="spellStart"/>
      <w:r w:rsidR="00154DAA" w:rsidRPr="00A249BE">
        <w:rPr>
          <w:rFonts w:ascii="Times New Roman" w:hAnsi="Times New Roman" w:cs="Times New Roman"/>
          <w:color w:val="222222"/>
          <w:sz w:val="22"/>
          <w:szCs w:val="22"/>
          <w:lang w:eastAsia="en-US"/>
        </w:rPr>
        <w:t>Kaliwa</w:t>
      </w:r>
      <w:proofErr w:type="spellEnd"/>
      <w:r w:rsidR="00154DAA" w:rsidRPr="00A249BE">
        <w:rPr>
          <w:rFonts w:ascii="Times New Roman" w:hAnsi="Times New Roman" w:cs="Times New Roman"/>
          <w:color w:val="222222"/>
          <w:sz w:val="22"/>
          <w:szCs w:val="22"/>
          <w:lang w:eastAsia="en-US"/>
        </w:rPr>
        <w:t xml:space="preserve"> (235 M USD)</w:t>
      </w:r>
    </w:p>
    <w:p w:rsidR="00154DAA" w:rsidRPr="00A249BE" w:rsidRDefault="00E417C0" w:rsidP="00E265DE">
      <w:pPr>
        <w:pStyle w:val="Paragraphedeliste"/>
        <w:numPr>
          <w:ilvl w:val="0"/>
          <w:numId w:val="1"/>
        </w:numPr>
        <w:spacing w:after="120"/>
        <w:contextualSpacing w:val="0"/>
        <w:jc w:val="both"/>
        <w:rPr>
          <w:rFonts w:ascii="Times New Roman" w:hAnsi="Times New Roman" w:cs="Times New Roman"/>
          <w:color w:val="222222"/>
          <w:sz w:val="22"/>
          <w:szCs w:val="22"/>
          <w:lang w:eastAsia="en-US"/>
        </w:rPr>
      </w:pPr>
      <w:r w:rsidRPr="00A249BE">
        <w:rPr>
          <w:rFonts w:ascii="Times New Roman" w:hAnsi="Times New Roman" w:cs="Times New Roman"/>
          <w:color w:val="222222"/>
          <w:sz w:val="22"/>
          <w:szCs w:val="22"/>
          <w:lang w:eastAsia="en-US"/>
        </w:rPr>
        <w:t>u</w:t>
      </w:r>
      <w:r w:rsidR="00154DAA" w:rsidRPr="00A249BE">
        <w:rPr>
          <w:rFonts w:ascii="Times New Roman" w:hAnsi="Times New Roman" w:cs="Times New Roman"/>
          <w:color w:val="222222"/>
          <w:sz w:val="22"/>
          <w:szCs w:val="22"/>
          <w:lang w:eastAsia="en-US"/>
        </w:rPr>
        <w:t xml:space="preserve">n projet de chemin de fer entre </w:t>
      </w:r>
      <w:proofErr w:type="spellStart"/>
      <w:r w:rsidR="00154DAA" w:rsidRPr="00A249BE">
        <w:rPr>
          <w:rFonts w:ascii="Times New Roman" w:hAnsi="Times New Roman" w:cs="Times New Roman"/>
          <w:color w:val="222222"/>
          <w:sz w:val="22"/>
          <w:szCs w:val="22"/>
          <w:lang w:eastAsia="en-US"/>
        </w:rPr>
        <w:t>Calamba</w:t>
      </w:r>
      <w:proofErr w:type="spellEnd"/>
      <w:r w:rsidR="00154DAA" w:rsidRPr="00A249BE">
        <w:rPr>
          <w:rFonts w:ascii="Times New Roman" w:hAnsi="Times New Roman" w:cs="Times New Roman"/>
          <w:color w:val="222222"/>
          <w:sz w:val="22"/>
          <w:szCs w:val="22"/>
          <w:lang w:eastAsia="en-US"/>
        </w:rPr>
        <w:t xml:space="preserve"> et Bicol, dans le sud de l’île de Luzon (</w:t>
      </w:r>
      <w:r w:rsidR="00154DAA" w:rsidRPr="00A249BE">
        <w:rPr>
          <w:rFonts w:ascii="Times New Roman" w:hAnsi="Times New Roman" w:cs="Times New Roman"/>
          <w:i/>
          <w:color w:val="222222"/>
          <w:sz w:val="22"/>
          <w:szCs w:val="22"/>
          <w:lang w:eastAsia="en-US"/>
        </w:rPr>
        <w:t xml:space="preserve">PNR South </w:t>
      </w:r>
      <w:r w:rsidR="00CF4274" w:rsidRPr="00A249BE">
        <w:rPr>
          <w:rFonts w:ascii="Times New Roman" w:hAnsi="Times New Roman" w:cs="Times New Roman"/>
          <w:i/>
          <w:color w:val="222222"/>
          <w:sz w:val="22"/>
          <w:szCs w:val="22"/>
          <w:lang w:eastAsia="en-US"/>
        </w:rPr>
        <w:t xml:space="preserve">Long </w:t>
      </w:r>
      <w:proofErr w:type="spellStart"/>
      <w:r w:rsidR="00CF4274" w:rsidRPr="00A249BE">
        <w:rPr>
          <w:rFonts w:ascii="Times New Roman" w:hAnsi="Times New Roman" w:cs="Times New Roman"/>
          <w:i/>
          <w:color w:val="222222"/>
          <w:sz w:val="22"/>
          <w:szCs w:val="22"/>
          <w:lang w:eastAsia="en-US"/>
        </w:rPr>
        <w:t>Haul</w:t>
      </w:r>
      <w:proofErr w:type="spellEnd"/>
      <w:r w:rsidR="00154DAA" w:rsidRPr="00A249BE">
        <w:rPr>
          <w:rFonts w:ascii="Times New Roman" w:hAnsi="Times New Roman" w:cs="Times New Roman"/>
          <w:color w:val="222222"/>
          <w:sz w:val="22"/>
          <w:szCs w:val="22"/>
          <w:lang w:eastAsia="en-US"/>
        </w:rPr>
        <w:t>) (2,9 Mds USD)</w:t>
      </w:r>
    </w:p>
    <w:p w:rsidR="00154DAA" w:rsidRPr="00A249BE" w:rsidRDefault="00154DAA" w:rsidP="00E265DE">
      <w:pPr>
        <w:spacing w:after="120"/>
        <w:jc w:val="both"/>
        <w:rPr>
          <w:rFonts w:ascii="Times New Roman" w:hAnsi="Times New Roman" w:cs="Times New Roman"/>
          <w:color w:val="222222"/>
          <w:sz w:val="22"/>
          <w:szCs w:val="22"/>
          <w:lang w:eastAsia="en-US"/>
        </w:rPr>
      </w:pPr>
      <w:r w:rsidRPr="00A249BE">
        <w:rPr>
          <w:rFonts w:ascii="Times New Roman" w:hAnsi="Times New Roman" w:cs="Times New Roman"/>
          <w:color w:val="222222"/>
          <w:sz w:val="22"/>
          <w:szCs w:val="22"/>
          <w:lang w:eastAsia="en-US"/>
        </w:rPr>
        <w:t xml:space="preserve">De plus, un second lot de prêts chinois </w:t>
      </w:r>
      <w:r w:rsidR="00E417C0" w:rsidRPr="00A249BE">
        <w:rPr>
          <w:rFonts w:ascii="Times New Roman" w:hAnsi="Times New Roman" w:cs="Times New Roman"/>
          <w:color w:val="222222"/>
          <w:sz w:val="22"/>
          <w:szCs w:val="22"/>
          <w:lang w:eastAsia="en-US"/>
        </w:rPr>
        <w:t>d’une valeur estimée de</w:t>
      </w:r>
      <w:r w:rsidRPr="00A249BE">
        <w:rPr>
          <w:rFonts w:ascii="Times New Roman" w:hAnsi="Times New Roman" w:cs="Times New Roman"/>
          <w:color w:val="222222"/>
          <w:sz w:val="22"/>
          <w:szCs w:val="22"/>
          <w:lang w:eastAsia="en-US"/>
        </w:rPr>
        <w:t xml:space="preserve"> 4 Mds USD est en cours de discussion entre les deux gouvernements. Ces financements couvriraient notamment un projet d’autoroute à Davao (425 M USD) et la ligne ferroviaire </w:t>
      </w:r>
      <w:proofErr w:type="spellStart"/>
      <w:r w:rsidRPr="00A249BE">
        <w:rPr>
          <w:rFonts w:ascii="Times New Roman" w:hAnsi="Times New Roman" w:cs="Times New Roman"/>
          <w:color w:val="222222"/>
          <w:sz w:val="22"/>
          <w:szCs w:val="22"/>
          <w:lang w:eastAsia="en-US"/>
        </w:rPr>
        <w:t>Subic</w:t>
      </w:r>
      <w:proofErr w:type="spellEnd"/>
      <w:r w:rsidRPr="00A249BE">
        <w:rPr>
          <w:rFonts w:ascii="Times New Roman" w:hAnsi="Times New Roman" w:cs="Times New Roman"/>
          <w:color w:val="222222"/>
          <w:sz w:val="22"/>
          <w:szCs w:val="22"/>
          <w:lang w:eastAsia="en-US"/>
        </w:rPr>
        <w:t>-Clark (948 M USD) au nord de Manille. Ce dernier projet fait d’ailleurs parti</w:t>
      </w:r>
      <w:r w:rsidR="00E417C0" w:rsidRPr="00A249BE">
        <w:rPr>
          <w:rFonts w:ascii="Times New Roman" w:hAnsi="Times New Roman" w:cs="Times New Roman"/>
          <w:color w:val="222222"/>
          <w:sz w:val="22"/>
          <w:szCs w:val="22"/>
          <w:lang w:eastAsia="en-US"/>
        </w:rPr>
        <w:t>e</w:t>
      </w:r>
      <w:r w:rsidRPr="00A249BE">
        <w:rPr>
          <w:rFonts w:ascii="Times New Roman" w:hAnsi="Times New Roman" w:cs="Times New Roman"/>
          <w:color w:val="222222"/>
          <w:sz w:val="22"/>
          <w:szCs w:val="22"/>
          <w:lang w:eastAsia="en-US"/>
        </w:rPr>
        <w:t xml:space="preserve"> des projets qui vont être étudiés et potentiellement approuvés par le prochain Conseil du ministère du Plan (NEDA, National </w:t>
      </w:r>
      <w:proofErr w:type="spellStart"/>
      <w:r w:rsidRPr="00A249BE">
        <w:rPr>
          <w:rFonts w:ascii="Times New Roman" w:hAnsi="Times New Roman" w:cs="Times New Roman"/>
          <w:color w:val="222222"/>
          <w:sz w:val="22"/>
          <w:szCs w:val="22"/>
          <w:lang w:eastAsia="en-US"/>
        </w:rPr>
        <w:t>Economic</w:t>
      </w:r>
      <w:proofErr w:type="spellEnd"/>
      <w:r w:rsidRPr="00A249BE">
        <w:rPr>
          <w:rFonts w:ascii="Times New Roman" w:hAnsi="Times New Roman" w:cs="Times New Roman"/>
          <w:color w:val="222222"/>
          <w:sz w:val="22"/>
          <w:szCs w:val="22"/>
          <w:lang w:eastAsia="en-US"/>
        </w:rPr>
        <w:t xml:space="preserve"> and Development </w:t>
      </w:r>
      <w:proofErr w:type="spellStart"/>
      <w:r w:rsidRPr="00A249BE">
        <w:rPr>
          <w:rFonts w:ascii="Times New Roman" w:hAnsi="Times New Roman" w:cs="Times New Roman"/>
          <w:color w:val="222222"/>
          <w:sz w:val="22"/>
          <w:szCs w:val="22"/>
          <w:lang w:eastAsia="en-US"/>
        </w:rPr>
        <w:t>Authority</w:t>
      </w:r>
      <w:proofErr w:type="spellEnd"/>
      <w:r w:rsidRPr="00A249BE">
        <w:rPr>
          <w:rFonts w:ascii="Times New Roman" w:hAnsi="Times New Roman" w:cs="Times New Roman"/>
          <w:color w:val="222222"/>
          <w:sz w:val="22"/>
          <w:szCs w:val="22"/>
          <w:lang w:eastAsia="en-US"/>
        </w:rPr>
        <w:t xml:space="preserve">). </w:t>
      </w:r>
    </w:p>
    <w:p w:rsidR="00154DAA" w:rsidRPr="00A249BE" w:rsidRDefault="00154DAA" w:rsidP="00E265DE">
      <w:pPr>
        <w:jc w:val="both"/>
        <w:rPr>
          <w:rFonts w:ascii="Times New Roman" w:hAnsi="Times New Roman" w:cs="Times New Roman"/>
          <w:color w:val="222222"/>
          <w:sz w:val="22"/>
          <w:szCs w:val="22"/>
          <w:lang w:eastAsia="en-US"/>
        </w:rPr>
      </w:pPr>
      <w:r w:rsidRPr="00A249BE">
        <w:rPr>
          <w:rFonts w:ascii="Times New Roman" w:hAnsi="Times New Roman" w:cs="Times New Roman"/>
          <w:color w:val="222222"/>
          <w:sz w:val="22"/>
          <w:szCs w:val="22"/>
          <w:lang w:eastAsia="en-US"/>
        </w:rPr>
        <w:t>La Chine serait également prête à offrir près de 150 M USD de dons aux Philippines. Deux projets de ponts (</w:t>
      </w:r>
      <w:proofErr w:type="spellStart"/>
      <w:r w:rsidRPr="00A249BE">
        <w:rPr>
          <w:rFonts w:ascii="Times New Roman" w:hAnsi="Times New Roman" w:cs="Times New Roman"/>
          <w:color w:val="222222"/>
          <w:sz w:val="22"/>
          <w:szCs w:val="22"/>
          <w:lang w:eastAsia="en-US"/>
        </w:rPr>
        <w:t>Binondo</w:t>
      </w:r>
      <w:proofErr w:type="spellEnd"/>
      <w:r w:rsidRPr="00A249BE">
        <w:rPr>
          <w:rFonts w:ascii="Times New Roman" w:hAnsi="Times New Roman" w:cs="Times New Roman"/>
          <w:color w:val="222222"/>
          <w:sz w:val="22"/>
          <w:szCs w:val="22"/>
          <w:lang w:eastAsia="en-US"/>
        </w:rPr>
        <w:t xml:space="preserve">-Intramuros et </w:t>
      </w:r>
      <w:proofErr w:type="spellStart"/>
      <w:r w:rsidRPr="00A249BE">
        <w:rPr>
          <w:rFonts w:ascii="Times New Roman" w:hAnsi="Times New Roman" w:cs="Times New Roman"/>
          <w:color w:val="222222"/>
          <w:sz w:val="22"/>
          <w:szCs w:val="22"/>
          <w:lang w:eastAsia="en-US"/>
        </w:rPr>
        <w:t>Estrella-Pantaleon</w:t>
      </w:r>
      <w:proofErr w:type="spellEnd"/>
      <w:r w:rsidRPr="00A249BE">
        <w:rPr>
          <w:rFonts w:ascii="Times New Roman" w:hAnsi="Times New Roman" w:cs="Times New Roman"/>
          <w:color w:val="222222"/>
          <w:sz w:val="22"/>
          <w:szCs w:val="22"/>
          <w:lang w:eastAsia="en-US"/>
        </w:rPr>
        <w:t xml:space="preserve">) sur la rivière Pasig </w:t>
      </w:r>
      <w:r w:rsidR="00E417C0" w:rsidRPr="00A249BE">
        <w:rPr>
          <w:rFonts w:ascii="Times New Roman" w:hAnsi="Times New Roman" w:cs="Times New Roman"/>
          <w:color w:val="222222"/>
          <w:sz w:val="22"/>
          <w:szCs w:val="22"/>
          <w:lang w:eastAsia="en-US"/>
        </w:rPr>
        <w:t xml:space="preserve">dans l’agglomération de </w:t>
      </w:r>
      <w:r w:rsidR="00712AAE" w:rsidRPr="00A249BE">
        <w:rPr>
          <w:rFonts w:ascii="Times New Roman" w:hAnsi="Times New Roman" w:cs="Times New Roman"/>
          <w:color w:val="222222"/>
          <w:sz w:val="22"/>
          <w:szCs w:val="22"/>
          <w:lang w:eastAsia="en-US"/>
        </w:rPr>
        <w:t>M</w:t>
      </w:r>
      <w:r w:rsidR="00E417C0" w:rsidRPr="00A249BE">
        <w:rPr>
          <w:rFonts w:ascii="Times New Roman" w:hAnsi="Times New Roman" w:cs="Times New Roman"/>
          <w:color w:val="222222"/>
          <w:sz w:val="22"/>
          <w:szCs w:val="22"/>
          <w:lang w:eastAsia="en-US"/>
        </w:rPr>
        <w:t xml:space="preserve">anille </w:t>
      </w:r>
      <w:r w:rsidRPr="00A249BE">
        <w:rPr>
          <w:rFonts w:ascii="Times New Roman" w:hAnsi="Times New Roman" w:cs="Times New Roman"/>
          <w:color w:val="222222"/>
          <w:sz w:val="22"/>
          <w:szCs w:val="22"/>
          <w:lang w:eastAsia="en-US"/>
        </w:rPr>
        <w:t xml:space="preserve">devraient être financés par des dons chinois (100 M USD), ainsi que deux centres de désintoxication et </w:t>
      </w:r>
      <w:r w:rsidR="00E417C0" w:rsidRPr="00A249BE">
        <w:rPr>
          <w:rFonts w:ascii="Times New Roman" w:hAnsi="Times New Roman" w:cs="Times New Roman"/>
          <w:color w:val="222222"/>
          <w:sz w:val="22"/>
          <w:szCs w:val="22"/>
          <w:lang w:eastAsia="en-US"/>
        </w:rPr>
        <w:t xml:space="preserve">de </w:t>
      </w:r>
      <w:r w:rsidRPr="00A249BE">
        <w:rPr>
          <w:rFonts w:ascii="Times New Roman" w:hAnsi="Times New Roman" w:cs="Times New Roman"/>
          <w:color w:val="222222"/>
          <w:sz w:val="22"/>
          <w:szCs w:val="22"/>
          <w:lang w:eastAsia="en-US"/>
        </w:rPr>
        <w:t xml:space="preserve">réhabilitation </w:t>
      </w:r>
      <w:r w:rsidR="00E417C0" w:rsidRPr="00A249BE">
        <w:rPr>
          <w:rFonts w:ascii="Times New Roman" w:hAnsi="Times New Roman" w:cs="Times New Roman"/>
          <w:color w:val="222222"/>
          <w:sz w:val="22"/>
          <w:szCs w:val="22"/>
          <w:lang w:eastAsia="en-US"/>
        </w:rPr>
        <w:t xml:space="preserve">de toxicomanes </w:t>
      </w:r>
      <w:r w:rsidRPr="00A249BE">
        <w:rPr>
          <w:rFonts w:ascii="Times New Roman" w:hAnsi="Times New Roman" w:cs="Times New Roman"/>
          <w:color w:val="222222"/>
          <w:sz w:val="22"/>
          <w:szCs w:val="22"/>
          <w:lang w:eastAsia="en-US"/>
        </w:rPr>
        <w:t xml:space="preserve">à Mindanao (23 M USD) et de l’aide à la reconstruction pour la ville de </w:t>
      </w:r>
      <w:proofErr w:type="spellStart"/>
      <w:r w:rsidRPr="00A249BE">
        <w:rPr>
          <w:rFonts w:ascii="Times New Roman" w:hAnsi="Times New Roman" w:cs="Times New Roman"/>
          <w:color w:val="222222"/>
          <w:sz w:val="22"/>
          <w:szCs w:val="22"/>
          <w:lang w:eastAsia="en-US"/>
        </w:rPr>
        <w:t>Marawi</w:t>
      </w:r>
      <w:proofErr w:type="spellEnd"/>
      <w:r w:rsidRPr="00A249BE">
        <w:rPr>
          <w:rFonts w:ascii="Times New Roman" w:hAnsi="Times New Roman" w:cs="Times New Roman"/>
          <w:color w:val="222222"/>
          <w:sz w:val="22"/>
          <w:szCs w:val="22"/>
          <w:lang w:eastAsia="en-US"/>
        </w:rPr>
        <w:t xml:space="preserve"> (26 M USD). </w:t>
      </w:r>
    </w:p>
    <w:p w:rsidR="00154DAA" w:rsidRPr="00A249BE" w:rsidRDefault="00154DAA" w:rsidP="00E265DE">
      <w:pPr>
        <w:jc w:val="both"/>
        <w:rPr>
          <w:rFonts w:ascii="Times New Roman" w:hAnsi="Times New Roman" w:cs="Times New Roman"/>
          <w:color w:val="222222"/>
          <w:sz w:val="22"/>
          <w:szCs w:val="22"/>
          <w:lang w:eastAsia="en-US"/>
        </w:rPr>
      </w:pPr>
    </w:p>
    <w:p w:rsidR="00187DA5" w:rsidRPr="00A249BE" w:rsidRDefault="00187DA5" w:rsidP="00E265DE">
      <w:pPr>
        <w:pStyle w:val="Paragraphedeliste"/>
        <w:numPr>
          <w:ilvl w:val="0"/>
          <w:numId w:val="2"/>
        </w:numPr>
        <w:spacing w:after="120"/>
        <w:contextualSpacing w:val="0"/>
        <w:jc w:val="both"/>
        <w:rPr>
          <w:rFonts w:ascii="Times New Roman" w:hAnsi="Times New Roman" w:cs="Times New Roman"/>
          <w:b/>
          <w:color w:val="222222"/>
          <w:sz w:val="22"/>
          <w:szCs w:val="22"/>
          <w:lang w:eastAsia="en-US"/>
        </w:rPr>
      </w:pPr>
      <w:r w:rsidRPr="00A249BE">
        <w:rPr>
          <w:rFonts w:ascii="Times New Roman" w:hAnsi="Times New Roman" w:cs="Times New Roman"/>
          <w:b/>
          <w:color w:val="222222"/>
          <w:sz w:val="22"/>
          <w:szCs w:val="22"/>
          <w:lang w:eastAsia="en-US"/>
        </w:rPr>
        <w:t>Une lutte d’influence à l’œuvre entre la Chine et le Japon</w:t>
      </w:r>
    </w:p>
    <w:p w:rsidR="00187DA5" w:rsidRPr="00A249BE" w:rsidRDefault="00E265DE" w:rsidP="00E265DE">
      <w:pPr>
        <w:spacing w:after="120"/>
        <w:jc w:val="both"/>
        <w:rPr>
          <w:rFonts w:ascii="Times New Roman" w:hAnsi="Times New Roman" w:cs="Times New Roman"/>
          <w:sz w:val="22"/>
          <w:szCs w:val="22"/>
        </w:rPr>
      </w:pPr>
      <w:r>
        <w:rPr>
          <w:rFonts w:ascii="Times New Roman" w:hAnsi="Times New Roman" w:cs="Times New Roman"/>
          <w:sz w:val="22"/>
          <w:szCs w:val="22"/>
        </w:rPr>
        <w:t>M</w:t>
      </w:r>
      <w:r w:rsidR="00154DAA" w:rsidRPr="00A249BE">
        <w:rPr>
          <w:rFonts w:ascii="Times New Roman" w:hAnsi="Times New Roman" w:cs="Times New Roman"/>
          <w:sz w:val="22"/>
          <w:szCs w:val="22"/>
        </w:rPr>
        <w:t xml:space="preserve">algré l’attrait évident des autorités philippines pour les financements chinois, les conditions de prêt de la Chine sont loin d’être aussi intéressantes que celle offertes par le Japon, partenaire historique des </w:t>
      </w:r>
      <w:r w:rsidR="00154DAA" w:rsidRPr="00A249BE">
        <w:rPr>
          <w:rFonts w:ascii="Times New Roman" w:hAnsi="Times New Roman" w:cs="Times New Roman"/>
          <w:sz w:val="22"/>
          <w:szCs w:val="22"/>
        </w:rPr>
        <w:lastRenderedPageBreak/>
        <w:t>Philippines en termes de financements de projets d’infrastructure</w:t>
      </w:r>
      <w:r w:rsidR="00187DA5" w:rsidRPr="00A249BE">
        <w:rPr>
          <w:rFonts w:ascii="Times New Roman" w:hAnsi="Times New Roman" w:cs="Times New Roman"/>
          <w:sz w:val="22"/>
          <w:szCs w:val="22"/>
        </w:rPr>
        <w:t>s</w:t>
      </w:r>
      <w:r w:rsidR="00154DAA" w:rsidRPr="00A249BE">
        <w:rPr>
          <w:rFonts w:ascii="Times New Roman" w:hAnsi="Times New Roman" w:cs="Times New Roman"/>
          <w:sz w:val="22"/>
          <w:szCs w:val="22"/>
        </w:rPr>
        <w:t xml:space="preserve"> (taux d’intérêt </w:t>
      </w:r>
      <w:r w:rsidR="00187DA5" w:rsidRPr="00A249BE">
        <w:rPr>
          <w:rFonts w:ascii="Times New Roman" w:hAnsi="Times New Roman" w:cs="Times New Roman"/>
          <w:sz w:val="22"/>
          <w:szCs w:val="22"/>
        </w:rPr>
        <w:t xml:space="preserve">de la JICA </w:t>
      </w:r>
      <w:r w:rsidR="00154DAA" w:rsidRPr="00A249BE">
        <w:rPr>
          <w:rFonts w:ascii="Times New Roman" w:hAnsi="Times New Roman" w:cs="Times New Roman"/>
          <w:sz w:val="22"/>
          <w:szCs w:val="22"/>
        </w:rPr>
        <w:t xml:space="preserve">entre 0,2% et 0,75% </w:t>
      </w:r>
      <w:r w:rsidR="00187DA5" w:rsidRPr="00A249BE">
        <w:rPr>
          <w:rFonts w:ascii="Times New Roman" w:hAnsi="Times New Roman" w:cs="Times New Roman"/>
          <w:sz w:val="22"/>
          <w:szCs w:val="22"/>
        </w:rPr>
        <w:t xml:space="preserve">contre </w:t>
      </w:r>
      <w:r w:rsidR="00154DAA" w:rsidRPr="00A249BE">
        <w:rPr>
          <w:rFonts w:ascii="Times New Roman" w:hAnsi="Times New Roman" w:cs="Times New Roman"/>
          <w:sz w:val="22"/>
          <w:szCs w:val="22"/>
        </w:rPr>
        <w:t xml:space="preserve"> 2% </w:t>
      </w:r>
      <w:r w:rsidR="00187DA5" w:rsidRPr="00A249BE">
        <w:rPr>
          <w:rFonts w:ascii="Times New Roman" w:hAnsi="Times New Roman" w:cs="Times New Roman"/>
          <w:sz w:val="22"/>
          <w:szCs w:val="22"/>
        </w:rPr>
        <w:t>à</w:t>
      </w:r>
      <w:r w:rsidR="00154DAA" w:rsidRPr="00A249BE">
        <w:rPr>
          <w:rFonts w:ascii="Times New Roman" w:hAnsi="Times New Roman" w:cs="Times New Roman"/>
          <w:sz w:val="22"/>
          <w:szCs w:val="22"/>
        </w:rPr>
        <w:t xml:space="preserve"> 3% pour la Chine).</w:t>
      </w:r>
    </w:p>
    <w:p w:rsidR="00F674FC" w:rsidRPr="00A249BE" w:rsidRDefault="00154DAA" w:rsidP="00E265DE">
      <w:pPr>
        <w:spacing w:after="120"/>
        <w:jc w:val="both"/>
        <w:rPr>
          <w:rFonts w:ascii="Times New Roman" w:hAnsi="Times New Roman" w:cs="Times New Roman"/>
          <w:color w:val="222222"/>
          <w:sz w:val="22"/>
          <w:szCs w:val="22"/>
          <w:lang w:eastAsia="en-US"/>
        </w:rPr>
      </w:pPr>
      <w:r w:rsidRPr="00A249BE">
        <w:rPr>
          <w:rFonts w:ascii="Times New Roman" w:hAnsi="Times New Roman" w:cs="Times New Roman"/>
          <w:sz w:val="22"/>
          <w:szCs w:val="22"/>
        </w:rPr>
        <w:t xml:space="preserve">Le gouvernement </w:t>
      </w:r>
      <w:r w:rsidR="00187DA5" w:rsidRPr="00A249BE">
        <w:rPr>
          <w:rFonts w:ascii="Times New Roman" w:hAnsi="Times New Roman" w:cs="Times New Roman"/>
          <w:sz w:val="22"/>
          <w:szCs w:val="22"/>
        </w:rPr>
        <w:t xml:space="preserve">philippin </w:t>
      </w:r>
      <w:r w:rsidR="00E265DE">
        <w:rPr>
          <w:rFonts w:ascii="Times New Roman" w:hAnsi="Times New Roman" w:cs="Times New Roman"/>
          <w:sz w:val="22"/>
          <w:szCs w:val="22"/>
        </w:rPr>
        <w:t xml:space="preserve">motive son intérêt pour des </w:t>
      </w:r>
      <w:r w:rsidRPr="00A249BE">
        <w:rPr>
          <w:rFonts w:ascii="Times New Roman" w:hAnsi="Times New Roman" w:cs="Times New Roman"/>
          <w:sz w:val="22"/>
          <w:szCs w:val="22"/>
        </w:rPr>
        <w:t xml:space="preserve">financements chinois par le fait que les </w:t>
      </w:r>
      <w:r w:rsidR="00187DA5" w:rsidRPr="00A249BE">
        <w:rPr>
          <w:rFonts w:ascii="Times New Roman" w:hAnsi="Times New Roman" w:cs="Times New Roman"/>
          <w:sz w:val="22"/>
          <w:szCs w:val="22"/>
        </w:rPr>
        <w:t>J</w:t>
      </w:r>
      <w:r w:rsidRPr="00A249BE">
        <w:rPr>
          <w:rFonts w:ascii="Times New Roman" w:hAnsi="Times New Roman" w:cs="Times New Roman"/>
          <w:sz w:val="22"/>
          <w:szCs w:val="22"/>
        </w:rPr>
        <w:t xml:space="preserve">aponais n’ont pas la capacité de financer tous les projets </w:t>
      </w:r>
      <w:r w:rsidR="00E265DE">
        <w:rPr>
          <w:rFonts w:ascii="Times New Roman" w:hAnsi="Times New Roman" w:cs="Times New Roman"/>
          <w:sz w:val="22"/>
          <w:szCs w:val="22"/>
        </w:rPr>
        <w:t xml:space="preserve">majeurs </w:t>
      </w:r>
      <w:r w:rsidRPr="00A249BE">
        <w:rPr>
          <w:rFonts w:ascii="Times New Roman" w:hAnsi="Times New Roman" w:cs="Times New Roman"/>
          <w:sz w:val="22"/>
          <w:szCs w:val="22"/>
        </w:rPr>
        <w:t>du programme ‘</w:t>
      </w:r>
      <w:proofErr w:type="spellStart"/>
      <w:r w:rsidRPr="00A249BE">
        <w:rPr>
          <w:rFonts w:ascii="Times New Roman" w:hAnsi="Times New Roman" w:cs="Times New Roman"/>
          <w:sz w:val="22"/>
          <w:szCs w:val="22"/>
        </w:rPr>
        <w:t>Build</w:t>
      </w:r>
      <w:proofErr w:type="spellEnd"/>
      <w:r w:rsidRPr="00A249BE">
        <w:rPr>
          <w:rFonts w:ascii="Times New Roman" w:hAnsi="Times New Roman" w:cs="Times New Roman"/>
          <w:sz w:val="22"/>
          <w:szCs w:val="22"/>
        </w:rPr>
        <w:t xml:space="preserve">, </w:t>
      </w:r>
      <w:proofErr w:type="spellStart"/>
      <w:r w:rsidRPr="00A249BE">
        <w:rPr>
          <w:rFonts w:ascii="Times New Roman" w:hAnsi="Times New Roman" w:cs="Times New Roman"/>
          <w:sz w:val="22"/>
          <w:szCs w:val="22"/>
        </w:rPr>
        <w:t>Build</w:t>
      </w:r>
      <w:proofErr w:type="spellEnd"/>
      <w:r w:rsidRPr="00A249BE">
        <w:rPr>
          <w:rFonts w:ascii="Times New Roman" w:hAnsi="Times New Roman" w:cs="Times New Roman"/>
          <w:sz w:val="22"/>
          <w:szCs w:val="22"/>
        </w:rPr>
        <w:t xml:space="preserve"> </w:t>
      </w:r>
      <w:proofErr w:type="spellStart"/>
      <w:r w:rsidRPr="00A249BE">
        <w:rPr>
          <w:rFonts w:ascii="Times New Roman" w:hAnsi="Times New Roman" w:cs="Times New Roman"/>
          <w:sz w:val="22"/>
          <w:szCs w:val="22"/>
        </w:rPr>
        <w:t>Build</w:t>
      </w:r>
      <w:proofErr w:type="spellEnd"/>
      <w:r w:rsidRPr="00A249BE">
        <w:rPr>
          <w:rFonts w:ascii="Times New Roman" w:hAnsi="Times New Roman" w:cs="Times New Roman"/>
          <w:sz w:val="22"/>
          <w:szCs w:val="22"/>
        </w:rPr>
        <w:t>’ (un total de 1</w:t>
      </w:r>
      <w:r w:rsidR="00187DA5" w:rsidRPr="00A249BE">
        <w:rPr>
          <w:rFonts w:ascii="Times New Roman" w:hAnsi="Times New Roman" w:cs="Times New Roman"/>
          <w:sz w:val="22"/>
          <w:szCs w:val="22"/>
        </w:rPr>
        <w:t>60 à 180</w:t>
      </w:r>
      <w:r w:rsidRPr="00A249BE">
        <w:rPr>
          <w:rFonts w:ascii="Times New Roman" w:hAnsi="Times New Roman" w:cs="Times New Roman"/>
          <w:sz w:val="22"/>
          <w:szCs w:val="22"/>
        </w:rPr>
        <w:t xml:space="preserve"> Mds USD entre 2017 et 2022). De plus, les autorités philippines reprochent aux </w:t>
      </w:r>
      <w:r w:rsidR="00187DA5" w:rsidRPr="00A249BE">
        <w:rPr>
          <w:rFonts w:ascii="Times New Roman" w:hAnsi="Times New Roman" w:cs="Times New Roman"/>
          <w:sz w:val="22"/>
          <w:szCs w:val="22"/>
        </w:rPr>
        <w:t>J</w:t>
      </w:r>
      <w:r w:rsidRPr="00A249BE">
        <w:rPr>
          <w:rFonts w:ascii="Times New Roman" w:hAnsi="Times New Roman" w:cs="Times New Roman"/>
          <w:sz w:val="22"/>
          <w:szCs w:val="22"/>
        </w:rPr>
        <w:t xml:space="preserve">aponais la lenteur de leurs procédures et estiment qu’ils ne sont pas </w:t>
      </w:r>
      <w:r w:rsidR="00187DA5" w:rsidRPr="00A249BE">
        <w:rPr>
          <w:rFonts w:ascii="Times New Roman" w:hAnsi="Times New Roman" w:cs="Times New Roman"/>
          <w:sz w:val="22"/>
          <w:szCs w:val="22"/>
        </w:rPr>
        <w:t>en mesure</w:t>
      </w:r>
      <w:r w:rsidRPr="00A249BE">
        <w:rPr>
          <w:rFonts w:ascii="Times New Roman" w:hAnsi="Times New Roman" w:cs="Times New Roman"/>
          <w:sz w:val="22"/>
          <w:szCs w:val="22"/>
        </w:rPr>
        <w:t xml:space="preserve"> de répondre </w:t>
      </w:r>
      <w:r w:rsidR="00F22F55" w:rsidRPr="00A249BE">
        <w:rPr>
          <w:rFonts w:ascii="Times New Roman" w:hAnsi="Times New Roman" w:cs="Times New Roman"/>
          <w:sz w:val="22"/>
          <w:szCs w:val="22"/>
        </w:rPr>
        <w:t xml:space="preserve">à la totalité des </w:t>
      </w:r>
      <w:r w:rsidRPr="00A249BE">
        <w:rPr>
          <w:rFonts w:ascii="Times New Roman" w:hAnsi="Times New Roman" w:cs="Times New Roman"/>
          <w:sz w:val="22"/>
          <w:szCs w:val="22"/>
        </w:rPr>
        <w:t>besoins de financement  d</w:t>
      </w:r>
      <w:r w:rsidR="00F22F55" w:rsidRPr="00A249BE">
        <w:rPr>
          <w:rFonts w:ascii="Times New Roman" w:hAnsi="Times New Roman" w:cs="Times New Roman"/>
          <w:sz w:val="22"/>
          <w:szCs w:val="22"/>
        </w:rPr>
        <w:t xml:space="preserve">u programme </w:t>
      </w:r>
      <w:r w:rsidRPr="00A249BE">
        <w:rPr>
          <w:rFonts w:ascii="Times New Roman" w:hAnsi="Times New Roman" w:cs="Times New Roman"/>
          <w:sz w:val="22"/>
          <w:szCs w:val="22"/>
        </w:rPr>
        <w:t xml:space="preserve"> d’infrastructure</w:t>
      </w:r>
      <w:r w:rsidR="00187DA5" w:rsidRPr="00A249BE">
        <w:rPr>
          <w:rFonts w:ascii="Times New Roman" w:hAnsi="Times New Roman" w:cs="Times New Roman"/>
          <w:sz w:val="22"/>
          <w:szCs w:val="22"/>
        </w:rPr>
        <w:t>s</w:t>
      </w:r>
      <w:r w:rsidRPr="00A249BE">
        <w:rPr>
          <w:rFonts w:ascii="Times New Roman" w:hAnsi="Times New Roman" w:cs="Times New Roman"/>
          <w:sz w:val="22"/>
          <w:szCs w:val="22"/>
        </w:rPr>
        <w:t xml:space="preserve">. Avec la montée en puissance des promesses de financements chinois aux Philippines ces deux dernières années, les </w:t>
      </w:r>
      <w:r w:rsidR="00F22F55" w:rsidRPr="00A249BE">
        <w:rPr>
          <w:rFonts w:ascii="Times New Roman" w:hAnsi="Times New Roman" w:cs="Times New Roman"/>
          <w:sz w:val="22"/>
          <w:szCs w:val="22"/>
        </w:rPr>
        <w:t xml:space="preserve">autorités </w:t>
      </w:r>
      <w:r w:rsidRPr="00A249BE">
        <w:rPr>
          <w:rFonts w:ascii="Times New Roman" w:hAnsi="Times New Roman" w:cs="Times New Roman"/>
          <w:sz w:val="22"/>
          <w:szCs w:val="22"/>
        </w:rPr>
        <w:t>japonais</w:t>
      </w:r>
      <w:r w:rsidR="00F22F55" w:rsidRPr="00A249BE">
        <w:rPr>
          <w:rFonts w:ascii="Times New Roman" w:hAnsi="Times New Roman" w:cs="Times New Roman"/>
          <w:sz w:val="22"/>
          <w:szCs w:val="22"/>
        </w:rPr>
        <w:t>es</w:t>
      </w:r>
      <w:r w:rsidRPr="00A249BE">
        <w:rPr>
          <w:rFonts w:ascii="Times New Roman" w:hAnsi="Times New Roman" w:cs="Times New Roman"/>
          <w:sz w:val="22"/>
          <w:szCs w:val="22"/>
        </w:rPr>
        <w:t xml:space="preserve"> semblent accélérer l</w:t>
      </w:r>
      <w:r w:rsidR="00F22F55" w:rsidRPr="00A249BE">
        <w:rPr>
          <w:rFonts w:ascii="Times New Roman" w:hAnsi="Times New Roman" w:cs="Times New Roman"/>
          <w:sz w:val="22"/>
          <w:szCs w:val="22"/>
        </w:rPr>
        <w:t>e</w:t>
      </w:r>
      <w:r w:rsidR="00E265DE">
        <w:rPr>
          <w:rFonts w:ascii="Times New Roman" w:hAnsi="Times New Roman" w:cs="Times New Roman"/>
          <w:sz w:val="22"/>
          <w:szCs w:val="22"/>
        </w:rPr>
        <w:t>urs</w:t>
      </w:r>
      <w:r w:rsidR="00F22F55" w:rsidRPr="00A249BE">
        <w:rPr>
          <w:rFonts w:ascii="Times New Roman" w:hAnsi="Times New Roman" w:cs="Times New Roman"/>
          <w:sz w:val="22"/>
          <w:szCs w:val="22"/>
        </w:rPr>
        <w:t xml:space="preserve"> procédures d’instruction </w:t>
      </w:r>
      <w:r w:rsidRPr="00A249BE">
        <w:rPr>
          <w:rFonts w:ascii="Times New Roman" w:hAnsi="Times New Roman" w:cs="Times New Roman"/>
          <w:sz w:val="22"/>
          <w:szCs w:val="22"/>
        </w:rPr>
        <w:t>des projets.</w:t>
      </w:r>
    </w:p>
    <w:sectPr w:rsidR="00F674FC" w:rsidRPr="00A249BE" w:rsidSect="00B46747">
      <w:headerReference w:type="even" r:id="rId7"/>
      <w:headerReference w:type="default" r:id="rId8"/>
      <w:footerReference w:type="even" r:id="rId9"/>
      <w:footerReference w:type="default" r:id="rId10"/>
      <w:headerReference w:type="first" r:id="rId11"/>
      <w:footerReference w:type="first" r:id="rId12"/>
      <w:pgSz w:w="11909" w:h="16834" w:code="9"/>
      <w:pgMar w:top="815" w:right="1412" w:bottom="1630" w:left="1412" w:header="272" w:footer="533" w:gutter="0"/>
      <w:cols w:space="720"/>
      <w:titlePg/>
      <w:docGrid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4DAA" w:rsidRDefault="00154DAA">
      <w:r>
        <w:separator/>
      </w:r>
    </w:p>
  </w:endnote>
  <w:endnote w:type="continuationSeparator" w:id="0">
    <w:p w:rsidR="00154DAA" w:rsidRDefault="00154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6747" w:rsidRDefault="00B46747">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486" w:rsidRPr="00C64EF2" w:rsidRDefault="00B46747" w:rsidP="007F6043">
    <w:pPr>
      <w:pStyle w:val="Pieddepage"/>
      <w:jc w:val="center"/>
      <w:rPr>
        <w:rFonts w:ascii="Arial" w:hAnsi="Arial"/>
        <w:b w:val="0"/>
      </w:rPr>
    </w:pPr>
    <w:r>
      <w:rPr>
        <w:rFonts w:ascii="Arial" w:hAnsi="Arial"/>
        <w:b w:val="0"/>
      </w:rPr>
      <w:t xml:space="preserve"> -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486" w:rsidRDefault="00154DAA" w:rsidP="00B46747">
    <w:pPr>
      <w:pStyle w:val="Pieddepage"/>
      <w:tabs>
        <w:tab w:val="left" w:pos="8106"/>
      </w:tabs>
    </w:pPr>
    <w:r>
      <w:rPr>
        <w:noProof/>
      </w:rPr>
      <mc:AlternateContent>
        <mc:Choice Requires="wps">
          <w:drawing>
            <wp:anchor distT="0" distB="0" distL="114300" distR="114300" simplePos="0" relativeHeight="251658240" behindDoc="1" locked="0" layoutInCell="1" allowOverlap="1">
              <wp:simplePos x="0" y="0"/>
              <wp:positionH relativeFrom="margin">
                <wp:align>center</wp:align>
              </wp:positionH>
              <wp:positionV relativeFrom="paragraph">
                <wp:posOffset>-474980</wp:posOffset>
              </wp:positionV>
              <wp:extent cx="4445000" cy="728980"/>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000" cy="728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46747" w:rsidRPr="00D660A1" w:rsidRDefault="00B46747" w:rsidP="00B46747">
                          <w:pPr>
                            <w:jc w:val="center"/>
                            <w:rPr>
                              <w:rFonts w:ascii="Arial" w:hAnsi="Arial"/>
                              <w:sz w:val="16"/>
                              <w:szCs w:val="16"/>
                              <w:lang w:val="en-US"/>
                            </w:rPr>
                          </w:pPr>
                          <w:bookmarkStart w:id="2" w:name="AdresseEntete"/>
                          <w:bookmarkEnd w:id="2"/>
                          <w:proofErr w:type="spellStart"/>
                          <w:r w:rsidRPr="00D660A1">
                            <w:rPr>
                              <w:rFonts w:ascii="Arial" w:hAnsi="Arial"/>
                              <w:sz w:val="16"/>
                              <w:szCs w:val="16"/>
                              <w:lang w:val="en-US"/>
                            </w:rPr>
                            <w:t>Rufino</w:t>
                          </w:r>
                          <w:proofErr w:type="spellEnd"/>
                          <w:r w:rsidRPr="00D660A1">
                            <w:rPr>
                              <w:rFonts w:ascii="Arial" w:hAnsi="Arial"/>
                              <w:sz w:val="16"/>
                              <w:szCs w:val="16"/>
                              <w:lang w:val="en-US"/>
                            </w:rPr>
                            <w:t xml:space="preserve"> Pacific Tower - Units 34 A &amp; B, 6784 Ayala Avenue</w:t>
                          </w:r>
                        </w:p>
                        <w:p w:rsidR="00B46747" w:rsidRPr="00D660A1" w:rsidRDefault="00B46747" w:rsidP="00B46747">
                          <w:pPr>
                            <w:jc w:val="center"/>
                            <w:rPr>
                              <w:rFonts w:ascii="Arial" w:hAnsi="Arial"/>
                              <w:sz w:val="16"/>
                              <w:szCs w:val="16"/>
                              <w:lang w:val="en-US"/>
                            </w:rPr>
                          </w:pPr>
                          <w:r w:rsidRPr="00D660A1">
                            <w:rPr>
                              <w:rFonts w:ascii="Arial" w:hAnsi="Arial"/>
                              <w:sz w:val="16"/>
                              <w:szCs w:val="16"/>
                              <w:lang w:val="en-US"/>
                            </w:rPr>
                            <w:t>Makati City</w:t>
                          </w:r>
                          <w:r>
                            <w:rPr>
                              <w:rFonts w:ascii="Arial" w:hAnsi="Arial"/>
                              <w:sz w:val="16"/>
                              <w:szCs w:val="16"/>
                              <w:lang w:val="en-US"/>
                            </w:rPr>
                            <w:t xml:space="preserve"> – </w:t>
                          </w:r>
                          <w:r w:rsidRPr="00D660A1">
                            <w:rPr>
                              <w:rFonts w:ascii="Arial" w:hAnsi="Arial"/>
                              <w:sz w:val="16"/>
                              <w:szCs w:val="16"/>
                              <w:lang w:val="en-US"/>
                            </w:rPr>
                            <w:t>MCPO 1299</w:t>
                          </w:r>
                          <w:r>
                            <w:rPr>
                              <w:rFonts w:ascii="Arial" w:hAnsi="Arial"/>
                              <w:sz w:val="16"/>
                              <w:szCs w:val="16"/>
                              <w:lang w:val="en-US"/>
                            </w:rPr>
                            <w:t xml:space="preserve"> - </w:t>
                          </w:r>
                          <w:r w:rsidRPr="00D660A1">
                            <w:rPr>
                              <w:rFonts w:ascii="Arial" w:hAnsi="Arial"/>
                              <w:sz w:val="16"/>
                              <w:szCs w:val="16"/>
                              <w:lang w:val="en-US"/>
                            </w:rPr>
                            <w:t>Philippines</w:t>
                          </w:r>
                        </w:p>
                        <w:p w:rsidR="00C111A9" w:rsidRPr="00154DAA" w:rsidRDefault="00B46747" w:rsidP="00B46747">
                          <w:pPr>
                            <w:jc w:val="center"/>
                            <w:rPr>
                              <w:rFonts w:ascii="Arial" w:hAnsi="Arial"/>
                              <w:sz w:val="16"/>
                              <w:szCs w:val="16"/>
                              <w:lang w:val="en-GB"/>
                            </w:rPr>
                          </w:pPr>
                          <w:r w:rsidRPr="00D660A1">
                            <w:rPr>
                              <w:rFonts w:ascii="Arial" w:hAnsi="Arial"/>
                              <w:sz w:val="16"/>
                              <w:szCs w:val="16"/>
                              <w:lang w:val="en-US"/>
                            </w:rPr>
                            <w:t>Tel.: +63 2 811 10 01 - htt</w:t>
                          </w:r>
                          <w:r>
                            <w:rPr>
                              <w:rFonts w:ascii="Arial" w:hAnsi="Arial"/>
                              <w:sz w:val="16"/>
                              <w:szCs w:val="16"/>
                              <w:lang w:val="en-US"/>
                            </w:rPr>
                            <w:t>p://www.tresor.economie.gouv.fr/se/philippines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26" type="#_x0000_t202" style="position:absolute;margin-left:0;margin-top:-37.4pt;width:350pt;height:57.4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" stroked="f">
              <v:textbox>
                <w:txbxContent>
                  <w:p w:rsidR="00B46747" w:rsidRPr="00D660A1" w:rsidRDefault="00B46747" w:rsidP="00B46747">
                    <w:pPr>
                      <w:jc w:val="center"/>
                      <w:rPr>
                        <w:rFonts w:ascii="Arial" w:hAnsi="Arial"/>
                        <w:sz w:val="16"/>
                        <w:szCs w:val="16"/>
                        <w:lang w:val="en-US"/>
                      </w:rPr>
                    </w:pPr>
                    <w:bookmarkStart w:id="3" w:name="AdresseEntete"/>
                    <w:bookmarkEnd w:id="3"/>
                    <w:proofErr w:type="spellStart"/>
                    <w:r w:rsidRPr="00D660A1">
                      <w:rPr>
                        <w:rFonts w:ascii="Arial" w:hAnsi="Arial"/>
                        <w:sz w:val="16"/>
                        <w:szCs w:val="16"/>
                        <w:lang w:val="en-US"/>
                      </w:rPr>
                      <w:t>Rufino</w:t>
                    </w:r>
                    <w:proofErr w:type="spellEnd"/>
                    <w:r w:rsidRPr="00D660A1">
                      <w:rPr>
                        <w:rFonts w:ascii="Arial" w:hAnsi="Arial"/>
                        <w:sz w:val="16"/>
                        <w:szCs w:val="16"/>
                        <w:lang w:val="en-US"/>
                      </w:rPr>
                      <w:t xml:space="preserve"> Pacific Tower - Units 34 A &amp; B, 6784 Ayala Avenue</w:t>
                    </w:r>
                  </w:p>
                  <w:p w:rsidR="00B46747" w:rsidRPr="00D660A1" w:rsidRDefault="00B46747" w:rsidP="00B46747">
                    <w:pPr>
                      <w:jc w:val="center"/>
                      <w:rPr>
                        <w:rFonts w:ascii="Arial" w:hAnsi="Arial"/>
                        <w:sz w:val="16"/>
                        <w:szCs w:val="16"/>
                        <w:lang w:val="en-US"/>
                      </w:rPr>
                    </w:pPr>
                    <w:r w:rsidRPr="00D660A1">
                      <w:rPr>
                        <w:rFonts w:ascii="Arial" w:hAnsi="Arial"/>
                        <w:sz w:val="16"/>
                        <w:szCs w:val="16"/>
                        <w:lang w:val="en-US"/>
                      </w:rPr>
                      <w:t>Makati City</w:t>
                    </w:r>
                    <w:r>
                      <w:rPr>
                        <w:rFonts w:ascii="Arial" w:hAnsi="Arial"/>
                        <w:sz w:val="16"/>
                        <w:szCs w:val="16"/>
                        <w:lang w:val="en-US"/>
                      </w:rPr>
                      <w:t xml:space="preserve"> – </w:t>
                    </w:r>
                    <w:r w:rsidRPr="00D660A1">
                      <w:rPr>
                        <w:rFonts w:ascii="Arial" w:hAnsi="Arial"/>
                        <w:sz w:val="16"/>
                        <w:szCs w:val="16"/>
                        <w:lang w:val="en-US"/>
                      </w:rPr>
                      <w:t>MCPO 1299</w:t>
                    </w:r>
                    <w:r>
                      <w:rPr>
                        <w:rFonts w:ascii="Arial" w:hAnsi="Arial"/>
                        <w:sz w:val="16"/>
                        <w:szCs w:val="16"/>
                        <w:lang w:val="en-US"/>
                      </w:rPr>
                      <w:t xml:space="preserve"> - </w:t>
                    </w:r>
                    <w:r w:rsidRPr="00D660A1">
                      <w:rPr>
                        <w:rFonts w:ascii="Arial" w:hAnsi="Arial"/>
                        <w:sz w:val="16"/>
                        <w:szCs w:val="16"/>
                        <w:lang w:val="en-US"/>
                      </w:rPr>
                      <w:t>Philippines</w:t>
                    </w:r>
                  </w:p>
                  <w:p w:rsidR="00C111A9" w:rsidRPr="00154DAA" w:rsidRDefault="00B46747" w:rsidP="00B46747">
                    <w:pPr>
                      <w:jc w:val="center"/>
                      <w:rPr>
                        <w:rFonts w:ascii="Arial" w:hAnsi="Arial"/>
                        <w:sz w:val="16"/>
                        <w:szCs w:val="16"/>
                        <w:lang w:val="en-GB"/>
                      </w:rPr>
                    </w:pPr>
                    <w:r w:rsidRPr="00D660A1">
                      <w:rPr>
                        <w:rFonts w:ascii="Arial" w:hAnsi="Arial"/>
                        <w:sz w:val="16"/>
                        <w:szCs w:val="16"/>
                        <w:lang w:val="en-US"/>
                      </w:rPr>
                      <w:t>Tel.: +63 2 811 10 01 - htt</w:t>
                    </w:r>
                    <w:r>
                      <w:rPr>
                        <w:rFonts w:ascii="Arial" w:hAnsi="Arial"/>
                        <w:sz w:val="16"/>
                        <w:szCs w:val="16"/>
                        <w:lang w:val="en-US"/>
                      </w:rPr>
                      <w:t>p://www.tresor.economie.gouv.fr/se/philippines</w:t>
                    </w:r>
                  </w:p>
                </w:txbxContent>
              </v:textbox>
              <w10:wrap anchorx="margin"/>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-342900</wp:posOffset>
              </wp:positionH>
              <wp:positionV relativeFrom="paragraph">
                <wp:posOffset>-475615</wp:posOffset>
              </wp:positionV>
              <wp:extent cx="6413500" cy="0"/>
              <wp:effectExtent l="0" t="0" r="0" b="0"/>
              <wp:wrapNone/>
              <wp:docPr id="2"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E0355C" id="Line 4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37.45pt" to="478pt,-3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o9jEwIAACk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"/>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4DAA" w:rsidRDefault="00154DAA">
      <w:r>
        <w:separator/>
      </w:r>
    </w:p>
  </w:footnote>
  <w:footnote w:type="continuationSeparator" w:id="0">
    <w:p w:rsidR="00154DAA" w:rsidRDefault="00154D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6747" w:rsidRDefault="00B46747">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6747" w:rsidRDefault="00B46747">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486" w:rsidRDefault="00154DAA">
    <w:pPr>
      <w:pStyle w:val="En-tte"/>
      <w:jc w:val="center"/>
    </w:pPr>
    <w:r>
      <w:rPr>
        <w:noProof/>
      </w:rPr>
      <w:drawing>
        <wp:inline distT="0" distB="0" distL="0" distR="0">
          <wp:extent cx="914400" cy="542925"/>
          <wp:effectExtent l="0" t="0" r="0" b="9525"/>
          <wp:docPr id="1" name="Image 1" descr="MariannePanto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iannePantone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542925"/>
                  </a:xfrm>
                  <a:prstGeom prst="rect">
                    <a:avLst/>
                  </a:prstGeom>
                  <a:noFill/>
                  <a:ln>
                    <a:noFill/>
                  </a:ln>
                </pic:spPr>
              </pic:pic>
            </a:graphicData>
          </a:graphic>
        </wp:inline>
      </w:drawing>
    </w:r>
  </w:p>
  <w:p w:rsidR="00D34486" w:rsidRDefault="00D34486">
    <w:pPr>
      <w:pStyle w:val="En-tte"/>
      <w:jc w:val="center"/>
      <w:rPr>
        <w:b/>
        <w:smallCaps/>
        <w:sz w:val="24"/>
        <w:szCs w:val="24"/>
      </w:rPr>
    </w:pPr>
  </w:p>
  <w:p w:rsidR="00B46747" w:rsidRPr="00E06B62" w:rsidRDefault="00B46747" w:rsidP="00B46747">
    <w:pPr>
      <w:pStyle w:val="En-tte"/>
      <w:jc w:val="center"/>
      <w:rPr>
        <w:rFonts w:ascii="Arial" w:hAnsi="Arial"/>
        <w:b/>
        <w:smallCaps/>
        <w:sz w:val="24"/>
        <w:szCs w:val="24"/>
      </w:rPr>
    </w:pPr>
    <w:r w:rsidRPr="00E06B62">
      <w:rPr>
        <w:rFonts w:ascii="Arial" w:hAnsi="Arial"/>
        <w:b/>
        <w:smallCaps/>
        <w:sz w:val="24"/>
        <w:szCs w:val="24"/>
      </w:rPr>
      <w:t>Ambassade de France aux Philippines</w:t>
    </w:r>
  </w:p>
  <w:p w:rsidR="00D34486" w:rsidRPr="00C64EF2" w:rsidRDefault="00B46747" w:rsidP="00B46747">
    <w:pPr>
      <w:pStyle w:val="En-tte"/>
      <w:jc w:val="center"/>
      <w:rPr>
        <w:rFonts w:ascii="Arial" w:hAnsi="Arial"/>
        <w:b/>
        <w:smallCaps/>
        <w:sz w:val="24"/>
        <w:szCs w:val="24"/>
      </w:rPr>
    </w:pPr>
    <w:r w:rsidRPr="00E06B62">
      <w:rPr>
        <w:rFonts w:ascii="Arial" w:hAnsi="Arial"/>
        <w:b/>
        <w:smallCaps/>
        <w:sz w:val="24"/>
        <w:szCs w:val="24"/>
      </w:rPr>
      <w:t>Service Economique</w:t>
    </w:r>
    <w:bookmarkStart w:id="1" w:name="Entête"/>
    <w:bookmarkEnd w:id="1"/>
  </w:p>
  <w:p w:rsidR="00D34486" w:rsidRDefault="00D34486">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DB3255"/>
    <w:multiLevelType w:val="hybridMultilevel"/>
    <w:tmpl w:val="165645D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EA41F54"/>
    <w:multiLevelType w:val="hybridMultilevel"/>
    <w:tmpl w:val="EEAAA3FA"/>
    <w:lvl w:ilvl="0" w:tplc="73F60652">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DAA"/>
    <w:rsid w:val="00015299"/>
    <w:rsid w:val="00016372"/>
    <w:rsid w:val="000318EA"/>
    <w:rsid w:val="00095B9A"/>
    <w:rsid w:val="00097177"/>
    <w:rsid w:val="000D7531"/>
    <w:rsid w:val="00154DAA"/>
    <w:rsid w:val="00187DA5"/>
    <w:rsid w:val="001C0D64"/>
    <w:rsid w:val="00282FB0"/>
    <w:rsid w:val="002B051C"/>
    <w:rsid w:val="002D099D"/>
    <w:rsid w:val="002E541B"/>
    <w:rsid w:val="00361AC1"/>
    <w:rsid w:val="00384ECE"/>
    <w:rsid w:val="003A6330"/>
    <w:rsid w:val="00421350"/>
    <w:rsid w:val="00437919"/>
    <w:rsid w:val="00443B95"/>
    <w:rsid w:val="00464C57"/>
    <w:rsid w:val="005C5FB8"/>
    <w:rsid w:val="0061150A"/>
    <w:rsid w:val="00615321"/>
    <w:rsid w:val="00623033"/>
    <w:rsid w:val="00673385"/>
    <w:rsid w:val="00692723"/>
    <w:rsid w:val="006A38EB"/>
    <w:rsid w:val="006A4ADB"/>
    <w:rsid w:val="006B2326"/>
    <w:rsid w:val="006B56DD"/>
    <w:rsid w:val="00712AAE"/>
    <w:rsid w:val="00747C1E"/>
    <w:rsid w:val="00747C91"/>
    <w:rsid w:val="0075096B"/>
    <w:rsid w:val="00793A34"/>
    <w:rsid w:val="007B4BA9"/>
    <w:rsid w:val="007D47F8"/>
    <w:rsid w:val="007F210E"/>
    <w:rsid w:val="007F6043"/>
    <w:rsid w:val="0081604B"/>
    <w:rsid w:val="00821943"/>
    <w:rsid w:val="00824FEC"/>
    <w:rsid w:val="008D658F"/>
    <w:rsid w:val="008D672E"/>
    <w:rsid w:val="009037BB"/>
    <w:rsid w:val="00910DC7"/>
    <w:rsid w:val="009172AD"/>
    <w:rsid w:val="00937C5E"/>
    <w:rsid w:val="009A7512"/>
    <w:rsid w:val="009D2CE7"/>
    <w:rsid w:val="009E0F65"/>
    <w:rsid w:val="00A22992"/>
    <w:rsid w:val="00A249BE"/>
    <w:rsid w:val="00A80662"/>
    <w:rsid w:val="00A9217C"/>
    <w:rsid w:val="00AB1DF3"/>
    <w:rsid w:val="00AD5C56"/>
    <w:rsid w:val="00B24F0E"/>
    <w:rsid w:val="00B46747"/>
    <w:rsid w:val="00B77735"/>
    <w:rsid w:val="00B97277"/>
    <w:rsid w:val="00BB3304"/>
    <w:rsid w:val="00C111A9"/>
    <w:rsid w:val="00C64842"/>
    <w:rsid w:val="00C64EF2"/>
    <w:rsid w:val="00CF4274"/>
    <w:rsid w:val="00D23CF4"/>
    <w:rsid w:val="00D266BA"/>
    <w:rsid w:val="00D34486"/>
    <w:rsid w:val="00D757A2"/>
    <w:rsid w:val="00DA5766"/>
    <w:rsid w:val="00DC7954"/>
    <w:rsid w:val="00E265DE"/>
    <w:rsid w:val="00E417C0"/>
    <w:rsid w:val="00E91E00"/>
    <w:rsid w:val="00EC784E"/>
    <w:rsid w:val="00F22F55"/>
    <w:rsid w:val="00F6382E"/>
    <w:rsid w:val="00F674FC"/>
    <w:rsid w:val="00F810C5"/>
    <w:rsid w:val="00F83CEF"/>
    <w:rsid w:val="00F9703C"/>
    <w:rsid w:val="00FA1A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chartTrackingRefBased/>
  <w15:docId w15:val="{31588448-7898-45A4-BE75-01BAA9DF6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DAA"/>
    <w:pPr>
      <w:overflowPunct w:val="0"/>
      <w:autoSpaceDE w:val="0"/>
      <w:autoSpaceDN w:val="0"/>
      <w:adjustRightInd w:val="0"/>
    </w:pPr>
    <w:rPr>
      <w:rFonts w:ascii="Univers" w:hAnsi="Univers"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pPr>
      <w:tabs>
        <w:tab w:val="center" w:pos="4536"/>
        <w:tab w:val="right" w:pos="9072"/>
      </w:tabs>
    </w:pPr>
  </w:style>
  <w:style w:type="paragraph" w:styleId="Pieddepage">
    <w:name w:val="footer"/>
    <w:basedOn w:val="Normal"/>
    <w:pPr>
      <w:tabs>
        <w:tab w:val="center" w:pos="4536"/>
        <w:tab w:val="right" w:pos="9072"/>
      </w:tabs>
    </w:pPr>
    <w:rPr>
      <w:b/>
      <w:sz w:val="16"/>
    </w:rPr>
  </w:style>
  <w:style w:type="paragraph" w:styleId="Explorateurdedocuments">
    <w:name w:val="Document Map"/>
    <w:basedOn w:val="Normal"/>
    <w:semiHidden/>
    <w:pPr>
      <w:shd w:val="clear" w:color="auto" w:fill="000080"/>
    </w:pPr>
    <w:rPr>
      <w:rFonts w:ascii="Tahoma" w:hAnsi="Tahoma" w:cs="Tahoma"/>
    </w:rPr>
  </w:style>
  <w:style w:type="character" w:customStyle="1" w:styleId="En-tteCar">
    <w:name w:val="En-tête Car"/>
    <w:link w:val="En-tte"/>
    <w:uiPriority w:val="99"/>
    <w:rsid w:val="00B46747"/>
    <w:rPr>
      <w:rFonts w:cs="Arial"/>
      <w:sz w:val="23"/>
    </w:rPr>
  </w:style>
  <w:style w:type="paragraph" w:styleId="Textedebulles">
    <w:name w:val="Balloon Text"/>
    <w:basedOn w:val="Normal"/>
    <w:semiHidden/>
    <w:rPr>
      <w:rFonts w:ascii="Tahoma" w:hAnsi="Tahoma" w:cs="Tahoma"/>
      <w:sz w:val="16"/>
      <w:szCs w:val="16"/>
    </w:rPr>
  </w:style>
  <w:style w:type="paragraph" w:styleId="Paragraphedeliste">
    <w:name w:val="List Paragraph"/>
    <w:basedOn w:val="Normal"/>
    <w:uiPriority w:val="34"/>
    <w:qFormat/>
    <w:rsid w:val="00154DAA"/>
    <w:pPr>
      <w:ind w:left="720"/>
      <w:contextualSpacing/>
    </w:pPr>
  </w:style>
  <w:style w:type="paragraph" w:customStyle="1" w:styleId="Default">
    <w:name w:val="Default"/>
    <w:rsid w:val="00F674FC"/>
    <w:pPr>
      <w:autoSpaceDE w:val="0"/>
      <w:autoSpaceDN w:val="0"/>
      <w:adjustRightInd w:val="0"/>
    </w:pPr>
    <w:rPr>
      <w:color w:val="000000"/>
      <w:sz w:val="24"/>
      <w:szCs w:val="24"/>
    </w:rPr>
  </w:style>
  <w:style w:type="table" w:styleId="Grilledutableau">
    <w:name w:val="Table Grid"/>
    <w:basedOn w:val="TableauNormal"/>
    <w:rsid w:val="00A24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Mod&#232;les\En-t&#234;te_FR.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En-tête_FR.dot</Template>
  <TotalTime>6</TotalTime>
  <Pages>3</Pages>
  <Words>1370</Words>
  <Characters>7357</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Modèle d'en-tête - Français</vt:lpstr>
    </vt:vector>
  </TitlesOfParts>
  <Manager> </Manager>
  <Company/>
  <LinksUpToDate>false</LinksUpToDate>
  <CharactersWithSpaces>8710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d'en-tête - Français</dc:title>
  <dc:subject>Modèles de Missions Economiques</dc:subject>
  <dc:creator>GRIFFITHS Emilie</dc:creator>
  <cp:keywords/>
  <dc:description/>
  <cp:lastModifiedBy>ESTRADE Laurent</cp:lastModifiedBy>
  <cp:revision>3</cp:revision>
  <cp:lastPrinted>2002-11-17T07:47:00Z</cp:lastPrinted>
  <dcterms:created xsi:type="dcterms:W3CDTF">2018-04-25T08:06:00Z</dcterms:created>
  <dcterms:modified xsi:type="dcterms:W3CDTF">2018-04-25T08:11:00Z</dcterms:modified>
  <cp:category>Modèles de bureautique - Octobre 2006</cp:category>
</cp:coreProperties>
</file>