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7FB4" w14:textId="526CE7A9" w:rsidR="00301021" w:rsidRPr="00006E50" w:rsidRDefault="007939AE" w:rsidP="00F4255E">
      <w:pPr>
        <w:spacing w:before="80" w:after="80"/>
        <w:ind w:right="1"/>
        <w:jc w:val="center"/>
        <w:rPr>
          <w:sz w:val="20"/>
          <w:szCs w:val="20"/>
        </w:rPr>
      </w:pPr>
      <w:r w:rsidRPr="00490B3C">
        <w:rPr>
          <w:rFonts w:ascii="Segoe UI" w:hAnsi="Segoe UI" w:cs="Segoe UI"/>
          <w:noProof/>
          <w:color w:val="000091" w:themeColor="text1"/>
        </w:rPr>
        <w:drawing>
          <wp:anchor distT="0" distB="0" distL="114300" distR="114300" simplePos="0" relativeHeight="251658240" behindDoc="1" locked="0" layoutInCell="1" allowOverlap="1" wp14:anchorId="56177B8F" wp14:editId="1E742B70">
            <wp:simplePos x="0" y="0"/>
            <wp:positionH relativeFrom="column">
              <wp:posOffset>-509270</wp:posOffset>
            </wp:positionH>
            <wp:positionV relativeFrom="page">
              <wp:posOffset>278765</wp:posOffset>
            </wp:positionV>
            <wp:extent cx="2638425" cy="1003935"/>
            <wp:effectExtent l="0" t="0" r="9525" b="5715"/>
            <wp:wrapTopAndBottom/>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8425" cy="1003935"/>
                    </a:xfrm>
                    <a:prstGeom prst="rect">
                      <a:avLst/>
                    </a:prstGeom>
                  </pic:spPr>
                </pic:pic>
              </a:graphicData>
            </a:graphic>
            <wp14:sizeRelH relativeFrom="margin">
              <wp14:pctWidth>0</wp14:pctWidth>
            </wp14:sizeRelH>
            <wp14:sizeRelV relativeFrom="margin">
              <wp14:pctHeight>0</wp14:pctHeight>
            </wp14:sizeRelV>
          </wp:anchor>
        </w:drawing>
      </w:r>
      <w:r w:rsidR="00FD7798">
        <w:rPr>
          <w:rFonts w:ascii="Segoe UI" w:hAnsi="Segoe UI" w:cs="Segoe UI"/>
          <w:noProof/>
          <w:color w:val="000091" w:themeColor="text1"/>
        </w:rPr>
        <mc:AlternateContent>
          <mc:Choice Requires="wps">
            <w:drawing>
              <wp:anchor distT="0" distB="0" distL="114300" distR="114300" simplePos="0" relativeHeight="251656190" behindDoc="0" locked="0" layoutInCell="1" allowOverlap="1" wp14:anchorId="16D250F6" wp14:editId="7176FFA3">
                <wp:simplePos x="0" y="0"/>
                <wp:positionH relativeFrom="column">
                  <wp:posOffset>-528320</wp:posOffset>
                </wp:positionH>
                <wp:positionV relativeFrom="paragraph">
                  <wp:posOffset>1405255</wp:posOffset>
                </wp:positionV>
                <wp:extent cx="6800850" cy="361950"/>
                <wp:effectExtent l="0" t="0" r="0" b="0"/>
                <wp:wrapNone/>
                <wp:docPr id="4" name="Rectangle 4"/>
                <wp:cNvGraphicFramePr/>
                <a:graphic xmlns:a="http://schemas.openxmlformats.org/drawingml/2006/main">
                  <a:graphicData uri="http://schemas.microsoft.com/office/word/2010/wordprocessingShape">
                    <wps:wsp>
                      <wps:cNvSpPr/>
                      <wps:spPr>
                        <a:xfrm>
                          <a:off x="0" y="0"/>
                          <a:ext cx="6800850" cy="361950"/>
                        </a:xfrm>
                        <a:prstGeom prst="rect">
                          <a:avLst/>
                        </a:prstGeom>
                        <a:solidFill>
                          <a:srgbClr val="FCC6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3FE0E" w14:textId="75D63C6E" w:rsidR="00532CE3" w:rsidRDefault="006E40EC" w:rsidP="00532CE3">
                            <w:pPr>
                              <w:jc w:val="center"/>
                            </w:pPr>
                            <w:r>
                              <w:rPr>
                                <w:rFonts w:ascii="Segoe UI" w:hAnsi="Segoe UI" w:cs="Segoe UI"/>
                                <w:b/>
                                <w:bCs/>
                                <w:color w:val="000091" w:themeColor="text1"/>
                                <w:sz w:val="32"/>
                                <w:szCs w:val="20"/>
                              </w:rPr>
                              <w:t>SRI LANKA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250F6" id="Rectangle 4" o:spid="_x0000_s1026" style="position:absolute;left:0;text-align:left;margin-left:-41.6pt;margin-top:110.65pt;width:535.5pt;height:28.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" fillcolor="#fcc63a" stroked="f" strokeweight="1pt">
                <v:textbox>
                  <w:txbxContent>
                    <w:p w14:paraId="2ED3FE0E" w14:textId="75D63C6E" w:rsidR="00532CE3" w:rsidRDefault="006E40EC" w:rsidP="00532CE3">
                      <w:pPr>
                        <w:jc w:val="center"/>
                      </w:pPr>
                      <w:r>
                        <w:rPr>
                          <w:rFonts w:ascii="Segoe UI" w:hAnsi="Segoe UI" w:cs="Segoe UI"/>
                          <w:b/>
                          <w:bCs/>
                          <w:color w:val="000091" w:themeColor="text1"/>
                          <w:sz w:val="32"/>
                          <w:szCs w:val="20"/>
                        </w:rPr>
                        <w:t>SRI LANKA</w:t>
                      </w:r>
                    </w:p>
                  </w:txbxContent>
                </v:textbox>
              </v:rect>
            </w:pict>
          </mc:Fallback>
        </mc:AlternateContent>
      </w:r>
      <w:r w:rsidR="00FD7798" w:rsidRPr="00490B3C">
        <w:rPr>
          <w:rFonts w:ascii="Segoe UI" w:hAnsi="Segoe UI" w:cs="Segoe UI"/>
          <w:noProof/>
          <w:color w:val="000091" w:themeColor="text1"/>
        </w:rPr>
        <mc:AlternateContent>
          <mc:Choice Requires="wps">
            <w:drawing>
              <wp:anchor distT="0" distB="0" distL="114300" distR="114300" simplePos="0" relativeHeight="251659264" behindDoc="0" locked="0" layoutInCell="1" allowOverlap="1" wp14:anchorId="585DE714" wp14:editId="4BE5B3E9">
                <wp:simplePos x="0" y="0"/>
                <wp:positionH relativeFrom="margin">
                  <wp:posOffset>3691255</wp:posOffset>
                </wp:positionH>
                <wp:positionV relativeFrom="paragraph">
                  <wp:posOffset>986774</wp:posOffset>
                </wp:positionV>
                <wp:extent cx="2508250" cy="40005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508250" cy="400050"/>
                        </a:xfrm>
                        <a:prstGeom prst="rect">
                          <a:avLst/>
                        </a:prstGeom>
                        <a:noFill/>
                        <a:ln w="6350">
                          <a:noFill/>
                        </a:ln>
                      </wps:spPr>
                      <wps:txbx>
                        <w:txbxContent>
                          <w:p w14:paraId="1931003E" w14:textId="02E7E875"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w:t>
                            </w:r>
                            <w:r w:rsidR="00892CFF">
                              <w:rPr>
                                <w:rFonts w:ascii="Segoe UI" w:hAnsi="Segoe UI" w:cs="Segoe UI"/>
                                <w:color w:val="000091" w:themeColor="text1"/>
                                <w:sz w:val="17"/>
                                <w:szCs w:val="17"/>
                                <w:lang w:eastAsia="ja-JP"/>
                              </w:rPr>
                              <w:t xml:space="preserve"> </w:t>
                            </w:r>
                            <w:r w:rsidR="006E40EC">
                              <w:rPr>
                                <w:rFonts w:ascii="Segoe UI" w:hAnsi="Segoe UI" w:cs="Segoe UI"/>
                                <w:color w:val="000091" w:themeColor="text1"/>
                                <w:sz w:val="17"/>
                                <w:szCs w:val="17"/>
                                <w:lang w:eastAsia="ja-JP"/>
                              </w:rPr>
                              <w:t>Philippe FOUET</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DE714" id="_x0000_t202" coordsize="21600,21600" o:spt="202" path="m,l,21600r21600,l21600,xe">
                <v:stroke joinstyle="miter"/>
                <v:path gradientshapeok="t" o:connecttype="rect"/>
              </v:shapetype>
              <v:shape id="Zone de texte 3" o:spid="_x0000_s1027" type="#_x0000_t202" style="position:absolute;left:0;text-align:left;margin-left:290.65pt;margin-top:77.7pt;width:197.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" filled="f" stroked="f" strokeweight=".5pt">
                <v:textbox>
                  <w:txbxContent>
                    <w:p w14:paraId="1931003E" w14:textId="02E7E875"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w:t>
                      </w:r>
                      <w:r w:rsidR="00892CFF">
                        <w:rPr>
                          <w:rFonts w:ascii="Segoe UI" w:hAnsi="Segoe UI" w:cs="Segoe UI"/>
                          <w:color w:val="000091" w:themeColor="text1"/>
                          <w:sz w:val="17"/>
                          <w:szCs w:val="17"/>
                          <w:lang w:eastAsia="ja-JP"/>
                        </w:rPr>
                        <w:t xml:space="preserve"> </w:t>
                      </w:r>
                      <w:r w:rsidR="006E40EC">
                        <w:rPr>
                          <w:rFonts w:ascii="Segoe UI" w:hAnsi="Segoe UI" w:cs="Segoe UI"/>
                          <w:color w:val="000091" w:themeColor="text1"/>
                          <w:sz w:val="17"/>
                          <w:szCs w:val="17"/>
                          <w:lang w:eastAsia="ja-JP"/>
                        </w:rPr>
                        <w:t>Philippe FOUET</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v:textbox>
                <w10:wrap anchorx="margin"/>
              </v:shape>
            </w:pict>
          </mc:Fallback>
        </mc:AlternateContent>
      </w:r>
      <w:r w:rsidR="00FD7798" w:rsidRPr="00490B3C">
        <w:rPr>
          <w:rFonts w:ascii="Segoe UI" w:hAnsi="Segoe UI" w:cs="Segoe UI"/>
          <w:noProof/>
          <w:color w:val="000091" w:themeColor="text1"/>
        </w:rPr>
        <mc:AlternateContent>
          <mc:Choice Requires="wps">
            <w:drawing>
              <wp:anchor distT="45720" distB="45720" distL="114300" distR="114300" simplePos="0" relativeHeight="251661312" behindDoc="0" locked="0" layoutInCell="1" allowOverlap="1" wp14:anchorId="5987A5E4" wp14:editId="7E3795FC">
                <wp:simplePos x="0" y="0"/>
                <wp:positionH relativeFrom="margin">
                  <wp:posOffset>3844290</wp:posOffset>
                </wp:positionH>
                <wp:positionV relativeFrom="paragraph">
                  <wp:posOffset>605155</wp:posOffset>
                </wp:positionV>
                <wp:extent cx="2524125" cy="3524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52425"/>
                        </a:xfrm>
                        <a:prstGeom prst="rect">
                          <a:avLst/>
                        </a:prstGeom>
                        <a:noFill/>
                        <a:ln w="9525">
                          <a:noFill/>
                          <a:miter lim="800000"/>
                          <a:headEnd/>
                          <a:tailEnd/>
                        </a:ln>
                      </wps:spPr>
                      <wps:txbx>
                        <w:txbxContent>
                          <w:p w14:paraId="44111769" w14:textId="668C7A87" w:rsidR="00490B3C" w:rsidRPr="00532CE3" w:rsidRDefault="006E40EC"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Colombo</w:t>
                            </w:r>
                            <w:r w:rsidR="00490B3C" w:rsidRPr="00532CE3">
                              <w:rPr>
                                <w:rFonts w:ascii="Segoe UI" w:hAnsi="Segoe UI" w:cs="Segoe UI"/>
                                <w:color w:val="986E02" w:themeColor="accent2" w:themeShade="80"/>
                                <w:sz w:val="17"/>
                                <w:szCs w:val="17"/>
                                <w:lang w:eastAsia="ja-JP"/>
                              </w:rPr>
                              <w:t xml:space="preserve">, </w:t>
                            </w:r>
                            <w:r w:rsidR="00DD38B0">
                              <w:rPr>
                                <w:rFonts w:ascii="Segoe UI" w:hAnsi="Segoe UI" w:cs="Segoe UI"/>
                                <w:color w:val="986E02" w:themeColor="accent2" w:themeShade="80"/>
                                <w:sz w:val="17"/>
                                <w:szCs w:val="17"/>
                                <w:lang w:eastAsia="ja-JP"/>
                              </w:rPr>
                              <w:t>10</w:t>
                            </w:r>
                            <w:r>
                              <w:rPr>
                                <w:rFonts w:ascii="Segoe UI" w:hAnsi="Segoe UI" w:cs="Segoe UI"/>
                                <w:color w:val="986E02" w:themeColor="accent2" w:themeShade="80"/>
                                <w:sz w:val="17"/>
                                <w:szCs w:val="17"/>
                                <w:lang w:eastAsia="ja-JP"/>
                              </w:rPr>
                              <w:t>/</w:t>
                            </w:r>
                            <w:r w:rsidR="00D84F48">
                              <w:rPr>
                                <w:rFonts w:ascii="Segoe UI" w:hAnsi="Segoe UI" w:cs="Segoe UI"/>
                                <w:color w:val="986E02" w:themeColor="accent2" w:themeShade="80"/>
                                <w:sz w:val="17"/>
                                <w:szCs w:val="17"/>
                                <w:lang w:eastAsia="ja-JP"/>
                              </w:rPr>
                              <w:t>0</w:t>
                            </w:r>
                            <w:r w:rsidR="00892CFF">
                              <w:rPr>
                                <w:rFonts w:ascii="Segoe UI" w:hAnsi="Segoe UI" w:cs="Segoe UI"/>
                                <w:color w:val="986E02" w:themeColor="accent2" w:themeShade="80"/>
                                <w:sz w:val="17"/>
                                <w:szCs w:val="17"/>
                                <w:lang w:eastAsia="ja-JP"/>
                              </w:rPr>
                              <w:t>4</w:t>
                            </w:r>
                            <w:r>
                              <w:rPr>
                                <w:rFonts w:ascii="Segoe UI" w:hAnsi="Segoe UI" w:cs="Segoe UI"/>
                                <w:color w:val="986E02" w:themeColor="accent2" w:themeShade="80"/>
                                <w:sz w:val="17"/>
                                <w:szCs w:val="17"/>
                                <w:lang w:eastAsia="ja-JP"/>
                              </w:rPr>
                              <w:t>/202</w:t>
                            </w:r>
                            <w:r w:rsidR="00D84F48">
                              <w:rPr>
                                <w:rFonts w:ascii="Segoe UI" w:hAnsi="Segoe UI" w:cs="Segoe UI"/>
                                <w:color w:val="986E02" w:themeColor="accent2" w:themeShade="80"/>
                                <w:sz w:val="17"/>
                                <w:szCs w:val="17"/>
                                <w:lang w:eastAsia="ja-JP"/>
                              </w:rPr>
                              <w:t>5</w:t>
                            </w:r>
                          </w:p>
                          <w:p w14:paraId="36A3B918" w14:textId="266F4991" w:rsidR="00490B3C" w:rsidRPr="00490B3C" w:rsidRDefault="00490B3C">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7A5E4" id="Zone de texte 2" o:spid="_x0000_s1028" type="#_x0000_t202" style="position:absolute;left:0;text-align:left;margin-left:302.7pt;margin-top:47.65pt;width:198.7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" filled="f" stroked="f">
                <v:textbox>
                  <w:txbxContent>
                    <w:p w14:paraId="44111769" w14:textId="668C7A87" w:rsidR="00490B3C" w:rsidRPr="00532CE3" w:rsidRDefault="006E40EC"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Colombo</w:t>
                      </w:r>
                      <w:r w:rsidR="00490B3C" w:rsidRPr="00532CE3">
                        <w:rPr>
                          <w:rFonts w:ascii="Segoe UI" w:hAnsi="Segoe UI" w:cs="Segoe UI"/>
                          <w:color w:val="986E02" w:themeColor="accent2" w:themeShade="80"/>
                          <w:sz w:val="17"/>
                          <w:szCs w:val="17"/>
                          <w:lang w:eastAsia="ja-JP"/>
                        </w:rPr>
                        <w:t xml:space="preserve">, </w:t>
                      </w:r>
                      <w:r w:rsidR="00DD38B0">
                        <w:rPr>
                          <w:rFonts w:ascii="Segoe UI" w:hAnsi="Segoe UI" w:cs="Segoe UI"/>
                          <w:color w:val="986E02" w:themeColor="accent2" w:themeShade="80"/>
                          <w:sz w:val="17"/>
                          <w:szCs w:val="17"/>
                          <w:lang w:eastAsia="ja-JP"/>
                        </w:rPr>
                        <w:t>10</w:t>
                      </w:r>
                      <w:r>
                        <w:rPr>
                          <w:rFonts w:ascii="Segoe UI" w:hAnsi="Segoe UI" w:cs="Segoe UI"/>
                          <w:color w:val="986E02" w:themeColor="accent2" w:themeShade="80"/>
                          <w:sz w:val="17"/>
                          <w:szCs w:val="17"/>
                          <w:lang w:eastAsia="ja-JP"/>
                        </w:rPr>
                        <w:t>/</w:t>
                      </w:r>
                      <w:r w:rsidR="00D84F48">
                        <w:rPr>
                          <w:rFonts w:ascii="Segoe UI" w:hAnsi="Segoe UI" w:cs="Segoe UI"/>
                          <w:color w:val="986E02" w:themeColor="accent2" w:themeShade="80"/>
                          <w:sz w:val="17"/>
                          <w:szCs w:val="17"/>
                          <w:lang w:eastAsia="ja-JP"/>
                        </w:rPr>
                        <w:t>0</w:t>
                      </w:r>
                      <w:r w:rsidR="00892CFF">
                        <w:rPr>
                          <w:rFonts w:ascii="Segoe UI" w:hAnsi="Segoe UI" w:cs="Segoe UI"/>
                          <w:color w:val="986E02" w:themeColor="accent2" w:themeShade="80"/>
                          <w:sz w:val="17"/>
                          <w:szCs w:val="17"/>
                          <w:lang w:eastAsia="ja-JP"/>
                        </w:rPr>
                        <w:t>4</w:t>
                      </w:r>
                      <w:r>
                        <w:rPr>
                          <w:rFonts w:ascii="Segoe UI" w:hAnsi="Segoe UI" w:cs="Segoe UI"/>
                          <w:color w:val="986E02" w:themeColor="accent2" w:themeShade="80"/>
                          <w:sz w:val="17"/>
                          <w:szCs w:val="17"/>
                          <w:lang w:eastAsia="ja-JP"/>
                        </w:rPr>
                        <w:t>/202</w:t>
                      </w:r>
                      <w:r w:rsidR="00D84F48">
                        <w:rPr>
                          <w:rFonts w:ascii="Segoe UI" w:hAnsi="Segoe UI" w:cs="Segoe UI"/>
                          <w:color w:val="986E02" w:themeColor="accent2" w:themeShade="80"/>
                          <w:sz w:val="17"/>
                          <w:szCs w:val="17"/>
                          <w:lang w:eastAsia="ja-JP"/>
                        </w:rPr>
                        <w:t>5</w:t>
                      </w:r>
                    </w:p>
                    <w:p w14:paraId="36A3B918" w14:textId="266F4991" w:rsidR="00490B3C" w:rsidRPr="00490B3C" w:rsidRDefault="00490B3C">
                      <w:pPr>
                        <w:rPr>
                          <w:sz w:val="28"/>
                          <w:szCs w:val="28"/>
                        </w:rPr>
                      </w:pPr>
                    </w:p>
                  </w:txbxContent>
                </v:textbox>
                <w10:wrap type="square" anchorx="margin"/>
              </v:shape>
            </w:pict>
          </mc:Fallback>
        </mc:AlternateContent>
      </w:r>
      <w:r w:rsidR="00FD7798" w:rsidRPr="00490B3C">
        <w:rPr>
          <w:rFonts w:ascii="Segoe UI" w:hAnsi="Segoe UI" w:cs="Segoe UI"/>
          <w:noProof/>
          <w:color w:val="000091" w:themeColor="text1"/>
        </w:rPr>
        <mc:AlternateContent>
          <mc:Choice Requires="wps">
            <w:drawing>
              <wp:anchor distT="0" distB="0" distL="114300" distR="114300" simplePos="0" relativeHeight="251657215" behindDoc="0" locked="0" layoutInCell="1" allowOverlap="1" wp14:anchorId="71112931" wp14:editId="169F4823">
                <wp:simplePos x="0" y="0"/>
                <wp:positionH relativeFrom="column">
                  <wp:posOffset>-528320</wp:posOffset>
                </wp:positionH>
                <wp:positionV relativeFrom="paragraph">
                  <wp:posOffset>935355</wp:posOffset>
                </wp:positionV>
                <wp:extent cx="6800850" cy="476250"/>
                <wp:effectExtent l="0" t="0" r="0" b="0"/>
                <wp:wrapTopAndBottom/>
                <wp:docPr id="2" name="Rectangle 2"/>
                <wp:cNvGraphicFramePr/>
                <a:graphic xmlns:a="http://schemas.openxmlformats.org/drawingml/2006/main">
                  <a:graphicData uri="http://schemas.microsoft.com/office/word/2010/wordprocessingShape">
                    <wps:wsp>
                      <wps:cNvSpPr/>
                      <wps:spPr>
                        <a:xfrm>
                          <a:off x="0" y="0"/>
                          <a:ext cx="6800850" cy="47625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65B737" w14:textId="68293C45"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France </w:t>
                            </w:r>
                            <w:r w:rsidR="006E40EC">
                              <w:rPr>
                                <w:rFonts w:ascii="Segoe UI" w:hAnsi="Segoe UI" w:cs="Segoe UI"/>
                                <w:bCs/>
                                <w:color w:val="000091" w:themeColor="text1"/>
                                <w:sz w:val="18"/>
                                <w:szCs w:val="18"/>
                                <w:lang w:eastAsia="ja-JP"/>
                              </w:rPr>
                              <w:t>au Sri Lanka et aux Maldives</w:t>
                            </w:r>
                          </w:p>
                          <w:p w14:paraId="3D62CBBB" w14:textId="0681E90B"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Service économique</w:t>
                            </w:r>
                            <w:r w:rsidR="006E40EC">
                              <w:rPr>
                                <w:rFonts w:ascii="Segoe UI" w:hAnsi="Segoe UI" w:cs="Segoe UI"/>
                                <w:bCs/>
                                <w:color w:val="000091" w:themeColor="text1"/>
                                <w:sz w:val="18"/>
                                <w:szCs w:val="18"/>
                                <w:lang w:eastAsia="ja-JP"/>
                              </w:rPr>
                              <w:t xml:space="preserve"> de Colombo</w:t>
                            </w:r>
                            <w:r w:rsidR="008A3AD5" w:rsidRPr="00A0743B">
                              <w:rPr>
                                <w:rFonts w:ascii="Arial" w:hAnsi="Arial" w:cs="Arial"/>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112931" id="Rectangle 2" o:spid="_x0000_s1029" style="position:absolute;left:0;text-align:left;margin-left:-41.6pt;margin-top:73.65pt;width:535.5pt;height:37.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" fillcolor="#fde8b0 [1301]" stroked="f" strokeweight="1pt">
                <v:textbox>
                  <w:txbxContent>
                    <w:p w14:paraId="7465B737" w14:textId="68293C45"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France </w:t>
                      </w:r>
                      <w:r w:rsidR="006E40EC">
                        <w:rPr>
                          <w:rFonts w:ascii="Segoe UI" w:hAnsi="Segoe UI" w:cs="Segoe UI"/>
                          <w:bCs/>
                          <w:color w:val="000091" w:themeColor="text1"/>
                          <w:sz w:val="18"/>
                          <w:szCs w:val="18"/>
                          <w:lang w:eastAsia="ja-JP"/>
                        </w:rPr>
                        <w:t>au Sri Lanka et aux Maldives</w:t>
                      </w:r>
                    </w:p>
                    <w:p w14:paraId="3D62CBBB" w14:textId="0681E90B"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Service économique</w:t>
                      </w:r>
                      <w:r w:rsidR="006E40EC">
                        <w:rPr>
                          <w:rFonts w:ascii="Segoe UI" w:hAnsi="Segoe UI" w:cs="Segoe UI"/>
                          <w:bCs/>
                          <w:color w:val="000091" w:themeColor="text1"/>
                          <w:sz w:val="18"/>
                          <w:szCs w:val="18"/>
                          <w:lang w:eastAsia="ja-JP"/>
                        </w:rPr>
                        <w:t xml:space="preserve"> de Colombo</w:t>
                      </w:r>
                      <w:r w:rsidR="008A3AD5" w:rsidRPr="00A0743B">
                        <w:rPr>
                          <w:rFonts w:ascii="Arial" w:hAnsi="Arial" w:cs="Arial"/>
                          <w:b/>
                          <w:bCs/>
                          <w:sz w:val="20"/>
                          <w:szCs w:val="20"/>
                        </w:rPr>
                        <w:t xml:space="preserve"> </w:t>
                      </w:r>
                    </w:p>
                  </w:txbxContent>
                </v:textbox>
                <w10:wrap type="topAndBottom"/>
              </v:rect>
            </w:pict>
          </mc:Fallback>
        </mc:AlternateContent>
      </w:r>
      <w:r w:rsidR="00532CE3" w:rsidRPr="00490B3C">
        <w:rPr>
          <w:rFonts w:ascii="Segoe UI" w:hAnsi="Segoe UI" w:cs="Segoe UI"/>
          <w:color w:val="000091" w:themeColor="text1"/>
          <w:sz w:val="44"/>
          <w:szCs w:val="28"/>
        </w:rPr>
        <w:t xml:space="preserve"> </w:t>
      </w:r>
      <w:r w:rsidR="00490B3C" w:rsidRPr="00490B3C">
        <w:rPr>
          <w:rFonts w:ascii="Segoe UI" w:hAnsi="Segoe UI" w:cs="Segoe UI"/>
          <w:color w:val="000091" w:themeColor="text1"/>
          <w:sz w:val="44"/>
          <w:szCs w:val="28"/>
        </w:rPr>
        <w:br/>
      </w:r>
      <w:r w:rsidR="008523C9" w:rsidRPr="008523C9">
        <w:rPr>
          <w:rFonts w:ascii="Segoe UI" w:hAnsi="Segoe UI" w:cs="Segoe UI"/>
          <w:color w:val="000091" w:themeColor="text1"/>
          <w:sz w:val="32"/>
          <w:szCs w:val="20"/>
          <w:lang w:eastAsia="fr-FR"/>
        </w:rPr>
        <w:t>Le commerce extérieur en 2024</w:t>
      </w:r>
    </w:p>
    <w:p w14:paraId="7788FE4E" w14:textId="69258F4B" w:rsidR="00F4255E" w:rsidRPr="00323A4A" w:rsidRDefault="008523C9" w:rsidP="00F4255E">
      <w:pPr>
        <w:pStyle w:val="Sansinterligne"/>
        <w:ind w:left="-284"/>
        <w:jc w:val="both"/>
        <w:rPr>
          <w:rFonts w:ascii="Segoe UI" w:hAnsi="Segoe UI" w:cs="Segoe UI"/>
          <w:color w:val="000091" w:themeColor="text1"/>
          <w:sz w:val="20"/>
          <w:szCs w:val="20"/>
          <w:lang w:eastAsia="fr-FR"/>
        </w:rPr>
      </w:pPr>
      <w:r w:rsidRPr="008523C9">
        <w:rPr>
          <w:rFonts w:ascii="Segoe UI" w:hAnsi="Segoe UI" w:cs="Segoe UI"/>
          <w:noProof/>
          <w:color w:val="000091" w:themeColor="text1"/>
          <w:sz w:val="20"/>
          <w:szCs w:val="20"/>
          <w:lang w:eastAsia="fr-FR"/>
        </w:rPr>
        <w:t>En 2024, les échanges de biens du Sri Lanka se sont élevés à 31,6 Mds USD, niveau toujours inférieur au record atteint avant la crise financière de 2022 . Le Sri Lanka dégage un déficit structurel, qui a fortement progressé entre 2023 et 2024 pour atteindre 6,1 Mds USD sous l’effet de la levée progressive des restrictions aux importations et du renforcement de la roupie sri lankaise. Les premiers fournisseurs de Sri Lanka sont la Chine et l’Inde et ses premiers clients les Etats Unis et l’UE. En 2025, le déficit commercial pourrait augmenter, notamment en raison de la levée de l’interdiction d’importation de véhicules et des conséquences de la montée des tensions commerciales liées aux décisions de la nouvelle administration américaine. Le taux d’ouverture commerciale de l’économie srilankaise (échanges commerciaux de biens équivalant à 32% du PIB) est relativement faible, mais supérieur au voisin indien, et l’économie du Sri Lanka reste dépendante des importations pour ses approvisionnements essentiels (hydrocarbures, produits agricoles). La forte hausse du tourisme a permis en 2024 une hausse de l’excédent de la balance des services, passé de 3,1 à 3,5 Mds USD, qui devrait se confirmer en 2025</w:t>
      </w:r>
      <w:r w:rsidR="00892CFF" w:rsidRPr="00892CFF">
        <w:rPr>
          <w:rFonts w:ascii="Segoe UI" w:hAnsi="Segoe UI" w:cs="Segoe UI"/>
          <w:noProof/>
          <w:color w:val="000091" w:themeColor="text1"/>
          <w:sz w:val="20"/>
          <w:szCs w:val="20"/>
          <w:lang w:eastAsia="fr-FR"/>
        </w:rPr>
        <w:t>.</w:t>
      </w:r>
    </w:p>
    <w:p w14:paraId="23EF5D10" w14:textId="3F95327F" w:rsidR="006E40EC" w:rsidRDefault="008523C9" w:rsidP="008523C9">
      <w:pPr>
        <w:spacing w:before="120" w:after="0"/>
        <w:ind w:left="-284"/>
        <w:jc w:val="both"/>
        <w:rPr>
          <w:rFonts w:ascii="Segoe UI" w:hAnsi="Segoe UI" w:cs="Segoe UI"/>
          <w:b/>
          <w:color w:val="000091" w:themeColor="text1"/>
          <w:szCs w:val="20"/>
        </w:rPr>
      </w:pPr>
      <w:r w:rsidRPr="008523C9">
        <w:rPr>
          <w:rFonts w:ascii="Segoe UI" w:hAnsi="Segoe UI" w:cs="Segoe UI"/>
          <w:b/>
          <w:color w:val="000091" w:themeColor="text1"/>
          <w:szCs w:val="20"/>
        </w:rPr>
        <w:t>Des importations en reprise avec la levée progressive des restrictions</w:t>
      </w:r>
    </w:p>
    <w:p w14:paraId="325CB700" w14:textId="4B9E055B" w:rsidR="008523C9" w:rsidRPr="008523C9" w:rsidRDefault="008523C9" w:rsidP="008523C9">
      <w:pPr>
        <w:pStyle w:val="Titre02"/>
        <w:rPr>
          <w:rStyle w:val="Lienhypertexte"/>
          <w:b w:val="0"/>
          <w:noProof/>
          <w:color w:val="auto"/>
          <w:sz w:val="20"/>
          <w:u w:val="none"/>
        </w:rPr>
      </w:pPr>
      <w:r w:rsidRPr="008523C9">
        <w:rPr>
          <w:rStyle w:val="Lienhypertexte"/>
          <w:bCs/>
          <w:noProof/>
          <w:color w:val="auto"/>
          <w:sz w:val="20"/>
          <w:u w:val="none"/>
        </w:rPr>
        <w:t>Les importations de marchandises ont progressé de 12,1% en 2024 par rapport à 2023</w:t>
      </w:r>
      <w:r w:rsidRPr="008523C9">
        <w:rPr>
          <w:rStyle w:val="Lienhypertexte"/>
          <w:b w:val="0"/>
          <w:noProof/>
          <w:color w:val="auto"/>
          <w:sz w:val="20"/>
          <w:u w:val="none"/>
        </w:rPr>
        <w:t>, passant de 16,8 à 18,8 Mds USD grâce d’une part à la poursuite du démantèlement des restrictions qui avaient été placées à partir de 2020 pour réduire les tensions sur les réserves de change du pays, de l’autre à la stabilisation économique et à la reprise notamment du secteur manufacturier et enfin à la remontée de la devise locale, qui s’est appréciée de 7,8% par rapport à l’USD en moyenne annuelle entre 2023 et 2024.</w:t>
      </w:r>
    </w:p>
    <w:p w14:paraId="29E538F8" w14:textId="77777777" w:rsidR="008523C9" w:rsidRPr="008523C9" w:rsidRDefault="008523C9" w:rsidP="008523C9">
      <w:pPr>
        <w:pStyle w:val="Titre02"/>
        <w:rPr>
          <w:rStyle w:val="Lienhypertexte"/>
          <w:b w:val="0"/>
          <w:noProof/>
          <w:color w:val="auto"/>
          <w:sz w:val="20"/>
          <w:u w:val="none"/>
        </w:rPr>
      </w:pPr>
      <w:r w:rsidRPr="008523C9">
        <w:rPr>
          <w:rStyle w:val="Lienhypertexte"/>
          <w:bCs/>
          <w:noProof/>
          <w:color w:val="auto"/>
          <w:sz w:val="20"/>
          <w:u w:val="none"/>
        </w:rPr>
        <w:t>Signe de l’amélioration économique, la hausse la plus forte a été enregistrée pour les biens d’équipements</w:t>
      </w:r>
      <w:r w:rsidRPr="008523C9">
        <w:rPr>
          <w:rStyle w:val="Lienhypertexte"/>
          <w:b w:val="0"/>
          <w:noProof/>
          <w:color w:val="auto"/>
          <w:sz w:val="20"/>
          <w:u w:val="none"/>
        </w:rPr>
        <w:t xml:space="preserve"> (+25,6%), notamment les machines-outils (+26,5%) et les matériaux de construction (+19,6%), qui ne représentent toutefois que 18,3% des importations. La seconde concerne les biens de consommation (+13,9%), qui représentent 18,4% des importations, notamment les produits agricoles et agroalimentaires (10,2% des importations, +13,1%), mais également l’équipement électroménager, de transport et de télécommunication. A noter toutefois, une baisse des importations de matériel médical et de produits pharmaceutiques (-13,7%) probablement liée à un effet de déstockage. Enfin, les biens intermédiaires – 63,2% des importations – progressent de 8,2% grâce au textile, produits chimiques, plastique, articles de la métallurgie et de l’industrie du caoutchouc et ce, malgré la forte contraction des importations d’hydrocarbures (-7,4%) liée à la baisse des cours mondiaux ; ces derniers représentent toutefois encore 23,1% des importations.</w:t>
      </w:r>
    </w:p>
    <w:p w14:paraId="5FECFDDE" w14:textId="59C73DE3" w:rsidR="008523C9" w:rsidRDefault="008523C9" w:rsidP="008523C9">
      <w:pPr>
        <w:pStyle w:val="Titre02"/>
        <w:rPr>
          <w:rStyle w:val="Lienhypertexte"/>
          <w:b w:val="0"/>
          <w:noProof/>
          <w:color w:val="auto"/>
          <w:sz w:val="20"/>
          <w:u w:val="none"/>
        </w:rPr>
      </w:pPr>
      <w:r w:rsidRPr="008523C9">
        <w:rPr>
          <w:rStyle w:val="Lienhypertexte"/>
          <w:bCs/>
          <w:noProof/>
          <w:color w:val="auto"/>
          <w:sz w:val="20"/>
          <w:u w:val="none"/>
        </w:rPr>
        <w:t>La Chine est redevenue en 2024 le 1er fournisseur du Sri Lanka devant l’Inde (20,5% de part de marché) avec 23,2% des importations</w:t>
      </w:r>
      <w:r w:rsidRPr="008523C9">
        <w:rPr>
          <w:rStyle w:val="Lienhypertexte"/>
          <w:b w:val="0"/>
          <w:noProof/>
          <w:color w:val="auto"/>
          <w:sz w:val="20"/>
          <w:u w:val="none"/>
        </w:rPr>
        <w:t xml:space="preserve"> et ce, malgré l’absence d’accord de libre-échange avec ce pays contrairement à ce qui est le cas avec l’Inde. Ces pays sont suivis par les Emirats arabes unis (7,9%) et Singapour (6,9%). L’UE dans son ensemble ne couvre que 6,5% des importations sri lankaises et la France se classe au 22e rang des fournisseurs de ce pays avec 0,8% de ses importations.</w:t>
      </w:r>
    </w:p>
    <w:p w14:paraId="569509DD" w14:textId="1D550BA5" w:rsidR="00384B3F" w:rsidRPr="00384B3F" w:rsidRDefault="008523C9" w:rsidP="00384B3F">
      <w:pPr>
        <w:pStyle w:val="Titre02"/>
      </w:pPr>
      <w:r w:rsidRPr="008523C9">
        <w:t>Des exportations en progression mais toujours fortement concentrées</w:t>
      </w:r>
    </w:p>
    <w:p w14:paraId="0F7E3090" w14:textId="77777777" w:rsidR="008523C9" w:rsidRPr="008523C9" w:rsidRDefault="008523C9" w:rsidP="008523C9">
      <w:pPr>
        <w:spacing w:before="120" w:after="0"/>
        <w:ind w:left="-284"/>
        <w:jc w:val="both"/>
        <w:rPr>
          <w:rStyle w:val="Lienhypertexte"/>
          <w:rFonts w:ascii="Segoe UI" w:hAnsi="Segoe UI" w:cs="Segoe UI"/>
          <w:noProof/>
          <w:color w:val="auto"/>
          <w:sz w:val="20"/>
          <w:szCs w:val="20"/>
          <w:u w:val="none"/>
        </w:rPr>
      </w:pPr>
      <w:r w:rsidRPr="008523C9">
        <w:rPr>
          <w:rStyle w:val="Lienhypertexte"/>
          <w:rFonts w:ascii="Segoe UI" w:hAnsi="Segoe UI" w:cs="Segoe UI"/>
          <w:b/>
          <w:bCs/>
          <w:noProof/>
          <w:color w:val="auto"/>
          <w:sz w:val="20"/>
          <w:szCs w:val="20"/>
          <w:u w:val="none"/>
        </w:rPr>
        <w:t>Les exportations sri lankaises ont progressé de 7,2% en 2024 mais ne couvrent encore que les deux tiers de ses importations, passant de 11,9 Mds USD à 12,8 Mds USD</w:t>
      </w:r>
      <w:r w:rsidRPr="008523C9">
        <w:rPr>
          <w:rStyle w:val="Lienhypertexte"/>
          <w:rFonts w:ascii="Segoe UI" w:hAnsi="Segoe UI" w:cs="Segoe UI"/>
          <w:noProof/>
          <w:color w:val="auto"/>
          <w:sz w:val="20"/>
          <w:szCs w:val="20"/>
          <w:u w:val="none"/>
        </w:rPr>
        <w:t>. Le textile-habillement représente 39,6% du total et les produits agricoles et agroalimentaires 26,8%, notamment le thé (le Sri Lanka est passé en 2024 du 2e au 3e rang mondial des exportateurs), les épices, les noix de coco et les produits de la mer. Parmi les autres exportations peuvent être cités les produits pétroliers (8,3%), le caoutchouc (7,6%) et les pierres précieuses (3%).</w:t>
      </w:r>
    </w:p>
    <w:p w14:paraId="70F8EE4C" w14:textId="5059ACB2" w:rsidR="00384B3F" w:rsidRDefault="008523C9" w:rsidP="008523C9">
      <w:pPr>
        <w:spacing w:before="120" w:after="0"/>
        <w:ind w:left="-284"/>
        <w:jc w:val="both"/>
        <w:rPr>
          <w:rStyle w:val="Lienhypertexte"/>
          <w:rFonts w:ascii="Segoe UI" w:hAnsi="Segoe UI" w:cs="Segoe UI"/>
          <w:noProof/>
          <w:color w:val="auto"/>
          <w:sz w:val="20"/>
          <w:szCs w:val="20"/>
          <w:u w:val="none"/>
        </w:rPr>
      </w:pPr>
      <w:r w:rsidRPr="008523C9">
        <w:rPr>
          <w:rStyle w:val="Lienhypertexte"/>
          <w:rFonts w:ascii="Segoe UI" w:hAnsi="Segoe UI" w:cs="Segoe UI"/>
          <w:b/>
          <w:bCs/>
          <w:noProof/>
          <w:color w:val="auto"/>
          <w:sz w:val="20"/>
          <w:szCs w:val="20"/>
          <w:u w:val="none"/>
        </w:rPr>
        <w:lastRenderedPageBreak/>
        <w:t>Les Etats-Unis constituent de loin le premier client du Sri Lanka et absorbent 22,8% de ses exportations</w:t>
      </w:r>
      <w:r w:rsidRPr="008523C9">
        <w:rPr>
          <w:rStyle w:val="Lienhypertexte"/>
          <w:rFonts w:ascii="Segoe UI" w:hAnsi="Segoe UI" w:cs="Segoe UI"/>
          <w:noProof/>
          <w:color w:val="auto"/>
          <w:sz w:val="20"/>
          <w:szCs w:val="20"/>
          <w:u w:val="none"/>
        </w:rPr>
        <w:t>. L’UE se classe derrière avec 21,6% grâce à l’accès facilité à son marché par le mécanisme dit « SPG+ ». La France est le 4e client du Sri Lanka au sein de l’UE et son 10e au niveau mondial avec 2,1% de ses exportations. Le Royaume-Uni (7,1%), qui a également mis en place un régime SPG+ et l’Inde (6,9%) se classent derrière l’UE.</w:t>
      </w:r>
    </w:p>
    <w:p w14:paraId="1B42FF35" w14:textId="21EAC2FF" w:rsidR="008523C9" w:rsidRPr="00096333" w:rsidRDefault="008523C9" w:rsidP="008523C9">
      <w:pPr>
        <w:spacing w:before="120" w:after="0"/>
        <w:ind w:left="-284"/>
        <w:jc w:val="both"/>
        <w:rPr>
          <w:rFonts w:ascii="Segoe UI" w:hAnsi="Segoe UI" w:cs="Segoe UI"/>
          <w:b/>
          <w:color w:val="000091" w:themeColor="text1"/>
        </w:rPr>
      </w:pPr>
      <w:r w:rsidRPr="00096333">
        <w:rPr>
          <w:rFonts w:ascii="Segoe UI" w:hAnsi="Segoe UI" w:cs="Segoe UI"/>
          <w:b/>
          <w:color w:val="000091" w:themeColor="text1"/>
        </w:rPr>
        <w:t>Un déficit commercial structurel qui reprend sa progression interrompue pendant la crise</w:t>
      </w:r>
    </w:p>
    <w:p w14:paraId="6B89FAC5" w14:textId="77777777" w:rsidR="00096333" w:rsidRPr="00096333" w:rsidRDefault="00096333" w:rsidP="00096333">
      <w:pPr>
        <w:spacing w:line="240" w:lineRule="auto"/>
        <w:ind w:left="-284"/>
        <w:jc w:val="both"/>
        <w:rPr>
          <w:rFonts w:ascii="Segoe UI" w:hAnsi="Segoe UI" w:cs="Segoe UI"/>
          <w:b/>
          <w:color w:val="000000"/>
          <w:sz w:val="20"/>
          <w:szCs w:val="20"/>
        </w:rPr>
      </w:pPr>
      <w:r w:rsidRPr="00096333">
        <w:rPr>
          <w:rFonts w:ascii="Segoe UI" w:hAnsi="Segoe UI" w:cs="Segoe UI"/>
          <w:b/>
          <w:color w:val="000000"/>
          <w:sz w:val="20"/>
          <w:szCs w:val="20"/>
        </w:rPr>
        <w:t xml:space="preserve">Le rebond des importations en 2024 plus fort que celui des exportations conduit à un creusement du déficit, qui passe de 4,9 Mds USD en 2023 à 6,1 Mds USD en 2024 </w:t>
      </w:r>
      <w:r w:rsidRPr="00096333">
        <w:rPr>
          <w:rFonts w:ascii="Segoe UI" w:hAnsi="Segoe UI" w:cs="Segoe UI"/>
          <w:bCs/>
          <w:color w:val="000000"/>
          <w:sz w:val="20"/>
          <w:szCs w:val="20"/>
        </w:rPr>
        <w:t>(+23,9%), revenant au niveau de 2020 mais restant encore loin derrière celui enregistré en 2018 (plus de 10 Mds USD).</w:t>
      </w:r>
    </w:p>
    <w:p w14:paraId="27663A8C" w14:textId="77777777" w:rsidR="00096333" w:rsidRPr="00096333" w:rsidRDefault="00096333" w:rsidP="00096333">
      <w:pPr>
        <w:spacing w:line="240" w:lineRule="auto"/>
        <w:ind w:left="-284"/>
        <w:jc w:val="both"/>
        <w:rPr>
          <w:rFonts w:ascii="Segoe UI" w:hAnsi="Segoe UI" w:cs="Segoe UI"/>
          <w:bCs/>
          <w:color w:val="000000"/>
          <w:sz w:val="20"/>
          <w:szCs w:val="20"/>
        </w:rPr>
      </w:pPr>
      <w:r w:rsidRPr="00096333">
        <w:rPr>
          <w:rFonts w:ascii="Segoe UI" w:hAnsi="Segoe UI" w:cs="Segoe UI"/>
          <w:b/>
          <w:color w:val="000000"/>
          <w:sz w:val="20"/>
          <w:szCs w:val="20"/>
        </w:rPr>
        <w:t>Le Sri Lanka enregistre ses principaux déficits avec la Chine (-4,1 Mds USD), l’Inde (-3 Mds USD)</w:t>
      </w:r>
      <w:r w:rsidRPr="00096333">
        <w:rPr>
          <w:rFonts w:ascii="Segoe UI" w:hAnsi="Segoe UI" w:cs="Segoe UI"/>
          <w:bCs/>
          <w:color w:val="000000"/>
          <w:sz w:val="20"/>
          <w:szCs w:val="20"/>
        </w:rPr>
        <w:t xml:space="preserve">, Singapour (-1,2 Md USD) et les E.A.U. (-1,2 Md USD) </w:t>
      </w:r>
      <w:r w:rsidRPr="00096333">
        <w:rPr>
          <w:rFonts w:ascii="Segoe UI" w:hAnsi="Segoe UI" w:cs="Segoe UI"/>
          <w:b/>
          <w:color w:val="000000"/>
          <w:sz w:val="20"/>
          <w:szCs w:val="20"/>
        </w:rPr>
        <w:t>et ses principaux excédents avec les Etats-Unis (+2,5 Mds USD), l’UE (+1,5 Md USD)</w:t>
      </w:r>
      <w:r w:rsidRPr="00096333">
        <w:rPr>
          <w:rFonts w:ascii="Segoe UI" w:hAnsi="Segoe UI" w:cs="Segoe UI"/>
          <w:bCs/>
          <w:color w:val="000000"/>
          <w:sz w:val="20"/>
          <w:szCs w:val="20"/>
        </w:rPr>
        <w:t xml:space="preserve"> et le Royaume-Uni (+0,7 Md USD).</w:t>
      </w:r>
    </w:p>
    <w:p w14:paraId="46477007" w14:textId="4B1930CF" w:rsidR="008523C9" w:rsidRDefault="00096333" w:rsidP="00096333">
      <w:pPr>
        <w:spacing w:before="120" w:after="0"/>
        <w:ind w:left="-284"/>
        <w:jc w:val="both"/>
        <w:rPr>
          <w:rFonts w:ascii="Segoe UI" w:hAnsi="Segoe UI" w:cs="Segoe UI"/>
          <w:sz w:val="20"/>
          <w:szCs w:val="20"/>
        </w:rPr>
      </w:pPr>
      <w:r w:rsidRPr="00096333">
        <w:rPr>
          <w:rFonts w:ascii="Segoe UI" w:eastAsia="Calibri" w:hAnsi="Segoe UI" w:cs="Segoe UI"/>
          <w:b/>
          <w:bCs/>
          <w:sz w:val="20"/>
          <w:szCs w:val="20"/>
        </w:rPr>
        <w:t>Les achats sri lankais à l’étranger devraient poursuivre leur progression en 2025</w:t>
      </w:r>
      <w:r w:rsidRPr="00096333">
        <w:rPr>
          <w:rFonts w:ascii="Segoe UI" w:eastAsia="Calibri" w:hAnsi="Segoe UI" w:cs="Segoe UI"/>
          <w:sz w:val="20"/>
          <w:szCs w:val="20"/>
        </w:rPr>
        <w:t>, l</w:t>
      </w:r>
      <w:r w:rsidRPr="00096333">
        <w:rPr>
          <w:rFonts w:ascii="Segoe UI" w:hAnsi="Segoe UI" w:cs="Segoe UI"/>
          <w:sz w:val="20"/>
          <w:szCs w:val="20"/>
        </w:rPr>
        <w:t xml:space="preserve">e pays ayant désormais levé toutes les restrictions à l’importation imposées depuis 2020, y compris, depuis le </w:t>
      </w:r>
      <w:hyperlink r:id="rId12" w:history="1">
        <w:r w:rsidRPr="00096333">
          <w:rPr>
            <w:rStyle w:val="Lienhypertexte"/>
            <w:rFonts w:ascii="Segoe UI" w:hAnsi="Segoe UI" w:cs="Segoe UI"/>
            <w:sz w:val="20"/>
            <w:szCs w:val="20"/>
          </w:rPr>
          <w:t>31 janvier 2025</w:t>
        </w:r>
      </w:hyperlink>
      <w:r w:rsidRPr="00096333">
        <w:rPr>
          <w:rFonts w:ascii="Segoe UI" w:hAnsi="Segoe UI" w:cs="Segoe UI"/>
          <w:sz w:val="20"/>
          <w:szCs w:val="20"/>
        </w:rPr>
        <w:t xml:space="preserve"> pour les véhicules et le déficit se creuser. Les autorités tablent sur un montant de 1 Md USD pour ce seul poste en 2025. Beaucoup d’incertitudes subsistent quant </w:t>
      </w:r>
      <w:r w:rsidR="001B27B9">
        <w:rPr>
          <w:rFonts w:ascii="Segoe UI" w:hAnsi="Segoe UI" w:cs="Segoe UI"/>
          <w:sz w:val="20"/>
          <w:szCs w:val="20"/>
        </w:rPr>
        <w:t xml:space="preserve">à l’évolution de la situation géopolitique mondiale, qui a des effets importants sur les cours des matières premières, notamment énergétiques et sur la consommation, et quant </w:t>
      </w:r>
      <w:r w:rsidRPr="00096333">
        <w:rPr>
          <w:rFonts w:ascii="Segoe UI" w:hAnsi="Segoe UI" w:cs="Segoe UI"/>
          <w:sz w:val="20"/>
          <w:szCs w:val="20"/>
        </w:rPr>
        <w:t xml:space="preserve">aux conséquences </w:t>
      </w:r>
      <w:r w:rsidR="00A77FA9">
        <w:rPr>
          <w:rFonts w:ascii="Segoe UI" w:hAnsi="Segoe UI" w:cs="Segoe UI"/>
          <w:sz w:val="20"/>
          <w:szCs w:val="20"/>
        </w:rPr>
        <w:t xml:space="preserve">de la politique </w:t>
      </w:r>
      <w:r w:rsidRPr="00096333">
        <w:rPr>
          <w:rFonts w:ascii="Segoe UI" w:hAnsi="Segoe UI" w:cs="Segoe UI"/>
          <w:sz w:val="20"/>
          <w:szCs w:val="20"/>
        </w:rPr>
        <w:t xml:space="preserve">commerciale </w:t>
      </w:r>
      <w:r w:rsidR="00A77FA9">
        <w:rPr>
          <w:rFonts w:ascii="Segoe UI" w:hAnsi="Segoe UI" w:cs="Segoe UI"/>
          <w:sz w:val="20"/>
          <w:szCs w:val="20"/>
        </w:rPr>
        <w:t>d</w:t>
      </w:r>
      <w:r w:rsidRPr="00096333">
        <w:rPr>
          <w:rFonts w:ascii="Segoe UI" w:hAnsi="Segoe UI" w:cs="Segoe UI"/>
          <w:sz w:val="20"/>
          <w:szCs w:val="20"/>
        </w:rPr>
        <w:t xml:space="preserve">es nouvelles autorités américaines, qui </w:t>
      </w:r>
      <w:r w:rsidR="00A77FA9">
        <w:rPr>
          <w:rFonts w:ascii="Segoe UI" w:hAnsi="Segoe UI" w:cs="Segoe UI"/>
          <w:sz w:val="20"/>
          <w:szCs w:val="20"/>
        </w:rPr>
        <w:t xml:space="preserve">pourrait </w:t>
      </w:r>
      <w:r w:rsidR="001B27B9">
        <w:rPr>
          <w:rFonts w:ascii="Segoe UI" w:hAnsi="Segoe UI" w:cs="Segoe UI"/>
          <w:sz w:val="20"/>
          <w:szCs w:val="20"/>
        </w:rPr>
        <w:t xml:space="preserve">également </w:t>
      </w:r>
      <w:r w:rsidR="00A77FA9">
        <w:rPr>
          <w:rFonts w:ascii="Segoe UI" w:hAnsi="Segoe UI" w:cs="Segoe UI"/>
          <w:sz w:val="20"/>
          <w:szCs w:val="20"/>
        </w:rPr>
        <w:t xml:space="preserve">peser </w:t>
      </w:r>
      <w:r w:rsidRPr="00096333">
        <w:rPr>
          <w:rFonts w:ascii="Segoe UI" w:hAnsi="Segoe UI" w:cs="Segoe UI"/>
          <w:sz w:val="20"/>
          <w:szCs w:val="20"/>
        </w:rPr>
        <w:t xml:space="preserve">sur la demande adressée au Sri Lanka. Il est également possible que le Sri Lanka accepte de réduire ses tarifs sous la pression américaine, ce qui conduirait à une hausse des importations. </w:t>
      </w:r>
      <w:r w:rsidR="00A77FA9">
        <w:rPr>
          <w:rFonts w:ascii="Segoe UI" w:hAnsi="Segoe UI" w:cs="Segoe UI"/>
          <w:sz w:val="20"/>
          <w:szCs w:val="20"/>
        </w:rPr>
        <w:t xml:space="preserve">La politique commerciale américaine est </w:t>
      </w:r>
      <w:r w:rsidRPr="00096333">
        <w:rPr>
          <w:rFonts w:ascii="Segoe UI" w:hAnsi="Segoe UI" w:cs="Segoe UI"/>
          <w:sz w:val="20"/>
          <w:szCs w:val="20"/>
        </w:rPr>
        <w:t>en tout état de cause de nature à pousser le Sri Lanka à accélérer la diversification de son économie et son intégration dans le commerce mondial, encore très limitée. Le Sri Lanka n’a en effet conclu des accords de libre-échange qu’avec quatre pays (Inde, Pakistan, Singapour, Thaïlande) et est partie à trois accords commerciaux limités : SAPTA (SAARC Preferential Trading Arrangement)</w:t>
      </w:r>
      <w:r w:rsidRPr="00096333">
        <w:rPr>
          <w:rStyle w:val="Appelnotedebasdep"/>
          <w:rFonts w:ascii="Segoe UI" w:hAnsi="Segoe UI" w:cs="Segoe UI"/>
          <w:sz w:val="20"/>
          <w:szCs w:val="20"/>
        </w:rPr>
        <w:footnoteReference w:id="1"/>
      </w:r>
      <w:r w:rsidRPr="00096333">
        <w:rPr>
          <w:rFonts w:ascii="Segoe UI" w:hAnsi="Segoe UI" w:cs="Segoe UI"/>
          <w:sz w:val="20"/>
          <w:szCs w:val="20"/>
        </w:rPr>
        <w:t>, SAFTA (South Asian Free Trade Area)</w:t>
      </w:r>
      <w:r w:rsidRPr="00096333">
        <w:rPr>
          <w:rStyle w:val="Appelnotedebasdep"/>
          <w:rFonts w:ascii="Segoe UI" w:hAnsi="Segoe UI" w:cs="Segoe UI"/>
          <w:sz w:val="20"/>
          <w:szCs w:val="20"/>
        </w:rPr>
        <w:footnoteReference w:id="2"/>
      </w:r>
      <w:r w:rsidRPr="00096333">
        <w:rPr>
          <w:rFonts w:ascii="Segoe UI" w:hAnsi="Segoe UI" w:cs="Segoe UI"/>
          <w:sz w:val="20"/>
          <w:szCs w:val="20"/>
        </w:rPr>
        <w:t xml:space="preserve"> et APTA (Asia Pacific Trade Agreement)</w:t>
      </w:r>
      <w:r w:rsidRPr="00096333">
        <w:rPr>
          <w:rStyle w:val="Appelnotedebasdep"/>
          <w:rFonts w:ascii="Segoe UI" w:hAnsi="Segoe UI" w:cs="Segoe UI"/>
          <w:sz w:val="20"/>
          <w:szCs w:val="20"/>
        </w:rPr>
        <w:footnoteReference w:id="3"/>
      </w:r>
      <w:r w:rsidRPr="00096333">
        <w:rPr>
          <w:rFonts w:ascii="Segoe UI" w:hAnsi="Segoe UI" w:cs="Segoe UI"/>
          <w:sz w:val="20"/>
          <w:szCs w:val="20"/>
        </w:rPr>
        <w:t>. Les négociations d’un ALE avec la Chine, lancées en 2014 ; ont été suspendues en 2017.</w:t>
      </w:r>
    </w:p>
    <w:p w14:paraId="0B38D3DF" w14:textId="2780BE33" w:rsidR="00096333" w:rsidRPr="00096333" w:rsidRDefault="00096333" w:rsidP="00096333">
      <w:pPr>
        <w:spacing w:before="120" w:after="0"/>
        <w:ind w:left="-284"/>
        <w:jc w:val="both"/>
        <w:rPr>
          <w:rFonts w:ascii="Segoe UI" w:hAnsi="Segoe UI" w:cs="Segoe UI"/>
          <w:b/>
          <w:color w:val="000091" w:themeColor="text1"/>
        </w:rPr>
      </w:pPr>
      <w:r w:rsidRPr="00096333">
        <w:rPr>
          <w:rFonts w:ascii="Segoe UI" w:hAnsi="Segoe UI" w:cs="Segoe UI"/>
          <w:b/>
          <w:color w:val="000091" w:themeColor="text1"/>
        </w:rPr>
        <w:t>Une balance des services excédentaire qui bénéficie de la forte reprise du tourisme</w:t>
      </w:r>
    </w:p>
    <w:p w14:paraId="313DC7B0" w14:textId="1CB3DC8E" w:rsidR="00096333" w:rsidRDefault="00096333" w:rsidP="00096333">
      <w:pPr>
        <w:spacing w:after="240"/>
        <w:ind w:left="-284"/>
        <w:jc w:val="both"/>
        <w:rPr>
          <w:rFonts w:ascii="Segoe UI" w:hAnsi="Segoe UI" w:cs="Segoe UI"/>
          <w:bCs/>
          <w:color w:val="000000"/>
          <w:sz w:val="20"/>
          <w:szCs w:val="20"/>
        </w:rPr>
      </w:pPr>
      <w:r w:rsidRPr="00096333">
        <w:rPr>
          <w:rFonts w:ascii="Segoe UI" w:hAnsi="Segoe UI" w:cs="Segoe UI"/>
          <w:b/>
          <w:color w:val="000000"/>
          <w:sz w:val="20"/>
          <w:szCs w:val="20"/>
        </w:rPr>
        <w:t xml:space="preserve">En 2024, la balance des services a affiché un excédent de 3,4 Mds USD, ce qui couvre près de 60% du déficit commercial. </w:t>
      </w:r>
      <w:r w:rsidRPr="00096333">
        <w:rPr>
          <w:rFonts w:ascii="Segoe UI" w:hAnsi="Segoe UI" w:cs="Segoe UI"/>
          <w:bCs/>
          <w:color w:val="000000"/>
          <w:sz w:val="20"/>
          <w:szCs w:val="20"/>
        </w:rPr>
        <w:t xml:space="preserve">Il est en progression de 12,5% par rapport à 2023 grâce à la bonne tenue des exportations de services de transports, notamment maritimes, de tourisme et de télécommunications. Le Sri Lanka a vu le nombre de visiteurs étrangers progresser de 38% entre 2023 et 2024 – sans atteindre toutefois le record de 2018 de 2,3 millions- et les dépenses qu’ils ont engagées de plus de 53%. </w:t>
      </w:r>
      <w:r w:rsidR="00313406">
        <w:rPr>
          <w:rFonts w:ascii="Segoe UI" w:hAnsi="Segoe UI" w:cs="Segoe UI"/>
          <w:bCs/>
          <w:color w:val="000000"/>
          <w:sz w:val="20"/>
          <w:szCs w:val="20"/>
        </w:rPr>
        <w:t>Les principaux pays d</w:t>
      </w:r>
      <w:r w:rsidR="009B0DDF">
        <w:rPr>
          <w:rFonts w:ascii="Segoe UI" w:hAnsi="Segoe UI" w:cs="Segoe UI"/>
          <w:bCs/>
          <w:color w:val="000000"/>
          <w:sz w:val="20"/>
          <w:szCs w:val="20"/>
        </w:rPr>
        <w:t>’</w:t>
      </w:r>
      <w:r w:rsidR="00313406">
        <w:rPr>
          <w:rFonts w:ascii="Segoe UI" w:hAnsi="Segoe UI" w:cs="Segoe UI"/>
          <w:bCs/>
          <w:color w:val="000000"/>
          <w:sz w:val="20"/>
          <w:szCs w:val="20"/>
        </w:rPr>
        <w:t xml:space="preserve">origine </w:t>
      </w:r>
      <w:r w:rsidR="009B0DDF">
        <w:rPr>
          <w:rFonts w:ascii="Segoe UI" w:hAnsi="Segoe UI" w:cs="Segoe UI"/>
          <w:bCs/>
          <w:color w:val="000000"/>
          <w:sz w:val="20"/>
          <w:szCs w:val="20"/>
        </w:rPr>
        <w:t xml:space="preserve">sont l’Inde (21,3%), la Russie (14,2%), le Royaume-Uni (7,5%), l’Allemagne (,9%), l’Australie (5,3%), la Chine (4%), les Etats-Unis (3,3%), les Maldives (2,8%) et la France (2,5%). </w:t>
      </w:r>
      <w:r w:rsidRPr="00096333">
        <w:rPr>
          <w:rFonts w:ascii="Segoe UI" w:hAnsi="Segoe UI" w:cs="Segoe UI"/>
          <w:bCs/>
          <w:color w:val="000000"/>
          <w:sz w:val="20"/>
          <w:szCs w:val="20"/>
        </w:rPr>
        <w:t>La progression se confirme au début de l’année 2025.</w:t>
      </w:r>
    </w:p>
    <w:p w14:paraId="0594B78C" w14:textId="7A2EF531" w:rsidR="00313406" w:rsidRPr="00096333" w:rsidRDefault="00313406" w:rsidP="00096333">
      <w:pPr>
        <w:spacing w:after="240"/>
        <w:ind w:left="-284"/>
        <w:jc w:val="both"/>
        <w:rPr>
          <w:rFonts w:ascii="Segoe UI" w:hAnsi="Segoe UI" w:cs="Segoe UI"/>
          <w:bCs/>
          <w:color w:val="000000"/>
          <w:sz w:val="20"/>
          <w:szCs w:val="20"/>
        </w:rPr>
      </w:pPr>
      <w:r>
        <w:rPr>
          <w:rFonts w:ascii="Segoe UI" w:hAnsi="Segoe UI" w:cs="Segoe UI"/>
          <w:b/>
          <w:color w:val="000000"/>
          <w:sz w:val="20"/>
          <w:szCs w:val="20"/>
        </w:rPr>
        <w:t>Les échanges de services entre le Sri Lanka et la France restent modestes.</w:t>
      </w:r>
      <w:r>
        <w:rPr>
          <w:rFonts w:ascii="Segoe UI" w:hAnsi="Segoe UI" w:cs="Segoe UI"/>
          <w:bCs/>
          <w:color w:val="000000"/>
          <w:sz w:val="20"/>
          <w:szCs w:val="20"/>
        </w:rPr>
        <w:t xml:space="preserve"> Ils ont atteint 235 MEUR en 2023 (derniers chiffres disponibles), dont 62 MEUR d’exportations françaises et 173 MEUR d’importations, essentiellement concentrées sur le secteur du tourisme.</w:t>
      </w:r>
    </w:p>
    <w:p w14:paraId="34E2C9A8" w14:textId="1EEE4EDD" w:rsidR="00FD7798" w:rsidRDefault="00180A83" w:rsidP="00D62BB6">
      <w:pPr>
        <w:spacing w:before="120" w:after="0"/>
        <w:ind w:left="-284"/>
        <w:jc w:val="right"/>
        <w:rPr>
          <w:rFonts w:ascii="Segoe UI" w:hAnsi="Segoe UI" w:cs="Segoe UI"/>
          <w:b/>
          <w:sz w:val="18"/>
          <w:szCs w:val="18"/>
        </w:rPr>
      </w:pPr>
      <w:r>
        <w:rPr>
          <w:rFonts w:ascii="Segoe UI" w:hAnsi="Segoe UI" w:cs="Segoe UI"/>
          <w:b/>
          <w:sz w:val="18"/>
          <w:szCs w:val="18"/>
        </w:rPr>
        <w:t>Philippe FOUET</w:t>
      </w:r>
    </w:p>
    <w:p w14:paraId="3754432F" w14:textId="0A6B1FF7" w:rsidR="00096333" w:rsidRDefault="00096333" w:rsidP="00D62BB6">
      <w:pPr>
        <w:spacing w:before="120" w:after="0"/>
        <w:ind w:left="-284"/>
        <w:jc w:val="right"/>
        <w:rPr>
          <w:rFonts w:ascii="Segoe UI" w:hAnsi="Segoe UI" w:cs="Segoe UI"/>
          <w:b/>
          <w:sz w:val="18"/>
          <w:szCs w:val="18"/>
        </w:rPr>
      </w:pPr>
      <w:r>
        <w:rPr>
          <w:rFonts w:ascii="Segoe UI" w:hAnsi="Segoe UI" w:cs="Segoe UI"/>
          <w:b/>
          <w:sz w:val="18"/>
          <w:szCs w:val="18"/>
        </w:rPr>
        <w:br w:type="page"/>
      </w:r>
    </w:p>
    <w:p w14:paraId="07EA7929" w14:textId="77777777" w:rsidR="00096333" w:rsidRPr="00096333" w:rsidRDefault="00096333" w:rsidP="00096333">
      <w:pPr>
        <w:spacing w:after="120"/>
        <w:ind w:left="2410"/>
        <w:rPr>
          <w:rFonts w:ascii="Segoe UI" w:hAnsi="Segoe UI" w:cs="Segoe UI"/>
          <w:bCs/>
          <w:i/>
          <w:iCs/>
          <w:sz w:val="20"/>
          <w:szCs w:val="20"/>
        </w:rPr>
      </w:pPr>
      <w:r w:rsidRPr="00096333">
        <w:rPr>
          <w:rFonts w:ascii="Segoe UI" w:hAnsi="Segoe UI" w:cs="Segoe UI"/>
          <w:b/>
          <w:sz w:val="20"/>
          <w:szCs w:val="20"/>
        </w:rPr>
        <w:lastRenderedPageBreak/>
        <w:t xml:space="preserve">ANNEXES </w:t>
      </w:r>
      <w:r w:rsidRPr="00096333">
        <w:rPr>
          <w:rFonts w:ascii="Segoe UI" w:hAnsi="Segoe UI" w:cs="Segoe UI"/>
          <w:bCs/>
          <w:i/>
          <w:iCs/>
          <w:sz w:val="20"/>
          <w:szCs w:val="20"/>
        </w:rPr>
        <w:t>(Source : Central Bank of Sri Lanka)</w:t>
      </w:r>
    </w:p>
    <w:p w14:paraId="4936D41D" w14:textId="77777777" w:rsidR="00096333" w:rsidRPr="00096333" w:rsidRDefault="00096333" w:rsidP="00096333">
      <w:pPr>
        <w:spacing w:after="120"/>
        <w:jc w:val="center"/>
        <w:rPr>
          <w:rFonts w:ascii="Segoe UI" w:hAnsi="Segoe UI" w:cs="Segoe UI"/>
          <w:b/>
          <w:sz w:val="20"/>
          <w:szCs w:val="20"/>
        </w:rPr>
      </w:pPr>
      <w:r w:rsidRPr="00096333">
        <w:rPr>
          <w:rFonts w:ascii="Segoe UI" w:hAnsi="Segoe UI" w:cs="Segoe UI"/>
          <w:b/>
          <w:sz w:val="20"/>
          <w:szCs w:val="20"/>
        </w:rPr>
        <w:t>Evolution des échanges de biens du Sri Lanka</w:t>
      </w:r>
    </w:p>
    <w:p w14:paraId="57743B8B" w14:textId="77777777" w:rsidR="00096333" w:rsidRPr="00096333" w:rsidRDefault="00096333" w:rsidP="00096333">
      <w:pPr>
        <w:spacing w:line="240" w:lineRule="auto"/>
        <w:jc w:val="center"/>
        <w:rPr>
          <w:rFonts w:ascii="Segoe UI" w:hAnsi="Segoe UI" w:cs="Segoe UI"/>
          <w:b/>
          <w:sz w:val="20"/>
          <w:szCs w:val="20"/>
        </w:rPr>
      </w:pPr>
      <w:r w:rsidRPr="00096333">
        <w:rPr>
          <w:rFonts w:ascii="Segoe UI" w:hAnsi="Segoe UI" w:cs="Segoe UI"/>
          <w:noProof/>
          <w:sz w:val="20"/>
          <w:szCs w:val="20"/>
        </w:rPr>
        <w:drawing>
          <wp:inline distT="0" distB="0" distL="0" distR="0" wp14:anchorId="2FF9CE5D" wp14:editId="1D6E9656">
            <wp:extent cx="5229225" cy="2743200"/>
            <wp:effectExtent l="0" t="0" r="9525" b="0"/>
            <wp:docPr id="5" name="Graphique 5">
              <a:extLst xmlns:a="http://schemas.openxmlformats.org/drawingml/2006/main">
                <a:ext uri="{FF2B5EF4-FFF2-40B4-BE49-F238E27FC236}">
                  <a16:creationId xmlns:a16="http://schemas.microsoft.com/office/drawing/2014/main" id="{8DC2AC08-1DDD-4BD7-9B5A-187587572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11D29A0" w14:textId="77777777" w:rsidR="00096333" w:rsidRPr="00096333" w:rsidRDefault="00096333" w:rsidP="00096333">
      <w:pPr>
        <w:tabs>
          <w:tab w:val="left" w:pos="1875"/>
        </w:tabs>
        <w:spacing w:after="0" w:line="240" w:lineRule="auto"/>
        <w:jc w:val="center"/>
        <w:rPr>
          <w:rFonts w:ascii="Segoe UI" w:hAnsi="Segoe UI" w:cs="Segoe UI"/>
          <w:sz w:val="20"/>
          <w:szCs w:val="20"/>
        </w:rPr>
      </w:pPr>
      <w:r w:rsidRPr="00096333">
        <w:rPr>
          <w:rFonts w:ascii="Segoe UI" w:hAnsi="Segoe UI" w:cs="Segoe UI"/>
          <w:b/>
          <w:sz w:val="20"/>
          <w:szCs w:val="20"/>
        </w:rPr>
        <w:t>Tableau</w:t>
      </w:r>
      <w:r w:rsidRPr="00096333">
        <w:rPr>
          <w:rFonts w:ascii="Segoe UI" w:hAnsi="Segoe UI" w:cs="Segoe UI"/>
          <w:sz w:val="20"/>
          <w:szCs w:val="20"/>
        </w:rPr>
        <w:t> </w:t>
      </w:r>
      <w:r w:rsidRPr="00096333">
        <w:rPr>
          <w:rFonts w:ascii="Segoe UI" w:hAnsi="Segoe UI" w:cs="Segoe UI"/>
          <w:b/>
          <w:sz w:val="20"/>
          <w:szCs w:val="20"/>
        </w:rPr>
        <w:t>1</w:t>
      </w:r>
      <w:r w:rsidRPr="00096333">
        <w:rPr>
          <w:rFonts w:ascii="Segoe UI" w:hAnsi="Segoe UI" w:cs="Segoe UI"/>
          <w:sz w:val="20"/>
          <w:szCs w:val="20"/>
        </w:rPr>
        <w:t xml:space="preserve"> : Les principaux partenaires commerciaux de Sri Lanka (biens)</w:t>
      </w:r>
    </w:p>
    <w:tbl>
      <w:tblPr>
        <w:tblStyle w:val="Grilledutableau"/>
        <w:tblpPr w:leftFromText="141" w:rightFromText="141" w:vertAnchor="text" w:horzAnchor="margin" w:tblpXSpec="center" w:tblpY="93"/>
        <w:tblW w:w="7564" w:type="dxa"/>
        <w:tblLook w:val="04A0" w:firstRow="1" w:lastRow="0" w:firstColumn="1" w:lastColumn="0" w:noHBand="0" w:noVBand="1"/>
      </w:tblPr>
      <w:tblGrid>
        <w:gridCol w:w="1429"/>
        <w:gridCol w:w="1126"/>
        <w:gridCol w:w="1126"/>
        <w:gridCol w:w="1631"/>
        <w:gridCol w:w="1126"/>
        <w:gridCol w:w="1126"/>
      </w:tblGrid>
      <w:tr w:rsidR="00096333" w:rsidRPr="00096333" w14:paraId="0D6F5F9D" w14:textId="77777777" w:rsidTr="00294CD0">
        <w:trPr>
          <w:trHeight w:val="300"/>
        </w:trPr>
        <w:tc>
          <w:tcPr>
            <w:tcW w:w="3681" w:type="dxa"/>
            <w:gridSpan w:val="3"/>
            <w:noWrap/>
            <w:hideMark/>
          </w:tcPr>
          <w:p w14:paraId="76D2A8B4"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Importations</w:t>
            </w:r>
          </w:p>
        </w:tc>
        <w:tc>
          <w:tcPr>
            <w:tcW w:w="3883" w:type="dxa"/>
            <w:gridSpan w:val="3"/>
            <w:noWrap/>
            <w:hideMark/>
          </w:tcPr>
          <w:p w14:paraId="0A9EE978"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Exportations</w:t>
            </w:r>
          </w:p>
        </w:tc>
      </w:tr>
      <w:tr w:rsidR="00096333" w:rsidRPr="00096333" w14:paraId="680A4772" w14:textId="77777777" w:rsidTr="00294CD0">
        <w:trPr>
          <w:trHeight w:val="300"/>
        </w:trPr>
        <w:tc>
          <w:tcPr>
            <w:tcW w:w="1429" w:type="dxa"/>
            <w:noWrap/>
            <w:hideMark/>
          </w:tcPr>
          <w:p w14:paraId="04B3B44C"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Pays</w:t>
            </w:r>
          </w:p>
        </w:tc>
        <w:tc>
          <w:tcPr>
            <w:tcW w:w="1126" w:type="dxa"/>
            <w:noWrap/>
            <w:hideMark/>
          </w:tcPr>
          <w:p w14:paraId="7D188C2A"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pdm 2015</w:t>
            </w:r>
          </w:p>
        </w:tc>
        <w:tc>
          <w:tcPr>
            <w:tcW w:w="1126" w:type="dxa"/>
            <w:noWrap/>
            <w:hideMark/>
          </w:tcPr>
          <w:p w14:paraId="31C62F2E"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pdm 2024</w:t>
            </w:r>
          </w:p>
        </w:tc>
        <w:tc>
          <w:tcPr>
            <w:tcW w:w="1631" w:type="dxa"/>
            <w:noWrap/>
            <w:hideMark/>
          </w:tcPr>
          <w:p w14:paraId="1B0CBE5F"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Pays</w:t>
            </w:r>
          </w:p>
        </w:tc>
        <w:tc>
          <w:tcPr>
            <w:tcW w:w="1126" w:type="dxa"/>
            <w:noWrap/>
            <w:hideMark/>
          </w:tcPr>
          <w:p w14:paraId="52F00100"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pdm 2015</w:t>
            </w:r>
          </w:p>
        </w:tc>
        <w:tc>
          <w:tcPr>
            <w:tcW w:w="1126" w:type="dxa"/>
            <w:noWrap/>
            <w:hideMark/>
          </w:tcPr>
          <w:p w14:paraId="5C634992"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pdm 2024</w:t>
            </w:r>
          </w:p>
        </w:tc>
      </w:tr>
      <w:tr w:rsidR="00096333" w:rsidRPr="00096333" w14:paraId="306EC1D6" w14:textId="77777777" w:rsidTr="00294CD0">
        <w:trPr>
          <w:trHeight w:val="300"/>
        </w:trPr>
        <w:tc>
          <w:tcPr>
            <w:tcW w:w="1429" w:type="dxa"/>
            <w:noWrap/>
            <w:hideMark/>
          </w:tcPr>
          <w:p w14:paraId="6D63BF59"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Chine</w:t>
            </w:r>
          </w:p>
        </w:tc>
        <w:tc>
          <w:tcPr>
            <w:tcW w:w="1126" w:type="dxa"/>
            <w:noWrap/>
            <w:hideMark/>
          </w:tcPr>
          <w:p w14:paraId="26B0987E"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19,7%</w:t>
            </w:r>
          </w:p>
        </w:tc>
        <w:tc>
          <w:tcPr>
            <w:tcW w:w="1126" w:type="dxa"/>
            <w:noWrap/>
            <w:hideMark/>
          </w:tcPr>
          <w:p w14:paraId="5FD6E79F"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23,2%</w:t>
            </w:r>
          </w:p>
        </w:tc>
        <w:tc>
          <w:tcPr>
            <w:tcW w:w="1631" w:type="dxa"/>
            <w:noWrap/>
            <w:hideMark/>
          </w:tcPr>
          <w:p w14:paraId="5280B466"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Etats-Unis</w:t>
            </w:r>
          </w:p>
        </w:tc>
        <w:tc>
          <w:tcPr>
            <w:tcW w:w="1126" w:type="dxa"/>
            <w:noWrap/>
            <w:hideMark/>
          </w:tcPr>
          <w:p w14:paraId="2E958DA3"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27,4%</w:t>
            </w:r>
          </w:p>
        </w:tc>
        <w:tc>
          <w:tcPr>
            <w:tcW w:w="1126" w:type="dxa"/>
            <w:noWrap/>
            <w:hideMark/>
          </w:tcPr>
          <w:p w14:paraId="3A678539"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22,8%</w:t>
            </w:r>
          </w:p>
        </w:tc>
      </w:tr>
      <w:tr w:rsidR="00096333" w:rsidRPr="00096333" w14:paraId="45160D47" w14:textId="77777777" w:rsidTr="00294CD0">
        <w:trPr>
          <w:trHeight w:val="300"/>
        </w:trPr>
        <w:tc>
          <w:tcPr>
            <w:tcW w:w="1429" w:type="dxa"/>
            <w:noWrap/>
            <w:hideMark/>
          </w:tcPr>
          <w:p w14:paraId="240EF853"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Inde</w:t>
            </w:r>
          </w:p>
        </w:tc>
        <w:tc>
          <w:tcPr>
            <w:tcW w:w="1126" w:type="dxa"/>
            <w:noWrap/>
            <w:hideMark/>
          </w:tcPr>
          <w:p w14:paraId="6D5949DD"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22,5%</w:t>
            </w:r>
          </w:p>
        </w:tc>
        <w:tc>
          <w:tcPr>
            <w:tcW w:w="1126" w:type="dxa"/>
            <w:noWrap/>
            <w:hideMark/>
          </w:tcPr>
          <w:p w14:paraId="15738897"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20,5%</w:t>
            </w:r>
          </w:p>
        </w:tc>
        <w:tc>
          <w:tcPr>
            <w:tcW w:w="1631" w:type="dxa"/>
            <w:noWrap/>
            <w:hideMark/>
          </w:tcPr>
          <w:p w14:paraId="0C4BD283"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Royaume-Uni</w:t>
            </w:r>
          </w:p>
        </w:tc>
        <w:tc>
          <w:tcPr>
            <w:tcW w:w="1126" w:type="dxa"/>
            <w:noWrap/>
            <w:hideMark/>
          </w:tcPr>
          <w:p w14:paraId="53D7B445"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10,1%</w:t>
            </w:r>
          </w:p>
        </w:tc>
        <w:tc>
          <w:tcPr>
            <w:tcW w:w="1126" w:type="dxa"/>
            <w:noWrap/>
            <w:hideMark/>
          </w:tcPr>
          <w:p w14:paraId="152B9C40"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7,1%</w:t>
            </w:r>
          </w:p>
        </w:tc>
      </w:tr>
      <w:tr w:rsidR="00096333" w:rsidRPr="00096333" w14:paraId="4190D142" w14:textId="77777777" w:rsidTr="00294CD0">
        <w:trPr>
          <w:trHeight w:val="300"/>
        </w:trPr>
        <w:tc>
          <w:tcPr>
            <w:tcW w:w="1429" w:type="dxa"/>
            <w:noWrap/>
            <w:hideMark/>
          </w:tcPr>
          <w:p w14:paraId="7A084850"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E.A.U.</w:t>
            </w:r>
          </w:p>
        </w:tc>
        <w:tc>
          <w:tcPr>
            <w:tcW w:w="1126" w:type="dxa"/>
            <w:noWrap/>
            <w:hideMark/>
          </w:tcPr>
          <w:p w14:paraId="2ACB1801"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5,7%</w:t>
            </w:r>
          </w:p>
        </w:tc>
        <w:tc>
          <w:tcPr>
            <w:tcW w:w="1126" w:type="dxa"/>
            <w:noWrap/>
            <w:hideMark/>
          </w:tcPr>
          <w:p w14:paraId="4C64AA6A"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7,9%</w:t>
            </w:r>
          </w:p>
        </w:tc>
        <w:tc>
          <w:tcPr>
            <w:tcW w:w="1631" w:type="dxa"/>
            <w:noWrap/>
            <w:hideMark/>
          </w:tcPr>
          <w:p w14:paraId="4CEA8C5C"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Inde</w:t>
            </w:r>
          </w:p>
        </w:tc>
        <w:tc>
          <w:tcPr>
            <w:tcW w:w="1126" w:type="dxa"/>
            <w:noWrap/>
            <w:hideMark/>
          </w:tcPr>
          <w:p w14:paraId="5D1775D2"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6,3%</w:t>
            </w:r>
          </w:p>
        </w:tc>
        <w:tc>
          <w:tcPr>
            <w:tcW w:w="1126" w:type="dxa"/>
            <w:noWrap/>
            <w:hideMark/>
          </w:tcPr>
          <w:p w14:paraId="680FCF4E"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6,9%</w:t>
            </w:r>
          </w:p>
        </w:tc>
      </w:tr>
      <w:tr w:rsidR="00096333" w:rsidRPr="00096333" w14:paraId="4BBA73DC" w14:textId="77777777" w:rsidTr="00294CD0">
        <w:trPr>
          <w:trHeight w:val="300"/>
        </w:trPr>
        <w:tc>
          <w:tcPr>
            <w:tcW w:w="1429" w:type="dxa"/>
            <w:noWrap/>
            <w:hideMark/>
          </w:tcPr>
          <w:p w14:paraId="6BB8965C"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Singapour</w:t>
            </w:r>
          </w:p>
        </w:tc>
        <w:tc>
          <w:tcPr>
            <w:tcW w:w="1126" w:type="dxa"/>
            <w:noWrap/>
            <w:hideMark/>
          </w:tcPr>
          <w:p w14:paraId="236D28E8"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4,9%</w:t>
            </w:r>
          </w:p>
        </w:tc>
        <w:tc>
          <w:tcPr>
            <w:tcW w:w="1126" w:type="dxa"/>
            <w:noWrap/>
            <w:hideMark/>
          </w:tcPr>
          <w:p w14:paraId="2DC70BE6"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6,9%</w:t>
            </w:r>
          </w:p>
        </w:tc>
        <w:tc>
          <w:tcPr>
            <w:tcW w:w="1631" w:type="dxa"/>
            <w:noWrap/>
            <w:hideMark/>
          </w:tcPr>
          <w:p w14:paraId="48203233"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Allemagne</w:t>
            </w:r>
          </w:p>
        </w:tc>
        <w:tc>
          <w:tcPr>
            <w:tcW w:w="1126" w:type="dxa"/>
            <w:noWrap/>
            <w:hideMark/>
          </w:tcPr>
          <w:p w14:paraId="1632987C"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4,6%</w:t>
            </w:r>
          </w:p>
        </w:tc>
        <w:tc>
          <w:tcPr>
            <w:tcW w:w="1126" w:type="dxa"/>
            <w:noWrap/>
            <w:hideMark/>
          </w:tcPr>
          <w:p w14:paraId="2E108B3D"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4,9%</w:t>
            </w:r>
          </w:p>
        </w:tc>
      </w:tr>
      <w:tr w:rsidR="00096333" w:rsidRPr="00096333" w14:paraId="45A04F8C" w14:textId="77777777" w:rsidTr="00294CD0">
        <w:trPr>
          <w:trHeight w:val="300"/>
        </w:trPr>
        <w:tc>
          <w:tcPr>
            <w:tcW w:w="1429" w:type="dxa"/>
            <w:noWrap/>
            <w:hideMark/>
          </w:tcPr>
          <w:p w14:paraId="4AFB8A73"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Malaisie</w:t>
            </w:r>
          </w:p>
        </w:tc>
        <w:tc>
          <w:tcPr>
            <w:tcW w:w="1126" w:type="dxa"/>
            <w:noWrap/>
            <w:hideMark/>
          </w:tcPr>
          <w:p w14:paraId="2EFB3B37"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2,7%</w:t>
            </w:r>
          </w:p>
        </w:tc>
        <w:tc>
          <w:tcPr>
            <w:tcW w:w="1126" w:type="dxa"/>
            <w:noWrap/>
            <w:hideMark/>
          </w:tcPr>
          <w:p w14:paraId="771B73DC"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3,5%</w:t>
            </w:r>
          </w:p>
        </w:tc>
        <w:tc>
          <w:tcPr>
            <w:tcW w:w="1631" w:type="dxa"/>
            <w:noWrap/>
            <w:hideMark/>
          </w:tcPr>
          <w:p w14:paraId="7338B8AD"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Italie</w:t>
            </w:r>
          </w:p>
        </w:tc>
        <w:tc>
          <w:tcPr>
            <w:tcW w:w="1126" w:type="dxa"/>
            <w:noWrap/>
            <w:hideMark/>
          </w:tcPr>
          <w:p w14:paraId="6211CB7E"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4,3%</w:t>
            </w:r>
          </w:p>
        </w:tc>
        <w:tc>
          <w:tcPr>
            <w:tcW w:w="1126" w:type="dxa"/>
            <w:noWrap/>
            <w:hideMark/>
          </w:tcPr>
          <w:p w14:paraId="5FB88A59"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4,7%</w:t>
            </w:r>
          </w:p>
        </w:tc>
      </w:tr>
      <w:tr w:rsidR="00096333" w:rsidRPr="00096333" w14:paraId="6B9A2AE8" w14:textId="77777777" w:rsidTr="00294CD0">
        <w:trPr>
          <w:trHeight w:val="300"/>
        </w:trPr>
        <w:tc>
          <w:tcPr>
            <w:tcW w:w="1429" w:type="dxa"/>
            <w:noWrap/>
          </w:tcPr>
          <w:p w14:paraId="3218982F"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Russie</w:t>
            </w:r>
          </w:p>
        </w:tc>
        <w:tc>
          <w:tcPr>
            <w:tcW w:w="1126" w:type="dxa"/>
            <w:noWrap/>
          </w:tcPr>
          <w:p w14:paraId="7493133F"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1,3%</w:t>
            </w:r>
          </w:p>
        </w:tc>
        <w:tc>
          <w:tcPr>
            <w:tcW w:w="1126" w:type="dxa"/>
            <w:noWrap/>
          </w:tcPr>
          <w:p w14:paraId="49563F5D"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2,9%</w:t>
            </w:r>
          </w:p>
        </w:tc>
        <w:tc>
          <w:tcPr>
            <w:tcW w:w="1631" w:type="dxa"/>
            <w:noWrap/>
          </w:tcPr>
          <w:p w14:paraId="0CC9A6C9"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Pays-Bas</w:t>
            </w:r>
          </w:p>
        </w:tc>
        <w:tc>
          <w:tcPr>
            <w:tcW w:w="1126" w:type="dxa"/>
            <w:noWrap/>
          </w:tcPr>
          <w:p w14:paraId="2F1011E3"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2,2%</w:t>
            </w:r>
          </w:p>
        </w:tc>
        <w:tc>
          <w:tcPr>
            <w:tcW w:w="1126" w:type="dxa"/>
            <w:noWrap/>
          </w:tcPr>
          <w:p w14:paraId="168AF308"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3,1%</w:t>
            </w:r>
          </w:p>
        </w:tc>
      </w:tr>
      <w:tr w:rsidR="00096333" w:rsidRPr="00096333" w14:paraId="2E3E86C8" w14:textId="77777777" w:rsidTr="00294CD0">
        <w:trPr>
          <w:trHeight w:val="300"/>
        </w:trPr>
        <w:tc>
          <w:tcPr>
            <w:tcW w:w="1429" w:type="dxa"/>
            <w:noWrap/>
          </w:tcPr>
          <w:p w14:paraId="146CFE8B"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Oman</w:t>
            </w:r>
          </w:p>
        </w:tc>
        <w:tc>
          <w:tcPr>
            <w:tcW w:w="1126" w:type="dxa"/>
            <w:noWrap/>
          </w:tcPr>
          <w:p w14:paraId="346DE281"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1,3%</w:t>
            </w:r>
          </w:p>
        </w:tc>
        <w:tc>
          <w:tcPr>
            <w:tcW w:w="1126" w:type="dxa"/>
            <w:noWrap/>
          </w:tcPr>
          <w:p w14:paraId="769737B1"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2,5%</w:t>
            </w:r>
          </w:p>
        </w:tc>
        <w:tc>
          <w:tcPr>
            <w:tcW w:w="1631" w:type="dxa"/>
            <w:noWrap/>
          </w:tcPr>
          <w:p w14:paraId="2240706C"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E.A.U.</w:t>
            </w:r>
          </w:p>
        </w:tc>
        <w:tc>
          <w:tcPr>
            <w:tcW w:w="1126" w:type="dxa"/>
            <w:noWrap/>
          </w:tcPr>
          <w:p w14:paraId="1D25A119"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2,7%</w:t>
            </w:r>
          </w:p>
        </w:tc>
        <w:tc>
          <w:tcPr>
            <w:tcW w:w="1126" w:type="dxa"/>
            <w:noWrap/>
          </w:tcPr>
          <w:p w14:paraId="47A208F5"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2,6%</w:t>
            </w:r>
          </w:p>
        </w:tc>
      </w:tr>
      <w:tr w:rsidR="00096333" w:rsidRPr="00096333" w14:paraId="79BE62D2" w14:textId="77777777" w:rsidTr="00294CD0">
        <w:trPr>
          <w:trHeight w:val="300"/>
        </w:trPr>
        <w:tc>
          <w:tcPr>
            <w:tcW w:w="1429" w:type="dxa"/>
            <w:noWrap/>
          </w:tcPr>
          <w:p w14:paraId="2FC57016"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Pakistan</w:t>
            </w:r>
          </w:p>
        </w:tc>
        <w:tc>
          <w:tcPr>
            <w:tcW w:w="1126" w:type="dxa"/>
            <w:noWrap/>
          </w:tcPr>
          <w:p w14:paraId="4469D622"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1,6%</w:t>
            </w:r>
          </w:p>
        </w:tc>
        <w:tc>
          <w:tcPr>
            <w:tcW w:w="1126" w:type="dxa"/>
            <w:noWrap/>
          </w:tcPr>
          <w:p w14:paraId="2B489D89"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2,4%</w:t>
            </w:r>
          </w:p>
        </w:tc>
        <w:tc>
          <w:tcPr>
            <w:tcW w:w="1631" w:type="dxa"/>
            <w:noWrap/>
          </w:tcPr>
          <w:p w14:paraId="1BD059AD"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Canada</w:t>
            </w:r>
          </w:p>
        </w:tc>
        <w:tc>
          <w:tcPr>
            <w:tcW w:w="1126" w:type="dxa"/>
            <w:noWrap/>
          </w:tcPr>
          <w:p w14:paraId="230D1193"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1,8%</w:t>
            </w:r>
          </w:p>
        </w:tc>
        <w:tc>
          <w:tcPr>
            <w:tcW w:w="1126" w:type="dxa"/>
            <w:noWrap/>
          </w:tcPr>
          <w:p w14:paraId="4767F211"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2,5%</w:t>
            </w:r>
          </w:p>
        </w:tc>
      </w:tr>
      <w:tr w:rsidR="00096333" w:rsidRPr="00096333" w14:paraId="1802C858" w14:textId="77777777" w:rsidTr="00294CD0">
        <w:trPr>
          <w:trHeight w:val="300"/>
        </w:trPr>
        <w:tc>
          <w:tcPr>
            <w:tcW w:w="1429" w:type="dxa"/>
            <w:noWrap/>
          </w:tcPr>
          <w:p w14:paraId="17E1FAAB"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Indonésie</w:t>
            </w:r>
          </w:p>
        </w:tc>
        <w:tc>
          <w:tcPr>
            <w:tcW w:w="1126" w:type="dxa"/>
            <w:noWrap/>
          </w:tcPr>
          <w:p w14:paraId="535A26A5"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2,3%</w:t>
            </w:r>
          </w:p>
        </w:tc>
        <w:tc>
          <w:tcPr>
            <w:tcW w:w="1126" w:type="dxa"/>
            <w:noWrap/>
          </w:tcPr>
          <w:p w14:paraId="44896E71"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2,4%</w:t>
            </w:r>
          </w:p>
        </w:tc>
        <w:tc>
          <w:tcPr>
            <w:tcW w:w="1631" w:type="dxa"/>
            <w:noWrap/>
          </w:tcPr>
          <w:p w14:paraId="675ED178"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Chine</w:t>
            </w:r>
          </w:p>
        </w:tc>
        <w:tc>
          <w:tcPr>
            <w:tcW w:w="1126" w:type="dxa"/>
            <w:noWrap/>
          </w:tcPr>
          <w:p w14:paraId="3B96E26E"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2,9%</w:t>
            </w:r>
          </w:p>
        </w:tc>
        <w:tc>
          <w:tcPr>
            <w:tcW w:w="1126" w:type="dxa"/>
            <w:noWrap/>
          </w:tcPr>
          <w:p w14:paraId="267956C7"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2,1%</w:t>
            </w:r>
          </w:p>
        </w:tc>
      </w:tr>
      <w:tr w:rsidR="00096333" w:rsidRPr="00096333" w14:paraId="7ED03C06" w14:textId="77777777" w:rsidTr="00294CD0">
        <w:trPr>
          <w:trHeight w:val="300"/>
        </w:trPr>
        <w:tc>
          <w:tcPr>
            <w:tcW w:w="1429" w:type="dxa"/>
            <w:noWrap/>
          </w:tcPr>
          <w:p w14:paraId="3DCC865A"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Etats-Unis</w:t>
            </w:r>
          </w:p>
        </w:tc>
        <w:tc>
          <w:tcPr>
            <w:tcW w:w="1126" w:type="dxa"/>
            <w:noWrap/>
          </w:tcPr>
          <w:p w14:paraId="6A4AEEE1"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2,5%</w:t>
            </w:r>
          </w:p>
        </w:tc>
        <w:tc>
          <w:tcPr>
            <w:tcW w:w="1126" w:type="dxa"/>
            <w:noWrap/>
          </w:tcPr>
          <w:p w14:paraId="57BB12D1"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2,4%</w:t>
            </w:r>
          </w:p>
        </w:tc>
        <w:tc>
          <w:tcPr>
            <w:tcW w:w="1631" w:type="dxa"/>
            <w:noWrap/>
          </w:tcPr>
          <w:p w14:paraId="3ECDB70A"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France</w:t>
            </w:r>
          </w:p>
        </w:tc>
        <w:tc>
          <w:tcPr>
            <w:tcW w:w="1126" w:type="dxa"/>
            <w:noWrap/>
          </w:tcPr>
          <w:p w14:paraId="74F3CFAC"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1,9%</w:t>
            </w:r>
          </w:p>
        </w:tc>
        <w:tc>
          <w:tcPr>
            <w:tcW w:w="1126" w:type="dxa"/>
            <w:noWrap/>
          </w:tcPr>
          <w:p w14:paraId="4872FFE8" w14:textId="77777777" w:rsidR="00096333" w:rsidRPr="00096333" w:rsidRDefault="00096333" w:rsidP="00294CD0">
            <w:pPr>
              <w:tabs>
                <w:tab w:val="left" w:pos="1875"/>
              </w:tabs>
              <w:jc w:val="center"/>
              <w:rPr>
                <w:rFonts w:ascii="Segoe UI" w:hAnsi="Segoe UI" w:cs="Segoe UI"/>
                <w:sz w:val="20"/>
                <w:szCs w:val="20"/>
              </w:rPr>
            </w:pPr>
            <w:r w:rsidRPr="00096333">
              <w:rPr>
                <w:rFonts w:ascii="Segoe UI" w:hAnsi="Segoe UI" w:cs="Segoe UI"/>
                <w:sz w:val="20"/>
                <w:szCs w:val="20"/>
              </w:rPr>
              <w:t>2,1%</w:t>
            </w:r>
          </w:p>
        </w:tc>
      </w:tr>
      <w:tr w:rsidR="00096333" w:rsidRPr="00096333" w14:paraId="0DD870CD" w14:textId="77777777" w:rsidTr="00294CD0">
        <w:trPr>
          <w:trHeight w:val="300"/>
        </w:trPr>
        <w:tc>
          <w:tcPr>
            <w:tcW w:w="7564" w:type="dxa"/>
            <w:gridSpan w:val="6"/>
            <w:noWrap/>
          </w:tcPr>
          <w:p w14:paraId="159B9CBB" w14:textId="77777777" w:rsidR="00096333" w:rsidRPr="00096333" w:rsidRDefault="00096333" w:rsidP="00294CD0">
            <w:pPr>
              <w:tabs>
                <w:tab w:val="left" w:pos="1875"/>
              </w:tabs>
              <w:jc w:val="center"/>
              <w:rPr>
                <w:rFonts w:ascii="Segoe UI" w:hAnsi="Segoe UI" w:cs="Segoe UI"/>
                <w:i/>
                <w:iCs/>
                <w:sz w:val="20"/>
                <w:szCs w:val="20"/>
              </w:rPr>
            </w:pPr>
          </w:p>
        </w:tc>
      </w:tr>
      <w:tr w:rsidR="00096333" w:rsidRPr="00096333" w14:paraId="5ACA9254" w14:textId="77777777" w:rsidTr="00294CD0">
        <w:trPr>
          <w:trHeight w:val="300"/>
        </w:trPr>
        <w:tc>
          <w:tcPr>
            <w:tcW w:w="1429" w:type="dxa"/>
            <w:noWrap/>
            <w:hideMark/>
          </w:tcPr>
          <w:p w14:paraId="436C2B29" w14:textId="77777777" w:rsidR="00096333" w:rsidRPr="00096333" w:rsidRDefault="00096333" w:rsidP="00294CD0">
            <w:pPr>
              <w:tabs>
                <w:tab w:val="left" w:pos="1875"/>
              </w:tabs>
              <w:jc w:val="center"/>
              <w:rPr>
                <w:rFonts w:ascii="Segoe UI" w:hAnsi="Segoe UI" w:cs="Segoe UI"/>
                <w:b/>
                <w:bCs/>
                <w:i/>
                <w:iCs/>
                <w:sz w:val="20"/>
                <w:szCs w:val="20"/>
              </w:rPr>
            </w:pPr>
            <w:r w:rsidRPr="00096333">
              <w:rPr>
                <w:rFonts w:ascii="Segoe UI" w:hAnsi="Segoe UI" w:cs="Segoe UI"/>
                <w:b/>
                <w:bCs/>
                <w:i/>
                <w:iCs/>
                <w:sz w:val="20"/>
                <w:szCs w:val="20"/>
              </w:rPr>
              <w:t>France (22e)</w:t>
            </w:r>
          </w:p>
        </w:tc>
        <w:tc>
          <w:tcPr>
            <w:tcW w:w="1126" w:type="dxa"/>
            <w:noWrap/>
            <w:hideMark/>
          </w:tcPr>
          <w:p w14:paraId="27C090B3" w14:textId="77777777" w:rsidR="00096333" w:rsidRPr="00096333" w:rsidRDefault="00096333" w:rsidP="00294CD0">
            <w:pPr>
              <w:tabs>
                <w:tab w:val="left" w:pos="1875"/>
              </w:tabs>
              <w:jc w:val="center"/>
              <w:rPr>
                <w:rFonts w:ascii="Segoe UI" w:hAnsi="Segoe UI" w:cs="Segoe UI"/>
                <w:i/>
                <w:iCs/>
                <w:sz w:val="20"/>
                <w:szCs w:val="20"/>
              </w:rPr>
            </w:pPr>
            <w:r w:rsidRPr="00096333">
              <w:rPr>
                <w:rFonts w:ascii="Segoe UI" w:hAnsi="Segoe UI" w:cs="Segoe UI"/>
                <w:i/>
                <w:iCs/>
                <w:sz w:val="20"/>
                <w:szCs w:val="20"/>
              </w:rPr>
              <w:t>0,6%</w:t>
            </w:r>
          </w:p>
        </w:tc>
        <w:tc>
          <w:tcPr>
            <w:tcW w:w="1126" w:type="dxa"/>
            <w:noWrap/>
            <w:hideMark/>
          </w:tcPr>
          <w:p w14:paraId="217BDD79" w14:textId="77777777" w:rsidR="00096333" w:rsidRPr="00096333" w:rsidRDefault="00096333" w:rsidP="00294CD0">
            <w:pPr>
              <w:tabs>
                <w:tab w:val="left" w:pos="1875"/>
              </w:tabs>
              <w:jc w:val="center"/>
              <w:rPr>
                <w:rFonts w:ascii="Segoe UI" w:hAnsi="Segoe UI" w:cs="Segoe UI"/>
                <w:i/>
                <w:iCs/>
                <w:sz w:val="20"/>
                <w:szCs w:val="20"/>
              </w:rPr>
            </w:pPr>
            <w:r w:rsidRPr="00096333">
              <w:rPr>
                <w:rFonts w:ascii="Segoe UI" w:hAnsi="Segoe UI" w:cs="Segoe UI"/>
                <w:i/>
                <w:iCs/>
                <w:sz w:val="20"/>
                <w:szCs w:val="20"/>
              </w:rPr>
              <w:t>0,8%</w:t>
            </w:r>
          </w:p>
        </w:tc>
        <w:tc>
          <w:tcPr>
            <w:tcW w:w="1631" w:type="dxa"/>
            <w:noWrap/>
            <w:hideMark/>
          </w:tcPr>
          <w:p w14:paraId="27EC3882" w14:textId="77777777" w:rsidR="00096333" w:rsidRPr="00096333" w:rsidRDefault="00096333" w:rsidP="00294CD0">
            <w:pPr>
              <w:tabs>
                <w:tab w:val="left" w:pos="1875"/>
              </w:tabs>
              <w:jc w:val="center"/>
              <w:rPr>
                <w:rFonts w:ascii="Segoe UI" w:hAnsi="Segoe UI" w:cs="Segoe UI"/>
                <w:b/>
                <w:bCs/>
                <w:i/>
                <w:iCs/>
                <w:sz w:val="20"/>
                <w:szCs w:val="20"/>
              </w:rPr>
            </w:pPr>
            <w:r w:rsidRPr="00096333">
              <w:rPr>
                <w:rFonts w:ascii="Segoe UI" w:hAnsi="Segoe UI" w:cs="Segoe UI"/>
                <w:b/>
                <w:bCs/>
                <w:i/>
                <w:iCs/>
                <w:sz w:val="20"/>
                <w:szCs w:val="20"/>
              </w:rPr>
              <w:t>France</w:t>
            </w:r>
          </w:p>
        </w:tc>
        <w:tc>
          <w:tcPr>
            <w:tcW w:w="1126" w:type="dxa"/>
            <w:noWrap/>
            <w:hideMark/>
          </w:tcPr>
          <w:p w14:paraId="2C40ACFE" w14:textId="77777777" w:rsidR="00096333" w:rsidRPr="00096333" w:rsidRDefault="00096333" w:rsidP="00294CD0">
            <w:pPr>
              <w:tabs>
                <w:tab w:val="left" w:pos="1875"/>
              </w:tabs>
              <w:jc w:val="center"/>
              <w:rPr>
                <w:rFonts w:ascii="Segoe UI" w:hAnsi="Segoe UI" w:cs="Segoe UI"/>
                <w:i/>
                <w:iCs/>
                <w:sz w:val="20"/>
                <w:szCs w:val="20"/>
              </w:rPr>
            </w:pPr>
            <w:r w:rsidRPr="00096333">
              <w:rPr>
                <w:rFonts w:ascii="Segoe UI" w:hAnsi="Segoe UI" w:cs="Segoe UI"/>
                <w:i/>
                <w:iCs/>
                <w:sz w:val="20"/>
                <w:szCs w:val="20"/>
              </w:rPr>
              <w:t>1,9%</w:t>
            </w:r>
          </w:p>
        </w:tc>
        <w:tc>
          <w:tcPr>
            <w:tcW w:w="1126" w:type="dxa"/>
            <w:noWrap/>
            <w:hideMark/>
          </w:tcPr>
          <w:p w14:paraId="483956FA" w14:textId="77777777" w:rsidR="00096333" w:rsidRPr="00096333" w:rsidRDefault="00096333" w:rsidP="00294CD0">
            <w:pPr>
              <w:tabs>
                <w:tab w:val="left" w:pos="1875"/>
              </w:tabs>
              <w:jc w:val="center"/>
              <w:rPr>
                <w:rFonts w:ascii="Segoe UI" w:hAnsi="Segoe UI" w:cs="Segoe UI"/>
                <w:i/>
                <w:iCs/>
                <w:sz w:val="20"/>
                <w:szCs w:val="20"/>
              </w:rPr>
            </w:pPr>
            <w:r w:rsidRPr="00096333">
              <w:rPr>
                <w:rFonts w:ascii="Segoe UI" w:hAnsi="Segoe UI" w:cs="Segoe UI"/>
                <w:i/>
                <w:iCs/>
                <w:sz w:val="20"/>
                <w:szCs w:val="20"/>
              </w:rPr>
              <w:t>2,1%</w:t>
            </w:r>
          </w:p>
        </w:tc>
      </w:tr>
      <w:tr w:rsidR="00096333" w:rsidRPr="00096333" w14:paraId="3ECB87D3" w14:textId="77777777" w:rsidTr="00294CD0">
        <w:trPr>
          <w:trHeight w:val="328"/>
        </w:trPr>
        <w:tc>
          <w:tcPr>
            <w:tcW w:w="1429" w:type="dxa"/>
            <w:noWrap/>
          </w:tcPr>
          <w:p w14:paraId="285C94BB" w14:textId="77777777" w:rsidR="00096333" w:rsidRPr="00096333" w:rsidRDefault="00096333" w:rsidP="00294CD0">
            <w:pPr>
              <w:tabs>
                <w:tab w:val="left" w:pos="1875"/>
              </w:tabs>
              <w:jc w:val="center"/>
              <w:rPr>
                <w:rFonts w:ascii="Segoe UI" w:hAnsi="Segoe UI" w:cs="Segoe UI"/>
                <w:b/>
                <w:bCs/>
                <w:i/>
                <w:iCs/>
                <w:sz w:val="20"/>
                <w:szCs w:val="20"/>
              </w:rPr>
            </w:pPr>
            <w:r w:rsidRPr="00096333">
              <w:rPr>
                <w:rFonts w:ascii="Segoe UI" w:hAnsi="Segoe UI" w:cs="Segoe UI"/>
                <w:b/>
                <w:bCs/>
                <w:i/>
                <w:iCs/>
                <w:sz w:val="20"/>
                <w:szCs w:val="20"/>
              </w:rPr>
              <w:t xml:space="preserve">UE </w:t>
            </w:r>
          </w:p>
        </w:tc>
        <w:tc>
          <w:tcPr>
            <w:tcW w:w="1126" w:type="dxa"/>
            <w:noWrap/>
          </w:tcPr>
          <w:p w14:paraId="02C29936" w14:textId="77777777" w:rsidR="00096333" w:rsidRPr="00096333" w:rsidRDefault="00096333" w:rsidP="00294CD0">
            <w:pPr>
              <w:tabs>
                <w:tab w:val="left" w:pos="1875"/>
              </w:tabs>
              <w:jc w:val="center"/>
              <w:rPr>
                <w:rFonts w:ascii="Segoe UI" w:hAnsi="Segoe UI" w:cs="Segoe UI"/>
                <w:i/>
                <w:iCs/>
                <w:sz w:val="20"/>
                <w:szCs w:val="20"/>
              </w:rPr>
            </w:pPr>
            <w:r w:rsidRPr="00096333">
              <w:rPr>
                <w:rFonts w:ascii="Segoe UI" w:hAnsi="Segoe UI" w:cs="Segoe UI"/>
                <w:i/>
                <w:iCs/>
                <w:sz w:val="20"/>
                <w:szCs w:val="20"/>
              </w:rPr>
              <w:t>9,5%</w:t>
            </w:r>
          </w:p>
        </w:tc>
        <w:tc>
          <w:tcPr>
            <w:tcW w:w="1126" w:type="dxa"/>
            <w:noWrap/>
          </w:tcPr>
          <w:p w14:paraId="7E7C66D5" w14:textId="77777777" w:rsidR="00096333" w:rsidRPr="00096333" w:rsidRDefault="00096333" w:rsidP="00294CD0">
            <w:pPr>
              <w:tabs>
                <w:tab w:val="left" w:pos="1875"/>
              </w:tabs>
              <w:jc w:val="center"/>
              <w:rPr>
                <w:rFonts w:ascii="Segoe UI" w:hAnsi="Segoe UI" w:cs="Segoe UI"/>
                <w:i/>
                <w:iCs/>
                <w:sz w:val="20"/>
                <w:szCs w:val="20"/>
              </w:rPr>
            </w:pPr>
            <w:r w:rsidRPr="00096333">
              <w:rPr>
                <w:rFonts w:ascii="Segoe UI" w:hAnsi="Segoe UI" w:cs="Segoe UI"/>
                <w:i/>
                <w:iCs/>
                <w:sz w:val="20"/>
                <w:szCs w:val="20"/>
              </w:rPr>
              <w:t>6,5%</w:t>
            </w:r>
          </w:p>
        </w:tc>
        <w:tc>
          <w:tcPr>
            <w:tcW w:w="1631" w:type="dxa"/>
            <w:noWrap/>
          </w:tcPr>
          <w:p w14:paraId="0581FEC2" w14:textId="77777777" w:rsidR="00096333" w:rsidRPr="00096333" w:rsidRDefault="00096333" w:rsidP="00294CD0">
            <w:pPr>
              <w:tabs>
                <w:tab w:val="left" w:pos="1875"/>
              </w:tabs>
              <w:jc w:val="center"/>
              <w:rPr>
                <w:rFonts w:ascii="Segoe UI" w:hAnsi="Segoe UI" w:cs="Segoe UI"/>
                <w:b/>
                <w:bCs/>
                <w:i/>
                <w:iCs/>
                <w:sz w:val="20"/>
                <w:szCs w:val="20"/>
              </w:rPr>
            </w:pPr>
            <w:r w:rsidRPr="00096333">
              <w:rPr>
                <w:rFonts w:ascii="Segoe UI" w:hAnsi="Segoe UI" w:cs="Segoe UI"/>
                <w:b/>
                <w:bCs/>
                <w:i/>
                <w:iCs/>
                <w:sz w:val="20"/>
                <w:szCs w:val="20"/>
              </w:rPr>
              <w:t>UE</w:t>
            </w:r>
          </w:p>
        </w:tc>
        <w:tc>
          <w:tcPr>
            <w:tcW w:w="1126" w:type="dxa"/>
            <w:noWrap/>
          </w:tcPr>
          <w:p w14:paraId="671708F4" w14:textId="77777777" w:rsidR="00096333" w:rsidRPr="00096333" w:rsidRDefault="00096333" w:rsidP="00294CD0">
            <w:pPr>
              <w:tabs>
                <w:tab w:val="left" w:pos="1875"/>
              </w:tabs>
              <w:jc w:val="center"/>
              <w:rPr>
                <w:rFonts w:ascii="Segoe UI" w:hAnsi="Segoe UI" w:cs="Segoe UI"/>
                <w:i/>
                <w:iCs/>
                <w:sz w:val="20"/>
                <w:szCs w:val="20"/>
              </w:rPr>
            </w:pPr>
            <w:r w:rsidRPr="00096333">
              <w:rPr>
                <w:rFonts w:ascii="Segoe UI" w:hAnsi="Segoe UI" w:cs="Segoe UI"/>
                <w:i/>
                <w:iCs/>
                <w:sz w:val="20"/>
                <w:szCs w:val="20"/>
              </w:rPr>
              <w:t>29,6%</w:t>
            </w:r>
          </w:p>
        </w:tc>
        <w:tc>
          <w:tcPr>
            <w:tcW w:w="1126" w:type="dxa"/>
            <w:noWrap/>
          </w:tcPr>
          <w:p w14:paraId="79BF667B" w14:textId="77777777" w:rsidR="00096333" w:rsidRPr="00096333" w:rsidRDefault="00096333" w:rsidP="00294CD0">
            <w:pPr>
              <w:tabs>
                <w:tab w:val="left" w:pos="1875"/>
              </w:tabs>
              <w:jc w:val="center"/>
              <w:rPr>
                <w:rFonts w:ascii="Segoe UI" w:hAnsi="Segoe UI" w:cs="Segoe UI"/>
                <w:i/>
                <w:iCs/>
                <w:sz w:val="20"/>
                <w:szCs w:val="20"/>
              </w:rPr>
            </w:pPr>
            <w:r w:rsidRPr="00096333">
              <w:rPr>
                <w:rFonts w:ascii="Segoe UI" w:hAnsi="Segoe UI" w:cs="Segoe UI"/>
                <w:i/>
                <w:iCs/>
                <w:sz w:val="20"/>
                <w:szCs w:val="20"/>
              </w:rPr>
              <w:t>21,6%</w:t>
            </w:r>
          </w:p>
        </w:tc>
      </w:tr>
    </w:tbl>
    <w:p w14:paraId="21268F55" w14:textId="77777777" w:rsidR="00096333" w:rsidRPr="00096333" w:rsidRDefault="00096333" w:rsidP="00096333">
      <w:pPr>
        <w:tabs>
          <w:tab w:val="left" w:pos="1875"/>
        </w:tabs>
        <w:spacing w:line="240" w:lineRule="auto"/>
        <w:jc w:val="center"/>
        <w:rPr>
          <w:rFonts w:ascii="Segoe UI" w:hAnsi="Segoe UI" w:cs="Segoe UI"/>
          <w:b/>
          <w:sz w:val="20"/>
          <w:szCs w:val="20"/>
        </w:rPr>
      </w:pPr>
    </w:p>
    <w:p w14:paraId="5F557603" w14:textId="77777777" w:rsidR="00096333" w:rsidRPr="00096333" w:rsidRDefault="00096333" w:rsidP="00096333">
      <w:pPr>
        <w:tabs>
          <w:tab w:val="left" w:pos="1875"/>
        </w:tabs>
        <w:spacing w:line="240" w:lineRule="auto"/>
        <w:jc w:val="center"/>
        <w:rPr>
          <w:rFonts w:ascii="Segoe UI" w:hAnsi="Segoe UI" w:cs="Segoe UI"/>
          <w:b/>
          <w:sz w:val="20"/>
          <w:szCs w:val="20"/>
        </w:rPr>
      </w:pPr>
    </w:p>
    <w:p w14:paraId="6C9D2B87" w14:textId="77777777" w:rsidR="00096333" w:rsidRPr="00096333" w:rsidRDefault="00096333" w:rsidP="00096333">
      <w:pPr>
        <w:tabs>
          <w:tab w:val="left" w:pos="1875"/>
        </w:tabs>
        <w:spacing w:line="240" w:lineRule="auto"/>
        <w:jc w:val="center"/>
        <w:rPr>
          <w:rFonts w:ascii="Segoe UI" w:hAnsi="Segoe UI" w:cs="Segoe UI"/>
          <w:b/>
          <w:sz w:val="20"/>
          <w:szCs w:val="20"/>
        </w:rPr>
      </w:pPr>
    </w:p>
    <w:p w14:paraId="649BBD19" w14:textId="77777777" w:rsidR="00096333" w:rsidRPr="00096333" w:rsidRDefault="00096333" w:rsidP="00096333">
      <w:pPr>
        <w:tabs>
          <w:tab w:val="left" w:pos="1875"/>
        </w:tabs>
        <w:spacing w:line="240" w:lineRule="auto"/>
        <w:jc w:val="center"/>
        <w:rPr>
          <w:rFonts w:ascii="Segoe UI" w:hAnsi="Segoe UI" w:cs="Segoe UI"/>
          <w:b/>
          <w:sz w:val="20"/>
          <w:szCs w:val="20"/>
        </w:rPr>
      </w:pPr>
    </w:p>
    <w:p w14:paraId="45B24704" w14:textId="77777777" w:rsidR="00096333" w:rsidRPr="00096333" w:rsidRDefault="00096333" w:rsidP="00096333">
      <w:pPr>
        <w:tabs>
          <w:tab w:val="left" w:pos="1875"/>
        </w:tabs>
        <w:spacing w:line="240" w:lineRule="auto"/>
        <w:jc w:val="center"/>
        <w:rPr>
          <w:rFonts w:ascii="Segoe UI" w:hAnsi="Segoe UI" w:cs="Segoe UI"/>
          <w:b/>
          <w:sz w:val="20"/>
          <w:szCs w:val="20"/>
        </w:rPr>
      </w:pPr>
    </w:p>
    <w:p w14:paraId="635B439C" w14:textId="77777777" w:rsidR="00096333" w:rsidRPr="00096333" w:rsidRDefault="00096333" w:rsidP="00096333">
      <w:pPr>
        <w:tabs>
          <w:tab w:val="left" w:pos="1875"/>
        </w:tabs>
        <w:spacing w:line="240" w:lineRule="auto"/>
        <w:jc w:val="center"/>
        <w:rPr>
          <w:rFonts w:ascii="Segoe UI" w:hAnsi="Segoe UI" w:cs="Segoe UI"/>
          <w:b/>
          <w:sz w:val="20"/>
          <w:szCs w:val="20"/>
        </w:rPr>
      </w:pPr>
    </w:p>
    <w:p w14:paraId="3F3DABBC" w14:textId="77777777" w:rsidR="00096333" w:rsidRPr="00096333" w:rsidRDefault="00096333" w:rsidP="00096333">
      <w:pPr>
        <w:tabs>
          <w:tab w:val="left" w:pos="1875"/>
        </w:tabs>
        <w:spacing w:line="240" w:lineRule="auto"/>
        <w:jc w:val="center"/>
        <w:rPr>
          <w:rFonts w:ascii="Segoe UI" w:hAnsi="Segoe UI" w:cs="Segoe UI"/>
          <w:b/>
          <w:sz w:val="20"/>
          <w:szCs w:val="20"/>
        </w:rPr>
      </w:pPr>
    </w:p>
    <w:p w14:paraId="3BF23300" w14:textId="77777777" w:rsidR="00096333" w:rsidRPr="00096333" w:rsidRDefault="00096333" w:rsidP="00096333">
      <w:pPr>
        <w:tabs>
          <w:tab w:val="left" w:pos="1875"/>
        </w:tabs>
        <w:spacing w:line="240" w:lineRule="auto"/>
        <w:jc w:val="center"/>
        <w:rPr>
          <w:rFonts w:ascii="Segoe UI" w:hAnsi="Segoe UI" w:cs="Segoe UI"/>
          <w:b/>
          <w:sz w:val="20"/>
          <w:szCs w:val="20"/>
        </w:rPr>
      </w:pPr>
    </w:p>
    <w:p w14:paraId="559B4976" w14:textId="77777777" w:rsidR="00096333" w:rsidRPr="00096333" w:rsidRDefault="00096333" w:rsidP="00096333">
      <w:pPr>
        <w:tabs>
          <w:tab w:val="left" w:pos="1875"/>
        </w:tabs>
        <w:spacing w:line="240" w:lineRule="auto"/>
        <w:jc w:val="center"/>
        <w:rPr>
          <w:rFonts w:ascii="Segoe UI" w:hAnsi="Segoe UI" w:cs="Segoe UI"/>
          <w:b/>
          <w:sz w:val="20"/>
          <w:szCs w:val="20"/>
        </w:rPr>
      </w:pPr>
    </w:p>
    <w:p w14:paraId="415E1221" w14:textId="77777777" w:rsidR="00096333" w:rsidRPr="00096333" w:rsidRDefault="00096333" w:rsidP="00096333">
      <w:pPr>
        <w:tabs>
          <w:tab w:val="left" w:pos="1875"/>
        </w:tabs>
        <w:spacing w:after="120" w:line="240" w:lineRule="auto"/>
        <w:jc w:val="center"/>
        <w:rPr>
          <w:rFonts w:ascii="Segoe UI" w:hAnsi="Segoe UI" w:cs="Segoe UI"/>
          <w:b/>
          <w:sz w:val="20"/>
          <w:szCs w:val="20"/>
        </w:rPr>
      </w:pPr>
    </w:p>
    <w:p w14:paraId="50EA42CB" w14:textId="77777777" w:rsidR="00096333" w:rsidRPr="00096333" w:rsidRDefault="00096333" w:rsidP="00096333">
      <w:pPr>
        <w:tabs>
          <w:tab w:val="left" w:pos="1875"/>
        </w:tabs>
        <w:spacing w:after="120" w:line="240" w:lineRule="auto"/>
        <w:jc w:val="center"/>
        <w:rPr>
          <w:rFonts w:ascii="Segoe UI" w:hAnsi="Segoe UI" w:cs="Segoe UI"/>
          <w:b/>
          <w:sz w:val="20"/>
          <w:szCs w:val="20"/>
        </w:rPr>
      </w:pPr>
    </w:p>
    <w:p w14:paraId="46115889" w14:textId="77777777" w:rsidR="00096333" w:rsidRPr="00096333" w:rsidRDefault="00096333" w:rsidP="00096333">
      <w:pPr>
        <w:tabs>
          <w:tab w:val="left" w:pos="1875"/>
        </w:tabs>
        <w:spacing w:after="120" w:line="240" w:lineRule="auto"/>
        <w:jc w:val="center"/>
        <w:rPr>
          <w:rFonts w:ascii="Segoe UI" w:hAnsi="Segoe UI" w:cs="Segoe UI"/>
          <w:b/>
          <w:sz w:val="20"/>
          <w:szCs w:val="20"/>
        </w:rPr>
      </w:pPr>
    </w:p>
    <w:p w14:paraId="65D2F53C" w14:textId="7CAA6116" w:rsidR="00096333" w:rsidRPr="00096333" w:rsidRDefault="00096333" w:rsidP="00096333">
      <w:pPr>
        <w:tabs>
          <w:tab w:val="left" w:pos="1875"/>
        </w:tabs>
        <w:spacing w:before="240" w:after="120" w:line="240" w:lineRule="auto"/>
        <w:jc w:val="center"/>
        <w:rPr>
          <w:rFonts w:ascii="Segoe UI" w:hAnsi="Segoe UI" w:cs="Segoe UI"/>
          <w:sz w:val="20"/>
          <w:szCs w:val="20"/>
        </w:rPr>
      </w:pPr>
      <w:r w:rsidRPr="00096333">
        <w:rPr>
          <w:rFonts w:ascii="Segoe UI" w:hAnsi="Segoe UI" w:cs="Segoe UI"/>
          <w:b/>
          <w:sz w:val="20"/>
          <w:szCs w:val="20"/>
        </w:rPr>
        <w:t>Tableau 2</w:t>
      </w:r>
      <w:r w:rsidRPr="00096333">
        <w:rPr>
          <w:rFonts w:ascii="Segoe UI" w:hAnsi="Segoe UI" w:cs="Segoe UI"/>
          <w:sz w:val="20"/>
          <w:szCs w:val="20"/>
        </w:rPr>
        <w:t> : Les principaux</w:t>
      </w:r>
      <w:r w:rsidR="00F81282">
        <w:rPr>
          <w:rFonts w:ascii="Segoe UI" w:hAnsi="Segoe UI" w:cs="Segoe UI"/>
          <w:sz w:val="20"/>
          <w:szCs w:val="20"/>
        </w:rPr>
        <w:t xml:space="preserve"> biens</w:t>
      </w:r>
      <w:r w:rsidRPr="00096333">
        <w:rPr>
          <w:rFonts w:ascii="Segoe UI" w:hAnsi="Segoe UI" w:cs="Segoe UI"/>
          <w:sz w:val="20"/>
          <w:szCs w:val="20"/>
        </w:rPr>
        <w:t xml:space="preserve"> importés et exportés en 2024</w:t>
      </w:r>
    </w:p>
    <w:tbl>
      <w:tblPr>
        <w:tblStyle w:val="Grilledutableau"/>
        <w:tblW w:w="9776" w:type="dxa"/>
        <w:jc w:val="center"/>
        <w:tblLook w:val="04A0" w:firstRow="1" w:lastRow="0" w:firstColumn="1" w:lastColumn="0" w:noHBand="0" w:noVBand="1"/>
      </w:tblPr>
      <w:tblGrid>
        <w:gridCol w:w="2447"/>
        <w:gridCol w:w="976"/>
        <w:gridCol w:w="1489"/>
        <w:gridCol w:w="2313"/>
        <w:gridCol w:w="1062"/>
        <w:gridCol w:w="1489"/>
      </w:tblGrid>
      <w:tr w:rsidR="00096333" w:rsidRPr="00096333" w14:paraId="60FF02B7" w14:textId="77777777" w:rsidTr="00294CD0">
        <w:trPr>
          <w:trHeight w:val="164"/>
          <w:jc w:val="center"/>
        </w:trPr>
        <w:tc>
          <w:tcPr>
            <w:tcW w:w="4912" w:type="dxa"/>
            <w:gridSpan w:val="3"/>
          </w:tcPr>
          <w:p w14:paraId="6916FD0D" w14:textId="77777777" w:rsidR="00096333" w:rsidRPr="00096333" w:rsidRDefault="00096333" w:rsidP="00294CD0">
            <w:pPr>
              <w:tabs>
                <w:tab w:val="left" w:pos="3000"/>
              </w:tabs>
              <w:jc w:val="center"/>
              <w:rPr>
                <w:rFonts w:ascii="Segoe UI" w:hAnsi="Segoe UI" w:cs="Segoe UI"/>
                <w:b/>
                <w:sz w:val="20"/>
                <w:szCs w:val="20"/>
              </w:rPr>
            </w:pPr>
            <w:r w:rsidRPr="00096333">
              <w:rPr>
                <w:rFonts w:ascii="Segoe UI" w:hAnsi="Segoe UI" w:cs="Segoe UI"/>
                <w:b/>
                <w:sz w:val="20"/>
                <w:szCs w:val="20"/>
              </w:rPr>
              <w:t>Importations</w:t>
            </w:r>
          </w:p>
        </w:tc>
        <w:tc>
          <w:tcPr>
            <w:tcW w:w="4864" w:type="dxa"/>
            <w:gridSpan w:val="3"/>
          </w:tcPr>
          <w:p w14:paraId="31F6B809" w14:textId="77777777" w:rsidR="00096333" w:rsidRPr="00096333" w:rsidRDefault="00096333" w:rsidP="00294CD0">
            <w:pPr>
              <w:jc w:val="center"/>
              <w:rPr>
                <w:rFonts w:ascii="Segoe UI" w:hAnsi="Segoe UI" w:cs="Segoe UI"/>
                <w:b/>
                <w:sz w:val="20"/>
                <w:szCs w:val="20"/>
              </w:rPr>
            </w:pPr>
            <w:r w:rsidRPr="00096333">
              <w:rPr>
                <w:rFonts w:ascii="Segoe UI" w:hAnsi="Segoe UI" w:cs="Segoe UI"/>
                <w:b/>
                <w:sz w:val="20"/>
                <w:szCs w:val="20"/>
              </w:rPr>
              <w:t>Exportations</w:t>
            </w:r>
          </w:p>
        </w:tc>
      </w:tr>
      <w:tr w:rsidR="00096333" w:rsidRPr="00096333" w14:paraId="39E08B9D" w14:textId="77777777" w:rsidTr="00294CD0">
        <w:trPr>
          <w:trHeight w:val="320"/>
          <w:jc w:val="center"/>
        </w:trPr>
        <w:tc>
          <w:tcPr>
            <w:tcW w:w="2447" w:type="dxa"/>
          </w:tcPr>
          <w:p w14:paraId="32181154" w14:textId="77777777" w:rsidR="00096333" w:rsidRPr="00096333" w:rsidRDefault="00096333" w:rsidP="00294CD0">
            <w:pPr>
              <w:jc w:val="center"/>
              <w:rPr>
                <w:rFonts w:ascii="Segoe UI" w:hAnsi="Segoe UI" w:cs="Segoe UI"/>
                <w:b/>
                <w:sz w:val="20"/>
                <w:szCs w:val="20"/>
              </w:rPr>
            </w:pPr>
            <w:r w:rsidRPr="00096333">
              <w:rPr>
                <w:rFonts w:ascii="Segoe UI" w:hAnsi="Segoe UI" w:cs="Segoe UI"/>
                <w:b/>
                <w:sz w:val="20"/>
                <w:szCs w:val="20"/>
              </w:rPr>
              <w:t>Type</w:t>
            </w:r>
          </w:p>
        </w:tc>
        <w:tc>
          <w:tcPr>
            <w:tcW w:w="976" w:type="dxa"/>
          </w:tcPr>
          <w:p w14:paraId="605D9E1A" w14:textId="77777777" w:rsidR="00096333" w:rsidRPr="00096333" w:rsidRDefault="00096333" w:rsidP="00294CD0">
            <w:pPr>
              <w:jc w:val="center"/>
              <w:rPr>
                <w:rFonts w:ascii="Segoe UI" w:hAnsi="Segoe UI" w:cs="Segoe UI"/>
                <w:b/>
                <w:sz w:val="20"/>
                <w:szCs w:val="20"/>
              </w:rPr>
            </w:pPr>
            <w:r w:rsidRPr="00096333">
              <w:rPr>
                <w:rFonts w:ascii="Segoe UI" w:hAnsi="Segoe UI" w:cs="Segoe UI"/>
                <w:b/>
                <w:sz w:val="20"/>
                <w:szCs w:val="20"/>
              </w:rPr>
              <w:t>% du total</w:t>
            </w:r>
          </w:p>
        </w:tc>
        <w:tc>
          <w:tcPr>
            <w:tcW w:w="1489" w:type="dxa"/>
          </w:tcPr>
          <w:p w14:paraId="02873C71" w14:textId="77777777" w:rsidR="00096333" w:rsidRPr="00096333" w:rsidRDefault="00096333" w:rsidP="00294CD0">
            <w:pPr>
              <w:jc w:val="center"/>
              <w:rPr>
                <w:rFonts w:ascii="Segoe UI" w:hAnsi="Segoe UI" w:cs="Segoe UI"/>
                <w:b/>
                <w:sz w:val="20"/>
                <w:szCs w:val="20"/>
              </w:rPr>
            </w:pPr>
            <w:r w:rsidRPr="00096333">
              <w:rPr>
                <w:rFonts w:ascii="Segoe UI" w:hAnsi="Segoe UI" w:cs="Segoe UI"/>
                <w:b/>
                <w:sz w:val="20"/>
                <w:szCs w:val="20"/>
              </w:rPr>
              <w:t>Evolution (2023/2024)</w:t>
            </w:r>
          </w:p>
        </w:tc>
        <w:tc>
          <w:tcPr>
            <w:tcW w:w="2313" w:type="dxa"/>
          </w:tcPr>
          <w:p w14:paraId="19266B3B" w14:textId="77777777" w:rsidR="00096333" w:rsidRPr="00096333" w:rsidRDefault="00096333" w:rsidP="00294CD0">
            <w:pPr>
              <w:jc w:val="center"/>
              <w:rPr>
                <w:rFonts w:ascii="Segoe UI" w:hAnsi="Segoe UI" w:cs="Segoe UI"/>
                <w:b/>
                <w:sz w:val="20"/>
                <w:szCs w:val="20"/>
              </w:rPr>
            </w:pPr>
            <w:r w:rsidRPr="00096333">
              <w:rPr>
                <w:rFonts w:ascii="Segoe UI" w:hAnsi="Segoe UI" w:cs="Segoe UI"/>
                <w:b/>
                <w:sz w:val="20"/>
                <w:szCs w:val="20"/>
              </w:rPr>
              <w:t>Type</w:t>
            </w:r>
          </w:p>
        </w:tc>
        <w:tc>
          <w:tcPr>
            <w:tcW w:w="1062" w:type="dxa"/>
          </w:tcPr>
          <w:p w14:paraId="71EC8868" w14:textId="77777777" w:rsidR="00096333" w:rsidRPr="00096333" w:rsidRDefault="00096333" w:rsidP="00294CD0">
            <w:pPr>
              <w:jc w:val="center"/>
              <w:rPr>
                <w:rFonts w:ascii="Segoe UI" w:hAnsi="Segoe UI" w:cs="Segoe UI"/>
                <w:b/>
                <w:sz w:val="20"/>
                <w:szCs w:val="20"/>
              </w:rPr>
            </w:pPr>
            <w:r w:rsidRPr="00096333">
              <w:rPr>
                <w:rFonts w:ascii="Segoe UI" w:hAnsi="Segoe UI" w:cs="Segoe UI"/>
                <w:b/>
                <w:sz w:val="20"/>
                <w:szCs w:val="20"/>
              </w:rPr>
              <w:t>% du total</w:t>
            </w:r>
          </w:p>
        </w:tc>
        <w:tc>
          <w:tcPr>
            <w:tcW w:w="1489" w:type="dxa"/>
          </w:tcPr>
          <w:p w14:paraId="1A39E3B0" w14:textId="77777777" w:rsidR="00096333" w:rsidRPr="00096333" w:rsidRDefault="00096333" w:rsidP="00294CD0">
            <w:pPr>
              <w:jc w:val="center"/>
              <w:rPr>
                <w:rFonts w:ascii="Segoe UI" w:hAnsi="Segoe UI" w:cs="Segoe UI"/>
                <w:b/>
                <w:sz w:val="20"/>
                <w:szCs w:val="20"/>
              </w:rPr>
            </w:pPr>
            <w:r w:rsidRPr="00096333">
              <w:rPr>
                <w:rFonts w:ascii="Segoe UI" w:hAnsi="Segoe UI" w:cs="Segoe UI"/>
                <w:b/>
                <w:sz w:val="20"/>
                <w:szCs w:val="20"/>
              </w:rPr>
              <w:t>Evolution (2023/2024)</w:t>
            </w:r>
          </w:p>
        </w:tc>
      </w:tr>
      <w:tr w:rsidR="00096333" w:rsidRPr="00096333" w14:paraId="4AADE43D" w14:textId="77777777" w:rsidTr="00294CD0">
        <w:trPr>
          <w:trHeight w:val="485"/>
          <w:jc w:val="center"/>
        </w:trPr>
        <w:tc>
          <w:tcPr>
            <w:tcW w:w="2447" w:type="dxa"/>
          </w:tcPr>
          <w:p w14:paraId="7658D41C"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Hydrocarbures</w:t>
            </w:r>
          </w:p>
        </w:tc>
        <w:tc>
          <w:tcPr>
            <w:tcW w:w="976" w:type="dxa"/>
          </w:tcPr>
          <w:p w14:paraId="48CE1A5A"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23,1%</w:t>
            </w:r>
          </w:p>
        </w:tc>
        <w:tc>
          <w:tcPr>
            <w:tcW w:w="1489" w:type="dxa"/>
          </w:tcPr>
          <w:p w14:paraId="25D5C2FE"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-7,4%</w:t>
            </w:r>
          </w:p>
        </w:tc>
        <w:tc>
          <w:tcPr>
            <w:tcW w:w="2313" w:type="dxa"/>
          </w:tcPr>
          <w:p w14:paraId="14A64B04"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Textile</w:t>
            </w:r>
          </w:p>
        </w:tc>
        <w:tc>
          <w:tcPr>
            <w:tcW w:w="1062" w:type="dxa"/>
          </w:tcPr>
          <w:p w14:paraId="4A988988"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39,6%</w:t>
            </w:r>
          </w:p>
        </w:tc>
        <w:tc>
          <w:tcPr>
            <w:tcW w:w="1489" w:type="dxa"/>
          </w:tcPr>
          <w:p w14:paraId="58E0FF45"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+3,7%</w:t>
            </w:r>
          </w:p>
        </w:tc>
      </w:tr>
      <w:tr w:rsidR="00096333" w:rsidRPr="00096333" w14:paraId="58DD8525" w14:textId="77777777" w:rsidTr="00294CD0">
        <w:trPr>
          <w:trHeight w:val="164"/>
          <w:jc w:val="center"/>
        </w:trPr>
        <w:tc>
          <w:tcPr>
            <w:tcW w:w="2447" w:type="dxa"/>
          </w:tcPr>
          <w:p w14:paraId="0C19E0C3"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Textile</w:t>
            </w:r>
          </w:p>
        </w:tc>
        <w:tc>
          <w:tcPr>
            <w:tcW w:w="976" w:type="dxa"/>
          </w:tcPr>
          <w:p w14:paraId="57D06232"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15,1%</w:t>
            </w:r>
          </w:p>
        </w:tc>
        <w:tc>
          <w:tcPr>
            <w:tcW w:w="1489" w:type="dxa"/>
          </w:tcPr>
          <w:p w14:paraId="7053EB55"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+20,1%</w:t>
            </w:r>
          </w:p>
        </w:tc>
        <w:tc>
          <w:tcPr>
            <w:tcW w:w="2313" w:type="dxa"/>
          </w:tcPr>
          <w:p w14:paraId="5E780D8B"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Produits agricoles et agroalimentaires</w:t>
            </w:r>
          </w:p>
          <w:p w14:paraId="3EAC7C77" w14:textId="77777777" w:rsidR="00096333" w:rsidRPr="00096333" w:rsidRDefault="00096333" w:rsidP="00096333">
            <w:pPr>
              <w:pStyle w:val="Paragraphedeliste"/>
              <w:numPr>
                <w:ilvl w:val="0"/>
                <w:numId w:val="21"/>
              </w:numPr>
              <w:rPr>
                <w:rFonts w:ascii="Segoe UI" w:hAnsi="Segoe UI" w:cs="Segoe UI"/>
                <w:sz w:val="20"/>
                <w:szCs w:val="20"/>
              </w:rPr>
            </w:pPr>
            <w:r w:rsidRPr="00096333">
              <w:rPr>
                <w:rFonts w:ascii="Segoe UI" w:hAnsi="Segoe UI" w:cs="Segoe UI"/>
                <w:sz w:val="20"/>
                <w:szCs w:val="20"/>
              </w:rPr>
              <w:t>(dont thé)</w:t>
            </w:r>
          </w:p>
        </w:tc>
        <w:tc>
          <w:tcPr>
            <w:tcW w:w="1062" w:type="dxa"/>
          </w:tcPr>
          <w:p w14:paraId="7A2FBB71"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26,8%</w:t>
            </w:r>
          </w:p>
          <w:p w14:paraId="1436D291" w14:textId="77777777" w:rsidR="00096333" w:rsidRPr="00096333" w:rsidRDefault="00096333" w:rsidP="00294CD0">
            <w:pPr>
              <w:jc w:val="center"/>
              <w:rPr>
                <w:rFonts w:ascii="Segoe UI" w:hAnsi="Segoe UI" w:cs="Segoe UI"/>
                <w:sz w:val="20"/>
                <w:szCs w:val="20"/>
              </w:rPr>
            </w:pPr>
          </w:p>
          <w:p w14:paraId="1638C98A"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(11,2%)</w:t>
            </w:r>
          </w:p>
        </w:tc>
        <w:tc>
          <w:tcPr>
            <w:tcW w:w="1489" w:type="dxa"/>
          </w:tcPr>
          <w:p w14:paraId="1B9863D7"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+10,5%</w:t>
            </w:r>
          </w:p>
          <w:p w14:paraId="403AE521" w14:textId="77777777" w:rsidR="00096333" w:rsidRPr="00096333" w:rsidRDefault="00096333" w:rsidP="00294CD0">
            <w:pPr>
              <w:jc w:val="center"/>
              <w:rPr>
                <w:rFonts w:ascii="Segoe UI" w:hAnsi="Segoe UI" w:cs="Segoe UI"/>
                <w:sz w:val="20"/>
                <w:szCs w:val="20"/>
              </w:rPr>
            </w:pPr>
          </w:p>
          <w:p w14:paraId="2E74FB68"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(+9,6%)</w:t>
            </w:r>
          </w:p>
        </w:tc>
      </w:tr>
      <w:tr w:rsidR="00096333" w:rsidRPr="00096333" w14:paraId="1DBF9799" w14:textId="77777777" w:rsidTr="00294CD0">
        <w:trPr>
          <w:trHeight w:val="164"/>
          <w:jc w:val="center"/>
        </w:trPr>
        <w:tc>
          <w:tcPr>
            <w:tcW w:w="2447" w:type="dxa"/>
          </w:tcPr>
          <w:p w14:paraId="4549B768"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Machines et équipements</w:t>
            </w:r>
          </w:p>
        </w:tc>
        <w:tc>
          <w:tcPr>
            <w:tcW w:w="976" w:type="dxa"/>
          </w:tcPr>
          <w:p w14:paraId="380DD7E4"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12,5%</w:t>
            </w:r>
          </w:p>
        </w:tc>
        <w:tc>
          <w:tcPr>
            <w:tcW w:w="1489" w:type="dxa"/>
          </w:tcPr>
          <w:p w14:paraId="062007C5"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+26,5%</w:t>
            </w:r>
          </w:p>
        </w:tc>
        <w:tc>
          <w:tcPr>
            <w:tcW w:w="2313" w:type="dxa"/>
          </w:tcPr>
          <w:p w14:paraId="15D6BE0D"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Produits pétroliers</w:t>
            </w:r>
          </w:p>
        </w:tc>
        <w:tc>
          <w:tcPr>
            <w:tcW w:w="1062" w:type="dxa"/>
          </w:tcPr>
          <w:p w14:paraId="6A45B603"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8,3%</w:t>
            </w:r>
          </w:p>
        </w:tc>
        <w:tc>
          <w:tcPr>
            <w:tcW w:w="1489" w:type="dxa"/>
          </w:tcPr>
          <w:p w14:paraId="0F648143"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+97,2%</w:t>
            </w:r>
          </w:p>
        </w:tc>
      </w:tr>
      <w:tr w:rsidR="00096333" w:rsidRPr="00096333" w14:paraId="314C53DC" w14:textId="77777777" w:rsidTr="00294CD0">
        <w:trPr>
          <w:trHeight w:val="164"/>
          <w:jc w:val="center"/>
        </w:trPr>
        <w:tc>
          <w:tcPr>
            <w:tcW w:w="2447" w:type="dxa"/>
          </w:tcPr>
          <w:p w14:paraId="5A277B28"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Produits agricoles et agroalimentaires</w:t>
            </w:r>
          </w:p>
        </w:tc>
        <w:tc>
          <w:tcPr>
            <w:tcW w:w="976" w:type="dxa"/>
          </w:tcPr>
          <w:p w14:paraId="37AC9EAC"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10,2%</w:t>
            </w:r>
          </w:p>
        </w:tc>
        <w:tc>
          <w:tcPr>
            <w:tcW w:w="1489" w:type="dxa"/>
          </w:tcPr>
          <w:p w14:paraId="745010F6"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+13,1%</w:t>
            </w:r>
          </w:p>
        </w:tc>
        <w:tc>
          <w:tcPr>
            <w:tcW w:w="2313" w:type="dxa"/>
          </w:tcPr>
          <w:p w14:paraId="3EA79D76"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Produits à base de caoutchouc</w:t>
            </w:r>
          </w:p>
        </w:tc>
        <w:tc>
          <w:tcPr>
            <w:tcW w:w="1062" w:type="dxa"/>
          </w:tcPr>
          <w:p w14:paraId="3F508784"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7,6%</w:t>
            </w:r>
          </w:p>
        </w:tc>
        <w:tc>
          <w:tcPr>
            <w:tcW w:w="1489" w:type="dxa"/>
          </w:tcPr>
          <w:p w14:paraId="0F6BB004"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+8,1%</w:t>
            </w:r>
          </w:p>
        </w:tc>
      </w:tr>
      <w:tr w:rsidR="00096333" w:rsidRPr="00096333" w14:paraId="39BB5166" w14:textId="77777777" w:rsidTr="00294CD0">
        <w:trPr>
          <w:trHeight w:val="154"/>
          <w:jc w:val="center"/>
        </w:trPr>
        <w:tc>
          <w:tcPr>
            <w:tcW w:w="2447" w:type="dxa"/>
          </w:tcPr>
          <w:p w14:paraId="5839E08F"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Matériaux de construction</w:t>
            </w:r>
          </w:p>
        </w:tc>
        <w:tc>
          <w:tcPr>
            <w:tcW w:w="976" w:type="dxa"/>
          </w:tcPr>
          <w:p w14:paraId="3F68AC49"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4,9%</w:t>
            </w:r>
          </w:p>
        </w:tc>
        <w:tc>
          <w:tcPr>
            <w:tcW w:w="1489" w:type="dxa"/>
          </w:tcPr>
          <w:p w14:paraId="2DA63A4C"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+19,6%</w:t>
            </w:r>
          </w:p>
        </w:tc>
        <w:tc>
          <w:tcPr>
            <w:tcW w:w="2313" w:type="dxa"/>
          </w:tcPr>
          <w:p w14:paraId="5D173DEA"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Produits pétroliers</w:t>
            </w:r>
          </w:p>
        </w:tc>
        <w:tc>
          <w:tcPr>
            <w:tcW w:w="1062" w:type="dxa"/>
          </w:tcPr>
          <w:p w14:paraId="5FAF1EB6"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568</w:t>
            </w:r>
          </w:p>
        </w:tc>
        <w:tc>
          <w:tcPr>
            <w:tcW w:w="1489" w:type="dxa"/>
          </w:tcPr>
          <w:p w14:paraId="5C3A0AC0" w14:textId="77777777" w:rsidR="00096333" w:rsidRPr="00096333" w:rsidRDefault="00096333" w:rsidP="00294CD0">
            <w:pPr>
              <w:jc w:val="center"/>
              <w:rPr>
                <w:rFonts w:ascii="Segoe UI" w:hAnsi="Segoe UI" w:cs="Segoe UI"/>
                <w:sz w:val="20"/>
                <w:szCs w:val="20"/>
              </w:rPr>
            </w:pPr>
            <w:r w:rsidRPr="00096333">
              <w:rPr>
                <w:rFonts w:ascii="Segoe UI" w:hAnsi="Segoe UI" w:cs="Segoe UI"/>
                <w:sz w:val="20"/>
                <w:szCs w:val="20"/>
              </w:rPr>
              <w:t>+12,2%</w:t>
            </w:r>
          </w:p>
        </w:tc>
      </w:tr>
    </w:tbl>
    <w:p w14:paraId="4AB6049F" w14:textId="77777777" w:rsidR="00096333" w:rsidRPr="00096333" w:rsidRDefault="00096333" w:rsidP="00096333">
      <w:pPr>
        <w:spacing w:before="120" w:after="0"/>
        <w:rPr>
          <w:rFonts w:ascii="Segoe UI" w:hAnsi="Segoe UI" w:cs="Segoe UI"/>
          <w:b/>
          <w:sz w:val="20"/>
          <w:szCs w:val="20"/>
        </w:rPr>
      </w:pPr>
    </w:p>
    <w:sectPr w:rsidR="00096333" w:rsidRPr="00096333" w:rsidSect="00415F39">
      <w:endnotePr>
        <w:numFmt w:val="decimal"/>
      </w:endnotePr>
      <w:pgSz w:w="11906" w:h="16838"/>
      <w:pgMar w:top="709" w:right="1274"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676EC" w14:textId="77777777" w:rsidR="009A226D" w:rsidRDefault="009A226D" w:rsidP="001C2361">
      <w:pPr>
        <w:spacing w:after="0" w:line="240" w:lineRule="auto"/>
      </w:pPr>
      <w:r>
        <w:separator/>
      </w:r>
    </w:p>
  </w:endnote>
  <w:endnote w:type="continuationSeparator" w:id="0">
    <w:p w14:paraId="713C93E1" w14:textId="77777777" w:rsidR="009A226D" w:rsidRDefault="009A226D"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Times New Roman (Corp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0186D" w14:textId="77777777" w:rsidR="009A226D" w:rsidRDefault="009A226D" w:rsidP="001C2361">
      <w:pPr>
        <w:spacing w:after="0" w:line="240" w:lineRule="auto"/>
      </w:pPr>
      <w:r>
        <w:separator/>
      </w:r>
    </w:p>
  </w:footnote>
  <w:footnote w:type="continuationSeparator" w:id="0">
    <w:p w14:paraId="274554CF" w14:textId="77777777" w:rsidR="009A226D" w:rsidRDefault="009A226D" w:rsidP="001C2361">
      <w:pPr>
        <w:spacing w:after="0" w:line="240" w:lineRule="auto"/>
      </w:pPr>
      <w:r>
        <w:continuationSeparator/>
      </w:r>
    </w:p>
  </w:footnote>
  <w:footnote w:id="1">
    <w:p w14:paraId="29B47610" w14:textId="77777777" w:rsidR="00096333" w:rsidRDefault="00096333" w:rsidP="00096333">
      <w:pPr>
        <w:pStyle w:val="Notedebasdepage"/>
      </w:pPr>
      <w:r>
        <w:rPr>
          <w:rStyle w:val="Appelnotedebasdep"/>
        </w:rPr>
        <w:footnoteRef/>
      </w:r>
      <w:r>
        <w:t xml:space="preserve"> Bangladesh, Bhoutan, Inde, Maldives, Népal, Pakistan</w:t>
      </w:r>
    </w:p>
  </w:footnote>
  <w:footnote w:id="2">
    <w:p w14:paraId="0B221543" w14:textId="57DDD734" w:rsidR="00096333" w:rsidRDefault="00096333" w:rsidP="00096333">
      <w:pPr>
        <w:pStyle w:val="Notedebasdepage"/>
      </w:pPr>
      <w:r>
        <w:rPr>
          <w:rStyle w:val="Appelnotedebasdep"/>
        </w:rPr>
        <w:footnoteRef/>
      </w:r>
      <w:r>
        <w:t xml:space="preserve"> Inde, Pakistan, Afg</w:t>
      </w:r>
      <w:r w:rsidR="00C71F7B">
        <w:t>h</w:t>
      </w:r>
      <w:r>
        <w:t>anistan, Bangladesh, Bhoutan, Maldives et Népal</w:t>
      </w:r>
    </w:p>
  </w:footnote>
  <w:footnote w:id="3">
    <w:p w14:paraId="35966FD3" w14:textId="77777777" w:rsidR="00096333" w:rsidRDefault="00096333" w:rsidP="00096333">
      <w:pPr>
        <w:pStyle w:val="Notedebasdepage"/>
      </w:pPr>
      <w:r>
        <w:rPr>
          <w:rStyle w:val="Appelnotedebasdep"/>
        </w:rPr>
        <w:footnoteRef/>
      </w:r>
      <w:r>
        <w:t xml:space="preserve"> Bangladesh, Chine, Inde, Corée du Sud, Laos et Mongolie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EE0"/>
    <w:multiLevelType w:val="hybridMultilevel"/>
    <w:tmpl w:val="3B42BF0A"/>
    <w:lvl w:ilvl="0" w:tplc="C152E658">
      <w:start w:val="1"/>
      <w:numFmt w:val="lowerLetter"/>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2"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4577E0"/>
    <w:multiLevelType w:val="hybridMultilevel"/>
    <w:tmpl w:val="22BAA7EA"/>
    <w:lvl w:ilvl="0" w:tplc="57B6594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5" w15:restartNumberingAfterBreak="0">
    <w:nsid w:val="139457D1"/>
    <w:multiLevelType w:val="hybridMultilevel"/>
    <w:tmpl w:val="784C5D20"/>
    <w:lvl w:ilvl="0" w:tplc="0EF8A5D6">
      <w:start w:val="23"/>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3122AD1"/>
    <w:multiLevelType w:val="hybridMultilevel"/>
    <w:tmpl w:val="3762F328"/>
    <w:lvl w:ilvl="0" w:tplc="FBDCF0CA">
      <w:start w:val="1"/>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1"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7732EB"/>
    <w:multiLevelType w:val="hybridMultilevel"/>
    <w:tmpl w:val="48ECF45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19" w15:restartNumberingAfterBreak="0">
    <w:nsid w:val="77391B68"/>
    <w:multiLevelType w:val="hybridMultilevel"/>
    <w:tmpl w:val="87FC47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0"/>
  </w:num>
  <w:num w:numId="6">
    <w:abstractNumId w:val="17"/>
  </w:num>
  <w:num w:numId="7">
    <w:abstractNumId w:val="8"/>
  </w:num>
  <w:num w:numId="8">
    <w:abstractNumId w:val="7"/>
  </w:num>
  <w:num w:numId="9">
    <w:abstractNumId w:val="2"/>
  </w:num>
  <w:num w:numId="10">
    <w:abstractNumId w:val="12"/>
  </w:num>
  <w:num w:numId="11">
    <w:abstractNumId w:val="9"/>
  </w:num>
  <w:num w:numId="12">
    <w:abstractNumId w:val="1"/>
  </w:num>
  <w:num w:numId="13">
    <w:abstractNumId w:val="4"/>
  </w:num>
  <w:num w:numId="14">
    <w:abstractNumId w:val="15"/>
  </w:num>
  <w:num w:numId="15">
    <w:abstractNumId w:val="10"/>
  </w:num>
  <w:num w:numId="16">
    <w:abstractNumId w:val="3"/>
  </w:num>
  <w:num w:numId="17">
    <w:abstractNumId w:val="5"/>
  </w:num>
  <w:num w:numId="18">
    <w:abstractNumId w:val="19"/>
  </w:num>
  <w:num w:numId="19">
    <w:abstractNumId w:val="13"/>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64C1"/>
    <w:rsid w:val="00006D9E"/>
    <w:rsid w:val="00006E50"/>
    <w:rsid w:val="00011240"/>
    <w:rsid w:val="00020EE2"/>
    <w:rsid w:val="00022880"/>
    <w:rsid w:val="00022F44"/>
    <w:rsid w:val="00031533"/>
    <w:rsid w:val="00045CF8"/>
    <w:rsid w:val="00050225"/>
    <w:rsid w:val="000534EC"/>
    <w:rsid w:val="00064115"/>
    <w:rsid w:val="000676F2"/>
    <w:rsid w:val="00071F97"/>
    <w:rsid w:val="000763B3"/>
    <w:rsid w:val="00080037"/>
    <w:rsid w:val="00096333"/>
    <w:rsid w:val="00097777"/>
    <w:rsid w:val="000A1918"/>
    <w:rsid w:val="000B0835"/>
    <w:rsid w:val="000C5C9A"/>
    <w:rsid w:val="000E1E2F"/>
    <w:rsid w:val="000E7793"/>
    <w:rsid w:val="000F2C4E"/>
    <w:rsid w:val="00100569"/>
    <w:rsid w:val="00100C95"/>
    <w:rsid w:val="001105E1"/>
    <w:rsid w:val="001109EF"/>
    <w:rsid w:val="00111C32"/>
    <w:rsid w:val="0012430D"/>
    <w:rsid w:val="00130344"/>
    <w:rsid w:val="00134DE8"/>
    <w:rsid w:val="001360A8"/>
    <w:rsid w:val="00147754"/>
    <w:rsid w:val="001505C0"/>
    <w:rsid w:val="00152C27"/>
    <w:rsid w:val="00172DE0"/>
    <w:rsid w:val="00175E92"/>
    <w:rsid w:val="00177794"/>
    <w:rsid w:val="00180A83"/>
    <w:rsid w:val="00184135"/>
    <w:rsid w:val="0019173B"/>
    <w:rsid w:val="0019280B"/>
    <w:rsid w:val="001A1A43"/>
    <w:rsid w:val="001A1CD5"/>
    <w:rsid w:val="001A5A37"/>
    <w:rsid w:val="001B1CF0"/>
    <w:rsid w:val="001B27B9"/>
    <w:rsid w:val="001C100F"/>
    <w:rsid w:val="001C2361"/>
    <w:rsid w:val="001C5F2D"/>
    <w:rsid w:val="001E4D67"/>
    <w:rsid w:val="001F235A"/>
    <w:rsid w:val="001F2D7C"/>
    <w:rsid w:val="001F4DBB"/>
    <w:rsid w:val="002048B4"/>
    <w:rsid w:val="00223554"/>
    <w:rsid w:val="00225798"/>
    <w:rsid w:val="00237439"/>
    <w:rsid w:val="00246C65"/>
    <w:rsid w:val="00250F27"/>
    <w:rsid w:val="002550BB"/>
    <w:rsid w:val="00255F30"/>
    <w:rsid w:val="00257E48"/>
    <w:rsid w:val="002762C9"/>
    <w:rsid w:val="00281BCD"/>
    <w:rsid w:val="0028390D"/>
    <w:rsid w:val="002A02A2"/>
    <w:rsid w:val="002D13A2"/>
    <w:rsid w:val="002D4C04"/>
    <w:rsid w:val="002E6890"/>
    <w:rsid w:val="002E7383"/>
    <w:rsid w:val="002F210F"/>
    <w:rsid w:val="0030017B"/>
    <w:rsid w:val="00301021"/>
    <w:rsid w:val="0030148A"/>
    <w:rsid w:val="00304863"/>
    <w:rsid w:val="00313406"/>
    <w:rsid w:val="00317870"/>
    <w:rsid w:val="00323A4A"/>
    <w:rsid w:val="003257BD"/>
    <w:rsid w:val="0033036F"/>
    <w:rsid w:val="00330428"/>
    <w:rsid w:val="00331019"/>
    <w:rsid w:val="00332310"/>
    <w:rsid w:val="003339CE"/>
    <w:rsid w:val="003407BF"/>
    <w:rsid w:val="00341E94"/>
    <w:rsid w:val="00341EC1"/>
    <w:rsid w:val="00344131"/>
    <w:rsid w:val="00347F9E"/>
    <w:rsid w:val="00351E1C"/>
    <w:rsid w:val="00377143"/>
    <w:rsid w:val="00377431"/>
    <w:rsid w:val="003847EC"/>
    <w:rsid w:val="00384B3F"/>
    <w:rsid w:val="003A1D94"/>
    <w:rsid w:val="003A4872"/>
    <w:rsid w:val="003A7EB8"/>
    <w:rsid w:val="003B1A22"/>
    <w:rsid w:val="003B33D3"/>
    <w:rsid w:val="003C2F51"/>
    <w:rsid w:val="003D2AD3"/>
    <w:rsid w:val="003D5550"/>
    <w:rsid w:val="003D6537"/>
    <w:rsid w:val="0040330E"/>
    <w:rsid w:val="00406D60"/>
    <w:rsid w:val="00415F39"/>
    <w:rsid w:val="00426E12"/>
    <w:rsid w:val="004311AF"/>
    <w:rsid w:val="004372C1"/>
    <w:rsid w:val="00450D73"/>
    <w:rsid w:val="00452C51"/>
    <w:rsid w:val="00457B18"/>
    <w:rsid w:val="00463378"/>
    <w:rsid w:val="004716CD"/>
    <w:rsid w:val="00471702"/>
    <w:rsid w:val="00472C6F"/>
    <w:rsid w:val="00490640"/>
    <w:rsid w:val="004908E5"/>
    <w:rsid w:val="00490B3C"/>
    <w:rsid w:val="004919E8"/>
    <w:rsid w:val="00496D10"/>
    <w:rsid w:val="004A28DB"/>
    <w:rsid w:val="004B0D65"/>
    <w:rsid w:val="004C3273"/>
    <w:rsid w:val="004D444C"/>
    <w:rsid w:val="004D7C76"/>
    <w:rsid w:val="004E6C1A"/>
    <w:rsid w:val="004E6DB3"/>
    <w:rsid w:val="004E7972"/>
    <w:rsid w:val="004F211B"/>
    <w:rsid w:val="005066FB"/>
    <w:rsid w:val="005077FB"/>
    <w:rsid w:val="00532CDF"/>
    <w:rsid w:val="00532CE3"/>
    <w:rsid w:val="00533C10"/>
    <w:rsid w:val="00541AB4"/>
    <w:rsid w:val="00543CA9"/>
    <w:rsid w:val="00545FE6"/>
    <w:rsid w:val="00557E89"/>
    <w:rsid w:val="00561CC4"/>
    <w:rsid w:val="00570D3F"/>
    <w:rsid w:val="00575F99"/>
    <w:rsid w:val="005806A2"/>
    <w:rsid w:val="00581DDD"/>
    <w:rsid w:val="00584799"/>
    <w:rsid w:val="00590894"/>
    <w:rsid w:val="00591EEF"/>
    <w:rsid w:val="0059242E"/>
    <w:rsid w:val="00595003"/>
    <w:rsid w:val="005A1ECF"/>
    <w:rsid w:val="005A5D69"/>
    <w:rsid w:val="005B16AF"/>
    <w:rsid w:val="005B28D9"/>
    <w:rsid w:val="005B3D40"/>
    <w:rsid w:val="005C4075"/>
    <w:rsid w:val="005D1ACB"/>
    <w:rsid w:val="005E6FED"/>
    <w:rsid w:val="005F3966"/>
    <w:rsid w:val="005F6235"/>
    <w:rsid w:val="00610942"/>
    <w:rsid w:val="00616EE2"/>
    <w:rsid w:val="00627753"/>
    <w:rsid w:val="00632692"/>
    <w:rsid w:val="00641868"/>
    <w:rsid w:val="006477A2"/>
    <w:rsid w:val="006600F3"/>
    <w:rsid w:val="00663E46"/>
    <w:rsid w:val="006A0293"/>
    <w:rsid w:val="006A3795"/>
    <w:rsid w:val="006B18EE"/>
    <w:rsid w:val="006B4AE0"/>
    <w:rsid w:val="006B5511"/>
    <w:rsid w:val="006D209E"/>
    <w:rsid w:val="006D4D83"/>
    <w:rsid w:val="006D5874"/>
    <w:rsid w:val="006E40BB"/>
    <w:rsid w:val="006E40EC"/>
    <w:rsid w:val="006E6805"/>
    <w:rsid w:val="006E6FA7"/>
    <w:rsid w:val="006F4CCE"/>
    <w:rsid w:val="006F6043"/>
    <w:rsid w:val="00706D2B"/>
    <w:rsid w:val="0071067D"/>
    <w:rsid w:val="00713D95"/>
    <w:rsid w:val="007209E2"/>
    <w:rsid w:val="007241D4"/>
    <w:rsid w:val="00727D83"/>
    <w:rsid w:val="0073215D"/>
    <w:rsid w:val="0073377D"/>
    <w:rsid w:val="00733B08"/>
    <w:rsid w:val="00733CCE"/>
    <w:rsid w:val="00743DD2"/>
    <w:rsid w:val="00745853"/>
    <w:rsid w:val="00750431"/>
    <w:rsid w:val="00754E7E"/>
    <w:rsid w:val="00756A18"/>
    <w:rsid w:val="0077520D"/>
    <w:rsid w:val="00776C9A"/>
    <w:rsid w:val="00777884"/>
    <w:rsid w:val="007802BB"/>
    <w:rsid w:val="00781BFC"/>
    <w:rsid w:val="0078229D"/>
    <w:rsid w:val="007855F6"/>
    <w:rsid w:val="00786241"/>
    <w:rsid w:val="00787921"/>
    <w:rsid w:val="00791423"/>
    <w:rsid w:val="007939AE"/>
    <w:rsid w:val="007952D4"/>
    <w:rsid w:val="00797604"/>
    <w:rsid w:val="007A352F"/>
    <w:rsid w:val="007B0159"/>
    <w:rsid w:val="007B4BC5"/>
    <w:rsid w:val="007B74A6"/>
    <w:rsid w:val="007C3111"/>
    <w:rsid w:val="007E456F"/>
    <w:rsid w:val="007E50B1"/>
    <w:rsid w:val="007E6D56"/>
    <w:rsid w:val="007F4001"/>
    <w:rsid w:val="007F55EB"/>
    <w:rsid w:val="007F6278"/>
    <w:rsid w:val="007F632E"/>
    <w:rsid w:val="008029D3"/>
    <w:rsid w:val="00813098"/>
    <w:rsid w:val="00816CD2"/>
    <w:rsid w:val="00847CE8"/>
    <w:rsid w:val="008523C9"/>
    <w:rsid w:val="0086046C"/>
    <w:rsid w:val="00870973"/>
    <w:rsid w:val="00872358"/>
    <w:rsid w:val="0088232B"/>
    <w:rsid w:val="00890E59"/>
    <w:rsid w:val="008918AF"/>
    <w:rsid w:val="008924BF"/>
    <w:rsid w:val="00892CFF"/>
    <w:rsid w:val="008A299F"/>
    <w:rsid w:val="008A3AD5"/>
    <w:rsid w:val="008B697B"/>
    <w:rsid w:val="008C4F91"/>
    <w:rsid w:val="008D35EE"/>
    <w:rsid w:val="008D4440"/>
    <w:rsid w:val="008E048F"/>
    <w:rsid w:val="008E1707"/>
    <w:rsid w:val="008E3942"/>
    <w:rsid w:val="008F7A1E"/>
    <w:rsid w:val="00914DC5"/>
    <w:rsid w:val="00920915"/>
    <w:rsid w:val="009210BC"/>
    <w:rsid w:val="009233E1"/>
    <w:rsid w:val="00924ECB"/>
    <w:rsid w:val="0092634F"/>
    <w:rsid w:val="00932313"/>
    <w:rsid w:val="009352D1"/>
    <w:rsid w:val="00940BCE"/>
    <w:rsid w:val="00952A36"/>
    <w:rsid w:val="009558AE"/>
    <w:rsid w:val="00957E6E"/>
    <w:rsid w:val="0096411F"/>
    <w:rsid w:val="00965841"/>
    <w:rsid w:val="0096625D"/>
    <w:rsid w:val="00971B84"/>
    <w:rsid w:val="009770F2"/>
    <w:rsid w:val="00981726"/>
    <w:rsid w:val="00985384"/>
    <w:rsid w:val="009854A7"/>
    <w:rsid w:val="00985A53"/>
    <w:rsid w:val="009A226D"/>
    <w:rsid w:val="009A5CB7"/>
    <w:rsid w:val="009B0DDF"/>
    <w:rsid w:val="009B7F35"/>
    <w:rsid w:val="009D2CA8"/>
    <w:rsid w:val="009D65B6"/>
    <w:rsid w:val="009E699A"/>
    <w:rsid w:val="009F118B"/>
    <w:rsid w:val="009F2D21"/>
    <w:rsid w:val="00A0197D"/>
    <w:rsid w:val="00A073CB"/>
    <w:rsid w:val="00A0743B"/>
    <w:rsid w:val="00A164E0"/>
    <w:rsid w:val="00A16E6F"/>
    <w:rsid w:val="00A2007D"/>
    <w:rsid w:val="00A233D7"/>
    <w:rsid w:val="00A27EA0"/>
    <w:rsid w:val="00A35142"/>
    <w:rsid w:val="00A413F3"/>
    <w:rsid w:val="00A4344F"/>
    <w:rsid w:val="00A77FA9"/>
    <w:rsid w:val="00A92617"/>
    <w:rsid w:val="00AA020A"/>
    <w:rsid w:val="00AA5DA2"/>
    <w:rsid w:val="00AA684E"/>
    <w:rsid w:val="00AB3252"/>
    <w:rsid w:val="00AB48A8"/>
    <w:rsid w:val="00AC17E1"/>
    <w:rsid w:val="00AE00C8"/>
    <w:rsid w:val="00B02AE3"/>
    <w:rsid w:val="00B136F5"/>
    <w:rsid w:val="00B16C2B"/>
    <w:rsid w:val="00B30489"/>
    <w:rsid w:val="00B343C4"/>
    <w:rsid w:val="00B4148F"/>
    <w:rsid w:val="00B454D0"/>
    <w:rsid w:val="00B6555F"/>
    <w:rsid w:val="00B754E5"/>
    <w:rsid w:val="00B95CDB"/>
    <w:rsid w:val="00BA5EF8"/>
    <w:rsid w:val="00BA7283"/>
    <w:rsid w:val="00BB069D"/>
    <w:rsid w:val="00BB12C7"/>
    <w:rsid w:val="00BE0854"/>
    <w:rsid w:val="00BE7CCA"/>
    <w:rsid w:val="00BF447D"/>
    <w:rsid w:val="00BF4E9B"/>
    <w:rsid w:val="00BF7428"/>
    <w:rsid w:val="00BF7AE1"/>
    <w:rsid w:val="00C17508"/>
    <w:rsid w:val="00C264C8"/>
    <w:rsid w:val="00C26A1B"/>
    <w:rsid w:val="00C34A5E"/>
    <w:rsid w:val="00C3555F"/>
    <w:rsid w:val="00C41E6D"/>
    <w:rsid w:val="00C42AD3"/>
    <w:rsid w:val="00C45948"/>
    <w:rsid w:val="00C71F7B"/>
    <w:rsid w:val="00C9503E"/>
    <w:rsid w:val="00CA0084"/>
    <w:rsid w:val="00CA0BF9"/>
    <w:rsid w:val="00CA50BD"/>
    <w:rsid w:val="00CA5F26"/>
    <w:rsid w:val="00CB137F"/>
    <w:rsid w:val="00CB51F4"/>
    <w:rsid w:val="00CB59C8"/>
    <w:rsid w:val="00CC1270"/>
    <w:rsid w:val="00CC314E"/>
    <w:rsid w:val="00CC3768"/>
    <w:rsid w:val="00CC37AF"/>
    <w:rsid w:val="00CD1F5E"/>
    <w:rsid w:val="00CD524A"/>
    <w:rsid w:val="00CF2A11"/>
    <w:rsid w:val="00CF49B9"/>
    <w:rsid w:val="00D047A7"/>
    <w:rsid w:val="00D11E72"/>
    <w:rsid w:val="00D13547"/>
    <w:rsid w:val="00D21565"/>
    <w:rsid w:val="00D309B8"/>
    <w:rsid w:val="00D6187C"/>
    <w:rsid w:val="00D62BB6"/>
    <w:rsid w:val="00D647F8"/>
    <w:rsid w:val="00D75547"/>
    <w:rsid w:val="00D7794E"/>
    <w:rsid w:val="00D82E2E"/>
    <w:rsid w:val="00D84F48"/>
    <w:rsid w:val="00D8590D"/>
    <w:rsid w:val="00D87853"/>
    <w:rsid w:val="00D91814"/>
    <w:rsid w:val="00D9438C"/>
    <w:rsid w:val="00DA218D"/>
    <w:rsid w:val="00DB3A59"/>
    <w:rsid w:val="00DB3E4A"/>
    <w:rsid w:val="00DB4B5B"/>
    <w:rsid w:val="00DB784A"/>
    <w:rsid w:val="00DD38B0"/>
    <w:rsid w:val="00DD74D2"/>
    <w:rsid w:val="00DE5AE7"/>
    <w:rsid w:val="00E01524"/>
    <w:rsid w:val="00E07DE5"/>
    <w:rsid w:val="00E12D9E"/>
    <w:rsid w:val="00E17D80"/>
    <w:rsid w:val="00E2222E"/>
    <w:rsid w:val="00E23C6C"/>
    <w:rsid w:val="00E273AF"/>
    <w:rsid w:val="00E40931"/>
    <w:rsid w:val="00E55039"/>
    <w:rsid w:val="00E73D15"/>
    <w:rsid w:val="00E81403"/>
    <w:rsid w:val="00E909BE"/>
    <w:rsid w:val="00E9379E"/>
    <w:rsid w:val="00E95F3D"/>
    <w:rsid w:val="00EA31C5"/>
    <w:rsid w:val="00EB1FBA"/>
    <w:rsid w:val="00EB3A6F"/>
    <w:rsid w:val="00EC3104"/>
    <w:rsid w:val="00EC6882"/>
    <w:rsid w:val="00EC769F"/>
    <w:rsid w:val="00ED6277"/>
    <w:rsid w:val="00ED7BA8"/>
    <w:rsid w:val="00EE1318"/>
    <w:rsid w:val="00F05AE8"/>
    <w:rsid w:val="00F063F5"/>
    <w:rsid w:val="00F15ADF"/>
    <w:rsid w:val="00F168E2"/>
    <w:rsid w:val="00F26F9A"/>
    <w:rsid w:val="00F27D42"/>
    <w:rsid w:val="00F32FC3"/>
    <w:rsid w:val="00F4255E"/>
    <w:rsid w:val="00F43D4E"/>
    <w:rsid w:val="00F44858"/>
    <w:rsid w:val="00F61170"/>
    <w:rsid w:val="00F676DD"/>
    <w:rsid w:val="00F76EDA"/>
    <w:rsid w:val="00F81282"/>
    <w:rsid w:val="00F90A47"/>
    <w:rsid w:val="00F91C9D"/>
    <w:rsid w:val="00F93864"/>
    <w:rsid w:val="00FB3378"/>
    <w:rsid w:val="00FD06D8"/>
    <w:rsid w:val="00FD6573"/>
    <w:rsid w:val="00FD7798"/>
    <w:rsid w:val="00FE0055"/>
    <w:rsid w:val="00FE0C91"/>
    <w:rsid w:val="00FF6802"/>
  </w:rsids>
  <m:mathPr>
    <m:mathFont m:val="Cambria Math"/>
    <m:brkBin m:val="before"/>
    <m:brkBinSub m:val="--"/>
    <m:smallFrac m:val="0"/>
    <m:dispDef/>
    <m:lMargin m:val="0"/>
    <m:rMargin m:val="0"/>
    <m:defJc m:val="centerGroup"/>
    <m:wrapIndent m:val="1440"/>
    <m:intLim m:val="subSup"/>
    <m:naryLim m:val="undOvr"/>
  </m:mathPr>
  <w:themeFontLang w:val="fr-FR"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EE2"/>
  </w:style>
  <w:style w:type="paragraph" w:styleId="Titre1">
    <w:name w:val="heading 1"/>
    <w:basedOn w:val="Normal"/>
    <w:next w:val="Normal"/>
    <w:link w:val="Titre1Car"/>
    <w:autoRedefine/>
    <w:uiPriority w:val="9"/>
    <w:rsid w:val="00490B3C"/>
    <w:pPr>
      <w:keepNext/>
      <w:keepLines/>
      <w:spacing w:after="360"/>
      <w:ind w:left="-851"/>
      <w:jc w:val="center"/>
      <w:outlineLvl w:val="0"/>
    </w:pPr>
    <w:rPr>
      <w:rFonts w:ascii="Segoe UI" w:eastAsiaTheme="majorEastAsia" w:hAnsi="Segoe UI" w:cs="Segoe UI"/>
      <w:b/>
      <w:bCs/>
      <w:color w:val="000091" w:themeColor="text1"/>
      <w:sz w:val="36"/>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basedOn w:val="Normal"/>
    <w:link w:val="NotedebasdepageCar"/>
    <w:uiPriority w:val="8"/>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8"/>
    <w:rsid w:val="00745853"/>
    <w:rPr>
      <w:sz w:val="20"/>
      <w:szCs w:val="20"/>
    </w:rPr>
  </w:style>
  <w:style w:type="character" w:styleId="Appelnotedebasdep">
    <w:name w:val="footnote reference"/>
    <w:basedOn w:val="Policepardfaut"/>
    <w:uiPriority w:val="8"/>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9E699A"/>
    <w:pPr>
      <w:spacing w:before="120" w:after="0" w:line="240" w:lineRule="auto"/>
      <w:ind w:left="-284"/>
      <w:jc w:val="both"/>
    </w:pPr>
    <w:rPr>
      <w:rFonts w:ascii="Segoe UI" w:hAnsi="Segoe UI" w:cs="Segoe UI"/>
      <w:b/>
      <w:color w:val="000091" w:themeColor="text1"/>
      <w:szCs w:val="20"/>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9E699A"/>
    <w:rPr>
      <w:rFonts w:ascii="Segoe UI" w:hAnsi="Segoe UI" w:cs="Segoe UI"/>
      <w:b/>
      <w:color w:val="000091" w:themeColor="text1"/>
      <w:szCs w:val="20"/>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spacing w:after="0" w:line="240" w:lineRule="auto"/>
      <w:ind w:left="-284"/>
      <w:jc w:val="both"/>
    </w:pPr>
    <w:rPr>
      <w:rFonts w:ascii="Segoe UI" w:hAnsi="Segoe UI" w:cs="Segoe UI"/>
      <w:sz w:val="20"/>
      <w:szCs w:val="20"/>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basedOn w:val="Normal"/>
    <w:link w:val="ParagraphedelisteCar"/>
    <w:uiPriority w:val="34"/>
    <w:qFormat/>
    <w:rsid w:val="004311AF"/>
    <w:pPr>
      <w:ind w:left="720"/>
      <w:contextualSpacing/>
    </w:pPr>
  </w:style>
  <w:style w:type="character" w:customStyle="1" w:styleId="ParagraphedelisteCar">
    <w:name w:val="Paragraphe de liste Car"/>
    <w:basedOn w:val="Policepardfaut"/>
    <w:link w:val="Paragraphedeliste"/>
    <w:uiPriority w:val="34"/>
    <w:locked/>
    <w:rsid w:val="004311AF"/>
  </w:style>
  <w:style w:type="paragraph" w:customStyle="1" w:styleId="Titrenote">
    <w:name w:val="Titre note"/>
    <w:basedOn w:val="Normal"/>
    <w:link w:val="TitrenoteCar"/>
    <w:rsid w:val="00706D2B"/>
    <w:pPr>
      <w:ind w:right="-1417" w:hanging="709"/>
      <w:jc w:val="center"/>
    </w:pPr>
    <w:rPr>
      <w:rFonts w:ascii="Marianne" w:hAnsi="Marianne" w:cs="Segoe UI"/>
      <w:b/>
      <w:bCs/>
      <w:color w:val="E4A503" w:themeColor="accent2" w:themeShade="BF"/>
      <w:sz w:val="28"/>
      <w:szCs w:val="28"/>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pPr>
      <w:spacing w:after="0" w:line="240" w:lineRule="auto"/>
    </w:pPr>
    <w:rPr>
      <w:rFonts w:eastAsia="SimSun"/>
      <w:sz w:val="20"/>
      <w:szCs w:val="20"/>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after="0" w:line="260" w:lineRule="exact"/>
      <w:jc w:val="both"/>
    </w:pPr>
    <w:rPr>
      <w:rFonts w:ascii="Segoe UI" w:hAnsi="Segoe UI" w:cs="Times New Roman (Corps CS)"/>
      <w:color w:val="1A171B"/>
      <w:sz w:val="20"/>
      <w:szCs w:val="24"/>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onomynext.com/wp-content/uploads/2025/01/2421-44-vehicles-gazette-Jan31-E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pfouet\Downloads\LKA\Comex%20SL%202015-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Feuil1!$F$4</c:f>
              <c:strCache>
                <c:ptCount val="1"/>
                <c:pt idx="0">
                  <c:v>exportations (MUSD)</c:v>
                </c:pt>
              </c:strCache>
            </c:strRef>
          </c:tx>
          <c:spPr>
            <a:solidFill>
              <a:schemeClr val="accent1"/>
            </a:solidFill>
            <a:ln>
              <a:noFill/>
            </a:ln>
            <a:effectLst/>
          </c:spPr>
          <c:invertIfNegative val="0"/>
          <c:cat>
            <c:numRef>
              <c:f>Feuil1!$G$3:$P$3</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Feuil1!$G$4:$P$4</c:f>
              <c:numCache>
                <c:formatCode>General</c:formatCode>
                <c:ptCount val="10"/>
                <c:pt idx="0">
                  <c:v>10546.5</c:v>
                </c:pt>
                <c:pt idx="1">
                  <c:v>10309.700000000001</c:v>
                </c:pt>
                <c:pt idx="2">
                  <c:v>11360.4</c:v>
                </c:pt>
                <c:pt idx="3">
                  <c:v>11889.6</c:v>
                </c:pt>
                <c:pt idx="4">
                  <c:v>11940</c:v>
                </c:pt>
                <c:pt idx="5">
                  <c:v>10047.4</c:v>
                </c:pt>
                <c:pt idx="6">
                  <c:v>12498.6</c:v>
                </c:pt>
                <c:pt idx="7">
                  <c:v>13106.4</c:v>
                </c:pt>
                <c:pt idx="8">
                  <c:v>11910.7</c:v>
                </c:pt>
                <c:pt idx="9">
                  <c:v>12772</c:v>
                </c:pt>
              </c:numCache>
            </c:numRef>
          </c:val>
          <c:extLst>
            <c:ext xmlns:c16="http://schemas.microsoft.com/office/drawing/2014/chart" uri="{C3380CC4-5D6E-409C-BE32-E72D297353CC}">
              <c16:uniqueId val="{00000000-99F5-4599-AA43-5F7C2742FF05}"/>
            </c:ext>
          </c:extLst>
        </c:ser>
        <c:ser>
          <c:idx val="1"/>
          <c:order val="1"/>
          <c:tx>
            <c:strRef>
              <c:f>Feuil1!$F$5</c:f>
              <c:strCache>
                <c:ptCount val="1"/>
                <c:pt idx="0">
                  <c:v>importations (MUSD)</c:v>
                </c:pt>
              </c:strCache>
            </c:strRef>
          </c:tx>
          <c:spPr>
            <a:solidFill>
              <a:schemeClr val="accent2"/>
            </a:solidFill>
            <a:ln>
              <a:noFill/>
            </a:ln>
            <a:effectLst/>
          </c:spPr>
          <c:invertIfNegative val="0"/>
          <c:cat>
            <c:numRef>
              <c:f>Feuil1!$G$3:$P$3</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Feuil1!$G$5:$P$5</c:f>
              <c:numCache>
                <c:formatCode>General</c:formatCode>
                <c:ptCount val="10"/>
                <c:pt idx="0">
                  <c:v>18934.599999999999</c:v>
                </c:pt>
                <c:pt idx="1">
                  <c:v>19182.8</c:v>
                </c:pt>
                <c:pt idx="2">
                  <c:v>20979.8</c:v>
                </c:pt>
                <c:pt idx="3">
                  <c:v>22232.7</c:v>
                </c:pt>
                <c:pt idx="4">
                  <c:v>19937.099999999999</c:v>
                </c:pt>
                <c:pt idx="5">
                  <c:v>16055.4</c:v>
                </c:pt>
                <c:pt idx="6">
                  <c:v>20637.400000000001</c:v>
                </c:pt>
                <c:pt idx="7">
                  <c:v>18291</c:v>
                </c:pt>
                <c:pt idx="8">
                  <c:v>16811.099999999999</c:v>
                </c:pt>
                <c:pt idx="9">
                  <c:v>18841.400000000001</c:v>
                </c:pt>
              </c:numCache>
            </c:numRef>
          </c:val>
          <c:extLst>
            <c:ext xmlns:c16="http://schemas.microsoft.com/office/drawing/2014/chart" uri="{C3380CC4-5D6E-409C-BE32-E72D297353CC}">
              <c16:uniqueId val="{00000001-99F5-4599-AA43-5F7C2742FF05}"/>
            </c:ext>
          </c:extLst>
        </c:ser>
        <c:dLbls>
          <c:showLegendKey val="0"/>
          <c:showVal val="0"/>
          <c:showCatName val="0"/>
          <c:showSerName val="0"/>
          <c:showPercent val="0"/>
          <c:showBubbleSize val="0"/>
        </c:dLbls>
        <c:gapWidth val="219"/>
        <c:overlap val="-27"/>
        <c:axId val="1026335184"/>
        <c:axId val="1026341008"/>
      </c:barChart>
      <c:lineChart>
        <c:grouping val="standard"/>
        <c:varyColors val="0"/>
        <c:ser>
          <c:idx val="2"/>
          <c:order val="2"/>
          <c:tx>
            <c:strRef>
              <c:f>Feuil1!$F$6</c:f>
              <c:strCache>
                <c:ptCount val="1"/>
                <c:pt idx="0">
                  <c:v>solde</c:v>
                </c:pt>
              </c:strCache>
            </c:strRef>
          </c:tx>
          <c:spPr>
            <a:ln w="28575" cap="rnd">
              <a:solidFill>
                <a:schemeClr val="accent3"/>
              </a:solidFill>
              <a:round/>
            </a:ln>
            <a:effectLst/>
          </c:spPr>
          <c:marker>
            <c:symbol val="none"/>
          </c:marker>
          <c:cat>
            <c:numRef>
              <c:f>Feuil1!$G$3:$P$3</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Feuil1!$G$6:$P$6</c:f>
              <c:numCache>
                <c:formatCode>General</c:formatCode>
                <c:ptCount val="10"/>
                <c:pt idx="0">
                  <c:v>-8388.0999999999985</c:v>
                </c:pt>
                <c:pt idx="1">
                  <c:v>-8873.0999999999985</c:v>
                </c:pt>
                <c:pt idx="2">
                  <c:v>-9619.4</c:v>
                </c:pt>
                <c:pt idx="3">
                  <c:v>-10343.1</c:v>
                </c:pt>
                <c:pt idx="4">
                  <c:v>-7997.0999999999985</c:v>
                </c:pt>
                <c:pt idx="5">
                  <c:v>-6008</c:v>
                </c:pt>
                <c:pt idx="6">
                  <c:v>-8138.8000000000011</c:v>
                </c:pt>
                <c:pt idx="7">
                  <c:v>-5184.6000000000004</c:v>
                </c:pt>
                <c:pt idx="8">
                  <c:v>-4900.3999999999978</c:v>
                </c:pt>
                <c:pt idx="9">
                  <c:v>-6069.4000000000015</c:v>
                </c:pt>
              </c:numCache>
            </c:numRef>
          </c:val>
          <c:smooth val="0"/>
          <c:extLst>
            <c:ext xmlns:c16="http://schemas.microsoft.com/office/drawing/2014/chart" uri="{C3380CC4-5D6E-409C-BE32-E72D297353CC}">
              <c16:uniqueId val="{00000002-99F5-4599-AA43-5F7C2742FF05}"/>
            </c:ext>
          </c:extLst>
        </c:ser>
        <c:dLbls>
          <c:showLegendKey val="0"/>
          <c:showVal val="0"/>
          <c:showCatName val="0"/>
          <c:showSerName val="0"/>
          <c:showPercent val="0"/>
          <c:showBubbleSize val="0"/>
        </c:dLbls>
        <c:marker val="1"/>
        <c:smooth val="0"/>
        <c:axId val="1026335184"/>
        <c:axId val="1026341008"/>
      </c:lineChart>
      <c:catAx>
        <c:axId val="1026335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26341008"/>
        <c:crosses val="autoZero"/>
        <c:auto val="1"/>
        <c:lblAlgn val="ctr"/>
        <c:lblOffset val="100"/>
        <c:noMultiLvlLbl val="0"/>
      </c:catAx>
      <c:valAx>
        <c:axId val="1026341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26335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Personnalisé 1">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39AB8653D8A34FAC99AC61D6685BD2" ma:contentTypeVersion="5" ma:contentTypeDescription="Crée un document." ma:contentTypeScope="" ma:versionID="58c0432a552b7b59bf5f13e9dcdb9239">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1F387-A7B2-412E-9121-881A526755F4}">
  <ds:schemaRefs>
    <ds:schemaRef ds:uri="http://schemas.microsoft.com/sharepoint/v3/contenttype/forms"/>
  </ds:schemaRefs>
</ds:datastoreItem>
</file>

<file path=customXml/itemProps2.xml><?xml version="1.0" encoding="utf-8"?>
<ds:datastoreItem xmlns:ds="http://schemas.openxmlformats.org/officeDocument/2006/customXml" ds:itemID="{01E290ED-311A-4B61-A24D-7BFB10623FD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C95412B-BB50-4FB4-924E-7EDF645D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Pages>
  <Words>1381</Words>
  <Characters>7597</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Assouad</dc:creator>
  <cp:keywords>template</cp:keywords>
  <dc:description/>
  <cp:lastModifiedBy>FOUET Philippe</cp:lastModifiedBy>
  <cp:revision>8</cp:revision>
  <dcterms:created xsi:type="dcterms:W3CDTF">2025-04-09T12:09:00Z</dcterms:created>
  <dcterms:modified xsi:type="dcterms:W3CDTF">2025-04-10T08:38:00Z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0x0101008439AB8653D8A34FAC99AC61D6685BD2</vt:lpwstr>
  </property>
</Properties>
</file>