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98AAC" w14:textId="3C358A8D" w:rsidR="00595A08" w:rsidRDefault="00F87FF7" w:rsidP="0030058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Rédigé par </w:t>
      </w:r>
      <w:r w:rsidR="00300587">
        <w:rPr>
          <w:rFonts w:ascii="Times New Roman" w:hAnsi="Times New Roman" w:cs="Times New Roman"/>
          <w:sz w:val="20"/>
          <w:szCs w:val="20"/>
        </w:rPr>
        <w:t>Xavier Coeln</w:t>
      </w:r>
    </w:p>
    <w:p w14:paraId="57746160" w14:textId="39D9DF4F" w:rsidR="00F87FF7" w:rsidRDefault="00F87FF7" w:rsidP="0030058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Revu par</w:t>
      </w:r>
      <w:r w:rsidR="00300587">
        <w:rPr>
          <w:rFonts w:ascii="Times New Roman" w:hAnsi="Times New Roman" w:cs="Times New Roman"/>
          <w:sz w:val="20"/>
          <w:szCs w:val="20"/>
        </w:rPr>
        <w:t xml:space="preserve"> Benoit Gauthier</w:t>
      </w:r>
    </w:p>
    <w:tbl>
      <w:tblPr>
        <w:tblStyle w:val="Grilledutableau"/>
        <w:tblW w:w="106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387"/>
      </w:tblGrid>
      <w:tr w:rsidR="00FB70FF" w:rsidRPr="005259D6" w14:paraId="0FFE42EE" w14:textId="77777777" w:rsidTr="008423A6">
        <w:tc>
          <w:tcPr>
            <w:tcW w:w="5245" w:type="dxa"/>
          </w:tcPr>
          <w:p w14:paraId="054E3BC0" w14:textId="702E16E1" w:rsidR="00FB70FF" w:rsidRPr="005259D6" w:rsidRDefault="00FB70FF" w:rsidP="00300587">
            <w:pPr>
              <w:ind w:right="-142"/>
              <w:contextualSpacing/>
              <w:jc w:val="both"/>
              <w:rPr>
                <w:rFonts w:ascii="Times New Roman" w:eastAsia="Times New Roman" w:hAnsi="Times New Roman" w:cs="Times New Roman"/>
                <w:sz w:val="20"/>
                <w:szCs w:val="24"/>
                <w:lang w:eastAsia="fr-FR"/>
              </w:rPr>
            </w:pPr>
          </w:p>
        </w:tc>
        <w:tc>
          <w:tcPr>
            <w:tcW w:w="5387" w:type="dxa"/>
          </w:tcPr>
          <w:p w14:paraId="5EA963EA" w14:textId="77777777" w:rsidR="00FB70FF" w:rsidRDefault="00FB70FF" w:rsidP="00AF5F32">
            <w:pPr>
              <w:ind w:right="34"/>
              <w:contextualSpacing/>
              <w:jc w:val="right"/>
              <w:rPr>
                <w:rFonts w:ascii="Times New Roman" w:eastAsia="Times New Roman" w:hAnsi="Times New Roman" w:cs="Times New Roman"/>
                <w:sz w:val="20"/>
                <w:szCs w:val="24"/>
                <w:lang w:eastAsia="fr-FR"/>
              </w:rPr>
            </w:pPr>
            <w:r w:rsidRPr="005259D6">
              <w:rPr>
                <w:rFonts w:ascii="Times New Roman" w:eastAsia="Times New Roman" w:hAnsi="Times New Roman" w:cs="Times New Roman"/>
                <w:sz w:val="20"/>
                <w:szCs w:val="24"/>
                <w:lang w:eastAsia="fr-FR"/>
              </w:rPr>
              <w:t xml:space="preserve">Nairobi, le </w:t>
            </w:r>
            <w:r w:rsidRPr="005259D6">
              <w:rPr>
                <w:rFonts w:ascii="Times New Roman" w:eastAsia="Times New Roman" w:hAnsi="Times New Roman" w:cs="Times New Roman"/>
                <w:sz w:val="20"/>
                <w:szCs w:val="24"/>
                <w:lang w:eastAsia="fr-FR"/>
              </w:rPr>
              <w:fldChar w:fldCharType="begin"/>
            </w:r>
            <w:r w:rsidRPr="005259D6">
              <w:rPr>
                <w:rFonts w:ascii="Times New Roman" w:eastAsia="Times New Roman" w:hAnsi="Times New Roman" w:cs="Times New Roman"/>
                <w:sz w:val="20"/>
                <w:szCs w:val="24"/>
                <w:lang w:eastAsia="fr-FR"/>
              </w:rPr>
              <w:instrText xml:space="preserve"> TIME \@ "d MMMM yyyy" </w:instrText>
            </w:r>
            <w:r w:rsidRPr="005259D6">
              <w:rPr>
                <w:rFonts w:ascii="Times New Roman" w:eastAsia="Times New Roman" w:hAnsi="Times New Roman" w:cs="Times New Roman"/>
                <w:sz w:val="20"/>
                <w:szCs w:val="24"/>
                <w:lang w:eastAsia="fr-FR"/>
              </w:rPr>
              <w:fldChar w:fldCharType="separate"/>
            </w:r>
            <w:r w:rsidR="005D764A">
              <w:rPr>
                <w:rFonts w:ascii="Times New Roman" w:eastAsia="Times New Roman" w:hAnsi="Times New Roman" w:cs="Times New Roman"/>
                <w:noProof/>
                <w:sz w:val="20"/>
                <w:szCs w:val="24"/>
                <w:lang w:eastAsia="fr-FR"/>
              </w:rPr>
              <w:t>19 février 2018</w:t>
            </w:r>
            <w:r w:rsidRPr="005259D6">
              <w:rPr>
                <w:rFonts w:ascii="Times New Roman" w:eastAsia="Times New Roman" w:hAnsi="Times New Roman" w:cs="Times New Roman"/>
                <w:sz w:val="20"/>
                <w:szCs w:val="24"/>
                <w:lang w:eastAsia="fr-FR"/>
              </w:rPr>
              <w:fldChar w:fldCharType="end"/>
            </w:r>
          </w:p>
          <w:p w14:paraId="2556DA37" w14:textId="77777777" w:rsidR="008C6169" w:rsidRPr="005259D6" w:rsidRDefault="008C6169" w:rsidP="00AF5F32">
            <w:pPr>
              <w:ind w:right="34"/>
              <w:contextualSpacing/>
              <w:jc w:val="right"/>
              <w:rPr>
                <w:rFonts w:ascii="Times New Roman" w:eastAsia="Times New Roman" w:hAnsi="Times New Roman" w:cs="Times New Roman"/>
                <w:b/>
                <w:caps/>
                <w:sz w:val="20"/>
                <w:szCs w:val="20"/>
                <w:lang w:eastAsia="fr-FR"/>
              </w:rPr>
            </w:pPr>
          </w:p>
        </w:tc>
      </w:tr>
    </w:tbl>
    <w:p w14:paraId="3EA7E766" w14:textId="77777777" w:rsidR="00300587" w:rsidRDefault="00300587" w:rsidP="00300587">
      <w:pPr>
        <w:jc w:val="both"/>
        <w:rPr>
          <w:rFonts w:ascii="Times New Roman" w:hAnsi="Times New Roman" w:cs="Times New Roman"/>
          <w:b/>
          <w:sz w:val="24"/>
          <w:szCs w:val="24"/>
          <w:lang w:val="en-GB"/>
        </w:rPr>
      </w:pPr>
    </w:p>
    <w:p w14:paraId="08098563" w14:textId="01B6D5F2" w:rsidR="00723DF4" w:rsidRDefault="00300587" w:rsidP="00300587">
      <w:pPr>
        <w:jc w:val="both"/>
        <w:rPr>
          <w:rFonts w:ascii="Times New Roman" w:hAnsi="Times New Roman" w:cs="Times New Roman"/>
          <w:b/>
          <w:sz w:val="24"/>
          <w:szCs w:val="24"/>
        </w:rPr>
      </w:pPr>
      <w:r w:rsidRPr="00300587">
        <w:rPr>
          <w:rFonts w:ascii="Times New Roman" w:hAnsi="Times New Roman" w:cs="Times New Roman"/>
          <w:b/>
          <w:sz w:val="24"/>
          <w:szCs w:val="24"/>
        </w:rPr>
        <w:t>Objet: Les échanges commerciaux entre la France et le Kenya en 2017</w:t>
      </w:r>
    </w:p>
    <w:p w14:paraId="4D1FD73F" w14:textId="77777777" w:rsidR="005D764A" w:rsidRPr="005D764A" w:rsidRDefault="005D764A" w:rsidP="005D764A">
      <w:pPr>
        <w:jc w:val="both"/>
        <w:rPr>
          <w:rFonts w:ascii="Times New Roman" w:hAnsi="Times New Roman" w:cs="Times New Roman"/>
          <w:i/>
          <w:sz w:val="24"/>
          <w:szCs w:val="24"/>
        </w:rPr>
      </w:pPr>
      <w:r w:rsidRPr="005D764A">
        <w:rPr>
          <w:rFonts w:ascii="Times New Roman" w:hAnsi="Times New Roman" w:cs="Times New Roman"/>
          <w:i/>
          <w:sz w:val="24"/>
          <w:szCs w:val="24"/>
        </w:rPr>
        <w:t>En 2017, les échanges commerciaux entre la France et le Kenya ont connu une hausse de 12,7 % à 273 MEUR. Les exportations françaises ont augmenté de 11,7 % sur un an pour atteindre 171 MEUR, une hausse justifiée pour plus des trois-quarts par le dynamisme des exportations agroalimentaires. Ces derniers ont progressé de 79,7 % pour atteindre 32 MEUR, une hausse soutenue par la demande en croissance régulière de produits alimentaires français et portée par l’installation de Carrefour en 2016.</w:t>
      </w:r>
    </w:p>
    <w:p w14:paraId="6F163D18" w14:textId="77777777" w:rsidR="005D764A" w:rsidRDefault="005D764A" w:rsidP="005D764A">
      <w:pPr>
        <w:jc w:val="both"/>
        <w:rPr>
          <w:rFonts w:ascii="Times New Roman" w:hAnsi="Times New Roman" w:cs="Times New Roman"/>
          <w:i/>
          <w:sz w:val="24"/>
          <w:szCs w:val="24"/>
        </w:rPr>
      </w:pPr>
      <w:r w:rsidRPr="005D764A">
        <w:rPr>
          <w:rFonts w:ascii="Times New Roman" w:hAnsi="Times New Roman" w:cs="Times New Roman"/>
          <w:i/>
          <w:sz w:val="24"/>
          <w:szCs w:val="24"/>
        </w:rPr>
        <w:t xml:space="preserve">Le solde des échanges commerciaux franco-kényans est structurellement favorable à la France, mais l’excédent commercial en 2017, à 69 MEUR, est le deuxième plus faible sur la décennie écoulée, après celui de 2016. Le tassement de cet excédent provient du dynamisme des exportations kenyanes vers la France, qui pour la première fois en dix ans ont passé la barre des 100 MUSD. </w:t>
      </w:r>
    </w:p>
    <w:p w14:paraId="3CB5C2B0" w14:textId="79A7C30F" w:rsidR="005D764A" w:rsidRPr="005D764A" w:rsidRDefault="005D764A" w:rsidP="005D764A">
      <w:pPr>
        <w:jc w:val="both"/>
        <w:rPr>
          <w:rFonts w:ascii="Times New Roman" w:hAnsi="Times New Roman" w:cs="Times New Roman"/>
          <w:i/>
          <w:sz w:val="24"/>
          <w:szCs w:val="24"/>
        </w:rPr>
      </w:pPr>
      <w:r w:rsidRPr="005D764A">
        <w:rPr>
          <w:rFonts w:ascii="Times New Roman" w:hAnsi="Times New Roman" w:cs="Times New Roman"/>
          <w:i/>
          <w:sz w:val="24"/>
          <w:szCs w:val="24"/>
        </w:rPr>
        <w:t xml:space="preserve">Tendanciellement la part de marché de la France au Kenya s'affaiblit depuis 2008 ; Alors qu’elle était de 2,1 % en 2008, elle s’établirait aujourd’hui à </w:t>
      </w:r>
      <w:bookmarkStart w:id="0" w:name="_GoBack"/>
      <w:bookmarkEnd w:id="0"/>
      <w:r w:rsidRPr="005D764A">
        <w:rPr>
          <w:rFonts w:ascii="Times New Roman" w:hAnsi="Times New Roman" w:cs="Times New Roman"/>
          <w:i/>
          <w:sz w:val="24"/>
          <w:szCs w:val="24"/>
        </w:rPr>
        <w:t>environ 1,3 %.</w:t>
      </w:r>
      <w:r>
        <w:rPr>
          <w:rFonts w:ascii="Times New Roman" w:hAnsi="Times New Roman" w:cs="Times New Roman"/>
          <w:i/>
          <w:sz w:val="24"/>
          <w:szCs w:val="24"/>
        </w:rPr>
        <w:t xml:space="preserve"> </w:t>
      </w:r>
      <w:r w:rsidRPr="005D764A">
        <w:rPr>
          <w:rFonts w:ascii="Times New Roman" w:hAnsi="Times New Roman" w:cs="Times New Roman"/>
          <w:i/>
          <w:sz w:val="24"/>
          <w:szCs w:val="24"/>
        </w:rPr>
        <w:t xml:space="preserve">Comparé au reste de l’Afrique subsaharienne, le Kenya apparaît </w:t>
      </w:r>
      <w:r>
        <w:rPr>
          <w:rFonts w:ascii="Times New Roman" w:hAnsi="Times New Roman" w:cs="Times New Roman"/>
          <w:i/>
          <w:sz w:val="24"/>
          <w:szCs w:val="24"/>
        </w:rPr>
        <w:t xml:space="preserve">donc </w:t>
      </w:r>
      <w:r w:rsidRPr="005D764A">
        <w:rPr>
          <w:rFonts w:ascii="Times New Roman" w:hAnsi="Times New Roman" w:cs="Times New Roman"/>
          <w:i/>
          <w:sz w:val="24"/>
          <w:szCs w:val="24"/>
        </w:rPr>
        <w:t xml:space="preserve">comme un partenaire commercial assez marginal pour la France. Vu du Kenya, la France n’était en 2016 que le 16ème fournisseur et le 21ème client, une importante diminution en raison du dynamisme relatif du commerce bilatéral dans un contexte d’augmentation </w:t>
      </w:r>
      <w:r>
        <w:rPr>
          <w:rFonts w:ascii="Times New Roman" w:hAnsi="Times New Roman" w:cs="Times New Roman"/>
          <w:i/>
          <w:sz w:val="24"/>
          <w:szCs w:val="24"/>
        </w:rPr>
        <w:t xml:space="preserve">rapide </w:t>
      </w:r>
      <w:r w:rsidRPr="005D764A">
        <w:rPr>
          <w:rFonts w:ascii="Times New Roman" w:hAnsi="Times New Roman" w:cs="Times New Roman"/>
          <w:i/>
          <w:sz w:val="24"/>
          <w:szCs w:val="24"/>
        </w:rPr>
        <w:t>des échanges du Kenya avec le reste du monde, les</w:t>
      </w:r>
      <w:r>
        <w:rPr>
          <w:rFonts w:ascii="Times New Roman" w:hAnsi="Times New Roman" w:cs="Times New Roman"/>
          <w:i/>
          <w:sz w:val="24"/>
          <w:szCs w:val="24"/>
        </w:rPr>
        <w:t xml:space="preserve"> </w:t>
      </w:r>
      <w:r w:rsidRPr="005D764A">
        <w:rPr>
          <w:rFonts w:ascii="Times New Roman" w:hAnsi="Times New Roman" w:cs="Times New Roman"/>
          <w:i/>
          <w:sz w:val="24"/>
          <w:szCs w:val="24"/>
        </w:rPr>
        <w:t>grands émergents notamment.</w:t>
      </w:r>
    </w:p>
    <w:p w14:paraId="23FAAB3D" w14:textId="77777777" w:rsidR="005D764A" w:rsidRPr="005D764A" w:rsidRDefault="005D764A" w:rsidP="005D764A">
      <w:pPr>
        <w:jc w:val="both"/>
        <w:rPr>
          <w:rFonts w:ascii="Times New Roman" w:hAnsi="Times New Roman" w:cs="Times New Roman"/>
          <w:i/>
          <w:sz w:val="24"/>
          <w:szCs w:val="24"/>
        </w:rPr>
      </w:pPr>
      <w:r w:rsidRPr="005D764A">
        <w:rPr>
          <w:rFonts w:ascii="Times New Roman" w:hAnsi="Times New Roman" w:cs="Times New Roman"/>
          <w:i/>
          <w:sz w:val="24"/>
          <w:szCs w:val="24"/>
        </w:rPr>
        <w:t xml:space="preserve">La reconquête de parts de marché par la France au Kenya ne pourra être que progressive, en l’absence de perspectives proches de grands contrats dans le domaine aéronautique ou la défense, dans un marché fortement pénétré par les pays émergents, Chine et Inde notamment. </w:t>
      </w:r>
    </w:p>
    <w:p w14:paraId="0085FC8F" w14:textId="6287F9B5" w:rsidR="00CB6573" w:rsidRPr="00CB6573" w:rsidRDefault="005D764A" w:rsidP="005D764A">
      <w:pPr>
        <w:jc w:val="both"/>
        <w:rPr>
          <w:rFonts w:ascii="Times New Roman" w:hAnsi="Times New Roman" w:cs="Times New Roman"/>
          <w:b/>
          <w:sz w:val="24"/>
          <w:szCs w:val="24"/>
        </w:rPr>
      </w:pPr>
      <w:r w:rsidRPr="005D764A">
        <w:rPr>
          <w:rFonts w:ascii="Times New Roman" w:hAnsi="Times New Roman" w:cs="Times New Roman"/>
          <w:i/>
          <w:sz w:val="24"/>
          <w:szCs w:val="24"/>
        </w:rPr>
        <w:t>Toutefois, la demande adressée à la France par le Kenya devrait augmenter dès 2018. Les élections de 2017 ont retardé les décisions relatives à de nombreux projets d’investissement ainsi que leur mise en œuvre. En outre, la demande locale en biens de consommation devrait rester dynamique, avec l’élévation du niveau de vie, et l’implantation récente d’entreprises françaises comme Décathlon ou Essilor générer une demande accrue de produits français.</w:t>
      </w:r>
    </w:p>
    <w:p w14:paraId="2F369A18" w14:textId="11C36984" w:rsidR="00CB6573" w:rsidRPr="00CB6573" w:rsidRDefault="00CB6573" w:rsidP="00CB6573">
      <w:pPr>
        <w:jc w:val="both"/>
        <w:rPr>
          <w:rFonts w:ascii="Times New Roman" w:hAnsi="Times New Roman" w:cs="Times New Roman"/>
          <w:b/>
          <w:sz w:val="24"/>
          <w:szCs w:val="24"/>
        </w:rPr>
      </w:pPr>
      <w:r>
        <w:rPr>
          <w:rFonts w:ascii="Times New Roman" w:hAnsi="Times New Roman" w:cs="Times New Roman"/>
          <w:b/>
          <w:sz w:val="24"/>
          <w:szCs w:val="24"/>
        </w:rPr>
        <w:t xml:space="preserve">1. </w:t>
      </w:r>
      <w:r w:rsidRPr="00CB6573">
        <w:rPr>
          <w:rFonts w:ascii="Times New Roman" w:hAnsi="Times New Roman" w:cs="Times New Roman"/>
          <w:b/>
          <w:sz w:val="24"/>
          <w:szCs w:val="24"/>
        </w:rPr>
        <w:t>En 2017, une hausse des échanges insuffisante pour compenser la perte structurelle de parts de marché</w:t>
      </w:r>
    </w:p>
    <w:p w14:paraId="5CC261A3" w14:textId="77777777" w:rsidR="00CB6573" w:rsidRPr="00CB6573" w:rsidRDefault="00CB6573" w:rsidP="00CB6573">
      <w:pPr>
        <w:spacing w:line="240" w:lineRule="auto"/>
        <w:contextualSpacing/>
        <w:jc w:val="both"/>
        <w:rPr>
          <w:rFonts w:ascii="Times New Roman" w:hAnsi="Times New Roman" w:cs="Times New Roman"/>
          <w:sz w:val="24"/>
          <w:szCs w:val="24"/>
        </w:rPr>
      </w:pPr>
      <w:r w:rsidRPr="00AF5F32">
        <w:rPr>
          <w:rFonts w:ascii="Times New Roman" w:hAnsi="Times New Roman" w:cs="Times New Roman"/>
          <w:b/>
          <w:sz w:val="24"/>
          <w:szCs w:val="24"/>
        </w:rPr>
        <w:t>Le commerce entre la France et le Kenya enregistre une progression de près de 13% en 2017, à 273 MEUR, par rapport à 2016</w:t>
      </w:r>
      <w:r w:rsidRPr="00CB6573">
        <w:rPr>
          <w:rFonts w:ascii="Times New Roman" w:hAnsi="Times New Roman" w:cs="Times New Roman"/>
          <w:sz w:val="24"/>
          <w:szCs w:val="24"/>
        </w:rPr>
        <w:t xml:space="preserve"> (cf. graphique 1). Ce résultat place l’année 2017 parmi les trois meilleures performances pour le commerce bilatéral en dix ans, avec 2012 et 2015. Cette reprise vigoureuse des échanges est provoquée par une augmentation parallèle des exportations et des importations françaises. Les exportations de la France vers le Kenya ont augmenté de 11,7 %, passant de 153,2 MEUR à 171,2 MEUR. Quant aux importations françaises en provenance du Kenya, elles sont en hausse de 14,4 %, passant de 89,1 à 101,9 MEUR. Au total, l’excédent commercial français vis-à-vis du Kenya augmente de 8,0 % entre 2016 et 2017 et s’établit à 69,3 MEUR. Mais ce résultat positif comparé à 2016, est cependant à mettre en perspective de la tendance décennale. 2017 enregistre en effet le deuxième plus faible excédent commercial français depuis 2008. L’impact de la performance des exportations françaises sur l’excédent avec le Kenya est donc en partie effacé par celle des exportations kenyanes vers la France.</w:t>
      </w:r>
    </w:p>
    <w:p w14:paraId="0C158348" w14:textId="77777777" w:rsidR="00304486" w:rsidRDefault="00304486" w:rsidP="00304486">
      <w:pPr>
        <w:spacing w:line="240" w:lineRule="auto"/>
        <w:contextualSpacing/>
        <w:jc w:val="both"/>
        <w:rPr>
          <w:rFonts w:ascii="Times New Roman" w:hAnsi="Times New Roman" w:cs="Times New Roman"/>
          <w:sz w:val="24"/>
          <w:szCs w:val="24"/>
        </w:rPr>
      </w:pPr>
    </w:p>
    <w:p w14:paraId="35632E9A" w14:textId="65565C11" w:rsidR="00CB6573" w:rsidRPr="00304486" w:rsidRDefault="00CB6573" w:rsidP="00304486">
      <w:pPr>
        <w:spacing w:line="240" w:lineRule="auto"/>
        <w:contextualSpacing/>
        <w:jc w:val="both"/>
        <w:rPr>
          <w:rFonts w:ascii="Times New Roman" w:hAnsi="Times New Roman" w:cs="Times New Roman"/>
          <w:sz w:val="24"/>
          <w:szCs w:val="24"/>
        </w:rPr>
      </w:pPr>
      <w:r w:rsidRPr="00304486">
        <w:rPr>
          <w:rFonts w:ascii="Times New Roman" w:hAnsi="Times New Roman" w:cs="Times New Roman"/>
          <w:b/>
          <w:sz w:val="24"/>
          <w:szCs w:val="24"/>
        </w:rPr>
        <w:t>Le Kenya reste un partenaire commercial mineur pour la France, à l’échelle du monde comme de l’Afrique subsaharienne.</w:t>
      </w:r>
      <w:r w:rsidRPr="00304486">
        <w:rPr>
          <w:rFonts w:ascii="Times New Roman" w:hAnsi="Times New Roman" w:cs="Times New Roman"/>
          <w:sz w:val="24"/>
          <w:szCs w:val="24"/>
        </w:rPr>
        <w:t xml:space="preserve"> En 2017, les importations en provenance du Kenya n’ont représenté que 0,04 % des importations françaises et les exportations vers le Kenya, 0,02 % des exportations françaises. Parmi les pays de l’Afrique subsaharienne, le Kenya reste un partenaire commercial de second rang pour la France : 1,6% des </w:t>
      </w:r>
      <w:r w:rsidR="00304486" w:rsidRPr="00304486">
        <w:rPr>
          <w:rFonts w:ascii="Times New Roman" w:hAnsi="Times New Roman" w:cs="Times New Roman"/>
          <w:sz w:val="24"/>
          <w:szCs w:val="24"/>
        </w:rPr>
        <w:t>exportations</w:t>
      </w:r>
      <w:r w:rsidRPr="00304486">
        <w:rPr>
          <w:rFonts w:ascii="Times New Roman" w:hAnsi="Times New Roman" w:cs="Times New Roman"/>
          <w:sz w:val="24"/>
          <w:szCs w:val="24"/>
        </w:rPr>
        <w:t xml:space="preserve"> françaises vers cette zone étaient à destination du Kenya et 1,3 % des importations de la zone provenaient du Kenya en 2017. En dépit de son importance économique - première économie de la </w:t>
      </w:r>
      <w:r w:rsidRPr="00304486">
        <w:rPr>
          <w:rFonts w:ascii="Times New Roman" w:hAnsi="Times New Roman" w:cs="Times New Roman"/>
          <w:sz w:val="24"/>
          <w:szCs w:val="24"/>
        </w:rPr>
        <w:lastRenderedPageBreak/>
        <w:t>Communauté d’Afrique de l’Est et deuxième économie d’Afrique de l’Est derrière l’Éthiopie, le Kenya n’est que le 17</w:t>
      </w:r>
      <w:r w:rsidR="00304486" w:rsidRPr="00304486">
        <w:rPr>
          <w:rFonts w:ascii="Times New Roman" w:hAnsi="Times New Roman" w:cs="Times New Roman"/>
          <w:sz w:val="24"/>
          <w:szCs w:val="24"/>
          <w:vertAlign w:val="superscript"/>
        </w:rPr>
        <w:t>ème</w:t>
      </w:r>
      <w:r w:rsidR="00304486">
        <w:rPr>
          <w:rFonts w:ascii="Times New Roman" w:hAnsi="Times New Roman" w:cs="Times New Roman"/>
          <w:sz w:val="24"/>
          <w:szCs w:val="24"/>
        </w:rPr>
        <w:t xml:space="preserve"> </w:t>
      </w:r>
      <w:r w:rsidRPr="00304486">
        <w:rPr>
          <w:rFonts w:ascii="Times New Roman" w:hAnsi="Times New Roman" w:cs="Times New Roman"/>
          <w:sz w:val="24"/>
          <w:szCs w:val="24"/>
        </w:rPr>
        <w:t>partenaire commercial de la France en Afrique subsaharienne, derrière notamment le Burkina Faso et le Togo et devant la Guinée. Le Kenya représente également le 17</w:t>
      </w:r>
      <w:r w:rsidR="00304486" w:rsidRPr="00304486">
        <w:rPr>
          <w:rFonts w:ascii="Times New Roman" w:hAnsi="Times New Roman" w:cs="Times New Roman"/>
          <w:sz w:val="24"/>
          <w:szCs w:val="24"/>
          <w:vertAlign w:val="superscript"/>
        </w:rPr>
        <w:t>ème</w:t>
      </w:r>
      <w:r w:rsidR="00304486">
        <w:rPr>
          <w:rFonts w:ascii="Times New Roman" w:hAnsi="Times New Roman" w:cs="Times New Roman"/>
          <w:sz w:val="24"/>
          <w:szCs w:val="24"/>
        </w:rPr>
        <w:t xml:space="preserve"> </w:t>
      </w:r>
      <w:r w:rsidRPr="00304486">
        <w:rPr>
          <w:rFonts w:ascii="Times New Roman" w:hAnsi="Times New Roman" w:cs="Times New Roman"/>
          <w:sz w:val="24"/>
          <w:szCs w:val="24"/>
        </w:rPr>
        <w:t>excédent commercial français en Afrique subsaharienne.</w:t>
      </w:r>
    </w:p>
    <w:p w14:paraId="08B7BC3C" w14:textId="3C3DE822" w:rsidR="00304486" w:rsidRDefault="00CB6573" w:rsidP="00304486">
      <w:pPr>
        <w:spacing w:line="240" w:lineRule="auto"/>
        <w:contextualSpacing/>
        <w:jc w:val="both"/>
        <w:rPr>
          <w:rFonts w:ascii="Times New Roman" w:hAnsi="Times New Roman" w:cs="Times New Roman"/>
          <w:sz w:val="24"/>
          <w:szCs w:val="24"/>
        </w:rPr>
      </w:pPr>
      <w:r w:rsidRPr="00304486">
        <w:rPr>
          <w:rFonts w:ascii="Times New Roman" w:hAnsi="Times New Roman" w:cs="Times New Roman"/>
          <w:sz w:val="24"/>
          <w:szCs w:val="24"/>
        </w:rPr>
        <w:t xml:space="preserve">La part de marché de la France au Kenya diminue en part relative depuis dix ans. Selon les données du Kenya, la part de marché de la France au Kenya est sur une trajectoire à la baisse (cf. graphique 2) depuis 2008. </w:t>
      </w:r>
      <w:r w:rsidR="00AF5F32" w:rsidRPr="00AF5F32">
        <w:rPr>
          <w:rFonts w:ascii="Times New Roman" w:hAnsi="Times New Roman" w:cs="Times New Roman"/>
          <w:sz w:val="24"/>
          <w:szCs w:val="24"/>
        </w:rPr>
        <w:t>Alors que le Kenya a vu ses échanges extérieurs croître fortement (+7,4 % par an entre 2007 et 2016, dernière année disponible pour les données nationales kényanes), notamment les importations, la faible augmentation des échanges bilatéraux (2,4 % par an en moyenne décennale) a mécaniquement entraîné une baisse de la part relative du commerce franco-kenyan dans le commerce total du pays.</w:t>
      </w:r>
    </w:p>
    <w:p w14:paraId="3D8F4EB2" w14:textId="77777777" w:rsidR="00AF5F32" w:rsidRPr="00304486" w:rsidRDefault="00AF5F32" w:rsidP="00304486">
      <w:pPr>
        <w:spacing w:line="240" w:lineRule="auto"/>
        <w:contextualSpacing/>
        <w:jc w:val="both"/>
        <w:rPr>
          <w:rFonts w:ascii="Times New Roman" w:hAnsi="Times New Roman" w:cs="Times New Roman"/>
          <w:sz w:val="24"/>
          <w:szCs w:val="24"/>
        </w:rPr>
      </w:pPr>
    </w:p>
    <w:p w14:paraId="63A0D750" w14:textId="77777777" w:rsidR="00304486" w:rsidRDefault="00304486" w:rsidP="00304486">
      <w:pPr>
        <w:suppressAutoHyphens/>
        <w:spacing w:before="120" w:after="0"/>
        <w:jc w:val="center"/>
      </w:pPr>
      <w:r w:rsidRPr="002F3B39">
        <w:rPr>
          <w:b/>
        </w:rPr>
        <w:t>Graphique 1</w:t>
      </w:r>
      <w:r>
        <w:t> - Echanges commerciaux franco-kényans depuis 2008 (en millions d’euros)</w:t>
      </w:r>
    </w:p>
    <w:p w14:paraId="2C70F161" w14:textId="77777777" w:rsidR="00304486" w:rsidRDefault="00304486" w:rsidP="00304486">
      <w:pPr>
        <w:suppressAutoHyphens/>
        <w:spacing w:before="120" w:after="0"/>
        <w:jc w:val="center"/>
      </w:pPr>
      <w:r>
        <w:rPr>
          <w:noProof/>
          <w:lang w:eastAsia="fr-FR"/>
        </w:rPr>
        <w:drawing>
          <wp:inline distT="0" distB="0" distL="0" distR="0" wp14:anchorId="2AD816B9" wp14:editId="3EEC93E5">
            <wp:extent cx="4578350" cy="27495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8350" cy="2749550"/>
                    </a:xfrm>
                    <a:prstGeom prst="rect">
                      <a:avLst/>
                    </a:prstGeom>
                    <a:noFill/>
                  </pic:spPr>
                </pic:pic>
              </a:graphicData>
            </a:graphic>
          </wp:inline>
        </w:drawing>
      </w:r>
    </w:p>
    <w:p w14:paraId="03E8DD80" w14:textId="77777777" w:rsidR="00304486" w:rsidRDefault="00304486" w:rsidP="00304486">
      <w:pPr>
        <w:suppressAutoHyphens/>
        <w:spacing w:after="0"/>
        <w:jc w:val="center"/>
        <w:rPr>
          <w:i/>
        </w:rPr>
      </w:pPr>
      <w:r w:rsidRPr="00227B28">
        <w:rPr>
          <w:i/>
        </w:rPr>
        <w:t>Source : Douanes Françaises</w:t>
      </w:r>
    </w:p>
    <w:p w14:paraId="0FAD3BB2" w14:textId="77777777" w:rsidR="00304486" w:rsidRDefault="00304486" w:rsidP="00304486">
      <w:pPr>
        <w:suppressAutoHyphens/>
        <w:spacing w:before="120" w:after="0"/>
        <w:jc w:val="center"/>
      </w:pPr>
      <w:r w:rsidRPr="00684981">
        <w:rPr>
          <w:b/>
        </w:rPr>
        <w:t xml:space="preserve">Graphique </w:t>
      </w:r>
      <w:r>
        <w:rPr>
          <w:b/>
        </w:rPr>
        <w:t>2</w:t>
      </w:r>
      <w:r>
        <w:t> - Part des échanges franco-kényans dans le commerce du Kenya (% total)</w:t>
      </w:r>
    </w:p>
    <w:p w14:paraId="03D7D9B5" w14:textId="77777777" w:rsidR="00304486" w:rsidRDefault="00304486" w:rsidP="00304486">
      <w:pPr>
        <w:suppressAutoHyphens/>
        <w:spacing w:before="120" w:after="0"/>
        <w:jc w:val="center"/>
      </w:pPr>
      <w:r>
        <w:rPr>
          <w:noProof/>
          <w:lang w:eastAsia="fr-FR"/>
        </w:rPr>
        <w:drawing>
          <wp:inline distT="0" distB="0" distL="0" distR="0" wp14:anchorId="14F2861F" wp14:editId="37100324">
            <wp:extent cx="4577659" cy="2030278"/>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8757" cy="2035200"/>
                    </a:xfrm>
                    <a:prstGeom prst="rect">
                      <a:avLst/>
                    </a:prstGeom>
                    <a:noFill/>
                  </pic:spPr>
                </pic:pic>
              </a:graphicData>
            </a:graphic>
          </wp:inline>
        </w:drawing>
      </w:r>
    </w:p>
    <w:p w14:paraId="0AC7B785" w14:textId="77777777" w:rsidR="00304486" w:rsidRDefault="00304486" w:rsidP="00304486">
      <w:pPr>
        <w:suppressAutoHyphens/>
        <w:spacing w:after="0"/>
        <w:jc w:val="center"/>
        <w:rPr>
          <w:i/>
        </w:rPr>
      </w:pPr>
      <w:r w:rsidRPr="003D2BD1">
        <w:rPr>
          <w:i/>
        </w:rPr>
        <w:t xml:space="preserve">Source : </w:t>
      </w:r>
      <w:r>
        <w:rPr>
          <w:i/>
        </w:rPr>
        <w:t>KNBS</w:t>
      </w:r>
    </w:p>
    <w:p w14:paraId="3DCAE38C" w14:textId="77777777" w:rsidR="00AF5F32" w:rsidRDefault="00AF5F32" w:rsidP="00AF5F32">
      <w:pPr>
        <w:spacing w:line="240" w:lineRule="auto"/>
        <w:contextualSpacing/>
        <w:jc w:val="both"/>
        <w:rPr>
          <w:rFonts w:ascii="Times New Roman" w:hAnsi="Times New Roman" w:cs="Times New Roman"/>
          <w:sz w:val="24"/>
          <w:szCs w:val="24"/>
        </w:rPr>
      </w:pPr>
    </w:p>
    <w:p w14:paraId="41C26D20" w14:textId="1FD60B3D" w:rsidR="00CB6573" w:rsidRDefault="00CB6573" w:rsidP="00AF5F32">
      <w:pPr>
        <w:spacing w:line="240" w:lineRule="auto"/>
        <w:contextualSpacing/>
        <w:jc w:val="both"/>
        <w:rPr>
          <w:rFonts w:ascii="Times New Roman" w:hAnsi="Times New Roman" w:cs="Times New Roman"/>
          <w:sz w:val="24"/>
          <w:szCs w:val="24"/>
        </w:rPr>
      </w:pPr>
      <w:r w:rsidRPr="00304486">
        <w:rPr>
          <w:rFonts w:ascii="Times New Roman" w:hAnsi="Times New Roman" w:cs="Times New Roman"/>
          <w:sz w:val="24"/>
          <w:szCs w:val="24"/>
        </w:rPr>
        <w:t xml:space="preserve">La France, avec 1,3 % de part de marché, était en 2015 et 2016, au 16ème rang des fournisseurs du Kenya, alors qu’elle occupait la 12ème place avec 2,1 % de part de marché en 2008. La France était le 21ème client du Kenya en 2016, une </w:t>
      </w:r>
      <w:r w:rsidR="00304486" w:rsidRPr="00304486">
        <w:rPr>
          <w:rFonts w:ascii="Times New Roman" w:hAnsi="Times New Roman" w:cs="Times New Roman"/>
          <w:sz w:val="24"/>
          <w:szCs w:val="24"/>
        </w:rPr>
        <w:t>amélioration</w:t>
      </w:r>
      <w:r w:rsidRPr="00304486">
        <w:rPr>
          <w:rFonts w:ascii="Times New Roman" w:hAnsi="Times New Roman" w:cs="Times New Roman"/>
          <w:sz w:val="24"/>
          <w:szCs w:val="24"/>
        </w:rPr>
        <w:t xml:space="preserve"> d’une place par rapport à 2015, avec 1,1 % de part de marché, alors qu’elle était le 16ème client du Kenya avec 1,4 % de part de marché en 2008. </w:t>
      </w:r>
    </w:p>
    <w:p w14:paraId="69E21600" w14:textId="77777777" w:rsidR="00AF5F32" w:rsidRPr="00304486" w:rsidRDefault="00AF5F32" w:rsidP="00AF5F32">
      <w:pPr>
        <w:spacing w:line="240" w:lineRule="auto"/>
        <w:contextualSpacing/>
        <w:jc w:val="both"/>
        <w:rPr>
          <w:rFonts w:ascii="Times New Roman" w:hAnsi="Times New Roman" w:cs="Times New Roman"/>
          <w:sz w:val="24"/>
          <w:szCs w:val="24"/>
        </w:rPr>
      </w:pPr>
    </w:p>
    <w:p w14:paraId="76C10313" w14:textId="793386FB" w:rsidR="00CB6573" w:rsidRPr="00CB6573" w:rsidRDefault="00304486" w:rsidP="00CB6573">
      <w:pPr>
        <w:jc w:val="both"/>
        <w:rPr>
          <w:rFonts w:ascii="Times New Roman" w:hAnsi="Times New Roman" w:cs="Times New Roman"/>
          <w:b/>
          <w:sz w:val="24"/>
          <w:szCs w:val="24"/>
        </w:rPr>
      </w:pPr>
      <w:r>
        <w:rPr>
          <w:rFonts w:ascii="Times New Roman" w:hAnsi="Times New Roman" w:cs="Times New Roman"/>
          <w:b/>
          <w:sz w:val="24"/>
          <w:szCs w:val="24"/>
        </w:rPr>
        <w:t xml:space="preserve">2. </w:t>
      </w:r>
      <w:r w:rsidR="00CB6573" w:rsidRPr="00CB6573">
        <w:rPr>
          <w:rFonts w:ascii="Times New Roman" w:hAnsi="Times New Roman" w:cs="Times New Roman"/>
          <w:b/>
          <w:sz w:val="24"/>
          <w:szCs w:val="24"/>
        </w:rPr>
        <w:t>En 2016, des exportations françaises portée par l’augmentation de la demande en produits agroalimentaires</w:t>
      </w:r>
    </w:p>
    <w:p w14:paraId="659FDD12" w14:textId="0B03BC54" w:rsidR="00CB6573" w:rsidRPr="007D2044" w:rsidRDefault="00CB6573" w:rsidP="007D2044">
      <w:pPr>
        <w:spacing w:line="240" w:lineRule="auto"/>
        <w:contextualSpacing/>
        <w:jc w:val="both"/>
        <w:rPr>
          <w:rFonts w:ascii="Times New Roman" w:hAnsi="Times New Roman" w:cs="Times New Roman"/>
          <w:sz w:val="24"/>
          <w:szCs w:val="24"/>
        </w:rPr>
      </w:pPr>
      <w:r w:rsidRPr="00AF5F32">
        <w:rPr>
          <w:rFonts w:ascii="Times New Roman" w:hAnsi="Times New Roman" w:cs="Times New Roman"/>
          <w:b/>
          <w:sz w:val="24"/>
          <w:szCs w:val="24"/>
        </w:rPr>
        <w:t>Structurellement, la France exporte avant tout des produits industriels</w:t>
      </w:r>
      <w:r w:rsidR="00AF5F32" w:rsidRPr="00AF5F32">
        <w:rPr>
          <w:rFonts w:ascii="Times New Roman" w:hAnsi="Times New Roman" w:cs="Times New Roman"/>
          <w:b/>
          <w:sz w:val="24"/>
          <w:szCs w:val="24"/>
        </w:rPr>
        <w:t xml:space="preserve"> vers le Kenya</w:t>
      </w:r>
      <w:r w:rsidRPr="007D2044">
        <w:rPr>
          <w:rFonts w:ascii="Times New Roman" w:hAnsi="Times New Roman" w:cs="Times New Roman"/>
          <w:sz w:val="24"/>
          <w:szCs w:val="24"/>
        </w:rPr>
        <w:t xml:space="preserve">. Les quatre principaux postes d’exportations sont stables dans le temps. Il s’agit des équipements mécaniques, matériel électrique, électronique et informatique (27,4 % du total en 2017), des produits chimiques, parfums et </w:t>
      </w:r>
      <w:r w:rsidRPr="007D2044">
        <w:rPr>
          <w:rFonts w:ascii="Times New Roman" w:hAnsi="Times New Roman" w:cs="Times New Roman"/>
          <w:sz w:val="24"/>
          <w:szCs w:val="24"/>
        </w:rPr>
        <w:lastRenderedPageBreak/>
        <w:t xml:space="preserve">cosmétiques (21,7 %), des </w:t>
      </w:r>
      <w:r w:rsidR="007D2044" w:rsidRPr="007D2044">
        <w:rPr>
          <w:rFonts w:ascii="Times New Roman" w:hAnsi="Times New Roman" w:cs="Times New Roman"/>
          <w:sz w:val="24"/>
          <w:szCs w:val="24"/>
        </w:rPr>
        <w:t>produits</w:t>
      </w:r>
      <w:r w:rsidRPr="007D2044">
        <w:rPr>
          <w:rFonts w:ascii="Times New Roman" w:hAnsi="Times New Roman" w:cs="Times New Roman"/>
          <w:sz w:val="24"/>
          <w:szCs w:val="24"/>
        </w:rPr>
        <w:t xml:space="preserve"> agroalimentaires (18,6 %) et des produits pharmaceutiques (9,4 %) (cf. graphique 3). De façon plus agrégée, en 2017, les exportations françaises vers le Kenya sont constituées à 98 % de biens industriels et à 2 % de produits agricoles, sylvicoles, de la pêche et de l’aquaculture. </w:t>
      </w:r>
    </w:p>
    <w:p w14:paraId="1EF7F167" w14:textId="77777777" w:rsidR="00AF5F32" w:rsidRDefault="00AF5F32" w:rsidP="007D2044">
      <w:pPr>
        <w:spacing w:line="240" w:lineRule="auto"/>
        <w:contextualSpacing/>
        <w:jc w:val="both"/>
        <w:rPr>
          <w:rFonts w:ascii="Times New Roman" w:hAnsi="Times New Roman" w:cs="Times New Roman"/>
          <w:sz w:val="24"/>
          <w:szCs w:val="24"/>
        </w:rPr>
      </w:pPr>
    </w:p>
    <w:p w14:paraId="295C8F06" w14:textId="77777777" w:rsidR="00B6521F" w:rsidRDefault="00CB6573" w:rsidP="007D2044">
      <w:pPr>
        <w:spacing w:line="240" w:lineRule="auto"/>
        <w:contextualSpacing/>
        <w:jc w:val="both"/>
        <w:rPr>
          <w:rFonts w:ascii="Times New Roman" w:hAnsi="Times New Roman" w:cs="Times New Roman"/>
          <w:sz w:val="24"/>
          <w:szCs w:val="24"/>
        </w:rPr>
      </w:pPr>
      <w:r w:rsidRPr="00AF5F32">
        <w:rPr>
          <w:rFonts w:ascii="Times New Roman" w:hAnsi="Times New Roman" w:cs="Times New Roman"/>
          <w:b/>
          <w:sz w:val="24"/>
          <w:szCs w:val="24"/>
        </w:rPr>
        <w:t xml:space="preserve">Conjoncturellement, l’augmentation des exportations françaises en 2017 (11,7 %, à 171,2 MEUR), est portée </w:t>
      </w:r>
      <w:r w:rsidR="007D2044" w:rsidRPr="00AF5F32">
        <w:rPr>
          <w:rFonts w:ascii="Times New Roman" w:hAnsi="Times New Roman" w:cs="Times New Roman"/>
          <w:b/>
          <w:sz w:val="24"/>
          <w:szCs w:val="24"/>
        </w:rPr>
        <w:t>principalement</w:t>
      </w:r>
      <w:r w:rsidRPr="00AF5F32">
        <w:rPr>
          <w:rFonts w:ascii="Times New Roman" w:hAnsi="Times New Roman" w:cs="Times New Roman"/>
          <w:b/>
          <w:sz w:val="24"/>
          <w:szCs w:val="24"/>
        </w:rPr>
        <w:t xml:space="preserve"> par le dynamisme du poste agroalimentaire</w:t>
      </w:r>
      <w:r w:rsidRPr="007D2044">
        <w:rPr>
          <w:rFonts w:ascii="Times New Roman" w:hAnsi="Times New Roman" w:cs="Times New Roman"/>
          <w:sz w:val="24"/>
          <w:szCs w:val="24"/>
        </w:rPr>
        <w:t xml:space="preserve">. Les exportations de produits des industries agroalimentaires ont augmenté de 79,7 % à 31,9 MEUR, devant les exportations de machines industrielles et agricoles (17,0 MEUR, +22,8 %) et les équipements électriques et ménagers (14,6 MEUR, +26,6 %). A l’inverse, les produits métallurgiques et métalliques (9,7 MEUR, -24,0 %) et les produits agricoles, sylvicoles, de la pêche et de l’aquaculture (3,4 MEUR, -30,8 %) ont dégradé la performance à l’exportation de la France au Kenya. </w:t>
      </w:r>
    </w:p>
    <w:p w14:paraId="40F0EE68" w14:textId="5EE7AEF9" w:rsidR="00CB6573" w:rsidRPr="007D2044" w:rsidRDefault="00CB6573" w:rsidP="007D2044">
      <w:pPr>
        <w:spacing w:line="240" w:lineRule="auto"/>
        <w:contextualSpacing/>
        <w:jc w:val="both"/>
        <w:rPr>
          <w:rFonts w:ascii="Times New Roman" w:hAnsi="Times New Roman" w:cs="Times New Roman"/>
          <w:sz w:val="24"/>
          <w:szCs w:val="24"/>
        </w:rPr>
      </w:pPr>
      <w:r w:rsidRPr="007D2044">
        <w:rPr>
          <w:rFonts w:ascii="Times New Roman" w:hAnsi="Times New Roman" w:cs="Times New Roman"/>
          <w:sz w:val="24"/>
          <w:szCs w:val="24"/>
        </w:rPr>
        <w:t>Les produits chimiques, parfums et cosmétiques et les produits pharmaceutiques, qui représentent plus de 30 % des exportations françaises vers le Kenya, n’ont augmenté que de 3,3 %  et 4,6 % respectivement en 2017, à des niveaux proches de leur moyenne décennale. Alors que la demande est forte dans ces catégories de biens de consommation, le dynamisme des importations depuis la France est limité par des difficultés d’accès au marché d’ordre réglementaire, mais surtout par l’ampleur des importations parallèles, qui transitent par les plateformes de distribution régionales comme Dubaï ou Istanbul.</w:t>
      </w:r>
    </w:p>
    <w:p w14:paraId="7AE55893" w14:textId="77777777" w:rsidR="00AF5F32" w:rsidRDefault="00AF5F32" w:rsidP="007D2044">
      <w:pPr>
        <w:spacing w:line="240" w:lineRule="auto"/>
        <w:contextualSpacing/>
        <w:jc w:val="both"/>
        <w:rPr>
          <w:rFonts w:ascii="Times New Roman" w:hAnsi="Times New Roman" w:cs="Times New Roman"/>
          <w:sz w:val="24"/>
          <w:szCs w:val="24"/>
        </w:rPr>
      </w:pPr>
    </w:p>
    <w:p w14:paraId="75F6D0B6" w14:textId="4B83EBC0" w:rsidR="00CB6573" w:rsidRDefault="00CB6573" w:rsidP="007D2044">
      <w:pPr>
        <w:spacing w:line="240" w:lineRule="auto"/>
        <w:contextualSpacing/>
        <w:jc w:val="both"/>
        <w:rPr>
          <w:rFonts w:ascii="Times New Roman" w:hAnsi="Times New Roman" w:cs="Times New Roman"/>
          <w:sz w:val="24"/>
          <w:szCs w:val="24"/>
        </w:rPr>
      </w:pPr>
      <w:r w:rsidRPr="00AF5F32">
        <w:rPr>
          <w:rFonts w:ascii="Times New Roman" w:hAnsi="Times New Roman" w:cs="Times New Roman"/>
          <w:b/>
          <w:sz w:val="24"/>
          <w:szCs w:val="24"/>
        </w:rPr>
        <w:t>Ces résultats confortent plusieurs tendances</w:t>
      </w:r>
      <w:r w:rsidR="00AF5F32" w:rsidRPr="00AF5F32">
        <w:rPr>
          <w:rFonts w:ascii="Times New Roman" w:hAnsi="Times New Roman" w:cs="Times New Roman"/>
          <w:b/>
          <w:sz w:val="24"/>
          <w:szCs w:val="24"/>
        </w:rPr>
        <w:t xml:space="preserve"> de fond</w:t>
      </w:r>
      <w:r w:rsidRPr="007D2044">
        <w:rPr>
          <w:rFonts w:ascii="Times New Roman" w:hAnsi="Times New Roman" w:cs="Times New Roman"/>
          <w:sz w:val="24"/>
          <w:szCs w:val="24"/>
        </w:rPr>
        <w:t xml:space="preserve">. Tout d’abord, la hausse continue des exportations de produits agroalimentaires, qui sont passées entre 2008 et 2017 de 12,7 % à 18,6 % des exportations françaises vers le Kenya. Cette </w:t>
      </w:r>
      <w:r w:rsidR="007D2044" w:rsidRPr="007D2044">
        <w:rPr>
          <w:rFonts w:ascii="Times New Roman" w:hAnsi="Times New Roman" w:cs="Times New Roman"/>
          <w:sz w:val="24"/>
          <w:szCs w:val="24"/>
        </w:rPr>
        <w:t>hausse</w:t>
      </w:r>
      <w:r w:rsidRPr="007D2044">
        <w:rPr>
          <w:rFonts w:ascii="Times New Roman" w:hAnsi="Times New Roman" w:cs="Times New Roman"/>
          <w:sz w:val="24"/>
          <w:szCs w:val="24"/>
        </w:rPr>
        <w:t xml:space="preserve"> trouve son origine dans le dynamisme de la consommation des ménages kényans, portée par une classe moyenne estimée </w:t>
      </w:r>
      <w:r w:rsidR="007D2044" w:rsidRPr="007D2044">
        <w:rPr>
          <w:rFonts w:ascii="Times New Roman" w:hAnsi="Times New Roman" w:cs="Times New Roman"/>
          <w:sz w:val="24"/>
          <w:szCs w:val="24"/>
        </w:rPr>
        <w:t>parmi</w:t>
      </w:r>
      <w:r w:rsidRPr="007D2044">
        <w:rPr>
          <w:rFonts w:ascii="Times New Roman" w:hAnsi="Times New Roman" w:cs="Times New Roman"/>
          <w:sz w:val="24"/>
          <w:szCs w:val="24"/>
        </w:rPr>
        <w:t xml:space="preserve"> les plus importantes d’Afrique subsaharienne et par des habitudes de consommation formalisées ; mais aussi depuis 2016 par l’installation au Kenya de l’enseigne de grande distribution Carrefour. D’autre part, les exportations industrielles dans leur ensemble peinent à croître. Ainsi, elles stagnent dans leur ensemble, puisque leur niveau en 2017, 167,4 MEUR, est proche de leur moyenne décennale (166,4 MEUR).</w:t>
      </w:r>
    </w:p>
    <w:p w14:paraId="5EBF076F" w14:textId="77777777" w:rsidR="007D2044" w:rsidRPr="007D2044" w:rsidRDefault="007D2044" w:rsidP="007D2044">
      <w:pPr>
        <w:spacing w:line="240" w:lineRule="auto"/>
        <w:contextualSpacing/>
        <w:jc w:val="both"/>
        <w:rPr>
          <w:rFonts w:ascii="Times New Roman" w:hAnsi="Times New Roman" w:cs="Times New Roman"/>
          <w:sz w:val="24"/>
          <w:szCs w:val="24"/>
        </w:rPr>
      </w:pPr>
    </w:p>
    <w:p w14:paraId="7A18D24A" w14:textId="77777777" w:rsidR="00CB6573" w:rsidRPr="00AF5F32" w:rsidRDefault="00CB6573" w:rsidP="00AF5F32">
      <w:pPr>
        <w:jc w:val="center"/>
        <w:rPr>
          <w:rFonts w:ascii="Times New Roman" w:hAnsi="Times New Roman" w:cs="Times New Roman"/>
          <w:b/>
          <w:sz w:val="20"/>
          <w:szCs w:val="24"/>
        </w:rPr>
      </w:pPr>
      <w:r w:rsidRPr="00AF5F32">
        <w:rPr>
          <w:rFonts w:ascii="Times New Roman" w:hAnsi="Times New Roman" w:cs="Times New Roman"/>
          <w:b/>
          <w:sz w:val="20"/>
          <w:szCs w:val="24"/>
        </w:rPr>
        <w:t>Graphique 3 - Structure des exportations françaises vers le Kenya par secteur (en %)</w:t>
      </w:r>
    </w:p>
    <w:p w14:paraId="25486702" w14:textId="26A6A20E" w:rsidR="00CB6573" w:rsidRPr="00CB6573" w:rsidRDefault="007D2044" w:rsidP="007D2044">
      <w:pPr>
        <w:jc w:val="center"/>
        <w:rPr>
          <w:rFonts w:ascii="Times New Roman" w:hAnsi="Times New Roman" w:cs="Times New Roman"/>
          <w:b/>
          <w:sz w:val="24"/>
          <w:szCs w:val="24"/>
        </w:rPr>
      </w:pPr>
      <w:r>
        <w:rPr>
          <w:noProof/>
          <w:lang w:eastAsia="fr-FR"/>
        </w:rPr>
        <w:drawing>
          <wp:inline distT="0" distB="0" distL="0" distR="0" wp14:anchorId="20FF2383" wp14:editId="770219D9">
            <wp:extent cx="3569817" cy="2590006"/>
            <wp:effectExtent l="0" t="0" r="0" b="127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1815" cy="2598711"/>
                    </a:xfrm>
                    <a:prstGeom prst="rect">
                      <a:avLst/>
                    </a:prstGeom>
                    <a:noFill/>
                  </pic:spPr>
                </pic:pic>
              </a:graphicData>
            </a:graphic>
          </wp:inline>
        </w:drawing>
      </w:r>
    </w:p>
    <w:p w14:paraId="65A47098" w14:textId="77777777" w:rsidR="00CB6573" w:rsidRPr="007D2044" w:rsidRDefault="00CB6573" w:rsidP="007D2044">
      <w:pPr>
        <w:jc w:val="center"/>
        <w:rPr>
          <w:rFonts w:ascii="Times New Roman" w:hAnsi="Times New Roman" w:cs="Times New Roman"/>
          <w:sz w:val="20"/>
          <w:szCs w:val="24"/>
        </w:rPr>
      </w:pPr>
      <w:r w:rsidRPr="007D2044">
        <w:rPr>
          <w:rFonts w:ascii="Times New Roman" w:hAnsi="Times New Roman" w:cs="Times New Roman"/>
          <w:sz w:val="20"/>
          <w:szCs w:val="24"/>
        </w:rPr>
        <w:t>Source : Douanes françaises</w:t>
      </w:r>
    </w:p>
    <w:p w14:paraId="61A3AF40" w14:textId="77777777" w:rsidR="007D2044" w:rsidRDefault="007D2044" w:rsidP="00CB6573">
      <w:pPr>
        <w:jc w:val="both"/>
        <w:rPr>
          <w:rFonts w:ascii="Times New Roman" w:hAnsi="Times New Roman" w:cs="Times New Roman"/>
          <w:b/>
          <w:sz w:val="24"/>
          <w:szCs w:val="24"/>
        </w:rPr>
      </w:pPr>
    </w:p>
    <w:p w14:paraId="37DDA24D" w14:textId="618D1014" w:rsidR="007D2044" w:rsidRDefault="007D2044" w:rsidP="007D2044">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3. </w:t>
      </w:r>
      <w:r w:rsidR="00CB6573" w:rsidRPr="007D2044">
        <w:rPr>
          <w:rFonts w:ascii="Times New Roman" w:hAnsi="Times New Roman" w:cs="Times New Roman"/>
          <w:b/>
          <w:sz w:val="24"/>
          <w:szCs w:val="24"/>
        </w:rPr>
        <w:t>En 2017, une hausse continue de la demande en biens d’origine agricole</w:t>
      </w:r>
      <w:r>
        <w:rPr>
          <w:rFonts w:ascii="Times New Roman" w:hAnsi="Times New Roman" w:cs="Times New Roman"/>
          <w:b/>
          <w:sz w:val="24"/>
          <w:szCs w:val="24"/>
        </w:rPr>
        <w:t xml:space="preserve">. </w:t>
      </w:r>
    </w:p>
    <w:p w14:paraId="2B884661" w14:textId="77777777" w:rsidR="00AF5F32" w:rsidRDefault="00AF5F32" w:rsidP="007D2044">
      <w:pPr>
        <w:spacing w:line="240" w:lineRule="auto"/>
        <w:contextualSpacing/>
        <w:jc w:val="both"/>
        <w:rPr>
          <w:rFonts w:ascii="Times New Roman" w:hAnsi="Times New Roman" w:cs="Times New Roman"/>
          <w:sz w:val="24"/>
          <w:szCs w:val="24"/>
        </w:rPr>
      </w:pPr>
    </w:p>
    <w:p w14:paraId="0AABE4D5" w14:textId="78EA67D6" w:rsidR="00CB6573" w:rsidRPr="007D2044" w:rsidRDefault="00CB6573" w:rsidP="007D2044">
      <w:pPr>
        <w:spacing w:line="240" w:lineRule="auto"/>
        <w:contextualSpacing/>
        <w:jc w:val="both"/>
        <w:rPr>
          <w:rFonts w:ascii="Times New Roman" w:hAnsi="Times New Roman" w:cs="Times New Roman"/>
          <w:sz w:val="24"/>
          <w:szCs w:val="24"/>
        </w:rPr>
      </w:pPr>
      <w:r w:rsidRPr="00AF5F32">
        <w:rPr>
          <w:rFonts w:ascii="Times New Roman" w:hAnsi="Times New Roman" w:cs="Times New Roman"/>
          <w:b/>
          <w:sz w:val="24"/>
          <w:szCs w:val="24"/>
        </w:rPr>
        <w:t>Structurellement, les importations françaises en provenance du Kenya sont essentiellement constituées de produits agricoles et agroalimentaires</w:t>
      </w:r>
      <w:r w:rsidRPr="007D2044">
        <w:rPr>
          <w:rFonts w:ascii="Times New Roman" w:hAnsi="Times New Roman" w:cs="Times New Roman"/>
          <w:sz w:val="24"/>
          <w:szCs w:val="24"/>
        </w:rPr>
        <w:t xml:space="preserve">. Les deux principaux postes d’importations de la France en provenance du Kenya sont les produits agricoles, sylvicoles, de la pêche et de l’aquaculture (60,9 %) et les produits des industries </w:t>
      </w:r>
      <w:r w:rsidR="007D2044" w:rsidRPr="007D2044">
        <w:rPr>
          <w:rFonts w:ascii="Times New Roman" w:hAnsi="Times New Roman" w:cs="Times New Roman"/>
          <w:sz w:val="24"/>
          <w:szCs w:val="24"/>
        </w:rPr>
        <w:t>agro-alimentaires</w:t>
      </w:r>
      <w:r w:rsidRPr="007D2044">
        <w:rPr>
          <w:rFonts w:ascii="Times New Roman" w:hAnsi="Times New Roman" w:cs="Times New Roman"/>
          <w:sz w:val="24"/>
          <w:szCs w:val="24"/>
        </w:rPr>
        <w:t xml:space="preserve"> (34,5 %). Le troisième poste dépassant 1 MEUR d’importations est </w:t>
      </w:r>
      <w:r w:rsidRPr="007D2044">
        <w:rPr>
          <w:rFonts w:ascii="Times New Roman" w:hAnsi="Times New Roman" w:cs="Times New Roman"/>
          <w:sz w:val="24"/>
          <w:szCs w:val="24"/>
        </w:rPr>
        <w:lastRenderedPageBreak/>
        <w:t xml:space="preserve">le poste « textiles, habillement, cuir et chaussures » (1,3 %) (cf. graphique 4). Ainsi, le Kenya est avant fournisseur de matières premières ou de biens </w:t>
      </w:r>
      <w:r w:rsidR="007D2044" w:rsidRPr="007D2044">
        <w:rPr>
          <w:rFonts w:ascii="Times New Roman" w:hAnsi="Times New Roman" w:cs="Times New Roman"/>
          <w:sz w:val="24"/>
          <w:szCs w:val="24"/>
        </w:rPr>
        <w:t>agricoles</w:t>
      </w:r>
      <w:r w:rsidRPr="007D2044">
        <w:rPr>
          <w:rFonts w:ascii="Times New Roman" w:hAnsi="Times New Roman" w:cs="Times New Roman"/>
          <w:sz w:val="24"/>
          <w:szCs w:val="24"/>
        </w:rPr>
        <w:t xml:space="preserve"> transformés, ce qui est conforme au panier d’exportations du pays, composé à plus de 70 % de biens d’origine agricole transformés ou non et de consommation. La France importe essentiellement des légumes, frais et transformés, et des fleurs coupées.</w:t>
      </w:r>
    </w:p>
    <w:p w14:paraId="2600CCE2" w14:textId="77777777" w:rsidR="00AF5F32" w:rsidRDefault="00AF5F32" w:rsidP="007D2044">
      <w:pPr>
        <w:spacing w:line="240" w:lineRule="auto"/>
        <w:contextualSpacing/>
        <w:jc w:val="both"/>
        <w:rPr>
          <w:rFonts w:ascii="Times New Roman" w:hAnsi="Times New Roman" w:cs="Times New Roman"/>
          <w:sz w:val="24"/>
          <w:szCs w:val="24"/>
        </w:rPr>
      </w:pPr>
    </w:p>
    <w:p w14:paraId="7F768249" w14:textId="77777777" w:rsidR="00CB6573" w:rsidRDefault="00CB6573" w:rsidP="007D2044">
      <w:pPr>
        <w:spacing w:line="240" w:lineRule="auto"/>
        <w:contextualSpacing/>
        <w:jc w:val="both"/>
        <w:rPr>
          <w:rFonts w:ascii="Times New Roman" w:hAnsi="Times New Roman" w:cs="Times New Roman"/>
          <w:sz w:val="24"/>
          <w:szCs w:val="24"/>
        </w:rPr>
      </w:pPr>
      <w:r w:rsidRPr="00AF5F32">
        <w:rPr>
          <w:rFonts w:ascii="Times New Roman" w:hAnsi="Times New Roman" w:cs="Times New Roman"/>
          <w:b/>
          <w:sz w:val="24"/>
          <w:szCs w:val="24"/>
        </w:rPr>
        <w:t>Pour la première fois en dix ans, les importations françaises en provenance du Kenya ont dépassé la barre des 100 MEUR</w:t>
      </w:r>
      <w:r w:rsidRPr="007D2044">
        <w:rPr>
          <w:rFonts w:ascii="Times New Roman" w:hAnsi="Times New Roman" w:cs="Times New Roman"/>
          <w:sz w:val="24"/>
          <w:szCs w:val="24"/>
        </w:rPr>
        <w:t xml:space="preserve">, à 101,9 MEUR (+14,4 % par rapport à 2016). Le premier poste d’importations en provenance du Kenya, les produits agricoles sylvicoles, de la pêche et de l’aquaculture, a enregistré une augmentation de 19,4 % en 2017, pour atteindre 62,1 MEUR. Cette performance est portée par l’augmentation des volumes de légumes verts, mais surtout par l’augmentation de la valeur de ces livraisons, qui portent de plus en plus sur des produits transformés (surgelés, préparations prêtes à cuisiner) pour les enseignes de la grande distribution, dont le Kenya est devenu l’un des premiers fournisseurs. Les produits des industries agroalimentaires ont atteint 35,2 MEUR, soit une hausse de 3,9 % par rapport à 2016. Les exportations de produits textiles, de l’habillement et du cuir (1,4 MEUR, -1,6 %) sont stables. La demande française en produits primaires kényan est en hausse sur la décennie écoulée, augmentant en moyenne de 5,4 % par an. </w:t>
      </w:r>
    </w:p>
    <w:p w14:paraId="3E66DB9C" w14:textId="77777777" w:rsidR="00B6521F" w:rsidRPr="007D2044" w:rsidRDefault="00B6521F" w:rsidP="007D2044">
      <w:pPr>
        <w:spacing w:line="240" w:lineRule="auto"/>
        <w:contextualSpacing/>
        <w:jc w:val="both"/>
        <w:rPr>
          <w:rFonts w:ascii="Times New Roman" w:hAnsi="Times New Roman" w:cs="Times New Roman"/>
          <w:sz w:val="24"/>
          <w:szCs w:val="24"/>
        </w:rPr>
      </w:pPr>
    </w:p>
    <w:p w14:paraId="00713298" w14:textId="77777777" w:rsidR="00CB6573" w:rsidRPr="00CB6573" w:rsidRDefault="00CB6573" w:rsidP="007D2044">
      <w:pPr>
        <w:spacing w:line="240" w:lineRule="auto"/>
        <w:contextualSpacing/>
        <w:jc w:val="both"/>
        <w:rPr>
          <w:rFonts w:ascii="Times New Roman" w:hAnsi="Times New Roman" w:cs="Times New Roman"/>
          <w:b/>
          <w:sz w:val="24"/>
          <w:szCs w:val="24"/>
        </w:rPr>
      </w:pPr>
    </w:p>
    <w:p w14:paraId="11AE9F4E" w14:textId="77777777" w:rsidR="00CB6573" w:rsidRPr="00AF5F32" w:rsidRDefault="00CB6573" w:rsidP="00B6521F">
      <w:pPr>
        <w:jc w:val="center"/>
        <w:rPr>
          <w:rFonts w:ascii="Times New Roman" w:hAnsi="Times New Roman" w:cs="Times New Roman"/>
          <w:b/>
          <w:sz w:val="20"/>
          <w:szCs w:val="24"/>
        </w:rPr>
      </w:pPr>
      <w:r w:rsidRPr="00AF5F32">
        <w:rPr>
          <w:rFonts w:ascii="Times New Roman" w:hAnsi="Times New Roman" w:cs="Times New Roman"/>
          <w:b/>
          <w:sz w:val="20"/>
          <w:szCs w:val="24"/>
        </w:rPr>
        <w:t>Graphique 4 : Structure des importations en provenance du Kenya par secteur (en %)</w:t>
      </w:r>
    </w:p>
    <w:p w14:paraId="73221BA5" w14:textId="3C5065C6" w:rsidR="00CB6573" w:rsidRPr="00CB6573" w:rsidRDefault="007D2044" w:rsidP="007D2044">
      <w:pPr>
        <w:jc w:val="center"/>
        <w:rPr>
          <w:rFonts w:ascii="Times New Roman" w:hAnsi="Times New Roman" w:cs="Times New Roman"/>
          <w:b/>
          <w:sz w:val="24"/>
          <w:szCs w:val="24"/>
        </w:rPr>
      </w:pPr>
      <w:r>
        <w:rPr>
          <w:noProof/>
          <w:lang w:eastAsia="fr-FR"/>
        </w:rPr>
        <w:drawing>
          <wp:inline distT="0" distB="0" distL="0" distR="0" wp14:anchorId="3883A563" wp14:editId="2D6CA706">
            <wp:extent cx="3562502" cy="2513044"/>
            <wp:effectExtent l="0" t="0" r="0" b="190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72692" cy="2520232"/>
                    </a:xfrm>
                    <a:prstGeom prst="rect">
                      <a:avLst/>
                    </a:prstGeom>
                    <a:noFill/>
                  </pic:spPr>
                </pic:pic>
              </a:graphicData>
            </a:graphic>
          </wp:inline>
        </w:drawing>
      </w:r>
    </w:p>
    <w:p w14:paraId="7E8B8A00" w14:textId="77777777" w:rsidR="00CB6573" w:rsidRPr="007D2044" w:rsidRDefault="00CB6573" w:rsidP="007D2044">
      <w:pPr>
        <w:jc w:val="center"/>
        <w:rPr>
          <w:rFonts w:ascii="Times New Roman" w:hAnsi="Times New Roman" w:cs="Times New Roman"/>
          <w:sz w:val="20"/>
          <w:szCs w:val="24"/>
        </w:rPr>
      </w:pPr>
      <w:r w:rsidRPr="007D2044">
        <w:rPr>
          <w:rFonts w:ascii="Times New Roman" w:hAnsi="Times New Roman" w:cs="Times New Roman"/>
          <w:sz w:val="20"/>
          <w:szCs w:val="24"/>
        </w:rPr>
        <w:t>Source : Douanes françaises</w:t>
      </w:r>
    </w:p>
    <w:p w14:paraId="0F6ECE11" w14:textId="77777777" w:rsidR="007D2044" w:rsidRDefault="007D2044" w:rsidP="007D2044">
      <w:pPr>
        <w:spacing w:line="240" w:lineRule="auto"/>
        <w:contextualSpacing/>
        <w:jc w:val="both"/>
        <w:rPr>
          <w:rFonts w:ascii="Times New Roman" w:hAnsi="Times New Roman" w:cs="Times New Roman"/>
          <w:i/>
          <w:sz w:val="24"/>
          <w:szCs w:val="24"/>
        </w:rPr>
      </w:pPr>
    </w:p>
    <w:p w14:paraId="2C88D3F3" w14:textId="77777777" w:rsidR="00B6521F" w:rsidRDefault="00B6521F" w:rsidP="007D2044">
      <w:pPr>
        <w:spacing w:line="240" w:lineRule="auto"/>
        <w:contextualSpacing/>
        <w:jc w:val="both"/>
        <w:rPr>
          <w:rFonts w:ascii="Times New Roman" w:hAnsi="Times New Roman" w:cs="Times New Roman"/>
          <w:i/>
          <w:sz w:val="24"/>
          <w:szCs w:val="24"/>
        </w:rPr>
      </w:pPr>
    </w:p>
    <w:p w14:paraId="1837D70A" w14:textId="77777777" w:rsidR="00B6521F" w:rsidRDefault="00B6521F" w:rsidP="007D2044">
      <w:pPr>
        <w:spacing w:line="240" w:lineRule="auto"/>
        <w:contextualSpacing/>
        <w:jc w:val="both"/>
        <w:rPr>
          <w:rFonts w:ascii="Times New Roman" w:hAnsi="Times New Roman" w:cs="Times New Roman"/>
          <w:i/>
          <w:sz w:val="24"/>
          <w:szCs w:val="24"/>
        </w:rPr>
      </w:pPr>
    </w:p>
    <w:p w14:paraId="31FC72BB" w14:textId="77777777" w:rsidR="00B6521F" w:rsidRDefault="00CB6573" w:rsidP="007D2044">
      <w:pPr>
        <w:spacing w:line="240" w:lineRule="auto"/>
        <w:contextualSpacing/>
        <w:jc w:val="both"/>
        <w:rPr>
          <w:rFonts w:ascii="Times New Roman" w:hAnsi="Times New Roman" w:cs="Times New Roman"/>
          <w:i/>
          <w:sz w:val="24"/>
          <w:szCs w:val="24"/>
        </w:rPr>
      </w:pPr>
      <w:r w:rsidRPr="007D2044">
        <w:rPr>
          <w:rFonts w:ascii="Times New Roman" w:hAnsi="Times New Roman" w:cs="Times New Roman"/>
          <w:i/>
          <w:sz w:val="24"/>
          <w:szCs w:val="24"/>
        </w:rPr>
        <w:t>Le climat d’</w:t>
      </w:r>
      <w:r w:rsidR="007D2044" w:rsidRPr="007D2044">
        <w:rPr>
          <w:rFonts w:ascii="Times New Roman" w:hAnsi="Times New Roman" w:cs="Times New Roman"/>
          <w:i/>
          <w:sz w:val="24"/>
          <w:szCs w:val="24"/>
        </w:rPr>
        <w:t>incertitudes</w:t>
      </w:r>
      <w:r w:rsidRPr="007D2044">
        <w:rPr>
          <w:rFonts w:ascii="Times New Roman" w:hAnsi="Times New Roman" w:cs="Times New Roman"/>
          <w:i/>
          <w:sz w:val="24"/>
          <w:szCs w:val="24"/>
        </w:rPr>
        <w:t xml:space="preserve"> lié </w:t>
      </w:r>
      <w:r w:rsidR="007D2044">
        <w:rPr>
          <w:rFonts w:ascii="Times New Roman" w:hAnsi="Times New Roman" w:cs="Times New Roman"/>
          <w:i/>
          <w:sz w:val="24"/>
          <w:szCs w:val="24"/>
        </w:rPr>
        <w:t>au cycle électoral en 2017 au Kenya</w:t>
      </w:r>
      <w:r w:rsidRPr="007D2044">
        <w:rPr>
          <w:rFonts w:ascii="Times New Roman" w:hAnsi="Times New Roman" w:cs="Times New Roman"/>
          <w:i/>
          <w:sz w:val="24"/>
          <w:szCs w:val="24"/>
        </w:rPr>
        <w:t xml:space="preserve">, de même </w:t>
      </w:r>
      <w:r w:rsidR="007D2044">
        <w:rPr>
          <w:rFonts w:ascii="Times New Roman" w:hAnsi="Times New Roman" w:cs="Times New Roman"/>
          <w:i/>
          <w:sz w:val="24"/>
          <w:szCs w:val="24"/>
        </w:rPr>
        <w:t xml:space="preserve">que la </w:t>
      </w:r>
      <w:r w:rsidRPr="007D2044">
        <w:rPr>
          <w:rFonts w:ascii="Times New Roman" w:hAnsi="Times New Roman" w:cs="Times New Roman"/>
          <w:i/>
          <w:sz w:val="24"/>
          <w:szCs w:val="24"/>
        </w:rPr>
        <w:t xml:space="preserve">sécheresse </w:t>
      </w:r>
      <w:r w:rsidR="007D2044">
        <w:rPr>
          <w:rFonts w:ascii="Times New Roman" w:hAnsi="Times New Roman" w:cs="Times New Roman"/>
          <w:i/>
          <w:sz w:val="24"/>
          <w:szCs w:val="24"/>
        </w:rPr>
        <w:t xml:space="preserve">du </w:t>
      </w:r>
      <w:r w:rsidRPr="007D2044">
        <w:rPr>
          <w:rFonts w:ascii="Times New Roman" w:hAnsi="Times New Roman" w:cs="Times New Roman"/>
          <w:i/>
          <w:sz w:val="24"/>
          <w:szCs w:val="24"/>
        </w:rPr>
        <w:t>début d’année et une très faible croissance du crédit au secteur privé</w:t>
      </w:r>
      <w:r w:rsidR="007D2044">
        <w:rPr>
          <w:rFonts w:ascii="Times New Roman" w:hAnsi="Times New Roman" w:cs="Times New Roman"/>
          <w:i/>
          <w:sz w:val="24"/>
          <w:szCs w:val="24"/>
        </w:rPr>
        <w:t>,</w:t>
      </w:r>
      <w:r w:rsidRPr="007D2044">
        <w:rPr>
          <w:rFonts w:ascii="Times New Roman" w:hAnsi="Times New Roman" w:cs="Times New Roman"/>
          <w:i/>
          <w:sz w:val="24"/>
          <w:szCs w:val="24"/>
        </w:rPr>
        <w:t xml:space="preserve"> ont affaibli la croissance du PIB. Alors qu’elle s’était inscrite à 5,9 % en 2016, elle pourrait s’établir à 5,0 % en 2017. Toutefois, les perspectives restent bien orientées : le FMI prévoit une croissance du PIB de 5,5 % en 2018 et 6,0 % en 2019. Le dynamisme de la demande adressée à la France en biens de grande consommation devrait s’affirmer, l’implantation de Carrefour intervenant dans un contexte de crise des acteurs kényans de la grande distribution, Nakumatt et Uchumi. L’implantation de </w:t>
      </w:r>
      <w:r w:rsidR="007D2044" w:rsidRPr="007D2044">
        <w:rPr>
          <w:rFonts w:ascii="Times New Roman" w:hAnsi="Times New Roman" w:cs="Times New Roman"/>
          <w:i/>
          <w:sz w:val="24"/>
          <w:szCs w:val="24"/>
        </w:rPr>
        <w:t>Décathlon</w:t>
      </w:r>
      <w:r w:rsidRPr="007D2044">
        <w:rPr>
          <w:rFonts w:ascii="Times New Roman" w:hAnsi="Times New Roman" w:cs="Times New Roman"/>
          <w:i/>
          <w:sz w:val="24"/>
          <w:szCs w:val="24"/>
        </w:rPr>
        <w:t xml:space="preserve"> conforte également l’attractivité du marché kényan de la distribution. Dans le domaine des projets industriels, la levée des incertitudes liées aux élections devrait redynamiser les investissements et favoriser la relance des projets d’implantation et des grands travaux d’infrastructures. Ce rebond pourrait se traduire par la montée en charge des activités industrielles des entreprises françaises dans le pays, à l’instar de l’usine d’assemblage de Peugeot, l’accélération de la conduite des grands projets publics - barrage de Ruiru - ou la mise en œuvre de réformes visant à favoriser l’investissement direct étranger, réformes qui pourraient bénéficier aux entreprises française comme le recours aux partenariats public-privés pour le financement des infrastructures.</w:t>
      </w:r>
    </w:p>
    <w:p w14:paraId="37F2DD4D" w14:textId="77777777" w:rsidR="00B6521F" w:rsidRDefault="00B6521F">
      <w:pPr>
        <w:rPr>
          <w:rFonts w:ascii="Times New Roman" w:hAnsi="Times New Roman" w:cs="Times New Roman"/>
          <w:i/>
          <w:sz w:val="24"/>
          <w:szCs w:val="24"/>
        </w:rPr>
      </w:pPr>
      <w:r>
        <w:rPr>
          <w:rFonts w:ascii="Times New Roman" w:hAnsi="Times New Roman" w:cs="Times New Roman"/>
          <w:i/>
          <w:sz w:val="24"/>
          <w:szCs w:val="24"/>
        </w:rPr>
        <w:br w:type="page"/>
      </w:r>
    </w:p>
    <w:p w14:paraId="0E6850E6" w14:textId="77777777" w:rsidR="00B6521F" w:rsidRPr="006D3C6B" w:rsidRDefault="00B6521F" w:rsidP="00B6521F">
      <w:pPr>
        <w:rPr>
          <w:rFonts w:ascii="Times New Roman" w:hAnsi="Times New Roman" w:cs="Times New Roman"/>
          <w:b/>
          <w:i/>
          <w:sz w:val="20"/>
          <w:szCs w:val="24"/>
        </w:rPr>
      </w:pPr>
      <w:r w:rsidRPr="006D3C6B">
        <w:rPr>
          <w:rFonts w:ascii="Times New Roman" w:hAnsi="Times New Roman" w:cs="Times New Roman"/>
          <w:b/>
          <w:i/>
          <w:sz w:val="20"/>
          <w:szCs w:val="24"/>
        </w:rPr>
        <w:t>Annexe 1 : Echanges bilatéraux entre la France et le Kenya (milliers d’euros)</w:t>
      </w:r>
    </w:p>
    <w:tbl>
      <w:tblPr>
        <w:tblStyle w:val="Grilledutableau"/>
        <w:tblW w:w="10272" w:type="dxa"/>
        <w:tblLayout w:type="fixed"/>
        <w:tblLook w:val="04A0" w:firstRow="1" w:lastRow="0" w:firstColumn="1" w:lastColumn="0" w:noHBand="0" w:noVBand="1"/>
      </w:tblPr>
      <w:tblGrid>
        <w:gridCol w:w="3656"/>
        <w:gridCol w:w="985"/>
        <w:gridCol w:w="985"/>
        <w:gridCol w:w="1267"/>
        <w:gridCol w:w="1126"/>
        <w:gridCol w:w="985"/>
        <w:gridCol w:w="1268"/>
      </w:tblGrid>
      <w:tr w:rsidR="00B6521F" w:rsidRPr="00B6521F" w14:paraId="2A227FFA" w14:textId="77777777" w:rsidTr="000636DB">
        <w:trPr>
          <w:trHeight w:val="503"/>
        </w:trPr>
        <w:tc>
          <w:tcPr>
            <w:tcW w:w="3656" w:type="dxa"/>
            <w:vMerge w:val="restart"/>
            <w:shd w:val="clear" w:color="auto" w:fill="auto"/>
            <w:vAlign w:val="center"/>
          </w:tcPr>
          <w:p w14:paraId="52F44BBD" w14:textId="77777777" w:rsidR="00B6521F" w:rsidRPr="00B6521F" w:rsidRDefault="00B6521F" w:rsidP="00B6521F">
            <w:pPr>
              <w:spacing w:after="160" w:line="259" w:lineRule="auto"/>
              <w:rPr>
                <w:rFonts w:ascii="Times New Roman" w:hAnsi="Times New Roman" w:cs="Times New Roman"/>
                <w:b/>
                <w:bCs/>
                <w:i/>
                <w:sz w:val="16"/>
                <w:szCs w:val="16"/>
              </w:rPr>
            </w:pPr>
          </w:p>
        </w:tc>
        <w:tc>
          <w:tcPr>
            <w:tcW w:w="3237" w:type="dxa"/>
            <w:gridSpan w:val="3"/>
            <w:shd w:val="clear" w:color="auto" w:fill="auto"/>
            <w:vAlign w:val="center"/>
            <w:hideMark/>
          </w:tcPr>
          <w:p w14:paraId="010A76BE" w14:textId="77777777" w:rsidR="00B6521F" w:rsidRPr="00B6521F" w:rsidRDefault="00B6521F" w:rsidP="00B6521F">
            <w:pPr>
              <w:spacing w:after="160" w:line="259" w:lineRule="auto"/>
              <w:rPr>
                <w:rFonts w:ascii="Times New Roman" w:hAnsi="Times New Roman" w:cs="Times New Roman"/>
                <w:i/>
                <w:sz w:val="16"/>
                <w:szCs w:val="16"/>
              </w:rPr>
            </w:pPr>
            <w:r w:rsidRPr="00B6521F">
              <w:rPr>
                <w:rFonts w:ascii="Times New Roman" w:hAnsi="Times New Roman" w:cs="Times New Roman"/>
                <w:i/>
                <w:sz w:val="16"/>
                <w:szCs w:val="16"/>
              </w:rPr>
              <w:t>Exportations FAB</w:t>
            </w:r>
          </w:p>
        </w:tc>
        <w:tc>
          <w:tcPr>
            <w:tcW w:w="3379" w:type="dxa"/>
            <w:gridSpan w:val="3"/>
            <w:shd w:val="clear" w:color="auto" w:fill="auto"/>
            <w:vAlign w:val="center"/>
            <w:hideMark/>
          </w:tcPr>
          <w:p w14:paraId="097A0BC7" w14:textId="77777777" w:rsidR="00B6521F" w:rsidRPr="00B6521F" w:rsidRDefault="00B6521F" w:rsidP="00B6521F">
            <w:pPr>
              <w:spacing w:after="160" w:line="259" w:lineRule="auto"/>
              <w:rPr>
                <w:rFonts w:ascii="Times New Roman" w:hAnsi="Times New Roman" w:cs="Times New Roman"/>
                <w:i/>
                <w:sz w:val="16"/>
                <w:szCs w:val="16"/>
              </w:rPr>
            </w:pPr>
            <w:r w:rsidRPr="00B6521F">
              <w:rPr>
                <w:rFonts w:ascii="Times New Roman" w:hAnsi="Times New Roman" w:cs="Times New Roman"/>
                <w:i/>
                <w:sz w:val="16"/>
                <w:szCs w:val="16"/>
              </w:rPr>
              <w:t>Importations CAF</w:t>
            </w:r>
          </w:p>
        </w:tc>
      </w:tr>
      <w:tr w:rsidR="00B6521F" w:rsidRPr="00B6521F" w14:paraId="26E6372A" w14:textId="77777777" w:rsidTr="000636DB">
        <w:trPr>
          <w:trHeight w:val="502"/>
        </w:trPr>
        <w:tc>
          <w:tcPr>
            <w:tcW w:w="3656" w:type="dxa"/>
            <w:vMerge/>
            <w:shd w:val="clear" w:color="auto" w:fill="auto"/>
            <w:vAlign w:val="center"/>
          </w:tcPr>
          <w:p w14:paraId="08945F05" w14:textId="77777777" w:rsidR="00B6521F" w:rsidRPr="00B6521F" w:rsidRDefault="00B6521F" w:rsidP="00B6521F">
            <w:pPr>
              <w:spacing w:after="160" w:line="259" w:lineRule="auto"/>
              <w:rPr>
                <w:rFonts w:ascii="Times New Roman" w:hAnsi="Times New Roman" w:cs="Times New Roman"/>
                <w:b/>
                <w:bCs/>
                <w:i/>
                <w:sz w:val="16"/>
                <w:szCs w:val="16"/>
              </w:rPr>
            </w:pPr>
          </w:p>
        </w:tc>
        <w:tc>
          <w:tcPr>
            <w:tcW w:w="985" w:type="dxa"/>
            <w:shd w:val="clear" w:color="auto" w:fill="auto"/>
            <w:vAlign w:val="center"/>
          </w:tcPr>
          <w:p w14:paraId="3F0DFFB2" w14:textId="77777777" w:rsidR="00B6521F" w:rsidRPr="00B6521F" w:rsidRDefault="00B6521F" w:rsidP="00B6521F">
            <w:pPr>
              <w:spacing w:after="160" w:line="259" w:lineRule="auto"/>
              <w:rPr>
                <w:rFonts w:ascii="Times New Roman" w:hAnsi="Times New Roman" w:cs="Times New Roman"/>
                <w:i/>
                <w:sz w:val="16"/>
                <w:szCs w:val="16"/>
              </w:rPr>
            </w:pPr>
            <w:r w:rsidRPr="00B6521F">
              <w:rPr>
                <w:rFonts w:ascii="Times New Roman" w:hAnsi="Times New Roman" w:cs="Times New Roman"/>
                <w:i/>
                <w:sz w:val="16"/>
                <w:szCs w:val="16"/>
              </w:rPr>
              <w:t>2017</w:t>
            </w:r>
          </w:p>
        </w:tc>
        <w:tc>
          <w:tcPr>
            <w:tcW w:w="985" w:type="dxa"/>
            <w:shd w:val="clear" w:color="auto" w:fill="auto"/>
            <w:vAlign w:val="center"/>
          </w:tcPr>
          <w:p w14:paraId="17172CB1" w14:textId="77777777" w:rsidR="00B6521F" w:rsidRPr="00B6521F" w:rsidRDefault="00B6521F" w:rsidP="00B6521F">
            <w:pPr>
              <w:spacing w:after="160" w:line="259" w:lineRule="auto"/>
              <w:rPr>
                <w:rFonts w:ascii="Times New Roman" w:hAnsi="Times New Roman" w:cs="Times New Roman"/>
                <w:i/>
                <w:sz w:val="16"/>
                <w:szCs w:val="16"/>
              </w:rPr>
            </w:pPr>
            <w:r w:rsidRPr="00B6521F">
              <w:rPr>
                <w:rFonts w:ascii="Times New Roman" w:hAnsi="Times New Roman" w:cs="Times New Roman"/>
                <w:i/>
                <w:sz w:val="16"/>
                <w:szCs w:val="16"/>
              </w:rPr>
              <w:t>Evolution</w:t>
            </w:r>
            <w:r w:rsidRPr="00B6521F">
              <w:rPr>
                <w:rFonts w:ascii="Times New Roman" w:hAnsi="Times New Roman" w:cs="Times New Roman"/>
                <w:i/>
                <w:sz w:val="16"/>
                <w:szCs w:val="16"/>
              </w:rPr>
              <w:br/>
              <w:t>%</w:t>
            </w:r>
          </w:p>
        </w:tc>
        <w:tc>
          <w:tcPr>
            <w:tcW w:w="1267" w:type="dxa"/>
            <w:shd w:val="clear" w:color="auto" w:fill="auto"/>
          </w:tcPr>
          <w:p w14:paraId="6F1A3600" w14:textId="77777777" w:rsidR="00B6521F" w:rsidRPr="00B6521F" w:rsidRDefault="00B6521F" w:rsidP="00B6521F">
            <w:pPr>
              <w:spacing w:after="160" w:line="259" w:lineRule="auto"/>
              <w:rPr>
                <w:rFonts w:ascii="Times New Roman" w:hAnsi="Times New Roman" w:cs="Times New Roman"/>
                <w:i/>
                <w:sz w:val="16"/>
                <w:szCs w:val="16"/>
              </w:rPr>
            </w:pPr>
            <w:r w:rsidRPr="00B6521F">
              <w:rPr>
                <w:rFonts w:ascii="Times New Roman" w:hAnsi="Times New Roman" w:cs="Times New Roman"/>
                <w:i/>
                <w:sz w:val="16"/>
                <w:szCs w:val="16"/>
              </w:rPr>
              <w:t>Contribution (pt)</w:t>
            </w:r>
          </w:p>
        </w:tc>
        <w:tc>
          <w:tcPr>
            <w:tcW w:w="1126" w:type="dxa"/>
            <w:shd w:val="clear" w:color="auto" w:fill="auto"/>
            <w:vAlign w:val="center"/>
          </w:tcPr>
          <w:p w14:paraId="5B968493" w14:textId="77777777" w:rsidR="00B6521F" w:rsidRPr="00B6521F" w:rsidRDefault="00B6521F" w:rsidP="00B6521F">
            <w:pPr>
              <w:spacing w:after="160" w:line="259" w:lineRule="auto"/>
              <w:rPr>
                <w:rFonts w:ascii="Times New Roman" w:hAnsi="Times New Roman" w:cs="Times New Roman"/>
                <w:i/>
                <w:sz w:val="16"/>
                <w:szCs w:val="16"/>
              </w:rPr>
            </w:pPr>
            <w:r w:rsidRPr="00B6521F">
              <w:rPr>
                <w:rFonts w:ascii="Times New Roman" w:hAnsi="Times New Roman" w:cs="Times New Roman"/>
                <w:i/>
                <w:sz w:val="16"/>
                <w:szCs w:val="16"/>
              </w:rPr>
              <w:t>2017</w:t>
            </w:r>
          </w:p>
        </w:tc>
        <w:tc>
          <w:tcPr>
            <w:tcW w:w="985" w:type="dxa"/>
            <w:shd w:val="clear" w:color="auto" w:fill="auto"/>
            <w:vAlign w:val="center"/>
          </w:tcPr>
          <w:p w14:paraId="3868EEDE" w14:textId="77777777" w:rsidR="00B6521F" w:rsidRPr="00B6521F" w:rsidRDefault="00B6521F" w:rsidP="00B6521F">
            <w:pPr>
              <w:spacing w:after="160" w:line="259" w:lineRule="auto"/>
              <w:rPr>
                <w:rFonts w:ascii="Times New Roman" w:hAnsi="Times New Roman" w:cs="Times New Roman"/>
                <w:i/>
                <w:sz w:val="16"/>
                <w:szCs w:val="16"/>
              </w:rPr>
            </w:pPr>
            <w:r w:rsidRPr="00B6521F">
              <w:rPr>
                <w:rFonts w:ascii="Times New Roman" w:hAnsi="Times New Roman" w:cs="Times New Roman"/>
                <w:i/>
                <w:sz w:val="16"/>
                <w:szCs w:val="16"/>
              </w:rPr>
              <w:t>Evolution</w:t>
            </w:r>
            <w:r w:rsidRPr="00B6521F">
              <w:rPr>
                <w:rFonts w:ascii="Times New Roman" w:hAnsi="Times New Roman" w:cs="Times New Roman"/>
                <w:i/>
                <w:sz w:val="16"/>
                <w:szCs w:val="16"/>
              </w:rPr>
              <w:br/>
              <w:t>%</w:t>
            </w:r>
          </w:p>
        </w:tc>
        <w:tc>
          <w:tcPr>
            <w:tcW w:w="1268" w:type="dxa"/>
            <w:shd w:val="clear" w:color="auto" w:fill="auto"/>
          </w:tcPr>
          <w:p w14:paraId="2CA090F8" w14:textId="77777777" w:rsidR="00B6521F" w:rsidRPr="00B6521F" w:rsidRDefault="00B6521F" w:rsidP="00B6521F">
            <w:pPr>
              <w:spacing w:after="160" w:line="259" w:lineRule="auto"/>
              <w:rPr>
                <w:rFonts w:ascii="Times New Roman" w:hAnsi="Times New Roman" w:cs="Times New Roman"/>
                <w:i/>
                <w:sz w:val="16"/>
                <w:szCs w:val="16"/>
              </w:rPr>
            </w:pPr>
            <w:r w:rsidRPr="00B6521F">
              <w:rPr>
                <w:rFonts w:ascii="Times New Roman" w:hAnsi="Times New Roman" w:cs="Times New Roman"/>
                <w:i/>
                <w:sz w:val="16"/>
                <w:szCs w:val="16"/>
              </w:rPr>
              <w:t>Contribution (pt)</w:t>
            </w:r>
          </w:p>
        </w:tc>
      </w:tr>
      <w:tr w:rsidR="00B6521F" w:rsidRPr="00B6521F" w14:paraId="41083D76" w14:textId="77777777" w:rsidTr="000636DB">
        <w:trPr>
          <w:trHeight w:val="286"/>
        </w:trPr>
        <w:tc>
          <w:tcPr>
            <w:tcW w:w="3656" w:type="dxa"/>
            <w:shd w:val="clear" w:color="auto" w:fill="auto"/>
            <w:noWrap/>
            <w:vAlign w:val="center"/>
            <w:hideMark/>
          </w:tcPr>
          <w:p w14:paraId="68DEFB28"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Ensemble</w:t>
            </w:r>
          </w:p>
        </w:tc>
        <w:tc>
          <w:tcPr>
            <w:tcW w:w="985" w:type="dxa"/>
            <w:shd w:val="clear" w:color="auto" w:fill="auto"/>
            <w:noWrap/>
            <w:vAlign w:val="center"/>
            <w:hideMark/>
          </w:tcPr>
          <w:p w14:paraId="4D561083"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171200</w:t>
            </w:r>
          </w:p>
        </w:tc>
        <w:tc>
          <w:tcPr>
            <w:tcW w:w="985" w:type="dxa"/>
            <w:shd w:val="clear" w:color="auto" w:fill="auto"/>
            <w:noWrap/>
            <w:vAlign w:val="center"/>
            <w:hideMark/>
          </w:tcPr>
          <w:p w14:paraId="79C44967"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11,7  </w:t>
            </w:r>
          </w:p>
        </w:tc>
        <w:tc>
          <w:tcPr>
            <w:tcW w:w="1267" w:type="dxa"/>
            <w:shd w:val="clear" w:color="auto" w:fill="auto"/>
            <w:vAlign w:val="center"/>
          </w:tcPr>
          <w:p w14:paraId="7A40F01F"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11,7</w:t>
            </w:r>
          </w:p>
        </w:tc>
        <w:tc>
          <w:tcPr>
            <w:tcW w:w="1126" w:type="dxa"/>
            <w:shd w:val="clear" w:color="auto" w:fill="auto"/>
            <w:noWrap/>
            <w:vAlign w:val="center"/>
            <w:hideMark/>
          </w:tcPr>
          <w:p w14:paraId="2848D145"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101 939  </w:t>
            </w:r>
          </w:p>
        </w:tc>
        <w:tc>
          <w:tcPr>
            <w:tcW w:w="985" w:type="dxa"/>
            <w:shd w:val="clear" w:color="auto" w:fill="auto"/>
            <w:noWrap/>
            <w:vAlign w:val="center"/>
            <w:hideMark/>
          </w:tcPr>
          <w:p w14:paraId="0C910F39"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14,4  </w:t>
            </w:r>
          </w:p>
        </w:tc>
        <w:tc>
          <w:tcPr>
            <w:tcW w:w="1268" w:type="dxa"/>
            <w:shd w:val="clear" w:color="auto" w:fill="auto"/>
            <w:vAlign w:val="center"/>
          </w:tcPr>
          <w:p w14:paraId="3401B84D"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14,4</w:t>
            </w:r>
          </w:p>
        </w:tc>
      </w:tr>
      <w:tr w:rsidR="00B6521F" w:rsidRPr="00B6521F" w14:paraId="10A84E97" w14:textId="77777777" w:rsidTr="000636DB">
        <w:trPr>
          <w:trHeight w:val="286"/>
        </w:trPr>
        <w:tc>
          <w:tcPr>
            <w:tcW w:w="3656" w:type="dxa"/>
            <w:shd w:val="clear" w:color="auto" w:fill="auto"/>
            <w:noWrap/>
            <w:vAlign w:val="center"/>
            <w:hideMark/>
          </w:tcPr>
          <w:p w14:paraId="742AA963"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Produits agricoles, sylvicoles, de la pêche et de l’aquaculture</w:t>
            </w:r>
          </w:p>
        </w:tc>
        <w:tc>
          <w:tcPr>
            <w:tcW w:w="985" w:type="dxa"/>
            <w:shd w:val="clear" w:color="auto" w:fill="auto"/>
            <w:noWrap/>
            <w:vAlign w:val="center"/>
            <w:hideMark/>
          </w:tcPr>
          <w:p w14:paraId="23B12CC8"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3 412  </w:t>
            </w:r>
          </w:p>
        </w:tc>
        <w:tc>
          <w:tcPr>
            <w:tcW w:w="985" w:type="dxa"/>
            <w:shd w:val="clear" w:color="auto" w:fill="auto"/>
            <w:noWrap/>
            <w:vAlign w:val="center"/>
            <w:hideMark/>
          </w:tcPr>
          <w:p w14:paraId="5F0FCB32"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- 30,8  </w:t>
            </w:r>
          </w:p>
        </w:tc>
        <w:tc>
          <w:tcPr>
            <w:tcW w:w="1267" w:type="dxa"/>
            <w:shd w:val="clear" w:color="auto" w:fill="auto"/>
            <w:vAlign w:val="center"/>
          </w:tcPr>
          <w:p w14:paraId="7BF3357F"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- 1,0</w:t>
            </w:r>
          </w:p>
        </w:tc>
        <w:tc>
          <w:tcPr>
            <w:tcW w:w="1126" w:type="dxa"/>
            <w:shd w:val="clear" w:color="auto" w:fill="auto"/>
            <w:noWrap/>
            <w:vAlign w:val="center"/>
            <w:hideMark/>
          </w:tcPr>
          <w:p w14:paraId="3C583E66"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62 074  </w:t>
            </w:r>
          </w:p>
        </w:tc>
        <w:tc>
          <w:tcPr>
            <w:tcW w:w="985" w:type="dxa"/>
            <w:shd w:val="clear" w:color="auto" w:fill="auto"/>
            <w:noWrap/>
            <w:vAlign w:val="center"/>
            <w:hideMark/>
          </w:tcPr>
          <w:p w14:paraId="205EB33C"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19,4  </w:t>
            </w:r>
          </w:p>
        </w:tc>
        <w:tc>
          <w:tcPr>
            <w:tcW w:w="1268" w:type="dxa"/>
            <w:shd w:val="clear" w:color="auto" w:fill="auto"/>
            <w:vAlign w:val="center"/>
          </w:tcPr>
          <w:p w14:paraId="6C0ED904"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11,3</w:t>
            </w:r>
          </w:p>
        </w:tc>
      </w:tr>
      <w:tr w:rsidR="00B6521F" w:rsidRPr="00B6521F" w14:paraId="657D9788" w14:textId="77777777" w:rsidTr="000636DB">
        <w:trPr>
          <w:trHeight w:val="286"/>
        </w:trPr>
        <w:tc>
          <w:tcPr>
            <w:tcW w:w="3656" w:type="dxa"/>
            <w:shd w:val="clear" w:color="auto" w:fill="auto"/>
            <w:vAlign w:val="center"/>
            <w:hideMark/>
          </w:tcPr>
          <w:p w14:paraId="23DBAC22"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Hydrocarbures naturels, autres produits des industries extractives, électricité, déchets</w:t>
            </w:r>
          </w:p>
        </w:tc>
        <w:tc>
          <w:tcPr>
            <w:tcW w:w="985" w:type="dxa"/>
            <w:shd w:val="clear" w:color="auto" w:fill="auto"/>
            <w:noWrap/>
            <w:vAlign w:val="center"/>
            <w:hideMark/>
          </w:tcPr>
          <w:p w14:paraId="3D674D73"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39  </w:t>
            </w:r>
          </w:p>
        </w:tc>
        <w:tc>
          <w:tcPr>
            <w:tcW w:w="985" w:type="dxa"/>
            <w:shd w:val="clear" w:color="auto" w:fill="auto"/>
            <w:noWrap/>
            <w:vAlign w:val="center"/>
            <w:hideMark/>
          </w:tcPr>
          <w:p w14:paraId="3F12F7FD"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5,8  </w:t>
            </w:r>
          </w:p>
        </w:tc>
        <w:tc>
          <w:tcPr>
            <w:tcW w:w="1267" w:type="dxa"/>
            <w:shd w:val="clear" w:color="auto" w:fill="auto"/>
            <w:vAlign w:val="center"/>
          </w:tcPr>
          <w:p w14:paraId="55C07C20"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0,0</w:t>
            </w:r>
          </w:p>
        </w:tc>
        <w:tc>
          <w:tcPr>
            <w:tcW w:w="1126" w:type="dxa"/>
            <w:shd w:val="clear" w:color="auto" w:fill="auto"/>
            <w:noWrap/>
            <w:vAlign w:val="center"/>
            <w:hideMark/>
          </w:tcPr>
          <w:p w14:paraId="5466C1F3"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1  </w:t>
            </w:r>
          </w:p>
        </w:tc>
        <w:tc>
          <w:tcPr>
            <w:tcW w:w="985" w:type="dxa"/>
            <w:shd w:val="clear" w:color="auto" w:fill="auto"/>
            <w:noWrap/>
            <w:vAlign w:val="center"/>
            <w:hideMark/>
          </w:tcPr>
          <w:p w14:paraId="052B5774"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330,2  </w:t>
            </w:r>
          </w:p>
        </w:tc>
        <w:tc>
          <w:tcPr>
            <w:tcW w:w="1268" w:type="dxa"/>
            <w:shd w:val="clear" w:color="auto" w:fill="auto"/>
            <w:vAlign w:val="center"/>
          </w:tcPr>
          <w:p w14:paraId="6AC6BE40"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0,0</w:t>
            </w:r>
          </w:p>
        </w:tc>
      </w:tr>
      <w:tr w:rsidR="00B6521F" w:rsidRPr="00B6521F" w14:paraId="0A2E97B9" w14:textId="77777777" w:rsidTr="000636DB">
        <w:trPr>
          <w:trHeight w:val="286"/>
        </w:trPr>
        <w:tc>
          <w:tcPr>
            <w:tcW w:w="3656" w:type="dxa"/>
            <w:shd w:val="clear" w:color="auto" w:fill="auto"/>
            <w:noWrap/>
            <w:vAlign w:val="center"/>
            <w:hideMark/>
          </w:tcPr>
          <w:p w14:paraId="1E2B2708"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Hydrocarbures naturels et autres produits des industries extractives</w:t>
            </w:r>
          </w:p>
        </w:tc>
        <w:tc>
          <w:tcPr>
            <w:tcW w:w="985" w:type="dxa"/>
            <w:shd w:val="clear" w:color="auto" w:fill="auto"/>
            <w:noWrap/>
            <w:vAlign w:val="center"/>
            <w:hideMark/>
          </w:tcPr>
          <w:p w14:paraId="78852396"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39  </w:t>
            </w:r>
          </w:p>
        </w:tc>
        <w:tc>
          <w:tcPr>
            <w:tcW w:w="985" w:type="dxa"/>
            <w:shd w:val="clear" w:color="auto" w:fill="auto"/>
            <w:noWrap/>
            <w:vAlign w:val="center"/>
            <w:hideMark/>
          </w:tcPr>
          <w:p w14:paraId="26B32ED9"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5,8  </w:t>
            </w:r>
          </w:p>
        </w:tc>
        <w:tc>
          <w:tcPr>
            <w:tcW w:w="1267" w:type="dxa"/>
            <w:shd w:val="clear" w:color="auto" w:fill="auto"/>
            <w:vAlign w:val="center"/>
          </w:tcPr>
          <w:p w14:paraId="43191053"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0,0</w:t>
            </w:r>
          </w:p>
        </w:tc>
        <w:tc>
          <w:tcPr>
            <w:tcW w:w="1126" w:type="dxa"/>
            <w:shd w:val="clear" w:color="auto" w:fill="auto"/>
            <w:noWrap/>
            <w:vAlign w:val="center"/>
            <w:hideMark/>
          </w:tcPr>
          <w:p w14:paraId="339423A8"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1  </w:t>
            </w:r>
          </w:p>
        </w:tc>
        <w:tc>
          <w:tcPr>
            <w:tcW w:w="985" w:type="dxa"/>
            <w:shd w:val="clear" w:color="auto" w:fill="auto"/>
            <w:noWrap/>
            <w:vAlign w:val="center"/>
            <w:hideMark/>
          </w:tcPr>
          <w:p w14:paraId="5528C643"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1620,8  </w:t>
            </w:r>
          </w:p>
        </w:tc>
        <w:tc>
          <w:tcPr>
            <w:tcW w:w="1268" w:type="dxa"/>
            <w:shd w:val="clear" w:color="auto" w:fill="auto"/>
            <w:vAlign w:val="center"/>
          </w:tcPr>
          <w:p w14:paraId="184AD734"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0,0</w:t>
            </w:r>
          </w:p>
        </w:tc>
      </w:tr>
      <w:tr w:rsidR="00B6521F" w:rsidRPr="00B6521F" w14:paraId="45BF1931" w14:textId="77777777" w:rsidTr="000636DB">
        <w:trPr>
          <w:trHeight w:val="286"/>
        </w:trPr>
        <w:tc>
          <w:tcPr>
            <w:tcW w:w="3656" w:type="dxa"/>
            <w:shd w:val="clear" w:color="auto" w:fill="auto"/>
            <w:noWrap/>
            <w:vAlign w:val="center"/>
            <w:hideMark/>
          </w:tcPr>
          <w:p w14:paraId="387F3FAB"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Produits des industries agroalimentaires (IAA)</w:t>
            </w:r>
          </w:p>
        </w:tc>
        <w:tc>
          <w:tcPr>
            <w:tcW w:w="985" w:type="dxa"/>
            <w:shd w:val="clear" w:color="auto" w:fill="auto"/>
            <w:noWrap/>
            <w:vAlign w:val="center"/>
            <w:hideMark/>
          </w:tcPr>
          <w:p w14:paraId="04BA4416"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31 856  </w:t>
            </w:r>
          </w:p>
        </w:tc>
        <w:tc>
          <w:tcPr>
            <w:tcW w:w="985" w:type="dxa"/>
            <w:shd w:val="clear" w:color="auto" w:fill="auto"/>
            <w:noWrap/>
            <w:vAlign w:val="center"/>
            <w:hideMark/>
          </w:tcPr>
          <w:p w14:paraId="78D2C5F9"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79,7  </w:t>
            </w:r>
          </w:p>
        </w:tc>
        <w:tc>
          <w:tcPr>
            <w:tcW w:w="1267" w:type="dxa"/>
            <w:shd w:val="clear" w:color="auto" w:fill="auto"/>
            <w:vAlign w:val="center"/>
          </w:tcPr>
          <w:p w14:paraId="4901D452"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9,2</w:t>
            </w:r>
          </w:p>
        </w:tc>
        <w:tc>
          <w:tcPr>
            <w:tcW w:w="1126" w:type="dxa"/>
            <w:shd w:val="clear" w:color="auto" w:fill="auto"/>
            <w:noWrap/>
            <w:vAlign w:val="center"/>
            <w:hideMark/>
          </w:tcPr>
          <w:p w14:paraId="663B3929"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35 168  </w:t>
            </w:r>
          </w:p>
        </w:tc>
        <w:tc>
          <w:tcPr>
            <w:tcW w:w="985" w:type="dxa"/>
            <w:shd w:val="clear" w:color="auto" w:fill="auto"/>
            <w:noWrap/>
            <w:vAlign w:val="center"/>
            <w:hideMark/>
          </w:tcPr>
          <w:p w14:paraId="090CBEE7"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3,9  </w:t>
            </w:r>
          </w:p>
        </w:tc>
        <w:tc>
          <w:tcPr>
            <w:tcW w:w="1268" w:type="dxa"/>
            <w:shd w:val="clear" w:color="auto" w:fill="auto"/>
            <w:vAlign w:val="center"/>
          </w:tcPr>
          <w:p w14:paraId="490451B3"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1,5</w:t>
            </w:r>
          </w:p>
        </w:tc>
      </w:tr>
      <w:tr w:rsidR="00B6521F" w:rsidRPr="00B6521F" w14:paraId="14981C3C" w14:textId="77777777" w:rsidTr="000636DB">
        <w:trPr>
          <w:trHeight w:val="286"/>
        </w:trPr>
        <w:tc>
          <w:tcPr>
            <w:tcW w:w="3656" w:type="dxa"/>
            <w:shd w:val="clear" w:color="auto" w:fill="auto"/>
            <w:noWrap/>
            <w:vAlign w:val="center"/>
            <w:hideMark/>
          </w:tcPr>
          <w:p w14:paraId="4F364C7C"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Produits pétroliers raffinés et coke</w:t>
            </w:r>
          </w:p>
        </w:tc>
        <w:tc>
          <w:tcPr>
            <w:tcW w:w="985" w:type="dxa"/>
            <w:shd w:val="clear" w:color="auto" w:fill="auto"/>
            <w:noWrap/>
            <w:vAlign w:val="center"/>
            <w:hideMark/>
          </w:tcPr>
          <w:p w14:paraId="71210929"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1 444  </w:t>
            </w:r>
          </w:p>
        </w:tc>
        <w:tc>
          <w:tcPr>
            <w:tcW w:w="985" w:type="dxa"/>
            <w:shd w:val="clear" w:color="auto" w:fill="auto"/>
            <w:noWrap/>
            <w:vAlign w:val="center"/>
            <w:hideMark/>
          </w:tcPr>
          <w:p w14:paraId="1B695B1D"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109,9  </w:t>
            </w:r>
          </w:p>
        </w:tc>
        <w:tc>
          <w:tcPr>
            <w:tcW w:w="1267" w:type="dxa"/>
            <w:shd w:val="clear" w:color="auto" w:fill="auto"/>
            <w:vAlign w:val="center"/>
          </w:tcPr>
          <w:p w14:paraId="33D92CB2"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0,5</w:t>
            </w:r>
          </w:p>
        </w:tc>
        <w:tc>
          <w:tcPr>
            <w:tcW w:w="1126" w:type="dxa"/>
            <w:shd w:val="clear" w:color="auto" w:fill="auto"/>
            <w:noWrap/>
            <w:vAlign w:val="center"/>
            <w:hideMark/>
          </w:tcPr>
          <w:p w14:paraId="2D94753E"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0  </w:t>
            </w:r>
          </w:p>
        </w:tc>
        <w:tc>
          <w:tcPr>
            <w:tcW w:w="985" w:type="dxa"/>
            <w:shd w:val="clear" w:color="auto" w:fill="auto"/>
            <w:noWrap/>
            <w:vAlign w:val="center"/>
            <w:hideMark/>
          </w:tcPr>
          <w:p w14:paraId="3362976D"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-100,0  </w:t>
            </w:r>
          </w:p>
        </w:tc>
        <w:tc>
          <w:tcPr>
            <w:tcW w:w="1268" w:type="dxa"/>
            <w:shd w:val="clear" w:color="auto" w:fill="auto"/>
            <w:vAlign w:val="center"/>
          </w:tcPr>
          <w:p w14:paraId="68580A82"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0,0</w:t>
            </w:r>
          </w:p>
        </w:tc>
      </w:tr>
      <w:tr w:rsidR="00B6521F" w:rsidRPr="00B6521F" w14:paraId="1E868D9F" w14:textId="77777777" w:rsidTr="000636DB">
        <w:trPr>
          <w:trHeight w:val="286"/>
        </w:trPr>
        <w:tc>
          <w:tcPr>
            <w:tcW w:w="3656" w:type="dxa"/>
            <w:shd w:val="clear" w:color="auto" w:fill="auto"/>
            <w:vAlign w:val="center"/>
            <w:hideMark/>
          </w:tcPr>
          <w:p w14:paraId="2A7FD8B4"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Equipements mécaniques, matériel électrique, électronique et informatique</w:t>
            </w:r>
          </w:p>
        </w:tc>
        <w:tc>
          <w:tcPr>
            <w:tcW w:w="985" w:type="dxa"/>
            <w:shd w:val="clear" w:color="auto" w:fill="auto"/>
            <w:noWrap/>
            <w:vAlign w:val="center"/>
            <w:hideMark/>
          </w:tcPr>
          <w:p w14:paraId="05A93FFF"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46 910  </w:t>
            </w:r>
          </w:p>
        </w:tc>
        <w:tc>
          <w:tcPr>
            <w:tcW w:w="985" w:type="dxa"/>
            <w:shd w:val="clear" w:color="auto" w:fill="auto"/>
            <w:noWrap/>
            <w:vAlign w:val="center"/>
            <w:hideMark/>
          </w:tcPr>
          <w:p w14:paraId="4908BB81"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13,6  </w:t>
            </w:r>
          </w:p>
        </w:tc>
        <w:tc>
          <w:tcPr>
            <w:tcW w:w="1267" w:type="dxa"/>
            <w:shd w:val="clear" w:color="auto" w:fill="auto"/>
            <w:vAlign w:val="center"/>
          </w:tcPr>
          <w:p w14:paraId="6F0E2199"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3,7</w:t>
            </w:r>
          </w:p>
        </w:tc>
        <w:tc>
          <w:tcPr>
            <w:tcW w:w="1126" w:type="dxa"/>
            <w:shd w:val="clear" w:color="auto" w:fill="auto"/>
            <w:noWrap/>
            <w:vAlign w:val="center"/>
            <w:hideMark/>
          </w:tcPr>
          <w:p w14:paraId="0C2BCD57"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1 362  </w:t>
            </w:r>
          </w:p>
        </w:tc>
        <w:tc>
          <w:tcPr>
            <w:tcW w:w="985" w:type="dxa"/>
            <w:shd w:val="clear" w:color="auto" w:fill="auto"/>
            <w:noWrap/>
            <w:vAlign w:val="center"/>
            <w:hideMark/>
          </w:tcPr>
          <w:p w14:paraId="077145AC"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 xml:space="preserve">337,9  </w:t>
            </w:r>
          </w:p>
        </w:tc>
        <w:tc>
          <w:tcPr>
            <w:tcW w:w="1268" w:type="dxa"/>
            <w:shd w:val="clear" w:color="auto" w:fill="auto"/>
            <w:vAlign w:val="center"/>
          </w:tcPr>
          <w:p w14:paraId="1F8A7A67" w14:textId="77777777" w:rsidR="00B6521F" w:rsidRPr="00B6521F" w:rsidRDefault="00B6521F" w:rsidP="00B6521F">
            <w:pPr>
              <w:spacing w:after="160" w:line="259" w:lineRule="auto"/>
              <w:rPr>
                <w:rFonts w:ascii="Times New Roman" w:hAnsi="Times New Roman" w:cs="Times New Roman"/>
                <w:b/>
                <w:bCs/>
                <w:i/>
                <w:sz w:val="16"/>
                <w:szCs w:val="16"/>
              </w:rPr>
            </w:pPr>
            <w:r w:rsidRPr="00B6521F">
              <w:rPr>
                <w:rFonts w:ascii="Times New Roman" w:hAnsi="Times New Roman" w:cs="Times New Roman"/>
                <w:b/>
                <w:bCs/>
                <w:i/>
                <w:sz w:val="16"/>
                <w:szCs w:val="16"/>
              </w:rPr>
              <w:t>1,2</w:t>
            </w:r>
          </w:p>
        </w:tc>
      </w:tr>
      <w:tr w:rsidR="00B6521F" w:rsidRPr="00B6521F" w14:paraId="5998B9BA" w14:textId="77777777" w:rsidTr="000636DB">
        <w:trPr>
          <w:trHeight w:val="286"/>
        </w:trPr>
        <w:tc>
          <w:tcPr>
            <w:tcW w:w="3656" w:type="dxa"/>
            <w:shd w:val="clear" w:color="auto" w:fill="auto"/>
            <w:noWrap/>
            <w:vAlign w:val="center"/>
            <w:hideMark/>
          </w:tcPr>
          <w:p w14:paraId="2AF3DC30"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Produits informatiques, électroniques et optiques</w:t>
            </w:r>
          </w:p>
        </w:tc>
        <w:tc>
          <w:tcPr>
            <w:tcW w:w="985" w:type="dxa"/>
            <w:shd w:val="clear" w:color="auto" w:fill="auto"/>
            <w:noWrap/>
            <w:vAlign w:val="center"/>
            <w:hideMark/>
          </w:tcPr>
          <w:p w14:paraId="6852E597"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14 580  </w:t>
            </w:r>
          </w:p>
        </w:tc>
        <w:tc>
          <w:tcPr>
            <w:tcW w:w="985" w:type="dxa"/>
            <w:shd w:val="clear" w:color="auto" w:fill="auto"/>
            <w:noWrap/>
            <w:vAlign w:val="center"/>
            <w:hideMark/>
          </w:tcPr>
          <w:p w14:paraId="4F3ECEFC"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-5,0  </w:t>
            </w:r>
          </w:p>
        </w:tc>
        <w:tc>
          <w:tcPr>
            <w:tcW w:w="1267" w:type="dxa"/>
            <w:shd w:val="clear" w:color="auto" w:fill="auto"/>
            <w:vAlign w:val="center"/>
          </w:tcPr>
          <w:p w14:paraId="3797806D"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- 0,5</w:t>
            </w:r>
          </w:p>
        </w:tc>
        <w:tc>
          <w:tcPr>
            <w:tcW w:w="1126" w:type="dxa"/>
            <w:shd w:val="clear" w:color="auto" w:fill="auto"/>
            <w:noWrap/>
            <w:vAlign w:val="center"/>
            <w:hideMark/>
          </w:tcPr>
          <w:p w14:paraId="4A269822"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440  </w:t>
            </w:r>
          </w:p>
        </w:tc>
        <w:tc>
          <w:tcPr>
            <w:tcW w:w="985" w:type="dxa"/>
            <w:shd w:val="clear" w:color="auto" w:fill="auto"/>
            <w:noWrap/>
            <w:vAlign w:val="center"/>
            <w:hideMark/>
          </w:tcPr>
          <w:p w14:paraId="45A73594"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96,2  </w:t>
            </w:r>
          </w:p>
        </w:tc>
        <w:tc>
          <w:tcPr>
            <w:tcW w:w="1268" w:type="dxa"/>
            <w:shd w:val="clear" w:color="auto" w:fill="auto"/>
            <w:vAlign w:val="center"/>
          </w:tcPr>
          <w:p w14:paraId="3ABF57D1"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0,2</w:t>
            </w:r>
          </w:p>
        </w:tc>
      </w:tr>
      <w:tr w:rsidR="00B6521F" w:rsidRPr="00B6521F" w14:paraId="75D4F4DD" w14:textId="77777777" w:rsidTr="000636DB">
        <w:trPr>
          <w:trHeight w:val="286"/>
        </w:trPr>
        <w:tc>
          <w:tcPr>
            <w:tcW w:w="3656" w:type="dxa"/>
            <w:shd w:val="clear" w:color="auto" w:fill="auto"/>
            <w:noWrap/>
            <w:vAlign w:val="center"/>
            <w:hideMark/>
          </w:tcPr>
          <w:p w14:paraId="5319F560"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Équipements électriques et ménagers</w:t>
            </w:r>
          </w:p>
        </w:tc>
        <w:tc>
          <w:tcPr>
            <w:tcW w:w="985" w:type="dxa"/>
            <w:shd w:val="clear" w:color="auto" w:fill="auto"/>
            <w:noWrap/>
            <w:vAlign w:val="center"/>
            <w:hideMark/>
          </w:tcPr>
          <w:p w14:paraId="25E757CA"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15 323  </w:t>
            </w:r>
          </w:p>
        </w:tc>
        <w:tc>
          <w:tcPr>
            <w:tcW w:w="985" w:type="dxa"/>
            <w:shd w:val="clear" w:color="auto" w:fill="auto"/>
            <w:noWrap/>
            <w:vAlign w:val="center"/>
            <w:hideMark/>
          </w:tcPr>
          <w:p w14:paraId="371FBA26"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26,6  </w:t>
            </w:r>
          </w:p>
        </w:tc>
        <w:tc>
          <w:tcPr>
            <w:tcW w:w="1267" w:type="dxa"/>
            <w:shd w:val="clear" w:color="auto" w:fill="auto"/>
            <w:vAlign w:val="center"/>
          </w:tcPr>
          <w:p w14:paraId="57350E82"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2,1</w:t>
            </w:r>
          </w:p>
        </w:tc>
        <w:tc>
          <w:tcPr>
            <w:tcW w:w="1126" w:type="dxa"/>
            <w:shd w:val="clear" w:color="auto" w:fill="auto"/>
            <w:noWrap/>
            <w:vAlign w:val="center"/>
            <w:hideMark/>
          </w:tcPr>
          <w:p w14:paraId="297A6EBD"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15  </w:t>
            </w:r>
          </w:p>
        </w:tc>
        <w:tc>
          <w:tcPr>
            <w:tcW w:w="985" w:type="dxa"/>
            <w:shd w:val="clear" w:color="auto" w:fill="auto"/>
            <w:noWrap/>
            <w:vAlign w:val="center"/>
            <w:hideMark/>
          </w:tcPr>
          <w:p w14:paraId="58F71682"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2,4  </w:t>
            </w:r>
          </w:p>
        </w:tc>
        <w:tc>
          <w:tcPr>
            <w:tcW w:w="1268" w:type="dxa"/>
            <w:shd w:val="clear" w:color="auto" w:fill="auto"/>
            <w:vAlign w:val="center"/>
          </w:tcPr>
          <w:p w14:paraId="1A276EDE"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0</w:t>
            </w:r>
          </w:p>
        </w:tc>
      </w:tr>
      <w:tr w:rsidR="00B6521F" w:rsidRPr="00B6521F" w14:paraId="6BA8505A" w14:textId="77777777" w:rsidTr="000636DB">
        <w:trPr>
          <w:trHeight w:val="286"/>
        </w:trPr>
        <w:tc>
          <w:tcPr>
            <w:tcW w:w="3656" w:type="dxa"/>
            <w:shd w:val="clear" w:color="auto" w:fill="auto"/>
            <w:noWrap/>
            <w:vAlign w:val="center"/>
            <w:hideMark/>
          </w:tcPr>
          <w:p w14:paraId="05C2C7A9"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Machines industrielles et agricoles, machines diverses</w:t>
            </w:r>
          </w:p>
        </w:tc>
        <w:tc>
          <w:tcPr>
            <w:tcW w:w="985" w:type="dxa"/>
            <w:shd w:val="clear" w:color="auto" w:fill="auto"/>
            <w:noWrap/>
            <w:vAlign w:val="center"/>
            <w:hideMark/>
          </w:tcPr>
          <w:p w14:paraId="1C725E29"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17 007  </w:t>
            </w:r>
          </w:p>
        </w:tc>
        <w:tc>
          <w:tcPr>
            <w:tcW w:w="985" w:type="dxa"/>
            <w:shd w:val="clear" w:color="auto" w:fill="auto"/>
            <w:noWrap/>
            <w:vAlign w:val="center"/>
            <w:hideMark/>
          </w:tcPr>
          <w:p w14:paraId="6A931479"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22,8  </w:t>
            </w:r>
          </w:p>
        </w:tc>
        <w:tc>
          <w:tcPr>
            <w:tcW w:w="1267" w:type="dxa"/>
            <w:shd w:val="clear" w:color="auto" w:fill="auto"/>
            <w:vAlign w:val="center"/>
          </w:tcPr>
          <w:p w14:paraId="27854E09"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2,1</w:t>
            </w:r>
          </w:p>
        </w:tc>
        <w:tc>
          <w:tcPr>
            <w:tcW w:w="1126" w:type="dxa"/>
            <w:shd w:val="clear" w:color="auto" w:fill="auto"/>
            <w:noWrap/>
            <w:vAlign w:val="center"/>
            <w:hideMark/>
          </w:tcPr>
          <w:p w14:paraId="400F6E36"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908  </w:t>
            </w:r>
          </w:p>
        </w:tc>
        <w:tc>
          <w:tcPr>
            <w:tcW w:w="985" w:type="dxa"/>
            <w:shd w:val="clear" w:color="auto" w:fill="auto"/>
            <w:noWrap/>
            <w:vAlign w:val="center"/>
            <w:hideMark/>
          </w:tcPr>
          <w:p w14:paraId="2B03D746"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1154,2  </w:t>
            </w:r>
          </w:p>
        </w:tc>
        <w:tc>
          <w:tcPr>
            <w:tcW w:w="1268" w:type="dxa"/>
            <w:shd w:val="clear" w:color="auto" w:fill="auto"/>
            <w:vAlign w:val="center"/>
          </w:tcPr>
          <w:p w14:paraId="4D66611C"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0,9</w:t>
            </w:r>
          </w:p>
        </w:tc>
      </w:tr>
      <w:tr w:rsidR="00B6521F" w:rsidRPr="00B6521F" w14:paraId="36627FB4" w14:textId="77777777" w:rsidTr="000636DB">
        <w:trPr>
          <w:trHeight w:val="286"/>
        </w:trPr>
        <w:tc>
          <w:tcPr>
            <w:tcW w:w="3656" w:type="dxa"/>
            <w:shd w:val="clear" w:color="auto" w:fill="auto"/>
            <w:vAlign w:val="center"/>
            <w:hideMark/>
          </w:tcPr>
          <w:p w14:paraId="331F7D17"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Matériels de transport</w:t>
            </w:r>
          </w:p>
        </w:tc>
        <w:tc>
          <w:tcPr>
            <w:tcW w:w="985" w:type="dxa"/>
            <w:shd w:val="clear" w:color="auto" w:fill="auto"/>
            <w:noWrap/>
            <w:vAlign w:val="center"/>
            <w:hideMark/>
          </w:tcPr>
          <w:p w14:paraId="5A0EA083"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 xml:space="preserve">12 562  </w:t>
            </w:r>
          </w:p>
        </w:tc>
        <w:tc>
          <w:tcPr>
            <w:tcW w:w="985" w:type="dxa"/>
            <w:shd w:val="clear" w:color="auto" w:fill="auto"/>
            <w:noWrap/>
            <w:vAlign w:val="center"/>
            <w:hideMark/>
          </w:tcPr>
          <w:p w14:paraId="7E30B487"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 xml:space="preserve">10,3  </w:t>
            </w:r>
          </w:p>
        </w:tc>
        <w:tc>
          <w:tcPr>
            <w:tcW w:w="1267" w:type="dxa"/>
            <w:shd w:val="clear" w:color="auto" w:fill="auto"/>
            <w:vAlign w:val="center"/>
          </w:tcPr>
          <w:p w14:paraId="2D8A914F"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0,8</w:t>
            </w:r>
          </w:p>
        </w:tc>
        <w:tc>
          <w:tcPr>
            <w:tcW w:w="1126" w:type="dxa"/>
            <w:shd w:val="clear" w:color="auto" w:fill="auto"/>
            <w:noWrap/>
            <w:vAlign w:val="center"/>
            <w:hideMark/>
          </w:tcPr>
          <w:p w14:paraId="37F55DB0"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 xml:space="preserve">9  </w:t>
            </w:r>
          </w:p>
        </w:tc>
        <w:tc>
          <w:tcPr>
            <w:tcW w:w="985" w:type="dxa"/>
            <w:shd w:val="clear" w:color="auto" w:fill="auto"/>
            <w:noWrap/>
            <w:vAlign w:val="center"/>
            <w:hideMark/>
          </w:tcPr>
          <w:p w14:paraId="5B18088B"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 xml:space="preserve">- 80,7  </w:t>
            </w:r>
          </w:p>
        </w:tc>
        <w:tc>
          <w:tcPr>
            <w:tcW w:w="1268" w:type="dxa"/>
            <w:shd w:val="clear" w:color="auto" w:fill="auto"/>
            <w:vAlign w:val="center"/>
          </w:tcPr>
          <w:p w14:paraId="440CB402"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0</w:t>
            </w:r>
          </w:p>
        </w:tc>
      </w:tr>
      <w:tr w:rsidR="00B6521F" w:rsidRPr="00B6521F" w14:paraId="35B918EE" w14:textId="77777777" w:rsidTr="000636DB">
        <w:trPr>
          <w:trHeight w:val="286"/>
        </w:trPr>
        <w:tc>
          <w:tcPr>
            <w:tcW w:w="3656" w:type="dxa"/>
            <w:shd w:val="clear" w:color="auto" w:fill="auto"/>
            <w:noWrap/>
            <w:vAlign w:val="center"/>
            <w:hideMark/>
          </w:tcPr>
          <w:p w14:paraId="7BC9E119"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 xml:space="preserve">Autres produits industriels </w:t>
            </w:r>
          </w:p>
        </w:tc>
        <w:tc>
          <w:tcPr>
            <w:tcW w:w="985" w:type="dxa"/>
            <w:shd w:val="clear" w:color="auto" w:fill="auto"/>
            <w:noWrap/>
            <w:vAlign w:val="center"/>
            <w:hideMark/>
          </w:tcPr>
          <w:p w14:paraId="0ACD6B94"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 xml:space="preserve">74 623  </w:t>
            </w:r>
          </w:p>
        </w:tc>
        <w:tc>
          <w:tcPr>
            <w:tcW w:w="985" w:type="dxa"/>
            <w:shd w:val="clear" w:color="auto" w:fill="auto"/>
            <w:noWrap/>
            <w:vAlign w:val="center"/>
            <w:hideMark/>
          </w:tcPr>
          <w:p w14:paraId="05A4CB09"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 xml:space="preserve">-3,1  </w:t>
            </w:r>
          </w:p>
        </w:tc>
        <w:tc>
          <w:tcPr>
            <w:tcW w:w="1267" w:type="dxa"/>
            <w:shd w:val="clear" w:color="auto" w:fill="auto"/>
            <w:vAlign w:val="center"/>
          </w:tcPr>
          <w:p w14:paraId="1E0DC993"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- 0,3</w:t>
            </w:r>
          </w:p>
        </w:tc>
        <w:tc>
          <w:tcPr>
            <w:tcW w:w="1126" w:type="dxa"/>
            <w:shd w:val="clear" w:color="auto" w:fill="auto"/>
            <w:noWrap/>
            <w:vAlign w:val="center"/>
            <w:hideMark/>
          </w:tcPr>
          <w:p w14:paraId="11FAD3D0"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 xml:space="preserve">3 178  </w:t>
            </w:r>
          </w:p>
        </w:tc>
        <w:tc>
          <w:tcPr>
            <w:tcW w:w="985" w:type="dxa"/>
            <w:shd w:val="clear" w:color="auto" w:fill="auto"/>
            <w:noWrap/>
            <w:vAlign w:val="center"/>
            <w:hideMark/>
          </w:tcPr>
          <w:p w14:paraId="5E9C8A02"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 xml:space="preserve">9,4  </w:t>
            </w:r>
          </w:p>
        </w:tc>
        <w:tc>
          <w:tcPr>
            <w:tcW w:w="1268" w:type="dxa"/>
            <w:shd w:val="clear" w:color="auto" w:fill="auto"/>
            <w:vAlign w:val="center"/>
          </w:tcPr>
          <w:p w14:paraId="36675874"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 xml:space="preserve">                                       0,3   </w:t>
            </w:r>
          </w:p>
        </w:tc>
      </w:tr>
      <w:tr w:rsidR="00B6521F" w:rsidRPr="00B6521F" w14:paraId="1E4407A3" w14:textId="77777777" w:rsidTr="000636DB">
        <w:trPr>
          <w:trHeight w:val="286"/>
        </w:trPr>
        <w:tc>
          <w:tcPr>
            <w:tcW w:w="3656" w:type="dxa"/>
            <w:shd w:val="clear" w:color="auto" w:fill="auto"/>
            <w:noWrap/>
            <w:vAlign w:val="center"/>
            <w:hideMark/>
          </w:tcPr>
          <w:p w14:paraId="18FE448B"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Textiles, habillement, cuir et chaussures</w:t>
            </w:r>
          </w:p>
        </w:tc>
        <w:tc>
          <w:tcPr>
            <w:tcW w:w="985" w:type="dxa"/>
            <w:shd w:val="clear" w:color="auto" w:fill="auto"/>
            <w:noWrap/>
            <w:vAlign w:val="center"/>
            <w:hideMark/>
          </w:tcPr>
          <w:p w14:paraId="6D98596B"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1 048  </w:t>
            </w:r>
          </w:p>
        </w:tc>
        <w:tc>
          <w:tcPr>
            <w:tcW w:w="985" w:type="dxa"/>
            <w:shd w:val="clear" w:color="auto" w:fill="auto"/>
            <w:noWrap/>
            <w:vAlign w:val="center"/>
            <w:hideMark/>
          </w:tcPr>
          <w:p w14:paraId="08AB3E4F"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245,6  </w:t>
            </w:r>
          </w:p>
        </w:tc>
        <w:tc>
          <w:tcPr>
            <w:tcW w:w="1267" w:type="dxa"/>
            <w:shd w:val="clear" w:color="auto" w:fill="auto"/>
            <w:vAlign w:val="center"/>
          </w:tcPr>
          <w:p w14:paraId="2C82077C"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0,5</w:t>
            </w:r>
          </w:p>
        </w:tc>
        <w:tc>
          <w:tcPr>
            <w:tcW w:w="1126" w:type="dxa"/>
            <w:shd w:val="clear" w:color="auto" w:fill="auto"/>
            <w:noWrap/>
            <w:vAlign w:val="center"/>
            <w:hideMark/>
          </w:tcPr>
          <w:p w14:paraId="1365EF06"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1 370  </w:t>
            </w:r>
          </w:p>
        </w:tc>
        <w:tc>
          <w:tcPr>
            <w:tcW w:w="985" w:type="dxa"/>
            <w:shd w:val="clear" w:color="auto" w:fill="auto"/>
            <w:noWrap/>
            <w:vAlign w:val="center"/>
            <w:hideMark/>
          </w:tcPr>
          <w:p w14:paraId="488F7DE4"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-1,6  </w:t>
            </w:r>
          </w:p>
        </w:tc>
        <w:tc>
          <w:tcPr>
            <w:tcW w:w="1268" w:type="dxa"/>
            <w:shd w:val="clear" w:color="auto" w:fill="auto"/>
            <w:vAlign w:val="center"/>
          </w:tcPr>
          <w:p w14:paraId="43DD5CF5"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0</w:t>
            </w:r>
          </w:p>
        </w:tc>
      </w:tr>
      <w:tr w:rsidR="00B6521F" w:rsidRPr="00B6521F" w14:paraId="1AC89B5C" w14:textId="77777777" w:rsidTr="000636DB">
        <w:trPr>
          <w:trHeight w:val="286"/>
        </w:trPr>
        <w:tc>
          <w:tcPr>
            <w:tcW w:w="3656" w:type="dxa"/>
            <w:shd w:val="clear" w:color="auto" w:fill="auto"/>
            <w:noWrap/>
            <w:vAlign w:val="center"/>
            <w:hideMark/>
          </w:tcPr>
          <w:p w14:paraId="32E5A985"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Bois, papier et carton</w:t>
            </w:r>
          </w:p>
        </w:tc>
        <w:tc>
          <w:tcPr>
            <w:tcW w:w="985" w:type="dxa"/>
            <w:shd w:val="clear" w:color="auto" w:fill="auto"/>
            <w:noWrap/>
            <w:vAlign w:val="center"/>
            <w:hideMark/>
          </w:tcPr>
          <w:p w14:paraId="2FA51AB9"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3 945  </w:t>
            </w:r>
          </w:p>
        </w:tc>
        <w:tc>
          <w:tcPr>
            <w:tcW w:w="985" w:type="dxa"/>
            <w:shd w:val="clear" w:color="auto" w:fill="auto"/>
            <w:noWrap/>
            <w:vAlign w:val="center"/>
            <w:hideMark/>
          </w:tcPr>
          <w:p w14:paraId="6BFF0904"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-20,2  </w:t>
            </w:r>
          </w:p>
        </w:tc>
        <w:tc>
          <w:tcPr>
            <w:tcW w:w="1267" w:type="dxa"/>
            <w:shd w:val="clear" w:color="auto" w:fill="auto"/>
            <w:vAlign w:val="center"/>
          </w:tcPr>
          <w:p w14:paraId="3209C82E"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-0,7</w:t>
            </w:r>
          </w:p>
        </w:tc>
        <w:tc>
          <w:tcPr>
            <w:tcW w:w="1126" w:type="dxa"/>
            <w:shd w:val="clear" w:color="auto" w:fill="auto"/>
            <w:noWrap/>
            <w:vAlign w:val="center"/>
            <w:hideMark/>
          </w:tcPr>
          <w:p w14:paraId="3C514B94"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43  </w:t>
            </w:r>
          </w:p>
        </w:tc>
        <w:tc>
          <w:tcPr>
            <w:tcW w:w="985" w:type="dxa"/>
            <w:shd w:val="clear" w:color="auto" w:fill="auto"/>
            <w:noWrap/>
            <w:vAlign w:val="center"/>
            <w:hideMark/>
          </w:tcPr>
          <w:p w14:paraId="15CD2F74"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34,2  </w:t>
            </w:r>
          </w:p>
        </w:tc>
        <w:tc>
          <w:tcPr>
            <w:tcW w:w="1268" w:type="dxa"/>
            <w:shd w:val="clear" w:color="auto" w:fill="auto"/>
            <w:vAlign w:val="center"/>
          </w:tcPr>
          <w:p w14:paraId="7BA241F0"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0</w:t>
            </w:r>
          </w:p>
        </w:tc>
      </w:tr>
      <w:tr w:rsidR="00B6521F" w:rsidRPr="00B6521F" w14:paraId="0FE80985" w14:textId="77777777" w:rsidTr="000636DB">
        <w:trPr>
          <w:trHeight w:val="286"/>
        </w:trPr>
        <w:tc>
          <w:tcPr>
            <w:tcW w:w="3656" w:type="dxa"/>
            <w:shd w:val="clear" w:color="auto" w:fill="auto"/>
            <w:noWrap/>
            <w:vAlign w:val="center"/>
            <w:hideMark/>
          </w:tcPr>
          <w:p w14:paraId="1CFCE5FA"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Produits chimiques, parfums et cosmétiques</w:t>
            </w:r>
          </w:p>
        </w:tc>
        <w:tc>
          <w:tcPr>
            <w:tcW w:w="985" w:type="dxa"/>
            <w:shd w:val="clear" w:color="auto" w:fill="auto"/>
            <w:noWrap/>
            <w:vAlign w:val="center"/>
            <w:hideMark/>
          </w:tcPr>
          <w:p w14:paraId="2D0F5B39"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37 100  </w:t>
            </w:r>
          </w:p>
        </w:tc>
        <w:tc>
          <w:tcPr>
            <w:tcW w:w="985" w:type="dxa"/>
            <w:shd w:val="clear" w:color="auto" w:fill="auto"/>
            <w:noWrap/>
            <w:vAlign w:val="center"/>
            <w:hideMark/>
          </w:tcPr>
          <w:p w14:paraId="412B6469"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3,3  </w:t>
            </w:r>
          </w:p>
        </w:tc>
        <w:tc>
          <w:tcPr>
            <w:tcW w:w="1267" w:type="dxa"/>
            <w:shd w:val="clear" w:color="auto" w:fill="auto"/>
            <w:vAlign w:val="center"/>
          </w:tcPr>
          <w:p w14:paraId="38B7EDA8"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0,8</w:t>
            </w:r>
          </w:p>
        </w:tc>
        <w:tc>
          <w:tcPr>
            <w:tcW w:w="1126" w:type="dxa"/>
            <w:shd w:val="clear" w:color="auto" w:fill="auto"/>
            <w:noWrap/>
            <w:vAlign w:val="center"/>
            <w:hideMark/>
          </w:tcPr>
          <w:p w14:paraId="032513E3"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899  </w:t>
            </w:r>
          </w:p>
        </w:tc>
        <w:tc>
          <w:tcPr>
            <w:tcW w:w="985" w:type="dxa"/>
            <w:shd w:val="clear" w:color="auto" w:fill="auto"/>
            <w:noWrap/>
            <w:vAlign w:val="center"/>
            <w:hideMark/>
          </w:tcPr>
          <w:p w14:paraId="40789460"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599,9  </w:t>
            </w:r>
          </w:p>
        </w:tc>
        <w:tc>
          <w:tcPr>
            <w:tcW w:w="1268" w:type="dxa"/>
            <w:shd w:val="clear" w:color="auto" w:fill="auto"/>
            <w:vAlign w:val="center"/>
          </w:tcPr>
          <w:p w14:paraId="6CE10775"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0,9</w:t>
            </w:r>
          </w:p>
        </w:tc>
      </w:tr>
      <w:tr w:rsidR="00B6521F" w:rsidRPr="00B6521F" w14:paraId="5E48396A" w14:textId="77777777" w:rsidTr="000636DB">
        <w:trPr>
          <w:trHeight w:val="286"/>
        </w:trPr>
        <w:tc>
          <w:tcPr>
            <w:tcW w:w="3656" w:type="dxa"/>
            <w:shd w:val="clear" w:color="auto" w:fill="auto"/>
            <w:noWrap/>
            <w:vAlign w:val="center"/>
            <w:hideMark/>
          </w:tcPr>
          <w:p w14:paraId="53C1EA17"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Produits pharmaceutiques</w:t>
            </w:r>
          </w:p>
        </w:tc>
        <w:tc>
          <w:tcPr>
            <w:tcW w:w="985" w:type="dxa"/>
            <w:shd w:val="clear" w:color="auto" w:fill="auto"/>
            <w:noWrap/>
            <w:vAlign w:val="center"/>
            <w:hideMark/>
          </w:tcPr>
          <w:p w14:paraId="513E45BA"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16 039  </w:t>
            </w:r>
          </w:p>
        </w:tc>
        <w:tc>
          <w:tcPr>
            <w:tcW w:w="985" w:type="dxa"/>
            <w:shd w:val="clear" w:color="auto" w:fill="auto"/>
            <w:noWrap/>
            <w:vAlign w:val="center"/>
            <w:hideMark/>
          </w:tcPr>
          <w:p w14:paraId="5D05D473"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4,6  </w:t>
            </w:r>
          </w:p>
        </w:tc>
        <w:tc>
          <w:tcPr>
            <w:tcW w:w="1267" w:type="dxa"/>
            <w:shd w:val="clear" w:color="auto" w:fill="auto"/>
            <w:vAlign w:val="center"/>
          </w:tcPr>
          <w:p w14:paraId="43B41E7D"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0,5</w:t>
            </w:r>
          </w:p>
        </w:tc>
        <w:tc>
          <w:tcPr>
            <w:tcW w:w="1126" w:type="dxa"/>
            <w:shd w:val="clear" w:color="auto" w:fill="auto"/>
            <w:noWrap/>
            <w:vAlign w:val="center"/>
            <w:hideMark/>
          </w:tcPr>
          <w:p w14:paraId="70026BA9"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2  </w:t>
            </w:r>
          </w:p>
        </w:tc>
        <w:tc>
          <w:tcPr>
            <w:tcW w:w="985" w:type="dxa"/>
            <w:shd w:val="clear" w:color="auto" w:fill="auto"/>
            <w:noWrap/>
            <w:vAlign w:val="center"/>
            <w:hideMark/>
          </w:tcPr>
          <w:p w14:paraId="27E932D3"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-39,0  </w:t>
            </w:r>
          </w:p>
        </w:tc>
        <w:tc>
          <w:tcPr>
            <w:tcW w:w="1268" w:type="dxa"/>
            <w:shd w:val="clear" w:color="auto" w:fill="auto"/>
            <w:vAlign w:val="center"/>
          </w:tcPr>
          <w:p w14:paraId="384F8904"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0</w:t>
            </w:r>
          </w:p>
        </w:tc>
      </w:tr>
      <w:tr w:rsidR="00B6521F" w:rsidRPr="00B6521F" w14:paraId="3D79EA8F" w14:textId="77777777" w:rsidTr="000636DB">
        <w:trPr>
          <w:trHeight w:val="286"/>
        </w:trPr>
        <w:tc>
          <w:tcPr>
            <w:tcW w:w="3656" w:type="dxa"/>
            <w:shd w:val="clear" w:color="auto" w:fill="auto"/>
            <w:noWrap/>
            <w:vAlign w:val="center"/>
            <w:hideMark/>
          </w:tcPr>
          <w:p w14:paraId="13CF84FB"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Produits en caoutchouc et en plastique, produits minéraux divers</w:t>
            </w:r>
          </w:p>
        </w:tc>
        <w:tc>
          <w:tcPr>
            <w:tcW w:w="985" w:type="dxa"/>
            <w:shd w:val="clear" w:color="auto" w:fill="auto"/>
            <w:noWrap/>
            <w:vAlign w:val="center"/>
            <w:hideMark/>
          </w:tcPr>
          <w:p w14:paraId="1B2D5320"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4 596  </w:t>
            </w:r>
          </w:p>
        </w:tc>
        <w:tc>
          <w:tcPr>
            <w:tcW w:w="985" w:type="dxa"/>
            <w:shd w:val="clear" w:color="auto" w:fill="auto"/>
            <w:noWrap/>
            <w:vAlign w:val="center"/>
            <w:hideMark/>
          </w:tcPr>
          <w:p w14:paraId="34DAA01C"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3,7  </w:t>
            </w:r>
          </w:p>
        </w:tc>
        <w:tc>
          <w:tcPr>
            <w:tcW w:w="1267" w:type="dxa"/>
            <w:shd w:val="clear" w:color="auto" w:fill="auto"/>
            <w:vAlign w:val="center"/>
          </w:tcPr>
          <w:p w14:paraId="423D0F77"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0,1</w:t>
            </w:r>
          </w:p>
        </w:tc>
        <w:tc>
          <w:tcPr>
            <w:tcW w:w="1126" w:type="dxa"/>
            <w:shd w:val="clear" w:color="auto" w:fill="auto"/>
            <w:noWrap/>
            <w:vAlign w:val="center"/>
            <w:hideMark/>
          </w:tcPr>
          <w:p w14:paraId="3B871209"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61  </w:t>
            </w:r>
          </w:p>
        </w:tc>
        <w:tc>
          <w:tcPr>
            <w:tcW w:w="985" w:type="dxa"/>
            <w:shd w:val="clear" w:color="auto" w:fill="auto"/>
            <w:noWrap/>
            <w:vAlign w:val="center"/>
            <w:hideMark/>
          </w:tcPr>
          <w:p w14:paraId="47CBB9E3"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-87,5  </w:t>
            </w:r>
          </w:p>
        </w:tc>
        <w:tc>
          <w:tcPr>
            <w:tcW w:w="1268" w:type="dxa"/>
            <w:shd w:val="clear" w:color="auto" w:fill="auto"/>
            <w:vAlign w:val="center"/>
          </w:tcPr>
          <w:p w14:paraId="6DA71267"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-0,5</w:t>
            </w:r>
          </w:p>
        </w:tc>
      </w:tr>
      <w:tr w:rsidR="00B6521F" w:rsidRPr="00B6521F" w14:paraId="0775AD47" w14:textId="77777777" w:rsidTr="000636DB">
        <w:trPr>
          <w:trHeight w:val="286"/>
        </w:trPr>
        <w:tc>
          <w:tcPr>
            <w:tcW w:w="3656" w:type="dxa"/>
            <w:shd w:val="clear" w:color="auto" w:fill="auto"/>
            <w:noWrap/>
            <w:vAlign w:val="center"/>
            <w:hideMark/>
          </w:tcPr>
          <w:p w14:paraId="09285495"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Produits métallurgiques et métalliques</w:t>
            </w:r>
          </w:p>
        </w:tc>
        <w:tc>
          <w:tcPr>
            <w:tcW w:w="985" w:type="dxa"/>
            <w:shd w:val="clear" w:color="auto" w:fill="auto"/>
            <w:noWrap/>
            <w:vAlign w:val="center"/>
            <w:hideMark/>
          </w:tcPr>
          <w:p w14:paraId="6B41896E"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9 682  </w:t>
            </w:r>
          </w:p>
        </w:tc>
        <w:tc>
          <w:tcPr>
            <w:tcW w:w="985" w:type="dxa"/>
            <w:shd w:val="clear" w:color="auto" w:fill="auto"/>
            <w:noWrap/>
            <w:vAlign w:val="center"/>
            <w:hideMark/>
          </w:tcPr>
          <w:p w14:paraId="4C422EBB"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-24,0  </w:t>
            </w:r>
          </w:p>
        </w:tc>
        <w:tc>
          <w:tcPr>
            <w:tcW w:w="1267" w:type="dxa"/>
            <w:shd w:val="clear" w:color="auto" w:fill="auto"/>
            <w:vAlign w:val="center"/>
          </w:tcPr>
          <w:p w14:paraId="220799D2"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 - 2,0</w:t>
            </w:r>
          </w:p>
        </w:tc>
        <w:tc>
          <w:tcPr>
            <w:tcW w:w="1126" w:type="dxa"/>
            <w:shd w:val="clear" w:color="auto" w:fill="auto"/>
            <w:noWrap/>
            <w:vAlign w:val="center"/>
            <w:hideMark/>
          </w:tcPr>
          <w:p w14:paraId="18A4D79F"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30  </w:t>
            </w:r>
          </w:p>
        </w:tc>
        <w:tc>
          <w:tcPr>
            <w:tcW w:w="985" w:type="dxa"/>
            <w:shd w:val="clear" w:color="auto" w:fill="auto"/>
            <w:noWrap/>
            <w:vAlign w:val="center"/>
            <w:hideMark/>
          </w:tcPr>
          <w:p w14:paraId="06F0A96F"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382,7  </w:t>
            </w:r>
          </w:p>
        </w:tc>
        <w:tc>
          <w:tcPr>
            <w:tcW w:w="1268" w:type="dxa"/>
            <w:shd w:val="clear" w:color="auto" w:fill="auto"/>
            <w:vAlign w:val="center"/>
          </w:tcPr>
          <w:p w14:paraId="59A0C36A"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0</w:t>
            </w:r>
          </w:p>
        </w:tc>
      </w:tr>
      <w:tr w:rsidR="00B6521F" w:rsidRPr="00B6521F" w14:paraId="41CF1D72" w14:textId="77777777" w:rsidTr="000636DB">
        <w:trPr>
          <w:trHeight w:val="80"/>
        </w:trPr>
        <w:tc>
          <w:tcPr>
            <w:tcW w:w="3656" w:type="dxa"/>
            <w:shd w:val="clear" w:color="auto" w:fill="auto"/>
            <w:noWrap/>
            <w:vAlign w:val="center"/>
            <w:hideMark/>
          </w:tcPr>
          <w:p w14:paraId="48852242"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Produits manufacturés divers</w:t>
            </w:r>
          </w:p>
        </w:tc>
        <w:tc>
          <w:tcPr>
            <w:tcW w:w="985" w:type="dxa"/>
            <w:shd w:val="clear" w:color="auto" w:fill="auto"/>
            <w:noWrap/>
            <w:vAlign w:val="center"/>
            <w:hideMark/>
          </w:tcPr>
          <w:p w14:paraId="368010EC"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2 213  </w:t>
            </w:r>
          </w:p>
        </w:tc>
        <w:tc>
          <w:tcPr>
            <w:tcW w:w="985" w:type="dxa"/>
            <w:shd w:val="clear" w:color="auto" w:fill="auto"/>
            <w:noWrap/>
            <w:vAlign w:val="center"/>
            <w:hideMark/>
          </w:tcPr>
          <w:p w14:paraId="6A160A7E"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-33,6  </w:t>
            </w:r>
          </w:p>
        </w:tc>
        <w:tc>
          <w:tcPr>
            <w:tcW w:w="1267" w:type="dxa"/>
            <w:shd w:val="clear" w:color="auto" w:fill="auto"/>
            <w:vAlign w:val="center"/>
          </w:tcPr>
          <w:p w14:paraId="6A9D7F07"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- 0,7</w:t>
            </w:r>
          </w:p>
        </w:tc>
        <w:tc>
          <w:tcPr>
            <w:tcW w:w="1126" w:type="dxa"/>
            <w:shd w:val="clear" w:color="auto" w:fill="auto"/>
            <w:noWrap/>
            <w:vAlign w:val="center"/>
            <w:hideMark/>
          </w:tcPr>
          <w:p w14:paraId="371F2807"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774  </w:t>
            </w:r>
          </w:p>
        </w:tc>
        <w:tc>
          <w:tcPr>
            <w:tcW w:w="985" w:type="dxa"/>
            <w:shd w:val="clear" w:color="auto" w:fill="auto"/>
            <w:noWrap/>
            <w:vAlign w:val="center"/>
            <w:hideMark/>
          </w:tcPr>
          <w:p w14:paraId="414F7161"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 xml:space="preserve">-9,3  </w:t>
            </w:r>
          </w:p>
        </w:tc>
        <w:tc>
          <w:tcPr>
            <w:tcW w:w="1268" w:type="dxa"/>
            <w:shd w:val="clear" w:color="auto" w:fill="auto"/>
            <w:vAlign w:val="center"/>
          </w:tcPr>
          <w:p w14:paraId="1FBD721A" w14:textId="77777777" w:rsidR="00B6521F" w:rsidRPr="00B6521F" w:rsidRDefault="00B6521F" w:rsidP="00B6521F">
            <w:pPr>
              <w:spacing w:after="160" w:line="259" w:lineRule="auto"/>
              <w:rPr>
                <w:rFonts w:ascii="Times New Roman" w:hAnsi="Times New Roman" w:cs="Times New Roman"/>
                <w:i/>
                <w:iCs/>
                <w:sz w:val="16"/>
                <w:szCs w:val="16"/>
              </w:rPr>
            </w:pPr>
            <w:r w:rsidRPr="00B6521F">
              <w:rPr>
                <w:rFonts w:ascii="Times New Roman" w:hAnsi="Times New Roman" w:cs="Times New Roman"/>
                <w:i/>
                <w:iCs/>
                <w:sz w:val="16"/>
                <w:szCs w:val="16"/>
              </w:rPr>
              <w:t>-0,1</w:t>
            </w:r>
          </w:p>
        </w:tc>
      </w:tr>
      <w:tr w:rsidR="00B6521F" w:rsidRPr="00B6521F" w14:paraId="44347F47" w14:textId="77777777" w:rsidTr="000636DB">
        <w:trPr>
          <w:trHeight w:val="286"/>
        </w:trPr>
        <w:tc>
          <w:tcPr>
            <w:tcW w:w="3656" w:type="dxa"/>
            <w:shd w:val="clear" w:color="auto" w:fill="auto"/>
            <w:noWrap/>
            <w:vAlign w:val="center"/>
            <w:hideMark/>
          </w:tcPr>
          <w:p w14:paraId="41A97BA0"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Produits divers</w:t>
            </w:r>
          </w:p>
        </w:tc>
        <w:tc>
          <w:tcPr>
            <w:tcW w:w="985" w:type="dxa"/>
            <w:shd w:val="clear" w:color="auto" w:fill="auto"/>
            <w:noWrap/>
            <w:vAlign w:val="center"/>
            <w:hideMark/>
          </w:tcPr>
          <w:p w14:paraId="1DF88178"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 xml:space="preserve">354  </w:t>
            </w:r>
          </w:p>
        </w:tc>
        <w:tc>
          <w:tcPr>
            <w:tcW w:w="985" w:type="dxa"/>
            <w:shd w:val="clear" w:color="auto" w:fill="auto"/>
            <w:noWrap/>
            <w:vAlign w:val="center"/>
            <w:hideMark/>
          </w:tcPr>
          <w:p w14:paraId="618B91FD"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 xml:space="preserve">96,1  </w:t>
            </w:r>
          </w:p>
        </w:tc>
        <w:tc>
          <w:tcPr>
            <w:tcW w:w="1267" w:type="dxa"/>
            <w:shd w:val="clear" w:color="auto" w:fill="auto"/>
            <w:vAlign w:val="center"/>
          </w:tcPr>
          <w:p w14:paraId="426C75FF"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0,1</w:t>
            </w:r>
          </w:p>
        </w:tc>
        <w:tc>
          <w:tcPr>
            <w:tcW w:w="1126" w:type="dxa"/>
            <w:shd w:val="clear" w:color="auto" w:fill="auto"/>
            <w:noWrap/>
            <w:vAlign w:val="center"/>
            <w:hideMark/>
          </w:tcPr>
          <w:p w14:paraId="55F77E5E"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 xml:space="preserve">146  </w:t>
            </w:r>
          </w:p>
        </w:tc>
        <w:tc>
          <w:tcPr>
            <w:tcW w:w="985" w:type="dxa"/>
            <w:shd w:val="clear" w:color="auto" w:fill="auto"/>
            <w:noWrap/>
            <w:vAlign w:val="center"/>
            <w:hideMark/>
          </w:tcPr>
          <w:p w14:paraId="12B7C7F9"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 xml:space="preserve">180,1  </w:t>
            </w:r>
          </w:p>
        </w:tc>
        <w:tc>
          <w:tcPr>
            <w:tcW w:w="1268" w:type="dxa"/>
            <w:shd w:val="clear" w:color="auto" w:fill="auto"/>
            <w:vAlign w:val="center"/>
          </w:tcPr>
          <w:p w14:paraId="2F7F5D8C" w14:textId="77777777" w:rsidR="00B6521F" w:rsidRPr="00B6521F" w:rsidRDefault="00B6521F" w:rsidP="00B6521F">
            <w:pPr>
              <w:spacing w:after="160" w:line="259" w:lineRule="auto"/>
              <w:rPr>
                <w:rFonts w:ascii="Times New Roman" w:hAnsi="Times New Roman" w:cs="Times New Roman"/>
                <w:b/>
                <w:i/>
                <w:sz w:val="16"/>
                <w:szCs w:val="16"/>
              </w:rPr>
            </w:pPr>
            <w:r w:rsidRPr="00B6521F">
              <w:rPr>
                <w:rFonts w:ascii="Times New Roman" w:hAnsi="Times New Roman" w:cs="Times New Roman"/>
                <w:b/>
                <w:i/>
                <w:sz w:val="16"/>
                <w:szCs w:val="16"/>
              </w:rPr>
              <w:t>0,1</w:t>
            </w:r>
          </w:p>
        </w:tc>
      </w:tr>
    </w:tbl>
    <w:p w14:paraId="2D03A235" w14:textId="77777777" w:rsidR="00B6521F" w:rsidRPr="00B6521F" w:rsidRDefault="00B6521F" w:rsidP="00B6521F">
      <w:pPr>
        <w:rPr>
          <w:rFonts w:ascii="Times New Roman" w:hAnsi="Times New Roman" w:cs="Times New Roman"/>
          <w:b/>
          <w:i/>
          <w:sz w:val="20"/>
          <w:szCs w:val="20"/>
        </w:rPr>
      </w:pPr>
      <w:r w:rsidRPr="00B6521F">
        <w:rPr>
          <w:rFonts w:ascii="Times New Roman" w:hAnsi="Times New Roman" w:cs="Times New Roman"/>
          <w:i/>
          <w:sz w:val="20"/>
          <w:szCs w:val="20"/>
        </w:rPr>
        <w:t>Source : Douanes françaises</w:t>
      </w:r>
    </w:p>
    <w:p w14:paraId="22E4EA5D" w14:textId="3CCA4CD8" w:rsidR="00CB6573" w:rsidRDefault="00CB6573" w:rsidP="007D2044">
      <w:pPr>
        <w:spacing w:line="240" w:lineRule="auto"/>
        <w:contextualSpacing/>
        <w:jc w:val="both"/>
        <w:rPr>
          <w:rFonts w:ascii="Times New Roman" w:hAnsi="Times New Roman" w:cs="Times New Roman"/>
          <w:i/>
          <w:sz w:val="24"/>
          <w:szCs w:val="24"/>
        </w:rPr>
      </w:pPr>
    </w:p>
    <w:sectPr w:rsidR="00CB6573" w:rsidSect="00723DF4">
      <w:footerReference w:type="default" r:id="rId15"/>
      <w:headerReference w:type="first" r:id="rId16"/>
      <w:pgSz w:w="11906" w:h="16838"/>
      <w:pgMar w:top="720" w:right="720" w:bottom="720" w:left="720" w:header="127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C2BC7" w14:textId="77777777" w:rsidR="003C3C25" w:rsidRDefault="003C3C25" w:rsidP="002570E4">
      <w:pPr>
        <w:spacing w:after="0" w:line="240" w:lineRule="auto"/>
      </w:pPr>
      <w:r>
        <w:separator/>
      </w:r>
    </w:p>
  </w:endnote>
  <w:endnote w:type="continuationSeparator" w:id="0">
    <w:p w14:paraId="7E9F1A98" w14:textId="77777777" w:rsidR="003C3C25" w:rsidRDefault="003C3C25" w:rsidP="0025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7171"/>
      <w:docPartObj>
        <w:docPartGallery w:val="Page Numbers (Bottom of Page)"/>
        <w:docPartUnique/>
      </w:docPartObj>
    </w:sdtPr>
    <w:sdtEndPr/>
    <w:sdtContent>
      <w:p w14:paraId="0A73BC10" w14:textId="77777777" w:rsidR="00D2669C" w:rsidRDefault="00D2669C">
        <w:pPr>
          <w:pStyle w:val="Pieddepage"/>
          <w:jc w:val="right"/>
        </w:pPr>
        <w:r>
          <w:fldChar w:fldCharType="begin"/>
        </w:r>
        <w:r>
          <w:instrText>PAGE   \* MERGEFORMAT</w:instrText>
        </w:r>
        <w:r>
          <w:fldChar w:fldCharType="separate"/>
        </w:r>
        <w:r w:rsidR="005D764A">
          <w:rPr>
            <w:noProof/>
          </w:rPr>
          <w:t>5</w:t>
        </w:r>
        <w:r>
          <w:fldChar w:fldCharType="end"/>
        </w:r>
      </w:p>
    </w:sdtContent>
  </w:sdt>
  <w:p w14:paraId="150258EE" w14:textId="77777777" w:rsidR="00D2669C" w:rsidRDefault="00D2669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42B18" w14:textId="77777777" w:rsidR="003C3C25" w:rsidRDefault="003C3C25" w:rsidP="002570E4">
      <w:pPr>
        <w:spacing w:after="0" w:line="240" w:lineRule="auto"/>
      </w:pPr>
      <w:r>
        <w:separator/>
      </w:r>
    </w:p>
  </w:footnote>
  <w:footnote w:type="continuationSeparator" w:id="0">
    <w:p w14:paraId="614F1694" w14:textId="77777777" w:rsidR="003C3C25" w:rsidRDefault="003C3C25" w:rsidP="00257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6FDA6" w14:textId="3E99902E" w:rsidR="00874323" w:rsidRPr="00595A08" w:rsidRDefault="00874323" w:rsidP="00874323">
    <w:pPr>
      <w:spacing w:after="0" w:line="240" w:lineRule="auto"/>
      <w:ind w:right="-142"/>
      <w:contextualSpacing/>
      <w:jc w:val="center"/>
      <w:rPr>
        <w:rFonts w:ascii="Times New Roman" w:eastAsia="Times New Roman" w:hAnsi="Times New Roman" w:cs="Times New Roman"/>
        <w:b/>
        <w:caps/>
        <w:sz w:val="20"/>
        <w:szCs w:val="20"/>
        <w:lang w:eastAsia="fr-FR"/>
      </w:rPr>
    </w:pPr>
    <w:r w:rsidRPr="00595A08">
      <w:rPr>
        <w:b/>
        <w:caps/>
        <w:noProof/>
        <w:sz w:val="20"/>
        <w:szCs w:val="20"/>
        <w:lang w:eastAsia="fr-FR"/>
      </w:rPr>
      <w:drawing>
        <wp:anchor distT="0" distB="0" distL="114300" distR="114300" simplePos="0" relativeHeight="251658240" behindDoc="0" locked="0" layoutInCell="1" allowOverlap="1" wp14:anchorId="11646A9E" wp14:editId="110ABF71">
          <wp:simplePos x="0" y="0"/>
          <wp:positionH relativeFrom="margin">
            <wp:align>center</wp:align>
          </wp:positionH>
          <wp:positionV relativeFrom="margin">
            <wp:posOffset>-1002665</wp:posOffset>
          </wp:positionV>
          <wp:extent cx="913765" cy="539750"/>
          <wp:effectExtent l="0" t="0" r="635" b="0"/>
          <wp:wrapTopAndBottom/>
          <wp:docPr id="8" name="Image 8" descr="Description : MariannePant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MariannePantone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3765" cy="539750"/>
                  </a:xfrm>
                  <a:prstGeom prst="rect">
                    <a:avLst/>
                  </a:prstGeom>
                  <a:noFill/>
                </pic:spPr>
              </pic:pic>
            </a:graphicData>
          </a:graphic>
          <wp14:sizeRelH relativeFrom="page">
            <wp14:pctWidth>0</wp14:pctWidth>
          </wp14:sizeRelH>
          <wp14:sizeRelV relativeFrom="margin">
            <wp14:pctHeight>0</wp14:pctHeight>
          </wp14:sizeRelV>
        </wp:anchor>
      </w:drawing>
    </w:r>
    <w:r w:rsidRPr="00595A08">
      <w:rPr>
        <w:rFonts w:ascii="Times New Roman" w:eastAsia="Times New Roman" w:hAnsi="Times New Roman" w:cs="Times New Roman"/>
        <w:b/>
        <w:caps/>
        <w:sz w:val="20"/>
        <w:szCs w:val="20"/>
        <w:lang w:eastAsia="fr-FR"/>
      </w:rPr>
      <w:t>Ambassade de France au Kenya</w:t>
    </w:r>
  </w:p>
  <w:p w14:paraId="0FAD961C" w14:textId="0CDE135D" w:rsidR="00874323" w:rsidRDefault="00874323" w:rsidP="00874323">
    <w:pPr>
      <w:spacing w:after="0" w:line="240" w:lineRule="auto"/>
      <w:ind w:left="2832" w:right="-142" w:firstLine="708"/>
      <w:contextualSpacing/>
      <w:rPr>
        <w:rFonts w:ascii="Times New Roman" w:eastAsia="Times New Roman" w:hAnsi="Times New Roman" w:cs="Times New Roman"/>
        <w:b/>
        <w:caps/>
        <w:sz w:val="20"/>
        <w:szCs w:val="20"/>
        <w:lang w:eastAsia="fr-FR"/>
      </w:rPr>
    </w:pPr>
    <w:r w:rsidRPr="00595A08">
      <w:rPr>
        <w:rFonts w:ascii="Times New Roman" w:eastAsia="Times New Roman" w:hAnsi="Times New Roman" w:cs="Times New Roman"/>
        <w:b/>
        <w:caps/>
        <w:sz w:val="20"/>
        <w:szCs w:val="20"/>
        <w:lang w:eastAsia="fr-FR"/>
      </w:rPr>
      <w:t xml:space="preserve">Service économique régional </w:t>
    </w:r>
  </w:p>
  <w:p w14:paraId="72295496" w14:textId="5A79F09D" w:rsidR="00D2669C" w:rsidRPr="00296003" w:rsidRDefault="00917CF6" w:rsidP="00296003">
    <w:pPr>
      <w:pStyle w:val="En-tte"/>
    </w:pPr>
    <w:r w:rsidRPr="0029600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7FA8"/>
    <w:multiLevelType w:val="hybridMultilevel"/>
    <w:tmpl w:val="4EC43BE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1460319"/>
    <w:multiLevelType w:val="hybridMultilevel"/>
    <w:tmpl w:val="149889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16226A"/>
    <w:multiLevelType w:val="hybridMultilevel"/>
    <w:tmpl w:val="05028BEE"/>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2E823A3"/>
    <w:multiLevelType w:val="hybridMultilevel"/>
    <w:tmpl w:val="20BEA290"/>
    <w:lvl w:ilvl="0" w:tplc="0F8819B6">
      <w:start w:val="1"/>
      <w:numFmt w:val="lowerLetter"/>
      <w:lvlText w:val="%1."/>
      <w:lvlJc w:val="left"/>
      <w:pPr>
        <w:ind w:left="36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3E17BC7"/>
    <w:multiLevelType w:val="hybridMultilevel"/>
    <w:tmpl w:val="C1ECF37A"/>
    <w:lvl w:ilvl="0" w:tplc="9222B17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C033C0"/>
    <w:multiLevelType w:val="hybridMultilevel"/>
    <w:tmpl w:val="F586AA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7D26C1"/>
    <w:multiLevelType w:val="hybridMultilevel"/>
    <w:tmpl w:val="DC66F864"/>
    <w:lvl w:ilvl="0" w:tplc="E3B2A26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456BAB"/>
    <w:multiLevelType w:val="hybridMultilevel"/>
    <w:tmpl w:val="05EA46D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F4B6684"/>
    <w:multiLevelType w:val="hybridMultilevel"/>
    <w:tmpl w:val="0A7CAD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FB308DE"/>
    <w:multiLevelType w:val="hybridMultilevel"/>
    <w:tmpl w:val="A88214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E12405"/>
    <w:multiLevelType w:val="hybridMultilevel"/>
    <w:tmpl w:val="AB98910C"/>
    <w:lvl w:ilvl="0" w:tplc="036CBAF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654A43"/>
    <w:multiLevelType w:val="hybridMultilevel"/>
    <w:tmpl w:val="9996BA66"/>
    <w:lvl w:ilvl="0" w:tplc="562C425E">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A734B4"/>
    <w:multiLevelType w:val="hybridMultilevel"/>
    <w:tmpl w:val="644050BA"/>
    <w:lvl w:ilvl="0" w:tplc="7DB89754">
      <w:start w:val="1"/>
      <w:numFmt w:val="decimal"/>
      <w:lvlText w:val="%1)"/>
      <w:lvlJc w:val="left"/>
      <w:pPr>
        <w:ind w:left="720" w:hanging="360"/>
      </w:pPr>
      <w:rPr>
        <w:rFonts w:ascii="Times New Roman" w:eastAsiaTheme="minorHAnsi" w:hAnsi="Times New Roman" w:cs="Times New Roman"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155C65"/>
    <w:multiLevelType w:val="hybridMultilevel"/>
    <w:tmpl w:val="2D463D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AAC74ED"/>
    <w:multiLevelType w:val="hybridMultilevel"/>
    <w:tmpl w:val="D53870C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B4B50D7"/>
    <w:multiLevelType w:val="hybridMultilevel"/>
    <w:tmpl w:val="095E9C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9C35E5"/>
    <w:multiLevelType w:val="hybridMultilevel"/>
    <w:tmpl w:val="08E46BFA"/>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0D37145"/>
    <w:multiLevelType w:val="hybridMultilevel"/>
    <w:tmpl w:val="FABCAA1A"/>
    <w:lvl w:ilvl="0" w:tplc="5A780FE4">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1846FE2"/>
    <w:multiLevelType w:val="hybridMultilevel"/>
    <w:tmpl w:val="0CDCA2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053328"/>
    <w:multiLevelType w:val="hybridMultilevel"/>
    <w:tmpl w:val="08E46BFA"/>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5212CD"/>
    <w:multiLevelType w:val="hybridMultilevel"/>
    <w:tmpl w:val="035AEE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1CA4C29"/>
    <w:multiLevelType w:val="hybridMultilevel"/>
    <w:tmpl w:val="035AEE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8A41B75"/>
    <w:multiLevelType w:val="hybridMultilevel"/>
    <w:tmpl w:val="4C026D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BB55AF2"/>
    <w:multiLevelType w:val="hybridMultilevel"/>
    <w:tmpl w:val="5D88A1CA"/>
    <w:lvl w:ilvl="0" w:tplc="74B6FB6A">
      <w:start w:val="1"/>
      <w:numFmt w:val="bullet"/>
      <w:lvlText w:val=""/>
      <w:lvlJc w:val="left"/>
      <w:pPr>
        <w:ind w:left="720" w:hanging="360"/>
      </w:pPr>
      <w:rPr>
        <w:rFonts w:ascii="Wingdings" w:hAnsi="Wingdings" w:hint="default"/>
        <w:sz w:val="16"/>
        <w:szCs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428F2D50"/>
    <w:multiLevelType w:val="hybridMultilevel"/>
    <w:tmpl w:val="759EBBD4"/>
    <w:lvl w:ilvl="0" w:tplc="613CA056">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4C0843"/>
    <w:multiLevelType w:val="hybridMultilevel"/>
    <w:tmpl w:val="55145688"/>
    <w:lvl w:ilvl="0" w:tplc="13920C3E">
      <w:start w:val="1"/>
      <w:numFmt w:val="decimal"/>
      <w:lvlText w:val="%1."/>
      <w:lvlJc w:val="left"/>
      <w:pPr>
        <w:ind w:left="720" w:hanging="360"/>
      </w:pPr>
      <w:rPr>
        <w:b/>
      </w:rPr>
    </w:lvl>
    <w:lvl w:ilvl="1" w:tplc="040C000F">
      <w:start w:val="1"/>
      <w:numFmt w:val="decimal"/>
      <w:lvlText w:val="%2."/>
      <w:lvlJc w:val="left"/>
      <w:pPr>
        <w:ind w:left="1440" w:hanging="360"/>
      </w:pPr>
      <w:rPr>
        <w:b/>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45D11D30"/>
    <w:multiLevelType w:val="hybridMultilevel"/>
    <w:tmpl w:val="ECA8852E"/>
    <w:lvl w:ilvl="0" w:tplc="B41E94C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F85BC0"/>
    <w:multiLevelType w:val="hybridMultilevel"/>
    <w:tmpl w:val="239809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DF97C2D"/>
    <w:multiLevelType w:val="hybridMultilevel"/>
    <w:tmpl w:val="C0621842"/>
    <w:lvl w:ilvl="0" w:tplc="B14401DC">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AD13FF"/>
    <w:multiLevelType w:val="hybridMultilevel"/>
    <w:tmpl w:val="A39E66C4"/>
    <w:lvl w:ilvl="0" w:tplc="50C033AC">
      <w:start w:val="1"/>
      <w:numFmt w:val="lowerRoman"/>
      <w:lvlText w:val="(%1)"/>
      <w:lvlJc w:val="left"/>
      <w:pPr>
        <w:ind w:left="1146" w:hanging="72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30" w15:restartNumberingAfterBreak="0">
    <w:nsid w:val="530E7CC6"/>
    <w:multiLevelType w:val="hybridMultilevel"/>
    <w:tmpl w:val="A0EABEB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53A933B3"/>
    <w:multiLevelType w:val="hybridMultilevel"/>
    <w:tmpl w:val="679673EA"/>
    <w:lvl w:ilvl="0" w:tplc="8E8AE5AE">
      <w:start w:val="1"/>
      <w:numFmt w:val="bullet"/>
      <w:lvlText w:val=""/>
      <w:lvlJc w:val="left"/>
      <w:pPr>
        <w:ind w:left="720" w:hanging="360"/>
      </w:pPr>
      <w:rPr>
        <w:rFonts w:ascii="Wingdings" w:hAnsi="Wingdings" w:hint="default"/>
        <w:sz w:val="16"/>
        <w:szCs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82F4167"/>
    <w:multiLevelType w:val="hybridMultilevel"/>
    <w:tmpl w:val="B730332C"/>
    <w:lvl w:ilvl="0" w:tplc="F372EA6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9906CE"/>
    <w:multiLevelType w:val="hybridMultilevel"/>
    <w:tmpl w:val="3626BDB2"/>
    <w:lvl w:ilvl="0" w:tplc="77742B4A">
      <w:start w:val="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0D09DD"/>
    <w:multiLevelType w:val="hybridMultilevel"/>
    <w:tmpl w:val="C72A40DA"/>
    <w:lvl w:ilvl="0" w:tplc="040C0005">
      <w:start w:val="1"/>
      <w:numFmt w:val="bullet"/>
      <w:lvlText w:val=""/>
      <w:lvlJc w:val="left"/>
      <w:pPr>
        <w:ind w:left="608" w:hanging="360"/>
      </w:pPr>
      <w:rPr>
        <w:rFonts w:ascii="Wingdings" w:hAnsi="Wingdings" w:hint="default"/>
        <w:sz w:val="16"/>
        <w:szCs w:val="16"/>
      </w:rPr>
    </w:lvl>
    <w:lvl w:ilvl="1" w:tplc="040C0003">
      <w:start w:val="1"/>
      <w:numFmt w:val="bullet"/>
      <w:lvlText w:val="o"/>
      <w:lvlJc w:val="left"/>
      <w:pPr>
        <w:ind w:left="1328" w:hanging="360"/>
      </w:pPr>
      <w:rPr>
        <w:rFonts w:ascii="Courier New" w:hAnsi="Courier New" w:cs="Courier New" w:hint="default"/>
      </w:rPr>
    </w:lvl>
    <w:lvl w:ilvl="2" w:tplc="040C0005">
      <w:start w:val="1"/>
      <w:numFmt w:val="bullet"/>
      <w:lvlText w:val=""/>
      <w:lvlJc w:val="left"/>
      <w:pPr>
        <w:ind w:left="2048" w:hanging="360"/>
      </w:pPr>
      <w:rPr>
        <w:rFonts w:ascii="Wingdings" w:hAnsi="Wingdings" w:hint="default"/>
      </w:rPr>
    </w:lvl>
    <w:lvl w:ilvl="3" w:tplc="040C0001">
      <w:start w:val="1"/>
      <w:numFmt w:val="bullet"/>
      <w:lvlText w:val=""/>
      <w:lvlJc w:val="left"/>
      <w:pPr>
        <w:ind w:left="2768" w:hanging="360"/>
      </w:pPr>
      <w:rPr>
        <w:rFonts w:ascii="Symbol" w:hAnsi="Symbol" w:hint="default"/>
      </w:rPr>
    </w:lvl>
    <w:lvl w:ilvl="4" w:tplc="040C0003">
      <w:start w:val="1"/>
      <w:numFmt w:val="bullet"/>
      <w:lvlText w:val="o"/>
      <w:lvlJc w:val="left"/>
      <w:pPr>
        <w:ind w:left="3488" w:hanging="360"/>
      </w:pPr>
      <w:rPr>
        <w:rFonts w:ascii="Courier New" w:hAnsi="Courier New" w:cs="Courier New" w:hint="default"/>
      </w:rPr>
    </w:lvl>
    <w:lvl w:ilvl="5" w:tplc="040C0005">
      <w:start w:val="1"/>
      <w:numFmt w:val="bullet"/>
      <w:lvlText w:val=""/>
      <w:lvlJc w:val="left"/>
      <w:pPr>
        <w:ind w:left="4208" w:hanging="360"/>
      </w:pPr>
      <w:rPr>
        <w:rFonts w:ascii="Wingdings" w:hAnsi="Wingdings" w:hint="default"/>
      </w:rPr>
    </w:lvl>
    <w:lvl w:ilvl="6" w:tplc="040C0001">
      <w:start w:val="1"/>
      <w:numFmt w:val="bullet"/>
      <w:lvlText w:val=""/>
      <w:lvlJc w:val="left"/>
      <w:pPr>
        <w:ind w:left="4928" w:hanging="360"/>
      </w:pPr>
      <w:rPr>
        <w:rFonts w:ascii="Symbol" w:hAnsi="Symbol" w:hint="default"/>
      </w:rPr>
    </w:lvl>
    <w:lvl w:ilvl="7" w:tplc="040C0003">
      <w:start w:val="1"/>
      <w:numFmt w:val="bullet"/>
      <w:lvlText w:val="o"/>
      <w:lvlJc w:val="left"/>
      <w:pPr>
        <w:ind w:left="5648" w:hanging="360"/>
      </w:pPr>
      <w:rPr>
        <w:rFonts w:ascii="Courier New" w:hAnsi="Courier New" w:cs="Courier New" w:hint="default"/>
      </w:rPr>
    </w:lvl>
    <w:lvl w:ilvl="8" w:tplc="040C0005">
      <w:start w:val="1"/>
      <w:numFmt w:val="bullet"/>
      <w:lvlText w:val=""/>
      <w:lvlJc w:val="left"/>
      <w:pPr>
        <w:ind w:left="6368" w:hanging="360"/>
      </w:pPr>
      <w:rPr>
        <w:rFonts w:ascii="Wingdings" w:hAnsi="Wingdings" w:hint="default"/>
      </w:rPr>
    </w:lvl>
  </w:abstractNum>
  <w:abstractNum w:abstractNumId="35" w15:restartNumberingAfterBreak="0">
    <w:nsid w:val="6D384BD7"/>
    <w:multiLevelType w:val="hybridMultilevel"/>
    <w:tmpl w:val="2A6490D6"/>
    <w:lvl w:ilvl="0" w:tplc="0C84A0C4">
      <w:start w:val="4"/>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3B12750"/>
    <w:multiLevelType w:val="hybridMultilevel"/>
    <w:tmpl w:val="8E3C08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74EC582D"/>
    <w:multiLevelType w:val="hybridMultilevel"/>
    <w:tmpl w:val="AE300718"/>
    <w:lvl w:ilvl="0" w:tplc="8E8AE5AE">
      <w:start w:val="1"/>
      <w:numFmt w:val="bullet"/>
      <w:lvlText w:val=""/>
      <w:lvlJc w:val="left"/>
      <w:pPr>
        <w:ind w:left="720" w:hanging="360"/>
      </w:pPr>
      <w:rPr>
        <w:rFonts w:ascii="Wingdings" w:hAnsi="Wingdings" w:hint="default"/>
        <w:sz w:val="16"/>
        <w:szCs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60023FF"/>
    <w:multiLevelType w:val="hybridMultilevel"/>
    <w:tmpl w:val="C52CB8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8A34A7A"/>
    <w:multiLevelType w:val="hybridMultilevel"/>
    <w:tmpl w:val="8C7C0F8C"/>
    <w:lvl w:ilvl="0" w:tplc="74B6FB6A">
      <w:start w:val="1"/>
      <w:numFmt w:val="bullet"/>
      <w:lvlText w:val=""/>
      <w:lvlJc w:val="left"/>
      <w:pPr>
        <w:ind w:left="720" w:hanging="360"/>
      </w:pPr>
      <w:rPr>
        <w:rFonts w:ascii="Wingdings" w:hAnsi="Wingdings" w:hint="default"/>
        <w:sz w:val="16"/>
        <w:szCs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7BBF1BD5"/>
    <w:multiLevelType w:val="hybridMultilevel"/>
    <w:tmpl w:val="E2602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D97505"/>
    <w:multiLevelType w:val="hybridMultilevel"/>
    <w:tmpl w:val="0E727D72"/>
    <w:lvl w:ilvl="0" w:tplc="8E8AE5AE">
      <w:start w:val="1"/>
      <w:numFmt w:val="bullet"/>
      <w:lvlText w:val=""/>
      <w:lvlJc w:val="left"/>
      <w:pPr>
        <w:ind w:left="720" w:hanging="360"/>
      </w:pPr>
      <w:rPr>
        <w:rFonts w:ascii="Wingdings" w:hAnsi="Wingdings" w:hint="default"/>
        <w:sz w:val="16"/>
        <w:szCs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40"/>
  </w:num>
  <w:num w:numId="4">
    <w:abstractNumId w:val="7"/>
  </w:num>
  <w:num w:numId="5">
    <w:abstractNumId w:val="1"/>
  </w:num>
  <w:num w:numId="6">
    <w:abstractNumId w:val="14"/>
  </w:num>
  <w:num w:numId="7">
    <w:abstractNumId w:val="2"/>
  </w:num>
  <w:num w:numId="8">
    <w:abstractNumId w:val="27"/>
  </w:num>
  <w:num w:numId="9">
    <w:abstractNumId w:val="15"/>
  </w:num>
  <w:num w:numId="10">
    <w:abstractNumId w:val="9"/>
  </w:num>
  <w:num w:numId="11">
    <w:abstractNumId w:val="3"/>
  </w:num>
  <w:num w:numId="12">
    <w:abstractNumId w:val="13"/>
  </w:num>
  <w:num w:numId="13">
    <w:abstractNumId w:val="22"/>
  </w:num>
  <w:num w:numId="14">
    <w:abstractNumId w:val="20"/>
  </w:num>
  <w:num w:numId="15">
    <w:abstractNumId w:val="33"/>
  </w:num>
  <w:num w:numId="16">
    <w:abstractNumId w:val="5"/>
  </w:num>
  <w:num w:numId="17">
    <w:abstractNumId w:val="32"/>
  </w:num>
  <w:num w:numId="18">
    <w:abstractNumId w:val="11"/>
  </w:num>
  <w:num w:numId="19">
    <w:abstractNumId w:val="10"/>
  </w:num>
  <w:num w:numId="20">
    <w:abstractNumId w:val="12"/>
  </w:num>
  <w:num w:numId="21">
    <w:abstractNumId w:val="8"/>
  </w:num>
  <w:num w:numId="22">
    <w:abstractNumId w:val="21"/>
  </w:num>
  <w:num w:numId="23">
    <w:abstractNumId w:val="19"/>
  </w:num>
  <w:num w:numId="24">
    <w:abstractNumId w:val="16"/>
  </w:num>
  <w:num w:numId="25">
    <w:abstractNumId w:val="35"/>
  </w:num>
  <w:num w:numId="26">
    <w:abstractNumId w:val="17"/>
  </w:num>
  <w:num w:numId="27">
    <w:abstractNumId w:val="4"/>
  </w:num>
  <w:num w:numId="28">
    <w:abstractNumId w:val="26"/>
  </w:num>
  <w:num w:numId="29">
    <w:abstractNumId w:val="28"/>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23"/>
  </w:num>
  <w:num w:numId="35">
    <w:abstractNumId w:val="34"/>
  </w:num>
  <w:num w:numId="36">
    <w:abstractNumId w:val="41"/>
  </w:num>
  <w:num w:numId="37">
    <w:abstractNumId w:val="37"/>
  </w:num>
  <w:num w:numId="38">
    <w:abstractNumId w:val="31"/>
  </w:num>
  <w:num w:numId="39">
    <w:abstractNumId w:val="23"/>
  </w:num>
  <w:num w:numId="40">
    <w:abstractNumId w:val="31"/>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36"/>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efaultTabStop w:val="708"/>
  <w:hyphenationZone w:val="425"/>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794"/>
    <w:rsid w:val="00001578"/>
    <w:rsid w:val="000029A4"/>
    <w:rsid w:val="0000329B"/>
    <w:rsid w:val="0000385A"/>
    <w:rsid w:val="00004952"/>
    <w:rsid w:val="00004D7B"/>
    <w:rsid w:val="000104C3"/>
    <w:rsid w:val="000121ED"/>
    <w:rsid w:val="000123DB"/>
    <w:rsid w:val="00013496"/>
    <w:rsid w:val="000179DF"/>
    <w:rsid w:val="00024BB9"/>
    <w:rsid w:val="00027A47"/>
    <w:rsid w:val="00030823"/>
    <w:rsid w:val="00031120"/>
    <w:rsid w:val="00031A14"/>
    <w:rsid w:val="000518E0"/>
    <w:rsid w:val="00080311"/>
    <w:rsid w:val="00082BCD"/>
    <w:rsid w:val="000841C4"/>
    <w:rsid w:val="0008602C"/>
    <w:rsid w:val="000978A3"/>
    <w:rsid w:val="000A1BF9"/>
    <w:rsid w:val="000A59EB"/>
    <w:rsid w:val="000A5D66"/>
    <w:rsid w:val="000B03E3"/>
    <w:rsid w:val="000B3A39"/>
    <w:rsid w:val="000B7488"/>
    <w:rsid w:val="000B7CE7"/>
    <w:rsid w:val="000C315D"/>
    <w:rsid w:val="000C686F"/>
    <w:rsid w:val="000D2B28"/>
    <w:rsid w:val="000D46C5"/>
    <w:rsid w:val="000D5025"/>
    <w:rsid w:val="000E5C9F"/>
    <w:rsid w:val="000F0E6A"/>
    <w:rsid w:val="00100609"/>
    <w:rsid w:val="001062E5"/>
    <w:rsid w:val="00107743"/>
    <w:rsid w:val="00107E93"/>
    <w:rsid w:val="00111574"/>
    <w:rsid w:val="00114BB0"/>
    <w:rsid w:val="00130A15"/>
    <w:rsid w:val="001433F2"/>
    <w:rsid w:val="0014353B"/>
    <w:rsid w:val="001442E5"/>
    <w:rsid w:val="00145A94"/>
    <w:rsid w:val="00150344"/>
    <w:rsid w:val="001548BC"/>
    <w:rsid w:val="00162100"/>
    <w:rsid w:val="00164A24"/>
    <w:rsid w:val="00176BB7"/>
    <w:rsid w:val="00182E64"/>
    <w:rsid w:val="00183CB7"/>
    <w:rsid w:val="00187000"/>
    <w:rsid w:val="00194602"/>
    <w:rsid w:val="00195165"/>
    <w:rsid w:val="001A3B77"/>
    <w:rsid w:val="001B111B"/>
    <w:rsid w:val="001B562C"/>
    <w:rsid w:val="001C5960"/>
    <w:rsid w:val="001D589A"/>
    <w:rsid w:val="001D5FA2"/>
    <w:rsid w:val="001E3E1D"/>
    <w:rsid w:val="001E5C95"/>
    <w:rsid w:val="001E6545"/>
    <w:rsid w:val="001F02A8"/>
    <w:rsid w:val="001F2052"/>
    <w:rsid w:val="001F6862"/>
    <w:rsid w:val="0020258A"/>
    <w:rsid w:val="00202AE2"/>
    <w:rsid w:val="00205B64"/>
    <w:rsid w:val="00205F31"/>
    <w:rsid w:val="00215F73"/>
    <w:rsid w:val="00216066"/>
    <w:rsid w:val="002174CB"/>
    <w:rsid w:val="00222BFE"/>
    <w:rsid w:val="00223171"/>
    <w:rsid w:val="00227758"/>
    <w:rsid w:val="002412FC"/>
    <w:rsid w:val="00246DA9"/>
    <w:rsid w:val="00247E7E"/>
    <w:rsid w:val="00250A7B"/>
    <w:rsid w:val="00251CB0"/>
    <w:rsid w:val="002570E4"/>
    <w:rsid w:val="00262042"/>
    <w:rsid w:val="002623AE"/>
    <w:rsid w:val="002679B1"/>
    <w:rsid w:val="002750C6"/>
    <w:rsid w:val="00276D69"/>
    <w:rsid w:val="002873B1"/>
    <w:rsid w:val="00287DFC"/>
    <w:rsid w:val="00296003"/>
    <w:rsid w:val="0029720F"/>
    <w:rsid w:val="002B03DC"/>
    <w:rsid w:val="002C094B"/>
    <w:rsid w:val="002C24AC"/>
    <w:rsid w:val="002C5211"/>
    <w:rsid w:val="002D4056"/>
    <w:rsid w:val="002D632B"/>
    <w:rsid w:val="002D78D8"/>
    <w:rsid w:val="002D7ABB"/>
    <w:rsid w:val="002E3C97"/>
    <w:rsid w:val="002F087F"/>
    <w:rsid w:val="002F44A7"/>
    <w:rsid w:val="002F6087"/>
    <w:rsid w:val="002F6D6A"/>
    <w:rsid w:val="00300587"/>
    <w:rsid w:val="00304486"/>
    <w:rsid w:val="003170C1"/>
    <w:rsid w:val="003254CC"/>
    <w:rsid w:val="00332066"/>
    <w:rsid w:val="0033397D"/>
    <w:rsid w:val="003369BB"/>
    <w:rsid w:val="0034036A"/>
    <w:rsid w:val="00341D68"/>
    <w:rsid w:val="00344910"/>
    <w:rsid w:val="00351C66"/>
    <w:rsid w:val="00363782"/>
    <w:rsid w:val="00363C9A"/>
    <w:rsid w:val="003664A5"/>
    <w:rsid w:val="00373D53"/>
    <w:rsid w:val="00390A38"/>
    <w:rsid w:val="00394D64"/>
    <w:rsid w:val="00396205"/>
    <w:rsid w:val="003B2C3C"/>
    <w:rsid w:val="003C2EF9"/>
    <w:rsid w:val="003C3C25"/>
    <w:rsid w:val="003C5F5D"/>
    <w:rsid w:val="003D01AA"/>
    <w:rsid w:val="003D0944"/>
    <w:rsid w:val="003D18C7"/>
    <w:rsid w:val="003E2CD7"/>
    <w:rsid w:val="003E38DD"/>
    <w:rsid w:val="003E4758"/>
    <w:rsid w:val="00405BC3"/>
    <w:rsid w:val="00407C14"/>
    <w:rsid w:val="004161CB"/>
    <w:rsid w:val="00422D6F"/>
    <w:rsid w:val="00424298"/>
    <w:rsid w:val="00425B5A"/>
    <w:rsid w:val="00430C68"/>
    <w:rsid w:val="0043359C"/>
    <w:rsid w:val="0043414D"/>
    <w:rsid w:val="00437187"/>
    <w:rsid w:val="0044020B"/>
    <w:rsid w:val="0044131A"/>
    <w:rsid w:val="00444966"/>
    <w:rsid w:val="00445881"/>
    <w:rsid w:val="00446111"/>
    <w:rsid w:val="00446CDA"/>
    <w:rsid w:val="004518F9"/>
    <w:rsid w:val="0045473D"/>
    <w:rsid w:val="00457D76"/>
    <w:rsid w:val="004616BC"/>
    <w:rsid w:val="0046309F"/>
    <w:rsid w:val="00464100"/>
    <w:rsid w:val="0046781D"/>
    <w:rsid w:val="004721C2"/>
    <w:rsid w:val="00472EC3"/>
    <w:rsid w:val="00476BD0"/>
    <w:rsid w:val="00476E4B"/>
    <w:rsid w:val="00480C22"/>
    <w:rsid w:val="0048517C"/>
    <w:rsid w:val="004968C0"/>
    <w:rsid w:val="00497227"/>
    <w:rsid w:val="004B0E15"/>
    <w:rsid w:val="004B4B7F"/>
    <w:rsid w:val="004B76B6"/>
    <w:rsid w:val="004C156E"/>
    <w:rsid w:val="004C2090"/>
    <w:rsid w:val="004D0D5F"/>
    <w:rsid w:val="004D1693"/>
    <w:rsid w:val="004D291F"/>
    <w:rsid w:val="004D3BC6"/>
    <w:rsid w:val="004D5B83"/>
    <w:rsid w:val="004D7472"/>
    <w:rsid w:val="004D74B6"/>
    <w:rsid w:val="004E2788"/>
    <w:rsid w:val="004E43DB"/>
    <w:rsid w:val="004E4CFD"/>
    <w:rsid w:val="004E5FE0"/>
    <w:rsid w:val="004F41B5"/>
    <w:rsid w:val="00502BC1"/>
    <w:rsid w:val="00507C94"/>
    <w:rsid w:val="00521345"/>
    <w:rsid w:val="00523312"/>
    <w:rsid w:val="005271F9"/>
    <w:rsid w:val="00535EB5"/>
    <w:rsid w:val="005407F5"/>
    <w:rsid w:val="005411F5"/>
    <w:rsid w:val="00542F11"/>
    <w:rsid w:val="005509F4"/>
    <w:rsid w:val="00551F72"/>
    <w:rsid w:val="00556198"/>
    <w:rsid w:val="00562B2F"/>
    <w:rsid w:val="005806B2"/>
    <w:rsid w:val="00583960"/>
    <w:rsid w:val="00583DEB"/>
    <w:rsid w:val="005910A5"/>
    <w:rsid w:val="00592EF9"/>
    <w:rsid w:val="00593484"/>
    <w:rsid w:val="0059443E"/>
    <w:rsid w:val="00595A08"/>
    <w:rsid w:val="005A49A7"/>
    <w:rsid w:val="005A5604"/>
    <w:rsid w:val="005A61BB"/>
    <w:rsid w:val="005A6EE4"/>
    <w:rsid w:val="005B1C7F"/>
    <w:rsid w:val="005B534B"/>
    <w:rsid w:val="005C1309"/>
    <w:rsid w:val="005C7FF7"/>
    <w:rsid w:val="005D1A5C"/>
    <w:rsid w:val="005D764A"/>
    <w:rsid w:val="005E1F3A"/>
    <w:rsid w:val="005E6079"/>
    <w:rsid w:val="005F13B2"/>
    <w:rsid w:val="005F4241"/>
    <w:rsid w:val="006039A4"/>
    <w:rsid w:val="0060657C"/>
    <w:rsid w:val="00621CDD"/>
    <w:rsid w:val="006248D7"/>
    <w:rsid w:val="00625B76"/>
    <w:rsid w:val="0063029F"/>
    <w:rsid w:val="00634D67"/>
    <w:rsid w:val="00636421"/>
    <w:rsid w:val="0064091F"/>
    <w:rsid w:val="00642C56"/>
    <w:rsid w:val="00650ED6"/>
    <w:rsid w:val="006531E2"/>
    <w:rsid w:val="00654EAD"/>
    <w:rsid w:val="00655D9D"/>
    <w:rsid w:val="00663A1C"/>
    <w:rsid w:val="0067522C"/>
    <w:rsid w:val="006916B0"/>
    <w:rsid w:val="006A7FC8"/>
    <w:rsid w:val="006B0478"/>
    <w:rsid w:val="006B2A2E"/>
    <w:rsid w:val="006B69ED"/>
    <w:rsid w:val="006C2A74"/>
    <w:rsid w:val="006C2D0A"/>
    <w:rsid w:val="006C4435"/>
    <w:rsid w:val="006C75A0"/>
    <w:rsid w:val="006D3C6B"/>
    <w:rsid w:val="006E0DF1"/>
    <w:rsid w:val="006E2365"/>
    <w:rsid w:val="006E5CD1"/>
    <w:rsid w:val="006F4FE5"/>
    <w:rsid w:val="006F5894"/>
    <w:rsid w:val="006F6B42"/>
    <w:rsid w:val="00701AA3"/>
    <w:rsid w:val="00701DBF"/>
    <w:rsid w:val="00706DEE"/>
    <w:rsid w:val="00710E74"/>
    <w:rsid w:val="00712762"/>
    <w:rsid w:val="00721FD4"/>
    <w:rsid w:val="00723DF4"/>
    <w:rsid w:val="007277B8"/>
    <w:rsid w:val="00730868"/>
    <w:rsid w:val="00732F9D"/>
    <w:rsid w:val="00744169"/>
    <w:rsid w:val="00744E88"/>
    <w:rsid w:val="007508F7"/>
    <w:rsid w:val="007557D8"/>
    <w:rsid w:val="00766149"/>
    <w:rsid w:val="00773C29"/>
    <w:rsid w:val="007812DC"/>
    <w:rsid w:val="00791147"/>
    <w:rsid w:val="00792D49"/>
    <w:rsid w:val="00796479"/>
    <w:rsid w:val="00797DB9"/>
    <w:rsid w:val="00797E9D"/>
    <w:rsid w:val="007A0D44"/>
    <w:rsid w:val="007A60EE"/>
    <w:rsid w:val="007B0C18"/>
    <w:rsid w:val="007B0F4A"/>
    <w:rsid w:val="007B3E53"/>
    <w:rsid w:val="007C3AB3"/>
    <w:rsid w:val="007D2044"/>
    <w:rsid w:val="007D38DE"/>
    <w:rsid w:val="007D6472"/>
    <w:rsid w:val="007D705C"/>
    <w:rsid w:val="007F2CD1"/>
    <w:rsid w:val="007F2E54"/>
    <w:rsid w:val="007F65A1"/>
    <w:rsid w:val="00801E88"/>
    <w:rsid w:val="00802EC6"/>
    <w:rsid w:val="00820C1F"/>
    <w:rsid w:val="00836BFE"/>
    <w:rsid w:val="00845584"/>
    <w:rsid w:val="008500E4"/>
    <w:rsid w:val="0085115A"/>
    <w:rsid w:val="00852E67"/>
    <w:rsid w:val="008534EB"/>
    <w:rsid w:val="008574D8"/>
    <w:rsid w:val="0086320B"/>
    <w:rsid w:val="0086425D"/>
    <w:rsid w:val="00874323"/>
    <w:rsid w:val="008755A3"/>
    <w:rsid w:val="00876CED"/>
    <w:rsid w:val="00884F36"/>
    <w:rsid w:val="008854A3"/>
    <w:rsid w:val="008942C9"/>
    <w:rsid w:val="008955F8"/>
    <w:rsid w:val="008A2886"/>
    <w:rsid w:val="008B4AEF"/>
    <w:rsid w:val="008C6169"/>
    <w:rsid w:val="008D061A"/>
    <w:rsid w:val="008D1FE9"/>
    <w:rsid w:val="008E5D0A"/>
    <w:rsid w:val="008F4B8C"/>
    <w:rsid w:val="009028E6"/>
    <w:rsid w:val="009029D1"/>
    <w:rsid w:val="00903EB4"/>
    <w:rsid w:val="00910524"/>
    <w:rsid w:val="00911C17"/>
    <w:rsid w:val="00917CF6"/>
    <w:rsid w:val="00921133"/>
    <w:rsid w:val="00932CE7"/>
    <w:rsid w:val="00941FFF"/>
    <w:rsid w:val="00945D2C"/>
    <w:rsid w:val="009476BE"/>
    <w:rsid w:val="00947D94"/>
    <w:rsid w:val="00954A0E"/>
    <w:rsid w:val="00961D91"/>
    <w:rsid w:val="00962ED5"/>
    <w:rsid w:val="009638D1"/>
    <w:rsid w:val="00967905"/>
    <w:rsid w:val="00971746"/>
    <w:rsid w:val="009732D7"/>
    <w:rsid w:val="00980700"/>
    <w:rsid w:val="00981D5B"/>
    <w:rsid w:val="00982B46"/>
    <w:rsid w:val="00985EA5"/>
    <w:rsid w:val="0099346D"/>
    <w:rsid w:val="00995618"/>
    <w:rsid w:val="009A0ECA"/>
    <w:rsid w:val="009A5130"/>
    <w:rsid w:val="009A695D"/>
    <w:rsid w:val="009A7065"/>
    <w:rsid w:val="009A76F7"/>
    <w:rsid w:val="009A7AE6"/>
    <w:rsid w:val="009B063E"/>
    <w:rsid w:val="009B160E"/>
    <w:rsid w:val="009C3971"/>
    <w:rsid w:val="009C468F"/>
    <w:rsid w:val="009C6D8C"/>
    <w:rsid w:val="009E11E8"/>
    <w:rsid w:val="009E2A5B"/>
    <w:rsid w:val="009E321F"/>
    <w:rsid w:val="009F1C5F"/>
    <w:rsid w:val="009F57CB"/>
    <w:rsid w:val="00A006A3"/>
    <w:rsid w:val="00A25733"/>
    <w:rsid w:val="00A37BAD"/>
    <w:rsid w:val="00A53248"/>
    <w:rsid w:val="00A5432C"/>
    <w:rsid w:val="00A55D45"/>
    <w:rsid w:val="00A56465"/>
    <w:rsid w:val="00A63339"/>
    <w:rsid w:val="00A63CE1"/>
    <w:rsid w:val="00A65B54"/>
    <w:rsid w:val="00A66DCD"/>
    <w:rsid w:val="00A73465"/>
    <w:rsid w:val="00A741FA"/>
    <w:rsid w:val="00A84B1D"/>
    <w:rsid w:val="00A85A0D"/>
    <w:rsid w:val="00A90D95"/>
    <w:rsid w:val="00A95B8D"/>
    <w:rsid w:val="00AA015D"/>
    <w:rsid w:val="00AA0443"/>
    <w:rsid w:val="00AB498C"/>
    <w:rsid w:val="00AC3042"/>
    <w:rsid w:val="00AD6A72"/>
    <w:rsid w:val="00AE292D"/>
    <w:rsid w:val="00AE3779"/>
    <w:rsid w:val="00AE5C43"/>
    <w:rsid w:val="00AF29B8"/>
    <w:rsid w:val="00AF5127"/>
    <w:rsid w:val="00AF5F32"/>
    <w:rsid w:val="00AF7862"/>
    <w:rsid w:val="00B0200D"/>
    <w:rsid w:val="00B03E17"/>
    <w:rsid w:val="00B10647"/>
    <w:rsid w:val="00B1370C"/>
    <w:rsid w:val="00B162B1"/>
    <w:rsid w:val="00B21413"/>
    <w:rsid w:val="00B22666"/>
    <w:rsid w:val="00B23021"/>
    <w:rsid w:val="00B24EA8"/>
    <w:rsid w:val="00B2640F"/>
    <w:rsid w:val="00B27BAA"/>
    <w:rsid w:val="00B27CA1"/>
    <w:rsid w:val="00B27E8B"/>
    <w:rsid w:val="00B51794"/>
    <w:rsid w:val="00B528B8"/>
    <w:rsid w:val="00B601C7"/>
    <w:rsid w:val="00B61695"/>
    <w:rsid w:val="00B6521F"/>
    <w:rsid w:val="00B71554"/>
    <w:rsid w:val="00B77182"/>
    <w:rsid w:val="00B906C0"/>
    <w:rsid w:val="00B90867"/>
    <w:rsid w:val="00BA7267"/>
    <w:rsid w:val="00BB20EE"/>
    <w:rsid w:val="00BB702E"/>
    <w:rsid w:val="00BB737E"/>
    <w:rsid w:val="00BD1781"/>
    <w:rsid w:val="00BE546B"/>
    <w:rsid w:val="00BF154D"/>
    <w:rsid w:val="00BF39D8"/>
    <w:rsid w:val="00BF5150"/>
    <w:rsid w:val="00BF6A9C"/>
    <w:rsid w:val="00C00236"/>
    <w:rsid w:val="00C01D27"/>
    <w:rsid w:val="00C1188A"/>
    <w:rsid w:val="00C1363A"/>
    <w:rsid w:val="00C13E29"/>
    <w:rsid w:val="00C15C87"/>
    <w:rsid w:val="00C21962"/>
    <w:rsid w:val="00C27593"/>
    <w:rsid w:val="00C312A8"/>
    <w:rsid w:val="00C3465B"/>
    <w:rsid w:val="00C35DBB"/>
    <w:rsid w:val="00C421DA"/>
    <w:rsid w:val="00C42EC9"/>
    <w:rsid w:val="00C4339A"/>
    <w:rsid w:val="00C4595B"/>
    <w:rsid w:val="00C51673"/>
    <w:rsid w:val="00C51CCE"/>
    <w:rsid w:val="00C56110"/>
    <w:rsid w:val="00C565F3"/>
    <w:rsid w:val="00C6630D"/>
    <w:rsid w:val="00C7258B"/>
    <w:rsid w:val="00C75421"/>
    <w:rsid w:val="00C87C9F"/>
    <w:rsid w:val="00CA48C0"/>
    <w:rsid w:val="00CA5F39"/>
    <w:rsid w:val="00CA7D55"/>
    <w:rsid w:val="00CB0677"/>
    <w:rsid w:val="00CB4875"/>
    <w:rsid w:val="00CB6573"/>
    <w:rsid w:val="00CD7454"/>
    <w:rsid w:val="00CE1E3D"/>
    <w:rsid w:val="00CF2797"/>
    <w:rsid w:val="00CF3790"/>
    <w:rsid w:val="00D03CD4"/>
    <w:rsid w:val="00D074C7"/>
    <w:rsid w:val="00D15FA4"/>
    <w:rsid w:val="00D21459"/>
    <w:rsid w:val="00D2669C"/>
    <w:rsid w:val="00D26E85"/>
    <w:rsid w:val="00D35A41"/>
    <w:rsid w:val="00D35C4F"/>
    <w:rsid w:val="00D37CC1"/>
    <w:rsid w:val="00D42E78"/>
    <w:rsid w:val="00D53308"/>
    <w:rsid w:val="00D533BD"/>
    <w:rsid w:val="00D53C7F"/>
    <w:rsid w:val="00D5524B"/>
    <w:rsid w:val="00D60A08"/>
    <w:rsid w:val="00D60BAE"/>
    <w:rsid w:val="00D60D84"/>
    <w:rsid w:val="00D65CF7"/>
    <w:rsid w:val="00D70F6F"/>
    <w:rsid w:val="00D77B67"/>
    <w:rsid w:val="00D80DF6"/>
    <w:rsid w:val="00D81FA5"/>
    <w:rsid w:val="00D82222"/>
    <w:rsid w:val="00D82915"/>
    <w:rsid w:val="00D8440C"/>
    <w:rsid w:val="00D86674"/>
    <w:rsid w:val="00D913C1"/>
    <w:rsid w:val="00D93779"/>
    <w:rsid w:val="00D95181"/>
    <w:rsid w:val="00D97FCF"/>
    <w:rsid w:val="00DA1F96"/>
    <w:rsid w:val="00DA4311"/>
    <w:rsid w:val="00DA480C"/>
    <w:rsid w:val="00DB165D"/>
    <w:rsid w:val="00DB251C"/>
    <w:rsid w:val="00DD06F3"/>
    <w:rsid w:val="00DD0E84"/>
    <w:rsid w:val="00DD1AE7"/>
    <w:rsid w:val="00DD4861"/>
    <w:rsid w:val="00DE1797"/>
    <w:rsid w:val="00DE21DC"/>
    <w:rsid w:val="00DE2285"/>
    <w:rsid w:val="00DE3F0D"/>
    <w:rsid w:val="00DF29E2"/>
    <w:rsid w:val="00DF36E4"/>
    <w:rsid w:val="00DF6EAF"/>
    <w:rsid w:val="00E10AE2"/>
    <w:rsid w:val="00E203A9"/>
    <w:rsid w:val="00E214B8"/>
    <w:rsid w:val="00E26C1B"/>
    <w:rsid w:val="00E3086A"/>
    <w:rsid w:val="00E33343"/>
    <w:rsid w:val="00E37546"/>
    <w:rsid w:val="00E444C5"/>
    <w:rsid w:val="00E47322"/>
    <w:rsid w:val="00E5134E"/>
    <w:rsid w:val="00E85906"/>
    <w:rsid w:val="00E85966"/>
    <w:rsid w:val="00E874AF"/>
    <w:rsid w:val="00E91C55"/>
    <w:rsid w:val="00EA6A50"/>
    <w:rsid w:val="00EC7D1F"/>
    <w:rsid w:val="00ED2B10"/>
    <w:rsid w:val="00ED7CE1"/>
    <w:rsid w:val="00EE21B3"/>
    <w:rsid w:val="00EE63DB"/>
    <w:rsid w:val="00EF014D"/>
    <w:rsid w:val="00EF6F31"/>
    <w:rsid w:val="00EF7097"/>
    <w:rsid w:val="00F10C87"/>
    <w:rsid w:val="00F144FF"/>
    <w:rsid w:val="00F1474E"/>
    <w:rsid w:val="00F2639C"/>
    <w:rsid w:val="00F2714C"/>
    <w:rsid w:val="00F27A05"/>
    <w:rsid w:val="00F346F1"/>
    <w:rsid w:val="00F35BE6"/>
    <w:rsid w:val="00F40A02"/>
    <w:rsid w:val="00F45D05"/>
    <w:rsid w:val="00F54A1C"/>
    <w:rsid w:val="00F56BF7"/>
    <w:rsid w:val="00F67C4D"/>
    <w:rsid w:val="00F7209A"/>
    <w:rsid w:val="00F72F44"/>
    <w:rsid w:val="00F8769C"/>
    <w:rsid w:val="00F87FF7"/>
    <w:rsid w:val="00FA2C87"/>
    <w:rsid w:val="00FA3DC6"/>
    <w:rsid w:val="00FA4A56"/>
    <w:rsid w:val="00FA6245"/>
    <w:rsid w:val="00FB216F"/>
    <w:rsid w:val="00FB5882"/>
    <w:rsid w:val="00FB70FF"/>
    <w:rsid w:val="00FC30E9"/>
    <w:rsid w:val="00FD4069"/>
    <w:rsid w:val="00FD6F57"/>
    <w:rsid w:val="00FE02D1"/>
    <w:rsid w:val="00FE31B3"/>
    <w:rsid w:val="00FF10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48FE46E"/>
  <w15:chartTrackingRefBased/>
  <w15:docId w15:val="{08598020-8E3B-4A70-B3C8-5C9A7C5C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005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F346F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next w:val="Normal"/>
    <w:link w:val="Titre4Car"/>
    <w:uiPriority w:val="9"/>
    <w:unhideWhenUsed/>
    <w:qFormat/>
    <w:rsid w:val="003005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32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74AF"/>
    <w:pPr>
      <w:overflowPunct w:val="0"/>
      <w:autoSpaceDE w:val="0"/>
      <w:autoSpaceDN w:val="0"/>
      <w:adjustRightInd w:val="0"/>
      <w:spacing w:after="0" w:line="240" w:lineRule="auto"/>
      <w:ind w:left="720"/>
      <w:contextualSpacing/>
      <w:textAlignment w:val="baseline"/>
    </w:pPr>
    <w:rPr>
      <w:rFonts w:ascii="Univers" w:eastAsia="Times New Roman" w:hAnsi="Univers" w:cs="Arial"/>
      <w:sz w:val="20"/>
      <w:szCs w:val="20"/>
      <w:lang w:eastAsia="fr-FR"/>
    </w:rPr>
  </w:style>
  <w:style w:type="character" w:styleId="Accentuation">
    <w:name w:val="Emphasis"/>
    <w:basedOn w:val="Policepardfaut"/>
    <w:uiPriority w:val="20"/>
    <w:qFormat/>
    <w:rsid w:val="0000385A"/>
    <w:rPr>
      <w:b/>
      <w:bCs/>
      <w:i w:val="0"/>
      <w:iCs w:val="0"/>
    </w:rPr>
  </w:style>
  <w:style w:type="character" w:customStyle="1" w:styleId="st1">
    <w:name w:val="st1"/>
    <w:basedOn w:val="Policepardfaut"/>
    <w:rsid w:val="0000385A"/>
  </w:style>
  <w:style w:type="paragraph" w:styleId="En-tte">
    <w:name w:val="header"/>
    <w:basedOn w:val="Normal"/>
    <w:link w:val="En-tteCar"/>
    <w:uiPriority w:val="99"/>
    <w:unhideWhenUsed/>
    <w:rsid w:val="003D01AA"/>
    <w:pPr>
      <w:tabs>
        <w:tab w:val="center" w:pos="4536"/>
        <w:tab w:val="right" w:pos="9072"/>
      </w:tabs>
      <w:spacing w:after="0" w:line="240" w:lineRule="auto"/>
    </w:pPr>
    <w:rPr>
      <w:rFonts w:ascii="Calibri" w:hAnsi="Calibri" w:cs="Times New Roman"/>
    </w:rPr>
  </w:style>
  <w:style w:type="character" w:customStyle="1" w:styleId="En-tteCar">
    <w:name w:val="En-tête Car"/>
    <w:basedOn w:val="Policepardfaut"/>
    <w:link w:val="En-tte"/>
    <w:uiPriority w:val="99"/>
    <w:rsid w:val="003D01AA"/>
    <w:rPr>
      <w:rFonts w:ascii="Calibri" w:hAnsi="Calibri" w:cs="Times New Roman"/>
    </w:rPr>
  </w:style>
  <w:style w:type="paragraph" w:styleId="Pieddepage">
    <w:name w:val="footer"/>
    <w:basedOn w:val="Normal"/>
    <w:link w:val="PieddepageCar"/>
    <w:uiPriority w:val="99"/>
    <w:unhideWhenUsed/>
    <w:rsid w:val="002570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70E4"/>
  </w:style>
  <w:style w:type="paragraph" w:styleId="Textedebulles">
    <w:name w:val="Balloon Text"/>
    <w:basedOn w:val="Normal"/>
    <w:link w:val="TextedebullesCar"/>
    <w:uiPriority w:val="99"/>
    <w:semiHidden/>
    <w:unhideWhenUsed/>
    <w:rsid w:val="00E8590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5906"/>
    <w:rPr>
      <w:rFonts w:ascii="Segoe UI" w:hAnsi="Segoe UI" w:cs="Segoe UI"/>
      <w:sz w:val="18"/>
      <w:szCs w:val="18"/>
    </w:rPr>
  </w:style>
  <w:style w:type="paragraph" w:customStyle="1" w:styleId="Titre10">
    <w:name w:val="Titre1"/>
    <w:basedOn w:val="Normal"/>
    <w:rsid w:val="006248D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F346F1"/>
    <w:rPr>
      <w:rFonts w:ascii="Times New Roman" w:eastAsia="Times New Roman" w:hAnsi="Times New Roman" w:cs="Times New Roman"/>
      <w:b/>
      <w:bCs/>
      <w:sz w:val="36"/>
      <w:szCs w:val="36"/>
      <w:lang w:eastAsia="fr-FR"/>
    </w:rPr>
  </w:style>
  <w:style w:type="paragraph" w:styleId="Notedebasdepage">
    <w:name w:val="footnote text"/>
    <w:basedOn w:val="Normal"/>
    <w:link w:val="NotedebasdepageCar"/>
    <w:uiPriority w:val="99"/>
    <w:unhideWhenUsed/>
    <w:rsid w:val="00962ED5"/>
    <w:pPr>
      <w:spacing w:after="0" w:line="240" w:lineRule="auto"/>
    </w:pPr>
    <w:rPr>
      <w:sz w:val="20"/>
      <w:szCs w:val="20"/>
    </w:rPr>
  </w:style>
  <w:style w:type="character" w:customStyle="1" w:styleId="NotedebasdepageCar">
    <w:name w:val="Note de bas de page Car"/>
    <w:basedOn w:val="Policepardfaut"/>
    <w:link w:val="Notedebasdepage"/>
    <w:uiPriority w:val="99"/>
    <w:rsid w:val="00962ED5"/>
    <w:rPr>
      <w:sz w:val="20"/>
      <w:szCs w:val="20"/>
    </w:rPr>
  </w:style>
  <w:style w:type="character" w:styleId="Appelnotedebasdep">
    <w:name w:val="footnote reference"/>
    <w:basedOn w:val="Policepardfaut"/>
    <w:uiPriority w:val="99"/>
    <w:semiHidden/>
    <w:unhideWhenUsed/>
    <w:rsid w:val="00962ED5"/>
    <w:rPr>
      <w:vertAlign w:val="superscript"/>
    </w:rPr>
  </w:style>
  <w:style w:type="character" w:styleId="Lienhypertexte">
    <w:name w:val="Hyperlink"/>
    <w:basedOn w:val="Policepardfaut"/>
    <w:uiPriority w:val="99"/>
    <w:unhideWhenUsed/>
    <w:rsid w:val="00B601C7"/>
    <w:rPr>
      <w:color w:val="0563C1" w:themeColor="hyperlink"/>
      <w:u w:val="single"/>
    </w:rPr>
  </w:style>
  <w:style w:type="paragraph" w:styleId="Sansinterligne">
    <w:name w:val="No Spacing"/>
    <w:uiPriority w:val="1"/>
    <w:qFormat/>
    <w:rsid w:val="00B601C7"/>
    <w:pPr>
      <w:spacing w:after="0" w:line="240" w:lineRule="auto"/>
    </w:pPr>
  </w:style>
  <w:style w:type="table" w:styleId="TableauGrille1Clair">
    <w:name w:val="Grid Table 1 Light"/>
    <w:basedOn w:val="TableauNormal"/>
    <w:uiPriority w:val="46"/>
    <w:rsid w:val="00C15C87"/>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GICAT-Style3">
    <w:name w:val="GICAT-Style3"/>
    <w:basedOn w:val="Normal"/>
    <w:next w:val="Normal"/>
    <w:autoRedefine/>
    <w:qFormat/>
    <w:rsid w:val="005C7FF7"/>
    <w:pPr>
      <w:tabs>
        <w:tab w:val="left" w:pos="851"/>
      </w:tabs>
      <w:spacing w:after="0" w:line="276" w:lineRule="auto"/>
      <w:jc w:val="both"/>
    </w:pPr>
    <w:rPr>
      <w:rFonts w:ascii="Times New Roman" w:eastAsia="Times New Roman" w:hAnsi="Times New Roman" w:cs="Times New Roman"/>
      <w:b/>
      <w:sz w:val="24"/>
      <w:szCs w:val="24"/>
      <w:lang w:eastAsia="fr-FR"/>
    </w:rPr>
  </w:style>
  <w:style w:type="character" w:customStyle="1" w:styleId="Titre1Car">
    <w:name w:val="Titre 1 Car"/>
    <w:basedOn w:val="Policepardfaut"/>
    <w:link w:val="Titre1"/>
    <w:uiPriority w:val="9"/>
    <w:rsid w:val="00300587"/>
    <w:rPr>
      <w:rFonts w:asciiTheme="majorHAnsi" w:eastAsiaTheme="majorEastAsia" w:hAnsiTheme="majorHAnsi" w:cstheme="majorBidi"/>
      <w:color w:val="2E74B5" w:themeColor="accent1" w:themeShade="BF"/>
      <w:sz w:val="32"/>
      <w:szCs w:val="32"/>
    </w:rPr>
  </w:style>
  <w:style w:type="character" w:customStyle="1" w:styleId="Titre4Car">
    <w:name w:val="Titre 4 Car"/>
    <w:basedOn w:val="Policepardfaut"/>
    <w:link w:val="Titre4"/>
    <w:uiPriority w:val="9"/>
    <w:rsid w:val="0030058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3317">
      <w:bodyDiv w:val="1"/>
      <w:marLeft w:val="0"/>
      <w:marRight w:val="0"/>
      <w:marTop w:val="0"/>
      <w:marBottom w:val="0"/>
      <w:divBdr>
        <w:top w:val="none" w:sz="0" w:space="0" w:color="auto"/>
        <w:left w:val="none" w:sz="0" w:space="0" w:color="auto"/>
        <w:bottom w:val="none" w:sz="0" w:space="0" w:color="auto"/>
        <w:right w:val="none" w:sz="0" w:space="0" w:color="auto"/>
      </w:divBdr>
    </w:div>
    <w:div w:id="367296102">
      <w:bodyDiv w:val="1"/>
      <w:marLeft w:val="0"/>
      <w:marRight w:val="0"/>
      <w:marTop w:val="0"/>
      <w:marBottom w:val="0"/>
      <w:divBdr>
        <w:top w:val="none" w:sz="0" w:space="0" w:color="auto"/>
        <w:left w:val="none" w:sz="0" w:space="0" w:color="auto"/>
        <w:bottom w:val="none" w:sz="0" w:space="0" w:color="auto"/>
        <w:right w:val="none" w:sz="0" w:space="0" w:color="auto"/>
      </w:divBdr>
    </w:div>
    <w:div w:id="412288148">
      <w:bodyDiv w:val="1"/>
      <w:marLeft w:val="0"/>
      <w:marRight w:val="0"/>
      <w:marTop w:val="0"/>
      <w:marBottom w:val="0"/>
      <w:divBdr>
        <w:top w:val="none" w:sz="0" w:space="0" w:color="auto"/>
        <w:left w:val="none" w:sz="0" w:space="0" w:color="auto"/>
        <w:bottom w:val="none" w:sz="0" w:space="0" w:color="auto"/>
        <w:right w:val="none" w:sz="0" w:space="0" w:color="auto"/>
      </w:divBdr>
    </w:div>
    <w:div w:id="536165311">
      <w:bodyDiv w:val="1"/>
      <w:marLeft w:val="0"/>
      <w:marRight w:val="0"/>
      <w:marTop w:val="0"/>
      <w:marBottom w:val="0"/>
      <w:divBdr>
        <w:top w:val="none" w:sz="0" w:space="0" w:color="auto"/>
        <w:left w:val="none" w:sz="0" w:space="0" w:color="auto"/>
        <w:bottom w:val="none" w:sz="0" w:space="0" w:color="auto"/>
        <w:right w:val="none" w:sz="0" w:space="0" w:color="auto"/>
      </w:divBdr>
    </w:div>
    <w:div w:id="589196750">
      <w:bodyDiv w:val="1"/>
      <w:marLeft w:val="0"/>
      <w:marRight w:val="0"/>
      <w:marTop w:val="0"/>
      <w:marBottom w:val="0"/>
      <w:divBdr>
        <w:top w:val="none" w:sz="0" w:space="0" w:color="auto"/>
        <w:left w:val="none" w:sz="0" w:space="0" w:color="auto"/>
        <w:bottom w:val="none" w:sz="0" w:space="0" w:color="auto"/>
        <w:right w:val="none" w:sz="0" w:space="0" w:color="auto"/>
      </w:divBdr>
    </w:div>
    <w:div w:id="716664829">
      <w:bodyDiv w:val="1"/>
      <w:marLeft w:val="0"/>
      <w:marRight w:val="0"/>
      <w:marTop w:val="0"/>
      <w:marBottom w:val="0"/>
      <w:divBdr>
        <w:top w:val="none" w:sz="0" w:space="0" w:color="auto"/>
        <w:left w:val="none" w:sz="0" w:space="0" w:color="auto"/>
        <w:bottom w:val="none" w:sz="0" w:space="0" w:color="auto"/>
        <w:right w:val="none" w:sz="0" w:space="0" w:color="auto"/>
      </w:divBdr>
      <w:divsChild>
        <w:div w:id="371685766">
          <w:marLeft w:val="0"/>
          <w:marRight w:val="0"/>
          <w:marTop w:val="750"/>
          <w:marBottom w:val="150"/>
          <w:divBdr>
            <w:top w:val="none" w:sz="0" w:space="0" w:color="auto"/>
            <w:left w:val="none" w:sz="0" w:space="0" w:color="auto"/>
            <w:bottom w:val="none" w:sz="0" w:space="0" w:color="auto"/>
            <w:right w:val="none" w:sz="0" w:space="0" w:color="auto"/>
          </w:divBdr>
          <w:divsChild>
            <w:div w:id="688875087">
              <w:marLeft w:val="0"/>
              <w:marRight w:val="0"/>
              <w:marTop w:val="0"/>
              <w:marBottom w:val="0"/>
              <w:divBdr>
                <w:top w:val="none" w:sz="0" w:space="0" w:color="auto"/>
                <w:left w:val="none" w:sz="0" w:space="0" w:color="auto"/>
                <w:bottom w:val="none" w:sz="0" w:space="0" w:color="auto"/>
                <w:right w:val="none" w:sz="0" w:space="0" w:color="auto"/>
              </w:divBdr>
              <w:divsChild>
                <w:div w:id="696001469">
                  <w:marLeft w:val="0"/>
                  <w:marRight w:val="0"/>
                  <w:marTop w:val="0"/>
                  <w:marBottom w:val="0"/>
                  <w:divBdr>
                    <w:top w:val="none" w:sz="0" w:space="0" w:color="auto"/>
                    <w:left w:val="none" w:sz="0" w:space="0" w:color="auto"/>
                    <w:bottom w:val="none" w:sz="0" w:space="0" w:color="auto"/>
                    <w:right w:val="none" w:sz="0" w:space="0" w:color="auto"/>
                  </w:divBdr>
                  <w:divsChild>
                    <w:div w:id="1954553636">
                      <w:marLeft w:val="0"/>
                      <w:marRight w:val="0"/>
                      <w:marTop w:val="0"/>
                      <w:marBottom w:val="0"/>
                      <w:divBdr>
                        <w:top w:val="none" w:sz="0" w:space="0" w:color="auto"/>
                        <w:left w:val="none" w:sz="0" w:space="0" w:color="auto"/>
                        <w:bottom w:val="none" w:sz="0" w:space="0" w:color="auto"/>
                        <w:right w:val="none" w:sz="0" w:space="0" w:color="auto"/>
                      </w:divBdr>
                      <w:divsChild>
                        <w:div w:id="1818180688">
                          <w:marLeft w:val="0"/>
                          <w:marRight w:val="0"/>
                          <w:marTop w:val="0"/>
                          <w:marBottom w:val="0"/>
                          <w:divBdr>
                            <w:top w:val="none" w:sz="0" w:space="0" w:color="auto"/>
                            <w:left w:val="none" w:sz="0" w:space="0" w:color="auto"/>
                            <w:bottom w:val="none" w:sz="0" w:space="0" w:color="auto"/>
                            <w:right w:val="none" w:sz="0" w:space="0" w:color="auto"/>
                          </w:divBdr>
                          <w:divsChild>
                            <w:div w:id="1190099312">
                              <w:marLeft w:val="0"/>
                              <w:marRight w:val="0"/>
                              <w:marTop w:val="0"/>
                              <w:marBottom w:val="150"/>
                              <w:divBdr>
                                <w:top w:val="none" w:sz="0" w:space="0" w:color="auto"/>
                                <w:left w:val="none" w:sz="0" w:space="0" w:color="auto"/>
                                <w:bottom w:val="none" w:sz="0" w:space="0" w:color="auto"/>
                                <w:right w:val="none" w:sz="0" w:space="0" w:color="auto"/>
                              </w:divBdr>
                              <w:divsChild>
                                <w:div w:id="948898181">
                                  <w:marLeft w:val="0"/>
                                  <w:marRight w:val="0"/>
                                  <w:marTop w:val="0"/>
                                  <w:marBottom w:val="0"/>
                                  <w:divBdr>
                                    <w:top w:val="none" w:sz="0" w:space="0" w:color="auto"/>
                                    <w:left w:val="none" w:sz="0" w:space="0" w:color="auto"/>
                                    <w:bottom w:val="none" w:sz="0" w:space="0" w:color="auto"/>
                                    <w:right w:val="none" w:sz="0" w:space="0" w:color="auto"/>
                                  </w:divBdr>
                                  <w:divsChild>
                                    <w:div w:id="995187373">
                                      <w:marLeft w:val="0"/>
                                      <w:marRight w:val="0"/>
                                      <w:marTop w:val="0"/>
                                      <w:marBottom w:val="0"/>
                                      <w:divBdr>
                                        <w:top w:val="none" w:sz="0" w:space="0" w:color="auto"/>
                                        <w:left w:val="none" w:sz="0" w:space="0" w:color="auto"/>
                                        <w:bottom w:val="none" w:sz="0" w:space="0" w:color="auto"/>
                                        <w:right w:val="none" w:sz="0" w:space="0" w:color="auto"/>
                                      </w:divBdr>
                                      <w:divsChild>
                                        <w:div w:id="549339239">
                                          <w:marLeft w:val="0"/>
                                          <w:marRight w:val="0"/>
                                          <w:marTop w:val="0"/>
                                          <w:marBottom w:val="0"/>
                                          <w:divBdr>
                                            <w:top w:val="none" w:sz="0" w:space="0" w:color="auto"/>
                                            <w:left w:val="none" w:sz="0" w:space="0" w:color="auto"/>
                                            <w:bottom w:val="none" w:sz="0" w:space="0" w:color="auto"/>
                                            <w:right w:val="none" w:sz="0" w:space="0" w:color="auto"/>
                                          </w:divBdr>
                                          <w:divsChild>
                                            <w:div w:id="869805690">
                                              <w:marLeft w:val="0"/>
                                              <w:marRight w:val="0"/>
                                              <w:marTop w:val="0"/>
                                              <w:marBottom w:val="0"/>
                                              <w:divBdr>
                                                <w:top w:val="none" w:sz="0" w:space="0" w:color="auto"/>
                                                <w:left w:val="none" w:sz="0" w:space="0" w:color="auto"/>
                                                <w:bottom w:val="none" w:sz="0" w:space="0" w:color="auto"/>
                                                <w:right w:val="none" w:sz="0" w:space="0" w:color="auto"/>
                                              </w:divBdr>
                                              <w:divsChild>
                                                <w:div w:id="905336642">
                                                  <w:marLeft w:val="0"/>
                                                  <w:marRight w:val="0"/>
                                                  <w:marTop w:val="0"/>
                                                  <w:marBottom w:val="0"/>
                                                  <w:divBdr>
                                                    <w:top w:val="none" w:sz="0" w:space="0" w:color="auto"/>
                                                    <w:left w:val="none" w:sz="0" w:space="0" w:color="auto"/>
                                                    <w:bottom w:val="none" w:sz="0" w:space="0" w:color="auto"/>
                                                    <w:right w:val="none" w:sz="0" w:space="0" w:color="auto"/>
                                                  </w:divBdr>
                                                  <w:divsChild>
                                                    <w:div w:id="1133527159">
                                                      <w:marLeft w:val="0"/>
                                                      <w:marRight w:val="0"/>
                                                      <w:marTop w:val="0"/>
                                                      <w:marBottom w:val="0"/>
                                                      <w:divBdr>
                                                        <w:top w:val="none" w:sz="0" w:space="0" w:color="auto"/>
                                                        <w:left w:val="none" w:sz="0" w:space="0" w:color="auto"/>
                                                        <w:bottom w:val="none" w:sz="0" w:space="0" w:color="auto"/>
                                                        <w:right w:val="none" w:sz="0" w:space="0" w:color="auto"/>
                                                      </w:divBdr>
                                                      <w:divsChild>
                                                        <w:div w:id="7802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937406">
      <w:bodyDiv w:val="1"/>
      <w:marLeft w:val="0"/>
      <w:marRight w:val="0"/>
      <w:marTop w:val="0"/>
      <w:marBottom w:val="0"/>
      <w:divBdr>
        <w:top w:val="none" w:sz="0" w:space="0" w:color="auto"/>
        <w:left w:val="none" w:sz="0" w:space="0" w:color="auto"/>
        <w:bottom w:val="none" w:sz="0" w:space="0" w:color="auto"/>
        <w:right w:val="none" w:sz="0" w:space="0" w:color="auto"/>
      </w:divBdr>
    </w:div>
    <w:div w:id="1323895551">
      <w:bodyDiv w:val="1"/>
      <w:marLeft w:val="0"/>
      <w:marRight w:val="0"/>
      <w:marTop w:val="0"/>
      <w:marBottom w:val="0"/>
      <w:divBdr>
        <w:top w:val="none" w:sz="0" w:space="0" w:color="auto"/>
        <w:left w:val="none" w:sz="0" w:space="0" w:color="auto"/>
        <w:bottom w:val="none" w:sz="0" w:space="0" w:color="auto"/>
        <w:right w:val="none" w:sz="0" w:space="0" w:color="auto"/>
      </w:divBdr>
    </w:div>
    <w:div w:id="1437480754">
      <w:bodyDiv w:val="1"/>
      <w:marLeft w:val="0"/>
      <w:marRight w:val="0"/>
      <w:marTop w:val="0"/>
      <w:marBottom w:val="0"/>
      <w:divBdr>
        <w:top w:val="none" w:sz="0" w:space="0" w:color="auto"/>
        <w:left w:val="none" w:sz="0" w:space="0" w:color="auto"/>
        <w:bottom w:val="none" w:sz="0" w:space="0" w:color="auto"/>
        <w:right w:val="none" w:sz="0" w:space="0" w:color="auto"/>
      </w:divBdr>
    </w:div>
    <w:div w:id="1504737480">
      <w:bodyDiv w:val="1"/>
      <w:marLeft w:val="0"/>
      <w:marRight w:val="0"/>
      <w:marTop w:val="0"/>
      <w:marBottom w:val="0"/>
      <w:divBdr>
        <w:top w:val="none" w:sz="0" w:space="0" w:color="auto"/>
        <w:left w:val="none" w:sz="0" w:space="0" w:color="auto"/>
        <w:bottom w:val="none" w:sz="0" w:space="0" w:color="auto"/>
        <w:right w:val="none" w:sz="0" w:space="0" w:color="auto"/>
      </w:divBdr>
      <w:divsChild>
        <w:div w:id="1206024873">
          <w:marLeft w:val="0"/>
          <w:marRight w:val="0"/>
          <w:marTop w:val="0"/>
          <w:marBottom w:val="0"/>
          <w:divBdr>
            <w:top w:val="none" w:sz="0" w:space="0" w:color="auto"/>
            <w:left w:val="none" w:sz="0" w:space="0" w:color="auto"/>
            <w:bottom w:val="none" w:sz="0" w:space="0" w:color="auto"/>
            <w:right w:val="none" w:sz="0" w:space="0" w:color="auto"/>
          </w:divBdr>
          <w:divsChild>
            <w:div w:id="1726295946">
              <w:marLeft w:val="0"/>
              <w:marRight w:val="0"/>
              <w:marTop w:val="0"/>
              <w:marBottom w:val="0"/>
              <w:divBdr>
                <w:top w:val="none" w:sz="0" w:space="0" w:color="auto"/>
                <w:left w:val="none" w:sz="0" w:space="0" w:color="auto"/>
                <w:bottom w:val="none" w:sz="0" w:space="0" w:color="auto"/>
                <w:right w:val="none" w:sz="0" w:space="0" w:color="auto"/>
              </w:divBdr>
              <w:divsChild>
                <w:div w:id="18965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0686">
      <w:bodyDiv w:val="1"/>
      <w:marLeft w:val="0"/>
      <w:marRight w:val="0"/>
      <w:marTop w:val="0"/>
      <w:marBottom w:val="0"/>
      <w:divBdr>
        <w:top w:val="none" w:sz="0" w:space="0" w:color="auto"/>
        <w:left w:val="none" w:sz="0" w:space="0" w:color="auto"/>
        <w:bottom w:val="none" w:sz="0" w:space="0" w:color="auto"/>
        <w:right w:val="none" w:sz="0" w:space="0" w:color="auto"/>
      </w:divBdr>
    </w:div>
    <w:div w:id="1780566315">
      <w:bodyDiv w:val="1"/>
      <w:marLeft w:val="0"/>
      <w:marRight w:val="0"/>
      <w:marTop w:val="0"/>
      <w:marBottom w:val="0"/>
      <w:divBdr>
        <w:top w:val="none" w:sz="0" w:space="0" w:color="auto"/>
        <w:left w:val="none" w:sz="0" w:space="0" w:color="auto"/>
        <w:bottom w:val="none" w:sz="0" w:space="0" w:color="auto"/>
        <w:right w:val="none" w:sz="0" w:space="0" w:color="auto"/>
      </w:divBdr>
    </w:div>
    <w:div w:id="2062289458">
      <w:bodyDiv w:val="1"/>
      <w:marLeft w:val="0"/>
      <w:marRight w:val="0"/>
      <w:marTop w:val="0"/>
      <w:marBottom w:val="0"/>
      <w:divBdr>
        <w:top w:val="none" w:sz="0" w:space="0" w:color="auto"/>
        <w:left w:val="none" w:sz="0" w:space="0" w:color="auto"/>
        <w:bottom w:val="none" w:sz="0" w:space="0" w:color="auto"/>
        <w:right w:val="none" w:sz="0" w:space="0" w:color="auto"/>
      </w:divBdr>
      <w:divsChild>
        <w:div w:id="1895776474">
          <w:marLeft w:val="0"/>
          <w:marRight w:val="0"/>
          <w:marTop w:val="0"/>
          <w:marBottom w:val="0"/>
          <w:divBdr>
            <w:top w:val="none" w:sz="0" w:space="0" w:color="auto"/>
            <w:left w:val="none" w:sz="0" w:space="0" w:color="auto"/>
            <w:bottom w:val="none" w:sz="0" w:space="0" w:color="auto"/>
            <w:right w:val="none" w:sz="0" w:space="0" w:color="auto"/>
          </w:divBdr>
          <w:divsChild>
            <w:div w:id="363872503">
              <w:marLeft w:val="0"/>
              <w:marRight w:val="0"/>
              <w:marTop w:val="0"/>
              <w:marBottom w:val="0"/>
              <w:divBdr>
                <w:top w:val="none" w:sz="0" w:space="0" w:color="auto"/>
                <w:left w:val="none" w:sz="0" w:space="0" w:color="auto"/>
                <w:bottom w:val="none" w:sz="0" w:space="0" w:color="auto"/>
                <w:right w:val="none" w:sz="0" w:space="0" w:color="auto"/>
              </w:divBdr>
              <w:divsChild>
                <w:div w:id="1796361422">
                  <w:marLeft w:val="0"/>
                  <w:marRight w:val="0"/>
                  <w:marTop w:val="0"/>
                  <w:marBottom w:val="0"/>
                  <w:divBdr>
                    <w:top w:val="none" w:sz="0" w:space="0" w:color="auto"/>
                    <w:left w:val="none" w:sz="0" w:space="0" w:color="auto"/>
                    <w:bottom w:val="none" w:sz="0" w:space="0" w:color="auto"/>
                    <w:right w:val="none" w:sz="0" w:space="0" w:color="auto"/>
                  </w:divBdr>
                  <w:divsChild>
                    <w:div w:id="752241915">
                      <w:marLeft w:val="0"/>
                      <w:marRight w:val="0"/>
                      <w:marTop w:val="0"/>
                      <w:marBottom w:val="0"/>
                      <w:divBdr>
                        <w:top w:val="none" w:sz="0" w:space="0" w:color="auto"/>
                        <w:left w:val="none" w:sz="0" w:space="0" w:color="auto"/>
                        <w:bottom w:val="none" w:sz="0" w:space="0" w:color="auto"/>
                        <w:right w:val="none" w:sz="0" w:space="0" w:color="auto"/>
                      </w:divBdr>
                      <w:divsChild>
                        <w:div w:id="425537010">
                          <w:marLeft w:val="0"/>
                          <w:marRight w:val="0"/>
                          <w:marTop w:val="0"/>
                          <w:marBottom w:val="0"/>
                          <w:divBdr>
                            <w:top w:val="none" w:sz="0" w:space="0" w:color="auto"/>
                            <w:left w:val="none" w:sz="0" w:space="0" w:color="auto"/>
                            <w:bottom w:val="none" w:sz="0" w:space="0" w:color="auto"/>
                            <w:right w:val="none" w:sz="0" w:space="0" w:color="auto"/>
                          </w:divBdr>
                          <w:divsChild>
                            <w:div w:id="962417300">
                              <w:marLeft w:val="0"/>
                              <w:marRight w:val="0"/>
                              <w:marTop w:val="0"/>
                              <w:marBottom w:val="0"/>
                              <w:divBdr>
                                <w:top w:val="none" w:sz="0" w:space="0" w:color="auto"/>
                                <w:left w:val="none" w:sz="0" w:space="0" w:color="auto"/>
                                <w:bottom w:val="none" w:sz="0" w:space="0" w:color="auto"/>
                                <w:right w:val="none" w:sz="0" w:space="0" w:color="auto"/>
                              </w:divBdr>
                              <w:divsChild>
                                <w:div w:id="1031758450">
                                  <w:marLeft w:val="0"/>
                                  <w:marRight w:val="0"/>
                                  <w:marTop w:val="0"/>
                                  <w:marBottom w:val="0"/>
                                  <w:divBdr>
                                    <w:top w:val="none" w:sz="0" w:space="0" w:color="auto"/>
                                    <w:left w:val="none" w:sz="0" w:space="0" w:color="auto"/>
                                    <w:bottom w:val="none" w:sz="0" w:space="0" w:color="auto"/>
                                    <w:right w:val="none" w:sz="0" w:space="0" w:color="auto"/>
                                  </w:divBdr>
                                  <w:divsChild>
                                    <w:div w:id="12678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8B2FC8216F4A459D2C21A108E540EF" ma:contentTypeVersion="0" ma:contentTypeDescription="Crée un document." ma:contentTypeScope="" ma:versionID="67309cc9520a444b2b1814cdfd76d326">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A55432F-100D-412D-BEDA-5766AD74E689}">
  <ds:schemaRefs>
    <ds:schemaRef ds:uri="http://schemas.microsoft.com/sharepoint/v3/contenttype/forms"/>
  </ds:schemaRefs>
</ds:datastoreItem>
</file>

<file path=customXml/itemProps2.xml><?xml version="1.0" encoding="utf-8"?>
<ds:datastoreItem xmlns:ds="http://schemas.openxmlformats.org/officeDocument/2006/customXml" ds:itemID="{C2AA98AF-4BCA-4C95-844A-31AE9D01E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3CEA90-974D-49D9-8C3F-39D216085C6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977EA90-A606-48FD-9761-8AAA2BD9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ABA3EB51.dotm</Template>
  <TotalTime>7</TotalTime>
  <Pages>6</Pages>
  <Words>2158</Words>
  <Characters>11874</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
    </vt:vector>
  </TitlesOfParts>
  <Company>DGTRESOR</Company>
  <LinksUpToDate>false</LinksUpToDate>
  <CharactersWithSpaces>14004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COTTET</dc:creator>
  <cp:keywords/>
  <dc:description/>
  <cp:lastModifiedBy>GAUTHIER Benoit</cp:lastModifiedBy>
  <cp:revision>4</cp:revision>
  <cp:lastPrinted>2017-03-27T11:15:00Z</cp:lastPrinted>
  <dcterms:created xsi:type="dcterms:W3CDTF">2018-02-16T08:21:00Z</dcterms:created>
  <dcterms:modified xsi:type="dcterms:W3CDTF">2018-02-19T06:50:00Z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0x0101004D8B2FC8216F4A459D2C21A108E540EF</vt:lpwstr>
  </property>
</Properties>
</file>