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B810" w14:textId="24A66D80" w:rsidR="00D679E4" w:rsidRPr="00AA6B83" w:rsidRDefault="004A1AA0" w:rsidP="00D679E4">
      <w:pPr>
        <w:rPr>
          <w:rFonts w:ascii="Arial" w:hAnsi="Arial" w:cs="Arial"/>
          <w:i/>
        </w:rPr>
      </w:pPr>
      <w:r>
        <w:rPr>
          <w:noProof/>
          <w:lang w:eastAsia="fr-FR"/>
        </w:rPr>
        <w:drawing>
          <wp:inline distT="0" distB="0" distL="0" distR="0" wp14:anchorId="29154EF8" wp14:editId="3183512B">
            <wp:extent cx="5534025" cy="810895"/>
            <wp:effectExtent l="0" t="0" r="0" b="0"/>
            <wp:docPr id="2" name="Image 1" descr="MNE-FranceNCP3li-300dpi_17mar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MNE-FranceNCP3li-300dpi_17mars14"/>
                    <pic:cNvPicPr>
                      <a:picLocks noChangeAspect="1" noChangeArrowheads="1"/>
                    </pic:cNvPicPr>
                  </pic:nvPicPr>
                  <pic:blipFill>
                    <a:blip r:embed="rId14"/>
                    <a:stretch>
                      <a:fillRect/>
                    </a:stretch>
                  </pic:blipFill>
                  <pic:spPr bwMode="auto">
                    <a:xfrm>
                      <a:off x="0" y="0"/>
                      <a:ext cx="5534025" cy="810895"/>
                    </a:xfrm>
                    <a:prstGeom prst="rect">
                      <a:avLst/>
                    </a:prstGeom>
                  </pic:spPr>
                </pic:pic>
              </a:graphicData>
            </a:graphic>
          </wp:inline>
        </w:drawing>
      </w:r>
      <w:r>
        <w:rPr>
          <w:rFonts w:ascii="Arial" w:hAnsi="Arial"/>
          <w:i/>
        </w:rPr>
        <w:t xml:space="preserve"> </w:t>
      </w:r>
    </w:p>
    <w:p w14:paraId="1F9A0812" w14:textId="39263591" w:rsidR="00D679E4" w:rsidRPr="00792493" w:rsidRDefault="00545899" w:rsidP="00211FDC">
      <w:pPr>
        <w:jc w:val="center"/>
        <w:rPr>
          <w:rFonts w:ascii="Arial" w:hAnsi="Arial" w:cs="Arial"/>
          <w:b/>
          <w:bCs/>
          <w:color w:val="7030A0"/>
          <w:sz w:val="24"/>
          <w:szCs w:val="24"/>
        </w:rPr>
      </w:pPr>
      <w:r w:rsidRPr="00792493">
        <w:rPr>
          <w:rFonts w:ascii="Arial" w:hAnsi="Arial" w:cs="Arial"/>
          <w:b/>
          <w:bCs/>
          <w:color w:val="7030A0"/>
          <w:sz w:val="24"/>
          <w:szCs w:val="24"/>
        </w:rPr>
        <w:t>Circonstance spécifique « </w:t>
      </w:r>
      <w:r w:rsidR="0073327F" w:rsidRPr="00792493">
        <w:rPr>
          <w:rFonts w:ascii="Arial" w:hAnsi="Arial" w:cs="Arial"/>
          <w:b/>
          <w:color w:val="7030A0"/>
          <w:sz w:val="24"/>
          <w:szCs w:val="24"/>
        </w:rPr>
        <w:t xml:space="preserve">14 Comités Riverains de Veille, Centre d’Action pour la Vie et la Terre </w:t>
      </w:r>
      <w:proofErr w:type="spellStart"/>
      <w:r w:rsidR="0073327F" w:rsidRPr="00792493">
        <w:rPr>
          <w:rFonts w:ascii="Arial" w:hAnsi="Arial" w:cs="Arial"/>
          <w:b/>
          <w:color w:val="7030A0"/>
          <w:sz w:val="24"/>
          <w:szCs w:val="24"/>
        </w:rPr>
        <w:t>v.</w:t>
      </w:r>
      <w:r w:rsidR="00E06C39" w:rsidRPr="00792493">
        <w:rPr>
          <w:rFonts w:ascii="Arial" w:hAnsi="Arial" w:cs="Arial"/>
          <w:b/>
          <w:color w:val="7030A0"/>
          <w:sz w:val="24"/>
          <w:szCs w:val="24"/>
        </w:rPr>
        <w:t>DF</w:t>
      </w:r>
      <w:proofErr w:type="spellEnd"/>
      <w:r w:rsidR="00E06C39" w:rsidRPr="00792493">
        <w:rPr>
          <w:rFonts w:ascii="Arial" w:hAnsi="Arial" w:cs="Arial"/>
          <w:b/>
          <w:color w:val="7030A0"/>
          <w:sz w:val="24"/>
          <w:szCs w:val="24"/>
        </w:rPr>
        <w:t xml:space="preserve"> Holding</w:t>
      </w:r>
      <w:r w:rsidR="00792493" w:rsidRPr="00792493">
        <w:rPr>
          <w:rFonts w:ascii="Arial" w:hAnsi="Arial" w:cs="Arial"/>
          <w:b/>
          <w:color w:val="7030A0"/>
          <w:sz w:val="24"/>
          <w:szCs w:val="24"/>
        </w:rPr>
        <w:t xml:space="preserve"> </w:t>
      </w:r>
      <w:r w:rsidR="00E06C39" w:rsidRPr="00792493">
        <w:rPr>
          <w:rStyle w:val="Appelnotedebasdep"/>
          <w:rFonts w:cs="Arial"/>
          <w:b/>
          <w:color w:val="7030A0"/>
          <w:sz w:val="24"/>
          <w:szCs w:val="24"/>
        </w:rPr>
        <w:footnoteReference w:id="1"/>
      </w:r>
      <w:r w:rsidR="00E06C39" w:rsidRPr="00792493">
        <w:rPr>
          <w:rFonts w:ascii="Arial" w:hAnsi="Arial" w:cs="Arial"/>
          <w:b/>
          <w:color w:val="7030A0"/>
          <w:sz w:val="24"/>
          <w:szCs w:val="24"/>
        </w:rPr>
        <w:t xml:space="preserve"> </w:t>
      </w:r>
      <w:r w:rsidR="000D1805" w:rsidRPr="00792493">
        <w:rPr>
          <w:rFonts w:ascii="Arial" w:hAnsi="Arial" w:cs="Arial"/>
          <w:b/>
          <w:color w:val="7030A0"/>
          <w:sz w:val="24"/>
          <w:szCs w:val="24"/>
        </w:rPr>
        <w:t>,</w:t>
      </w:r>
      <w:r w:rsidR="0073327F" w:rsidRPr="00792493">
        <w:rPr>
          <w:rFonts w:ascii="Arial" w:hAnsi="Arial" w:cs="Arial"/>
          <w:b/>
          <w:color w:val="7030A0"/>
          <w:sz w:val="24"/>
          <w:szCs w:val="24"/>
        </w:rPr>
        <w:t xml:space="preserve"> SOMDIA</w:t>
      </w:r>
      <w:r w:rsidR="00792493" w:rsidRPr="00792493">
        <w:rPr>
          <w:rFonts w:ascii="Arial" w:hAnsi="Arial" w:cs="Arial"/>
          <w:b/>
          <w:color w:val="7030A0"/>
          <w:sz w:val="24"/>
          <w:szCs w:val="24"/>
        </w:rPr>
        <w:t xml:space="preserve"> </w:t>
      </w:r>
      <w:r w:rsidR="00E06C39" w:rsidRPr="00792493">
        <w:rPr>
          <w:rStyle w:val="Appelnotedebasdep"/>
          <w:rFonts w:cs="Arial"/>
          <w:b/>
          <w:color w:val="7030A0"/>
          <w:sz w:val="24"/>
          <w:szCs w:val="24"/>
        </w:rPr>
        <w:footnoteReference w:id="2"/>
      </w:r>
      <w:r w:rsidR="0073327F" w:rsidRPr="00792493">
        <w:rPr>
          <w:rFonts w:ascii="Arial" w:hAnsi="Arial" w:cs="Arial"/>
          <w:b/>
          <w:color w:val="7030A0"/>
          <w:sz w:val="24"/>
          <w:szCs w:val="24"/>
        </w:rPr>
        <w:t xml:space="preserve"> et SOSUCAM </w:t>
      </w:r>
      <w:r w:rsidR="00096D07" w:rsidRPr="00792493">
        <w:rPr>
          <w:rFonts w:ascii="Arial" w:hAnsi="Arial" w:cs="Arial"/>
          <w:b/>
          <w:bCs/>
          <w:color w:val="7030A0"/>
          <w:sz w:val="24"/>
          <w:szCs w:val="24"/>
        </w:rPr>
        <w:t>au Cameroun</w:t>
      </w:r>
      <w:r w:rsidRPr="00792493">
        <w:rPr>
          <w:rFonts w:ascii="Arial" w:hAnsi="Arial" w:cs="Arial"/>
          <w:b/>
          <w:bCs/>
          <w:color w:val="7030A0"/>
          <w:sz w:val="24"/>
          <w:szCs w:val="24"/>
        </w:rPr>
        <w:t> »</w:t>
      </w:r>
    </w:p>
    <w:p w14:paraId="28DC307A" w14:textId="6C6E4952" w:rsidR="006A7890" w:rsidRDefault="00A25F16" w:rsidP="006A7890">
      <w:pPr>
        <w:spacing w:before="240" w:after="0"/>
        <w:jc w:val="center"/>
        <w:rPr>
          <w:rFonts w:ascii="Arial" w:hAnsi="Arial" w:cs="Arial"/>
          <w:color w:val="7030A0"/>
          <w:sz w:val="26"/>
          <w:szCs w:val="26"/>
        </w:rPr>
      </w:pPr>
      <w:r w:rsidRPr="00A25F16">
        <w:rPr>
          <w:rFonts w:ascii="Arial" w:hAnsi="Arial" w:cs="Arial"/>
          <w:color w:val="7030A0"/>
          <w:sz w:val="26"/>
          <w:szCs w:val="26"/>
        </w:rPr>
        <w:t>C</w:t>
      </w:r>
      <w:r w:rsidR="00545899" w:rsidRPr="00A25F16">
        <w:rPr>
          <w:rFonts w:ascii="Arial" w:hAnsi="Arial" w:cs="Arial"/>
          <w:color w:val="7030A0"/>
          <w:sz w:val="26"/>
          <w:szCs w:val="26"/>
        </w:rPr>
        <w:t xml:space="preserve">ommuniqué de suivi du PCN </w:t>
      </w:r>
      <w:r w:rsidR="00545899" w:rsidRPr="00760B75">
        <w:rPr>
          <w:rFonts w:ascii="Arial" w:hAnsi="Arial" w:cs="Arial"/>
          <w:color w:val="7030A0"/>
          <w:sz w:val="26"/>
          <w:szCs w:val="26"/>
        </w:rPr>
        <w:t>français</w:t>
      </w:r>
      <w:r w:rsidR="0073327F">
        <w:rPr>
          <w:rFonts w:ascii="Arial" w:hAnsi="Arial" w:cs="Arial"/>
          <w:color w:val="7030A0"/>
          <w:sz w:val="26"/>
          <w:szCs w:val="26"/>
        </w:rPr>
        <w:t xml:space="preserve"> pour la C</w:t>
      </w:r>
      <w:r w:rsidR="006A7890">
        <w:rPr>
          <w:rFonts w:ascii="Arial" w:hAnsi="Arial" w:cs="Arial"/>
          <w:color w:val="7030A0"/>
          <w:sz w:val="26"/>
          <w:szCs w:val="26"/>
        </w:rPr>
        <w:t>RE</w:t>
      </w:r>
    </w:p>
    <w:p w14:paraId="63C1B6FB" w14:textId="4BCE6EEA" w:rsidR="00545899" w:rsidRPr="00B23281" w:rsidRDefault="00E9262A" w:rsidP="006A7890">
      <w:pPr>
        <w:spacing w:before="240" w:after="0"/>
        <w:jc w:val="center"/>
        <w:rPr>
          <w:rFonts w:ascii="Arial" w:hAnsi="Arial" w:cs="Arial"/>
          <w:color w:val="000000" w:themeColor="text1"/>
          <w:sz w:val="26"/>
          <w:szCs w:val="26"/>
        </w:rPr>
      </w:pPr>
      <w:r>
        <w:rPr>
          <w:rFonts w:ascii="Arial" w:hAnsi="Arial" w:cs="Arial"/>
          <w:color w:val="000000" w:themeColor="text1"/>
          <w:sz w:val="26"/>
          <w:szCs w:val="26"/>
        </w:rPr>
        <w:t>27</w:t>
      </w:r>
      <w:r w:rsidR="006A7890" w:rsidRPr="00B23281">
        <w:rPr>
          <w:rFonts w:ascii="Arial" w:hAnsi="Arial" w:cs="Arial"/>
          <w:color w:val="000000" w:themeColor="text1"/>
          <w:sz w:val="26"/>
          <w:szCs w:val="26"/>
        </w:rPr>
        <w:t xml:space="preserve"> </w:t>
      </w:r>
      <w:r>
        <w:rPr>
          <w:rFonts w:ascii="Arial" w:hAnsi="Arial" w:cs="Arial"/>
          <w:color w:val="000000" w:themeColor="text1"/>
          <w:sz w:val="26"/>
          <w:szCs w:val="26"/>
        </w:rPr>
        <w:t>février</w:t>
      </w:r>
      <w:r w:rsidR="006A7890" w:rsidRPr="00B23281">
        <w:rPr>
          <w:rFonts w:ascii="Arial" w:hAnsi="Arial" w:cs="Arial"/>
          <w:color w:val="000000" w:themeColor="text1"/>
          <w:sz w:val="26"/>
          <w:szCs w:val="26"/>
        </w:rPr>
        <w:t xml:space="preserve"> 2024</w:t>
      </w:r>
    </w:p>
    <w:p w14:paraId="199599BF" w14:textId="6EF46596" w:rsidR="00545899" w:rsidRPr="00417D21" w:rsidRDefault="00545899" w:rsidP="00545899">
      <w:pPr>
        <w:spacing w:before="240" w:after="0"/>
        <w:jc w:val="center"/>
        <w:rPr>
          <w:rFonts w:ascii="Arial" w:hAnsi="Arial" w:cs="Arial"/>
          <w:b/>
          <w:bCs/>
          <w:color w:val="000000" w:themeColor="text1"/>
          <w:sz w:val="26"/>
          <w:szCs w:val="26"/>
        </w:rPr>
      </w:pPr>
      <w:r w:rsidRPr="00417D21">
        <w:rPr>
          <w:rFonts w:ascii="Arial" w:hAnsi="Arial" w:cs="Arial"/>
          <w:b/>
          <w:bCs/>
          <w:color w:val="000000" w:themeColor="text1"/>
          <w:sz w:val="26"/>
          <w:szCs w:val="26"/>
        </w:rPr>
        <w:t xml:space="preserve">Le PCN constate </w:t>
      </w:r>
      <w:r w:rsidR="004C114F">
        <w:rPr>
          <w:rFonts w:ascii="Arial" w:hAnsi="Arial" w:cs="Arial"/>
          <w:b/>
          <w:bCs/>
          <w:color w:val="000000" w:themeColor="text1"/>
          <w:sz w:val="26"/>
          <w:szCs w:val="26"/>
        </w:rPr>
        <w:t>des progrès dans le suivi des recommandations mais dont l’aboutissement peut encore prendre quelques mois. Il décide de poursuivre le suivi de cette circonstance spécifique.</w:t>
      </w:r>
    </w:p>
    <w:p w14:paraId="7B4DFFC2" w14:textId="77777777" w:rsidR="00AA6B83" w:rsidRPr="007762F5" w:rsidRDefault="00AA6B83" w:rsidP="00AA6B83">
      <w:pPr>
        <w:pStyle w:val="Para0"/>
        <w:jc w:val="center"/>
        <w:rPr>
          <w:rFonts w:ascii="Arial" w:hAnsi="Arial" w:cs="Arial"/>
        </w:rPr>
      </w:pPr>
    </w:p>
    <w:tbl>
      <w:tblPr>
        <w:tblStyle w:val="Grilledetableauclaire"/>
        <w:tblW w:w="9351" w:type="dxa"/>
        <w:tblLook w:val="04A0" w:firstRow="1" w:lastRow="0" w:firstColumn="1" w:lastColumn="0" w:noHBand="0" w:noVBand="1"/>
      </w:tblPr>
      <w:tblGrid>
        <w:gridCol w:w="9351"/>
      </w:tblGrid>
      <w:tr w:rsidR="00A2585A" w:rsidRPr="00A2585A" w14:paraId="7B6AB658" w14:textId="77777777" w:rsidTr="00AC31A8">
        <w:tc>
          <w:tcPr>
            <w:tcW w:w="9351" w:type="dxa"/>
          </w:tcPr>
          <w:p w14:paraId="7EF42EB4" w14:textId="71F1B2D1" w:rsidR="00545899" w:rsidRPr="00DA5E5D" w:rsidRDefault="00545899" w:rsidP="00545899">
            <w:pPr>
              <w:pStyle w:val="Para0"/>
              <w:spacing w:line="240" w:lineRule="atLeast"/>
              <w:rPr>
                <w:rFonts w:ascii="Arial" w:hAnsi="Arial" w:cs="Arial"/>
                <w:b/>
                <w:sz w:val="22"/>
              </w:rPr>
            </w:pPr>
            <w:r w:rsidRPr="00DA5E5D">
              <w:rPr>
                <w:rFonts w:ascii="Arial" w:hAnsi="Arial"/>
                <w:b/>
                <w:sz w:val="22"/>
              </w:rPr>
              <w:t xml:space="preserve">Comme indiqué dans les Lignes directrices de procédure des </w:t>
            </w:r>
            <w:r w:rsidRPr="00DA5E5D">
              <w:rPr>
                <w:rFonts w:ascii="Arial" w:hAnsi="Arial"/>
                <w:b/>
                <w:i/>
                <w:iCs/>
                <w:sz w:val="22"/>
              </w:rPr>
              <w:t xml:space="preserve">Principes directeurs de l’OCDE </w:t>
            </w:r>
            <w:r w:rsidR="00171079" w:rsidRPr="00DA5E5D">
              <w:rPr>
                <w:rFonts w:ascii="Arial" w:hAnsi="Arial"/>
                <w:b/>
                <w:i/>
                <w:iCs/>
                <w:sz w:val="22"/>
              </w:rPr>
              <w:t>pour la Conduite Responsable des Entreprises</w:t>
            </w:r>
            <w:r w:rsidRPr="00DA5E5D">
              <w:rPr>
                <w:rFonts w:ascii="Arial" w:hAnsi="Arial"/>
                <w:b/>
                <w:sz w:val="22"/>
              </w:rPr>
              <w:t xml:space="preserve">, à l’issue d’une procédure de circonstance spécifique et après consultation des parties impliquées, le PCN rend publics les résultats de la procédure. </w:t>
            </w:r>
          </w:p>
          <w:p w14:paraId="669EF6B0" w14:textId="24879AA5" w:rsidR="00545899" w:rsidRPr="00A2585A" w:rsidRDefault="00545899" w:rsidP="00545899">
            <w:pPr>
              <w:pStyle w:val="Para0"/>
              <w:rPr>
                <w:rFonts w:ascii="Arial" w:hAnsi="Arial" w:cs="Arial"/>
                <w:b/>
                <w:color w:val="0070C0"/>
              </w:rPr>
            </w:pPr>
            <w:r w:rsidRPr="00DA5E5D">
              <w:rPr>
                <w:rFonts w:ascii="Arial" w:hAnsi="Arial"/>
                <w:b/>
                <w:sz w:val="22"/>
              </w:rPr>
              <w:t xml:space="preserve">Comme aucun accord </w:t>
            </w:r>
            <w:r w:rsidRPr="00DA5E5D">
              <w:rPr>
                <w:rFonts w:ascii="Arial" w:hAnsi="Arial"/>
                <w:b/>
                <w:iCs/>
                <w:sz w:val="22"/>
              </w:rPr>
              <w:t xml:space="preserve">n’avait été trouvé </w:t>
            </w:r>
            <w:r w:rsidR="004C114F">
              <w:rPr>
                <w:rFonts w:ascii="Arial" w:hAnsi="Arial"/>
                <w:b/>
                <w:iCs/>
                <w:sz w:val="22"/>
              </w:rPr>
              <w:t xml:space="preserve">entre les parties </w:t>
            </w:r>
            <w:r w:rsidRPr="00DA5E5D">
              <w:rPr>
                <w:rFonts w:ascii="Arial" w:hAnsi="Arial"/>
                <w:b/>
                <w:iCs/>
                <w:sz w:val="22"/>
              </w:rPr>
              <w:t>dans le cas d’espèce</w:t>
            </w:r>
            <w:r w:rsidRPr="00DA5E5D">
              <w:rPr>
                <w:rFonts w:ascii="Arial" w:hAnsi="Arial"/>
                <w:b/>
                <w:sz w:val="22"/>
              </w:rPr>
              <w:t xml:space="preserve">, le PCN français avait publié un communiqué </w:t>
            </w:r>
            <w:r w:rsidR="004C114F">
              <w:rPr>
                <w:rFonts w:ascii="Arial" w:hAnsi="Arial"/>
                <w:b/>
                <w:sz w:val="22"/>
              </w:rPr>
              <w:t xml:space="preserve">final, adopté le 17 mai 2022, </w:t>
            </w:r>
            <w:r w:rsidRPr="00DA5E5D">
              <w:rPr>
                <w:rFonts w:ascii="Arial" w:hAnsi="Arial"/>
                <w:b/>
                <w:sz w:val="22"/>
              </w:rPr>
              <w:t xml:space="preserve">qui comportait </w:t>
            </w:r>
            <w:r w:rsidR="00F14E1E" w:rsidRPr="00DA5E5D">
              <w:rPr>
                <w:rFonts w:ascii="Arial" w:hAnsi="Arial"/>
                <w:b/>
                <w:sz w:val="22"/>
              </w:rPr>
              <w:t>cinq</w:t>
            </w:r>
            <w:r w:rsidRPr="00DA5E5D">
              <w:rPr>
                <w:rFonts w:ascii="Arial" w:hAnsi="Arial"/>
                <w:b/>
                <w:sz w:val="22"/>
              </w:rPr>
              <w:t xml:space="preserve"> recommandations adressées </w:t>
            </w:r>
            <w:r w:rsidR="004C114F">
              <w:rPr>
                <w:rFonts w:ascii="Arial" w:hAnsi="Arial"/>
                <w:b/>
                <w:sz w:val="22"/>
              </w:rPr>
              <w:t>aux groupes et</w:t>
            </w:r>
            <w:r w:rsidR="00F14E1E" w:rsidRPr="00DA5E5D">
              <w:rPr>
                <w:rFonts w:ascii="Arial" w:hAnsi="Arial"/>
                <w:b/>
                <w:sz w:val="22"/>
              </w:rPr>
              <w:t xml:space="preserve"> </w:t>
            </w:r>
            <w:proofErr w:type="spellStart"/>
            <w:r w:rsidR="00F14E1E" w:rsidRPr="00DA5E5D">
              <w:rPr>
                <w:rFonts w:ascii="Arial" w:hAnsi="Arial"/>
                <w:b/>
                <w:sz w:val="22"/>
              </w:rPr>
              <w:t>Somdiaa</w:t>
            </w:r>
            <w:proofErr w:type="spellEnd"/>
            <w:r w:rsidR="00F14E1E" w:rsidRPr="00DA5E5D">
              <w:rPr>
                <w:rFonts w:ascii="Arial" w:hAnsi="Arial"/>
                <w:b/>
                <w:sz w:val="22"/>
              </w:rPr>
              <w:t xml:space="preserve"> et </w:t>
            </w:r>
            <w:r w:rsidR="004C114F">
              <w:rPr>
                <w:rFonts w:ascii="Arial" w:hAnsi="Arial"/>
                <w:b/>
                <w:sz w:val="22"/>
              </w:rPr>
              <w:t>vis-à-vis de leur filiale la</w:t>
            </w:r>
            <w:r w:rsidR="00171079" w:rsidRPr="00DA5E5D">
              <w:rPr>
                <w:rFonts w:ascii="Arial" w:hAnsi="Arial"/>
                <w:b/>
                <w:sz w:val="22"/>
              </w:rPr>
              <w:t xml:space="preserve"> </w:t>
            </w:r>
            <w:proofErr w:type="spellStart"/>
            <w:r w:rsidR="00F14E1E" w:rsidRPr="00DA5E5D">
              <w:rPr>
                <w:rFonts w:ascii="Arial" w:hAnsi="Arial"/>
                <w:b/>
                <w:sz w:val="22"/>
              </w:rPr>
              <w:t>Sosucam</w:t>
            </w:r>
            <w:proofErr w:type="spellEnd"/>
            <w:r w:rsidR="00A135E3" w:rsidRPr="00DA5E5D">
              <w:rPr>
                <w:rFonts w:ascii="Arial" w:hAnsi="Arial"/>
                <w:b/>
                <w:sz w:val="22"/>
              </w:rPr>
              <w:t xml:space="preserve"> </w:t>
            </w:r>
            <w:r w:rsidR="00F14E1E" w:rsidRPr="00DA5E5D">
              <w:rPr>
                <w:rFonts w:ascii="Arial" w:hAnsi="Arial"/>
                <w:b/>
                <w:sz w:val="22"/>
              </w:rPr>
              <w:t xml:space="preserve">dans le cadre de </w:t>
            </w:r>
            <w:r w:rsidR="004C114F">
              <w:rPr>
                <w:rFonts w:ascii="Arial" w:hAnsi="Arial"/>
                <w:b/>
                <w:sz w:val="22"/>
              </w:rPr>
              <w:t>se</w:t>
            </w:r>
            <w:r w:rsidR="00F14E1E" w:rsidRPr="00DA5E5D">
              <w:rPr>
                <w:rFonts w:ascii="Arial" w:hAnsi="Arial"/>
                <w:b/>
                <w:sz w:val="22"/>
              </w:rPr>
              <w:t xml:space="preserve">s activités </w:t>
            </w:r>
            <w:r w:rsidR="004C114F">
              <w:rPr>
                <w:rFonts w:ascii="Arial" w:hAnsi="Arial"/>
                <w:b/>
                <w:sz w:val="22"/>
              </w:rPr>
              <w:t xml:space="preserve">sucrières </w:t>
            </w:r>
            <w:r w:rsidR="00F14E1E" w:rsidRPr="00DA5E5D">
              <w:rPr>
                <w:rFonts w:ascii="Arial" w:hAnsi="Arial"/>
                <w:b/>
                <w:sz w:val="22"/>
              </w:rPr>
              <w:t>au Cameroun.</w:t>
            </w:r>
            <w:r w:rsidRPr="00DA5E5D">
              <w:rPr>
                <w:rFonts w:ascii="Arial" w:hAnsi="Arial"/>
                <w:b/>
                <w:sz w:val="22"/>
              </w:rPr>
              <w:t xml:space="preserve"> Le présent communiqué rend compte du suivi de ses recommandations.</w:t>
            </w:r>
          </w:p>
        </w:tc>
      </w:tr>
    </w:tbl>
    <w:p w14:paraId="37421244" w14:textId="77777777" w:rsidR="00A2585A" w:rsidRPr="00A2585A" w:rsidRDefault="00A2585A">
      <w:pPr>
        <w:rPr>
          <w:rFonts w:ascii="Arial" w:hAnsi="Arial" w:cs="Arial"/>
          <w:color w:val="FF0000"/>
        </w:rPr>
      </w:pPr>
    </w:p>
    <w:p w14:paraId="0E0A8406" w14:textId="572FA06D" w:rsidR="00B3656A" w:rsidRPr="0003046B" w:rsidRDefault="00B3656A" w:rsidP="00FC18DD">
      <w:pPr>
        <w:pStyle w:val="Titre1"/>
        <w:numPr>
          <w:ilvl w:val="0"/>
          <w:numId w:val="15"/>
        </w:numPr>
        <w:spacing w:after="240" w:line="240" w:lineRule="atLeast"/>
        <w:rPr>
          <w:rFonts w:cs="Arial"/>
        </w:rPr>
      </w:pPr>
      <w:bookmarkStart w:id="0" w:name="_Toc100154724"/>
      <w:bookmarkStart w:id="1" w:name="_Toc103098191"/>
      <w:r w:rsidRPr="00333F61">
        <w:t>Présentation</w:t>
      </w:r>
      <w:r w:rsidRPr="0003046B">
        <w:t xml:space="preserve"> du PCN</w:t>
      </w:r>
      <w:r>
        <w:t xml:space="preserve"> </w:t>
      </w:r>
      <w:r w:rsidRPr="0002534C">
        <w:t>français</w:t>
      </w:r>
      <w:r w:rsidR="00096D07">
        <w:t xml:space="preserve"> pour la CRE</w:t>
      </w:r>
      <w:r w:rsidRPr="0003046B">
        <w:t xml:space="preserve"> et de son rôle</w:t>
      </w:r>
      <w:bookmarkEnd w:id="0"/>
      <w:bookmarkEnd w:id="1"/>
      <w:r w:rsidRPr="0003046B">
        <w:t xml:space="preserve"> </w:t>
      </w:r>
    </w:p>
    <w:p w14:paraId="4477A58F" w14:textId="5CD827E0" w:rsidR="00B3656A" w:rsidRPr="00DA5E5D" w:rsidRDefault="00B3656A" w:rsidP="00B3656A">
      <w:pPr>
        <w:pStyle w:val="Para"/>
        <w:numPr>
          <w:ilvl w:val="0"/>
          <w:numId w:val="0"/>
        </w:numPr>
        <w:spacing w:before="0" w:after="240" w:line="240" w:lineRule="atLeast"/>
        <w:rPr>
          <w:rFonts w:ascii="Arial" w:hAnsi="Arial" w:cs="Arial"/>
          <w:color w:val="000000" w:themeColor="text1"/>
        </w:rPr>
      </w:pPr>
      <w:r w:rsidRPr="00DA5E5D">
        <w:rPr>
          <w:rFonts w:ascii="Arial" w:hAnsi="Arial" w:cs="Arial"/>
          <w:color w:val="000000" w:themeColor="text1"/>
        </w:rPr>
        <w:t xml:space="preserve">Le Point de contact national français </w:t>
      </w:r>
      <w:r w:rsidR="00935035" w:rsidRPr="00DA5E5D">
        <w:rPr>
          <w:rFonts w:ascii="Arial" w:hAnsi="Arial" w:cs="Arial"/>
          <w:color w:val="000000" w:themeColor="text1"/>
        </w:rPr>
        <w:t>pour la Conduite Responsable des Entreprises</w:t>
      </w:r>
      <w:r w:rsidRPr="00DA5E5D">
        <w:rPr>
          <w:rFonts w:ascii="Arial" w:hAnsi="Arial" w:cs="Arial"/>
          <w:color w:val="000000" w:themeColor="text1"/>
        </w:rPr>
        <w:t xml:space="preserve"> (« PCN </w:t>
      </w:r>
      <w:r w:rsidR="00935035" w:rsidRPr="00DA5E5D">
        <w:rPr>
          <w:rFonts w:ascii="Arial" w:hAnsi="Arial" w:cs="Arial"/>
          <w:color w:val="000000" w:themeColor="text1"/>
        </w:rPr>
        <w:t xml:space="preserve">pour la CRE </w:t>
      </w:r>
      <w:r w:rsidRPr="00DA5E5D">
        <w:rPr>
          <w:rFonts w:ascii="Arial" w:hAnsi="Arial" w:cs="Arial"/>
          <w:color w:val="000000" w:themeColor="text1"/>
        </w:rPr>
        <w:t>») est une instance tripartite de règlement non-juridictionnel des différends liés à la mise en œuvre des Principes directeurs à l’intention des entreprises multinationales. Il a pour mission de veiller à l’effectivité des Principes directeurs en assurant leur promotion et en contribuant à la résolution des questions qui lui sont posées dans le cadre de la procédure de circonstance spécifique à travers ses bons offices, la médiation et la conciliation. Il s’efforce de procéder à l’examen des questions soulevées dans les meilleurs délais, si possible dans un délai de 12 mois suivant la réception de la circonstance spécifique. Il publie ses décisions sur son site internet.</w:t>
      </w:r>
      <w:r w:rsidR="004C114F">
        <w:rPr>
          <w:rFonts w:ascii="Arial" w:hAnsi="Arial" w:cs="Arial"/>
          <w:color w:val="000000" w:themeColor="text1"/>
        </w:rPr>
        <w:t xml:space="preserve"> Le PCN fait le suivi de ses recommandations. </w:t>
      </w:r>
    </w:p>
    <w:p w14:paraId="67AB15AF" w14:textId="4F7C0036" w:rsidR="00C24851" w:rsidRPr="00C24851" w:rsidRDefault="00D679E4" w:rsidP="00FC18DD">
      <w:pPr>
        <w:pStyle w:val="Titre1"/>
        <w:numPr>
          <w:ilvl w:val="0"/>
          <w:numId w:val="15"/>
        </w:numPr>
        <w:rPr>
          <w:rFonts w:cs="Arial"/>
        </w:rPr>
      </w:pPr>
      <w:bookmarkStart w:id="2" w:name="_Toc64455330"/>
      <w:bookmarkStart w:id="3" w:name="_Toc103098192"/>
      <w:r>
        <w:t>Synthèse</w:t>
      </w:r>
      <w:bookmarkEnd w:id="2"/>
      <w:r w:rsidR="004A1AA0">
        <w:t xml:space="preserve"> du traitement de la circonstance spécifique</w:t>
      </w:r>
      <w:bookmarkEnd w:id="3"/>
    </w:p>
    <w:p w14:paraId="61F5ECAE" w14:textId="7020C5C7" w:rsidR="00A2585A" w:rsidRPr="00D00464" w:rsidRDefault="000D1805" w:rsidP="00B934D0">
      <w:pPr>
        <w:spacing w:after="240" w:line="240" w:lineRule="atLeast"/>
        <w:jc w:val="both"/>
        <w:rPr>
          <w:rFonts w:ascii="Arial" w:hAnsi="Arial" w:cs="Arial"/>
          <w:color w:val="000000" w:themeColor="text1"/>
          <w:sz w:val="20"/>
          <w:szCs w:val="20"/>
        </w:rPr>
      </w:pPr>
      <w:r w:rsidRPr="00DA5E5D">
        <w:rPr>
          <w:rFonts w:ascii="Arial" w:hAnsi="Arial" w:cs="Arial"/>
          <w:color w:val="000000" w:themeColor="text1"/>
          <w:sz w:val="20"/>
        </w:rPr>
        <w:t xml:space="preserve">Le PCN français a été saisi le 23 novembre 2020 par un collectif d’associations camerounaises composé du </w:t>
      </w:r>
      <w:r w:rsidRPr="00DA5E5D">
        <w:rPr>
          <w:rFonts w:ascii="Arial" w:hAnsi="Arial" w:cs="Arial"/>
          <w:color w:val="000000" w:themeColor="text1"/>
          <w:sz w:val="20"/>
          <w:szCs w:val="24"/>
        </w:rPr>
        <w:t>Centre d’Actions pour la Vie et la Terre</w:t>
      </w:r>
      <w:r w:rsidRPr="00DA5E5D">
        <w:rPr>
          <w:rFonts w:ascii="Arial" w:hAnsi="Arial" w:cs="Arial"/>
          <w:color w:val="000000" w:themeColor="text1"/>
          <w:sz w:val="20"/>
        </w:rPr>
        <w:t xml:space="preserve"> (le CAVT) et de 14 </w:t>
      </w:r>
      <w:r w:rsidRPr="00DA5E5D">
        <w:rPr>
          <w:rFonts w:ascii="Arial" w:hAnsi="Arial" w:cs="Arial"/>
          <w:color w:val="000000" w:themeColor="text1"/>
          <w:sz w:val="20"/>
          <w:szCs w:val="24"/>
        </w:rPr>
        <w:t xml:space="preserve">Comités Riverains de Veille (CRV) de la zone sucrière du département de la Haute-Sanaga de la région Centre du Cameroun, créés en 2014, d’une circonstance spécifique visant </w:t>
      </w:r>
      <w:r w:rsidRPr="00DA5E5D">
        <w:rPr>
          <w:rFonts w:ascii="Arial" w:hAnsi="Arial" w:cs="Arial"/>
          <w:color w:val="000000" w:themeColor="text1"/>
          <w:sz w:val="20"/>
        </w:rPr>
        <w:t>le Groupe français « COPAGEF »</w:t>
      </w:r>
      <w:r w:rsidR="00E06C39">
        <w:rPr>
          <w:rFonts w:ascii="Arial" w:hAnsi="Arial" w:cs="Arial"/>
          <w:color w:val="000000" w:themeColor="text1"/>
          <w:sz w:val="20"/>
        </w:rPr>
        <w:t xml:space="preserve"> (désormais DF Holding</w:t>
      </w:r>
      <w:r w:rsidR="00811F4C">
        <w:rPr>
          <w:rFonts w:ascii="Arial" w:hAnsi="Arial" w:cs="Arial"/>
          <w:color w:val="000000" w:themeColor="text1"/>
          <w:sz w:val="20"/>
        </w:rPr>
        <w:t xml:space="preserve"> à la suite de l’absorption de COPAGEF par DF Holding</w:t>
      </w:r>
      <w:r w:rsidR="00E06C39">
        <w:rPr>
          <w:rFonts w:ascii="Arial" w:hAnsi="Arial" w:cs="Arial"/>
          <w:color w:val="000000" w:themeColor="text1"/>
          <w:sz w:val="20"/>
        </w:rPr>
        <w:t>)</w:t>
      </w:r>
      <w:r w:rsidRPr="00DA5E5D">
        <w:rPr>
          <w:rFonts w:ascii="Arial" w:hAnsi="Arial" w:cs="Arial"/>
          <w:color w:val="000000" w:themeColor="text1"/>
          <w:sz w:val="20"/>
        </w:rPr>
        <w:t xml:space="preserve"> et</w:t>
      </w:r>
      <w:r w:rsidR="00A84D8E">
        <w:rPr>
          <w:rFonts w:ascii="Arial" w:hAnsi="Arial" w:cs="Arial"/>
          <w:color w:val="000000" w:themeColor="text1"/>
          <w:sz w:val="20"/>
        </w:rPr>
        <w:t xml:space="preserve"> ses filiales </w:t>
      </w:r>
      <w:r w:rsidRPr="00DA5E5D">
        <w:rPr>
          <w:rFonts w:ascii="Arial" w:hAnsi="Arial" w:cs="Arial"/>
          <w:color w:val="000000" w:themeColor="text1"/>
          <w:sz w:val="20"/>
        </w:rPr>
        <w:t xml:space="preserve"> « SOMDIAA », </w:t>
      </w:r>
      <w:r w:rsidR="00A84D8E">
        <w:rPr>
          <w:rFonts w:ascii="Arial" w:hAnsi="Arial" w:cs="Arial"/>
          <w:color w:val="000000" w:themeColor="text1"/>
          <w:sz w:val="20"/>
        </w:rPr>
        <w:t>et la Société Sucrière du Cameroun,</w:t>
      </w:r>
      <w:r w:rsidRPr="00DA5E5D">
        <w:rPr>
          <w:rFonts w:ascii="Arial" w:hAnsi="Arial" w:cs="Arial"/>
          <w:color w:val="000000" w:themeColor="text1"/>
          <w:sz w:val="20"/>
        </w:rPr>
        <w:t xml:space="preserve"> la SOSUCAM</w:t>
      </w:r>
      <w:r w:rsidR="00A84D8E">
        <w:rPr>
          <w:rFonts w:ascii="Arial" w:hAnsi="Arial" w:cs="Arial"/>
          <w:color w:val="000000" w:themeColor="text1"/>
          <w:sz w:val="20"/>
        </w:rPr>
        <w:t xml:space="preserve">, au sujet des impacts des activités </w:t>
      </w:r>
      <w:r w:rsidR="001450A9">
        <w:rPr>
          <w:rFonts w:ascii="Arial" w:hAnsi="Arial" w:cs="Arial"/>
          <w:color w:val="000000" w:themeColor="text1"/>
          <w:sz w:val="20"/>
        </w:rPr>
        <w:t xml:space="preserve">agroindustrielles de </w:t>
      </w:r>
      <w:r w:rsidR="001450A9">
        <w:rPr>
          <w:rFonts w:ascii="Arial" w:hAnsi="Arial" w:cs="Arial"/>
          <w:color w:val="000000" w:themeColor="text1"/>
          <w:sz w:val="20"/>
        </w:rPr>
        <w:lastRenderedPageBreak/>
        <w:t xml:space="preserve">la Société Sucrière du Cameroun et du devoir de </w:t>
      </w:r>
      <w:r w:rsidR="00A8078D">
        <w:rPr>
          <w:rFonts w:ascii="Arial" w:hAnsi="Arial" w:cs="Arial"/>
          <w:color w:val="000000" w:themeColor="text1"/>
          <w:sz w:val="20"/>
        </w:rPr>
        <w:t>d</w:t>
      </w:r>
      <w:r w:rsidR="001450A9">
        <w:rPr>
          <w:rFonts w:ascii="Arial" w:hAnsi="Arial" w:cs="Arial"/>
          <w:color w:val="000000" w:themeColor="text1"/>
          <w:sz w:val="20"/>
        </w:rPr>
        <w:t>il</w:t>
      </w:r>
      <w:r w:rsidR="00A8078D">
        <w:rPr>
          <w:rFonts w:ascii="Arial" w:hAnsi="Arial" w:cs="Arial"/>
          <w:color w:val="000000" w:themeColor="text1"/>
          <w:sz w:val="20"/>
        </w:rPr>
        <w:t>ige</w:t>
      </w:r>
      <w:r w:rsidR="001450A9">
        <w:rPr>
          <w:rFonts w:ascii="Arial" w:hAnsi="Arial" w:cs="Arial"/>
          <w:color w:val="000000" w:themeColor="text1"/>
          <w:sz w:val="20"/>
        </w:rPr>
        <w:t xml:space="preserve">nce au sein du groupe vis-à-vis des activités de la </w:t>
      </w:r>
      <w:proofErr w:type="spellStart"/>
      <w:r w:rsidR="001450A9">
        <w:rPr>
          <w:rFonts w:ascii="Arial" w:hAnsi="Arial" w:cs="Arial"/>
          <w:color w:val="000000" w:themeColor="text1"/>
          <w:sz w:val="20"/>
        </w:rPr>
        <w:t>Sosucam</w:t>
      </w:r>
      <w:proofErr w:type="spellEnd"/>
      <w:r w:rsidRPr="00DA5E5D">
        <w:rPr>
          <w:rFonts w:ascii="Arial" w:hAnsi="Arial" w:cs="Arial"/>
          <w:color w:val="000000" w:themeColor="text1"/>
          <w:sz w:val="20"/>
        </w:rPr>
        <w:t>.</w:t>
      </w:r>
      <w:r w:rsidR="000B6D07">
        <w:rPr>
          <w:rFonts w:ascii="Arial" w:hAnsi="Arial" w:cs="Arial"/>
          <w:color w:val="000000" w:themeColor="text1"/>
          <w:sz w:val="20"/>
        </w:rPr>
        <w:t xml:space="preserve"> </w:t>
      </w:r>
      <w:r w:rsidR="00C24851" w:rsidRPr="00DA5E5D">
        <w:rPr>
          <w:rFonts w:ascii="Arial" w:hAnsi="Arial" w:cs="Arial"/>
          <w:color w:val="000000" w:themeColor="text1"/>
          <w:sz w:val="20"/>
        </w:rPr>
        <w:t xml:space="preserve">Le 11 février 2021, le PCN français a décidé d’accepter la saisine. Les parties ont rapidement accepté de participer aux bons offices proposés par le PCN qui ont débuté le 9 mars 2021. Le PCN a </w:t>
      </w:r>
      <w:r w:rsidR="000F6723">
        <w:rPr>
          <w:rFonts w:ascii="Arial" w:hAnsi="Arial" w:cs="Arial"/>
          <w:color w:val="000000" w:themeColor="text1"/>
          <w:sz w:val="20"/>
        </w:rPr>
        <w:t xml:space="preserve">publié un communiqué d’évaluation initiale le 12 mars 2021 pour annoncer cette décision. Le PCN a </w:t>
      </w:r>
      <w:r w:rsidR="00C24851" w:rsidRPr="00DA5E5D">
        <w:rPr>
          <w:rFonts w:ascii="Arial" w:hAnsi="Arial" w:cs="Arial"/>
          <w:color w:val="000000" w:themeColor="text1"/>
          <w:sz w:val="20"/>
        </w:rPr>
        <w:t xml:space="preserve">conduit une médiation entre juin et octobre 2021 afin de négocier les modalités d’un dialogue futur entre les parties sur les questions de la saisine et </w:t>
      </w:r>
      <w:r w:rsidR="000F6723">
        <w:rPr>
          <w:rFonts w:ascii="Arial" w:hAnsi="Arial" w:cs="Arial"/>
          <w:color w:val="000000" w:themeColor="text1"/>
          <w:sz w:val="20"/>
        </w:rPr>
        <w:t xml:space="preserve">d’évoquer </w:t>
      </w:r>
      <w:r w:rsidR="00C24851" w:rsidRPr="00DA5E5D">
        <w:rPr>
          <w:rFonts w:ascii="Arial" w:hAnsi="Arial" w:cs="Arial"/>
          <w:color w:val="000000" w:themeColor="text1"/>
          <w:sz w:val="20"/>
        </w:rPr>
        <w:t>les réponses de SOMDIAA</w:t>
      </w:r>
      <w:r w:rsidR="00561F41">
        <w:rPr>
          <w:rFonts w:ascii="Arial" w:hAnsi="Arial" w:cs="Arial"/>
          <w:color w:val="000000" w:themeColor="text1"/>
          <w:sz w:val="20"/>
        </w:rPr>
        <w:t xml:space="preserve"> et de la SOSUCAM</w:t>
      </w:r>
      <w:r w:rsidR="000F6723">
        <w:rPr>
          <w:rFonts w:ascii="Arial" w:hAnsi="Arial" w:cs="Arial"/>
          <w:color w:val="000000" w:themeColor="text1"/>
          <w:sz w:val="20"/>
        </w:rPr>
        <w:t xml:space="preserve"> à la saisine</w:t>
      </w:r>
      <w:r w:rsidR="00C24851" w:rsidRPr="00DA5E5D">
        <w:rPr>
          <w:rFonts w:ascii="Arial" w:hAnsi="Arial" w:cs="Arial"/>
          <w:color w:val="000000" w:themeColor="text1"/>
          <w:sz w:val="20"/>
        </w:rPr>
        <w:t>.</w:t>
      </w:r>
      <w:r w:rsidR="000F6723">
        <w:rPr>
          <w:rFonts w:ascii="Arial" w:hAnsi="Arial" w:cs="Arial"/>
          <w:color w:val="000000" w:themeColor="text1"/>
          <w:sz w:val="20"/>
        </w:rPr>
        <w:t xml:space="preserve"> SOMDIAA a adressé un dossier de réponse à </w:t>
      </w:r>
      <w:r w:rsidR="000F6723" w:rsidRPr="00D00464">
        <w:rPr>
          <w:rFonts w:ascii="Arial" w:hAnsi="Arial" w:cs="Arial"/>
          <w:color w:val="000000" w:themeColor="text1"/>
          <w:sz w:val="20"/>
        </w:rPr>
        <w:t>la sais</w:t>
      </w:r>
      <w:r w:rsidR="00797A9E" w:rsidRPr="00D00464">
        <w:rPr>
          <w:rFonts w:ascii="Arial" w:hAnsi="Arial" w:cs="Arial"/>
          <w:color w:val="000000" w:themeColor="text1"/>
          <w:sz w:val="20"/>
        </w:rPr>
        <w:t>i</w:t>
      </w:r>
      <w:r w:rsidR="000F6723" w:rsidRPr="00D00464">
        <w:rPr>
          <w:rFonts w:ascii="Arial" w:hAnsi="Arial" w:cs="Arial"/>
          <w:color w:val="000000" w:themeColor="text1"/>
          <w:sz w:val="20"/>
        </w:rPr>
        <w:t>ne</w:t>
      </w:r>
      <w:r w:rsidR="00797A9E" w:rsidRPr="00D00464">
        <w:rPr>
          <w:rFonts w:ascii="Arial" w:hAnsi="Arial" w:cs="Arial"/>
          <w:color w:val="000000" w:themeColor="text1"/>
          <w:sz w:val="20"/>
        </w:rPr>
        <w:t xml:space="preserve"> mais n’a pas souhaité le communiquer aux plaignants à l’ouverture de la médiation.</w:t>
      </w:r>
      <w:r w:rsidR="000F6723" w:rsidRPr="00D00464">
        <w:rPr>
          <w:rFonts w:ascii="Arial" w:hAnsi="Arial" w:cs="Arial"/>
          <w:color w:val="000000" w:themeColor="text1"/>
          <w:sz w:val="20"/>
        </w:rPr>
        <w:t xml:space="preserve"> </w:t>
      </w:r>
      <w:r w:rsidR="00C24851" w:rsidRPr="00D00464">
        <w:rPr>
          <w:rFonts w:ascii="Arial" w:hAnsi="Arial" w:cs="Arial"/>
          <w:color w:val="000000" w:themeColor="text1"/>
          <w:sz w:val="20"/>
        </w:rPr>
        <w:t xml:space="preserve"> Les parties ont convergé sur un calendrier de réunions techniques</w:t>
      </w:r>
      <w:r w:rsidR="00797A9E" w:rsidRPr="00D00464">
        <w:rPr>
          <w:rFonts w:ascii="Arial" w:hAnsi="Arial" w:cs="Arial"/>
          <w:color w:val="000000" w:themeColor="text1"/>
          <w:sz w:val="20"/>
        </w:rPr>
        <w:t xml:space="preserve"> futures et sur les thèmes à y aborder</w:t>
      </w:r>
      <w:r w:rsidR="00C24851" w:rsidRPr="00D00464">
        <w:rPr>
          <w:rFonts w:ascii="Arial" w:hAnsi="Arial" w:cs="Arial"/>
          <w:color w:val="000000" w:themeColor="text1"/>
          <w:sz w:val="20"/>
        </w:rPr>
        <w:t xml:space="preserve">. </w:t>
      </w:r>
      <w:r w:rsidR="00797A9E" w:rsidRPr="00D00464">
        <w:rPr>
          <w:rFonts w:ascii="Arial" w:hAnsi="Arial" w:cs="Arial"/>
          <w:color w:val="000000" w:themeColor="text1"/>
          <w:sz w:val="20"/>
        </w:rPr>
        <w:t>En revanche, l</w:t>
      </w:r>
      <w:r w:rsidR="00C24851" w:rsidRPr="00D00464">
        <w:rPr>
          <w:rFonts w:ascii="Arial" w:hAnsi="Arial" w:cs="Arial"/>
          <w:color w:val="000000" w:themeColor="text1"/>
          <w:sz w:val="20"/>
        </w:rPr>
        <w:t xml:space="preserve">es discussions sur la participation des CRV, l’accès à l’information du plaignant et le rôle du PCN ont été plus difficiles. En octobre 2021, </w:t>
      </w:r>
      <w:r w:rsidR="000B6D07" w:rsidRPr="00D00464">
        <w:rPr>
          <w:rFonts w:ascii="Arial" w:hAnsi="Arial" w:cs="Arial"/>
          <w:color w:val="000000" w:themeColor="text1"/>
          <w:sz w:val="20"/>
        </w:rPr>
        <w:t>l</w:t>
      </w:r>
      <w:r w:rsidR="00797A9E" w:rsidRPr="00D00464">
        <w:rPr>
          <w:rFonts w:ascii="Arial" w:hAnsi="Arial" w:cs="Arial"/>
          <w:color w:val="000000" w:themeColor="text1"/>
          <w:sz w:val="20"/>
        </w:rPr>
        <w:t>e Groupe SOMDIAA</w:t>
      </w:r>
      <w:r w:rsidR="00C24851" w:rsidRPr="00D00464">
        <w:rPr>
          <w:rFonts w:ascii="Arial" w:hAnsi="Arial" w:cs="Arial"/>
          <w:color w:val="000000" w:themeColor="text1"/>
          <w:sz w:val="20"/>
        </w:rPr>
        <w:t xml:space="preserve"> a décidé de se retirer des bons offices du PCN. </w:t>
      </w:r>
      <w:r w:rsidR="00797A9E" w:rsidRPr="00D00464">
        <w:rPr>
          <w:rFonts w:ascii="Arial" w:hAnsi="Arial" w:cs="Arial"/>
          <w:color w:val="000000" w:themeColor="text1"/>
          <w:sz w:val="20"/>
        </w:rPr>
        <w:t xml:space="preserve">Le PCN a pris bonne note d’allégations de pressions exercées à l’encontre de certains plaignants </w:t>
      </w:r>
      <w:r w:rsidR="00485E7E" w:rsidRPr="00D00464">
        <w:rPr>
          <w:rFonts w:ascii="Arial" w:hAnsi="Arial" w:cs="Arial"/>
          <w:color w:val="000000" w:themeColor="text1"/>
          <w:sz w:val="20"/>
        </w:rPr>
        <w:t xml:space="preserve">dans le contexte de cette procédure. </w:t>
      </w:r>
      <w:r w:rsidR="00C24851" w:rsidRPr="00D00464">
        <w:rPr>
          <w:rFonts w:ascii="Arial" w:hAnsi="Arial" w:cs="Arial"/>
          <w:color w:val="000000" w:themeColor="text1"/>
          <w:sz w:val="20"/>
        </w:rPr>
        <w:t>Le PCN a constaté l’absence d’accord entre les parties sur les modalités du dialogue futur et que les conditions ne permettaient pas de poursuivre sa médiation.</w:t>
      </w:r>
      <w:r w:rsidR="00485E7E" w:rsidRPr="00D00464">
        <w:rPr>
          <w:rFonts w:ascii="Arial" w:hAnsi="Arial" w:cs="Arial"/>
          <w:color w:val="000000" w:themeColor="text1"/>
          <w:sz w:val="20"/>
        </w:rPr>
        <w:t xml:space="preserve"> Il a ensuite préparé un communiqué final qui a fait l’objet d’échanges entre les parties.</w:t>
      </w:r>
    </w:p>
    <w:p w14:paraId="521F8AEE" w14:textId="48A4EEC3" w:rsidR="00A2585A" w:rsidRPr="00DA5E5D" w:rsidRDefault="00485E7E" w:rsidP="00B3656A">
      <w:pPr>
        <w:spacing w:before="240" w:after="0"/>
        <w:jc w:val="both"/>
        <w:rPr>
          <w:rFonts w:ascii="Arial" w:hAnsi="Arial" w:cs="Arial"/>
          <w:color w:val="000000" w:themeColor="text1"/>
          <w:sz w:val="20"/>
          <w:szCs w:val="20"/>
        </w:rPr>
      </w:pPr>
      <w:r>
        <w:rPr>
          <w:rFonts w:ascii="Arial" w:hAnsi="Arial" w:cs="Arial"/>
          <w:color w:val="000000" w:themeColor="text1"/>
          <w:sz w:val="20"/>
        </w:rPr>
        <w:t>P</w:t>
      </w:r>
      <w:r w:rsidR="00417C5D" w:rsidRPr="00DA5E5D">
        <w:rPr>
          <w:rFonts w:ascii="Arial" w:hAnsi="Arial" w:cs="Arial"/>
          <w:color w:val="000000" w:themeColor="text1"/>
          <w:sz w:val="20"/>
        </w:rPr>
        <w:t xml:space="preserve">ar le biais d’un communiqué final en date du 17 mai 2022, </w:t>
      </w:r>
      <w:r>
        <w:rPr>
          <w:rFonts w:ascii="Arial" w:hAnsi="Arial" w:cs="Arial"/>
          <w:color w:val="000000" w:themeColor="text1"/>
          <w:sz w:val="20"/>
        </w:rPr>
        <w:t xml:space="preserve">le PCN </w:t>
      </w:r>
      <w:r w:rsidR="00417C5D" w:rsidRPr="00DA5E5D">
        <w:rPr>
          <w:rFonts w:ascii="Arial" w:hAnsi="Arial" w:cs="Arial"/>
          <w:color w:val="000000" w:themeColor="text1"/>
          <w:sz w:val="20"/>
        </w:rPr>
        <w:t>a adressé 5 recommandations</w:t>
      </w:r>
      <w:r w:rsidR="00744743" w:rsidRPr="00DA5E5D">
        <w:rPr>
          <w:rFonts w:ascii="Arial" w:hAnsi="Arial" w:cs="Arial"/>
          <w:color w:val="000000" w:themeColor="text1"/>
          <w:sz w:val="20"/>
        </w:rPr>
        <w:t xml:space="preserve"> (cf. page</w:t>
      </w:r>
      <w:r w:rsidR="00981ED4" w:rsidRPr="00DA5E5D">
        <w:rPr>
          <w:rFonts w:ascii="Arial" w:hAnsi="Arial" w:cs="Arial"/>
          <w:color w:val="000000" w:themeColor="text1"/>
          <w:sz w:val="20"/>
        </w:rPr>
        <w:t>s</w:t>
      </w:r>
      <w:r w:rsidR="00C5420D" w:rsidRPr="00DA5E5D">
        <w:rPr>
          <w:rFonts w:ascii="Arial" w:hAnsi="Arial" w:cs="Arial"/>
          <w:color w:val="000000" w:themeColor="text1"/>
          <w:sz w:val="20"/>
        </w:rPr>
        <w:t xml:space="preserve"> 2,</w:t>
      </w:r>
      <w:r w:rsidR="00981ED4" w:rsidRPr="00DA5E5D">
        <w:rPr>
          <w:rFonts w:ascii="Arial" w:hAnsi="Arial" w:cs="Arial"/>
          <w:color w:val="000000" w:themeColor="text1"/>
          <w:sz w:val="20"/>
        </w:rPr>
        <w:t xml:space="preserve"> 3</w:t>
      </w:r>
      <w:r w:rsidR="00A31FB3" w:rsidRPr="00DA5E5D">
        <w:rPr>
          <w:rFonts w:ascii="Arial" w:hAnsi="Arial" w:cs="Arial"/>
          <w:color w:val="000000" w:themeColor="text1"/>
          <w:sz w:val="20"/>
        </w:rPr>
        <w:t>,</w:t>
      </w:r>
      <w:r w:rsidR="00981ED4" w:rsidRPr="00DA5E5D">
        <w:rPr>
          <w:rFonts w:ascii="Arial" w:hAnsi="Arial" w:cs="Arial"/>
          <w:color w:val="000000" w:themeColor="text1"/>
          <w:sz w:val="20"/>
        </w:rPr>
        <w:t xml:space="preserve"> 4 </w:t>
      </w:r>
      <w:r w:rsidR="00A31FB3" w:rsidRPr="00DA5E5D">
        <w:rPr>
          <w:rFonts w:ascii="Arial" w:hAnsi="Arial" w:cs="Arial"/>
          <w:color w:val="000000" w:themeColor="text1"/>
          <w:sz w:val="20"/>
        </w:rPr>
        <w:t xml:space="preserve">et 5 </w:t>
      </w:r>
      <w:r w:rsidR="00981ED4" w:rsidRPr="00DA5E5D">
        <w:rPr>
          <w:rFonts w:ascii="Arial" w:hAnsi="Arial" w:cs="Arial"/>
          <w:color w:val="000000" w:themeColor="text1"/>
          <w:sz w:val="20"/>
        </w:rPr>
        <w:t>de ce communiqué</w:t>
      </w:r>
      <w:r w:rsidR="000F268F" w:rsidRPr="00DA5E5D">
        <w:rPr>
          <w:rFonts w:ascii="Arial" w:hAnsi="Arial" w:cs="Arial"/>
          <w:color w:val="000000" w:themeColor="text1"/>
          <w:sz w:val="20"/>
        </w:rPr>
        <w:t xml:space="preserve"> pour le détail des recommandations</w:t>
      </w:r>
      <w:r w:rsidR="00744743" w:rsidRPr="00DA5E5D">
        <w:rPr>
          <w:rFonts w:ascii="Arial" w:hAnsi="Arial" w:cs="Arial"/>
          <w:color w:val="000000" w:themeColor="text1"/>
          <w:sz w:val="20"/>
        </w:rPr>
        <w:t>)</w:t>
      </w:r>
      <w:r w:rsidR="00417C5D" w:rsidRPr="00DA5E5D">
        <w:rPr>
          <w:rFonts w:ascii="Arial" w:hAnsi="Arial" w:cs="Arial"/>
          <w:color w:val="000000" w:themeColor="text1"/>
          <w:sz w:val="20"/>
        </w:rPr>
        <w:t xml:space="preserve"> à COPAGEF</w:t>
      </w:r>
      <w:r>
        <w:rPr>
          <w:rFonts w:ascii="Arial" w:hAnsi="Arial" w:cs="Arial"/>
          <w:color w:val="000000" w:themeColor="text1"/>
          <w:sz w:val="20"/>
        </w:rPr>
        <w:t xml:space="preserve"> et </w:t>
      </w:r>
      <w:r w:rsidR="00417C5D" w:rsidRPr="00DA5E5D">
        <w:rPr>
          <w:rFonts w:ascii="Arial" w:hAnsi="Arial" w:cs="Arial"/>
          <w:color w:val="000000" w:themeColor="text1"/>
          <w:sz w:val="20"/>
        </w:rPr>
        <w:t>à SOMDIAA visant à approfondir leurs politiques et leurs outils de devoir de diligence</w:t>
      </w:r>
      <w:r w:rsidR="00D00464">
        <w:rPr>
          <w:rFonts w:ascii="Arial" w:hAnsi="Arial" w:cs="Arial"/>
          <w:color w:val="000000" w:themeColor="text1"/>
          <w:sz w:val="20"/>
        </w:rPr>
        <w:t xml:space="preserve"> en regard des activités de la SOSUCAM</w:t>
      </w:r>
      <w:r w:rsidR="00417C5D" w:rsidRPr="00DA5E5D">
        <w:rPr>
          <w:rFonts w:ascii="Arial" w:hAnsi="Arial" w:cs="Arial"/>
          <w:color w:val="000000" w:themeColor="text1"/>
          <w:sz w:val="20"/>
        </w:rPr>
        <w:t xml:space="preserve"> tel qu’il découle des Principes directeurs</w:t>
      </w:r>
      <w:r w:rsidR="00B16FDE" w:rsidRPr="00DA5E5D">
        <w:rPr>
          <w:rFonts w:ascii="Arial" w:hAnsi="Arial" w:cs="Arial"/>
          <w:color w:val="000000" w:themeColor="text1"/>
          <w:sz w:val="20"/>
        </w:rPr>
        <w:t xml:space="preserve"> pour la Conduite Responsable des Entreprises</w:t>
      </w:r>
      <w:r w:rsidR="00D00464">
        <w:rPr>
          <w:rFonts w:ascii="Arial" w:hAnsi="Arial" w:cs="Arial"/>
          <w:color w:val="000000" w:themeColor="text1"/>
          <w:sz w:val="20"/>
        </w:rPr>
        <w:t xml:space="preserve"> de l’OCDE dans sa version de 2011</w:t>
      </w:r>
      <w:r w:rsidR="00417C5D" w:rsidRPr="00DA5E5D">
        <w:rPr>
          <w:rFonts w:ascii="Arial" w:hAnsi="Arial" w:cs="Arial"/>
          <w:color w:val="000000" w:themeColor="text1"/>
          <w:sz w:val="20"/>
        </w:rPr>
        <w:t xml:space="preserve">. </w:t>
      </w:r>
    </w:p>
    <w:p w14:paraId="7D8E90E0" w14:textId="00047C64" w:rsidR="00B74DBE" w:rsidRPr="00BA7FFB" w:rsidRDefault="00FC18DD" w:rsidP="00211FDC">
      <w:pPr>
        <w:pStyle w:val="Titre1"/>
        <w:spacing w:before="480"/>
      </w:pPr>
      <w:bookmarkStart w:id="4" w:name="_Toc64455333"/>
      <w:bookmarkStart w:id="5" w:name="_Toc103098193"/>
      <w:r>
        <w:t>3</w:t>
      </w:r>
      <w:r w:rsidR="00B74DBE">
        <w:t xml:space="preserve">. </w:t>
      </w:r>
      <w:r w:rsidR="00D679E4">
        <w:t xml:space="preserve">Actions </w:t>
      </w:r>
      <w:r w:rsidR="00211FDC">
        <w:t>du</w:t>
      </w:r>
      <w:r w:rsidR="00D679E4">
        <w:t xml:space="preserve"> PCN</w:t>
      </w:r>
      <w:bookmarkEnd w:id="4"/>
      <w:r w:rsidR="00A135E3">
        <w:t xml:space="preserve"> </w:t>
      </w:r>
      <w:r w:rsidR="00760B75">
        <w:t>pour</w:t>
      </w:r>
      <w:r w:rsidR="00211FDC">
        <w:t xml:space="preserve"> </w:t>
      </w:r>
      <w:r w:rsidR="00A135E3">
        <w:t xml:space="preserve">faire </w:t>
      </w:r>
      <w:r w:rsidR="00211FDC">
        <w:t>le</w:t>
      </w:r>
      <w:r w:rsidR="00B3656A">
        <w:t xml:space="preserve"> suivi d</w:t>
      </w:r>
      <w:r w:rsidR="00760B75">
        <w:t>e</w:t>
      </w:r>
      <w:r w:rsidR="00211FDC">
        <w:t xml:space="preserve"> s</w:t>
      </w:r>
      <w:r w:rsidR="00760B75">
        <w:t xml:space="preserve">es recommandations </w:t>
      </w:r>
      <w:bookmarkEnd w:id="5"/>
    </w:p>
    <w:p w14:paraId="3409D0AB" w14:textId="4B04897B" w:rsidR="00211FDC" w:rsidRPr="004D5BB4" w:rsidRDefault="00B3656A" w:rsidP="007468B4">
      <w:pPr>
        <w:pStyle w:val="Para"/>
        <w:numPr>
          <w:ilvl w:val="0"/>
          <w:numId w:val="0"/>
        </w:numPr>
        <w:spacing w:before="240" w:after="0" w:line="259" w:lineRule="auto"/>
        <w:rPr>
          <w:rFonts w:ascii="Arial" w:hAnsi="Arial" w:cs="Arial"/>
          <w:b/>
          <w:bCs/>
          <w:color w:val="000000" w:themeColor="text1"/>
        </w:rPr>
      </w:pPr>
      <w:r w:rsidRPr="004D5BB4">
        <w:rPr>
          <w:rFonts w:ascii="Arial" w:hAnsi="Arial" w:cs="Arial"/>
          <w:color w:val="000000" w:themeColor="text1"/>
        </w:rPr>
        <w:t>L</w:t>
      </w:r>
      <w:r w:rsidR="00D679E4" w:rsidRPr="004D5BB4">
        <w:rPr>
          <w:rFonts w:ascii="Arial" w:hAnsi="Arial" w:cs="Arial"/>
          <w:color w:val="000000" w:themeColor="text1"/>
        </w:rPr>
        <w:t xml:space="preserve">e </w:t>
      </w:r>
      <w:r w:rsidRPr="004D5BB4">
        <w:rPr>
          <w:rFonts w:ascii="Arial" w:hAnsi="Arial" w:cs="Arial"/>
          <w:color w:val="000000" w:themeColor="text1"/>
        </w:rPr>
        <w:t xml:space="preserve">communiqué final </w:t>
      </w:r>
      <w:r w:rsidR="00211FDC" w:rsidRPr="004D5BB4">
        <w:rPr>
          <w:rFonts w:ascii="Arial" w:hAnsi="Arial" w:cs="Arial"/>
          <w:color w:val="000000" w:themeColor="text1"/>
        </w:rPr>
        <w:t>du PCN</w:t>
      </w:r>
      <w:r w:rsidR="00A135E3" w:rsidRPr="004D5BB4">
        <w:rPr>
          <w:rFonts w:ascii="Arial" w:hAnsi="Arial" w:cs="Arial"/>
          <w:color w:val="000000" w:themeColor="text1"/>
        </w:rPr>
        <w:t xml:space="preserve"> du 1</w:t>
      </w:r>
      <w:r w:rsidR="00B16FDE" w:rsidRPr="004D5BB4">
        <w:rPr>
          <w:rFonts w:ascii="Arial" w:hAnsi="Arial" w:cs="Arial"/>
          <w:color w:val="000000" w:themeColor="text1"/>
        </w:rPr>
        <w:t>7</w:t>
      </w:r>
      <w:r w:rsidR="00A135E3" w:rsidRPr="004D5BB4">
        <w:rPr>
          <w:rFonts w:ascii="Arial" w:hAnsi="Arial" w:cs="Arial"/>
          <w:color w:val="000000" w:themeColor="text1"/>
        </w:rPr>
        <w:t xml:space="preserve"> ma</w:t>
      </w:r>
      <w:r w:rsidR="00B16FDE" w:rsidRPr="004D5BB4">
        <w:rPr>
          <w:rFonts w:ascii="Arial" w:hAnsi="Arial" w:cs="Arial"/>
          <w:color w:val="000000" w:themeColor="text1"/>
        </w:rPr>
        <w:t>i</w:t>
      </w:r>
      <w:r w:rsidR="00A135E3" w:rsidRPr="004D5BB4">
        <w:rPr>
          <w:rFonts w:ascii="Arial" w:hAnsi="Arial" w:cs="Arial"/>
          <w:color w:val="000000" w:themeColor="text1"/>
        </w:rPr>
        <w:t xml:space="preserve"> 202</w:t>
      </w:r>
      <w:r w:rsidR="00B16FDE" w:rsidRPr="004D5BB4">
        <w:rPr>
          <w:rFonts w:ascii="Arial" w:hAnsi="Arial" w:cs="Arial"/>
          <w:color w:val="000000" w:themeColor="text1"/>
        </w:rPr>
        <w:t>2</w:t>
      </w:r>
      <w:r w:rsidR="00211FDC" w:rsidRPr="004D5BB4">
        <w:rPr>
          <w:rFonts w:ascii="Arial" w:hAnsi="Arial" w:cs="Arial"/>
          <w:color w:val="000000" w:themeColor="text1"/>
        </w:rPr>
        <w:t xml:space="preserve"> </w:t>
      </w:r>
      <w:r w:rsidR="00A135E3" w:rsidRPr="004D5BB4">
        <w:rPr>
          <w:rFonts w:ascii="Arial" w:hAnsi="Arial" w:cs="Arial"/>
          <w:color w:val="000000" w:themeColor="text1"/>
        </w:rPr>
        <w:t>adressait</w:t>
      </w:r>
      <w:r w:rsidR="00211FDC" w:rsidRPr="004D5BB4">
        <w:rPr>
          <w:rFonts w:ascii="Arial" w:hAnsi="Arial" w:cs="Arial"/>
          <w:color w:val="000000" w:themeColor="text1"/>
        </w:rPr>
        <w:t xml:space="preserve"> </w:t>
      </w:r>
      <w:r w:rsidR="00B16FDE" w:rsidRPr="004D5BB4">
        <w:rPr>
          <w:rFonts w:ascii="Arial" w:hAnsi="Arial" w:cs="Arial"/>
          <w:color w:val="000000" w:themeColor="text1"/>
        </w:rPr>
        <w:t>5</w:t>
      </w:r>
      <w:r w:rsidR="00211FDC" w:rsidRPr="004D5BB4">
        <w:rPr>
          <w:rFonts w:ascii="Arial" w:hAnsi="Arial" w:cs="Arial"/>
          <w:color w:val="000000" w:themeColor="text1"/>
        </w:rPr>
        <w:t xml:space="preserve"> recommandations </w:t>
      </w:r>
      <w:r w:rsidR="00B16FDE" w:rsidRPr="004D5BB4">
        <w:rPr>
          <w:rFonts w:ascii="Arial" w:hAnsi="Arial" w:cs="Arial"/>
          <w:color w:val="000000" w:themeColor="text1"/>
        </w:rPr>
        <w:t>aux entreprises concernées par la Circonstance Spécifique</w:t>
      </w:r>
      <w:r w:rsidR="00A135E3" w:rsidRPr="004D5BB4">
        <w:rPr>
          <w:rFonts w:ascii="Arial" w:hAnsi="Arial" w:cs="Arial"/>
          <w:color w:val="000000" w:themeColor="text1"/>
        </w:rPr>
        <w:t xml:space="preserve"> </w:t>
      </w:r>
      <w:r w:rsidR="00211FDC" w:rsidRPr="004D5BB4">
        <w:rPr>
          <w:rFonts w:ascii="Arial" w:hAnsi="Arial" w:cs="Arial"/>
          <w:color w:val="000000" w:themeColor="text1"/>
        </w:rPr>
        <w:t xml:space="preserve">et prévoyait leur </w:t>
      </w:r>
      <w:r w:rsidR="00B16FDE" w:rsidRPr="004D5BB4">
        <w:rPr>
          <w:rFonts w:ascii="Arial" w:hAnsi="Arial" w:cs="Arial"/>
          <w:color w:val="000000" w:themeColor="text1"/>
        </w:rPr>
        <w:t>suivi.</w:t>
      </w:r>
    </w:p>
    <w:p w14:paraId="474FE7FB" w14:textId="15744D61" w:rsidR="00B3656A" w:rsidRPr="004D5BB4" w:rsidRDefault="00B3656A" w:rsidP="00B3656A">
      <w:pPr>
        <w:spacing w:before="240" w:after="0"/>
        <w:jc w:val="both"/>
        <w:rPr>
          <w:rFonts w:ascii="Arial" w:hAnsi="Arial" w:cs="Arial"/>
          <w:color w:val="000000" w:themeColor="text1"/>
          <w:sz w:val="20"/>
          <w:szCs w:val="20"/>
        </w:rPr>
      </w:pPr>
      <w:r w:rsidRPr="001A1C8E">
        <w:rPr>
          <w:rFonts w:ascii="Arial" w:hAnsi="Arial" w:cs="Arial"/>
          <w:color w:val="000000" w:themeColor="text1"/>
          <w:sz w:val="20"/>
          <w:szCs w:val="20"/>
        </w:rPr>
        <w:t>L</w:t>
      </w:r>
      <w:r w:rsidR="00263856" w:rsidRPr="001A1C8E">
        <w:rPr>
          <w:rFonts w:ascii="Arial" w:hAnsi="Arial" w:cs="Arial"/>
          <w:color w:val="000000" w:themeColor="text1"/>
          <w:sz w:val="20"/>
          <w:szCs w:val="20"/>
        </w:rPr>
        <w:t xml:space="preserve">’équipe dirigeante du PCN français pour la CRE </w:t>
      </w:r>
      <w:r w:rsidRPr="001A1C8E">
        <w:rPr>
          <w:rFonts w:ascii="Arial" w:hAnsi="Arial" w:cs="Arial"/>
          <w:color w:val="000000" w:themeColor="text1"/>
          <w:sz w:val="20"/>
          <w:szCs w:val="20"/>
        </w:rPr>
        <w:t xml:space="preserve">a eu plusieurs échanges avec </w:t>
      </w:r>
      <w:r w:rsidR="00263856" w:rsidRPr="001A1C8E">
        <w:rPr>
          <w:rFonts w:ascii="Arial" w:hAnsi="Arial" w:cs="Arial"/>
          <w:color w:val="000000" w:themeColor="text1"/>
          <w:sz w:val="20"/>
          <w:szCs w:val="20"/>
        </w:rPr>
        <w:t xml:space="preserve">SOMDIAA et SOSUCAM ainsi qu’avec les plaignants. </w:t>
      </w:r>
      <w:r w:rsidR="004852D1" w:rsidRPr="001A1C8E">
        <w:rPr>
          <w:rFonts w:ascii="Arial" w:hAnsi="Arial" w:cs="Arial"/>
          <w:color w:val="000000" w:themeColor="text1"/>
          <w:sz w:val="20"/>
          <w:szCs w:val="20"/>
        </w:rPr>
        <w:t>Son équipe dirigeante</w:t>
      </w:r>
      <w:r w:rsidR="00E53643" w:rsidRPr="001A1C8E">
        <w:rPr>
          <w:rFonts w:ascii="Arial" w:hAnsi="Arial" w:cs="Arial"/>
          <w:color w:val="000000" w:themeColor="text1"/>
          <w:sz w:val="20"/>
          <w:szCs w:val="20"/>
        </w:rPr>
        <w:t xml:space="preserve"> a auditionné séparément les deux parties (les plaignants le 1er juin en distanciel et des représentants de SOMDIAA et de la </w:t>
      </w:r>
      <w:proofErr w:type="spellStart"/>
      <w:r w:rsidR="00E53643" w:rsidRPr="001A1C8E">
        <w:rPr>
          <w:rFonts w:ascii="Arial" w:hAnsi="Arial" w:cs="Arial"/>
          <w:color w:val="000000" w:themeColor="text1"/>
          <w:sz w:val="20"/>
          <w:szCs w:val="20"/>
        </w:rPr>
        <w:t>Sosucam</w:t>
      </w:r>
      <w:proofErr w:type="spellEnd"/>
      <w:r w:rsidR="00E53643" w:rsidRPr="001A1C8E">
        <w:rPr>
          <w:rFonts w:ascii="Arial" w:hAnsi="Arial" w:cs="Arial"/>
          <w:color w:val="000000" w:themeColor="text1"/>
          <w:sz w:val="20"/>
          <w:szCs w:val="20"/>
        </w:rPr>
        <w:t xml:space="preserve"> le 14 juin </w:t>
      </w:r>
      <w:r w:rsidR="00AF4DF3">
        <w:rPr>
          <w:rFonts w:ascii="Arial" w:hAnsi="Arial" w:cs="Arial"/>
          <w:color w:val="000000" w:themeColor="text1"/>
          <w:sz w:val="20"/>
          <w:szCs w:val="20"/>
        </w:rPr>
        <w:t xml:space="preserve">2023 </w:t>
      </w:r>
      <w:r w:rsidR="00E53643" w:rsidRPr="001A1C8E">
        <w:rPr>
          <w:rFonts w:ascii="Arial" w:hAnsi="Arial" w:cs="Arial"/>
          <w:color w:val="000000" w:themeColor="text1"/>
          <w:sz w:val="20"/>
          <w:szCs w:val="20"/>
        </w:rPr>
        <w:t xml:space="preserve">en présentiel). </w:t>
      </w:r>
      <w:r w:rsidR="00A636CB" w:rsidRPr="001A1C8E">
        <w:rPr>
          <w:rFonts w:ascii="Arial" w:hAnsi="Arial" w:cs="Arial"/>
          <w:color w:val="000000" w:themeColor="text1"/>
          <w:sz w:val="20"/>
          <w:szCs w:val="20"/>
        </w:rPr>
        <w:t>A l’issue de ces entretiens, l</w:t>
      </w:r>
      <w:r w:rsidR="00E53643" w:rsidRPr="001A1C8E">
        <w:rPr>
          <w:rFonts w:ascii="Arial" w:hAnsi="Arial" w:cs="Arial"/>
          <w:color w:val="000000" w:themeColor="text1"/>
          <w:sz w:val="20"/>
          <w:szCs w:val="20"/>
        </w:rPr>
        <w:t xml:space="preserve">es plaignants </w:t>
      </w:r>
      <w:r w:rsidR="00A636CB" w:rsidRPr="001A1C8E">
        <w:rPr>
          <w:rFonts w:ascii="Arial" w:hAnsi="Arial" w:cs="Arial"/>
          <w:color w:val="000000" w:themeColor="text1"/>
          <w:sz w:val="20"/>
          <w:szCs w:val="20"/>
        </w:rPr>
        <w:t xml:space="preserve">ont </w:t>
      </w:r>
      <w:r w:rsidR="00E53643" w:rsidRPr="001A1C8E">
        <w:rPr>
          <w:rFonts w:ascii="Arial" w:hAnsi="Arial" w:cs="Arial"/>
          <w:color w:val="000000" w:themeColor="text1"/>
          <w:sz w:val="20"/>
          <w:szCs w:val="20"/>
        </w:rPr>
        <w:t xml:space="preserve">adressé, en plusieurs </w:t>
      </w:r>
      <w:r w:rsidR="00A636CB" w:rsidRPr="001A1C8E">
        <w:rPr>
          <w:rFonts w:ascii="Arial" w:hAnsi="Arial" w:cs="Arial"/>
          <w:color w:val="000000" w:themeColor="text1"/>
          <w:sz w:val="20"/>
          <w:szCs w:val="20"/>
        </w:rPr>
        <w:t>envois</w:t>
      </w:r>
      <w:r w:rsidR="00E53643" w:rsidRPr="001A1C8E">
        <w:rPr>
          <w:rFonts w:ascii="Arial" w:hAnsi="Arial" w:cs="Arial"/>
          <w:color w:val="000000" w:themeColor="text1"/>
          <w:sz w:val="20"/>
          <w:szCs w:val="20"/>
        </w:rPr>
        <w:t xml:space="preserve">, </w:t>
      </w:r>
      <w:r w:rsidR="00A636CB" w:rsidRPr="001A1C8E">
        <w:rPr>
          <w:rFonts w:ascii="Arial" w:hAnsi="Arial" w:cs="Arial"/>
          <w:color w:val="000000" w:themeColor="text1"/>
          <w:sz w:val="20"/>
          <w:szCs w:val="20"/>
        </w:rPr>
        <w:t>au PCN leur</w:t>
      </w:r>
      <w:r w:rsidR="00E53643" w:rsidRPr="001A1C8E">
        <w:rPr>
          <w:rFonts w:ascii="Arial" w:hAnsi="Arial" w:cs="Arial"/>
          <w:color w:val="000000" w:themeColor="text1"/>
          <w:sz w:val="20"/>
          <w:szCs w:val="20"/>
        </w:rPr>
        <w:t xml:space="preserve"> analyse de la situation </w:t>
      </w:r>
      <w:r w:rsidR="00A636CB" w:rsidRPr="001A1C8E">
        <w:rPr>
          <w:rFonts w:ascii="Arial" w:hAnsi="Arial" w:cs="Arial"/>
          <w:color w:val="000000" w:themeColor="text1"/>
          <w:sz w:val="20"/>
          <w:szCs w:val="20"/>
        </w:rPr>
        <w:t xml:space="preserve">en matière de devoir de </w:t>
      </w:r>
      <w:r w:rsidR="00A8078D">
        <w:rPr>
          <w:rFonts w:ascii="Arial" w:hAnsi="Arial" w:cs="Arial"/>
          <w:color w:val="000000" w:themeColor="text1"/>
          <w:sz w:val="20"/>
          <w:szCs w:val="20"/>
        </w:rPr>
        <w:t>d</w:t>
      </w:r>
      <w:r w:rsidR="00A636CB" w:rsidRPr="001A1C8E">
        <w:rPr>
          <w:rFonts w:ascii="Arial" w:hAnsi="Arial" w:cs="Arial"/>
          <w:color w:val="000000" w:themeColor="text1"/>
          <w:sz w:val="20"/>
          <w:szCs w:val="20"/>
        </w:rPr>
        <w:t>i</w:t>
      </w:r>
      <w:r w:rsidR="00A8078D">
        <w:rPr>
          <w:rFonts w:ascii="Arial" w:hAnsi="Arial" w:cs="Arial"/>
          <w:color w:val="000000" w:themeColor="text1"/>
          <w:sz w:val="20"/>
          <w:szCs w:val="20"/>
        </w:rPr>
        <w:t>lige</w:t>
      </w:r>
      <w:r w:rsidR="00A636CB" w:rsidRPr="001A1C8E">
        <w:rPr>
          <w:rFonts w:ascii="Arial" w:hAnsi="Arial" w:cs="Arial"/>
          <w:color w:val="000000" w:themeColor="text1"/>
          <w:sz w:val="20"/>
          <w:szCs w:val="20"/>
        </w:rPr>
        <w:t xml:space="preserve">nce s’agissant de la </w:t>
      </w:r>
      <w:proofErr w:type="spellStart"/>
      <w:r w:rsidR="00A636CB" w:rsidRPr="001A1C8E">
        <w:rPr>
          <w:rFonts w:ascii="Arial" w:hAnsi="Arial" w:cs="Arial"/>
          <w:color w:val="000000" w:themeColor="text1"/>
          <w:sz w:val="20"/>
          <w:szCs w:val="20"/>
        </w:rPr>
        <w:t>Sosucam</w:t>
      </w:r>
      <w:proofErr w:type="spellEnd"/>
      <w:r w:rsidR="00A636CB" w:rsidRPr="001A1C8E">
        <w:rPr>
          <w:rFonts w:ascii="Arial" w:hAnsi="Arial" w:cs="Arial"/>
          <w:color w:val="000000" w:themeColor="text1"/>
          <w:sz w:val="20"/>
          <w:szCs w:val="20"/>
        </w:rPr>
        <w:t xml:space="preserve"> et les représentants de la </w:t>
      </w:r>
      <w:proofErr w:type="spellStart"/>
      <w:r w:rsidR="00A636CB" w:rsidRPr="001A1C8E">
        <w:rPr>
          <w:rFonts w:ascii="Arial" w:hAnsi="Arial" w:cs="Arial"/>
          <w:color w:val="000000" w:themeColor="text1"/>
          <w:sz w:val="20"/>
          <w:szCs w:val="20"/>
        </w:rPr>
        <w:t>Sosucam</w:t>
      </w:r>
      <w:proofErr w:type="spellEnd"/>
      <w:r w:rsidR="00A636CB" w:rsidRPr="001A1C8E">
        <w:rPr>
          <w:rFonts w:ascii="Arial" w:hAnsi="Arial" w:cs="Arial"/>
          <w:color w:val="000000" w:themeColor="text1"/>
          <w:sz w:val="20"/>
          <w:szCs w:val="20"/>
        </w:rPr>
        <w:t xml:space="preserve"> et de SOMDIAA ont remis </w:t>
      </w:r>
      <w:r w:rsidR="00BB05A1">
        <w:rPr>
          <w:rFonts w:ascii="Arial" w:hAnsi="Arial" w:cs="Arial"/>
          <w:color w:val="000000" w:themeColor="text1"/>
          <w:sz w:val="20"/>
          <w:szCs w:val="20"/>
        </w:rPr>
        <w:t xml:space="preserve">le 14 juin 2023 </w:t>
      </w:r>
      <w:r w:rsidR="00A636CB" w:rsidRPr="001A1C8E">
        <w:rPr>
          <w:rFonts w:ascii="Arial" w:hAnsi="Arial" w:cs="Arial"/>
          <w:color w:val="000000" w:themeColor="text1"/>
          <w:sz w:val="20"/>
          <w:szCs w:val="20"/>
        </w:rPr>
        <w:t>au Secrétariat Général du PCN un rapport sur les actions entreprises au titre de la Conduite Responsable des Entreprises, rapport qui a été ensuite diffusé aux membres du PCN français (mais pas aux plaignants).</w:t>
      </w:r>
      <w:r w:rsidR="00E53643" w:rsidRPr="001A1C8E">
        <w:rPr>
          <w:rFonts w:ascii="Arial" w:hAnsi="Arial" w:cs="Arial"/>
          <w:color w:val="000000" w:themeColor="text1"/>
          <w:sz w:val="20"/>
          <w:szCs w:val="20"/>
        </w:rPr>
        <w:t xml:space="preserve"> </w:t>
      </w:r>
      <w:r w:rsidR="00263856" w:rsidRPr="001A1C8E">
        <w:rPr>
          <w:rFonts w:ascii="Arial" w:hAnsi="Arial" w:cs="Arial"/>
          <w:color w:val="000000" w:themeColor="text1"/>
          <w:sz w:val="20"/>
          <w:szCs w:val="20"/>
        </w:rPr>
        <w:t xml:space="preserve">Les deux parties ont </w:t>
      </w:r>
      <w:r w:rsidR="00D05B92" w:rsidRPr="001A1C8E">
        <w:rPr>
          <w:rFonts w:ascii="Arial" w:hAnsi="Arial" w:cs="Arial"/>
          <w:color w:val="000000" w:themeColor="text1"/>
          <w:sz w:val="20"/>
          <w:szCs w:val="20"/>
        </w:rPr>
        <w:t xml:space="preserve">également </w:t>
      </w:r>
      <w:r w:rsidR="00263856" w:rsidRPr="001A1C8E">
        <w:rPr>
          <w:rFonts w:ascii="Arial" w:hAnsi="Arial" w:cs="Arial"/>
          <w:color w:val="000000" w:themeColor="text1"/>
          <w:sz w:val="20"/>
          <w:szCs w:val="20"/>
        </w:rPr>
        <w:t xml:space="preserve">été </w:t>
      </w:r>
      <w:r w:rsidR="00A636CB">
        <w:rPr>
          <w:rFonts w:ascii="Arial" w:hAnsi="Arial" w:cs="Arial"/>
          <w:color w:val="000000" w:themeColor="text1"/>
          <w:sz w:val="20"/>
          <w:szCs w:val="20"/>
        </w:rPr>
        <w:t>reçue</w:t>
      </w:r>
      <w:r w:rsidR="00263856" w:rsidRPr="004D5BB4">
        <w:rPr>
          <w:rFonts w:ascii="Arial" w:hAnsi="Arial" w:cs="Arial"/>
          <w:color w:val="000000" w:themeColor="text1"/>
          <w:sz w:val="20"/>
          <w:szCs w:val="20"/>
        </w:rPr>
        <w:t xml:space="preserve"> en audition séparée par le PCN français</w:t>
      </w:r>
      <w:r w:rsidRPr="004D5BB4">
        <w:rPr>
          <w:rFonts w:ascii="Arial" w:hAnsi="Arial" w:cs="Arial"/>
          <w:color w:val="000000" w:themeColor="text1"/>
          <w:sz w:val="20"/>
          <w:szCs w:val="20"/>
        </w:rPr>
        <w:t xml:space="preserve"> le </w:t>
      </w:r>
      <w:r w:rsidR="00263856" w:rsidRPr="004D5BB4">
        <w:rPr>
          <w:rFonts w:ascii="Arial" w:hAnsi="Arial" w:cs="Arial"/>
          <w:color w:val="000000" w:themeColor="text1"/>
          <w:sz w:val="20"/>
          <w:szCs w:val="20"/>
        </w:rPr>
        <w:t>14</w:t>
      </w:r>
      <w:r w:rsidRPr="004D5BB4">
        <w:rPr>
          <w:rFonts w:ascii="Arial" w:hAnsi="Arial" w:cs="Arial"/>
          <w:color w:val="000000" w:themeColor="text1"/>
          <w:sz w:val="20"/>
          <w:szCs w:val="20"/>
        </w:rPr>
        <w:t xml:space="preserve"> septembre 202</w:t>
      </w:r>
      <w:r w:rsidR="00263856" w:rsidRPr="004D5BB4">
        <w:rPr>
          <w:rFonts w:ascii="Arial" w:hAnsi="Arial" w:cs="Arial"/>
          <w:color w:val="000000" w:themeColor="text1"/>
          <w:sz w:val="20"/>
          <w:szCs w:val="20"/>
        </w:rPr>
        <w:t>3</w:t>
      </w:r>
      <w:r w:rsidR="00A636CB">
        <w:rPr>
          <w:rFonts w:ascii="Arial" w:hAnsi="Arial" w:cs="Arial"/>
          <w:color w:val="000000" w:themeColor="text1"/>
          <w:sz w:val="20"/>
          <w:szCs w:val="20"/>
        </w:rPr>
        <w:t xml:space="preserve"> (en présentiel s’agissant de SOMDIAA et SOSUCAM et en distan</w:t>
      </w:r>
      <w:r w:rsidR="001A1C8E">
        <w:rPr>
          <w:rFonts w:ascii="Arial" w:hAnsi="Arial" w:cs="Arial"/>
          <w:color w:val="000000" w:themeColor="text1"/>
          <w:sz w:val="20"/>
          <w:szCs w:val="20"/>
        </w:rPr>
        <w:t>ci</w:t>
      </w:r>
      <w:r w:rsidR="00A636CB">
        <w:rPr>
          <w:rFonts w:ascii="Arial" w:hAnsi="Arial" w:cs="Arial"/>
          <w:color w:val="000000" w:themeColor="text1"/>
          <w:sz w:val="20"/>
          <w:szCs w:val="20"/>
        </w:rPr>
        <w:t>el pour ce qui concerne les plaignants).</w:t>
      </w:r>
      <w:r w:rsidRPr="004D5BB4">
        <w:rPr>
          <w:rFonts w:ascii="Arial" w:hAnsi="Arial" w:cs="Arial"/>
          <w:color w:val="000000" w:themeColor="text1"/>
          <w:sz w:val="20"/>
          <w:szCs w:val="20"/>
        </w:rPr>
        <w:t xml:space="preserve"> </w:t>
      </w:r>
    </w:p>
    <w:p w14:paraId="5F83579B" w14:textId="4AF82D65" w:rsidR="00B3656A" w:rsidRPr="004D5BB4" w:rsidRDefault="00B3656A" w:rsidP="00B3656A">
      <w:pPr>
        <w:spacing w:before="240" w:after="0"/>
        <w:jc w:val="both"/>
        <w:rPr>
          <w:rFonts w:ascii="Arial" w:hAnsi="Arial" w:cs="Arial"/>
          <w:color w:val="000000" w:themeColor="text1"/>
          <w:sz w:val="20"/>
          <w:szCs w:val="20"/>
        </w:rPr>
      </w:pPr>
      <w:r w:rsidRPr="004D5BB4">
        <w:rPr>
          <w:rFonts w:ascii="Arial" w:hAnsi="Arial" w:cs="Arial"/>
          <w:color w:val="000000" w:themeColor="text1"/>
          <w:sz w:val="20"/>
          <w:szCs w:val="20"/>
        </w:rPr>
        <w:t xml:space="preserve">Le PCN adopté un projet de communiqué de suivi </w:t>
      </w:r>
      <w:r w:rsidRPr="001504CE">
        <w:rPr>
          <w:rFonts w:ascii="Arial" w:hAnsi="Arial" w:cs="Arial"/>
          <w:color w:val="000000" w:themeColor="text1"/>
          <w:sz w:val="20"/>
          <w:szCs w:val="20"/>
        </w:rPr>
        <w:t>le</w:t>
      </w:r>
      <w:r w:rsidR="006A7890" w:rsidRPr="001504CE">
        <w:rPr>
          <w:rFonts w:ascii="Arial" w:hAnsi="Arial" w:cs="Arial"/>
          <w:color w:val="000000" w:themeColor="text1"/>
          <w:sz w:val="20"/>
          <w:szCs w:val="20"/>
        </w:rPr>
        <w:t xml:space="preserve"> </w:t>
      </w:r>
      <w:r w:rsidR="006A7890" w:rsidRPr="00B23281">
        <w:rPr>
          <w:rFonts w:ascii="Arial" w:hAnsi="Arial" w:cs="Arial"/>
          <w:color w:val="000000" w:themeColor="text1"/>
          <w:sz w:val="20"/>
          <w:szCs w:val="20"/>
        </w:rPr>
        <w:t>10 janvier 2024</w:t>
      </w:r>
      <w:r w:rsidRPr="00B23281">
        <w:rPr>
          <w:rFonts w:ascii="Arial" w:hAnsi="Arial" w:cs="Arial"/>
          <w:color w:val="000000" w:themeColor="text1"/>
          <w:sz w:val="20"/>
          <w:szCs w:val="20"/>
        </w:rPr>
        <w:t xml:space="preserve"> </w:t>
      </w:r>
      <w:r w:rsidRPr="004D5BB4">
        <w:rPr>
          <w:rFonts w:ascii="Arial" w:hAnsi="Arial" w:cs="Arial"/>
          <w:color w:val="000000" w:themeColor="text1"/>
          <w:sz w:val="20"/>
          <w:szCs w:val="20"/>
        </w:rPr>
        <w:t>et l’a transmis pour observations au Groupe ainsi qu’aux plaignants. Le PCN a pris note des observations reçues puis il a adopté le communiqué de suivi le</w:t>
      </w:r>
      <w:r w:rsidR="001504CE">
        <w:rPr>
          <w:rFonts w:ascii="Arial" w:hAnsi="Arial" w:cs="Arial"/>
          <w:color w:val="FF0000"/>
          <w:sz w:val="20"/>
          <w:szCs w:val="20"/>
        </w:rPr>
        <w:t xml:space="preserve"> </w:t>
      </w:r>
      <w:r w:rsidR="001504CE" w:rsidRPr="00B23281">
        <w:rPr>
          <w:rFonts w:ascii="Arial" w:hAnsi="Arial" w:cs="Arial"/>
          <w:color w:val="000000" w:themeColor="text1"/>
          <w:sz w:val="20"/>
          <w:szCs w:val="20"/>
        </w:rPr>
        <w:t>27 février 2024</w:t>
      </w:r>
      <w:r w:rsidR="00B23281">
        <w:rPr>
          <w:rFonts w:ascii="Arial" w:hAnsi="Arial" w:cs="Arial"/>
          <w:color w:val="FF0000"/>
          <w:sz w:val="20"/>
          <w:szCs w:val="20"/>
        </w:rPr>
        <w:t xml:space="preserve">. </w:t>
      </w:r>
      <w:r w:rsidR="00263856" w:rsidRPr="004D5BB4">
        <w:rPr>
          <w:rFonts w:ascii="Arial" w:hAnsi="Arial" w:cs="Arial"/>
          <w:color w:val="000000" w:themeColor="text1"/>
          <w:sz w:val="20"/>
          <w:szCs w:val="20"/>
        </w:rPr>
        <w:t>Il a ensuite publié ce communiqué sur son site internet et a informé l’OCDE de l’achèvement de la procédure de suivi.</w:t>
      </w:r>
    </w:p>
    <w:p w14:paraId="24F3FDD9" w14:textId="2CA45325" w:rsidR="00D679E4" w:rsidRPr="00A4785B" w:rsidRDefault="002E333C" w:rsidP="00211FDC">
      <w:pPr>
        <w:pStyle w:val="Titre1"/>
        <w:spacing w:before="480"/>
        <w:rPr>
          <w:rFonts w:cs="Arial"/>
        </w:rPr>
      </w:pPr>
      <w:bookmarkStart w:id="6" w:name="_Toc64455334"/>
      <w:bookmarkStart w:id="7" w:name="_Toc103098195"/>
      <w:r>
        <w:t>4</w:t>
      </w:r>
      <w:r w:rsidR="00B74DBE">
        <w:t xml:space="preserve">. </w:t>
      </w:r>
      <w:r w:rsidR="00D679E4">
        <w:t>Résultats d</w:t>
      </w:r>
      <w:r w:rsidR="00B3656A">
        <w:t>u suivi de la circonstanc</w:t>
      </w:r>
      <w:r w:rsidR="00D679E4">
        <w:t>e</w:t>
      </w:r>
      <w:r w:rsidR="00B3656A">
        <w:t xml:space="preserve"> spécifique</w:t>
      </w:r>
      <w:bookmarkEnd w:id="6"/>
      <w:bookmarkEnd w:id="7"/>
      <w:r w:rsidR="00D679E4">
        <w:t xml:space="preserve"> </w:t>
      </w:r>
    </w:p>
    <w:p w14:paraId="157A3CDD" w14:textId="4A3DB7AD" w:rsidR="0002683F" w:rsidRPr="00A13297" w:rsidRDefault="0002683F" w:rsidP="0002683F">
      <w:pPr>
        <w:spacing w:before="240" w:after="0"/>
        <w:jc w:val="both"/>
        <w:rPr>
          <w:rFonts w:ascii="Arial" w:hAnsi="Arial" w:cs="Arial"/>
          <w:color w:val="000000" w:themeColor="text1"/>
          <w:sz w:val="20"/>
          <w:szCs w:val="20"/>
          <w:lang w:eastAsia="fr-FR"/>
        </w:rPr>
      </w:pPr>
      <w:r w:rsidRPr="004D5BB4">
        <w:rPr>
          <w:rFonts w:ascii="Arial" w:hAnsi="Arial" w:cs="Arial"/>
          <w:color w:val="000000" w:themeColor="text1"/>
          <w:sz w:val="20"/>
          <w:szCs w:val="20"/>
          <w:lang w:eastAsia="fr-FR"/>
        </w:rPr>
        <w:t xml:space="preserve">Le PCN remercie </w:t>
      </w:r>
      <w:proofErr w:type="spellStart"/>
      <w:r w:rsidR="00A176F5" w:rsidRPr="004D5BB4">
        <w:rPr>
          <w:rFonts w:ascii="Arial" w:hAnsi="Arial" w:cs="Arial"/>
          <w:color w:val="000000" w:themeColor="text1"/>
          <w:sz w:val="20"/>
          <w:szCs w:val="20"/>
          <w:lang w:eastAsia="fr-FR"/>
        </w:rPr>
        <w:t>Somdia</w:t>
      </w:r>
      <w:r w:rsidR="00597627">
        <w:rPr>
          <w:rFonts w:ascii="Arial" w:hAnsi="Arial" w:cs="Arial"/>
          <w:color w:val="000000" w:themeColor="text1"/>
          <w:sz w:val="20"/>
          <w:szCs w:val="20"/>
          <w:lang w:eastAsia="fr-FR"/>
        </w:rPr>
        <w:t>a</w:t>
      </w:r>
      <w:proofErr w:type="spellEnd"/>
      <w:r w:rsidR="00A176F5" w:rsidRPr="004D5BB4">
        <w:rPr>
          <w:rFonts w:ascii="Arial" w:hAnsi="Arial" w:cs="Arial"/>
          <w:color w:val="000000" w:themeColor="text1"/>
          <w:sz w:val="20"/>
          <w:szCs w:val="20"/>
          <w:lang w:eastAsia="fr-FR"/>
        </w:rPr>
        <w:t xml:space="preserve"> et </w:t>
      </w:r>
      <w:proofErr w:type="spellStart"/>
      <w:r w:rsidR="00A176F5" w:rsidRPr="004D5BB4">
        <w:rPr>
          <w:rFonts w:ascii="Arial" w:hAnsi="Arial" w:cs="Arial"/>
          <w:color w:val="000000" w:themeColor="text1"/>
          <w:sz w:val="20"/>
          <w:szCs w:val="20"/>
          <w:lang w:eastAsia="fr-FR"/>
        </w:rPr>
        <w:t>Sosucam</w:t>
      </w:r>
      <w:proofErr w:type="spellEnd"/>
      <w:r w:rsidRPr="004D5BB4">
        <w:rPr>
          <w:rFonts w:ascii="Arial" w:hAnsi="Arial" w:cs="Arial"/>
          <w:color w:val="000000" w:themeColor="text1"/>
          <w:sz w:val="20"/>
          <w:szCs w:val="20"/>
          <w:lang w:eastAsia="fr-FR"/>
        </w:rPr>
        <w:t xml:space="preserve"> </w:t>
      </w:r>
      <w:r w:rsidR="00753441" w:rsidRPr="004D5BB4">
        <w:rPr>
          <w:rFonts w:ascii="Arial" w:hAnsi="Arial" w:cs="Arial"/>
          <w:color w:val="000000" w:themeColor="text1"/>
          <w:sz w:val="20"/>
          <w:szCs w:val="20"/>
          <w:lang w:eastAsia="fr-FR"/>
        </w:rPr>
        <w:t xml:space="preserve">ainsi que les </w:t>
      </w:r>
      <w:r w:rsidR="00C936B5">
        <w:rPr>
          <w:rFonts w:ascii="Arial" w:hAnsi="Arial" w:cs="Arial"/>
          <w:color w:val="000000" w:themeColor="text1"/>
          <w:sz w:val="20"/>
          <w:szCs w:val="20"/>
          <w:lang w:eastAsia="fr-FR"/>
        </w:rPr>
        <w:t xml:space="preserve">14 comités riverains </w:t>
      </w:r>
      <w:r w:rsidR="00C936B5" w:rsidRPr="00A13297">
        <w:rPr>
          <w:rFonts w:ascii="Arial" w:hAnsi="Arial" w:cs="Arial"/>
          <w:color w:val="000000" w:themeColor="text1"/>
          <w:sz w:val="20"/>
          <w:szCs w:val="20"/>
          <w:lang w:eastAsia="fr-FR"/>
        </w:rPr>
        <w:t>de veille ainsi que le Centre d’Action pour la Vie et la Terre</w:t>
      </w:r>
      <w:r w:rsidR="00753441" w:rsidRPr="00A13297">
        <w:rPr>
          <w:rFonts w:ascii="Arial" w:hAnsi="Arial" w:cs="Arial"/>
          <w:color w:val="000000" w:themeColor="text1"/>
          <w:sz w:val="20"/>
          <w:szCs w:val="20"/>
          <w:lang w:eastAsia="fr-FR"/>
        </w:rPr>
        <w:t xml:space="preserve"> </w:t>
      </w:r>
      <w:r w:rsidRPr="00A13297">
        <w:rPr>
          <w:rFonts w:ascii="Arial" w:hAnsi="Arial" w:cs="Arial"/>
          <w:color w:val="000000" w:themeColor="text1"/>
          <w:sz w:val="20"/>
          <w:szCs w:val="20"/>
          <w:lang w:eastAsia="fr-FR"/>
        </w:rPr>
        <w:t xml:space="preserve">pour leur participation au suivi de la saisine. </w:t>
      </w:r>
    </w:p>
    <w:p w14:paraId="6E8A74A3" w14:textId="34506119" w:rsidR="00753441" w:rsidRPr="004D5BB4" w:rsidRDefault="00776B8E" w:rsidP="00776B8E">
      <w:pPr>
        <w:spacing w:before="240" w:after="0"/>
        <w:jc w:val="both"/>
        <w:rPr>
          <w:rFonts w:ascii="Arial" w:hAnsi="Arial" w:cs="Arial"/>
          <w:color w:val="000000" w:themeColor="text1"/>
          <w:sz w:val="20"/>
          <w:szCs w:val="20"/>
          <w:lang w:eastAsia="fr-FR"/>
        </w:rPr>
      </w:pPr>
      <w:r w:rsidRPr="004D5BB4">
        <w:rPr>
          <w:rFonts w:ascii="Arial" w:hAnsi="Arial" w:cs="Arial"/>
          <w:color w:val="000000" w:themeColor="text1"/>
          <w:sz w:val="20"/>
          <w:szCs w:val="20"/>
          <w:lang w:eastAsia="fr-FR"/>
        </w:rPr>
        <w:t xml:space="preserve">Le PCN </w:t>
      </w:r>
      <w:r w:rsidR="00A1252F" w:rsidRPr="004D5BB4">
        <w:rPr>
          <w:rFonts w:ascii="Arial" w:hAnsi="Arial" w:cs="Arial"/>
          <w:color w:val="000000" w:themeColor="text1"/>
          <w:sz w:val="20"/>
          <w:szCs w:val="20"/>
          <w:lang w:eastAsia="fr-FR"/>
        </w:rPr>
        <w:t>note</w:t>
      </w:r>
      <w:r w:rsidRPr="004D5BB4">
        <w:rPr>
          <w:rFonts w:ascii="Arial" w:hAnsi="Arial" w:cs="Arial"/>
          <w:color w:val="000000" w:themeColor="text1"/>
          <w:sz w:val="20"/>
          <w:szCs w:val="20"/>
          <w:lang w:eastAsia="fr-FR"/>
        </w:rPr>
        <w:t xml:space="preserve"> </w:t>
      </w:r>
      <w:r w:rsidR="00753441" w:rsidRPr="004D5BB4">
        <w:rPr>
          <w:rFonts w:ascii="Arial" w:hAnsi="Arial" w:cs="Arial"/>
          <w:color w:val="000000" w:themeColor="text1"/>
          <w:sz w:val="20"/>
          <w:szCs w:val="20"/>
          <w:lang w:eastAsia="fr-FR"/>
        </w:rPr>
        <w:t>que de</w:t>
      </w:r>
      <w:r w:rsidR="00BF34CF">
        <w:rPr>
          <w:rFonts w:ascii="Arial" w:hAnsi="Arial" w:cs="Arial"/>
          <w:color w:val="000000" w:themeColor="text1"/>
          <w:sz w:val="20"/>
          <w:szCs w:val="20"/>
          <w:lang w:eastAsia="fr-FR"/>
        </w:rPr>
        <w:t>s</w:t>
      </w:r>
      <w:r w:rsidR="00753441" w:rsidRPr="004D5BB4">
        <w:rPr>
          <w:rFonts w:ascii="Arial" w:hAnsi="Arial" w:cs="Arial"/>
          <w:color w:val="000000" w:themeColor="text1"/>
          <w:sz w:val="20"/>
          <w:szCs w:val="20"/>
          <w:lang w:eastAsia="fr-FR"/>
        </w:rPr>
        <w:t xml:space="preserve"> changements sont intervenus dans les </w:t>
      </w:r>
      <w:r w:rsidR="004C731F" w:rsidRPr="004D5BB4">
        <w:rPr>
          <w:rFonts w:ascii="Arial" w:hAnsi="Arial" w:cs="Arial"/>
          <w:color w:val="000000" w:themeColor="text1"/>
          <w:sz w:val="20"/>
          <w:szCs w:val="20"/>
          <w:lang w:eastAsia="fr-FR"/>
        </w:rPr>
        <w:t>struc</w:t>
      </w:r>
      <w:r w:rsidR="00986669" w:rsidRPr="004D5BB4">
        <w:rPr>
          <w:rFonts w:ascii="Arial" w:hAnsi="Arial" w:cs="Arial"/>
          <w:color w:val="000000" w:themeColor="text1"/>
          <w:sz w:val="20"/>
          <w:szCs w:val="20"/>
          <w:lang w:eastAsia="fr-FR"/>
        </w:rPr>
        <w:t>t</w:t>
      </w:r>
      <w:r w:rsidR="004C731F" w:rsidRPr="004D5BB4">
        <w:rPr>
          <w:rFonts w:ascii="Arial" w:hAnsi="Arial" w:cs="Arial"/>
          <w:color w:val="000000" w:themeColor="text1"/>
          <w:sz w:val="20"/>
          <w:szCs w:val="20"/>
          <w:lang w:eastAsia="fr-FR"/>
        </w:rPr>
        <w:t>ures</w:t>
      </w:r>
      <w:r w:rsidR="00753441" w:rsidRPr="004D5BB4">
        <w:rPr>
          <w:rFonts w:ascii="Arial" w:hAnsi="Arial" w:cs="Arial"/>
          <w:color w:val="000000" w:themeColor="text1"/>
          <w:sz w:val="20"/>
          <w:szCs w:val="20"/>
          <w:lang w:eastAsia="fr-FR"/>
        </w:rPr>
        <w:t xml:space="preserve"> de direction de </w:t>
      </w:r>
      <w:proofErr w:type="spellStart"/>
      <w:proofErr w:type="gramStart"/>
      <w:r w:rsidR="00753441" w:rsidRPr="004D5BB4">
        <w:rPr>
          <w:rFonts w:ascii="Arial" w:hAnsi="Arial" w:cs="Arial"/>
          <w:color w:val="000000" w:themeColor="text1"/>
          <w:sz w:val="20"/>
          <w:szCs w:val="20"/>
          <w:lang w:eastAsia="fr-FR"/>
        </w:rPr>
        <w:t>Somdia</w:t>
      </w:r>
      <w:proofErr w:type="spellEnd"/>
      <w:r w:rsidR="00753441" w:rsidRPr="004D5BB4">
        <w:rPr>
          <w:rFonts w:ascii="Arial" w:hAnsi="Arial" w:cs="Arial"/>
          <w:color w:val="000000" w:themeColor="text1"/>
          <w:sz w:val="20"/>
          <w:szCs w:val="20"/>
          <w:lang w:eastAsia="fr-FR"/>
        </w:rPr>
        <w:t xml:space="preserve">  et</w:t>
      </w:r>
      <w:proofErr w:type="gramEnd"/>
      <w:r w:rsidR="00753441" w:rsidRPr="004D5BB4">
        <w:rPr>
          <w:rFonts w:ascii="Arial" w:hAnsi="Arial" w:cs="Arial"/>
          <w:color w:val="000000" w:themeColor="text1"/>
          <w:sz w:val="20"/>
          <w:szCs w:val="20"/>
          <w:lang w:eastAsia="fr-FR"/>
        </w:rPr>
        <w:t xml:space="preserve"> de la </w:t>
      </w:r>
      <w:proofErr w:type="spellStart"/>
      <w:r w:rsidR="00753441" w:rsidRPr="004D5BB4">
        <w:rPr>
          <w:rFonts w:ascii="Arial" w:hAnsi="Arial" w:cs="Arial"/>
          <w:color w:val="000000" w:themeColor="text1"/>
          <w:sz w:val="20"/>
          <w:szCs w:val="20"/>
          <w:lang w:eastAsia="fr-FR"/>
        </w:rPr>
        <w:t>Sosucam</w:t>
      </w:r>
      <w:proofErr w:type="spellEnd"/>
      <w:r w:rsidR="00753441" w:rsidRPr="004D5BB4">
        <w:rPr>
          <w:rFonts w:ascii="Arial" w:hAnsi="Arial" w:cs="Arial"/>
          <w:color w:val="000000" w:themeColor="text1"/>
          <w:sz w:val="20"/>
          <w:szCs w:val="20"/>
          <w:lang w:eastAsia="fr-FR"/>
        </w:rPr>
        <w:t xml:space="preserve">. Cette évolution des équipes dirigeantes </w:t>
      </w:r>
      <w:r w:rsidR="00CC4AEF" w:rsidRPr="004D5BB4">
        <w:rPr>
          <w:rFonts w:ascii="Arial" w:hAnsi="Arial" w:cs="Arial"/>
          <w:color w:val="000000" w:themeColor="text1"/>
          <w:sz w:val="20"/>
          <w:szCs w:val="20"/>
          <w:lang w:eastAsia="fr-FR"/>
        </w:rPr>
        <w:t>pourrait être</w:t>
      </w:r>
      <w:r w:rsidR="00753441" w:rsidRPr="004D5BB4">
        <w:rPr>
          <w:rFonts w:ascii="Arial" w:hAnsi="Arial" w:cs="Arial"/>
          <w:color w:val="000000" w:themeColor="text1"/>
          <w:sz w:val="20"/>
          <w:szCs w:val="20"/>
          <w:lang w:eastAsia="fr-FR"/>
        </w:rPr>
        <w:t xml:space="preserve"> de nature à favor</w:t>
      </w:r>
      <w:r w:rsidR="004C731F" w:rsidRPr="004D5BB4">
        <w:rPr>
          <w:rFonts w:ascii="Arial" w:hAnsi="Arial" w:cs="Arial"/>
          <w:color w:val="000000" w:themeColor="text1"/>
          <w:sz w:val="20"/>
          <w:szCs w:val="20"/>
          <w:lang w:eastAsia="fr-FR"/>
        </w:rPr>
        <w:t xml:space="preserve">iser une </w:t>
      </w:r>
      <w:r w:rsidR="00CC4AEF" w:rsidRPr="004D5BB4">
        <w:rPr>
          <w:rFonts w:ascii="Arial" w:hAnsi="Arial" w:cs="Arial"/>
          <w:color w:val="000000" w:themeColor="text1"/>
          <w:sz w:val="20"/>
          <w:szCs w:val="20"/>
          <w:lang w:eastAsia="fr-FR"/>
        </w:rPr>
        <w:t>dynamisation</w:t>
      </w:r>
      <w:r w:rsidR="004C731F" w:rsidRPr="004D5BB4">
        <w:rPr>
          <w:rFonts w:ascii="Arial" w:hAnsi="Arial" w:cs="Arial"/>
          <w:color w:val="000000" w:themeColor="text1"/>
          <w:sz w:val="20"/>
          <w:szCs w:val="20"/>
          <w:lang w:eastAsia="fr-FR"/>
        </w:rPr>
        <w:t xml:space="preserve"> de la politique RSE </w:t>
      </w:r>
      <w:r w:rsidR="000B6D07">
        <w:rPr>
          <w:rFonts w:ascii="Arial" w:hAnsi="Arial" w:cs="Arial"/>
          <w:color w:val="000000" w:themeColor="text1"/>
          <w:sz w:val="20"/>
          <w:szCs w:val="20"/>
          <w:lang w:eastAsia="fr-FR"/>
        </w:rPr>
        <w:t>de ces deux sociétés</w:t>
      </w:r>
      <w:r w:rsidR="004C731F" w:rsidRPr="004D5BB4">
        <w:rPr>
          <w:rFonts w:ascii="Arial" w:hAnsi="Arial" w:cs="Arial"/>
          <w:color w:val="000000" w:themeColor="text1"/>
          <w:sz w:val="20"/>
          <w:szCs w:val="20"/>
          <w:lang w:eastAsia="fr-FR"/>
        </w:rPr>
        <w:t xml:space="preserve">, notamment par une meilleure prise en compte des principes directeurs de l’OCDE pour la Conduite Responsable des Entreprises. </w:t>
      </w:r>
    </w:p>
    <w:p w14:paraId="4070B433" w14:textId="3CBC48BB" w:rsidR="00C5420D" w:rsidRPr="004D5BB4" w:rsidRDefault="00C5420D" w:rsidP="00776B8E">
      <w:pPr>
        <w:spacing w:before="240" w:after="0"/>
        <w:jc w:val="both"/>
        <w:rPr>
          <w:rFonts w:ascii="Arial" w:hAnsi="Arial" w:cs="Arial"/>
          <w:color w:val="000000" w:themeColor="text1"/>
          <w:sz w:val="20"/>
          <w:szCs w:val="20"/>
          <w:lang w:eastAsia="fr-FR"/>
        </w:rPr>
      </w:pPr>
      <w:r w:rsidRPr="004D5BB4">
        <w:rPr>
          <w:rFonts w:ascii="Arial" w:hAnsi="Arial" w:cs="Arial"/>
          <w:color w:val="000000" w:themeColor="text1"/>
          <w:sz w:val="20"/>
          <w:szCs w:val="20"/>
          <w:lang w:eastAsia="fr-FR"/>
        </w:rPr>
        <w:t xml:space="preserve">Le PCN constate que </w:t>
      </w:r>
      <w:r w:rsidR="00A13297">
        <w:rPr>
          <w:rFonts w:ascii="Arial" w:hAnsi="Arial" w:cs="Arial"/>
          <w:color w:val="000000" w:themeColor="text1"/>
          <w:sz w:val="20"/>
          <w:szCs w:val="20"/>
          <w:lang w:eastAsia="fr-FR"/>
        </w:rPr>
        <w:t>SOMDIAA et SOSUCAM</w:t>
      </w:r>
      <w:r w:rsidRPr="004D5BB4">
        <w:rPr>
          <w:rFonts w:ascii="Arial" w:hAnsi="Arial" w:cs="Arial"/>
          <w:color w:val="000000" w:themeColor="text1"/>
          <w:sz w:val="20"/>
          <w:szCs w:val="20"/>
          <w:lang w:eastAsia="fr-FR"/>
        </w:rPr>
        <w:t xml:space="preserve"> </w:t>
      </w:r>
      <w:r w:rsidR="00A13297">
        <w:rPr>
          <w:rFonts w:ascii="Arial" w:hAnsi="Arial" w:cs="Arial"/>
          <w:color w:val="000000" w:themeColor="text1"/>
          <w:sz w:val="20"/>
          <w:szCs w:val="20"/>
          <w:lang w:eastAsia="fr-FR"/>
        </w:rPr>
        <w:t>indiquent avoir</w:t>
      </w:r>
      <w:r w:rsidRPr="004D5BB4">
        <w:rPr>
          <w:rFonts w:ascii="Arial" w:hAnsi="Arial" w:cs="Arial"/>
          <w:color w:val="000000" w:themeColor="text1"/>
          <w:sz w:val="20"/>
          <w:szCs w:val="20"/>
          <w:lang w:eastAsia="fr-FR"/>
        </w:rPr>
        <w:t xml:space="preserve"> mené 12 actions (qui seront détaillées ci-dessous) en réponse à ses 5 recommandations.</w:t>
      </w:r>
    </w:p>
    <w:p w14:paraId="27573FCC" w14:textId="17386401" w:rsidR="00B3656A" w:rsidRPr="001568CD" w:rsidRDefault="00B3656A" w:rsidP="00760B75">
      <w:pPr>
        <w:spacing w:before="240" w:after="0"/>
        <w:jc w:val="both"/>
        <w:rPr>
          <w:rFonts w:ascii="Arial" w:hAnsi="Arial" w:cs="Arial"/>
          <w:b/>
          <w:bCs/>
          <w:color w:val="7030A0"/>
          <w:sz w:val="20"/>
          <w:szCs w:val="20"/>
          <w:u w:val="single"/>
        </w:rPr>
      </w:pPr>
      <w:r w:rsidRPr="001568CD">
        <w:rPr>
          <w:rFonts w:ascii="Arial" w:hAnsi="Arial" w:cs="Arial"/>
          <w:b/>
          <w:bCs/>
          <w:color w:val="7030A0"/>
          <w:sz w:val="20"/>
          <w:szCs w:val="20"/>
          <w:u w:val="single"/>
        </w:rPr>
        <w:lastRenderedPageBreak/>
        <w:t>Le PCN dresse le bilan suivant sur la mise en œuvre de</w:t>
      </w:r>
      <w:r w:rsidR="002E333C">
        <w:rPr>
          <w:rFonts w:ascii="Arial" w:hAnsi="Arial" w:cs="Arial"/>
          <w:b/>
          <w:bCs/>
          <w:color w:val="7030A0"/>
          <w:sz w:val="20"/>
          <w:szCs w:val="20"/>
          <w:u w:val="single"/>
        </w:rPr>
        <w:t>s 5</w:t>
      </w:r>
      <w:r>
        <w:rPr>
          <w:rFonts w:ascii="Arial" w:hAnsi="Arial" w:cs="Arial"/>
          <w:b/>
          <w:bCs/>
          <w:color w:val="7030A0"/>
          <w:sz w:val="20"/>
          <w:szCs w:val="20"/>
          <w:u w:val="single"/>
        </w:rPr>
        <w:t xml:space="preserve"> </w:t>
      </w:r>
      <w:r w:rsidRPr="001568CD">
        <w:rPr>
          <w:rFonts w:ascii="Arial" w:hAnsi="Arial" w:cs="Arial"/>
          <w:b/>
          <w:bCs/>
          <w:color w:val="7030A0"/>
          <w:sz w:val="20"/>
          <w:szCs w:val="20"/>
          <w:u w:val="single"/>
        </w:rPr>
        <w:t xml:space="preserve">recommandations </w:t>
      </w:r>
      <w:r>
        <w:rPr>
          <w:rFonts w:ascii="Arial" w:hAnsi="Arial" w:cs="Arial"/>
          <w:b/>
          <w:bCs/>
          <w:color w:val="7030A0"/>
          <w:sz w:val="20"/>
          <w:szCs w:val="20"/>
          <w:u w:val="single"/>
        </w:rPr>
        <w:t>adressé</w:t>
      </w:r>
      <w:r w:rsidR="00760B75">
        <w:rPr>
          <w:rFonts w:ascii="Arial" w:hAnsi="Arial" w:cs="Arial"/>
          <w:b/>
          <w:bCs/>
          <w:color w:val="7030A0"/>
          <w:sz w:val="20"/>
          <w:szCs w:val="20"/>
          <w:u w:val="single"/>
        </w:rPr>
        <w:t>es en ma</w:t>
      </w:r>
      <w:r w:rsidR="002E333C">
        <w:rPr>
          <w:rFonts w:ascii="Arial" w:hAnsi="Arial" w:cs="Arial"/>
          <w:b/>
          <w:bCs/>
          <w:color w:val="7030A0"/>
          <w:sz w:val="20"/>
          <w:szCs w:val="20"/>
          <w:u w:val="single"/>
        </w:rPr>
        <w:t>i</w:t>
      </w:r>
      <w:r w:rsidR="00760B75">
        <w:rPr>
          <w:rFonts w:ascii="Arial" w:hAnsi="Arial" w:cs="Arial"/>
          <w:b/>
          <w:bCs/>
          <w:color w:val="7030A0"/>
          <w:sz w:val="20"/>
          <w:szCs w:val="20"/>
          <w:u w:val="single"/>
        </w:rPr>
        <w:t xml:space="preserve"> 202</w:t>
      </w:r>
      <w:r w:rsidR="002E333C">
        <w:rPr>
          <w:rFonts w:ascii="Arial" w:hAnsi="Arial" w:cs="Arial"/>
          <w:b/>
          <w:bCs/>
          <w:color w:val="7030A0"/>
          <w:sz w:val="20"/>
          <w:szCs w:val="20"/>
          <w:u w:val="single"/>
        </w:rPr>
        <w:t>2</w:t>
      </w:r>
      <w:r w:rsidR="00760B75">
        <w:rPr>
          <w:rFonts w:ascii="Arial" w:hAnsi="Arial" w:cs="Arial"/>
          <w:b/>
          <w:bCs/>
          <w:color w:val="7030A0"/>
          <w:sz w:val="20"/>
          <w:szCs w:val="20"/>
          <w:u w:val="single"/>
        </w:rPr>
        <w:t xml:space="preserve"> </w:t>
      </w:r>
      <w:r w:rsidR="00A13297">
        <w:rPr>
          <w:rFonts w:ascii="Arial" w:hAnsi="Arial" w:cs="Arial"/>
          <w:b/>
          <w:bCs/>
          <w:color w:val="7030A0"/>
          <w:sz w:val="20"/>
          <w:szCs w:val="20"/>
          <w:u w:val="single"/>
        </w:rPr>
        <w:t xml:space="preserve">à </w:t>
      </w:r>
      <w:proofErr w:type="spellStart"/>
      <w:r w:rsidR="00A13297">
        <w:rPr>
          <w:rFonts w:ascii="Arial" w:hAnsi="Arial" w:cs="Arial"/>
          <w:b/>
          <w:bCs/>
          <w:color w:val="7030A0"/>
          <w:sz w:val="20"/>
          <w:szCs w:val="20"/>
          <w:u w:val="single"/>
        </w:rPr>
        <w:t>Copagef</w:t>
      </w:r>
      <w:proofErr w:type="spellEnd"/>
      <w:r w:rsidR="00A13297">
        <w:rPr>
          <w:rFonts w:ascii="Arial" w:hAnsi="Arial" w:cs="Arial"/>
          <w:b/>
          <w:bCs/>
          <w:color w:val="7030A0"/>
          <w:sz w:val="20"/>
          <w:szCs w:val="20"/>
          <w:u w:val="single"/>
        </w:rPr>
        <w:t xml:space="preserve">, </w:t>
      </w:r>
      <w:proofErr w:type="spellStart"/>
      <w:r w:rsidR="00A13297">
        <w:rPr>
          <w:rFonts w:ascii="Arial" w:hAnsi="Arial" w:cs="Arial"/>
          <w:b/>
          <w:bCs/>
          <w:color w:val="7030A0"/>
          <w:sz w:val="20"/>
          <w:szCs w:val="20"/>
          <w:u w:val="single"/>
        </w:rPr>
        <w:t>S</w:t>
      </w:r>
      <w:r w:rsidR="00AF4DF3">
        <w:rPr>
          <w:rFonts w:ascii="Arial" w:hAnsi="Arial" w:cs="Arial"/>
          <w:b/>
          <w:bCs/>
          <w:color w:val="7030A0"/>
          <w:sz w:val="20"/>
          <w:szCs w:val="20"/>
          <w:u w:val="single"/>
        </w:rPr>
        <w:t>omdia</w:t>
      </w:r>
      <w:r w:rsidR="0052281B">
        <w:rPr>
          <w:rFonts w:ascii="Arial" w:hAnsi="Arial" w:cs="Arial"/>
          <w:b/>
          <w:bCs/>
          <w:color w:val="7030A0"/>
          <w:sz w:val="20"/>
          <w:szCs w:val="20"/>
          <w:u w:val="single"/>
        </w:rPr>
        <w:t>a</w:t>
      </w:r>
      <w:proofErr w:type="spellEnd"/>
      <w:r w:rsidR="00A13297">
        <w:rPr>
          <w:rFonts w:ascii="Arial" w:hAnsi="Arial" w:cs="Arial"/>
          <w:b/>
          <w:bCs/>
          <w:color w:val="7030A0"/>
          <w:sz w:val="20"/>
          <w:szCs w:val="20"/>
          <w:u w:val="single"/>
        </w:rPr>
        <w:t xml:space="preserve"> et à la </w:t>
      </w:r>
      <w:proofErr w:type="spellStart"/>
      <w:r w:rsidR="00A13297">
        <w:rPr>
          <w:rFonts w:ascii="Arial" w:hAnsi="Arial" w:cs="Arial"/>
          <w:b/>
          <w:bCs/>
          <w:color w:val="7030A0"/>
          <w:sz w:val="20"/>
          <w:szCs w:val="20"/>
          <w:u w:val="single"/>
        </w:rPr>
        <w:t>Sosucam</w:t>
      </w:r>
      <w:proofErr w:type="spellEnd"/>
      <w:r w:rsidR="00A13297">
        <w:rPr>
          <w:rFonts w:ascii="Arial" w:hAnsi="Arial" w:cs="Arial"/>
          <w:b/>
          <w:bCs/>
          <w:color w:val="7030A0"/>
          <w:sz w:val="20"/>
          <w:szCs w:val="20"/>
          <w:u w:val="single"/>
        </w:rPr>
        <w:t xml:space="preserve"> </w:t>
      </w:r>
      <w:r w:rsidR="00545470">
        <w:rPr>
          <w:rFonts w:ascii="Arial" w:hAnsi="Arial" w:cs="Arial"/>
          <w:b/>
          <w:bCs/>
          <w:color w:val="7030A0"/>
          <w:sz w:val="20"/>
          <w:szCs w:val="20"/>
          <w:u w:val="single"/>
        </w:rPr>
        <w:t xml:space="preserve">concernant l’effectivité des Principes directeurs de l’OCDE </w:t>
      </w:r>
      <w:r w:rsidRPr="001568CD">
        <w:rPr>
          <w:rFonts w:ascii="Arial" w:hAnsi="Arial" w:cs="Arial"/>
          <w:b/>
          <w:bCs/>
          <w:color w:val="7030A0"/>
          <w:sz w:val="20"/>
          <w:szCs w:val="20"/>
          <w:u w:val="single"/>
        </w:rPr>
        <w:t>:</w:t>
      </w:r>
    </w:p>
    <w:p w14:paraId="0B2761AB" w14:textId="77777777" w:rsidR="002E333C" w:rsidRPr="00A422C4" w:rsidRDefault="002E333C" w:rsidP="002E333C">
      <w:pPr>
        <w:pStyle w:val="Para"/>
        <w:numPr>
          <w:ilvl w:val="0"/>
          <w:numId w:val="0"/>
        </w:numPr>
        <w:spacing w:before="240" w:line="240" w:lineRule="atLeast"/>
        <w:rPr>
          <w:rFonts w:ascii="Arial" w:hAnsi="Arial"/>
          <w:i/>
          <w:color w:val="7030A0"/>
        </w:rPr>
      </w:pPr>
      <w:r w:rsidRPr="00A422C4">
        <w:rPr>
          <w:rFonts w:ascii="Arial" w:hAnsi="Arial"/>
          <w:b/>
          <w:bCs/>
          <w:i/>
          <w:color w:val="7030A0"/>
        </w:rPr>
        <w:t xml:space="preserve">RECOMMANDATION n°1 : </w:t>
      </w:r>
      <w:r w:rsidRPr="00A422C4">
        <w:rPr>
          <w:rFonts w:ascii="Arial" w:hAnsi="Arial"/>
          <w:i/>
          <w:color w:val="7030A0"/>
        </w:rPr>
        <w:t>Au titre du devoir de diligence et conformément aux recommandations II A 10, 11, 12 et 13 et aux recommandations IV 1, 2, 3 et 6, face à l’évolution de l’écosystème social et sociétal de la SOSUCAM, les Groupes COPAGEF et SOMDIAA devraient veiller à actualiser sa cartographie des risques en matière de droits de l’homme et prendre et prévoir des mesures de prévention, d’atténuation et de remédiation adéquates pour prévenir d’éventuelles tensions.</w:t>
      </w:r>
    </w:p>
    <w:p w14:paraId="4EFE277A" w14:textId="14B37244" w:rsidR="00B3656A" w:rsidRPr="004D5BB4" w:rsidRDefault="00545470" w:rsidP="00B3656A">
      <w:pPr>
        <w:spacing w:before="240" w:after="0"/>
        <w:rPr>
          <w:rFonts w:ascii="Arial" w:hAnsi="Arial" w:cs="Arial"/>
          <w:b/>
          <w:color w:val="000000" w:themeColor="text1"/>
          <w:sz w:val="20"/>
          <w:szCs w:val="20"/>
        </w:rPr>
      </w:pPr>
      <w:r w:rsidRPr="004D5BB4">
        <w:rPr>
          <w:rFonts w:ascii="Arial" w:hAnsi="Arial" w:cs="Arial"/>
          <w:b/>
          <w:color w:val="000000" w:themeColor="text1"/>
          <w:sz w:val="20"/>
          <w:szCs w:val="20"/>
        </w:rPr>
        <w:t xml:space="preserve">Le PCN </w:t>
      </w:r>
      <w:r w:rsidR="0002683F" w:rsidRPr="004D5BB4">
        <w:rPr>
          <w:rFonts w:ascii="Arial" w:hAnsi="Arial" w:cs="Arial"/>
          <w:b/>
          <w:color w:val="000000" w:themeColor="text1"/>
          <w:sz w:val="20"/>
          <w:szCs w:val="20"/>
        </w:rPr>
        <w:t>constate</w:t>
      </w:r>
      <w:r w:rsidR="008A5E76">
        <w:rPr>
          <w:rFonts w:ascii="Arial" w:hAnsi="Arial" w:cs="Arial"/>
          <w:b/>
          <w:color w:val="000000" w:themeColor="text1"/>
          <w:sz w:val="20"/>
          <w:szCs w:val="20"/>
        </w:rPr>
        <w:t xml:space="preserve"> que</w:t>
      </w:r>
      <w:r w:rsidR="0002683F" w:rsidRPr="004D5BB4">
        <w:rPr>
          <w:rFonts w:ascii="Arial" w:hAnsi="Arial" w:cs="Arial"/>
          <w:b/>
          <w:color w:val="000000" w:themeColor="text1"/>
          <w:sz w:val="20"/>
          <w:szCs w:val="20"/>
        </w:rPr>
        <w:t xml:space="preserve"> </w:t>
      </w:r>
      <w:proofErr w:type="spellStart"/>
      <w:r w:rsidR="000B6D07">
        <w:rPr>
          <w:rFonts w:ascii="Arial" w:hAnsi="Arial" w:cs="Arial"/>
          <w:b/>
          <w:color w:val="000000" w:themeColor="text1"/>
          <w:sz w:val="20"/>
          <w:szCs w:val="20"/>
        </w:rPr>
        <w:t>Somdiaa</w:t>
      </w:r>
      <w:proofErr w:type="spellEnd"/>
      <w:r w:rsidR="0002683F" w:rsidRPr="004D5BB4">
        <w:rPr>
          <w:rFonts w:ascii="Arial" w:hAnsi="Arial" w:cs="Arial"/>
          <w:b/>
          <w:color w:val="000000" w:themeColor="text1"/>
          <w:sz w:val="20"/>
          <w:szCs w:val="20"/>
        </w:rPr>
        <w:t xml:space="preserve"> a mené </w:t>
      </w:r>
      <w:r w:rsidR="00A13297">
        <w:rPr>
          <w:rFonts w:ascii="Arial" w:hAnsi="Arial" w:cs="Arial"/>
          <w:b/>
          <w:color w:val="000000" w:themeColor="text1"/>
          <w:sz w:val="20"/>
          <w:szCs w:val="20"/>
        </w:rPr>
        <w:t>deux</w:t>
      </w:r>
      <w:r w:rsidR="0002683F" w:rsidRPr="004D5BB4">
        <w:rPr>
          <w:rFonts w:ascii="Arial" w:hAnsi="Arial" w:cs="Arial"/>
          <w:b/>
          <w:color w:val="000000" w:themeColor="text1"/>
          <w:sz w:val="20"/>
          <w:szCs w:val="20"/>
        </w:rPr>
        <w:t xml:space="preserve"> actions en réponse à cette recommandation</w:t>
      </w:r>
      <w:r w:rsidR="00B3656A" w:rsidRPr="004D5BB4">
        <w:rPr>
          <w:rFonts w:ascii="Arial" w:hAnsi="Arial" w:cs="Arial"/>
          <w:b/>
          <w:color w:val="000000" w:themeColor="text1"/>
          <w:sz w:val="20"/>
          <w:szCs w:val="20"/>
        </w:rPr>
        <w:t> :</w:t>
      </w:r>
    </w:p>
    <w:p w14:paraId="1CA5E2E6" w14:textId="0AA9D507" w:rsidR="00B3656A" w:rsidRPr="005914DE" w:rsidRDefault="00B3656A" w:rsidP="005914DE">
      <w:pPr>
        <w:spacing w:before="240" w:after="0"/>
        <w:jc w:val="both"/>
        <w:rPr>
          <w:rFonts w:ascii="Arial" w:hAnsi="Arial" w:cs="Arial"/>
          <w:bCs/>
          <w:color w:val="000000" w:themeColor="text1"/>
          <w:sz w:val="20"/>
          <w:szCs w:val="20"/>
        </w:rPr>
      </w:pPr>
      <w:r w:rsidRPr="004D5BB4">
        <w:rPr>
          <w:rFonts w:ascii="Arial" w:hAnsi="Arial" w:cs="Arial"/>
          <w:bCs/>
          <w:color w:val="000000" w:themeColor="text1"/>
          <w:sz w:val="20"/>
          <w:szCs w:val="20"/>
        </w:rPr>
        <w:t xml:space="preserve">i. </w:t>
      </w:r>
      <w:proofErr w:type="spellStart"/>
      <w:r w:rsidR="000B6D07">
        <w:rPr>
          <w:rFonts w:ascii="Arial" w:hAnsi="Arial" w:cs="Arial"/>
          <w:bCs/>
          <w:color w:val="000000" w:themeColor="text1"/>
          <w:sz w:val="20"/>
          <w:szCs w:val="20"/>
        </w:rPr>
        <w:t>Somdia</w:t>
      </w:r>
      <w:proofErr w:type="spellEnd"/>
      <w:r w:rsidRPr="004D5BB4">
        <w:rPr>
          <w:rFonts w:ascii="Arial" w:hAnsi="Arial" w:cs="Arial"/>
          <w:bCs/>
          <w:color w:val="000000" w:themeColor="text1"/>
          <w:sz w:val="20"/>
          <w:szCs w:val="20"/>
        </w:rPr>
        <w:t xml:space="preserve"> a </w:t>
      </w:r>
      <w:r w:rsidR="00CC4AEF" w:rsidRPr="004D5BB4">
        <w:rPr>
          <w:rFonts w:ascii="Arial" w:hAnsi="Arial" w:cs="Arial"/>
          <w:bCs/>
          <w:color w:val="000000" w:themeColor="text1"/>
          <w:sz w:val="20"/>
          <w:szCs w:val="20"/>
        </w:rPr>
        <w:t xml:space="preserve">mis à jour sa cartographie des risques humains et environnementaux </w:t>
      </w:r>
      <w:r w:rsidR="000A199A" w:rsidRPr="004D5BB4">
        <w:rPr>
          <w:rFonts w:ascii="Arial" w:hAnsi="Arial" w:cs="Arial"/>
          <w:bCs/>
          <w:color w:val="000000" w:themeColor="text1"/>
          <w:sz w:val="20"/>
          <w:szCs w:val="20"/>
        </w:rPr>
        <w:t>au</w:t>
      </w:r>
      <w:r w:rsidR="00CC4AEF" w:rsidRPr="004D5BB4">
        <w:rPr>
          <w:rFonts w:ascii="Arial" w:hAnsi="Arial" w:cs="Arial"/>
          <w:bCs/>
          <w:color w:val="000000" w:themeColor="text1"/>
          <w:sz w:val="20"/>
          <w:szCs w:val="20"/>
        </w:rPr>
        <w:t xml:space="preserve"> 31 décembre 2022, ce qui concourt </w:t>
      </w:r>
      <w:r w:rsidR="005914DE">
        <w:rPr>
          <w:rFonts w:ascii="Arial" w:hAnsi="Arial" w:cs="Arial"/>
          <w:bCs/>
          <w:color w:val="000000" w:themeColor="text1"/>
          <w:sz w:val="20"/>
          <w:szCs w:val="20"/>
        </w:rPr>
        <w:t>à</w:t>
      </w:r>
      <w:r w:rsidR="00CC4AEF" w:rsidRPr="004D5BB4">
        <w:rPr>
          <w:rFonts w:ascii="Arial" w:hAnsi="Arial" w:cs="Arial"/>
          <w:bCs/>
          <w:color w:val="000000" w:themeColor="text1"/>
          <w:sz w:val="20"/>
          <w:szCs w:val="20"/>
        </w:rPr>
        <w:t xml:space="preserve"> son devoir de </w:t>
      </w:r>
      <w:r w:rsidR="005914DE">
        <w:rPr>
          <w:rFonts w:ascii="Arial" w:hAnsi="Arial" w:cs="Arial"/>
          <w:bCs/>
          <w:color w:val="000000" w:themeColor="text1"/>
          <w:sz w:val="20"/>
          <w:szCs w:val="20"/>
        </w:rPr>
        <w:t>diligence</w:t>
      </w:r>
      <w:r w:rsidR="00CC4AEF" w:rsidRPr="004D5BB4">
        <w:rPr>
          <w:rFonts w:ascii="Arial" w:hAnsi="Arial" w:cs="Arial"/>
          <w:bCs/>
          <w:color w:val="000000" w:themeColor="text1"/>
          <w:sz w:val="20"/>
          <w:szCs w:val="20"/>
        </w:rPr>
        <w:t xml:space="preserve"> conformément aux Principes directeurs de l’OCDE pour la CRE. Néanmoins, le PCN constate </w:t>
      </w:r>
      <w:r w:rsidR="005914DE">
        <w:rPr>
          <w:rFonts w:ascii="Arial" w:hAnsi="Arial" w:cs="Arial"/>
          <w:bCs/>
          <w:color w:val="000000" w:themeColor="text1"/>
          <w:sz w:val="20"/>
          <w:szCs w:val="20"/>
        </w:rPr>
        <w:t>et regrette que</w:t>
      </w:r>
      <w:r w:rsidR="00C5420D" w:rsidRPr="004D5BB4">
        <w:rPr>
          <w:rFonts w:ascii="Arial" w:hAnsi="Arial" w:cs="Arial"/>
          <w:bCs/>
          <w:color w:val="000000" w:themeColor="text1"/>
          <w:sz w:val="20"/>
          <w:szCs w:val="20"/>
        </w:rPr>
        <w:t xml:space="preserve"> les plaignants n’ont pas connaissance de cette actualisation.</w:t>
      </w:r>
      <w:r w:rsidR="00CC4AEF" w:rsidRPr="004D5BB4">
        <w:rPr>
          <w:rFonts w:ascii="Arial" w:hAnsi="Arial" w:cs="Arial"/>
          <w:bCs/>
          <w:color w:val="000000" w:themeColor="text1"/>
          <w:sz w:val="20"/>
          <w:szCs w:val="20"/>
        </w:rPr>
        <w:t xml:space="preserve">  </w:t>
      </w:r>
    </w:p>
    <w:p w14:paraId="23525047" w14:textId="77777777" w:rsidR="003C7650" w:rsidRDefault="00B3656A" w:rsidP="000F268F">
      <w:pPr>
        <w:spacing w:before="240" w:after="0"/>
        <w:jc w:val="both"/>
        <w:rPr>
          <w:rFonts w:ascii="Arial" w:hAnsi="Arial" w:cs="Arial"/>
          <w:bCs/>
          <w:color w:val="000000" w:themeColor="text1"/>
          <w:sz w:val="20"/>
          <w:szCs w:val="20"/>
        </w:rPr>
      </w:pPr>
      <w:r w:rsidRPr="004D5BB4">
        <w:rPr>
          <w:rFonts w:ascii="Arial" w:hAnsi="Arial" w:cs="Arial"/>
          <w:bCs/>
          <w:color w:val="000000" w:themeColor="text1"/>
          <w:sz w:val="20"/>
          <w:szCs w:val="20"/>
        </w:rPr>
        <w:t>ii.</w:t>
      </w:r>
      <w:r w:rsidR="000B6D07">
        <w:rPr>
          <w:rFonts w:ascii="Arial" w:hAnsi="Arial" w:cs="Arial"/>
          <w:bCs/>
          <w:color w:val="000000" w:themeColor="text1"/>
          <w:sz w:val="20"/>
          <w:szCs w:val="20"/>
        </w:rPr>
        <w:t xml:space="preserve"> </w:t>
      </w:r>
      <w:r w:rsidR="005914DE">
        <w:rPr>
          <w:rFonts w:ascii="Arial" w:hAnsi="Arial" w:cs="Arial"/>
          <w:bCs/>
          <w:color w:val="000000" w:themeColor="text1"/>
          <w:sz w:val="20"/>
          <w:szCs w:val="20"/>
        </w:rPr>
        <w:t xml:space="preserve">Le groupe </w:t>
      </w:r>
      <w:proofErr w:type="spellStart"/>
      <w:r w:rsidR="000B6D07">
        <w:rPr>
          <w:rFonts w:ascii="Arial" w:hAnsi="Arial" w:cs="Arial"/>
          <w:bCs/>
          <w:color w:val="000000" w:themeColor="text1"/>
          <w:sz w:val="20"/>
          <w:szCs w:val="20"/>
        </w:rPr>
        <w:t>Somdiaa</w:t>
      </w:r>
      <w:proofErr w:type="spellEnd"/>
      <w:r w:rsidRPr="004D5BB4">
        <w:rPr>
          <w:rFonts w:ascii="Arial" w:hAnsi="Arial" w:cs="Arial"/>
          <w:bCs/>
          <w:color w:val="000000" w:themeColor="text1"/>
          <w:sz w:val="20"/>
          <w:szCs w:val="20"/>
        </w:rPr>
        <w:t xml:space="preserve"> a </w:t>
      </w:r>
      <w:r w:rsidR="000F268F" w:rsidRPr="004D5BB4">
        <w:rPr>
          <w:rFonts w:ascii="Arial" w:hAnsi="Arial" w:cs="Arial"/>
          <w:bCs/>
          <w:color w:val="000000" w:themeColor="text1"/>
          <w:sz w:val="20"/>
          <w:szCs w:val="20"/>
        </w:rPr>
        <w:t xml:space="preserve">lancé un audit social et environnemental </w:t>
      </w:r>
      <w:r w:rsidR="005914DE">
        <w:rPr>
          <w:rFonts w:ascii="Arial" w:hAnsi="Arial" w:cs="Arial"/>
          <w:bCs/>
          <w:color w:val="000000" w:themeColor="text1"/>
          <w:sz w:val="20"/>
          <w:szCs w:val="20"/>
        </w:rPr>
        <w:t>de la SOS</w:t>
      </w:r>
    </w:p>
    <w:p w14:paraId="0EC56188" w14:textId="3A9C9023" w:rsidR="00B3656A" w:rsidRPr="004D5BB4" w:rsidRDefault="005914DE" w:rsidP="000F268F">
      <w:pPr>
        <w:spacing w:before="240" w:after="0"/>
        <w:jc w:val="both"/>
        <w:rPr>
          <w:rFonts w:ascii="Arial" w:hAnsi="Arial" w:cs="Arial"/>
          <w:bCs/>
          <w:color w:val="000000" w:themeColor="text1"/>
          <w:sz w:val="20"/>
          <w:szCs w:val="20"/>
        </w:rPr>
      </w:pPr>
      <w:r>
        <w:rPr>
          <w:rFonts w:ascii="Arial" w:hAnsi="Arial" w:cs="Arial"/>
          <w:bCs/>
          <w:color w:val="000000" w:themeColor="text1"/>
          <w:sz w:val="20"/>
          <w:szCs w:val="20"/>
        </w:rPr>
        <w:t xml:space="preserve">UCAM </w:t>
      </w:r>
      <w:r w:rsidR="000F268F" w:rsidRPr="004D5BB4">
        <w:rPr>
          <w:rFonts w:ascii="Arial" w:hAnsi="Arial" w:cs="Arial"/>
          <w:bCs/>
          <w:color w:val="000000" w:themeColor="text1"/>
          <w:sz w:val="20"/>
          <w:szCs w:val="20"/>
        </w:rPr>
        <w:t>mené par un cabinet d’audit indépendant</w:t>
      </w:r>
      <w:r w:rsidR="005328BB">
        <w:rPr>
          <w:rFonts w:ascii="Arial" w:hAnsi="Arial" w:cs="Arial"/>
          <w:bCs/>
          <w:color w:val="000000" w:themeColor="text1"/>
          <w:sz w:val="20"/>
          <w:szCs w:val="20"/>
        </w:rPr>
        <w:t xml:space="preserve"> (cf. recommandation n°2)</w:t>
      </w:r>
      <w:r w:rsidR="000F268F" w:rsidRPr="004D5BB4">
        <w:rPr>
          <w:rFonts w:ascii="Arial" w:hAnsi="Arial" w:cs="Arial"/>
          <w:bCs/>
          <w:color w:val="000000" w:themeColor="text1"/>
          <w:sz w:val="20"/>
          <w:szCs w:val="20"/>
        </w:rPr>
        <w:t>. Ces travaux</w:t>
      </w:r>
      <w:r w:rsidR="00961813" w:rsidRPr="004D5BB4">
        <w:rPr>
          <w:rFonts w:ascii="Arial" w:hAnsi="Arial" w:cs="Arial"/>
          <w:bCs/>
          <w:color w:val="000000" w:themeColor="text1"/>
          <w:sz w:val="20"/>
          <w:szCs w:val="20"/>
        </w:rPr>
        <w:t>, qui comptent un volet visant à consulter les populations riveraines et les plaignants,</w:t>
      </w:r>
      <w:r w:rsidR="000F268F" w:rsidRPr="004D5BB4">
        <w:rPr>
          <w:rFonts w:ascii="Arial" w:hAnsi="Arial" w:cs="Arial"/>
          <w:bCs/>
          <w:color w:val="000000" w:themeColor="text1"/>
          <w:sz w:val="20"/>
          <w:szCs w:val="20"/>
        </w:rPr>
        <w:t xml:space="preserve"> sont toujours en cours et devraient être finalisés en novembre 2023 pour une communication, pour consultation, aux parties prenantes en décembre 2023.</w:t>
      </w:r>
    </w:p>
    <w:p w14:paraId="0C7722D6" w14:textId="305E11F6" w:rsidR="00310608" w:rsidRDefault="00B3656A" w:rsidP="00310608">
      <w:pPr>
        <w:spacing w:before="240" w:after="0"/>
        <w:ind w:left="708"/>
        <w:jc w:val="both"/>
        <w:rPr>
          <w:rFonts w:ascii="Arial" w:hAnsi="Arial" w:cs="Arial"/>
          <w:i/>
          <w:iCs/>
          <w:color w:val="7030A0"/>
          <w:sz w:val="20"/>
          <w:szCs w:val="20"/>
        </w:rPr>
      </w:pPr>
      <w:r w:rsidRPr="001568CD">
        <w:rPr>
          <w:rFonts w:ascii="Arial" w:hAnsi="Arial" w:cs="Arial"/>
          <w:i/>
          <w:iCs/>
          <w:color w:val="7030A0"/>
          <w:sz w:val="20"/>
          <w:szCs w:val="20"/>
        </w:rPr>
        <w:sym w:font="Wingdings" w:char="F0E8"/>
      </w:r>
      <w:r w:rsidRPr="001568CD">
        <w:rPr>
          <w:rFonts w:ascii="Arial" w:hAnsi="Arial" w:cs="Arial"/>
          <w:i/>
          <w:iCs/>
          <w:color w:val="7030A0"/>
          <w:sz w:val="20"/>
          <w:szCs w:val="20"/>
        </w:rPr>
        <w:t xml:space="preserve"> Bilan du suivi de la recommandation n°1 : Le PCN constate que </w:t>
      </w:r>
      <w:proofErr w:type="spellStart"/>
      <w:r w:rsidR="000F268F">
        <w:rPr>
          <w:rFonts w:ascii="Arial" w:hAnsi="Arial" w:cs="Arial"/>
          <w:i/>
          <w:iCs/>
          <w:color w:val="7030A0"/>
          <w:sz w:val="20"/>
          <w:szCs w:val="20"/>
        </w:rPr>
        <w:t>Somdia</w:t>
      </w:r>
      <w:proofErr w:type="spellEnd"/>
      <w:r w:rsidR="00321900">
        <w:rPr>
          <w:rFonts w:ascii="Arial" w:hAnsi="Arial" w:cs="Arial"/>
          <w:i/>
          <w:iCs/>
          <w:color w:val="7030A0"/>
          <w:sz w:val="20"/>
          <w:szCs w:val="20"/>
        </w:rPr>
        <w:t xml:space="preserve"> a actualisé sa cartographie des risques </w:t>
      </w:r>
      <w:r w:rsidR="000F268F">
        <w:rPr>
          <w:rFonts w:ascii="Arial" w:hAnsi="Arial" w:cs="Arial"/>
          <w:i/>
          <w:iCs/>
          <w:color w:val="7030A0"/>
          <w:sz w:val="20"/>
          <w:szCs w:val="20"/>
        </w:rPr>
        <w:t>et</w:t>
      </w:r>
      <w:r w:rsidR="00321900">
        <w:rPr>
          <w:rFonts w:ascii="Arial" w:hAnsi="Arial" w:cs="Arial"/>
          <w:i/>
          <w:iCs/>
          <w:color w:val="7030A0"/>
          <w:sz w:val="20"/>
          <w:szCs w:val="20"/>
        </w:rPr>
        <w:t xml:space="preserve"> lancé un nouvel audit social et environnemental de</w:t>
      </w:r>
      <w:r w:rsidR="000F268F">
        <w:rPr>
          <w:rFonts w:ascii="Arial" w:hAnsi="Arial" w:cs="Arial"/>
          <w:i/>
          <w:iCs/>
          <w:color w:val="7030A0"/>
          <w:sz w:val="20"/>
          <w:szCs w:val="20"/>
        </w:rPr>
        <w:t xml:space="preserve"> la </w:t>
      </w:r>
      <w:proofErr w:type="spellStart"/>
      <w:r w:rsidR="000F268F">
        <w:rPr>
          <w:rFonts w:ascii="Arial" w:hAnsi="Arial" w:cs="Arial"/>
          <w:i/>
          <w:iCs/>
          <w:color w:val="7030A0"/>
          <w:sz w:val="20"/>
          <w:szCs w:val="20"/>
        </w:rPr>
        <w:t>Sosucam</w:t>
      </w:r>
      <w:proofErr w:type="spellEnd"/>
      <w:r w:rsidR="00321900">
        <w:rPr>
          <w:rFonts w:ascii="Arial" w:hAnsi="Arial" w:cs="Arial"/>
          <w:i/>
          <w:iCs/>
          <w:color w:val="7030A0"/>
          <w:sz w:val="20"/>
          <w:szCs w:val="20"/>
        </w:rPr>
        <w:t>.</w:t>
      </w:r>
      <w:r w:rsidR="008C31C7">
        <w:rPr>
          <w:rFonts w:ascii="Arial" w:hAnsi="Arial" w:cs="Arial"/>
          <w:i/>
          <w:iCs/>
          <w:color w:val="7030A0"/>
          <w:sz w:val="20"/>
          <w:szCs w:val="20"/>
        </w:rPr>
        <w:t xml:space="preserve"> </w:t>
      </w:r>
      <w:r w:rsidR="00866A16">
        <w:rPr>
          <w:rFonts w:ascii="Arial" w:hAnsi="Arial" w:cs="Arial"/>
          <w:i/>
          <w:iCs/>
          <w:color w:val="7030A0"/>
          <w:sz w:val="20"/>
          <w:szCs w:val="20"/>
        </w:rPr>
        <w:t xml:space="preserve">Dans ce cadre, il encourage </w:t>
      </w:r>
      <w:r w:rsidR="00321900">
        <w:rPr>
          <w:rFonts w:ascii="Arial" w:hAnsi="Arial" w:cs="Arial"/>
          <w:i/>
          <w:iCs/>
          <w:color w:val="7030A0"/>
          <w:sz w:val="20"/>
          <w:szCs w:val="20"/>
        </w:rPr>
        <w:t xml:space="preserve">SOMDIAA et la </w:t>
      </w:r>
      <w:proofErr w:type="spellStart"/>
      <w:r w:rsidR="00321900">
        <w:rPr>
          <w:rFonts w:ascii="Arial" w:hAnsi="Arial" w:cs="Arial"/>
          <w:i/>
          <w:iCs/>
          <w:color w:val="7030A0"/>
          <w:sz w:val="20"/>
          <w:szCs w:val="20"/>
        </w:rPr>
        <w:t>Sosucam</w:t>
      </w:r>
      <w:proofErr w:type="spellEnd"/>
      <w:r w:rsidR="00866A16">
        <w:rPr>
          <w:rFonts w:ascii="Arial" w:hAnsi="Arial" w:cs="Arial"/>
          <w:i/>
          <w:iCs/>
          <w:color w:val="7030A0"/>
          <w:sz w:val="20"/>
          <w:szCs w:val="20"/>
        </w:rPr>
        <w:t xml:space="preserve"> à finaliser dans les délais prévus l’audit social et environnemental </w:t>
      </w:r>
      <w:r w:rsidR="000426F8">
        <w:rPr>
          <w:rFonts w:ascii="Arial" w:hAnsi="Arial" w:cs="Arial"/>
          <w:i/>
          <w:iCs/>
          <w:color w:val="7030A0"/>
          <w:sz w:val="20"/>
          <w:szCs w:val="20"/>
        </w:rPr>
        <w:t xml:space="preserve">et à prendre des mesures de diligence adéquates pour y répondre. </w:t>
      </w:r>
      <w:r w:rsidR="00DF708B">
        <w:rPr>
          <w:rFonts w:ascii="Arial" w:hAnsi="Arial" w:cs="Arial"/>
          <w:i/>
          <w:iCs/>
          <w:color w:val="7030A0"/>
          <w:sz w:val="20"/>
          <w:szCs w:val="20"/>
        </w:rPr>
        <w:t>En outre, il rappelle</w:t>
      </w:r>
      <w:r w:rsidRPr="001568CD">
        <w:rPr>
          <w:rFonts w:ascii="Arial" w:hAnsi="Arial" w:cs="Arial"/>
          <w:i/>
          <w:iCs/>
          <w:color w:val="7030A0"/>
          <w:sz w:val="20"/>
          <w:szCs w:val="20"/>
        </w:rPr>
        <w:t xml:space="preserve"> que la saisine a montré l‘importanc</w:t>
      </w:r>
      <w:r w:rsidR="00961813">
        <w:rPr>
          <w:rFonts w:ascii="Arial" w:hAnsi="Arial" w:cs="Arial"/>
          <w:i/>
          <w:iCs/>
          <w:color w:val="7030A0"/>
          <w:sz w:val="20"/>
          <w:szCs w:val="20"/>
        </w:rPr>
        <w:t>e du dialogue</w:t>
      </w:r>
      <w:r w:rsidRPr="001568CD">
        <w:rPr>
          <w:rFonts w:ascii="Arial" w:hAnsi="Arial" w:cs="Arial"/>
          <w:i/>
          <w:iCs/>
          <w:color w:val="7030A0"/>
          <w:sz w:val="20"/>
          <w:szCs w:val="20"/>
        </w:rPr>
        <w:t xml:space="preserve"> avec les différentes parties prenantes</w:t>
      </w:r>
      <w:r w:rsidR="00DF708B">
        <w:rPr>
          <w:rFonts w:ascii="Arial" w:hAnsi="Arial" w:cs="Arial"/>
          <w:i/>
          <w:iCs/>
          <w:color w:val="7030A0"/>
          <w:sz w:val="20"/>
          <w:szCs w:val="20"/>
        </w:rPr>
        <w:t xml:space="preserve"> de l’écosystème de la </w:t>
      </w:r>
      <w:proofErr w:type="spellStart"/>
      <w:r w:rsidR="00DF708B">
        <w:rPr>
          <w:rFonts w:ascii="Arial" w:hAnsi="Arial" w:cs="Arial"/>
          <w:i/>
          <w:iCs/>
          <w:color w:val="7030A0"/>
          <w:sz w:val="20"/>
          <w:szCs w:val="20"/>
        </w:rPr>
        <w:t>Sosucam</w:t>
      </w:r>
      <w:proofErr w:type="spellEnd"/>
      <w:r w:rsidR="00DF708B">
        <w:rPr>
          <w:rFonts w:ascii="Arial" w:hAnsi="Arial" w:cs="Arial"/>
          <w:i/>
          <w:iCs/>
          <w:color w:val="7030A0"/>
          <w:sz w:val="20"/>
          <w:szCs w:val="20"/>
        </w:rPr>
        <w:t xml:space="preserve"> et en particulier avec les CRV. </w:t>
      </w:r>
      <w:r w:rsidR="00961813">
        <w:rPr>
          <w:rFonts w:ascii="Arial" w:hAnsi="Arial" w:cs="Arial"/>
          <w:i/>
          <w:iCs/>
          <w:color w:val="7030A0"/>
          <w:sz w:val="20"/>
          <w:szCs w:val="20"/>
        </w:rPr>
        <w:t>Dans ce contexte, i</w:t>
      </w:r>
      <w:r w:rsidRPr="001568CD">
        <w:rPr>
          <w:rFonts w:ascii="Arial" w:hAnsi="Arial" w:cs="Arial"/>
          <w:i/>
          <w:iCs/>
          <w:color w:val="7030A0"/>
          <w:sz w:val="20"/>
          <w:szCs w:val="20"/>
        </w:rPr>
        <w:t xml:space="preserve">l </w:t>
      </w:r>
      <w:r w:rsidR="00DF708B">
        <w:rPr>
          <w:rFonts w:ascii="Arial" w:hAnsi="Arial" w:cs="Arial"/>
          <w:i/>
          <w:iCs/>
          <w:color w:val="7030A0"/>
          <w:sz w:val="20"/>
          <w:szCs w:val="20"/>
        </w:rPr>
        <w:t>réitère</w:t>
      </w:r>
      <w:r w:rsidRPr="001568CD">
        <w:rPr>
          <w:rFonts w:ascii="Arial" w:hAnsi="Arial" w:cs="Arial"/>
          <w:i/>
          <w:iCs/>
          <w:color w:val="7030A0"/>
          <w:sz w:val="20"/>
          <w:szCs w:val="20"/>
        </w:rPr>
        <w:t xml:space="preserve"> </w:t>
      </w:r>
      <w:r w:rsidR="00DF708B">
        <w:rPr>
          <w:rFonts w:ascii="Arial" w:hAnsi="Arial" w:cs="Arial"/>
          <w:i/>
          <w:iCs/>
          <w:color w:val="7030A0"/>
          <w:sz w:val="20"/>
          <w:szCs w:val="20"/>
        </w:rPr>
        <w:t>sa recommandation de</w:t>
      </w:r>
      <w:r w:rsidR="00857D40">
        <w:rPr>
          <w:rFonts w:ascii="Arial" w:hAnsi="Arial" w:cs="Arial"/>
          <w:i/>
          <w:iCs/>
          <w:color w:val="7030A0"/>
          <w:sz w:val="20"/>
          <w:szCs w:val="20"/>
        </w:rPr>
        <w:t xml:space="preserve"> poursuivre le</w:t>
      </w:r>
      <w:r w:rsidR="00866A16">
        <w:rPr>
          <w:rFonts w:ascii="Arial" w:hAnsi="Arial" w:cs="Arial"/>
          <w:i/>
          <w:iCs/>
          <w:color w:val="7030A0"/>
          <w:sz w:val="20"/>
          <w:szCs w:val="20"/>
        </w:rPr>
        <w:t xml:space="preserve"> </w:t>
      </w:r>
      <w:r w:rsidR="00961813">
        <w:rPr>
          <w:rFonts w:ascii="Arial" w:hAnsi="Arial" w:cs="Arial"/>
          <w:i/>
          <w:iCs/>
          <w:color w:val="7030A0"/>
          <w:sz w:val="20"/>
          <w:szCs w:val="20"/>
        </w:rPr>
        <w:t>renforce</w:t>
      </w:r>
      <w:r w:rsidR="00857D40">
        <w:rPr>
          <w:rFonts w:ascii="Arial" w:hAnsi="Arial" w:cs="Arial"/>
          <w:i/>
          <w:iCs/>
          <w:color w:val="7030A0"/>
          <w:sz w:val="20"/>
          <w:szCs w:val="20"/>
        </w:rPr>
        <w:t>ment et l’engagement</w:t>
      </w:r>
      <w:r w:rsidR="00866A16">
        <w:rPr>
          <w:rFonts w:ascii="Arial" w:hAnsi="Arial" w:cs="Arial"/>
          <w:i/>
          <w:iCs/>
          <w:color w:val="7030A0"/>
          <w:sz w:val="20"/>
          <w:szCs w:val="20"/>
        </w:rPr>
        <w:t xml:space="preserve"> </w:t>
      </w:r>
      <w:r w:rsidR="00DF708B">
        <w:rPr>
          <w:rFonts w:ascii="Arial" w:hAnsi="Arial" w:cs="Arial"/>
          <w:i/>
          <w:iCs/>
          <w:color w:val="7030A0"/>
          <w:sz w:val="20"/>
          <w:szCs w:val="20"/>
        </w:rPr>
        <w:t xml:space="preserve">de SOMDIAA et de la </w:t>
      </w:r>
      <w:proofErr w:type="spellStart"/>
      <w:r w:rsidR="00DF708B">
        <w:rPr>
          <w:rFonts w:ascii="Arial" w:hAnsi="Arial" w:cs="Arial"/>
          <w:i/>
          <w:iCs/>
          <w:color w:val="7030A0"/>
          <w:sz w:val="20"/>
          <w:szCs w:val="20"/>
        </w:rPr>
        <w:t>Sosucam</w:t>
      </w:r>
      <w:proofErr w:type="spellEnd"/>
      <w:r w:rsidR="00DF708B">
        <w:rPr>
          <w:rFonts w:ascii="Arial" w:hAnsi="Arial" w:cs="Arial"/>
          <w:i/>
          <w:iCs/>
          <w:color w:val="7030A0"/>
          <w:sz w:val="20"/>
          <w:szCs w:val="20"/>
        </w:rPr>
        <w:t xml:space="preserve"> s’agissant de</w:t>
      </w:r>
      <w:r w:rsidR="00866A16">
        <w:rPr>
          <w:rFonts w:ascii="Arial" w:hAnsi="Arial" w:cs="Arial"/>
          <w:i/>
          <w:iCs/>
          <w:color w:val="7030A0"/>
          <w:sz w:val="20"/>
          <w:szCs w:val="20"/>
        </w:rPr>
        <w:t xml:space="preserve"> sa politique de communication vis à vis des parties prenantes sur les actions finalisées ou en cours.</w:t>
      </w:r>
      <w:r w:rsidRPr="001568CD">
        <w:rPr>
          <w:rFonts w:ascii="Arial" w:hAnsi="Arial" w:cs="Arial"/>
          <w:i/>
          <w:iCs/>
          <w:color w:val="7030A0"/>
          <w:sz w:val="20"/>
          <w:szCs w:val="20"/>
        </w:rPr>
        <w:t xml:space="preserve"> </w:t>
      </w:r>
      <w:r w:rsidR="000A199A">
        <w:rPr>
          <w:rFonts w:ascii="Arial" w:hAnsi="Arial" w:cs="Arial"/>
          <w:i/>
          <w:iCs/>
          <w:color w:val="7030A0"/>
          <w:sz w:val="20"/>
          <w:szCs w:val="20"/>
        </w:rPr>
        <w:t>Par ailleurs, il demande au</w:t>
      </w:r>
      <w:r w:rsidRPr="001568CD">
        <w:rPr>
          <w:rFonts w:ascii="Arial" w:hAnsi="Arial" w:cs="Arial"/>
          <w:i/>
          <w:iCs/>
          <w:color w:val="7030A0"/>
          <w:sz w:val="20"/>
          <w:szCs w:val="20"/>
        </w:rPr>
        <w:t xml:space="preserve"> Groupe </w:t>
      </w:r>
      <w:r w:rsidR="000A199A">
        <w:rPr>
          <w:rFonts w:ascii="Arial" w:hAnsi="Arial" w:cs="Arial"/>
          <w:i/>
          <w:iCs/>
          <w:color w:val="7030A0"/>
          <w:sz w:val="20"/>
          <w:szCs w:val="20"/>
        </w:rPr>
        <w:t>de continuer à</w:t>
      </w:r>
      <w:r w:rsidRPr="001568CD">
        <w:rPr>
          <w:rFonts w:ascii="Arial" w:hAnsi="Arial" w:cs="Arial"/>
          <w:i/>
          <w:iCs/>
          <w:color w:val="7030A0"/>
          <w:sz w:val="20"/>
          <w:szCs w:val="20"/>
        </w:rPr>
        <w:t xml:space="preserve"> informer le PCN </w:t>
      </w:r>
      <w:r w:rsidR="000A199A">
        <w:rPr>
          <w:rFonts w:ascii="Arial" w:hAnsi="Arial" w:cs="Arial"/>
          <w:i/>
          <w:iCs/>
          <w:color w:val="7030A0"/>
          <w:sz w:val="20"/>
          <w:szCs w:val="20"/>
        </w:rPr>
        <w:t xml:space="preserve">s’agissant, notamment, </w:t>
      </w:r>
      <w:r w:rsidRPr="001568CD">
        <w:rPr>
          <w:rFonts w:ascii="Arial" w:hAnsi="Arial" w:cs="Arial"/>
          <w:i/>
          <w:iCs/>
          <w:color w:val="7030A0"/>
          <w:sz w:val="20"/>
          <w:szCs w:val="20"/>
        </w:rPr>
        <w:t>de l</w:t>
      </w:r>
      <w:r w:rsidR="000A199A">
        <w:rPr>
          <w:rFonts w:ascii="Arial" w:hAnsi="Arial" w:cs="Arial"/>
          <w:i/>
          <w:iCs/>
          <w:color w:val="7030A0"/>
          <w:sz w:val="20"/>
          <w:szCs w:val="20"/>
        </w:rPr>
        <w:t>a finalisation</w:t>
      </w:r>
      <w:r w:rsidRPr="001568CD">
        <w:rPr>
          <w:rFonts w:ascii="Arial" w:hAnsi="Arial" w:cs="Arial"/>
          <w:i/>
          <w:iCs/>
          <w:color w:val="7030A0"/>
          <w:sz w:val="20"/>
          <w:szCs w:val="20"/>
        </w:rPr>
        <w:t xml:space="preserve"> de </w:t>
      </w:r>
      <w:r w:rsidR="000A199A">
        <w:rPr>
          <w:rFonts w:ascii="Arial" w:hAnsi="Arial" w:cs="Arial"/>
          <w:i/>
          <w:iCs/>
          <w:color w:val="7030A0"/>
          <w:sz w:val="20"/>
          <w:szCs w:val="20"/>
        </w:rPr>
        <w:t>l’audit social et environnemental en cour</w:t>
      </w:r>
      <w:r w:rsidR="004163E6">
        <w:rPr>
          <w:rFonts w:ascii="Arial" w:hAnsi="Arial" w:cs="Arial"/>
          <w:i/>
          <w:iCs/>
          <w:color w:val="7030A0"/>
          <w:sz w:val="20"/>
          <w:szCs w:val="20"/>
        </w:rPr>
        <w:t>s</w:t>
      </w:r>
      <w:r w:rsidRPr="001568CD">
        <w:rPr>
          <w:rFonts w:ascii="Arial" w:hAnsi="Arial" w:cs="Arial"/>
          <w:i/>
          <w:iCs/>
          <w:color w:val="7030A0"/>
          <w:sz w:val="20"/>
          <w:szCs w:val="20"/>
        </w:rPr>
        <w:t>. </w:t>
      </w:r>
    </w:p>
    <w:p w14:paraId="4F84D386" w14:textId="77777777" w:rsidR="00310608" w:rsidRPr="00310608" w:rsidRDefault="00310608" w:rsidP="00310608">
      <w:pPr>
        <w:spacing w:before="240" w:after="0"/>
        <w:ind w:left="708"/>
        <w:jc w:val="both"/>
        <w:rPr>
          <w:rFonts w:ascii="Arial" w:hAnsi="Arial" w:cs="Arial"/>
          <w:i/>
          <w:iCs/>
          <w:color w:val="7030A0"/>
          <w:sz w:val="20"/>
          <w:szCs w:val="20"/>
        </w:rPr>
      </w:pPr>
    </w:p>
    <w:p w14:paraId="35AFE01B" w14:textId="6444A8B1" w:rsidR="00310608" w:rsidRPr="00F971AD" w:rsidRDefault="00310608" w:rsidP="00310608">
      <w:pPr>
        <w:pStyle w:val="Para"/>
        <w:numPr>
          <w:ilvl w:val="0"/>
          <w:numId w:val="0"/>
        </w:numPr>
        <w:spacing w:before="240" w:line="240" w:lineRule="atLeast"/>
        <w:rPr>
          <w:rFonts w:ascii="Arial" w:hAnsi="Arial"/>
          <w:i/>
          <w:color w:val="7030A0"/>
        </w:rPr>
      </w:pPr>
      <w:r w:rsidRPr="00A422C4">
        <w:rPr>
          <w:rFonts w:ascii="Arial" w:hAnsi="Arial"/>
          <w:b/>
          <w:bCs/>
          <w:i/>
          <w:color w:val="7030A0"/>
        </w:rPr>
        <w:t xml:space="preserve">RECOMMANDATION n°2 : </w:t>
      </w:r>
      <w:r w:rsidRPr="00A422C4">
        <w:rPr>
          <w:rFonts w:ascii="Arial" w:hAnsi="Arial"/>
          <w:i/>
          <w:color w:val="7030A0"/>
        </w:rPr>
        <w:t xml:space="preserve">La dernière </w:t>
      </w:r>
      <w:r w:rsidRPr="00795720">
        <w:rPr>
          <w:rFonts w:ascii="Arial" w:hAnsi="Arial"/>
          <w:b/>
          <w:bCs/>
          <w:i/>
          <w:color w:val="7030A0"/>
        </w:rPr>
        <w:t>étude d’impact social et environnemental</w:t>
      </w:r>
      <w:r w:rsidRPr="00A422C4">
        <w:rPr>
          <w:rFonts w:ascii="Arial" w:hAnsi="Arial"/>
          <w:i/>
          <w:color w:val="7030A0"/>
        </w:rPr>
        <w:t xml:space="preserve"> de la SOSUCAM date de 2012 et de 2017 pour un projet d’irrigation. Conformément aux recommandations 1, 2, 3, 4, 5 et 8 du chapitre VI, au regard </w:t>
      </w:r>
      <w:r w:rsidRPr="00A422C4">
        <w:rPr>
          <w:rFonts w:ascii="Arial" w:hAnsi="Arial" w:cs="Arial"/>
          <w:i/>
          <w:color w:val="7030A0"/>
          <w:szCs w:val="20"/>
        </w:rPr>
        <w:t>des impacts réels et potentiels de l’activité agro-industrielle de la SOSUCAM et des enjeux du changement climatique sur son environnement, le PCN recommande de conduire rapidement une nouvelle étude d’impact qui prenne dûment comme référence les Principes directeurs et les guides de l’OCDE. Face aux risques de pollution</w:t>
      </w:r>
      <w:r w:rsidRPr="00795720">
        <w:rPr>
          <w:rFonts w:ascii="Arial" w:hAnsi="Arial" w:cs="Arial"/>
          <w:i/>
          <w:color w:val="7030A0"/>
          <w:szCs w:val="20"/>
        </w:rPr>
        <w:t>, le PCN recommande que des</w:t>
      </w:r>
      <w:r w:rsidRPr="00A422C4">
        <w:rPr>
          <w:rFonts w:ascii="Arial" w:hAnsi="Arial" w:cs="Arial"/>
          <w:i/>
          <w:color w:val="7030A0"/>
          <w:szCs w:val="20"/>
        </w:rPr>
        <w:t xml:space="preserve"> </w:t>
      </w:r>
      <w:r w:rsidRPr="00795720">
        <w:rPr>
          <w:rFonts w:ascii="Arial" w:hAnsi="Arial" w:cs="Arial"/>
          <w:b/>
          <w:bCs/>
          <w:i/>
          <w:color w:val="7030A0"/>
          <w:szCs w:val="20"/>
        </w:rPr>
        <w:t>analyses de la qualité des eaux de surface et sous-terraines soient réalisées régulièrement</w:t>
      </w:r>
      <w:r w:rsidRPr="00A422C4">
        <w:rPr>
          <w:rFonts w:ascii="Arial" w:hAnsi="Arial" w:cs="Arial"/>
          <w:i/>
          <w:color w:val="7030A0"/>
          <w:szCs w:val="20"/>
        </w:rPr>
        <w:t xml:space="preserve"> et qu’elle ne se limite pas au plan de prévention concernant les eaux utilisées par l’usine de </w:t>
      </w:r>
      <w:proofErr w:type="spellStart"/>
      <w:r w:rsidRPr="00A422C4">
        <w:rPr>
          <w:rFonts w:ascii="Arial" w:hAnsi="Arial" w:cs="Arial"/>
          <w:i/>
          <w:color w:val="7030A0"/>
          <w:szCs w:val="20"/>
        </w:rPr>
        <w:t>Nkoteng</w:t>
      </w:r>
      <w:proofErr w:type="spellEnd"/>
      <w:r w:rsidRPr="00A422C4">
        <w:rPr>
          <w:rFonts w:ascii="Arial" w:hAnsi="Arial" w:cs="Arial"/>
          <w:i/>
          <w:color w:val="7030A0"/>
          <w:szCs w:val="20"/>
        </w:rPr>
        <w:t xml:space="preserve">. La réalisation et les résultats de ces études devraient faire l’objet de transparence envers les parties prenantes impactées dans leur condition de vie et leurs activités. Les autorités sanitaires devraient également être consultées et informées. Les enseignements de ces études et analyses devraient être intégrés à la politique de développement durable de l’entreprise (engagement, indicateurs de suivi, plan d’action). </w:t>
      </w:r>
    </w:p>
    <w:p w14:paraId="37353278" w14:textId="77777777" w:rsidR="00310608" w:rsidRPr="00967C5F" w:rsidRDefault="00310608" w:rsidP="00310608">
      <w:pPr>
        <w:jc w:val="both"/>
        <w:rPr>
          <w:rFonts w:ascii="Arial" w:hAnsi="Arial" w:cs="Arial"/>
          <w:b/>
          <w:color w:val="000000" w:themeColor="text1"/>
          <w:sz w:val="20"/>
          <w:szCs w:val="20"/>
        </w:rPr>
      </w:pPr>
      <w:proofErr w:type="gramStart"/>
      <w:r w:rsidRPr="00967C5F">
        <w:rPr>
          <w:rFonts w:ascii="Arial" w:hAnsi="Arial" w:cs="Arial"/>
          <w:b/>
          <w:color w:val="000000" w:themeColor="text1"/>
          <w:sz w:val="20"/>
          <w:szCs w:val="20"/>
        </w:rPr>
        <w:t>i</w:t>
      </w:r>
      <w:proofErr w:type="gramEnd"/>
      <w:r w:rsidRPr="00967C5F">
        <w:rPr>
          <w:rFonts w:ascii="Arial" w:hAnsi="Arial" w:cs="Arial"/>
          <w:b/>
          <w:color w:val="000000" w:themeColor="text1"/>
          <w:sz w:val="20"/>
          <w:szCs w:val="20"/>
        </w:rPr>
        <w:t>/ S’agissant de l’étude d’impact social et environnemental des activités de la SOSUCAM :</w:t>
      </w:r>
    </w:p>
    <w:p w14:paraId="46FC9E5C" w14:textId="76257CF9" w:rsidR="006114F1" w:rsidRDefault="00310608" w:rsidP="00310608">
      <w:pPr>
        <w:jc w:val="both"/>
        <w:rPr>
          <w:rFonts w:ascii="Arial" w:hAnsi="Arial" w:cs="Arial"/>
          <w:bCs/>
          <w:color w:val="000000" w:themeColor="text1"/>
          <w:sz w:val="20"/>
          <w:szCs w:val="20"/>
        </w:rPr>
      </w:pPr>
      <w:r w:rsidRPr="004D5BB4">
        <w:rPr>
          <w:rFonts w:ascii="Arial" w:hAnsi="Arial" w:cs="Arial"/>
          <w:bCs/>
          <w:color w:val="000000" w:themeColor="text1"/>
          <w:sz w:val="20"/>
          <w:szCs w:val="20"/>
        </w:rPr>
        <w:t>Le</w:t>
      </w:r>
      <w:r>
        <w:rPr>
          <w:rFonts w:ascii="Arial" w:hAnsi="Arial" w:cs="Arial"/>
          <w:bCs/>
          <w:color w:val="000000" w:themeColor="text1"/>
          <w:sz w:val="20"/>
          <w:szCs w:val="20"/>
        </w:rPr>
        <w:t xml:space="preserve"> PCN note que le</w:t>
      </w:r>
      <w:r w:rsidRPr="004D5BB4">
        <w:rPr>
          <w:rFonts w:ascii="Arial" w:hAnsi="Arial" w:cs="Arial"/>
          <w:bCs/>
          <w:color w:val="000000" w:themeColor="text1"/>
          <w:sz w:val="20"/>
          <w:szCs w:val="20"/>
        </w:rPr>
        <w:t xml:space="preserve"> Groupe </w:t>
      </w:r>
      <w:r>
        <w:rPr>
          <w:rFonts w:ascii="Arial" w:hAnsi="Arial" w:cs="Arial"/>
          <w:bCs/>
          <w:color w:val="000000" w:themeColor="text1"/>
          <w:sz w:val="20"/>
          <w:szCs w:val="20"/>
        </w:rPr>
        <w:t xml:space="preserve">SOMDIAA </w:t>
      </w:r>
      <w:r w:rsidRPr="004D5BB4">
        <w:rPr>
          <w:rFonts w:ascii="Arial" w:hAnsi="Arial" w:cs="Arial"/>
          <w:bCs/>
          <w:color w:val="000000" w:themeColor="text1"/>
          <w:sz w:val="20"/>
          <w:szCs w:val="20"/>
        </w:rPr>
        <w:t xml:space="preserve">a </w:t>
      </w:r>
      <w:r w:rsidR="00857D40">
        <w:rPr>
          <w:rFonts w:ascii="Arial" w:hAnsi="Arial" w:cs="Arial"/>
          <w:bCs/>
          <w:color w:val="000000" w:themeColor="text1"/>
          <w:sz w:val="20"/>
          <w:szCs w:val="20"/>
        </w:rPr>
        <w:t>réalisé</w:t>
      </w:r>
      <w:r w:rsidRPr="004D5BB4">
        <w:rPr>
          <w:rFonts w:ascii="Arial" w:hAnsi="Arial" w:cs="Arial"/>
          <w:bCs/>
          <w:color w:val="000000" w:themeColor="text1"/>
          <w:sz w:val="20"/>
          <w:szCs w:val="20"/>
        </w:rPr>
        <w:t xml:space="preserve"> un </w:t>
      </w:r>
      <w:r w:rsidR="00857D40">
        <w:rPr>
          <w:rFonts w:ascii="Arial" w:hAnsi="Arial" w:cs="Arial"/>
          <w:bCs/>
          <w:color w:val="000000" w:themeColor="text1"/>
          <w:sz w:val="20"/>
          <w:szCs w:val="20"/>
        </w:rPr>
        <w:t>A</w:t>
      </w:r>
      <w:r w:rsidRPr="004D5BB4">
        <w:rPr>
          <w:rFonts w:ascii="Arial" w:hAnsi="Arial" w:cs="Arial"/>
          <w:bCs/>
          <w:color w:val="000000" w:themeColor="text1"/>
          <w:sz w:val="20"/>
          <w:szCs w:val="20"/>
        </w:rPr>
        <w:t xml:space="preserve">udit </w:t>
      </w:r>
      <w:r w:rsidR="00857D40">
        <w:rPr>
          <w:rFonts w:ascii="Arial" w:hAnsi="Arial" w:cs="Arial"/>
          <w:bCs/>
          <w:color w:val="000000" w:themeColor="text1"/>
          <w:sz w:val="20"/>
          <w:szCs w:val="20"/>
        </w:rPr>
        <w:t>S</w:t>
      </w:r>
      <w:r w:rsidRPr="004D5BB4">
        <w:rPr>
          <w:rFonts w:ascii="Arial" w:hAnsi="Arial" w:cs="Arial"/>
          <w:bCs/>
          <w:color w:val="000000" w:themeColor="text1"/>
          <w:sz w:val="20"/>
          <w:szCs w:val="20"/>
        </w:rPr>
        <w:t xml:space="preserve">ocial et </w:t>
      </w:r>
      <w:r w:rsidR="00857D40">
        <w:rPr>
          <w:rFonts w:ascii="Arial" w:hAnsi="Arial" w:cs="Arial"/>
          <w:bCs/>
          <w:color w:val="000000" w:themeColor="text1"/>
          <w:sz w:val="20"/>
          <w:szCs w:val="20"/>
        </w:rPr>
        <w:t>E</w:t>
      </w:r>
      <w:r w:rsidRPr="004D5BB4">
        <w:rPr>
          <w:rFonts w:ascii="Arial" w:hAnsi="Arial" w:cs="Arial"/>
          <w:bCs/>
          <w:color w:val="000000" w:themeColor="text1"/>
          <w:sz w:val="20"/>
          <w:szCs w:val="20"/>
        </w:rPr>
        <w:t xml:space="preserve">nvironnemental </w:t>
      </w:r>
      <w:r w:rsidR="00857D40">
        <w:rPr>
          <w:rFonts w:ascii="Arial" w:hAnsi="Arial" w:cs="Arial"/>
          <w:bCs/>
          <w:color w:val="000000" w:themeColor="text1"/>
          <w:sz w:val="20"/>
          <w:szCs w:val="20"/>
        </w:rPr>
        <w:t xml:space="preserve">(AES) complet des installations et activités </w:t>
      </w:r>
      <w:r>
        <w:rPr>
          <w:rFonts w:ascii="Arial" w:hAnsi="Arial" w:cs="Arial"/>
          <w:bCs/>
          <w:color w:val="000000" w:themeColor="text1"/>
          <w:sz w:val="20"/>
          <w:szCs w:val="20"/>
        </w:rPr>
        <w:t xml:space="preserve">de la SOSUCAM qui </w:t>
      </w:r>
      <w:r w:rsidR="00857D40">
        <w:rPr>
          <w:rFonts w:ascii="Arial" w:hAnsi="Arial" w:cs="Arial"/>
          <w:bCs/>
          <w:color w:val="000000" w:themeColor="text1"/>
          <w:sz w:val="20"/>
          <w:szCs w:val="20"/>
        </w:rPr>
        <w:t>a été</w:t>
      </w:r>
      <w:r>
        <w:rPr>
          <w:rFonts w:ascii="Arial" w:hAnsi="Arial" w:cs="Arial"/>
          <w:bCs/>
          <w:color w:val="000000" w:themeColor="text1"/>
          <w:sz w:val="20"/>
          <w:szCs w:val="20"/>
        </w:rPr>
        <w:t xml:space="preserve"> </w:t>
      </w:r>
      <w:r w:rsidRPr="004D5BB4">
        <w:rPr>
          <w:rFonts w:ascii="Arial" w:hAnsi="Arial" w:cs="Arial"/>
          <w:bCs/>
          <w:color w:val="000000" w:themeColor="text1"/>
          <w:sz w:val="20"/>
          <w:szCs w:val="20"/>
        </w:rPr>
        <w:t>men</w:t>
      </w:r>
      <w:r w:rsidR="00857D40">
        <w:rPr>
          <w:rFonts w:ascii="Arial" w:hAnsi="Arial" w:cs="Arial"/>
          <w:bCs/>
          <w:color w:val="000000" w:themeColor="text1"/>
          <w:sz w:val="20"/>
          <w:szCs w:val="20"/>
        </w:rPr>
        <w:t xml:space="preserve">é sur plusieurs mois sur les sites de la </w:t>
      </w:r>
      <w:proofErr w:type="spellStart"/>
      <w:r w:rsidR="00857D40">
        <w:rPr>
          <w:rFonts w:ascii="Arial" w:hAnsi="Arial" w:cs="Arial"/>
          <w:bCs/>
          <w:color w:val="000000" w:themeColor="text1"/>
          <w:sz w:val="20"/>
          <w:szCs w:val="20"/>
        </w:rPr>
        <w:t>Sosucam</w:t>
      </w:r>
      <w:proofErr w:type="spellEnd"/>
      <w:r w:rsidRPr="004D5BB4">
        <w:rPr>
          <w:rFonts w:ascii="Arial" w:hAnsi="Arial" w:cs="Arial"/>
          <w:bCs/>
          <w:color w:val="000000" w:themeColor="text1"/>
          <w:sz w:val="20"/>
          <w:szCs w:val="20"/>
        </w:rPr>
        <w:t xml:space="preserve"> par un cabinet d’audit indépendant</w:t>
      </w:r>
      <w:r w:rsidR="00857D40">
        <w:rPr>
          <w:rFonts w:ascii="Arial" w:hAnsi="Arial" w:cs="Arial"/>
          <w:bCs/>
          <w:color w:val="000000" w:themeColor="text1"/>
          <w:sz w:val="20"/>
          <w:szCs w:val="20"/>
        </w:rPr>
        <w:t xml:space="preserve"> agréé par le Ministère de l’Environnement, de la Protection de la </w:t>
      </w:r>
      <w:r w:rsidR="00857D40">
        <w:rPr>
          <w:rFonts w:ascii="Arial" w:hAnsi="Arial" w:cs="Arial"/>
          <w:bCs/>
          <w:color w:val="000000" w:themeColor="text1"/>
          <w:sz w:val="20"/>
          <w:szCs w:val="20"/>
        </w:rPr>
        <w:lastRenderedPageBreak/>
        <w:t>Nature et du Développement Durable camerounais</w:t>
      </w:r>
      <w:r w:rsidR="006114F1">
        <w:rPr>
          <w:rFonts w:ascii="Arial" w:hAnsi="Arial" w:cs="Arial"/>
          <w:bCs/>
          <w:color w:val="000000" w:themeColor="text1"/>
          <w:sz w:val="20"/>
          <w:szCs w:val="20"/>
        </w:rPr>
        <w:t xml:space="preserve"> (MINEPDED) suivant le chronogramme repris en bas de page</w:t>
      </w:r>
      <w:r w:rsidR="006114F1">
        <w:rPr>
          <w:rStyle w:val="Appelnotedebasdep"/>
          <w:rFonts w:cs="Arial"/>
          <w:bCs/>
          <w:color w:val="000000" w:themeColor="text1"/>
          <w:szCs w:val="20"/>
        </w:rPr>
        <w:footnoteReference w:id="3"/>
      </w:r>
      <w:r w:rsidRPr="004D5BB4">
        <w:rPr>
          <w:rFonts w:ascii="Arial" w:hAnsi="Arial" w:cs="Arial"/>
          <w:bCs/>
          <w:color w:val="000000" w:themeColor="text1"/>
          <w:sz w:val="20"/>
          <w:szCs w:val="20"/>
        </w:rPr>
        <w:t xml:space="preserve">. </w:t>
      </w:r>
    </w:p>
    <w:p w14:paraId="7D4C0365" w14:textId="7C683694" w:rsidR="00040FC8" w:rsidRPr="006C4777" w:rsidRDefault="00040FC8" w:rsidP="00586907">
      <w:pPr>
        <w:jc w:val="both"/>
        <w:rPr>
          <w:bCs/>
          <w:color w:val="FF0000"/>
          <w:szCs w:val="24"/>
          <w:shd w:val="clear" w:color="auto" w:fill="FFF2CC" w:themeFill="accent4" w:themeFillTint="33"/>
        </w:rPr>
      </w:pPr>
      <w:r w:rsidRPr="00586907">
        <w:rPr>
          <w:rFonts w:ascii="Arial" w:hAnsi="Arial" w:cs="Arial"/>
          <w:bCs/>
          <w:color w:val="000000" w:themeColor="text1"/>
          <w:sz w:val="20"/>
        </w:rPr>
        <w:t>Cet audit fait suite à ceux de 2008 (audit de chacune des usines – 2 PGES)</w:t>
      </w:r>
      <w:r w:rsidR="00EA7C14" w:rsidRPr="00586907">
        <w:rPr>
          <w:rFonts w:ascii="Arial" w:hAnsi="Arial" w:cs="Arial"/>
          <w:bCs/>
          <w:color w:val="000000" w:themeColor="text1"/>
          <w:sz w:val="20"/>
        </w:rPr>
        <w:t xml:space="preserve"> et </w:t>
      </w:r>
      <w:r w:rsidRPr="00586907">
        <w:rPr>
          <w:rFonts w:ascii="Arial" w:hAnsi="Arial" w:cs="Arial"/>
          <w:bCs/>
          <w:color w:val="000000" w:themeColor="text1"/>
          <w:sz w:val="20"/>
        </w:rPr>
        <w:t>de 2012 (EIES du projet d’extension – 1 PGES) et 2017 (EIES du projet d’irrigation – 1 PGES). Il a pour objectif, outre de répondre à la recommandation formulée, de consolider les mesures des 4 PGES existant dans un seul en les mettant à jour au regard du développement des activités/installations de l’entreprise, et de l’évolution du contexte social, règlementaire et normatif national/international, afin de rendre leurs mises en œuvre plus efficaces. Le Groupe indique qu’en terme de prochaines étapes, le retour du MINEPDED suite à l’analyse du rapport d’AES est attendu ; après validation du rapport par la commission interministérielle présidée par le MINEPDED, s’en suivra une campagne de publicité du PGES que nous proposons en collaboration avec les CRV/CAVT. La mise en œuvre et le suivi de mesures retenue</w:t>
      </w:r>
      <w:r w:rsidR="008C02AD" w:rsidRPr="00586907">
        <w:rPr>
          <w:rFonts w:ascii="Arial" w:hAnsi="Arial" w:cs="Arial"/>
          <w:bCs/>
          <w:color w:val="000000" w:themeColor="text1"/>
          <w:sz w:val="20"/>
        </w:rPr>
        <w:t>s</w:t>
      </w:r>
      <w:r w:rsidRPr="00586907">
        <w:rPr>
          <w:rFonts w:ascii="Arial" w:hAnsi="Arial" w:cs="Arial"/>
          <w:bCs/>
          <w:color w:val="000000" w:themeColor="text1"/>
          <w:sz w:val="20"/>
        </w:rPr>
        <w:t xml:space="preserve"> dans celui-ci se feront suivant les délais porté</w:t>
      </w:r>
      <w:r w:rsidR="008C02AD" w:rsidRPr="00586907">
        <w:rPr>
          <w:rFonts w:ascii="Arial" w:hAnsi="Arial" w:cs="Arial"/>
          <w:bCs/>
          <w:color w:val="000000" w:themeColor="text1"/>
          <w:sz w:val="20"/>
        </w:rPr>
        <w:t>s</w:t>
      </w:r>
      <w:r w:rsidRPr="00586907">
        <w:rPr>
          <w:rFonts w:ascii="Arial" w:hAnsi="Arial" w:cs="Arial"/>
          <w:bCs/>
          <w:color w:val="000000" w:themeColor="text1"/>
          <w:sz w:val="20"/>
        </w:rPr>
        <w:t xml:space="preserve"> dans le document</w:t>
      </w:r>
      <w:r w:rsidR="008C02AD" w:rsidRPr="00586907">
        <w:rPr>
          <w:rFonts w:ascii="Arial" w:hAnsi="Arial" w:cs="Arial"/>
          <w:bCs/>
          <w:color w:val="000000" w:themeColor="text1"/>
          <w:sz w:val="20"/>
        </w:rPr>
        <w:t>. L’audit comporte un volet visant à consulter les populations riveraines et les plaignants. A date, le PCN français n’a pas reçu le PGES.</w:t>
      </w:r>
    </w:p>
    <w:p w14:paraId="7183E633" w14:textId="3751A0C3" w:rsidR="00310608" w:rsidRDefault="00310608" w:rsidP="00310608">
      <w:pPr>
        <w:jc w:val="both"/>
        <w:rPr>
          <w:rFonts w:ascii="Arial" w:hAnsi="Arial" w:cs="Arial"/>
          <w:color w:val="000000" w:themeColor="text1"/>
          <w:sz w:val="20"/>
          <w:szCs w:val="20"/>
        </w:rPr>
      </w:pPr>
      <w:r>
        <w:rPr>
          <w:rFonts w:ascii="Arial" w:hAnsi="Arial" w:cs="Arial"/>
          <w:color w:val="000000" w:themeColor="text1"/>
          <w:sz w:val="20"/>
          <w:szCs w:val="20"/>
        </w:rPr>
        <w:t>L</w:t>
      </w:r>
      <w:r w:rsidRPr="004D5BB4">
        <w:rPr>
          <w:rFonts w:ascii="Arial" w:hAnsi="Arial" w:cs="Arial"/>
          <w:color w:val="000000" w:themeColor="text1"/>
          <w:sz w:val="20"/>
          <w:szCs w:val="20"/>
        </w:rPr>
        <w:t xml:space="preserve">es termes de référence de l’audit social et environnemental </w:t>
      </w:r>
      <w:r>
        <w:rPr>
          <w:rFonts w:ascii="Arial" w:hAnsi="Arial" w:cs="Arial"/>
          <w:color w:val="000000" w:themeColor="text1"/>
          <w:sz w:val="20"/>
          <w:szCs w:val="20"/>
        </w:rPr>
        <w:t>de la SOSUCAM</w:t>
      </w:r>
      <w:r w:rsidRPr="004D5BB4">
        <w:rPr>
          <w:rFonts w:ascii="Arial" w:hAnsi="Arial" w:cs="Arial"/>
          <w:color w:val="000000" w:themeColor="text1"/>
          <w:sz w:val="20"/>
          <w:szCs w:val="20"/>
        </w:rPr>
        <w:t xml:space="preserve"> ont été validés </w:t>
      </w:r>
      <w:r w:rsidR="00554643">
        <w:rPr>
          <w:rFonts w:ascii="Arial" w:hAnsi="Arial" w:cs="Arial"/>
          <w:color w:val="000000" w:themeColor="text1"/>
          <w:sz w:val="20"/>
          <w:szCs w:val="20"/>
        </w:rPr>
        <w:t>le 21</w:t>
      </w:r>
      <w:r w:rsidRPr="004D5BB4">
        <w:rPr>
          <w:rFonts w:ascii="Arial" w:hAnsi="Arial" w:cs="Arial"/>
          <w:color w:val="000000" w:themeColor="text1"/>
          <w:sz w:val="20"/>
          <w:szCs w:val="20"/>
        </w:rPr>
        <w:t xml:space="preserve"> mars 2023 par le</w:t>
      </w:r>
      <w:r>
        <w:rPr>
          <w:rFonts w:ascii="Arial" w:hAnsi="Arial" w:cs="Arial"/>
          <w:color w:val="000000" w:themeColor="text1"/>
          <w:sz w:val="20"/>
          <w:szCs w:val="20"/>
        </w:rPr>
        <w:t xml:space="preserve"> Ministère de l’Environnement, de la Protection de la Nature et du Développement durable</w:t>
      </w:r>
      <w:r w:rsidRPr="004D5BB4">
        <w:rPr>
          <w:rFonts w:ascii="Arial" w:hAnsi="Arial" w:cs="Arial"/>
          <w:color w:val="000000" w:themeColor="text1"/>
          <w:sz w:val="20"/>
          <w:szCs w:val="20"/>
        </w:rPr>
        <w:t xml:space="preserve"> camerounais</w:t>
      </w:r>
      <w:r>
        <w:rPr>
          <w:rFonts w:ascii="Arial" w:hAnsi="Arial" w:cs="Arial"/>
          <w:color w:val="000000" w:themeColor="text1"/>
          <w:sz w:val="20"/>
          <w:szCs w:val="20"/>
        </w:rPr>
        <w:t xml:space="preserve"> (MINEPDED)</w:t>
      </w:r>
      <w:r w:rsidRPr="004D5BB4">
        <w:rPr>
          <w:rFonts w:ascii="Arial" w:hAnsi="Arial" w:cs="Arial"/>
          <w:color w:val="000000" w:themeColor="text1"/>
          <w:sz w:val="20"/>
          <w:szCs w:val="20"/>
        </w:rPr>
        <w:t xml:space="preserve">. </w:t>
      </w:r>
      <w:r>
        <w:rPr>
          <w:rFonts w:ascii="Arial" w:hAnsi="Arial" w:cs="Arial"/>
          <w:color w:val="000000" w:themeColor="text1"/>
          <w:sz w:val="20"/>
          <w:szCs w:val="20"/>
        </w:rPr>
        <w:t>Le PCN, qui n’a pas été informé ni consulté sur la préparation des termes de référence, note que selon l</w:t>
      </w:r>
      <w:r w:rsidRPr="004D5BB4">
        <w:rPr>
          <w:rFonts w:ascii="Arial" w:hAnsi="Arial" w:cs="Arial"/>
          <w:color w:val="000000" w:themeColor="text1"/>
          <w:sz w:val="20"/>
          <w:szCs w:val="20"/>
        </w:rPr>
        <w:t xml:space="preserve">es plaignants les </w:t>
      </w:r>
      <w:r>
        <w:rPr>
          <w:rFonts w:ascii="Arial" w:hAnsi="Arial" w:cs="Arial"/>
          <w:color w:val="000000" w:themeColor="text1"/>
          <w:sz w:val="20"/>
          <w:szCs w:val="20"/>
        </w:rPr>
        <w:t>P</w:t>
      </w:r>
      <w:r w:rsidRPr="004D5BB4">
        <w:rPr>
          <w:rFonts w:ascii="Arial" w:hAnsi="Arial" w:cs="Arial"/>
          <w:color w:val="000000" w:themeColor="text1"/>
          <w:sz w:val="20"/>
          <w:szCs w:val="20"/>
        </w:rPr>
        <w:t>rincipes directeurs de l’OCDE n’</w:t>
      </w:r>
      <w:r>
        <w:rPr>
          <w:rFonts w:ascii="Arial" w:hAnsi="Arial" w:cs="Arial"/>
          <w:color w:val="000000" w:themeColor="text1"/>
          <w:sz w:val="20"/>
          <w:szCs w:val="20"/>
        </w:rPr>
        <w:t>auraie</w:t>
      </w:r>
      <w:r w:rsidRPr="004D5BB4">
        <w:rPr>
          <w:rFonts w:ascii="Arial" w:hAnsi="Arial" w:cs="Arial"/>
          <w:color w:val="000000" w:themeColor="text1"/>
          <w:sz w:val="20"/>
          <w:szCs w:val="20"/>
        </w:rPr>
        <w:t>nt été que partiellement pris en compte</w:t>
      </w:r>
      <w:r>
        <w:rPr>
          <w:rFonts w:ascii="Arial" w:hAnsi="Arial" w:cs="Arial"/>
          <w:color w:val="000000" w:themeColor="text1"/>
          <w:sz w:val="20"/>
          <w:szCs w:val="20"/>
        </w:rPr>
        <w:t>.</w:t>
      </w:r>
    </w:p>
    <w:p w14:paraId="6C2313EF" w14:textId="1C06000E" w:rsidR="00310608" w:rsidRDefault="00310608" w:rsidP="00310608">
      <w:pPr>
        <w:jc w:val="both"/>
        <w:rPr>
          <w:rFonts w:ascii="Arial" w:hAnsi="Arial" w:cs="Arial"/>
          <w:color w:val="000000" w:themeColor="text1"/>
          <w:sz w:val="20"/>
          <w:szCs w:val="20"/>
        </w:rPr>
      </w:pPr>
      <w:r>
        <w:rPr>
          <w:rFonts w:ascii="Arial" w:hAnsi="Arial" w:cs="Arial"/>
          <w:color w:val="000000" w:themeColor="text1"/>
          <w:sz w:val="20"/>
          <w:szCs w:val="20"/>
        </w:rPr>
        <w:t>Les parties ont indiqué au PCN que l</w:t>
      </w:r>
      <w:r w:rsidRPr="004D5BB4">
        <w:rPr>
          <w:rFonts w:ascii="Arial" w:hAnsi="Arial" w:cs="Arial"/>
          <w:color w:val="000000" w:themeColor="text1"/>
          <w:sz w:val="20"/>
          <w:szCs w:val="20"/>
        </w:rPr>
        <w:t>es consultations des populations locales</w:t>
      </w:r>
      <w:r w:rsidR="00BB05A1">
        <w:rPr>
          <w:rFonts w:ascii="Arial" w:hAnsi="Arial" w:cs="Arial"/>
          <w:color w:val="000000" w:themeColor="text1"/>
          <w:sz w:val="20"/>
          <w:szCs w:val="20"/>
        </w:rPr>
        <w:t>,</w:t>
      </w:r>
      <w:r w:rsidRPr="004D5BB4">
        <w:rPr>
          <w:rFonts w:ascii="Arial" w:hAnsi="Arial" w:cs="Arial"/>
          <w:color w:val="000000" w:themeColor="text1"/>
          <w:sz w:val="20"/>
          <w:szCs w:val="20"/>
        </w:rPr>
        <w:t xml:space="preserve"> </w:t>
      </w:r>
      <w:r>
        <w:rPr>
          <w:rFonts w:ascii="Arial" w:hAnsi="Arial" w:cs="Arial"/>
          <w:color w:val="000000" w:themeColor="text1"/>
          <w:sz w:val="20"/>
          <w:szCs w:val="20"/>
        </w:rPr>
        <w:t>dont l</w:t>
      </w:r>
      <w:r w:rsidRPr="004D5BB4">
        <w:rPr>
          <w:rFonts w:ascii="Arial" w:hAnsi="Arial" w:cs="Arial"/>
          <w:color w:val="000000" w:themeColor="text1"/>
          <w:sz w:val="20"/>
          <w:szCs w:val="20"/>
        </w:rPr>
        <w:t>es plaignants</w:t>
      </w:r>
      <w:r w:rsidR="00BB05A1">
        <w:rPr>
          <w:rFonts w:ascii="Arial" w:hAnsi="Arial" w:cs="Arial"/>
          <w:color w:val="000000" w:themeColor="text1"/>
          <w:sz w:val="20"/>
          <w:szCs w:val="20"/>
        </w:rPr>
        <w:t>,</w:t>
      </w:r>
      <w:r w:rsidRPr="004D5BB4">
        <w:rPr>
          <w:rFonts w:ascii="Arial" w:hAnsi="Arial" w:cs="Arial"/>
          <w:color w:val="000000" w:themeColor="text1"/>
          <w:sz w:val="20"/>
          <w:szCs w:val="20"/>
        </w:rPr>
        <w:t xml:space="preserve"> ont été lancées par le cabinet</w:t>
      </w:r>
      <w:r>
        <w:rPr>
          <w:rFonts w:ascii="Arial" w:hAnsi="Arial" w:cs="Arial"/>
          <w:color w:val="000000" w:themeColor="text1"/>
          <w:sz w:val="20"/>
          <w:szCs w:val="20"/>
        </w:rPr>
        <w:t xml:space="preserve"> d’audit</w:t>
      </w:r>
      <w:r w:rsidR="00BB05A1">
        <w:rPr>
          <w:rFonts w:ascii="Arial" w:hAnsi="Arial" w:cs="Arial"/>
          <w:color w:val="000000" w:themeColor="text1"/>
          <w:sz w:val="20"/>
          <w:szCs w:val="20"/>
        </w:rPr>
        <w:t xml:space="preserve"> retenu par SOMDIAA</w:t>
      </w:r>
      <w:r>
        <w:rPr>
          <w:rFonts w:ascii="Arial" w:hAnsi="Arial" w:cs="Arial"/>
          <w:color w:val="000000" w:themeColor="text1"/>
          <w:sz w:val="20"/>
          <w:szCs w:val="20"/>
        </w:rPr>
        <w:t>. SOMDIAA et la SOSUCAM lui ont indiqué qu</w:t>
      </w:r>
      <w:r w:rsidR="00BB05A1">
        <w:rPr>
          <w:rFonts w:ascii="Arial" w:hAnsi="Arial" w:cs="Arial"/>
          <w:color w:val="000000" w:themeColor="text1"/>
          <w:sz w:val="20"/>
          <w:szCs w:val="20"/>
        </w:rPr>
        <w:t>e le</w:t>
      </w:r>
      <w:r w:rsidRPr="004D5BB4">
        <w:rPr>
          <w:rFonts w:ascii="Arial" w:hAnsi="Arial" w:cs="Arial"/>
          <w:color w:val="000000" w:themeColor="text1"/>
          <w:sz w:val="20"/>
          <w:szCs w:val="20"/>
        </w:rPr>
        <w:t xml:space="preserve"> rapport d’audit (210 pages) a été préparé</w:t>
      </w:r>
      <w:r>
        <w:rPr>
          <w:rFonts w:ascii="Arial" w:hAnsi="Arial" w:cs="Arial"/>
          <w:color w:val="000000" w:themeColor="text1"/>
          <w:sz w:val="20"/>
          <w:szCs w:val="20"/>
        </w:rPr>
        <w:t xml:space="preserve"> par le cabinet d’audit</w:t>
      </w:r>
      <w:r w:rsidRPr="004D5BB4">
        <w:rPr>
          <w:rFonts w:ascii="Arial" w:hAnsi="Arial" w:cs="Arial"/>
          <w:color w:val="000000" w:themeColor="text1"/>
          <w:sz w:val="20"/>
          <w:szCs w:val="20"/>
        </w:rPr>
        <w:t xml:space="preserve"> et </w:t>
      </w:r>
      <w:r>
        <w:rPr>
          <w:rFonts w:ascii="Arial" w:hAnsi="Arial" w:cs="Arial"/>
          <w:color w:val="000000" w:themeColor="text1"/>
          <w:sz w:val="20"/>
          <w:szCs w:val="20"/>
        </w:rPr>
        <w:t xml:space="preserve">qu’il </w:t>
      </w:r>
      <w:r w:rsidRPr="004D5BB4">
        <w:rPr>
          <w:rFonts w:ascii="Arial" w:hAnsi="Arial" w:cs="Arial"/>
          <w:color w:val="000000" w:themeColor="text1"/>
          <w:sz w:val="20"/>
          <w:szCs w:val="20"/>
        </w:rPr>
        <w:t xml:space="preserve">sera </w:t>
      </w:r>
      <w:r>
        <w:rPr>
          <w:rFonts w:ascii="Arial" w:hAnsi="Arial" w:cs="Arial"/>
          <w:color w:val="000000" w:themeColor="text1"/>
          <w:sz w:val="20"/>
          <w:szCs w:val="20"/>
        </w:rPr>
        <w:t>« </w:t>
      </w:r>
      <w:r w:rsidRPr="0077157D">
        <w:rPr>
          <w:rFonts w:ascii="Arial" w:hAnsi="Arial" w:cs="Arial"/>
          <w:i/>
          <w:iCs/>
          <w:color w:val="000000" w:themeColor="text1"/>
          <w:sz w:val="20"/>
          <w:szCs w:val="20"/>
        </w:rPr>
        <w:t>prochainement</w:t>
      </w:r>
      <w:r>
        <w:rPr>
          <w:rFonts w:ascii="Arial" w:hAnsi="Arial" w:cs="Arial"/>
          <w:color w:val="000000" w:themeColor="text1"/>
          <w:sz w:val="20"/>
          <w:szCs w:val="20"/>
        </w:rPr>
        <w:t> »</w:t>
      </w:r>
      <w:r w:rsidRPr="004D5BB4">
        <w:rPr>
          <w:rFonts w:ascii="Arial" w:hAnsi="Arial" w:cs="Arial"/>
          <w:color w:val="000000" w:themeColor="text1"/>
          <w:sz w:val="20"/>
          <w:szCs w:val="20"/>
        </w:rPr>
        <w:t xml:space="preserve"> soumis au Ministère camerounais de l’Environnement et à une commission interministérielle qu’il préside. Après approbation </w:t>
      </w:r>
      <w:r>
        <w:rPr>
          <w:rFonts w:ascii="Arial" w:hAnsi="Arial" w:cs="Arial"/>
          <w:color w:val="000000" w:themeColor="text1"/>
          <w:sz w:val="20"/>
          <w:szCs w:val="20"/>
        </w:rPr>
        <w:t xml:space="preserve">par </w:t>
      </w:r>
      <w:r w:rsidRPr="004D5BB4">
        <w:rPr>
          <w:rFonts w:ascii="Arial" w:hAnsi="Arial" w:cs="Arial"/>
          <w:color w:val="000000" w:themeColor="text1"/>
          <w:sz w:val="20"/>
          <w:szCs w:val="20"/>
        </w:rPr>
        <w:t xml:space="preserve">cette commission, </w:t>
      </w:r>
      <w:r>
        <w:rPr>
          <w:rFonts w:ascii="Arial" w:hAnsi="Arial" w:cs="Arial"/>
          <w:color w:val="000000" w:themeColor="text1"/>
          <w:sz w:val="20"/>
          <w:szCs w:val="20"/>
        </w:rPr>
        <w:t>le rapport d’audit</w:t>
      </w:r>
      <w:r w:rsidRPr="004D5BB4">
        <w:rPr>
          <w:rFonts w:ascii="Arial" w:hAnsi="Arial" w:cs="Arial"/>
          <w:color w:val="000000" w:themeColor="text1"/>
          <w:sz w:val="20"/>
          <w:szCs w:val="20"/>
        </w:rPr>
        <w:t xml:space="preserve"> sera mis à disposition des parties prenantes dans les écoles ou les mairies </w:t>
      </w:r>
      <w:r>
        <w:rPr>
          <w:rFonts w:ascii="Arial" w:hAnsi="Arial" w:cs="Arial"/>
          <w:color w:val="000000" w:themeColor="text1"/>
          <w:sz w:val="20"/>
          <w:szCs w:val="20"/>
        </w:rPr>
        <w:t xml:space="preserve">de la zone </w:t>
      </w:r>
      <w:r w:rsidRPr="004D5BB4">
        <w:rPr>
          <w:rFonts w:ascii="Arial" w:hAnsi="Arial" w:cs="Arial"/>
          <w:color w:val="000000" w:themeColor="text1"/>
          <w:sz w:val="20"/>
          <w:szCs w:val="20"/>
        </w:rPr>
        <w:t>concernée fin novembre 2023 ou début décembre 2023.</w:t>
      </w:r>
      <w:r>
        <w:rPr>
          <w:rFonts w:ascii="Arial" w:hAnsi="Arial" w:cs="Arial"/>
          <w:color w:val="000000" w:themeColor="text1"/>
          <w:sz w:val="20"/>
          <w:szCs w:val="20"/>
        </w:rPr>
        <w:t xml:space="preserve"> Ce</w:t>
      </w:r>
      <w:r w:rsidR="00422A13">
        <w:rPr>
          <w:rFonts w:ascii="Arial" w:hAnsi="Arial" w:cs="Arial"/>
          <w:color w:val="000000" w:themeColor="text1"/>
          <w:sz w:val="20"/>
          <w:szCs w:val="20"/>
        </w:rPr>
        <w:t xml:space="preserve"> rapport d’audit servira de base à l’élaboration du PGES qui sera élaboré ultérieurement par la </w:t>
      </w:r>
      <w:proofErr w:type="spellStart"/>
      <w:r w:rsidR="00422A13">
        <w:rPr>
          <w:rFonts w:ascii="Arial" w:hAnsi="Arial" w:cs="Arial"/>
          <w:color w:val="000000" w:themeColor="text1"/>
          <w:sz w:val="20"/>
          <w:szCs w:val="20"/>
        </w:rPr>
        <w:t>Sosucam</w:t>
      </w:r>
      <w:proofErr w:type="spellEnd"/>
      <w:r w:rsidR="00422A13">
        <w:rPr>
          <w:rFonts w:ascii="Arial" w:hAnsi="Arial" w:cs="Arial"/>
          <w:color w:val="000000" w:themeColor="text1"/>
          <w:sz w:val="20"/>
          <w:szCs w:val="20"/>
        </w:rPr>
        <w:t>.</w:t>
      </w:r>
      <w:r>
        <w:rPr>
          <w:rFonts w:ascii="Arial" w:hAnsi="Arial" w:cs="Arial"/>
          <w:color w:val="000000" w:themeColor="text1"/>
          <w:sz w:val="20"/>
          <w:szCs w:val="20"/>
        </w:rPr>
        <w:t xml:space="preserve"> </w:t>
      </w:r>
      <w:r w:rsidRPr="004D5BB4">
        <w:rPr>
          <w:rFonts w:ascii="Arial" w:hAnsi="Arial" w:cs="Arial"/>
          <w:color w:val="000000" w:themeColor="text1"/>
          <w:sz w:val="20"/>
          <w:szCs w:val="20"/>
        </w:rPr>
        <w:t>Les parties prenantes pourront proposer des modifications et faire des commentaires</w:t>
      </w:r>
      <w:r>
        <w:rPr>
          <w:rFonts w:ascii="Arial" w:hAnsi="Arial" w:cs="Arial"/>
          <w:color w:val="000000" w:themeColor="text1"/>
          <w:sz w:val="20"/>
          <w:szCs w:val="20"/>
        </w:rPr>
        <w:t xml:space="preserve"> </w:t>
      </w:r>
      <w:r w:rsidR="00422A13">
        <w:rPr>
          <w:rFonts w:ascii="Arial" w:hAnsi="Arial" w:cs="Arial"/>
          <w:color w:val="000000" w:themeColor="text1"/>
          <w:sz w:val="20"/>
          <w:szCs w:val="20"/>
        </w:rPr>
        <w:t>sur le rapport final d’audit</w:t>
      </w:r>
      <w:r w:rsidRPr="004D5BB4">
        <w:rPr>
          <w:rFonts w:ascii="Arial" w:hAnsi="Arial" w:cs="Arial"/>
          <w:color w:val="000000" w:themeColor="text1"/>
          <w:sz w:val="20"/>
          <w:szCs w:val="20"/>
        </w:rPr>
        <w:t>.</w:t>
      </w:r>
      <w:r>
        <w:rPr>
          <w:rFonts w:ascii="Arial" w:hAnsi="Arial" w:cs="Arial"/>
          <w:color w:val="000000" w:themeColor="text1"/>
          <w:sz w:val="20"/>
          <w:szCs w:val="20"/>
        </w:rPr>
        <w:t xml:space="preserve"> P</w:t>
      </w:r>
      <w:r w:rsidRPr="004D5BB4">
        <w:rPr>
          <w:rFonts w:ascii="Arial" w:hAnsi="Arial" w:cs="Arial"/>
          <w:color w:val="000000" w:themeColor="text1"/>
          <w:sz w:val="20"/>
          <w:szCs w:val="20"/>
        </w:rPr>
        <w:t>our être pris</w:t>
      </w:r>
      <w:r w:rsidR="00422A13">
        <w:rPr>
          <w:rFonts w:ascii="Arial" w:hAnsi="Arial" w:cs="Arial"/>
          <w:color w:val="000000" w:themeColor="text1"/>
          <w:sz w:val="20"/>
          <w:szCs w:val="20"/>
        </w:rPr>
        <w:t>es</w:t>
      </w:r>
      <w:r w:rsidRPr="004D5BB4">
        <w:rPr>
          <w:rFonts w:ascii="Arial" w:hAnsi="Arial" w:cs="Arial"/>
          <w:color w:val="000000" w:themeColor="text1"/>
          <w:sz w:val="20"/>
          <w:szCs w:val="20"/>
        </w:rPr>
        <w:t xml:space="preserve"> en compte dans le PGES final</w:t>
      </w:r>
      <w:r>
        <w:rPr>
          <w:rFonts w:ascii="Arial" w:hAnsi="Arial" w:cs="Arial"/>
          <w:color w:val="000000" w:themeColor="text1"/>
          <w:sz w:val="20"/>
          <w:szCs w:val="20"/>
        </w:rPr>
        <w:t>, c</w:t>
      </w:r>
      <w:r w:rsidRPr="004D5BB4">
        <w:rPr>
          <w:rFonts w:ascii="Arial" w:hAnsi="Arial" w:cs="Arial"/>
          <w:color w:val="000000" w:themeColor="text1"/>
          <w:sz w:val="20"/>
          <w:szCs w:val="20"/>
        </w:rPr>
        <w:t xml:space="preserve">es modifications ou commentaires devront être approuvés par les autorités camerounaises. </w:t>
      </w:r>
    </w:p>
    <w:p w14:paraId="18C096C3" w14:textId="7EBB88E7" w:rsidR="00310608" w:rsidRPr="004D5BB4" w:rsidRDefault="00310608" w:rsidP="00310608">
      <w:pPr>
        <w:jc w:val="both"/>
        <w:rPr>
          <w:rFonts w:ascii="Arial" w:hAnsi="Arial" w:cs="Arial"/>
          <w:color w:val="000000" w:themeColor="text1"/>
          <w:sz w:val="20"/>
          <w:szCs w:val="20"/>
        </w:rPr>
      </w:pPr>
      <w:r>
        <w:rPr>
          <w:rFonts w:ascii="Arial" w:hAnsi="Arial" w:cs="Arial"/>
          <w:color w:val="000000" w:themeColor="text1"/>
          <w:sz w:val="20"/>
          <w:szCs w:val="20"/>
        </w:rPr>
        <w:t xml:space="preserve">Le PCN retient de ses échanges avec les parties que </w:t>
      </w:r>
      <w:r w:rsidRPr="004D5BB4">
        <w:rPr>
          <w:rFonts w:ascii="Arial" w:hAnsi="Arial" w:cs="Arial"/>
          <w:color w:val="000000" w:themeColor="text1"/>
          <w:sz w:val="20"/>
          <w:szCs w:val="20"/>
        </w:rPr>
        <w:t xml:space="preserve">le processus </w:t>
      </w:r>
      <w:r w:rsidR="00C7381E">
        <w:rPr>
          <w:rFonts w:ascii="Arial" w:hAnsi="Arial" w:cs="Arial"/>
          <w:color w:val="000000" w:themeColor="text1"/>
          <w:sz w:val="20"/>
          <w:szCs w:val="20"/>
        </w:rPr>
        <w:t>d’audience publique du</w:t>
      </w:r>
      <w:r>
        <w:rPr>
          <w:rFonts w:ascii="Arial" w:hAnsi="Arial" w:cs="Arial"/>
          <w:color w:val="000000" w:themeColor="text1"/>
          <w:sz w:val="20"/>
          <w:szCs w:val="20"/>
        </w:rPr>
        <w:t xml:space="preserve"> plan de gestion environnemental et social de la SOSUCAM</w:t>
      </w:r>
      <w:r w:rsidRPr="004D5BB4">
        <w:rPr>
          <w:rFonts w:ascii="Arial" w:hAnsi="Arial" w:cs="Arial"/>
          <w:color w:val="000000" w:themeColor="text1"/>
          <w:sz w:val="20"/>
          <w:szCs w:val="20"/>
        </w:rPr>
        <w:t xml:space="preserve"> dépendra largement des autorités du pays</w:t>
      </w:r>
      <w:r w:rsidR="00422A13">
        <w:rPr>
          <w:rFonts w:ascii="Arial" w:hAnsi="Arial" w:cs="Arial"/>
          <w:color w:val="000000" w:themeColor="text1"/>
          <w:sz w:val="20"/>
          <w:szCs w:val="20"/>
        </w:rPr>
        <w:t xml:space="preserve"> (le MINEPDED et la préfecture dont dépend la sucrerie</w:t>
      </w:r>
      <w:proofErr w:type="gramStart"/>
      <w:r w:rsidR="00422A13">
        <w:rPr>
          <w:rFonts w:ascii="Arial" w:hAnsi="Arial" w:cs="Arial"/>
          <w:color w:val="000000" w:themeColor="text1"/>
          <w:sz w:val="20"/>
          <w:szCs w:val="20"/>
        </w:rPr>
        <w:t>)</w:t>
      </w:r>
      <w:r w:rsidR="00C7381E">
        <w:rPr>
          <w:rFonts w:ascii="Arial" w:hAnsi="Arial" w:cs="Arial"/>
          <w:color w:val="000000" w:themeColor="text1"/>
          <w:sz w:val="20"/>
          <w:szCs w:val="20"/>
        </w:rPr>
        <w:t>.</w:t>
      </w:r>
      <w:r w:rsidRPr="004D5BB4">
        <w:rPr>
          <w:rFonts w:ascii="Arial" w:hAnsi="Arial" w:cs="Arial"/>
          <w:color w:val="000000" w:themeColor="text1"/>
          <w:sz w:val="20"/>
          <w:szCs w:val="20"/>
        </w:rPr>
        <w:t>.</w:t>
      </w:r>
      <w:proofErr w:type="gramEnd"/>
      <w:r w:rsidRPr="004D5BB4">
        <w:rPr>
          <w:rFonts w:ascii="Arial" w:hAnsi="Arial" w:cs="Arial"/>
          <w:color w:val="000000" w:themeColor="text1"/>
          <w:sz w:val="20"/>
          <w:szCs w:val="20"/>
        </w:rPr>
        <w:t xml:space="preserve"> </w:t>
      </w:r>
      <w:r>
        <w:rPr>
          <w:rFonts w:ascii="Arial" w:hAnsi="Arial" w:cs="Arial"/>
          <w:color w:val="000000" w:themeColor="text1"/>
          <w:sz w:val="20"/>
          <w:szCs w:val="20"/>
        </w:rPr>
        <w:t xml:space="preserve">La date de finalisation du PGES, qui a vocation à piloter la politique sociale et environnementale de la SOSUCAM et son engagement avec les parties </w:t>
      </w:r>
      <w:r w:rsidR="008066CA">
        <w:rPr>
          <w:rFonts w:ascii="Arial" w:hAnsi="Arial" w:cs="Arial"/>
          <w:color w:val="000000" w:themeColor="text1"/>
          <w:sz w:val="20"/>
          <w:szCs w:val="20"/>
        </w:rPr>
        <w:t>prenantes dépendra des étapes à venir.</w:t>
      </w:r>
    </w:p>
    <w:p w14:paraId="2F646FB6" w14:textId="77777777" w:rsidR="00310608" w:rsidRPr="00F40FA7" w:rsidRDefault="00310608" w:rsidP="00310608">
      <w:pPr>
        <w:jc w:val="both"/>
        <w:rPr>
          <w:rFonts w:ascii="Arial" w:hAnsi="Arial" w:cs="Arial"/>
          <w:color w:val="000000" w:themeColor="text1"/>
          <w:sz w:val="20"/>
          <w:szCs w:val="20"/>
        </w:rPr>
      </w:pPr>
      <w:proofErr w:type="gramStart"/>
      <w:r w:rsidRPr="00B16D03">
        <w:rPr>
          <w:rFonts w:ascii="Arial" w:hAnsi="Arial" w:cs="Arial"/>
          <w:b/>
          <w:bCs/>
          <w:color w:val="000000" w:themeColor="text1"/>
          <w:sz w:val="20"/>
          <w:szCs w:val="20"/>
        </w:rPr>
        <w:t>ii</w:t>
      </w:r>
      <w:proofErr w:type="gramEnd"/>
      <w:r w:rsidRPr="00B16D03">
        <w:rPr>
          <w:rFonts w:ascii="Arial" w:hAnsi="Arial" w:cs="Arial"/>
          <w:b/>
          <w:bCs/>
          <w:color w:val="000000" w:themeColor="text1"/>
          <w:sz w:val="20"/>
          <w:szCs w:val="20"/>
        </w:rPr>
        <w:t xml:space="preserve">/ S’agissant de la </w:t>
      </w:r>
      <w:r w:rsidRPr="00F54C2D">
        <w:rPr>
          <w:rFonts w:ascii="Arial" w:hAnsi="Arial" w:cs="Arial"/>
          <w:b/>
          <w:bCs/>
          <w:iCs/>
          <w:szCs w:val="20"/>
        </w:rPr>
        <w:t>qualité des eaux de surface et sous-terraines</w:t>
      </w:r>
      <w:r>
        <w:rPr>
          <w:rFonts w:ascii="Arial" w:hAnsi="Arial" w:cs="Arial"/>
          <w:color w:val="000000" w:themeColor="text1"/>
          <w:sz w:val="20"/>
          <w:szCs w:val="20"/>
        </w:rPr>
        <w:t xml:space="preserve"> </w:t>
      </w:r>
      <w:r w:rsidRPr="00B16D03">
        <w:rPr>
          <w:rFonts w:ascii="Arial" w:hAnsi="Arial" w:cs="Arial"/>
          <w:b/>
          <w:bCs/>
          <w:color w:val="000000" w:themeColor="text1"/>
          <w:sz w:val="20"/>
          <w:szCs w:val="20"/>
        </w:rPr>
        <w:t>de la SOSUCAM</w:t>
      </w:r>
    </w:p>
    <w:p w14:paraId="3B1E6DC9" w14:textId="535E09B2" w:rsidR="00310608" w:rsidRDefault="00310608" w:rsidP="00310608">
      <w:pPr>
        <w:jc w:val="both"/>
        <w:rPr>
          <w:rFonts w:ascii="Arial" w:hAnsi="Arial" w:cs="Arial"/>
          <w:color w:val="000000" w:themeColor="text1"/>
          <w:sz w:val="20"/>
          <w:szCs w:val="20"/>
        </w:rPr>
      </w:pPr>
      <w:r w:rsidRPr="00967C5F">
        <w:rPr>
          <w:rFonts w:ascii="Arial" w:hAnsi="Arial" w:cs="Arial"/>
          <w:color w:val="000000" w:themeColor="text1"/>
          <w:sz w:val="20"/>
          <w:szCs w:val="20"/>
        </w:rPr>
        <w:t>Le PCN note que</w:t>
      </w:r>
      <w:r w:rsidRPr="004D5BB4">
        <w:rPr>
          <w:rFonts w:ascii="Arial" w:hAnsi="Arial" w:cs="Arial"/>
          <w:color w:val="000000" w:themeColor="text1"/>
          <w:sz w:val="20"/>
          <w:szCs w:val="20"/>
        </w:rPr>
        <w:t xml:space="preserve"> les plaignants indiquent n’avoir constaté aucune évolution positive en 2022 et 2023. </w:t>
      </w:r>
    </w:p>
    <w:p w14:paraId="19669B9A" w14:textId="634D2DAF" w:rsidR="00310608" w:rsidRDefault="00422A13" w:rsidP="00310608">
      <w:pPr>
        <w:jc w:val="both"/>
        <w:rPr>
          <w:rFonts w:ascii="Arial" w:hAnsi="Arial" w:cs="Arial"/>
          <w:color w:val="000000" w:themeColor="text1"/>
          <w:sz w:val="20"/>
          <w:szCs w:val="20"/>
        </w:rPr>
      </w:pPr>
      <w:r>
        <w:rPr>
          <w:rFonts w:ascii="Arial" w:hAnsi="Arial" w:cs="Arial"/>
          <w:color w:val="000000" w:themeColor="text1"/>
          <w:sz w:val="20"/>
          <w:szCs w:val="20"/>
        </w:rPr>
        <w:t>SOMDIAA</w:t>
      </w:r>
      <w:r w:rsidR="00310608" w:rsidRPr="004D5BB4">
        <w:rPr>
          <w:rFonts w:ascii="Arial" w:hAnsi="Arial" w:cs="Arial"/>
          <w:color w:val="000000" w:themeColor="text1"/>
          <w:sz w:val="20"/>
          <w:szCs w:val="20"/>
        </w:rPr>
        <w:t xml:space="preserve"> précise </w:t>
      </w:r>
      <w:r w:rsidR="00310608">
        <w:rPr>
          <w:rFonts w:ascii="Arial" w:hAnsi="Arial" w:cs="Arial"/>
          <w:color w:val="000000" w:themeColor="text1"/>
          <w:sz w:val="20"/>
          <w:szCs w:val="20"/>
        </w:rPr>
        <w:t>« </w:t>
      </w:r>
      <w:r w:rsidR="00310608" w:rsidRPr="00795720">
        <w:rPr>
          <w:rFonts w:ascii="Arial" w:hAnsi="Arial" w:cs="Arial"/>
          <w:i/>
          <w:iCs/>
          <w:color w:val="000000" w:themeColor="text1"/>
          <w:sz w:val="20"/>
          <w:szCs w:val="20"/>
        </w:rPr>
        <w:t>qu’un contrat</w:t>
      </w:r>
      <w:r w:rsidR="00900712">
        <w:rPr>
          <w:rFonts w:ascii="Arial" w:hAnsi="Arial" w:cs="Arial"/>
          <w:i/>
          <w:iCs/>
          <w:color w:val="000000" w:themeColor="text1"/>
          <w:sz w:val="20"/>
          <w:szCs w:val="20"/>
        </w:rPr>
        <w:t xml:space="preserve"> avec un bureau d’études travaillant à l’international a été conclu fin décembre 2023</w:t>
      </w:r>
      <w:r w:rsidR="00310608" w:rsidRPr="00795720">
        <w:rPr>
          <w:rFonts w:ascii="Arial" w:hAnsi="Arial" w:cs="Arial"/>
          <w:i/>
          <w:iCs/>
          <w:color w:val="000000" w:themeColor="text1"/>
          <w:sz w:val="20"/>
          <w:szCs w:val="20"/>
        </w:rPr>
        <w:t xml:space="preserve"> pour effectuer une étude sur </w:t>
      </w:r>
      <w:r w:rsidR="00900712">
        <w:rPr>
          <w:rFonts w:ascii="Arial" w:hAnsi="Arial" w:cs="Arial"/>
          <w:i/>
          <w:iCs/>
          <w:color w:val="000000" w:themeColor="text1"/>
          <w:sz w:val="20"/>
          <w:szCs w:val="20"/>
        </w:rPr>
        <w:t xml:space="preserve">la gestion de l’eau et le traitement des </w:t>
      </w:r>
      <w:proofErr w:type="gramStart"/>
      <w:r w:rsidR="00900712">
        <w:rPr>
          <w:rFonts w:ascii="Arial" w:hAnsi="Arial" w:cs="Arial"/>
          <w:i/>
          <w:iCs/>
          <w:color w:val="000000" w:themeColor="text1"/>
          <w:sz w:val="20"/>
          <w:szCs w:val="20"/>
        </w:rPr>
        <w:t xml:space="preserve">effluents </w:t>
      </w:r>
      <w:r w:rsidR="00310608" w:rsidRPr="00795720">
        <w:rPr>
          <w:rFonts w:ascii="Arial" w:hAnsi="Arial" w:cs="Arial"/>
          <w:i/>
          <w:iCs/>
          <w:color w:val="000000" w:themeColor="text1"/>
          <w:sz w:val="20"/>
          <w:szCs w:val="20"/>
        </w:rPr>
        <w:t xml:space="preserve"> de</w:t>
      </w:r>
      <w:proofErr w:type="gramEnd"/>
      <w:r w:rsidR="00310608" w:rsidRPr="00795720">
        <w:rPr>
          <w:rFonts w:ascii="Arial" w:hAnsi="Arial" w:cs="Arial"/>
          <w:i/>
          <w:iCs/>
          <w:color w:val="000000" w:themeColor="text1"/>
          <w:sz w:val="20"/>
          <w:szCs w:val="20"/>
        </w:rPr>
        <w:t xml:space="preserve"> la </w:t>
      </w:r>
      <w:proofErr w:type="spellStart"/>
      <w:r w:rsidR="00310608" w:rsidRPr="00795720">
        <w:rPr>
          <w:rFonts w:ascii="Arial" w:hAnsi="Arial" w:cs="Arial"/>
          <w:i/>
          <w:iCs/>
          <w:color w:val="000000" w:themeColor="text1"/>
          <w:sz w:val="20"/>
          <w:szCs w:val="20"/>
        </w:rPr>
        <w:t>Sosucam</w:t>
      </w:r>
      <w:proofErr w:type="spellEnd"/>
      <w:r w:rsidR="00310608">
        <w:rPr>
          <w:rFonts w:ascii="Arial" w:hAnsi="Arial" w:cs="Arial"/>
          <w:color w:val="000000" w:themeColor="text1"/>
          <w:sz w:val="20"/>
          <w:szCs w:val="20"/>
        </w:rPr>
        <w:t> »</w:t>
      </w:r>
      <w:r w:rsidR="00310608" w:rsidRPr="004D5BB4">
        <w:rPr>
          <w:rFonts w:ascii="Arial" w:hAnsi="Arial" w:cs="Arial"/>
          <w:color w:val="000000" w:themeColor="text1"/>
          <w:sz w:val="20"/>
          <w:szCs w:val="20"/>
        </w:rPr>
        <w:t>.</w:t>
      </w:r>
      <w:r w:rsidR="00E234E2">
        <w:rPr>
          <w:rFonts w:ascii="Arial" w:hAnsi="Arial" w:cs="Arial"/>
          <w:color w:val="000000" w:themeColor="text1"/>
          <w:sz w:val="20"/>
          <w:szCs w:val="20"/>
        </w:rPr>
        <w:t xml:space="preserve"> Le lancement de l’étude a été effectué courant janvier 2024.</w:t>
      </w:r>
      <w:r w:rsidR="00310608">
        <w:rPr>
          <w:rFonts w:ascii="Arial" w:hAnsi="Arial" w:cs="Arial"/>
          <w:color w:val="000000" w:themeColor="text1"/>
          <w:sz w:val="20"/>
          <w:szCs w:val="20"/>
        </w:rPr>
        <w:t xml:space="preserve"> </w:t>
      </w:r>
    </w:p>
    <w:p w14:paraId="106C25C9" w14:textId="41464DBA" w:rsidR="00310608" w:rsidRPr="004D5BB4" w:rsidRDefault="00310608" w:rsidP="00310608">
      <w:pPr>
        <w:jc w:val="both"/>
        <w:rPr>
          <w:rFonts w:ascii="Arial" w:hAnsi="Arial" w:cs="Arial"/>
          <w:color w:val="000000" w:themeColor="text1"/>
          <w:sz w:val="20"/>
          <w:szCs w:val="20"/>
        </w:rPr>
      </w:pPr>
      <w:r>
        <w:rPr>
          <w:rFonts w:ascii="Arial" w:hAnsi="Arial" w:cs="Arial"/>
          <w:color w:val="000000" w:themeColor="text1"/>
          <w:sz w:val="20"/>
          <w:szCs w:val="20"/>
        </w:rPr>
        <w:lastRenderedPageBreak/>
        <w:t>Faut</w:t>
      </w:r>
      <w:r w:rsidR="00BB05A1">
        <w:rPr>
          <w:rFonts w:ascii="Arial" w:hAnsi="Arial" w:cs="Arial"/>
          <w:color w:val="000000" w:themeColor="text1"/>
          <w:sz w:val="20"/>
          <w:szCs w:val="20"/>
        </w:rPr>
        <w:t>e</w:t>
      </w:r>
      <w:r>
        <w:rPr>
          <w:rFonts w:ascii="Arial" w:hAnsi="Arial" w:cs="Arial"/>
          <w:color w:val="000000" w:themeColor="text1"/>
          <w:sz w:val="20"/>
          <w:szCs w:val="20"/>
        </w:rPr>
        <w:t xml:space="preserve"> d’information contraire, le PCN en déduit qu’aucune analyse de l’eau n’a été faite depuis le début de la procédure de saisine.</w:t>
      </w:r>
    </w:p>
    <w:p w14:paraId="1FF24466" w14:textId="53FA3242" w:rsidR="00310608" w:rsidRPr="0046698B" w:rsidRDefault="00310608" w:rsidP="00310608">
      <w:pPr>
        <w:spacing w:before="240" w:after="0"/>
        <w:ind w:left="434"/>
        <w:jc w:val="both"/>
        <w:rPr>
          <w:rFonts w:ascii="Arial" w:hAnsi="Arial" w:cs="Arial"/>
          <w:i/>
          <w:iCs/>
          <w:color w:val="7030A0"/>
          <w:sz w:val="20"/>
          <w:szCs w:val="20"/>
          <w:lang w:eastAsia="fr-FR"/>
        </w:rPr>
      </w:pPr>
      <w:r w:rsidRPr="0046698B">
        <w:rPr>
          <w:rFonts w:ascii="Arial" w:hAnsi="Arial" w:cs="Arial"/>
          <w:i/>
          <w:iCs/>
          <w:color w:val="7030A0"/>
          <w:sz w:val="20"/>
          <w:szCs w:val="20"/>
        </w:rPr>
        <w:sym w:font="Wingdings" w:char="F0E8"/>
      </w:r>
      <w:r w:rsidRPr="0046698B">
        <w:rPr>
          <w:rFonts w:ascii="Arial" w:hAnsi="Arial" w:cs="Arial"/>
          <w:i/>
          <w:iCs/>
          <w:color w:val="7030A0"/>
          <w:sz w:val="20"/>
          <w:szCs w:val="20"/>
        </w:rPr>
        <w:t xml:space="preserve"> Bilan du suivi de la recommandation n°2 :</w:t>
      </w:r>
      <w:r w:rsidRPr="0046698B">
        <w:rPr>
          <w:rFonts w:ascii="Arial" w:hAnsi="Arial" w:cs="Arial"/>
          <w:i/>
          <w:iCs/>
          <w:color w:val="7030A0"/>
          <w:sz w:val="20"/>
          <w:szCs w:val="20"/>
          <w:lang w:eastAsia="fr-FR"/>
        </w:rPr>
        <w:t xml:space="preserve"> </w:t>
      </w:r>
      <w:r>
        <w:rPr>
          <w:rFonts w:ascii="Arial" w:hAnsi="Arial" w:cs="Arial"/>
          <w:i/>
          <w:iCs/>
          <w:color w:val="7030A0"/>
          <w:sz w:val="20"/>
          <w:szCs w:val="20"/>
          <w:lang w:eastAsia="fr-FR"/>
        </w:rPr>
        <w:t xml:space="preserve">Le PCN constate que </w:t>
      </w:r>
      <w:r w:rsidR="00180BBE">
        <w:rPr>
          <w:rFonts w:ascii="Arial" w:hAnsi="Arial" w:cs="Arial"/>
          <w:i/>
          <w:iCs/>
          <w:color w:val="7030A0"/>
          <w:sz w:val="20"/>
          <w:szCs w:val="20"/>
          <w:lang w:eastAsia="fr-FR"/>
        </w:rPr>
        <w:t xml:space="preserve">plusieurs actions </w:t>
      </w:r>
      <w:r>
        <w:rPr>
          <w:rFonts w:ascii="Arial" w:hAnsi="Arial" w:cs="Arial"/>
          <w:i/>
          <w:iCs/>
          <w:color w:val="7030A0"/>
          <w:sz w:val="20"/>
          <w:szCs w:val="20"/>
          <w:lang w:eastAsia="fr-FR"/>
        </w:rPr>
        <w:t xml:space="preserve">ont été engagées par la SOSUCAM mais que la </w:t>
      </w:r>
      <w:r w:rsidR="00CA4F04">
        <w:rPr>
          <w:rFonts w:ascii="Arial" w:hAnsi="Arial" w:cs="Arial"/>
          <w:i/>
          <w:iCs/>
          <w:color w:val="7030A0"/>
          <w:sz w:val="20"/>
          <w:szCs w:val="20"/>
          <w:lang w:eastAsia="fr-FR"/>
        </w:rPr>
        <w:t xml:space="preserve">mise en œuvre de la </w:t>
      </w:r>
      <w:r>
        <w:rPr>
          <w:rFonts w:ascii="Arial" w:hAnsi="Arial" w:cs="Arial"/>
          <w:i/>
          <w:iCs/>
          <w:color w:val="7030A0"/>
          <w:sz w:val="20"/>
          <w:szCs w:val="20"/>
          <w:lang w:eastAsia="fr-FR"/>
        </w:rPr>
        <w:t>recommandation</w:t>
      </w:r>
      <w:r w:rsidR="00CA4F04">
        <w:rPr>
          <w:rFonts w:ascii="Arial" w:hAnsi="Arial" w:cs="Arial"/>
          <w:i/>
          <w:iCs/>
          <w:color w:val="7030A0"/>
          <w:sz w:val="20"/>
          <w:szCs w:val="20"/>
          <w:lang w:eastAsia="fr-FR"/>
        </w:rPr>
        <w:t xml:space="preserve"> reste à </w:t>
      </w:r>
      <w:proofErr w:type="gramStart"/>
      <w:r w:rsidR="00CA4F04">
        <w:rPr>
          <w:rFonts w:ascii="Arial" w:hAnsi="Arial" w:cs="Arial"/>
          <w:i/>
          <w:iCs/>
          <w:color w:val="7030A0"/>
          <w:sz w:val="20"/>
          <w:szCs w:val="20"/>
          <w:lang w:eastAsia="fr-FR"/>
        </w:rPr>
        <w:t>ce stade incomplète</w:t>
      </w:r>
      <w:proofErr w:type="gramEnd"/>
      <w:r w:rsidR="00CA4F04">
        <w:rPr>
          <w:rFonts w:ascii="Arial" w:hAnsi="Arial" w:cs="Arial"/>
          <w:i/>
          <w:iCs/>
          <w:color w:val="7030A0"/>
          <w:sz w:val="20"/>
          <w:szCs w:val="20"/>
          <w:lang w:eastAsia="fr-FR"/>
        </w:rPr>
        <w:t>.</w:t>
      </w:r>
      <w:r w:rsidR="00180BBE">
        <w:rPr>
          <w:rFonts w:ascii="Arial" w:hAnsi="Arial" w:cs="Arial"/>
          <w:i/>
          <w:iCs/>
          <w:color w:val="7030A0"/>
          <w:sz w:val="20"/>
          <w:szCs w:val="20"/>
          <w:lang w:eastAsia="fr-FR"/>
        </w:rPr>
        <w:t xml:space="preserve"> </w:t>
      </w:r>
      <w:r w:rsidR="00CA4F04">
        <w:rPr>
          <w:rFonts w:ascii="Arial" w:hAnsi="Arial" w:cs="Arial"/>
          <w:i/>
          <w:iCs/>
          <w:color w:val="7030A0"/>
          <w:sz w:val="20"/>
          <w:szCs w:val="20"/>
          <w:lang w:eastAsia="fr-FR"/>
        </w:rPr>
        <w:t>Il est rappelé que</w:t>
      </w:r>
      <w:r w:rsidR="00180BBE">
        <w:rPr>
          <w:rFonts w:ascii="Arial" w:hAnsi="Arial" w:cs="Arial"/>
          <w:i/>
          <w:iCs/>
          <w:color w:val="7030A0"/>
          <w:sz w:val="20"/>
          <w:szCs w:val="20"/>
          <w:lang w:eastAsia="fr-FR"/>
        </w:rPr>
        <w:t xml:space="preserve"> les termes de référence de l’audit </w:t>
      </w:r>
      <w:r w:rsidR="00CA4F04">
        <w:rPr>
          <w:rFonts w:ascii="Arial" w:hAnsi="Arial" w:cs="Arial"/>
          <w:i/>
          <w:iCs/>
          <w:color w:val="7030A0"/>
          <w:sz w:val="20"/>
          <w:szCs w:val="20"/>
          <w:lang w:eastAsia="fr-FR"/>
        </w:rPr>
        <w:t>ont servi</w:t>
      </w:r>
      <w:r w:rsidR="00180BBE">
        <w:rPr>
          <w:rFonts w:ascii="Arial" w:hAnsi="Arial" w:cs="Arial"/>
          <w:i/>
          <w:iCs/>
          <w:color w:val="7030A0"/>
          <w:sz w:val="20"/>
          <w:szCs w:val="20"/>
          <w:lang w:eastAsia="fr-FR"/>
        </w:rPr>
        <w:t xml:space="preserve"> de base au PGES ont été validés par le Ministère de l’Environnement, de la Protection de la Nature et du Développement Durable Camerounais</w:t>
      </w:r>
      <w:r>
        <w:rPr>
          <w:rFonts w:ascii="Arial" w:hAnsi="Arial" w:cs="Arial"/>
          <w:i/>
          <w:iCs/>
          <w:color w:val="7030A0"/>
          <w:sz w:val="20"/>
          <w:szCs w:val="20"/>
          <w:lang w:eastAsia="fr-FR"/>
        </w:rPr>
        <w:t xml:space="preserve"> </w:t>
      </w:r>
      <w:r w:rsidR="00180BBE">
        <w:rPr>
          <w:rFonts w:ascii="Arial" w:hAnsi="Arial" w:cs="Arial"/>
          <w:i/>
          <w:iCs/>
          <w:color w:val="7030A0"/>
          <w:sz w:val="20"/>
          <w:szCs w:val="20"/>
          <w:lang w:eastAsia="fr-FR"/>
        </w:rPr>
        <w:t xml:space="preserve">et que cet audit </w:t>
      </w:r>
      <w:r>
        <w:rPr>
          <w:rFonts w:ascii="Arial" w:hAnsi="Arial" w:cs="Arial"/>
          <w:i/>
          <w:iCs/>
          <w:color w:val="7030A0"/>
          <w:sz w:val="20"/>
          <w:szCs w:val="20"/>
          <w:lang w:eastAsia="fr-FR"/>
        </w:rPr>
        <w:t>est</w:t>
      </w:r>
      <w:r w:rsidR="002251D3">
        <w:rPr>
          <w:rFonts w:ascii="Arial" w:hAnsi="Arial" w:cs="Arial"/>
          <w:i/>
          <w:iCs/>
          <w:color w:val="7030A0"/>
          <w:sz w:val="20"/>
          <w:szCs w:val="20"/>
          <w:lang w:eastAsia="fr-FR"/>
        </w:rPr>
        <w:t xml:space="preserve"> bien</w:t>
      </w:r>
      <w:r>
        <w:rPr>
          <w:rFonts w:ascii="Arial" w:hAnsi="Arial" w:cs="Arial"/>
          <w:i/>
          <w:iCs/>
          <w:color w:val="7030A0"/>
          <w:sz w:val="20"/>
          <w:szCs w:val="20"/>
          <w:lang w:eastAsia="fr-FR"/>
        </w:rPr>
        <w:t xml:space="preserve"> en cours</w:t>
      </w:r>
      <w:r w:rsidR="00180BBE">
        <w:rPr>
          <w:rFonts w:ascii="Arial" w:hAnsi="Arial" w:cs="Arial"/>
          <w:i/>
          <w:iCs/>
          <w:color w:val="7030A0"/>
          <w:sz w:val="20"/>
          <w:szCs w:val="20"/>
          <w:lang w:eastAsia="fr-FR"/>
        </w:rPr>
        <w:t xml:space="preserve">. </w:t>
      </w:r>
      <w:r w:rsidR="002A34DF">
        <w:rPr>
          <w:rFonts w:ascii="Arial" w:hAnsi="Arial" w:cs="Arial"/>
          <w:i/>
          <w:iCs/>
          <w:color w:val="7030A0"/>
          <w:sz w:val="20"/>
          <w:szCs w:val="20"/>
          <w:lang w:eastAsia="fr-FR"/>
        </w:rPr>
        <w:t xml:space="preserve">Par ailleurs, le PCN encourage </w:t>
      </w:r>
      <w:r w:rsidR="005922AF">
        <w:rPr>
          <w:rFonts w:ascii="Arial" w:hAnsi="Arial" w:cs="Arial"/>
          <w:i/>
          <w:iCs/>
          <w:color w:val="7030A0"/>
          <w:sz w:val="20"/>
          <w:szCs w:val="20"/>
          <w:lang w:eastAsia="fr-FR"/>
        </w:rPr>
        <w:t xml:space="preserve">la SOSUCAM à </w:t>
      </w:r>
      <w:r w:rsidR="008B425D">
        <w:rPr>
          <w:rFonts w:ascii="Arial" w:hAnsi="Arial" w:cs="Arial"/>
          <w:i/>
          <w:iCs/>
          <w:color w:val="7030A0"/>
          <w:sz w:val="20"/>
          <w:szCs w:val="20"/>
          <w:lang w:eastAsia="fr-FR"/>
        </w:rPr>
        <w:t>mettre en œuvre des mesures pour que</w:t>
      </w:r>
      <w:r w:rsidR="005922AF">
        <w:rPr>
          <w:rFonts w:ascii="Arial" w:hAnsi="Arial" w:cs="Arial"/>
          <w:i/>
          <w:iCs/>
          <w:color w:val="7030A0"/>
          <w:sz w:val="20"/>
          <w:szCs w:val="20"/>
          <w:lang w:eastAsia="fr-FR"/>
        </w:rPr>
        <w:t xml:space="preserve"> le rapport d’audit</w:t>
      </w:r>
      <w:r w:rsidR="008B425D">
        <w:rPr>
          <w:rFonts w:ascii="Arial" w:hAnsi="Arial" w:cs="Arial"/>
          <w:i/>
          <w:iCs/>
          <w:color w:val="7030A0"/>
          <w:sz w:val="20"/>
          <w:szCs w:val="20"/>
          <w:lang w:eastAsia="fr-FR"/>
        </w:rPr>
        <w:t xml:space="preserve"> soit facilement accessible</w:t>
      </w:r>
      <w:r w:rsidR="00BB524E">
        <w:rPr>
          <w:rFonts w:ascii="Arial" w:hAnsi="Arial" w:cs="Arial"/>
          <w:i/>
          <w:iCs/>
          <w:color w:val="7030A0"/>
          <w:sz w:val="20"/>
          <w:szCs w:val="20"/>
          <w:lang w:eastAsia="fr-FR"/>
        </w:rPr>
        <w:t xml:space="preserve"> </w:t>
      </w:r>
      <w:r w:rsidR="00BB524E" w:rsidRPr="00B23281">
        <w:rPr>
          <w:rFonts w:ascii="Arial" w:hAnsi="Arial" w:cs="Arial"/>
          <w:i/>
          <w:iCs/>
          <w:color w:val="8496B0" w:themeColor="text2" w:themeTint="99"/>
          <w:sz w:val="20"/>
          <w:szCs w:val="20"/>
          <w:lang w:eastAsia="fr-FR"/>
        </w:rPr>
        <w:t>afin d’en optimiser la diffusion</w:t>
      </w:r>
      <w:r w:rsidR="00BB524E" w:rsidRPr="000E74D3">
        <w:rPr>
          <w:rFonts w:ascii="Arial" w:hAnsi="Arial" w:cs="Arial"/>
          <w:i/>
          <w:iCs/>
          <w:color w:val="FF0000"/>
          <w:sz w:val="20"/>
          <w:szCs w:val="20"/>
          <w:lang w:eastAsia="fr-FR"/>
        </w:rPr>
        <w:t>.</w:t>
      </w:r>
      <w:r w:rsidR="005922AF">
        <w:rPr>
          <w:rFonts w:ascii="Arial" w:hAnsi="Arial" w:cs="Arial"/>
          <w:i/>
          <w:iCs/>
          <w:color w:val="7030A0"/>
          <w:sz w:val="20"/>
          <w:szCs w:val="20"/>
          <w:lang w:eastAsia="fr-FR"/>
        </w:rPr>
        <w:t xml:space="preserve"> </w:t>
      </w:r>
      <w:r w:rsidR="00180BBE">
        <w:rPr>
          <w:rFonts w:ascii="Arial" w:hAnsi="Arial" w:cs="Arial"/>
          <w:i/>
          <w:iCs/>
          <w:color w:val="7030A0"/>
          <w:sz w:val="20"/>
          <w:szCs w:val="20"/>
          <w:lang w:eastAsia="fr-FR"/>
        </w:rPr>
        <w:t>Le PCN</w:t>
      </w:r>
      <w:r>
        <w:rPr>
          <w:rFonts w:ascii="Arial" w:hAnsi="Arial" w:cs="Arial"/>
          <w:i/>
          <w:iCs/>
          <w:color w:val="7030A0"/>
          <w:sz w:val="20"/>
          <w:szCs w:val="20"/>
          <w:lang w:eastAsia="fr-FR"/>
        </w:rPr>
        <w:t xml:space="preserve"> note </w:t>
      </w:r>
      <w:r w:rsidR="00180BBE">
        <w:rPr>
          <w:rFonts w:ascii="Arial" w:hAnsi="Arial" w:cs="Arial"/>
          <w:i/>
          <w:iCs/>
          <w:color w:val="7030A0"/>
          <w:sz w:val="20"/>
          <w:szCs w:val="20"/>
          <w:lang w:eastAsia="fr-FR"/>
        </w:rPr>
        <w:t xml:space="preserve">également </w:t>
      </w:r>
      <w:r>
        <w:rPr>
          <w:rFonts w:ascii="Arial" w:hAnsi="Arial" w:cs="Arial"/>
          <w:i/>
          <w:iCs/>
          <w:color w:val="7030A0"/>
          <w:sz w:val="20"/>
          <w:szCs w:val="20"/>
          <w:lang w:eastAsia="fr-FR"/>
        </w:rPr>
        <w:t xml:space="preserve">qu’une </w:t>
      </w:r>
      <w:r w:rsidRPr="0046698B">
        <w:rPr>
          <w:rFonts w:ascii="Arial" w:hAnsi="Arial" w:cs="Arial"/>
          <w:i/>
          <w:iCs/>
          <w:color w:val="7030A0"/>
          <w:sz w:val="20"/>
          <w:szCs w:val="20"/>
          <w:lang w:eastAsia="fr-FR"/>
        </w:rPr>
        <w:t>étude sur la ressource hydrique</w:t>
      </w:r>
      <w:r>
        <w:rPr>
          <w:rFonts w:ascii="Arial" w:hAnsi="Arial" w:cs="Arial"/>
          <w:i/>
          <w:iCs/>
          <w:color w:val="7030A0"/>
          <w:sz w:val="20"/>
          <w:szCs w:val="20"/>
          <w:lang w:eastAsia="fr-FR"/>
        </w:rPr>
        <w:t xml:space="preserve"> </w:t>
      </w:r>
      <w:r w:rsidR="00180BBE">
        <w:rPr>
          <w:rFonts w:ascii="Arial" w:hAnsi="Arial" w:cs="Arial"/>
          <w:i/>
          <w:iCs/>
          <w:color w:val="7030A0"/>
          <w:sz w:val="20"/>
          <w:szCs w:val="20"/>
          <w:lang w:eastAsia="fr-FR"/>
        </w:rPr>
        <w:t>est également</w:t>
      </w:r>
      <w:r>
        <w:rPr>
          <w:rFonts w:ascii="Arial" w:hAnsi="Arial" w:cs="Arial"/>
          <w:i/>
          <w:iCs/>
          <w:color w:val="7030A0"/>
          <w:sz w:val="20"/>
          <w:szCs w:val="20"/>
          <w:lang w:eastAsia="fr-FR"/>
        </w:rPr>
        <w:t xml:space="preserve"> prévue</w:t>
      </w:r>
      <w:r w:rsidR="00180BBE">
        <w:rPr>
          <w:rFonts w:ascii="Arial" w:hAnsi="Arial" w:cs="Arial"/>
          <w:i/>
          <w:iCs/>
          <w:color w:val="7030A0"/>
          <w:sz w:val="20"/>
          <w:szCs w:val="20"/>
          <w:lang w:eastAsia="fr-FR"/>
        </w:rPr>
        <w:t xml:space="preserve"> (appel d’offres en cours d’adjudication)</w:t>
      </w:r>
      <w:r>
        <w:rPr>
          <w:rFonts w:ascii="Arial" w:hAnsi="Arial" w:cs="Arial"/>
          <w:i/>
          <w:iCs/>
          <w:color w:val="7030A0"/>
          <w:sz w:val="20"/>
          <w:szCs w:val="20"/>
          <w:lang w:eastAsia="fr-FR"/>
        </w:rPr>
        <w:t xml:space="preserve"> mais sans en connaitre le détail</w:t>
      </w:r>
      <w:r w:rsidRPr="0046698B">
        <w:rPr>
          <w:rFonts w:ascii="Arial" w:hAnsi="Arial" w:cs="Arial"/>
          <w:i/>
          <w:iCs/>
          <w:color w:val="7030A0"/>
          <w:sz w:val="20"/>
          <w:szCs w:val="20"/>
          <w:lang w:eastAsia="fr-FR"/>
        </w:rPr>
        <w:t xml:space="preserve">. </w:t>
      </w:r>
      <w:r w:rsidRPr="0046698B">
        <w:rPr>
          <w:rFonts w:ascii="Arial" w:hAnsi="Arial" w:cs="Arial"/>
          <w:i/>
          <w:iCs/>
          <w:color w:val="7030A0"/>
          <w:sz w:val="20"/>
          <w:szCs w:val="20"/>
        </w:rPr>
        <w:t xml:space="preserve">Le PCN encourage l’entreprise à engager un dialogue </w:t>
      </w:r>
      <w:r>
        <w:rPr>
          <w:rFonts w:ascii="Arial" w:hAnsi="Arial" w:cs="Arial"/>
          <w:i/>
          <w:iCs/>
          <w:color w:val="7030A0"/>
          <w:sz w:val="20"/>
          <w:szCs w:val="20"/>
        </w:rPr>
        <w:t>constructif</w:t>
      </w:r>
      <w:r w:rsidRPr="0046698B">
        <w:rPr>
          <w:rFonts w:ascii="Arial" w:hAnsi="Arial" w:cs="Arial"/>
          <w:i/>
          <w:iCs/>
          <w:color w:val="7030A0"/>
          <w:sz w:val="20"/>
          <w:szCs w:val="20"/>
        </w:rPr>
        <w:t xml:space="preserve"> avec </w:t>
      </w:r>
      <w:r>
        <w:rPr>
          <w:rFonts w:ascii="Arial" w:hAnsi="Arial" w:cs="Arial"/>
          <w:i/>
          <w:iCs/>
          <w:color w:val="7030A0"/>
          <w:sz w:val="20"/>
          <w:szCs w:val="20"/>
        </w:rPr>
        <w:t>s</w:t>
      </w:r>
      <w:r w:rsidRPr="0046698B">
        <w:rPr>
          <w:rFonts w:ascii="Arial" w:hAnsi="Arial" w:cs="Arial"/>
          <w:i/>
          <w:iCs/>
          <w:color w:val="7030A0"/>
          <w:sz w:val="20"/>
          <w:szCs w:val="20"/>
        </w:rPr>
        <w:t xml:space="preserve">es parties prenantes </w:t>
      </w:r>
      <w:r>
        <w:rPr>
          <w:rFonts w:ascii="Arial" w:hAnsi="Arial" w:cs="Arial"/>
          <w:i/>
          <w:iCs/>
          <w:color w:val="7030A0"/>
          <w:sz w:val="20"/>
          <w:szCs w:val="20"/>
        </w:rPr>
        <w:t xml:space="preserve">et en particulier avec les Comités riverains de veille </w:t>
      </w:r>
      <w:r w:rsidRPr="0046698B">
        <w:rPr>
          <w:rFonts w:ascii="Arial" w:hAnsi="Arial" w:cs="Arial"/>
          <w:i/>
          <w:iCs/>
          <w:color w:val="7030A0"/>
          <w:sz w:val="20"/>
          <w:szCs w:val="20"/>
        </w:rPr>
        <w:t>sur l</w:t>
      </w:r>
      <w:r>
        <w:rPr>
          <w:rFonts w:ascii="Arial" w:hAnsi="Arial" w:cs="Arial"/>
          <w:i/>
          <w:iCs/>
          <w:color w:val="7030A0"/>
          <w:sz w:val="20"/>
          <w:szCs w:val="20"/>
        </w:rPr>
        <w:t>a</w:t>
      </w:r>
      <w:r w:rsidRPr="0046698B">
        <w:rPr>
          <w:rFonts w:ascii="Arial" w:hAnsi="Arial" w:cs="Arial"/>
          <w:i/>
          <w:iCs/>
          <w:color w:val="7030A0"/>
          <w:sz w:val="20"/>
          <w:szCs w:val="20"/>
        </w:rPr>
        <w:t xml:space="preserve"> </w:t>
      </w:r>
      <w:r>
        <w:rPr>
          <w:rFonts w:ascii="Arial" w:hAnsi="Arial" w:cs="Arial"/>
          <w:i/>
          <w:iCs/>
          <w:color w:val="7030A0"/>
          <w:sz w:val="20"/>
          <w:szCs w:val="20"/>
        </w:rPr>
        <w:t xml:space="preserve">formalisation du prochain </w:t>
      </w:r>
      <w:r w:rsidRPr="0046698B">
        <w:rPr>
          <w:rFonts w:ascii="Arial" w:hAnsi="Arial" w:cs="Arial"/>
          <w:i/>
          <w:iCs/>
          <w:color w:val="7030A0"/>
          <w:sz w:val="20"/>
          <w:szCs w:val="20"/>
        </w:rPr>
        <w:t xml:space="preserve">PGES </w:t>
      </w:r>
      <w:r>
        <w:rPr>
          <w:rFonts w:ascii="Arial" w:hAnsi="Arial" w:cs="Arial"/>
          <w:i/>
          <w:iCs/>
          <w:color w:val="7030A0"/>
          <w:sz w:val="20"/>
          <w:szCs w:val="20"/>
        </w:rPr>
        <w:t>et sur la réalisation de</w:t>
      </w:r>
      <w:r w:rsidRPr="0046698B">
        <w:rPr>
          <w:rFonts w:ascii="Arial" w:hAnsi="Arial" w:cs="Arial"/>
          <w:i/>
          <w:iCs/>
          <w:color w:val="7030A0"/>
          <w:sz w:val="20"/>
          <w:szCs w:val="20"/>
        </w:rPr>
        <w:t xml:space="preserve"> l’étude </w:t>
      </w:r>
      <w:r>
        <w:rPr>
          <w:rFonts w:ascii="Arial" w:hAnsi="Arial" w:cs="Arial"/>
          <w:i/>
          <w:iCs/>
          <w:color w:val="7030A0"/>
          <w:sz w:val="20"/>
          <w:szCs w:val="20"/>
        </w:rPr>
        <w:t>sur la qualité de l’</w:t>
      </w:r>
      <w:r w:rsidRPr="0046698B">
        <w:rPr>
          <w:rFonts w:ascii="Arial" w:hAnsi="Arial" w:cs="Arial"/>
          <w:i/>
          <w:iCs/>
          <w:color w:val="7030A0"/>
          <w:sz w:val="20"/>
          <w:szCs w:val="20"/>
        </w:rPr>
        <w:t>eau.</w:t>
      </w:r>
      <w:r>
        <w:rPr>
          <w:rFonts w:ascii="Arial" w:hAnsi="Arial" w:cs="Arial"/>
          <w:i/>
          <w:iCs/>
          <w:color w:val="7030A0"/>
          <w:sz w:val="20"/>
          <w:szCs w:val="20"/>
        </w:rPr>
        <w:t xml:space="preserve"> </w:t>
      </w:r>
      <w:r>
        <w:rPr>
          <w:rFonts w:ascii="Arial" w:hAnsi="Arial" w:cs="Arial"/>
          <w:i/>
          <w:iCs/>
          <w:color w:val="7030A0"/>
          <w:sz w:val="20"/>
          <w:szCs w:val="20"/>
          <w:lang w:eastAsia="fr-FR"/>
        </w:rPr>
        <w:t xml:space="preserve">La réalisation de ces deux audits est fondamentale pour calibrer les mesures de diligence raisonnable du PGES pour prévenir, atténuer et le cas échant remédier aux incidences négatives liées à l’activité sucrière de la SOSUCAM. L’engagement avec les parties prenantes devra en faire partie. Le PCN encourage donc SOMDIAA </w:t>
      </w:r>
      <w:r w:rsidR="002251D3">
        <w:rPr>
          <w:rFonts w:ascii="Arial" w:hAnsi="Arial" w:cs="Arial"/>
          <w:i/>
          <w:iCs/>
          <w:color w:val="7030A0"/>
          <w:sz w:val="20"/>
          <w:szCs w:val="20"/>
          <w:lang w:eastAsia="fr-FR"/>
        </w:rPr>
        <w:t>à</w:t>
      </w:r>
      <w:r>
        <w:rPr>
          <w:rFonts w:ascii="Arial" w:hAnsi="Arial" w:cs="Arial"/>
          <w:i/>
          <w:iCs/>
          <w:color w:val="7030A0"/>
          <w:sz w:val="20"/>
          <w:szCs w:val="20"/>
          <w:lang w:eastAsia="fr-FR"/>
        </w:rPr>
        <w:t xml:space="preserve"> renforc</w:t>
      </w:r>
      <w:r w:rsidR="002251D3">
        <w:rPr>
          <w:rFonts w:ascii="Arial" w:hAnsi="Arial" w:cs="Arial"/>
          <w:i/>
          <w:iCs/>
          <w:color w:val="7030A0"/>
          <w:sz w:val="20"/>
          <w:szCs w:val="20"/>
          <w:lang w:eastAsia="fr-FR"/>
        </w:rPr>
        <w:t>er</w:t>
      </w:r>
      <w:r>
        <w:rPr>
          <w:rFonts w:ascii="Arial" w:hAnsi="Arial" w:cs="Arial"/>
          <w:i/>
          <w:iCs/>
          <w:color w:val="7030A0"/>
          <w:sz w:val="20"/>
          <w:szCs w:val="20"/>
          <w:lang w:eastAsia="fr-FR"/>
        </w:rPr>
        <w:t xml:space="preserve"> sa diligence vis-à-vis de SOSUCAM pour s’assurer du bon suivi de ces recommandations.</w:t>
      </w:r>
    </w:p>
    <w:p w14:paraId="2C36AF42" w14:textId="4066FF45" w:rsidR="00310608" w:rsidRPr="00A422C4" w:rsidRDefault="00310608" w:rsidP="00310608">
      <w:pPr>
        <w:pStyle w:val="Para"/>
        <w:numPr>
          <w:ilvl w:val="0"/>
          <w:numId w:val="0"/>
        </w:numPr>
        <w:spacing w:before="240" w:line="240" w:lineRule="atLeast"/>
        <w:rPr>
          <w:rFonts w:ascii="Arial" w:hAnsi="Arial"/>
          <w:i/>
          <w:color w:val="7030A0"/>
        </w:rPr>
      </w:pPr>
      <w:r w:rsidRPr="00A422C4">
        <w:rPr>
          <w:rFonts w:ascii="Arial" w:hAnsi="Arial"/>
          <w:b/>
          <w:bCs/>
          <w:i/>
          <w:color w:val="7030A0"/>
        </w:rPr>
        <w:t xml:space="preserve">RECOMMANDATION n°3 : </w:t>
      </w:r>
      <w:r w:rsidRPr="00A422C4">
        <w:rPr>
          <w:rFonts w:ascii="Arial" w:hAnsi="Arial"/>
          <w:i/>
          <w:color w:val="7030A0"/>
        </w:rPr>
        <w:t>Au titre de l’engagement avec les parties prenantes et conformément aux recommandations I.2 et II.A.14, les Groupes COPAGEF et SOMDIAA devraient veiller à l’élaboration d’un nouveau plan d’action d’engagement de la SOSUCAM avec l’ensemble de ses parties prenantes, au-delà des parties prenantes administratives et traditionnelles (chefferies) prévues par la règlementation locale</w:t>
      </w:r>
      <w:r w:rsidRPr="00A422C4">
        <w:rPr>
          <w:rFonts w:ascii="Arial" w:hAnsi="Arial" w:cs="Arial"/>
          <w:i/>
          <w:color w:val="7030A0"/>
        </w:rPr>
        <w:t>. SOMDIAA souligne que la SOSUCAM dispose d’une cartographie de toutes ses parties prenantes (autorités administratives et traditionnelles et autres organisations intéressées par ses activités) et que la SOSUCAM « est ouverte au dialogue avec l’ensemble de ses parties prenantes ». Le PCN recommande au Groupe d’œuvrer à la réactivation de la plateforme de dialogue SOSUCAM – CRV/CAVT de façon à permettre une information mutuelle et un dialogue constructif avec les CRV et le CAVT sur les mesures d’identification des risques sociaux et environnementaux ainsi que les mesures adéquates de prévention, d’atténuation et de remédiation des incidences négatives potentielles et réelles qui pourraient impacter les populations riveraines de ses plantations.</w:t>
      </w:r>
    </w:p>
    <w:p w14:paraId="48EE4547" w14:textId="77777777" w:rsidR="00310608" w:rsidRPr="00B16D03" w:rsidRDefault="00310608" w:rsidP="00310608">
      <w:pPr>
        <w:spacing w:before="240" w:after="0"/>
        <w:jc w:val="both"/>
        <w:rPr>
          <w:rFonts w:ascii="Arial" w:hAnsi="Arial" w:cs="Arial"/>
          <w:sz w:val="20"/>
          <w:szCs w:val="20"/>
          <w:lang w:eastAsia="fr-FR"/>
        </w:rPr>
      </w:pPr>
    </w:p>
    <w:p w14:paraId="77E48783" w14:textId="02D2D7A1" w:rsidR="00310608" w:rsidRPr="004D5BB4" w:rsidRDefault="00310608" w:rsidP="00310608">
      <w:pPr>
        <w:jc w:val="both"/>
        <w:rPr>
          <w:rFonts w:ascii="Arial" w:hAnsi="Arial" w:cs="Arial"/>
          <w:color w:val="000000" w:themeColor="text1"/>
          <w:sz w:val="20"/>
          <w:szCs w:val="20"/>
        </w:rPr>
      </w:pPr>
      <w:r w:rsidRPr="004D5BB4">
        <w:rPr>
          <w:rFonts w:ascii="Arial" w:hAnsi="Arial" w:cs="Arial"/>
          <w:color w:val="000000" w:themeColor="text1"/>
          <w:sz w:val="20"/>
          <w:szCs w:val="20"/>
        </w:rPr>
        <w:t xml:space="preserve">Le PCN note avec satisfaction que </w:t>
      </w:r>
      <w:r>
        <w:rPr>
          <w:rFonts w:ascii="Arial" w:hAnsi="Arial" w:cs="Arial"/>
          <w:color w:val="000000" w:themeColor="text1"/>
          <w:sz w:val="20"/>
          <w:szCs w:val="20"/>
        </w:rPr>
        <w:t>la SOSUCAM</w:t>
      </w:r>
      <w:r w:rsidRPr="004D5BB4">
        <w:rPr>
          <w:rFonts w:ascii="Arial" w:hAnsi="Arial" w:cs="Arial"/>
          <w:color w:val="000000" w:themeColor="text1"/>
          <w:sz w:val="20"/>
          <w:szCs w:val="20"/>
        </w:rPr>
        <w:t xml:space="preserve"> a réactivé les plateformes de dialogue avec les plaignants et les populations riveraines. </w:t>
      </w:r>
      <w:r>
        <w:rPr>
          <w:rFonts w:ascii="Arial" w:hAnsi="Arial" w:cs="Arial"/>
          <w:color w:val="000000" w:themeColor="text1"/>
          <w:sz w:val="20"/>
          <w:szCs w:val="20"/>
        </w:rPr>
        <w:t>Le</w:t>
      </w:r>
      <w:r w:rsidRPr="004D5BB4">
        <w:rPr>
          <w:rFonts w:ascii="Arial" w:hAnsi="Arial" w:cs="Arial"/>
          <w:color w:val="000000" w:themeColor="text1"/>
          <w:sz w:val="20"/>
          <w:szCs w:val="20"/>
        </w:rPr>
        <w:t xml:space="preserve"> PCN constate que les réunions se tiennent sur un rythme régulier</w:t>
      </w:r>
      <w:r w:rsidR="006A1955">
        <w:rPr>
          <w:rFonts w:ascii="Arial" w:hAnsi="Arial" w:cs="Arial"/>
          <w:color w:val="000000" w:themeColor="text1"/>
          <w:sz w:val="20"/>
          <w:szCs w:val="20"/>
        </w:rPr>
        <w:t xml:space="preserve"> (en moyenne une fois tous les trois mois) </w:t>
      </w:r>
      <w:r w:rsidRPr="004D5BB4">
        <w:rPr>
          <w:rFonts w:ascii="Arial" w:hAnsi="Arial" w:cs="Arial"/>
          <w:color w:val="000000" w:themeColor="text1"/>
          <w:sz w:val="20"/>
          <w:szCs w:val="20"/>
        </w:rPr>
        <w:t>et rassemble</w:t>
      </w:r>
      <w:r>
        <w:rPr>
          <w:rFonts w:ascii="Arial" w:hAnsi="Arial" w:cs="Arial"/>
          <w:color w:val="000000" w:themeColor="text1"/>
          <w:sz w:val="20"/>
          <w:szCs w:val="20"/>
        </w:rPr>
        <w:t>nt</w:t>
      </w:r>
      <w:r w:rsidRPr="004D5BB4">
        <w:rPr>
          <w:rFonts w:ascii="Arial" w:hAnsi="Arial" w:cs="Arial"/>
          <w:color w:val="000000" w:themeColor="text1"/>
          <w:sz w:val="20"/>
          <w:szCs w:val="20"/>
        </w:rPr>
        <w:t xml:space="preserve"> un public que l’on peut qualifier de significatif (entre 30 et 50 personnes en moyenne</w:t>
      </w:r>
      <w:r w:rsidR="006A1955">
        <w:rPr>
          <w:rFonts w:ascii="Arial" w:hAnsi="Arial" w:cs="Arial"/>
          <w:color w:val="000000" w:themeColor="text1"/>
          <w:sz w:val="20"/>
          <w:szCs w:val="20"/>
        </w:rPr>
        <w:t>).</w:t>
      </w:r>
      <w:r w:rsidR="006A1955" w:rsidRPr="006A1955">
        <w:rPr>
          <w:rFonts w:ascii="Arial" w:hAnsi="Arial" w:cs="Arial"/>
          <w:color w:val="000000" w:themeColor="text1"/>
          <w:sz w:val="20"/>
          <w:szCs w:val="20"/>
        </w:rPr>
        <w:t xml:space="preserve"> </w:t>
      </w:r>
      <w:r w:rsidR="006A1955">
        <w:rPr>
          <w:rFonts w:ascii="Arial" w:hAnsi="Arial" w:cs="Arial"/>
          <w:color w:val="000000" w:themeColor="text1"/>
          <w:sz w:val="20"/>
          <w:szCs w:val="20"/>
        </w:rPr>
        <w:t xml:space="preserve">La </w:t>
      </w:r>
      <w:proofErr w:type="spellStart"/>
      <w:r w:rsidR="006A1955">
        <w:rPr>
          <w:rFonts w:ascii="Arial" w:hAnsi="Arial" w:cs="Arial"/>
          <w:color w:val="000000" w:themeColor="text1"/>
          <w:sz w:val="20"/>
          <w:szCs w:val="20"/>
        </w:rPr>
        <w:t>Sosucam</w:t>
      </w:r>
      <w:proofErr w:type="spellEnd"/>
      <w:r w:rsidR="006A1955">
        <w:rPr>
          <w:rFonts w:ascii="Arial" w:hAnsi="Arial" w:cs="Arial"/>
          <w:color w:val="000000" w:themeColor="text1"/>
          <w:sz w:val="20"/>
          <w:szCs w:val="20"/>
        </w:rPr>
        <w:t xml:space="preserve"> établit, après chaque réunion, une liste de présence des participants ainsi qu’un compte-rendu (des exemples de ces documents ont été produits devant le PCN).</w:t>
      </w:r>
      <w:r w:rsidRPr="004D5BB4">
        <w:rPr>
          <w:rFonts w:ascii="Arial" w:hAnsi="Arial" w:cs="Arial"/>
          <w:color w:val="000000" w:themeColor="text1"/>
          <w:sz w:val="20"/>
          <w:szCs w:val="20"/>
        </w:rPr>
        <w:t xml:space="preserve">). </w:t>
      </w:r>
      <w:r w:rsidR="006A1955">
        <w:rPr>
          <w:rFonts w:ascii="Arial" w:hAnsi="Arial" w:cs="Arial"/>
          <w:color w:val="000000" w:themeColor="text1"/>
          <w:sz w:val="20"/>
          <w:szCs w:val="20"/>
        </w:rPr>
        <w:t>Le</w:t>
      </w:r>
      <w:r w:rsidRPr="004D5BB4">
        <w:rPr>
          <w:rFonts w:ascii="Arial" w:hAnsi="Arial" w:cs="Arial"/>
          <w:color w:val="000000" w:themeColor="text1"/>
          <w:sz w:val="20"/>
          <w:szCs w:val="20"/>
        </w:rPr>
        <w:t xml:space="preserve"> PGES</w:t>
      </w:r>
      <w:r w:rsidR="006A1955">
        <w:rPr>
          <w:rFonts w:ascii="Arial" w:hAnsi="Arial" w:cs="Arial"/>
          <w:color w:val="000000" w:themeColor="text1"/>
          <w:sz w:val="20"/>
          <w:szCs w:val="20"/>
        </w:rPr>
        <w:t>, lorsqu’il sera établi, fera l’objet d’une réunion spécifique avec les plaignants ainsi que les autres</w:t>
      </w:r>
      <w:r w:rsidRPr="004D5BB4">
        <w:rPr>
          <w:rFonts w:ascii="Arial" w:hAnsi="Arial" w:cs="Arial"/>
          <w:color w:val="000000" w:themeColor="text1"/>
          <w:sz w:val="20"/>
          <w:szCs w:val="20"/>
        </w:rPr>
        <w:t xml:space="preserve"> parties prenantes</w:t>
      </w:r>
      <w:r w:rsidR="00D61383">
        <w:rPr>
          <w:rFonts w:ascii="Arial" w:hAnsi="Arial" w:cs="Arial"/>
          <w:color w:val="000000" w:themeColor="text1"/>
          <w:sz w:val="20"/>
          <w:szCs w:val="20"/>
        </w:rPr>
        <w:t>.</w:t>
      </w:r>
      <w:r w:rsidR="00A8078D">
        <w:rPr>
          <w:rFonts w:ascii="Arial" w:hAnsi="Arial" w:cs="Arial"/>
          <w:color w:val="000000" w:themeColor="text1"/>
          <w:sz w:val="20"/>
          <w:szCs w:val="20"/>
        </w:rPr>
        <w:t xml:space="preserve"> </w:t>
      </w:r>
      <w:r>
        <w:rPr>
          <w:rFonts w:ascii="Arial" w:hAnsi="Arial" w:cs="Arial"/>
          <w:color w:val="000000" w:themeColor="text1"/>
          <w:sz w:val="20"/>
          <w:szCs w:val="20"/>
        </w:rPr>
        <w:t xml:space="preserve">Le PCN constate que les plaignants confirment leur participation aux réunions des plateformes de dialogue </w:t>
      </w:r>
      <w:r w:rsidR="00D61383">
        <w:rPr>
          <w:rFonts w:ascii="Arial" w:hAnsi="Arial" w:cs="Arial"/>
          <w:color w:val="000000" w:themeColor="text1"/>
          <w:sz w:val="20"/>
          <w:szCs w:val="20"/>
        </w:rPr>
        <w:t>(information confirmée par une liste de présence qui a été produite devant le PCN).</w:t>
      </w:r>
      <w:r>
        <w:rPr>
          <w:rFonts w:ascii="Arial" w:hAnsi="Arial" w:cs="Arial"/>
          <w:color w:val="000000" w:themeColor="text1"/>
          <w:sz w:val="20"/>
          <w:szCs w:val="20"/>
        </w:rPr>
        <w:t xml:space="preserve"> </w:t>
      </w:r>
      <w:r w:rsidRPr="004D5BB4">
        <w:rPr>
          <w:rFonts w:ascii="Arial" w:hAnsi="Arial" w:cs="Arial"/>
          <w:color w:val="000000" w:themeColor="text1"/>
          <w:sz w:val="20"/>
          <w:szCs w:val="20"/>
        </w:rPr>
        <w:t xml:space="preserve">Toutefois, </w:t>
      </w:r>
      <w:r>
        <w:rPr>
          <w:rFonts w:ascii="Arial" w:hAnsi="Arial" w:cs="Arial"/>
          <w:color w:val="000000" w:themeColor="text1"/>
          <w:sz w:val="20"/>
          <w:szCs w:val="20"/>
        </w:rPr>
        <w:t>le PCN</w:t>
      </w:r>
      <w:r w:rsidRPr="004D5BB4">
        <w:rPr>
          <w:rFonts w:ascii="Arial" w:hAnsi="Arial" w:cs="Arial"/>
          <w:color w:val="000000" w:themeColor="text1"/>
          <w:sz w:val="20"/>
          <w:szCs w:val="20"/>
        </w:rPr>
        <w:t xml:space="preserve"> regrette que l</w:t>
      </w:r>
      <w:r>
        <w:rPr>
          <w:rFonts w:ascii="Arial" w:hAnsi="Arial" w:cs="Arial"/>
          <w:color w:val="000000" w:themeColor="text1"/>
          <w:sz w:val="20"/>
          <w:szCs w:val="20"/>
        </w:rPr>
        <w:t>a SOSUCAM</w:t>
      </w:r>
      <w:r w:rsidRPr="004D5BB4">
        <w:rPr>
          <w:rFonts w:ascii="Arial" w:hAnsi="Arial" w:cs="Arial"/>
          <w:color w:val="000000" w:themeColor="text1"/>
          <w:sz w:val="20"/>
          <w:szCs w:val="20"/>
        </w:rPr>
        <w:t xml:space="preserve"> ne se soit pas engagée dans la mise </w:t>
      </w:r>
      <w:r w:rsidR="001E4E65">
        <w:rPr>
          <w:rFonts w:ascii="Arial" w:hAnsi="Arial" w:cs="Arial"/>
          <w:color w:val="000000" w:themeColor="text1"/>
          <w:sz w:val="20"/>
          <w:szCs w:val="20"/>
        </w:rPr>
        <w:t xml:space="preserve">en place </w:t>
      </w:r>
      <w:r w:rsidRPr="004D5BB4">
        <w:rPr>
          <w:rFonts w:ascii="Arial" w:hAnsi="Arial" w:cs="Arial"/>
          <w:color w:val="000000" w:themeColor="text1"/>
          <w:sz w:val="20"/>
          <w:szCs w:val="20"/>
        </w:rPr>
        <w:t>d</w:t>
      </w:r>
      <w:r>
        <w:rPr>
          <w:rFonts w:ascii="Arial" w:hAnsi="Arial" w:cs="Arial"/>
          <w:color w:val="000000" w:themeColor="text1"/>
          <w:sz w:val="20"/>
          <w:szCs w:val="20"/>
        </w:rPr>
        <w:t>’un</w:t>
      </w:r>
      <w:r w:rsidRPr="004D5BB4">
        <w:rPr>
          <w:rFonts w:ascii="Arial" w:hAnsi="Arial" w:cs="Arial"/>
          <w:color w:val="000000" w:themeColor="text1"/>
          <w:sz w:val="20"/>
          <w:szCs w:val="20"/>
        </w:rPr>
        <w:t xml:space="preserve"> Comité RSE en son sein.</w:t>
      </w:r>
    </w:p>
    <w:p w14:paraId="152F9AD0" w14:textId="13D233B7" w:rsidR="00310608" w:rsidRPr="00B23281" w:rsidRDefault="00310608" w:rsidP="00310608">
      <w:pPr>
        <w:jc w:val="both"/>
        <w:rPr>
          <w:rFonts w:ascii="Arial" w:hAnsi="Arial" w:cs="Arial"/>
          <w:color w:val="000000" w:themeColor="text1"/>
          <w:sz w:val="20"/>
          <w:szCs w:val="20"/>
        </w:rPr>
      </w:pPr>
      <w:r>
        <w:rPr>
          <w:rFonts w:ascii="Arial" w:hAnsi="Arial" w:cs="Arial"/>
          <w:color w:val="000000" w:themeColor="text1"/>
          <w:sz w:val="20"/>
          <w:szCs w:val="20"/>
        </w:rPr>
        <w:t xml:space="preserve">La question de la contribution de la SOSUCAM au </w:t>
      </w:r>
      <w:r w:rsidRPr="004D5BB4">
        <w:rPr>
          <w:rFonts w:ascii="Arial" w:hAnsi="Arial" w:cs="Arial"/>
          <w:color w:val="000000" w:themeColor="text1"/>
          <w:sz w:val="20"/>
          <w:szCs w:val="20"/>
        </w:rPr>
        <w:t xml:space="preserve">développement de l’emploi </w:t>
      </w:r>
      <w:r>
        <w:rPr>
          <w:rFonts w:ascii="Arial" w:hAnsi="Arial" w:cs="Arial"/>
          <w:color w:val="000000" w:themeColor="text1"/>
          <w:sz w:val="20"/>
          <w:szCs w:val="20"/>
        </w:rPr>
        <w:t xml:space="preserve">local </w:t>
      </w:r>
      <w:r w:rsidRPr="004D5BB4">
        <w:rPr>
          <w:rFonts w:ascii="Arial" w:hAnsi="Arial" w:cs="Arial"/>
          <w:color w:val="000000" w:themeColor="text1"/>
          <w:sz w:val="20"/>
          <w:szCs w:val="20"/>
        </w:rPr>
        <w:t>et de la sous-traitance locale</w:t>
      </w:r>
      <w:r>
        <w:rPr>
          <w:rFonts w:ascii="Arial" w:hAnsi="Arial" w:cs="Arial"/>
          <w:color w:val="000000" w:themeColor="text1"/>
          <w:sz w:val="20"/>
          <w:szCs w:val="20"/>
        </w:rPr>
        <w:t xml:space="preserve"> avait fait l’objet de discussions lors de la médiation. L</w:t>
      </w:r>
      <w:r w:rsidRPr="004D5BB4">
        <w:rPr>
          <w:rFonts w:ascii="Arial" w:hAnsi="Arial" w:cs="Arial"/>
          <w:color w:val="000000" w:themeColor="text1"/>
          <w:sz w:val="20"/>
          <w:szCs w:val="20"/>
        </w:rPr>
        <w:t xml:space="preserve">e PCN constate qu’un dialogue </w:t>
      </w:r>
      <w:r w:rsidR="00D61383">
        <w:rPr>
          <w:rFonts w:ascii="Arial" w:hAnsi="Arial" w:cs="Arial"/>
          <w:color w:val="000000" w:themeColor="text1"/>
          <w:sz w:val="20"/>
          <w:szCs w:val="20"/>
        </w:rPr>
        <w:t>effectif (cf. liste de présence + compte</w:t>
      </w:r>
      <w:r w:rsidR="00BF0E68">
        <w:rPr>
          <w:rFonts w:ascii="Arial" w:hAnsi="Arial" w:cs="Arial"/>
          <w:color w:val="000000" w:themeColor="text1"/>
          <w:sz w:val="20"/>
          <w:szCs w:val="20"/>
        </w:rPr>
        <w:t>s</w:t>
      </w:r>
      <w:r w:rsidR="00D61383">
        <w:rPr>
          <w:rFonts w:ascii="Arial" w:hAnsi="Arial" w:cs="Arial"/>
          <w:color w:val="000000" w:themeColor="text1"/>
          <w:sz w:val="20"/>
          <w:szCs w:val="20"/>
        </w:rPr>
        <w:t>-rendus)</w:t>
      </w:r>
      <w:r w:rsidRPr="004D5BB4">
        <w:rPr>
          <w:rFonts w:ascii="Arial" w:hAnsi="Arial" w:cs="Arial"/>
          <w:color w:val="000000" w:themeColor="text1"/>
          <w:sz w:val="20"/>
          <w:szCs w:val="20"/>
        </w:rPr>
        <w:t xml:space="preserve"> a été engagé entre l</w:t>
      </w:r>
      <w:r>
        <w:rPr>
          <w:rFonts w:ascii="Arial" w:hAnsi="Arial" w:cs="Arial"/>
          <w:color w:val="000000" w:themeColor="text1"/>
          <w:sz w:val="20"/>
          <w:szCs w:val="20"/>
        </w:rPr>
        <w:t>a SOSUCAM</w:t>
      </w:r>
      <w:r w:rsidR="00D61383">
        <w:rPr>
          <w:rFonts w:ascii="Arial" w:hAnsi="Arial" w:cs="Arial"/>
          <w:color w:val="000000" w:themeColor="text1"/>
          <w:sz w:val="20"/>
          <w:szCs w:val="20"/>
        </w:rPr>
        <w:t>,</w:t>
      </w:r>
      <w:r w:rsidRPr="004D5BB4">
        <w:rPr>
          <w:rFonts w:ascii="Arial" w:hAnsi="Arial" w:cs="Arial"/>
          <w:color w:val="000000" w:themeColor="text1"/>
          <w:sz w:val="20"/>
          <w:szCs w:val="20"/>
        </w:rPr>
        <w:t xml:space="preserve"> </w:t>
      </w:r>
      <w:r w:rsidR="00D61383" w:rsidRPr="004D5BB4">
        <w:rPr>
          <w:rFonts w:ascii="Arial" w:hAnsi="Arial" w:cs="Arial"/>
          <w:color w:val="000000" w:themeColor="text1"/>
          <w:sz w:val="20"/>
          <w:szCs w:val="20"/>
          <w:lang w:eastAsia="fr-FR"/>
        </w:rPr>
        <w:t xml:space="preserve">les </w:t>
      </w:r>
      <w:r w:rsidR="00D61383">
        <w:rPr>
          <w:rFonts w:ascii="Arial" w:hAnsi="Arial" w:cs="Arial"/>
          <w:color w:val="000000" w:themeColor="text1"/>
          <w:sz w:val="20"/>
          <w:szCs w:val="20"/>
          <w:lang w:eastAsia="fr-FR"/>
        </w:rPr>
        <w:t xml:space="preserve">14 comités riverains </w:t>
      </w:r>
      <w:r w:rsidR="00D61383" w:rsidRPr="00A13297">
        <w:rPr>
          <w:rFonts w:ascii="Arial" w:hAnsi="Arial" w:cs="Arial"/>
          <w:color w:val="000000" w:themeColor="text1"/>
          <w:sz w:val="20"/>
          <w:szCs w:val="20"/>
          <w:lang w:eastAsia="fr-FR"/>
        </w:rPr>
        <w:t>de veille</w:t>
      </w:r>
      <w:r w:rsidR="00D61383">
        <w:rPr>
          <w:rFonts w:ascii="Arial" w:hAnsi="Arial" w:cs="Arial"/>
          <w:color w:val="000000" w:themeColor="text1"/>
          <w:sz w:val="20"/>
          <w:szCs w:val="20"/>
          <w:lang w:eastAsia="fr-FR"/>
        </w:rPr>
        <w:t>,</w:t>
      </w:r>
      <w:r w:rsidR="00D61383" w:rsidRPr="00A13297">
        <w:rPr>
          <w:rFonts w:ascii="Arial" w:hAnsi="Arial" w:cs="Arial"/>
          <w:color w:val="000000" w:themeColor="text1"/>
          <w:sz w:val="20"/>
          <w:szCs w:val="20"/>
          <w:lang w:eastAsia="fr-FR"/>
        </w:rPr>
        <w:t xml:space="preserve"> le Centre d’Action pour la Vie et la Terre</w:t>
      </w:r>
      <w:r w:rsidR="00D61383">
        <w:rPr>
          <w:rFonts w:ascii="Arial" w:hAnsi="Arial" w:cs="Arial"/>
          <w:color w:val="000000" w:themeColor="text1"/>
          <w:sz w:val="20"/>
          <w:szCs w:val="20"/>
          <w:lang w:eastAsia="fr-FR"/>
        </w:rPr>
        <w:t xml:space="preserve"> et les chefferies</w:t>
      </w:r>
      <w:r w:rsidR="00D61383" w:rsidRPr="00A13297">
        <w:rPr>
          <w:rFonts w:ascii="Arial" w:hAnsi="Arial" w:cs="Arial"/>
          <w:color w:val="000000" w:themeColor="text1"/>
          <w:sz w:val="20"/>
          <w:szCs w:val="20"/>
          <w:lang w:eastAsia="fr-FR"/>
        </w:rPr>
        <w:t xml:space="preserve"> </w:t>
      </w:r>
      <w:r>
        <w:rPr>
          <w:rFonts w:ascii="Arial" w:hAnsi="Arial" w:cs="Arial"/>
          <w:color w:val="000000" w:themeColor="text1"/>
          <w:sz w:val="20"/>
          <w:szCs w:val="20"/>
        </w:rPr>
        <w:t>pour</w:t>
      </w:r>
      <w:r w:rsidRPr="004D5BB4">
        <w:rPr>
          <w:rFonts w:ascii="Arial" w:hAnsi="Arial" w:cs="Arial"/>
          <w:color w:val="000000" w:themeColor="text1"/>
          <w:sz w:val="20"/>
          <w:szCs w:val="20"/>
        </w:rPr>
        <w:t xml:space="preserve"> accro</w:t>
      </w:r>
      <w:r>
        <w:rPr>
          <w:rFonts w:ascii="Arial" w:hAnsi="Arial" w:cs="Arial"/>
          <w:color w:val="000000" w:themeColor="text1"/>
          <w:sz w:val="20"/>
          <w:szCs w:val="20"/>
        </w:rPr>
        <w:t>î</w:t>
      </w:r>
      <w:r w:rsidRPr="004D5BB4">
        <w:rPr>
          <w:rFonts w:ascii="Arial" w:hAnsi="Arial" w:cs="Arial"/>
          <w:color w:val="000000" w:themeColor="text1"/>
          <w:sz w:val="20"/>
          <w:szCs w:val="20"/>
        </w:rPr>
        <w:t xml:space="preserve">tre l’implication des populations et </w:t>
      </w:r>
      <w:r>
        <w:rPr>
          <w:rFonts w:ascii="Arial" w:hAnsi="Arial" w:cs="Arial"/>
          <w:color w:val="000000" w:themeColor="text1"/>
          <w:sz w:val="20"/>
          <w:szCs w:val="20"/>
        </w:rPr>
        <w:t xml:space="preserve">des </w:t>
      </w:r>
      <w:r w:rsidRPr="004D5BB4">
        <w:rPr>
          <w:rFonts w:ascii="Arial" w:hAnsi="Arial" w:cs="Arial"/>
          <w:color w:val="000000" w:themeColor="text1"/>
          <w:sz w:val="20"/>
          <w:szCs w:val="20"/>
        </w:rPr>
        <w:t xml:space="preserve">acteurs économiques locaux dans l’activité de l’entreprise. On peut, à titre indicatif, signaler qu’un « fichier des compétences locales » </w:t>
      </w:r>
      <w:r>
        <w:rPr>
          <w:rFonts w:ascii="Arial" w:hAnsi="Arial" w:cs="Arial"/>
          <w:color w:val="000000" w:themeColor="text1"/>
          <w:sz w:val="20"/>
          <w:szCs w:val="20"/>
        </w:rPr>
        <w:t xml:space="preserve">est </w:t>
      </w:r>
      <w:r w:rsidRPr="004D5BB4">
        <w:rPr>
          <w:rFonts w:ascii="Arial" w:hAnsi="Arial" w:cs="Arial"/>
          <w:color w:val="000000" w:themeColor="text1"/>
          <w:sz w:val="20"/>
          <w:szCs w:val="20"/>
        </w:rPr>
        <w:t xml:space="preserve">en cours d’élaboration sur la base de travaux communs entre les plaignants et l’entreprise. </w:t>
      </w:r>
      <w:r>
        <w:rPr>
          <w:rFonts w:ascii="Arial" w:hAnsi="Arial" w:cs="Arial"/>
          <w:color w:val="000000" w:themeColor="text1"/>
          <w:sz w:val="20"/>
          <w:szCs w:val="20"/>
        </w:rPr>
        <w:t>Le PCN se félicite de c</w:t>
      </w:r>
      <w:r w:rsidRPr="004D5BB4">
        <w:rPr>
          <w:rFonts w:ascii="Arial" w:hAnsi="Arial" w:cs="Arial"/>
          <w:color w:val="000000" w:themeColor="text1"/>
          <w:sz w:val="20"/>
          <w:szCs w:val="20"/>
        </w:rPr>
        <w:t>et engagement</w:t>
      </w:r>
      <w:r>
        <w:rPr>
          <w:rFonts w:ascii="Arial" w:hAnsi="Arial" w:cs="Arial"/>
          <w:color w:val="000000" w:themeColor="text1"/>
          <w:sz w:val="20"/>
          <w:szCs w:val="20"/>
        </w:rPr>
        <w:t xml:space="preserve"> avec les parties prenantes qui</w:t>
      </w:r>
      <w:r w:rsidRPr="004D5BB4">
        <w:rPr>
          <w:rFonts w:ascii="Arial" w:hAnsi="Arial" w:cs="Arial"/>
          <w:color w:val="000000" w:themeColor="text1"/>
          <w:sz w:val="20"/>
          <w:szCs w:val="20"/>
        </w:rPr>
        <w:t xml:space="preserve"> se traduit par des actions concrètes (embauche de personnel et passation de contrats de sous-traitance avec des structures de la région) </w:t>
      </w:r>
      <w:r>
        <w:rPr>
          <w:rFonts w:ascii="Arial" w:hAnsi="Arial" w:cs="Arial"/>
          <w:color w:val="000000" w:themeColor="text1"/>
          <w:sz w:val="20"/>
          <w:szCs w:val="20"/>
        </w:rPr>
        <w:t xml:space="preserve">mais </w:t>
      </w:r>
      <w:r w:rsidRPr="004D5BB4">
        <w:rPr>
          <w:rFonts w:ascii="Arial" w:hAnsi="Arial" w:cs="Arial"/>
          <w:color w:val="000000" w:themeColor="text1"/>
          <w:sz w:val="20"/>
          <w:szCs w:val="20"/>
        </w:rPr>
        <w:t>qui restent, toutefois, modestes</w:t>
      </w:r>
      <w:r w:rsidRPr="000E74D3">
        <w:rPr>
          <w:rFonts w:ascii="Arial" w:hAnsi="Arial" w:cs="Arial"/>
          <w:color w:val="FF0000"/>
          <w:sz w:val="20"/>
          <w:szCs w:val="20"/>
        </w:rPr>
        <w:t xml:space="preserve">. </w:t>
      </w:r>
      <w:r w:rsidR="00CF21FF" w:rsidRPr="00B23281">
        <w:rPr>
          <w:rFonts w:ascii="Arial" w:hAnsi="Arial" w:cs="Arial"/>
          <w:color w:val="000000" w:themeColor="text1"/>
          <w:sz w:val="20"/>
          <w:szCs w:val="20"/>
        </w:rPr>
        <w:t>Le</w:t>
      </w:r>
      <w:r w:rsidR="00E00E39" w:rsidRPr="00B23281">
        <w:rPr>
          <w:rFonts w:ascii="Arial" w:hAnsi="Arial" w:cs="Arial"/>
          <w:color w:val="000000" w:themeColor="text1"/>
          <w:sz w:val="20"/>
          <w:szCs w:val="20"/>
        </w:rPr>
        <w:t xml:space="preserve"> PCN note d’ailleurs que les </w:t>
      </w:r>
      <w:r w:rsidR="00CF21FF" w:rsidRPr="00B23281">
        <w:rPr>
          <w:rFonts w:ascii="Arial" w:hAnsi="Arial" w:cs="Arial"/>
          <w:color w:val="000000" w:themeColor="text1"/>
          <w:sz w:val="20"/>
          <w:szCs w:val="20"/>
        </w:rPr>
        <w:t xml:space="preserve">plaignants </w:t>
      </w:r>
      <w:r w:rsidR="00E00E39" w:rsidRPr="00B23281">
        <w:rPr>
          <w:rFonts w:ascii="Arial" w:hAnsi="Arial" w:cs="Arial"/>
          <w:color w:val="000000" w:themeColor="text1"/>
          <w:sz w:val="20"/>
          <w:szCs w:val="20"/>
        </w:rPr>
        <w:t xml:space="preserve">affirment toujours </w:t>
      </w:r>
      <w:r w:rsidR="00CF21FF" w:rsidRPr="00B23281">
        <w:rPr>
          <w:rFonts w:ascii="Arial" w:hAnsi="Arial" w:cs="Arial"/>
          <w:color w:val="000000" w:themeColor="text1"/>
          <w:sz w:val="20"/>
          <w:szCs w:val="20"/>
        </w:rPr>
        <w:t xml:space="preserve">que les personnes embauchées </w:t>
      </w:r>
      <w:r w:rsidR="00E00E39" w:rsidRPr="00B23281">
        <w:rPr>
          <w:rFonts w:ascii="Arial" w:hAnsi="Arial" w:cs="Arial"/>
          <w:color w:val="000000" w:themeColor="text1"/>
          <w:sz w:val="20"/>
          <w:szCs w:val="20"/>
        </w:rPr>
        <w:t xml:space="preserve">ne sont pas majoritairement des </w:t>
      </w:r>
      <w:r w:rsidR="001E4E65">
        <w:rPr>
          <w:rFonts w:ascii="Arial" w:hAnsi="Arial" w:cs="Arial"/>
          <w:color w:val="000000" w:themeColor="text1"/>
          <w:sz w:val="20"/>
          <w:szCs w:val="20"/>
        </w:rPr>
        <w:t xml:space="preserve">travailleurs issus des populations voisines </w:t>
      </w:r>
      <w:r w:rsidR="009562E4">
        <w:rPr>
          <w:rFonts w:ascii="Arial" w:hAnsi="Arial" w:cs="Arial"/>
          <w:color w:val="000000" w:themeColor="text1"/>
          <w:sz w:val="20"/>
          <w:szCs w:val="20"/>
        </w:rPr>
        <w:t xml:space="preserve">de l’unité de production de la </w:t>
      </w:r>
      <w:proofErr w:type="spellStart"/>
      <w:proofErr w:type="gramStart"/>
      <w:r w:rsidR="009562E4">
        <w:rPr>
          <w:rFonts w:ascii="Arial" w:hAnsi="Arial" w:cs="Arial"/>
          <w:color w:val="000000" w:themeColor="text1"/>
          <w:sz w:val="20"/>
          <w:szCs w:val="20"/>
        </w:rPr>
        <w:t>Sosucam</w:t>
      </w:r>
      <w:proofErr w:type="spellEnd"/>
      <w:r w:rsidR="009562E4">
        <w:rPr>
          <w:rFonts w:ascii="Arial" w:hAnsi="Arial" w:cs="Arial"/>
          <w:color w:val="000000" w:themeColor="text1"/>
          <w:sz w:val="20"/>
          <w:szCs w:val="20"/>
        </w:rPr>
        <w:t>.</w:t>
      </w:r>
      <w:r w:rsidR="00E00E39" w:rsidRPr="00B23281">
        <w:rPr>
          <w:rFonts w:ascii="Arial" w:hAnsi="Arial" w:cs="Arial"/>
          <w:color w:val="000000" w:themeColor="text1"/>
          <w:sz w:val="20"/>
          <w:szCs w:val="20"/>
        </w:rPr>
        <w:t>.</w:t>
      </w:r>
      <w:proofErr w:type="gramEnd"/>
      <w:r w:rsidR="00E00E39" w:rsidRPr="00B23281">
        <w:rPr>
          <w:rFonts w:ascii="Arial" w:hAnsi="Arial" w:cs="Arial"/>
          <w:color w:val="000000" w:themeColor="text1"/>
          <w:sz w:val="20"/>
          <w:szCs w:val="20"/>
        </w:rPr>
        <w:t xml:space="preserve"> </w:t>
      </w:r>
    </w:p>
    <w:p w14:paraId="5E52D888" w14:textId="4A5BC61E" w:rsidR="00310608" w:rsidRDefault="00310608" w:rsidP="00310608">
      <w:pPr>
        <w:spacing w:before="240" w:after="0"/>
        <w:ind w:left="708"/>
        <w:jc w:val="both"/>
        <w:rPr>
          <w:rFonts w:ascii="Arial" w:hAnsi="Arial" w:cs="Arial"/>
          <w:i/>
          <w:iCs/>
          <w:color w:val="7030A0"/>
          <w:sz w:val="20"/>
          <w:szCs w:val="20"/>
        </w:rPr>
      </w:pPr>
      <w:r w:rsidRPr="001568CD">
        <w:rPr>
          <w:rFonts w:ascii="Arial" w:hAnsi="Arial" w:cs="Arial"/>
          <w:i/>
          <w:iCs/>
          <w:color w:val="7030A0"/>
          <w:sz w:val="20"/>
          <w:szCs w:val="20"/>
        </w:rPr>
        <w:lastRenderedPageBreak/>
        <w:sym w:font="Wingdings" w:char="F0E8"/>
      </w:r>
      <w:r w:rsidRPr="001568CD">
        <w:rPr>
          <w:rFonts w:ascii="Arial" w:hAnsi="Arial" w:cs="Arial"/>
          <w:i/>
          <w:iCs/>
          <w:color w:val="7030A0"/>
          <w:sz w:val="20"/>
          <w:szCs w:val="20"/>
        </w:rPr>
        <w:t xml:space="preserve"> Bilan du suivi de la recommandation n°3 : </w:t>
      </w:r>
      <w:r w:rsidRPr="001568CD">
        <w:rPr>
          <w:rFonts w:ascii="Arial" w:hAnsi="Arial" w:cs="Arial"/>
          <w:i/>
          <w:iCs/>
          <w:color w:val="7030A0"/>
          <w:sz w:val="20"/>
          <w:szCs w:val="20"/>
          <w:lang w:eastAsia="fr-FR"/>
        </w:rPr>
        <w:t xml:space="preserve">Le PCN constate </w:t>
      </w:r>
      <w:r>
        <w:rPr>
          <w:rFonts w:ascii="Arial" w:hAnsi="Arial" w:cs="Arial"/>
          <w:i/>
          <w:iCs/>
          <w:color w:val="7030A0"/>
          <w:sz w:val="20"/>
          <w:szCs w:val="20"/>
          <w:lang w:eastAsia="fr-FR"/>
        </w:rPr>
        <w:t xml:space="preserve">des progrès significatifs de l’engagement de SOMDIAA et SOSUCAM </w:t>
      </w:r>
      <w:r w:rsidRPr="001568CD">
        <w:rPr>
          <w:rFonts w:ascii="Arial" w:hAnsi="Arial" w:cs="Arial"/>
          <w:i/>
          <w:iCs/>
          <w:color w:val="7030A0"/>
          <w:sz w:val="20"/>
          <w:szCs w:val="20"/>
          <w:lang w:eastAsia="fr-FR"/>
        </w:rPr>
        <w:t xml:space="preserve">avec les parties prenantes </w:t>
      </w:r>
      <w:r>
        <w:rPr>
          <w:rFonts w:ascii="Arial" w:hAnsi="Arial" w:cs="Arial"/>
          <w:i/>
          <w:iCs/>
          <w:color w:val="7030A0"/>
          <w:sz w:val="20"/>
          <w:szCs w:val="20"/>
          <w:lang w:eastAsia="fr-FR"/>
        </w:rPr>
        <w:t>symbolisés par la réactivation des réunions des plateformes de dialogue de la SOSUCAM</w:t>
      </w:r>
      <w:r w:rsidR="00BF0E68">
        <w:rPr>
          <w:rFonts w:ascii="Arial" w:hAnsi="Arial" w:cs="Arial"/>
          <w:i/>
          <w:iCs/>
          <w:color w:val="7030A0"/>
          <w:sz w:val="20"/>
          <w:szCs w:val="20"/>
          <w:lang w:eastAsia="fr-FR"/>
        </w:rPr>
        <w:t>. Les plaignants confirment qu’ils participent de fait à ces plates-formes de dialogue.</w:t>
      </w:r>
      <w:r>
        <w:rPr>
          <w:rFonts w:ascii="Arial" w:hAnsi="Arial" w:cs="Arial"/>
          <w:i/>
          <w:iCs/>
          <w:color w:val="7030A0"/>
          <w:sz w:val="20"/>
          <w:szCs w:val="20"/>
          <w:lang w:eastAsia="fr-FR"/>
        </w:rPr>
        <w:t xml:space="preserve"> Il se félicite que ces travaux, qui contribuent à apaiser les tensions, et </w:t>
      </w:r>
      <w:r w:rsidRPr="001568CD">
        <w:rPr>
          <w:rFonts w:ascii="Arial" w:hAnsi="Arial" w:cs="Arial"/>
          <w:i/>
          <w:iCs/>
          <w:color w:val="7030A0"/>
          <w:sz w:val="20"/>
          <w:szCs w:val="20"/>
          <w:lang w:eastAsia="fr-FR"/>
        </w:rPr>
        <w:t xml:space="preserve">intègrent les questions liées </w:t>
      </w:r>
      <w:r>
        <w:rPr>
          <w:rFonts w:ascii="Arial" w:hAnsi="Arial" w:cs="Arial"/>
          <w:i/>
          <w:iCs/>
          <w:color w:val="7030A0"/>
          <w:sz w:val="20"/>
          <w:szCs w:val="20"/>
          <w:lang w:eastAsia="fr-FR"/>
        </w:rPr>
        <w:t>à l’emploi</w:t>
      </w:r>
      <w:r w:rsidRPr="001568CD">
        <w:rPr>
          <w:rFonts w:ascii="Arial" w:hAnsi="Arial" w:cs="Arial"/>
          <w:i/>
          <w:iCs/>
          <w:color w:val="7030A0"/>
          <w:sz w:val="20"/>
          <w:szCs w:val="20"/>
          <w:lang w:eastAsia="fr-FR"/>
        </w:rPr>
        <w:t xml:space="preserve"> des populations </w:t>
      </w:r>
      <w:r>
        <w:rPr>
          <w:rFonts w:ascii="Arial" w:hAnsi="Arial" w:cs="Arial"/>
          <w:i/>
          <w:iCs/>
          <w:color w:val="7030A0"/>
          <w:sz w:val="20"/>
          <w:szCs w:val="20"/>
          <w:lang w:eastAsia="fr-FR"/>
        </w:rPr>
        <w:t xml:space="preserve">locales et au développement de la sous-traitance locale. Il invite toutefois les entreprises à poursuivre dans cette voie d’un engagement institutionnalisé de la SOSUCAM avec ses parties prenantes en créant, dans l’avenir, un Comité RSE. </w:t>
      </w:r>
    </w:p>
    <w:p w14:paraId="2B49B160" w14:textId="3DCC54C0" w:rsidR="00310608" w:rsidRDefault="00310608" w:rsidP="00310608">
      <w:pPr>
        <w:pStyle w:val="Para"/>
        <w:numPr>
          <w:ilvl w:val="0"/>
          <w:numId w:val="0"/>
        </w:numPr>
        <w:spacing w:line="240" w:lineRule="atLeast"/>
        <w:rPr>
          <w:rFonts w:ascii="Arial" w:hAnsi="Arial" w:cs="Arial"/>
          <w:i/>
          <w:szCs w:val="20"/>
        </w:rPr>
      </w:pPr>
      <w:r w:rsidRPr="00A422C4">
        <w:rPr>
          <w:rFonts w:ascii="Arial" w:hAnsi="Arial"/>
          <w:b/>
          <w:bCs/>
          <w:i/>
          <w:color w:val="7030A0"/>
        </w:rPr>
        <w:t xml:space="preserve">RECOMMANDATION n°4 : </w:t>
      </w:r>
      <w:r w:rsidRPr="00A422C4">
        <w:rPr>
          <w:rFonts w:ascii="Arial" w:hAnsi="Arial"/>
          <w:i/>
          <w:color w:val="7030A0"/>
        </w:rPr>
        <w:t>Conformément aux recommandations II A 10, 11, 12 du chapitre II sur le devoir de diligence</w:t>
      </w:r>
      <w:r w:rsidRPr="00A422C4">
        <w:rPr>
          <w:rFonts w:ascii="Arial" w:hAnsi="Arial" w:cs="Arial"/>
          <w:i/>
          <w:color w:val="7030A0"/>
        </w:rPr>
        <w:t xml:space="preserve">, le PCN recommande à COPAGEF et SOMDIAA d’enrichir leur politique d’entreprise et sa mise en œuvre par la SOSUCAM en s’inspirant du </w:t>
      </w:r>
      <w:hyperlink r:id="rId15" w:history="1">
        <w:r w:rsidRPr="00A422C4">
          <w:rPr>
            <w:rStyle w:val="Lienhypertexte"/>
            <w:rFonts w:ascii="Arial" w:hAnsi="Arial" w:cs="Arial"/>
            <w:i/>
            <w:szCs w:val="20"/>
          </w:rPr>
          <w:t>Guide de l’OCDE sur le devoir de diligence</w:t>
        </w:r>
      </w:hyperlink>
      <w:r w:rsidRPr="004E4D41">
        <w:rPr>
          <w:rStyle w:val="Appelnotedebasdep"/>
          <w:rFonts w:ascii="Arial" w:hAnsi="Arial" w:cs="Arial"/>
          <w:i/>
          <w:color w:val="7030A0"/>
          <w:szCs w:val="20"/>
        </w:rPr>
        <w:footnoteReference w:id="4"/>
      </w:r>
      <w:r w:rsidRPr="004E4D41">
        <w:rPr>
          <w:rFonts w:ascii="Arial" w:hAnsi="Arial" w:cs="Arial"/>
          <w:i/>
          <w:color w:val="7030A0"/>
          <w:szCs w:val="20"/>
        </w:rPr>
        <w:t xml:space="preserve"> et du </w:t>
      </w:r>
      <w:hyperlink r:id="rId16" w:history="1">
        <w:r w:rsidRPr="004E4D41">
          <w:rPr>
            <w:rStyle w:val="Lienhypertexte"/>
            <w:rFonts w:ascii="Arial" w:hAnsi="Arial" w:cs="Arial"/>
            <w:i/>
            <w:szCs w:val="20"/>
          </w:rPr>
          <w:t>Guide de l’OCDE et de la FAO pour des filières agricoles responsables</w:t>
        </w:r>
      </w:hyperlink>
      <w:r w:rsidRPr="004E4D41">
        <w:rPr>
          <w:rStyle w:val="Appelnotedebasdep"/>
          <w:rFonts w:ascii="Arial" w:hAnsi="Arial" w:cs="Arial"/>
          <w:i/>
          <w:color w:val="7030A0"/>
          <w:szCs w:val="20"/>
        </w:rPr>
        <w:footnoteReference w:id="5"/>
      </w:r>
      <w:r w:rsidRPr="004E4D41">
        <w:rPr>
          <w:rFonts w:ascii="Arial" w:hAnsi="Arial" w:cs="Arial"/>
          <w:i/>
          <w:color w:val="7030A0"/>
          <w:szCs w:val="20"/>
        </w:rPr>
        <w:t xml:space="preserve"> ainsi que </w:t>
      </w:r>
      <w:hyperlink r:id="rId17" w:history="1">
        <w:r w:rsidRPr="004E4D41">
          <w:rPr>
            <w:rStyle w:val="Lienhypertexte"/>
            <w:rFonts w:ascii="Arial" w:hAnsi="Arial" w:cs="Arial"/>
            <w:i/>
            <w:szCs w:val="20"/>
          </w:rPr>
          <w:t>travaux de l’OCDE sur les chaînes d’approvisionnement agricoles</w:t>
        </w:r>
      </w:hyperlink>
      <w:r w:rsidRPr="004E4D41">
        <w:rPr>
          <w:rStyle w:val="Appelnotedebasdep"/>
          <w:rFonts w:ascii="Arial" w:hAnsi="Arial" w:cs="Arial"/>
          <w:i/>
          <w:color w:val="7030A0"/>
          <w:szCs w:val="20"/>
        </w:rPr>
        <w:footnoteReference w:id="6"/>
      </w:r>
      <w:r w:rsidRPr="004E4D41">
        <w:rPr>
          <w:rFonts w:ascii="Arial" w:hAnsi="Arial" w:cs="Arial"/>
          <w:i/>
          <w:szCs w:val="20"/>
        </w:rPr>
        <w:t>.</w:t>
      </w:r>
    </w:p>
    <w:p w14:paraId="45266CCB" w14:textId="19CE3C35" w:rsidR="00310608" w:rsidRDefault="00310608" w:rsidP="00310608">
      <w:pPr>
        <w:pStyle w:val="Para"/>
        <w:numPr>
          <w:ilvl w:val="0"/>
          <w:numId w:val="0"/>
        </w:numPr>
        <w:spacing w:line="240" w:lineRule="atLeast"/>
        <w:rPr>
          <w:rFonts w:ascii="Arial" w:hAnsi="Arial" w:cs="Arial"/>
          <w:iCs/>
          <w:color w:val="000000" w:themeColor="text1"/>
          <w:szCs w:val="20"/>
        </w:rPr>
      </w:pPr>
    </w:p>
    <w:p w14:paraId="6C068B98" w14:textId="62DC1A25" w:rsidR="004B5D44" w:rsidRPr="004B5D44" w:rsidRDefault="004B5D44" w:rsidP="00A4012B">
      <w:pPr>
        <w:pStyle w:val="Default"/>
        <w:jc w:val="both"/>
        <w:rPr>
          <w:sz w:val="20"/>
          <w:szCs w:val="20"/>
        </w:rPr>
      </w:pPr>
      <w:r>
        <w:rPr>
          <w:iCs/>
          <w:color w:val="000000" w:themeColor="text1"/>
          <w:sz w:val="20"/>
          <w:szCs w:val="20"/>
        </w:rPr>
        <w:t xml:space="preserve">SOMDIAA </w:t>
      </w:r>
      <w:r w:rsidR="00A266A1" w:rsidRPr="004B5D44">
        <w:rPr>
          <w:iCs/>
          <w:color w:val="000000" w:themeColor="text1"/>
          <w:sz w:val="20"/>
          <w:szCs w:val="20"/>
        </w:rPr>
        <w:t xml:space="preserve">avait été suspendu </w:t>
      </w:r>
      <w:r w:rsidR="00FE5A94" w:rsidRPr="004B5D44">
        <w:rPr>
          <w:iCs/>
          <w:color w:val="000000" w:themeColor="text1"/>
          <w:sz w:val="20"/>
          <w:szCs w:val="20"/>
        </w:rPr>
        <w:t>de BONSUCRO</w:t>
      </w:r>
      <w:r w:rsidR="00A4012B">
        <w:rPr>
          <w:iCs/>
          <w:color w:val="000000" w:themeColor="text1"/>
          <w:sz w:val="20"/>
          <w:szCs w:val="20"/>
        </w:rPr>
        <w:t xml:space="preserve"> en 2020</w:t>
      </w:r>
      <w:r w:rsidRPr="004B5D44">
        <w:rPr>
          <w:iCs/>
          <w:color w:val="000000" w:themeColor="text1"/>
          <w:sz w:val="20"/>
          <w:szCs w:val="20"/>
        </w:rPr>
        <w:t xml:space="preserve"> pour défaut de devoir de diligence. Par courrier du 28 septembre 2023, BONSUCRO</w:t>
      </w:r>
      <w:r>
        <w:rPr>
          <w:iCs/>
          <w:color w:val="000000" w:themeColor="text1"/>
          <w:sz w:val="20"/>
          <w:szCs w:val="20"/>
        </w:rPr>
        <w:t xml:space="preserve"> indique réintégrer l’entreprise sur la base des commentaires suivants :</w:t>
      </w:r>
    </w:p>
    <w:p w14:paraId="15E4204D" w14:textId="77777777" w:rsidR="00687B0D" w:rsidRPr="00B0561A" w:rsidRDefault="004B5D44" w:rsidP="004B5D44">
      <w:pPr>
        <w:pStyle w:val="Para"/>
        <w:numPr>
          <w:ilvl w:val="0"/>
          <w:numId w:val="0"/>
        </w:numPr>
        <w:spacing w:line="240" w:lineRule="atLeast"/>
        <w:rPr>
          <w:i/>
          <w:iCs/>
          <w:szCs w:val="20"/>
          <w:lang w:val="en-US"/>
        </w:rPr>
      </w:pPr>
      <w:r w:rsidRPr="004B5D44">
        <w:rPr>
          <w:rFonts w:ascii="Arial" w:hAnsi="Arial" w:cs="Arial"/>
          <w:i/>
          <w:iCs/>
          <w:szCs w:val="20"/>
        </w:rPr>
        <w:t xml:space="preserve"> </w:t>
      </w:r>
      <w:r w:rsidRPr="00B0561A">
        <w:rPr>
          <w:i/>
          <w:iCs/>
          <w:szCs w:val="20"/>
          <w:lang w:val="en-US"/>
        </w:rPr>
        <w:t>« </w:t>
      </w:r>
      <w:r w:rsidRPr="00B0561A">
        <w:rPr>
          <w:rFonts w:ascii="Arial" w:hAnsi="Arial" w:cs="Arial"/>
          <w:i/>
          <w:iCs/>
          <w:szCs w:val="20"/>
          <w:lang w:val="en-US"/>
        </w:rPr>
        <w:t>The Board acknowledged the substantial progress made by SOMDIAA in implementing the recommendations put forth by the French OECD National Contact Point (NCP) regarding the Cameroon case and your willingness to share this progress with the French NCP. They were also pleased to learn of your new CAP27 Transformation Project and your efforts to embed responsible business conduct across the SOMDIAA Group of Companies.</w:t>
      </w:r>
      <w:r w:rsidRPr="00B0561A">
        <w:rPr>
          <w:i/>
          <w:iCs/>
          <w:szCs w:val="20"/>
          <w:lang w:val="en-US"/>
        </w:rPr>
        <w:t xml:space="preserve"> ». </w:t>
      </w:r>
    </w:p>
    <w:p w14:paraId="2C87291C" w14:textId="53CC6B4A" w:rsidR="00687B0D" w:rsidRDefault="004B5D44" w:rsidP="004B5D44">
      <w:pPr>
        <w:pStyle w:val="Para"/>
        <w:numPr>
          <w:ilvl w:val="0"/>
          <w:numId w:val="0"/>
        </w:numPr>
        <w:spacing w:line="240" w:lineRule="atLeast"/>
        <w:rPr>
          <w:rFonts w:ascii="Arial" w:hAnsi="Arial" w:cs="Arial"/>
          <w:iCs/>
          <w:color w:val="000000" w:themeColor="text1"/>
          <w:szCs w:val="20"/>
        </w:rPr>
      </w:pPr>
      <w:r w:rsidRPr="00687B0D">
        <w:rPr>
          <w:rFonts w:ascii="Arial" w:hAnsi="Arial" w:cs="Arial"/>
          <w:szCs w:val="20"/>
        </w:rPr>
        <w:t>Cette « réintégration » est notamment due</w:t>
      </w:r>
      <w:r w:rsidR="00687B0D" w:rsidRPr="00687B0D">
        <w:rPr>
          <w:rFonts w:ascii="Arial" w:hAnsi="Arial" w:cs="Arial"/>
          <w:szCs w:val="20"/>
        </w:rPr>
        <w:t xml:space="preserve"> à la mise en place pour la </w:t>
      </w:r>
      <w:proofErr w:type="spellStart"/>
      <w:r w:rsidR="00687B0D" w:rsidRPr="00687B0D">
        <w:rPr>
          <w:rFonts w:ascii="Arial" w:hAnsi="Arial" w:cs="Arial"/>
          <w:szCs w:val="20"/>
        </w:rPr>
        <w:t>Sosucam</w:t>
      </w:r>
      <w:proofErr w:type="spellEnd"/>
      <w:r w:rsidR="00687B0D" w:rsidRPr="00687B0D">
        <w:rPr>
          <w:rFonts w:ascii="Arial" w:hAnsi="Arial" w:cs="Arial"/>
          <w:szCs w:val="20"/>
        </w:rPr>
        <w:t xml:space="preserve"> au Cameroun </w:t>
      </w:r>
      <w:r w:rsidR="00687B0D" w:rsidRPr="00687B0D">
        <w:rPr>
          <w:rFonts w:ascii="Arial" w:hAnsi="Arial" w:cs="Arial"/>
          <w:iCs/>
          <w:color w:val="000000" w:themeColor="text1"/>
          <w:szCs w:val="20"/>
        </w:rPr>
        <w:t xml:space="preserve">de </w:t>
      </w:r>
      <w:r w:rsidRPr="00687B0D">
        <w:rPr>
          <w:rFonts w:ascii="Arial" w:hAnsi="Arial" w:cs="Arial"/>
          <w:iCs/>
          <w:color w:val="000000" w:themeColor="text1"/>
          <w:szCs w:val="20"/>
        </w:rPr>
        <w:t>lignes directrices en matière de droit social et sociétal</w:t>
      </w:r>
      <w:r w:rsidR="007E78B7">
        <w:rPr>
          <w:rFonts w:ascii="Arial" w:hAnsi="Arial" w:cs="Arial"/>
          <w:iCs/>
          <w:color w:val="000000" w:themeColor="text1"/>
          <w:szCs w:val="20"/>
        </w:rPr>
        <w:t xml:space="preserve"> (2023)</w:t>
      </w:r>
      <w:r w:rsidRPr="00687B0D">
        <w:rPr>
          <w:rFonts w:ascii="Arial" w:hAnsi="Arial" w:cs="Arial"/>
          <w:iCs/>
          <w:color w:val="000000" w:themeColor="text1"/>
          <w:szCs w:val="20"/>
        </w:rPr>
        <w:t>. Le PCN prend note de la prise en compte, dans le cadre de ce dispositif,</w:t>
      </w:r>
      <w:r w:rsidR="007E78B7">
        <w:rPr>
          <w:rFonts w:ascii="Arial" w:hAnsi="Arial" w:cs="Arial"/>
          <w:iCs/>
          <w:color w:val="000000" w:themeColor="text1"/>
          <w:szCs w:val="20"/>
        </w:rPr>
        <w:t xml:space="preserve"> d’une meilleure appréhension par la </w:t>
      </w:r>
      <w:proofErr w:type="spellStart"/>
      <w:r w:rsidR="007E78B7">
        <w:rPr>
          <w:rFonts w:ascii="Arial" w:hAnsi="Arial" w:cs="Arial"/>
          <w:iCs/>
          <w:color w:val="000000" w:themeColor="text1"/>
          <w:szCs w:val="20"/>
        </w:rPr>
        <w:t>Sosucam</w:t>
      </w:r>
      <w:proofErr w:type="spellEnd"/>
      <w:r w:rsidRPr="00687B0D">
        <w:rPr>
          <w:rFonts w:ascii="Arial" w:hAnsi="Arial" w:cs="Arial"/>
          <w:iCs/>
          <w:color w:val="000000" w:themeColor="text1"/>
          <w:szCs w:val="20"/>
        </w:rPr>
        <w:t xml:space="preserve"> des aspects relevant des droits humains et de la protection de l’environnement, lesquels relèvent directement des principes directeurs de l’OCDE. </w:t>
      </w:r>
    </w:p>
    <w:p w14:paraId="1F793FA2" w14:textId="3BA06623" w:rsidR="004B5D44" w:rsidRPr="00687B0D" w:rsidRDefault="004B5D44" w:rsidP="004B5D44">
      <w:pPr>
        <w:pStyle w:val="Para"/>
        <w:numPr>
          <w:ilvl w:val="0"/>
          <w:numId w:val="0"/>
        </w:numPr>
        <w:spacing w:line="240" w:lineRule="atLeast"/>
        <w:rPr>
          <w:rFonts w:ascii="Arial" w:hAnsi="Arial" w:cs="Arial"/>
          <w:iCs/>
          <w:color w:val="000000" w:themeColor="text1"/>
          <w:szCs w:val="20"/>
        </w:rPr>
      </w:pPr>
      <w:r w:rsidRPr="00687B0D">
        <w:rPr>
          <w:rFonts w:ascii="Arial" w:hAnsi="Arial" w:cs="Arial"/>
          <w:iCs/>
          <w:color w:val="000000" w:themeColor="text1"/>
          <w:szCs w:val="20"/>
        </w:rPr>
        <w:t>La finalisation du PGES devrait utilement compléter le dispositi</w:t>
      </w:r>
      <w:r w:rsidR="00247CEE">
        <w:rPr>
          <w:rFonts w:ascii="Arial" w:hAnsi="Arial" w:cs="Arial"/>
          <w:iCs/>
          <w:color w:val="000000" w:themeColor="text1"/>
          <w:szCs w:val="20"/>
        </w:rPr>
        <w:t>f</w:t>
      </w:r>
      <w:r w:rsidR="00687B0D">
        <w:rPr>
          <w:rFonts w:ascii="Arial" w:hAnsi="Arial" w:cs="Arial"/>
          <w:iCs/>
          <w:color w:val="000000" w:themeColor="text1"/>
          <w:szCs w:val="20"/>
        </w:rPr>
        <w:t xml:space="preserve"> de devoir de di</w:t>
      </w:r>
      <w:r w:rsidR="00247CEE">
        <w:rPr>
          <w:rFonts w:ascii="Arial" w:hAnsi="Arial" w:cs="Arial"/>
          <w:iCs/>
          <w:color w:val="000000" w:themeColor="text1"/>
          <w:szCs w:val="20"/>
        </w:rPr>
        <w:t>lige</w:t>
      </w:r>
      <w:r w:rsidR="00687B0D">
        <w:rPr>
          <w:rFonts w:ascii="Arial" w:hAnsi="Arial" w:cs="Arial"/>
          <w:iCs/>
          <w:color w:val="000000" w:themeColor="text1"/>
          <w:szCs w:val="20"/>
        </w:rPr>
        <w:t xml:space="preserve">nce de </w:t>
      </w:r>
      <w:proofErr w:type="spellStart"/>
      <w:r w:rsidR="00687B0D">
        <w:rPr>
          <w:rFonts w:ascii="Arial" w:hAnsi="Arial" w:cs="Arial"/>
          <w:iCs/>
          <w:color w:val="000000" w:themeColor="text1"/>
          <w:szCs w:val="20"/>
        </w:rPr>
        <w:t>S</w:t>
      </w:r>
      <w:r w:rsidR="00AF4DF3">
        <w:rPr>
          <w:rFonts w:ascii="Arial" w:hAnsi="Arial" w:cs="Arial"/>
          <w:iCs/>
          <w:color w:val="000000" w:themeColor="text1"/>
          <w:szCs w:val="20"/>
        </w:rPr>
        <w:t>omdia</w:t>
      </w:r>
      <w:r w:rsidR="00687B0D">
        <w:rPr>
          <w:rFonts w:ascii="Arial" w:hAnsi="Arial" w:cs="Arial"/>
          <w:iCs/>
          <w:color w:val="000000" w:themeColor="text1"/>
          <w:szCs w:val="20"/>
        </w:rPr>
        <w:t>OMDIAA</w:t>
      </w:r>
      <w:proofErr w:type="spellEnd"/>
      <w:r w:rsidR="00687B0D">
        <w:rPr>
          <w:rFonts w:ascii="Arial" w:hAnsi="Arial" w:cs="Arial"/>
          <w:iCs/>
          <w:color w:val="000000" w:themeColor="text1"/>
          <w:szCs w:val="20"/>
        </w:rPr>
        <w:t xml:space="preserve"> et de la </w:t>
      </w:r>
      <w:proofErr w:type="spellStart"/>
      <w:r w:rsidR="00687B0D">
        <w:rPr>
          <w:rFonts w:ascii="Arial" w:hAnsi="Arial" w:cs="Arial"/>
          <w:iCs/>
          <w:color w:val="000000" w:themeColor="text1"/>
          <w:szCs w:val="20"/>
        </w:rPr>
        <w:t>Sosucam</w:t>
      </w:r>
      <w:proofErr w:type="spellEnd"/>
      <w:r w:rsidRPr="00687B0D">
        <w:rPr>
          <w:rFonts w:ascii="Arial" w:hAnsi="Arial" w:cs="Arial"/>
          <w:iCs/>
          <w:color w:val="000000" w:themeColor="text1"/>
          <w:szCs w:val="20"/>
        </w:rPr>
        <w:t>.</w:t>
      </w:r>
    </w:p>
    <w:p w14:paraId="52263D5B" w14:textId="5E7C9EB5" w:rsidR="004B5D44" w:rsidRPr="004B5D44" w:rsidRDefault="004B5D44" w:rsidP="004B5D44">
      <w:pPr>
        <w:pStyle w:val="Default"/>
        <w:jc w:val="both"/>
        <w:rPr>
          <w:sz w:val="20"/>
          <w:szCs w:val="20"/>
        </w:rPr>
      </w:pPr>
    </w:p>
    <w:p w14:paraId="461E8B59" w14:textId="3EF807F4" w:rsidR="00402493" w:rsidRPr="004B5D44" w:rsidRDefault="00402493" w:rsidP="004B5D44">
      <w:pPr>
        <w:pStyle w:val="Para"/>
        <w:numPr>
          <w:ilvl w:val="0"/>
          <w:numId w:val="0"/>
        </w:numPr>
        <w:spacing w:line="240" w:lineRule="atLeast"/>
        <w:rPr>
          <w:rFonts w:ascii="Arial" w:hAnsi="Arial" w:cs="Arial"/>
          <w:iCs/>
          <w:color w:val="000000" w:themeColor="text1"/>
          <w:szCs w:val="20"/>
        </w:rPr>
      </w:pPr>
    </w:p>
    <w:p w14:paraId="54D9C466" w14:textId="30E3F9D3" w:rsidR="00402493" w:rsidRDefault="00687B0D" w:rsidP="00310608">
      <w:pPr>
        <w:pStyle w:val="Para"/>
        <w:numPr>
          <w:ilvl w:val="0"/>
          <w:numId w:val="0"/>
        </w:numPr>
        <w:spacing w:line="240" w:lineRule="atLeast"/>
        <w:rPr>
          <w:rFonts w:ascii="Arial" w:hAnsi="Arial" w:cs="Arial"/>
          <w:iCs/>
          <w:color w:val="000000" w:themeColor="text1"/>
          <w:szCs w:val="20"/>
        </w:rPr>
      </w:pPr>
      <w:r>
        <w:rPr>
          <w:rFonts w:ascii="Arial" w:hAnsi="Arial" w:cs="Arial"/>
          <w:iCs/>
          <w:color w:val="000000" w:themeColor="text1"/>
          <w:szCs w:val="20"/>
        </w:rPr>
        <w:t>Par ailleurs, l</w:t>
      </w:r>
      <w:r w:rsidR="00310608" w:rsidRPr="004D5BB4">
        <w:rPr>
          <w:rFonts w:ascii="Arial" w:hAnsi="Arial" w:cs="Arial"/>
          <w:iCs/>
          <w:color w:val="000000" w:themeColor="text1"/>
          <w:szCs w:val="20"/>
        </w:rPr>
        <w:t xml:space="preserve">e PCN constate que </w:t>
      </w:r>
      <w:r w:rsidR="00402493">
        <w:rPr>
          <w:rFonts w:ascii="Arial" w:hAnsi="Arial" w:cs="Arial"/>
          <w:iCs/>
          <w:color w:val="000000" w:themeColor="text1"/>
          <w:szCs w:val="20"/>
        </w:rPr>
        <w:t>SOMDIAA</w:t>
      </w:r>
      <w:r w:rsidR="00310608" w:rsidRPr="004D5BB4">
        <w:rPr>
          <w:rFonts w:ascii="Arial" w:hAnsi="Arial" w:cs="Arial"/>
          <w:iCs/>
          <w:color w:val="000000" w:themeColor="text1"/>
          <w:szCs w:val="20"/>
        </w:rPr>
        <w:t xml:space="preserve"> </w:t>
      </w:r>
      <w:r>
        <w:rPr>
          <w:rFonts w:ascii="Arial" w:hAnsi="Arial" w:cs="Arial"/>
          <w:iCs/>
          <w:color w:val="000000" w:themeColor="text1"/>
          <w:szCs w:val="20"/>
        </w:rPr>
        <w:t>dispose de</w:t>
      </w:r>
      <w:r w:rsidR="00310608" w:rsidRPr="004D5BB4">
        <w:rPr>
          <w:rFonts w:ascii="Arial" w:hAnsi="Arial" w:cs="Arial"/>
          <w:iCs/>
          <w:color w:val="000000" w:themeColor="text1"/>
          <w:szCs w:val="20"/>
        </w:rPr>
        <w:t xml:space="preserve"> deux procédures internes</w:t>
      </w:r>
      <w:r w:rsidR="0069280E">
        <w:rPr>
          <w:rFonts w:ascii="Arial" w:hAnsi="Arial" w:cs="Arial"/>
          <w:iCs/>
          <w:color w:val="000000" w:themeColor="text1"/>
          <w:szCs w:val="20"/>
        </w:rPr>
        <w:t xml:space="preserve"> </w:t>
      </w:r>
      <w:r>
        <w:rPr>
          <w:rFonts w:ascii="Arial" w:hAnsi="Arial" w:cs="Arial"/>
          <w:iCs/>
          <w:color w:val="000000" w:themeColor="text1"/>
          <w:szCs w:val="20"/>
        </w:rPr>
        <w:t xml:space="preserve">anciennes </w:t>
      </w:r>
      <w:r w:rsidR="00310608" w:rsidRPr="004D5BB4">
        <w:rPr>
          <w:rFonts w:ascii="Arial" w:hAnsi="Arial" w:cs="Arial"/>
          <w:iCs/>
          <w:color w:val="000000" w:themeColor="text1"/>
          <w:szCs w:val="20"/>
        </w:rPr>
        <w:t xml:space="preserve">(PEKYS </w:t>
      </w:r>
      <w:r>
        <w:rPr>
          <w:rFonts w:ascii="Arial" w:hAnsi="Arial" w:cs="Arial"/>
          <w:iCs/>
          <w:color w:val="000000" w:themeColor="text1"/>
          <w:szCs w:val="20"/>
        </w:rPr>
        <w:t xml:space="preserve">créée </w:t>
      </w:r>
      <w:r w:rsidR="00402493">
        <w:rPr>
          <w:rFonts w:ascii="Arial" w:hAnsi="Arial" w:cs="Arial"/>
          <w:iCs/>
          <w:color w:val="000000" w:themeColor="text1"/>
          <w:szCs w:val="20"/>
        </w:rPr>
        <w:t xml:space="preserve">en 2020 </w:t>
      </w:r>
      <w:r w:rsidR="00310608" w:rsidRPr="004D5BB4">
        <w:rPr>
          <w:rFonts w:ascii="Arial" w:hAnsi="Arial" w:cs="Arial"/>
          <w:iCs/>
          <w:color w:val="000000" w:themeColor="text1"/>
          <w:szCs w:val="20"/>
        </w:rPr>
        <w:t>et PECA</w:t>
      </w:r>
      <w:r w:rsidR="00402493">
        <w:rPr>
          <w:rFonts w:ascii="Arial" w:hAnsi="Arial" w:cs="Arial"/>
          <w:iCs/>
          <w:color w:val="000000" w:themeColor="text1"/>
          <w:szCs w:val="20"/>
        </w:rPr>
        <w:t>E</w:t>
      </w:r>
      <w:r w:rsidR="00C968AF">
        <w:rPr>
          <w:rFonts w:ascii="Arial" w:hAnsi="Arial" w:cs="Arial"/>
          <w:iCs/>
          <w:color w:val="000000" w:themeColor="text1"/>
          <w:szCs w:val="20"/>
        </w:rPr>
        <w:t xml:space="preserve"> </w:t>
      </w:r>
      <w:r w:rsidR="003B16A3">
        <w:rPr>
          <w:rFonts w:ascii="Arial" w:hAnsi="Arial" w:cs="Arial"/>
          <w:iCs/>
          <w:color w:val="000000" w:themeColor="text1"/>
          <w:szCs w:val="20"/>
        </w:rPr>
        <w:t>an</w:t>
      </w:r>
      <w:r w:rsidR="00C968AF">
        <w:rPr>
          <w:rFonts w:ascii="Arial" w:hAnsi="Arial" w:cs="Arial"/>
          <w:iCs/>
          <w:color w:val="000000" w:themeColor="text1"/>
          <w:szCs w:val="20"/>
        </w:rPr>
        <w:t>térieurement</w:t>
      </w:r>
      <w:r w:rsidR="00310608" w:rsidRPr="004D5BB4">
        <w:rPr>
          <w:rFonts w:ascii="Arial" w:hAnsi="Arial" w:cs="Arial"/>
          <w:iCs/>
          <w:color w:val="000000" w:themeColor="text1"/>
          <w:szCs w:val="20"/>
        </w:rPr>
        <w:t xml:space="preserve">) s’agissant de l’exercice du devoir de </w:t>
      </w:r>
      <w:r w:rsidR="00A8078D">
        <w:rPr>
          <w:rFonts w:ascii="Arial" w:hAnsi="Arial" w:cs="Arial"/>
          <w:iCs/>
          <w:color w:val="000000" w:themeColor="text1"/>
          <w:szCs w:val="20"/>
        </w:rPr>
        <w:t>dilige</w:t>
      </w:r>
      <w:r w:rsidR="00310608" w:rsidRPr="004D5BB4">
        <w:rPr>
          <w:rFonts w:ascii="Arial" w:hAnsi="Arial" w:cs="Arial"/>
          <w:iCs/>
          <w:color w:val="000000" w:themeColor="text1"/>
          <w:szCs w:val="20"/>
        </w:rPr>
        <w:t xml:space="preserve">nce, notamment pour ce qui concerne les </w:t>
      </w:r>
      <w:r w:rsidR="00402493">
        <w:rPr>
          <w:rFonts w:ascii="Arial" w:hAnsi="Arial" w:cs="Arial"/>
          <w:iCs/>
          <w:color w:val="000000" w:themeColor="text1"/>
          <w:szCs w:val="20"/>
        </w:rPr>
        <w:t>fournisseurs</w:t>
      </w:r>
      <w:r w:rsidR="00310608" w:rsidRPr="004D5BB4">
        <w:rPr>
          <w:rFonts w:ascii="Arial" w:hAnsi="Arial" w:cs="Arial"/>
          <w:iCs/>
          <w:color w:val="000000" w:themeColor="text1"/>
          <w:szCs w:val="20"/>
        </w:rPr>
        <w:t xml:space="preserve"> de l’entreprise.</w:t>
      </w:r>
      <w:r w:rsidR="00402493">
        <w:rPr>
          <w:rFonts w:ascii="Arial" w:hAnsi="Arial" w:cs="Arial"/>
          <w:iCs/>
          <w:color w:val="000000" w:themeColor="text1"/>
          <w:szCs w:val="20"/>
        </w:rPr>
        <w:t xml:space="preserve"> Ces mesures, si elles ne sont pas nouvelles, s’appliquent pleinement à la SOSUCAM et </w:t>
      </w:r>
      <w:r w:rsidR="00A8078D">
        <w:rPr>
          <w:rFonts w:ascii="Arial" w:hAnsi="Arial" w:cs="Arial"/>
          <w:iCs/>
          <w:color w:val="000000" w:themeColor="text1"/>
          <w:szCs w:val="20"/>
        </w:rPr>
        <w:t>œuvrent</w:t>
      </w:r>
      <w:r w:rsidR="00402493">
        <w:rPr>
          <w:rFonts w:ascii="Arial" w:hAnsi="Arial" w:cs="Arial"/>
          <w:iCs/>
          <w:color w:val="000000" w:themeColor="text1"/>
          <w:szCs w:val="20"/>
        </w:rPr>
        <w:t xml:space="preserve"> à l’amélioration du devoir de diligence.</w:t>
      </w:r>
    </w:p>
    <w:p w14:paraId="6848F5FB" w14:textId="0A2D6C01" w:rsidR="00310608" w:rsidRDefault="00310608" w:rsidP="00310608">
      <w:pPr>
        <w:spacing w:before="240" w:after="0"/>
        <w:ind w:left="708"/>
        <w:jc w:val="both"/>
        <w:rPr>
          <w:rFonts w:ascii="Arial" w:hAnsi="Arial" w:cs="Arial"/>
          <w:i/>
          <w:iCs/>
          <w:color w:val="7030A0"/>
          <w:sz w:val="20"/>
          <w:szCs w:val="20"/>
        </w:rPr>
      </w:pPr>
      <w:r w:rsidRPr="001568CD">
        <w:rPr>
          <w:rFonts w:ascii="Arial" w:hAnsi="Arial" w:cs="Arial"/>
          <w:i/>
          <w:iCs/>
          <w:color w:val="7030A0"/>
          <w:sz w:val="20"/>
          <w:szCs w:val="20"/>
        </w:rPr>
        <w:sym w:font="Wingdings" w:char="F0E8"/>
      </w:r>
      <w:r w:rsidRPr="001568CD">
        <w:rPr>
          <w:rFonts w:ascii="Arial" w:hAnsi="Arial" w:cs="Arial"/>
          <w:i/>
          <w:iCs/>
          <w:color w:val="7030A0"/>
          <w:sz w:val="20"/>
          <w:szCs w:val="20"/>
        </w:rPr>
        <w:t xml:space="preserve"> Bilan du suivi de la recommandation n°</w:t>
      </w:r>
      <w:r>
        <w:rPr>
          <w:rFonts w:ascii="Arial" w:hAnsi="Arial" w:cs="Arial"/>
          <w:i/>
          <w:iCs/>
          <w:color w:val="7030A0"/>
          <w:sz w:val="20"/>
          <w:szCs w:val="20"/>
        </w:rPr>
        <w:t>4</w:t>
      </w:r>
      <w:r w:rsidRPr="001568CD">
        <w:rPr>
          <w:rFonts w:ascii="Arial" w:hAnsi="Arial" w:cs="Arial"/>
          <w:i/>
          <w:iCs/>
          <w:color w:val="7030A0"/>
          <w:sz w:val="20"/>
          <w:szCs w:val="20"/>
        </w:rPr>
        <w:t> :</w:t>
      </w:r>
      <w:r w:rsidR="00AA25B6">
        <w:rPr>
          <w:rFonts w:ascii="Arial" w:hAnsi="Arial" w:cs="Arial"/>
          <w:i/>
          <w:iCs/>
          <w:color w:val="7030A0"/>
          <w:sz w:val="20"/>
          <w:szCs w:val="20"/>
        </w:rPr>
        <w:t xml:space="preserve"> SOMDIAA </w:t>
      </w:r>
      <w:r w:rsidR="00247CEE">
        <w:rPr>
          <w:rFonts w:ascii="Arial" w:hAnsi="Arial" w:cs="Arial"/>
          <w:i/>
          <w:iCs/>
          <w:color w:val="7030A0"/>
          <w:sz w:val="20"/>
          <w:szCs w:val="20"/>
        </w:rPr>
        <w:t xml:space="preserve">dispose d’un document de cadrage fixant les lignes directrices du groupe et de ses filiales (dont la </w:t>
      </w:r>
      <w:proofErr w:type="spellStart"/>
      <w:r w:rsidR="00247CEE">
        <w:rPr>
          <w:rFonts w:ascii="Arial" w:hAnsi="Arial" w:cs="Arial"/>
          <w:i/>
          <w:iCs/>
          <w:color w:val="7030A0"/>
          <w:sz w:val="20"/>
          <w:szCs w:val="20"/>
        </w:rPr>
        <w:t>Sosucam</w:t>
      </w:r>
      <w:proofErr w:type="spellEnd"/>
      <w:r w:rsidR="00247CEE">
        <w:rPr>
          <w:rFonts w:ascii="Arial" w:hAnsi="Arial" w:cs="Arial"/>
          <w:i/>
          <w:iCs/>
          <w:color w:val="7030A0"/>
          <w:sz w:val="20"/>
          <w:szCs w:val="20"/>
        </w:rPr>
        <w:t xml:space="preserve">) en matière de droit social et sociétal. Sur cette base, le groupe SOMDIAA a été réintégré a </w:t>
      </w:r>
      <w:proofErr w:type="spellStart"/>
      <w:r w:rsidR="00247CEE">
        <w:rPr>
          <w:rFonts w:ascii="Arial" w:hAnsi="Arial" w:cs="Arial"/>
          <w:i/>
          <w:iCs/>
          <w:color w:val="7030A0"/>
          <w:sz w:val="20"/>
          <w:szCs w:val="20"/>
        </w:rPr>
        <w:t>Bonsucro</w:t>
      </w:r>
      <w:proofErr w:type="spellEnd"/>
      <w:r w:rsidR="00247CEE">
        <w:rPr>
          <w:rFonts w:ascii="Arial" w:hAnsi="Arial" w:cs="Arial"/>
          <w:i/>
          <w:iCs/>
          <w:color w:val="7030A0"/>
          <w:sz w:val="20"/>
          <w:szCs w:val="20"/>
        </w:rPr>
        <w:t xml:space="preserve"> après en avoir été suspendu. Le PCN prend note de la prise en compte, dans le cadre de ce nouveau dispositif, des aspects relevant des droits humains ainsi que de la protection de l’environnement</w:t>
      </w:r>
      <w:r w:rsidR="006D2282">
        <w:rPr>
          <w:rFonts w:ascii="Arial" w:hAnsi="Arial" w:cs="Arial"/>
          <w:i/>
          <w:iCs/>
          <w:color w:val="7030A0"/>
          <w:sz w:val="20"/>
          <w:szCs w:val="20"/>
        </w:rPr>
        <w:t>, conformément aux principes directeurs de l’OCDE. La finalisation du rapport d’audit puis du PGES devrait utilement compléter le dispositif.</w:t>
      </w:r>
    </w:p>
    <w:p w14:paraId="5211818A" w14:textId="77777777" w:rsidR="00310608" w:rsidRPr="004E4D41" w:rsidRDefault="00310608" w:rsidP="00310608">
      <w:pPr>
        <w:pStyle w:val="Para"/>
        <w:numPr>
          <w:ilvl w:val="0"/>
          <w:numId w:val="0"/>
        </w:numPr>
        <w:spacing w:line="240" w:lineRule="atLeast"/>
        <w:rPr>
          <w:i/>
          <w:sz w:val="22"/>
        </w:rPr>
      </w:pPr>
    </w:p>
    <w:p w14:paraId="04A35F6E" w14:textId="0B951D7C" w:rsidR="00310608" w:rsidRDefault="00310608" w:rsidP="00310608">
      <w:pPr>
        <w:pStyle w:val="Para"/>
        <w:numPr>
          <w:ilvl w:val="0"/>
          <w:numId w:val="0"/>
        </w:numPr>
        <w:spacing w:line="240" w:lineRule="atLeast"/>
        <w:rPr>
          <w:rFonts w:ascii="Arial" w:hAnsi="Arial"/>
          <w:i/>
          <w:color w:val="7030A0"/>
        </w:rPr>
      </w:pPr>
      <w:r w:rsidRPr="004E4D41">
        <w:rPr>
          <w:rFonts w:ascii="Arial" w:hAnsi="Arial"/>
          <w:b/>
          <w:bCs/>
          <w:i/>
          <w:color w:val="7030A0"/>
        </w:rPr>
        <w:lastRenderedPageBreak/>
        <w:t xml:space="preserve">RECOMMANDATION n°5 : </w:t>
      </w:r>
      <w:r w:rsidRPr="004E4D41">
        <w:rPr>
          <w:rFonts w:ascii="Arial" w:hAnsi="Arial"/>
          <w:i/>
          <w:color w:val="7030A0"/>
        </w:rPr>
        <w:t xml:space="preserve">Conformément aux recommandations 1, 2, 3 et 4 du chapitre </w:t>
      </w:r>
      <w:proofErr w:type="gramStart"/>
      <w:r w:rsidRPr="004E4D41">
        <w:rPr>
          <w:rFonts w:ascii="Arial" w:hAnsi="Arial"/>
          <w:i/>
          <w:color w:val="7030A0"/>
        </w:rPr>
        <w:t>III;</w:t>
      </w:r>
      <w:proofErr w:type="gramEnd"/>
      <w:r w:rsidRPr="004E4D41">
        <w:rPr>
          <w:rFonts w:ascii="Arial" w:hAnsi="Arial"/>
          <w:i/>
          <w:color w:val="7030A0"/>
        </w:rPr>
        <w:t xml:space="preserve"> le PCN recommande aux Groupes  et SOMDIAA d’améliorer leur publication d’informations concernant la SOSUCAM.</w:t>
      </w:r>
    </w:p>
    <w:p w14:paraId="0A90BFB4" w14:textId="77777777" w:rsidR="00310608" w:rsidRPr="00DA5E5D" w:rsidRDefault="00310608" w:rsidP="00310608">
      <w:pPr>
        <w:pStyle w:val="Para"/>
        <w:numPr>
          <w:ilvl w:val="0"/>
          <w:numId w:val="0"/>
        </w:numPr>
        <w:spacing w:line="240" w:lineRule="atLeast"/>
        <w:rPr>
          <w:rFonts w:ascii="Arial" w:hAnsi="Arial" w:cs="Arial"/>
          <w:i/>
          <w:color w:val="7030A0"/>
          <w:szCs w:val="20"/>
        </w:rPr>
      </w:pPr>
    </w:p>
    <w:p w14:paraId="6E170D77" w14:textId="3202D134" w:rsidR="00310608" w:rsidRPr="00DA5E5D" w:rsidRDefault="00310608" w:rsidP="00310608">
      <w:pPr>
        <w:jc w:val="both"/>
        <w:rPr>
          <w:rFonts w:ascii="Arial" w:hAnsi="Arial" w:cs="Arial"/>
          <w:sz w:val="20"/>
          <w:szCs w:val="20"/>
        </w:rPr>
      </w:pPr>
      <w:r w:rsidRPr="00DA5E5D">
        <w:rPr>
          <w:rFonts w:ascii="Arial" w:hAnsi="Arial" w:cs="Arial"/>
          <w:sz w:val="20"/>
          <w:szCs w:val="20"/>
        </w:rPr>
        <w:t>Le PCN constate que le groupe</w:t>
      </w:r>
      <w:r w:rsidR="000C39AD">
        <w:rPr>
          <w:rFonts w:ascii="Arial" w:hAnsi="Arial" w:cs="Arial"/>
          <w:sz w:val="20"/>
          <w:szCs w:val="20"/>
        </w:rPr>
        <w:t xml:space="preserve"> va</w:t>
      </w:r>
      <w:r w:rsidRPr="00DA5E5D">
        <w:rPr>
          <w:rFonts w:ascii="Arial" w:hAnsi="Arial" w:cs="Arial"/>
          <w:sz w:val="20"/>
          <w:szCs w:val="20"/>
        </w:rPr>
        <w:t xml:space="preserve"> revoir et moderniser sa politique de communication sur les aspects RSE, avec notamment :</w:t>
      </w:r>
    </w:p>
    <w:p w14:paraId="056C8D76" w14:textId="0D588E1B"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Un nouveau site internet</w:t>
      </w:r>
      <w:r w:rsidR="003B16A3">
        <w:rPr>
          <w:rFonts w:ascii="Arial" w:hAnsi="Arial" w:cs="Arial"/>
          <w:sz w:val="20"/>
          <w:szCs w:val="20"/>
        </w:rPr>
        <w:t xml:space="preserve"> mis en service début 2024 et en cours d’enrichissement</w:t>
      </w:r>
    </w:p>
    <w:p w14:paraId="307BABD4" w14:textId="442FAF0A"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Une démarche de communication renforcée sur la RSE</w:t>
      </w:r>
      <w:r w:rsidRPr="00655A0C">
        <w:rPr>
          <w:rFonts w:ascii="Arial" w:hAnsi="Arial" w:cs="Arial"/>
          <w:sz w:val="20"/>
          <w:szCs w:val="20"/>
        </w:rPr>
        <w:t xml:space="preserve"> </w:t>
      </w:r>
    </w:p>
    <w:p w14:paraId="137BB431" w14:textId="0BD43371"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Une communication spécifique vis-à-vis des parties prenantes</w:t>
      </w:r>
    </w:p>
    <w:p w14:paraId="0BBC7CEB" w14:textId="0E9DE781"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La publication annuelle d’un rapport extra-financier</w:t>
      </w:r>
      <w:r>
        <w:rPr>
          <w:rFonts w:ascii="Arial" w:hAnsi="Arial" w:cs="Arial"/>
          <w:sz w:val="20"/>
          <w:szCs w:val="20"/>
        </w:rPr>
        <w:t xml:space="preserve"> </w:t>
      </w:r>
    </w:p>
    <w:p w14:paraId="5910F0ED" w14:textId="3ADF3DC6"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Un plan de communication RSE</w:t>
      </w:r>
    </w:p>
    <w:p w14:paraId="79F79EB8" w14:textId="5A1A69DA" w:rsidR="00310608" w:rsidRPr="00DA5E5D" w:rsidRDefault="00310608" w:rsidP="00310608">
      <w:pPr>
        <w:pStyle w:val="Paragraphedeliste"/>
        <w:widowControl/>
        <w:numPr>
          <w:ilvl w:val="0"/>
          <w:numId w:val="16"/>
        </w:numPr>
        <w:contextualSpacing w:val="0"/>
        <w:rPr>
          <w:rFonts w:ascii="Arial" w:hAnsi="Arial" w:cs="Arial"/>
          <w:sz w:val="20"/>
          <w:szCs w:val="20"/>
        </w:rPr>
      </w:pPr>
      <w:r w:rsidRPr="00DA5E5D">
        <w:rPr>
          <w:rFonts w:ascii="Arial" w:hAnsi="Arial" w:cs="Arial"/>
          <w:sz w:val="20"/>
          <w:szCs w:val="20"/>
        </w:rPr>
        <w:t>La publication régulière de rapports de vigilance.</w:t>
      </w:r>
      <w:r w:rsidRPr="00655A0C">
        <w:rPr>
          <w:rFonts w:ascii="Arial" w:hAnsi="Arial" w:cs="Arial"/>
          <w:sz w:val="20"/>
          <w:szCs w:val="20"/>
        </w:rPr>
        <w:t xml:space="preserve"> </w:t>
      </w:r>
    </w:p>
    <w:p w14:paraId="2B90E4E4" w14:textId="6DC3958E" w:rsidR="00310608" w:rsidRPr="001568CD" w:rsidRDefault="00310608" w:rsidP="00310608">
      <w:pPr>
        <w:spacing w:before="240" w:after="0"/>
        <w:ind w:left="708"/>
        <w:jc w:val="both"/>
        <w:rPr>
          <w:rFonts w:ascii="Arial" w:hAnsi="Arial" w:cs="Arial"/>
          <w:i/>
          <w:iCs/>
          <w:color w:val="7030A0"/>
          <w:sz w:val="20"/>
          <w:szCs w:val="20"/>
        </w:rPr>
      </w:pPr>
      <w:r w:rsidRPr="001568CD">
        <w:rPr>
          <w:rFonts w:ascii="Arial" w:hAnsi="Arial" w:cs="Arial"/>
          <w:i/>
          <w:iCs/>
          <w:color w:val="7030A0"/>
          <w:sz w:val="20"/>
          <w:szCs w:val="20"/>
        </w:rPr>
        <w:sym w:font="Wingdings" w:char="F0E8"/>
      </w:r>
      <w:r w:rsidRPr="001568CD">
        <w:rPr>
          <w:rFonts w:ascii="Arial" w:hAnsi="Arial" w:cs="Arial"/>
          <w:i/>
          <w:iCs/>
          <w:color w:val="7030A0"/>
          <w:sz w:val="20"/>
          <w:szCs w:val="20"/>
        </w:rPr>
        <w:t xml:space="preserve"> Bilan du suivi de la recommandation n°</w:t>
      </w:r>
      <w:r>
        <w:rPr>
          <w:rFonts w:ascii="Arial" w:hAnsi="Arial" w:cs="Arial"/>
          <w:i/>
          <w:iCs/>
          <w:color w:val="7030A0"/>
          <w:sz w:val="20"/>
          <w:szCs w:val="20"/>
        </w:rPr>
        <w:t>5</w:t>
      </w:r>
      <w:r w:rsidRPr="001568CD">
        <w:rPr>
          <w:rFonts w:ascii="Arial" w:hAnsi="Arial" w:cs="Arial"/>
          <w:i/>
          <w:iCs/>
          <w:color w:val="7030A0"/>
          <w:sz w:val="20"/>
          <w:szCs w:val="20"/>
        </w:rPr>
        <w:t xml:space="preserve"> : </w:t>
      </w:r>
      <w:r w:rsidRPr="001568CD">
        <w:rPr>
          <w:rFonts w:ascii="Arial" w:hAnsi="Arial" w:cs="Arial"/>
          <w:i/>
          <w:iCs/>
          <w:color w:val="7030A0"/>
          <w:sz w:val="20"/>
          <w:szCs w:val="20"/>
          <w:lang w:eastAsia="fr-FR"/>
        </w:rPr>
        <w:t xml:space="preserve">Le PCN </w:t>
      </w:r>
      <w:r>
        <w:rPr>
          <w:rFonts w:ascii="Arial" w:hAnsi="Arial" w:cs="Arial"/>
          <w:i/>
          <w:iCs/>
          <w:color w:val="7030A0"/>
          <w:sz w:val="20"/>
          <w:szCs w:val="20"/>
          <w:lang w:eastAsia="fr-FR"/>
        </w:rPr>
        <w:t xml:space="preserve">constate que les progrès attendus tardent à se matérialiser alors que le Groupe COPAGEF est assujetti d’une part à la loi sur le devoir de </w:t>
      </w:r>
      <w:r w:rsidR="00A8078D">
        <w:rPr>
          <w:rFonts w:ascii="Arial" w:hAnsi="Arial" w:cs="Arial"/>
          <w:i/>
          <w:iCs/>
          <w:color w:val="7030A0"/>
          <w:sz w:val="20"/>
          <w:szCs w:val="20"/>
          <w:lang w:eastAsia="fr-FR"/>
        </w:rPr>
        <w:t>d</w:t>
      </w:r>
      <w:r>
        <w:rPr>
          <w:rFonts w:ascii="Arial" w:hAnsi="Arial" w:cs="Arial"/>
          <w:i/>
          <w:iCs/>
          <w:color w:val="7030A0"/>
          <w:sz w:val="20"/>
          <w:szCs w:val="20"/>
          <w:lang w:eastAsia="fr-FR"/>
        </w:rPr>
        <w:t>i</w:t>
      </w:r>
      <w:r w:rsidR="00A8078D">
        <w:rPr>
          <w:rFonts w:ascii="Arial" w:hAnsi="Arial" w:cs="Arial"/>
          <w:i/>
          <w:iCs/>
          <w:color w:val="7030A0"/>
          <w:sz w:val="20"/>
          <w:szCs w:val="20"/>
          <w:lang w:eastAsia="fr-FR"/>
        </w:rPr>
        <w:t>lige</w:t>
      </w:r>
      <w:r>
        <w:rPr>
          <w:rFonts w:ascii="Arial" w:hAnsi="Arial" w:cs="Arial"/>
          <w:i/>
          <w:iCs/>
          <w:color w:val="7030A0"/>
          <w:sz w:val="20"/>
          <w:szCs w:val="20"/>
          <w:lang w:eastAsia="fr-FR"/>
        </w:rPr>
        <w:t>nce et d’autre par</w:t>
      </w:r>
      <w:r w:rsidR="000C39AD">
        <w:rPr>
          <w:rFonts w:ascii="Arial" w:hAnsi="Arial" w:cs="Arial"/>
          <w:i/>
          <w:iCs/>
          <w:color w:val="7030A0"/>
          <w:sz w:val="20"/>
          <w:szCs w:val="20"/>
          <w:lang w:eastAsia="fr-FR"/>
        </w:rPr>
        <w:t>t</w:t>
      </w:r>
      <w:r>
        <w:rPr>
          <w:rFonts w:ascii="Arial" w:hAnsi="Arial" w:cs="Arial"/>
          <w:i/>
          <w:iCs/>
          <w:color w:val="7030A0"/>
          <w:sz w:val="20"/>
          <w:szCs w:val="20"/>
          <w:lang w:eastAsia="fr-FR"/>
        </w:rPr>
        <w:t xml:space="preserve"> aux obligations sur la publication d’information extra-financières. Le </w:t>
      </w:r>
      <w:r w:rsidRPr="00441B6E">
        <w:rPr>
          <w:rFonts w:ascii="Arial" w:hAnsi="Arial" w:cs="Arial"/>
          <w:i/>
          <w:iCs/>
          <w:color w:val="7030A0"/>
          <w:sz w:val="20"/>
          <w:szCs w:val="20"/>
          <w:lang w:eastAsia="fr-FR"/>
        </w:rPr>
        <w:t>PCN</w:t>
      </w:r>
      <w:r>
        <w:rPr>
          <w:rFonts w:ascii="Arial" w:hAnsi="Arial" w:cs="Arial"/>
          <w:i/>
          <w:iCs/>
          <w:color w:val="7030A0"/>
          <w:sz w:val="20"/>
          <w:szCs w:val="20"/>
          <w:lang w:eastAsia="fr-FR"/>
        </w:rPr>
        <w:t xml:space="preserve"> prend note que des nouvelles orientations auraient définies par SOMDIAA et SOSUCAM en matière de publication d’information relevant de la responsabilité sociale et environnementale de l’entreprise qui vont dans le sens de ses recommandations. Le PCN demande au groupe de le tenir informé du développement de ces travaux. </w:t>
      </w:r>
    </w:p>
    <w:p w14:paraId="70A9D5F8" w14:textId="77777777" w:rsidR="00310608" w:rsidRPr="001568CD" w:rsidRDefault="00310608" w:rsidP="00310608">
      <w:pPr>
        <w:spacing w:before="240" w:after="0"/>
        <w:jc w:val="center"/>
        <w:rPr>
          <w:rFonts w:ascii="Arial" w:hAnsi="Arial" w:cs="Arial"/>
          <w:color w:val="000000"/>
          <w:sz w:val="20"/>
          <w:szCs w:val="20"/>
        </w:rPr>
      </w:pPr>
      <w:r w:rsidRPr="001568CD">
        <w:rPr>
          <w:rFonts w:ascii="Arial" w:hAnsi="Arial" w:cs="Arial"/>
          <w:color w:val="000000"/>
          <w:sz w:val="20"/>
          <w:szCs w:val="20"/>
        </w:rPr>
        <w:t>***</w:t>
      </w:r>
    </w:p>
    <w:p w14:paraId="3E826E73" w14:textId="77777777" w:rsidR="00310608" w:rsidRDefault="00310608" w:rsidP="00310608">
      <w:pPr>
        <w:spacing w:before="240" w:after="0"/>
        <w:jc w:val="both"/>
        <w:rPr>
          <w:rFonts w:ascii="Arial" w:hAnsi="Arial" w:cs="Arial"/>
          <w:b/>
          <w:bCs/>
          <w:color w:val="000000"/>
          <w:sz w:val="20"/>
          <w:szCs w:val="20"/>
        </w:rPr>
      </w:pPr>
      <w:r w:rsidRPr="001568CD">
        <w:rPr>
          <w:rFonts w:ascii="Arial" w:hAnsi="Arial" w:cs="Arial"/>
          <w:b/>
          <w:bCs/>
          <w:color w:val="000000"/>
          <w:sz w:val="20"/>
          <w:szCs w:val="20"/>
        </w:rPr>
        <w:t>Le PCN</w:t>
      </w:r>
      <w:r>
        <w:rPr>
          <w:rFonts w:ascii="Arial" w:hAnsi="Arial" w:cs="Arial"/>
          <w:b/>
          <w:bCs/>
          <w:color w:val="000000"/>
          <w:sz w:val="20"/>
          <w:szCs w:val="20"/>
        </w:rPr>
        <w:t xml:space="preserve"> remercie les parties pour leur participation au suivi de la saisine. Il prend note des avancées présentées par les parties et les félicitent en particulier du lancement de l’étude d’impact social et environnemental de la SOSUCAM et de la reprise des plateformes de dialogue. Le PCN constate que ces actions sont en cours et que des actions additionnelles restent nécessaires pour une mise en œuvre de ces recommandations de 2022.</w:t>
      </w:r>
      <w:r w:rsidRPr="001568CD">
        <w:rPr>
          <w:rFonts w:ascii="Arial" w:hAnsi="Arial" w:cs="Arial"/>
          <w:b/>
          <w:bCs/>
          <w:color w:val="000000"/>
          <w:sz w:val="20"/>
          <w:szCs w:val="20"/>
        </w:rPr>
        <w:t xml:space="preserve"> </w:t>
      </w:r>
      <w:r>
        <w:rPr>
          <w:rFonts w:ascii="Arial" w:hAnsi="Arial" w:cs="Arial"/>
          <w:b/>
          <w:bCs/>
          <w:color w:val="000000"/>
          <w:sz w:val="20"/>
          <w:szCs w:val="20"/>
        </w:rPr>
        <w:t>Dans ce contexte, il invite les parties à revenir vers lui au cours des douze prochains mois pour le tenir informé notamment de i) la finalisation de l’audit social et environnemental de la SOSUCAM, ii) de la préparation et des résultats de l’analyse de l’eau, iii) de l’élaboration du futur PGES et en particulier des mesures de diligence concernant la qualité de l’eau et iv) sur la publication d’informations sur la SOSUCAM.</w:t>
      </w:r>
    </w:p>
    <w:p w14:paraId="58F023F0" w14:textId="275C81B8" w:rsidR="00B3656A" w:rsidRPr="001568CD" w:rsidRDefault="00310608" w:rsidP="00B934D0">
      <w:pPr>
        <w:spacing w:before="240" w:after="0"/>
        <w:jc w:val="both"/>
        <w:rPr>
          <w:rFonts w:ascii="Arial" w:hAnsi="Arial" w:cs="Arial"/>
          <w:sz w:val="20"/>
          <w:szCs w:val="20"/>
        </w:rPr>
      </w:pPr>
      <w:r>
        <w:rPr>
          <w:rFonts w:ascii="Arial" w:hAnsi="Arial" w:cs="Arial"/>
          <w:b/>
          <w:bCs/>
          <w:color w:val="000000"/>
          <w:sz w:val="20"/>
          <w:szCs w:val="20"/>
        </w:rPr>
        <w:t>Le PCN communiquera ultérieurement sur le résultat du suivi de cette circonstance spécifique.</w:t>
      </w:r>
    </w:p>
    <w:sectPr w:rsidR="00B3656A" w:rsidRPr="001568CD" w:rsidSect="00092A9C">
      <w:headerReference w:type="default" r:id="rId18"/>
      <w:footerReference w:type="default" r:id="rId19"/>
      <w:footerReference w:type="first" r:id="rId20"/>
      <w:pgSz w:w="11906" w:h="16838"/>
      <w:pgMar w:top="1440" w:right="1440" w:bottom="567" w:left="1440" w:header="426"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85CF" w14:textId="77777777" w:rsidR="00507F47" w:rsidRDefault="00507F47" w:rsidP="00D679E4">
      <w:pPr>
        <w:spacing w:after="0" w:line="240" w:lineRule="auto"/>
      </w:pPr>
      <w:r>
        <w:separator/>
      </w:r>
    </w:p>
  </w:endnote>
  <w:endnote w:type="continuationSeparator" w:id="0">
    <w:p w14:paraId="005B8D86" w14:textId="77777777" w:rsidR="00507F47" w:rsidRDefault="00507F47" w:rsidP="00D6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F196" w14:textId="3DFC75D7" w:rsidR="001A1C8E" w:rsidRDefault="001A1C8E">
    <w:pPr>
      <w:pStyle w:val="Pieddepage"/>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F88" w14:textId="6D4AF809" w:rsidR="00092A9C" w:rsidRDefault="00092A9C">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7813" w14:textId="77777777" w:rsidR="00507F47" w:rsidRDefault="00507F47" w:rsidP="00D679E4">
      <w:pPr>
        <w:spacing w:after="0" w:line="240" w:lineRule="auto"/>
      </w:pPr>
      <w:r>
        <w:separator/>
      </w:r>
    </w:p>
  </w:footnote>
  <w:footnote w:type="continuationSeparator" w:id="0">
    <w:p w14:paraId="71793E48" w14:textId="77777777" w:rsidR="00507F47" w:rsidRDefault="00507F47" w:rsidP="00D679E4">
      <w:pPr>
        <w:spacing w:after="0" w:line="240" w:lineRule="auto"/>
      </w:pPr>
      <w:r>
        <w:continuationSeparator/>
      </w:r>
    </w:p>
  </w:footnote>
  <w:footnote w:id="1">
    <w:p w14:paraId="7F3900BE" w14:textId="4E6CDC94" w:rsidR="00E06C39" w:rsidRDefault="00E06C39">
      <w:pPr>
        <w:pStyle w:val="Notedebasdepage"/>
      </w:pPr>
      <w:r>
        <w:rPr>
          <w:rStyle w:val="Appelnotedebasdep"/>
        </w:rPr>
        <w:footnoteRef/>
      </w:r>
      <w:r>
        <w:t xml:space="preserve"> La société </w:t>
      </w:r>
      <w:r w:rsidR="00A771B1">
        <w:t>COPAGEF</w:t>
      </w:r>
      <w:r>
        <w:t xml:space="preserve"> a été absorbée par la société </w:t>
      </w:r>
      <w:r w:rsidR="00A771B1">
        <w:t xml:space="preserve">anonyme de droit luxembourgeois, </w:t>
      </w:r>
      <w:r>
        <w:t>D</w:t>
      </w:r>
      <w:r w:rsidR="00A771B1">
        <w:t>.</w:t>
      </w:r>
      <w:r>
        <w:t>F</w:t>
      </w:r>
      <w:r w:rsidR="00A771B1">
        <w:t>.</w:t>
      </w:r>
      <w:r>
        <w:t xml:space="preserve"> Holding </w:t>
      </w:r>
      <w:r w:rsidR="00A771B1">
        <w:t>S.A.</w:t>
      </w:r>
      <w:r w:rsidR="00811F4C">
        <w:t xml:space="preserve"> (« </w:t>
      </w:r>
      <w:r w:rsidR="00811F4C" w:rsidRPr="00DB4BD9">
        <w:rPr>
          <w:b/>
          <w:bCs/>
        </w:rPr>
        <w:t>DF Holding</w:t>
      </w:r>
      <w:r w:rsidR="00811F4C">
        <w:t> »)</w:t>
      </w:r>
      <w:r w:rsidR="00A771B1">
        <w:t xml:space="preserve">, </w:t>
      </w:r>
      <w:r>
        <w:t xml:space="preserve">le 5 décembre 2022 (la société </w:t>
      </w:r>
      <w:r w:rsidR="00A771B1">
        <w:t>COPAGEF</w:t>
      </w:r>
      <w:r>
        <w:t xml:space="preserve"> </w:t>
      </w:r>
      <w:r w:rsidR="007E0CC3">
        <w:t xml:space="preserve">étant celle </w:t>
      </w:r>
      <w:r>
        <w:t>ayant fait l’objet de la saisine avec sa filiale S</w:t>
      </w:r>
      <w:r w:rsidR="00C9004B">
        <w:t>OMDIAA</w:t>
      </w:r>
      <w:r>
        <w:t xml:space="preserve"> en décembre 2020). </w:t>
      </w:r>
      <w:r w:rsidR="00811F4C">
        <w:t>A la date</w:t>
      </w:r>
      <w:r w:rsidR="00A771B1">
        <w:t xml:space="preserve"> de cette fusion</w:t>
      </w:r>
      <w:r w:rsidR="00811F4C">
        <w:t xml:space="preserve"> par absorption</w:t>
      </w:r>
      <w:r w:rsidR="00A771B1">
        <w:t>, tous les actifs et passifs de COPAGEF ont été transférés à DF Holding et COPAGEF a cessé d’exister.</w:t>
      </w:r>
      <w:r>
        <w:t xml:space="preserve"> </w:t>
      </w:r>
    </w:p>
  </w:footnote>
  <w:footnote w:id="2">
    <w:p w14:paraId="7F652B5C" w14:textId="16626AC6" w:rsidR="00E06C39" w:rsidRDefault="00E06C39">
      <w:pPr>
        <w:pStyle w:val="Notedebasdepage"/>
      </w:pPr>
      <w:r>
        <w:rPr>
          <w:rStyle w:val="Appelnotedebasdep"/>
        </w:rPr>
        <w:footnoteRef/>
      </w:r>
      <w:r>
        <w:t xml:space="preserve"> Depuis janvier 2024 « SOMDIAA » a communiqué sur son nouveau nom « </w:t>
      </w:r>
      <w:proofErr w:type="spellStart"/>
      <w:r>
        <w:t>Somdia</w:t>
      </w:r>
      <w:proofErr w:type="spellEnd"/>
      <w:r>
        <w:t> »</w:t>
      </w:r>
      <w:r w:rsidR="00792493">
        <w:t xml:space="preserve"> qui n’est plus un acronyme</w:t>
      </w:r>
      <w:r w:rsidR="007C06F0">
        <w:t xml:space="preserve"> depuis l’Assemblée Générale du 20 juin 202</w:t>
      </w:r>
      <w:r w:rsidR="00083E93">
        <w:t>3</w:t>
      </w:r>
      <w:r w:rsidR="00792493">
        <w:t xml:space="preserve">. </w:t>
      </w:r>
    </w:p>
  </w:footnote>
  <w:footnote w:id="3">
    <w:p w14:paraId="56832AC8" w14:textId="0409E5CE"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Style w:val="Appelnotedebasdep"/>
          <w:rFonts w:ascii="Arial" w:hAnsi="Arial" w:cs="Arial"/>
          <w:color w:val="000000" w:themeColor="text1"/>
          <w:sz w:val="16"/>
          <w:szCs w:val="16"/>
        </w:rPr>
        <w:footnoteRef/>
      </w:r>
      <w:r w:rsidRPr="00586907">
        <w:rPr>
          <w:rFonts w:ascii="Arial" w:hAnsi="Arial" w:cs="Arial"/>
          <w:color w:val="000000" w:themeColor="text1"/>
          <w:sz w:val="16"/>
          <w:szCs w:val="16"/>
        </w:rPr>
        <w:t xml:space="preserve"> D’octobre à mi-décembre 2022 :  Rédaction et Transmission du cahier des charges, publication d’un appel d’offre à l’attention des cabinets agré</w:t>
      </w:r>
      <w:r w:rsidR="00DB4B72" w:rsidRPr="00586907">
        <w:rPr>
          <w:rFonts w:ascii="Arial" w:hAnsi="Arial" w:cs="Arial"/>
          <w:color w:val="000000" w:themeColor="text1"/>
          <w:sz w:val="16"/>
          <w:szCs w:val="16"/>
        </w:rPr>
        <w:t>é</w:t>
      </w:r>
      <w:r w:rsidRPr="00586907">
        <w:rPr>
          <w:rFonts w:ascii="Arial" w:hAnsi="Arial" w:cs="Arial"/>
          <w:color w:val="000000" w:themeColor="text1"/>
          <w:sz w:val="16"/>
          <w:szCs w:val="16"/>
        </w:rPr>
        <w:t>s à la réalisation des AES, sélection d’un cabinet et signature d’un contrat d’un avec celui-ci ;</w:t>
      </w:r>
    </w:p>
    <w:p w14:paraId="010D24C2"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De mi-décembre 2022 à mi-janvier 2023 : Diffusion d’une note d’information à l’attention de l’ensemble des Parties Prenantes, réception du rapport de démarrage de l’AES produit par le cabinet retenu et soumission des Termes De Référence au MINEPDED pour approbation ;</w:t>
      </w:r>
    </w:p>
    <w:p w14:paraId="7047E1BE"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 xml:space="preserve">16 mars 2023 : lancement de la collecte des données </w:t>
      </w:r>
    </w:p>
    <w:p w14:paraId="10AC29DE"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21/03/23 : approbation TDR par le MINEPDED</w:t>
      </w:r>
    </w:p>
    <w:p w14:paraId="37CEE19F"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D’avril à juillet 2023 :  consultations publiques</w:t>
      </w:r>
    </w:p>
    <w:p w14:paraId="16B25E8A"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02/08/23 réception du 1</w:t>
      </w:r>
      <w:r w:rsidRPr="00586907">
        <w:rPr>
          <w:rFonts w:ascii="Arial" w:hAnsi="Arial" w:cs="Arial"/>
          <w:color w:val="000000" w:themeColor="text1"/>
          <w:sz w:val="16"/>
          <w:szCs w:val="16"/>
          <w:vertAlign w:val="superscript"/>
        </w:rPr>
        <w:t>er</w:t>
      </w:r>
      <w:r w:rsidRPr="00586907">
        <w:rPr>
          <w:rFonts w:ascii="Arial" w:hAnsi="Arial" w:cs="Arial"/>
          <w:color w:val="000000" w:themeColor="text1"/>
          <w:sz w:val="16"/>
          <w:szCs w:val="16"/>
        </w:rPr>
        <w:t xml:space="preserve"> draft du rapport de l’AES ;</w:t>
      </w:r>
    </w:p>
    <w:p w14:paraId="53E19C70"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 xml:space="preserve">Aout à novembre 2023 : Relecture et échanges avec le cabinet </w:t>
      </w:r>
    </w:p>
    <w:p w14:paraId="113B5965"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21 novembre 2023 : Adoption de la version finale</w:t>
      </w:r>
    </w:p>
    <w:p w14:paraId="2CE12FF7" w14:textId="77777777" w:rsidR="006114F1" w:rsidRPr="00586907" w:rsidRDefault="006114F1" w:rsidP="006114F1">
      <w:pPr>
        <w:pStyle w:val="Paragraphedeliste"/>
        <w:numPr>
          <w:ilvl w:val="0"/>
          <w:numId w:val="18"/>
        </w:numPr>
        <w:rPr>
          <w:rFonts w:ascii="Arial" w:hAnsi="Arial" w:cs="Arial"/>
          <w:color w:val="000000" w:themeColor="text1"/>
          <w:sz w:val="16"/>
          <w:szCs w:val="16"/>
        </w:rPr>
      </w:pPr>
      <w:r w:rsidRPr="00586907">
        <w:rPr>
          <w:rFonts w:ascii="Arial" w:hAnsi="Arial" w:cs="Arial"/>
          <w:color w:val="000000" w:themeColor="text1"/>
          <w:sz w:val="16"/>
          <w:szCs w:val="16"/>
        </w:rPr>
        <w:t xml:space="preserve">13 décembre 2023 : dépôt du rapport au MINEPDED. </w:t>
      </w:r>
    </w:p>
    <w:p w14:paraId="1CBF8B9A" w14:textId="55F9DA04" w:rsidR="006114F1" w:rsidRPr="00586907" w:rsidRDefault="006114F1">
      <w:pPr>
        <w:pStyle w:val="Notedebasdepage"/>
        <w:rPr>
          <w:rFonts w:ascii="Arial" w:hAnsi="Arial" w:cs="Arial"/>
          <w:color w:val="000000" w:themeColor="text1"/>
          <w:sz w:val="16"/>
          <w:szCs w:val="16"/>
        </w:rPr>
      </w:pPr>
    </w:p>
  </w:footnote>
  <w:footnote w:id="4">
    <w:p w14:paraId="293B5F6D" w14:textId="77777777" w:rsidR="00310608" w:rsidRDefault="00310608" w:rsidP="00310608">
      <w:pPr>
        <w:pStyle w:val="Notedebasdepage"/>
      </w:pPr>
      <w:r>
        <w:rPr>
          <w:rStyle w:val="Appelnotedebasdep"/>
        </w:rPr>
        <w:footnoteRef/>
      </w:r>
      <w:r>
        <w:t xml:space="preserve"> Pour en savoir plus « OECD Due Diligence Policy Hub » </w:t>
      </w:r>
      <w:hyperlink r:id="rId1" w:history="1">
        <w:r w:rsidRPr="004C6E9C">
          <w:rPr>
            <w:rStyle w:val="Lienhypertexte"/>
          </w:rPr>
          <w:t>https://mneguidelines.oecd.org/due-diligence-policy-hub.htm</w:t>
        </w:r>
      </w:hyperlink>
      <w:r>
        <w:t xml:space="preserve"> </w:t>
      </w:r>
    </w:p>
  </w:footnote>
  <w:footnote w:id="5">
    <w:p w14:paraId="65C8AACB" w14:textId="77777777" w:rsidR="00310608" w:rsidRPr="003D03FF" w:rsidRDefault="00310608" w:rsidP="00310608">
      <w:pPr>
        <w:pStyle w:val="Notedebasdepage"/>
        <w:rPr>
          <w:rFonts w:ascii="Arial" w:hAnsi="Arial" w:cs="Arial"/>
          <w:sz w:val="16"/>
          <w:szCs w:val="16"/>
        </w:rPr>
      </w:pPr>
      <w:r w:rsidRPr="003D03FF">
        <w:rPr>
          <w:rStyle w:val="Appelnotedebasdep"/>
          <w:rFonts w:ascii="Arial" w:hAnsi="Arial" w:cs="Arial"/>
          <w:sz w:val="16"/>
          <w:szCs w:val="16"/>
        </w:rPr>
        <w:footnoteRef/>
      </w:r>
      <w:hyperlink r:id="rId2" w:history="1">
        <w:r w:rsidRPr="003D03FF">
          <w:rPr>
            <w:rStyle w:val="Lienhypertexte"/>
            <w:rFonts w:ascii="Arial" w:hAnsi="Arial" w:cs="Arial"/>
            <w:sz w:val="16"/>
            <w:szCs w:val="16"/>
          </w:rPr>
          <w:t>https://www.oecd-ilibrary.org/agriculture-and-food/guide-ocde-fao-pour-des-filieres-agricoles-responsables_9789264264038-fr</w:t>
        </w:r>
      </w:hyperlink>
      <w:r w:rsidRPr="003D03FF">
        <w:rPr>
          <w:rFonts w:ascii="Arial" w:hAnsi="Arial" w:cs="Arial"/>
          <w:sz w:val="16"/>
          <w:szCs w:val="16"/>
        </w:rPr>
        <w:t xml:space="preserve"> </w:t>
      </w:r>
    </w:p>
  </w:footnote>
  <w:footnote w:id="6">
    <w:p w14:paraId="5E4D118D" w14:textId="77777777" w:rsidR="00310608" w:rsidRPr="003D03FF" w:rsidRDefault="00310608" w:rsidP="00310608">
      <w:pPr>
        <w:pStyle w:val="Notedebasdepage"/>
        <w:rPr>
          <w:rFonts w:ascii="Arial" w:hAnsi="Arial" w:cs="Arial"/>
          <w:sz w:val="16"/>
          <w:szCs w:val="16"/>
        </w:rPr>
      </w:pPr>
      <w:r w:rsidRPr="003D03FF">
        <w:rPr>
          <w:rStyle w:val="Appelnotedebasdep"/>
          <w:rFonts w:ascii="Arial" w:hAnsi="Arial" w:cs="Arial"/>
          <w:sz w:val="16"/>
          <w:szCs w:val="16"/>
        </w:rPr>
        <w:footnoteRef/>
      </w:r>
      <w:r w:rsidRPr="003D03FF">
        <w:rPr>
          <w:rFonts w:ascii="Arial" w:hAnsi="Arial" w:cs="Arial"/>
          <w:sz w:val="16"/>
          <w:szCs w:val="16"/>
        </w:rPr>
        <w:t xml:space="preserve"> Pour en savoir plus : </w:t>
      </w:r>
      <w:hyperlink r:id="rId3" w:history="1">
        <w:r w:rsidRPr="003D03FF">
          <w:rPr>
            <w:rStyle w:val="Lienhypertexte"/>
            <w:rFonts w:ascii="Arial" w:hAnsi="Arial" w:cs="Arial"/>
            <w:sz w:val="16"/>
            <w:szCs w:val="16"/>
          </w:rPr>
          <w:t>https://mneguidelines.oecd.org/rbc-agriculture-supply-chains.htm</w:t>
        </w:r>
      </w:hyperlink>
      <w:r w:rsidRPr="003D03F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0715" w14:textId="508B7EE4" w:rsidR="00092A9C" w:rsidRDefault="00092A9C">
    <w:pPr>
      <w:pStyle w:val="En-tte"/>
    </w:pPr>
    <w:r>
      <w:rPr>
        <w:noProof/>
        <w:lang w:eastAsia="fr-FR"/>
      </w:rPr>
      <w:drawing>
        <wp:inline distT="0" distB="0" distL="0" distR="0" wp14:anchorId="128FC354" wp14:editId="30452078">
          <wp:extent cx="5534025" cy="810895"/>
          <wp:effectExtent l="0" t="0" r="0" b="0"/>
          <wp:docPr id="7" name="Image 7" descr="MNE-FranceNCP3li-300dpi_17mar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MNE-FranceNCP3li-300dpi_17mars14"/>
                  <pic:cNvPicPr>
                    <a:picLocks noChangeAspect="1" noChangeArrowheads="1"/>
                  </pic:cNvPicPr>
                </pic:nvPicPr>
                <pic:blipFill>
                  <a:blip r:embed="rId1"/>
                  <a:stretch>
                    <a:fillRect/>
                  </a:stretch>
                </pic:blipFill>
                <pic:spPr bwMode="auto">
                  <a:xfrm>
                    <a:off x="0" y="0"/>
                    <a:ext cx="5534025" cy="810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1CE"/>
    <w:multiLevelType w:val="hybridMultilevel"/>
    <w:tmpl w:val="1542D606"/>
    <w:lvl w:ilvl="0" w:tplc="94E2422C">
      <w:start w:val="4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DA68EE"/>
    <w:multiLevelType w:val="hybridMultilevel"/>
    <w:tmpl w:val="E7229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80461"/>
    <w:multiLevelType w:val="hybridMultilevel"/>
    <w:tmpl w:val="E8A000C4"/>
    <w:lvl w:ilvl="0" w:tplc="A01E0F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A1521B"/>
    <w:multiLevelType w:val="hybridMultilevel"/>
    <w:tmpl w:val="7CC29BB4"/>
    <w:lvl w:ilvl="0" w:tplc="F27AB862">
      <w:start w:val="1"/>
      <w:numFmt w:val="decimal"/>
      <w:pStyle w:val="Para"/>
      <w:lvlText w:val="%1."/>
      <w:lvlJc w:val="left"/>
      <w:pPr>
        <w:tabs>
          <w:tab w:val="num" w:pos="720"/>
        </w:tabs>
        <w:ind w:left="0" w:firstLine="0"/>
      </w:pPr>
      <w:rPr>
        <w:rFonts w:hint="default"/>
        <w:b w:val="0"/>
        <w:i w:val="0"/>
        <w:strike w:val="0"/>
        <w:color w:val="auto"/>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2E7E516C"/>
    <w:multiLevelType w:val="hybridMultilevel"/>
    <w:tmpl w:val="D40E9BBA"/>
    <w:lvl w:ilvl="0" w:tplc="AC20C3DE">
      <w:numFmt w:val="decimal"/>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3132D9C"/>
    <w:multiLevelType w:val="hybridMultilevel"/>
    <w:tmpl w:val="CA442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2F32CF"/>
    <w:multiLevelType w:val="hybridMultilevel"/>
    <w:tmpl w:val="7AC8A6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4C0AEF"/>
    <w:multiLevelType w:val="hybridMultilevel"/>
    <w:tmpl w:val="B100CDBE"/>
    <w:lvl w:ilvl="0" w:tplc="D58253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817341"/>
    <w:multiLevelType w:val="multilevel"/>
    <w:tmpl w:val="A11E6E0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478"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A625A"/>
    <w:multiLevelType w:val="hybridMultilevel"/>
    <w:tmpl w:val="E2EAC3EE"/>
    <w:lvl w:ilvl="0" w:tplc="3D38203C">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start w:val="1"/>
      <w:numFmt w:val="bullet"/>
      <w:lvlText w:val=""/>
      <w:lvlJc w:val="left"/>
      <w:pPr>
        <w:ind w:left="5454" w:hanging="360"/>
      </w:pPr>
      <w:rPr>
        <w:rFonts w:ascii="Wingdings" w:hAnsi="Wingdings" w:hint="default"/>
      </w:rPr>
    </w:lvl>
    <w:lvl w:ilvl="6" w:tplc="040C0001">
      <w:start w:val="1"/>
      <w:numFmt w:val="bullet"/>
      <w:lvlText w:val=""/>
      <w:lvlJc w:val="left"/>
      <w:pPr>
        <w:ind w:left="6174" w:hanging="360"/>
      </w:pPr>
      <w:rPr>
        <w:rFonts w:ascii="Symbol" w:hAnsi="Symbol" w:hint="default"/>
      </w:rPr>
    </w:lvl>
    <w:lvl w:ilvl="7" w:tplc="040C0003">
      <w:start w:val="1"/>
      <w:numFmt w:val="bullet"/>
      <w:lvlText w:val="o"/>
      <w:lvlJc w:val="left"/>
      <w:pPr>
        <w:ind w:left="6894" w:hanging="360"/>
      </w:pPr>
      <w:rPr>
        <w:rFonts w:ascii="Courier New" w:hAnsi="Courier New" w:cs="Courier New" w:hint="default"/>
      </w:rPr>
    </w:lvl>
    <w:lvl w:ilvl="8" w:tplc="040C0005">
      <w:start w:val="1"/>
      <w:numFmt w:val="bullet"/>
      <w:lvlText w:val=""/>
      <w:lvlJc w:val="left"/>
      <w:pPr>
        <w:ind w:left="7614" w:hanging="360"/>
      </w:pPr>
      <w:rPr>
        <w:rFonts w:ascii="Wingdings" w:hAnsi="Wingdings" w:hint="default"/>
      </w:rPr>
    </w:lvl>
  </w:abstractNum>
  <w:abstractNum w:abstractNumId="10" w15:restartNumberingAfterBreak="0">
    <w:nsid w:val="4124503B"/>
    <w:multiLevelType w:val="hybridMultilevel"/>
    <w:tmpl w:val="B7026BA4"/>
    <w:lvl w:ilvl="0" w:tplc="87F4FF6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FB4AE7"/>
    <w:multiLevelType w:val="hybridMultilevel"/>
    <w:tmpl w:val="A0F0C3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76726A"/>
    <w:multiLevelType w:val="hybridMultilevel"/>
    <w:tmpl w:val="5F2A4948"/>
    <w:lvl w:ilvl="0" w:tplc="E182E5C2">
      <w:start w:val="1"/>
      <w:numFmt w:val="bullet"/>
      <w:pStyle w:val="BulletedList"/>
      <w:lvlText w:val=""/>
      <w:lvlJc w:val="left"/>
      <w:pPr>
        <w:ind w:left="680" w:hanging="340"/>
      </w:pPr>
      <w:rPr>
        <w:rFonts w:ascii="Symbol" w:hAnsi="Symbol" w:hint="default"/>
        <w:color w:val="auto"/>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521547E4"/>
    <w:multiLevelType w:val="hybridMultilevel"/>
    <w:tmpl w:val="534E5262"/>
    <w:lvl w:ilvl="0" w:tplc="2D662F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29471E"/>
    <w:multiLevelType w:val="hybridMultilevel"/>
    <w:tmpl w:val="DC1010DC"/>
    <w:lvl w:ilvl="0" w:tplc="C59A4D96">
      <w:start w:val="1"/>
      <w:numFmt w:val="decimal"/>
      <w:lvlText w:val="%1."/>
      <w:lvlJc w:val="left"/>
      <w:pPr>
        <w:ind w:left="720" w:hanging="360"/>
      </w:pPr>
      <w:rPr>
        <w:rFonts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A32333"/>
    <w:multiLevelType w:val="hybridMultilevel"/>
    <w:tmpl w:val="1F2ADC0A"/>
    <w:lvl w:ilvl="0" w:tplc="C5D86B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2"/>
  </w:num>
  <w:num w:numId="5">
    <w:abstractNumId w:val="12"/>
  </w:num>
  <w:num w:numId="6">
    <w:abstractNumId w:val="3"/>
  </w:num>
  <w:num w:numId="7">
    <w:abstractNumId w:val="2"/>
  </w:num>
  <w:num w:numId="8">
    <w:abstractNumId w:val="13"/>
  </w:num>
  <w:num w:numId="9">
    <w:abstractNumId w:val="6"/>
  </w:num>
  <w:num w:numId="10">
    <w:abstractNumId w:val="9"/>
  </w:num>
  <w:num w:numId="11">
    <w:abstractNumId w:val="11"/>
  </w:num>
  <w:num w:numId="12">
    <w:abstractNumId w:val="7"/>
  </w:num>
  <w:num w:numId="13">
    <w:abstractNumId w:val="8"/>
  </w:num>
  <w:num w:numId="14">
    <w:abstractNumId w:val="5"/>
  </w:num>
  <w:num w:numId="15">
    <w:abstractNumId w:val="14"/>
  </w:num>
  <w:num w:numId="16">
    <w:abstractNumId w:val="15"/>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E4"/>
    <w:rsid w:val="00007EA0"/>
    <w:rsid w:val="000258DA"/>
    <w:rsid w:val="0002683F"/>
    <w:rsid w:val="00032A11"/>
    <w:rsid w:val="00040FC8"/>
    <w:rsid w:val="000426F8"/>
    <w:rsid w:val="00046D63"/>
    <w:rsid w:val="0006108E"/>
    <w:rsid w:val="00083E93"/>
    <w:rsid w:val="00092A9C"/>
    <w:rsid w:val="00096D07"/>
    <w:rsid w:val="00097EAF"/>
    <w:rsid w:val="00097FD0"/>
    <w:rsid w:val="000A199A"/>
    <w:rsid w:val="000B5B2A"/>
    <w:rsid w:val="000B6D07"/>
    <w:rsid w:val="000C3513"/>
    <w:rsid w:val="000C39AD"/>
    <w:rsid w:val="000D1805"/>
    <w:rsid w:val="000E03BE"/>
    <w:rsid w:val="000E74D3"/>
    <w:rsid w:val="000F268F"/>
    <w:rsid w:val="000F6723"/>
    <w:rsid w:val="001043F2"/>
    <w:rsid w:val="001136E5"/>
    <w:rsid w:val="00114FF5"/>
    <w:rsid w:val="001273C4"/>
    <w:rsid w:val="00140128"/>
    <w:rsid w:val="001450A9"/>
    <w:rsid w:val="001504CE"/>
    <w:rsid w:val="0015440F"/>
    <w:rsid w:val="00171079"/>
    <w:rsid w:val="00180BBE"/>
    <w:rsid w:val="00185272"/>
    <w:rsid w:val="0019047D"/>
    <w:rsid w:val="00194EF1"/>
    <w:rsid w:val="001A1C8E"/>
    <w:rsid w:val="001E4E65"/>
    <w:rsid w:val="00211FDC"/>
    <w:rsid w:val="002251D3"/>
    <w:rsid w:val="00246A33"/>
    <w:rsid w:val="00247CEE"/>
    <w:rsid w:val="002540F2"/>
    <w:rsid w:val="00261B15"/>
    <w:rsid w:val="00263856"/>
    <w:rsid w:val="00292969"/>
    <w:rsid w:val="002A2FFA"/>
    <w:rsid w:val="002A34DF"/>
    <w:rsid w:val="002B3F1A"/>
    <w:rsid w:val="002B7D9E"/>
    <w:rsid w:val="002E333C"/>
    <w:rsid w:val="002F0871"/>
    <w:rsid w:val="002F5BD7"/>
    <w:rsid w:val="00310608"/>
    <w:rsid w:val="0031564C"/>
    <w:rsid w:val="00321900"/>
    <w:rsid w:val="00325EBC"/>
    <w:rsid w:val="003413A0"/>
    <w:rsid w:val="0034554E"/>
    <w:rsid w:val="00353A2E"/>
    <w:rsid w:val="00360ECC"/>
    <w:rsid w:val="00366388"/>
    <w:rsid w:val="00367969"/>
    <w:rsid w:val="003810A2"/>
    <w:rsid w:val="00381290"/>
    <w:rsid w:val="00382D7D"/>
    <w:rsid w:val="00395782"/>
    <w:rsid w:val="003971C1"/>
    <w:rsid w:val="003B16A3"/>
    <w:rsid w:val="003C7650"/>
    <w:rsid w:val="003D124B"/>
    <w:rsid w:val="003F7691"/>
    <w:rsid w:val="00400AB7"/>
    <w:rsid w:val="00402493"/>
    <w:rsid w:val="004163E6"/>
    <w:rsid w:val="004172BE"/>
    <w:rsid w:val="00417C5D"/>
    <w:rsid w:val="00417D21"/>
    <w:rsid w:val="00422A13"/>
    <w:rsid w:val="00435BB3"/>
    <w:rsid w:val="0044387D"/>
    <w:rsid w:val="00450ACA"/>
    <w:rsid w:val="0046698B"/>
    <w:rsid w:val="0048411E"/>
    <w:rsid w:val="004852D1"/>
    <w:rsid w:val="00485E7E"/>
    <w:rsid w:val="004A1AA0"/>
    <w:rsid w:val="004B5D44"/>
    <w:rsid w:val="004C114F"/>
    <w:rsid w:val="004C731F"/>
    <w:rsid w:val="004D5BB4"/>
    <w:rsid w:val="004E71A0"/>
    <w:rsid w:val="00507F47"/>
    <w:rsid w:val="00515CFC"/>
    <w:rsid w:val="0052281B"/>
    <w:rsid w:val="005328BB"/>
    <w:rsid w:val="0053643A"/>
    <w:rsid w:val="00545470"/>
    <w:rsid w:val="00545899"/>
    <w:rsid w:val="00554643"/>
    <w:rsid w:val="00556238"/>
    <w:rsid w:val="00561F41"/>
    <w:rsid w:val="00586907"/>
    <w:rsid w:val="005914DE"/>
    <w:rsid w:val="005922AF"/>
    <w:rsid w:val="00597627"/>
    <w:rsid w:val="005A5A95"/>
    <w:rsid w:val="005B696C"/>
    <w:rsid w:val="005D569E"/>
    <w:rsid w:val="005E2BC3"/>
    <w:rsid w:val="006114F1"/>
    <w:rsid w:val="00616EB9"/>
    <w:rsid w:val="00616F23"/>
    <w:rsid w:val="00623444"/>
    <w:rsid w:val="0063134E"/>
    <w:rsid w:val="00687B0D"/>
    <w:rsid w:val="0069280E"/>
    <w:rsid w:val="006A1955"/>
    <w:rsid w:val="006A7890"/>
    <w:rsid w:val="006A7B7D"/>
    <w:rsid w:val="006B1792"/>
    <w:rsid w:val="006D1D55"/>
    <w:rsid w:val="006D2282"/>
    <w:rsid w:val="006F6DE4"/>
    <w:rsid w:val="0071418A"/>
    <w:rsid w:val="00716BEE"/>
    <w:rsid w:val="00721F1F"/>
    <w:rsid w:val="0073327F"/>
    <w:rsid w:val="00741FB6"/>
    <w:rsid w:val="00744743"/>
    <w:rsid w:val="007468B4"/>
    <w:rsid w:val="00753441"/>
    <w:rsid w:val="00760B75"/>
    <w:rsid w:val="007762F5"/>
    <w:rsid w:val="00776B8E"/>
    <w:rsid w:val="00792493"/>
    <w:rsid w:val="00797A9E"/>
    <w:rsid w:val="007A1F60"/>
    <w:rsid w:val="007B05A4"/>
    <w:rsid w:val="007C06F0"/>
    <w:rsid w:val="007C3D11"/>
    <w:rsid w:val="007C6775"/>
    <w:rsid w:val="007D47CA"/>
    <w:rsid w:val="007D7CF6"/>
    <w:rsid w:val="007E0CC3"/>
    <w:rsid w:val="007E78B7"/>
    <w:rsid w:val="008066CA"/>
    <w:rsid w:val="00811F4C"/>
    <w:rsid w:val="0084522B"/>
    <w:rsid w:val="0085010A"/>
    <w:rsid w:val="00857D40"/>
    <w:rsid w:val="00866A16"/>
    <w:rsid w:val="00876656"/>
    <w:rsid w:val="00881F6C"/>
    <w:rsid w:val="008A1F43"/>
    <w:rsid w:val="008A5E76"/>
    <w:rsid w:val="008B425D"/>
    <w:rsid w:val="008B7FF4"/>
    <w:rsid w:val="008C02AD"/>
    <w:rsid w:val="008C31C7"/>
    <w:rsid w:val="008C3BE2"/>
    <w:rsid w:val="008C4E07"/>
    <w:rsid w:val="008D2797"/>
    <w:rsid w:val="00900712"/>
    <w:rsid w:val="00935035"/>
    <w:rsid w:val="0093606A"/>
    <w:rsid w:val="009562E4"/>
    <w:rsid w:val="009602FB"/>
    <w:rsid w:val="00961813"/>
    <w:rsid w:val="00981ED4"/>
    <w:rsid w:val="00986669"/>
    <w:rsid w:val="009936AA"/>
    <w:rsid w:val="009A327B"/>
    <w:rsid w:val="009B5A1F"/>
    <w:rsid w:val="009E41A4"/>
    <w:rsid w:val="00A1252F"/>
    <w:rsid w:val="00A13297"/>
    <w:rsid w:val="00A135E3"/>
    <w:rsid w:val="00A176F5"/>
    <w:rsid w:val="00A2585A"/>
    <w:rsid w:val="00A25F16"/>
    <w:rsid w:val="00A266A1"/>
    <w:rsid w:val="00A26D7C"/>
    <w:rsid w:val="00A31FB3"/>
    <w:rsid w:val="00A34AA5"/>
    <w:rsid w:val="00A4012B"/>
    <w:rsid w:val="00A4785B"/>
    <w:rsid w:val="00A636CB"/>
    <w:rsid w:val="00A771B1"/>
    <w:rsid w:val="00A8078D"/>
    <w:rsid w:val="00A84D8E"/>
    <w:rsid w:val="00A95902"/>
    <w:rsid w:val="00A977F7"/>
    <w:rsid w:val="00AA25B6"/>
    <w:rsid w:val="00AA6B83"/>
    <w:rsid w:val="00AC1E8C"/>
    <w:rsid w:val="00AE10F6"/>
    <w:rsid w:val="00AF16CF"/>
    <w:rsid w:val="00AF4DF3"/>
    <w:rsid w:val="00B0561A"/>
    <w:rsid w:val="00B16FDE"/>
    <w:rsid w:val="00B216F7"/>
    <w:rsid w:val="00B23281"/>
    <w:rsid w:val="00B3656A"/>
    <w:rsid w:val="00B473DF"/>
    <w:rsid w:val="00B61BC7"/>
    <w:rsid w:val="00B677BC"/>
    <w:rsid w:val="00B74DBE"/>
    <w:rsid w:val="00B934D0"/>
    <w:rsid w:val="00B94D70"/>
    <w:rsid w:val="00B964CA"/>
    <w:rsid w:val="00BA0027"/>
    <w:rsid w:val="00BB05A1"/>
    <w:rsid w:val="00BB524E"/>
    <w:rsid w:val="00BC5F0B"/>
    <w:rsid w:val="00BC736F"/>
    <w:rsid w:val="00BE6E41"/>
    <w:rsid w:val="00BF0E68"/>
    <w:rsid w:val="00BF34CF"/>
    <w:rsid w:val="00BF7E69"/>
    <w:rsid w:val="00C24851"/>
    <w:rsid w:val="00C3412A"/>
    <w:rsid w:val="00C36A89"/>
    <w:rsid w:val="00C5420D"/>
    <w:rsid w:val="00C64AF4"/>
    <w:rsid w:val="00C7381E"/>
    <w:rsid w:val="00C9004B"/>
    <w:rsid w:val="00C936B5"/>
    <w:rsid w:val="00C968AF"/>
    <w:rsid w:val="00CA4F04"/>
    <w:rsid w:val="00CC4AEF"/>
    <w:rsid w:val="00CE7C80"/>
    <w:rsid w:val="00CF21FF"/>
    <w:rsid w:val="00CF456F"/>
    <w:rsid w:val="00CF49F2"/>
    <w:rsid w:val="00D00464"/>
    <w:rsid w:val="00D05B92"/>
    <w:rsid w:val="00D24420"/>
    <w:rsid w:val="00D35A2F"/>
    <w:rsid w:val="00D53010"/>
    <w:rsid w:val="00D61383"/>
    <w:rsid w:val="00D679E4"/>
    <w:rsid w:val="00D67C34"/>
    <w:rsid w:val="00D771B2"/>
    <w:rsid w:val="00D778C1"/>
    <w:rsid w:val="00D85CCC"/>
    <w:rsid w:val="00D97C66"/>
    <w:rsid w:val="00DA09F3"/>
    <w:rsid w:val="00DA5E5D"/>
    <w:rsid w:val="00DB3352"/>
    <w:rsid w:val="00DB4B72"/>
    <w:rsid w:val="00DB4BD9"/>
    <w:rsid w:val="00DB7996"/>
    <w:rsid w:val="00DC05D3"/>
    <w:rsid w:val="00DD0885"/>
    <w:rsid w:val="00DD6EC3"/>
    <w:rsid w:val="00DF062E"/>
    <w:rsid w:val="00DF708B"/>
    <w:rsid w:val="00E00E39"/>
    <w:rsid w:val="00E06C39"/>
    <w:rsid w:val="00E234E2"/>
    <w:rsid w:val="00E42E53"/>
    <w:rsid w:val="00E53643"/>
    <w:rsid w:val="00E53833"/>
    <w:rsid w:val="00E63569"/>
    <w:rsid w:val="00E74AE5"/>
    <w:rsid w:val="00E80BBB"/>
    <w:rsid w:val="00E827B8"/>
    <w:rsid w:val="00E9262A"/>
    <w:rsid w:val="00EA7C14"/>
    <w:rsid w:val="00ED7154"/>
    <w:rsid w:val="00EF014E"/>
    <w:rsid w:val="00EF5323"/>
    <w:rsid w:val="00F00D78"/>
    <w:rsid w:val="00F05755"/>
    <w:rsid w:val="00F10D83"/>
    <w:rsid w:val="00F14E1E"/>
    <w:rsid w:val="00F83EF2"/>
    <w:rsid w:val="00F971AD"/>
    <w:rsid w:val="00FA4D1E"/>
    <w:rsid w:val="00FC0B2C"/>
    <w:rsid w:val="00FC18DD"/>
    <w:rsid w:val="00FD158C"/>
    <w:rsid w:val="00FE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FA69"/>
  <w15:chartTrackingRefBased/>
  <w15:docId w15:val="{F96C888F-3138-46D8-9BB8-7E6A093E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1AA0"/>
    <w:pPr>
      <w:keepNext/>
      <w:keepLines/>
      <w:shd w:val="clear" w:color="auto" w:fill="B4C6E7" w:themeFill="accent5" w:themeFillTint="66"/>
      <w:spacing w:before="240" w:after="0"/>
      <w:outlineLvl w:val="0"/>
    </w:pPr>
    <w:rPr>
      <w:rFonts w:ascii="Arial" w:eastAsiaTheme="majorEastAsia" w:hAnsi="Arial" w:cstheme="majorBidi"/>
      <w:b/>
      <w:bCs/>
      <w:color w:val="7030A0"/>
      <w:sz w:val="26"/>
      <w:szCs w:val="26"/>
    </w:rPr>
  </w:style>
  <w:style w:type="paragraph" w:styleId="Titre2">
    <w:name w:val="heading 2"/>
    <w:basedOn w:val="Normal"/>
    <w:next w:val="Normal"/>
    <w:link w:val="Titre2Car"/>
    <w:uiPriority w:val="7"/>
    <w:unhideWhenUsed/>
    <w:qFormat/>
    <w:rsid w:val="00D67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679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7">
    <w:name w:val="heading 7"/>
    <w:basedOn w:val="Normal"/>
    <w:next w:val="Normal"/>
    <w:link w:val="Titre7Car"/>
    <w:uiPriority w:val="9"/>
    <w:semiHidden/>
    <w:unhideWhenUsed/>
    <w:qFormat/>
    <w:rsid w:val="00D679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1AA0"/>
    <w:rPr>
      <w:rFonts w:ascii="Arial" w:eastAsiaTheme="majorEastAsia" w:hAnsi="Arial" w:cstheme="majorBidi"/>
      <w:b/>
      <w:bCs/>
      <w:color w:val="7030A0"/>
      <w:sz w:val="26"/>
      <w:szCs w:val="26"/>
      <w:shd w:val="clear" w:color="auto" w:fill="B4C6E7" w:themeFill="accent5" w:themeFillTint="66"/>
    </w:rPr>
  </w:style>
  <w:style w:type="character" w:customStyle="1" w:styleId="Titre2Car">
    <w:name w:val="Titre 2 Car"/>
    <w:basedOn w:val="Policepardfaut"/>
    <w:link w:val="Titre2"/>
    <w:uiPriority w:val="7"/>
    <w:rsid w:val="00D679E4"/>
    <w:rPr>
      <w:rFonts w:asciiTheme="majorHAnsi" w:eastAsiaTheme="majorEastAsia" w:hAnsiTheme="majorHAnsi" w:cstheme="majorBidi"/>
      <w:color w:val="2E74B5" w:themeColor="accent1" w:themeShade="BF"/>
      <w:sz w:val="26"/>
      <w:szCs w:val="26"/>
    </w:rPr>
  </w:style>
  <w:style w:type="paragraph" w:customStyle="1" w:styleId="Para0">
    <w:name w:val="Para"/>
    <w:link w:val="ParaChar"/>
    <w:uiPriority w:val="4"/>
    <w:qFormat/>
    <w:rsid w:val="00D679E4"/>
    <w:pPr>
      <w:spacing w:before="120" w:after="120" w:line="260" w:lineRule="atLeast"/>
      <w:jc w:val="both"/>
    </w:pPr>
    <w:rPr>
      <w:color w:val="000000" w:themeColor="text1"/>
      <w:sz w:val="20"/>
    </w:rPr>
  </w:style>
  <w:style w:type="character" w:customStyle="1" w:styleId="ParaChar">
    <w:name w:val="Para Char"/>
    <w:basedOn w:val="Policepardfaut"/>
    <w:link w:val="Para0"/>
    <w:uiPriority w:val="4"/>
    <w:rsid w:val="00D679E4"/>
    <w:rPr>
      <w:color w:val="000000" w:themeColor="text1"/>
      <w:sz w:val="20"/>
    </w:rPr>
  </w:style>
  <w:style w:type="paragraph" w:customStyle="1" w:styleId="Para">
    <w:name w:val="Para #"/>
    <w:basedOn w:val="Normal"/>
    <w:uiPriority w:val="4"/>
    <w:qFormat/>
    <w:rsid w:val="00D679E4"/>
    <w:pPr>
      <w:numPr>
        <w:numId w:val="1"/>
      </w:numPr>
      <w:spacing w:before="120" w:after="120" w:line="260" w:lineRule="atLeast"/>
      <w:jc w:val="both"/>
    </w:pPr>
    <w:rPr>
      <w:sz w:val="20"/>
    </w:rPr>
  </w:style>
  <w:style w:type="paragraph" w:customStyle="1" w:styleId="NumberedList">
    <w:name w:val="Numbered List"/>
    <w:uiPriority w:val="12"/>
    <w:qFormat/>
    <w:rsid w:val="00D679E4"/>
    <w:pPr>
      <w:spacing w:after="60" w:line="260" w:lineRule="exact"/>
      <w:jc w:val="both"/>
    </w:pPr>
    <w:rPr>
      <w:color w:val="000000" w:themeColor="text1"/>
      <w:sz w:val="20"/>
    </w:rPr>
  </w:style>
  <w:style w:type="paragraph" w:styleId="Lgende">
    <w:name w:val="caption"/>
    <w:next w:val="Normal"/>
    <w:uiPriority w:val="35"/>
    <w:unhideWhenUsed/>
    <w:rsid w:val="00D679E4"/>
    <w:pPr>
      <w:keepNext/>
      <w:spacing w:before="360" w:after="180" w:line="280" w:lineRule="exact"/>
    </w:pPr>
    <w:rPr>
      <w:rFonts w:asciiTheme="majorHAnsi" w:hAnsiTheme="majorHAnsi"/>
      <w:b/>
      <w:iCs/>
      <w:color w:val="5B9BD5" w:themeColor="accent1"/>
      <w:sz w:val="24"/>
      <w:szCs w:val="18"/>
    </w:rPr>
  </w:style>
  <w:style w:type="paragraph" w:customStyle="1" w:styleId="Sourcenotes">
    <w:name w:val="Source &amp; notes"/>
    <w:uiPriority w:val="16"/>
    <w:qFormat/>
    <w:rsid w:val="00D679E4"/>
    <w:pPr>
      <w:keepLines/>
      <w:spacing w:before="120" w:after="360" w:line="220" w:lineRule="exact"/>
      <w:contextualSpacing/>
      <w:jc w:val="both"/>
    </w:pPr>
    <w:rPr>
      <w:rFonts w:asciiTheme="majorHAnsi" w:hAnsiTheme="majorHAnsi"/>
      <w:color w:val="000000" w:themeColor="text1"/>
      <w:sz w:val="18"/>
    </w:rPr>
  </w:style>
  <w:style w:type="table" w:styleId="Grilledutableau">
    <w:name w:val="Table Grid"/>
    <w:basedOn w:val="TableauNormal"/>
    <w:uiPriority w:val="59"/>
    <w:rsid w:val="00D6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79E4"/>
    <w:rPr>
      <w:color w:val="0563C1" w:themeColor="hyperlink"/>
      <w:u w:val="single"/>
    </w:rPr>
  </w:style>
  <w:style w:type="table" w:styleId="Grilledetableauclaire">
    <w:name w:val="Grid Table Light"/>
    <w:basedOn w:val="TableauNormal"/>
    <w:uiPriority w:val="40"/>
    <w:rsid w:val="00D679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basedOn w:val="Policepardfaut"/>
    <w:link w:val="Titre3"/>
    <w:uiPriority w:val="9"/>
    <w:rsid w:val="00D679E4"/>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D679E4"/>
    <w:rPr>
      <w:rFonts w:asciiTheme="majorHAnsi" w:eastAsiaTheme="majorEastAsia" w:hAnsiTheme="majorHAnsi" w:cstheme="majorBidi"/>
      <w:i/>
      <w:iCs/>
      <w:color w:val="1F4D78" w:themeColor="accent1" w:themeShade="7F"/>
    </w:rPr>
  </w:style>
  <w:style w:type="paragraph" w:customStyle="1" w:styleId="BulletedList">
    <w:name w:val="Bulleted List"/>
    <w:uiPriority w:val="12"/>
    <w:qFormat/>
    <w:rsid w:val="00D679E4"/>
    <w:pPr>
      <w:numPr>
        <w:numId w:val="4"/>
      </w:numPr>
      <w:spacing w:after="60" w:line="260" w:lineRule="exact"/>
      <w:jc w:val="both"/>
    </w:pPr>
    <w:rPr>
      <w:color w:val="000000" w:themeColor="text1"/>
      <w:sz w:val="20"/>
    </w:rPr>
  </w:style>
  <w:style w:type="paragraph" w:styleId="Paragraphedeliste">
    <w:name w:val="List Paragraph"/>
    <w:basedOn w:val="Normal"/>
    <w:uiPriority w:val="34"/>
    <w:qFormat/>
    <w:rsid w:val="00D679E4"/>
    <w:pPr>
      <w:widowControl w:val="0"/>
      <w:spacing w:after="0" w:line="240" w:lineRule="auto"/>
      <w:ind w:left="720"/>
      <w:contextualSpacing/>
      <w:jc w:val="both"/>
    </w:pPr>
  </w:style>
  <w:style w:type="paragraph" w:styleId="Notedebasdepage">
    <w:name w:val="footnote text"/>
    <w:link w:val="NotedebasdepageCar"/>
    <w:unhideWhenUsed/>
    <w:rsid w:val="00D679E4"/>
    <w:pPr>
      <w:spacing w:after="120" w:line="240" w:lineRule="exact"/>
      <w:jc w:val="both"/>
    </w:pPr>
    <w:rPr>
      <w:sz w:val="18"/>
      <w:szCs w:val="20"/>
    </w:rPr>
  </w:style>
  <w:style w:type="character" w:customStyle="1" w:styleId="NotedebasdepageCar">
    <w:name w:val="Note de bas de page Car"/>
    <w:basedOn w:val="Policepardfaut"/>
    <w:link w:val="Notedebasdepage"/>
    <w:rsid w:val="00D679E4"/>
    <w:rPr>
      <w:sz w:val="18"/>
      <w:szCs w:val="20"/>
    </w:rPr>
  </w:style>
  <w:style w:type="character" w:styleId="Appelnotedebasdep">
    <w:name w:val="footnote reference"/>
    <w:basedOn w:val="Policepardfaut"/>
    <w:unhideWhenUsed/>
    <w:rsid w:val="00D679E4"/>
    <w:rPr>
      <w:rFonts w:asciiTheme="minorHAnsi" w:hAnsiTheme="minorHAnsi"/>
      <w:sz w:val="22"/>
      <w:vertAlign w:val="superscript"/>
    </w:rPr>
  </w:style>
  <w:style w:type="character" w:styleId="Marquedecommentaire">
    <w:name w:val="annotation reference"/>
    <w:basedOn w:val="Policepardfaut"/>
    <w:uiPriority w:val="99"/>
    <w:semiHidden/>
    <w:unhideWhenUsed/>
    <w:rsid w:val="00A95902"/>
    <w:rPr>
      <w:sz w:val="16"/>
      <w:szCs w:val="16"/>
    </w:rPr>
  </w:style>
  <w:style w:type="paragraph" w:styleId="Commentaire">
    <w:name w:val="annotation text"/>
    <w:basedOn w:val="Normal"/>
    <w:link w:val="CommentaireCar"/>
    <w:uiPriority w:val="99"/>
    <w:unhideWhenUsed/>
    <w:rsid w:val="00A95902"/>
    <w:pPr>
      <w:spacing w:line="240" w:lineRule="auto"/>
    </w:pPr>
    <w:rPr>
      <w:sz w:val="20"/>
      <w:szCs w:val="20"/>
    </w:rPr>
  </w:style>
  <w:style w:type="character" w:customStyle="1" w:styleId="CommentaireCar">
    <w:name w:val="Commentaire Car"/>
    <w:basedOn w:val="Policepardfaut"/>
    <w:link w:val="Commentaire"/>
    <w:uiPriority w:val="99"/>
    <w:rsid w:val="00A95902"/>
    <w:rPr>
      <w:sz w:val="20"/>
      <w:szCs w:val="20"/>
    </w:rPr>
  </w:style>
  <w:style w:type="paragraph" w:styleId="Objetducommentaire">
    <w:name w:val="annotation subject"/>
    <w:basedOn w:val="Commentaire"/>
    <w:next w:val="Commentaire"/>
    <w:link w:val="ObjetducommentaireCar"/>
    <w:uiPriority w:val="99"/>
    <w:semiHidden/>
    <w:unhideWhenUsed/>
    <w:rsid w:val="00A95902"/>
    <w:rPr>
      <w:b/>
      <w:bCs/>
    </w:rPr>
  </w:style>
  <w:style w:type="character" w:customStyle="1" w:styleId="ObjetducommentaireCar">
    <w:name w:val="Objet du commentaire Car"/>
    <w:basedOn w:val="CommentaireCar"/>
    <w:link w:val="Objetducommentaire"/>
    <w:uiPriority w:val="99"/>
    <w:semiHidden/>
    <w:rsid w:val="00A95902"/>
    <w:rPr>
      <w:b/>
      <w:bCs/>
      <w:sz w:val="20"/>
      <w:szCs w:val="20"/>
    </w:rPr>
  </w:style>
  <w:style w:type="paragraph" w:styleId="Textedebulles">
    <w:name w:val="Balloon Text"/>
    <w:basedOn w:val="Normal"/>
    <w:link w:val="TextedebullesCar"/>
    <w:uiPriority w:val="99"/>
    <w:semiHidden/>
    <w:unhideWhenUsed/>
    <w:rsid w:val="00A959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5902"/>
    <w:rPr>
      <w:rFonts w:ascii="Segoe UI" w:hAnsi="Segoe UI" w:cs="Segoe UI"/>
      <w:sz w:val="18"/>
      <w:szCs w:val="18"/>
    </w:rPr>
  </w:style>
  <w:style w:type="character" w:customStyle="1" w:styleId="Mentionnonrsolue1">
    <w:name w:val="Mention non résolue1"/>
    <w:basedOn w:val="Policepardfaut"/>
    <w:uiPriority w:val="99"/>
    <w:semiHidden/>
    <w:unhideWhenUsed/>
    <w:rsid w:val="00545899"/>
    <w:rPr>
      <w:color w:val="605E5C"/>
      <w:shd w:val="clear" w:color="auto" w:fill="E1DFDD"/>
    </w:rPr>
  </w:style>
  <w:style w:type="paragraph" w:styleId="NormalWeb">
    <w:name w:val="Normal (Web)"/>
    <w:basedOn w:val="Normal"/>
    <w:uiPriority w:val="99"/>
    <w:semiHidden/>
    <w:unhideWhenUsed/>
    <w:rsid w:val="005458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5899"/>
    <w:rPr>
      <w:b/>
      <w:bCs/>
    </w:rPr>
  </w:style>
  <w:style w:type="character" w:styleId="Mentionnonrsolue">
    <w:name w:val="Unresolved Mention"/>
    <w:basedOn w:val="Policepardfaut"/>
    <w:uiPriority w:val="99"/>
    <w:semiHidden/>
    <w:unhideWhenUsed/>
    <w:rsid w:val="00545899"/>
    <w:rPr>
      <w:color w:val="605E5C"/>
      <w:shd w:val="clear" w:color="auto" w:fill="E1DFDD"/>
    </w:rPr>
  </w:style>
  <w:style w:type="paragraph" w:styleId="TM2">
    <w:name w:val="toc 2"/>
    <w:basedOn w:val="Normal"/>
    <w:next w:val="Normal"/>
    <w:autoRedefine/>
    <w:uiPriority w:val="39"/>
    <w:unhideWhenUsed/>
    <w:rsid w:val="00211FDC"/>
    <w:pPr>
      <w:spacing w:after="100"/>
      <w:ind w:left="220"/>
    </w:pPr>
  </w:style>
  <w:style w:type="paragraph" w:styleId="TM1">
    <w:name w:val="toc 1"/>
    <w:basedOn w:val="Normal"/>
    <w:next w:val="Normal"/>
    <w:autoRedefine/>
    <w:uiPriority w:val="39"/>
    <w:unhideWhenUsed/>
    <w:rsid w:val="00211FDC"/>
    <w:pPr>
      <w:tabs>
        <w:tab w:val="right" w:leader="dot" w:pos="9016"/>
      </w:tabs>
      <w:spacing w:after="100"/>
    </w:pPr>
    <w:rPr>
      <w:rFonts w:ascii="Arial" w:hAnsi="Arial" w:cs="Arial"/>
      <w:noProof/>
      <w:color w:val="002060"/>
    </w:rPr>
  </w:style>
  <w:style w:type="paragraph" w:styleId="En-tte">
    <w:name w:val="header"/>
    <w:basedOn w:val="Normal"/>
    <w:link w:val="En-tteCar"/>
    <w:uiPriority w:val="99"/>
    <w:unhideWhenUsed/>
    <w:rsid w:val="00092A9C"/>
    <w:pPr>
      <w:tabs>
        <w:tab w:val="center" w:pos="4536"/>
        <w:tab w:val="right" w:pos="9072"/>
      </w:tabs>
      <w:spacing w:after="0" w:line="240" w:lineRule="auto"/>
    </w:pPr>
  </w:style>
  <w:style w:type="character" w:customStyle="1" w:styleId="En-tteCar">
    <w:name w:val="En-tête Car"/>
    <w:basedOn w:val="Policepardfaut"/>
    <w:link w:val="En-tte"/>
    <w:uiPriority w:val="99"/>
    <w:rsid w:val="00092A9C"/>
  </w:style>
  <w:style w:type="paragraph" w:styleId="Pieddepage">
    <w:name w:val="footer"/>
    <w:basedOn w:val="Normal"/>
    <w:link w:val="PieddepageCar"/>
    <w:uiPriority w:val="99"/>
    <w:unhideWhenUsed/>
    <w:rsid w:val="00092A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A9C"/>
  </w:style>
  <w:style w:type="paragraph" w:customStyle="1" w:styleId="Default">
    <w:name w:val="Default"/>
    <w:rsid w:val="004B5D44"/>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2A3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mneguidelines.oecd.org/rbc-agriculture-supply-chains.htm" TargetMode="External"/><Relationship Id="rId2" Type="http://schemas.openxmlformats.org/officeDocument/2006/relationships/customXml" Target="../customXml/item2.xml"/><Relationship Id="rId16" Type="http://schemas.openxmlformats.org/officeDocument/2006/relationships/hyperlink" Target="https://www.oecd-ilibrary.org/agriculture-and-food/guide-ocde-fao-pour-des-filieres-agricoles-responsables_9789264264038-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ecd.org/fr/daf/inv/mne/Guide-OCDE-sur-le-devoir-de-diligence-pour-une-conduite-responsable-des-entreprises.pdf"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neguidelines.oecd.org/rbc-agriculture-supply-chains.htm" TargetMode="External"/><Relationship Id="rId2" Type="http://schemas.openxmlformats.org/officeDocument/2006/relationships/hyperlink" Target="https://www.oecd-ilibrary.org/agriculture-and-food/guide-ocde-fao-pour-des-filieres-agricoles-responsables_9789264264038-fr" TargetMode="External"/><Relationship Id="rId1" Type="http://schemas.openxmlformats.org/officeDocument/2006/relationships/hyperlink" Target="https://mneguidelines.oecd.org/due-diligence-policy-hub.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tFieldPriority xmlns="http://www.oecd.org/eshare/projectsentre/CtFieldPriority/" xmlns:i="http://www.w3.org/2001/XMLSchema-instance">
  <PriorityFields xmlns:a="http://schemas.microsoft.com/2003/10/Serialization/Arrays"/>
</CtFieldPriorit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cabdfbcfcc34b0db2b26427245c13c6 xmlns="ddbd984f-848b-4d59-a9eb-1760df3af461" xsi:nil="true"/>
    <eShareHorizProjTaxHTField0 xmlns="422d9e62-c95f-4be8-bc96-fc16e6e7af15" xsi:nil="true"/>
    <OECDAllRelatedUsers xmlns="422d9e62-c95f-4be8-bc96-fc16e6e7af15">
      <UserInfo>
        <DisplayName/>
        <AccountId xsi:nil="true"/>
        <AccountType/>
      </UserInfo>
    </OECDAllRelatedUsers>
    <OECDKimBussinessContext xmlns="54c4cd27-f286-408f-9ce0-33c1e0f3ab39" xsi:nil="true"/>
    <OECDTagsCache xmlns="ddbd984f-848b-4d59-a9eb-1760df3af461"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4.1.1.2 Promoting Responsible Business Conduct: Annual National Contact Points Meetings, one to two Fora and two Reports on the OECD Guidelines for Multinational Enterprises- resource database, peer learning workshops, sectoral guidance- and public commun</TermName>
          <TermId xmlns="http://schemas.microsoft.com/office/infopath/2007/PartnerControls">8b42427a-c875-434d-9582-bd25522716c1</TermId>
        </TermInfo>
      </Terms>
    </eSharePWBTaxHTField0>
    <OECDlanguage xmlns="ca82dde9-3436-4d3d-bddd-d31447390034">English</OECDlanguage>
    <OECDSharingStatus xmlns="ddbd984f-848b-4d59-a9eb-1760df3af461" xsi:nil="true"/>
    <IconOverlay xmlns="http://schemas.microsoft.com/sharepoint/v4" xsi:nil="true"/>
    <OECDCommunityDocumentURL xmlns="ddbd984f-848b-4d59-a9eb-1760df3af461" xsi:nil="true"/>
    <OECDPinnedBy xmlns="ddbd984f-848b-4d59-a9eb-1760df3af461">
      <UserInfo>
        <DisplayName/>
        <AccountId xsi:nil="true"/>
        <AccountType/>
      </UserInfo>
    </OECDPinnedBy>
    <OECDMeetingDate xmlns="54c4cd27-f286-408f-9ce0-33c1e0f3ab39" xsi:nil="true"/>
    <cdaa264386b64a5eb3931631587e1776 xmlns="422d9e62-c95f-4be8-bc96-fc16e6e7af15">
      <Terms xmlns="http://schemas.microsoft.com/office/infopath/2007/PartnerControls"/>
    </cdaa264386b64a5eb3931631587e1776>
    <nbb885e32ada4fa18483bd70230d535b xmlns="ddbd984f-848b-4d59-a9eb-1760df3af461">
      <Terms xmlns="http://schemas.microsoft.com/office/infopath/2007/PartnerControls">
        <TermInfo xmlns="http://schemas.microsoft.com/office/infopath/2007/PartnerControls">
          <TermName xmlns="http://schemas.microsoft.com/office/infopath/2007/PartnerControls">DAF/INV</TermName>
          <TermId xmlns="http://schemas.microsoft.com/office/infopath/2007/PartnerControls">db780339-a94b-4fd1-9202-c087447e8c6f</TermId>
        </TermInfo>
      </Terms>
    </nbb885e32ada4fa18483bd70230d535b>
    <OECDExpirationDate xmlns="422d9e62-c95f-4be8-bc96-fc16e6e7af15" xsi:nil="true"/>
    <OECDProjectMembers xmlns="ddbd984f-848b-4d59-a9eb-1760df3af461">
      <UserInfo>
        <DisplayName>AL TAHER CUCCI Sama, ENV/CBW</DisplayName>
        <AccountId>888</AccountId>
        <AccountType/>
      </UserInfo>
      <UserInfo>
        <DisplayName>ROTA Ariane, DAF/RBC</DisplayName>
        <AccountId>1377</AccountId>
        <AccountType/>
      </UserInfo>
      <UserInfo>
        <DisplayName>INGLE Arianna, DAF/ACD</DisplayName>
        <AccountId>517</AccountId>
        <AccountType/>
      </UserInfo>
      <UserInfo>
        <DisplayName>HACHEZ Nicolas, DAF/RBC</DisplayName>
        <AccountId>2029</AccountId>
        <AccountType/>
      </UserInfo>
      <UserInfo>
        <DisplayName>ALEXANDROV Pauline, DAF/RBC</DisplayName>
        <AccountId>1961</AccountId>
        <AccountType/>
      </UserInfo>
      <UserInfo>
        <DisplayName>BIJELIC Barbara, DAF/RBC</DisplayName>
        <AccountId>346</AccountId>
        <AccountType/>
      </UserInfo>
      <UserInfo>
        <DisplayName>BRAVENEC Denis, DAF</DisplayName>
        <AccountId>2300</AccountId>
        <AccountType/>
      </UserInfo>
      <UserInfo>
        <DisplayName>HOLMSTRÖM Tove, DAF/RBC</DisplayName>
        <AccountId>2363</AccountId>
        <AccountType/>
      </UserInfo>
      <UserInfo>
        <DisplayName>LAWAL Juliet, DAF/RBC</DisplayName>
        <AccountId>2147</AccountId>
        <AccountType/>
      </UserInfo>
      <UserInfo>
        <DisplayName>GILLARD Tyler, DAF/RBC</DisplayName>
        <AccountId>339</AccountId>
        <AccountType/>
      </UserInfo>
      <UserInfo>
        <DisplayName>TEBAR LESS Cristina, DAF/RBC</DisplayName>
        <AccountId>114</AccountId>
        <AccountType/>
      </UserInfo>
      <UserInfo>
        <DisplayName>MUNRO Carissa, DAF/RBC</DisplayName>
        <AccountId>779</AccountId>
        <AccountType/>
      </UserInfo>
      <UserInfo>
        <DisplayName>HERMAN Géraldine, DAF/RBC</DisplayName>
        <AccountId>3262</AccountId>
        <AccountType/>
      </UserInfo>
    </OECDProjectMembers>
    <eShareCommitteeTaxHTField0 xmlns="c9f238dd-bb73-4aef-a7a5-d644ad823e52">
      <Terms xmlns="http://schemas.microsoft.com/office/infopath/2007/PartnerControls">
        <TermInfo xmlns="http://schemas.microsoft.com/office/infopath/2007/PartnerControls">
          <TermName xmlns="http://schemas.microsoft.com/office/infopath/2007/PartnerControls">Investment Committee</TermName>
          <TermId xmlns="http://schemas.microsoft.com/office/infopath/2007/PartnerControls">c17d2b9d-41b9-434b-8912-3c124c840d3a</TermId>
        </TermInfo>
      </Terms>
    </eShareCommitteeTaxHTField0>
    <OECDYear xmlns="54c4cd27-f286-408f-9ce0-33c1e0f3ab39" xsi:nil="true"/>
    <OECDKimProvenance xmlns="54c4cd27-f286-408f-9ce0-33c1e0f3ab39" xsi:nil="true"/>
    <OECDKimStatus xmlns="54c4cd27-f286-408f-9ce0-33c1e0f3ab39">Draft</OECDKimStatus>
    <OECDProjectLookup xmlns="ddbd984f-848b-4d59-a9eb-1760df3af461">29</OECDProjectLookup>
    <OECDMainProject xmlns="ddbd984f-848b-4d59-a9eb-1760df3af461">20</OECDMainProject>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Corporate social responsibility</TermName>
          <TermId xmlns="http://schemas.microsoft.com/office/infopath/2007/PartnerControls">665487f7-5db5-4718-a057-bf71055f1ffb</TermId>
        </TermInfo>
        <TermInfo xmlns="http://schemas.microsoft.com/office/infopath/2007/PartnerControls">
          <TermName xmlns="http://schemas.microsoft.com/office/infopath/2007/PartnerControls">National contact point</TermName>
          <TermId xmlns="http://schemas.microsoft.com/office/infopath/2007/PartnerControls">35ab6bab-0d22-4ffb-bbed-12275613a1d3</TermId>
        </TermInfo>
      </Terms>
    </eShareTopicTaxHTField0>
    <OECDProjectManager xmlns="ddbd984f-848b-4d59-a9eb-1760df3af461">
      <UserInfo>
        <DisplayName/>
        <AccountId>639</AccountId>
        <AccountType/>
      </UserInfo>
    </OECDProjectManager>
    <eShareKeywordsTaxHTField0 xmlns="c9f238dd-bb73-4aef-a7a5-d644ad823e52">
      <Terms xmlns="http://schemas.microsoft.com/office/infopath/2007/PartnerControls">
        <TermInfo xmlns="http://schemas.microsoft.com/office/infopath/2007/PartnerControls">
          <TermName xmlns="http://schemas.microsoft.com/office/infopath/2007/PartnerControls">RBC</TermName>
          <TermId xmlns="http://schemas.microsoft.com/office/infopath/2007/PartnerControls">e8399760-16dd-4b57-b027-e5fe85424538</TermId>
        </TermInfo>
      </Terms>
    </eShareKeywordsTaxHTField0>
    <TaxCatchAll xmlns="ca82dde9-3436-4d3d-bddd-d31447390034">
      <Value>253</Value>
      <Value>234</Value>
      <Value>131</Value>
      <Value>107</Value>
      <Value>321</Value>
      <Value>324</Value>
    </TaxCatchAll>
    <OECDCommunityDocumentID xmlns="ddbd984f-848b-4d59-a9eb-1760df3af461" xsi:nil="true"/>
    <_dlc_DocId xmlns="422d9e62-c95f-4be8-bc96-fc16e6e7af15">ESHAREDAF-38-182082</_dlc_DocId>
    <_dlc_DocIdUrl xmlns="422d9e62-c95f-4be8-bc96-fc16e6e7af15">
      <Url>https://portal.oecd.org/eshare/daf/pc/_layouts/15/DocIdRedir.aspx?ID=ESHAREDAF-38-182082</Url>
      <Description>ESHAREDAF-38-182082</Description>
    </_dlc_DocIdUrl>
  </documentManagement>
</p:properties>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b:Sources xmlns:b="http://schemas.openxmlformats.org/officeDocument/2006/bibliography" xmlns="http://schemas.openxmlformats.org/officeDocument/2006/bibliography" SelectedStyle="\oecd-en.xsl" StyleName="OECD English" Version="20190724"/>
</file>

<file path=customXml/item6.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CCDD97BACC81094AA9235912A0087CAC" ma:contentTypeVersion="87" ma:contentTypeDescription="" ma:contentTypeScope="" ma:versionID="5d04e6510d2d6acd9021bbf9df077368">
  <xsd:schema xmlns:xsd="http://www.w3.org/2001/XMLSchema" xmlns:xs="http://www.w3.org/2001/XMLSchema" xmlns:p="http://schemas.microsoft.com/office/2006/metadata/properties" xmlns:ns1="54c4cd27-f286-408f-9ce0-33c1e0f3ab39" xmlns:ns2="422d9e62-c95f-4be8-bc96-fc16e6e7af15" xmlns:ns3="ddbd984f-848b-4d59-a9eb-1760df3af461" xmlns:ns5="c9f238dd-bb73-4aef-a7a5-d644ad823e52" xmlns:ns6="ca82dde9-3436-4d3d-bddd-d31447390034" xmlns:ns7="http://schemas.microsoft.com/sharepoint/v4" targetNamespace="http://schemas.microsoft.com/office/2006/metadata/properties" ma:root="true" ma:fieldsID="67c4c0e0d04d1ffe6c5dfe1e52ef102c" ns1:_="" ns2:_="" ns3:_="" ns5:_="" ns6:_="" ns7:_="">
    <xsd:import namespace="54c4cd27-f286-408f-9ce0-33c1e0f3ab39"/>
    <xsd:import namespace="422d9e62-c95f-4be8-bc96-fc16e6e7af15"/>
    <xsd:import namespace="ddbd984f-848b-4d59-a9eb-1760df3af461"/>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3:OECDTagsCache" minOccurs="0"/>
                <xsd:element ref="ns2:_dlc_DocIdUrl"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mcabdfbcfcc34b0db2b26427245c13c6" minOccurs="0"/>
                <xsd:element ref="ns2:_dlc_DocId" minOccurs="0"/>
                <xsd:element ref="ns6:OECDlanguage" minOccurs="0"/>
                <xsd:element ref="ns6:TaxCatchAll" minOccurs="0"/>
                <xsd:element ref="ns6:TaxCatchAllLabel" minOccurs="0"/>
                <xsd:element ref="ns1:OECDMeetingDate" minOccurs="0"/>
                <xsd:element ref="ns2:_dlc_DocIdPersistId" minOccurs="0"/>
                <xsd:element ref="ns2:cdaa264386b64a5eb3931631587e1776" minOccurs="0"/>
                <xsd:element ref="ns3:nbb885e32ada4fa18483bd70230d535b" minOccurs="0"/>
                <xsd:element ref="ns3:OECDSharingStatus" minOccurs="0"/>
                <xsd:element ref="ns3:OECDCommunityDocumentURL" minOccurs="0"/>
                <xsd:element ref="ns3:OECDCommunityDocumentID" minOccurs="0"/>
                <xsd:element ref="ns2:eShareHorizProjTaxHTField0" minOccurs="0"/>
                <xsd:element ref="ns2:OECDAllRelatedUsers" minOccurs="0"/>
                <xsd:element ref="ns3:SharedWithUsers" minOccurs="0"/>
                <xsd:element ref="ns7:IconOverlay"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33" nillable="true" ma:displayName="Meeting Date" ma:default="" ma:format="DateOnly" ma:hidden="true" ma:internalName="OECDMeetingDate">
      <xsd:simpleType>
        <xsd:restriction base="dms:DateTime"/>
      </xsd:simpleType>
    </xsd:element>
    <xsd:element name="OECDYear" ma:index="47"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9e62-c95f-4be8-bc96-fc16e6e7af15"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ma:readOnly="fals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8" nillable="true" ma:displayName="Document ID" ma:description="" ma:hidden="true" ma:internalName="_dlc_DocId" ma:readOnly="true">
      <xsd:simpleType>
        <xsd:restriction base="dms:Text"/>
      </xsd:simpleType>
    </xsd:element>
    <xsd:element name="_dlc_DocIdPersistId" ma:index="34" nillable="true" ma:displayName="Persist ID" ma:description="Keep ID on add." ma:hidden="true" ma:internalName="_dlc_DocIdPersistId" ma:readOnly="true">
      <xsd:simpleType>
        <xsd:restriction base="dms:Boolean"/>
      </xsd:simpleType>
    </xsd:element>
    <xsd:element name="cdaa264386b64a5eb3931631587e1776" ma:index="36" nillable="true" ma:taxonomy="true" ma:internalName="cdaa264386b64a5eb3931631587e1776" ma:taxonomyFieldName="OECDHorizontalProjects" ma:displayName="Horizontal project" ma:default="" ma:fieldId="{cdaa2643-86b6-4a5e-b393-1631587e177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984f-848b-4d59-a9eb-1760df3af461"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bc83b2af-e160-442d-bd56-c59d584bfbe4" ma:internalName="OECDProjectLookup" ma:readOnly="false" ma:showField="OECDShortProjectName" ma:web="ddbd984f-848b-4d59-a9eb-1760df3af461">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bc83b2af-e160-442d-bd56-c59d584bfbe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mcabdfbcfcc34b0db2b26427245c13c6" ma:index="26" nillable="true" ma:displayName="Deliverable owner_0" ma:hidden="true" ma:internalName="mcabdfbcfcc34b0db2b26427245c13c6">
      <xsd:simpleType>
        <xsd:restriction base="dms:Note"/>
      </xsd:simpleType>
    </xsd:element>
    <xsd:element name="nbb885e32ada4fa18483bd70230d535b" ma:index="37" nillable="true" ma:taxonomy="true" ma:internalName="nbb885e32ada4fa18483bd70230d535b" ma:taxonomyFieldName="OECDProjectOwnerStructure" ma:displayName="Project owner" ma:readOnly="false" ma:default="" ma:fieldId="7bb885e3-2ada-4fa1-8483-bd70230d535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1" nillable="true" ma:displayName="Taxonomy Catch All Column" ma:hidden="true" ma:list="{4d2fa938-8d37-45fa-910f-cb0aa52e3ee4}" ma:internalName="TaxCatchAll" ma:showField="CatchAllData" ma:web="422d9e62-c95f-4be8-bc96-fc16e6e7af15">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4d2fa938-8d37-45fa-910f-cb0aa52e3ee4}" ma:internalName="TaxCatchAllLabel" ma:readOnly="true" ma:showField="CatchAllDataLabel" ma:web="422d9e62-c95f-4be8-bc96-fc16e6e7a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OECDListFormCollapsible</Display>
  <Edit>OECDListFormCollapsible</Edit>
  <New>OECDListFormCollapsible</New>
</FormTemplates>
</file>

<file path=customXml/itemProps1.xml><?xml version="1.0" encoding="utf-8"?>
<ds:datastoreItem xmlns:ds="http://schemas.openxmlformats.org/officeDocument/2006/customXml" ds:itemID="{0C9BB5C7-F627-42DB-AF0F-3419836DCA35}">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E0897BAD-ECA1-4B3F-AE35-CA929FC4D7C7}">
  <ds:schemaRefs>
    <ds:schemaRef ds:uri="http://schemas.microsoft.com/sharepoint/events"/>
  </ds:schemaRefs>
</ds:datastoreItem>
</file>

<file path=customXml/itemProps3.xml><?xml version="1.0" encoding="utf-8"?>
<ds:datastoreItem xmlns:ds="http://schemas.openxmlformats.org/officeDocument/2006/customXml" ds:itemID="{36DFA839-EE68-43F0-864B-CAF84560C3C8}">
  <ds:schemaRefs>
    <ds:schemaRef ds:uri="http://schemas.microsoft.com/office/2006/metadata/properties"/>
    <ds:schemaRef ds:uri="http://schemas.microsoft.com/office/infopath/2007/PartnerControls"/>
    <ds:schemaRef ds:uri="ddbd984f-848b-4d59-a9eb-1760df3af461"/>
    <ds:schemaRef ds:uri="422d9e62-c95f-4be8-bc96-fc16e6e7af15"/>
    <ds:schemaRef ds:uri="54c4cd27-f286-408f-9ce0-33c1e0f3ab39"/>
    <ds:schemaRef ds:uri="c9f238dd-bb73-4aef-a7a5-d644ad823e52"/>
    <ds:schemaRef ds:uri="ca82dde9-3436-4d3d-bddd-d31447390034"/>
    <ds:schemaRef ds:uri="http://schemas.microsoft.com/sharepoint/v4"/>
  </ds:schemaRefs>
</ds:datastoreItem>
</file>

<file path=customXml/itemProps4.xml><?xml version="1.0" encoding="utf-8"?>
<ds:datastoreItem xmlns:ds="http://schemas.openxmlformats.org/officeDocument/2006/customXml" ds:itemID="{DFDC6B6B-922A-4926-9CF9-521A0A3A5356}">
  <ds:schemaRefs>
    <ds:schemaRef ds:uri="Microsoft.SharePoint.Taxonomy.ContentTypeSync"/>
  </ds:schemaRefs>
</ds:datastoreItem>
</file>

<file path=customXml/itemProps5.xml><?xml version="1.0" encoding="utf-8"?>
<ds:datastoreItem xmlns:ds="http://schemas.openxmlformats.org/officeDocument/2006/customXml" ds:itemID="{7E6D42D7-CB72-465A-8168-97089516F731}">
  <ds:schemaRefs>
    <ds:schemaRef ds:uri="http://schemas.openxmlformats.org/officeDocument/2006/bibliography"/>
  </ds:schemaRefs>
</ds:datastoreItem>
</file>

<file path=customXml/itemProps6.xml><?xml version="1.0" encoding="utf-8"?>
<ds:datastoreItem xmlns:ds="http://schemas.openxmlformats.org/officeDocument/2006/customXml" ds:itemID="{CA18B9F9-DA92-4AF1-B0CB-42B2A7F7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422d9e62-c95f-4be8-bc96-fc16e6e7af15"/>
    <ds:schemaRef ds:uri="ddbd984f-848b-4d59-a9eb-1760df3af461"/>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FFA4E21-7E04-494F-963A-AA76C50D8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3828</Words>
  <Characters>21058</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OCDE</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Carissa, DAF/RBC</dc:creator>
  <cp:keywords/>
  <dc:description/>
  <cp:lastModifiedBy>POINSOT-CORDIER Louis</cp:lastModifiedBy>
  <cp:revision>2</cp:revision>
  <cp:lastPrinted>2023-09-21T11:59:00Z</cp:lastPrinted>
  <dcterms:created xsi:type="dcterms:W3CDTF">2024-03-27T15:34:00Z</dcterms:created>
  <dcterms:modified xsi:type="dcterms:W3CDTF">2024-03-27T15:34:00Z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0x0101008B4DD370EC31429186F3AD49F0D3098F00D44DBCB9EB4F45278CB5C9765BE5299500A4858B360C6A491AA753F8BCA47AA91000CCDD97BACC81094AA9235912A0087CAC</vt:lpwstr>
  </property>
  <property fmtid="{D5CDD505-2E9C-101B-9397-08002B2CF9AE}" pid="3" name="OECDCountry">
    <vt:lpwstr/>
  </property>
  <property fmtid="{D5CDD505-2E9C-101B-9397-08002B2CF9AE}" pid="4" name="OECDTopic">
    <vt:lpwstr>234;#Corporate social responsibility|665487f7-5db5-4718-a057-bf71055f1ffb;#324;#National contact point|35ab6bab-0d22-4ffb-bbed-12275613a1d3</vt:lpwstr>
  </property>
  <property fmtid="{D5CDD505-2E9C-101B-9397-08002B2CF9AE}" pid="5" name="OECDCommittee">
    <vt:lpwstr>107;#Investment Committee|c17d2b9d-41b9-434b-8912-3c124c840d3a</vt:lpwstr>
  </property>
  <property fmtid="{D5CDD505-2E9C-101B-9397-08002B2CF9AE}" pid="6" name="OECDPWB">
    <vt:lpwstr>321;#4.1.1.2 Promoting Responsible Business Conduct: Annual National Contact Points Meetings, one to two Fora and two Reports on the OECD Guidelines for Multinational Enterprises- resource database, peer learning workshops, sectoral guidance- and public c</vt:lpwstr>
  </property>
  <property fmtid="{D5CDD505-2E9C-101B-9397-08002B2CF9AE}" pid="7" name="OECDKeywords">
    <vt:lpwstr>253;#RBC|e8399760-16dd-4b57-b027-e5fe85424538</vt:lpwstr>
  </property>
  <property fmtid="{D5CDD505-2E9C-101B-9397-08002B2CF9AE}" pid="8" name="OECDHorizontalProjects">
    <vt:lpwstr/>
  </property>
  <property fmtid="{D5CDD505-2E9C-101B-9397-08002B2CF9AE}" pid="9" name="OECDProjectOwnerStructure">
    <vt:lpwstr>131;#DAF/INV|db780339-a94b-4fd1-9202-c087447e8c6f</vt:lpwstr>
  </property>
  <property fmtid="{D5CDD505-2E9C-101B-9397-08002B2CF9AE}" pid="10" name="_dlc_DocIdItemGuid">
    <vt:lpwstr>1e9e037d-d8c6-4b3c-9a08-02492a07b272</vt:lpwstr>
  </property>
</Properties>
</file>