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69B12B" w14:textId="77777777" w:rsidR="00FD7D47" w:rsidRDefault="00FD7D47" w:rsidP="00FD7D47">
      <w:pPr>
        <w:jc w:val="center"/>
        <w:rPr>
          <w:rFonts w:ascii="Times New Roman" w:hAnsi="Times New Roman" w:cs="Times New Roman"/>
          <w:b/>
        </w:rPr>
      </w:pPr>
      <w:r w:rsidRPr="00FD7D47">
        <w:rPr>
          <w:rFonts w:ascii="Times New Roman" w:hAnsi="Times New Roman" w:cs="Times New Roman"/>
          <w:b/>
        </w:rPr>
        <w:t xml:space="preserve">Note </w:t>
      </w:r>
    </w:p>
    <w:p w14:paraId="75BE9AEE" w14:textId="77777777" w:rsidR="00CB6D4D" w:rsidRPr="00C458C0" w:rsidRDefault="00CB6D4D" w:rsidP="00A46BEF">
      <w:pPr>
        <w:jc w:val="both"/>
        <w:rPr>
          <w:rFonts w:ascii="Times New Roman" w:hAnsi="Times New Roman" w:cs="Times New Roman"/>
          <w:b/>
        </w:rPr>
      </w:pPr>
      <w:r w:rsidRPr="00104173">
        <w:rPr>
          <w:rFonts w:ascii="Times New Roman" w:hAnsi="Times New Roman" w:cs="Times New Roman"/>
          <w:b/>
          <w:u w:val="single"/>
        </w:rPr>
        <w:t>Objet :</w:t>
      </w:r>
      <w:r w:rsidRPr="00442A26">
        <w:rPr>
          <w:rFonts w:ascii="Times New Roman" w:hAnsi="Times New Roman" w:cs="Times New Roman"/>
          <w:b/>
        </w:rPr>
        <w:t xml:space="preserve"> Commerce bilatéral France-Croatie</w:t>
      </w:r>
      <w:r w:rsidR="00A363D3">
        <w:rPr>
          <w:rFonts w:ascii="Times New Roman" w:hAnsi="Times New Roman" w:cs="Times New Roman"/>
          <w:b/>
        </w:rPr>
        <w:t xml:space="preserve"> en 201</w:t>
      </w:r>
      <w:r w:rsidR="00450A85">
        <w:rPr>
          <w:rFonts w:ascii="Times New Roman" w:hAnsi="Times New Roman" w:cs="Times New Roman"/>
          <w:b/>
        </w:rPr>
        <w:t>7</w:t>
      </w:r>
      <w:r w:rsidR="001A4623">
        <w:rPr>
          <w:rFonts w:ascii="Times New Roman" w:hAnsi="Times New Roman" w:cs="Times New Roman"/>
          <w:b/>
        </w:rPr>
        <w:t xml:space="preserve"> – </w:t>
      </w:r>
      <w:r w:rsidR="00C458C0" w:rsidRPr="00C458C0">
        <w:rPr>
          <w:rFonts w:ascii="Times New Roman" w:hAnsi="Times New Roman" w:cs="Times New Roman"/>
          <w:b/>
        </w:rPr>
        <w:t>troisième</w:t>
      </w:r>
      <w:r w:rsidR="00E24C6A" w:rsidRPr="00C458C0">
        <w:rPr>
          <w:rFonts w:ascii="Times New Roman" w:hAnsi="Times New Roman" w:cs="Times New Roman"/>
          <w:b/>
        </w:rPr>
        <w:t xml:space="preserve"> h</w:t>
      </w:r>
      <w:r w:rsidRPr="00C458C0">
        <w:rPr>
          <w:rFonts w:ascii="Times New Roman" w:hAnsi="Times New Roman" w:cs="Times New Roman"/>
          <w:b/>
        </w:rPr>
        <w:t xml:space="preserve">ausse </w:t>
      </w:r>
      <w:r w:rsidR="001D65BF" w:rsidRPr="00C458C0">
        <w:rPr>
          <w:rFonts w:ascii="Times New Roman" w:hAnsi="Times New Roman" w:cs="Times New Roman"/>
          <w:b/>
        </w:rPr>
        <w:t xml:space="preserve">consécutive </w:t>
      </w:r>
      <w:r w:rsidR="00E24C6A" w:rsidRPr="00C458C0">
        <w:rPr>
          <w:rFonts w:ascii="Times New Roman" w:hAnsi="Times New Roman" w:cs="Times New Roman"/>
          <w:b/>
        </w:rPr>
        <w:t xml:space="preserve">annuelle à deux chiffres </w:t>
      </w:r>
      <w:r w:rsidRPr="00C458C0">
        <w:rPr>
          <w:rFonts w:ascii="Times New Roman" w:hAnsi="Times New Roman" w:cs="Times New Roman"/>
          <w:b/>
        </w:rPr>
        <w:t xml:space="preserve">de nos </w:t>
      </w:r>
      <w:r w:rsidR="0041361D" w:rsidRPr="00C458C0">
        <w:rPr>
          <w:rFonts w:ascii="Times New Roman" w:hAnsi="Times New Roman" w:cs="Times New Roman"/>
          <w:b/>
        </w:rPr>
        <w:t xml:space="preserve">échanges </w:t>
      </w:r>
    </w:p>
    <w:p w14:paraId="2C4A9446" w14:textId="77777777" w:rsidR="001D2520" w:rsidRPr="00442A26" w:rsidRDefault="006836BA" w:rsidP="00BA6B96">
      <w:pPr>
        <w:pStyle w:val="Sansinterligne"/>
        <w:pBdr>
          <w:top w:val="single" w:sz="4" w:space="1" w:color="auto"/>
          <w:left w:val="single" w:sz="4" w:space="4" w:color="auto"/>
          <w:bottom w:val="single" w:sz="4" w:space="1" w:color="auto"/>
          <w:right w:val="single" w:sz="4" w:space="4" w:color="auto"/>
        </w:pBdr>
        <w:jc w:val="both"/>
        <w:rPr>
          <w:rFonts w:ascii="Times New Roman" w:hAnsi="Times New Roman" w:cs="Times New Roman"/>
          <w:i/>
        </w:rPr>
      </w:pPr>
      <w:r w:rsidRPr="00442A26">
        <w:rPr>
          <w:rFonts w:ascii="Times New Roman" w:hAnsi="Times New Roman" w:cs="Times New Roman"/>
          <w:i/>
        </w:rPr>
        <w:t>En 201</w:t>
      </w:r>
      <w:r w:rsidR="00450A85">
        <w:rPr>
          <w:rFonts w:ascii="Times New Roman" w:hAnsi="Times New Roman" w:cs="Times New Roman"/>
          <w:i/>
        </w:rPr>
        <w:t>7</w:t>
      </w:r>
      <w:r w:rsidRPr="00442A26">
        <w:rPr>
          <w:rFonts w:ascii="Times New Roman" w:hAnsi="Times New Roman" w:cs="Times New Roman"/>
          <w:i/>
        </w:rPr>
        <w:t xml:space="preserve">, nos échanges </w:t>
      </w:r>
      <w:r w:rsidR="00113CBD" w:rsidRPr="00442A26">
        <w:rPr>
          <w:rFonts w:ascii="Times New Roman" w:hAnsi="Times New Roman" w:cs="Times New Roman"/>
          <w:i/>
        </w:rPr>
        <w:t xml:space="preserve">avec la Croatie </w:t>
      </w:r>
      <w:r w:rsidR="00E01419">
        <w:rPr>
          <w:rFonts w:ascii="Times New Roman" w:hAnsi="Times New Roman" w:cs="Times New Roman"/>
          <w:i/>
        </w:rPr>
        <w:t>(</w:t>
      </w:r>
      <w:r w:rsidR="00C74FCC">
        <w:rPr>
          <w:rFonts w:ascii="Times New Roman" w:hAnsi="Times New Roman" w:cs="Times New Roman"/>
          <w:i/>
        </w:rPr>
        <w:t>aux 2/3 nos</w:t>
      </w:r>
      <w:r w:rsidR="00113CBD">
        <w:rPr>
          <w:rFonts w:ascii="Times New Roman" w:hAnsi="Times New Roman" w:cs="Times New Roman"/>
          <w:i/>
        </w:rPr>
        <w:t xml:space="preserve"> exportations) </w:t>
      </w:r>
      <w:r w:rsidRPr="00442A26">
        <w:rPr>
          <w:rFonts w:ascii="Times New Roman" w:hAnsi="Times New Roman" w:cs="Times New Roman"/>
          <w:i/>
        </w:rPr>
        <w:t xml:space="preserve">ont atteint </w:t>
      </w:r>
      <w:r w:rsidR="00450A85">
        <w:rPr>
          <w:rFonts w:ascii="Times New Roman" w:hAnsi="Times New Roman" w:cs="Times New Roman"/>
          <w:i/>
        </w:rPr>
        <w:t>735</w:t>
      </w:r>
      <w:r w:rsidR="00E24C6A" w:rsidRPr="00442A26">
        <w:rPr>
          <w:rFonts w:ascii="Times New Roman" w:hAnsi="Times New Roman" w:cs="Times New Roman"/>
          <w:i/>
        </w:rPr>
        <w:t xml:space="preserve"> M EUR, pour la </w:t>
      </w:r>
      <w:r w:rsidR="00490370">
        <w:rPr>
          <w:rFonts w:ascii="Times New Roman" w:hAnsi="Times New Roman" w:cs="Times New Roman"/>
          <w:i/>
        </w:rPr>
        <w:t>troisième</w:t>
      </w:r>
      <w:r w:rsidR="00E24C6A" w:rsidRPr="00442A26">
        <w:rPr>
          <w:rFonts w:ascii="Times New Roman" w:hAnsi="Times New Roman" w:cs="Times New Roman"/>
          <w:i/>
        </w:rPr>
        <w:t xml:space="preserve"> année consécutive e</w:t>
      </w:r>
      <w:r w:rsidRPr="00442A26">
        <w:rPr>
          <w:rFonts w:ascii="Times New Roman" w:hAnsi="Times New Roman" w:cs="Times New Roman"/>
          <w:i/>
        </w:rPr>
        <w:t xml:space="preserve">n hausse </w:t>
      </w:r>
      <w:r w:rsidR="005371AE" w:rsidRPr="00442A26">
        <w:rPr>
          <w:rFonts w:ascii="Times New Roman" w:hAnsi="Times New Roman" w:cs="Times New Roman"/>
          <w:i/>
        </w:rPr>
        <w:t>à deux chiffres</w:t>
      </w:r>
      <w:r w:rsidRPr="00442A26">
        <w:rPr>
          <w:rFonts w:ascii="Times New Roman" w:hAnsi="Times New Roman" w:cs="Times New Roman"/>
          <w:i/>
        </w:rPr>
        <w:t xml:space="preserve"> </w:t>
      </w:r>
      <w:r w:rsidR="00E24C6A" w:rsidRPr="00442A26">
        <w:rPr>
          <w:rFonts w:ascii="Times New Roman" w:hAnsi="Times New Roman" w:cs="Times New Roman"/>
          <w:i/>
        </w:rPr>
        <w:t>(+</w:t>
      </w:r>
      <w:r w:rsidR="00490370">
        <w:rPr>
          <w:rFonts w:ascii="Times New Roman" w:hAnsi="Times New Roman" w:cs="Times New Roman"/>
          <w:i/>
        </w:rPr>
        <w:t>22</w:t>
      </w:r>
      <w:r w:rsidR="001B5D7C" w:rsidRPr="00442A26">
        <w:rPr>
          <w:rFonts w:ascii="Times New Roman" w:hAnsi="Times New Roman" w:cs="Times New Roman"/>
          <w:i/>
        </w:rPr>
        <w:t xml:space="preserve">%), après </w:t>
      </w:r>
      <w:r w:rsidR="005371AE" w:rsidRPr="00442A26">
        <w:rPr>
          <w:rFonts w:ascii="Times New Roman" w:hAnsi="Times New Roman" w:cs="Times New Roman"/>
          <w:i/>
        </w:rPr>
        <w:t xml:space="preserve">la </w:t>
      </w:r>
      <w:r w:rsidR="0041361D" w:rsidRPr="00442A26">
        <w:rPr>
          <w:rFonts w:ascii="Times New Roman" w:hAnsi="Times New Roman" w:cs="Times New Roman"/>
          <w:i/>
        </w:rPr>
        <w:t>stagnation</w:t>
      </w:r>
      <w:r w:rsidR="001B5D7C" w:rsidRPr="00442A26">
        <w:rPr>
          <w:rFonts w:ascii="Times New Roman" w:hAnsi="Times New Roman" w:cs="Times New Roman"/>
          <w:i/>
        </w:rPr>
        <w:t xml:space="preserve"> </w:t>
      </w:r>
      <w:r w:rsidR="005371AE" w:rsidRPr="00442A26">
        <w:rPr>
          <w:rFonts w:ascii="Times New Roman" w:hAnsi="Times New Roman" w:cs="Times New Roman"/>
          <w:i/>
        </w:rPr>
        <w:t>de</w:t>
      </w:r>
      <w:r w:rsidR="001B5D7C" w:rsidRPr="00442A26">
        <w:rPr>
          <w:rFonts w:ascii="Times New Roman" w:hAnsi="Times New Roman" w:cs="Times New Roman"/>
          <w:i/>
        </w:rPr>
        <w:t xml:space="preserve"> 2014 (</w:t>
      </w:r>
      <w:r w:rsidR="00570E29" w:rsidRPr="00442A26">
        <w:rPr>
          <w:rFonts w:ascii="Times New Roman" w:hAnsi="Times New Roman" w:cs="Times New Roman"/>
          <w:i/>
        </w:rPr>
        <w:t>+0,</w:t>
      </w:r>
      <w:r w:rsidR="000C6BEE">
        <w:rPr>
          <w:rFonts w:ascii="Times New Roman" w:hAnsi="Times New Roman" w:cs="Times New Roman"/>
          <w:i/>
        </w:rPr>
        <w:t>6</w:t>
      </w:r>
      <w:r w:rsidR="00570E29" w:rsidRPr="00442A26">
        <w:rPr>
          <w:rFonts w:ascii="Times New Roman" w:hAnsi="Times New Roman" w:cs="Times New Roman"/>
          <w:i/>
        </w:rPr>
        <w:t>%</w:t>
      </w:r>
      <w:r w:rsidR="001B5D7C" w:rsidRPr="00442A26">
        <w:rPr>
          <w:rFonts w:ascii="Times New Roman" w:hAnsi="Times New Roman" w:cs="Times New Roman"/>
          <w:i/>
        </w:rPr>
        <w:t>)</w:t>
      </w:r>
      <w:r w:rsidRPr="00442A26">
        <w:rPr>
          <w:rFonts w:ascii="Times New Roman" w:hAnsi="Times New Roman" w:cs="Times New Roman"/>
          <w:i/>
        </w:rPr>
        <w:t xml:space="preserve"> et une décennie, entre 2003 et 2013, d’érosion de notre part de marché</w:t>
      </w:r>
      <w:r w:rsidR="001B5D7C" w:rsidRPr="00442A26">
        <w:rPr>
          <w:rFonts w:ascii="Times New Roman" w:hAnsi="Times New Roman" w:cs="Times New Roman"/>
          <w:i/>
        </w:rPr>
        <w:t>.</w:t>
      </w:r>
      <w:r w:rsidR="0041361D" w:rsidRPr="00442A26">
        <w:rPr>
          <w:rFonts w:ascii="Times New Roman" w:hAnsi="Times New Roman" w:cs="Times New Roman"/>
          <w:i/>
        </w:rPr>
        <w:t xml:space="preserve"> </w:t>
      </w:r>
      <w:r w:rsidR="001D2520" w:rsidRPr="00442A26">
        <w:rPr>
          <w:rFonts w:ascii="Times New Roman" w:hAnsi="Times New Roman" w:cs="Times New Roman"/>
          <w:i/>
        </w:rPr>
        <w:t xml:space="preserve">Nos </w:t>
      </w:r>
      <w:r w:rsidR="00E3050D">
        <w:rPr>
          <w:rFonts w:ascii="Times New Roman" w:hAnsi="Times New Roman" w:cs="Times New Roman"/>
          <w:i/>
        </w:rPr>
        <w:t xml:space="preserve">ventes </w:t>
      </w:r>
      <w:r w:rsidR="001D2520" w:rsidRPr="00442A26">
        <w:rPr>
          <w:rFonts w:ascii="Times New Roman" w:hAnsi="Times New Roman" w:cs="Times New Roman"/>
          <w:i/>
        </w:rPr>
        <w:t xml:space="preserve">ont tiré profit de la reprise </w:t>
      </w:r>
      <w:r w:rsidR="005371AE" w:rsidRPr="00442A26">
        <w:rPr>
          <w:rFonts w:ascii="Times New Roman" w:hAnsi="Times New Roman" w:cs="Times New Roman"/>
          <w:i/>
        </w:rPr>
        <w:t>confirmée</w:t>
      </w:r>
      <w:r w:rsidR="001D2520" w:rsidRPr="00442A26">
        <w:rPr>
          <w:rFonts w:ascii="Times New Roman" w:hAnsi="Times New Roman" w:cs="Times New Roman"/>
          <w:i/>
        </w:rPr>
        <w:t xml:space="preserve"> </w:t>
      </w:r>
      <w:r w:rsidR="00DC0415">
        <w:rPr>
          <w:rFonts w:ascii="Times New Roman" w:hAnsi="Times New Roman" w:cs="Times New Roman"/>
          <w:i/>
        </w:rPr>
        <w:t xml:space="preserve">de l’économie locale </w:t>
      </w:r>
      <w:r w:rsidR="001D2520" w:rsidRPr="00C458C0">
        <w:rPr>
          <w:rFonts w:ascii="Times New Roman" w:hAnsi="Times New Roman" w:cs="Times New Roman"/>
          <w:i/>
        </w:rPr>
        <w:t>(</w:t>
      </w:r>
      <w:r w:rsidR="004E35E2" w:rsidRPr="00C458C0">
        <w:rPr>
          <w:rFonts w:ascii="Times New Roman" w:hAnsi="Times New Roman" w:cs="Times New Roman"/>
          <w:i/>
        </w:rPr>
        <w:t xml:space="preserve">PIB en hausse de </w:t>
      </w:r>
      <w:r w:rsidR="005371AE" w:rsidRPr="00C458C0">
        <w:rPr>
          <w:rFonts w:ascii="Times New Roman" w:hAnsi="Times New Roman" w:cs="Times New Roman"/>
          <w:i/>
        </w:rPr>
        <w:t>2,9</w:t>
      </w:r>
      <w:r w:rsidR="001D2520" w:rsidRPr="00C458C0">
        <w:rPr>
          <w:rFonts w:ascii="Times New Roman" w:hAnsi="Times New Roman" w:cs="Times New Roman"/>
          <w:i/>
        </w:rPr>
        <w:t>%</w:t>
      </w:r>
      <w:r w:rsidR="006C7F1A" w:rsidRPr="00C458C0">
        <w:rPr>
          <w:rFonts w:ascii="Times New Roman" w:hAnsi="Times New Roman" w:cs="Times New Roman"/>
          <w:i/>
        </w:rPr>
        <w:t xml:space="preserve"> en 201</w:t>
      </w:r>
      <w:r w:rsidR="005371AE" w:rsidRPr="00C458C0">
        <w:rPr>
          <w:rFonts w:ascii="Times New Roman" w:hAnsi="Times New Roman" w:cs="Times New Roman"/>
          <w:i/>
        </w:rPr>
        <w:t>6 après +1,6% en 2015</w:t>
      </w:r>
      <w:r w:rsidR="001D2520" w:rsidRPr="00C458C0">
        <w:rPr>
          <w:rFonts w:ascii="Times New Roman" w:hAnsi="Times New Roman" w:cs="Times New Roman"/>
          <w:i/>
        </w:rPr>
        <w:t>)</w:t>
      </w:r>
      <w:r w:rsidR="006C7F1A" w:rsidRPr="00C458C0">
        <w:rPr>
          <w:rFonts w:ascii="Times New Roman" w:hAnsi="Times New Roman" w:cs="Times New Roman"/>
          <w:i/>
        </w:rPr>
        <w:t>,</w:t>
      </w:r>
      <w:r w:rsidR="004E35E2" w:rsidRPr="00C458C0">
        <w:rPr>
          <w:rFonts w:ascii="Times New Roman" w:hAnsi="Times New Roman" w:cs="Times New Roman"/>
          <w:i/>
        </w:rPr>
        <w:t xml:space="preserve"> </w:t>
      </w:r>
      <w:r w:rsidR="004E35E2" w:rsidRPr="00442A26">
        <w:rPr>
          <w:rFonts w:ascii="Times New Roman" w:hAnsi="Times New Roman" w:cs="Times New Roman"/>
          <w:i/>
        </w:rPr>
        <w:t xml:space="preserve">après </w:t>
      </w:r>
      <w:r w:rsidR="00DC0415">
        <w:rPr>
          <w:rFonts w:ascii="Times New Roman" w:hAnsi="Times New Roman" w:cs="Times New Roman"/>
          <w:i/>
        </w:rPr>
        <w:t>une</w:t>
      </w:r>
      <w:r w:rsidR="005371AE" w:rsidRPr="00442A26">
        <w:rPr>
          <w:rFonts w:ascii="Times New Roman" w:hAnsi="Times New Roman" w:cs="Times New Roman"/>
          <w:i/>
        </w:rPr>
        <w:t xml:space="preserve"> récession de </w:t>
      </w:r>
      <w:r w:rsidR="004E35E2" w:rsidRPr="00442A26">
        <w:rPr>
          <w:rFonts w:ascii="Times New Roman" w:hAnsi="Times New Roman" w:cs="Times New Roman"/>
          <w:i/>
        </w:rPr>
        <w:t>six</w:t>
      </w:r>
      <w:r w:rsidR="001D2520" w:rsidRPr="00442A26">
        <w:rPr>
          <w:rFonts w:ascii="Times New Roman" w:hAnsi="Times New Roman" w:cs="Times New Roman"/>
          <w:i/>
        </w:rPr>
        <w:t xml:space="preserve"> années (</w:t>
      </w:r>
      <w:r w:rsidR="004E35E2" w:rsidRPr="00442A26">
        <w:rPr>
          <w:rFonts w:ascii="Times New Roman" w:hAnsi="Times New Roman" w:cs="Times New Roman"/>
          <w:i/>
        </w:rPr>
        <w:t xml:space="preserve">PIB en baisse de </w:t>
      </w:r>
      <w:r w:rsidR="001D2520" w:rsidRPr="00442A26">
        <w:rPr>
          <w:rFonts w:ascii="Times New Roman" w:hAnsi="Times New Roman" w:cs="Times New Roman"/>
          <w:i/>
        </w:rPr>
        <w:t xml:space="preserve">13,1% </w:t>
      </w:r>
      <w:r w:rsidR="004E35E2" w:rsidRPr="00442A26">
        <w:rPr>
          <w:rFonts w:ascii="Times New Roman" w:hAnsi="Times New Roman" w:cs="Times New Roman"/>
          <w:i/>
        </w:rPr>
        <w:t>entre 2009 et 2014</w:t>
      </w:r>
      <w:r w:rsidR="001D2520" w:rsidRPr="00442A26">
        <w:rPr>
          <w:rFonts w:ascii="Times New Roman" w:hAnsi="Times New Roman" w:cs="Times New Roman"/>
          <w:i/>
        </w:rPr>
        <w:t xml:space="preserve">). </w:t>
      </w:r>
    </w:p>
    <w:p w14:paraId="442705FD" w14:textId="77777777" w:rsidR="006C7F1A" w:rsidRDefault="006C7F1A" w:rsidP="00BA6B96">
      <w:pPr>
        <w:pStyle w:val="Sansinterligne"/>
        <w:pBdr>
          <w:top w:val="single" w:sz="4" w:space="1" w:color="auto"/>
          <w:left w:val="single" w:sz="4" w:space="4" w:color="auto"/>
          <w:bottom w:val="single" w:sz="4" w:space="1" w:color="auto"/>
          <w:right w:val="single" w:sz="4" w:space="4" w:color="auto"/>
        </w:pBdr>
        <w:jc w:val="both"/>
        <w:rPr>
          <w:rFonts w:ascii="Times New Roman" w:hAnsi="Times New Roman" w:cs="Times New Roman"/>
          <w:i/>
          <w:color w:val="FF0000"/>
        </w:rPr>
      </w:pPr>
      <w:r w:rsidRPr="00442A26">
        <w:rPr>
          <w:rFonts w:ascii="Times New Roman" w:hAnsi="Times New Roman" w:cs="Times New Roman"/>
          <w:i/>
        </w:rPr>
        <w:t>L’adhésion du pays à l’Union Européenne</w:t>
      </w:r>
      <w:r w:rsidR="001D65BF">
        <w:rPr>
          <w:rFonts w:ascii="Times New Roman" w:hAnsi="Times New Roman" w:cs="Times New Roman"/>
          <w:i/>
        </w:rPr>
        <w:t>,</w:t>
      </w:r>
      <w:r w:rsidRPr="00442A26">
        <w:rPr>
          <w:rFonts w:ascii="Times New Roman" w:hAnsi="Times New Roman" w:cs="Times New Roman"/>
          <w:i/>
        </w:rPr>
        <w:t xml:space="preserve"> le 1</w:t>
      </w:r>
      <w:r w:rsidRPr="00442A26">
        <w:rPr>
          <w:rFonts w:ascii="Times New Roman" w:hAnsi="Times New Roman" w:cs="Times New Roman"/>
          <w:i/>
          <w:vertAlign w:val="superscript"/>
        </w:rPr>
        <w:t>er</w:t>
      </w:r>
      <w:r w:rsidRPr="00442A26">
        <w:rPr>
          <w:rFonts w:ascii="Times New Roman" w:hAnsi="Times New Roman" w:cs="Times New Roman"/>
          <w:i/>
        </w:rPr>
        <w:t xml:space="preserve"> juillet 2013</w:t>
      </w:r>
      <w:r w:rsidR="001D65BF">
        <w:rPr>
          <w:rFonts w:ascii="Times New Roman" w:hAnsi="Times New Roman" w:cs="Times New Roman"/>
          <w:i/>
        </w:rPr>
        <w:t>,</w:t>
      </w:r>
      <w:r w:rsidRPr="00442A26">
        <w:rPr>
          <w:rFonts w:ascii="Times New Roman" w:hAnsi="Times New Roman" w:cs="Times New Roman"/>
          <w:i/>
        </w:rPr>
        <w:t xml:space="preserve"> a contribué à stabiliser notre part de marché</w:t>
      </w:r>
      <w:r w:rsidR="00DC0415">
        <w:rPr>
          <w:rFonts w:ascii="Times New Roman" w:hAnsi="Times New Roman" w:cs="Times New Roman"/>
          <w:i/>
        </w:rPr>
        <w:t>,</w:t>
      </w:r>
      <w:r w:rsidR="005371AE" w:rsidRPr="00442A26">
        <w:rPr>
          <w:rFonts w:ascii="Times New Roman" w:hAnsi="Times New Roman" w:cs="Times New Roman"/>
          <w:i/>
        </w:rPr>
        <w:t xml:space="preserve"> qui </w:t>
      </w:r>
      <w:r w:rsidR="00490370">
        <w:rPr>
          <w:rFonts w:ascii="Times New Roman" w:hAnsi="Times New Roman" w:cs="Times New Roman"/>
          <w:i/>
        </w:rPr>
        <w:t>continue de progresser</w:t>
      </w:r>
      <w:r w:rsidR="005371AE" w:rsidRPr="00442A26">
        <w:rPr>
          <w:rFonts w:ascii="Times New Roman" w:hAnsi="Times New Roman" w:cs="Times New Roman"/>
          <w:i/>
        </w:rPr>
        <w:t xml:space="preserve"> légèrement </w:t>
      </w:r>
      <w:r w:rsidR="00900996">
        <w:rPr>
          <w:rFonts w:ascii="Times New Roman" w:hAnsi="Times New Roman" w:cs="Times New Roman"/>
          <w:i/>
        </w:rPr>
        <w:t xml:space="preserve">avec </w:t>
      </w:r>
      <w:r w:rsidR="009C02FF" w:rsidRPr="00442A26">
        <w:rPr>
          <w:rFonts w:ascii="Times New Roman" w:hAnsi="Times New Roman" w:cs="Times New Roman"/>
          <w:i/>
        </w:rPr>
        <w:t>l’an passé</w:t>
      </w:r>
      <w:r w:rsidR="005371AE" w:rsidRPr="00442A26">
        <w:rPr>
          <w:rFonts w:ascii="Times New Roman" w:hAnsi="Times New Roman" w:cs="Times New Roman"/>
          <w:i/>
        </w:rPr>
        <w:t xml:space="preserve"> à 2,4</w:t>
      </w:r>
      <w:r w:rsidR="00900996">
        <w:rPr>
          <w:rFonts w:ascii="Times New Roman" w:hAnsi="Times New Roman" w:cs="Times New Roman"/>
          <w:i/>
        </w:rPr>
        <w:t>6</w:t>
      </w:r>
      <w:r w:rsidR="005371AE" w:rsidRPr="00442A26">
        <w:rPr>
          <w:rFonts w:ascii="Times New Roman" w:hAnsi="Times New Roman" w:cs="Times New Roman"/>
          <w:i/>
        </w:rPr>
        <w:t>% (</w:t>
      </w:r>
      <w:r w:rsidR="00900996">
        <w:rPr>
          <w:rFonts w:ascii="Times New Roman" w:hAnsi="Times New Roman" w:cs="Times New Roman"/>
          <w:i/>
        </w:rPr>
        <w:t xml:space="preserve">contre 2,4 en 2016 et </w:t>
      </w:r>
      <w:r w:rsidRPr="00442A26">
        <w:rPr>
          <w:rFonts w:ascii="Times New Roman" w:hAnsi="Times New Roman" w:cs="Times New Roman"/>
          <w:i/>
        </w:rPr>
        <w:t>2,3% </w:t>
      </w:r>
      <w:r w:rsidR="005371AE" w:rsidRPr="00442A26">
        <w:rPr>
          <w:rFonts w:ascii="Times New Roman" w:hAnsi="Times New Roman" w:cs="Times New Roman"/>
          <w:i/>
        </w:rPr>
        <w:t>en 2015)</w:t>
      </w:r>
      <w:r w:rsidR="001D65BF">
        <w:rPr>
          <w:rFonts w:ascii="Times New Roman" w:hAnsi="Times New Roman" w:cs="Times New Roman"/>
          <w:i/>
        </w:rPr>
        <w:t>. L</w:t>
      </w:r>
      <w:r w:rsidR="00E3050D">
        <w:rPr>
          <w:rFonts w:ascii="Times New Roman" w:hAnsi="Times New Roman" w:cs="Times New Roman"/>
          <w:i/>
        </w:rPr>
        <w:t>’en</w:t>
      </w:r>
      <w:r w:rsidR="00835D55">
        <w:rPr>
          <w:rFonts w:ascii="Times New Roman" w:hAnsi="Times New Roman" w:cs="Times New Roman"/>
          <w:i/>
        </w:rPr>
        <w:t>trée de la Croatie dans l’UE</w:t>
      </w:r>
      <w:r w:rsidRPr="00442A26">
        <w:rPr>
          <w:rFonts w:ascii="Times New Roman" w:hAnsi="Times New Roman" w:cs="Times New Roman"/>
          <w:i/>
        </w:rPr>
        <w:t xml:space="preserve"> a ouvert de nouvelles perspectives</w:t>
      </w:r>
      <w:r w:rsidR="00900F84">
        <w:rPr>
          <w:rFonts w:ascii="Times New Roman" w:hAnsi="Times New Roman" w:cs="Times New Roman"/>
          <w:i/>
        </w:rPr>
        <w:t xml:space="preserve"> à nos entreprises, comme elle a permis aux entreprises croates d’exporter davantage en France</w:t>
      </w:r>
      <w:r w:rsidRPr="00442A26">
        <w:rPr>
          <w:rFonts w:ascii="Times New Roman" w:hAnsi="Times New Roman" w:cs="Times New Roman"/>
          <w:i/>
        </w:rPr>
        <w:t>.</w:t>
      </w:r>
      <w:r w:rsidR="00DC0415" w:rsidRPr="00DC0415">
        <w:rPr>
          <w:rFonts w:ascii="Times New Roman" w:hAnsi="Times New Roman" w:cs="Times New Roman"/>
          <w:i/>
        </w:rPr>
        <w:t xml:space="preserve"> </w:t>
      </w:r>
      <w:r w:rsidR="00DF1489">
        <w:rPr>
          <w:rFonts w:ascii="Times New Roman" w:hAnsi="Times New Roman" w:cs="Times New Roman"/>
          <w:i/>
        </w:rPr>
        <w:t xml:space="preserve">Nos échanges de biens sont principalement fondés sur l’industrie manufacturière, à forte valeur ajoutée. </w:t>
      </w:r>
    </w:p>
    <w:p w14:paraId="281D9C78" w14:textId="77777777" w:rsidR="00260204" w:rsidRDefault="006C7F1A" w:rsidP="00BA6B96">
      <w:pPr>
        <w:pStyle w:val="Sansinterligne"/>
        <w:pBdr>
          <w:top w:val="single" w:sz="4" w:space="1" w:color="auto"/>
          <w:left w:val="single" w:sz="4" w:space="4" w:color="auto"/>
          <w:bottom w:val="single" w:sz="4" w:space="1" w:color="auto"/>
          <w:right w:val="single" w:sz="4" w:space="4" w:color="auto"/>
        </w:pBdr>
        <w:jc w:val="both"/>
        <w:rPr>
          <w:rFonts w:ascii="Times New Roman" w:hAnsi="Times New Roman" w:cs="Times New Roman"/>
          <w:i/>
        </w:rPr>
      </w:pPr>
      <w:r w:rsidRPr="00442A26">
        <w:rPr>
          <w:rFonts w:ascii="Times New Roman" w:hAnsi="Times New Roman" w:cs="Times New Roman"/>
          <w:i/>
        </w:rPr>
        <w:t>Nos exportations</w:t>
      </w:r>
      <w:r w:rsidR="00266176">
        <w:rPr>
          <w:rFonts w:ascii="Times New Roman" w:hAnsi="Times New Roman" w:cs="Times New Roman"/>
          <w:i/>
        </w:rPr>
        <w:t>,</w:t>
      </w:r>
      <w:r w:rsidRPr="00442A26">
        <w:rPr>
          <w:rFonts w:ascii="Times New Roman" w:hAnsi="Times New Roman" w:cs="Times New Roman"/>
          <w:i/>
        </w:rPr>
        <w:t xml:space="preserve"> </w:t>
      </w:r>
      <w:r w:rsidR="00805214">
        <w:rPr>
          <w:rFonts w:ascii="Times New Roman" w:hAnsi="Times New Roman" w:cs="Times New Roman"/>
          <w:i/>
        </w:rPr>
        <w:t xml:space="preserve">à </w:t>
      </w:r>
      <w:r w:rsidR="00900996">
        <w:rPr>
          <w:rFonts w:ascii="Times New Roman" w:hAnsi="Times New Roman" w:cs="Times New Roman"/>
          <w:i/>
        </w:rPr>
        <w:t>473</w:t>
      </w:r>
      <w:r w:rsidRPr="00442A26">
        <w:rPr>
          <w:rFonts w:ascii="Times New Roman" w:hAnsi="Times New Roman" w:cs="Times New Roman"/>
          <w:i/>
        </w:rPr>
        <w:t xml:space="preserve"> M EUR en 201</w:t>
      </w:r>
      <w:r w:rsidR="00900996">
        <w:rPr>
          <w:rFonts w:ascii="Times New Roman" w:hAnsi="Times New Roman" w:cs="Times New Roman"/>
          <w:i/>
        </w:rPr>
        <w:t>7</w:t>
      </w:r>
      <w:r w:rsidR="004E35E2" w:rsidRPr="00442A26">
        <w:rPr>
          <w:rFonts w:ascii="Times New Roman" w:hAnsi="Times New Roman" w:cs="Times New Roman"/>
          <w:i/>
        </w:rPr>
        <w:t xml:space="preserve"> (+</w:t>
      </w:r>
      <w:r w:rsidR="00900996">
        <w:rPr>
          <w:rFonts w:ascii="Times New Roman" w:hAnsi="Times New Roman" w:cs="Times New Roman"/>
          <w:i/>
        </w:rPr>
        <w:t>17</w:t>
      </w:r>
      <w:r w:rsidR="004E35E2" w:rsidRPr="00442A26">
        <w:rPr>
          <w:rFonts w:ascii="Times New Roman" w:hAnsi="Times New Roman" w:cs="Times New Roman"/>
          <w:i/>
        </w:rPr>
        <w:t>%)</w:t>
      </w:r>
      <w:r w:rsidR="00805214">
        <w:rPr>
          <w:rFonts w:ascii="Times New Roman" w:hAnsi="Times New Roman" w:cs="Times New Roman"/>
          <w:i/>
        </w:rPr>
        <w:t>,</w:t>
      </w:r>
      <w:r w:rsidR="00266176">
        <w:rPr>
          <w:rFonts w:ascii="Times New Roman" w:hAnsi="Times New Roman" w:cs="Times New Roman"/>
          <w:i/>
        </w:rPr>
        <w:t xml:space="preserve"> ont</w:t>
      </w:r>
      <w:r w:rsidR="005371AE" w:rsidRPr="00442A26">
        <w:rPr>
          <w:rFonts w:ascii="Times New Roman" w:hAnsi="Times New Roman" w:cs="Times New Roman"/>
          <w:i/>
        </w:rPr>
        <w:t xml:space="preserve"> dépassé la barre des 4</w:t>
      </w:r>
      <w:r w:rsidR="0024216E">
        <w:rPr>
          <w:rFonts w:ascii="Times New Roman" w:hAnsi="Times New Roman" w:cs="Times New Roman"/>
          <w:i/>
        </w:rPr>
        <w:t>4</w:t>
      </w:r>
      <w:r w:rsidR="005371AE" w:rsidRPr="00442A26">
        <w:rPr>
          <w:rFonts w:ascii="Times New Roman" w:hAnsi="Times New Roman" w:cs="Times New Roman"/>
          <w:i/>
        </w:rPr>
        <w:t>0 M EUR pour la première fois depuis 2008</w:t>
      </w:r>
      <w:r w:rsidRPr="00442A26">
        <w:rPr>
          <w:rFonts w:ascii="Times New Roman" w:hAnsi="Times New Roman" w:cs="Times New Roman"/>
          <w:i/>
        </w:rPr>
        <w:t xml:space="preserve">. </w:t>
      </w:r>
      <w:r w:rsidR="00113CBD">
        <w:rPr>
          <w:rFonts w:ascii="Times New Roman" w:hAnsi="Times New Roman" w:cs="Times New Roman"/>
          <w:i/>
        </w:rPr>
        <w:t>En dépit d’</w:t>
      </w:r>
      <w:r w:rsidR="005E7679" w:rsidRPr="00442A26">
        <w:rPr>
          <w:rFonts w:ascii="Times New Roman" w:hAnsi="Times New Roman" w:cs="Times New Roman"/>
          <w:i/>
        </w:rPr>
        <w:t xml:space="preserve">une hausse </w:t>
      </w:r>
      <w:r w:rsidR="00900996">
        <w:rPr>
          <w:rFonts w:ascii="Times New Roman" w:hAnsi="Times New Roman" w:cs="Times New Roman"/>
          <w:i/>
        </w:rPr>
        <w:t xml:space="preserve">significative en 2017 </w:t>
      </w:r>
      <w:r w:rsidR="005E7679" w:rsidRPr="00442A26">
        <w:rPr>
          <w:rFonts w:ascii="Times New Roman" w:hAnsi="Times New Roman" w:cs="Times New Roman"/>
          <w:i/>
        </w:rPr>
        <w:t>de nos importations (+</w:t>
      </w:r>
      <w:r w:rsidR="00900996">
        <w:rPr>
          <w:rFonts w:ascii="Times New Roman" w:hAnsi="Times New Roman" w:cs="Times New Roman"/>
          <w:i/>
        </w:rPr>
        <w:t>32</w:t>
      </w:r>
      <w:r w:rsidR="005E7679" w:rsidRPr="00442A26">
        <w:rPr>
          <w:rFonts w:ascii="Times New Roman" w:hAnsi="Times New Roman" w:cs="Times New Roman"/>
          <w:i/>
        </w:rPr>
        <w:t xml:space="preserve">%), qui s’élèvent à </w:t>
      </w:r>
      <w:r w:rsidR="00900996">
        <w:rPr>
          <w:rFonts w:ascii="Times New Roman" w:hAnsi="Times New Roman" w:cs="Times New Roman"/>
          <w:i/>
        </w:rPr>
        <w:t>262</w:t>
      </w:r>
      <w:r w:rsidR="00FA3E42">
        <w:rPr>
          <w:rFonts w:ascii="Times New Roman" w:hAnsi="Times New Roman" w:cs="Times New Roman"/>
          <w:i/>
        </w:rPr>
        <w:t xml:space="preserve"> M EUR</w:t>
      </w:r>
      <w:r w:rsidR="005E7679" w:rsidRPr="00442A26">
        <w:rPr>
          <w:rFonts w:ascii="Times New Roman" w:hAnsi="Times New Roman" w:cs="Times New Roman"/>
          <w:i/>
        </w:rPr>
        <w:t>, n</w:t>
      </w:r>
      <w:r w:rsidRPr="00442A26">
        <w:rPr>
          <w:rFonts w:ascii="Times New Roman" w:hAnsi="Times New Roman" w:cs="Times New Roman"/>
          <w:i/>
        </w:rPr>
        <w:t xml:space="preserve">otre solde continue d’être largement excédentaire </w:t>
      </w:r>
      <w:r w:rsidR="00113CBD">
        <w:rPr>
          <w:rFonts w:ascii="Times New Roman" w:hAnsi="Times New Roman" w:cs="Times New Roman"/>
          <w:i/>
        </w:rPr>
        <w:t xml:space="preserve">et </w:t>
      </w:r>
      <w:r w:rsidR="009C02FF" w:rsidRPr="00442A26">
        <w:rPr>
          <w:rFonts w:ascii="Times New Roman" w:hAnsi="Times New Roman" w:cs="Times New Roman"/>
          <w:i/>
        </w:rPr>
        <w:t xml:space="preserve">a encore progressé </w:t>
      </w:r>
      <w:r w:rsidRPr="00442A26">
        <w:rPr>
          <w:rFonts w:ascii="Times New Roman" w:hAnsi="Times New Roman" w:cs="Times New Roman"/>
          <w:i/>
        </w:rPr>
        <w:t>(</w:t>
      </w:r>
      <w:r w:rsidR="0024216E">
        <w:rPr>
          <w:rFonts w:ascii="Times New Roman" w:hAnsi="Times New Roman" w:cs="Times New Roman"/>
          <w:i/>
        </w:rPr>
        <w:t>211</w:t>
      </w:r>
      <w:r w:rsidRPr="00442A26">
        <w:rPr>
          <w:rFonts w:ascii="Times New Roman" w:hAnsi="Times New Roman" w:cs="Times New Roman"/>
          <w:i/>
        </w:rPr>
        <w:t xml:space="preserve"> M EUR)</w:t>
      </w:r>
      <w:r w:rsidR="009F1AFE">
        <w:rPr>
          <w:rFonts w:ascii="Times New Roman" w:hAnsi="Times New Roman" w:cs="Times New Roman"/>
          <w:i/>
        </w:rPr>
        <w:t>.</w:t>
      </w:r>
      <w:r w:rsidR="00E3050D">
        <w:rPr>
          <w:rFonts w:ascii="Times New Roman" w:hAnsi="Times New Roman" w:cs="Times New Roman"/>
          <w:i/>
        </w:rPr>
        <w:t xml:space="preserve"> </w:t>
      </w:r>
      <w:r w:rsidR="00260204">
        <w:rPr>
          <w:rFonts w:ascii="Times New Roman" w:hAnsi="Times New Roman" w:cs="Times New Roman"/>
          <w:i/>
        </w:rPr>
        <w:t>A noter que notre solde commercial excédentaire est presque compensé par le solde d’échanges de services, principalement issus du tourisme.</w:t>
      </w:r>
    </w:p>
    <w:p w14:paraId="13086E1B" w14:textId="77777777" w:rsidR="007F455C" w:rsidRPr="007F455C" w:rsidRDefault="007F455C" w:rsidP="00BA6B96">
      <w:pPr>
        <w:pStyle w:val="Sansinterligne"/>
        <w:pBdr>
          <w:top w:val="single" w:sz="4" w:space="1" w:color="auto"/>
          <w:left w:val="single" w:sz="4" w:space="4" w:color="auto"/>
          <w:bottom w:val="single" w:sz="4" w:space="1" w:color="auto"/>
          <w:right w:val="single" w:sz="4" w:space="4" w:color="auto"/>
        </w:pBdr>
        <w:jc w:val="both"/>
        <w:rPr>
          <w:rFonts w:ascii="Times New Roman" w:hAnsi="Times New Roman" w:cs="Times New Roman"/>
          <w:i/>
        </w:rPr>
      </w:pPr>
    </w:p>
    <w:p w14:paraId="4574B25D" w14:textId="77777777" w:rsidR="00BF6804" w:rsidRPr="00442A26" w:rsidRDefault="007F455C" w:rsidP="00BA6B96">
      <w:pPr>
        <w:pStyle w:val="Sansinterligne"/>
        <w:pBdr>
          <w:top w:val="single" w:sz="4" w:space="1" w:color="auto"/>
          <w:left w:val="single" w:sz="4" w:space="4" w:color="auto"/>
          <w:bottom w:val="single" w:sz="4" w:space="1" w:color="auto"/>
          <w:right w:val="single" w:sz="4" w:space="4" w:color="auto"/>
        </w:pBdr>
        <w:jc w:val="both"/>
        <w:rPr>
          <w:rFonts w:ascii="Times New Roman" w:hAnsi="Times New Roman" w:cs="Times New Roman"/>
          <w:i/>
        </w:rPr>
      </w:pPr>
      <w:r w:rsidRPr="007F455C">
        <w:rPr>
          <w:rFonts w:ascii="Times New Roman" w:hAnsi="Times New Roman" w:cs="Times New Roman"/>
          <w:i/>
        </w:rPr>
        <w:t>La Croatie était notre 4</w:t>
      </w:r>
      <w:r w:rsidRPr="007F455C">
        <w:rPr>
          <w:rFonts w:ascii="Times New Roman" w:hAnsi="Times New Roman" w:cs="Times New Roman"/>
          <w:i/>
          <w:vertAlign w:val="superscript"/>
        </w:rPr>
        <w:t>ème</w:t>
      </w:r>
      <w:r w:rsidRPr="007F455C">
        <w:rPr>
          <w:rFonts w:ascii="Times New Roman" w:hAnsi="Times New Roman" w:cs="Times New Roman"/>
          <w:i/>
        </w:rPr>
        <w:t xml:space="preserve"> client dans la région de l’Europe du sud-Est derrière la Roumanie (3,9 Mds EUR), la Slovénie (971 M EUR), la Bulgarie (825 M EUR). Elle passe donc pour la première fois devant la Serbie (438 M EUR).</w:t>
      </w:r>
    </w:p>
    <w:p w14:paraId="28EB683D" w14:textId="77777777" w:rsidR="00802D6C" w:rsidRPr="00442A26" w:rsidRDefault="00802D6C" w:rsidP="00802D6C">
      <w:pPr>
        <w:pStyle w:val="Sansinterligne"/>
        <w:jc w:val="both"/>
      </w:pPr>
    </w:p>
    <w:p w14:paraId="6A0AA674" w14:textId="77777777" w:rsidR="00802D6C" w:rsidRPr="00442A26" w:rsidRDefault="003E7235" w:rsidP="00876202">
      <w:pPr>
        <w:pStyle w:val="Sansinterligne"/>
        <w:numPr>
          <w:ilvl w:val="0"/>
          <w:numId w:val="1"/>
        </w:numPr>
        <w:spacing w:after="240"/>
        <w:ind w:left="284" w:hanging="284"/>
        <w:jc w:val="both"/>
        <w:rPr>
          <w:rFonts w:ascii="Times New Roman" w:hAnsi="Times New Roman" w:cs="Times New Roman"/>
          <w:b/>
          <w:u w:val="single"/>
        </w:rPr>
      </w:pPr>
      <w:r>
        <w:rPr>
          <w:rFonts w:ascii="Times New Roman" w:hAnsi="Times New Roman" w:cs="Times New Roman"/>
          <w:b/>
          <w:u w:val="single"/>
        </w:rPr>
        <w:t>L</w:t>
      </w:r>
      <w:r w:rsidR="00802D6C" w:rsidRPr="00442A26">
        <w:rPr>
          <w:rFonts w:ascii="Times New Roman" w:hAnsi="Times New Roman" w:cs="Times New Roman"/>
          <w:b/>
          <w:u w:val="single"/>
        </w:rPr>
        <w:t>es exportations françaises</w:t>
      </w:r>
      <w:r>
        <w:rPr>
          <w:rFonts w:ascii="Times New Roman" w:hAnsi="Times New Roman" w:cs="Times New Roman"/>
          <w:b/>
          <w:u w:val="single"/>
        </w:rPr>
        <w:t xml:space="preserve"> vers la Croatie reposent toujours sur l’industrie manufactur</w:t>
      </w:r>
      <w:r w:rsidR="006F4949">
        <w:rPr>
          <w:rFonts w:ascii="Times New Roman" w:hAnsi="Times New Roman" w:cs="Times New Roman"/>
          <w:b/>
          <w:u w:val="single"/>
        </w:rPr>
        <w:t>i</w:t>
      </w:r>
      <w:r>
        <w:rPr>
          <w:rFonts w:ascii="Times New Roman" w:hAnsi="Times New Roman" w:cs="Times New Roman"/>
          <w:b/>
          <w:u w:val="single"/>
        </w:rPr>
        <w:t>ère et</w:t>
      </w:r>
      <w:r w:rsidR="00FC6936" w:rsidRPr="00442A26">
        <w:rPr>
          <w:rFonts w:ascii="Times New Roman" w:hAnsi="Times New Roman" w:cs="Times New Roman"/>
          <w:b/>
          <w:u w:val="single"/>
        </w:rPr>
        <w:t xml:space="preserve"> ont </w:t>
      </w:r>
      <w:r w:rsidR="008D77EE">
        <w:rPr>
          <w:rFonts w:ascii="Times New Roman" w:hAnsi="Times New Roman" w:cs="Times New Roman"/>
          <w:b/>
          <w:u w:val="single"/>
        </w:rPr>
        <w:t>significativement</w:t>
      </w:r>
      <w:r w:rsidR="00802D6C" w:rsidRPr="00442A26">
        <w:rPr>
          <w:rFonts w:ascii="Times New Roman" w:hAnsi="Times New Roman" w:cs="Times New Roman"/>
          <w:b/>
          <w:u w:val="single"/>
        </w:rPr>
        <w:t xml:space="preserve"> augmenté </w:t>
      </w:r>
      <w:r w:rsidR="00EB634A" w:rsidRPr="00442A26">
        <w:rPr>
          <w:rFonts w:ascii="Times New Roman" w:hAnsi="Times New Roman" w:cs="Times New Roman"/>
          <w:b/>
          <w:u w:val="single"/>
        </w:rPr>
        <w:t>en 201</w:t>
      </w:r>
      <w:r w:rsidR="008D77EE">
        <w:rPr>
          <w:rFonts w:ascii="Times New Roman" w:hAnsi="Times New Roman" w:cs="Times New Roman"/>
          <w:b/>
          <w:u w:val="single"/>
        </w:rPr>
        <w:t>7</w:t>
      </w:r>
      <w:r w:rsidR="00EB634A" w:rsidRPr="00442A26">
        <w:rPr>
          <w:rFonts w:ascii="Times New Roman" w:hAnsi="Times New Roman" w:cs="Times New Roman"/>
          <w:b/>
          <w:u w:val="single"/>
        </w:rPr>
        <w:t xml:space="preserve"> </w:t>
      </w:r>
      <w:r w:rsidR="00802D6C" w:rsidRPr="00442A26">
        <w:rPr>
          <w:rFonts w:ascii="Times New Roman" w:hAnsi="Times New Roman" w:cs="Times New Roman"/>
          <w:b/>
          <w:u w:val="single"/>
        </w:rPr>
        <w:t>(</w:t>
      </w:r>
      <w:r w:rsidR="004B5033">
        <w:rPr>
          <w:rFonts w:ascii="Times New Roman" w:hAnsi="Times New Roman" w:cs="Times New Roman"/>
          <w:b/>
          <w:u w:val="single"/>
        </w:rPr>
        <w:t>+</w:t>
      </w:r>
      <w:r w:rsidR="006B7522">
        <w:rPr>
          <w:rFonts w:ascii="Times New Roman" w:hAnsi="Times New Roman" w:cs="Times New Roman"/>
          <w:b/>
          <w:u w:val="single"/>
        </w:rPr>
        <w:t>17%</w:t>
      </w:r>
      <w:r w:rsidR="00FC6936" w:rsidRPr="00442A26">
        <w:rPr>
          <w:rFonts w:ascii="Times New Roman" w:hAnsi="Times New Roman" w:cs="Times New Roman"/>
          <w:b/>
          <w:u w:val="single"/>
        </w:rPr>
        <w:t xml:space="preserve">% après </w:t>
      </w:r>
      <w:r w:rsidR="00802D6C" w:rsidRPr="00442A26">
        <w:rPr>
          <w:rFonts w:ascii="Times New Roman" w:hAnsi="Times New Roman" w:cs="Times New Roman"/>
          <w:b/>
          <w:u w:val="single"/>
        </w:rPr>
        <w:t>+</w:t>
      </w:r>
      <w:r w:rsidR="006B7522">
        <w:rPr>
          <w:rFonts w:ascii="Times New Roman" w:hAnsi="Times New Roman" w:cs="Times New Roman"/>
          <w:b/>
          <w:u w:val="single"/>
        </w:rPr>
        <w:t>10,6</w:t>
      </w:r>
      <w:r w:rsidR="00802D6C" w:rsidRPr="00442A26">
        <w:rPr>
          <w:rFonts w:ascii="Times New Roman" w:hAnsi="Times New Roman" w:cs="Times New Roman"/>
          <w:b/>
          <w:u w:val="single"/>
        </w:rPr>
        <w:t>%</w:t>
      </w:r>
      <w:r w:rsidR="00FC6936" w:rsidRPr="00442A26">
        <w:rPr>
          <w:rFonts w:ascii="Times New Roman" w:hAnsi="Times New Roman" w:cs="Times New Roman"/>
          <w:b/>
          <w:u w:val="single"/>
        </w:rPr>
        <w:t xml:space="preserve"> en 201</w:t>
      </w:r>
      <w:r w:rsidR="006B7522">
        <w:rPr>
          <w:rFonts w:ascii="Times New Roman" w:hAnsi="Times New Roman" w:cs="Times New Roman"/>
          <w:b/>
          <w:u w:val="single"/>
        </w:rPr>
        <w:t>6</w:t>
      </w:r>
      <w:r w:rsidR="00802D6C" w:rsidRPr="00442A26">
        <w:rPr>
          <w:rFonts w:ascii="Times New Roman" w:hAnsi="Times New Roman" w:cs="Times New Roman"/>
          <w:b/>
          <w:u w:val="single"/>
        </w:rPr>
        <w:t>)</w:t>
      </w:r>
      <w:r w:rsidR="00FE4040">
        <w:rPr>
          <w:rFonts w:ascii="Times New Roman" w:hAnsi="Times New Roman" w:cs="Times New Roman"/>
          <w:b/>
          <w:u w:val="single"/>
        </w:rPr>
        <w:t>.</w:t>
      </w:r>
    </w:p>
    <w:p w14:paraId="35A0961E" w14:textId="77777777" w:rsidR="00E272DF" w:rsidRPr="00784F50" w:rsidRDefault="00E272DF" w:rsidP="00802D6C">
      <w:pPr>
        <w:pStyle w:val="Sansinterligne"/>
        <w:jc w:val="both"/>
        <w:rPr>
          <w:rFonts w:ascii="Times New Roman" w:hAnsi="Times New Roman" w:cs="Times New Roman"/>
          <w:b/>
          <w:i/>
          <w:color w:val="0070C0"/>
        </w:rPr>
      </w:pPr>
      <w:r w:rsidRPr="005B050D">
        <w:rPr>
          <w:rFonts w:ascii="Times New Roman" w:hAnsi="Times New Roman" w:cs="Times New Roman"/>
          <w:b/>
          <w:color w:val="0070C0"/>
        </w:rPr>
        <w:t>Graph</w:t>
      </w:r>
      <w:r w:rsidR="00121D2A">
        <w:rPr>
          <w:rFonts w:ascii="Times New Roman" w:hAnsi="Times New Roman" w:cs="Times New Roman"/>
          <w:b/>
          <w:color w:val="0070C0"/>
        </w:rPr>
        <w:t>ique</w:t>
      </w:r>
      <w:r w:rsidRPr="005B050D">
        <w:rPr>
          <w:rFonts w:ascii="Times New Roman" w:hAnsi="Times New Roman" w:cs="Times New Roman"/>
          <w:b/>
          <w:color w:val="0070C0"/>
        </w:rPr>
        <w:t xml:space="preserve"> n°1 </w:t>
      </w:r>
      <w:r w:rsidR="00840DF3">
        <w:rPr>
          <w:rFonts w:ascii="Times New Roman" w:hAnsi="Times New Roman" w:cs="Times New Roman"/>
          <w:b/>
          <w:color w:val="0070C0"/>
        </w:rPr>
        <w:t xml:space="preserve">– </w:t>
      </w:r>
      <w:r w:rsidRPr="005B050D">
        <w:rPr>
          <w:rFonts w:ascii="Times New Roman" w:hAnsi="Times New Roman" w:cs="Times New Roman"/>
          <w:b/>
          <w:color w:val="0070C0"/>
        </w:rPr>
        <w:t>Structure des exportations françaises vers la Croatie en 201</w:t>
      </w:r>
      <w:r w:rsidR="0043170B">
        <w:rPr>
          <w:rFonts w:ascii="Times New Roman" w:hAnsi="Times New Roman" w:cs="Times New Roman"/>
          <w:b/>
          <w:color w:val="0070C0"/>
        </w:rPr>
        <w:t>7</w:t>
      </w:r>
      <w:r w:rsidRPr="005B050D">
        <w:rPr>
          <w:rFonts w:ascii="Times New Roman" w:hAnsi="Times New Roman" w:cs="Times New Roman"/>
          <w:b/>
          <w:color w:val="0070C0"/>
        </w:rPr>
        <w:t xml:space="preserve">, </w:t>
      </w:r>
      <w:r w:rsidRPr="00784F50">
        <w:rPr>
          <w:rFonts w:ascii="Times New Roman" w:hAnsi="Times New Roman" w:cs="Times New Roman"/>
          <w:b/>
          <w:i/>
          <w:color w:val="0070C0"/>
        </w:rPr>
        <w:t>en % du total</w:t>
      </w:r>
    </w:p>
    <w:p w14:paraId="6CABDEE7" w14:textId="77777777" w:rsidR="00A3625E" w:rsidRPr="00442A26" w:rsidRDefault="001D4842" w:rsidP="00500883">
      <w:pPr>
        <w:pStyle w:val="Sansinterligne"/>
        <w:jc w:val="right"/>
        <w:rPr>
          <w:rFonts w:ascii="Times New Roman" w:hAnsi="Times New Roman" w:cs="Times New Roman"/>
          <w:b/>
        </w:rPr>
      </w:pPr>
      <w:r w:rsidRPr="00442A26">
        <w:rPr>
          <w:rFonts w:ascii="Times New Roman" w:hAnsi="Times New Roman" w:cs="Times New Roman"/>
          <w:b/>
          <w:noProof/>
          <w:lang w:eastAsia="fr-FR"/>
        </w:rPr>
        <w:drawing>
          <wp:inline distT="0" distB="0" distL="0" distR="0" wp14:anchorId="1E4CF225" wp14:editId="4C96DC0F">
            <wp:extent cx="5847550" cy="2942985"/>
            <wp:effectExtent l="0" t="0" r="1270" b="10160"/>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893343D" w14:textId="77777777" w:rsidR="00E61CCD" w:rsidRPr="00442A26" w:rsidRDefault="00E61CCD" w:rsidP="00A11940">
      <w:pPr>
        <w:pStyle w:val="Sansinterligne"/>
        <w:jc w:val="right"/>
        <w:rPr>
          <w:rFonts w:ascii="Times New Roman" w:hAnsi="Times New Roman" w:cs="Times New Roman"/>
          <w:color w:val="0000FF"/>
          <w:sz w:val="18"/>
          <w:szCs w:val="18"/>
          <w:u w:val="single"/>
        </w:rPr>
      </w:pPr>
      <w:r w:rsidRPr="00442A26">
        <w:rPr>
          <w:rFonts w:ascii="Times New Roman" w:hAnsi="Times New Roman" w:cs="Times New Roman"/>
          <w:color w:val="0000FF"/>
          <w:sz w:val="18"/>
          <w:szCs w:val="18"/>
          <w:u w:val="single"/>
        </w:rPr>
        <w:t>Source : Douanes frança</w:t>
      </w:r>
      <w:bookmarkStart w:id="0" w:name="_GoBack"/>
      <w:bookmarkEnd w:id="0"/>
      <w:r w:rsidRPr="00442A26">
        <w:rPr>
          <w:rFonts w:ascii="Times New Roman" w:hAnsi="Times New Roman" w:cs="Times New Roman"/>
          <w:color w:val="0000FF"/>
          <w:sz w:val="18"/>
          <w:szCs w:val="18"/>
          <w:u w:val="single"/>
        </w:rPr>
        <w:t>ises</w:t>
      </w:r>
    </w:p>
    <w:p w14:paraId="6247C66C" w14:textId="77777777" w:rsidR="00110E84" w:rsidRPr="00BB2BA6" w:rsidRDefault="00110E84" w:rsidP="00110E84">
      <w:pPr>
        <w:pStyle w:val="Sansinterligne"/>
        <w:spacing w:after="120"/>
        <w:jc w:val="both"/>
        <w:rPr>
          <w:rFonts w:ascii="Times New Roman" w:hAnsi="Times New Roman" w:cs="Times New Roman"/>
          <w:b/>
          <w:color w:val="FF0000"/>
        </w:rPr>
      </w:pPr>
      <w:r w:rsidRPr="00442A26">
        <w:rPr>
          <w:rFonts w:ascii="Times New Roman" w:hAnsi="Times New Roman" w:cs="Times New Roman"/>
          <w:b/>
        </w:rPr>
        <w:lastRenderedPageBreak/>
        <w:t>Toutes nos ventes</w:t>
      </w:r>
      <w:r w:rsidR="00253A53">
        <w:rPr>
          <w:rFonts w:ascii="Times New Roman" w:hAnsi="Times New Roman" w:cs="Times New Roman"/>
          <w:b/>
        </w:rPr>
        <w:t>, bien diversifiées,</w:t>
      </w:r>
      <w:r w:rsidRPr="00442A26">
        <w:rPr>
          <w:rFonts w:ascii="Times New Roman" w:hAnsi="Times New Roman" w:cs="Times New Roman"/>
          <w:b/>
        </w:rPr>
        <w:t xml:space="preserve"> étaient en hausse en 201</w:t>
      </w:r>
      <w:r w:rsidR="008D77EE">
        <w:rPr>
          <w:rFonts w:ascii="Times New Roman" w:hAnsi="Times New Roman" w:cs="Times New Roman"/>
          <w:b/>
        </w:rPr>
        <w:t>7</w:t>
      </w:r>
      <w:r w:rsidRPr="00746FE2">
        <w:rPr>
          <w:rFonts w:ascii="Times New Roman" w:hAnsi="Times New Roman" w:cs="Times New Roman"/>
          <w:b/>
        </w:rPr>
        <w:t xml:space="preserve">, à l’exception des produits </w:t>
      </w:r>
      <w:r w:rsidR="008D77EE">
        <w:rPr>
          <w:rFonts w:ascii="Times New Roman" w:hAnsi="Times New Roman" w:cs="Times New Roman"/>
          <w:b/>
        </w:rPr>
        <w:t>métallurgiques et métalliques</w:t>
      </w:r>
      <w:r w:rsidR="00C33355">
        <w:rPr>
          <w:rFonts w:ascii="Times New Roman" w:hAnsi="Times New Roman" w:cs="Times New Roman"/>
          <w:b/>
        </w:rPr>
        <w:t xml:space="preserve"> qui ne pèsent que pour 4% de nos exportations vers la Croatie</w:t>
      </w:r>
      <w:r w:rsidR="00B44F20">
        <w:rPr>
          <w:rFonts w:ascii="Times New Roman" w:hAnsi="Times New Roman" w:cs="Times New Roman"/>
        </w:rPr>
        <w:t>. S’agissant d</w:t>
      </w:r>
      <w:r w:rsidR="008D77EE">
        <w:rPr>
          <w:rFonts w:ascii="Times New Roman" w:hAnsi="Times New Roman" w:cs="Times New Roman"/>
        </w:rPr>
        <w:t>u secteur pharmaceutique</w:t>
      </w:r>
      <w:r w:rsidRPr="00442A26">
        <w:rPr>
          <w:rFonts w:ascii="Times New Roman" w:hAnsi="Times New Roman" w:cs="Times New Roman"/>
        </w:rPr>
        <w:t xml:space="preserve">, </w:t>
      </w:r>
      <w:r w:rsidR="000C2B65">
        <w:rPr>
          <w:rFonts w:ascii="Times New Roman" w:hAnsi="Times New Roman" w:cs="Times New Roman"/>
        </w:rPr>
        <w:t>il</w:t>
      </w:r>
      <w:r w:rsidR="00B44F20">
        <w:rPr>
          <w:rFonts w:ascii="Times New Roman" w:hAnsi="Times New Roman" w:cs="Times New Roman"/>
        </w:rPr>
        <w:t xml:space="preserve"> est </w:t>
      </w:r>
      <w:r w:rsidRPr="00442A26">
        <w:rPr>
          <w:rFonts w:ascii="Times New Roman" w:hAnsi="Times New Roman" w:cs="Times New Roman"/>
        </w:rPr>
        <w:t xml:space="preserve">en </w:t>
      </w:r>
      <w:r w:rsidR="00C33355">
        <w:rPr>
          <w:rFonts w:ascii="Times New Roman" w:hAnsi="Times New Roman" w:cs="Times New Roman"/>
        </w:rPr>
        <w:t xml:space="preserve">très </w:t>
      </w:r>
      <w:r w:rsidR="000C2B65">
        <w:rPr>
          <w:rFonts w:ascii="Times New Roman" w:hAnsi="Times New Roman" w:cs="Times New Roman"/>
        </w:rPr>
        <w:t>faible hausse</w:t>
      </w:r>
      <w:r w:rsidRPr="00442A26">
        <w:rPr>
          <w:rFonts w:ascii="Times New Roman" w:hAnsi="Times New Roman" w:cs="Times New Roman"/>
        </w:rPr>
        <w:t xml:space="preserve"> </w:t>
      </w:r>
      <w:r w:rsidR="00C33355">
        <w:rPr>
          <w:rFonts w:ascii="Times New Roman" w:hAnsi="Times New Roman" w:cs="Times New Roman"/>
        </w:rPr>
        <w:t>avec à peine +2%</w:t>
      </w:r>
      <w:r w:rsidRPr="00442A26">
        <w:rPr>
          <w:rFonts w:ascii="Times New Roman" w:hAnsi="Times New Roman" w:cs="Times New Roman"/>
        </w:rPr>
        <w:t xml:space="preserve">, </w:t>
      </w:r>
      <w:r w:rsidR="00C33355">
        <w:rPr>
          <w:rFonts w:ascii="Times New Roman" w:hAnsi="Times New Roman" w:cs="Times New Roman"/>
        </w:rPr>
        <w:t>après avoir été pratiquement en chute libre depuis 2013</w:t>
      </w:r>
      <w:r w:rsidR="007304F8">
        <w:rPr>
          <w:rFonts w:ascii="Times New Roman" w:hAnsi="Times New Roman" w:cs="Times New Roman"/>
        </w:rPr>
        <w:t xml:space="preserve"> : </w:t>
      </w:r>
      <w:r w:rsidR="00C33355">
        <w:rPr>
          <w:rFonts w:ascii="Times New Roman" w:hAnsi="Times New Roman" w:cs="Times New Roman"/>
        </w:rPr>
        <w:t xml:space="preserve">nos ventes ont été divisées par 2 passant de 47,6 à 21,7 M EUR entre 2013 et 2017 </w:t>
      </w:r>
      <w:r w:rsidRPr="002A5F81">
        <w:rPr>
          <w:rFonts w:ascii="Times New Roman" w:hAnsi="Times New Roman" w:cs="Times New Roman"/>
        </w:rPr>
        <w:t xml:space="preserve">; reflet de la mise en place d’une politique </w:t>
      </w:r>
      <w:r w:rsidR="00B05E0C" w:rsidRPr="002A5F81">
        <w:rPr>
          <w:rFonts w:ascii="Times New Roman" w:hAnsi="Times New Roman" w:cs="Times New Roman"/>
        </w:rPr>
        <w:t xml:space="preserve">publique </w:t>
      </w:r>
      <w:r w:rsidRPr="002A5F81">
        <w:rPr>
          <w:rFonts w:ascii="Times New Roman" w:hAnsi="Times New Roman" w:cs="Times New Roman"/>
        </w:rPr>
        <w:t>de maîtrise des dépenses de médicament)</w:t>
      </w:r>
      <w:r>
        <w:rPr>
          <w:rFonts w:ascii="Times New Roman" w:hAnsi="Times New Roman" w:cs="Times New Roman"/>
        </w:rPr>
        <w:t xml:space="preserve">. </w:t>
      </w:r>
      <w:r w:rsidR="007304F8" w:rsidRPr="00484220">
        <w:rPr>
          <w:rFonts w:ascii="Times New Roman" w:hAnsi="Times New Roman" w:cs="Times New Roman"/>
        </w:rPr>
        <w:t>La catégorie</w:t>
      </w:r>
      <w:r w:rsidR="00746FE2" w:rsidRPr="00484220">
        <w:rPr>
          <w:rFonts w:ascii="Times New Roman" w:hAnsi="Times New Roman" w:cs="Times New Roman"/>
        </w:rPr>
        <w:t xml:space="preserve"> « </w:t>
      </w:r>
      <w:r w:rsidRPr="00484220">
        <w:rPr>
          <w:rFonts w:ascii="Times New Roman" w:hAnsi="Times New Roman" w:cs="Times New Roman"/>
        </w:rPr>
        <w:t>produits chimiques, parfums et cosmétiques</w:t>
      </w:r>
      <w:r w:rsidR="00746FE2" w:rsidRPr="00484220">
        <w:rPr>
          <w:rFonts w:ascii="Times New Roman" w:hAnsi="Times New Roman" w:cs="Times New Roman"/>
        </w:rPr>
        <w:t> »</w:t>
      </w:r>
      <w:r w:rsidR="007304F8" w:rsidRPr="00484220">
        <w:rPr>
          <w:rFonts w:ascii="Times New Roman" w:hAnsi="Times New Roman" w:cs="Times New Roman"/>
        </w:rPr>
        <w:t xml:space="preserve">, notre troisième poste </w:t>
      </w:r>
      <w:r w:rsidR="007304F8" w:rsidRPr="004E7484">
        <w:rPr>
          <w:rFonts w:ascii="Times New Roman" w:hAnsi="Times New Roman" w:cs="Times New Roman"/>
        </w:rPr>
        <w:t>d’exportation a connu une année record avec 8</w:t>
      </w:r>
      <w:r w:rsidR="00484220" w:rsidRPr="004E7484">
        <w:rPr>
          <w:rFonts w:ascii="Times New Roman" w:hAnsi="Times New Roman" w:cs="Times New Roman"/>
        </w:rPr>
        <w:t>4</w:t>
      </w:r>
      <w:r w:rsidR="007304F8" w:rsidRPr="004E7484">
        <w:rPr>
          <w:rFonts w:ascii="Times New Roman" w:hAnsi="Times New Roman" w:cs="Times New Roman"/>
        </w:rPr>
        <w:t xml:space="preserve"> M EUR </w:t>
      </w:r>
      <w:r w:rsidR="00484220" w:rsidRPr="004E7484">
        <w:rPr>
          <w:rFonts w:ascii="Times New Roman" w:hAnsi="Times New Roman" w:cs="Times New Roman"/>
        </w:rPr>
        <w:t xml:space="preserve">de marchandises </w:t>
      </w:r>
      <w:r w:rsidR="007304F8" w:rsidRPr="004E7484">
        <w:rPr>
          <w:rFonts w:ascii="Times New Roman" w:hAnsi="Times New Roman" w:cs="Times New Roman"/>
        </w:rPr>
        <w:t>soit + 23,7% par rapport à 2016</w:t>
      </w:r>
      <w:r w:rsidRPr="004E7484">
        <w:rPr>
          <w:rFonts w:ascii="Times New Roman" w:hAnsi="Times New Roman" w:cs="Times New Roman"/>
        </w:rPr>
        <w:t xml:space="preserve">, elle s’explique par </w:t>
      </w:r>
      <w:r w:rsidR="004E7484" w:rsidRPr="004E7484">
        <w:rPr>
          <w:rFonts w:ascii="Times New Roman" w:hAnsi="Times New Roman" w:cs="Times New Roman"/>
        </w:rPr>
        <w:t>une forte hausse</w:t>
      </w:r>
      <w:r w:rsidRPr="004E7484">
        <w:rPr>
          <w:rFonts w:ascii="Times New Roman" w:hAnsi="Times New Roman" w:cs="Times New Roman"/>
        </w:rPr>
        <w:t xml:space="preserve"> de nos ventes </w:t>
      </w:r>
      <w:r w:rsidR="004E7484" w:rsidRPr="004E7484">
        <w:rPr>
          <w:rFonts w:ascii="Times New Roman" w:hAnsi="Times New Roman" w:cs="Times New Roman"/>
        </w:rPr>
        <w:t xml:space="preserve">de parfums et produits de toilettes (+33%) </w:t>
      </w:r>
      <w:r w:rsidR="0007476B">
        <w:rPr>
          <w:rFonts w:ascii="Times New Roman" w:hAnsi="Times New Roman" w:cs="Times New Roman"/>
        </w:rPr>
        <w:t>alors que celles</w:t>
      </w:r>
      <w:r w:rsidR="004E7484" w:rsidRPr="004E7484">
        <w:rPr>
          <w:rFonts w:ascii="Times New Roman" w:hAnsi="Times New Roman" w:cs="Times New Roman"/>
        </w:rPr>
        <w:t xml:space="preserve"> de</w:t>
      </w:r>
      <w:r w:rsidRPr="004E7484">
        <w:rPr>
          <w:rFonts w:ascii="Times New Roman" w:hAnsi="Times New Roman" w:cs="Times New Roman"/>
        </w:rPr>
        <w:t xml:space="preserve"> pesticides et autres produits agrochimiques </w:t>
      </w:r>
      <w:r w:rsidR="0007476B">
        <w:rPr>
          <w:rFonts w:ascii="Times New Roman" w:hAnsi="Times New Roman" w:cs="Times New Roman"/>
        </w:rPr>
        <w:t xml:space="preserve">stagnent </w:t>
      </w:r>
      <w:r w:rsidRPr="004E7484">
        <w:rPr>
          <w:rFonts w:ascii="Times New Roman" w:hAnsi="Times New Roman" w:cs="Times New Roman"/>
        </w:rPr>
        <w:t>(+</w:t>
      </w:r>
      <w:r w:rsidR="004E7484" w:rsidRPr="004E7484">
        <w:rPr>
          <w:rFonts w:ascii="Times New Roman" w:hAnsi="Times New Roman" w:cs="Times New Roman"/>
        </w:rPr>
        <w:t>0,8</w:t>
      </w:r>
      <w:r w:rsidRPr="004E7484">
        <w:rPr>
          <w:rFonts w:ascii="Times New Roman" w:hAnsi="Times New Roman" w:cs="Times New Roman"/>
        </w:rPr>
        <w:t>%).</w:t>
      </w:r>
    </w:p>
    <w:p w14:paraId="76941B43" w14:textId="77777777" w:rsidR="009D3F49" w:rsidRDefault="00484220" w:rsidP="003D413F">
      <w:pPr>
        <w:pStyle w:val="Sansinterligne"/>
        <w:spacing w:after="120"/>
        <w:jc w:val="both"/>
        <w:rPr>
          <w:rFonts w:ascii="Times New Roman" w:hAnsi="Times New Roman" w:cs="Times New Roman"/>
        </w:rPr>
      </w:pPr>
      <w:r>
        <w:rPr>
          <w:rFonts w:ascii="Times New Roman" w:hAnsi="Times New Roman" w:cs="Times New Roman"/>
          <w:b/>
        </w:rPr>
        <w:t>N</w:t>
      </w:r>
      <w:r w:rsidR="00C25971" w:rsidRPr="00442A26">
        <w:rPr>
          <w:rFonts w:ascii="Times New Roman" w:hAnsi="Times New Roman" w:cs="Times New Roman"/>
          <w:b/>
        </w:rPr>
        <w:t xml:space="preserve">otre </w:t>
      </w:r>
      <w:r w:rsidR="00500883" w:rsidRPr="00442A26">
        <w:rPr>
          <w:rFonts w:ascii="Times New Roman" w:hAnsi="Times New Roman" w:cs="Times New Roman"/>
          <w:b/>
        </w:rPr>
        <w:t>premier</w:t>
      </w:r>
      <w:r w:rsidR="00C25971" w:rsidRPr="00442A26">
        <w:rPr>
          <w:rFonts w:ascii="Times New Roman" w:hAnsi="Times New Roman" w:cs="Times New Roman"/>
          <w:b/>
        </w:rPr>
        <w:t xml:space="preserve"> poste de vente à la Croatie</w:t>
      </w:r>
      <w:r w:rsidR="00331D1D">
        <w:rPr>
          <w:rFonts w:ascii="Times New Roman" w:hAnsi="Times New Roman" w:cs="Times New Roman"/>
          <w:b/>
        </w:rPr>
        <w:t xml:space="preserve"> depuis 2016,</w:t>
      </w:r>
      <w:r w:rsidR="00C25971" w:rsidRPr="00442A26">
        <w:rPr>
          <w:rFonts w:ascii="Times New Roman" w:hAnsi="Times New Roman" w:cs="Times New Roman"/>
          <w:b/>
        </w:rPr>
        <w:t xml:space="preserve"> </w:t>
      </w:r>
      <w:r w:rsidR="00331D1D" w:rsidRPr="00442A26">
        <w:rPr>
          <w:rFonts w:ascii="Times New Roman" w:hAnsi="Times New Roman" w:cs="Times New Roman"/>
          <w:b/>
        </w:rPr>
        <w:t>le</w:t>
      </w:r>
      <w:r w:rsidR="00331D1D">
        <w:rPr>
          <w:rFonts w:ascii="Times New Roman" w:hAnsi="Times New Roman" w:cs="Times New Roman"/>
          <w:b/>
        </w:rPr>
        <w:t>s</w:t>
      </w:r>
      <w:r w:rsidR="00331D1D" w:rsidRPr="00442A26">
        <w:rPr>
          <w:rFonts w:ascii="Times New Roman" w:hAnsi="Times New Roman" w:cs="Times New Roman"/>
          <w:b/>
        </w:rPr>
        <w:t xml:space="preserve"> matériel</w:t>
      </w:r>
      <w:r w:rsidR="00331D1D">
        <w:rPr>
          <w:rFonts w:ascii="Times New Roman" w:hAnsi="Times New Roman" w:cs="Times New Roman"/>
          <w:b/>
        </w:rPr>
        <w:t>s de transports, s’établit à 99 M EUR</w:t>
      </w:r>
      <w:r>
        <w:rPr>
          <w:rFonts w:ascii="Times New Roman" w:hAnsi="Times New Roman" w:cs="Times New Roman"/>
          <w:b/>
        </w:rPr>
        <w:t xml:space="preserve"> </w:t>
      </w:r>
      <w:r w:rsidR="004B5033">
        <w:rPr>
          <w:rFonts w:ascii="Times New Roman" w:hAnsi="Times New Roman" w:cs="Times New Roman"/>
          <w:b/>
        </w:rPr>
        <w:t>(</w:t>
      </w:r>
      <w:r w:rsidR="00331D1D">
        <w:rPr>
          <w:rFonts w:ascii="Times New Roman" w:hAnsi="Times New Roman" w:cs="Times New Roman"/>
          <w:b/>
        </w:rPr>
        <w:t>22</w:t>
      </w:r>
      <w:r w:rsidR="004B5033">
        <w:rPr>
          <w:rFonts w:ascii="Times New Roman" w:hAnsi="Times New Roman" w:cs="Times New Roman"/>
          <w:b/>
        </w:rPr>
        <w:t>%)</w:t>
      </w:r>
      <w:r w:rsidR="00C25971" w:rsidRPr="00442A26">
        <w:rPr>
          <w:rFonts w:ascii="Times New Roman" w:hAnsi="Times New Roman" w:cs="Times New Roman"/>
        </w:rPr>
        <w:t xml:space="preserve">. </w:t>
      </w:r>
      <w:r w:rsidR="009D3F49">
        <w:rPr>
          <w:rFonts w:ascii="Times New Roman" w:hAnsi="Times New Roman" w:cs="Times New Roman"/>
        </w:rPr>
        <w:t>Mis à part nos marques automobiles</w:t>
      </w:r>
      <w:r w:rsidR="00AD4FA5">
        <w:rPr>
          <w:rFonts w:ascii="Times New Roman" w:hAnsi="Times New Roman" w:cs="Times New Roman"/>
        </w:rPr>
        <w:t xml:space="preserve"> dont les ventes représentent environ 30% du marché</w:t>
      </w:r>
      <w:r w:rsidR="009D3F49">
        <w:rPr>
          <w:rFonts w:ascii="Times New Roman" w:hAnsi="Times New Roman" w:cs="Times New Roman"/>
        </w:rPr>
        <w:t>, l’explosion du tourisme et plus particulièrement du nautisme</w:t>
      </w:r>
      <w:r w:rsidR="00AD4FA5">
        <w:rPr>
          <w:rFonts w:ascii="Times New Roman" w:hAnsi="Times New Roman" w:cs="Times New Roman"/>
        </w:rPr>
        <w:t xml:space="preserve"> en Croatie a permis d’amener également nos fabricants de navires de plaisance à couvrir environ 1/3 des importations</w:t>
      </w:r>
      <w:r w:rsidR="004D0BE6">
        <w:rPr>
          <w:rFonts w:ascii="Times New Roman" w:hAnsi="Times New Roman" w:cs="Times New Roman"/>
        </w:rPr>
        <w:t xml:space="preserve"> de ce poste en Croatie</w:t>
      </w:r>
      <w:r w:rsidR="00AD4FA5">
        <w:rPr>
          <w:rFonts w:ascii="Times New Roman" w:hAnsi="Times New Roman" w:cs="Times New Roman"/>
        </w:rPr>
        <w:t>.</w:t>
      </w:r>
    </w:p>
    <w:p w14:paraId="2AE6C71D" w14:textId="77777777" w:rsidR="0090503A" w:rsidRPr="00253A53" w:rsidRDefault="004B5033" w:rsidP="003D413F">
      <w:pPr>
        <w:pStyle w:val="Sansinterligne"/>
        <w:spacing w:after="120"/>
        <w:jc w:val="both"/>
        <w:rPr>
          <w:rFonts w:ascii="Times New Roman" w:hAnsi="Times New Roman" w:cs="Times New Roman"/>
        </w:rPr>
      </w:pPr>
      <w:r>
        <w:rPr>
          <w:rFonts w:ascii="Times New Roman" w:hAnsi="Times New Roman" w:cs="Times New Roman"/>
        </w:rPr>
        <w:t>N</w:t>
      </w:r>
      <w:r w:rsidR="008D098C" w:rsidRPr="00442A26">
        <w:rPr>
          <w:rFonts w:ascii="Times New Roman" w:hAnsi="Times New Roman" w:cs="Times New Roman"/>
        </w:rPr>
        <w:t xml:space="preserve">os </w:t>
      </w:r>
      <w:r w:rsidR="00457E95" w:rsidRPr="00442A26">
        <w:rPr>
          <w:rFonts w:ascii="Times New Roman" w:hAnsi="Times New Roman" w:cs="Times New Roman"/>
        </w:rPr>
        <w:t>exportations</w:t>
      </w:r>
      <w:r w:rsidR="001A750A" w:rsidRPr="00442A26">
        <w:rPr>
          <w:rFonts w:ascii="Times New Roman" w:hAnsi="Times New Roman" w:cs="Times New Roman"/>
        </w:rPr>
        <w:t xml:space="preserve"> </w:t>
      </w:r>
      <w:r w:rsidR="00C25971" w:rsidRPr="00442A26">
        <w:rPr>
          <w:rFonts w:ascii="Times New Roman" w:hAnsi="Times New Roman" w:cs="Times New Roman"/>
        </w:rPr>
        <w:t xml:space="preserve">continuent de </w:t>
      </w:r>
      <w:r w:rsidR="001A750A" w:rsidRPr="00442A26">
        <w:rPr>
          <w:rFonts w:ascii="Times New Roman" w:hAnsi="Times New Roman" w:cs="Times New Roman"/>
        </w:rPr>
        <w:t>repose</w:t>
      </w:r>
      <w:r w:rsidR="00C25971" w:rsidRPr="00442A26">
        <w:rPr>
          <w:rFonts w:ascii="Times New Roman" w:hAnsi="Times New Roman" w:cs="Times New Roman"/>
        </w:rPr>
        <w:t>r</w:t>
      </w:r>
      <w:r w:rsidR="00570E29" w:rsidRPr="00442A26">
        <w:rPr>
          <w:rFonts w:ascii="Times New Roman" w:hAnsi="Times New Roman" w:cs="Times New Roman"/>
        </w:rPr>
        <w:t xml:space="preserve"> </w:t>
      </w:r>
      <w:r w:rsidR="00802D6C" w:rsidRPr="00442A26">
        <w:rPr>
          <w:rFonts w:ascii="Times New Roman" w:hAnsi="Times New Roman" w:cs="Times New Roman"/>
        </w:rPr>
        <w:t>large</w:t>
      </w:r>
      <w:r w:rsidR="00802D6C" w:rsidRPr="00253A53">
        <w:rPr>
          <w:rFonts w:ascii="Times New Roman" w:hAnsi="Times New Roman" w:cs="Times New Roman"/>
        </w:rPr>
        <w:t>ment s</w:t>
      </w:r>
      <w:r w:rsidR="00570E29" w:rsidRPr="00253A53">
        <w:rPr>
          <w:rFonts w:ascii="Times New Roman" w:hAnsi="Times New Roman" w:cs="Times New Roman"/>
        </w:rPr>
        <w:t xml:space="preserve">ur </w:t>
      </w:r>
      <w:r w:rsidR="008D098C" w:rsidRPr="00253A53">
        <w:rPr>
          <w:rFonts w:ascii="Times New Roman" w:hAnsi="Times New Roman" w:cs="Times New Roman"/>
        </w:rPr>
        <w:t>l</w:t>
      </w:r>
      <w:r w:rsidR="00F347D8" w:rsidRPr="00253A53">
        <w:rPr>
          <w:rFonts w:ascii="Times New Roman" w:hAnsi="Times New Roman" w:cs="Times New Roman"/>
        </w:rPr>
        <w:t>es</w:t>
      </w:r>
      <w:r w:rsidR="00570E29" w:rsidRPr="00253A53">
        <w:rPr>
          <w:rFonts w:ascii="Times New Roman" w:hAnsi="Times New Roman" w:cs="Times New Roman"/>
        </w:rPr>
        <w:t xml:space="preserve"> </w:t>
      </w:r>
      <w:r w:rsidR="00802D6C" w:rsidRPr="00253A53">
        <w:rPr>
          <w:rFonts w:ascii="Times New Roman" w:hAnsi="Times New Roman" w:cs="Times New Roman"/>
        </w:rPr>
        <w:t>équipements mécaniques, électriques, électroniques et informatiques</w:t>
      </w:r>
      <w:r w:rsidR="0011567C" w:rsidRPr="00253A53">
        <w:rPr>
          <w:rStyle w:val="Appelnotedebasdep"/>
          <w:rFonts w:ascii="Times New Roman" w:hAnsi="Times New Roman" w:cs="Times New Roman"/>
        </w:rPr>
        <w:footnoteReference w:id="1"/>
      </w:r>
      <w:r w:rsidR="006C2C02" w:rsidRPr="00253A53">
        <w:rPr>
          <w:rFonts w:ascii="Times New Roman" w:hAnsi="Times New Roman" w:cs="Times New Roman"/>
        </w:rPr>
        <w:t xml:space="preserve"> </w:t>
      </w:r>
      <w:r w:rsidR="00802D6C" w:rsidRPr="00253A53">
        <w:rPr>
          <w:rFonts w:ascii="Times New Roman" w:hAnsi="Times New Roman" w:cs="Times New Roman"/>
        </w:rPr>
        <w:t>(</w:t>
      </w:r>
      <w:r w:rsidR="00BB2BA6">
        <w:rPr>
          <w:rFonts w:ascii="Times New Roman" w:hAnsi="Times New Roman" w:cs="Times New Roman"/>
        </w:rPr>
        <w:t>20</w:t>
      </w:r>
      <w:r w:rsidR="00802D6C" w:rsidRPr="00253A53">
        <w:rPr>
          <w:rFonts w:ascii="Times New Roman" w:hAnsi="Times New Roman" w:cs="Times New Roman"/>
        </w:rPr>
        <w:t xml:space="preserve">%), </w:t>
      </w:r>
      <w:r w:rsidR="00C25971" w:rsidRPr="00253A53">
        <w:rPr>
          <w:rFonts w:ascii="Times New Roman" w:hAnsi="Times New Roman" w:cs="Times New Roman"/>
        </w:rPr>
        <w:t>et</w:t>
      </w:r>
      <w:r w:rsidR="0090503A" w:rsidRPr="00253A53">
        <w:rPr>
          <w:rFonts w:ascii="Times New Roman" w:hAnsi="Times New Roman" w:cs="Times New Roman"/>
        </w:rPr>
        <w:t xml:space="preserve"> </w:t>
      </w:r>
      <w:r w:rsidR="008D098C" w:rsidRPr="00253A53">
        <w:rPr>
          <w:rFonts w:ascii="Times New Roman" w:hAnsi="Times New Roman" w:cs="Times New Roman"/>
        </w:rPr>
        <w:t>l</w:t>
      </w:r>
      <w:r w:rsidR="00802D6C" w:rsidRPr="00253A53">
        <w:rPr>
          <w:rFonts w:ascii="Times New Roman" w:hAnsi="Times New Roman" w:cs="Times New Roman"/>
        </w:rPr>
        <w:t>es produits agroalimentaires (</w:t>
      </w:r>
      <w:r w:rsidR="00BB2BA6">
        <w:rPr>
          <w:rFonts w:ascii="Times New Roman" w:hAnsi="Times New Roman" w:cs="Times New Roman"/>
        </w:rPr>
        <w:t>15</w:t>
      </w:r>
      <w:r w:rsidR="00802D6C" w:rsidRPr="00253A53">
        <w:rPr>
          <w:rFonts w:ascii="Times New Roman" w:hAnsi="Times New Roman" w:cs="Times New Roman"/>
        </w:rPr>
        <w:t>%)</w:t>
      </w:r>
      <w:r w:rsidR="00C25971" w:rsidRPr="00253A53">
        <w:rPr>
          <w:rFonts w:ascii="Times New Roman" w:hAnsi="Times New Roman" w:cs="Times New Roman"/>
        </w:rPr>
        <w:t>.</w:t>
      </w:r>
    </w:p>
    <w:p w14:paraId="72715B0E" w14:textId="77777777" w:rsidR="00C1431F" w:rsidRPr="00220F61" w:rsidRDefault="004C5275" w:rsidP="003D413F">
      <w:pPr>
        <w:pStyle w:val="Sansinterligne"/>
        <w:spacing w:after="120"/>
        <w:jc w:val="both"/>
        <w:rPr>
          <w:rFonts w:ascii="Times New Roman" w:hAnsi="Times New Roman" w:cs="Times New Roman"/>
        </w:rPr>
      </w:pPr>
      <w:r w:rsidRPr="00B45F95">
        <w:rPr>
          <w:rFonts w:ascii="Times New Roman" w:hAnsi="Times New Roman" w:cs="Times New Roman"/>
          <w:b/>
        </w:rPr>
        <w:t>En 2016, l</w:t>
      </w:r>
      <w:r w:rsidR="0090503A" w:rsidRPr="00B45F95">
        <w:rPr>
          <w:rFonts w:ascii="Times New Roman" w:hAnsi="Times New Roman" w:cs="Times New Roman"/>
          <w:b/>
        </w:rPr>
        <w:t xml:space="preserve">es plus fortes hausses </w:t>
      </w:r>
      <w:r w:rsidRPr="00B45F95">
        <w:rPr>
          <w:rFonts w:ascii="Times New Roman" w:hAnsi="Times New Roman" w:cs="Times New Roman"/>
          <w:b/>
        </w:rPr>
        <w:t xml:space="preserve">ont </w:t>
      </w:r>
      <w:r w:rsidR="0090503A" w:rsidRPr="00B45F95">
        <w:rPr>
          <w:rFonts w:ascii="Times New Roman" w:hAnsi="Times New Roman" w:cs="Times New Roman"/>
          <w:b/>
        </w:rPr>
        <w:t>concern</w:t>
      </w:r>
      <w:r w:rsidRPr="00B45F95">
        <w:rPr>
          <w:rFonts w:ascii="Times New Roman" w:hAnsi="Times New Roman" w:cs="Times New Roman"/>
          <w:b/>
        </w:rPr>
        <w:t xml:space="preserve">é </w:t>
      </w:r>
      <w:r w:rsidR="00B45F95">
        <w:rPr>
          <w:rFonts w:ascii="Times New Roman" w:hAnsi="Times New Roman" w:cs="Times New Roman"/>
          <w:b/>
        </w:rPr>
        <w:t xml:space="preserve">les exportations de </w:t>
      </w:r>
      <w:r w:rsidR="00CB14AB">
        <w:rPr>
          <w:rFonts w:ascii="Times New Roman" w:hAnsi="Times New Roman" w:cs="Times New Roman"/>
          <w:b/>
        </w:rPr>
        <w:t>produits chimiques et cosmétiques</w:t>
      </w:r>
      <w:r w:rsidRPr="00B45F95">
        <w:rPr>
          <w:rFonts w:ascii="Times New Roman" w:hAnsi="Times New Roman" w:cs="Times New Roman"/>
          <w:b/>
        </w:rPr>
        <w:t xml:space="preserve"> (+</w:t>
      </w:r>
      <w:r w:rsidR="00CB14AB">
        <w:rPr>
          <w:rFonts w:ascii="Times New Roman" w:hAnsi="Times New Roman" w:cs="Times New Roman"/>
          <w:b/>
        </w:rPr>
        <w:t>23,7</w:t>
      </w:r>
      <w:r w:rsidRPr="00B45F95">
        <w:rPr>
          <w:rFonts w:ascii="Times New Roman" w:hAnsi="Times New Roman" w:cs="Times New Roman"/>
          <w:b/>
        </w:rPr>
        <w:t>% à 8</w:t>
      </w:r>
      <w:r w:rsidR="00CB14AB">
        <w:rPr>
          <w:rFonts w:ascii="Times New Roman" w:hAnsi="Times New Roman" w:cs="Times New Roman"/>
          <w:b/>
        </w:rPr>
        <w:t>4</w:t>
      </w:r>
      <w:r w:rsidRPr="00B45F95">
        <w:rPr>
          <w:rFonts w:ascii="Times New Roman" w:hAnsi="Times New Roman" w:cs="Times New Roman"/>
          <w:b/>
        </w:rPr>
        <w:t xml:space="preserve"> M EUR) et les équipements mécaniques, matériels électrique, électronique et informatique (+23% à </w:t>
      </w:r>
      <w:r w:rsidR="00CB14AB">
        <w:rPr>
          <w:rFonts w:ascii="Times New Roman" w:hAnsi="Times New Roman" w:cs="Times New Roman"/>
          <w:b/>
        </w:rPr>
        <w:t>94</w:t>
      </w:r>
      <w:r w:rsidRPr="00B45F95">
        <w:rPr>
          <w:rFonts w:ascii="Times New Roman" w:hAnsi="Times New Roman" w:cs="Times New Roman"/>
          <w:b/>
        </w:rPr>
        <w:t>,1 M EUR)</w:t>
      </w:r>
      <w:r w:rsidR="00433092" w:rsidRPr="00220F61">
        <w:rPr>
          <w:rFonts w:ascii="Times New Roman" w:hAnsi="Times New Roman" w:cs="Times New Roman"/>
        </w:rPr>
        <w:t xml:space="preserve">. </w:t>
      </w:r>
    </w:p>
    <w:p w14:paraId="01BF18C8" w14:textId="77777777" w:rsidR="00110E84" w:rsidRDefault="00110E84" w:rsidP="00110E84">
      <w:pPr>
        <w:pStyle w:val="Sansinterligne"/>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b/>
        </w:rPr>
      </w:pPr>
      <w:r w:rsidRPr="00442A26">
        <w:rPr>
          <w:rFonts w:ascii="Times New Roman" w:hAnsi="Times New Roman" w:cs="Times New Roman"/>
          <w:b/>
        </w:rPr>
        <w:t xml:space="preserve">Les véhicules automobiles restent largement notre </w:t>
      </w:r>
      <w:r w:rsidRPr="00442A26">
        <w:rPr>
          <w:rFonts w:ascii="Times New Roman" w:hAnsi="Times New Roman" w:cs="Times New Roman"/>
          <w:b/>
          <w:u w:val="single"/>
        </w:rPr>
        <w:t>premier produit</w:t>
      </w:r>
      <w:r w:rsidRPr="00442A26">
        <w:rPr>
          <w:rFonts w:ascii="Times New Roman" w:hAnsi="Times New Roman" w:cs="Times New Roman"/>
          <w:b/>
        </w:rPr>
        <w:t xml:space="preserve"> </w:t>
      </w:r>
      <w:r w:rsidRPr="00E74B1E">
        <w:rPr>
          <w:rFonts w:ascii="Times New Roman" w:hAnsi="Times New Roman" w:cs="Times New Roman"/>
          <w:u w:val="single"/>
        </w:rPr>
        <w:t>(nomenclature CPF4)</w:t>
      </w:r>
      <w:r>
        <w:rPr>
          <w:rFonts w:ascii="Times New Roman" w:hAnsi="Times New Roman" w:cs="Times New Roman"/>
        </w:rPr>
        <w:t xml:space="preserve"> </w:t>
      </w:r>
      <w:r w:rsidRPr="00442A26">
        <w:rPr>
          <w:rFonts w:ascii="Times New Roman" w:hAnsi="Times New Roman" w:cs="Times New Roman"/>
          <w:b/>
        </w:rPr>
        <w:t xml:space="preserve">à l’exportation </w:t>
      </w:r>
      <w:r w:rsidRPr="00442A26">
        <w:rPr>
          <w:rFonts w:ascii="Times New Roman" w:hAnsi="Times New Roman" w:cs="Times New Roman"/>
        </w:rPr>
        <w:t>(</w:t>
      </w:r>
      <w:r w:rsidR="006554C4">
        <w:rPr>
          <w:rFonts w:ascii="Times New Roman" w:hAnsi="Times New Roman" w:cs="Times New Roman"/>
        </w:rPr>
        <w:t>11,8</w:t>
      </w:r>
      <w:r w:rsidRPr="00442A26">
        <w:rPr>
          <w:rFonts w:ascii="Times New Roman" w:hAnsi="Times New Roman" w:cs="Times New Roman"/>
        </w:rPr>
        <w:t>% en 201</w:t>
      </w:r>
      <w:r w:rsidR="00CB14AB">
        <w:rPr>
          <w:rFonts w:ascii="Times New Roman" w:hAnsi="Times New Roman" w:cs="Times New Roman"/>
        </w:rPr>
        <w:t>7</w:t>
      </w:r>
      <w:r w:rsidRPr="00442A26">
        <w:rPr>
          <w:rFonts w:ascii="Times New Roman" w:hAnsi="Times New Roman" w:cs="Times New Roman"/>
        </w:rPr>
        <w:t xml:space="preserve">), juste devant </w:t>
      </w:r>
      <w:r w:rsidR="006554C4" w:rsidRPr="00442A26">
        <w:rPr>
          <w:rFonts w:ascii="Times New Roman" w:hAnsi="Times New Roman" w:cs="Times New Roman"/>
          <w:b/>
        </w:rPr>
        <w:t>les parfums et produits de toilette, traditionnellement deuxième produit français</w:t>
      </w:r>
      <w:r w:rsidR="006554C4" w:rsidRPr="00442A26">
        <w:rPr>
          <w:rFonts w:ascii="Times New Roman" w:hAnsi="Times New Roman" w:cs="Times New Roman"/>
        </w:rPr>
        <w:t xml:space="preserve"> à l’exportation en Croatie</w:t>
      </w:r>
      <w:r w:rsidR="006554C4">
        <w:rPr>
          <w:rFonts w:ascii="Times New Roman" w:hAnsi="Times New Roman" w:cs="Times New Roman"/>
        </w:rPr>
        <w:t xml:space="preserve"> (7,4%) et</w:t>
      </w:r>
      <w:r w:rsidR="006554C4" w:rsidRPr="00442A26">
        <w:rPr>
          <w:rFonts w:ascii="Times New Roman" w:hAnsi="Times New Roman" w:cs="Times New Roman"/>
          <w:b/>
        </w:rPr>
        <w:t xml:space="preserve"> </w:t>
      </w:r>
      <w:r w:rsidRPr="00442A26">
        <w:rPr>
          <w:rFonts w:ascii="Times New Roman" w:hAnsi="Times New Roman" w:cs="Times New Roman"/>
          <w:b/>
        </w:rPr>
        <w:t>les bateaux de plaisance (</w:t>
      </w:r>
      <w:r w:rsidR="006554C4">
        <w:rPr>
          <w:rFonts w:ascii="Times New Roman" w:hAnsi="Times New Roman" w:cs="Times New Roman"/>
          <w:b/>
        </w:rPr>
        <w:t>6,9</w:t>
      </w:r>
      <w:r w:rsidRPr="00442A26">
        <w:rPr>
          <w:rFonts w:ascii="Times New Roman" w:hAnsi="Times New Roman" w:cs="Times New Roman"/>
          <w:b/>
        </w:rPr>
        <w:t>% du total de nos ventes</w:t>
      </w:r>
      <w:r w:rsidR="004E7484">
        <w:rPr>
          <w:rFonts w:ascii="Times New Roman" w:hAnsi="Times New Roman" w:cs="Times New Roman"/>
          <w:b/>
        </w:rPr>
        <w:t>,</w:t>
      </w:r>
      <w:r w:rsidRPr="00442A26">
        <w:rPr>
          <w:rFonts w:ascii="Times New Roman" w:hAnsi="Times New Roman" w:cs="Times New Roman"/>
          <w:b/>
        </w:rPr>
        <w:t xml:space="preserve"> </w:t>
      </w:r>
      <w:r w:rsidR="004E7484">
        <w:rPr>
          <w:rFonts w:ascii="Times New Roman" w:hAnsi="Times New Roman" w:cs="Times New Roman"/>
          <w:b/>
        </w:rPr>
        <w:t>+ 3,6% seulement par rapport à 2016</w:t>
      </w:r>
      <w:r w:rsidRPr="00442A26">
        <w:rPr>
          <w:rFonts w:ascii="Times New Roman" w:hAnsi="Times New Roman" w:cs="Times New Roman"/>
          <w:b/>
        </w:rPr>
        <w:t xml:space="preserve">). </w:t>
      </w:r>
    </w:p>
    <w:p w14:paraId="1B266B54" w14:textId="77777777" w:rsidR="00D104A4" w:rsidRPr="00442A26" w:rsidRDefault="00E74B1E" w:rsidP="00110E84">
      <w:pPr>
        <w:pStyle w:val="Sansinterligne"/>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rPr>
      </w:pPr>
      <w:r>
        <w:rPr>
          <w:rFonts w:ascii="Times New Roman" w:hAnsi="Times New Roman" w:cs="Times New Roman"/>
        </w:rPr>
        <w:t xml:space="preserve">Nettement plus loin derrière, </w:t>
      </w:r>
      <w:r w:rsidRPr="00E74B1E">
        <w:rPr>
          <w:rFonts w:ascii="Times New Roman" w:hAnsi="Times New Roman" w:cs="Times New Roman"/>
          <w:b/>
        </w:rPr>
        <w:t>les m</w:t>
      </w:r>
      <w:r w:rsidR="00D104A4" w:rsidRPr="00E74B1E">
        <w:rPr>
          <w:rFonts w:ascii="Times New Roman" w:hAnsi="Times New Roman" w:cs="Times New Roman"/>
          <w:b/>
        </w:rPr>
        <w:t>atières plastiques sous formes primaires</w:t>
      </w:r>
      <w:r w:rsidRPr="00E74B1E">
        <w:rPr>
          <w:rFonts w:ascii="Times New Roman" w:hAnsi="Times New Roman" w:cs="Times New Roman"/>
          <w:b/>
        </w:rPr>
        <w:t xml:space="preserve"> sont en 5</w:t>
      </w:r>
      <w:r w:rsidRPr="00E74B1E">
        <w:rPr>
          <w:rFonts w:ascii="Times New Roman" w:hAnsi="Times New Roman" w:cs="Times New Roman"/>
          <w:b/>
          <w:vertAlign w:val="superscript"/>
        </w:rPr>
        <w:t>ème</w:t>
      </w:r>
      <w:r w:rsidRPr="00E74B1E">
        <w:rPr>
          <w:rFonts w:ascii="Times New Roman" w:hAnsi="Times New Roman" w:cs="Times New Roman"/>
          <w:b/>
        </w:rPr>
        <w:t xml:space="preserve"> position</w:t>
      </w:r>
      <w:r>
        <w:rPr>
          <w:rFonts w:ascii="Times New Roman" w:hAnsi="Times New Roman" w:cs="Times New Roman"/>
        </w:rPr>
        <w:t xml:space="preserve"> avec 3,8% de nos ventes totales suivi de près par </w:t>
      </w:r>
      <w:r w:rsidRPr="00E74B1E">
        <w:rPr>
          <w:rFonts w:ascii="Times New Roman" w:hAnsi="Times New Roman" w:cs="Times New Roman"/>
          <w:b/>
        </w:rPr>
        <w:t>les préparations pharmaceutiques</w:t>
      </w:r>
      <w:r>
        <w:rPr>
          <w:rFonts w:ascii="Times New Roman" w:hAnsi="Times New Roman" w:cs="Times New Roman"/>
        </w:rPr>
        <w:t xml:space="preserve"> représentant 3,6%</w:t>
      </w:r>
    </w:p>
    <w:p w14:paraId="2BF0319D" w14:textId="77777777" w:rsidR="003D31AC" w:rsidRPr="007E6694" w:rsidRDefault="00220F61" w:rsidP="003D413F">
      <w:pPr>
        <w:pStyle w:val="Sansinterligne"/>
        <w:spacing w:after="120"/>
        <w:jc w:val="both"/>
        <w:rPr>
          <w:rFonts w:ascii="Times New Roman" w:hAnsi="Times New Roman" w:cs="Times New Roman"/>
        </w:rPr>
      </w:pPr>
      <w:r w:rsidRPr="007E6694">
        <w:rPr>
          <w:rFonts w:ascii="Times New Roman" w:hAnsi="Times New Roman" w:cs="Times New Roman"/>
          <w:b/>
        </w:rPr>
        <w:t>Contrairement à 201</w:t>
      </w:r>
      <w:r w:rsidR="00B00734">
        <w:rPr>
          <w:rFonts w:ascii="Times New Roman" w:hAnsi="Times New Roman" w:cs="Times New Roman"/>
          <w:b/>
        </w:rPr>
        <w:t>6</w:t>
      </w:r>
      <w:r w:rsidRPr="007E6694">
        <w:rPr>
          <w:rFonts w:ascii="Times New Roman" w:hAnsi="Times New Roman" w:cs="Times New Roman"/>
          <w:b/>
        </w:rPr>
        <w:t>, nos</w:t>
      </w:r>
      <w:r w:rsidR="00404019" w:rsidRPr="007E6694">
        <w:rPr>
          <w:rFonts w:ascii="Times New Roman" w:hAnsi="Times New Roman" w:cs="Times New Roman"/>
          <w:b/>
        </w:rPr>
        <w:t xml:space="preserve"> exportations </w:t>
      </w:r>
      <w:r w:rsidR="006E7755" w:rsidRPr="007E6694">
        <w:rPr>
          <w:rFonts w:ascii="Times New Roman" w:hAnsi="Times New Roman" w:cs="Times New Roman"/>
          <w:b/>
        </w:rPr>
        <w:t>de</w:t>
      </w:r>
      <w:r w:rsidRPr="007E6694">
        <w:rPr>
          <w:rFonts w:ascii="Times New Roman" w:hAnsi="Times New Roman" w:cs="Times New Roman"/>
          <w:b/>
        </w:rPr>
        <w:t xml:space="preserve"> </w:t>
      </w:r>
      <w:r w:rsidR="006E7755" w:rsidRPr="007E6694">
        <w:rPr>
          <w:rFonts w:ascii="Times New Roman" w:hAnsi="Times New Roman" w:cs="Times New Roman"/>
          <w:b/>
        </w:rPr>
        <w:t xml:space="preserve">produits </w:t>
      </w:r>
      <w:r w:rsidR="00774F9D" w:rsidRPr="007E6694">
        <w:rPr>
          <w:rFonts w:ascii="Times New Roman" w:hAnsi="Times New Roman" w:cs="Times New Roman"/>
          <w:b/>
        </w:rPr>
        <w:t>des industries agroalimentaires</w:t>
      </w:r>
      <w:r w:rsidR="00404019" w:rsidRPr="007E6694">
        <w:rPr>
          <w:rFonts w:ascii="Times New Roman" w:hAnsi="Times New Roman" w:cs="Times New Roman"/>
          <w:b/>
        </w:rPr>
        <w:t xml:space="preserve"> on</w:t>
      </w:r>
      <w:r w:rsidRPr="007E6694">
        <w:rPr>
          <w:rFonts w:ascii="Times New Roman" w:hAnsi="Times New Roman" w:cs="Times New Roman"/>
          <w:b/>
        </w:rPr>
        <w:t>t</w:t>
      </w:r>
      <w:r w:rsidR="00404019" w:rsidRPr="007E6694">
        <w:rPr>
          <w:rFonts w:ascii="Times New Roman" w:hAnsi="Times New Roman" w:cs="Times New Roman"/>
          <w:b/>
        </w:rPr>
        <w:t xml:space="preserve"> </w:t>
      </w:r>
      <w:r w:rsidR="00B00734">
        <w:rPr>
          <w:rFonts w:ascii="Times New Roman" w:hAnsi="Times New Roman" w:cs="Times New Roman"/>
          <w:b/>
        </w:rPr>
        <w:t>significativement augmenté</w:t>
      </w:r>
      <w:r w:rsidR="00404019" w:rsidRPr="007E6694">
        <w:rPr>
          <w:rFonts w:ascii="Times New Roman" w:hAnsi="Times New Roman" w:cs="Times New Roman"/>
          <w:b/>
        </w:rPr>
        <w:t xml:space="preserve"> </w:t>
      </w:r>
      <w:r w:rsidR="00404019" w:rsidRPr="00442A26">
        <w:rPr>
          <w:rFonts w:ascii="Times New Roman" w:hAnsi="Times New Roman" w:cs="Times New Roman"/>
        </w:rPr>
        <w:t>(+</w:t>
      </w:r>
      <w:r w:rsidR="00B00734">
        <w:rPr>
          <w:rFonts w:ascii="Times New Roman" w:hAnsi="Times New Roman" w:cs="Times New Roman"/>
        </w:rPr>
        <w:t>22</w:t>
      </w:r>
      <w:r w:rsidR="00404019" w:rsidRPr="00442A26">
        <w:rPr>
          <w:rFonts w:ascii="Times New Roman" w:hAnsi="Times New Roman" w:cs="Times New Roman"/>
        </w:rPr>
        <w:t xml:space="preserve">%) </w:t>
      </w:r>
      <w:r w:rsidR="00B00734">
        <w:rPr>
          <w:rFonts w:ascii="Times New Roman" w:hAnsi="Times New Roman" w:cs="Times New Roman"/>
        </w:rPr>
        <w:t>et</w:t>
      </w:r>
      <w:r w:rsidR="00404019" w:rsidRPr="00442A26">
        <w:rPr>
          <w:rFonts w:ascii="Times New Roman" w:hAnsi="Times New Roman" w:cs="Times New Roman"/>
        </w:rPr>
        <w:t xml:space="preserve"> </w:t>
      </w:r>
      <w:r>
        <w:rPr>
          <w:rFonts w:ascii="Times New Roman" w:hAnsi="Times New Roman" w:cs="Times New Roman"/>
        </w:rPr>
        <w:t xml:space="preserve">se sont </w:t>
      </w:r>
      <w:r w:rsidR="00404019" w:rsidRPr="00442A26">
        <w:rPr>
          <w:rFonts w:ascii="Times New Roman" w:hAnsi="Times New Roman" w:cs="Times New Roman"/>
        </w:rPr>
        <w:t>consolidées à un niveau inédit (+</w:t>
      </w:r>
      <w:r w:rsidR="00B00734">
        <w:rPr>
          <w:rFonts w:ascii="Times New Roman" w:hAnsi="Times New Roman" w:cs="Times New Roman"/>
        </w:rPr>
        <w:t>103</w:t>
      </w:r>
      <w:r w:rsidR="00404019" w:rsidRPr="00442A26">
        <w:rPr>
          <w:rFonts w:ascii="Times New Roman" w:hAnsi="Times New Roman" w:cs="Times New Roman"/>
        </w:rPr>
        <w:t xml:space="preserve">% depuis </w:t>
      </w:r>
      <w:r w:rsidR="00B00734">
        <w:rPr>
          <w:rFonts w:ascii="Times New Roman" w:hAnsi="Times New Roman" w:cs="Times New Roman"/>
        </w:rPr>
        <w:t xml:space="preserve">l’entrée dans l’UE en </w:t>
      </w:r>
      <w:r w:rsidR="00404019" w:rsidRPr="00442A26">
        <w:rPr>
          <w:rFonts w:ascii="Times New Roman" w:hAnsi="Times New Roman" w:cs="Times New Roman"/>
        </w:rPr>
        <w:t xml:space="preserve">2013). </w:t>
      </w:r>
      <w:r w:rsidR="00404019" w:rsidRPr="007E6694">
        <w:rPr>
          <w:rFonts w:ascii="Times New Roman" w:hAnsi="Times New Roman" w:cs="Times New Roman"/>
        </w:rPr>
        <w:t>O</w:t>
      </w:r>
      <w:r w:rsidR="00EF158B" w:rsidRPr="007E6694">
        <w:rPr>
          <w:rFonts w:ascii="Times New Roman" w:hAnsi="Times New Roman" w:cs="Times New Roman"/>
        </w:rPr>
        <w:t xml:space="preserve">n </w:t>
      </w:r>
      <w:r w:rsidR="003D31AC" w:rsidRPr="007E6694">
        <w:rPr>
          <w:rFonts w:ascii="Times New Roman" w:hAnsi="Times New Roman" w:cs="Times New Roman"/>
        </w:rPr>
        <w:t>note</w:t>
      </w:r>
      <w:r w:rsidR="00EF158B" w:rsidRPr="007E6694">
        <w:rPr>
          <w:rFonts w:ascii="Times New Roman" w:hAnsi="Times New Roman" w:cs="Times New Roman"/>
        </w:rPr>
        <w:t xml:space="preserve"> </w:t>
      </w:r>
      <w:r w:rsidRPr="007E6694">
        <w:rPr>
          <w:rFonts w:ascii="Times New Roman" w:hAnsi="Times New Roman" w:cs="Times New Roman"/>
        </w:rPr>
        <w:t>une très forte hausse de nos</w:t>
      </w:r>
      <w:r w:rsidR="00EF158B" w:rsidRPr="007E6694">
        <w:rPr>
          <w:rFonts w:ascii="Times New Roman" w:hAnsi="Times New Roman" w:cs="Times New Roman"/>
        </w:rPr>
        <w:t xml:space="preserve"> ventes de </w:t>
      </w:r>
      <w:r w:rsidR="00D104A4">
        <w:rPr>
          <w:rFonts w:ascii="Times New Roman" w:hAnsi="Times New Roman" w:cs="Times New Roman"/>
        </w:rPr>
        <w:t>v</w:t>
      </w:r>
      <w:r w:rsidR="00D104A4" w:rsidRPr="00D104A4">
        <w:rPr>
          <w:rFonts w:ascii="Times New Roman" w:hAnsi="Times New Roman" w:cs="Times New Roman"/>
        </w:rPr>
        <w:t>iandes de boucherie et produits d'abattage</w:t>
      </w:r>
      <w:r w:rsidR="00D104A4">
        <w:rPr>
          <w:rFonts w:ascii="Times New Roman" w:hAnsi="Times New Roman" w:cs="Times New Roman"/>
        </w:rPr>
        <w:t xml:space="preserve"> qui ont pratiquement doublées en 2017 (+79,5%) et représentent </w:t>
      </w:r>
      <w:r w:rsidR="00E74B1E">
        <w:rPr>
          <w:rFonts w:ascii="Times New Roman" w:hAnsi="Times New Roman" w:cs="Times New Roman"/>
        </w:rPr>
        <w:t>notre</w:t>
      </w:r>
      <w:r w:rsidR="00D104A4">
        <w:rPr>
          <w:rFonts w:ascii="Times New Roman" w:hAnsi="Times New Roman" w:cs="Times New Roman"/>
        </w:rPr>
        <w:t xml:space="preserve"> 6</w:t>
      </w:r>
      <w:r w:rsidR="00D104A4" w:rsidRPr="00D104A4">
        <w:rPr>
          <w:rFonts w:ascii="Times New Roman" w:hAnsi="Times New Roman" w:cs="Times New Roman"/>
          <w:vertAlign w:val="superscript"/>
        </w:rPr>
        <w:t>ème</w:t>
      </w:r>
      <w:r w:rsidR="00D104A4">
        <w:rPr>
          <w:rFonts w:ascii="Times New Roman" w:hAnsi="Times New Roman" w:cs="Times New Roman"/>
        </w:rPr>
        <w:t xml:space="preserve"> produit</w:t>
      </w:r>
      <w:r w:rsidR="00E74B1E">
        <w:rPr>
          <w:rFonts w:ascii="Times New Roman" w:hAnsi="Times New Roman" w:cs="Times New Roman"/>
        </w:rPr>
        <w:t xml:space="preserve"> (nomenclature CPF4)</w:t>
      </w:r>
      <w:r w:rsidR="002D6ED2">
        <w:rPr>
          <w:rFonts w:ascii="Times New Roman" w:hAnsi="Times New Roman" w:cs="Times New Roman"/>
        </w:rPr>
        <w:t>.</w:t>
      </w:r>
      <w:r w:rsidR="00EF158B" w:rsidRPr="007E6694">
        <w:rPr>
          <w:rFonts w:ascii="Times New Roman" w:hAnsi="Times New Roman" w:cs="Times New Roman"/>
        </w:rPr>
        <w:t xml:space="preserve"> </w:t>
      </w:r>
      <w:r w:rsidR="002D6ED2">
        <w:rPr>
          <w:rFonts w:ascii="Times New Roman" w:hAnsi="Times New Roman" w:cs="Times New Roman"/>
        </w:rPr>
        <w:t>Les a</w:t>
      </w:r>
      <w:r w:rsidR="002D6ED2" w:rsidRPr="002D6ED2">
        <w:rPr>
          <w:rFonts w:ascii="Times New Roman" w:hAnsi="Times New Roman" w:cs="Times New Roman"/>
        </w:rPr>
        <w:t xml:space="preserve">liments pour animaux de ferme </w:t>
      </w:r>
      <w:r w:rsidR="002D6ED2">
        <w:rPr>
          <w:rFonts w:ascii="Times New Roman" w:hAnsi="Times New Roman" w:cs="Times New Roman"/>
        </w:rPr>
        <w:t>continuent de progresser (</w:t>
      </w:r>
      <w:r w:rsidR="00EF158B" w:rsidRPr="007E6694">
        <w:rPr>
          <w:rFonts w:ascii="Times New Roman" w:hAnsi="Times New Roman" w:cs="Times New Roman"/>
        </w:rPr>
        <w:t>+</w:t>
      </w:r>
      <w:r w:rsidR="002D6ED2">
        <w:rPr>
          <w:rFonts w:ascii="Times New Roman" w:hAnsi="Times New Roman" w:cs="Times New Roman"/>
        </w:rPr>
        <w:t>15,4%) avec 12,3 M EUR</w:t>
      </w:r>
      <w:r w:rsidR="00404019" w:rsidRPr="007E6694">
        <w:rPr>
          <w:rFonts w:ascii="Times New Roman" w:hAnsi="Times New Roman" w:cs="Times New Roman"/>
        </w:rPr>
        <w:t xml:space="preserve"> </w:t>
      </w:r>
      <w:r w:rsidR="002D6ED2">
        <w:rPr>
          <w:rFonts w:ascii="Times New Roman" w:hAnsi="Times New Roman" w:cs="Times New Roman"/>
        </w:rPr>
        <w:t xml:space="preserve">soit 2,6% </w:t>
      </w:r>
      <w:r w:rsidR="00EF158B" w:rsidRPr="007E6694">
        <w:rPr>
          <w:rFonts w:ascii="Times New Roman" w:hAnsi="Times New Roman" w:cs="Times New Roman"/>
        </w:rPr>
        <w:t>du total des exportations</w:t>
      </w:r>
      <w:r w:rsidR="00404019" w:rsidRPr="007E6694">
        <w:rPr>
          <w:rFonts w:ascii="Times New Roman" w:hAnsi="Times New Roman" w:cs="Times New Roman"/>
        </w:rPr>
        <w:t xml:space="preserve">. </w:t>
      </w:r>
    </w:p>
    <w:p w14:paraId="38AC1214" w14:textId="77777777" w:rsidR="00A3625E" w:rsidRPr="00442A26" w:rsidRDefault="00B07A44" w:rsidP="00197652">
      <w:pPr>
        <w:pStyle w:val="Sansinterligne"/>
        <w:spacing w:after="240"/>
        <w:jc w:val="both"/>
        <w:rPr>
          <w:rFonts w:ascii="Times New Roman" w:hAnsi="Times New Roman" w:cs="Times New Roman"/>
          <w:b/>
        </w:rPr>
      </w:pPr>
      <w:r w:rsidRPr="00F06621">
        <w:rPr>
          <w:rFonts w:ascii="Times New Roman" w:hAnsi="Times New Roman" w:cs="Times New Roman"/>
          <w:b/>
        </w:rPr>
        <w:t>En 201</w:t>
      </w:r>
      <w:r w:rsidR="009B5910">
        <w:rPr>
          <w:rFonts w:ascii="Times New Roman" w:hAnsi="Times New Roman" w:cs="Times New Roman"/>
          <w:b/>
        </w:rPr>
        <w:t>7</w:t>
      </w:r>
      <w:r w:rsidRPr="00F06621">
        <w:rPr>
          <w:rFonts w:ascii="Times New Roman" w:hAnsi="Times New Roman" w:cs="Times New Roman"/>
          <w:b/>
        </w:rPr>
        <w:t xml:space="preserve">, avec </w:t>
      </w:r>
      <w:r w:rsidR="002C2159" w:rsidRPr="00F06621">
        <w:rPr>
          <w:rFonts w:ascii="Times New Roman" w:hAnsi="Times New Roman" w:cs="Times New Roman"/>
          <w:b/>
        </w:rPr>
        <w:t>4</w:t>
      </w:r>
      <w:r w:rsidR="009B1DD1">
        <w:rPr>
          <w:rFonts w:ascii="Times New Roman" w:hAnsi="Times New Roman" w:cs="Times New Roman"/>
          <w:b/>
        </w:rPr>
        <w:t>73</w:t>
      </w:r>
      <w:r w:rsidRPr="00F06621">
        <w:rPr>
          <w:rFonts w:ascii="Times New Roman" w:hAnsi="Times New Roman" w:cs="Times New Roman"/>
          <w:b/>
        </w:rPr>
        <w:t xml:space="preserve"> M EUR d’achats à la France, la Croatie était notre </w:t>
      </w:r>
      <w:r w:rsidR="009B5910">
        <w:rPr>
          <w:rFonts w:ascii="Times New Roman" w:hAnsi="Times New Roman" w:cs="Times New Roman"/>
          <w:b/>
        </w:rPr>
        <w:t>4</w:t>
      </w:r>
      <w:r w:rsidRPr="00F06621">
        <w:rPr>
          <w:rFonts w:ascii="Times New Roman" w:hAnsi="Times New Roman" w:cs="Times New Roman"/>
          <w:b/>
          <w:vertAlign w:val="superscript"/>
        </w:rPr>
        <w:t>ème</w:t>
      </w:r>
      <w:r w:rsidRPr="00F06621">
        <w:rPr>
          <w:rFonts w:ascii="Times New Roman" w:hAnsi="Times New Roman" w:cs="Times New Roman"/>
          <w:b/>
        </w:rPr>
        <w:t xml:space="preserve"> client dans la région de l’Europe du sud-Est </w:t>
      </w:r>
      <w:r w:rsidRPr="00220F61">
        <w:rPr>
          <w:rFonts w:ascii="Times New Roman" w:hAnsi="Times New Roman" w:cs="Times New Roman"/>
        </w:rPr>
        <w:t>derrière la Roumanie (3,</w:t>
      </w:r>
      <w:r w:rsidR="009B5910">
        <w:rPr>
          <w:rFonts w:ascii="Times New Roman" w:hAnsi="Times New Roman" w:cs="Times New Roman"/>
        </w:rPr>
        <w:t>9</w:t>
      </w:r>
      <w:r w:rsidRPr="00220F61">
        <w:rPr>
          <w:rFonts w:ascii="Times New Roman" w:hAnsi="Times New Roman" w:cs="Times New Roman"/>
        </w:rPr>
        <w:t xml:space="preserve"> Mds EUR), </w:t>
      </w:r>
      <w:r w:rsidR="009B5910" w:rsidRPr="00220F61">
        <w:rPr>
          <w:rFonts w:ascii="Times New Roman" w:hAnsi="Times New Roman" w:cs="Times New Roman"/>
        </w:rPr>
        <w:t>la Slovénie (</w:t>
      </w:r>
      <w:r w:rsidR="009B5910">
        <w:rPr>
          <w:rFonts w:ascii="Times New Roman" w:hAnsi="Times New Roman" w:cs="Times New Roman"/>
        </w:rPr>
        <w:t>971</w:t>
      </w:r>
      <w:r w:rsidR="009B5910" w:rsidRPr="00220F61">
        <w:rPr>
          <w:rFonts w:ascii="Times New Roman" w:hAnsi="Times New Roman" w:cs="Times New Roman"/>
        </w:rPr>
        <w:t xml:space="preserve"> M EUR),</w:t>
      </w:r>
      <w:r w:rsidR="009B5910">
        <w:rPr>
          <w:rFonts w:ascii="Times New Roman" w:hAnsi="Times New Roman" w:cs="Times New Roman"/>
        </w:rPr>
        <w:t xml:space="preserve"> </w:t>
      </w:r>
      <w:r w:rsidRPr="00220F61">
        <w:rPr>
          <w:rFonts w:ascii="Times New Roman" w:hAnsi="Times New Roman" w:cs="Times New Roman"/>
        </w:rPr>
        <w:t>la Bulgarie (</w:t>
      </w:r>
      <w:r w:rsidR="009B5910">
        <w:rPr>
          <w:rFonts w:ascii="Times New Roman" w:hAnsi="Times New Roman" w:cs="Times New Roman"/>
        </w:rPr>
        <w:t xml:space="preserve">825 M EUR). </w:t>
      </w:r>
      <w:r w:rsidR="009B5910" w:rsidRPr="009B5910">
        <w:rPr>
          <w:rFonts w:ascii="Times New Roman" w:hAnsi="Times New Roman" w:cs="Times New Roman"/>
          <w:b/>
        </w:rPr>
        <w:t xml:space="preserve">Elle passe donc pour la première fois devant </w:t>
      </w:r>
      <w:r w:rsidRPr="009B5910">
        <w:rPr>
          <w:rFonts w:ascii="Times New Roman" w:hAnsi="Times New Roman" w:cs="Times New Roman"/>
          <w:b/>
        </w:rPr>
        <w:t>la Serbie (</w:t>
      </w:r>
      <w:r w:rsidR="009D7B01" w:rsidRPr="009B5910">
        <w:rPr>
          <w:rFonts w:ascii="Times New Roman" w:hAnsi="Times New Roman" w:cs="Times New Roman"/>
          <w:b/>
        </w:rPr>
        <w:t>4</w:t>
      </w:r>
      <w:r w:rsidR="009B5910">
        <w:rPr>
          <w:rFonts w:ascii="Times New Roman" w:hAnsi="Times New Roman" w:cs="Times New Roman"/>
          <w:b/>
        </w:rPr>
        <w:t xml:space="preserve">38 </w:t>
      </w:r>
      <w:r w:rsidRPr="009B5910">
        <w:rPr>
          <w:rFonts w:ascii="Times New Roman" w:hAnsi="Times New Roman" w:cs="Times New Roman"/>
          <w:b/>
        </w:rPr>
        <w:t>M EUR</w:t>
      </w:r>
      <w:r w:rsidRPr="00220F61">
        <w:rPr>
          <w:rFonts w:ascii="Times New Roman" w:hAnsi="Times New Roman" w:cs="Times New Roman"/>
        </w:rPr>
        <w:t xml:space="preserve">). </w:t>
      </w:r>
      <w:r w:rsidR="00DD3189" w:rsidRPr="00220F61">
        <w:rPr>
          <w:rFonts w:ascii="Times New Roman" w:hAnsi="Times New Roman" w:cs="Times New Roman"/>
        </w:rPr>
        <w:t>Marché de 4,2 millions</w:t>
      </w:r>
      <w:r w:rsidRPr="00220F61">
        <w:rPr>
          <w:rFonts w:ascii="Times New Roman" w:hAnsi="Times New Roman" w:cs="Times New Roman"/>
        </w:rPr>
        <w:t xml:space="preserve"> d</w:t>
      </w:r>
      <w:r w:rsidR="003001D5" w:rsidRPr="00220F61">
        <w:rPr>
          <w:rFonts w:ascii="Times New Roman" w:hAnsi="Times New Roman" w:cs="Times New Roman"/>
        </w:rPr>
        <w:t xml:space="preserve">’habitants, la Croatie a </w:t>
      </w:r>
      <w:r w:rsidR="00341991" w:rsidRPr="00220F61">
        <w:rPr>
          <w:rFonts w:ascii="Times New Roman" w:hAnsi="Times New Roman" w:cs="Times New Roman"/>
        </w:rPr>
        <w:t>acquis</w:t>
      </w:r>
      <w:r w:rsidRPr="00220F61">
        <w:rPr>
          <w:rFonts w:ascii="Times New Roman" w:hAnsi="Times New Roman" w:cs="Times New Roman"/>
        </w:rPr>
        <w:t xml:space="preserve"> </w:t>
      </w:r>
      <w:r w:rsidR="00106417">
        <w:rPr>
          <w:rFonts w:ascii="Times New Roman" w:hAnsi="Times New Roman" w:cs="Times New Roman"/>
        </w:rPr>
        <w:t xml:space="preserve">0,1% </w:t>
      </w:r>
      <w:r w:rsidR="00EF05D5" w:rsidRPr="00220F61">
        <w:rPr>
          <w:rFonts w:ascii="Times New Roman" w:hAnsi="Times New Roman" w:cs="Times New Roman"/>
        </w:rPr>
        <w:t xml:space="preserve">des exportations </w:t>
      </w:r>
      <w:r w:rsidR="002E02C3" w:rsidRPr="00220F61">
        <w:rPr>
          <w:rFonts w:ascii="Times New Roman" w:hAnsi="Times New Roman" w:cs="Times New Roman"/>
        </w:rPr>
        <w:t>françaises</w:t>
      </w:r>
      <w:r w:rsidR="00106417">
        <w:rPr>
          <w:rFonts w:ascii="Times New Roman" w:hAnsi="Times New Roman" w:cs="Times New Roman"/>
        </w:rPr>
        <w:t xml:space="preserve">, contre </w:t>
      </w:r>
      <w:r w:rsidR="00106417" w:rsidRPr="00220F61">
        <w:rPr>
          <w:rFonts w:ascii="Times New Roman" w:hAnsi="Times New Roman" w:cs="Times New Roman"/>
        </w:rPr>
        <w:t>0,05%</w:t>
      </w:r>
      <w:r w:rsidR="00106417">
        <w:rPr>
          <w:rFonts w:ascii="Times New Roman" w:hAnsi="Times New Roman" w:cs="Times New Roman"/>
        </w:rPr>
        <w:t xml:space="preserve"> en 2016</w:t>
      </w:r>
      <w:r w:rsidR="00EF05D5" w:rsidRPr="00220F61">
        <w:rPr>
          <w:rFonts w:ascii="Times New Roman" w:hAnsi="Times New Roman" w:cs="Times New Roman"/>
        </w:rPr>
        <w:t>.</w:t>
      </w:r>
    </w:p>
    <w:p w14:paraId="3C3E4C07" w14:textId="77777777" w:rsidR="0034728F" w:rsidRPr="00442A26" w:rsidRDefault="0034728F" w:rsidP="00876202">
      <w:pPr>
        <w:pStyle w:val="Sansinterligne"/>
        <w:numPr>
          <w:ilvl w:val="0"/>
          <w:numId w:val="1"/>
        </w:numPr>
        <w:spacing w:after="240"/>
        <w:ind w:left="284" w:hanging="284"/>
        <w:jc w:val="both"/>
        <w:rPr>
          <w:rFonts w:ascii="Times New Roman" w:hAnsi="Times New Roman" w:cs="Times New Roman"/>
          <w:b/>
          <w:u w:val="single"/>
        </w:rPr>
      </w:pPr>
      <w:r w:rsidRPr="00442A26">
        <w:rPr>
          <w:rFonts w:ascii="Times New Roman" w:hAnsi="Times New Roman" w:cs="Times New Roman"/>
          <w:b/>
          <w:u w:val="single"/>
        </w:rPr>
        <w:t>Soumise à une</w:t>
      </w:r>
      <w:r w:rsidR="00042E58" w:rsidRPr="00442A26">
        <w:rPr>
          <w:rFonts w:ascii="Times New Roman" w:hAnsi="Times New Roman" w:cs="Times New Roman"/>
          <w:b/>
          <w:u w:val="single"/>
        </w:rPr>
        <w:t xml:space="preserve"> forte concurrence</w:t>
      </w:r>
      <w:r w:rsidR="009C5365" w:rsidRPr="00442A26">
        <w:rPr>
          <w:rFonts w:ascii="Times New Roman" w:hAnsi="Times New Roman" w:cs="Times New Roman"/>
          <w:b/>
          <w:u w:val="single"/>
        </w:rPr>
        <w:t>,</w:t>
      </w:r>
      <w:r w:rsidR="00EF05D5" w:rsidRPr="00442A26">
        <w:rPr>
          <w:rFonts w:ascii="Times New Roman" w:hAnsi="Times New Roman" w:cs="Times New Roman"/>
          <w:b/>
          <w:u w:val="single"/>
        </w:rPr>
        <w:t xml:space="preserve"> </w:t>
      </w:r>
      <w:r w:rsidRPr="00442A26">
        <w:rPr>
          <w:rFonts w:ascii="Times New Roman" w:hAnsi="Times New Roman" w:cs="Times New Roman"/>
          <w:b/>
          <w:u w:val="single"/>
        </w:rPr>
        <w:t>notre</w:t>
      </w:r>
      <w:r w:rsidR="00EF05D5" w:rsidRPr="00442A26">
        <w:rPr>
          <w:rFonts w:ascii="Times New Roman" w:hAnsi="Times New Roman" w:cs="Times New Roman"/>
          <w:b/>
          <w:u w:val="single"/>
        </w:rPr>
        <w:t xml:space="preserve"> part de marché se stabilise </w:t>
      </w:r>
      <w:r w:rsidR="00167AC7" w:rsidRPr="00442A26">
        <w:rPr>
          <w:rFonts w:ascii="Times New Roman" w:hAnsi="Times New Roman" w:cs="Times New Roman"/>
          <w:b/>
          <w:u w:val="single"/>
        </w:rPr>
        <w:t>à nouveau</w:t>
      </w:r>
      <w:r w:rsidR="00306B62" w:rsidRPr="00442A26">
        <w:rPr>
          <w:rFonts w:ascii="Times New Roman" w:hAnsi="Times New Roman" w:cs="Times New Roman"/>
          <w:b/>
          <w:u w:val="single"/>
        </w:rPr>
        <w:t xml:space="preserve"> et progresse même très légèrement en 201</w:t>
      </w:r>
      <w:r w:rsidR="00CA636D">
        <w:rPr>
          <w:rFonts w:ascii="Times New Roman" w:hAnsi="Times New Roman" w:cs="Times New Roman"/>
          <w:b/>
          <w:u w:val="single"/>
        </w:rPr>
        <w:t>7</w:t>
      </w:r>
      <w:r w:rsidR="00306B62" w:rsidRPr="00442A26">
        <w:rPr>
          <w:rFonts w:ascii="Times New Roman" w:hAnsi="Times New Roman" w:cs="Times New Roman"/>
          <w:b/>
          <w:u w:val="single"/>
        </w:rPr>
        <w:t xml:space="preserve"> à 2,4</w:t>
      </w:r>
      <w:r w:rsidR="00CA636D">
        <w:rPr>
          <w:rFonts w:ascii="Times New Roman" w:hAnsi="Times New Roman" w:cs="Times New Roman"/>
          <w:b/>
          <w:u w:val="single"/>
        </w:rPr>
        <w:t>6</w:t>
      </w:r>
      <w:r w:rsidR="00306B62" w:rsidRPr="00442A26">
        <w:rPr>
          <w:rFonts w:ascii="Times New Roman" w:hAnsi="Times New Roman" w:cs="Times New Roman"/>
          <w:b/>
          <w:u w:val="single"/>
        </w:rPr>
        <w:t>%</w:t>
      </w:r>
      <w:r w:rsidR="00161E06">
        <w:rPr>
          <w:rFonts w:ascii="Times New Roman" w:hAnsi="Times New Roman" w:cs="Times New Roman"/>
          <w:b/>
          <w:u w:val="single"/>
        </w:rPr>
        <w:t xml:space="preserve"> (2,</w:t>
      </w:r>
      <w:r w:rsidR="00CA636D">
        <w:rPr>
          <w:rFonts w:ascii="Times New Roman" w:hAnsi="Times New Roman" w:cs="Times New Roman"/>
          <w:b/>
          <w:u w:val="single"/>
        </w:rPr>
        <w:t>4</w:t>
      </w:r>
      <w:r w:rsidR="00161E06">
        <w:rPr>
          <w:rFonts w:ascii="Times New Roman" w:hAnsi="Times New Roman" w:cs="Times New Roman"/>
          <w:b/>
          <w:u w:val="single"/>
        </w:rPr>
        <w:t>% en 201</w:t>
      </w:r>
      <w:r w:rsidR="00CA636D">
        <w:rPr>
          <w:rFonts w:ascii="Times New Roman" w:hAnsi="Times New Roman" w:cs="Times New Roman"/>
          <w:b/>
          <w:u w:val="single"/>
        </w:rPr>
        <w:t>6</w:t>
      </w:r>
      <w:r w:rsidR="00161E06">
        <w:rPr>
          <w:rFonts w:ascii="Times New Roman" w:hAnsi="Times New Roman" w:cs="Times New Roman"/>
          <w:b/>
          <w:u w:val="single"/>
        </w:rPr>
        <w:t>)</w:t>
      </w:r>
      <w:r w:rsidR="009C5365" w:rsidRPr="00442A26">
        <w:rPr>
          <w:rFonts w:ascii="Times New Roman" w:hAnsi="Times New Roman" w:cs="Times New Roman"/>
          <w:b/>
          <w:u w:val="single"/>
        </w:rPr>
        <w:t>.</w:t>
      </w:r>
    </w:p>
    <w:p w14:paraId="3CF77C50" w14:textId="77777777" w:rsidR="00DA5DA0" w:rsidRPr="00107D49" w:rsidRDefault="00E95CA4" w:rsidP="003D413F">
      <w:pPr>
        <w:pStyle w:val="Sansinterligne"/>
        <w:spacing w:after="120"/>
        <w:jc w:val="both"/>
        <w:rPr>
          <w:rFonts w:ascii="Times New Roman" w:hAnsi="Times New Roman" w:cs="Times New Roman"/>
        </w:rPr>
      </w:pPr>
      <w:r w:rsidRPr="00442A26">
        <w:rPr>
          <w:rFonts w:ascii="Times New Roman" w:hAnsi="Times New Roman" w:cs="Times New Roman"/>
          <w:b/>
        </w:rPr>
        <w:t>En 201</w:t>
      </w:r>
      <w:r w:rsidR="00CA636D">
        <w:rPr>
          <w:rFonts w:ascii="Times New Roman" w:hAnsi="Times New Roman" w:cs="Times New Roman"/>
          <w:b/>
        </w:rPr>
        <w:t>7</w:t>
      </w:r>
      <w:r w:rsidRPr="00442A26">
        <w:rPr>
          <w:rFonts w:ascii="Times New Roman" w:hAnsi="Times New Roman" w:cs="Times New Roman"/>
          <w:b/>
        </w:rPr>
        <w:t xml:space="preserve">, la France </w:t>
      </w:r>
      <w:r w:rsidR="00CA636D">
        <w:rPr>
          <w:rFonts w:ascii="Times New Roman" w:hAnsi="Times New Roman" w:cs="Times New Roman"/>
          <w:b/>
        </w:rPr>
        <w:t>reste</w:t>
      </w:r>
      <w:r w:rsidRPr="00442A26">
        <w:rPr>
          <w:rFonts w:ascii="Times New Roman" w:hAnsi="Times New Roman" w:cs="Times New Roman"/>
          <w:b/>
        </w:rPr>
        <w:t xml:space="preserve"> le 1</w:t>
      </w:r>
      <w:r w:rsidR="00306B62" w:rsidRPr="00442A26">
        <w:rPr>
          <w:rFonts w:ascii="Times New Roman" w:hAnsi="Times New Roman" w:cs="Times New Roman"/>
          <w:b/>
        </w:rPr>
        <w:t>1</w:t>
      </w:r>
      <w:r w:rsidRPr="00442A26">
        <w:rPr>
          <w:rFonts w:ascii="Times New Roman" w:hAnsi="Times New Roman" w:cs="Times New Roman"/>
          <w:b/>
        </w:rPr>
        <w:t xml:space="preserve">ème fournisseur de la Croatie </w:t>
      </w:r>
      <w:r w:rsidR="00161E06">
        <w:rPr>
          <w:rFonts w:ascii="Times New Roman" w:hAnsi="Times New Roman" w:cs="Times New Roman"/>
          <w:b/>
        </w:rPr>
        <w:t xml:space="preserve">et se positionne </w:t>
      </w:r>
      <w:r w:rsidRPr="00442A26">
        <w:rPr>
          <w:rFonts w:ascii="Times New Roman" w:hAnsi="Times New Roman" w:cs="Times New Roman"/>
        </w:rPr>
        <w:t xml:space="preserve">derrière l’Allemagne, l’Italie, la Slovénie, </w:t>
      </w:r>
      <w:r w:rsidR="00B64711" w:rsidRPr="00442A26">
        <w:rPr>
          <w:rFonts w:ascii="Times New Roman" w:hAnsi="Times New Roman" w:cs="Times New Roman"/>
        </w:rPr>
        <w:t>la Hongrie</w:t>
      </w:r>
      <w:r w:rsidR="00B64711">
        <w:rPr>
          <w:rFonts w:ascii="Times New Roman" w:hAnsi="Times New Roman" w:cs="Times New Roman"/>
        </w:rPr>
        <w:t>,</w:t>
      </w:r>
      <w:r w:rsidR="00B64711" w:rsidRPr="00442A26">
        <w:rPr>
          <w:rFonts w:ascii="Times New Roman" w:hAnsi="Times New Roman" w:cs="Times New Roman"/>
        </w:rPr>
        <w:t xml:space="preserve"> </w:t>
      </w:r>
      <w:r w:rsidRPr="00442A26">
        <w:rPr>
          <w:rFonts w:ascii="Times New Roman" w:hAnsi="Times New Roman" w:cs="Times New Roman"/>
        </w:rPr>
        <w:t>l’Autriche, les Pays-Bas, la Pologne, la Chine, la Bosnie-Herzégovine</w:t>
      </w:r>
      <w:r w:rsidR="00B64711">
        <w:rPr>
          <w:rFonts w:ascii="Times New Roman" w:hAnsi="Times New Roman" w:cs="Times New Roman"/>
        </w:rPr>
        <w:t xml:space="preserve"> et </w:t>
      </w:r>
      <w:r w:rsidRPr="00442A26">
        <w:rPr>
          <w:rFonts w:ascii="Times New Roman" w:hAnsi="Times New Roman" w:cs="Times New Roman"/>
        </w:rPr>
        <w:t xml:space="preserve">la Serbie, et </w:t>
      </w:r>
      <w:r w:rsidR="00442A26" w:rsidRPr="00442A26">
        <w:rPr>
          <w:rFonts w:ascii="Times New Roman" w:hAnsi="Times New Roman" w:cs="Times New Roman"/>
        </w:rPr>
        <w:t xml:space="preserve">est </w:t>
      </w:r>
      <w:r w:rsidRPr="00442A26">
        <w:rPr>
          <w:rFonts w:ascii="Times New Roman" w:hAnsi="Times New Roman" w:cs="Times New Roman"/>
        </w:rPr>
        <w:t xml:space="preserve">son </w:t>
      </w:r>
      <w:r w:rsidR="00B64711">
        <w:rPr>
          <w:rFonts w:ascii="Times New Roman" w:hAnsi="Times New Roman" w:cs="Times New Roman"/>
        </w:rPr>
        <w:t>9</w:t>
      </w:r>
      <w:r w:rsidRPr="00442A26">
        <w:rPr>
          <w:rFonts w:ascii="Times New Roman" w:hAnsi="Times New Roman" w:cs="Times New Roman"/>
          <w:vertAlign w:val="superscript"/>
        </w:rPr>
        <w:t>ème</w:t>
      </w:r>
      <w:r w:rsidRPr="00442A26">
        <w:rPr>
          <w:rFonts w:ascii="Times New Roman" w:hAnsi="Times New Roman" w:cs="Times New Roman"/>
        </w:rPr>
        <w:t xml:space="preserve"> client. </w:t>
      </w:r>
      <w:r w:rsidRPr="00107D49">
        <w:rPr>
          <w:rFonts w:ascii="Times New Roman" w:hAnsi="Times New Roman" w:cs="Times New Roman"/>
        </w:rPr>
        <w:t>Elle était, il y a 10 ans, 6</w:t>
      </w:r>
      <w:r w:rsidRPr="00B64711">
        <w:rPr>
          <w:rFonts w:ascii="Times New Roman" w:hAnsi="Times New Roman" w:cs="Times New Roman"/>
          <w:vertAlign w:val="superscript"/>
        </w:rPr>
        <w:t>ème</w:t>
      </w:r>
      <w:r w:rsidR="00B64711">
        <w:rPr>
          <w:rFonts w:ascii="Times New Roman" w:hAnsi="Times New Roman" w:cs="Times New Roman"/>
        </w:rPr>
        <w:t xml:space="preserve"> </w:t>
      </w:r>
      <w:r w:rsidRPr="00107D49">
        <w:rPr>
          <w:rFonts w:ascii="Times New Roman" w:hAnsi="Times New Roman" w:cs="Times New Roman"/>
        </w:rPr>
        <w:t>fournisseur et 7</w:t>
      </w:r>
      <w:r w:rsidRPr="00B64711">
        <w:rPr>
          <w:rFonts w:ascii="Times New Roman" w:hAnsi="Times New Roman" w:cs="Times New Roman"/>
          <w:vertAlign w:val="superscript"/>
        </w:rPr>
        <w:t>ème</w:t>
      </w:r>
      <w:r w:rsidR="00B64711">
        <w:rPr>
          <w:rFonts w:ascii="Times New Roman" w:hAnsi="Times New Roman" w:cs="Times New Roman"/>
        </w:rPr>
        <w:t xml:space="preserve"> </w:t>
      </w:r>
      <w:r w:rsidRPr="00107D49">
        <w:rPr>
          <w:rFonts w:ascii="Times New Roman" w:hAnsi="Times New Roman" w:cs="Times New Roman"/>
        </w:rPr>
        <w:t xml:space="preserve">client. </w:t>
      </w:r>
    </w:p>
    <w:p w14:paraId="7D68E5BF" w14:textId="77777777" w:rsidR="005D0282" w:rsidRPr="00442A26" w:rsidRDefault="00E95CA4" w:rsidP="003D413F">
      <w:pPr>
        <w:pStyle w:val="Sansinterligne"/>
        <w:spacing w:after="120"/>
        <w:jc w:val="both"/>
        <w:rPr>
          <w:rFonts w:ascii="Times New Roman" w:hAnsi="Times New Roman" w:cs="Times New Roman"/>
        </w:rPr>
      </w:pPr>
      <w:r w:rsidRPr="00442A26">
        <w:rPr>
          <w:rFonts w:ascii="Times New Roman" w:hAnsi="Times New Roman" w:cs="Times New Roman"/>
          <w:b/>
        </w:rPr>
        <w:lastRenderedPageBreak/>
        <w:t>Notre part de marché</w:t>
      </w:r>
      <w:r w:rsidR="009C5365" w:rsidRPr="00442A26">
        <w:rPr>
          <w:rFonts w:ascii="Times New Roman" w:hAnsi="Times New Roman" w:cs="Times New Roman"/>
          <w:b/>
        </w:rPr>
        <w:t>,</w:t>
      </w:r>
      <w:r w:rsidRPr="00442A26">
        <w:rPr>
          <w:rFonts w:ascii="Times New Roman" w:hAnsi="Times New Roman" w:cs="Times New Roman"/>
          <w:b/>
        </w:rPr>
        <w:t xml:space="preserve"> qui avait atteint 5,5% des importations croates en 2000</w:t>
      </w:r>
      <w:r w:rsidR="009C5365" w:rsidRPr="00442A26">
        <w:rPr>
          <w:rFonts w:ascii="Times New Roman" w:hAnsi="Times New Roman" w:cs="Times New Roman"/>
          <w:b/>
        </w:rPr>
        <w:t xml:space="preserve">, était </w:t>
      </w:r>
      <w:r w:rsidRPr="00442A26">
        <w:rPr>
          <w:rFonts w:ascii="Times New Roman" w:hAnsi="Times New Roman" w:cs="Times New Roman"/>
          <w:b/>
        </w:rPr>
        <w:t>tombée à 2,3% en 2015</w:t>
      </w:r>
      <w:r w:rsidR="009C5365" w:rsidRPr="00442A26">
        <w:rPr>
          <w:rFonts w:ascii="Times New Roman" w:hAnsi="Times New Roman" w:cs="Times New Roman"/>
          <w:b/>
        </w:rPr>
        <w:t xml:space="preserve"> et</w:t>
      </w:r>
      <w:r w:rsidR="009C5365" w:rsidRPr="00442A26">
        <w:rPr>
          <w:rFonts w:ascii="Times New Roman" w:hAnsi="Times New Roman" w:cs="Times New Roman"/>
        </w:rPr>
        <w:t xml:space="preserve"> </w:t>
      </w:r>
      <w:r w:rsidR="002B6A4D" w:rsidRPr="00442A26">
        <w:rPr>
          <w:rFonts w:ascii="Times New Roman" w:hAnsi="Times New Roman" w:cs="Times New Roman"/>
          <w:b/>
        </w:rPr>
        <w:t xml:space="preserve">paraît </w:t>
      </w:r>
      <w:r w:rsidR="00662805" w:rsidRPr="00442A26">
        <w:rPr>
          <w:rFonts w:ascii="Times New Roman" w:hAnsi="Times New Roman" w:cs="Times New Roman"/>
          <w:b/>
        </w:rPr>
        <w:t xml:space="preserve">se </w:t>
      </w:r>
      <w:r w:rsidR="003001D5" w:rsidRPr="00442A26">
        <w:rPr>
          <w:rFonts w:ascii="Times New Roman" w:hAnsi="Times New Roman" w:cs="Times New Roman"/>
          <w:b/>
        </w:rPr>
        <w:t>stab</w:t>
      </w:r>
      <w:r w:rsidR="00662805" w:rsidRPr="00442A26">
        <w:rPr>
          <w:rFonts w:ascii="Times New Roman" w:hAnsi="Times New Roman" w:cs="Times New Roman"/>
          <w:b/>
        </w:rPr>
        <w:t>iliser</w:t>
      </w:r>
      <w:r w:rsidR="003001D5" w:rsidRPr="00442A26">
        <w:rPr>
          <w:rFonts w:ascii="Times New Roman" w:hAnsi="Times New Roman" w:cs="Times New Roman"/>
          <w:b/>
        </w:rPr>
        <w:t xml:space="preserve"> depuis 2013</w:t>
      </w:r>
      <w:r w:rsidRPr="00442A26">
        <w:rPr>
          <w:rFonts w:ascii="Times New Roman" w:hAnsi="Times New Roman" w:cs="Times New Roman"/>
        </w:rPr>
        <w:t>.</w:t>
      </w:r>
      <w:r w:rsidR="00306B62" w:rsidRPr="00442A26">
        <w:rPr>
          <w:rFonts w:ascii="Times New Roman" w:hAnsi="Times New Roman" w:cs="Times New Roman"/>
        </w:rPr>
        <w:t xml:space="preserve"> </w:t>
      </w:r>
      <w:r w:rsidR="00306B62" w:rsidRPr="00442A26">
        <w:rPr>
          <w:rFonts w:ascii="Times New Roman" w:hAnsi="Times New Roman" w:cs="Times New Roman"/>
          <w:b/>
        </w:rPr>
        <w:t>En 201</w:t>
      </w:r>
      <w:r w:rsidR="00086026">
        <w:rPr>
          <w:rFonts w:ascii="Times New Roman" w:hAnsi="Times New Roman" w:cs="Times New Roman"/>
          <w:b/>
        </w:rPr>
        <w:t>7</w:t>
      </w:r>
      <w:r w:rsidR="00306B62" w:rsidRPr="00442A26">
        <w:rPr>
          <w:rFonts w:ascii="Times New Roman" w:hAnsi="Times New Roman" w:cs="Times New Roman"/>
          <w:b/>
        </w:rPr>
        <w:t>, elle gagne 0,</w:t>
      </w:r>
      <w:r w:rsidR="00086026">
        <w:rPr>
          <w:rFonts w:ascii="Times New Roman" w:hAnsi="Times New Roman" w:cs="Times New Roman"/>
          <w:b/>
        </w:rPr>
        <w:t>06</w:t>
      </w:r>
      <w:r w:rsidR="00306B62" w:rsidRPr="00442A26">
        <w:rPr>
          <w:rFonts w:ascii="Times New Roman" w:hAnsi="Times New Roman" w:cs="Times New Roman"/>
          <w:b/>
        </w:rPr>
        <w:t>pp et passe à 2,4</w:t>
      </w:r>
      <w:r w:rsidR="00086026">
        <w:rPr>
          <w:rFonts w:ascii="Times New Roman" w:hAnsi="Times New Roman" w:cs="Times New Roman"/>
          <w:b/>
        </w:rPr>
        <w:t>6</w:t>
      </w:r>
      <w:r w:rsidR="00306B62" w:rsidRPr="00442A26">
        <w:rPr>
          <w:rFonts w:ascii="Times New Roman" w:hAnsi="Times New Roman" w:cs="Times New Roman"/>
          <w:b/>
        </w:rPr>
        <w:t>%.</w:t>
      </w:r>
      <w:r w:rsidR="00E8463A">
        <w:rPr>
          <w:rFonts w:ascii="Times New Roman" w:hAnsi="Times New Roman" w:cs="Times New Roman"/>
          <w:b/>
        </w:rPr>
        <w:t xml:space="preserve"> </w:t>
      </w:r>
      <w:r w:rsidR="005D0282" w:rsidRPr="00442A26">
        <w:rPr>
          <w:rFonts w:ascii="Times New Roman" w:hAnsi="Times New Roman" w:cs="Times New Roman"/>
        </w:rPr>
        <w:t xml:space="preserve">L’effritement de notre part de marché </w:t>
      </w:r>
      <w:r w:rsidR="00784CD3" w:rsidRPr="00442A26">
        <w:rPr>
          <w:rFonts w:ascii="Times New Roman" w:hAnsi="Times New Roman" w:cs="Times New Roman"/>
        </w:rPr>
        <w:t>entre</w:t>
      </w:r>
      <w:r w:rsidR="003001D5" w:rsidRPr="00442A26">
        <w:rPr>
          <w:rFonts w:ascii="Times New Roman" w:hAnsi="Times New Roman" w:cs="Times New Roman"/>
        </w:rPr>
        <w:t xml:space="preserve"> 2000 </w:t>
      </w:r>
      <w:r w:rsidR="00784CD3" w:rsidRPr="00442A26">
        <w:rPr>
          <w:rFonts w:ascii="Times New Roman" w:hAnsi="Times New Roman" w:cs="Times New Roman"/>
        </w:rPr>
        <w:t xml:space="preserve">et 2013 </w:t>
      </w:r>
      <w:r w:rsidR="005D0282" w:rsidRPr="00442A26">
        <w:rPr>
          <w:rFonts w:ascii="Times New Roman" w:hAnsi="Times New Roman" w:cs="Times New Roman"/>
        </w:rPr>
        <w:t>s’explique</w:t>
      </w:r>
      <w:r w:rsidR="00D74862" w:rsidRPr="00442A26">
        <w:rPr>
          <w:rFonts w:ascii="Times New Roman" w:hAnsi="Times New Roman" w:cs="Times New Roman"/>
        </w:rPr>
        <w:t xml:space="preserve"> </w:t>
      </w:r>
      <w:r w:rsidR="00662805" w:rsidRPr="00442A26">
        <w:rPr>
          <w:rFonts w:ascii="Times New Roman" w:hAnsi="Times New Roman" w:cs="Times New Roman"/>
        </w:rPr>
        <w:t>principalement</w:t>
      </w:r>
      <w:r w:rsidR="005D0282" w:rsidRPr="00442A26">
        <w:rPr>
          <w:rFonts w:ascii="Times New Roman" w:hAnsi="Times New Roman" w:cs="Times New Roman"/>
        </w:rPr>
        <w:t xml:space="preserve"> par</w:t>
      </w:r>
      <w:r w:rsidR="000B0F1F">
        <w:rPr>
          <w:rFonts w:ascii="Times New Roman" w:hAnsi="Times New Roman" w:cs="Times New Roman"/>
        </w:rPr>
        <w:t xml:space="preserve"> les facteurs suivants</w:t>
      </w:r>
      <w:r w:rsidR="005D0282" w:rsidRPr="00442A26">
        <w:rPr>
          <w:rFonts w:ascii="Times New Roman" w:hAnsi="Times New Roman" w:cs="Times New Roman"/>
        </w:rPr>
        <w:t xml:space="preserve"> : </w:t>
      </w:r>
    </w:p>
    <w:p w14:paraId="3C42C4AD" w14:textId="77777777" w:rsidR="00462BE9" w:rsidRDefault="000B0F1F" w:rsidP="00462BE9">
      <w:pPr>
        <w:pStyle w:val="Sansinterligne"/>
        <w:numPr>
          <w:ilvl w:val="0"/>
          <w:numId w:val="2"/>
        </w:numPr>
        <w:spacing w:after="120"/>
        <w:ind w:left="284" w:hanging="284"/>
        <w:jc w:val="both"/>
        <w:rPr>
          <w:rFonts w:ascii="Times New Roman" w:hAnsi="Times New Roman" w:cs="Times New Roman"/>
        </w:rPr>
      </w:pPr>
      <w:r w:rsidRPr="000B0F1F">
        <w:rPr>
          <w:rFonts w:ascii="Times New Roman" w:hAnsi="Times New Roman" w:cs="Times New Roman"/>
          <w:b/>
        </w:rPr>
        <w:t>Dès avant la crise, la dynamique de nos</w:t>
      </w:r>
      <w:r w:rsidR="005D0282" w:rsidRPr="000B0F1F">
        <w:rPr>
          <w:rFonts w:ascii="Times New Roman" w:hAnsi="Times New Roman" w:cs="Times New Roman"/>
          <w:b/>
        </w:rPr>
        <w:t xml:space="preserve"> exportations </w:t>
      </w:r>
      <w:r w:rsidRPr="000B0F1F">
        <w:rPr>
          <w:rFonts w:ascii="Times New Roman" w:hAnsi="Times New Roman" w:cs="Times New Roman"/>
          <w:b/>
        </w:rPr>
        <w:t>n’a pas suivi celle de l’économie croate</w:t>
      </w:r>
      <w:r>
        <w:rPr>
          <w:rFonts w:ascii="Times New Roman" w:hAnsi="Times New Roman" w:cs="Times New Roman"/>
          <w:b/>
        </w:rPr>
        <w:t xml:space="preserve">, </w:t>
      </w:r>
      <w:r w:rsidRPr="000B0F1F">
        <w:rPr>
          <w:rFonts w:ascii="Times New Roman" w:hAnsi="Times New Roman" w:cs="Times New Roman"/>
          <w:b/>
        </w:rPr>
        <w:t>sauf entre</w:t>
      </w:r>
      <w:r w:rsidR="005D0282" w:rsidRPr="000B0F1F">
        <w:rPr>
          <w:rFonts w:ascii="Times New Roman" w:hAnsi="Times New Roman" w:cs="Times New Roman"/>
          <w:b/>
        </w:rPr>
        <w:t xml:space="preserve"> 2000 à 2003</w:t>
      </w:r>
      <w:r w:rsidR="005D0282" w:rsidRPr="00442A26">
        <w:rPr>
          <w:rFonts w:ascii="Times New Roman" w:hAnsi="Times New Roman" w:cs="Times New Roman"/>
        </w:rPr>
        <w:t xml:space="preserve"> </w:t>
      </w:r>
      <w:r w:rsidR="00011304">
        <w:rPr>
          <w:rFonts w:ascii="Times New Roman" w:hAnsi="Times New Roman" w:cs="Times New Roman"/>
        </w:rPr>
        <w:t>où la hausse de nos ventes a</w:t>
      </w:r>
      <w:r>
        <w:rPr>
          <w:rFonts w:ascii="Times New Roman" w:hAnsi="Times New Roman" w:cs="Times New Roman"/>
        </w:rPr>
        <w:t xml:space="preserve">vait été très vive </w:t>
      </w:r>
      <w:r w:rsidR="005D0282" w:rsidRPr="00442A26">
        <w:rPr>
          <w:rFonts w:ascii="Times New Roman" w:hAnsi="Times New Roman" w:cs="Times New Roman"/>
        </w:rPr>
        <w:t>(+41,7%)</w:t>
      </w:r>
      <w:r w:rsidR="0063695F" w:rsidRPr="00442A26">
        <w:rPr>
          <w:rFonts w:ascii="Times New Roman" w:hAnsi="Times New Roman" w:cs="Times New Roman"/>
        </w:rPr>
        <w:t xml:space="preserve"> ; </w:t>
      </w:r>
      <w:r>
        <w:rPr>
          <w:rFonts w:ascii="Times New Roman" w:hAnsi="Times New Roman" w:cs="Times New Roman"/>
        </w:rPr>
        <w:t xml:space="preserve">depuis, </w:t>
      </w:r>
      <w:r w:rsidR="00777720">
        <w:rPr>
          <w:rFonts w:ascii="Times New Roman" w:hAnsi="Times New Roman" w:cs="Times New Roman"/>
        </w:rPr>
        <w:t xml:space="preserve">nos exportations </w:t>
      </w:r>
      <w:r w:rsidR="00DA22C4" w:rsidRPr="00442A26">
        <w:rPr>
          <w:rFonts w:ascii="Times New Roman" w:hAnsi="Times New Roman" w:cs="Times New Roman"/>
        </w:rPr>
        <w:t>apparai</w:t>
      </w:r>
      <w:r w:rsidR="0063695F" w:rsidRPr="00442A26">
        <w:rPr>
          <w:rFonts w:ascii="Times New Roman" w:hAnsi="Times New Roman" w:cs="Times New Roman"/>
        </w:rPr>
        <w:t>ssent</w:t>
      </w:r>
      <w:r w:rsidR="00DA22C4" w:rsidRPr="00442A26">
        <w:rPr>
          <w:rFonts w:ascii="Times New Roman" w:hAnsi="Times New Roman" w:cs="Times New Roman"/>
        </w:rPr>
        <w:t xml:space="preserve"> </w:t>
      </w:r>
      <w:r w:rsidR="0063695F" w:rsidRPr="00442A26">
        <w:rPr>
          <w:rFonts w:ascii="Times New Roman" w:hAnsi="Times New Roman" w:cs="Times New Roman"/>
        </w:rPr>
        <w:t>plus ou moins</w:t>
      </w:r>
      <w:r w:rsidR="00DA22C4" w:rsidRPr="00442A26">
        <w:rPr>
          <w:rFonts w:ascii="Times New Roman" w:hAnsi="Times New Roman" w:cs="Times New Roman"/>
        </w:rPr>
        <w:t xml:space="preserve"> stable</w:t>
      </w:r>
      <w:r w:rsidR="0063695F" w:rsidRPr="00442A26">
        <w:rPr>
          <w:rFonts w:ascii="Times New Roman" w:hAnsi="Times New Roman" w:cs="Times New Roman"/>
        </w:rPr>
        <w:t>s</w:t>
      </w:r>
      <w:r w:rsidR="00DA22C4" w:rsidRPr="00442A26">
        <w:rPr>
          <w:rFonts w:ascii="Times New Roman" w:hAnsi="Times New Roman" w:cs="Times New Roman"/>
        </w:rPr>
        <w:t xml:space="preserve"> dans le temps</w:t>
      </w:r>
      <w:r w:rsidR="00777720">
        <w:rPr>
          <w:rFonts w:ascii="Times New Roman" w:hAnsi="Times New Roman" w:cs="Times New Roman"/>
        </w:rPr>
        <w:t xml:space="preserve"> en volume, alors que </w:t>
      </w:r>
      <w:r w:rsidR="00DA22C4" w:rsidRPr="00442A26">
        <w:rPr>
          <w:rFonts w:ascii="Times New Roman" w:hAnsi="Times New Roman" w:cs="Times New Roman"/>
        </w:rPr>
        <w:t xml:space="preserve">le marché croate d’importations </w:t>
      </w:r>
      <w:r w:rsidR="00777720">
        <w:rPr>
          <w:rFonts w:ascii="Times New Roman" w:hAnsi="Times New Roman" w:cs="Times New Roman"/>
        </w:rPr>
        <w:t>continuait de croître (</w:t>
      </w:r>
      <w:r w:rsidR="00DA22C4" w:rsidRPr="00442A26">
        <w:rPr>
          <w:rFonts w:ascii="Times New Roman" w:hAnsi="Times New Roman" w:cs="Times New Roman"/>
        </w:rPr>
        <w:t>plus que doubl</w:t>
      </w:r>
      <w:r w:rsidR="0063695F" w:rsidRPr="00442A26">
        <w:rPr>
          <w:rFonts w:ascii="Times New Roman" w:hAnsi="Times New Roman" w:cs="Times New Roman"/>
        </w:rPr>
        <w:t>é depuis l’an 2000</w:t>
      </w:r>
      <w:r w:rsidR="00777720">
        <w:rPr>
          <w:rFonts w:ascii="Times New Roman" w:hAnsi="Times New Roman" w:cs="Times New Roman"/>
        </w:rPr>
        <w:t>, jusqu’en 2008)</w:t>
      </w:r>
      <w:r w:rsidR="0063695F" w:rsidRPr="00442A26">
        <w:rPr>
          <w:rFonts w:ascii="Times New Roman" w:hAnsi="Times New Roman" w:cs="Times New Roman"/>
        </w:rPr>
        <w:t> ; par suite,</w:t>
      </w:r>
      <w:r w:rsidR="00DA5DA0" w:rsidRPr="00442A26">
        <w:rPr>
          <w:rFonts w:ascii="Times New Roman" w:hAnsi="Times New Roman" w:cs="Times New Roman"/>
        </w:rPr>
        <w:t xml:space="preserve"> notre part de marché</w:t>
      </w:r>
      <w:r w:rsidR="00EF6538">
        <w:rPr>
          <w:rFonts w:ascii="Times New Roman" w:hAnsi="Times New Roman" w:cs="Times New Roman"/>
        </w:rPr>
        <w:t>, comme ratio d’un numérateur stable et d’un dénominateur en hausse,</w:t>
      </w:r>
      <w:r w:rsidR="0096228E">
        <w:rPr>
          <w:rFonts w:ascii="Times New Roman" w:hAnsi="Times New Roman" w:cs="Times New Roman"/>
        </w:rPr>
        <w:t xml:space="preserve"> s’est contractée.</w:t>
      </w:r>
    </w:p>
    <w:p w14:paraId="687FF717" w14:textId="77777777" w:rsidR="00462BE9" w:rsidRDefault="004B3417" w:rsidP="00462BE9">
      <w:pPr>
        <w:pStyle w:val="Sansinterligne"/>
        <w:numPr>
          <w:ilvl w:val="0"/>
          <w:numId w:val="2"/>
        </w:numPr>
        <w:spacing w:after="120"/>
        <w:ind w:left="284" w:hanging="284"/>
        <w:jc w:val="both"/>
        <w:rPr>
          <w:rFonts w:ascii="Times New Roman" w:hAnsi="Times New Roman" w:cs="Times New Roman"/>
        </w:rPr>
      </w:pPr>
      <w:r>
        <w:rPr>
          <w:rFonts w:ascii="Times New Roman" w:hAnsi="Times New Roman" w:cs="Times New Roman"/>
          <w:b/>
        </w:rPr>
        <w:t>L</w:t>
      </w:r>
      <w:r w:rsidR="00652E06" w:rsidRPr="00462BE9">
        <w:rPr>
          <w:rFonts w:ascii="Times New Roman" w:hAnsi="Times New Roman" w:cs="Times New Roman"/>
          <w:b/>
        </w:rPr>
        <w:t xml:space="preserve">es échanges </w:t>
      </w:r>
      <w:r>
        <w:rPr>
          <w:rFonts w:ascii="Times New Roman" w:hAnsi="Times New Roman" w:cs="Times New Roman"/>
          <w:b/>
        </w:rPr>
        <w:t xml:space="preserve">au sein de la zone d’Europe centrale de libre échange (CEFTA) ont été très dynamiques, </w:t>
      </w:r>
      <w:r w:rsidRPr="004B3417">
        <w:rPr>
          <w:rFonts w:ascii="Times New Roman" w:hAnsi="Times New Roman" w:cs="Times New Roman"/>
        </w:rPr>
        <w:t xml:space="preserve">jusqu’à ce que la Croatie en sorte de par son </w:t>
      </w:r>
      <w:r w:rsidR="0058332C" w:rsidRPr="004B3417">
        <w:rPr>
          <w:rFonts w:ascii="Times New Roman" w:hAnsi="Times New Roman" w:cs="Times New Roman"/>
        </w:rPr>
        <w:t xml:space="preserve">adhésion </w:t>
      </w:r>
      <w:r w:rsidR="00652E06" w:rsidRPr="004B3417">
        <w:rPr>
          <w:rFonts w:ascii="Times New Roman" w:hAnsi="Times New Roman" w:cs="Times New Roman"/>
        </w:rPr>
        <w:t>à l’UE le 1</w:t>
      </w:r>
      <w:r w:rsidR="00652E06" w:rsidRPr="004B3417">
        <w:rPr>
          <w:rFonts w:ascii="Times New Roman" w:hAnsi="Times New Roman" w:cs="Times New Roman"/>
          <w:vertAlign w:val="superscript"/>
        </w:rPr>
        <w:t>er</w:t>
      </w:r>
      <w:r w:rsidR="00652E06" w:rsidRPr="004B3417">
        <w:rPr>
          <w:rFonts w:ascii="Times New Roman" w:hAnsi="Times New Roman" w:cs="Times New Roman"/>
        </w:rPr>
        <w:t xml:space="preserve"> juillet 2013</w:t>
      </w:r>
      <w:r w:rsidR="0096228E">
        <w:rPr>
          <w:rFonts w:ascii="Times New Roman" w:hAnsi="Times New Roman" w:cs="Times New Roman"/>
        </w:rPr>
        <w:t>.</w:t>
      </w:r>
    </w:p>
    <w:p w14:paraId="103709D2" w14:textId="77777777" w:rsidR="00462BE9" w:rsidRDefault="0096228E" w:rsidP="00462BE9">
      <w:pPr>
        <w:pStyle w:val="Sansinterligne"/>
        <w:numPr>
          <w:ilvl w:val="0"/>
          <w:numId w:val="2"/>
        </w:numPr>
        <w:spacing w:after="120"/>
        <w:ind w:left="284" w:hanging="284"/>
        <w:jc w:val="both"/>
        <w:rPr>
          <w:rFonts w:ascii="Times New Roman" w:hAnsi="Times New Roman" w:cs="Times New Roman"/>
        </w:rPr>
      </w:pPr>
      <w:r w:rsidRPr="0096228E">
        <w:rPr>
          <w:rFonts w:ascii="Times New Roman" w:hAnsi="Times New Roman" w:cs="Times New Roman"/>
          <w:b/>
        </w:rPr>
        <w:t xml:space="preserve">La </w:t>
      </w:r>
      <w:r w:rsidR="00042E58" w:rsidRPr="0096228E">
        <w:rPr>
          <w:rFonts w:ascii="Times New Roman" w:hAnsi="Times New Roman" w:cs="Times New Roman"/>
          <w:b/>
        </w:rPr>
        <w:t xml:space="preserve">concurrence </w:t>
      </w:r>
      <w:r w:rsidRPr="0096228E">
        <w:rPr>
          <w:rFonts w:ascii="Times New Roman" w:hAnsi="Times New Roman" w:cs="Times New Roman"/>
          <w:b/>
        </w:rPr>
        <w:t>entre Etats</w:t>
      </w:r>
      <w:r>
        <w:rPr>
          <w:rFonts w:ascii="Times New Roman" w:hAnsi="Times New Roman" w:cs="Times New Roman"/>
          <w:b/>
        </w:rPr>
        <w:t xml:space="preserve"> Membres de l’UE s’est accrue,</w:t>
      </w:r>
      <w:r w:rsidR="00042E58" w:rsidRPr="00462BE9">
        <w:rPr>
          <w:rFonts w:ascii="Times New Roman" w:hAnsi="Times New Roman" w:cs="Times New Roman"/>
        </w:rPr>
        <w:t xml:space="preserve"> principalement </w:t>
      </w:r>
      <w:r>
        <w:rPr>
          <w:rFonts w:ascii="Times New Roman" w:hAnsi="Times New Roman" w:cs="Times New Roman"/>
        </w:rPr>
        <w:t xml:space="preserve">après l’entrée </w:t>
      </w:r>
      <w:r w:rsidR="00042E58" w:rsidRPr="00462BE9">
        <w:rPr>
          <w:rFonts w:ascii="Times New Roman" w:hAnsi="Times New Roman" w:cs="Times New Roman"/>
        </w:rPr>
        <w:t>des nouveaux Etats membres</w:t>
      </w:r>
      <w:r>
        <w:rPr>
          <w:rFonts w:ascii="Times New Roman" w:hAnsi="Times New Roman" w:cs="Times New Roman"/>
        </w:rPr>
        <w:t>,</w:t>
      </w:r>
      <w:r w:rsidR="0058332C" w:rsidRPr="00462BE9">
        <w:rPr>
          <w:rFonts w:ascii="Times New Roman" w:hAnsi="Times New Roman" w:cs="Times New Roman"/>
        </w:rPr>
        <w:t xml:space="preserve"> de 2004 et 2007</w:t>
      </w:r>
      <w:r>
        <w:rPr>
          <w:rFonts w:ascii="Times New Roman" w:hAnsi="Times New Roman" w:cs="Times New Roman"/>
        </w:rPr>
        <w:t>.</w:t>
      </w:r>
    </w:p>
    <w:p w14:paraId="2A807650" w14:textId="77777777" w:rsidR="00462BE9" w:rsidRDefault="00D01CC6" w:rsidP="00462BE9">
      <w:pPr>
        <w:pStyle w:val="Sansinterligne"/>
        <w:numPr>
          <w:ilvl w:val="0"/>
          <w:numId w:val="2"/>
        </w:numPr>
        <w:spacing w:after="120"/>
        <w:ind w:left="284" w:hanging="284"/>
        <w:jc w:val="both"/>
        <w:rPr>
          <w:rFonts w:ascii="Times New Roman" w:hAnsi="Times New Roman" w:cs="Times New Roman"/>
        </w:rPr>
      </w:pPr>
      <w:r w:rsidRPr="00D01CC6">
        <w:rPr>
          <w:rFonts w:ascii="Times New Roman" w:hAnsi="Times New Roman" w:cs="Times New Roman"/>
          <w:b/>
        </w:rPr>
        <w:t xml:space="preserve">Les </w:t>
      </w:r>
      <w:r w:rsidR="005D0282" w:rsidRPr="00D01CC6">
        <w:rPr>
          <w:rFonts w:ascii="Times New Roman" w:hAnsi="Times New Roman" w:cs="Times New Roman"/>
          <w:b/>
        </w:rPr>
        <w:t xml:space="preserve">importations </w:t>
      </w:r>
      <w:r w:rsidRPr="00D01CC6">
        <w:rPr>
          <w:rFonts w:ascii="Times New Roman" w:hAnsi="Times New Roman" w:cs="Times New Roman"/>
          <w:b/>
        </w:rPr>
        <w:t xml:space="preserve">énergétiques </w:t>
      </w:r>
      <w:r w:rsidR="00DF336D" w:rsidRPr="00D01CC6">
        <w:rPr>
          <w:rFonts w:ascii="Times New Roman" w:hAnsi="Times New Roman" w:cs="Times New Roman"/>
          <w:b/>
        </w:rPr>
        <w:t xml:space="preserve">de Russie </w:t>
      </w:r>
      <w:r w:rsidRPr="00D01CC6">
        <w:rPr>
          <w:rFonts w:ascii="Times New Roman" w:hAnsi="Times New Roman" w:cs="Times New Roman"/>
          <w:b/>
        </w:rPr>
        <w:t>ont doublé entre 2003 et 2012</w:t>
      </w:r>
      <w:r>
        <w:rPr>
          <w:rFonts w:ascii="Times New Roman" w:hAnsi="Times New Roman" w:cs="Times New Roman"/>
        </w:rPr>
        <w:t xml:space="preserve">, en raison du </w:t>
      </w:r>
      <w:r w:rsidR="003001D5" w:rsidRPr="00462BE9">
        <w:rPr>
          <w:rFonts w:ascii="Times New Roman" w:hAnsi="Times New Roman" w:cs="Times New Roman"/>
        </w:rPr>
        <w:t xml:space="preserve">renchérissement de </w:t>
      </w:r>
      <w:r w:rsidR="005D0282" w:rsidRPr="00462BE9">
        <w:rPr>
          <w:rFonts w:ascii="Times New Roman" w:hAnsi="Times New Roman" w:cs="Times New Roman"/>
        </w:rPr>
        <w:t>la facture énergétique</w:t>
      </w:r>
      <w:r>
        <w:rPr>
          <w:rFonts w:ascii="Times New Roman" w:hAnsi="Times New Roman" w:cs="Times New Roman"/>
        </w:rPr>
        <w:t>.</w:t>
      </w:r>
      <w:r w:rsidR="005D0282" w:rsidRPr="00462BE9">
        <w:rPr>
          <w:rFonts w:ascii="Times New Roman" w:hAnsi="Times New Roman" w:cs="Times New Roman"/>
        </w:rPr>
        <w:t xml:space="preserve"> </w:t>
      </w:r>
    </w:p>
    <w:p w14:paraId="1D47974F" w14:textId="77777777" w:rsidR="005D0282" w:rsidRPr="00462BE9" w:rsidRDefault="00D01CC6" w:rsidP="00462BE9">
      <w:pPr>
        <w:pStyle w:val="Sansinterligne"/>
        <w:numPr>
          <w:ilvl w:val="0"/>
          <w:numId w:val="2"/>
        </w:numPr>
        <w:spacing w:after="120"/>
        <w:ind w:left="284" w:hanging="284"/>
        <w:jc w:val="both"/>
        <w:rPr>
          <w:rFonts w:ascii="Times New Roman" w:hAnsi="Times New Roman" w:cs="Times New Roman"/>
        </w:rPr>
      </w:pPr>
      <w:r>
        <w:rPr>
          <w:rFonts w:ascii="Times New Roman" w:hAnsi="Times New Roman" w:cs="Times New Roman"/>
          <w:b/>
        </w:rPr>
        <w:t>L</w:t>
      </w:r>
      <w:r w:rsidR="005D0282" w:rsidRPr="00462BE9">
        <w:rPr>
          <w:rFonts w:ascii="Times New Roman" w:hAnsi="Times New Roman" w:cs="Times New Roman"/>
          <w:b/>
        </w:rPr>
        <w:t xml:space="preserve">es importations </w:t>
      </w:r>
      <w:r w:rsidR="00DF336D" w:rsidRPr="00462BE9">
        <w:rPr>
          <w:rFonts w:ascii="Times New Roman" w:hAnsi="Times New Roman" w:cs="Times New Roman"/>
          <w:b/>
        </w:rPr>
        <w:t>en provenance de</w:t>
      </w:r>
      <w:r w:rsidR="005D0282" w:rsidRPr="00462BE9">
        <w:rPr>
          <w:rFonts w:ascii="Times New Roman" w:hAnsi="Times New Roman" w:cs="Times New Roman"/>
          <w:b/>
        </w:rPr>
        <w:t xml:space="preserve"> Ch</w:t>
      </w:r>
      <w:r w:rsidR="005D0282" w:rsidRPr="00D01CC6">
        <w:rPr>
          <w:rFonts w:ascii="Times New Roman" w:hAnsi="Times New Roman" w:cs="Times New Roman"/>
          <w:b/>
        </w:rPr>
        <w:t xml:space="preserve">ine </w:t>
      </w:r>
      <w:r w:rsidRPr="00D01CC6">
        <w:rPr>
          <w:rFonts w:ascii="Times New Roman" w:hAnsi="Times New Roman" w:cs="Times New Roman"/>
          <w:b/>
        </w:rPr>
        <w:t>ont également augmenté fortement</w:t>
      </w:r>
      <w:r>
        <w:rPr>
          <w:rFonts w:ascii="Times New Roman" w:hAnsi="Times New Roman" w:cs="Times New Roman"/>
        </w:rPr>
        <w:t xml:space="preserve"> </w:t>
      </w:r>
      <w:r w:rsidR="005D0282" w:rsidRPr="00462BE9">
        <w:rPr>
          <w:rFonts w:ascii="Times New Roman" w:hAnsi="Times New Roman" w:cs="Times New Roman"/>
        </w:rPr>
        <w:t>(+60 % entre 2004 et 201</w:t>
      </w:r>
      <w:r w:rsidR="00F03E04" w:rsidRPr="00462BE9">
        <w:rPr>
          <w:rFonts w:ascii="Times New Roman" w:hAnsi="Times New Roman" w:cs="Times New Roman"/>
        </w:rPr>
        <w:t>2</w:t>
      </w:r>
      <w:r w:rsidR="005D0282" w:rsidRPr="00462BE9">
        <w:rPr>
          <w:rFonts w:ascii="Times New Roman" w:hAnsi="Times New Roman" w:cs="Times New Roman"/>
        </w:rPr>
        <w:t>)</w:t>
      </w:r>
      <w:r w:rsidR="00652E06" w:rsidRPr="00462BE9">
        <w:rPr>
          <w:rFonts w:ascii="Times New Roman" w:hAnsi="Times New Roman" w:cs="Times New Roman"/>
        </w:rPr>
        <w:t>.</w:t>
      </w:r>
      <w:r w:rsidR="00F03E04" w:rsidRPr="00462BE9">
        <w:rPr>
          <w:rFonts w:ascii="Times New Roman" w:hAnsi="Times New Roman" w:cs="Times New Roman"/>
        </w:rPr>
        <w:t xml:space="preserve"> </w:t>
      </w:r>
      <w:r w:rsidR="005D0282" w:rsidRPr="00462BE9">
        <w:rPr>
          <w:rFonts w:ascii="Times New Roman" w:hAnsi="Times New Roman" w:cs="Times New Roman"/>
        </w:rPr>
        <w:t xml:space="preserve"> </w:t>
      </w:r>
    </w:p>
    <w:p w14:paraId="5E8466AC" w14:textId="77777777" w:rsidR="008F5B97" w:rsidRDefault="008F5B97" w:rsidP="008F5B97">
      <w:pPr>
        <w:pStyle w:val="Sansinterligne"/>
        <w:jc w:val="both"/>
        <w:rPr>
          <w:rFonts w:ascii="Times New Roman" w:hAnsi="Times New Roman" w:cs="Times New Roman"/>
          <w:b/>
          <w:color w:val="0070C0"/>
        </w:rPr>
      </w:pPr>
      <w:r w:rsidRPr="005B050D">
        <w:rPr>
          <w:rFonts w:ascii="Times New Roman" w:hAnsi="Times New Roman" w:cs="Times New Roman"/>
          <w:b/>
          <w:color w:val="0070C0"/>
        </w:rPr>
        <w:t>Graph</w:t>
      </w:r>
      <w:r>
        <w:rPr>
          <w:rFonts w:ascii="Times New Roman" w:hAnsi="Times New Roman" w:cs="Times New Roman"/>
          <w:b/>
          <w:color w:val="0070C0"/>
        </w:rPr>
        <w:t>ique</w:t>
      </w:r>
      <w:r w:rsidRPr="005B050D">
        <w:rPr>
          <w:rFonts w:ascii="Times New Roman" w:hAnsi="Times New Roman" w:cs="Times New Roman"/>
          <w:b/>
          <w:color w:val="0070C0"/>
        </w:rPr>
        <w:t xml:space="preserve"> n°</w:t>
      </w:r>
      <w:r>
        <w:rPr>
          <w:rFonts w:ascii="Times New Roman" w:hAnsi="Times New Roman" w:cs="Times New Roman"/>
          <w:b/>
          <w:color w:val="0070C0"/>
        </w:rPr>
        <w:t>2</w:t>
      </w:r>
      <w:r w:rsidR="00CF309E">
        <w:rPr>
          <w:rFonts w:ascii="Times New Roman" w:hAnsi="Times New Roman" w:cs="Times New Roman"/>
          <w:b/>
          <w:color w:val="0070C0"/>
        </w:rPr>
        <w:t xml:space="preserve"> –</w:t>
      </w:r>
      <w:r w:rsidRPr="005B050D">
        <w:rPr>
          <w:rFonts w:ascii="Times New Roman" w:hAnsi="Times New Roman" w:cs="Times New Roman"/>
          <w:b/>
          <w:color w:val="0070C0"/>
        </w:rPr>
        <w:t xml:space="preserve"> </w:t>
      </w:r>
      <w:r>
        <w:rPr>
          <w:rFonts w:ascii="Times New Roman" w:hAnsi="Times New Roman" w:cs="Times New Roman"/>
          <w:b/>
          <w:color w:val="0070C0"/>
        </w:rPr>
        <w:t>Evolution des parts de marché des principaux fournisseurs de la Croatie, sur la période 2000-201</w:t>
      </w:r>
      <w:r w:rsidR="00050FD4">
        <w:rPr>
          <w:rFonts w:ascii="Times New Roman" w:hAnsi="Times New Roman" w:cs="Times New Roman"/>
          <w:b/>
          <w:color w:val="0070C0"/>
        </w:rPr>
        <w:t>7</w:t>
      </w:r>
      <w:r>
        <w:rPr>
          <w:rFonts w:ascii="Times New Roman" w:hAnsi="Times New Roman" w:cs="Times New Roman"/>
          <w:b/>
          <w:color w:val="0070C0"/>
        </w:rPr>
        <w:t xml:space="preserve">, </w:t>
      </w:r>
      <w:r w:rsidRPr="008A2AE1">
        <w:rPr>
          <w:rFonts w:ascii="Times New Roman" w:hAnsi="Times New Roman" w:cs="Times New Roman"/>
          <w:b/>
          <w:i/>
          <w:color w:val="0070C0"/>
        </w:rPr>
        <w:t>en % du total des importations croates</w:t>
      </w:r>
    </w:p>
    <w:p w14:paraId="1863BE70" w14:textId="77777777" w:rsidR="00D80C3B" w:rsidRDefault="00D80C3B" w:rsidP="00D80C3B">
      <w:pPr>
        <w:pStyle w:val="Sansinterligne"/>
        <w:jc w:val="both"/>
        <w:rPr>
          <w:rFonts w:ascii="Times New Roman" w:hAnsi="Times New Roman" w:cs="Times New Roman"/>
          <w:i/>
          <w:color w:val="0070C0"/>
        </w:rPr>
      </w:pPr>
    </w:p>
    <w:p w14:paraId="458D7C05" w14:textId="77777777" w:rsidR="00D80C3B" w:rsidRDefault="00B206DB" w:rsidP="00A11940">
      <w:pPr>
        <w:pStyle w:val="Sansinterligne"/>
        <w:jc w:val="center"/>
        <w:rPr>
          <w:rFonts w:ascii="Times New Roman" w:hAnsi="Times New Roman" w:cs="Times New Roman"/>
          <w:i/>
          <w:color w:val="0070C0"/>
        </w:rPr>
      </w:pPr>
      <w:r>
        <w:rPr>
          <w:rFonts w:ascii="Times New Roman" w:hAnsi="Times New Roman" w:cs="Times New Roman"/>
          <w:i/>
          <w:noProof/>
          <w:color w:val="0070C0"/>
          <w:lang w:eastAsia="fr-FR"/>
        </w:rPr>
        <w:drawing>
          <wp:inline distT="0" distB="0" distL="0" distR="0" wp14:anchorId="502C2D9B" wp14:editId="04221F7A">
            <wp:extent cx="5394192" cy="2574152"/>
            <wp:effectExtent l="0" t="0" r="16510" b="17145"/>
            <wp:docPr id="4"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FDBA188" w14:textId="77777777" w:rsidR="001800C0" w:rsidRPr="00442A26" w:rsidRDefault="001800C0" w:rsidP="00A11940">
      <w:pPr>
        <w:pStyle w:val="Sansinterligne"/>
        <w:spacing w:after="120"/>
        <w:jc w:val="right"/>
        <w:rPr>
          <w:rFonts w:ascii="Times New Roman" w:hAnsi="Times New Roman" w:cs="Times New Roman"/>
          <w:color w:val="0000FF"/>
          <w:sz w:val="18"/>
          <w:szCs w:val="18"/>
          <w:u w:val="single"/>
        </w:rPr>
      </w:pPr>
      <w:r w:rsidRPr="00442A26">
        <w:rPr>
          <w:rFonts w:ascii="Times New Roman" w:hAnsi="Times New Roman" w:cs="Times New Roman"/>
          <w:color w:val="0000FF"/>
          <w:sz w:val="18"/>
          <w:szCs w:val="18"/>
          <w:u w:val="single"/>
        </w:rPr>
        <w:t>Source : Institut national des statistiques, Service économique de Zagreb</w:t>
      </w:r>
    </w:p>
    <w:p w14:paraId="07D0D6D2" w14:textId="77777777" w:rsidR="00BF6804" w:rsidRDefault="00BF6804" w:rsidP="00197652">
      <w:pPr>
        <w:pStyle w:val="Sansinterligne"/>
        <w:spacing w:after="240"/>
        <w:jc w:val="both"/>
        <w:rPr>
          <w:rFonts w:ascii="Times New Roman" w:hAnsi="Times New Roman" w:cs="Times New Roman"/>
          <w:b/>
        </w:rPr>
      </w:pPr>
    </w:p>
    <w:p w14:paraId="71CDE5CA" w14:textId="77777777" w:rsidR="00E72F93" w:rsidRPr="001C0EC3" w:rsidRDefault="00E72F93" w:rsidP="00197652">
      <w:pPr>
        <w:pStyle w:val="Sansinterligne"/>
        <w:spacing w:after="240"/>
        <w:jc w:val="both"/>
        <w:rPr>
          <w:rFonts w:ascii="Times New Roman" w:hAnsi="Times New Roman" w:cs="Times New Roman"/>
        </w:rPr>
      </w:pPr>
      <w:r w:rsidRPr="00442A26">
        <w:rPr>
          <w:rFonts w:ascii="Times New Roman" w:hAnsi="Times New Roman" w:cs="Times New Roman"/>
          <w:b/>
        </w:rPr>
        <w:t xml:space="preserve">A noter que, pour avoir une image réelle de la part française du marché croate, il conviendrait </w:t>
      </w:r>
      <w:r w:rsidR="00042CF2" w:rsidRPr="00442A26">
        <w:rPr>
          <w:rFonts w:ascii="Times New Roman" w:hAnsi="Times New Roman" w:cs="Times New Roman"/>
          <w:b/>
        </w:rPr>
        <w:t xml:space="preserve">de tenir compte des ventes </w:t>
      </w:r>
      <w:r w:rsidRPr="00442A26">
        <w:rPr>
          <w:rFonts w:ascii="Times New Roman" w:hAnsi="Times New Roman" w:cs="Times New Roman"/>
          <w:b/>
        </w:rPr>
        <w:t xml:space="preserve">des filiales françaises établies en Croatie. </w:t>
      </w:r>
      <w:r w:rsidRPr="00442A26">
        <w:rPr>
          <w:rFonts w:ascii="Times New Roman" w:hAnsi="Times New Roman" w:cs="Times New Roman"/>
        </w:rPr>
        <w:t>Rappelons à ce titre la présence de grands groupes français, tels que le groupe laitier Lactalis, leader du marché local pour la production et la distribution de lait et de produits laitiers dérivés (225 M EUR de CA en 201</w:t>
      </w:r>
      <w:r w:rsidR="00F86F27" w:rsidRPr="00442A26">
        <w:rPr>
          <w:rFonts w:ascii="Times New Roman" w:hAnsi="Times New Roman" w:cs="Times New Roman"/>
        </w:rPr>
        <w:t>6 en Croatie)</w:t>
      </w:r>
      <w:r w:rsidR="00123BCB" w:rsidRPr="00442A26">
        <w:rPr>
          <w:rFonts w:ascii="Times New Roman" w:hAnsi="Times New Roman" w:cs="Times New Roman"/>
        </w:rPr>
        <w:t>,</w:t>
      </w:r>
      <w:r w:rsidRPr="00442A26">
        <w:rPr>
          <w:rFonts w:ascii="Times New Roman" w:hAnsi="Times New Roman" w:cs="Times New Roman"/>
        </w:rPr>
        <w:t xml:space="preserve"> qui </w:t>
      </w:r>
      <w:r w:rsidRPr="001C0EC3">
        <w:rPr>
          <w:rFonts w:ascii="Times New Roman" w:hAnsi="Times New Roman" w:cs="Times New Roman"/>
        </w:rPr>
        <w:t>dispose</w:t>
      </w:r>
      <w:r w:rsidR="00721213" w:rsidRPr="001C0EC3">
        <w:rPr>
          <w:rFonts w:ascii="Times New Roman" w:hAnsi="Times New Roman" w:cs="Times New Roman"/>
        </w:rPr>
        <w:t>, par ailleurs,</w:t>
      </w:r>
      <w:r w:rsidRPr="001C0EC3">
        <w:rPr>
          <w:rFonts w:ascii="Times New Roman" w:hAnsi="Times New Roman" w:cs="Times New Roman"/>
        </w:rPr>
        <w:t xml:space="preserve"> d’une envergure régionale</w:t>
      </w:r>
      <w:r w:rsidR="00F86F27" w:rsidRPr="001C0EC3">
        <w:rPr>
          <w:rFonts w:ascii="Times New Roman" w:hAnsi="Times New Roman" w:cs="Times New Roman"/>
        </w:rPr>
        <w:t xml:space="preserve"> (450 M EUR de CA </w:t>
      </w:r>
      <w:r w:rsidR="005F5ACE" w:rsidRPr="001C0EC3">
        <w:rPr>
          <w:rFonts w:ascii="Times New Roman" w:hAnsi="Times New Roman" w:cs="Times New Roman"/>
        </w:rPr>
        <w:t>consolidé).</w:t>
      </w:r>
      <w:r w:rsidRPr="001C0EC3">
        <w:rPr>
          <w:rFonts w:ascii="Times New Roman" w:hAnsi="Times New Roman" w:cs="Times New Roman"/>
        </w:rPr>
        <w:t xml:space="preserve"> </w:t>
      </w:r>
    </w:p>
    <w:p w14:paraId="02F57CBC" w14:textId="77777777" w:rsidR="00EF05D5" w:rsidRPr="001C0EC3" w:rsidRDefault="00EF05D5" w:rsidP="00876202">
      <w:pPr>
        <w:pStyle w:val="Sansinterligne"/>
        <w:numPr>
          <w:ilvl w:val="0"/>
          <w:numId w:val="1"/>
        </w:numPr>
        <w:spacing w:after="240"/>
        <w:ind w:left="284" w:hanging="284"/>
        <w:jc w:val="both"/>
        <w:rPr>
          <w:rFonts w:ascii="Times New Roman" w:hAnsi="Times New Roman" w:cs="Times New Roman"/>
          <w:b/>
          <w:u w:val="single"/>
        </w:rPr>
      </w:pPr>
      <w:r w:rsidRPr="001C0EC3">
        <w:rPr>
          <w:rFonts w:ascii="Times New Roman" w:hAnsi="Times New Roman" w:cs="Times New Roman"/>
          <w:b/>
          <w:u w:val="single"/>
        </w:rPr>
        <w:lastRenderedPageBreak/>
        <w:t xml:space="preserve">Dominées par </w:t>
      </w:r>
      <w:r w:rsidR="002A3912" w:rsidRPr="001C0EC3">
        <w:rPr>
          <w:rFonts w:ascii="Times New Roman" w:hAnsi="Times New Roman" w:cs="Times New Roman"/>
          <w:b/>
          <w:u w:val="single"/>
        </w:rPr>
        <w:t>les produits industriels</w:t>
      </w:r>
      <w:r w:rsidRPr="001C0EC3">
        <w:rPr>
          <w:rFonts w:ascii="Times New Roman" w:hAnsi="Times New Roman" w:cs="Times New Roman"/>
          <w:b/>
          <w:u w:val="single"/>
        </w:rPr>
        <w:t xml:space="preserve">, les importations françaises en provenance de Croatie ont </w:t>
      </w:r>
      <w:r w:rsidR="002A3912" w:rsidRPr="001C0EC3">
        <w:rPr>
          <w:rFonts w:ascii="Times New Roman" w:hAnsi="Times New Roman" w:cs="Times New Roman"/>
          <w:b/>
          <w:u w:val="single"/>
        </w:rPr>
        <w:t xml:space="preserve">fortement </w:t>
      </w:r>
      <w:r w:rsidRPr="001C0EC3">
        <w:rPr>
          <w:rFonts w:ascii="Times New Roman" w:hAnsi="Times New Roman" w:cs="Times New Roman"/>
          <w:b/>
          <w:u w:val="single"/>
        </w:rPr>
        <w:t xml:space="preserve">augmenté </w:t>
      </w:r>
      <w:r w:rsidR="00253573" w:rsidRPr="001C0EC3">
        <w:rPr>
          <w:rFonts w:ascii="Times New Roman" w:hAnsi="Times New Roman" w:cs="Times New Roman"/>
          <w:b/>
          <w:u w:val="single"/>
        </w:rPr>
        <w:t>en</w:t>
      </w:r>
      <w:r w:rsidR="009D2D44" w:rsidRPr="001C0EC3">
        <w:rPr>
          <w:rFonts w:ascii="Times New Roman" w:hAnsi="Times New Roman" w:cs="Times New Roman"/>
          <w:b/>
          <w:u w:val="single"/>
        </w:rPr>
        <w:t xml:space="preserve"> 201</w:t>
      </w:r>
      <w:r w:rsidR="002A3912" w:rsidRPr="001C0EC3">
        <w:rPr>
          <w:rFonts w:ascii="Times New Roman" w:hAnsi="Times New Roman" w:cs="Times New Roman"/>
          <w:b/>
          <w:u w:val="single"/>
        </w:rPr>
        <w:t>7</w:t>
      </w:r>
      <w:r w:rsidR="009D2D44" w:rsidRPr="001C0EC3">
        <w:rPr>
          <w:rFonts w:ascii="Times New Roman" w:hAnsi="Times New Roman" w:cs="Times New Roman"/>
          <w:b/>
          <w:u w:val="single"/>
        </w:rPr>
        <w:t xml:space="preserve"> (+</w:t>
      </w:r>
      <w:r w:rsidR="002A3912" w:rsidRPr="001C0EC3">
        <w:rPr>
          <w:rFonts w:ascii="Times New Roman" w:hAnsi="Times New Roman" w:cs="Times New Roman"/>
          <w:b/>
          <w:u w:val="single"/>
        </w:rPr>
        <w:t>32</w:t>
      </w:r>
      <w:r w:rsidR="009D2D44" w:rsidRPr="001C0EC3">
        <w:rPr>
          <w:rFonts w:ascii="Times New Roman" w:hAnsi="Times New Roman" w:cs="Times New Roman"/>
          <w:b/>
          <w:u w:val="single"/>
        </w:rPr>
        <w:t>%)</w:t>
      </w:r>
      <w:r w:rsidR="00253573" w:rsidRPr="001C0EC3">
        <w:rPr>
          <w:rFonts w:ascii="Times New Roman" w:hAnsi="Times New Roman" w:cs="Times New Roman"/>
          <w:b/>
          <w:u w:val="single"/>
        </w:rPr>
        <w:t xml:space="preserve"> </w:t>
      </w:r>
      <w:r w:rsidR="002A3912" w:rsidRPr="001C0EC3">
        <w:rPr>
          <w:rFonts w:ascii="Times New Roman" w:hAnsi="Times New Roman" w:cs="Times New Roman"/>
          <w:b/>
          <w:u w:val="single"/>
        </w:rPr>
        <w:t>par rapport à l’année précedente</w:t>
      </w:r>
      <w:r w:rsidR="009D2D44" w:rsidRPr="001C0EC3">
        <w:rPr>
          <w:rFonts w:ascii="Times New Roman" w:hAnsi="Times New Roman" w:cs="Times New Roman"/>
          <w:b/>
          <w:u w:val="single"/>
        </w:rPr>
        <w:t xml:space="preserve"> </w:t>
      </w:r>
      <w:r w:rsidRPr="001C0EC3">
        <w:rPr>
          <w:rFonts w:ascii="Times New Roman" w:hAnsi="Times New Roman" w:cs="Times New Roman"/>
          <w:b/>
          <w:u w:val="single"/>
        </w:rPr>
        <w:t>(+14%)</w:t>
      </w:r>
      <w:r w:rsidR="00703D36" w:rsidRPr="001C0EC3">
        <w:rPr>
          <w:rFonts w:ascii="Times New Roman" w:hAnsi="Times New Roman" w:cs="Times New Roman"/>
          <w:b/>
          <w:u w:val="single"/>
        </w:rPr>
        <w:t xml:space="preserve">, une part </w:t>
      </w:r>
      <w:r w:rsidR="0044598C" w:rsidRPr="001C0EC3">
        <w:rPr>
          <w:rFonts w:ascii="Times New Roman" w:hAnsi="Times New Roman" w:cs="Times New Roman"/>
          <w:b/>
          <w:u w:val="single"/>
        </w:rPr>
        <w:t xml:space="preserve">émanant </w:t>
      </w:r>
      <w:r w:rsidR="00F51E6F" w:rsidRPr="001C0EC3">
        <w:rPr>
          <w:rFonts w:ascii="Times New Roman" w:hAnsi="Times New Roman" w:cs="Times New Roman"/>
          <w:b/>
          <w:u w:val="single"/>
        </w:rPr>
        <w:t>d’implantations françaises en Croatie</w:t>
      </w:r>
      <w:r w:rsidR="00253573" w:rsidRPr="001C0EC3">
        <w:rPr>
          <w:rFonts w:ascii="Times New Roman" w:hAnsi="Times New Roman" w:cs="Times New Roman"/>
          <w:b/>
          <w:u w:val="single"/>
        </w:rPr>
        <w:t>.</w:t>
      </w:r>
    </w:p>
    <w:p w14:paraId="1EBEDFA3" w14:textId="77777777" w:rsidR="00CD3071" w:rsidRPr="00442A26" w:rsidRDefault="00DE29C3" w:rsidP="003D413F">
      <w:pPr>
        <w:pStyle w:val="Sansinterligne"/>
        <w:spacing w:after="120"/>
        <w:jc w:val="both"/>
        <w:rPr>
          <w:rFonts w:ascii="Times New Roman" w:hAnsi="Times New Roman" w:cs="Times New Roman"/>
        </w:rPr>
      </w:pPr>
      <w:r w:rsidRPr="00442A26">
        <w:rPr>
          <w:rFonts w:ascii="Times New Roman" w:hAnsi="Times New Roman" w:cs="Times New Roman"/>
          <w:b/>
        </w:rPr>
        <w:t>En 201</w:t>
      </w:r>
      <w:r w:rsidR="00C10B9B">
        <w:rPr>
          <w:rFonts w:ascii="Times New Roman" w:hAnsi="Times New Roman" w:cs="Times New Roman"/>
          <w:b/>
        </w:rPr>
        <w:t>7</w:t>
      </w:r>
      <w:r w:rsidRPr="00442A26">
        <w:rPr>
          <w:rFonts w:ascii="Times New Roman" w:hAnsi="Times New Roman" w:cs="Times New Roman"/>
          <w:b/>
        </w:rPr>
        <w:t>, l</w:t>
      </w:r>
      <w:r w:rsidR="002B6A4D" w:rsidRPr="00442A26">
        <w:rPr>
          <w:rFonts w:ascii="Times New Roman" w:hAnsi="Times New Roman" w:cs="Times New Roman"/>
          <w:b/>
        </w:rPr>
        <w:t>es importations françaises (</w:t>
      </w:r>
      <w:r w:rsidR="00C10B9B">
        <w:rPr>
          <w:rFonts w:ascii="Times New Roman" w:hAnsi="Times New Roman" w:cs="Times New Roman"/>
          <w:b/>
        </w:rPr>
        <w:t>2</w:t>
      </w:r>
      <w:r w:rsidR="002F7AA9">
        <w:rPr>
          <w:rFonts w:ascii="Times New Roman" w:hAnsi="Times New Roman" w:cs="Times New Roman"/>
          <w:b/>
        </w:rPr>
        <w:t>62</w:t>
      </w:r>
      <w:r w:rsidR="002B6A4D" w:rsidRPr="00442A26">
        <w:rPr>
          <w:rFonts w:ascii="Times New Roman" w:hAnsi="Times New Roman" w:cs="Times New Roman"/>
          <w:b/>
        </w:rPr>
        <w:t xml:space="preserve"> M EUR) </w:t>
      </w:r>
      <w:r w:rsidR="00FE1726" w:rsidRPr="00442A26">
        <w:rPr>
          <w:rFonts w:ascii="Times New Roman" w:hAnsi="Times New Roman" w:cs="Times New Roman"/>
          <w:b/>
        </w:rPr>
        <w:t xml:space="preserve">ont augmenté de </w:t>
      </w:r>
      <w:r w:rsidR="002F7AA9">
        <w:rPr>
          <w:rFonts w:ascii="Times New Roman" w:hAnsi="Times New Roman" w:cs="Times New Roman"/>
          <w:b/>
        </w:rPr>
        <w:t>32</w:t>
      </w:r>
      <w:r w:rsidR="00FE1726" w:rsidRPr="00442A26">
        <w:rPr>
          <w:rFonts w:ascii="Times New Roman" w:hAnsi="Times New Roman" w:cs="Times New Roman"/>
          <w:b/>
        </w:rPr>
        <w:t>%</w:t>
      </w:r>
      <w:r w:rsidR="00FE1726" w:rsidRPr="00442A26">
        <w:rPr>
          <w:rFonts w:ascii="Times New Roman" w:hAnsi="Times New Roman" w:cs="Times New Roman"/>
        </w:rPr>
        <w:t xml:space="preserve">. Entre </w:t>
      </w:r>
      <w:r w:rsidR="00167AC7" w:rsidRPr="00442A26">
        <w:rPr>
          <w:rFonts w:ascii="Times New Roman" w:hAnsi="Times New Roman" w:cs="Times New Roman"/>
        </w:rPr>
        <w:t>2006</w:t>
      </w:r>
      <w:r w:rsidR="00FE1726" w:rsidRPr="00442A26">
        <w:rPr>
          <w:rFonts w:ascii="Times New Roman" w:hAnsi="Times New Roman" w:cs="Times New Roman"/>
        </w:rPr>
        <w:t xml:space="preserve"> et 2010</w:t>
      </w:r>
      <w:r w:rsidR="00167AC7" w:rsidRPr="00442A26">
        <w:rPr>
          <w:rFonts w:ascii="Times New Roman" w:hAnsi="Times New Roman" w:cs="Times New Roman"/>
        </w:rPr>
        <w:t xml:space="preserve">, </w:t>
      </w:r>
      <w:r w:rsidRPr="00442A26">
        <w:rPr>
          <w:rFonts w:ascii="Times New Roman" w:hAnsi="Times New Roman" w:cs="Times New Roman"/>
        </w:rPr>
        <w:t xml:space="preserve">nos importations </w:t>
      </w:r>
      <w:r w:rsidR="00167AC7" w:rsidRPr="00442A26">
        <w:rPr>
          <w:rFonts w:ascii="Times New Roman" w:hAnsi="Times New Roman" w:cs="Times New Roman"/>
        </w:rPr>
        <w:t>atteign</w:t>
      </w:r>
      <w:r w:rsidR="00FE1726" w:rsidRPr="00442A26">
        <w:rPr>
          <w:rFonts w:ascii="Times New Roman" w:hAnsi="Times New Roman" w:cs="Times New Roman"/>
        </w:rPr>
        <w:t>ai</w:t>
      </w:r>
      <w:r w:rsidR="00167AC7" w:rsidRPr="00442A26">
        <w:rPr>
          <w:rFonts w:ascii="Times New Roman" w:hAnsi="Times New Roman" w:cs="Times New Roman"/>
        </w:rPr>
        <w:t>ent</w:t>
      </w:r>
      <w:r w:rsidR="00FE1726" w:rsidRPr="00442A26">
        <w:rPr>
          <w:rFonts w:ascii="Times New Roman" w:hAnsi="Times New Roman" w:cs="Times New Roman"/>
        </w:rPr>
        <w:t xml:space="preserve"> </w:t>
      </w:r>
      <w:r w:rsidR="00167AC7" w:rsidRPr="00442A26">
        <w:rPr>
          <w:rFonts w:ascii="Times New Roman" w:hAnsi="Times New Roman" w:cs="Times New Roman"/>
        </w:rPr>
        <w:t>150 M EUR</w:t>
      </w:r>
      <w:r w:rsidR="00FE1726" w:rsidRPr="00442A26">
        <w:rPr>
          <w:rFonts w:ascii="Times New Roman" w:hAnsi="Times New Roman" w:cs="Times New Roman"/>
        </w:rPr>
        <w:t xml:space="preserve"> en moyenne annuelle, puis ont</w:t>
      </w:r>
      <w:r w:rsidR="00167AC7" w:rsidRPr="00442A26">
        <w:rPr>
          <w:rFonts w:ascii="Times New Roman" w:hAnsi="Times New Roman" w:cs="Times New Roman"/>
        </w:rPr>
        <w:t xml:space="preserve"> </w:t>
      </w:r>
      <w:r w:rsidR="00CD3071" w:rsidRPr="00442A26">
        <w:rPr>
          <w:rFonts w:ascii="Times New Roman" w:hAnsi="Times New Roman" w:cs="Times New Roman"/>
        </w:rPr>
        <w:t>p</w:t>
      </w:r>
      <w:r w:rsidR="00167AC7" w:rsidRPr="00442A26">
        <w:rPr>
          <w:rFonts w:ascii="Times New Roman" w:hAnsi="Times New Roman" w:cs="Times New Roman"/>
        </w:rPr>
        <w:t>rogress</w:t>
      </w:r>
      <w:r w:rsidR="00FE1726" w:rsidRPr="00442A26">
        <w:rPr>
          <w:rFonts w:ascii="Times New Roman" w:hAnsi="Times New Roman" w:cs="Times New Roman"/>
        </w:rPr>
        <w:t xml:space="preserve">é de </w:t>
      </w:r>
      <w:r w:rsidR="00943775" w:rsidRPr="00442A26">
        <w:rPr>
          <w:rFonts w:ascii="Times New Roman" w:hAnsi="Times New Roman" w:cs="Times New Roman"/>
        </w:rPr>
        <w:t>75</w:t>
      </w:r>
      <w:r w:rsidR="00FE1726" w:rsidRPr="00442A26">
        <w:rPr>
          <w:rFonts w:ascii="Times New Roman" w:hAnsi="Times New Roman" w:cs="Times New Roman"/>
        </w:rPr>
        <w:t xml:space="preserve">% </w:t>
      </w:r>
      <w:r w:rsidR="00167AC7" w:rsidRPr="00442A26">
        <w:rPr>
          <w:rFonts w:ascii="Times New Roman" w:hAnsi="Times New Roman" w:cs="Times New Roman"/>
        </w:rPr>
        <w:t>entre 2010 et 201</w:t>
      </w:r>
      <w:r w:rsidR="00943775" w:rsidRPr="00442A26">
        <w:rPr>
          <w:rFonts w:ascii="Times New Roman" w:hAnsi="Times New Roman" w:cs="Times New Roman"/>
        </w:rPr>
        <w:t>6</w:t>
      </w:r>
      <w:r w:rsidR="002B6A4D" w:rsidRPr="00442A26">
        <w:rPr>
          <w:rFonts w:ascii="Times New Roman" w:hAnsi="Times New Roman" w:cs="Times New Roman"/>
        </w:rPr>
        <w:t xml:space="preserve">. </w:t>
      </w:r>
    </w:p>
    <w:p w14:paraId="1B96318F" w14:textId="77777777" w:rsidR="00FF626F" w:rsidRPr="00442A26" w:rsidRDefault="00292346" w:rsidP="003D413F">
      <w:pPr>
        <w:pStyle w:val="Sansinterligne"/>
        <w:spacing w:after="120"/>
        <w:jc w:val="both"/>
        <w:rPr>
          <w:rFonts w:ascii="Times New Roman" w:hAnsi="Times New Roman" w:cs="Times New Roman"/>
        </w:rPr>
      </w:pPr>
      <w:r w:rsidRPr="00442A26">
        <w:rPr>
          <w:rFonts w:ascii="Times New Roman" w:hAnsi="Times New Roman" w:cs="Times New Roman"/>
          <w:b/>
        </w:rPr>
        <w:t>N</w:t>
      </w:r>
      <w:r w:rsidR="002B6A4D" w:rsidRPr="00442A26">
        <w:rPr>
          <w:rFonts w:ascii="Times New Roman" w:hAnsi="Times New Roman" w:cs="Times New Roman"/>
          <w:b/>
        </w:rPr>
        <w:t xml:space="preserve">os </w:t>
      </w:r>
      <w:r w:rsidR="00167AC7" w:rsidRPr="00442A26">
        <w:rPr>
          <w:rFonts w:ascii="Times New Roman" w:hAnsi="Times New Roman" w:cs="Times New Roman"/>
          <w:b/>
        </w:rPr>
        <w:t>achats</w:t>
      </w:r>
      <w:r w:rsidR="002B6A4D" w:rsidRPr="00442A26">
        <w:rPr>
          <w:rFonts w:ascii="Times New Roman" w:hAnsi="Times New Roman" w:cs="Times New Roman"/>
          <w:b/>
        </w:rPr>
        <w:t xml:space="preserve"> </w:t>
      </w:r>
      <w:r w:rsidRPr="00442A26">
        <w:rPr>
          <w:rFonts w:ascii="Times New Roman" w:hAnsi="Times New Roman" w:cs="Times New Roman"/>
          <w:b/>
        </w:rPr>
        <w:t xml:space="preserve">à la Croatie </w:t>
      </w:r>
      <w:r w:rsidR="004012BE">
        <w:rPr>
          <w:rFonts w:ascii="Times New Roman" w:hAnsi="Times New Roman" w:cs="Times New Roman"/>
          <w:b/>
        </w:rPr>
        <w:t>consisten</w:t>
      </w:r>
      <w:r w:rsidR="002B6A4D" w:rsidRPr="00442A26">
        <w:rPr>
          <w:rFonts w:ascii="Times New Roman" w:hAnsi="Times New Roman" w:cs="Times New Roman"/>
          <w:b/>
        </w:rPr>
        <w:t xml:space="preserve">t </w:t>
      </w:r>
      <w:r w:rsidR="004012BE">
        <w:rPr>
          <w:rFonts w:ascii="Times New Roman" w:hAnsi="Times New Roman" w:cs="Times New Roman"/>
          <w:b/>
        </w:rPr>
        <w:t xml:space="preserve">principalement en </w:t>
      </w:r>
      <w:r w:rsidR="002B6A4D" w:rsidRPr="00442A26">
        <w:rPr>
          <w:rFonts w:ascii="Times New Roman" w:hAnsi="Times New Roman" w:cs="Times New Roman"/>
          <w:b/>
        </w:rPr>
        <w:t>produits industriels</w:t>
      </w:r>
      <w:r w:rsidR="002B6A4D" w:rsidRPr="00442A26">
        <w:rPr>
          <w:rFonts w:ascii="Times New Roman" w:hAnsi="Times New Roman" w:cs="Times New Roman"/>
        </w:rPr>
        <w:t xml:space="preserve">. </w:t>
      </w:r>
      <w:r w:rsidR="00167AC7" w:rsidRPr="00442A26">
        <w:rPr>
          <w:rFonts w:ascii="Times New Roman" w:hAnsi="Times New Roman" w:cs="Times New Roman"/>
        </w:rPr>
        <w:t xml:space="preserve">Ce </w:t>
      </w:r>
      <w:r w:rsidR="00CB3B54">
        <w:rPr>
          <w:rFonts w:ascii="Times New Roman" w:hAnsi="Times New Roman" w:cs="Times New Roman"/>
        </w:rPr>
        <w:t xml:space="preserve">sont </w:t>
      </w:r>
      <w:r w:rsidR="00C61444">
        <w:rPr>
          <w:rFonts w:ascii="Times New Roman" w:hAnsi="Times New Roman" w:cs="Times New Roman"/>
        </w:rPr>
        <w:t xml:space="preserve">en premier lieu </w:t>
      </w:r>
      <w:r w:rsidR="00CB3B54">
        <w:rPr>
          <w:rFonts w:ascii="Times New Roman" w:hAnsi="Times New Roman" w:cs="Times New Roman"/>
        </w:rPr>
        <w:t>d</w:t>
      </w:r>
      <w:r w:rsidR="00E32525" w:rsidRPr="00442A26">
        <w:rPr>
          <w:rFonts w:ascii="Times New Roman" w:hAnsi="Times New Roman" w:cs="Times New Roman"/>
        </w:rPr>
        <w:t xml:space="preserve">es produits </w:t>
      </w:r>
      <w:r w:rsidR="002F7AA9">
        <w:rPr>
          <w:rFonts w:ascii="Times New Roman" w:hAnsi="Times New Roman" w:cs="Times New Roman"/>
        </w:rPr>
        <w:t xml:space="preserve">pharmaceutiques </w:t>
      </w:r>
      <w:r w:rsidR="00C61444">
        <w:rPr>
          <w:rFonts w:ascii="Times New Roman" w:hAnsi="Times New Roman" w:cs="Times New Roman"/>
        </w:rPr>
        <w:t>avec 29,5 M EUR soit 11,3 % du total des importations française</w:t>
      </w:r>
      <w:r w:rsidR="00D04DDE">
        <w:rPr>
          <w:rFonts w:ascii="Times New Roman" w:hAnsi="Times New Roman" w:cs="Times New Roman"/>
        </w:rPr>
        <w:t>s</w:t>
      </w:r>
      <w:r w:rsidR="00C61444">
        <w:rPr>
          <w:rFonts w:ascii="Times New Roman" w:hAnsi="Times New Roman" w:cs="Times New Roman"/>
        </w:rPr>
        <w:t xml:space="preserve"> en provenance de Croatie (en forte hausse avec +75%) suivi des a</w:t>
      </w:r>
      <w:r w:rsidR="00C61444" w:rsidRPr="00C61444">
        <w:rPr>
          <w:rFonts w:ascii="Times New Roman" w:hAnsi="Times New Roman" w:cs="Times New Roman"/>
        </w:rPr>
        <w:t>rticles chaussants à mailles</w:t>
      </w:r>
      <w:r w:rsidR="00C61444">
        <w:rPr>
          <w:rFonts w:ascii="Times New Roman" w:hAnsi="Times New Roman" w:cs="Times New Roman"/>
        </w:rPr>
        <w:t xml:space="preserve"> 15 M EUR (+37% par rapport à 2016) puis des p</w:t>
      </w:r>
      <w:r w:rsidR="00C61444" w:rsidRPr="00C61444">
        <w:rPr>
          <w:rFonts w:ascii="Times New Roman" w:hAnsi="Times New Roman" w:cs="Times New Roman"/>
        </w:rPr>
        <w:t>roduits électroniques grand public</w:t>
      </w:r>
      <w:r w:rsidR="00C61444">
        <w:rPr>
          <w:rFonts w:ascii="Times New Roman" w:hAnsi="Times New Roman" w:cs="Times New Roman"/>
        </w:rPr>
        <w:t xml:space="preserve"> 14 M EUR soit 5,3% des exportation de la Croatie vers la France.</w:t>
      </w:r>
      <w:r w:rsidR="00D04DDE">
        <w:rPr>
          <w:rFonts w:ascii="Times New Roman" w:hAnsi="Times New Roman" w:cs="Times New Roman"/>
        </w:rPr>
        <w:t xml:space="preserve"> </w:t>
      </w:r>
      <w:r w:rsidR="00FF626F" w:rsidRPr="00442A26">
        <w:rPr>
          <w:rFonts w:ascii="Times New Roman" w:hAnsi="Times New Roman" w:cs="Times New Roman"/>
        </w:rPr>
        <w:t xml:space="preserve">Nos achats concernent </w:t>
      </w:r>
      <w:r w:rsidR="00376CF9" w:rsidRPr="00442A26">
        <w:rPr>
          <w:rFonts w:ascii="Times New Roman" w:hAnsi="Times New Roman" w:cs="Times New Roman"/>
        </w:rPr>
        <w:t>aussi</w:t>
      </w:r>
      <w:r w:rsidR="00FF626F" w:rsidRPr="00442A26">
        <w:rPr>
          <w:rFonts w:ascii="Times New Roman" w:hAnsi="Times New Roman" w:cs="Times New Roman"/>
        </w:rPr>
        <w:t xml:space="preserve"> </w:t>
      </w:r>
      <w:r w:rsidR="00D04DDE">
        <w:rPr>
          <w:rFonts w:ascii="Times New Roman" w:hAnsi="Times New Roman" w:cs="Times New Roman"/>
        </w:rPr>
        <w:t>des moteurs et turbines</w:t>
      </w:r>
      <w:r w:rsidR="00D04DDE" w:rsidRPr="00D04DDE">
        <w:rPr>
          <w:rFonts w:ascii="Times New Roman" w:hAnsi="Times New Roman" w:cs="Times New Roman"/>
        </w:rPr>
        <w:t xml:space="preserve"> </w:t>
      </w:r>
      <w:r w:rsidR="00D04DDE">
        <w:rPr>
          <w:rFonts w:ascii="Times New Roman" w:hAnsi="Times New Roman" w:cs="Times New Roman"/>
        </w:rPr>
        <w:t>(</w:t>
      </w:r>
      <w:r w:rsidR="00D04DDE" w:rsidRPr="00D04DDE">
        <w:rPr>
          <w:rFonts w:ascii="Times New Roman" w:hAnsi="Times New Roman" w:cs="Times New Roman"/>
        </w:rPr>
        <w:t>à l'exclusion des moteurs pour avions, automobiles et motocycles</w:t>
      </w:r>
      <w:r w:rsidR="00D04DDE">
        <w:rPr>
          <w:rFonts w:ascii="Times New Roman" w:hAnsi="Times New Roman" w:cs="Times New Roman"/>
        </w:rPr>
        <w:t>)</w:t>
      </w:r>
      <w:r w:rsidR="00D04DDE" w:rsidRPr="00D04DDE">
        <w:rPr>
          <w:rFonts w:ascii="Times New Roman" w:hAnsi="Times New Roman" w:cs="Times New Roman"/>
        </w:rPr>
        <w:t xml:space="preserve"> </w:t>
      </w:r>
      <w:r w:rsidR="000E689B" w:rsidRPr="00442A26">
        <w:rPr>
          <w:rFonts w:ascii="Times New Roman" w:hAnsi="Times New Roman" w:cs="Times New Roman"/>
        </w:rPr>
        <w:t>(</w:t>
      </w:r>
      <w:r w:rsidR="00D04DDE">
        <w:rPr>
          <w:rFonts w:ascii="Times New Roman" w:hAnsi="Times New Roman" w:cs="Times New Roman"/>
        </w:rPr>
        <w:t>13,8</w:t>
      </w:r>
      <w:r w:rsidR="00F6541F" w:rsidRPr="00442A26">
        <w:rPr>
          <w:rFonts w:ascii="Times New Roman" w:hAnsi="Times New Roman" w:cs="Times New Roman"/>
        </w:rPr>
        <w:t xml:space="preserve"> M EUR</w:t>
      </w:r>
      <w:r w:rsidR="00DA5DA0" w:rsidRPr="00442A26">
        <w:rPr>
          <w:rFonts w:ascii="Times New Roman" w:hAnsi="Times New Roman" w:cs="Times New Roman"/>
        </w:rPr>
        <w:t>,</w:t>
      </w:r>
      <w:r w:rsidR="00F6541F" w:rsidRPr="00442A26">
        <w:rPr>
          <w:rFonts w:ascii="Times New Roman" w:hAnsi="Times New Roman" w:cs="Times New Roman"/>
        </w:rPr>
        <w:t xml:space="preserve"> en hausse de </w:t>
      </w:r>
      <w:r w:rsidR="00AE175A" w:rsidRPr="00442A26">
        <w:rPr>
          <w:rFonts w:ascii="Times New Roman" w:hAnsi="Times New Roman" w:cs="Times New Roman"/>
        </w:rPr>
        <w:t>+</w:t>
      </w:r>
      <w:r w:rsidR="00D04DDE">
        <w:rPr>
          <w:rFonts w:ascii="Times New Roman" w:hAnsi="Times New Roman" w:cs="Times New Roman"/>
        </w:rPr>
        <w:t>31%)</w:t>
      </w:r>
      <w:r w:rsidR="00FF626F" w:rsidRPr="00442A26">
        <w:rPr>
          <w:rFonts w:ascii="Times New Roman" w:hAnsi="Times New Roman" w:cs="Times New Roman"/>
        </w:rPr>
        <w:t xml:space="preserve">. </w:t>
      </w:r>
    </w:p>
    <w:p w14:paraId="6BF7EE0C" w14:textId="77777777" w:rsidR="009B41F7" w:rsidRPr="00442A26" w:rsidRDefault="003A0E05" w:rsidP="00197652">
      <w:pPr>
        <w:pStyle w:val="Sansinterligne"/>
        <w:spacing w:after="240"/>
        <w:jc w:val="both"/>
        <w:rPr>
          <w:rFonts w:ascii="Times New Roman" w:hAnsi="Times New Roman" w:cs="Times New Roman"/>
          <w:b/>
          <w:u w:val="single"/>
        </w:rPr>
      </w:pPr>
      <w:r>
        <w:rPr>
          <w:rFonts w:ascii="Times New Roman" w:hAnsi="Times New Roman" w:cs="Times New Roman"/>
          <w:b/>
        </w:rPr>
        <w:t>Une</w:t>
      </w:r>
      <w:r w:rsidR="009B41F7" w:rsidRPr="009B41F7">
        <w:rPr>
          <w:rFonts w:ascii="Times New Roman" w:hAnsi="Times New Roman" w:cs="Times New Roman"/>
          <w:b/>
        </w:rPr>
        <w:t xml:space="preserve"> partie non négligeable de nos achats concerne des produits issus d’implantations françaises en Croat</w:t>
      </w:r>
      <w:r w:rsidR="009B41F7" w:rsidRPr="00881B1D">
        <w:rPr>
          <w:rFonts w:ascii="Times New Roman" w:hAnsi="Times New Roman" w:cs="Times New Roman"/>
          <w:b/>
        </w:rPr>
        <w:t>ie</w:t>
      </w:r>
      <w:r w:rsidR="009B41F7" w:rsidRPr="00881B1D">
        <w:rPr>
          <w:rFonts w:ascii="Times New Roman" w:hAnsi="Times New Roman" w:cs="Times New Roman"/>
        </w:rPr>
        <w:t xml:space="preserve">. </w:t>
      </w:r>
      <w:r w:rsidR="0043281C">
        <w:rPr>
          <w:rFonts w:ascii="Times New Roman" w:hAnsi="Times New Roman" w:cs="Times New Roman"/>
        </w:rPr>
        <w:t>Il en est ainsi</w:t>
      </w:r>
      <w:r w:rsidR="009B41F7" w:rsidRPr="00881B1D">
        <w:rPr>
          <w:rFonts w:ascii="Times New Roman" w:hAnsi="Times New Roman" w:cs="Times New Roman"/>
        </w:rPr>
        <w:t>, en premier lieu, de</w:t>
      </w:r>
      <w:r w:rsidR="0043281C">
        <w:rPr>
          <w:rFonts w:ascii="Times New Roman" w:hAnsi="Times New Roman" w:cs="Times New Roman"/>
        </w:rPr>
        <w:t>s</w:t>
      </w:r>
      <w:r w:rsidR="009B41F7" w:rsidRPr="00881B1D">
        <w:rPr>
          <w:rFonts w:ascii="Times New Roman" w:hAnsi="Times New Roman" w:cs="Times New Roman"/>
        </w:rPr>
        <w:t xml:space="preserve"> chaussures dont une partie provient du site industriel de Koprivnica où produit la société </w:t>
      </w:r>
      <w:r w:rsidR="0043281C">
        <w:rPr>
          <w:rFonts w:ascii="Times New Roman" w:hAnsi="Times New Roman" w:cs="Times New Roman"/>
        </w:rPr>
        <w:t xml:space="preserve">française </w:t>
      </w:r>
      <w:r w:rsidR="009B41F7" w:rsidRPr="00881B1D">
        <w:rPr>
          <w:rFonts w:ascii="Times New Roman" w:hAnsi="Times New Roman" w:cs="Times New Roman"/>
        </w:rPr>
        <w:t>Arche. Parmi les pièces métalliques et autres pièces/accessoires pour véhicules automobiles (</w:t>
      </w:r>
      <w:r w:rsidR="00D04DDE">
        <w:rPr>
          <w:rFonts w:ascii="Times New Roman" w:hAnsi="Times New Roman" w:cs="Times New Roman"/>
        </w:rPr>
        <w:t>7,6</w:t>
      </w:r>
      <w:r>
        <w:rPr>
          <w:rFonts w:ascii="Times New Roman" w:hAnsi="Times New Roman" w:cs="Times New Roman"/>
        </w:rPr>
        <w:t xml:space="preserve"> M EUR</w:t>
      </w:r>
      <w:r w:rsidR="009B41F7" w:rsidRPr="00881B1D">
        <w:rPr>
          <w:rFonts w:ascii="Times New Roman" w:hAnsi="Times New Roman" w:cs="Times New Roman"/>
        </w:rPr>
        <w:t xml:space="preserve">), se trouvent les composants pour moteur aluminium et liaisons au sol en provenance du site de Saint-Jean Industries à Slavonski Brod, ainsi que les productions directement achetées à la société AD Plastik basée à Split, qui collabore de manière très étroite avec Faurecia </w:t>
      </w:r>
      <w:r w:rsidR="00D04DDE">
        <w:rPr>
          <w:rFonts w:ascii="Times New Roman" w:hAnsi="Times New Roman" w:cs="Times New Roman"/>
        </w:rPr>
        <w:t xml:space="preserve">et </w:t>
      </w:r>
      <w:r w:rsidR="002A3912">
        <w:rPr>
          <w:rFonts w:ascii="Times New Roman" w:hAnsi="Times New Roman" w:cs="Times New Roman"/>
        </w:rPr>
        <w:t>les constructeurs automobiles</w:t>
      </w:r>
      <w:r w:rsidR="00D04DDE">
        <w:rPr>
          <w:rFonts w:ascii="Times New Roman" w:hAnsi="Times New Roman" w:cs="Times New Roman"/>
        </w:rPr>
        <w:t xml:space="preserve"> français</w:t>
      </w:r>
      <w:r w:rsidR="009B41F7" w:rsidRPr="00881B1D">
        <w:rPr>
          <w:rFonts w:ascii="Times New Roman" w:hAnsi="Times New Roman" w:cs="Times New Roman"/>
        </w:rPr>
        <w:t>.</w:t>
      </w:r>
      <w:r w:rsidR="009B41F7" w:rsidRPr="009B41F7">
        <w:rPr>
          <w:rFonts w:ascii="Times New Roman" w:hAnsi="Times New Roman" w:cs="Times New Roman"/>
        </w:rPr>
        <w:t xml:space="preserve"> </w:t>
      </w:r>
    </w:p>
    <w:p w14:paraId="21743DEB" w14:textId="77777777" w:rsidR="00E50421" w:rsidRPr="00442A26" w:rsidRDefault="00BB193E" w:rsidP="00876202">
      <w:pPr>
        <w:pStyle w:val="Sansinterligne"/>
        <w:numPr>
          <w:ilvl w:val="0"/>
          <w:numId w:val="1"/>
        </w:numPr>
        <w:spacing w:after="240"/>
        <w:ind w:left="284" w:hanging="284"/>
        <w:jc w:val="both"/>
        <w:rPr>
          <w:rFonts w:ascii="Times New Roman" w:hAnsi="Times New Roman" w:cs="Times New Roman"/>
          <w:b/>
          <w:u w:val="single"/>
        </w:rPr>
      </w:pPr>
      <w:r w:rsidRPr="00442A26">
        <w:rPr>
          <w:rFonts w:ascii="Times New Roman" w:hAnsi="Times New Roman" w:cs="Times New Roman"/>
          <w:b/>
          <w:u w:val="single"/>
        </w:rPr>
        <w:t xml:space="preserve">Notre </w:t>
      </w:r>
      <w:r w:rsidR="00FF626F" w:rsidRPr="00442A26">
        <w:rPr>
          <w:rFonts w:ascii="Times New Roman" w:hAnsi="Times New Roman" w:cs="Times New Roman"/>
          <w:b/>
          <w:u w:val="single"/>
        </w:rPr>
        <w:t>solde</w:t>
      </w:r>
      <w:r w:rsidR="00FC3E97" w:rsidRPr="00442A26">
        <w:rPr>
          <w:rFonts w:ascii="Times New Roman" w:hAnsi="Times New Roman" w:cs="Times New Roman"/>
          <w:b/>
          <w:u w:val="single"/>
        </w:rPr>
        <w:t xml:space="preserve"> commercial avec la Croatie</w:t>
      </w:r>
      <w:r w:rsidR="00C63DBC" w:rsidRPr="00442A26">
        <w:rPr>
          <w:rFonts w:ascii="Times New Roman" w:hAnsi="Times New Roman" w:cs="Times New Roman"/>
          <w:b/>
          <w:u w:val="single"/>
        </w:rPr>
        <w:t xml:space="preserve"> est</w:t>
      </w:r>
      <w:r w:rsidR="00FF626F" w:rsidRPr="00442A26">
        <w:rPr>
          <w:rFonts w:ascii="Times New Roman" w:hAnsi="Times New Roman" w:cs="Times New Roman"/>
          <w:b/>
          <w:u w:val="single"/>
        </w:rPr>
        <w:t xml:space="preserve"> structurellement excédentaire</w:t>
      </w:r>
      <w:r w:rsidR="00C63DBC" w:rsidRPr="00442A26">
        <w:rPr>
          <w:rFonts w:ascii="Times New Roman" w:hAnsi="Times New Roman" w:cs="Times New Roman"/>
          <w:b/>
          <w:u w:val="single"/>
        </w:rPr>
        <w:t>.</w:t>
      </w:r>
    </w:p>
    <w:p w14:paraId="03782815" w14:textId="77777777" w:rsidR="00E97809" w:rsidRDefault="00704A3B" w:rsidP="003D413F">
      <w:pPr>
        <w:pStyle w:val="Sansinterligne"/>
        <w:spacing w:after="120"/>
        <w:jc w:val="both"/>
        <w:rPr>
          <w:rFonts w:ascii="Times New Roman" w:hAnsi="Times New Roman" w:cs="Times New Roman"/>
        </w:rPr>
      </w:pPr>
      <w:r w:rsidRPr="00442A26">
        <w:rPr>
          <w:rFonts w:ascii="Times New Roman" w:hAnsi="Times New Roman" w:cs="Times New Roman"/>
          <w:b/>
        </w:rPr>
        <w:t xml:space="preserve">Notre solde commercial </w:t>
      </w:r>
      <w:r w:rsidR="00C63DBC" w:rsidRPr="00442A26">
        <w:rPr>
          <w:rFonts w:ascii="Times New Roman" w:hAnsi="Times New Roman" w:cs="Times New Roman"/>
          <w:b/>
        </w:rPr>
        <w:t>avec la Croatie</w:t>
      </w:r>
      <w:r w:rsidRPr="00442A26">
        <w:rPr>
          <w:rFonts w:ascii="Times New Roman" w:hAnsi="Times New Roman" w:cs="Times New Roman"/>
          <w:b/>
        </w:rPr>
        <w:t xml:space="preserve"> demeure structurellement positif</w:t>
      </w:r>
      <w:r w:rsidR="00C63DBC" w:rsidRPr="00442A26">
        <w:rPr>
          <w:rFonts w:ascii="Times New Roman" w:hAnsi="Times New Roman" w:cs="Times New Roman"/>
          <w:b/>
        </w:rPr>
        <w:t>,</w:t>
      </w:r>
      <w:r w:rsidRPr="00442A26">
        <w:rPr>
          <w:rFonts w:ascii="Times New Roman" w:hAnsi="Times New Roman" w:cs="Times New Roman"/>
          <w:b/>
        </w:rPr>
        <w:t xml:space="preserve"> ce qui est une exception</w:t>
      </w:r>
      <w:r w:rsidR="00DA5DA0" w:rsidRPr="00442A26">
        <w:rPr>
          <w:rFonts w:ascii="Times New Roman" w:hAnsi="Times New Roman" w:cs="Times New Roman"/>
          <w:b/>
        </w:rPr>
        <w:t>, avec la Grèce</w:t>
      </w:r>
      <w:r w:rsidR="007B0676">
        <w:rPr>
          <w:rFonts w:ascii="Times New Roman" w:hAnsi="Times New Roman" w:cs="Times New Roman"/>
          <w:b/>
        </w:rPr>
        <w:t xml:space="preserve"> (+1,3</w:t>
      </w:r>
      <w:r w:rsidR="000C5676" w:rsidRPr="00442A26">
        <w:rPr>
          <w:rFonts w:ascii="Times New Roman" w:hAnsi="Times New Roman" w:cs="Times New Roman"/>
          <w:b/>
        </w:rPr>
        <w:t xml:space="preserve"> Md EUR)</w:t>
      </w:r>
      <w:r w:rsidR="007B0676">
        <w:rPr>
          <w:rFonts w:ascii="Times New Roman" w:hAnsi="Times New Roman" w:cs="Times New Roman"/>
          <w:b/>
        </w:rPr>
        <w:t xml:space="preserve"> et la</w:t>
      </w:r>
      <w:r w:rsidRPr="00442A26">
        <w:rPr>
          <w:rFonts w:ascii="Times New Roman" w:hAnsi="Times New Roman" w:cs="Times New Roman"/>
          <w:b/>
        </w:rPr>
        <w:t xml:space="preserve"> </w:t>
      </w:r>
      <w:r w:rsidR="007B0676" w:rsidRPr="007B0676">
        <w:rPr>
          <w:rFonts w:ascii="Times New Roman" w:hAnsi="Times New Roman" w:cs="Times New Roman"/>
          <w:b/>
        </w:rPr>
        <w:t>Roumanie : (+82 M EUR)</w:t>
      </w:r>
      <w:r w:rsidR="007B0676" w:rsidRPr="00442A26">
        <w:rPr>
          <w:rFonts w:ascii="Times New Roman" w:hAnsi="Times New Roman" w:cs="Times New Roman"/>
          <w:b/>
        </w:rPr>
        <w:t xml:space="preserve"> </w:t>
      </w:r>
      <w:r w:rsidR="007B0676">
        <w:rPr>
          <w:rFonts w:ascii="Times New Roman" w:hAnsi="Times New Roman" w:cs="Times New Roman"/>
          <w:b/>
        </w:rPr>
        <w:t xml:space="preserve"> </w:t>
      </w:r>
      <w:r w:rsidRPr="00442A26">
        <w:rPr>
          <w:rFonts w:ascii="Times New Roman" w:hAnsi="Times New Roman" w:cs="Times New Roman"/>
          <w:b/>
        </w:rPr>
        <w:t xml:space="preserve">dans la région de l’Europe du sud-est </w:t>
      </w:r>
      <w:r w:rsidR="00DA5DA0" w:rsidRPr="00442A26">
        <w:rPr>
          <w:rFonts w:ascii="Times New Roman" w:hAnsi="Times New Roman" w:cs="Times New Roman"/>
          <w:b/>
        </w:rPr>
        <w:t>e</w:t>
      </w:r>
      <w:r w:rsidR="008E5495" w:rsidRPr="00442A26">
        <w:rPr>
          <w:rFonts w:ascii="Times New Roman" w:hAnsi="Times New Roman" w:cs="Times New Roman"/>
          <w:b/>
        </w:rPr>
        <w:t xml:space="preserve">t </w:t>
      </w:r>
      <w:r w:rsidRPr="00442A26">
        <w:rPr>
          <w:rFonts w:ascii="Times New Roman" w:hAnsi="Times New Roman" w:cs="Times New Roman"/>
          <w:b/>
        </w:rPr>
        <w:t>du centre</w:t>
      </w:r>
      <w:r w:rsidR="00C63DBC" w:rsidRPr="00442A26">
        <w:rPr>
          <w:rFonts w:ascii="Times New Roman" w:hAnsi="Times New Roman" w:cs="Times New Roman"/>
          <w:b/>
        </w:rPr>
        <w:t>,</w:t>
      </w:r>
      <w:r w:rsidRPr="00442A26">
        <w:rPr>
          <w:rFonts w:ascii="Times New Roman" w:hAnsi="Times New Roman" w:cs="Times New Roman"/>
        </w:rPr>
        <w:t xml:space="preserve"> où notre solde </w:t>
      </w:r>
      <w:r w:rsidR="008E5495" w:rsidRPr="00442A26">
        <w:rPr>
          <w:rFonts w:ascii="Times New Roman" w:hAnsi="Times New Roman" w:cs="Times New Roman"/>
        </w:rPr>
        <w:t xml:space="preserve">est </w:t>
      </w:r>
      <w:r w:rsidRPr="00442A26">
        <w:rPr>
          <w:rFonts w:ascii="Times New Roman" w:hAnsi="Times New Roman" w:cs="Times New Roman"/>
        </w:rPr>
        <w:t>négatif</w:t>
      </w:r>
      <w:r w:rsidR="000909A8" w:rsidRPr="00442A26">
        <w:rPr>
          <w:rFonts w:ascii="Times New Roman" w:hAnsi="Times New Roman" w:cs="Times New Roman"/>
        </w:rPr>
        <w:t> :</w:t>
      </w:r>
      <w:r w:rsidRPr="00442A26">
        <w:rPr>
          <w:rFonts w:ascii="Times New Roman" w:hAnsi="Times New Roman" w:cs="Times New Roman"/>
        </w:rPr>
        <w:t xml:space="preserve"> </w:t>
      </w:r>
      <w:r w:rsidR="000909A8" w:rsidRPr="00442A26">
        <w:rPr>
          <w:rFonts w:ascii="Times New Roman" w:hAnsi="Times New Roman" w:cs="Times New Roman"/>
        </w:rPr>
        <w:t>Rép. Tchèque : -2,4</w:t>
      </w:r>
      <w:r w:rsidR="007B0676">
        <w:rPr>
          <w:rFonts w:ascii="Times New Roman" w:hAnsi="Times New Roman" w:cs="Times New Roman"/>
        </w:rPr>
        <w:t>3</w:t>
      </w:r>
      <w:r w:rsidR="000909A8" w:rsidRPr="00442A26">
        <w:rPr>
          <w:rFonts w:ascii="Times New Roman" w:hAnsi="Times New Roman" w:cs="Times New Roman"/>
        </w:rPr>
        <w:t xml:space="preserve">Mds ; </w:t>
      </w:r>
      <w:r w:rsidR="000C5676" w:rsidRPr="00442A26">
        <w:rPr>
          <w:rFonts w:ascii="Times New Roman" w:hAnsi="Times New Roman" w:cs="Times New Roman"/>
        </w:rPr>
        <w:t>Slovaquie : -1,</w:t>
      </w:r>
      <w:r w:rsidR="007B0676">
        <w:rPr>
          <w:rFonts w:ascii="Times New Roman" w:hAnsi="Times New Roman" w:cs="Times New Roman"/>
        </w:rPr>
        <w:t>7</w:t>
      </w:r>
      <w:r w:rsidR="000C5676" w:rsidRPr="00442A26">
        <w:rPr>
          <w:rFonts w:ascii="Times New Roman" w:hAnsi="Times New Roman" w:cs="Times New Roman"/>
        </w:rPr>
        <w:t xml:space="preserve"> Md ; </w:t>
      </w:r>
      <w:r w:rsidR="000909A8" w:rsidRPr="00442A26">
        <w:rPr>
          <w:rFonts w:ascii="Times New Roman" w:hAnsi="Times New Roman" w:cs="Times New Roman"/>
        </w:rPr>
        <w:t>Pologne : -</w:t>
      </w:r>
      <w:r w:rsidR="000C5676" w:rsidRPr="00442A26">
        <w:rPr>
          <w:rFonts w:ascii="Times New Roman" w:hAnsi="Times New Roman" w:cs="Times New Roman"/>
        </w:rPr>
        <w:t>0,9</w:t>
      </w:r>
      <w:r w:rsidR="007B0676">
        <w:rPr>
          <w:rFonts w:ascii="Times New Roman" w:hAnsi="Times New Roman" w:cs="Times New Roman"/>
        </w:rPr>
        <w:t>7</w:t>
      </w:r>
      <w:r w:rsidR="000909A8" w:rsidRPr="00442A26">
        <w:rPr>
          <w:rFonts w:ascii="Times New Roman" w:hAnsi="Times New Roman" w:cs="Times New Roman"/>
        </w:rPr>
        <w:t xml:space="preserve"> Md ; </w:t>
      </w:r>
      <w:r w:rsidR="000C5676" w:rsidRPr="00442A26">
        <w:rPr>
          <w:rFonts w:ascii="Times New Roman" w:hAnsi="Times New Roman" w:cs="Times New Roman"/>
        </w:rPr>
        <w:t>Hongrie : -0,</w:t>
      </w:r>
      <w:r w:rsidR="007B0676">
        <w:rPr>
          <w:rFonts w:ascii="Times New Roman" w:hAnsi="Times New Roman" w:cs="Times New Roman"/>
        </w:rPr>
        <w:t>78</w:t>
      </w:r>
      <w:r w:rsidR="000C5676" w:rsidRPr="00442A26">
        <w:rPr>
          <w:rFonts w:ascii="Times New Roman" w:hAnsi="Times New Roman" w:cs="Times New Roman"/>
        </w:rPr>
        <w:t xml:space="preserve"> Md EUR </w:t>
      </w:r>
      <w:r w:rsidR="000909A8" w:rsidRPr="00442A26">
        <w:rPr>
          <w:rFonts w:ascii="Times New Roman" w:hAnsi="Times New Roman" w:cs="Times New Roman"/>
        </w:rPr>
        <w:t>;</w:t>
      </w:r>
      <w:r w:rsidRPr="00442A26">
        <w:rPr>
          <w:rFonts w:ascii="Times New Roman" w:hAnsi="Times New Roman" w:cs="Times New Roman"/>
        </w:rPr>
        <w:t>  Slovénie : -</w:t>
      </w:r>
      <w:r w:rsidR="000C5676" w:rsidRPr="00442A26">
        <w:rPr>
          <w:rFonts w:ascii="Times New Roman" w:hAnsi="Times New Roman" w:cs="Times New Roman"/>
        </w:rPr>
        <w:t>0,</w:t>
      </w:r>
      <w:r w:rsidR="007B0676">
        <w:rPr>
          <w:rFonts w:ascii="Times New Roman" w:hAnsi="Times New Roman" w:cs="Times New Roman"/>
        </w:rPr>
        <w:t>5</w:t>
      </w:r>
      <w:r w:rsidRPr="00442A26">
        <w:rPr>
          <w:rFonts w:ascii="Times New Roman" w:hAnsi="Times New Roman" w:cs="Times New Roman"/>
        </w:rPr>
        <w:t xml:space="preserve"> M</w:t>
      </w:r>
      <w:r w:rsidR="000C5676" w:rsidRPr="00442A26">
        <w:rPr>
          <w:rFonts w:ascii="Times New Roman" w:hAnsi="Times New Roman" w:cs="Times New Roman"/>
        </w:rPr>
        <w:t>d</w:t>
      </w:r>
      <w:r w:rsidRPr="00442A26">
        <w:rPr>
          <w:rFonts w:ascii="Times New Roman" w:hAnsi="Times New Roman" w:cs="Times New Roman"/>
        </w:rPr>
        <w:t xml:space="preserve"> EUR; </w:t>
      </w:r>
      <w:r w:rsidR="000909A8" w:rsidRPr="00442A26">
        <w:rPr>
          <w:rFonts w:ascii="Times New Roman" w:hAnsi="Times New Roman" w:cs="Times New Roman"/>
        </w:rPr>
        <w:t>Bulgarie -</w:t>
      </w:r>
      <w:r w:rsidR="000C5676" w:rsidRPr="00442A26">
        <w:rPr>
          <w:rFonts w:ascii="Times New Roman" w:hAnsi="Times New Roman" w:cs="Times New Roman"/>
        </w:rPr>
        <w:t>0,</w:t>
      </w:r>
      <w:r w:rsidR="007B0676">
        <w:rPr>
          <w:rFonts w:ascii="Times New Roman" w:hAnsi="Times New Roman" w:cs="Times New Roman"/>
        </w:rPr>
        <w:t>26</w:t>
      </w:r>
      <w:r w:rsidR="000909A8" w:rsidRPr="00442A26">
        <w:rPr>
          <w:rFonts w:ascii="Times New Roman" w:hAnsi="Times New Roman" w:cs="Times New Roman"/>
        </w:rPr>
        <w:t xml:space="preserve"> M</w:t>
      </w:r>
      <w:r w:rsidR="000C5676" w:rsidRPr="00442A26">
        <w:rPr>
          <w:rFonts w:ascii="Times New Roman" w:hAnsi="Times New Roman" w:cs="Times New Roman"/>
        </w:rPr>
        <w:t>d</w:t>
      </w:r>
      <w:r w:rsidR="007B0676">
        <w:rPr>
          <w:rFonts w:ascii="Times New Roman" w:hAnsi="Times New Roman" w:cs="Times New Roman"/>
        </w:rPr>
        <w:t xml:space="preserve"> EUR</w:t>
      </w:r>
      <w:r w:rsidR="009F536D" w:rsidRPr="00442A26">
        <w:rPr>
          <w:rFonts w:ascii="Times New Roman" w:hAnsi="Times New Roman" w:cs="Times New Roman"/>
        </w:rPr>
        <w:t xml:space="preserve">. </w:t>
      </w:r>
    </w:p>
    <w:p w14:paraId="33A65A96" w14:textId="77777777" w:rsidR="002B6A4D" w:rsidRPr="00442A26" w:rsidRDefault="00704A3B" w:rsidP="003D413F">
      <w:pPr>
        <w:pStyle w:val="Sansinterligne"/>
        <w:spacing w:after="120"/>
        <w:jc w:val="both"/>
        <w:rPr>
          <w:rFonts w:ascii="Times New Roman" w:hAnsi="Times New Roman" w:cs="Times New Roman"/>
        </w:rPr>
      </w:pPr>
      <w:r w:rsidRPr="00D0261B">
        <w:rPr>
          <w:rFonts w:ascii="Times New Roman" w:hAnsi="Times New Roman" w:cs="Times New Roman"/>
        </w:rPr>
        <w:t xml:space="preserve">Avec + </w:t>
      </w:r>
      <w:r w:rsidR="00F86F27" w:rsidRPr="00D0261B">
        <w:rPr>
          <w:rFonts w:ascii="Times New Roman" w:hAnsi="Times New Roman" w:cs="Times New Roman"/>
        </w:rPr>
        <w:t>2</w:t>
      </w:r>
      <w:r w:rsidR="007B0676">
        <w:rPr>
          <w:rFonts w:ascii="Times New Roman" w:hAnsi="Times New Roman" w:cs="Times New Roman"/>
        </w:rPr>
        <w:t>10</w:t>
      </w:r>
      <w:r w:rsidR="00C63DBC" w:rsidRPr="00D0261B">
        <w:rPr>
          <w:rFonts w:ascii="Times New Roman" w:hAnsi="Times New Roman" w:cs="Times New Roman"/>
        </w:rPr>
        <w:t xml:space="preserve"> M EUR en 201</w:t>
      </w:r>
      <w:r w:rsidR="007B0676">
        <w:rPr>
          <w:rFonts w:ascii="Times New Roman" w:hAnsi="Times New Roman" w:cs="Times New Roman"/>
        </w:rPr>
        <w:t>7</w:t>
      </w:r>
      <w:r w:rsidR="00C63DBC" w:rsidRPr="00D0261B">
        <w:rPr>
          <w:rFonts w:ascii="Times New Roman" w:hAnsi="Times New Roman" w:cs="Times New Roman"/>
        </w:rPr>
        <w:t>, l’excédent</w:t>
      </w:r>
      <w:r w:rsidRPr="00D0261B">
        <w:rPr>
          <w:rFonts w:ascii="Times New Roman" w:hAnsi="Times New Roman" w:cs="Times New Roman"/>
        </w:rPr>
        <w:t xml:space="preserve"> </w:t>
      </w:r>
      <w:r w:rsidR="00003005" w:rsidRPr="00D0261B">
        <w:rPr>
          <w:rFonts w:ascii="Times New Roman" w:hAnsi="Times New Roman" w:cs="Times New Roman"/>
        </w:rPr>
        <w:t xml:space="preserve">avec la Croatie </w:t>
      </w:r>
      <w:r w:rsidRPr="00D0261B">
        <w:rPr>
          <w:rFonts w:ascii="Times New Roman" w:hAnsi="Times New Roman" w:cs="Times New Roman"/>
        </w:rPr>
        <w:t>reste solide</w:t>
      </w:r>
      <w:r w:rsidR="00C63DBC" w:rsidRPr="00442A26">
        <w:rPr>
          <w:rFonts w:ascii="Times New Roman" w:hAnsi="Times New Roman" w:cs="Times New Roman"/>
        </w:rPr>
        <w:t xml:space="preserve">, </w:t>
      </w:r>
      <w:r w:rsidRPr="00442A26">
        <w:rPr>
          <w:rFonts w:ascii="Times New Roman" w:hAnsi="Times New Roman" w:cs="Times New Roman"/>
        </w:rPr>
        <w:t xml:space="preserve">bien qu’en </w:t>
      </w:r>
      <w:r w:rsidR="00773644" w:rsidRPr="00442A26">
        <w:rPr>
          <w:rFonts w:ascii="Times New Roman" w:hAnsi="Times New Roman" w:cs="Times New Roman"/>
        </w:rPr>
        <w:t>retrait</w:t>
      </w:r>
      <w:r w:rsidR="00C63DBC" w:rsidRPr="00442A26">
        <w:rPr>
          <w:rFonts w:ascii="Times New Roman" w:hAnsi="Times New Roman" w:cs="Times New Roman"/>
        </w:rPr>
        <w:t xml:space="preserve"> à long terme (341 M EUR en 2003 ; </w:t>
      </w:r>
      <w:r w:rsidRPr="00442A26">
        <w:rPr>
          <w:rFonts w:ascii="Times New Roman" w:hAnsi="Times New Roman" w:cs="Times New Roman"/>
        </w:rPr>
        <w:t>348</w:t>
      </w:r>
      <w:r w:rsidR="00CD7242">
        <w:rPr>
          <w:rFonts w:ascii="Times New Roman" w:hAnsi="Times New Roman" w:cs="Times New Roman"/>
        </w:rPr>
        <w:t xml:space="preserve"> </w:t>
      </w:r>
      <w:r w:rsidRPr="00442A26">
        <w:rPr>
          <w:rFonts w:ascii="Times New Roman" w:hAnsi="Times New Roman" w:cs="Times New Roman"/>
        </w:rPr>
        <w:t>M EUR en 2006</w:t>
      </w:r>
      <w:r w:rsidR="00C63DBC" w:rsidRPr="00442A26">
        <w:rPr>
          <w:rFonts w:ascii="Times New Roman" w:hAnsi="Times New Roman" w:cs="Times New Roman"/>
        </w:rPr>
        <w:t>)</w:t>
      </w:r>
      <w:r w:rsidRPr="00442A26">
        <w:rPr>
          <w:rFonts w:ascii="Times New Roman" w:hAnsi="Times New Roman" w:cs="Times New Roman"/>
        </w:rPr>
        <w:t xml:space="preserve">. </w:t>
      </w:r>
      <w:r w:rsidR="008E5495" w:rsidRPr="00442A26">
        <w:rPr>
          <w:rFonts w:ascii="Times New Roman" w:hAnsi="Times New Roman" w:cs="Times New Roman"/>
        </w:rPr>
        <w:t>Depuis 2006</w:t>
      </w:r>
      <w:r w:rsidRPr="00442A26">
        <w:rPr>
          <w:rFonts w:ascii="Times New Roman" w:hAnsi="Times New Roman" w:cs="Times New Roman"/>
        </w:rPr>
        <w:t xml:space="preserve">, notre solde est resté excédentaire au niveau </w:t>
      </w:r>
      <w:r w:rsidR="008E5495" w:rsidRPr="00442A26">
        <w:rPr>
          <w:rFonts w:ascii="Times New Roman" w:hAnsi="Times New Roman" w:cs="Times New Roman"/>
        </w:rPr>
        <w:t xml:space="preserve">moyen </w:t>
      </w:r>
      <w:r w:rsidRPr="00442A26">
        <w:rPr>
          <w:rFonts w:ascii="Times New Roman" w:hAnsi="Times New Roman" w:cs="Times New Roman"/>
        </w:rPr>
        <w:t>de 207 M EUR/an.</w:t>
      </w:r>
      <w:r w:rsidR="00CD7242">
        <w:rPr>
          <w:rFonts w:ascii="Times New Roman" w:hAnsi="Times New Roman" w:cs="Times New Roman"/>
        </w:rPr>
        <w:t xml:space="preserve"> </w:t>
      </w:r>
      <w:r w:rsidR="00CF588B" w:rsidRPr="00442A26">
        <w:rPr>
          <w:rFonts w:ascii="Times New Roman" w:hAnsi="Times New Roman" w:cs="Times New Roman"/>
        </w:rPr>
        <w:t xml:space="preserve"> </w:t>
      </w:r>
    </w:p>
    <w:p w14:paraId="0FEE05BC" w14:textId="77777777" w:rsidR="00BB193E" w:rsidRDefault="001C12A0" w:rsidP="003D413F">
      <w:pPr>
        <w:pStyle w:val="Sansinterligne"/>
        <w:spacing w:after="120"/>
        <w:jc w:val="both"/>
        <w:rPr>
          <w:rFonts w:ascii="Times New Roman" w:hAnsi="Times New Roman" w:cs="Times New Roman"/>
        </w:rPr>
      </w:pPr>
      <w:r w:rsidRPr="00362E29">
        <w:rPr>
          <w:rFonts w:ascii="Times New Roman" w:hAnsi="Times New Roman" w:cs="Times New Roman"/>
          <w:b/>
        </w:rPr>
        <w:t>Enfin, il faut noter que notre excédent commercial est presque compensé par les échanges de services, en raison du tourisme</w:t>
      </w:r>
      <w:r>
        <w:rPr>
          <w:rFonts w:ascii="Times New Roman" w:hAnsi="Times New Roman" w:cs="Times New Roman"/>
        </w:rPr>
        <w:t>. L</w:t>
      </w:r>
      <w:r w:rsidR="001F4B73" w:rsidRPr="00442A26">
        <w:rPr>
          <w:rFonts w:ascii="Times New Roman" w:hAnsi="Times New Roman" w:cs="Times New Roman"/>
        </w:rPr>
        <w:t>es arrivées de touristes français en Croatie en 201</w:t>
      </w:r>
      <w:r w:rsidR="007B0676">
        <w:rPr>
          <w:rFonts w:ascii="Times New Roman" w:hAnsi="Times New Roman" w:cs="Times New Roman"/>
        </w:rPr>
        <w:t>7</w:t>
      </w:r>
      <w:r w:rsidR="00F86F27" w:rsidRPr="00442A26">
        <w:rPr>
          <w:rFonts w:ascii="Times New Roman" w:hAnsi="Times New Roman" w:cs="Times New Roman"/>
        </w:rPr>
        <w:t xml:space="preserve"> s’élevaient à </w:t>
      </w:r>
      <w:r w:rsidR="00FE4040">
        <w:rPr>
          <w:rFonts w:ascii="Times New Roman" w:hAnsi="Times New Roman" w:cs="Times New Roman"/>
        </w:rPr>
        <w:t xml:space="preserve">plus </w:t>
      </w:r>
      <w:r w:rsidR="00F86F27" w:rsidRPr="00442A26">
        <w:rPr>
          <w:rFonts w:ascii="Times New Roman" w:hAnsi="Times New Roman" w:cs="Times New Roman"/>
        </w:rPr>
        <w:t xml:space="preserve">de </w:t>
      </w:r>
      <w:r w:rsidR="007B0676">
        <w:rPr>
          <w:rFonts w:ascii="Times New Roman" w:hAnsi="Times New Roman" w:cs="Times New Roman"/>
        </w:rPr>
        <w:t xml:space="preserve">536 </w:t>
      </w:r>
      <w:r w:rsidR="001F4B73" w:rsidRPr="00442A26">
        <w:rPr>
          <w:rFonts w:ascii="Times New Roman" w:hAnsi="Times New Roman" w:cs="Times New Roman"/>
        </w:rPr>
        <w:t xml:space="preserve">000 personnes. </w:t>
      </w:r>
      <w:r w:rsidR="00F86F27" w:rsidRPr="00442A26">
        <w:rPr>
          <w:rFonts w:ascii="Times New Roman" w:hAnsi="Times New Roman" w:cs="Times New Roman"/>
        </w:rPr>
        <w:t>L</w:t>
      </w:r>
      <w:r w:rsidR="001F4B73" w:rsidRPr="00442A26">
        <w:rPr>
          <w:rFonts w:ascii="Times New Roman" w:hAnsi="Times New Roman" w:cs="Times New Roman"/>
        </w:rPr>
        <w:t xml:space="preserve">es revenus </w:t>
      </w:r>
      <w:r w:rsidR="00F97F10" w:rsidRPr="00442A26">
        <w:rPr>
          <w:rFonts w:ascii="Times New Roman" w:hAnsi="Times New Roman" w:cs="Times New Roman"/>
        </w:rPr>
        <w:t xml:space="preserve">issus </w:t>
      </w:r>
      <w:r w:rsidR="001F4B73" w:rsidRPr="00442A26">
        <w:rPr>
          <w:rFonts w:ascii="Times New Roman" w:hAnsi="Times New Roman" w:cs="Times New Roman"/>
        </w:rPr>
        <w:t>de la fréquentation touristique française rapport</w:t>
      </w:r>
      <w:r w:rsidR="00F86F27" w:rsidRPr="00442A26">
        <w:rPr>
          <w:rFonts w:ascii="Times New Roman" w:hAnsi="Times New Roman" w:cs="Times New Roman"/>
        </w:rPr>
        <w:t>ent annuellement jusqu’à 200</w:t>
      </w:r>
      <w:r w:rsidR="001F4B73" w:rsidRPr="00442A26">
        <w:rPr>
          <w:rFonts w:ascii="Times New Roman" w:hAnsi="Times New Roman" w:cs="Times New Roman"/>
        </w:rPr>
        <w:t xml:space="preserve"> M EUR au compte courant croate</w:t>
      </w:r>
      <w:r>
        <w:rPr>
          <w:rFonts w:ascii="Times New Roman" w:hAnsi="Times New Roman" w:cs="Times New Roman"/>
        </w:rPr>
        <w:t>,</w:t>
      </w:r>
      <w:r w:rsidR="001F4B73" w:rsidRPr="00442A26">
        <w:rPr>
          <w:rFonts w:ascii="Times New Roman" w:hAnsi="Times New Roman" w:cs="Times New Roman"/>
        </w:rPr>
        <w:t xml:space="preserve"> soit </w:t>
      </w:r>
      <w:r w:rsidR="00F86F27" w:rsidRPr="00442A26">
        <w:rPr>
          <w:rFonts w:ascii="Times New Roman" w:hAnsi="Times New Roman" w:cs="Times New Roman"/>
        </w:rPr>
        <w:t>1</w:t>
      </w:r>
      <w:r w:rsidR="000C5676" w:rsidRPr="00442A26">
        <w:rPr>
          <w:rFonts w:ascii="Times New Roman" w:hAnsi="Times New Roman" w:cs="Times New Roman"/>
        </w:rPr>
        <w:t>8</w:t>
      </w:r>
      <w:r w:rsidR="00F86F27" w:rsidRPr="00442A26">
        <w:rPr>
          <w:rFonts w:ascii="Times New Roman" w:hAnsi="Times New Roman" w:cs="Times New Roman"/>
        </w:rPr>
        <w:t>5</w:t>
      </w:r>
      <w:r w:rsidR="001F4B73" w:rsidRPr="00442A26">
        <w:rPr>
          <w:rFonts w:ascii="Times New Roman" w:hAnsi="Times New Roman" w:cs="Times New Roman"/>
        </w:rPr>
        <w:t xml:space="preserve"> M nets une fois </w:t>
      </w:r>
      <w:r w:rsidR="004C419B" w:rsidRPr="00442A26">
        <w:rPr>
          <w:rFonts w:ascii="Times New Roman" w:hAnsi="Times New Roman" w:cs="Times New Roman"/>
        </w:rPr>
        <w:t xml:space="preserve">retirés </w:t>
      </w:r>
      <w:r w:rsidR="001F4B73" w:rsidRPr="00442A26">
        <w:rPr>
          <w:rFonts w:ascii="Times New Roman" w:hAnsi="Times New Roman" w:cs="Times New Roman"/>
        </w:rPr>
        <w:t xml:space="preserve">les </w:t>
      </w:r>
      <w:r w:rsidR="000C5676" w:rsidRPr="00442A26">
        <w:rPr>
          <w:rFonts w:ascii="Times New Roman" w:hAnsi="Times New Roman" w:cs="Times New Roman"/>
        </w:rPr>
        <w:t>15</w:t>
      </w:r>
      <w:r w:rsidR="001F4B73" w:rsidRPr="00442A26">
        <w:rPr>
          <w:rFonts w:ascii="Times New Roman" w:hAnsi="Times New Roman" w:cs="Times New Roman"/>
        </w:rPr>
        <w:t xml:space="preserve"> M EUR lié</w:t>
      </w:r>
      <w:r w:rsidR="004C419B" w:rsidRPr="00442A26">
        <w:rPr>
          <w:rFonts w:ascii="Times New Roman" w:hAnsi="Times New Roman" w:cs="Times New Roman"/>
        </w:rPr>
        <w:t>s</w:t>
      </w:r>
      <w:r w:rsidR="001F4B73" w:rsidRPr="00442A26">
        <w:rPr>
          <w:rFonts w:ascii="Times New Roman" w:hAnsi="Times New Roman" w:cs="Times New Roman"/>
        </w:rPr>
        <w:t xml:space="preserve"> à l’activité touristique des Croates en France (sports d’hiver principalement). </w:t>
      </w:r>
      <w:r w:rsidR="00D86308">
        <w:rPr>
          <w:rFonts w:ascii="Times New Roman" w:hAnsi="Times New Roman" w:cs="Times New Roman"/>
        </w:rPr>
        <w:t>Au total, nos échanges de biens et services sont équilibrés.</w:t>
      </w:r>
    </w:p>
    <w:p w14:paraId="395EBD96" w14:textId="77777777" w:rsidR="00D86308" w:rsidRPr="00442A26" w:rsidRDefault="00D86308" w:rsidP="003D413F">
      <w:pPr>
        <w:pStyle w:val="Sansinterligne"/>
        <w:spacing w:after="120"/>
        <w:jc w:val="both"/>
        <w:rPr>
          <w:rFonts w:ascii="Times New Roman" w:hAnsi="Times New Roman" w:cs="Times New Roman"/>
          <w:b/>
          <w:u w:val="single"/>
        </w:rPr>
      </w:pPr>
    </w:p>
    <w:p w14:paraId="029BF77E" w14:textId="77777777" w:rsidR="00BB193E" w:rsidRDefault="00BB193E" w:rsidP="003D413F">
      <w:pPr>
        <w:pStyle w:val="Sansinterligne"/>
        <w:spacing w:after="120"/>
        <w:jc w:val="center"/>
        <w:rPr>
          <w:rFonts w:ascii="Times New Roman" w:hAnsi="Times New Roman" w:cs="Times New Roman"/>
        </w:rPr>
      </w:pPr>
      <w:r w:rsidRPr="00442A26">
        <w:rPr>
          <w:rFonts w:ascii="Times New Roman" w:hAnsi="Times New Roman" w:cs="Times New Roman"/>
        </w:rPr>
        <w:t>***</w:t>
      </w:r>
    </w:p>
    <w:p w14:paraId="347241A4" w14:textId="77777777" w:rsidR="003049D1" w:rsidRDefault="003049D1" w:rsidP="003D413F">
      <w:pPr>
        <w:pStyle w:val="Sansinterligne"/>
        <w:spacing w:after="120"/>
        <w:ind w:left="5664" w:firstLine="708"/>
        <w:rPr>
          <w:rFonts w:ascii="Times New Roman" w:hAnsi="Times New Roman" w:cs="Times New Roman"/>
        </w:rPr>
      </w:pPr>
    </w:p>
    <w:sectPr w:rsidR="003049D1" w:rsidSect="00B72F78">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4A0D07" w14:textId="77777777" w:rsidR="000C2F9D" w:rsidRDefault="000C2F9D" w:rsidP="00CB6D4D">
      <w:pPr>
        <w:spacing w:after="0" w:line="240" w:lineRule="auto"/>
      </w:pPr>
      <w:r>
        <w:separator/>
      </w:r>
    </w:p>
  </w:endnote>
  <w:endnote w:type="continuationSeparator" w:id="0">
    <w:p w14:paraId="6AB0AACF" w14:textId="77777777" w:rsidR="000C2F9D" w:rsidRDefault="000C2F9D" w:rsidP="00CB6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vers 55">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20B0CF" w14:textId="77777777" w:rsidR="0034728F" w:rsidRPr="00A5527A" w:rsidRDefault="0034728F" w:rsidP="0034728F">
    <w:pPr>
      <w:pStyle w:val="Sansinterligne"/>
      <w:jc w:val="center"/>
      <w:rPr>
        <w:rFonts w:ascii="Univers 55" w:hAnsi="Univers 55"/>
        <w:sz w:val="16"/>
        <w:szCs w:val="16"/>
      </w:rPr>
    </w:pPr>
    <w:r w:rsidRPr="00A5527A">
      <w:rPr>
        <w:rFonts w:ascii="Univers 55" w:hAnsi="Univers 55"/>
        <w:sz w:val="16"/>
        <w:szCs w:val="16"/>
      </w:rPr>
      <w:t>Hebrangova 2,  10 000 Zagreb, Croatie</w:t>
    </w:r>
  </w:p>
  <w:p w14:paraId="4E2BCF30" w14:textId="77777777" w:rsidR="0034728F" w:rsidRPr="00A5527A" w:rsidRDefault="0034728F" w:rsidP="0034728F">
    <w:pPr>
      <w:pStyle w:val="Sansinterligne"/>
      <w:jc w:val="center"/>
      <w:rPr>
        <w:rFonts w:ascii="Univers 55" w:hAnsi="Univers 55"/>
        <w:sz w:val="16"/>
        <w:szCs w:val="16"/>
      </w:rPr>
    </w:pPr>
    <w:r w:rsidRPr="00A5527A">
      <w:rPr>
        <w:rFonts w:ascii="Univers 55" w:hAnsi="Univers 55"/>
        <w:sz w:val="16"/>
        <w:szCs w:val="16"/>
      </w:rPr>
      <w:t>Tél : + 385 1 489 36 00 ; Fax : + 385 1 455 14 77</w:t>
    </w:r>
  </w:p>
  <w:p w14:paraId="01B8440D" w14:textId="77777777" w:rsidR="0034728F" w:rsidRPr="00A5527A" w:rsidRDefault="0034728F" w:rsidP="0034728F">
    <w:pPr>
      <w:pStyle w:val="Sansinterligne"/>
      <w:jc w:val="center"/>
      <w:rPr>
        <w:rFonts w:ascii="Univers 55" w:hAnsi="Univers 55"/>
        <w:sz w:val="16"/>
        <w:szCs w:val="16"/>
      </w:rPr>
    </w:pPr>
    <w:r w:rsidRPr="00A5527A">
      <w:rPr>
        <w:rFonts w:ascii="Univers 55" w:hAnsi="Univers 55"/>
        <w:sz w:val="16"/>
        <w:szCs w:val="16"/>
      </w:rPr>
      <w:t>www.tresor.economie.gouv.fr/se/croatie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84C6A9" w14:textId="77777777" w:rsidR="000C2F9D" w:rsidRDefault="000C2F9D" w:rsidP="00CB6D4D">
      <w:pPr>
        <w:spacing w:after="0" w:line="240" w:lineRule="auto"/>
      </w:pPr>
      <w:r>
        <w:separator/>
      </w:r>
    </w:p>
  </w:footnote>
  <w:footnote w:type="continuationSeparator" w:id="0">
    <w:p w14:paraId="0F078164" w14:textId="77777777" w:rsidR="000C2F9D" w:rsidRDefault="000C2F9D" w:rsidP="00CB6D4D">
      <w:pPr>
        <w:spacing w:after="0" w:line="240" w:lineRule="auto"/>
      </w:pPr>
      <w:r>
        <w:continuationSeparator/>
      </w:r>
    </w:p>
  </w:footnote>
  <w:footnote w:id="1">
    <w:p w14:paraId="231EDD0B" w14:textId="77777777" w:rsidR="0011567C" w:rsidRDefault="0011567C">
      <w:pPr>
        <w:pStyle w:val="Notedebasdepage"/>
      </w:pPr>
      <w:r>
        <w:rPr>
          <w:rStyle w:val="Appelnotedebasdep"/>
        </w:rPr>
        <w:footnoteRef/>
      </w:r>
      <w:r>
        <w:t xml:space="preserve"> Poste réunissant les </w:t>
      </w:r>
      <w:r w:rsidR="0058332C">
        <w:t>P</w:t>
      </w:r>
      <w:r>
        <w:t>roduits informatiques, électroniques et optiques, les Equipements électriques et ménagers et les Machines industrielles et agricoles, machines diverses</w:t>
      </w:r>
      <w:r w:rsidR="0058332C">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0FA319" w14:textId="77777777" w:rsidR="00CB6D4D" w:rsidRPr="00CC32D3" w:rsidRDefault="00CB6D4D" w:rsidP="00CB6D4D">
    <w:pPr>
      <w:pStyle w:val="Sansinterligne"/>
      <w:jc w:val="center"/>
    </w:pPr>
    <w:r w:rsidRPr="00CC32D3">
      <w:rPr>
        <w:noProof/>
        <w:lang w:eastAsia="fr-FR"/>
      </w:rPr>
      <w:drawing>
        <wp:inline distT="0" distB="0" distL="0" distR="0" wp14:anchorId="75E7219A" wp14:editId="3F00F75F">
          <wp:extent cx="914400" cy="542925"/>
          <wp:effectExtent l="0" t="0" r="0" b="9525"/>
          <wp:docPr id="12" name="Image 1" descr="MariannePanto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MariannePantone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542925"/>
                  </a:xfrm>
                  <a:prstGeom prst="rect">
                    <a:avLst/>
                  </a:prstGeom>
                  <a:noFill/>
                  <a:ln>
                    <a:noFill/>
                  </a:ln>
                </pic:spPr>
              </pic:pic>
            </a:graphicData>
          </a:graphic>
        </wp:inline>
      </w:drawing>
    </w:r>
  </w:p>
  <w:p w14:paraId="71F0A00A" w14:textId="77777777" w:rsidR="00CB6D4D" w:rsidRPr="00472D27" w:rsidRDefault="00CB6D4D" w:rsidP="00CB6D4D">
    <w:pPr>
      <w:pStyle w:val="Sansinterligne"/>
      <w:jc w:val="center"/>
      <w:rPr>
        <w:b/>
      </w:rPr>
    </w:pPr>
    <w:bookmarkStart w:id="1" w:name="Entête"/>
    <w:bookmarkEnd w:id="1"/>
    <w:r w:rsidRPr="00472D27">
      <w:rPr>
        <w:b/>
      </w:rPr>
      <w:t>AMBASSADE DE FRANCE EN CROATIE</w:t>
    </w:r>
  </w:p>
  <w:p w14:paraId="3738950C" w14:textId="77777777" w:rsidR="00CB6D4D" w:rsidRPr="00472D27" w:rsidRDefault="00CB6D4D" w:rsidP="00CB6D4D">
    <w:pPr>
      <w:pStyle w:val="Sansinterligne"/>
      <w:jc w:val="center"/>
      <w:rPr>
        <w:b/>
      </w:rPr>
    </w:pPr>
    <w:r>
      <w:rPr>
        <w:b/>
      </w:rPr>
      <w:t>SERVICE ECONOMIQUE</w:t>
    </w:r>
  </w:p>
  <w:p w14:paraId="10BAB91D" w14:textId="77777777" w:rsidR="005E6C83" w:rsidRDefault="005E6C83" w:rsidP="00A5527A">
    <w:pPr>
      <w:pStyle w:val="Textedebulles"/>
      <w:jc w:val="both"/>
      <w:rPr>
        <w:rFonts w:ascii="Univers 55" w:hAnsi="Univers 55" w:cs="Arial"/>
        <w:sz w:val="20"/>
        <w:szCs w:val="20"/>
      </w:rPr>
    </w:pPr>
    <w:bookmarkStart w:id="2" w:name="IntituleEntete"/>
    <w:bookmarkEnd w:id="2"/>
  </w:p>
  <w:p w14:paraId="665C5983" w14:textId="77777777" w:rsidR="00A5527A" w:rsidRPr="005172D2" w:rsidRDefault="009E109D" w:rsidP="00A5527A">
    <w:pPr>
      <w:pStyle w:val="Textedebulles"/>
      <w:jc w:val="both"/>
      <w:rPr>
        <w:rFonts w:ascii="Univers 55" w:hAnsi="Univers 55" w:cs="Arial"/>
        <w:sz w:val="20"/>
        <w:szCs w:val="20"/>
      </w:rPr>
    </w:pPr>
    <w:r>
      <w:rPr>
        <w:rFonts w:ascii="Univers 55" w:hAnsi="Univers 55" w:cs="Arial"/>
        <w:sz w:val="20"/>
        <w:szCs w:val="20"/>
      </w:rPr>
      <w:t>L</w:t>
    </w:r>
    <w:r w:rsidR="00BB11D1">
      <w:rPr>
        <w:rFonts w:ascii="Univers 55" w:hAnsi="Univers 55" w:cs="Arial"/>
        <w:sz w:val="20"/>
        <w:szCs w:val="20"/>
      </w:rPr>
      <w:t>e</w:t>
    </w:r>
    <w:r>
      <w:rPr>
        <w:rFonts w:ascii="Univers 55" w:hAnsi="Univers 55" w:cs="Arial"/>
        <w:sz w:val="20"/>
        <w:szCs w:val="20"/>
      </w:rPr>
      <w:t xml:space="preserve"> Conseill</w:t>
    </w:r>
    <w:r w:rsidR="00BB11D1">
      <w:rPr>
        <w:rFonts w:ascii="Univers 55" w:hAnsi="Univers 55" w:cs="Arial"/>
        <w:sz w:val="20"/>
        <w:szCs w:val="20"/>
      </w:rPr>
      <w:t>er</w:t>
    </w:r>
    <w:r>
      <w:rPr>
        <w:rFonts w:ascii="Univers 55" w:hAnsi="Univers 55" w:cs="Arial"/>
        <w:sz w:val="20"/>
        <w:szCs w:val="20"/>
      </w:rPr>
      <w:t xml:space="preserve"> économique</w:t>
    </w:r>
    <w:r w:rsidR="00BB11D1">
      <w:rPr>
        <w:rFonts w:ascii="Univers 55" w:hAnsi="Univers 55" w:cs="Arial"/>
        <w:sz w:val="20"/>
        <w:szCs w:val="20"/>
      </w:rPr>
      <w:tab/>
    </w:r>
    <w:r w:rsidR="00BB11D1">
      <w:rPr>
        <w:rFonts w:ascii="Univers 55" w:hAnsi="Univers 55" w:cs="Arial"/>
        <w:sz w:val="20"/>
        <w:szCs w:val="20"/>
      </w:rPr>
      <w:tab/>
    </w:r>
    <w:r w:rsidR="00BB11D1">
      <w:rPr>
        <w:rFonts w:ascii="Univers 55" w:hAnsi="Univers 55" w:cs="Arial"/>
        <w:sz w:val="20"/>
        <w:szCs w:val="20"/>
      </w:rPr>
      <w:tab/>
    </w:r>
    <w:r w:rsidR="00BB11D1">
      <w:rPr>
        <w:rFonts w:ascii="Univers 55" w:hAnsi="Univers 55" w:cs="Arial"/>
        <w:sz w:val="20"/>
        <w:szCs w:val="20"/>
      </w:rPr>
      <w:tab/>
    </w:r>
    <w:r w:rsidR="00BB11D1">
      <w:rPr>
        <w:rFonts w:ascii="Univers 55" w:hAnsi="Univers 55" w:cs="Arial"/>
        <w:sz w:val="20"/>
        <w:szCs w:val="20"/>
      </w:rPr>
      <w:tab/>
    </w:r>
    <w:r w:rsidR="00BB11D1">
      <w:rPr>
        <w:rFonts w:ascii="Univers 55" w:hAnsi="Univers 55" w:cs="Arial"/>
        <w:sz w:val="20"/>
        <w:szCs w:val="20"/>
      </w:rPr>
      <w:tab/>
      <w:t xml:space="preserve">  </w:t>
    </w:r>
    <w:r w:rsidR="006F7578">
      <w:rPr>
        <w:rFonts w:ascii="Univers 55" w:hAnsi="Univers 55" w:cs="Arial"/>
        <w:sz w:val="20"/>
        <w:szCs w:val="20"/>
      </w:rPr>
      <w:t xml:space="preserve"> A</w:t>
    </w:r>
    <w:r w:rsidR="00E24C6A">
      <w:rPr>
        <w:rFonts w:ascii="Univers 55" w:hAnsi="Univers 55" w:cs="Arial"/>
        <w:sz w:val="20"/>
        <w:szCs w:val="20"/>
      </w:rPr>
      <w:t xml:space="preserve"> Zagreb</w:t>
    </w:r>
    <w:r w:rsidR="006F7578">
      <w:rPr>
        <w:rFonts w:ascii="Univers 55" w:hAnsi="Univers 55" w:cs="Arial"/>
        <w:sz w:val="20"/>
        <w:szCs w:val="20"/>
      </w:rPr>
      <w:t>,</w:t>
    </w:r>
    <w:r w:rsidR="00E24C6A">
      <w:rPr>
        <w:rFonts w:ascii="Univers 55" w:hAnsi="Univers 55" w:cs="Arial"/>
        <w:sz w:val="20"/>
        <w:szCs w:val="20"/>
      </w:rPr>
      <w:t xml:space="preserve"> le </w:t>
    </w:r>
    <w:r w:rsidR="00E46471">
      <w:rPr>
        <w:rFonts w:ascii="Univers 55" w:hAnsi="Univers 55" w:cs="Arial"/>
        <w:sz w:val="20"/>
        <w:szCs w:val="20"/>
      </w:rPr>
      <w:t>04 avril 2018</w:t>
    </w:r>
  </w:p>
  <w:p w14:paraId="7FE2D778" w14:textId="77777777" w:rsidR="006F7578" w:rsidRDefault="006F7578" w:rsidP="00A5527A">
    <w:pPr>
      <w:pStyle w:val="Textedebulles"/>
      <w:rPr>
        <w:rFonts w:ascii="Univers 55" w:hAnsi="Univers 55" w:cs="Arial"/>
        <w:sz w:val="20"/>
        <w:szCs w:val="20"/>
      </w:rPr>
    </w:pPr>
  </w:p>
  <w:p w14:paraId="3C71117A" w14:textId="77777777" w:rsidR="006F7578" w:rsidRDefault="006F7578" w:rsidP="00A5527A">
    <w:pPr>
      <w:pStyle w:val="Textedebulles"/>
      <w:rPr>
        <w:rFonts w:ascii="Univers 55" w:hAnsi="Univers 55"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A95153"/>
    <w:multiLevelType w:val="hybridMultilevel"/>
    <w:tmpl w:val="3746E0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C2D2FF6"/>
    <w:multiLevelType w:val="hybridMultilevel"/>
    <w:tmpl w:val="20A0E7B6"/>
    <w:lvl w:ilvl="0" w:tplc="20EC7634">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C0C0C71"/>
    <w:multiLevelType w:val="hybridMultilevel"/>
    <w:tmpl w:val="FB6E30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78E"/>
    <w:rsid w:val="000028F1"/>
    <w:rsid w:val="00003005"/>
    <w:rsid w:val="00011304"/>
    <w:rsid w:val="00017933"/>
    <w:rsid w:val="00031FB9"/>
    <w:rsid w:val="00042CF2"/>
    <w:rsid w:val="00042E58"/>
    <w:rsid w:val="000433DC"/>
    <w:rsid w:val="00050FD4"/>
    <w:rsid w:val="00071962"/>
    <w:rsid w:val="0007476B"/>
    <w:rsid w:val="00074B0B"/>
    <w:rsid w:val="00077A63"/>
    <w:rsid w:val="00086026"/>
    <w:rsid w:val="000909A8"/>
    <w:rsid w:val="000A13E9"/>
    <w:rsid w:val="000B0F1F"/>
    <w:rsid w:val="000B0F59"/>
    <w:rsid w:val="000B5E22"/>
    <w:rsid w:val="000C2B65"/>
    <w:rsid w:val="000C2F9D"/>
    <w:rsid w:val="000C5676"/>
    <w:rsid w:val="000C6BEE"/>
    <w:rsid w:val="000E689B"/>
    <w:rsid w:val="00102B6D"/>
    <w:rsid w:val="00104173"/>
    <w:rsid w:val="00106417"/>
    <w:rsid w:val="00107D49"/>
    <w:rsid w:val="00110E84"/>
    <w:rsid w:val="00113CBD"/>
    <w:rsid w:val="0011567C"/>
    <w:rsid w:val="00115B87"/>
    <w:rsid w:val="00121D2A"/>
    <w:rsid w:val="00121EFD"/>
    <w:rsid w:val="0012360B"/>
    <w:rsid w:val="00123BCB"/>
    <w:rsid w:val="001349A3"/>
    <w:rsid w:val="001354D7"/>
    <w:rsid w:val="001424C5"/>
    <w:rsid w:val="00161E06"/>
    <w:rsid w:val="00167AC7"/>
    <w:rsid w:val="001734E9"/>
    <w:rsid w:val="001766A0"/>
    <w:rsid w:val="001800C0"/>
    <w:rsid w:val="00180E44"/>
    <w:rsid w:val="00196E7D"/>
    <w:rsid w:val="00197652"/>
    <w:rsid w:val="00197940"/>
    <w:rsid w:val="001A4623"/>
    <w:rsid w:val="001A750A"/>
    <w:rsid w:val="001B5D7C"/>
    <w:rsid w:val="001C0EC3"/>
    <w:rsid w:val="001C12A0"/>
    <w:rsid w:val="001D2520"/>
    <w:rsid w:val="001D4842"/>
    <w:rsid w:val="001D5849"/>
    <w:rsid w:val="001D65BF"/>
    <w:rsid w:val="001E2705"/>
    <w:rsid w:val="001F4B73"/>
    <w:rsid w:val="00220F61"/>
    <w:rsid w:val="00223165"/>
    <w:rsid w:val="002341C8"/>
    <w:rsid w:val="0024216E"/>
    <w:rsid w:val="00253573"/>
    <w:rsid w:val="00253A53"/>
    <w:rsid w:val="00260204"/>
    <w:rsid w:val="00266176"/>
    <w:rsid w:val="00292346"/>
    <w:rsid w:val="002A3912"/>
    <w:rsid w:val="002A5F81"/>
    <w:rsid w:val="002A614F"/>
    <w:rsid w:val="002B6A4D"/>
    <w:rsid w:val="002C2159"/>
    <w:rsid w:val="002D6ED2"/>
    <w:rsid w:val="002E02C3"/>
    <w:rsid w:val="002E12E8"/>
    <w:rsid w:val="002F7AA9"/>
    <w:rsid w:val="003001D5"/>
    <w:rsid w:val="003049D1"/>
    <w:rsid w:val="00306B62"/>
    <w:rsid w:val="003075A4"/>
    <w:rsid w:val="00327D05"/>
    <w:rsid w:val="00331282"/>
    <w:rsid w:val="00331D1D"/>
    <w:rsid w:val="00333A75"/>
    <w:rsid w:val="00341991"/>
    <w:rsid w:val="0034728F"/>
    <w:rsid w:val="00362E29"/>
    <w:rsid w:val="00376CF9"/>
    <w:rsid w:val="003A0E05"/>
    <w:rsid w:val="003A378E"/>
    <w:rsid w:val="003D31AC"/>
    <w:rsid w:val="003D413F"/>
    <w:rsid w:val="003E0F59"/>
    <w:rsid w:val="003E7235"/>
    <w:rsid w:val="003F103A"/>
    <w:rsid w:val="004012BE"/>
    <w:rsid w:val="00404019"/>
    <w:rsid w:val="004102A0"/>
    <w:rsid w:val="0041361D"/>
    <w:rsid w:val="0043170B"/>
    <w:rsid w:val="0043281C"/>
    <w:rsid w:val="00433092"/>
    <w:rsid w:val="00435105"/>
    <w:rsid w:val="00437E77"/>
    <w:rsid w:val="00442A26"/>
    <w:rsid w:val="0044598C"/>
    <w:rsid w:val="00450A85"/>
    <w:rsid w:val="004566E1"/>
    <w:rsid w:val="00457E95"/>
    <w:rsid w:val="00462BE9"/>
    <w:rsid w:val="004668AC"/>
    <w:rsid w:val="00482016"/>
    <w:rsid w:val="00484220"/>
    <w:rsid w:val="00490370"/>
    <w:rsid w:val="00491323"/>
    <w:rsid w:val="004A1496"/>
    <w:rsid w:val="004A2EB1"/>
    <w:rsid w:val="004A77CC"/>
    <w:rsid w:val="004B3417"/>
    <w:rsid w:val="004B5033"/>
    <w:rsid w:val="004C419B"/>
    <w:rsid w:val="004C5275"/>
    <w:rsid w:val="004D0BE6"/>
    <w:rsid w:val="004D10AF"/>
    <w:rsid w:val="004D627D"/>
    <w:rsid w:val="004E35E2"/>
    <w:rsid w:val="004E7484"/>
    <w:rsid w:val="004F6DB2"/>
    <w:rsid w:val="00500883"/>
    <w:rsid w:val="00500DDA"/>
    <w:rsid w:val="005371AE"/>
    <w:rsid w:val="005426C9"/>
    <w:rsid w:val="005428C8"/>
    <w:rsid w:val="005640E5"/>
    <w:rsid w:val="00570E29"/>
    <w:rsid w:val="00581550"/>
    <w:rsid w:val="0058332C"/>
    <w:rsid w:val="0059517A"/>
    <w:rsid w:val="005A0FFA"/>
    <w:rsid w:val="005B050D"/>
    <w:rsid w:val="005B2367"/>
    <w:rsid w:val="005D0282"/>
    <w:rsid w:val="005D2820"/>
    <w:rsid w:val="005D6ED2"/>
    <w:rsid w:val="005E0EC0"/>
    <w:rsid w:val="005E1D64"/>
    <w:rsid w:val="005E6C83"/>
    <w:rsid w:val="005E7679"/>
    <w:rsid w:val="005F5ACE"/>
    <w:rsid w:val="005F64AB"/>
    <w:rsid w:val="00627754"/>
    <w:rsid w:val="0063695F"/>
    <w:rsid w:val="00652E06"/>
    <w:rsid w:val="006554C4"/>
    <w:rsid w:val="00656DF8"/>
    <w:rsid w:val="00662805"/>
    <w:rsid w:val="006836BA"/>
    <w:rsid w:val="00685105"/>
    <w:rsid w:val="006B07B6"/>
    <w:rsid w:val="006B7522"/>
    <w:rsid w:val="006C2C02"/>
    <w:rsid w:val="006C7F1A"/>
    <w:rsid w:val="006E7755"/>
    <w:rsid w:val="006F126A"/>
    <w:rsid w:val="006F4949"/>
    <w:rsid w:val="006F7578"/>
    <w:rsid w:val="00703D36"/>
    <w:rsid w:val="00704A3B"/>
    <w:rsid w:val="007050F2"/>
    <w:rsid w:val="007168C5"/>
    <w:rsid w:val="007205D1"/>
    <w:rsid w:val="00721213"/>
    <w:rsid w:val="007304F8"/>
    <w:rsid w:val="00741F53"/>
    <w:rsid w:val="00746FE2"/>
    <w:rsid w:val="00773644"/>
    <w:rsid w:val="00774F9D"/>
    <w:rsid w:val="0077605F"/>
    <w:rsid w:val="00777720"/>
    <w:rsid w:val="00784CD3"/>
    <w:rsid w:val="00784F50"/>
    <w:rsid w:val="007871B7"/>
    <w:rsid w:val="00787C6D"/>
    <w:rsid w:val="00792EE7"/>
    <w:rsid w:val="00792FEF"/>
    <w:rsid w:val="007B0676"/>
    <w:rsid w:val="007D18D3"/>
    <w:rsid w:val="007D213B"/>
    <w:rsid w:val="007E2518"/>
    <w:rsid w:val="007E4566"/>
    <w:rsid w:val="007E6694"/>
    <w:rsid w:val="007F455C"/>
    <w:rsid w:val="007F7942"/>
    <w:rsid w:val="00802D6C"/>
    <w:rsid w:val="00805214"/>
    <w:rsid w:val="008063B6"/>
    <w:rsid w:val="0081035C"/>
    <w:rsid w:val="00811CDD"/>
    <w:rsid w:val="00824917"/>
    <w:rsid w:val="00826E54"/>
    <w:rsid w:val="00835D55"/>
    <w:rsid w:val="00840DF3"/>
    <w:rsid w:val="008431D3"/>
    <w:rsid w:val="00872706"/>
    <w:rsid w:val="00876202"/>
    <w:rsid w:val="00881B1D"/>
    <w:rsid w:val="00887412"/>
    <w:rsid w:val="008A2AE1"/>
    <w:rsid w:val="008A3240"/>
    <w:rsid w:val="008A3C43"/>
    <w:rsid w:val="008D098C"/>
    <w:rsid w:val="008D77EE"/>
    <w:rsid w:val="008E1616"/>
    <w:rsid w:val="008E5495"/>
    <w:rsid w:val="008E62D4"/>
    <w:rsid w:val="008F5B97"/>
    <w:rsid w:val="00900996"/>
    <w:rsid w:val="00900F84"/>
    <w:rsid w:val="0090503A"/>
    <w:rsid w:val="00921D34"/>
    <w:rsid w:val="00943775"/>
    <w:rsid w:val="00956E62"/>
    <w:rsid w:val="0096228E"/>
    <w:rsid w:val="00991B11"/>
    <w:rsid w:val="009A265B"/>
    <w:rsid w:val="009B1DD1"/>
    <w:rsid w:val="009B41F7"/>
    <w:rsid w:val="009B5910"/>
    <w:rsid w:val="009C02FF"/>
    <w:rsid w:val="009C5365"/>
    <w:rsid w:val="009D2D44"/>
    <w:rsid w:val="009D3F49"/>
    <w:rsid w:val="009D7B01"/>
    <w:rsid w:val="009E109D"/>
    <w:rsid w:val="009E4A14"/>
    <w:rsid w:val="009F1AFE"/>
    <w:rsid w:val="009F536D"/>
    <w:rsid w:val="00A11940"/>
    <w:rsid w:val="00A27DA6"/>
    <w:rsid w:val="00A3625E"/>
    <w:rsid w:val="00A363D3"/>
    <w:rsid w:val="00A46427"/>
    <w:rsid w:val="00A46BEF"/>
    <w:rsid w:val="00A50711"/>
    <w:rsid w:val="00A5527A"/>
    <w:rsid w:val="00A60C88"/>
    <w:rsid w:val="00A71E9F"/>
    <w:rsid w:val="00A74455"/>
    <w:rsid w:val="00A7691C"/>
    <w:rsid w:val="00A90F7F"/>
    <w:rsid w:val="00AC09D5"/>
    <w:rsid w:val="00AC7FF4"/>
    <w:rsid w:val="00AD2A4C"/>
    <w:rsid w:val="00AD4FA5"/>
    <w:rsid w:val="00AE175A"/>
    <w:rsid w:val="00B00734"/>
    <w:rsid w:val="00B05E0C"/>
    <w:rsid w:val="00B07A44"/>
    <w:rsid w:val="00B206DB"/>
    <w:rsid w:val="00B44F20"/>
    <w:rsid w:val="00B45F95"/>
    <w:rsid w:val="00B64711"/>
    <w:rsid w:val="00B67EDD"/>
    <w:rsid w:val="00B72F78"/>
    <w:rsid w:val="00BA6B96"/>
    <w:rsid w:val="00BB0B20"/>
    <w:rsid w:val="00BB0BAF"/>
    <w:rsid w:val="00BB11D1"/>
    <w:rsid w:val="00BB193E"/>
    <w:rsid w:val="00BB2BA6"/>
    <w:rsid w:val="00BC3FB3"/>
    <w:rsid w:val="00BF2235"/>
    <w:rsid w:val="00BF33D4"/>
    <w:rsid w:val="00BF6804"/>
    <w:rsid w:val="00C035BE"/>
    <w:rsid w:val="00C10B9B"/>
    <w:rsid w:val="00C1431F"/>
    <w:rsid w:val="00C25971"/>
    <w:rsid w:val="00C33355"/>
    <w:rsid w:val="00C458C0"/>
    <w:rsid w:val="00C61444"/>
    <w:rsid w:val="00C63DBC"/>
    <w:rsid w:val="00C64C1E"/>
    <w:rsid w:val="00C65483"/>
    <w:rsid w:val="00C6754A"/>
    <w:rsid w:val="00C74FCC"/>
    <w:rsid w:val="00C97222"/>
    <w:rsid w:val="00CA37B7"/>
    <w:rsid w:val="00CA636D"/>
    <w:rsid w:val="00CB14AB"/>
    <w:rsid w:val="00CB3B54"/>
    <w:rsid w:val="00CB6D4D"/>
    <w:rsid w:val="00CC107D"/>
    <w:rsid w:val="00CC15E8"/>
    <w:rsid w:val="00CC667A"/>
    <w:rsid w:val="00CD3071"/>
    <w:rsid w:val="00CD346B"/>
    <w:rsid w:val="00CD7242"/>
    <w:rsid w:val="00CE60EA"/>
    <w:rsid w:val="00CE72B4"/>
    <w:rsid w:val="00CF309E"/>
    <w:rsid w:val="00CF588B"/>
    <w:rsid w:val="00D01CC6"/>
    <w:rsid w:val="00D0261B"/>
    <w:rsid w:val="00D04DDE"/>
    <w:rsid w:val="00D104A4"/>
    <w:rsid w:val="00D73EDC"/>
    <w:rsid w:val="00D74862"/>
    <w:rsid w:val="00D80C3B"/>
    <w:rsid w:val="00D83A7E"/>
    <w:rsid w:val="00D85431"/>
    <w:rsid w:val="00D86308"/>
    <w:rsid w:val="00DA22C4"/>
    <w:rsid w:val="00DA5C8E"/>
    <w:rsid w:val="00DA5DA0"/>
    <w:rsid w:val="00DC0415"/>
    <w:rsid w:val="00DC24B9"/>
    <w:rsid w:val="00DD3189"/>
    <w:rsid w:val="00DE29C3"/>
    <w:rsid w:val="00DF1489"/>
    <w:rsid w:val="00DF336D"/>
    <w:rsid w:val="00E01419"/>
    <w:rsid w:val="00E2401C"/>
    <w:rsid w:val="00E24C6A"/>
    <w:rsid w:val="00E256DE"/>
    <w:rsid w:val="00E272DF"/>
    <w:rsid w:val="00E3050D"/>
    <w:rsid w:val="00E32525"/>
    <w:rsid w:val="00E42013"/>
    <w:rsid w:val="00E46471"/>
    <w:rsid w:val="00E47C49"/>
    <w:rsid w:val="00E50421"/>
    <w:rsid w:val="00E61CCD"/>
    <w:rsid w:val="00E721DC"/>
    <w:rsid w:val="00E72F93"/>
    <w:rsid w:val="00E74B1E"/>
    <w:rsid w:val="00E8463A"/>
    <w:rsid w:val="00E90A57"/>
    <w:rsid w:val="00E9259D"/>
    <w:rsid w:val="00E95CA4"/>
    <w:rsid w:val="00E97809"/>
    <w:rsid w:val="00EB634A"/>
    <w:rsid w:val="00EC1DE2"/>
    <w:rsid w:val="00EC7520"/>
    <w:rsid w:val="00EE0DC9"/>
    <w:rsid w:val="00EF05D5"/>
    <w:rsid w:val="00EF158B"/>
    <w:rsid w:val="00EF280A"/>
    <w:rsid w:val="00EF6538"/>
    <w:rsid w:val="00F03E04"/>
    <w:rsid w:val="00F063D1"/>
    <w:rsid w:val="00F06621"/>
    <w:rsid w:val="00F1700B"/>
    <w:rsid w:val="00F170EF"/>
    <w:rsid w:val="00F347D8"/>
    <w:rsid w:val="00F37CA8"/>
    <w:rsid w:val="00F51E6F"/>
    <w:rsid w:val="00F6541F"/>
    <w:rsid w:val="00F86F27"/>
    <w:rsid w:val="00F97F10"/>
    <w:rsid w:val="00FA3D0D"/>
    <w:rsid w:val="00FA3E42"/>
    <w:rsid w:val="00FA79B5"/>
    <w:rsid w:val="00FC3E97"/>
    <w:rsid w:val="00FC6936"/>
    <w:rsid w:val="00FD7D47"/>
    <w:rsid w:val="00FE1726"/>
    <w:rsid w:val="00FE3B78"/>
    <w:rsid w:val="00FE4040"/>
    <w:rsid w:val="00FF62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48210"/>
  <w15:docId w15:val="{D60971AE-918B-49CB-875A-AA5E4146E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CB6D4D"/>
    <w:pPr>
      <w:tabs>
        <w:tab w:val="center" w:pos="4536"/>
        <w:tab w:val="right" w:pos="9072"/>
      </w:tabs>
      <w:spacing w:after="0" w:line="240" w:lineRule="auto"/>
    </w:pPr>
  </w:style>
  <w:style w:type="character" w:customStyle="1" w:styleId="En-tteCar">
    <w:name w:val="En-tête Car"/>
    <w:basedOn w:val="Policepardfaut"/>
    <w:link w:val="En-tte"/>
    <w:uiPriority w:val="99"/>
    <w:rsid w:val="00CB6D4D"/>
  </w:style>
  <w:style w:type="paragraph" w:styleId="Pieddepage">
    <w:name w:val="footer"/>
    <w:basedOn w:val="Normal"/>
    <w:link w:val="PieddepageCar"/>
    <w:uiPriority w:val="99"/>
    <w:unhideWhenUsed/>
    <w:rsid w:val="00CB6D4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B6D4D"/>
  </w:style>
  <w:style w:type="paragraph" w:styleId="Sansinterligne">
    <w:name w:val="No Spacing"/>
    <w:uiPriority w:val="1"/>
    <w:qFormat/>
    <w:rsid w:val="00CB6D4D"/>
    <w:pPr>
      <w:spacing w:after="0" w:line="240" w:lineRule="auto"/>
    </w:pPr>
  </w:style>
  <w:style w:type="character" w:styleId="Lienhypertexte">
    <w:name w:val="Hyperlink"/>
    <w:basedOn w:val="Policepardfaut"/>
    <w:uiPriority w:val="99"/>
    <w:unhideWhenUsed/>
    <w:rsid w:val="00A5527A"/>
    <w:rPr>
      <w:color w:val="0563C1" w:themeColor="hyperlink"/>
      <w:u w:val="single"/>
    </w:rPr>
  </w:style>
  <w:style w:type="paragraph" w:styleId="Textedebulles">
    <w:name w:val="Balloon Text"/>
    <w:basedOn w:val="Normal"/>
    <w:link w:val="TextedebullesCar"/>
    <w:semiHidden/>
    <w:rsid w:val="00A5527A"/>
    <w:pPr>
      <w:overflowPunct w:val="0"/>
      <w:autoSpaceDE w:val="0"/>
      <w:autoSpaceDN w:val="0"/>
      <w:adjustRightInd w:val="0"/>
      <w:spacing w:after="0" w:line="240" w:lineRule="auto"/>
      <w:textAlignment w:val="baseline"/>
    </w:pPr>
    <w:rPr>
      <w:rFonts w:ascii="Tahoma" w:eastAsia="Times New Roman" w:hAnsi="Tahoma" w:cs="Tahoma"/>
      <w:sz w:val="16"/>
      <w:szCs w:val="16"/>
      <w:lang w:eastAsia="fr-FR"/>
    </w:rPr>
  </w:style>
  <w:style w:type="character" w:customStyle="1" w:styleId="TextedebullesCar">
    <w:name w:val="Texte de bulles Car"/>
    <w:basedOn w:val="Policepardfaut"/>
    <w:link w:val="Textedebulles"/>
    <w:semiHidden/>
    <w:rsid w:val="00A5527A"/>
    <w:rPr>
      <w:rFonts w:ascii="Tahoma" w:eastAsia="Times New Roman" w:hAnsi="Tahoma" w:cs="Tahoma"/>
      <w:sz w:val="16"/>
      <w:szCs w:val="16"/>
      <w:lang w:eastAsia="fr-FR"/>
    </w:rPr>
  </w:style>
  <w:style w:type="paragraph" w:styleId="Notedebasdepage">
    <w:name w:val="footnote text"/>
    <w:basedOn w:val="Normal"/>
    <w:link w:val="NotedebasdepageCar"/>
    <w:uiPriority w:val="99"/>
    <w:semiHidden/>
    <w:unhideWhenUsed/>
    <w:rsid w:val="0011567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1567C"/>
    <w:rPr>
      <w:sz w:val="20"/>
      <w:szCs w:val="20"/>
    </w:rPr>
  </w:style>
  <w:style w:type="character" w:styleId="Appelnotedebasdep">
    <w:name w:val="footnote reference"/>
    <w:basedOn w:val="Policepardfaut"/>
    <w:uiPriority w:val="99"/>
    <w:semiHidden/>
    <w:unhideWhenUsed/>
    <w:rsid w:val="001156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Feuille_de_calcul_Microsoft_Excel1.xlsx"/></Relationships>
</file>

<file path=word/charts/_rels/chart2.xml.rels><?xml version="1.0" encoding="UTF-8" standalone="yes"?>
<Relationships xmlns="http://schemas.openxmlformats.org/package/2006/relationships"><Relationship Id="rId3" Type="http://schemas.openxmlformats.org/officeDocument/2006/relationships/package" Target="../embeddings/Feuille_de_calcul_Microsoft_Excel2.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3254414955817975E-2"/>
          <c:y val="0.12498750156230472"/>
          <c:w val="0.5034497033782116"/>
          <c:h val="0.87501249843769524"/>
        </c:manualLayout>
      </c:layout>
      <c:pieChart>
        <c:varyColors val="1"/>
        <c:ser>
          <c:idx val="0"/>
          <c:order val="0"/>
          <c:tx>
            <c:strRef>
              <c:f>Feuil1!$B$1</c:f>
              <c:strCache>
                <c:ptCount val="1"/>
                <c:pt idx="0">
                  <c:v>Ventes</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dPt>
          <c:dPt>
            <c:idx val="5"/>
            <c:bubble3D val="0"/>
            <c:spPr>
              <a:gradFill>
                <a:gsLst>
                  <a:gs pos="100000">
                    <a:schemeClr val="accent6">
                      <a:lumMod val="60000"/>
                      <a:lumOff val="40000"/>
                    </a:schemeClr>
                  </a:gs>
                  <a:gs pos="0">
                    <a:schemeClr val="accent6"/>
                  </a:gs>
                </a:gsLst>
                <a:lin ang="5400000" scaled="0"/>
              </a:gradFill>
              <a:ln w="19050">
                <a:solidFill>
                  <a:schemeClr val="lt1"/>
                </a:solidFill>
              </a:ln>
              <a:effectLst/>
            </c:spPr>
          </c:dPt>
          <c:dPt>
            <c:idx val="6"/>
            <c:bubble3D val="0"/>
            <c:spPr>
              <a:gradFill>
                <a:gsLst>
                  <a:gs pos="100000">
                    <a:schemeClr val="accent1">
                      <a:lumMod val="60000"/>
                      <a:lumMod val="60000"/>
                      <a:lumOff val="40000"/>
                    </a:schemeClr>
                  </a:gs>
                  <a:gs pos="0">
                    <a:schemeClr val="accent1">
                      <a:lumMod val="60000"/>
                    </a:schemeClr>
                  </a:gs>
                </a:gsLst>
                <a:lin ang="5400000" scaled="0"/>
              </a:gradFill>
              <a:ln w="19050">
                <a:solidFill>
                  <a:schemeClr val="lt1"/>
                </a:solidFill>
              </a:ln>
              <a:effectLst/>
            </c:spPr>
          </c:dPt>
          <c:dPt>
            <c:idx val="7"/>
            <c:bubble3D val="0"/>
            <c:spPr>
              <a:gradFill>
                <a:gsLst>
                  <a:gs pos="100000">
                    <a:schemeClr val="accent2">
                      <a:lumMod val="60000"/>
                      <a:lumMod val="60000"/>
                      <a:lumOff val="40000"/>
                    </a:schemeClr>
                  </a:gs>
                  <a:gs pos="0">
                    <a:schemeClr val="accent2">
                      <a:lumMod val="60000"/>
                    </a:schemeClr>
                  </a:gs>
                </a:gsLst>
                <a:lin ang="5400000" scaled="0"/>
              </a:gradFill>
              <a:ln w="19050">
                <a:solidFill>
                  <a:schemeClr val="lt1"/>
                </a:solidFill>
              </a:ln>
              <a:effectLst/>
            </c:spPr>
          </c:dPt>
          <c:dPt>
            <c:idx val="8"/>
            <c:bubble3D val="0"/>
            <c:spPr>
              <a:gradFill>
                <a:gsLst>
                  <a:gs pos="100000">
                    <a:schemeClr val="accent3">
                      <a:lumMod val="60000"/>
                      <a:lumMod val="60000"/>
                      <a:lumOff val="40000"/>
                    </a:schemeClr>
                  </a:gs>
                  <a:gs pos="0">
                    <a:schemeClr val="accent3">
                      <a:lumMod val="60000"/>
                    </a:schemeClr>
                  </a:gs>
                </a:gsLst>
                <a:lin ang="5400000" scaled="0"/>
              </a:gradFill>
              <a:ln w="19050">
                <a:solidFill>
                  <a:schemeClr val="lt1"/>
                </a:solidFill>
              </a:ln>
              <a:effectLst/>
            </c:spPr>
          </c:dPt>
          <c:dPt>
            <c:idx val="9"/>
            <c:bubble3D val="0"/>
            <c:spPr>
              <a:gradFill>
                <a:gsLst>
                  <a:gs pos="100000">
                    <a:schemeClr val="accent4">
                      <a:lumMod val="60000"/>
                      <a:lumMod val="60000"/>
                      <a:lumOff val="40000"/>
                    </a:schemeClr>
                  </a:gs>
                  <a:gs pos="0">
                    <a:schemeClr val="accent4">
                      <a:lumMod val="60000"/>
                    </a:schemeClr>
                  </a:gs>
                </a:gsLst>
                <a:lin ang="5400000" scaled="0"/>
              </a:gradFill>
              <a:ln w="19050">
                <a:solidFill>
                  <a:schemeClr val="lt1"/>
                </a:solidFill>
              </a:ln>
              <a:effectLst/>
            </c:spPr>
          </c:dPt>
          <c:dPt>
            <c:idx val="10"/>
            <c:bubble3D val="0"/>
            <c:spPr>
              <a:gradFill>
                <a:gsLst>
                  <a:gs pos="100000">
                    <a:schemeClr val="accent5">
                      <a:lumMod val="60000"/>
                      <a:lumMod val="60000"/>
                      <a:lumOff val="40000"/>
                    </a:schemeClr>
                  </a:gs>
                  <a:gs pos="0">
                    <a:schemeClr val="accent5">
                      <a:lumMod val="60000"/>
                    </a:schemeClr>
                  </a:gs>
                </a:gsLst>
                <a:lin ang="5400000" scaled="0"/>
              </a:gra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fr-FR"/>
              </a:p>
            </c:txPr>
            <c:dLblPos val="ctr"/>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15:layout/>
              </c:ext>
            </c:extLst>
          </c:dLbls>
          <c:cat>
            <c:strRef>
              <c:f>Feuil1!$A$2:$A$11</c:f>
              <c:strCache>
                <c:ptCount val="10"/>
                <c:pt idx="0">
                  <c:v>Matériels de transport</c:v>
                </c:pt>
                <c:pt idx="1">
                  <c:v>Equipements mécaniques, matériel électrique, électronique et informatique</c:v>
                </c:pt>
                <c:pt idx="2">
                  <c:v>Produits chimiques, parfums et cosmétiques</c:v>
                </c:pt>
                <c:pt idx="3">
                  <c:v>Produits des industries agroalimentaires</c:v>
                </c:pt>
                <c:pt idx="4">
                  <c:v>Produits en caoutchouc et en plastique, produits minéraux</c:v>
                </c:pt>
                <c:pt idx="5">
                  <c:v>Textiles, habillement, cuir et chaussures</c:v>
                </c:pt>
                <c:pt idx="6">
                  <c:v>Produits pharmaceutiques</c:v>
                </c:pt>
                <c:pt idx="7">
                  <c:v>Produits métallurgiques et métalliques</c:v>
                </c:pt>
                <c:pt idx="8">
                  <c:v>Produits manufacturés divers</c:v>
                </c:pt>
                <c:pt idx="9">
                  <c:v>Bois, papier et carton</c:v>
                </c:pt>
              </c:strCache>
            </c:strRef>
          </c:cat>
          <c:val>
            <c:numRef>
              <c:f>Feuil1!$B$2:$B$11</c:f>
              <c:numCache>
                <c:formatCode>#,##0</c:formatCode>
                <c:ptCount val="10"/>
                <c:pt idx="0">
                  <c:v>99109.621000000014</c:v>
                </c:pt>
                <c:pt idx="1">
                  <c:v>94127.602000000014</c:v>
                </c:pt>
                <c:pt idx="2">
                  <c:v>84026.733999999997</c:v>
                </c:pt>
                <c:pt idx="3">
                  <c:v>68822.98599999999</c:v>
                </c:pt>
                <c:pt idx="4">
                  <c:v>25741.100999999999</c:v>
                </c:pt>
                <c:pt idx="5">
                  <c:v>25968.763999999999</c:v>
                </c:pt>
                <c:pt idx="6">
                  <c:v>21765.323</c:v>
                </c:pt>
                <c:pt idx="7">
                  <c:v>18500.519</c:v>
                </c:pt>
                <c:pt idx="8">
                  <c:v>14007.708000000001</c:v>
                </c:pt>
                <c:pt idx="9">
                  <c:v>6453.3629999999994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55476256878282582"/>
          <c:y val="8.1696081093311598E-2"/>
          <c:w val="0.43995973245608339"/>
          <c:h val="0.89481370863124865"/>
        </c:manualLayout>
      </c:layout>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fr-FR"/>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lgn="just">
        <a:defRPr/>
      </a:pPr>
      <a:endParaRPr lang="fr-F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Feuil1!$B$1</c:f>
              <c:strCache>
                <c:ptCount val="1"/>
                <c:pt idx="0">
                  <c:v>France</c:v>
                </c:pt>
              </c:strCache>
            </c:strRef>
          </c:tx>
          <c:spPr>
            <a:ln w="28575" cap="rnd">
              <a:solidFill>
                <a:schemeClr val="accent1"/>
              </a:solidFill>
              <a:round/>
            </a:ln>
            <a:effectLst/>
          </c:spPr>
          <c:marker>
            <c:symbol val="none"/>
          </c:marker>
          <c:cat>
            <c:numRef>
              <c:f>Feuil1!$A$2:$A$6</c:f>
              <c:numCache>
                <c:formatCode>General</c:formatCode>
                <c:ptCount val="5"/>
                <c:pt idx="0">
                  <c:v>2013</c:v>
                </c:pt>
                <c:pt idx="1">
                  <c:v>2014</c:v>
                </c:pt>
                <c:pt idx="2">
                  <c:v>2015</c:v>
                </c:pt>
                <c:pt idx="3">
                  <c:v>2016</c:v>
                </c:pt>
                <c:pt idx="4">
                  <c:v>2017</c:v>
                </c:pt>
              </c:numCache>
            </c:numRef>
          </c:cat>
          <c:val>
            <c:numRef>
              <c:f>Feuil1!$B$2:$B$6</c:f>
              <c:numCache>
                <c:formatCode>0.00</c:formatCode>
                <c:ptCount val="5"/>
                <c:pt idx="0">
                  <c:v>2.13834896568435</c:v>
                </c:pt>
                <c:pt idx="1">
                  <c:v>2.3204194946140593</c:v>
                </c:pt>
                <c:pt idx="2">
                  <c:v>2.3105196387002489</c:v>
                </c:pt>
                <c:pt idx="3">
                  <c:v>2.4249547814304662</c:v>
                </c:pt>
                <c:pt idx="4">
                  <c:v>2.4552991756369011</c:v>
                </c:pt>
              </c:numCache>
            </c:numRef>
          </c:val>
          <c:smooth val="0"/>
        </c:ser>
        <c:ser>
          <c:idx val="1"/>
          <c:order val="1"/>
          <c:tx>
            <c:strRef>
              <c:f>Feuil1!$C$1</c:f>
              <c:strCache>
                <c:ptCount val="1"/>
                <c:pt idx="0">
                  <c:v>Chine</c:v>
                </c:pt>
              </c:strCache>
            </c:strRef>
          </c:tx>
          <c:spPr>
            <a:ln w="28575" cap="rnd">
              <a:solidFill>
                <a:srgbClr val="FF0000"/>
              </a:solidFill>
              <a:round/>
            </a:ln>
            <a:effectLst/>
          </c:spPr>
          <c:marker>
            <c:symbol val="none"/>
          </c:marker>
          <c:cat>
            <c:numRef>
              <c:f>Feuil1!$A$2:$A$6</c:f>
              <c:numCache>
                <c:formatCode>General</c:formatCode>
                <c:ptCount val="5"/>
                <c:pt idx="0">
                  <c:v>2013</c:v>
                </c:pt>
                <c:pt idx="1">
                  <c:v>2014</c:v>
                </c:pt>
                <c:pt idx="2">
                  <c:v>2015</c:v>
                </c:pt>
                <c:pt idx="3">
                  <c:v>2016</c:v>
                </c:pt>
                <c:pt idx="4">
                  <c:v>2017</c:v>
                </c:pt>
              </c:numCache>
            </c:numRef>
          </c:cat>
          <c:val>
            <c:numRef>
              <c:f>Feuil1!$C$2:$C$6</c:f>
              <c:numCache>
                <c:formatCode>0.00</c:formatCode>
                <c:ptCount val="5"/>
                <c:pt idx="0">
                  <c:v>3.5187640842905745</c:v>
                </c:pt>
                <c:pt idx="1">
                  <c:v>2.5604518309814837</c:v>
                </c:pt>
                <c:pt idx="2">
                  <c:v>2.7984426723573588</c:v>
                </c:pt>
                <c:pt idx="3">
                  <c:v>2.9487536093670013</c:v>
                </c:pt>
                <c:pt idx="4">
                  <c:v>3.1849920778688321</c:v>
                </c:pt>
              </c:numCache>
            </c:numRef>
          </c:val>
          <c:smooth val="0"/>
        </c:ser>
        <c:ser>
          <c:idx val="2"/>
          <c:order val="2"/>
          <c:tx>
            <c:strRef>
              <c:f>Feuil1!$D$1</c:f>
              <c:strCache>
                <c:ptCount val="1"/>
                <c:pt idx="0">
                  <c:v>Russie</c:v>
                </c:pt>
              </c:strCache>
            </c:strRef>
          </c:tx>
          <c:spPr>
            <a:ln w="28575" cap="rnd">
              <a:solidFill>
                <a:schemeClr val="accent3"/>
              </a:solidFill>
              <a:round/>
            </a:ln>
            <a:effectLst/>
          </c:spPr>
          <c:marker>
            <c:symbol val="none"/>
          </c:marker>
          <c:cat>
            <c:numRef>
              <c:f>Feuil1!$A$2:$A$6</c:f>
              <c:numCache>
                <c:formatCode>General</c:formatCode>
                <c:ptCount val="5"/>
                <c:pt idx="0">
                  <c:v>2013</c:v>
                </c:pt>
                <c:pt idx="1">
                  <c:v>2014</c:v>
                </c:pt>
                <c:pt idx="2">
                  <c:v>2015</c:v>
                </c:pt>
                <c:pt idx="3">
                  <c:v>2016</c:v>
                </c:pt>
                <c:pt idx="4">
                  <c:v>2017</c:v>
                </c:pt>
              </c:numCache>
            </c:numRef>
          </c:cat>
          <c:val>
            <c:numRef>
              <c:f>Feuil1!$D$2:$D$6</c:f>
              <c:numCache>
                <c:formatCode>0.00</c:formatCode>
                <c:ptCount val="5"/>
                <c:pt idx="0">
                  <c:v>4.5168862760194175</c:v>
                </c:pt>
                <c:pt idx="1">
                  <c:v>5.0111246972537211</c:v>
                </c:pt>
                <c:pt idx="2">
                  <c:v>2.3339897229734992</c:v>
                </c:pt>
                <c:pt idx="3">
                  <c:v>1.5304875772177313</c:v>
                </c:pt>
                <c:pt idx="4">
                  <c:v>1.3877395730461044</c:v>
                </c:pt>
              </c:numCache>
            </c:numRef>
          </c:val>
          <c:smooth val="0"/>
        </c:ser>
        <c:ser>
          <c:idx val="3"/>
          <c:order val="3"/>
          <c:tx>
            <c:strRef>
              <c:f>Feuil1!$E$1</c:f>
              <c:strCache>
                <c:ptCount val="1"/>
                <c:pt idx="0">
                  <c:v>UE</c:v>
                </c:pt>
              </c:strCache>
            </c:strRef>
          </c:tx>
          <c:spPr>
            <a:ln w="28575" cap="rnd">
              <a:solidFill>
                <a:schemeClr val="accent4"/>
              </a:solidFill>
              <a:round/>
            </a:ln>
            <a:effectLst/>
          </c:spPr>
          <c:marker>
            <c:symbol val="none"/>
          </c:marker>
          <c:cat>
            <c:numRef>
              <c:f>Feuil1!$A$2:$A$6</c:f>
              <c:numCache>
                <c:formatCode>General</c:formatCode>
                <c:ptCount val="5"/>
                <c:pt idx="0">
                  <c:v>2013</c:v>
                </c:pt>
                <c:pt idx="1">
                  <c:v>2014</c:v>
                </c:pt>
                <c:pt idx="2">
                  <c:v>2015</c:v>
                </c:pt>
                <c:pt idx="3">
                  <c:v>2016</c:v>
                </c:pt>
                <c:pt idx="4">
                  <c:v>2017</c:v>
                </c:pt>
              </c:numCache>
            </c:numRef>
          </c:cat>
          <c:val>
            <c:numRef>
              <c:f>Feuil1!$E$2:$E$6</c:f>
              <c:numCache>
                <c:formatCode>0.00</c:formatCode>
                <c:ptCount val="5"/>
                <c:pt idx="0">
                  <c:v>73.935759369967528</c:v>
                </c:pt>
                <c:pt idx="1">
                  <c:v>76.373890458426615</c:v>
                </c:pt>
                <c:pt idx="2">
                  <c:v>78.018764013548662</c:v>
                </c:pt>
                <c:pt idx="3">
                  <c:v>77.230817035741794</c:v>
                </c:pt>
                <c:pt idx="4">
                  <c:v>77.974915798484048</c:v>
                </c:pt>
              </c:numCache>
            </c:numRef>
          </c:val>
          <c:smooth val="0"/>
        </c:ser>
        <c:ser>
          <c:idx val="4"/>
          <c:order val="4"/>
          <c:tx>
            <c:strRef>
              <c:f>Feuil1!$F$1</c:f>
              <c:strCache>
                <c:ptCount val="1"/>
                <c:pt idx="0">
                  <c:v>CEFTA</c:v>
                </c:pt>
              </c:strCache>
            </c:strRef>
          </c:tx>
          <c:spPr>
            <a:ln w="28575" cap="rnd">
              <a:solidFill>
                <a:schemeClr val="accent5"/>
              </a:solidFill>
              <a:round/>
            </a:ln>
            <a:effectLst/>
          </c:spPr>
          <c:marker>
            <c:symbol val="none"/>
          </c:marker>
          <c:cat>
            <c:numRef>
              <c:f>Feuil1!$A$2:$A$6</c:f>
              <c:numCache>
                <c:formatCode>General</c:formatCode>
                <c:ptCount val="5"/>
                <c:pt idx="0">
                  <c:v>2013</c:v>
                </c:pt>
                <c:pt idx="1">
                  <c:v>2014</c:v>
                </c:pt>
                <c:pt idx="2">
                  <c:v>2015</c:v>
                </c:pt>
                <c:pt idx="3">
                  <c:v>2016</c:v>
                </c:pt>
                <c:pt idx="4">
                  <c:v>2017</c:v>
                </c:pt>
              </c:numCache>
            </c:numRef>
          </c:cat>
          <c:val>
            <c:numRef>
              <c:f>Feuil1!$F$2:$F$6</c:f>
              <c:numCache>
                <c:formatCode>0.00</c:formatCode>
                <c:ptCount val="5"/>
                <c:pt idx="0">
                  <c:v>5.9246275040967431</c:v>
                </c:pt>
                <c:pt idx="1">
                  <c:v>5.2595938125758686</c:v>
                </c:pt>
                <c:pt idx="2">
                  <c:v>5.4899412020269356</c:v>
                </c:pt>
                <c:pt idx="3">
                  <c:v>5.9215079344028148</c:v>
                </c:pt>
                <c:pt idx="4">
                  <c:v>6.1954701502310883</c:v>
                </c:pt>
              </c:numCache>
            </c:numRef>
          </c:val>
          <c:smooth val="0"/>
        </c:ser>
        <c:dLbls>
          <c:showLegendKey val="0"/>
          <c:showVal val="0"/>
          <c:showCatName val="0"/>
          <c:showSerName val="0"/>
          <c:showPercent val="0"/>
          <c:showBubbleSize val="0"/>
        </c:dLbls>
        <c:smooth val="0"/>
        <c:axId val="221519464"/>
        <c:axId val="139037128"/>
      </c:lineChart>
      <c:catAx>
        <c:axId val="221519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39037128"/>
        <c:crosses val="autoZero"/>
        <c:auto val="1"/>
        <c:lblAlgn val="ctr"/>
        <c:lblOffset val="100"/>
        <c:noMultiLvlLbl val="0"/>
      </c:catAx>
      <c:valAx>
        <c:axId val="13903712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22151946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8C78521A6DB34799E6964C0038F78D" ma:contentTypeVersion="0" ma:contentTypeDescription="Crée un document." ma:contentTypeScope="" ma:versionID="87c34892dc8b8a7ab482c6ff6b151a37">
  <xsd:schema xmlns:xsd="http://www.w3.org/2001/XMLSchema" xmlns:xs="http://www.w3.org/2001/XMLSchema" xmlns:p="http://schemas.microsoft.com/office/2006/metadata/properties" targetNamespace="http://schemas.microsoft.com/office/2006/metadata/properties" ma:root="true" ma:fieldsID="ab09c1ba23edfaa45a5e9d385267c9b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1EE0B2A-DF5D-4087-95D3-BC470190835A}">
  <ds:schemaRefs>
    <ds:schemaRef ds:uri="http://purl.org/dc/elements/1.1/"/>
    <ds:schemaRef ds:uri="http://www.w3.org/XML/1998/namespace"/>
    <ds:schemaRef ds:uri="http://schemas.microsoft.com/office/infopath/2007/PartnerControls"/>
    <ds:schemaRef ds:uri="http://purl.org/dc/terms/"/>
    <ds:schemaRef ds:uri="http://schemas.microsoft.com/office/2006/metadata/properties"/>
    <ds:schemaRef ds:uri="http://purl.org/dc/dcmitype/"/>
    <ds:schemaRef ds:uri="http://schemas.microsoft.com/office/2006/documentManagement/types"/>
    <ds:schemaRef ds:uri="http://schemas.openxmlformats.org/package/2006/metadata/core-properties"/>
  </ds:schemaRefs>
</ds:datastoreItem>
</file>

<file path=customXml/itemProps2.xml><?xml version="1.0" encoding="utf-8"?>
<ds:datastoreItem xmlns:ds="http://schemas.openxmlformats.org/officeDocument/2006/customXml" ds:itemID="{A37D268E-080F-47F8-932A-C0F1064B0130}">
  <ds:schemaRefs>
    <ds:schemaRef ds:uri="http://schemas.microsoft.com/sharepoint/v3/contenttype/forms"/>
  </ds:schemaRefs>
</ds:datastoreItem>
</file>

<file path=customXml/itemProps3.xml><?xml version="1.0" encoding="utf-8"?>
<ds:datastoreItem xmlns:ds="http://schemas.openxmlformats.org/officeDocument/2006/customXml" ds:itemID="{85A3001A-C4F2-4A6F-A297-0311EAF02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125012C-4EC6-4D20-BCDE-EC3413C70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1624</Words>
  <Characters>8936</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DG TRESOR</Company>
  <LinksUpToDate>false</LinksUpToDate>
  <CharactersWithSpaces>10539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FAROUX Igor</dc:creator>
  <cp:lastModifiedBy>JADRIJEVIC Barbara</cp:lastModifiedBy>
  <cp:revision>3</cp:revision>
  <dcterms:created xsi:type="dcterms:W3CDTF">2018-04-27T08:33:00Z</dcterms:created>
  <dcterms:modified xsi:type="dcterms:W3CDTF">2018-04-27T08:34:00Z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0x0101008C8C78521A6DB34799E6964C0038F78D</vt:lpwstr>
  </property>
</Properties>
</file>