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FD216" w14:textId="69191CBD" w:rsidR="002330B6" w:rsidRPr="003A07A1" w:rsidRDefault="006A57F6" w:rsidP="00450FD9">
      <w:pPr>
        <w:spacing w:after="60" w:line="247" w:lineRule="auto"/>
        <w:jc w:val="right"/>
        <w:rPr>
          <w:rFonts w:ascii="Segoe UI" w:hAnsi="Segoe UI" w:cs="Segoe UI"/>
          <w:b/>
        </w:rPr>
      </w:pPr>
      <w:r w:rsidRPr="003A07A1">
        <w:rPr>
          <w:rFonts w:ascii="Segoe UI" w:hAnsi="Segoe UI" w:cs="Segoe UI"/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C9D3226" wp14:editId="3EDA1287">
            <wp:simplePos x="0" y="0"/>
            <wp:positionH relativeFrom="column">
              <wp:posOffset>31115</wp:posOffset>
            </wp:positionH>
            <wp:positionV relativeFrom="paragraph">
              <wp:posOffset>-588645</wp:posOffset>
            </wp:positionV>
            <wp:extent cx="1621790" cy="1335405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30B6" w:rsidRPr="003A07A1">
        <w:rPr>
          <w:rFonts w:ascii="Segoe UI" w:hAnsi="Segoe UI" w:cs="Segoe UI"/>
          <w:b/>
        </w:rPr>
        <w:t>Service économique de Riyad</w:t>
      </w:r>
    </w:p>
    <w:p w14:paraId="3D4053CC" w14:textId="6BCB1F82" w:rsidR="009B18BB" w:rsidRPr="003A07A1" w:rsidRDefault="001E7704" w:rsidP="00D071A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3A07A1">
        <w:rPr>
          <w:rFonts w:ascii="Segoe UI" w:hAnsi="Segoe UI" w:cs="Segoe UI"/>
          <w:sz w:val="20"/>
          <w:szCs w:val="20"/>
        </w:rPr>
        <w:t>Affaire suivie</w:t>
      </w:r>
      <w:r w:rsidR="00286153" w:rsidRPr="003A07A1">
        <w:rPr>
          <w:rFonts w:ascii="Segoe UI" w:hAnsi="Segoe UI" w:cs="Segoe UI"/>
          <w:sz w:val="20"/>
          <w:szCs w:val="20"/>
        </w:rPr>
        <w:t xml:space="preserve"> par</w:t>
      </w:r>
      <w:r w:rsidR="001A450D" w:rsidRPr="003A07A1">
        <w:rPr>
          <w:rFonts w:ascii="Segoe UI" w:hAnsi="Segoe UI" w:cs="Segoe UI"/>
          <w:sz w:val="20"/>
          <w:szCs w:val="20"/>
        </w:rPr>
        <w:t> :</w:t>
      </w:r>
      <w:r w:rsidR="00286153" w:rsidRPr="003A07A1">
        <w:rPr>
          <w:rFonts w:ascii="Segoe UI" w:hAnsi="Segoe UI" w:cs="Segoe UI"/>
          <w:sz w:val="20"/>
          <w:szCs w:val="20"/>
        </w:rPr>
        <w:t xml:space="preserve"> Ibrahim Barry</w:t>
      </w:r>
    </w:p>
    <w:p w14:paraId="32240BED" w14:textId="2458247F" w:rsidR="00FA0C5C" w:rsidRPr="003A07A1" w:rsidRDefault="00C42803" w:rsidP="00CB04C2">
      <w:pPr>
        <w:spacing w:after="360" w:line="240" w:lineRule="auto"/>
        <w:jc w:val="right"/>
        <w:rPr>
          <w:rFonts w:ascii="Segoe UI" w:hAnsi="Segoe UI" w:cs="Segoe UI"/>
          <w:sz w:val="20"/>
          <w:szCs w:val="20"/>
        </w:rPr>
      </w:pPr>
      <w:r w:rsidRPr="003A07A1">
        <w:rPr>
          <w:rFonts w:ascii="Segoe UI" w:hAnsi="Segoe UI" w:cs="Segoe UI"/>
          <w:sz w:val="20"/>
          <w:szCs w:val="20"/>
        </w:rPr>
        <w:t xml:space="preserve">Riyad, le </w:t>
      </w:r>
      <w:r w:rsidR="00FD58D2" w:rsidRPr="003A07A1">
        <w:rPr>
          <w:rFonts w:ascii="Segoe UI" w:hAnsi="Segoe UI" w:cs="Segoe UI"/>
          <w:sz w:val="20"/>
          <w:szCs w:val="20"/>
        </w:rPr>
        <w:t>2</w:t>
      </w:r>
      <w:r w:rsidR="00B9366F">
        <w:rPr>
          <w:rFonts w:ascii="Segoe UI" w:hAnsi="Segoe UI" w:cs="Segoe UI"/>
          <w:sz w:val="20"/>
          <w:szCs w:val="20"/>
        </w:rPr>
        <w:t>6</w:t>
      </w:r>
      <w:r w:rsidR="007140A4" w:rsidRPr="003A07A1">
        <w:rPr>
          <w:rFonts w:ascii="Segoe UI" w:hAnsi="Segoe UI" w:cs="Segoe UI"/>
          <w:sz w:val="20"/>
          <w:szCs w:val="20"/>
        </w:rPr>
        <w:t xml:space="preserve"> </w:t>
      </w:r>
      <w:r w:rsidR="00FD58D2" w:rsidRPr="003A07A1">
        <w:rPr>
          <w:rFonts w:ascii="Segoe UI" w:hAnsi="Segoe UI" w:cs="Segoe UI"/>
          <w:sz w:val="20"/>
          <w:szCs w:val="20"/>
        </w:rPr>
        <w:t>mars</w:t>
      </w:r>
      <w:r w:rsidR="00E1732E" w:rsidRPr="003A07A1">
        <w:rPr>
          <w:rFonts w:ascii="Segoe UI" w:hAnsi="Segoe UI" w:cs="Segoe UI"/>
          <w:sz w:val="20"/>
          <w:szCs w:val="20"/>
        </w:rPr>
        <w:t xml:space="preserve"> 202</w:t>
      </w:r>
      <w:r w:rsidR="00FD58D2" w:rsidRPr="003A07A1">
        <w:rPr>
          <w:rFonts w:ascii="Segoe UI" w:hAnsi="Segoe UI" w:cs="Segoe UI"/>
          <w:sz w:val="20"/>
          <w:szCs w:val="20"/>
        </w:rPr>
        <w:t>3</w:t>
      </w:r>
    </w:p>
    <w:p w14:paraId="31878C0C" w14:textId="1C66AE2C" w:rsidR="002330B6" w:rsidRPr="003A07A1" w:rsidRDefault="00BC4B58" w:rsidP="00B9366F">
      <w:pPr>
        <w:spacing w:after="0" w:line="247" w:lineRule="auto"/>
        <w:jc w:val="right"/>
        <w:rPr>
          <w:rFonts w:ascii="Segoe UI" w:eastAsia="Calibri" w:hAnsi="Segoe UI" w:cs="Segoe UI"/>
          <w:color w:val="006CE5"/>
          <w:sz w:val="30"/>
          <w:szCs w:val="30"/>
          <w:lang w:eastAsia="fr-FR"/>
        </w:rPr>
      </w:pPr>
      <w:r>
        <w:rPr>
          <w:rFonts w:ascii="Segoe UI" w:eastAsia="Calibri" w:hAnsi="Segoe UI" w:cs="Segoe UI"/>
          <w:color w:val="006CE5"/>
          <w:sz w:val="30"/>
          <w:szCs w:val="30"/>
          <w:lang w:eastAsia="fr-FR"/>
        </w:rPr>
        <w:t xml:space="preserve">Performances records des finances publiques saoudiennes </w:t>
      </w:r>
      <w:r w:rsidR="00FD58D2" w:rsidRPr="003A07A1">
        <w:rPr>
          <w:rFonts w:ascii="Segoe UI" w:eastAsia="Calibri" w:hAnsi="Segoe UI" w:cs="Segoe UI"/>
          <w:color w:val="006CE5"/>
          <w:sz w:val="30"/>
          <w:szCs w:val="30"/>
          <w:lang w:eastAsia="fr-FR"/>
        </w:rPr>
        <w:t>en</w:t>
      </w:r>
      <w:r w:rsidR="00411A8B" w:rsidRPr="003A07A1">
        <w:rPr>
          <w:rFonts w:ascii="Segoe UI" w:eastAsia="Calibri" w:hAnsi="Segoe UI" w:cs="Segoe UI"/>
          <w:color w:val="006CE5"/>
          <w:sz w:val="30"/>
          <w:szCs w:val="30"/>
          <w:lang w:eastAsia="fr-FR"/>
        </w:rPr>
        <w:t xml:space="preserve"> 2022</w:t>
      </w:r>
    </w:p>
    <w:p w14:paraId="100ADCBF" w14:textId="38147323" w:rsidR="00C92566" w:rsidRPr="003A07A1" w:rsidRDefault="002330B6" w:rsidP="00C92566">
      <w:pPr>
        <w:spacing w:after="120" w:line="247" w:lineRule="auto"/>
        <w:jc w:val="right"/>
        <w:rPr>
          <w:rFonts w:ascii="Segoe UI" w:eastAsia="Calibri" w:hAnsi="Segoe UI" w:cs="Segoe UI"/>
          <w:color w:val="006CE5"/>
          <w:sz w:val="16"/>
          <w:szCs w:val="16"/>
          <w:lang w:eastAsia="fr-FR"/>
        </w:rPr>
      </w:pPr>
      <w:r w:rsidRPr="003A07A1">
        <w:rPr>
          <w:rFonts w:ascii="Segoe UI" w:eastAsia="Calibri" w:hAnsi="Segoe UI" w:cs="Segoe UI"/>
          <w:noProof/>
          <w:color w:val="006CE5"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 wp14:anchorId="158D4D14" wp14:editId="57E9F29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59535" cy="635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CEAF46" w14:textId="015CEEA0" w:rsidR="003A07A1" w:rsidRPr="003A07A1" w:rsidRDefault="000161AA" w:rsidP="000161AA">
      <w:pPr>
        <w:spacing w:after="120" w:line="247" w:lineRule="auto"/>
        <w:jc w:val="both"/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</w:pPr>
      <w:r w:rsidRPr="003A07A1">
        <w:rPr>
          <w:rFonts w:ascii="Segoe UI" w:hAnsi="Segoe UI" w:cs="Segoe UI"/>
          <w:color w:val="006CE5"/>
          <w:sz w:val="20"/>
          <w:szCs w:val="20"/>
        </w:rPr>
        <w:t xml:space="preserve">Résumé : </w:t>
      </w:r>
      <w:r w:rsidR="005961EF">
        <w:rPr>
          <w:rFonts w:ascii="Segoe UI" w:hAnsi="Segoe UI" w:cs="Segoe UI"/>
          <w:color w:val="006CE5"/>
          <w:sz w:val="20"/>
          <w:szCs w:val="20"/>
        </w:rPr>
        <w:t>E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 xml:space="preserve">n 2022, les recettes ont atteint 338 Md USD, </w:t>
      </w:r>
      <w:r w:rsidR="005961EF">
        <w:rPr>
          <w:rFonts w:ascii="Segoe UI" w:hAnsi="Segoe UI" w:cs="Segoe UI"/>
          <w:color w:val="006CE5"/>
          <w:sz w:val="20"/>
          <w:szCs w:val="20"/>
        </w:rPr>
        <w:t xml:space="preserve">en 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>hausse de 31</w:t>
      </w:r>
      <w:r w:rsidR="00B67C5D">
        <w:rPr>
          <w:rFonts w:ascii="Segoe UI" w:hAnsi="Segoe UI" w:cs="Segoe UI"/>
          <w:color w:val="006CE5"/>
          <w:sz w:val="20"/>
          <w:szCs w:val="20"/>
        </w:rPr>
        <w:t> 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>% par rapport à 2021 (257</w:t>
      </w:r>
      <w:r w:rsidR="00484391">
        <w:rPr>
          <w:rFonts w:ascii="Segoe UI" w:hAnsi="Segoe UI" w:cs="Segoe UI"/>
          <w:color w:val="006CE5"/>
          <w:sz w:val="20"/>
          <w:szCs w:val="20"/>
        </w:rPr>
        <w:t> 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>Md</w:t>
      </w:r>
      <w:r w:rsidR="00484391">
        <w:rPr>
          <w:rFonts w:ascii="Segoe UI" w:hAnsi="Segoe UI" w:cs="Segoe UI"/>
          <w:color w:val="006CE5"/>
          <w:sz w:val="20"/>
          <w:szCs w:val="20"/>
        </w:rPr>
        <w:t> 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 xml:space="preserve">USD). Elles ont </w:t>
      </w:r>
      <w:r w:rsidR="00484391">
        <w:rPr>
          <w:rFonts w:ascii="Segoe UI" w:hAnsi="Segoe UI" w:cs="Segoe UI"/>
          <w:color w:val="006CE5"/>
          <w:sz w:val="20"/>
          <w:szCs w:val="20"/>
        </w:rPr>
        <w:t xml:space="preserve">dépassé de </w:t>
      </w:r>
      <w:r w:rsidR="005961EF">
        <w:rPr>
          <w:rFonts w:ascii="Segoe UI" w:hAnsi="Segoe UI" w:cs="Segoe UI"/>
          <w:color w:val="006CE5"/>
          <w:sz w:val="20"/>
          <w:szCs w:val="20"/>
        </w:rPr>
        <w:t>2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>2</w:t>
      </w:r>
      <w:r w:rsidR="00B67C5D">
        <w:rPr>
          <w:rFonts w:ascii="Segoe UI" w:hAnsi="Segoe UI" w:cs="Segoe UI"/>
          <w:color w:val="006CE5"/>
          <w:sz w:val="20"/>
          <w:szCs w:val="20"/>
        </w:rPr>
        <w:t> 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 xml:space="preserve">% </w:t>
      </w:r>
      <w:r w:rsidR="00484391">
        <w:rPr>
          <w:rFonts w:ascii="Segoe UI" w:hAnsi="Segoe UI" w:cs="Segoe UI"/>
          <w:color w:val="006CE5"/>
          <w:sz w:val="20"/>
          <w:szCs w:val="20"/>
        </w:rPr>
        <w:t xml:space="preserve">les 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 xml:space="preserve">revenus prévus au budget 2022 (276 Md USD). </w:t>
      </w:r>
      <w:r w:rsidR="00FC4C83" w:rsidRPr="00FC4C83">
        <w:rPr>
          <w:rFonts w:ascii="Segoe UI" w:hAnsi="Segoe UI" w:cs="Segoe UI"/>
          <w:color w:val="006CE5"/>
          <w:sz w:val="20"/>
          <w:szCs w:val="20"/>
        </w:rPr>
        <w:t>Les recettes pétrolières ont progressé de +52</w:t>
      </w:r>
      <w:r w:rsidR="00B67C5D">
        <w:rPr>
          <w:rFonts w:ascii="Segoe UI" w:hAnsi="Segoe UI" w:cs="Segoe UI"/>
          <w:color w:val="006CE5"/>
          <w:sz w:val="20"/>
          <w:szCs w:val="20"/>
        </w:rPr>
        <w:t> </w:t>
      </w:r>
      <w:r w:rsidR="00FC4C83" w:rsidRPr="00FC4C83">
        <w:rPr>
          <w:rFonts w:ascii="Segoe UI" w:hAnsi="Segoe UI" w:cs="Segoe UI"/>
          <w:color w:val="006CE5"/>
          <w:sz w:val="20"/>
          <w:szCs w:val="20"/>
        </w:rPr>
        <w:t>%, atteignant 229 Md USD</w:t>
      </w:r>
      <w:r w:rsidR="00484391">
        <w:rPr>
          <w:rFonts w:ascii="Segoe UI" w:hAnsi="Segoe UI" w:cs="Segoe UI"/>
          <w:color w:val="006CE5"/>
          <w:sz w:val="20"/>
          <w:szCs w:val="20"/>
        </w:rPr>
        <w:t>,</w:t>
      </w:r>
      <w:r w:rsidR="00FC4C83" w:rsidRPr="00FC4C83">
        <w:rPr>
          <w:rFonts w:ascii="Segoe UI" w:hAnsi="Segoe UI" w:cs="Segoe UI"/>
          <w:color w:val="006CE5"/>
          <w:sz w:val="20"/>
          <w:szCs w:val="20"/>
        </w:rPr>
        <w:t xml:space="preserve"> contre 150 Md USD en 2021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>. Les revenus pétroliers ont représenté près de 70</w:t>
      </w:r>
      <w:r w:rsidR="00B67C5D">
        <w:rPr>
          <w:rFonts w:ascii="Segoe UI" w:hAnsi="Segoe UI" w:cs="Segoe UI"/>
          <w:color w:val="006CE5"/>
          <w:sz w:val="20"/>
          <w:szCs w:val="20"/>
        </w:rPr>
        <w:t> 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>% du total des recettes, contre 58</w:t>
      </w:r>
      <w:r w:rsidR="00B67C5D">
        <w:rPr>
          <w:rFonts w:ascii="Segoe UI" w:hAnsi="Segoe UI" w:cs="Segoe UI"/>
          <w:color w:val="006CE5"/>
          <w:sz w:val="20"/>
          <w:szCs w:val="20"/>
        </w:rPr>
        <w:t> 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>% en 2021</w:t>
      </w:r>
      <w:r w:rsidR="006721BE" w:rsidRPr="003A07A1">
        <w:rPr>
          <w:rFonts w:ascii="Segoe UI" w:hAnsi="Segoe UI" w:cs="Segoe UI"/>
          <w:color w:val="006CE5"/>
          <w:sz w:val="20"/>
          <w:szCs w:val="20"/>
        </w:rPr>
        <w:t xml:space="preserve">. 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 xml:space="preserve">Les dépenses ont atteint 310 Md USD, </w:t>
      </w:r>
      <w:r w:rsidR="00F75087" w:rsidRPr="003A07A1">
        <w:rPr>
          <w:rFonts w:ascii="Segoe UI" w:hAnsi="Segoe UI" w:cs="Segoe UI"/>
          <w:color w:val="006CE5"/>
          <w:sz w:val="20"/>
          <w:szCs w:val="20"/>
        </w:rPr>
        <w:t>en a</w:t>
      </w:r>
      <w:r w:rsidR="00F75087">
        <w:rPr>
          <w:rFonts w:ascii="Segoe UI" w:hAnsi="Segoe UI" w:cs="Segoe UI"/>
          <w:color w:val="006CE5"/>
          <w:sz w:val="20"/>
          <w:szCs w:val="20"/>
        </w:rPr>
        <w:t xml:space="preserve">ugmentation </w:t>
      </w:r>
      <w:r w:rsidR="00F75087" w:rsidRPr="003A07A1">
        <w:rPr>
          <w:rFonts w:ascii="Segoe UI" w:hAnsi="Segoe UI" w:cs="Segoe UI"/>
          <w:color w:val="006CE5"/>
          <w:sz w:val="20"/>
          <w:szCs w:val="20"/>
        </w:rPr>
        <w:t>de 12</w:t>
      </w:r>
      <w:r w:rsidR="00F75087">
        <w:rPr>
          <w:rFonts w:ascii="Segoe UI" w:hAnsi="Segoe UI" w:cs="Segoe UI"/>
          <w:color w:val="006CE5"/>
          <w:sz w:val="20"/>
          <w:szCs w:val="20"/>
        </w:rPr>
        <w:t> </w:t>
      </w:r>
      <w:r w:rsidR="00F75087" w:rsidRPr="003A07A1">
        <w:rPr>
          <w:rFonts w:ascii="Segoe UI" w:hAnsi="Segoe UI" w:cs="Segoe UI"/>
          <w:color w:val="006CE5"/>
          <w:sz w:val="20"/>
          <w:szCs w:val="20"/>
        </w:rPr>
        <w:t>% par rapport à 2021 (277 Md USD)</w:t>
      </w:r>
      <w:r w:rsidR="00971BE5">
        <w:rPr>
          <w:rFonts w:ascii="Segoe UI" w:hAnsi="Segoe UI" w:cs="Segoe UI"/>
          <w:color w:val="006CE5"/>
          <w:sz w:val="20"/>
          <w:szCs w:val="20"/>
        </w:rPr>
        <w:t>, avec une hausse de 22% des dépenses d’</w:t>
      </w:r>
      <w:r w:rsidR="00E218B2">
        <w:rPr>
          <w:rFonts w:ascii="Segoe UI" w:hAnsi="Segoe UI" w:cs="Segoe UI"/>
          <w:color w:val="006CE5"/>
          <w:sz w:val="20"/>
          <w:szCs w:val="20"/>
        </w:rPr>
        <w:t>investissement</w:t>
      </w:r>
      <w:r w:rsidR="00F75087" w:rsidRPr="003A07A1">
        <w:rPr>
          <w:rFonts w:ascii="Segoe UI" w:hAnsi="Segoe UI" w:cs="Segoe UI"/>
          <w:color w:val="006CE5"/>
          <w:sz w:val="20"/>
          <w:szCs w:val="20"/>
        </w:rPr>
        <w:t xml:space="preserve">. </w:t>
      </w:r>
      <w:r w:rsidR="00F75087">
        <w:rPr>
          <w:rFonts w:ascii="Segoe UI" w:hAnsi="Segoe UI" w:cs="Segoe UI"/>
          <w:color w:val="006CE5"/>
          <w:sz w:val="20"/>
          <w:szCs w:val="20"/>
        </w:rPr>
        <w:t>Ces dépenses ont été supérieures de 2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>2</w:t>
      </w:r>
      <w:r w:rsidR="00B67C5D">
        <w:rPr>
          <w:rFonts w:ascii="Segoe UI" w:hAnsi="Segoe UI" w:cs="Segoe UI"/>
          <w:color w:val="006CE5"/>
          <w:sz w:val="20"/>
          <w:szCs w:val="20"/>
        </w:rPr>
        <w:t> 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 xml:space="preserve">% </w:t>
      </w:r>
      <w:r w:rsidR="00F75087">
        <w:rPr>
          <w:rFonts w:ascii="Segoe UI" w:hAnsi="Segoe UI" w:cs="Segoe UI"/>
          <w:color w:val="006CE5"/>
          <w:sz w:val="20"/>
          <w:szCs w:val="20"/>
        </w:rPr>
        <w:t xml:space="preserve">par rapport aux </w:t>
      </w:r>
      <w:r w:rsidR="00DC31F1" w:rsidRPr="003A07A1">
        <w:rPr>
          <w:rFonts w:ascii="Segoe UI" w:hAnsi="Segoe UI" w:cs="Segoe UI"/>
          <w:color w:val="006CE5"/>
          <w:sz w:val="20"/>
          <w:szCs w:val="20"/>
        </w:rPr>
        <w:t xml:space="preserve">dépenses programmées au budget 2022 (255 Md USD). </w:t>
      </w:r>
      <w:r w:rsidR="00FC1E5A" w:rsidRPr="003A07A1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>L</w:t>
      </w:r>
      <w:r w:rsidR="00DC31F1" w:rsidRPr="003A07A1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>’Arabie saoudite a enregistré un excédent budgétaire record de 27,7 Md USD</w:t>
      </w:r>
      <w:r w:rsidR="00D07973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 xml:space="preserve"> (2,6% du PIB)</w:t>
      </w:r>
      <w:r w:rsidR="00DC31F1" w:rsidRPr="003A07A1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 xml:space="preserve">, une première depuis 2013, contre un déficit </w:t>
      </w:r>
      <w:bookmarkStart w:id="0" w:name="_GoBack"/>
      <w:bookmarkEnd w:id="0"/>
      <w:r w:rsidR="00DC31F1" w:rsidRPr="003A07A1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 xml:space="preserve">de 20 Md USD un an plus tôt. Le budget 2022 </w:t>
      </w:r>
      <w:r w:rsidR="00484391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>prévoyait</w:t>
      </w:r>
      <w:r w:rsidR="00DC31F1" w:rsidRPr="003A07A1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 xml:space="preserve"> un excédent de 24 Md USD</w:t>
      </w:r>
      <w:r w:rsidR="00484391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>,</w:t>
      </w:r>
      <w:r w:rsidR="00DC31F1" w:rsidRPr="003A07A1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 xml:space="preserve"> soit 2,5</w:t>
      </w:r>
      <w:r w:rsidR="00B67C5D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> </w:t>
      </w:r>
      <w:r w:rsidR="00DC31F1" w:rsidRPr="003A07A1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 xml:space="preserve">% du PIB. </w:t>
      </w:r>
      <w:r w:rsidR="00484391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>Pour 2023, l</w:t>
      </w:r>
      <w:r w:rsidR="00017965" w:rsidRPr="00017965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>e budget de l’Etat saoudien prévoit un excédent budgétaire de 4,3 Mds USD, soit 0,4</w:t>
      </w:r>
      <w:r w:rsidR="00B67C5D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> </w:t>
      </w:r>
      <w:r w:rsidR="00017965" w:rsidRPr="00017965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>% du PIB.</w:t>
      </w:r>
      <w:r w:rsidR="0081188C">
        <w:rPr>
          <w:rFonts w:ascii="Segoe UI" w:eastAsia="Times New Roman" w:hAnsi="Segoe UI" w:cs="Segoe UI"/>
          <w:color w:val="006CE5"/>
          <w:sz w:val="20"/>
          <w:szCs w:val="20"/>
          <w:lang w:eastAsia="fr-FR"/>
        </w:rPr>
        <w:t xml:space="preserve"> La dette publique restera modérée à 24,6% du PIB.</w:t>
      </w:r>
    </w:p>
    <w:p w14:paraId="764B9247" w14:textId="23D30F61" w:rsidR="0014010B" w:rsidRPr="003A07A1" w:rsidRDefault="000055B5" w:rsidP="00306F3E">
      <w:pPr>
        <w:spacing w:after="60" w:line="247" w:lineRule="auto"/>
        <w:jc w:val="both"/>
        <w:rPr>
          <w:rFonts w:ascii="Segoe UI" w:hAnsi="Segoe UI" w:cs="Segoe UI"/>
          <w:color w:val="006CE5"/>
          <w:sz w:val="20"/>
          <w:szCs w:val="20"/>
        </w:rPr>
      </w:pPr>
      <w:r w:rsidRPr="003A07A1">
        <w:rPr>
          <w:rFonts w:ascii="Segoe UI" w:eastAsia="Times New Roman" w:hAnsi="Segoe UI" w:cs="Segoe UI"/>
          <w:noProof/>
          <w:color w:val="222222"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18C818A4" wp14:editId="5BF985BE">
                <wp:extent cx="5943599" cy="485775"/>
                <wp:effectExtent l="0" t="0" r="635" b="9525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599" cy="485775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1B722" w14:textId="417BDD70" w:rsidR="006B38FB" w:rsidRPr="00DC6087" w:rsidRDefault="003071C7" w:rsidP="00CB2EDF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7" w:lineRule="auto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Accroissement</w:t>
                            </w:r>
                            <w:r w:rsidR="006B38FB" w:rsidRPr="00DC608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des recettes de </w:t>
                            </w:r>
                            <w:r w:rsidR="006E3594" w:rsidRPr="00DC608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3</w:t>
                            </w:r>
                            <w:r w:rsidR="00B80C91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 w:rsidR="00B67C5D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 </w:t>
                            </w:r>
                            <w:r w:rsidR="006B38FB" w:rsidRPr="00DC608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% sous l’effet de la forte hausse des </w:t>
                            </w:r>
                            <w:r w:rsidR="005B2C9F" w:rsidRPr="00DC608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revenus</w:t>
                            </w:r>
                            <w:r w:rsidR="006B38FB" w:rsidRPr="00DC608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5B2C9F" w:rsidRPr="00DC608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pétroliers</w:t>
                            </w:r>
                            <w:r w:rsidR="006B38FB" w:rsidRPr="00DC608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963583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sur l’ensemble de l’année </w:t>
                            </w:r>
                            <w:r w:rsidR="006B38FB" w:rsidRPr="00DC608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2022</w:t>
                            </w:r>
                          </w:p>
                          <w:p w14:paraId="5573A22D" w14:textId="791B79C6" w:rsidR="000055B5" w:rsidRPr="004E1A75" w:rsidRDefault="000055B5" w:rsidP="00A33B5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7" w:lineRule="auto"/>
                              <w:ind w:left="357" w:hanging="357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8C818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68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" fillcolor="#006ce5" stroked="f">
                <v:textbox>
                  <w:txbxContent>
                    <w:p w14:paraId="4941B722" w14:textId="417BDD70" w:rsidR="006B38FB" w:rsidRPr="00DC6087" w:rsidRDefault="003071C7" w:rsidP="00CB2EDF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47" w:lineRule="auto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Accroissement</w:t>
                      </w:r>
                      <w:r w:rsidR="006B38FB" w:rsidRPr="00DC608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des recettes de </w:t>
                      </w:r>
                      <w:r w:rsidR="006E3594" w:rsidRPr="00DC608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3</w:t>
                      </w:r>
                      <w:r w:rsidR="00B80C91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1</w:t>
                      </w:r>
                      <w:r w:rsidR="00B67C5D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 </w:t>
                      </w:r>
                      <w:r w:rsidR="006B38FB" w:rsidRPr="00DC608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% sous l’effet de la forte hausse des </w:t>
                      </w:r>
                      <w:r w:rsidR="005B2C9F" w:rsidRPr="00DC608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revenus</w:t>
                      </w:r>
                      <w:r w:rsidR="006B38FB" w:rsidRPr="00DC608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="005B2C9F" w:rsidRPr="00DC608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pétroliers</w:t>
                      </w:r>
                      <w:r w:rsidR="006B38FB" w:rsidRPr="00DC608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="00963583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sur l’ensemble de l’année </w:t>
                      </w:r>
                      <w:r w:rsidR="006B38FB" w:rsidRPr="00DC608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2022</w:t>
                      </w:r>
                    </w:p>
                    <w:p w14:paraId="5573A22D" w14:textId="791B79C6" w:rsidR="000055B5" w:rsidRPr="004E1A75" w:rsidRDefault="000055B5" w:rsidP="00A33B5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47" w:lineRule="auto"/>
                        <w:ind w:left="357" w:hanging="357"/>
                        <w:contextualSpacing w:val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44E810" w14:textId="1A350D66" w:rsidR="00A254FF" w:rsidRPr="003A07A1" w:rsidRDefault="00B80C91" w:rsidP="00411A8B">
      <w:pPr>
        <w:spacing w:after="120" w:line="247" w:lineRule="auto"/>
        <w:jc w:val="both"/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</w:pPr>
      <w:r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En</w:t>
      </w:r>
      <w:r w:rsidR="00411A8B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2022, les recettes ont atteint </w:t>
      </w:r>
      <w:r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338</w:t>
      </w:r>
      <w:r w:rsidR="00411A8B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</w:t>
      </w:r>
      <w:r w:rsidR="00D521B2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Md</w:t>
      </w:r>
      <w:r w:rsidR="00411A8B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USD, soit une hausse de 3</w:t>
      </w:r>
      <w:r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1</w:t>
      </w:r>
      <w:r w:rsidR="00B67C5D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 </w:t>
      </w:r>
      <w:r w:rsidR="00411A8B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% par rapport à 2021 (</w:t>
      </w:r>
      <w:r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257</w:t>
      </w:r>
      <w:r w:rsidR="00411A8B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</w:t>
      </w:r>
      <w:r w:rsidR="00D521B2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Md</w:t>
      </w:r>
      <w:r w:rsidR="00411A8B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USD). </w:t>
      </w:r>
      <w:r w:rsidR="00C82EF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Elles ont représenté </w:t>
      </w:r>
      <w:r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1</w:t>
      </w:r>
      <w:r w:rsidR="005961EF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2</w:t>
      </w:r>
      <w:r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2</w:t>
      </w:r>
      <w:r w:rsidR="00B67C5D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 </w:t>
      </w:r>
      <w:r w:rsidR="00C82EF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% du total des revenus prévus au budget 2022 (276 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Md</w:t>
      </w:r>
      <w:r w:rsidR="00C82EF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 USD).</w:t>
      </w:r>
    </w:p>
    <w:p w14:paraId="0CA877AD" w14:textId="648D0158" w:rsidR="00411A8B" w:rsidRPr="003A07A1" w:rsidRDefault="00411A8B" w:rsidP="00411A8B">
      <w:pPr>
        <w:spacing w:after="120" w:line="247" w:lineRule="auto"/>
        <w:jc w:val="both"/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</w:pPr>
      <w:r w:rsidRPr="003A07A1">
        <w:rPr>
          <w:rFonts w:ascii="Segoe UI" w:hAnsi="Segoe UI" w:cs="Segoe UI"/>
          <w:sz w:val="20"/>
          <w:szCs w:val="20"/>
        </w:rPr>
        <w:t>Les recettes pétrolières ont progressé de +</w:t>
      </w:r>
      <w:r w:rsidR="008B4B03" w:rsidRPr="003A07A1">
        <w:rPr>
          <w:rFonts w:ascii="Segoe UI" w:hAnsi="Segoe UI" w:cs="Segoe UI"/>
          <w:sz w:val="20"/>
          <w:szCs w:val="20"/>
        </w:rPr>
        <w:t>52</w:t>
      </w:r>
      <w:r w:rsidR="00B67C5D">
        <w:rPr>
          <w:rFonts w:ascii="Segoe UI" w:hAnsi="Segoe UI" w:cs="Segoe UI"/>
          <w:sz w:val="20"/>
          <w:szCs w:val="20"/>
        </w:rPr>
        <w:t> </w:t>
      </w:r>
      <w:r w:rsidRPr="003A07A1">
        <w:rPr>
          <w:rFonts w:ascii="Segoe UI" w:hAnsi="Segoe UI" w:cs="Segoe UI"/>
          <w:sz w:val="20"/>
          <w:szCs w:val="20"/>
        </w:rPr>
        <w:t xml:space="preserve">%, atteignant </w:t>
      </w:r>
      <w:r w:rsidR="008B4B03" w:rsidRPr="003A07A1">
        <w:rPr>
          <w:rFonts w:ascii="Segoe UI" w:hAnsi="Segoe UI" w:cs="Segoe UI"/>
          <w:sz w:val="20"/>
          <w:szCs w:val="20"/>
        </w:rPr>
        <w:t>229</w:t>
      </w:r>
      <w:r w:rsidRPr="003A07A1">
        <w:rPr>
          <w:rFonts w:ascii="Segoe UI" w:hAnsi="Segoe UI" w:cs="Segoe UI"/>
          <w:sz w:val="20"/>
          <w:szCs w:val="20"/>
        </w:rPr>
        <w:t> </w:t>
      </w:r>
      <w:r w:rsidR="00D521B2" w:rsidRPr="003A07A1">
        <w:rPr>
          <w:rFonts w:ascii="Segoe UI" w:hAnsi="Segoe UI" w:cs="Segoe UI"/>
          <w:sz w:val="20"/>
          <w:szCs w:val="20"/>
        </w:rPr>
        <w:t>Md</w:t>
      </w:r>
      <w:r w:rsidRPr="003A07A1">
        <w:rPr>
          <w:rFonts w:ascii="Segoe UI" w:hAnsi="Segoe UI" w:cs="Segoe UI"/>
          <w:sz w:val="20"/>
          <w:szCs w:val="20"/>
        </w:rPr>
        <w:t> USD</w:t>
      </w:r>
      <w:r w:rsidR="001C360F">
        <w:rPr>
          <w:rFonts w:ascii="Segoe UI" w:hAnsi="Segoe UI" w:cs="Segoe UI"/>
          <w:sz w:val="20"/>
          <w:szCs w:val="20"/>
        </w:rPr>
        <w:t xml:space="preserve"> (contre 150 Md USD en 2021)</w:t>
      </w:r>
      <w:r w:rsidR="00A254FF" w:rsidRPr="003A07A1">
        <w:rPr>
          <w:rFonts w:ascii="Segoe UI" w:hAnsi="Segoe UI" w:cs="Segoe UI"/>
          <w:sz w:val="20"/>
          <w:szCs w:val="20"/>
        </w:rPr>
        <w:t xml:space="preserve">. </w:t>
      </w:r>
      <w:r w:rsidR="00D03D41" w:rsidRPr="003A07A1">
        <w:rPr>
          <w:rFonts w:ascii="Segoe UI" w:hAnsi="Segoe UI" w:cs="Segoe UI"/>
          <w:sz w:val="20"/>
          <w:szCs w:val="20"/>
        </w:rPr>
        <w:t>L</w:t>
      </w:r>
      <w:r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es revenus pétroliers ont représenté </w:t>
      </w:r>
      <w:r w:rsidR="008B4B03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près de </w:t>
      </w:r>
      <w:r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70</w:t>
      </w:r>
      <w:r w:rsidR="00B67C5D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% du total des recettes, contre 5</w:t>
      </w:r>
      <w:r w:rsidR="008B4B03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8</w:t>
      </w:r>
      <w:r w:rsidR="00B67C5D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% </w:t>
      </w:r>
      <w:r w:rsidR="00D03D41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en 2021</w:t>
      </w:r>
      <w:r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.</w:t>
      </w:r>
      <w:r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Cette hausse résulte de l’augmentation des cours du pétrole</w:t>
      </w:r>
      <w:r w:rsidR="00D03D41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, concomitante aux augmentations régulières de la production saoudienne mises en œuvre dans le cadre des quotas décidés au sein de l’alliance OPEP+</w:t>
      </w:r>
      <w:r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 xml:space="preserve">. </w:t>
      </w:r>
      <w:r w:rsidR="009B451F" w:rsidRPr="003A07A1">
        <w:rPr>
          <w:rFonts w:ascii="Segoe UI" w:hAnsi="Segoe UI" w:cs="Segoe UI"/>
          <w:sz w:val="20"/>
          <w:szCs w:val="20"/>
        </w:rPr>
        <w:t xml:space="preserve">En moyenne </w:t>
      </w:r>
      <w:r w:rsidR="00484391">
        <w:rPr>
          <w:rFonts w:ascii="Segoe UI" w:hAnsi="Segoe UI" w:cs="Segoe UI"/>
          <w:sz w:val="20"/>
          <w:szCs w:val="20"/>
        </w:rPr>
        <w:t>annuelle,</w:t>
      </w:r>
      <w:r w:rsidR="009B451F" w:rsidRPr="003A07A1">
        <w:rPr>
          <w:rFonts w:ascii="Segoe UI" w:hAnsi="Segoe UI" w:cs="Segoe UI"/>
          <w:sz w:val="20"/>
          <w:szCs w:val="20"/>
        </w:rPr>
        <w:t xml:space="preserve"> le baril de Brent s’est échangé à 100 USD</w:t>
      </w:r>
      <w:r w:rsidR="00484391">
        <w:rPr>
          <w:rFonts w:ascii="Segoe UI" w:hAnsi="Segoe UI" w:cs="Segoe UI"/>
          <w:sz w:val="20"/>
          <w:szCs w:val="20"/>
        </w:rPr>
        <w:t xml:space="preserve"> en 2022</w:t>
      </w:r>
      <w:r w:rsidR="009B451F" w:rsidRPr="003A07A1">
        <w:rPr>
          <w:rFonts w:ascii="Segoe UI" w:hAnsi="Segoe UI" w:cs="Segoe UI"/>
          <w:sz w:val="20"/>
          <w:szCs w:val="20"/>
        </w:rPr>
        <w:t>, soit une forte hausse de +42</w:t>
      </w:r>
      <w:r w:rsidR="00B67C5D">
        <w:rPr>
          <w:rFonts w:ascii="Segoe UI" w:hAnsi="Segoe UI" w:cs="Segoe UI"/>
          <w:sz w:val="20"/>
          <w:szCs w:val="20"/>
        </w:rPr>
        <w:t> </w:t>
      </w:r>
      <w:r w:rsidR="009B451F" w:rsidRPr="003A07A1">
        <w:rPr>
          <w:rFonts w:ascii="Segoe UI" w:hAnsi="Segoe UI" w:cs="Segoe UI"/>
          <w:sz w:val="20"/>
          <w:szCs w:val="20"/>
        </w:rPr>
        <w:t xml:space="preserve">% </w:t>
      </w:r>
      <w:r w:rsidR="00484391">
        <w:rPr>
          <w:rFonts w:ascii="Segoe UI" w:hAnsi="Segoe UI" w:cs="Segoe UI"/>
          <w:sz w:val="20"/>
          <w:szCs w:val="20"/>
        </w:rPr>
        <w:t>par rapport à 2021</w:t>
      </w:r>
      <w:r w:rsidR="009B451F" w:rsidRPr="003A07A1">
        <w:rPr>
          <w:rFonts w:ascii="Segoe UI" w:hAnsi="Segoe UI" w:cs="Segoe UI"/>
          <w:sz w:val="20"/>
          <w:szCs w:val="20"/>
        </w:rPr>
        <w:t xml:space="preserve"> (72 USD/baril</w:t>
      </w:r>
      <w:r w:rsidR="00484391">
        <w:rPr>
          <w:rFonts w:ascii="Segoe UI" w:hAnsi="Segoe UI" w:cs="Segoe UI"/>
          <w:sz w:val="20"/>
          <w:szCs w:val="20"/>
        </w:rPr>
        <w:t>)</w:t>
      </w:r>
      <w:r w:rsidR="009B451F" w:rsidRPr="003A07A1">
        <w:rPr>
          <w:rFonts w:ascii="Segoe UI" w:hAnsi="Segoe UI" w:cs="Segoe UI"/>
          <w:sz w:val="20"/>
          <w:szCs w:val="20"/>
        </w:rPr>
        <w:t>.</w:t>
      </w:r>
    </w:p>
    <w:p w14:paraId="55A882FA" w14:textId="621F4DF4" w:rsidR="00ED4020" w:rsidRPr="003A07A1" w:rsidRDefault="00ED4020" w:rsidP="00ED4020">
      <w:pPr>
        <w:spacing w:after="120" w:line="247" w:lineRule="auto"/>
        <w:jc w:val="both"/>
        <w:rPr>
          <w:rFonts w:ascii="Segoe UI" w:eastAsia="Times New Roman" w:hAnsi="Segoe UI" w:cs="Segoe UI"/>
          <w:sz w:val="20"/>
          <w:szCs w:val="16"/>
          <w:lang w:eastAsia="fr-FR"/>
        </w:rPr>
      </w:pPr>
      <w:r w:rsidRPr="003A07A1">
        <w:rPr>
          <w:rFonts w:ascii="Segoe UI" w:eastAsia="Times New Roman" w:hAnsi="Segoe UI" w:cs="Segoe UI"/>
          <w:sz w:val="20"/>
          <w:szCs w:val="16"/>
          <w:lang w:eastAsia="fr-FR"/>
        </w:rPr>
        <w:t>Selon le Rapport financier annuel 2022, Saudi Aramco a enregistré un bénéfice net record de 161</w:t>
      </w:r>
      <w:r w:rsidR="00551398">
        <w:rPr>
          <w:rFonts w:ascii="Segoe UI" w:eastAsia="Times New Roman" w:hAnsi="Segoe UI" w:cs="Segoe UI"/>
          <w:sz w:val="20"/>
          <w:szCs w:val="16"/>
          <w:lang w:eastAsia="fr-FR"/>
        </w:rPr>
        <w:t> </w:t>
      </w:r>
      <w:r w:rsidRPr="003A07A1">
        <w:rPr>
          <w:rFonts w:ascii="Segoe UI" w:eastAsia="Times New Roman" w:hAnsi="Segoe UI" w:cs="Segoe UI"/>
          <w:sz w:val="20"/>
          <w:szCs w:val="16"/>
          <w:lang w:eastAsia="fr-FR"/>
        </w:rPr>
        <w:t>Md</w:t>
      </w:r>
      <w:r w:rsidR="00551398">
        <w:rPr>
          <w:rFonts w:ascii="Segoe UI" w:eastAsia="Times New Roman" w:hAnsi="Segoe UI" w:cs="Segoe UI"/>
          <w:sz w:val="20"/>
          <w:szCs w:val="16"/>
          <w:lang w:eastAsia="fr-FR"/>
        </w:rPr>
        <w:t> </w:t>
      </w:r>
      <w:r w:rsidRPr="003A07A1">
        <w:rPr>
          <w:rFonts w:ascii="Segoe UI" w:eastAsia="Times New Roman" w:hAnsi="Segoe UI" w:cs="Segoe UI"/>
          <w:sz w:val="20"/>
          <w:szCs w:val="16"/>
          <w:lang w:eastAsia="fr-FR"/>
        </w:rPr>
        <w:t>USD</w:t>
      </w:r>
      <w:r w:rsidR="00551398">
        <w:rPr>
          <w:rFonts w:ascii="Segoe UI" w:eastAsia="Times New Roman" w:hAnsi="Segoe UI" w:cs="Segoe UI"/>
          <w:sz w:val="20"/>
          <w:szCs w:val="16"/>
          <w:lang w:eastAsia="fr-FR"/>
        </w:rPr>
        <w:t xml:space="preserve">, </w:t>
      </w:r>
      <w:r w:rsidRPr="003A07A1">
        <w:rPr>
          <w:rFonts w:ascii="Segoe UI" w:eastAsia="Times New Roman" w:hAnsi="Segoe UI" w:cs="Segoe UI"/>
          <w:sz w:val="20"/>
          <w:szCs w:val="16"/>
          <w:lang w:eastAsia="fr-FR"/>
        </w:rPr>
        <w:t>contre 110 Md USD en 2021, soit une très forte hausse de 46 %, assignable à l’augmentation des prix de</w:t>
      </w:r>
      <w:r w:rsidR="00551398">
        <w:rPr>
          <w:rFonts w:ascii="Segoe UI" w:eastAsia="Times New Roman" w:hAnsi="Segoe UI" w:cs="Segoe UI"/>
          <w:sz w:val="20"/>
          <w:szCs w:val="16"/>
          <w:lang w:eastAsia="fr-FR"/>
        </w:rPr>
        <w:t>s hydrocarbures</w:t>
      </w:r>
      <w:r w:rsidRPr="003A07A1">
        <w:rPr>
          <w:rFonts w:ascii="Segoe UI" w:eastAsia="Times New Roman" w:hAnsi="Segoe UI" w:cs="Segoe UI"/>
          <w:sz w:val="20"/>
          <w:szCs w:val="16"/>
          <w:lang w:eastAsia="fr-FR"/>
        </w:rPr>
        <w:t xml:space="preserve">, à l'augmentation des volumes vendus et à l'amélioration des marges pour les produits raffinés. </w:t>
      </w:r>
      <w:r w:rsidRPr="003A07A1">
        <w:rPr>
          <w:rFonts w:ascii="Segoe UI" w:hAnsi="Segoe UI" w:cs="Segoe UI"/>
          <w:sz w:val="20"/>
          <w:szCs w:val="16"/>
        </w:rPr>
        <w:t>Ces résultats très favorables ont permis à Saudi Aramco de distribuer sans difficulté 75 </w:t>
      </w:r>
      <w:r w:rsidR="00D521B2" w:rsidRPr="003A07A1">
        <w:rPr>
          <w:rFonts w:ascii="Segoe UI" w:hAnsi="Segoe UI" w:cs="Segoe UI"/>
          <w:sz w:val="20"/>
          <w:szCs w:val="16"/>
        </w:rPr>
        <w:t>Md</w:t>
      </w:r>
      <w:r w:rsidRPr="003A07A1">
        <w:rPr>
          <w:rFonts w:ascii="Segoe UI" w:hAnsi="Segoe UI" w:cs="Segoe UI"/>
          <w:sz w:val="20"/>
          <w:szCs w:val="16"/>
        </w:rPr>
        <w:t> USD de dividendes. Lors de l’introduction en bourse de 1,7</w:t>
      </w:r>
      <w:r w:rsidR="00B67C5D">
        <w:rPr>
          <w:rFonts w:ascii="Segoe UI" w:hAnsi="Segoe UI" w:cs="Segoe UI"/>
          <w:sz w:val="20"/>
          <w:szCs w:val="16"/>
        </w:rPr>
        <w:t> </w:t>
      </w:r>
      <w:r w:rsidRPr="003A07A1">
        <w:rPr>
          <w:rFonts w:ascii="Segoe UI" w:hAnsi="Segoe UI" w:cs="Segoe UI"/>
          <w:sz w:val="20"/>
          <w:szCs w:val="16"/>
        </w:rPr>
        <w:t xml:space="preserve">% du capital de l’entreprise en décembre 2019, Aramco s’était engagée à distribuer 75 </w:t>
      </w:r>
      <w:r w:rsidR="00D521B2" w:rsidRPr="003A07A1">
        <w:rPr>
          <w:rFonts w:ascii="Segoe UI" w:hAnsi="Segoe UI" w:cs="Segoe UI"/>
          <w:sz w:val="20"/>
          <w:szCs w:val="16"/>
        </w:rPr>
        <w:t>Md</w:t>
      </w:r>
      <w:r w:rsidRPr="003A07A1">
        <w:rPr>
          <w:rFonts w:ascii="Segoe UI" w:hAnsi="Segoe UI" w:cs="Segoe UI"/>
          <w:sz w:val="20"/>
          <w:szCs w:val="16"/>
        </w:rPr>
        <w:t xml:space="preserve"> USD de dividendes à ses actionnaires ju</w:t>
      </w:r>
      <w:r w:rsidRPr="003A07A1">
        <w:rPr>
          <w:rFonts w:ascii="Segoe UI" w:eastAsia="Times New Roman" w:hAnsi="Segoe UI" w:cs="Segoe UI"/>
          <w:sz w:val="20"/>
          <w:szCs w:val="16"/>
          <w:lang w:eastAsia="fr-FR"/>
        </w:rPr>
        <w:t>squ’en 2024.</w:t>
      </w:r>
    </w:p>
    <w:p w14:paraId="27F8D371" w14:textId="5AC9E64D" w:rsidR="00A254FF" w:rsidRPr="003A07A1" w:rsidRDefault="00551398" w:rsidP="00804182">
      <w:pPr>
        <w:spacing w:after="120" w:line="247" w:lineRule="auto"/>
        <w:jc w:val="both"/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</w:pPr>
      <w:r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En 2022,</w:t>
      </w:r>
      <w:r w:rsidR="006A209D" w:rsidRPr="003A07A1">
        <w:rPr>
          <w:rFonts w:ascii="Segoe UI" w:hAnsi="Segoe UI" w:cs="Segoe UI"/>
          <w:sz w:val="20"/>
          <w:szCs w:val="20"/>
        </w:rPr>
        <w:t xml:space="preserve"> l</w:t>
      </w:r>
      <w:r w:rsidR="00A254FF" w:rsidRPr="003A07A1">
        <w:rPr>
          <w:rFonts w:ascii="Segoe UI" w:hAnsi="Segoe UI" w:cs="Segoe UI"/>
          <w:sz w:val="20"/>
          <w:szCs w:val="20"/>
        </w:rPr>
        <w:t xml:space="preserve">es revenus non pétroliers se sont élevés à </w:t>
      </w:r>
      <w:r w:rsidR="00963583" w:rsidRPr="003A07A1">
        <w:rPr>
          <w:rFonts w:ascii="Segoe UI" w:hAnsi="Segoe UI" w:cs="Segoe UI"/>
          <w:sz w:val="20"/>
          <w:szCs w:val="20"/>
        </w:rPr>
        <w:t>110</w:t>
      </w:r>
      <w:r w:rsidR="00A254FF" w:rsidRPr="003A07A1">
        <w:rPr>
          <w:rFonts w:ascii="Segoe UI" w:hAnsi="Segoe UI" w:cs="Segoe UI"/>
          <w:sz w:val="20"/>
          <w:szCs w:val="20"/>
        </w:rPr>
        <w:t> </w:t>
      </w:r>
      <w:r w:rsidR="00D521B2" w:rsidRPr="003A07A1">
        <w:rPr>
          <w:rFonts w:ascii="Segoe UI" w:hAnsi="Segoe UI" w:cs="Segoe UI"/>
          <w:sz w:val="20"/>
          <w:szCs w:val="20"/>
        </w:rPr>
        <w:t>Md</w:t>
      </w:r>
      <w:r w:rsidR="00A254FF" w:rsidRPr="003A07A1">
        <w:rPr>
          <w:rFonts w:ascii="Segoe UI" w:hAnsi="Segoe UI" w:cs="Segoe UI"/>
          <w:sz w:val="20"/>
          <w:szCs w:val="20"/>
        </w:rPr>
        <w:t xml:space="preserve"> USD contre </w:t>
      </w:r>
      <w:r w:rsidR="00963583" w:rsidRPr="003A07A1">
        <w:rPr>
          <w:rFonts w:ascii="Segoe UI" w:hAnsi="Segoe UI" w:cs="Segoe UI"/>
          <w:sz w:val="20"/>
          <w:szCs w:val="20"/>
        </w:rPr>
        <w:t>108</w:t>
      </w:r>
      <w:r w:rsidR="00A254FF" w:rsidRPr="003A07A1">
        <w:rPr>
          <w:rFonts w:ascii="Segoe UI" w:hAnsi="Segoe UI" w:cs="Segoe UI"/>
          <w:sz w:val="20"/>
          <w:szCs w:val="20"/>
        </w:rPr>
        <w:t> </w:t>
      </w:r>
      <w:r w:rsidR="00D521B2" w:rsidRPr="003A07A1">
        <w:rPr>
          <w:rFonts w:ascii="Segoe UI" w:hAnsi="Segoe UI" w:cs="Segoe UI"/>
          <w:sz w:val="20"/>
          <w:szCs w:val="20"/>
        </w:rPr>
        <w:t>Md</w:t>
      </w:r>
      <w:r w:rsidR="00A254FF" w:rsidRPr="003A07A1">
        <w:rPr>
          <w:rFonts w:ascii="Segoe UI" w:hAnsi="Segoe UI" w:cs="Segoe UI"/>
          <w:sz w:val="20"/>
          <w:szCs w:val="20"/>
        </w:rPr>
        <w:t> USD en 2021</w:t>
      </w:r>
      <w:r w:rsidR="00803178" w:rsidRPr="003A07A1">
        <w:rPr>
          <w:rFonts w:ascii="Segoe UI" w:hAnsi="Segoe UI" w:cs="Segoe UI"/>
          <w:sz w:val="20"/>
          <w:szCs w:val="20"/>
        </w:rPr>
        <w:t xml:space="preserve">, soit une </w:t>
      </w:r>
      <w:r w:rsidR="00963583" w:rsidRPr="003A07A1">
        <w:rPr>
          <w:rFonts w:ascii="Segoe UI" w:hAnsi="Segoe UI" w:cs="Segoe UI"/>
          <w:sz w:val="20"/>
          <w:szCs w:val="20"/>
        </w:rPr>
        <w:t>hausse</w:t>
      </w:r>
      <w:r w:rsidR="00803178" w:rsidRPr="003A07A1">
        <w:rPr>
          <w:rFonts w:ascii="Segoe UI" w:hAnsi="Segoe UI" w:cs="Segoe UI"/>
          <w:sz w:val="20"/>
          <w:szCs w:val="20"/>
        </w:rPr>
        <w:t xml:space="preserve"> de </w:t>
      </w:r>
      <w:r w:rsidR="00963583" w:rsidRPr="003A07A1">
        <w:rPr>
          <w:rFonts w:ascii="Segoe UI" w:hAnsi="Segoe UI" w:cs="Segoe UI"/>
          <w:sz w:val="20"/>
          <w:szCs w:val="20"/>
        </w:rPr>
        <w:t>2</w:t>
      </w:r>
      <w:r w:rsidR="00B67C5D">
        <w:rPr>
          <w:rFonts w:ascii="Segoe UI" w:hAnsi="Segoe UI" w:cs="Segoe UI"/>
          <w:sz w:val="20"/>
          <w:szCs w:val="20"/>
        </w:rPr>
        <w:t> </w:t>
      </w:r>
      <w:r w:rsidR="00803178" w:rsidRPr="003A07A1">
        <w:rPr>
          <w:rFonts w:ascii="Segoe UI" w:hAnsi="Segoe UI" w:cs="Segoe UI"/>
          <w:sz w:val="20"/>
          <w:szCs w:val="20"/>
        </w:rPr>
        <w:t>%</w:t>
      </w:r>
      <w:r w:rsidR="00A254FF" w:rsidRPr="003A07A1">
        <w:rPr>
          <w:rFonts w:ascii="Segoe UI" w:hAnsi="Segoe UI" w:cs="Segoe UI"/>
          <w:sz w:val="20"/>
          <w:szCs w:val="20"/>
        </w:rPr>
        <w:t>.</w:t>
      </w:r>
      <w:r w:rsidR="005C6F53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</w:t>
      </w:r>
      <w:r w:rsidR="009F18A4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Ces derniers</w:t>
      </w:r>
      <w:r w:rsidR="005C6F53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sont </w:t>
      </w:r>
      <w:r w:rsidR="0083521A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composés</w:t>
      </w:r>
      <w:r w:rsidR="005C6F53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d’impôts et taxes pour</w:t>
      </w:r>
      <w:r w:rsidR="00D05405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près de</w:t>
      </w:r>
      <w:r w:rsidR="005C6F53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</w:t>
      </w:r>
      <w:r w:rsidR="00D05405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80</w:t>
      </w:r>
      <w:r w:rsidR="00B67C5D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 </w:t>
      </w:r>
      <w:r w:rsidR="005C6F53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%, soit </w:t>
      </w:r>
      <w:r w:rsidR="00470C83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2</w:t>
      </w:r>
      <w:r w:rsidR="00653E9F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5</w:t>
      </w:r>
      <w:r w:rsidR="00B67C5D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 </w:t>
      </w:r>
      <w:r w:rsidR="005C6F53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% du total des recettes budgétaires.</w:t>
      </w:r>
      <w:r w:rsidR="0083521A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</w:t>
      </w:r>
      <w:r w:rsidR="006A209D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L</w:t>
      </w:r>
      <w:r w:rsidR="005C6F53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es revenus de la TVA et des droits d’accise </w:t>
      </w:r>
      <w:r w:rsidR="00653E9F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sont </w:t>
      </w:r>
      <w:r w:rsidR="00D05405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restés</w:t>
      </w:r>
      <w:r w:rsidR="00653E9F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stables</w:t>
      </w:r>
      <w:r w:rsidR="00C85595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à </w:t>
      </w:r>
      <w:r w:rsidR="00653E9F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67,0</w:t>
      </w:r>
      <w:r w:rsidR="00C85595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</w:t>
      </w:r>
      <w:r w:rsidR="00D521B2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Md</w:t>
      </w:r>
      <w:r w:rsidR="00C85595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USD.</w:t>
      </w:r>
    </w:p>
    <w:p w14:paraId="3E8F0261" w14:textId="0B5E824A" w:rsidR="000078AC" w:rsidRPr="003A07A1" w:rsidRDefault="000078AC" w:rsidP="00551398">
      <w:pPr>
        <w:spacing w:after="240" w:line="247" w:lineRule="auto"/>
        <w:jc w:val="both"/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</w:pPr>
      <w:r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En terme semestriel, les recettes 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budgétaires totales</w:t>
      </w:r>
      <w:r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ont 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diminu</w:t>
      </w:r>
      <w:r w:rsidR="00551398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é</w:t>
      </w:r>
      <w:r w:rsidR="00FC4C83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de 4</w:t>
      </w:r>
      <w:r w:rsidR="00B67C5D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 </w:t>
      </w:r>
      <w:r w:rsidR="00FC4C83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%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entre le 1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vertAlign w:val="superscript"/>
          <w:lang w:eastAsia="ja-JP"/>
        </w:rPr>
        <w:t>er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semestre (</w:t>
      </w:r>
      <w:r w:rsidR="00175AF7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173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Md USD) et le 2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vertAlign w:val="superscript"/>
          <w:lang w:eastAsia="ja-JP"/>
        </w:rPr>
        <w:t>ème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semestre 2022 (</w:t>
      </w:r>
      <w:r w:rsidR="00175AF7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165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</w:t>
      </w:r>
      <w:r w:rsidR="00175AF7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Md USD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). Cette réduction est essentiellement imputable à la baisse de 8 % des recettes non-pétrolières entre les deux périodes</w:t>
      </w:r>
      <w:r w:rsidR="00DC4DAB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(</w:t>
      </w:r>
      <w:r w:rsidR="00175AF7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S1 : </w:t>
      </w:r>
      <w:r w:rsidR="00DC4DAB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5</w:t>
      </w:r>
      <w:r w:rsidR="00175AF7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7</w:t>
      </w:r>
      <w:r w:rsidR="00DC4DAB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Md USD</w:t>
      </w:r>
      <w:r w:rsidR="00175AF7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 ; S2 : 52 Md USD</w:t>
      </w:r>
      <w:r w:rsidR="00DC4DAB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)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. </w:t>
      </w:r>
      <w:r w:rsidR="00551398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L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es recettes pétrolières ont également témoigné d’une baisse de 3</w:t>
      </w:r>
      <w:r w:rsidR="00B67C5D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 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% entre la première et la deuxième partie de l’année</w:t>
      </w:r>
      <w:r w:rsidR="00175AF7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(S1 : 116 Md USD ; S2 : 113 Md USD)</w:t>
      </w:r>
      <w:r w:rsidR="00D521B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.</w:t>
      </w:r>
      <w:r w:rsidR="007E48E9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Cette décroissance s’explique par la baisse de 11</w:t>
      </w:r>
      <w:r w:rsidR="00B67C5D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 </w:t>
      </w:r>
      <w:r w:rsidR="007E48E9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% des cours du baril de Brent entre les deux semestres </w:t>
      </w:r>
      <w:r w:rsidR="00A067F4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de </w:t>
      </w:r>
      <w:r w:rsidR="007E48E9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2022 (106 USD/b en moyenne au S1 contre 94 USD/b au S2).</w:t>
      </w:r>
    </w:p>
    <w:p w14:paraId="1CB6CC6C" w14:textId="38ED209A" w:rsidR="00BA3134" w:rsidRPr="003A07A1" w:rsidRDefault="00C64410" w:rsidP="008D441C">
      <w:pPr>
        <w:spacing w:after="120" w:line="247" w:lineRule="auto"/>
        <w:jc w:val="both"/>
        <w:rPr>
          <w:rFonts w:ascii="Segoe UI" w:hAnsi="Segoe UI" w:cs="Segoe UI"/>
          <w:color w:val="006CE5"/>
          <w:sz w:val="24"/>
          <w:szCs w:val="24"/>
        </w:rPr>
      </w:pPr>
      <w:r w:rsidRPr="003A07A1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inline distT="0" distB="0" distL="0" distR="0" wp14:anchorId="368AB73A" wp14:editId="7C0F32F3">
                <wp:extent cx="5942965" cy="495300"/>
                <wp:effectExtent l="0" t="0" r="635" b="0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495300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079C8" w14:textId="657D1633" w:rsidR="003D1095" w:rsidRPr="00FA5E41" w:rsidRDefault="00A00220" w:rsidP="00CB2EDF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 w:line="247" w:lineRule="auto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Les </w:t>
                            </w:r>
                            <w:r w:rsidR="002E1E74" w:rsidRPr="00FA5E41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dépenses</w:t>
                            </w:r>
                            <w:r w:rsidR="006E48C1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budgétaires</w:t>
                            </w:r>
                            <w:r w:rsidR="002E1E74" w:rsidRPr="00FA5E41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ont témoigné d’une hausse de </w:t>
                            </w:r>
                            <w:r w:rsidR="003E002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 w:rsidR="003071C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%</w:t>
                            </w:r>
                            <w:r w:rsidR="00E23C01" w:rsidRPr="00FA5E41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CB2EDF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tirée par </w:t>
                            </w:r>
                            <w:r w:rsidR="008F1149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la croissance</w:t>
                            </w:r>
                            <w:r w:rsidR="009E3525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FD312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des dépenses </w:t>
                            </w:r>
                            <w:r w:rsidR="0031744C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de fonctionnement</w:t>
                            </w:r>
                            <w:r w:rsidR="008F1149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971BE5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(+11%) </w:t>
                            </w:r>
                            <w:r w:rsidR="008F1149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et d’investissement</w:t>
                            </w:r>
                            <w:r w:rsidR="00971BE5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(+22%)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68AB73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67.9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" fillcolor="#006ce5" stroked="f">
                <v:textbox>
                  <w:txbxContent>
                    <w:p w14:paraId="29E079C8" w14:textId="657D1633" w:rsidR="003D1095" w:rsidRPr="00FA5E41" w:rsidRDefault="00A00220" w:rsidP="00CB2EDF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 w:line="247" w:lineRule="auto"/>
                        <w:contextualSpacing w:val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Les </w:t>
                      </w:r>
                      <w:r w:rsidR="002E1E74" w:rsidRPr="00FA5E41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dépenses</w:t>
                      </w:r>
                      <w:r w:rsidR="006E48C1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budgétaires</w:t>
                      </w:r>
                      <w:r w:rsidR="002E1E74" w:rsidRPr="00FA5E41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ont témoigné d’une hausse de </w:t>
                      </w:r>
                      <w:r w:rsidR="003E002A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1</w:t>
                      </w:r>
                      <w:r w:rsidR="003071C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2</w:t>
                      </w: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%</w:t>
                      </w:r>
                      <w:r w:rsidR="00E23C01" w:rsidRPr="00FA5E41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="00CB2EDF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tirée par </w:t>
                      </w:r>
                      <w:r w:rsidR="008F1149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la croissance</w:t>
                      </w:r>
                      <w:r w:rsidR="009E3525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="00FD3126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des dépenses </w:t>
                      </w:r>
                      <w:r w:rsidR="0031744C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de fonctionnement</w:t>
                      </w:r>
                      <w:r w:rsidR="008F1149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="00971BE5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(+11%) </w:t>
                      </w:r>
                      <w:r w:rsidR="008F1149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et d’investissement</w:t>
                      </w:r>
                      <w:r w:rsidR="00971BE5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(+22%)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ADF99D" w14:textId="53053C02" w:rsidR="003E002A" w:rsidRPr="003A07A1" w:rsidRDefault="003E002A" w:rsidP="00BA3134">
      <w:pPr>
        <w:spacing w:after="120" w:line="247" w:lineRule="auto"/>
        <w:jc w:val="both"/>
        <w:rPr>
          <w:rFonts w:ascii="Segoe UI" w:eastAsia="SimSun" w:hAnsi="Segoe UI" w:cs="Segoe UI"/>
          <w:sz w:val="20"/>
          <w:szCs w:val="20"/>
          <w:lang w:eastAsia="ja-JP"/>
        </w:rPr>
      </w:pPr>
      <w:r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En 2022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, </w:t>
      </w:r>
      <w:bookmarkStart w:id="1" w:name="_Hlk118294099"/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les dépenses ont atteint </w:t>
      </w:r>
      <w:r w:rsidR="004D35A4" w:rsidRPr="003A07A1">
        <w:rPr>
          <w:rFonts w:ascii="Segoe UI" w:eastAsia="SimSun" w:hAnsi="Segoe UI" w:cs="Segoe UI"/>
          <w:sz w:val="20"/>
          <w:szCs w:val="20"/>
          <w:lang w:eastAsia="ja-JP"/>
        </w:rPr>
        <w:t>310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</w:t>
      </w:r>
      <w:r w:rsidR="00D521B2" w:rsidRPr="003A07A1">
        <w:rPr>
          <w:rFonts w:ascii="Segoe UI" w:eastAsia="SimSun" w:hAnsi="Segoe UI" w:cs="Segoe UI"/>
          <w:sz w:val="20"/>
          <w:szCs w:val="20"/>
          <w:lang w:eastAsia="ja-JP"/>
        </w:rPr>
        <w:t>Md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USD, soit </w:t>
      </w:r>
      <w:r w:rsidR="004D35A4" w:rsidRPr="003A07A1">
        <w:rPr>
          <w:rFonts w:ascii="Segoe UI" w:eastAsia="SimSun" w:hAnsi="Segoe UI" w:cs="Segoe UI"/>
          <w:sz w:val="20"/>
          <w:szCs w:val="20"/>
          <w:lang w:eastAsia="ja-JP"/>
        </w:rPr>
        <w:t>122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>% des dépenses programmées au budget 2022 (2</w:t>
      </w:r>
      <w:r w:rsidR="004D35A4" w:rsidRPr="003A07A1">
        <w:rPr>
          <w:rFonts w:ascii="Segoe UI" w:eastAsia="SimSun" w:hAnsi="Segoe UI" w:cs="Segoe UI"/>
          <w:sz w:val="20"/>
          <w:szCs w:val="20"/>
          <w:lang w:eastAsia="ja-JP"/>
        </w:rPr>
        <w:t>55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</w:t>
      </w:r>
      <w:r w:rsidR="00D521B2" w:rsidRPr="003A07A1">
        <w:rPr>
          <w:rFonts w:ascii="Segoe UI" w:eastAsia="SimSun" w:hAnsi="Segoe UI" w:cs="Segoe UI"/>
          <w:sz w:val="20"/>
          <w:szCs w:val="20"/>
          <w:lang w:eastAsia="ja-JP"/>
        </w:rPr>
        <w:t>Md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USD). Ces dépenses sont en accroissement de 1</w:t>
      </w:r>
      <w:r w:rsidR="004D35A4" w:rsidRPr="003A07A1">
        <w:rPr>
          <w:rFonts w:ascii="Segoe UI" w:eastAsia="SimSun" w:hAnsi="Segoe UI" w:cs="Segoe UI"/>
          <w:sz w:val="20"/>
          <w:szCs w:val="20"/>
          <w:lang w:eastAsia="ja-JP"/>
        </w:rPr>
        <w:t>2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>% par rapport à 2021</w:t>
      </w:r>
      <w:r w:rsidR="000567EA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(</w:t>
      </w:r>
      <w:r w:rsidR="004D35A4" w:rsidRPr="003A07A1">
        <w:rPr>
          <w:rFonts w:ascii="Segoe UI" w:eastAsia="SimSun" w:hAnsi="Segoe UI" w:cs="Segoe UI"/>
          <w:sz w:val="20"/>
          <w:szCs w:val="20"/>
          <w:lang w:eastAsia="ja-JP"/>
        </w:rPr>
        <w:t>277</w:t>
      </w:r>
      <w:r w:rsidR="000567EA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</w:t>
      </w:r>
      <w:r w:rsidR="00D521B2" w:rsidRPr="003A07A1">
        <w:rPr>
          <w:rFonts w:ascii="Segoe UI" w:eastAsia="SimSun" w:hAnsi="Segoe UI" w:cs="Segoe UI"/>
          <w:sz w:val="20"/>
          <w:szCs w:val="20"/>
          <w:lang w:eastAsia="ja-JP"/>
        </w:rPr>
        <w:t>Md</w:t>
      </w:r>
      <w:r w:rsidR="000567EA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USD)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>.</w:t>
      </w:r>
      <w:bookmarkEnd w:id="1"/>
    </w:p>
    <w:p w14:paraId="7A51173E" w14:textId="3E893DCA" w:rsidR="00FA716E" w:rsidRPr="003A07A1" w:rsidRDefault="00FA716E" w:rsidP="008671ED">
      <w:pPr>
        <w:spacing w:after="60" w:line="247" w:lineRule="auto"/>
        <w:jc w:val="both"/>
        <w:rPr>
          <w:rFonts w:ascii="Segoe UI" w:eastAsia="SimSun" w:hAnsi="Segoe UI" w:cs="Segoe UI"/>
          <w:sz w:val="20"/>
          <w:szCs w:val="20"/>
          <w:lang w:eastAsia="ja-JP"/>
        </w:rPr>
      </w:pPr>
      <w:r w:rsidRPr="003A07A1">
        <w:rPr>
          <w:rFonts w:ascii="Segoe UI" w:eastAsia="SimSun" w:hAnsi="Segoe UI" w:cs="Segoe UI"/>
          <w:sz w:val="20"/>
          <w:szCs w:val="20"/>
          <w:lang w:eastAsia="ja-JP"/>
        </w:rPr>
        <w:lastRenderedPageBreak/>
        <w:t xml:space="preserve">Sur </w:t>
      </w:r>
      <w:r w:rsidR="00930486" w:rsidRPr="003A07A1">
        <w:rPr>
          <w:rFonts w:ascii="Segoe UI" w:eastAsia="SimSun" w:hAnsi="Segoe UI" w:cs="Segoe UI"/>
          <w:sz w:val="20"/>
          <w:szCs w:val="20"/>
          <w:lang w:eastAsia="ja-JP"/>
        </w:rPr>
        <w:t>la période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>, les dépenses de fonctionnement (hors investissements) ont témoigné d’une hausse de 1</w:t>
      </w:r>
      <w:r w:rsidR="00930486" w:rsidRPr="003A07A1">
        <w:rPr>
          <w:rFonts w:ascii="Segoe UI" w:eastAsia="SimSun" w:hAnsi="Segoe UI" w:cs="Segoe UI"/>
          <w:sz w:val="20"/>
          <w:szCs w:val="20"/>
          <w:lang w:eastAsia="ja-JP"/>
        </w:rPr>
        <w:t>1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%, passant de </w:t>
      </w:r>
      <w:r w:rsidR="009D0B62" w:rsidRPr="003A07A1">
        <w:rPr>
          <w:rFonts w:ascii="Segoe UI" w:eastAsia="SimSun" w:hAnsi="Segoe UI" w:cs="Segoe UI"/>
          <w:sz w:val="20"/>
          <w:szCs w:val="20"/>
          <w:lang w:eastAsia="ja-JP"/>
        </w:rPr>
        <w:t>246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</w:t>
      </w:r>
      <w:r w:rsidR="00D521B2" w:rsidRPr="003A07A1">
        <w:rPr>
          <w:rFonts w:ascii="Segoe UI" w:eastAsia="SimSun" w:hAnsi="Segoe UI" w:cs="Segoe UI"/>
          <w:sz w:val="20"/>
          <w:szCs w:val="20"/>
          <w:lang w:eastAsia="ja-JP"/>
        </w:rPr>
        <w:t>Md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 USD à </w:t>
      </w:r>
      <w:r w:rsidR="00531493" w:rsidRPr="003A07A1">
        <w:rPr>
          <w:rFonts w:ascii="Segoe UI" w:eastAsia="SimSun" w:hAnsi="Segoe UI" w:cs="Segoe UI"/>
          <w:sz w:val="20"/>
          <w:szCs w:val="20"/>
          <w:lang w:eastAsia="ja-JP"/>
        </w:rPr>
        <w:t>272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="00D521B2" w:rsidRPr="003A07A1">
        <w:rPr>
          <w:rFonts w:ascii="Segoe UI" w:eastAsia="SimSun" w:hAnsi="Segoe UI" w:cs="Segoe UI"/>
          <w:sz w:val="20"/>
          <w:szCs w:val="20"/>
          <w:lang w:eastAsia="ja-JP"/>
        </w:rPr>
        <w:t>Md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> USD</w:t>
      </w:r>
      <w:r w:rsidR="006F6404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. Elles ont représenté </w:t>
      </w:r>
      <w:r w:rsidR="00E417A5" w:rsidRPr="003A07A1">
        <w:rPr>
          <w:rFonts w:ascii="Segoe UI" w:eastAsia="SimSun" w:hAnsi="Segoe UI" w:cs="Segoe UI"/>
          <w:sz w:val="20"/>
          <w:szCs w:val="20"/>
          <w:lang w:eastAsia="ja-JP"/>
        </w:rPr>
        <w:t>1</w:t>
      </w:r>
      <w:r w:rsidR="00432835">
        <w:rPr>
          <w:rFonts w:ascii="Segoe UI" w:eastAsia="SimSun" w:hAnsi="Segoe UI" w:cs="Segoe UI"/>
          <w:sz w:val="20"/>
          <w:szCs w:val="20"/>
          <w:lang w:eastAsia="ja-JP"/>
        </w:rPr>
        <w:t>18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="006F6404" w:rsidRPr="003A07A1">
        <w:rPr>
          <w:rFonts w:ascii="Segoe UI" w:eastAsia="SimSun" w:hAnsi="Segoe UI" w:cs="Segoe UI"/>
          <w:sz w:val="20"/>
          <w:szCs w:val="20"/>
          <w:lang w:eastAsia="ja-JP"/>
        </w:rPr>
        <w:t>% des dépenses programmées au budget 2022 (</w:t>
      </w:r>
      <w:r w:rsidR="00E417A5" w:rsidRPr="003A07A1">
        <w:rPr>
          <w:rFonts w:ascii="Segoe UI" w:eastAsia="SimSun" w:hAnsi="Segoe UI" w:cs="Segoe UI"/>
          <w:sz w:val="20"/>
          <w:szCs w:val="20"/>
          <w:lang w:eastAsia="ja-JP"/>
        </w:rPr>
        <w:t>230</w:t>
      </w:r>
      <w:r w:rsidR="006F6404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Md USD). </w:t>
      </w:r>
      <w:r w:rsidR="00DD2D0F">
        <w:rPr>
          <w:rFonts w:ascii="Segoe UI" w:eastAsia="SimSun" w:hAnsi="Segoe UI" w:cs="Segoe UI"/>
          <w:sz w:val="20"/>
          <w:szCs w:val="20"/>
          <w:lang w:eastAsia="ja-JP"/>
        </w:rPr>
        <w:t xml:space="preserve">Ces 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dépenses ont représenté </w:t>
      </w:r>
      <w:r w:rsidR="00DA3C90" w:rsidRPr="003A07A1">
        <w:rPr>
          <w:rFonts w:ascii="Segoe UI" w:eastAsia="SimSun" w:hAnsi="Segoe UI" w:cs="Segoe UI"/>
          <w:sz w:val="20"/>
          <w:szCs w:val="20"/>
          <w:lang w:eastAsia="ja-JP"/>
        </w:rPr>
        <w:t>près de 90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>% du total. Par ordre décroissant, les principaux postes de dépenses ont été :</w:t>
      </w:r>
    </w:p>
    <w:p w14:paraId="13F5A4AE" w14:textId="480DD0ED" w:rsidR="00FA716E" w:rsidRPr="003A07A1" w:rsidRDefault="00C757ED" w:rsidP="00FA716E">
      <w:pPr>
        <w:pStyle w:val="Paragraphedeliste"/>
        <w:numPr>
          <w:ilvl w:val="0"/>
          <w:numId w:val="26"/>
        </w:numPr>
        <w:spacing w:after="120" w:line="247" w:lineRule="auto"/>
        <w:jc w:val="both"/>
        <w:rPr>
          <w:rFonts w:ascii="Segoe UI" w:eastAsia="SimSun" w:hAnsi="Segoe UI" w:cs="Segoe UI"/>
          <w:sz w:val="20"/>
          <w:szCs w:val="20"/>
          <w:lang w:eastAsia="ja-JP"/>
        </w:rPr>
      </w:pPr>
      <w:r w:rsidRPr="003A07A1">
        <w:rPr>
          <w:rFonts w:ascii="Segoe UI" w:eastAsia="SimSun" w:hAnsi="Segoe UI" w:cs="Segoe UI"/>
          <w:sz w:val="20"/>
          <w:szCs w:val="20"/>
          <w:lang w:eastAsia="ja-JP"/>
        </w:rPr>
        <w:t>Les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rémunérations de la fonction publique, représentant 4</w:t>
      </w:r>
      <w:r w:rsidR="00F26CD6" w:rsidRPr="003A07A1">
        <w:rPr>
          <w:rFonts w:ascii="Segoe UI" w:eastAsia="SimSun" w:hAnsi="Segoe UI" w:cs="Segoe UI"/>
          <w:sz w:val="20"/>
          <w:szCs w:val="20"/>
          <w:lang w:eastAsia="ja-JP"/>
        </w:rPr>
        <w:t>4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% du total des dépenses, en hausse de </w:t>
      </w:r>
      <w:r w:rsidR="00F26CD6" w:rsidRPr="003A07A1">
        <w:rPr>
          <w:rFonts w:ascii="Segoe UI" w:eastAsia="SimSun" w:hAnsi="Segoe UI" w:cs="Segoe UI"/>
          <w:sz w:val="20"/>
          <w:szCs w:val="20"/>
          <w:lang w:eastAsia="ja-JP"/>
        </w:rPr>
        <w:t>4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% </w:t>
      </w:r>
      <w:r w:rsidR="00F26CD6" w:rsidRPr="003A07A1">
        <w:rPr>
          <w:rFonts w:ascii="Segoe UI" w:eastAsia="SimSun" w:hAnsi="Segoe UI" w:cs="Segoe UI"/>
          <w:sz w:val="20"/>
          <w:szCs w:val="20"/>
          <w:lang w:eastAsia="ja-JP"/>
        </w:rPr>
        <w:t>en glissement annuel</w:t>
      </w:r>
      <w:r w:rsidR="006F6404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(g.a)</w:t>
      </w:r>
      <w:r w:rsidR="006A11A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;</w:t>
      </w:r>
    </w:p>
    <w:p w14:paraId="51BB6420" w14:textId="256C0CA3" w:rsidR="00FA716E" w:rsidRPr="003A07A1" w:rsidRDefault="00C757ED" w:rsidP="00FA716E">
      <w:pPr>
        <w:pStyle w:val="Paragraphedeliste"/>
        <w:numPr>
          <w:ilvl w:val="0"/>
          <w:numId w:val="26"/>
        </w:numPr>
        <w:spacing w:after="120" w:line="247" w:lineRule="auto"/>
        <w:jc w:val="both"/>
        <w:rPr>
          <w:rFonts w:ascii="Segoe UI" w:eastAsia="SimSun" w:hAnsi="Segoe UI" w:cs="Segoe UI"/>
          <w:sz w:val="20"/>
          <w:szCs w:val="20"/>
          <w:lang w:eastAsia="ja-JP"/>
        </w:rPr>
      </w:pPr>
      <w:r w:rsidRPr="003A07A1">
        <w:rPr>
          <w:rFonts w:ascii="Segoe UI" w:eastAsia="SimSun" w:hAnsi="Segoe UI" w:cs="Segoe UI"/>
          <w:sz w:val="20"/>
          <w:szCs w:val="20"/>
          <w:lang w:eastAsia="ja-JP"/>
        </w:rPr>
        <w:t>Les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achats de biens et services (</w:t>
      </w:r>
      <w:r w:rsidR="006F6404" w:rsidRPr="003A07A1">
        <w:rPr>
          <w:rFonts w:ascii="Segoe UI" w:eastAsia="SimSun" w:hAnsi="Segoe UI" w:cs="Segoe UI"/>
          <w:sz w:val="20"/>
          <w:szCs w:val="20"/>
          <w:lang w:eastAsia="ja-JP"/>
        </w:rPr>
        <w:t>22 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% des dépenses totales), en forte hausse de </w:t>
      </w:r>
      <w:r w:rsidR="006F6404" w:rsidRPr="003A07A1">
        <w:rPr>
          <w:rFonts w:ascii="Segoe UI" w:eastAsia="SimSun" w:hAnsi="Segoe UI" w:cs="Segoe UI"/>
          <w:sz w:val="20"/>
          <w:szCs w:val="20"/>
          <w:lang w:eastAsia="ja-JP"/>
        </w:rPr>
        <w:t>26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>% sur la même période ;</w:t>
      </w:r>
    </w:p>
    <w:p w14:paraId="08ECF35E" w14:textId="18F7F73B" w:rsidR="000223AD" w:rsidRPr="003A07A1" w:rsidRDefault="00C757ED" w:rsidP="00FA716E">
      <w:pPr>
        <w:pStyle w:val="Paragraphedeliste"/>
        <w:numPr>
          <w:ilvl w:val="0"/>
          <w:numId w:val="26"/>
        </w:numPr>
        <w:spacing w:after="120" w:line="247" w:lineRule="auto"/>
        <w:jc w:val="both"/>
        <w:rPr>
          <w:rFonts w:ascii="Segoe UI" w:eastAsia="SimSun" w:hAnsi="Segoe UI" w:cs="Segoe UI"/>
          <w:sz w:val="20"/>
          <w:szCs w:val="20"/>
          <w:lang w:eastAsia="ja-JP"/>
        </w:rPr>
      </w:pPr>
      <w:r w:rsidRPr="003A07A1">
        <w:rPr>
          <w:rFonts w:ascii="Segoe UI" w:eastAsia="SimSun" w:hAnsi="Segoe UI" w:cs="Segoe UI"/>
          <w:sz w:val="20"/>
          <w:szCs w:val="20"/>
          <w:lang w:eastAsia="ja-JP"/>
        </w:rPr>
        <w:t>Les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autres dépenses (1</w:t>
      </w:r>
      <w:r w:rsidR="006F6404" w:rsidRPr="003A07A1">
        <w:rPr>
          <w:rFonts w:ascii="Segoe UI" w:eastAsia="SimSun" w:hAnsi="Segoe UI" w:cs="Segoe UI"/>
          <w:sz w:val="20"/>
          <w:szCs w:val="20"/>
          <w:lang w:eastAsia="ja-JP"/>
        </w:rPr>
        <w:t>2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% des dépenses totales), en très forte augmentation de </w:t>
      </w:r>
      <w:r w:rsidR="006F6404" w:rsidRPr="003A07A1">
        <w:rPr>
          <w:rFonts w:ascii="Segoe UI" w:eastAsia="SimSun" w:hAnsi="Segoe UI" w:cs="Segoe UI"/>
          <w:sz w:val="20"/>
          <w:szCs w:val="20"/>
          <w:lang w:eastAsia="ja-JP"/>
        </w:rPr>
        <w:t>22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% en </w:t>
      </w:r>
      <w:r w:rsidR="006F6404" w:rsidRPr="003A07A1">
        <w:rPr>
          <w:rFonts w:ascii="Segoe UI" w:eastAsia="SimSun" w:hAnsi="Segoe UI" w:cs="Segoe UI"/>
          <w:sz w:val="20"/>
          <w:szCs w:val="20"/>
          <w:lang w:eastAsia="ja-JP"/>
        </w:rPr>
        <w:t>g.a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> ;</w:t>
      </w:r>
    </w:p>
    <w:p w14:paraId="1C9525C6" w14:textId="18825938" w:rsidR="00FA716E" w:rsidRPr="003A07A1" w:rsidRDefault="00C757ED" w:rsidP="00FA716E">
      <w:pPr>
        <w:pStyle w:val="Paragraphedeliste"/>
        <w:numPr>
          <w:ilvl w:val="0"/>
          <w:numId w:val="26"/>
        </w:numPr>
        <w:spacing w:after="120" w:line="247" w:lineRule="auto"/>
        <w:jc w:val="both"/>
        <w:rPr>
          <w:rFonts w:ascii="Segoe UI" w:eastAsia="SimSun" w:hAnsi="Segoe UI" w:cs="Segoe UI"/>
          <w:sz w:val="20"/>
          <w:szCs w:val="20"/>
          <w:lang w:eastAsia="ja-JP"/>
        </w:rPr>
      </w:pPr>
      <w:r w:rsidRPr="003A07A1">
        <w:rPr>
          <w:rFonts w:ascii="Segoe UI" w:eastAsia="SimSun" w:hAnsi="Segoe UI" w:cs="Segoe UI"/>
          <w:sz w:val="20"/>
          <w:szCs w:val="20"/>
          <w:lang w:eastAsia="ja-JP"/>
        </w:rPr>
        <w:t>Les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transferts sociaux au bénéfice des foyers modestes (</w:t>
      </w:r>
      <w:r w:rsidR="000223AD" w:rsidRPr="003A07A1">
        <w:rPr>
          <w:rFonts w:ascii="Segoe UI" w:eastAsia="SimSun" w:hAnsi="Segoe UI" w:cs="Segoe UI"/>
          <w:sz w:val="20"/>
          <w:szCs w:val="20"/>
          <w:lang w:eastAsia="ja-JP"/>
        </w:rPr>
        <w:t>7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% des dépenses), en hausse de </w:t>
      </w:r>
      <w:r w:rsidR="000223AD" w:rsidRPr="003A07A1">
        <w:rPr>
          <w:rFonts w:ascii="Segoe UI" w:eastAsia="SimSun" w:hAnsi="Segoe UI" w:cs="Segoe UI"/>
          <w:sz w:val="20"/>
          <w:szCs w:val="20"/>
          <w:lang w:eastAsia="ja-JP"/>
        </w:rPr>
        <w:t>1</w:t>
      </w:r>
      <w:r w:rsidR="006F6404" w:rsidRPr="003A07A1">
        <w:rPr>
          <w:rFonts w:ascii="Segoe UI" w:eastAsia="SimSun" w:hAnsi="Segoe UI" w:cs="Segoe UI"/>
          <w:sz w:val="20"/>
          <w:szCs w:val="20"/>
          <w:lang w:eastAsia="ja-JP"/>
        </w:rPr>
        <w:t>4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="00FA716E" w:rsidRPr="003A07A1">
        <w:rPr>
          <w:rFonts w:ascii="Segoe UI" w:eastAsia="SimSun" w:hAnsi="Segoe UI" w:cs="Segoe UI"/>
          <w:sz w:val="20"/>
          <w:szCs w:val="20"/>
          <w:lang w:eastAsia="ja-JP"/>
        </w:rPr>
        <w:t>%</w:t>
      </w:r>
      <w:r w:rsidR="004F612C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 ; </w:t>
      </w:r>
    </w:p>
    <w:p w14:paraId="27B82529" w14:textId="32FAC1CD" w:rsidR="00FA716E" w:rsidRPr="003A07A1" w:rsidRDefault="00FA716E" w:rsidP="00FA716E">
      <w:pPr>
        <w:spacing w:line="247" w:lineRule="auto"/>
        <w:jc w:val="both"/>
        <w:rPr>
          <w:rFonts w:ascii="Segoe UI" w:eastAsia="SimSun" w:hAnsi="Segoe UI" w:cs="Segoe UI"/>
          <w:sz w:val="20"/>
          <w:szCs w:val="20"/>
          <w:lang w:eastAsia="ja-JP"/>
        </w:rPr>
      </w:pP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Les dépenses d’investissement, programmées à 24,5 </w:t>
      </w:r>
      <w:r w:rsidR="00D521B2" w:rsidRPr="003A07A1">
        <w:rPr>
          <w:rFonts w:ascii="Segoe UI" w:eastAsia="SimSun" w:hAnsi="Segoe UI" w:cs="Segoe UI"/>
          <w:sz w:val="20"/>
          <w:szCs w:val="20"/>
          <w:lang w:eastAsia="ja-JP"/>
        </w:rPr>
        <w:t>Md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USD pour l’ensemble de l’année 2022 (9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% du total des dépenses), se sont élevées à </w:t>
      </w:r>
      <w:r w:rsidR="009166B2" w:rsidRPr="003A07A1">
        <w:rPr>
          <w:rFonts w:ascii="Segoe UI" w:eastAsia="SimSun" w:hAnsi="Segoe UI" w:cs="Segoe UI"/>
          <w:sz w:val="20"/>
          <w:szCs w:val="20"/>
          <w:lang w:eastAsia="ja-JP"/>
        </w:rPr>
        <w:t>38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</w:t>
      </w:r>
      <w:r w:rsidR="00D521B2" w:rsidRPr="003A07A1">
        <w:rPr>
          <w:rFonts w:ascii="Segoe UI" w:eastAsia="SimSun" w:hAnsi="Segoe UI" w:cs="Segoe UI"/>
          <w:sz w:val="20"/>
          <w:szCs w:val="20"/>
          <w:lang w:eastAsia="ja-JP"/>
        </w:rPr>
        <w:t>Md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USD, soit </w:t>
      </w:r>
      <w:r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un net accroissement de </w:t>
      </w:r>
      <w:r w:rsidR="009166B2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22</w:t>
      </w:r>
      <w:r w:rsidR="00B67C5D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% par rapport à 2021</w:t>
      </w:r>
      <w:r w:rsidR="000567EA" w:rsidRPr="003A07A1">
        <w:t xml:space="preserve"> </w:t>
      </w:r>
      <w:r w:rsidR="000567EA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(</w:t>
      </w:r>
      <w:r w:rsidR="009166B2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31</w:t>
      </w:r>
      <w:r w:rsidR="00DD2D0F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 </w:t>
      </w:r>
      <w:r w:rsidR="00D521B2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Md</w:t>
      </w:r>
      <w:r w:rsidR="00DD2D0F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 </w:t>
      </w:r>
      <w:r w:rsidR="000567EA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USD).</w:t>
      </w:r>
      <w:r w:rsidR="00075C79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 Elles ont représenté 12</w:t>
      </w:r>
      <w:r w:rsidR="00B67C5D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> </w:t>
      </w:r>
      <w:r w:rsidR="00075C79" w:rsidRPr="003A07A1">
        <w:rPr>
          <w:rFonts w:ascii="Segoe UI" w:eastAsia="SimSun" w:hAnsi="Segoe UI" w:cs="Segoe UI"/>
          <w:color w:val="000000" w:themeColor="text1"/>
          <w:sz w:val="20"/>
          <w:szCs w:val="20"/>
          <w:lang w:eastAsia="ja-JP"/>
        </w:rPr>
        <w:t xml:space="preserve">% du total des dépenses. </w:t>
      </w:r>
    </w:p>
    <w:p w14:paraId="42C22428" w14:textId="3728C8F2" w:rsidR="00FA716E" w:rsidRPr="003A07A1" w:rsidRDefault="00FA716E" w:rsidP="00FA716E">
      <w:pPr>
        <w:spacing w:after="120" w:line="247" w:lineRule="auto"/>
        <w:jc w:val="both"/>
        <w:rPr>
          <w:rFonts w:ascii="Segoe UI" w:eastAsia="SimSun" w:hAnsi="Segoe UI" w:cs="Segoe UI"/>
          <w:sz w:val="20"/>
          <w:szCs w:val="20"/>
          <w:lang w:eastAsia="ja-JP"/>
        </w:rPr>
      </w:pPr>
      <w:r w:rsidRPr="003A07A1">
        <w:rPr>
          <w:rFonts w:ascii="Segoe UI" w:eastAsia="SimSun" w:hAnsi="Segoe UI" w:cs="Segoe UI"/>
          <w:sz w:val="20"/>
          <w:szCs w:val="20"/>
          <w:lang w:eastAsia="ja-JP"/>
        </w:rPr>
        <w:t>Par secteur, la défense, la santé et l’éducation ont</w:t>
      </w:r>
      <w:r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 xml:space="preserve"> été les trois premiers postes de dépenses</w:t>
      </w:r>
      <w:r w:rsidR="00F77CC6"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 xml:space="preserve"> publiques</w:t>
      </w:r>
      <w:r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 xml:space="preserve"> avec respectivement </w:t>
      </w:r>
      <w:r w:rsidR="009D585F"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>61</w:t>
      </w:r>
      <w:r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 xml:space="preserve"> </w:t>
      </w:r>
      <w:r w:rsidR="00D521B2"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>Md</w:t>
      </w:r>
      <w:r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 xml:space="preserve"> USD (en hausse de 1</w:t>
      </w:r>
      <w:r w:rsidR="009D585F"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>3</w:t>
      </w:r>
      <w:r w:rsidR="00B67C5D">
        <w:rPr>
          <w:rFonts w:ascii="Segoe UI" w:eastAsia="SimSun" w:hAnsi="Segoe UI" w:cs="Segoe UI"/>
          <w:bCs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 xml:space="preserve">%), </w:t>
      </w:r>
      <w:r w:rsidR="009D585F"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 xml:space="preserve">60 </w:t>
      </w:r>
      <w:r w:rsidR="00D521B2"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>Md</w:t>
      </w:r>
      <w:r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 xml:space="preserve"> USD (en augmentation de 15</w:t>
      </w:r>
      <w:r w:rsidR="00B67C5D">
        <w:rPr>
          <w:rFonts w:ascii="Segoe UI" w:eastAsia="SimSun" w:hAnsi="Segoe UI" w:cs="Segoe UI"/>
          <w:bCs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 xml:space="preserve">%) et </w:t>
      </w:r>
      <w:r w:rsidR="009D585F"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>54</w:t>
      </w:r>
      <w:r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 xml:space="preserve"> </w:t>
      </w:r>
      <w:r w:rsidR="00D521B2"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>Md</w:t>
      </w:r>
      <w:r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> USD (+</w:t>
      </w:r>
      <w:r w:rsidR="009D585F"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>5</w:t>
      </w:r>
      <w:r w:rsidR="00B67C5D">
        <w:rPr>
          <w:rFonts w:ascii="Segoe UI" w:eastAsia="SimSun" w:hAnsi="Segoe UI" w:cs="Segoe UI"/>
          <w:bCs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bCs/>
          <w:sz w:val="20"/>
          <w:szCs w:val="20"/>
          <w:lang w:eastAsia="ja-JP"/>
        </w:rPr>
        <w:t>%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), représentant au total près de 60 % du total des dépenses budgétaires du pays. Les dépenses de sécurité et de l’administration régionale ont atteint </w:t>
      </w:r>
      <w:r w:rsidR="009D585F" w:rsidRPr="003A07A1">
        <w:rPr>
          <w:rFonts w:ascii="Segoe UI" w:eastAsia="SimSun" w:hAnsi="Segoe UI" w:cs="Segoe UI"/>
          <w:sz w:val="20"/>
          <w:szCs w:val="20"/>
          <w:lang w:eastAsia="ja-JP"/>
        </w:rPr>
        <w:t>31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</w:t>
      </w:r>
      <w:r w:rsidR="00D521B2" w:rsidRPr="003A07A1">
        <w:rPr>
          <w:rFonts w:ascii="Segoe UI" w:eastAsia="SimSun" w:hAnsi="Segoe UI" w:cs="Segoe UI"/>
          <w:sz w:val="20"/>
          <w:szCs w:val="20"/>
          <w:lang w:eastAsia="ja-JP"/>
        </w:rPr>
        <w:t>Md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USD, soit 10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% des dépenses, en hausse de </w:t>
      </w:r>
      <w:r w:rsidR="009D585F" w:rsidRPr="003A07A1">
        <w:rPr>
          <w:rFonts w:ascii="Segoe UI" w:eastAsia="SimSun" w:hAnsi="Segoe UI" w:cs="Segoe UI"/>
          <w:sz w:val="20"/>
          <w:szCs w:val="20"/>
          <w:lang w:eastAsia="ja-JP"/>
        </w:rPr>
        <w:t>8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>%. Les dépenses d’infrastructures et de transport (</w:t>
      </w:r>
      <w:r w:rsidR="00C23CF5">
        <w:rPr>
          <w:rFonts w:ascii="Segoe UI" w:eastAsia="SimSun" w:hAnsi="Segoe UI" w:cs="Segoe UI"/>
          <w:sz w:val="20"/>
          <w:szCs w:val="20"/>
          <w:lang w:eastAsia="ja-JP"/>
        </w:rPr>
        <w:t>11,0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="00D521B2" w:rsidRPr="003A07A1">
        <w:rPr>
          <w:rFonts w:ascii="Segoe UI" w:eastAsia="SimSun" w:hAnsi="Segoe UI" w:cs="Segoe UI"/>
          <w:sz w:val="20"/>
          <w:szCs w:val="20"/>
          <w:lang w:eastAsia="ja-JP"/>
        </w:rPr>
        <w:t>Md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 USD) ont représenté </w:t>
      </w:r>
      <w:r w:rsidR="00F77CC6" w:rsidRPr="003A07A1">
        <w:rPr>
          <w:rFonts w:ascii="Segoe UI" w:eastAsia="SimSun" w:hAnsi="Segoe UI" w:cs="Segoe UI"/>
          <w:sz w:val="20"/>
          <w:szCs w:val="20"/>
          <w:lang w:eastAsia="ja-JP"/>
        </w:rPr>
        <w:t>4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% des dépenses, en forte diminution de </w:t>
      </w:r>
      <w:r w:rsidR="00F77CC6" w:rsidRPr="003A07A1">
        <w:rPr>
          <w:rFonts w:ascii="Segoe UI" w:eastAsia="SimSun" w:hAnsi="Segoe UI" w:cs="Segoe UI"/>
          <w:sz w:val="20"/>
          <w:szCs w:val="20"/>
          <w:lang w:eastAsia="ja-JP"/>
        </w:rPr>
        <w:t>19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Pr="003A07A1">
        <w:rPr>
          <w:rFonts w:ascii="Segoe UI" w:eastAsia="SimSun" w:hAnsi="Segoe UI" w:cs="Segoe UI"/>
          <w:sz w:val="20"/>
          <w:szCs w:val="20"/>
          <w:lang w:eastAsia="ja-JP"/>
        </w:rPr>
        <w:t>%.</w:t>
      </w:r>
    </w:p>
    <w:p w14:paraId="5402153D" w14:textId="1CDDE1E2" w:rsidR="001726B9" w:rsidRPr="003A07A1" w:rsidRDefault="002A0D84" w:rsidP="00155622">
      <w:pPr>
        <w:spacing w:after="120" w:line="247" w:lineRule="auto"/>
        <w:jc w:val="both"/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</w:pPr>
      <w:r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L</w:t>
      </w:r>
      <w:r w:rsidR="0015562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es dépenses budgétaires ont </w:t>
      </w:r>
      <w:r w:rsidR="00DD2D0F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augmenté </w:t>
      </w:r>
      <w:r w:rsidR="001726B9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de 27 %</w:t>
      </w:r>
      <w:r w:rsidR="0015562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entre le 1</w:t>
      </w:r>
      <w:r w:rsidR="0015562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vertAlign w:val="superscript"/>
          <w:lang w:eastAsia="ja-JP"/>
        </w:rPr>
        <w:t>er</w:t>
      </w:r>
      <w:r w:rsidR="0015562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semestre (1</w:t>
      </w:r>
      <w:r w:rsidR="001726B9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37</w:t>
      </w:r>
      <w:r w:rsidR="0015562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Md USD) et le 2</w:t>
      </w:r>
      <w:r w:rsidR="0015562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vertAlign w:val="superscript"/>
          <w:lang w:eastAsia="ja-JP"/>
        </w:rPr>
        <w:t>ème</w:t>
      </w:r>
      <w:r w:rsidR="0015562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semestre 2022 (1</w:t>
      </w:r>
      <w:r w:rsidR="001726B9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74</w:t>
      </w:r>
      <w:r w:rsidR="00155622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Md USD). Cette </w:t>
      </w:r>
      <w:r w:rsidR="00162133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forte augmentation résulte d</w:t>
      </w:r>
      <w:r w:rsidR="000C429E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e </w:t>
      </w:r>
      <w:r w:rsidR="0006413A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la forte hausse de 82</w:t>
      </w:r>
      <w:r w:rsidR="00A018B8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 </w:t>
      </w:r>
      <w:r w:rsidR="0006413A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% des </w:t>
      </w:r>
      <w:r w:rsidR="0006413A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dépenses d’investissement (S1 : 1</w:t>
      </w:r>
      <w:r w:rsidR="0006413A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4</w:t>
      </w:r>
      <w:r w:rsidR="0006413A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Md USD ; S2 : </w:t>
      </w:r>
      <w:r w:rsidR="0006413A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25</w:t>
      </w:r>
      <w:r w:rsidR="0006413A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Md USD).</w:t>
      </w:r>
      <w:r w:rsidR="0006413A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Les dépenses de fonctionnement ont </w:t>
      </w:r>
      <w:r w:rsidR="00D07973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augmenté </w:t>
      </w:r>
      <w:r w:rsidR="0006413A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de </w:t>
      </w:r>
      <w:r w:rsidR="000E303F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21</w:t>
      </w:r>
      <w:r w:rsidR="00B67C5D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 </w:t>
      </w:r>
      <w:r w:rsidR="00162133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% des (S1 : </w:t>
      </w:r>
      <w:r w:rsidR="000E303F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123</w:t>
      </w:r>
      <w:r w:rsidR="00162133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Md USD ; S2 : </w:t>
      </w:r>
      <w:r w:rsidR="000E303F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149</w:t>
      </w:r>
      <w:r w:rsidR="00162133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 Md USD), </w:t>
      </w:r>
      <w:r w:rsidR="00A018B8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et </w:t>
      </w:r>
      <w:r w:rsidR="00162133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plus </w:t>
      </w:r>
      <w:r w:rsidR="000C429E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précisément </w:t>
      </w:r>
      <w:r w:rsidR="00A018B8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l</w:t>
      </w:r>
      <w:r w:rsidR="000C429E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 xml:space="preserve">es achats de </w:t>
      </w:r>
      <w:r w:rsidR="000C429E" w:rsidRPr="003A07A1">
        <w:rPr>
          <w:rFonts w:ascii="Segoe UI" w:eastAsia="SimSun" w:hAnsi="Segoe UI" w:cs="Segoe UI"/>
          <w:sz w:val="20"/>
          <w:szCs w:val="20"/>
          <w:lang w:eastAsia="ja-JP"/>
        </w:rPr>
        <w:t>biens et services (+</w:t>
      </w:r>
      <w:r w:rsidR="00F4761C" w:rsidRPr="003A07A1">
        <w:rPr>
          <w:rFonts w:ascii="Segoe UI" w:eastAsia="SimSun" w:hAnsi="Segoe UI" w:cs="Segoe UI"/>
          <w:sz w:val="20"/>
          <w:szCs w:val="20"/>
          <w:lang w:eastAsia="ja-JP"/>
        </w:rPr>
        <w:t>66</w:t>
      </w:r>
      <w:r w:rsidR="00B67C5D">
        <w:rPr>
          <w:rFonts w:ascii="Segoe UI" w:eastAsia="SimSun" w:hAnsi="Segoe UI" w:cs="Segoe UI"/>
          <w:sz w:val="20"/>
          <w:szCs w:val="20"/>
          <w:lang w:eastAsia="ja-JP"/>
        </w:rPr>
        <w:t> </w:t>
      </w:r>
      <w:r w:rsidR="000C429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% ; S1 : </w:t>
      </w:r>
      <w:r w:rsidR="00F4761C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26 </w:t>
      </w:r>
      <w:r w:rsidR="000C429E" w:rsidRPr="003A07A1">
        <w:rPr>
          <w:rFonts w:ascii="Segoe UI" w:eastAsia="SimSun" w:hAnsi="Segoe UI" w:cs="Segoe UI"/>
          <w:sz w:val="20"/>
          <w:szCs w:val="20"/>
          <w:lang w:eastAsia="ja-JP"/>
        </w:rPr>
        <w:t>Md USD ; S2</w:t>
      </w:r>
      <w:r w:rsidR="00F4761C" w:rsidRPr="003A07A1">
        <w:rPr>
          <w:rFonts w:ascii="Segoe UI" w:eastAsia="SimSun" w:hAnsi="Segoe UI" w:cs="Segoe UI"/>
          <w:sz w:val="20"/>
          <w:szCs w:val="20"/>
          <w:lang w:eastAsia="ja-JP"/>
        </w:rPr>
        <w:t> : 43</w:t>
      </w:r>
      <w:r w:rsidR="000C429E" w:rsidRPr="003A07A1">
        <w:rPr>
          <w:rFonts w:ascii="Segoe UI" w:eastAsia="SimSun" w:hAnsi="Segoe UI" w:cs="Segoe UI"/>
          <w:sz w:val="20"/>
          <w:szCs w:val="20"/>
          <w:lang w:eastAsia="ja-JP"/>
        </w:rPr>
        <w:t xml:space="preserve"> Md USD)</w:t>
      </w:r>
      <w:r w:rsidR="000C429E" w:rsidRPr="003A07A1">
        <w:rPr>
          <w:rFonts w:ascii="Segoe UI" w:eastAsia="SimSun" w:hAnsi="Segoe UI" w:cs="Segoe UI"/>
          <w:bCs/>
          <w:color w:val="000000" w:themeColor="text1"/>
          <w:sz w:val="20"/>
          <w:szCs w:val="20"/>
          <w:lang w:eastAsia="ja-JP"/>
        </w:rPr>
        <w:t>.</w:t>
      </w:r>
    </w:p>
    <w:p w14:paraId="611862DA" w14:textId="7B167D25" w:rsidR="003730D6" w:rsidRPr="003A07A1" w:rsidRDefault="003730D6" w:rsidP="00E07C72">
      <w:pPr>
        <w:spacing w:after="60" w:line="247" w:lineRule="auto"/>
        <w:jc w:val="both"/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</w:pPr>
      <w:r w:rsidRPr="003A07A1">
        <w:rPr>
          <w:rFonts w:ascii="Segoe UI" w:eastAsia="Times New Roman" w:hAnsi="Segoe UI" w:cs="Segoe UI"/>
          <w:noProof/>
          <w:color w:val="222222"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1AB70132" wp14:editId="3186DE0B">
                <wp:extent cx="5924550" cy="298764"/>
                <wp:effectExtent l="0" t="0" r="0" b="6350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98764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FD5F2" w14:textId="04EF46CA" w:rsidR="003730D6" w:rsidRPr="004E1A75" w:rsidRDefault="005F5C6E" w:rsidP="00586F99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 w:line="247" w:lineRule="auto"/>
                              <w:ind w:left="357" w:hanging="357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Excédent</w:t>
                            </w:r>
                            <w:r w:rsidR="00AD6CDB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budgétaire</w:t>
                            </w:r>
                            <w:r w:rsidR="00302358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record</w:t>
                            </w:r>
                            <w:r w:rsidR="00F10C48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85319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de </w:t>
                            </w:r>
                            <w:r w:rsidR="00D13171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28</w:t>
                            </w:r>
                            <w:r w:rsidR="0085319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D521B2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Md</w:t>
                            </w:r>
                            <w:r w:rsidR="0085319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USD</w:t>
                            </w:r>
                            <w:r w:rsidR="00DC6DF3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D13171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en</w:t>
                            </w:r>
                            <w:r w:rsidR="009F5DB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 xml:space="preserve"> 2022</w:t>
                            </w:r>
                            <w:r w:rsidR="00D13171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Cs w:val="24"/>
                              </w:rPr>
                              <w:t>, une première depuis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B70132" id="_x0000_s1028" type="#_x0000_t202" style="width:466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" fillcolor="#006ce5" stroked="f">
                <v:textbox>
                  <w:txbxContent>
                    <w:p w14:paraId="24DFD5F2" w14:textId="04EF46CA" w:rsidR="003730D6" w:rsidRPr="004E1A75" w:rsidRDefault="005F5C6E" w:rsidP="00586F99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 w:line="247" w:lineRule="auto"/>
                        <w:ind w:left="357" w:hanging="357"/>
                        <w:contextualSpacing w:val="0"/>
                        <w:jc w:val="both"/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Excédent</w:t>
                      </w:r>
                      <w:r w:rsidR="00AD6CDB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budgétaire</w:t>
                      </w:r>
                      <w:r w:rsidR="00302358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record</w:t>
                      </w:r>
                      <w:r w:rsidR="00F10C48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="0085319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de </w:t>
                      </w:r>
                      <w:r w:rsidR="00D13171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28</w:t>
                      </w:r>
                      <w:r w:rsidR="0085319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="00D521B2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Md</w:t>
                      </w:r>
                      <w:r w:rsidR="0085319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USD</w:t>
                      </w:r>
                      <w:r w:rsidR="00DC6DF3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="00D13171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en</w:t>
                      </w:r>
                      <w:r w:rsidR="009F5DB7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 xml:space="preserve"> 2022</w:t>
                      </w:r>
                      <w:r w:rsidR="00D13171">
                        <w:rPr>
                          <w:rFonts w:ascii="Segoe UI" w:hAnsi="Segoe UI" w:cs="Segoe UI"/>
                          <w:b/>
                          <w:color w:val="FFFFFF" w:themeColor="background1"/>
                          <w:szCs w:val="24"/>
                        </w:rPr>
                        <w:t>, une première depuis 2013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497090" w14:textId="645DC788" w:rsidR="0053029C" w:rsidRPr="00A538CE" w:rsidRDefault="00D3249B" w:rsidP="0053029C">
      <w:pPr>
        <w:spacing w:after="120" w:line="247" w:lineRule="auto"/>
        <w:jc w:val="both"/>
        <w:rPr>
          <w:rFonts w:ascii="Segoe UI" w:hAnsi="Segoe UI" w:cs="Segoe UI"/>
          <w:sz w:val="20"/>
          <w:szCs w:val="20"/>
        </w:rPr>
      </w:pPr>
      <w:r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En</w:t>
      </w:r>
      <w:r w:rsidR="00337AD9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 202</w:t>
      </w:r>
      <w:r w:rsidR="00E72B67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2</w:t>
      </w:r>
      <w:r w:rsidR="00337AD9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, l</w:t>
      </w:r>
      <w:r w:rsidR="00645E13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’Arabie </w:t>
      </w:r>
      <w:r w:rsidR="00494E7F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s</w:t>
      </w:r>
      <w:r w:rsidR="00645E13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aoudite a </w:t>
      </w:r>
      <w:r w:rsidR="00853197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enregistré </w:t>
      </w:r>
      <w:r w:rsidR="00645E13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un </w:t>
      </w:r>
      <w:r w:rsidR="005802FB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exc</w:t>
      </w:r>
      <w:r w:rsidR="00853197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é</w:t>
      </w:r>
      <w:r w:rsidR="005802FB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dent</w:t>
      </w:r>
      <w:r w:rsidR="008F34B4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 </w:t>
      </w:r>
      <w:r w:rsidR="00494E7F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budgétaire</w:t>
      </w:r>
      <w:r w:rsidR="00313D39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 record</w:t>
      </w:r>
      <w:r w:rsidR="00494E7F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 </w:t>
      </w:r>
      <w:r w:rsidR="008F34B4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de </w:t>
      </w:r>
      <w:r w:rsidR="004A4678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27,7</w:t>
      </w:r>
      <w:r w:rsidR="00586F99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 </w:t>
      </w:r>
      <w:r w:rsidR="00D521B2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Md</w:t>
      </w:r>
      <w:r w:rsidR="00586F99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 </w:t>
      </w:r>
      <w:r w:rsidR="005802FB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USD</w:t>
      </w:r>
      <w:r w:rsidR="00D07973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 (2,6% du PIB)</w:t>
      </w:r>
      <w:r w:rsidR="00313D39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, une première depuis 2013, </w:t>
      </w:r>
      <w:r w:rsidR="00E72B67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contre un défici</w:t>
      </w:r>
      <w:r w:rsidR="005802FB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t</w:t>
      </w:r>
      <w:r w:rsidR="006B5C54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 </w:t>
      </w:r>
      <w:r w:rsidR="00E72B67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de </w:t>
      </w:r>
      <w:r w:rsidR="004A4678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20</w:t>
      </w:r>
      <w:r w:rsidR="00732744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 </w:t>
      </w:r>
      <w:r w:rsidR="00E72B67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Md </w:t>
      </w:r>
      <w:r w:rsidR="00853197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USD </w:t>
      </w:r>
      <w:r w:rsidR="006A618A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un an plus tôt</w:t>
      </w:r>
      <w:r w:rsidR="005802FB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.</w:t>
      </w:r>
      <w:r w:rsidR="0053029C" w:rsidRPr="00A538CE">
        <w:rPr>
          <w:rFonts w:ascii="Segoe UI" w:hAnsi="Segoe UI" w:cs="Segoe UI"/>
          <w:sz w:val="20"/>
          <w:szCs w:val="20"/>
        </w:rPr>
        <w:t xml:space="preserve"> Le budget initial de 2022 </w:t>
      </w:r>
      <w:r w:rsidR="00D07973">
        <w:rPr>
          <w:rFonts w:ascii="Segoe UI" w:hAnsi="Segoe UI" w:cs="Segoe UI"/>
          <w:sz w:val="20"/>
          <w:szCs w:val="20"/>
        </w:rPr>
        <w:t>prévoyait</w:t>
      </w:r>
      <w:r w:rsidR="0053029C" w:rsidRPr="00A538CE">
        <w:rPr>
          <w:rFonts w:ascii="Segoe UI" w:hAnsi="Segoe UI" w:cs="Segoe UI"/>
          <w:sz w:val="20"/>
          <w:szCs w:val="20"/>
        </w:rPr>
        <w:t xml:space="preserve"> un excédent budgétaire de 24 Md USD soit 2,5</w:t>
      </w:r>
      <w:r w:rsidR="007D7D80">
        <w:rPr>
          <w:rFonts w:ascii="Segoe UI" w:hAnsi="Segoe UI" w:cs="Segoe UI"/>
          <w:sz w:val="20"/>
          <w:szCs w:val="20"/>
        </w:rPr>
        <w:t> </w:t>
      </w:r>
      <w:r w:rsidR="0053029C" w:rsidRPr="00A538CE">
        <w:rPr>
          <w:rFonts w:ascii="Segoe UI" w:hAnsi="Segoe UI" w:cs="Segoe UI"/>
          <w:sz w:val="20"/>
          <w:szCs w:val="20"/>
        </w:rPr>
        <w:t xml:space="preserve">% du PIB.  </w:t>
      </w:r>
    </w:p>
    <w:p w14:paraId="0C2E440D" w14:textId="53F17ABB" w:rsidR="001E7B62" w:rsidRPr="00A538CE" w:rsidRDefault="00D07973" w:rsidP="00FA324D">
      <w:pPr>
        <w:spacing w:after="120" w:line="247" w:lineRule="auto"/>
        <w:jc w:val="both"/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</w:pPr>
      <w:r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L</w:t>
      </w:r>
      <w:r w:rsidR="009B35B5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es finances publiques saoudiennes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ont été </w:t>
      </w:r>
      <w:r w:rsidR="009B35B5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excédentaire</w:t>
      </w:r>
      <w:r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s</w:t>
      </w:r>
      <w:r w:rsidR="009B35B5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au cours des trois premiers trimestres</w:t>
      </w:r>
      <w:r w:rsidR="009B35B5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.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Au 4</w:t>
      </w:r>
      <w:r w:rsidRPr="00D07973">
        <w:rPr>
          <w:rFonts w:ascii="Segoe UI" w:eastAsia="Times New Roman" w:hAnsi="Segoe UI" w:cs="Segoe UI"/>
          <w:color w:val="222222"/>
          <w:sz w:val="20"/>
          <w:szCs w:val="20"/>
          <w:vertAlign w:val="superscript"/>
          <w:lang w:eastAsia="fr-FR"/>
        </w:rPr>
        <w:t>ème</w:t>
      </w:r>
      <w:r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 trimestre, l</w:t>
      </w:r>
      <w:r w:rsidR="000325C3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es comptes publics</w:t>
      </w:r>
      <w:r w:rsidR="009B35B5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 ont présenté un déficit de 12 Md USD, en raison de l’inflexion des cours du pétrole</w:t>
      </w:r>
      <w:r w:rsidR="000325C3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 et de l’augmentation des dépenses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(</w:t>
      </w:r>
      <w:r w:rsidR="000325C3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fonctionnement</w:t>
      </w:r>
      <w:r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 xml:space="preserve"> et investissement)</w:t>
      </w:r>
      <w:r w:rsidR="000325C3" w:rsidRPr="00A538CE">
        <w:rPr>
          <w:rFonts w:ascii="Segoe UI" w:eastAsia="Times New Roman" w:hAnsi="Segoe UI" w:cs="Segoe UI"/>
          <w:color w:val="222222"/>
          <w:sz w:val="20"/>
          <w:szCs w:val="20"/>
          <w:lang w:eastAsia="fr-FR"/>
        </w:rPr>
        <w:t>.</w:t>
      </w:r>
    </w:p>
    <w:p w14:paraId="094DC5DA" w14:textId="75B5D66B" w:rsidR="00D55879" w:rsidRDefault="0081188C" w:rsidP="00A538CE">
      <w:pPr>
        <w:pStyle w:val="Briefinglist1"/>
        <w:keepLines w:val="0"/>
        <w:numPr>
          <w:ilvl w:val="0"/>
          <w:numId w:val="0"/>
        </w:numPr>
        <w:spacing w:line="247" w:lineRule="auto"/>
        <w:rPr>
          <w:rFonts w:ascii="Segoe UI" w:hAnsi="Segoe UI" w:cs="Segoe UI"/>
          <w:iCs/>
          <w:sz w:val="20"/>
          <w:lang w:val="fr-FR"/>
        </w:rPr>
      </w:pPr>
      <w:r>
        <w:rPr>
          <w:rFonts w:ascii="Segoe UI" w:eastAsia="Times New Roman" w:hAnsi="Segoe UI" w:cs="Segoe UI"/>
          <w:iCs/>
          <w:color w:val="222222"/>
          <w:sz w:val="20"/>
          <w:szCs w:val="20"/>
          <w:lang w:val="fr-FR" w:eastAsia="fr-FR"/>
        </w:rPr>
        <w:t>Pour 2023, l</w:t>
      </w:r>
      <w:r w:rsidR="00D55879" w:rsidRPr="00A538CE">
        <w:rPr>
          <w:rFonts w:ascii="Segoe UI" w:eastAsia="Times New Roman" w:hAnsi="Segoe UI" w:cs="Segoe UI"/>
          <w:iCs/>
          <w:color w:val="222222"/>
          <w:sz w:val="20"/>
          <w:szCs w:val="20"/>
          <w:lang w:val="fr-FR" w:eastAsia="fr-FR"/>
        </w:rPr>
        <w:t xml:space="preserve">e budget de l’Etat saoudien </w:t>
      </w:r>
      <w:r w:rsidR="00307517">
        <w:rPr>
          <w:rFonts w:ascii="Segoe UI" w:eastAsia="Times New Roman" w:hAnsi="Segoe UI" w:cs="Segoe UI"/>
          <w:iCs/>
          <w:color w:val="222222"/>
          <w:sz w:val="20"/>
          <w:szCs w:val="20"/>
          <w:lang w:val="fr-FR" w:eastAsia="fr-FR"/>
        </w:rPr>
        <w:t>escompte</w:t>
      </w:r>
      <w:r w:rsidR="00D55879" w:rsidRPr="00A538CE">
        <w:rPr>
          <w:rFonts w:ascii="Segoe UI" w:eastAsia="Times New Roman" w:hAnsi="Segoe UI" w:cs="Segoe UI"/>
          <w:iCs/>
          <w:color w:val="222222"/>
          <w:sz w:val="20"/>
          <w:szCs w:val="20"/>
          <w:lang w:val="fr-FR" w:eastAsia="fr-FR"/>
        </w:rPr>
        <w:t xml:space="preserve"> </w:t>
      </w:r>
      <w:r w:rsidR="00D55879" w:rsidRPr="00A538CE">
        <w:rPr>
          <w:rFonts w:ascii="Segoe UI" w:hAnsi="Segoe UI" w:cs="Segoe UI"/>
          <w:iCs/>
          <w:sz w:val="20"/>
          <w:lang w:val="fr-FR"/>
        </w:rPr>
        <w:t>un excédent budgétaire de 4,3 Mds USD, soit 0,4</w:t>
      </w:r>
      <w:r w:rsidR="007D7D80">
        <w:rPr>
          <w:rFonts w:ascii="Segoe UI" w:hAnsi="Segoe UI" w:cs="Segoe UI"/>
          <w:iCs/>
          <w:sz w:val="20"/>
          <w:lang w:val="fr-FR"/>
        </w:rPr>
        <w:t> </w:t>
      </w:r>
      <w:r w:rsidR="00D55879" w:rsidRPr="00A538CE">
        <w:rPr>
          <w:rFonts w:ascii="Segoe UI" w:hAnsi="Segoe UI" w:cs="Segoe UI"/>
          <w:iCs/>
          <w:sz w:val="20"/>
          <w:lang w:val="fr-FR"/>
        </w:rPr>
        <w:t xml:space="preserve">% du PIB, </w:t>
      </w:r>
      <w:r w:rsidR="00A538CE" w:rsidRPr="00A538CE">
        <w:rPr>
          <w:rFonts w:ascii="Segoe UI" w:hAnsi="Segoe UI" w:cs="Segoe UI"/>
          <w:iCs/>
          <w:sz w:val="20"/>
          <w:lang w:val="fr-FR"/>
        </w:rPr>
        <w:t>nettement en-deçà de l’excèdent record d</w:t>
      </w:r>
      <w:r w:rsidR="00BB0FDE">
        <w:rPr>
          <w:rFonts w:ascii="Segoe UI" w:hAnsi="Segoe UI" w:cs="Segoe UI"/>
          <w:iCs/>
          <w:sz w:val="20"/>
          <w:lang w:val="fr-FR"/>
        </w:rPr>
        <w:t>e 2022</w:t>
      </w:r>
      <w:r w:rsidR="00A538CE" w:rsidRPr="00A538CE">
        <w:rPr>
          <w:rFonts w:ascii="Segoe UI" w:hAnsi="Segoe UI" w:cs="Segoe UI"/>
          <w:iCs/>
          <w:sz w:val="20"/>
          <w:lang w:val="fr-FR"/>
        </w:rPr>
        <w:t>. Cette prévision repose sur une hypothèse de croissance de +3,1</w:t>
      </w:r>
      <w:r w:rsidR="007D7D80">
        <w:rPr>
          <w:rFonts w:ascii="Segoe UI" w:hAnsi="Segoe UI" w:cs="Segoe UI"/>
          <w:iCs/>
          <w:sz w:val="20"/>
          <w:lang w:val="fr-FR"/>
        </w:rPr>
        <w:t> </w:t>
      </w:r>
      <w:r w:rsidR="00A538CE" w:rsidRPr="00A538CE">
        <w:rPr>
          <w:rFonts w:ascii="Segoe UI" w:hAnsi="Segoe UI" w:cs="Segoe UI"/>
          <w:iCs/>
          <w:sz w:val="20"/>
          <w:lang w:val="fr-FR"/>
        </w:rPr>
        <w:t>%</w:t>
      </w:r>
      <w:r w:rsidR="00BB0FDE">
        <w:rPr>
          <w:rFonts w:ascii="Segoe UI" w:hAnsi="Segoe UI" w:cs="Segoe UI"/>
          <w:iCs/>
          <w:sz w:val="20"/>
          <w:lang w:val="fr-FR"/>
        </w:rPr>
        <w:t xml:space="preserve">, après la croissance record de </w:t>
      </w:r>
      <w:r w:rsidR="00A538CE" w:rsidRPr="00A538CE">
        <w:rPr>
          <w:rFonts w:ascii="Segoe UI" w:hAnsi="Segoe UI" w:cs="Segoe UI"/>
          <w:iCs/>
          <w:sz w:val="20"/>
          <w:lang w:val="fr-FR"/>
        </w:rPr>
        <w:t>8,7</w:t>
      </w:r>
      <w:r w:rsidR="007D7D80">
        <w:rPr>
          <w:rFonts w:ascii="Segoe UI" w:hAnsi="Segoe UI" w:cs="Segoe UI"/>
          <w:iCs/>
          <w:sz w:val="20"/>
          <w:lang w:val="fr-FR"/>
        </w:rPr>
        <w:t> </w:t>
      </w:r>
      <w:r w:rsidR="00A538CE" w:rsidRPr="00A538CE">
        <w:rPr>
          <w:rFonts w:ascii="Segoe UI" w:hAnsi="Segoe UI" w:cs="Segoe UI"/>
          <w:iCs/>
          <w:sz w:val="20"/>
          <w:lang w:val="fr-FR"/>
        </w:rPr>
        <w:t xml:space="preserve">% en 2022. </w:t>
      </w:r>
      <w:r w:rsidR="00D55879" w:rsidRPr="00A538CE">
        <w:rPr>
          <w:rFonts w:ascii="Segoe UI" w:hAnsi="Segoe UI" w:cs="Segoe UI"/>
          <w:iCs/>
          <w:sz w:val="20"/>
          <w:lang w:val="fr-FR"/>
        </w:rPr>
        <w:t>Le montant des recettes attendu</w:t>
      </w:r>
      <w:r>
        <w:rPr>
          <w:rFonts w:ascii="Segoe UI" w:hAnsi="Segoe UI" w:cs="Segoe UI"/>
          <w:iCs/>
          <w:sz w:val="20"/>
          <w:lang w:val="fr-FR"/>
        </w:rPr>
        <w:t>es</w:t>
      </w:r>
      <w:r w:rsidR="00D55879" w:rsidRPr="00A538CE">
        <w:rPr>
          <w:rFonts w:ascii="Segoe UI" w:hAnsi="Segoe UI" w:cs="Segoe UI"/>
          <w:iCs/>
          <w:sz w:val="20"/>
          <w:lang w:val="fr-FR"/>
        </w:rPr>
        <w:t xml:space="preserve"> est de 301 Mds USD, en baisse de -9</w:t>
      </w:r>
      <w:r w:rsidR="007D7D80">
        <w:rPr>
          <w:rFonts w:ascii="Segoe UI" w:hAnsi="Segoe UI" w:cs="Segoe UI"/>
          <w:iCs/>
          <w:sz w:val="20"/>
          <w:lang w:val="fr-FR"/>
        </w:rPr>
        <w:t> </w:t>
      </w:r>
      <w:r w:rsidR="00D55879" w:rsidRPr="00A538CE">
        <w:rPr>
          <w:rFonts w:ascii="Segoe UI" w:hAnsi="Segoe UI" w:cs="Segoe UI"/>
          <w:iCs/>
          <w:sz w:val="20"/>
          <w:lang w:val="fr-FR"/>
        </w:rPr>
        <w:t>% par rapport à l’exécution</w:t>
      </w:r>
      <w:r w:rsidR="00A538CE" w:rsidRPr="00A538CE">
        <w:rPr>
          <w:rFonts w:ascii="Segoe UI" w:hAnsi="Segoe UI" w:cs="Segoe UI"/>
          <w:iCs/>
          <w:sz w:val="20"/>
          <w:lang w:val="fr-FR"/>
        </w:rPr>
        <w:t xml:space="preserve"> de 2022</w:t>
      </w:r>
      <w:r w:rsidR="00D55879" w:rsidRPr="00A538CE">
        <w:rPr>
          <w:rFonts w:ascii="Segoe UI" w:hAnsi="Segoe UI" w:cs="Segoe UI"/>
          <w:iCs/>
          <w:sz w:val="20"/>
          <w:lang w:val="fr-FR"/>
        </w:rPr>
        <w:t>. Le montant total des dépenses programmées est de 297 Mds USD, en légère diminution de -1</w:t>
      </w:r>
      <w:r w:rsidR="007D7D80">
        <w:rPr>
          <w:rFonts w:ascii="Segoe UI" w:hAnsi="Segoe UI" w:cs="Segoe UI"/>
          <w:iCs/>
          <w:sz w:val="20"/>
          <w:lang w:val="fr-FR"/>
        </w:rPr>
        <w:t> </w:t>
      </w:r>
      <w:r w:rsidR="00D55879" w:rsidRPr="00A538CE">
        <w:rPr>
          <w:rFonts w:ascii="Segoe UI" w:hAnsi="Segoe UI" w:cs="Segoe UI"/>
          <w:iCs/>
          <w:sz w:val="20"/>
          <w:lang w:val="fr-FR"/>
        </w:rPr>
        <w:t xml:space="preserve">% par rapport à l’exécution </w:t>
      </w:r>
      <w:r w:rsidR="00FD333C">
        <w:rPr>
          <w:rFonts w:ascii="Segoe UI" w:hAnsi="Segoe UI" w:cs="Segoe UI"/>
          <w:iCs/>
          <w:sz w:val="20"/>
          <w:lang w:val="fr-FR"/>
        </w:rPr>
        <w:t>de</w:t>
      </w:r>
      <w:r w:rsidR="00D55879" w:rsidRPr="00A538CE">
        <w:rPr>
          <w:rFonts w:ascii="Segoe UI" w:hAnsi="Segoe UI" w:cs="Segoe UI"/>
          <w:iCs/>
          <w:sz w:val="20"/>
          <w:lang w:val="fr-FR"/>
        </w:rPr>
        <w:t xml:space="preserve"> 2022</w:t>
      </w:r>
      <w:r w:rsidR="00A538CE" w:rsidRPr="00A538CE">
        <w:rPr>
          <w:rFonts w:ascii="Segoe UI" w:hAnsi="Segoe UI" w:cs="Segoe UI"/>
          <w:iCs/>
          <w:sz w:val="20"/>
          <w:lang w:val="fr-FR"/>
        </w:rPr>
        <w:t xml:space="preserve">. </w:t>
      </w:r>
      <w:r w:rsidR="00D55879" w:rsidRPr="00A538CE">
        <w:rPr>
          <w:rFonts w:ascii="Segoe UI" w:hAnsi="Segoe UI" w:cs="Segoe UI"/>
          <w:iCs/>
          <w:sz w:val="20"/>
          <w:lang w:val="fr-FR"/>
        </w:rPr>
        <w:t xml:space="preserve">La dette publique prévue pour 2023 </w:t>
      </w:r>
      <w:r>
        <w:rPr>
          <w:rFonts w:ascii="Segoe UI" w:hAnsi="Segoe UI" w:cs="Segoe UI"/>
          <w:iCs/>
          <w:sz w:val="20"/>
          <w:lang w:val="fr-FR"/>
        </w:rPr>
        <w:t xml:space="preserve">serait </w:t>
      </w:r>
      <w:r w:rsidR="00D55879" w:rsidRPr="00A538CE">
        <w:rPr>
          <w:rFonts w:ascii="Segoe UI" w:hAnsi="Segoe UI" w:cs="Segoe UI"/>
          <w:iCs/>
          <w:sz w:val="20"/>
          <w:lang w:val="fr-FR"/>
        </w:rPr>
        <w:t>stable en valeur à 254 Mds USD et diminue à 24,6</w:t>
      </w:r>
      <w:r w:rsidR="007D7D80">
        <w:rPr>
          <w:rFonts w:ascii="Segoe UI" w:hAnsi="Segoe UI" w:cs="Segoe UI"/>
          <w:iCs/>
          <w:sz w:val="20"/>
          <w:lang w:val="fr-FR"/>
        </w:rPr>
        <w:t> </w:t>
      </w:r>
      <w:r w:rsidR="00D55879" w:rsidRPr="00A538CE">
        <w:rPr>
          <w:rFonts w:ascii="Segoe UI" w:hAnsi="Segoe UI" w:cs="Segoe UI"/>
          <w:iCs/>
          <w:sz w:val="20"/>
          <w:lang w:val="fr-FR"/>
        </w:rPr>
        <w:t xml:space="preserve">% du PIB contre </w:t>
      </w:r>
      <w:r w:rsidR="00FD333C">
        <w:rPr>
          <w:rFonts w:ascii="Segoe UI" w:hAnsi="Segoe UI" w:cs="Segoe UI"/>
          <w:iCs/>
          <w:sz w:val="20"/>
          <w:lang w:val="fr-FR"/>
        </w:rPr>
        <w:t>25</w:t>
      </w:r>
      <w:r w:rsidR="007D7D80">
        <w:rPr>
          <w:rFonts w:ascii="Segoe UI" w:hAnsi="Segoe UI" w:cs="Segoe UI"/>
          <w:iCs/>
          <w:sz w:val="20"/>
          <w:lang w:val="fr-FR"/>
        </w:rPr>
        <w:t> </w:t>
      </w:r>
      <w:r w:rsidR="00D55879" w:rsidRPr="00A538CE">
        <w:rPr>
          <w:rFonts w:ascii="Segoe UI" w:hAnsi="Segoe UI" w:cs="Segoe UI"/>
          <w:iCs/>
          <w:sz w:val="20"/>
          <w:lang w:val="fr-FR"/>
        </w:rPr>
        <w:t xml:space="preserve">% </w:t>
      </w:r>
      <w:r w:rsidR="00FD333C">
        <w:rPr>
          <w:rFonts w:ascii="Segoe UI" w:hAnsi="Segoe UI" w:cs="Segoe UI"/>
          <w:iCs/>
          <w:sz w:val="20"/>
          <w:lang w:val="fr-FR"/>
        </w:rPr>
        <w:t>en 2022</w:t>
      </w:r>
      <w:r w:rsidR="00D55879" w:rsidRPr="00A538CE">
        <w:rPr>
          <w:rFonts w:ascii="Segoe UI" w:hAnsi="Segoe UI" w:cs="Segoe UI"/>
          <w:iCs/>
          <w:sz w:val="20"/>
          <w:lang w:val="fr-FR"/>
        </w:rPr>
        <w:t>.</w:t>
      </w:r>
    </w:p>
    <w:p w14:paraId="353C4219" w14:textId="6ADD3B6B" w:rsidR="0081188C" w:rsidRPr="0081188C" w:rsidRDefault="0081188C" w:rsidP="00A538CE">
      <w:pPr>
        <w:pStyle w:val="Briefinglist1"/>
        <w:keepLines w:val="0"/>
        <w:numPr>
          <w:ilvl w:val="0"/>
          <w:numId w:val="0"/>
        </w:numPr>
        <w:spacing w:line="247" w:lineRule="auto"/>
        <w:rPr>
          <w:rFonts w:ascii="Segoe UI" w:hAnsi="Segoe UI" w:cs="Segoe UI"/>
          <w:b/>
          <w:i/>
          <w:iCs/>
          <w:sz w:val="20"/>
          <w:lang w:val="fr-FR"/>
        </w:rPr>
      </w:pPr>
      <w:r w:rsidRPr="0081188C">
        <w:rPr>
          <w:rFonts w:ascii="Segoe UI" w:hAnsi="Segoe UI" w:cs="Segoe UI"/>
          <w:b/>
          <w:i/>
          <w:iCs/>
          <w:sz w:val="20"/>
          <w:lang w:val="fr-FR"/>
        </w:rPr>
        <w:t>Commentaires</w:t>
      </w:r>
    </w:p>
    <w:p w14:paraId="73375018" w14:textId="77777777" w:rsidR="0081188C" w:rsidRDefault="0081188C" w:rsidP="00A538CE">
      <w:pPr>
        <w:pStyle w:val="Briefinglist1"/>
        <w:keepLines w:val="0"/>
        <w:numPr>
          <w:ilvl w:val="0"/>
          <w:numId w:val="0"/>
        </w:numPr>
        <w:spacing w:line="247" w:lineRule="auto"/>
        <w:rPr>
          <w:rFonts w:ascii="Segoe UI" w:hAnsi="Segoe UI" w:cs="Segoe UI"/>
          <w:i/>
          <w:iCs/>
          <w:sz w:val="20"/>
          <w:lang w:val="fr-FR"/>
        </w:rPr>
      </w:pPr>
      <w:r>
        <w:rPr>
          <w:rFonts w:ascii="Segoe UI" w:hAnsi="Segoe UI" w:cs="Segoe UI"/>
          <w:i/>
          <w:iCs/>
          <w:sz w:val="20"/>
          <w:lang w:val="fr-FR"/>
        </w:rPr>
        <w:t>Les performances exceptionnelles de l’économie en 2022 ont permis à l’Arabie saoudite de renouer avec un budget en excédent, ce qui ne s’était pas produit depuis 2013.</w:t>
      </w:r>
    </w:p>
    <w:p w14:paraId="63C07F37" w14:textId="165EB8B6" w:rsidR="0081188C" w:rsidRPr="0081188C" w:rsidRDefault="00971BE5" w:rsidP="00A538CE">
      <w:pPr>
        <w:pStyle w:val="Briefinglist1"/>
        <w:keepLines w:val="0"/>
        <w:numPr>
          <w:ilvl w:val="0"/>
          <w:numId w:val="0"/>
        </w:numPr>
        <w:spacing w:line="247" w:lineRule="auto"/>
        <w:rPr>
          <w:rFonts w:ascii="Segoe UI" w:hAnsi="Segoe UI" w:cs="Segoe UI"/>
          <w:i/>
          <w:iCs/>
          <w:sz w:val="20"/>
          <w:lang w:val="fr-FR"/>
        </w:rPr>
      </w:pPr>
      <w:r>
        <w:rPr>
          <w:rFonts w:ascii="Segoe UI" w:hAnsi="Segoe UI" w:cs="Segoe UI"/>
          <w:i/>
          <w:iCs/>
          <w:sz w:val="20"/>
          <w:lang w:val="fr-FR"/>
        </w:rPr>
        <w:t>P</w:t>
      </w:r>
      <w:r w:rsidR="0081188C">
        <w:rPr>
          <w:rFonts w:ascii="Segoe UI" w:hAnsi="Segoe UI" w:cs="Segoe UI"/>
          <w:i/>
          <w:iCs/>
          <w:sz w:val="20"/>
          <w:lang w:val="fr-FR"/>
        </w:rPr>
        <w:t xml:space="preserve">résenté </w:t>
      </w:r>
      <w:r w:rsidR="00637506">
        <w:rPr>
          <w:rFonts w:ascii="Segoe UI" w:hAnsi="Segoe UI" w:cs="Segoe UI"/>
          <w:i/>
          <w:iCs/>
          <w:sz w:val="20"/>
          <w:lang w:val="fr-FR"/>
        </w:rPr>
        <w:t xml:space="preserve">avec un excédent </w:t>
      </w:r>
      <w:r>
        <w:rPr>
          <w:rFonts w:ascii="Segoe UI" w:hAnsi="Segoe UI" w:cs="Segoe UI"/>
          <w:i/>
          <w:iCs/>
          <w:sz w:val="20"/>
          <w:lang w:val="fr-FR"/>
        </w:rPr>
        <w:t xml:space="preserve">en très net retrait, le budget 2023 se base sur une hypothèse de croissance conservatrice (3,1%) </w:t>
      </w:r>
      <w:r w:rsidR="00637506">
        <w:rPr>
          <w:rFonts w:ascii="Segoe UI" w:hAnsi="Segoe UI" w:cs="Segoe UI"/>
          <w:i/>
          <w:iCs/>
          <w:sz w:val="20"/>
          <w:lang w:val="fr-FR"/>
        </w:rPr>
        <w:t>e</w:t>
      </w:r>
      <w:r>
        <w:rPr>
          <w:rFonts w:ascii="Segoe UI" w:hAnsi="Segoe UI" w:cs="Segoe UI"/>
          <w:i/>
          <w:iCs/>
          <w:sz w:val="20"/>
          <w:lang w:val="fr-FR"/>
        </w:rPr>
        <w:t>t intègre une prévision de cours du baril prudente.</w:t>
      </w:r>
    </w:p>
    <w:p w14:paraId="3F4FAE33" w14:textId="072F51E1" w:rsidR="00D07973" w:rsidRDefault="00D07973">
      <w:pPr>
        <w:rPr>
          <w:rFonts w:ascii="Segoe UI" w:eastAsia="Times New Roman" w:hAnsi="Segoe UI" w:cs="Segoe UI"/>
          <w:iCs/>
          <w:color w:val="222222"/>
          <w:sz w:val="20"/>
          <w:szCs w:val="20"/>
          <w:lang w:eastAsia="fr-FR"/>
        </w:rPr>
      </w:pPr>
      <w:r>
        <w:rPr>
          <w:rFonts w:ascii="Segoe UI" w:eastAsia="Times New Roman" w:hAnsi="Segoe UI" w:cs="Segoe UI"/>
          <w:iCs/>
          <w:color w:val="222222"/>
          <w:sz w:val="20"/>
          <w:szCs w:val="20"/>
          <w:lang w:eastAsia="fr-FR"/>
        </w:rPr>
        <w:br w:type="page"/>
      </w:r>
    </w:p>
    <w:p w14:paraId="41911731" w14:textId="34972D6A" w:rsidR="00916EAB" w:rsidRPr="003A07A1" w:rsidRDefault="008F4678" w:rsidP="00D07973">
      <w:pPr>
        <w:spacing w:after="120" w:line="247" w:lineRule="auto"/>
        <w:jc w:val="center"/>
        <w:rPr>
          <w:rFonts w:ascii="Segoe UI" w:eastAsia="Calibri" w:hAnsi="Segoe UI" w:cs="Segoe UI"/>
          <w:b/>
          <w:color w:val="006CE5"/>
          <w:sz w:val="28"/>
          <w:szCs w:val="30"/>
          <w:lang w:eastAsia="fr-FR"/>
        </w:rPr>
      </w:pPr>
      <w:r w:rsidRPr="003A07A1">
        <w:rPr>
          <w:rFonts w:ascii="Segoe UI" w:eastAsia="Calibri" w:hAnsi="Segoe UI" w:cs="Segoe UI"/>
          <w:b/>
          <w:color w:val="006CE5"/>
          <w:sz w:val="28"/>
          <w:szCs w:val="30"/>
          <w:lang w:eastAsia="fr-FR"/>
        </w:rPr>
        <w:lastRenderedPageBreak/>
        <w:t>Annexes</w:t>
      </w:r>
      <w:r w:rsidR="00011C39" w:rsidRPr="003A07A1">
        <w:rPr>
          <w:rFonts w:ascii="Segoe UI" w:eastAsia="Calibri" w:hAnsi="Segoe UI" w:cs="Segoe UI"/>
          <w:b/>
          <w:color w:val="006CE5"/>
          <w:sz w:val="28"/>
          <w:szCs w:val="30"/>
          <w:lang w:eastAsia="fr-FR"/>
        </w:rPr>
        <w:t xml:space="preserve"> : </w:t>
      </w:r>
      <w:r w:rsidR="009356DF" w:rsidRPr="003A07A1">
        <w:rPr>
          <w:rFonts w:ascii="Segoe UI" w:eastAsia="Calibri" w:hAnsi="Segoe UI" w:cs="Segoe UI"/>
          <w:b/>
          <w:color w:val="006CE5"/>
          <w:sz w:val="28"/>
          <w:szCs w:val="30"/>
          <w:lang w:eastAsia="fr-FR"/>
        </w:rPr>
        <w:t>e</w:t>
      </w:r>
      <w:r w:rsidR="00F757C1" w:rsidRPr="003A07A1">
        <w:rPr>
          <w:rFonts w:ascii="Segoe UI" w:eastAsia="Calibri" w:hAnsi="Segoe UI" w:cs="Segoe UI"/>
          <w:b/>
          <w:color w:val="006CE5"/>
          <w:sz w:val="28"/>
          <w:szCs w:val="30"/>
          <w:lang w:eastAsia="fr-FR"/>
        </w:rPr>
        <w:t>xécution budgétaire</w:t>
      </w: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11C39" w:rsidRPr="003A07A1" w14:paraId="1C4CDE80" w14:textId="77777777" w:rsidTr="00F757C1">
        <w:trPr>
          <w:trHeight w:val="3235"/>
        </w:trPr>
        <w:tc>
          <w:tcPr>
            <w:tcW w:w="9344" w:type="dxa"/>
          </w:tcPr>
          <w:tbl>
            <w:tblPr>
              <w:tblStyle w:val="TableauGrille4-Accentuation5"/>
              <w:tblpPr w:leftFromText="141" w:rightFromText="141" w:vertAnchor="page" w:horzAnchor="margin" w:tblpY="281"/>
              <w:tblOverlap w:val="never"/>
              <w:tblW w:w="9118" w:type="dxa"/>
              <w:tblLook w:val="04E0" w:firstRow="1" w:lastRow="1" w:firstColumn="1" w:lastColumn="0" w:noHBand="0" w:noVBand="1"/>
            </w:tblPr>
            <w:tblGrid>
              <w:gridCol w:w="4751"/>
              <w:gridCol w:w="1696"/>
              <w:gridCol w:w="1577"/>
              <w:gridCol w:w="1094"/>
            </w:tblGrid>
            <w:tr w:rsidR="00011C39" w:rsidRPr="003A07A1" w14:paraId="0DA6B7DD" w14:textId="77777777" w:rsidTr="00011C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51" w:type="dxa"/>
                  <w:noWrap/>
                  <w:hideMark/>
                </w:tcPr>
                <w:p w14:paraId="6148C6DA" w14:textId="299860EB" w:rsidR="00011C39" w:rsidRPr="003A07A1" w:rsidRDefault="00011C39" w:rsidP="00011C39">
                  <w:pPr>
                    <w:rPr>
                      <w:rFonts w:ascii="Calibri" w:eastAsia="Times New Roman" w:hAnsi="Calibri" w:cs="Calibri"/>
                      <w:b w:val="0"/>
                      <w:bCs w:val="0"/>
                      <w:color w:val="006CE5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sz w:val="18"/>
                      <w:szCs w:val="18"/>
                      <w:lang w:eastAsia="fr-FR"/>
                    </w:rPr>
                    <w:t>(En USD)</w:t>
                  </w:r>
                </w:p>
              </w:tc>
              <w:tc>
                <w:tcPr>
                  <w:tcW w:w="1696" w:type="dxa"/>
                  <w:noWrap/>
                  <w:hideMark/>
                </w:tcPr>
                <w:p w14:paraId="4001950D" w14:textId="77777777" w:rsidR="00011C39" w:rsidRPr="003A07A1" w:rsidRDefault="00011C39" w:rsidP="00011C3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FFFFFF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FFFFFF"/>
                      <w:lang w:eastAsia="fr-FR"/>
                    </w:rPr>
                    <w:t>2021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14:paraId="17BFF73B" w14:textId="77777777" w:rsidR="00011C39" w:rsidRPr="003A07A1" w:rsidRDefault="00011C39" w:rsidP="00011C3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FFFFFF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FFFFFF"/>
                      <w:lang w:eastAsia="fr-FR"/>
                    </w:rPr>
                    <w:t>2022</w:t>
                  </w:r>
                </w:p>
                <w:p w14:paraId="3A7C4E4D" w14:textId="77777777" w:rsidR="00011C39" w:rsidRPr="003A07A1" w:rsidRDefault="00011C39" w:rsidP="00011C3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FFFFFF"/>
                      <w:lang w:eastAsia="fr-FR"/>
                    </w:rPr>
                  </w:pPr>
                </w:p>
              </w:tc>
              <w:tc>
                <w:tcPr>
                  <w:tcW w:w="1094" w:type="dxa"/>
                  <w:noWrap/>
                  <w:hideMark/>
                </w:tcPr>
                <w:p w14:paraId="4DD4BED5" w14:textId="77777777" w:rsidR="00011C39" w:rsidRPr="003A07A1" w:rsidRDefault="00011C39" w:rsidP="00011C3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FFFFFF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FFFFFF"/>
                      <w:lang w:eastAsia="fr-FR"/>
                    </w:rPr>
                    <w:t xml:space="preserve">Evolution </w:t>
                  </w:r>
                </w:p>
                <w:p w14:paraId="75A9C991" w14:textId="77777777" w:rsidR="00011C39" w:rsidRPr="003A07A1" w:rsidRDefault="00011C39" w:rsidP="00011C3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FFFFFF"/>
                      <w:lang w:eastAsia="fr-FR"/>
                    </w:rPr>
                  </w:pPr>
                </w:p>
              </w:tc>
            </w:tr>
            <w:tr w:rsidR="00011C39" w:rsidRPr="003A07A1" w14:paraId="3ED4DD51" w14:textId="77777777" w:rsidTr="00011C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51" w:type="dxa"/>
                  <w:noWrap/>
                  <w:hideMark/>
                </w:tcPr>
                <w:p w14:paraId="4FE85A3F" w14:textId="77777777" w:rsidR="00011C39" w:rsidRPr="003A07A1" w:rsidRDefault="00011C39" w:rsidP="00011C39">
                  <w:pPr>
                    <w:rPr>
                      <w:rFonts w:ascii="Calibri" w:eastAsia="Times New Roman" w:hAnsi="Calibri" w:cs="Calibri"/>
                      <w:b w:val="0"/>
                      <w:bCs w:val="0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b w:val="0"/>
                      <w:bCs w:val="0"/>
                      <w:color w:val="000000"/>
                      <w:lang w:eastAsia="fr-FR"/>
                    </w:rPr>
                    <w:t>Recettes pétrolières</w:t>
                  </w:r>
                </w:p>
              </w:tc>
              <w:tc>
                <w:tcPr>
                  <w:tcW w:w="1696" w:type="dxa"/>
                  <w:noWrap/>
                  <w:hideMark/>
                </w:tcPr>
                <w:p w14:paraId="1FDB0F3C" w14:textId="1F1456F4" w:rsidR="00011C39" w:rsidRPr="003A07A1" w:rsidRDefault="00BD00BA" w:rsidP="00916EAB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149 917 600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14:paraId="31E43D4D" w14:textId="0388C382" w:rsidR="00011C39" w:rsidRPr="003A07A1" w:rsidRDefault="00BD00BA" w:rsidP="00916EAB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228 605 867</w:t>
                  </w:r>
                </w:p>
              </w:tc>
              <w:tc>
                <w:tcPr>
                  <w:tcW w:w="1094" w:type="dxa"/>
                  <w:noWrap/>
                  <w:hideMark/>
                </w:tcPr>
                <w:p w14:paraId="1C1077E9" w14:textId="36976769" w:rsidR="00011C39" w:rsidRPr="003A07A1" w:rsidRDefault="00011C39" w:rsidP="00916EAB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+</w:t>
                  </w:r>
                  <w:r w:rsidR="008266CA"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52</w:t>
                  </w:r>
                  <w:r w:rsidR="007D7D80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%</w:t>
                  </w:r>
                </w:p>
              </w:tc>
            </w:tr>
            <w:tr w:rsidR="00011C39" w:rsidRPr="003A07A1" w14:paraId="204C5D8B" w14:textId="77777777" w:rsidTr="00011C39">
              <w:trPr>
                <w:trHeight w:val="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51" w:type="dxa"/>
                  <w:noWrap/>
                </w:tcPr>
                <w:p w14:paraId="073B44B2" w14:textId="77777777" w:rsidR="00011C39" w:rsidRPr="003A07A1" w:rsidRDefault="00011C39" w:rsidP="00011C39">
                  <w:pPr>
                    <w:rPr>
                      <w:rFonts w:ascii="Calibri" w:eastAsia="Times New Roman" w:hAnsi="Calibri" w:cs="Calibri"/>
                      <w:b w:val="0"/>
                      <w:bCs w:val="0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b w:val="0"/>
                      <w:bCs w:val="0"/>
                      <w:color w:val="000000"/>
                      <w:lang w:eastAsia="fr-FR"/>
                    </w:rPr>
                    <w:t>Recettes non pétrolières</w:t>
                  </w:r>
                </w:p>
              </w:tc>
              <w:tc>
                <w:tcPr>
                  <w:tcW w:w="1696" w:type="dxa"/>
                  <w:noWrap/>
                </w:tcPr>
                <w:p w14:paraId="07C71318" w14:textId="140F3D27" w:rsidR="00011C39" w:rsidRPr="003A07A1" w:rsidRDefault="008266CA" w:rsidP="00916EAB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</w:rPr>
                  </w:pPr>
                  <w:r w:rsidRPr="003A07A1">
                    <w:rPr>
                      <w:rFonts w:ascii="Calibri" w:hAnsi="Calibri" w:cs="Calibri"/>
                      <w:color w:val="000000"/>
                    </w:rPr>
                    <w:t>107 545 333</w:t>
                  </w:r>
                </w:p>
              </w:tc>
              <w:tc>
                <w:tcPr>
                  <w:tcW w:w="1577" w:type="dxa"/>
                  <w:noWrap/>
                </w:tcPr>
                <w:p w14:paraId="7B343C8F" w14:textId="423C4914" w:rsidR="00011C39" w:rsidRPr="003A07A1" w:rsidRDefault="008266CA" w:rsidP="00916EAB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109 570 933</w:t>
                  </w:r>
                </w:p>
              </w:tc>
              <w:tc>
                <w:tcPr>
                  <w:tcW w:w="1094" w:type="dxa"/>
                  <w:noWrap/>
                </w:tcPr>
                <w:p w14:paraId="1E0426AC" w14:textId="6966EE8D" w:rsidR="00011C39" w:rsidRPr="003A07A1" w:rsidRDefault="008266CA" w:rsidP="00916EAB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2</w:t>
                  </w:r>
                  <w:r w:rsidR="007D7D80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  <w:r w:rsidR="00011C39"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%</w:t>
                  </w:r>
                </w:p>
              </w:tc>
            </w:tr>
            <w:tr w:rsidR="00011C39" w:rsidRPr="003A07A1" w14:paraId="1B1280CE" w14:textId="77777777" w:rsidTr="00011C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51" w:type="dxa"/>
                  <w:noWrap/>
                </w:tcPr>
                <w:p w14:paraId="2CAD54CB" w14:textId="77777777" w:rsidR="00011C39" w:rsidRPr="003A07A1" w:rsidRDefault="00011C39" w:rsidP="00011C39">
                  <w:pPr>
                    <w:rPr>
                      <w:rFonts w:ascii="Calibri" w:eastAsia="Times New Roman" w:hAnsi="Calibri" w:cs="Calibri"/>
                      <w:b w:val="0"/>
                      <w:bCs w:val="0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Recettes budgétaires totales</w:t>
                  </w:r>
                  <w:r w:rsidRPr="003A07A1">
                    <w:rPr>
                      <w:rFonts w:ascii="Calibri" w:eastAsia="Times New Roman" w:hAnsi="Calibri" w:cs="Calibri"/>
                      <w:b w:val="0"/>
                      <w:bCs w:val="0"/>
                      <w:color w:val="000000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6" w:type="dxa"/>
                  <w:noWrap/>
                </w:tcPr>
                <w:p w14:paraId="109ACB89" w14:textId="23984159" w:rsidR="00011C39" w:rsidRPr="003A07A1" w:rsidRDefault="008266CA" w:rsidP="00916EAB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257 462 933</w:t>
                  </w:r>
                </w:p>
              </w:tc>
              <w:tc>
                <w:tcPr>
                  <w:tcW w:w="1577" w:type="dxa"/>
                  <w:noWrap/>
                </w:tcPr>
                <w:p w14:paraId="1D7F0DCE" w14:textId="147C3624" w:rsidR="00011C39" w:rsidRPr="003A07A1" w:rsidRDefault="008266CA" w:rsidP="00916EAB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338 177 067</w:t>
                  </w:r>
                </w:p>
              </w:tc>
              <w:tc>
                <w:tcPr>
                  <w:tcW w:w="1094" w:type="dxa"/>
                  <w:noWrap/>
                </w:tcPr>
                <w:p w14:paraId="2E4152CE" w14:textId="2CDA7509" w:rsidR="00011C39" w:rsidRPr="003A07A1" w:rsidRDefault="00011C39" w:rsidP="00916EAB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+3</w:t>
                  </w:r>
                  <w:r w:rsidR="008266CA" w:rsidRPr="003A07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1</w:t>
                  </w:r>
                  <w:r w:rsidR="007D7D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 </w:t>
                  </w:r>
                  <w:r w:rsidRPr="003A07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%</w:t>
                  </w:r>
                </w:p>
              </w:tc>
            </w:tr>
            <w:tr w:rsidR="00011C39" w:rsidRPr="003A07A1" w14:paraId="320F7281" w14:textId="77777777" w:rsidTr="00011C3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51" w:type="dxa"/>
                  <w:noWrap/>
                </w:tcPr>
                <w:p w14:paraId="2FE41BC1" w14:textId="77777777" w:rsidR="00011C39" w:rsidRPr="003A07A1" w:rsidRDefault="00011C39" w:rsidP="00011C3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696" w:type="dxa"/>
                  <w:noWrap/>
                  <w:hideMark/>
                </w:tcPr>
                <w:p w14:paraId="5D098870" w14:textId="77777777" w:rsidR="00011C39" w:rsidRPr="003A07A1" w:rsidRDefault="00011C39" w:rsidP="00916EAB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577" w:type="dxa"/>
                  <w:noWrap/>
                  <w:hideMark/>
                </w:tcPr>
                <w:p w14:paraId="51C41BE9" w14:textId="77777777" w:rsidR="00011C39" w:rsidRPr="003A07A1" w:rsidRDefault="00011C39" w:rsidP="00916EAB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094" w:type="dxa"/>
                  <w:noWrap/>
                  <w:hideMark/>
                </w:tcPr>
                <w:p w14:paraId="6B6F90B5" w14:textId="77777777" w:rsidR="00011C39" w:rsidRPr="003A07A1" w:rsidRDefault="00011C39" w:rsidP="00916EAB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011C39" w:rsidRPr="003A07A1" w14:paraId="7D9D20E1" w14:textId="77777777" w:rsidTr="00011C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51" w:type="dxa"/>
                  <w:noWrap/>
                  <w:hideMark/>
                </w:tcPr>
                <w:p w14:paraId="15A8975B" w14:textId="77777777" w:rsidR="00011C39" w:rsidRPr="003A07A1" w:rsidRDefault="00011C39" w:rsidP="00011C39">
                  <w:pPr>
                    <w:rPr>
                      <w:rFonts w:ascii="Segoe UI" w:eastAsia="Times New Roman" w:hAnsi="Segoe UI" w:cs="Segoe UI"/>
                      <w:b w:val="0"/>
                      <w:bCs w:val="0"/>
                      <w:color w:val="000000"/>
                      <w:sz w:val="20"/>
                      <w:szCs w:val="20"/>
                      <w:lang w:eastAsia="fr-FR"/>
                    </w:rPr>
                  </w:pPr>
                  <w:r w:rsidRPr="003A07A1">
                    <w:rPr>
                      <w:rFonts w:ascii="Segoe UI" w:eastAsia="Times New Roman" w:hAnsi="Segoe UI" w:cs="Segoe UI"/>
                      <w:b w:val="0"/>
                      <w:bCs w:val="0"/>
                      <w:color w:val="000000"/>
                      <w:sz w:val="20"/>
                      <w:szCs w:val="20"/>
                      <w:lang w:eastAsia="fr-FR"/>
                    </w:rPr>
                    <w:t>Dépenses de fonctionnement (OPEX)</w:t>
                  </w:r>
                </w:p>
              </w:tc>
              <w:tc>
                <w:tcPr>
                  <w:tcW w:w="1696" w:type="dxa"/>
                  <w:noWrap/>
                  <w:hideMark/>
                </w:tcPr>
                <w:p w14:paraId="7FC34563" w14:textId="1825E0CB" w:rsidR="00011C39" w:rsidRPr="003A07A1" w:rsidRDefault="00E27E9A" w:rsidP="00916EAB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245 790 933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14:paraId="0149E42D" w14:textId="32E3145A" w:rsidR="00011C39" w:rsidRPr="003A07A1" w:rsidRDefault="00374570" w:rsidP="00916EAB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272 225 333</w:t>
                  </w:r>
                </w:p>
              </w:tc>
              <w:tc>
                <w:tcPr>
                  <w:tcW w:w="1094" w:type="dxa"/>
                  <w:noWrap/>
                  <w:hideMark/>
                </w:tcPr>
                <w:p w14:paraId="0AC3338B" w14:textId="53C89DA1" w:rsidR="00011C39" w:rsidRPr="003A07A1" w:rsidRDefault="00011C39" w:rsidP="00916EAB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+11</w:t>
                  </w:r>
                  <w:r w:rsidR="007D7D80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%</w:t>
                  </w:r>
                </w:p>
              </w:tc>
            </w:tr>
            <w:tr w:rsidR="00011C39" w:rsidRPr="003A07A1" w14:paraId="3ADBBF9C" w14:textId="77777777" w:rsidTr="00011C39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51" w:type="dxa"/>
                  <w:noWrap/>
                  <w:hideMark/>
                </w:tcPr>
                <w:p w14:paraId="100344BA" w14:textId="77777777" w:rsidR="00011C39" w:rsidRPr="003A07A1" w:rsidRDefault="00011C39" w:rsidP="00011C39">
                  <w:pPr>
                    <w:rPr>
                      <w:rFonts w:ascii="Segoe UI" w:eastAsia="Times New Roman" w:hAnsi="Segoe UI" w:cs="Segoe UI"/>
                      <w:b w:val="0"/>
                      <w:bCs w:val="0"/>
                      <w:color w:val="000000"/>
                      <w:sz w:val="20"/>
                      <w:szCs w:val="20"/>
                      <w:lang w:eastAsia="fr-FR"/>
                    </w:rPr>
                  </w:pPr>
                  <w:r w:rsidRPr="003A07A1">
                    <w:rPr>
                      <w:rFonts w:ascii="Segoe UI" w:eastAsia="Times New Roman" w:hAnsi="Segoe UI" w:cs="Segoe UI"/>
                      <w:b w:val="0"/>
                      <w:bCs w:val="0"/>
                      <w:color w:val="000000"/>
                      <w:sz w:val="20"/>
                      <w:szCs w:val="20"/>
                      <w:lang w:eastAsia="fr-FR"/>
                    </w:rPr>
                    <w:t>Dépenses d’investissement (CAPEX)</w:t>
                  </w:r>
                </w:p>
              </w:tc>
              <w:tc>
                <w:tcPr>
                  <w:tcW w:w="1696" w:type="dxa"/>
                  <w:noWrap/>
                  <w:hideMark/>
                </w:tcPr>
                <w:p w14:paraId="68703B81" w14:textId="64530F2E" w:rsidR="00011C39" w:rsidRPr="003A07A1" w:rsidRDefault="00E27E9A" w:rsidP="00916EAB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31 257 867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14:paraId="34A7BCF3" w14:textId="3437EB9A" w:rsidR="00011C39" w:rsidRPr="003A07A1" w:rsidRDefault="00E27E9A" w:rsidP="00916EAB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38 257 067</w:t>
                  </w:r>
                </w:p>
              </w:tc>
              <w:tc>
                <w:tcPr>
                  <w:tcW w:w="1094" w:type="dxa"/>
                  <w:noWrap/>
                  <w:hideMark/>
                </w:tcPr>
                <w:p w14:paraId="22087E23" w14:textId="01A0DB00" w:rsidR="00011C39" w:rsidRPr="003A07A1" w:rsidRDefault="00011C39" w:rsidP="00916EAB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+</w:t>
                  </w:r>
                  <w:r w:rsidR="00E27E9A"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22</w:t>
                  </w:r>
                  <w:r w:rsidR="007D7D80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%</w:t>
                  </w:r>
                </w:p>
              </w:tc>
            </w:tr>
            <w:tr w:rsidR="00011C39" w:rsidRPr="003A07A1" w14:paraId="57E3561B" w14:textId="77777777" w:rsidTr="00011C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51" w:type="dxa"/>
                  <w:noWrap/>
                  <w:hideMark/>
                </w:tcPr>
                <w:p w14:paraId="1B5294AC" w14:textId="77777777" w:rsidR="00011C39" w:rsidRPr="003A07A1" w:rsidRDefault="00011C39" w:rsidP="00011C39">
                  <w:pP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Dépenses budgétaires totales</w:t>
                  </w:r>
                </w:p>
              </w:tc>
              <w:tc>
                <w:tcPr>
                  <w:tcW w:w="1696" w:type="dxa"/>
                  <w:noWrap/>
                  <w:hideMark/>
                </w:tcPr>
                <w:p w14:paraId="4A1E4B86" w14:textId="34B37BE3" w:rsidR="00011C39" w:rsidRPr="003A07A1" w:rsidRDefault="008266CA" w:rsidP="00916EAB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277 048 800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14:paraId="074420A3" w14:textId="791FA710" w:rsidR="00011C39" w:rsidRPr="003A07A1" w:rsidRDefault="008266CA" w:rsidP="00916EAB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310 482 400</w:t>
                  </w:r>
                </w:p>
              </w:tc>
              <w:tc>
                <w:tcPr>
                  <w:tcW w:w="1094" w:type="dxa"/>
                  <w:noWrap/>
                  <w:hideMark/>
                </w:tcPr>
                <w:p w14:paraId="5BA4AF3B" w14:textId="12FE30A5" w:rsidR="00011C39" w:rsidRPr="003A07A1" w:rsidRDefault="00011C39" w:rsidP="00916EAB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+1</w:t>
                  </w:r>
                  <w:r w:rsidR="00E27E9A" w:rsidRPr="003A07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2</w:t>
                  </w:r>
                  <w:r w:rsidR="007D7D8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 </w:t>
                  </w:r>
                  <w:r w:rsidRPr="003A07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%</w:t>
                  </w:r>
                </w:p>
              </w:tc>
            </w:tr>
            <w:tr w:rsidR="00011C39" w:rsidRPr="003A07A1" w14:paraId="1D918549" w14:textId="77777777" w:rsidTr="00011C39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51" w:type="dxa"/>
                  <w:noWrap/>
                  <w:hideMark/>
                </w:tcPr>
                <w:p w14:paraId="476B2452" w14:textId="77777777" w:rsidR="00011C39" w:rsidRPr="003A07A1" w:rsidRDefault="00011C39" w:rsidP="00011C39">
                  <w:pPr>
                    <w:rPr>
                      <w:rFonts w:ascii="Calibri" w:eastAsia="Times New Roman" w:hAnsi="Calibri" w:cs="Calibri"/>
                      <w:b w:val="0"/>
                      <w:bCs w:val="0"/>
                      <w:i/>
                      <w:iCs/>
                      <w:color w:val="000000"/>
                      <w:lang w:eastAsia="fr-FR"/>
                    </w:rPr>
                  </w:pPr>
                  <w:r w:rsidRPr="003A07A1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fr-FR"/>
                    </w:rPr>
                    <w:t>Solde budgétaire</w:t>
                  </w:r>
                </w:p>
              </w:tc>
              <w:tc>
                <w:tcPr>
                  <w:tcW w:w="1696" w:type="dxa"/>
                  <w:noWrap/>
                  <w:hideMark/>
                </w:tcPr>
                <w:p w14:paraId="745D47CF" w14:textId="35F87B83" w:rsidR="00011C39" w:rsidRPr="003A07A1" w:rsidRDefault="00374570" w:rsidP="00374570">
                  <w:pPr>
                    <w:jc w:val="right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bCs w:val="0"/>
                      <w:color w:val="9C0006"/>
                    </w:rPr>
                  </w:pPr>
                  <w:r w:rsidRPr="003A07A1">
                    <w:rPr>
                      <w:rFonts w:ascii="Calibri" w:hAnsi="Calibri" w:cs="Calibri"/>
                      <w:b w:val="0"/>
                      <w:bCs w:val="0"/>
                      <w:color w:val="9C0006"/>
                    </w:rPr>
                    <w:t>-19 585 867</w:t>
                  </w:r>
                </w:p>
              </w:tc>
              <w:tc>
                <w:tcPr>
                  <w:tcW w:w="1577" w:type="dxa"/>
                  <w:noWrap/>
                  <w:hideMark/>
                </w:tcPr>
                <w:p w14:paraId="3998D13A" w14:textId="7A303471" w:rsidR="00011C39" w:rsidRPr="003A07A1" w:rsidRDefault="00374570" w:rsidP="00374570">
                  <w:pPr>
                    <w:jc w:val="right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bCs w:val="0"/>
                      <w:color w:val="006100"/>
                    </w:rPr>
                  </w:pPr>
                  <w:r w:rsidRPr="003A07A1">
                    <w:rPr>
                      <w:rFonts w:ascii="Calibri" w:hAnsi="Calibri" w:cs="Calibri"/>
                      <w:b w:val="0"/>
                      <w:bCs w:val="0"/>
                      <w:color w:val="006100"/>
                    </w:rPr>
                    <w:t>27 694 667</w:t>
                  </w:r>
                </w:p>
              </w:tc>
              <w:tc>
                <w:tcPr>
                  <w:tcW w:w="1094" w:type="dxa"/>
                  <w:noWrap/>
                  <w:hideMark/>
                </w:tcPr>
                <w:p w14:paraId="369F6FD1" w14:textId="77777777" w:rsidR="00011C39" w:rsidRPr="003A07A1" w:rsidRDefault="00011C39" w:rsidP="00916EAB">
                  <w:pPr>
                    <w:jc w:val="right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 w:val="0"/>
                      <w:bCs w:val="0"/>
                      <w:i/>
                      <w:iCs/>
                      <w:color w:val="000000"/>
                      <w:lang w:eastAsia="fr-FR"/>
                    </w:rPr>
                  </w:pPr>
                </w:p>
              </w:tc>
            </w:tr>
          </w:tbl>
          <w:p w14:paraId="32C72115" w14:textId="59EC39F4" w:rsidR="007161A1" w:rsidRPr="003A07A1" w:rsidRDefault="007161A1" w:rsidP="00F757C1">
            <w:pPr>
              <w:pStyle w:val="Paragraphedeliste"/>
              <w:spacing w:after="120" w:line="247" w:lineRule="auto"/>
              <w:ind w:left="420"/>
              <w:jc w:val="center"/>
              <w:rPr>
                <w:rFonts w:ascii="Segoe UI" w:eastAsia="SimSun" w:hAnsi="Segoe UI" w:cs="Segoe UI"/>
                <w:b/>
                <w:iCs/>
                <w:sz w:val="20"/>
                <w:szCs w:val="20"/>
                <w:lang w:eastAsia="ja-JP"/>
              </w:rPr>
            </w:pPr>
          </w:p>
        </w:tc>
      </w:tr>
      <w:tr w:rsidR="00011C39" w:rsidRPr="003A07A1" w14:paraId="4C2DEAD4" w14:textId="77777777" w:rsidTr="00F757C1">
        <w:tblPrEx>
          <w:tblCellMar>
            <w:left w:w="70" w:type="dxa"/>
            <w:right w:w="70" w:type="dxa"/>
          </w:tblCellMar>
        </w:tblPrEx>
        <w:tc>
          <w:tcPr>
            <w:tcW w:w="9344" w:type="dxa"/>
          </w:tcPr>
          <w:p w14:paraId="4C008CFF" w14:textId="075B6BC9" w:rsidR="0062210E" w:rsidRPr="003A07A1" w:rsidRDefault="0062210E" w:rsidP="00153809">
            <w:pPr>
              <w:pStyle w:val="Paragraphedeliste"/>
              <w:spacing w:after="120" w:line="247" w:lineRule="auto"/>
              <w:ind w:left="420"/>
              <w:rPr>
                <w:rFonts w:ascii="Segoe UI" w:eastAsia="SimSun" w:hAnsi="Segoe UI" w:cs="Segoe UI"/>
                <w:b/>
                <w:iCs/>
                <w:sz w:val="20"/>
                <w:szCs w:val="20"/>
                <w:lang w:eastAsia="ja-JP"/>
              </w:rPr>
            </w:pPr>
            <w:r w:rsidRPr="003A07A1">
              <w:rPr>
                <w:rFonts w:ascii="Segoe UI" w:eastAsia="SimSun" w:hAnsi="Segoe UI" w:cs="Segoe UI"/>
                <w:b/>
                <w:iCs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7DE83E5" wp14:editId="21FA7475">
                  <wp:extent cx="5358326" cy="2378194"/>
                  <wp:effectExtent l="0" t="0" r="0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283" cy="23852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182975" w14:textId="24661BF7" w:rsidR="008F4678" w:rsidRPr="00BA0129" w:rsidRDefault="00BA0129" w:rsidP="00A757E3">
      <w:pPr>
        <w:spacing w:after="120" w:line="247" w:lineRule="auto"/>
        <w:jc w:val="both"/>
        <w:rPr>
          <w:rFonts w:ascii="Segoe UI" w:eastAsia="SimSun" w:hAnsi="Segoe UI" w:cs="Segoe UI"/>
          <w:bCs/>
          <w:iCs/>
          <w:sz w:val="20"/>
          <w:szCs w:val="20"/>
          <w:lang w:val="en-US" w:eastAsia="ja-JP"/>
        </w:rPr>
      </w:pPr>
      <w:r w:rsidRPr="003A07A1">
        <w:rPr>
          <w:rFonts w:ascii="Segoe UI" w:hAnsi="Segoe UI" w:cs="Segoe UI"/>
          <w:lang w:val="en-US"/>
        </w:rPr>
        <w:t xml:space="preserve">Source: </w:t>
      </w:r>
      <w:hyperlink r:id="rId15" w:history="1">
        <w:r w:rsidRPr="003A07A1">
          <w:rPr>
            <w:rStyle w:val="Lienhypertexte"/>
            <w:rFonts w:ascii="Segoe UI" w:hAnsi="Segoe UI" w:cs="Segoe UI"/>
            <w:lang w:val="en-US"/>
          </w:rPr>
          <w:t>Ministry of Finance (MoF)</w:t>
        </w:r>
      </w:hyperlink>
    </w:p>
    <w:sectPr w:rsidR="008F4678" w:rsidRPr="00BA0129" w:rsidSect="00BE33E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E3E2D" w14:textId="77777777" w:rsidR="003F1CB3" w:rsidRDefault="003F1CB3" w:rsidP="00E7106E">
      <w:pPr>
        <w:spacing w:after="0" w:line="240" w:lineRule="auto"/>
      </w:pPr>
      <w:r>
        <w:separator/>
      </w:r>
    </w:p>
  </w:endnote>
  <w:endnote w:type="continuationSeparator" w:id="0">
    <w:p w14:paraId="4E5BFAE3" w14:textId="77777777" w:rsidR="003F1CB3" w:rsidRDefault="003F1CB3" w:rsidP="00E7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Gras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683035"/>
      <w:docPartObj>
        <w:docPartGallery w:val="Page Numbers (Bottom of Page)"/>
        <w:docPartUnique/>
      </w:docPartObj>
    </w:sdtPr>
    <w:sdtEndPr/>
    <w:sdtContent>
      <w:p w14:paraId="63940CCD" w14:textId="62AF395A" w:rsidR="00450FD9" w:rsidRDefault="00450FD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F58">
          <w:rPr>
            <w:noProof/>
          </w:rPr>
          <w:t>3</w:t>
        </w:r>
        <w:r>
          <w:fldChar w:fldCharType="end"/>
        </w:r>
      </w:p>
    </w:sdtContent>
  </w:sdt>
  <w:p w14:paraId="74006D73" w14:textId="3BDE8B55" w:rsidR="003D1095" w:rsidRPr="00AE728E" w:rsidRDefault="003D1095" w:rsidP="00FE1BA3">
    <w:pPr>
      <w:pStyle w:val="Pieddepage"/>
      <w:tabs>
        <w:tab w:val="clear" w:pos="4536"/>
        <w:tab w:val="clear" w:pos="9072"/>
      </w:tabs>
      <w:rPr>
        <w:rFonts w:ascii="Segoe UI" w:hAnsi="Segoe UI" w:cs="Segoe U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D3364" w14:textId="77777777" w:rsidR="00FE1BA3" w:rsidRPr="00451C49" w:rsidRDefault="003D1095" w:rsidP="000055B5">
    <w:pPr>
      <w:pStyle w:val="Pieddepage"/>
      <w:tabs>
        <w:tab w:val="clear" w:pos="4536"/>
        <w:tab w:val="clear" w:pos="9072"/>
      </w:tabs>
      <w:jc w:val="center"/>
      <w:rPr>
        <w:rFonts w:ascii="Segoe UI" w:hAnsi="Segoe UI" w:cs="Segoe UI"/>
        <w:sz w:val="18"/>
        <w:szCs w:val="18"/>
      </w:rPr>
    </w:pPr>
    <w:r w:rsidRPr="00451C49">
      <w:rPr>
        <w:rFonts w:ascii="Segoe UI" w:hAnsi="Segoe UI" w:cs="Segoe UI"/>
        <w:sz w:val="18"/>
        <w:szCs w:val="18"/>
      </w:rPr>
      <w:t>Ambassade de France – Service économique de Riyad</w:t>
    </w:r>
  </w:p>
  <w:p w14:paraId="46915CD9" w14:textId="77777777" w:rsidR="003D1095" w:rsidRPr="00451C49" w:rsidRDefault="003D1095" w:rsidP="000055B5">
    <w:pPr>
      <w:pStyle w:val="Pieddepage"/>
      <w:tabs>
        <w:tab w:val="clear" w:pos="4536"/>
        <w:tab w:val="clear" w:pos="9072"/>
      </w:tabs>
      <w:jc w:val="center"/>
      <w:rPr>
        <w:rFonts w:ascii="Segoe UI" w:hAnsi="Segoe UI" w:cs="Segoe UI"/>
        <w:sz w:val="18"/>
        <w:szCs w:val="18"/>
      </w:rPr>
    </w:pPr>
    <w:r w:rsidRPr="00451C49">
      <w:rPr>
        <w:rFonts w:ascii="Segoe UI" w:hAnsi="Segoe UI" w:cs="Segoe UI"/>
        <w:sz w:val="18"/>
        <w:szCs w:val="18"/>
      </w:rPr>
      <w:t xml:space="preserve">Tél. : +966 (0)11 434 41 50 – </w:t>
    </w:r>
    <w:hyperlink r:id="rId1" w:history="1">
      <w:r w:rsidRPr="00451C49">
        <w:rPr>
          <w:rStyle w:val="Lienhypertexte"/>
          <w:rFonts w:ascii="Segoe UI" w:hAnsi="Segoe UI" w:cs="Segoe UI"/>
          <w:sz w:val="18"/>
          <w:szCs w:val="18"/>
        </w:rPr>
        <w:t>https://www.tresor.economie.gouv.fr/Pays/SA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D74F6" w14:textId="77777777" w:rsidR="003F1CB3" w:rsidRDefault="003F1CB3" w:rsidP="00E7106E">
      <w:pPr>
        <w:spacing w:after="0" w:line="240" w:lineRule="auto"/>
      </w:pPr>
      <w:r>
        <w:separator/>
      </w:r>
    </w:p>
  </w:footnote>
  <w:footnote w:type="continuationSeparator" w:id="0">
    <w:p w14:paraId="0EA84355" w14:textId="77777777" w:rsidR="003F1CB3" w:rsidRDefault="003F1CB3" w:rsidP="00E7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197C1" w14:textId="0BD9F0F7" w:rsidR="003D1095" w:rsidRDefault="003D1095" w:rsidP="00E7106E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9728D" w14:textId="77777777" w:rsidR="00253283" w:rsidRDefault="00253283" w:rsidP="00253283">
    <w:pPr>
      <w:tabs>
        <w:tab w:val="left" w:pos="3969"/>
      </w:tabs>
      <w:spacing w:after="0"/>
      <w:jc w:val="both"/>
      <w:rPr>
        <w:noProof/>
        <w:lang w:eastAsia="fr-FR"/>
      </w:rPr>
    </w:pPr>
  </w:p>
  <w:p w14:paraId="7AF090DA" w14:textId="63D4194E" w:rsidR="005E4D6A" w:rsidRPr="005E4D6A" w:rsidRDefault="005E4D6A" w:rsidP="00253283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6125"/>
    <w:multiLevelType w:val="hybridMultilevel"/>
    <w:tmpl w:val="C2A841D6"/>
    <w:lvl w:ilvl="0" w:tplc="FAA8B7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A3654"/>
    <w:multiLevelType w:val="hybridMultilevel"/>
    <w:tmpl w:val="D898C7B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4996626"/>
    <w:multiLevelType w:val="hybridMultilevel"/>
    <w:tmpl w:val="167E1E8A"/>
    <w:lvl w:ilvl="0" w:tplc="1F961EDC">
      <w:start w:val="1"/>
      <w:numFmt w:val="bullet"/>
      <w:pStyle w:val="Briefinglis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1503"/>
    <w:multiLevelType w:val="hybridMultilevel"/>
    <w:tmpl w:val="3E4C4412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2D53D2"/>
    <w:multiLevelType w:val="hybridMultilevel"/>
    <w:tmpl w:val="816C7308"/>
    <w:lvl w:ilvl="0" w:tplc="8BC480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0AE"/>
    <w:multiLevelType w:val="hybridMultilevel"/>
    <w:tmpl w:val="ABBE0F0E"/>
    <w:lvl w:ilvl="0" w:tplc="1306461A">
      <w:start w:val="1"/>
      <w:numFmt w:val="decimal"/>
      <w:pStyle w:val="Titre1"/>
      <w:lvlText w:val="%1."/>
      <w:lvlJc w:val="left"/>
      <w:pPr>
        <w:ind w:left="360" w:hanging="360"/>
      </w:pPr>
      <w:rPr>
        <w:rFonts w:ascii="Times New Roman Gras" w:hAnsi="Times New Roman Gras" w:hint="default"/>
        <w:b/>
        <w:i w:val="0"/>
        <w:sz w:val="24"/>
      </w:rPr>
    </w:lvl>
    <w:lvl w:ilvl="1" w:tplc="040C0019">
      <w:start w:val="1"/>
      <w:numFmt w:val="lowerLetter"/>
      <w:lvlText w:val="%2."/>
      <w:lvlJc w:val="left"/>
      <w:pPr>
        <w:ind w:left="1637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F42F2"/>
    <w:multiLevelType w:val="hybridMultilevel"/>
    <w:tmpl w:val="595C96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770D4"/>
    <w:multiLevelType w:val="hybridMultilevel"/>
    <w:tmpl w:val="92FEB9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F7275"/>
    <w:multiLevelType w:val="hybridMultilevel"/>
    <w:tmpl w:val="4E848110"/>
    <w:lvl w:ilvl="0" w:tplc="7D9A04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CE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53200"/>
    <w:multiLevelType w:val="hybridMultilevel"/>
    <w:tmpl w:val="E18AF506"/>
    <w:lvl w:ilvl="0" w:tplc="AAC00240"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D1718CE"/>
    <w:multiLevelType w:val="hybridMultilevel"/>
    <w:tmpl w:val="815298D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1B0EA1"/>
    <w:multiLevelType w:val="multilevel"/>
    <w:tmpl w:val="6F1C2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FBC6B5C"/>
    <w:multiLevelType w:val="hybridMultilevel"/>
    <w:tmpl w:val="81C630DA"/>
    <w:lvl w:ilvl="0" w:tplc="E7C404E8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006CE5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20945E0"/>
    <w:multiLevelType w:val="hybridMultilevel"/>
    <w:tmpl w:val="DA907B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806EA"/>
    <w:multiLevelType w:val="hybridMultilevel"/>
    <w:tmpl w:val="0908BF50"/>
    <w:lvl w:ilvl="0" w:tplc="20861438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349B0"/>
    <w:multiLevelType w:val="hybridMultilevel"/>
    <w:tmpl w:val="41829BFE"/>
    <w:lvl w:ilvl="0" w:tplc="E6F4BB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E4E64"/>
    <w:multiLevelType w:val="hybridMultilevel"/>
    <w:tmpl w:val="EC949F3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CDD5AA3"/>
    <w:multiLevelType w:val="hybridMultilevel"/>
    <w:tmpl w:val="35961976"/>
    <w:lvl w:ilvl="0" w:tplc="D1AA13DC">
      <w:numFmt w:val="bullet"/>
      <w:lvlText w:val="-"/>
      <w:lvlJc w:val="left"/>
      <w:pPr>
        <w:ind w:left="720" w:hanging="360"/>
      </w:pPr>
      <w:rPr>
        <w:rFonts w:ascii="Segoe UI" w:eastAsia="SimSun" w:hAnsi="Segoe UI" w:cs="Segoe U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C2B97"/>
    <w:multiLevelType w:val="hybridMultilevel"/>
    <w:tmpl w:val="33FA4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5468"/>
    <w:multiLevelType w:val="hybridMultilevel"/>
    <w:tmpl w:val="7D0CB526"/>
    <w:lvl w:ilvl="0" w:tplc="1722D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CE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31F63"/>
    <w:multiLevelType w:val="hybridMultilevel"/>
    <w:tmpl w:val="626641EC"/>
    <w:lvl w:ilvl="0" w:tplc="E42AD2A4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40AFD"/>
    <w:multiLevelType w:val="hybridMultilevel"/>
    <w:tmpl w:val="70C6CD56"/>
    <w:lvl w:ilvl="0" w:tplc="BC580A9C">
      <w:start w:val="1"/>
      <w:numFmt w:val="decimal"/>
      <w:lvlText w:val="%1.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000D0F"/>
    <w:multiLevelType w:val="hybridMultilevel"/>
    <w:tmpl w:val="1E1EB3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10C13"/>
    <w:multiLevelType w:val="hybridMultilevel"/>
    <w:tmpl w:val="7CDEBCBC"/>
    <w:lvl w:ilvl="0" w:tplc="3E582F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E4B25"/>
    <w:multiLevelType w:val="hybridMultilevel"/>
    <w:tmpl w:val="7222132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012017"/>
    <w:multiLevelType w:val="hybridMultilevel"/>
    <w:tmpl w:val="D65C37FE"/>
    <w:lvl w:ilvl="0" w:tplc="F626B92C">
      <w:start w:val="2"/>
      <w:numFmt w:val="decimal"/>
      <w:lvlText w:val="%1.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682C5B"/>
    <w:multiLevelType w:val="hybridMultilevel"/>
    <w:tmpl w:val="45A06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20712"/>
    <w:multiLevelType w:val="hybridMultilevel"/>
    <w:tmpl w:val="55BEE06C"/>
    <w:lvl w:ilvl="0" w:tplc="BA5E5B5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D3CAA"/>
    <w:multiLevelType w:val="hybridMultilevel"/>
    <w:tmpl w:val="A5205776"/>
    <w:lvl w:ilvl="0" w:tplc="B5145560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C74E1"/>
    <w:multiLevelType w:val="hybridMultilevel"/>
    <w:tmpl w:val="73388550"/>
    <w:lvl w:ilvl="0" w:tplc="2A7C56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0"/>
  </w:num>
  <w:num w:numId="5">
    <w:abstractNumId w:val="14"/>
  </w:num>
  <w:num w:numId="6">
    <w:abstractNumId w:val="11"/>
  </w:num>
  <w:num w:numId="7">
    <w:abstractNumId w:val="8"/>
  </w:num>
  <w:num w:numId="8">
    <w:abstractNumId w:val="24"/>
  </w:num>
  <w:num w:numId="9">
    <w:abstractNumId w:val="2"/>
  </w:num>
  <w:num w:numId="10">
    <w:abstractNumId w:val="10"/>
  </w:num>
  <w:num w:numId="11">
    <w:abstractNumId w:val="22"/>
  </w:num>
  <w:num w:numId="12">
    <w:abstractNumId w:val="3"/>
  </w:num>
  <w:num w:numId="13">
    <w:abstractNumId w:val="23"/>
  </w:num>
  <w:num w:numId="14">
    <w:abstractNumId w:val="26"/>
  </w:num>
  <w:num w:numId="15">
    <w:abstractNumId w:val="28"/>
  </w:num>
  <w:num w:numId="16">
    <w:abstractNumId w:val="18"/>
  </w:num>
  <w:num w:numId="17">
    <w:abstractNumId w:val="15"/>
  </w:num>
  <w:num w:numId="18">
    <w:abstractNumId w:val="9"/>
  </w:num>
  <w:num w:numId="19">
    <w:abstractNumId w:val="4"/>
  </w:num>
  <w:num w:numId="20">
    <w:abstractNumId w:val="27"/>
  </w:num>
  <w:num w:numId="21">
    <w:abstractNumId w:val="13"/>
  </w:num>
  <w:num w:numId="22">
    <w:abstractNumId w:val="21"/>
  </w:num>
  <w:num w:numId="23">
    <w:abstractNumId w:val="29"/>
  </w:num>
  <w:num w:numId="24">
    <w:abstractNumId w:val="17"/>
  </w:num>
  <w:num w:numId="25">
    <w:abstractNumId w:val="1"/>
  </w:num>
  <w:num w:numId="26">
    <w:abstractNumId w:val="19"/>
  </w:num>
  <w:num w:numId="27">
    <w:abstractNumId w:val="25"/>
  </w:num>
  <w:num w:numId="28">
    <w:abstractNumId w:val="12"/>
  </w:num>
  <w:num w:numId="29">
    <w:abstractNumId w:val="1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6E"/>
    <w:rsid w:val="00003FEF"/>
    <w:rsid w:val="00004559"/>
    <w:rsid w:val="000055B5"/>
    <w:rsid w:val="000067F4"/>
    <w:rsid w:val="000078AC"/>
    <w:rsid w:val="00011C39"/>
    <w:rsid w:val="00012AFE"/>
    <w:rsid w:val="00015953"/>
    <w:rsid w:val="00015B63"/>
    <w:rsid w:val="000161AA"/>
    <w:rsid w:val="0001684B"/>
    <w:rsid w:val="00016C14"/>
    <w:rsid w:val="00017965"/>
    <w:rsid w:val="000223AD"/>
    <w:rsid w:val="00023259"/>
    <w:rsid w:val="000238B1"/>
    <w:rsid w:val="00023B67"/>
    <w:rsid w:val="00026108"/>
    <w:rsid w:val="000266B1"/>
    <w:rsid w:val="00030192"/>
    <w:rsid w:val="00031503"/>
    <w:rsid w:val="00031EB9"/>
    <w:rsid w:val="000325C3"/>
    <w:rsid w:val="00033944"/>
    <w:rsid w:val="00035338"/>
    <w:rsid w:val="00036CE4"/>
    <w:rsid w:val="00037477"/>
    <w:rsid w:val="00041696"/>
    <w:rsid w:val="00041C3A"/>
    <w:rsid w:val="000452F3"/>
    <w:rsid w:val="0004748F"/>
    <w:rsid w:val="000503AF"/>
    <w:rsid w:val="0005133F"/>
    <w:rsid w:val="00051BF0"/>
    <w:rsid w:val="000521AF"/>
    <w:rsid w:val="000527E1"/>
    <w:rsid w:val="0005596C"/>
    <w:rsid w:val="00055FB8"/>
    <w:rsid w:val="000567EA"/>
    <w:rsid w:val="000602CC"/>
    <w:rsid w:val="00060E38"/>
    <w:rsid w:val="0006198F"/>
    <w:rsid w:val="00061F08"/>
    <w:rsid w:val="0006380D"/>
    <w:rsid w:val="00063DB7"/>
    <w:rsid w:val="0006413A"/>
    <w:rsid w:val="00067EA8"/>
    <w:rsid w:val="00071547"/>
    <w:rsid w:val="0007255F"/>
    <w:rsid w:val="000745A6"/>
    <w:rsid w:val="00074DDE"/>
    <w:rsid w:val="0007557B"/>
    <w:rsid w:val="00075C79"/>
    <w:rsid w:val="00077087"/>
    <w:rsid w:val="00077C05"/>
    <w:rsid w:val="00080F13"/>
    <w:rsid w:val="00082951"/>
    <w:rsid w:val="00083CFE"/>
    <w:rsid w:val="0009441C"/>
    <w:rsid w:val="00095F2B"/>
    <w:rsid w:val="000970CF"/>
    <w:rsid w:val="000A13FD"/>
    <w:rsid w:val="000A43E2"/>
    <w:rsid w:val="000A4E69"/>
    <w:rsid w:val="000A502C"/>
    <w:rsid w:val="000A5392"/>
    <w:rsid w:val="000A682C"/>
    <w:rsid w:val="000A6E7C"/>
    <w:rsid w:val="000B0D2E"/>
    <w:rsid w:val="000B0E99"/>
    <w:rsid w:val="000B568A"/>
    <w:rsid w:val="000B5FC7"/>
    <w:rsid w:val="000C16AC"/>
    <w:rsid w:val="000C2E51"/>
    <w:rsid w:val="000C30A5"/>
    <w:rsid w:val="000C429E"/>
    <w:rsid w:val="000C4D6E"/>
    <w:rsid w:val="000C5322"/>
    <w:rsid w:val="000C6068"/>
    <w:rsid w:val="000C7A92"/>
    <w:rsid w:val="000D0E74"/>
    <w:rsid w:val="000D2869"/>
    <w:rsid w:val="000D5196"/>
    <w:rsid w:val="000D5EAA"/>
    <w:rsid w:val="000E143A"/>
    <w:rsid w:val="000E1E23"/>
    <w:rsid w:val="000E21D1"/>
    <w:rsid w:val="000E303F"/>
    <w:rsid w:val="000E42D0"/>
    <w:rsid w:val="000E6117"/>
    <w:rsid w:val="000E611E"/>
    <w:rsid w:val="000E7484"/>
    <w:rsid w:val="000E7BBA"/>
    <w:rsid w:val="000F400D"/>
    <w:rsid w:val="000F43EF"/>
    <w:rsid w:val="000F63E0"/>
    <w:rsid w:val="00101A35"/>
    <w:rsid w:val="001025E6"/>
    <w:rsid w:val="00104486"/>
    <w:rsid w:val="001069EB"/>
    <w:rsid w:val="001071FB"/>
    <w:rsid w:val="001116CF"/>
    <w:rsid w:val="001161E6"/>
    <w:rsid w:val="001166B4"/>
    <w:rsid w:val="001169CF"/>
    <w:rsid w:val="00120A81"/>
    <w:rsid w:val="00120F8A"/>
    <w:rsid w:val="00121D08"/>
    <w:rsid w:val="001232D2"/>
    <w:rsid w:val="00123DDE"/>
    <w:rsid w:val="00124506"/>
    <w:rsid w:val="0012796B"/>
    <w:rsid w:val="00127C0E"/>
    <w:rsid w:val="0013138C"/>
    <w:rsid w:val="00131FDC"/>
    <w:rsid w:val="00132350"/>
    <w:rsid w:val="00133BE6"/>
    <w:rsid w:val="00135CB8"/>
    <w:rsid w:val="001361B1"/>
    <w:rsid w:val="0014010B"/>
    <w:rsid w:val="00142A0C"/>
    <w:rsid w:val="00143348"/>
    <w:rsid w:val="00143C35"/>
    <w:rsid w:val="001455E3"/>
    <w:rsid w:val="00146719"/>
    <w:rsid w:val="001470D9"/>
    <w:rsid w:val="00150372"/>
    <w:rsid w:val="00150F25"/>
    <w:rsid w:val="00153809"/>
    <w:rsid w:val="00155622"/>
    <w:rsid w:val="00155721"/>
    <w:rsid w:val="0015575B"/>
    <w:rsid w:val="00157171"/>
    <w:rsid w:val="00160B26"/>
    <w:rsid w:val="00162133"/>
    <w:rsid w:val="001650E5"/>
    <w:rsid w:val="00166A6B"/>
    <w:rsid w:val="0016706B"/>
    <w:rsid w:val="00167C89"/>
    <w:rsid w:val="001724E6"/>
    <w:rsid w:val="001726B9"/>
    <w:rsid w:val="001727F7"/>
    <w:rsid w:val="00173C96"/>
    <w:rsid w:val="00174025"/>
    <w:rsid w:val="0017427E"/>
    <w:rsid w:val="00175AF7"/>
    <w:rsid w:val="001762E1"/>
    <w:rsid w:val="00176D07"/>
    <w:rsid w:val="00177BCD"/>
    <w:rsid w:val="00182232"/>
    <w:rsid w:val="00182FEA"/>
    <w:rsid w:val="00182FEF"/>
    <w:rsid w:val="001848EE"/>
    <w:rsid w:val="00185401"/>
    <w:rsid w:val="001874EF"/>
    <w:rsid w:val="001914B7"/>
    <w:rsid w:val="00191F02"/>
    <w:rsid w:val="0019617E"/>
    <w:rsid w:val="001A0571"/>
    <w:rsid w:val="001A0C0D"/>
    <w:rsid w:val="001A450D"/>
    <w:rsid w:val="001A4C4D"/>
    <w:rsid w:val="001A574B"/>
    <w:rsid w:val="001A6529"/>
    <w:rsid w:val="001B1A38"/>
    <w:rsid w:val="001B443F"/>
    <w:rsid w:val="001B459B"/>
    <w:rsid w:val="001B53B5"/>
    <w:rsid w:val="001B7496"/>
    <w:rsid w:val="001B7AE2"/>
    <w:rsid w:val="001C0134"/>
    <w:rsid w:val="001C0735"/>
    <w:rsid w:val="001C0E95"/>
    <w:rsid w:val="001C11D1"/>
    <w:rsid w:val="001C360F"/>
    <w:rsid w:val="001C44D3"/>
    <w:rsid w:val="001C4B8B"/>
    <w:rsid w:val="001C51EA"/>
    <w:rsid w:val="001D0569"/>
    <w:rsid w:val="001D0590"/>
    <w:rsid w:val="001D079B"/>
    <w:rsid w:val="001D3685"/>
    <w:rsid w:val="001D5094"/>
    <w:rsid w:val="001D531C"/>
    <w:rsid w:val="001E0239"/>
    <w:rsid w:val="001E3DDA"/>
    <w:rsid w:val="001E6522"/>
    <w:rsid w:val="001E6646"/>
    <w:rsid w:val="001E735B"/>
    <w:rsid w:val="001E756B"/>
    <w:rsid w:val="001E7704"/>
    <w:rsid w:val="001E79D7"/>
    <w:rsid w:val="001E7B62"/>
    <w:rsid w:val="001F250A"/>
    <w:rsid w:val="001F3383"/>
    <w:rsid w:val="001F34F2"/>
    <w:rsid w:val="001F60E6"/>
    <w:rsid w:val="001F67FE"/>
    <w:rsid w:val="001F6A61"/>
    <w:rsid w:val="00200AE2"/>
    <w:rsid w:val="0020328D"/>
    <w:rsid w:val="00203DFC"/>
    <w:rsid w:val="00204E16"/>
    <w:rsid w:val="00205F72"/>
    <w:rsid w:val="00206747"/>
    <w:rsid w:val="00206AB6"/>
    <w:rsid w:val="002076DF"/>
    <w:rsid w:val="002103D0"/>
    <w:rsid w:val="00210F56"/>
    <w:rsid w:val="00210F66"/>
    <w:rsid w:val="00212A63"/>
    <w:rsid w:val="00213775"/>
    <w:rsid w:val="00214DB6"/>
    <w:rsid w:val="00217DF8"/>
    <w:rsid w:val="00217ED0"/>
    <w:rsid w:val="00222CE6"/>
    <w:rsid w:val="00223E90"/>
    <w:rsid w:val="002261E2"/>
    <w:rsid w:val="00230056"/>
    <w:rsid w:val="00230341"/>
    <w:rsid w:val="0023076E"/>
    <w:rsid w:val="0023295A"/>
    <w:rsid w:val="002330B6"/>
    <w:rsid w:val="00233566"/>
    <w:rsid w:val="0024242A"/>
    <w:rsid w:val="00244CA4"/>
    <w:rsid w:val="00245498"/>
    <w:rsid w:val="00246781"/>
    <w:rsid w:val="002524D8"/>
    <w:rsid w:val="00253283"/>
    <w:rsid w:val="00254969"/>
    <w:rsid w:val="0025633A"/>
    <w:rsid w:val="00257783"/>
    <w:rsid w:val="00264BDA"/>
    <w:rsid w:val="00265674"/>
    <w:rsid w:val="002670F5"/>
    <w:rsid w:val="00267F9A"/>
    <w:rsid w:val="0027181B"/>
    <w:rsid w:val="00272C7C"/>
    <w:rsid w:val="00273FF9"/>
    <w:rsid w:val="00277B6D"/>
    <w:rsid w:val="0028069A"/>
    <w:rsid w:val="00280E8E"/>
    <w:rsid w:val="00281B55"/>
    <w:rsid w:val="00283640"/>
    <w:rsid w:val="00285399"/>
    <w:rsid w:val="00286153"/>
    <w:rsid w:val="00287994"/>
    <w:rsid w:val="00291C52"/>
    <w:rsid w:val="00297DAF"/>
    <w:rsid w:val="002A0D84"/>
    <w:rsid w:val="002A2354"/>
    <w:rsid w:val="002A26A0"/>
    <w:rsid w:val="002A345B"/>
    <w:rsid w:val="002A466B"/>
    <w:rsid w:val="002A638C"/>
    <w:rsid w:val="002A74FE"/>
    <w:rsid w:val="002A7771"/>
    <w:rsid w:val="002A7B00"/>
    <w:rsid w:val="002B168D"/>
    <w:rsid w:val="002B26F5"/>
    <w:rsid w:val="002B51F0"/>
    <w:rsid w:val="002B7268"/>
    <w:rsid w:val="002C5636"/>
    <w:rsid w:val="002C62C8"/>
    <w:rsid w:val="002D1BEC"/>
    <w:rsid w:val="002D1F03"/>
    <w:rsid w:val="002D3720"/>
    <w:rsid w:val="002D3AD9"/>
    <w:rsid w:val="002D3BAE"/>
    <w:rsid w:val="002D4582"/>
    <w:rsid w:val="002D6355"/>
    <w:rsid w:val="002D6E36"/>
    <w:rsid w:val="002E0B92"/>
    <w:rsid w:val="002E1E74"/>
    <w:rsid w:val="002E2669"/>
    <w:rsid w:val="002E5B8D"/>
    <w:rsid w:val="002E7199"/>
    <w:rsid w:val="002F1DB5"/>
    <w:rsid w:val="002F6368"/>
    <w:rsid w:val="00300A81"/>
    <w:rsid w:val="0030114E"/>
    <w:rsid w:val="00302358"/>
    <w:rsid w:val="003032FC"/>
    <w:rsid w:val="00303329"/>
    <w:rsid w:val="00303E8C"/>
    <w:rsid w:val="003057E3"/>
    <w:rsid w:val="00306F3E"/>
    <w:rsid w:val="003071C7"/>
    <w:rsid w:val="00307517"/>
    <w:rsid w:val="00307EAA"/>
    <w:rsid w:val="003108BF"/>
    <w:rsid w:val="00311CC9"/>
    <w:rsid w:val="003137B3"/>
    <w:rsid w:val="00313BAB"/>
    <w:rsid w:val="00313D39"/>
    <w:rsid w:val="00315FFF"/>
    <w:rsid w:val="0031744C"/>
    <w:rsid w:val="003208CE"/>
    <w:rsid w:val="00321065"/>
    <w:rsid w:val="003211F7"/>
    <w:rsid w:val="00324C49"/>
    <w:rsid w:val="003255AC"/>
    <w:rsid w:val="003258A7"/>
    <w:rsid w:val="0032607C"/>
    <w:rsid w:val="00327735"/>
    <w:rsid w:val="003278EC"/>
    <w:rsid w:val="0033181B"/>
    <w:rsid w:val="00332A20"/>
    <w:rsid w:val="00332A91"/>
    <w:rsid w:val="00332E31"/>
    <w:rsid w:val="003332B4"/>
    <w:rsid w:val="003342DC"/>
    <w:rsid w:val="003355BB"/>
    <w:rsid w:val="00335DA0"/>
    <w:rsid w:val="00337AD9"/>
    <w:rsid w:val="00342CF5"/>
    <w:rsid w:val="003452F9"/>
    <w:rsid w:val="0034600F"/>
    <w:rsid w:val="00346A63"/>
    <w:rsid w:val="0034797F"/>
    <w:rsid w:val="00351338"/>
    <w:rsid w:val="00351DD0"/>
    <w:rsid w:val="00354A92"/>
    <w:rsid w:val="0035577D"/>
    <w:rsid w:val="00355BA3"/>
    <w:rsid w:val="00355F0D"/>
    <w:rsid w:val="00356508"/>
    <w:rsid w:val="00356AE5"/>
    <w:rsid w:val="00362DAA"/>
    <w:rsid w:val="00363DC5"/>
    <w:rsid w:val="00365D92"/>
    <w:rsid w:val="00367A65"/>
    <w:rsid w:val="003728D0"/>
    <w:rsid w:val="003730D6"/>
    <w:rsid w:val="003744B9"/>
    <w:rsid w:val="00374570"/>
    <w:rsid w:val="003757A7"/>
    <w:rsid w:val="00375B13"/>
    <w:rsid w:val="00376482"/>
    <w:rsid w:val="003772F2"/>
    <w:rsid w:val="003802F7"/>
    <w:rsid w:val="00384D2C"/>
    <w:rsid w:val="003855CA"/>
    <w:rsid w:val="0038737F"/>
    <w:rsid w:val="00392CED"/>
    <w:rsid w:val="00392D45"/>
    <w:rsid w:val="00394F88"/>
    <w:rsid w:val="00396B40"/>
    <w:rsid w:val="00397E65"/>
    <w:rsid w:val="003A07A1"/>
    <w:rsid w:val="003A2F2C"/>
    <w:rsid w:val="003A3F9D"/>
    <w:rsid w:val="003A5C57"/>
    <w:rsid w:val="003A621A"/>
    <w:rsid w:val="003A6DCC"/>
    <w:rsid w:val="003A6F48"/>
    <w:rsid w:val="003B1565"/>
    <w:rsid w:val="003B1B2D"/>
    <w:rsid w:val="003B28D4"/>
    <w:rsid w:val="003B2D0E"/>
    <w:rsid w:val="003B66BF"/>
    <w:rsid w:val="003B6C9D"/>
    <w:rsid w:val="003B6E9E"/>
    <w:rsid w:val="003B71EA"/>
    <w:rsid w:val="003C0AF5"/>
    <w:rsid w:val="003C13CE"/>
    <w:rsid w:val="003C1442"/>
    <w:rsid w:val="003C2430"/>
    <w:rsid w:val="003C31E8"/>
    <w:rsid w:val="003C3B4F"/>
    <w:rsid w:val="003C4431"/>
    <w:rsid w:val="003C4717"/>
    <w:rsid w:val="003C6D6E"/>
    <w:rsid w:val="003C7E44"/>
    <w:rsid w:val="003D0904"/>
    <w:rsid w:val="003D1095"/>
    <w:rsid w:val="003D34EB"/>
    <w:rsid w:val="003D358C"/>
    <w:rsid w:val="003D45F4"/>
    <w:rsid w:val="003D4C05"/>
    <w:rsid w:val="003D51CF"/>
    <w:rsid w:val="003D63DA"/>
    <w:rsid w:val="003D7932"/>
    <w:rsid w:val="003E002A"/>
    <w:rsid w:val="003E15D6"/>
    <w:rsid w:val="003E1822"/>
    <w:rsid w:val="003E56E1"/>
    <w:rsid w:val="003E7940"/>
    <w:rsid w:val="003F1CB3"/>
    <w:rsid w:val="003F1DC9"/>
    <w:rsid w:val="003F2248"/>
    <w:rsid w:val="003F26F5"/>
    <w:rsid w:val="003F5A0B"/>
    <w:rsid w:val="003F5F9C"/>
    <w:rsid w:val="003F7B48"/>
    <w:rsid w:val="004018C4"/>
    <w:rsid w:val="00405D22"/>
    <w:rsid w:val="00406138"/>
    <w:rsid w:val="00410017"/>
    <w:rsid w:val="00410682"/>
    <w:rsid w:val="00411A8B"/>
    <w:rsid w:val="00411CF8"/>
    <w:rsid w:val="004126F9"/>
    <w:rsid w:val="00414A8E"/>
    <w:rsid w:val="00414CFA"/>
    <w:rsid w:val="0041584A"/>
    <w:rsid w:val="004163B6"/>
    <w:rsid w:val="0041708A"/>
    <w:rsid w:val="004208ED"/>
    <w:rsid w:val="00420D00"/>
    <w:rsid w:val="0042150A"/>
    <w:rsid w:val="004242CA"/>
    <w:rsid w:val="0042512B"/>
    <w:rsid w:val="00431ECB"/>
    <w:rsid w:val="00432835"/>
    <w:rsid w:val="00434AF9"/>
    <w:rsid w:val="004355FF"/>
    <w:rsid w:val="00437172"/>
    <w:rsid w:val="004374E4"/>
    <w:rsid w:val="0044180F"/>
    <w:rsid w:val="00445624"/>
    <w:rsid w:val="00445866"/>
    <w:rsid w:val="00445D0A"/>
    <w:rsid w:val="004462D1"/>
    <w:rsid w:val="00450C9D"/>
    <w:rsid w:val="00450FD9"/>
    <w:rsid w:val="00451635"/>
    <w:rsid w:val="00451C49"/>
    <w:rsid w:val="004531B4"/>
    <w:rsid w:val="0045373B"/>
    <w:rsid w:val="004539BC"/>
    <w:rsid w:val="004540E5"/>
    <w:rsid w:val="004546DA"/>
    <w:rsid w:val="004554F7"/>
    <w:rsid w:val="00460771"/>
    <w:rsid w:val="0046136C"/>
    <w:rsid w:val="004630ED"/>
    <w:rsid w:val="004637CC"/>
    <w:rsid w:val="00464707"/>
    <w:rsid w:val="004648FB"/>
    <w:rsid w:val="00465002"/>
    <w:rsid w:val="00470C83"/>
    <w:rsid w:val="004710C5"/>
    <w:rsid w:val="00471A48"/>
    <w:rsid w:val="00471D31"/>
    <w:rsid w:val="00471D3F"/>
    <w:rsid w:val="004721C6"/>
    <w:rsid w:val="00474D64"/>
    <w:rsid w:val="00474D67"/>
    <w:rsid w:val="00476CA0"/>
    <w:rsid w:val="00477ACE"/>
    <w:rsid w:val="00480342"/>
    <w:rsid w:val="00481C90"/>
    <w:rsid w:val="00481CD5"/>
    <w:rsid w:val="00483DC0"/>
    <w:rsid w:val="00484391"/>
    <w:rsid w:val="004849C8"/>
    <w:rsid w:val="004912F4"/>
    <w:rsid w:val="00491A2F"/>
    <w:rsid w:val="00492E5E"/>
    <w:rsid w:val="0049386D"/>
    <w:rsid w:val="00494D72"/>
    <w:rsid w:val="00494E7F"/>
    <w:rsid w:val="004A0344"/>
    <w:rsid w:val="004A1302"/>
    <w:rsid w:val="004A1737"/>
    <w:rsid w:val="004A4678"/>
    <w:rsid w:val="004A52FD"/>
    <w:rsid w:val="004A573A"/>
    <w:rsid w:val="004A6C75"/>
    <w:rsid w:val="004B1283"/>
    <w:rsid w:val="004B294E"/>
    <w:rsid w:val="004B4DC1"/>
    <w:rsid w:val="004B4EE4"/>
    <w:rsid w:val="004B59B6"/>
    <w:rsid w:val="004B6562"/>
    <w:rsid w:val="004C1552"/>
    <w:rsid w:val="004C2B37"/>
    <w:rsid w:val="004C385F"/>
    <w:rsid w:val="004C492C"/>
    <w:rsid w:val="004C4BA4"/>
    <w:rsid w:val="004C4D6B"/>
    <w:rsid w:val="004C53D2"/>
    <w:rsid w:val="004C7150"/>
    <w:rsid w:val="004C7A85"/>
    <w:rsid w:val="004D17DF"/>
    <w:rsid w:val="004D1B63"/>
    <w:rsid w:val="004D20AA"/>
    <w:rsid w:val="004D23DD"/>
    <w:rsid w:val="004D35A4"/>
    <w:rsid w:val="004D38E2"/>
    <w:rsid w:val="004D5FCB"/>
    <w:rsid w:val="004D6F2D"/>
    <w:rsid w:val="004E002F"/>
    <w:rsid w:val="004E0E19"/>
    <w:rsid w:val="004E11CA"/>
    <w:rsid w:val="004E1A75"/>
    <w:rsid w:val="004E2511"/>
    <w:rsid w:val="004E47D0"/>
    <w:rsid w:val="004E4CBD"/>
    <w:rsid w:val="004E592D"/>
    <w:rsid w:val="004E5AD0"/>
    <w:rsid w:val="004F02FD"/>
    <w:rsid w:val="004F129E"/>
    <w:rsid w:val="004F16C5"/>
    <w:rsid w:val="004F2EB8"/>
    <w:rsid w:val="004F330F"/>
    <w:rsid w:val="004F4883"/>
    <w:rsid w:val="004F612C"/>
    <w:rsid w:val="004F67E7"/>
    <w:rsid w:val="004F7951"/>
    <w:rsid w:val="0050093C"/>
    <w:rsid w:val="00503520"/>
    <w:rsid w:val="005038F9"/>
    <w:rsid w:val="00504BCD"/>
    <w:rsid w:val="00505B17"/>
    <w:rsid w:val="00510CFE"/>
    <w:rsid w:val="00510D24"/>
    <w:rsid w:val="00510E68"/>
    <w:rsid w:val="00511AA5"/>
    <w:rsid w:val="00515E78"/>
    <w:rsid w:val="00516C7E"/>
    <w:rsid w:val="005171BD"/>
    <w:rsid w:val="0051761E"/>
    <w:rsid w:val="00517E54"/>
    <w:rsid w:val="005204E8"/>
    <w:rsid w:val="00522499"/>
    <w:rsid w:val="00526F78"/>
    <w:rsid w:val="00527BEB"/>
    <w:rsid w:val="0053029C"/>
    <w:rsid w:val="00531493"/>
    <w:rsid w:val="0053368A"/>
    <w:rsid w:val="00533F97"/>
    <w:rsid w:val="00534E9C"/>
    <w:rsid w:val="00535EF8"/>
    <w:rsid w:val="00536708"/>
    <w:rsid w:val="00537BB2"/>
    <w:rsid w:val="0054091D"/>
    <w:rsid w:val="00543316"/>
    <w:rsid w:val="0054363D"/>
    <w:rsid w:val="00544F19"/>
    <w:rsid w:val="005478D7"/>
    <w:rsid w:val="00551342"/>
    <w:rsid w:val="00551398"/>
    <w:rsid w:val="0055283F"/>
    <w:rsid w:val="00553189"/>
    <w:rsid w:val="00553C99"/>
    <w:rsid w:val="00553FD0"/>
    <w:rsid w:val="00555FED"/>
    <w:rsid w:val="005578B8"/>
    <w:rsid w:val="00560FD0"/>
    <w:rsid w:val="005612E2"/>
    <w:rsid w:val="00561725"/>
    <w:rsid w:val="00563650"/>
    <w:rsid w:val="00564EE3"/>
    <w:rsid w:val="00565712"/>
    <w:rsid w:val="00565F00"/>
    <w:rsid w:val="00566CF3"/>
    <w:rsid w:val="00566E9D"/>
    <w:rsid w:val="0056707C"/>
    <w:rsid w:val="00570716"/>
    <w:rsid w:val="005710CD"/>
    <w:rsid w:val="00571F0E"/>
    <w:rsid w:val="0057249D"/>
    <w:rsid w:val="0057299C"/>
    <w:rsid w:val="0057359E"/>
    <w:rsid w:val="00573CCB"/>
    <w:rsid w:val="00574F07"/>
    <w:rsid w:val="005752E4"/>
    <w:rsid w:val="00576069"/>
    <w:rsid w:val="005761C3"/>
    <w:rsid w:val="00576959"/>
    <w:rsid w:val="005802FB"/>
    <w:rsid w:val="005816C4"/>
    <w:rsid w:val="00581DA2"/>
    <w:rsid w:val="00582FC6"/>
    <w:rsid w:val="005831BE"/>
    <w:rsid w:val="005843E1"/>
    <w:rsid w:val="00584F27"/>
    <w:rsid w:val="005854E9"/>
    <w:rsid w:val="005867BD"/>
    <w:rsid w:val="00586CB0"/>
    <w:rsid w:val="00586F99"/>
    <w:rsid w:val="005871C8"/>
    <w:rsid w:val="005904DD"/>
    <w:rsid w:val="00591099"/>
    <w:rsid w:val="0059177F"/>
    <w:rsid w:val="0059360C"/>
    <w:rsid w:val="005961EF"/>
    <w:rsid w:val="00597AB3"/>
    <w:rsid w:val="00597FE8"/>
    <w:rsid w:val="005A055C"/>
    <w:rsid w:val="005A0908"/>
    <w:rsid w:val="005A3ED9"/>
    <w:rsid w:val="005A40B9"/>
    <w:rsid w:val="005A4CA1"/>
    <w:rsid w:val="005A518B"/>
    <w:rsid w:val="005A54C6"/>
    <w:rsid w:val="005A5681"/>
    <w:rsid w:val="005A628C"/>
    <w:rsid w:val="005B0462"/>
    <w:rsid w:val="005B0748"/>
    <w:rsid w:val="005B09F1"/>
    <w:rsid w:val="005B1C92"/>
    <w:rsid w:val="005B2C9F"/>
    <w:rsid w:val="005B3D36"/>
    <w:rsid w:val="005B3FA5"/>
    <w:rsid w:val="005B5B7B"/>
    <w:rsid w:val="005B60BA"/>
    <w:rsid w:val="005B7628"/>
    <w:rsid w:val="005B7898"/>
    <w:rsid w:val="005B799F"/>
    <w:rsid w:val="005C07E8"/>
    <w:rsid w:val="005C3D07"/>
    <w:rsid w:val="005C5DF3"/>
    <w:rsid w:val="005C6F53"/>
    <w:rsid w:val="005D0AA9"/>
    <w:rsid w:val="005D0DA8"/>
    <w:rsid w:val="005D4D18"/>
    <w:rsid w:val="005D6288"/>
    <w:rsid w:val="005D69E4"/>
    <w:rsid w:val="005D6B7B"/>
    <w:rsid w:val="005D7A7A"/>
    <w:rsid w:val="005E1643"/>
    <w:rsid w:val="005E1773"/>
    <w:rsid w:val="005E4D6A"/>
    <w:rsid w:val="005E5CDF"/>
    <w:rsid w:val="005E5E38"/>
    <w:rsid w:val="005E7F13"/>
    <w:rsid w:val="005E7F65"/>
    <w:rsid w:val="005F01C0"/>
    <w:rsid w:val="005F0B76"/>
    <w:rsid w:val="005F23B2"/>
    <w:rsid w:val="005F24DB"/>
    <w:rsid w:val="005F28E5"/>
    <w:rsid w:val="005F2C53"/>
    <w:rsid w:val="005F46A0"/>
    <w:rsid w:val="005F4707"/>
    <w:rsid w:val="005F5C6E"/>
    <w:rsid w:val="006010C3"/>
    <w:rsid w:val="00601658"/>
    <w:rsid w:val="0060178F"/>
    <w:rsid w:val="0060259E"/>
    <w:rsid w:val="00602CF0"/>
    <w:rsid w:val="006031E7"/>
    <w:rsid w:val="0060368D"/>
    <w:rsid w:val="0060679B"/>
    <w:rsid w:val="00606C72"/>
    <w:rsid w:val="00611876"/>
    <w:rsid w:val="00611AC3"/>
    <w:rsid w:val="00611AFD"/>
    <w:rsid w:val="006150D7"/>
    <w:rsid w:val="00617265"/>
    <w:rsid w:val="00617862"/>
    <w:rsid w:val="00620515"/>
    <w:rsid w:val="0062092C"/>
    <w:rsid w:val="00621C44"/>
    <w:rsid w:val="00622012"/>
    <w:rsid w:val="006220A7"/>
    <w:rsid w:val="0062210E"/>
    <w:rsid w:val="006225F4"/>
    <w:rsid w:val="00622D8B"/>
    <w:rsid w:val="00624B3D"/>
    <w:rsid w:val="006252D6"/>
    <w:rsid w:val="00630766"/>
    <w:rsid w:val="0063160A"/>
    <w:rsid w:val="00633125"/>
    <w:rsid w:val="00635346"/>
    <w:rsid w:val="00637506"/>
    <w:rsid w:val="0064166A"/>
    <w:rsid w:val="00642AAE"/>
    <w:rsid w:val="00644242"/>
    <w:rsid w:val="00645B8A"/>
    <w:rsid w:val="00645E13"/>
    <w:rsid w:val="00647236"/>
    <w:rsid w:val="0064751B"/>
    <w:rsid w:val="00650333"/>
    <w:rsid w:val="006505DF"/>
    <w:rsid w:val="006509B6"/>
    <w:rsid w:val="00653E9F"/>
    <w:rsid w:val="00657F30"/>
    <w:rsid w:val="00660E0E"/>
    <w:rsid w:val="00662194"/>
    <w:rsid w:val="006623BE"/>
    <w:rsid w:val="00662D83"/>
    <w:rsid w:val="0066337B"/>
    <w:rsid w:val="006637F9"/>
    <w:rsid w:val="00663A8B"/>
    <w:rsid w:val="00663B79"/>
    <w:rsid w:val="006649ED"/>
    <w:rsid w:val="00665E1A"/>
    <w:rsid w:val="00670070"/>
    <w:rsid w:val="006721BE"/>
    <w:rsid w:val="0067324A"/>
    <w:rsid w:val="006763B8"/>
    <w:rsid w:val="0067642D"/>
    <w:rsid w:val="00676A99"/>
    <w:rsid w:val="00676DAE"/>
    <w:rsid w:val="00677F91"/>
    <w:rsid w:val="00680367"/>
    <w:rsid w:val="00684D1D"/>
    <w:rsid w:val="00685CF6"/>
    <w:rsid w:val="00686298"/>
    <w:rsid w:val="00686582"/>
    <w:rsid w:val="00687797"/>
    <w:rsid w:val="00687E66"/>
    <w:rsid w:val="00690461"/>
    <w:rsid w:val="006906A6"/>
    <w:rsid w:val="006908D5"/>
    <w:rsid w:val="00690DDB"/>
    <w:rsid w:val="006A0577"/>
    <w:rsid w:val="006A11AE"/>
    <w:rsid w:val="006A209D"/>
    <w:rsid w:val="006A3102"/>
    <w:rsid w:val="006A38BE"/>
    <w:rsid w:val="006A57F6"/>
    <w:rsid w:val="006A618A"/>
    <w:rsid w:val="006A62EC"/>
    <w:rsid w:val="006B2D9E"/>
    <w:rsid w:val="006B377A"/>
    <w:rsid w:val="006B38C1"/>
    <w:rsid w:val="006B38FB"/>
    <w:rsid w:val="006B5C54"/>
    <w:rsid w:val="006C0367"/>
    <w:rsid w:val="006C1342"/>
    <w:rsid w:val="006C198C"/>
    <w:rsid w:val="006C474A"/>
    <w:rsid w:val="006C65C6"/>
    <w:rsid w:val="006D0434"/>
    <w:rsid w:val="006D136C"/>
    <w:rsid w:val="006D2C54"/>
    <w:rsid w:val="006D32A2"/>
    <w:rsid w:val="006D33BB"/>
    <w:rsid w:val="006D3983"/>
    <w:rsid w:val="006D4BBF"/>
    <w:rsid w:val="006D5162"/>
    <w:rsid w:val="006D56FA"/>
    <w:rsid w:val="006D5BAD"/>
    <w:rsid w:val="006D74E0"/>
    <w:rsid w:val="006D7BC1"/>
    <w:rsid w:val="006E2366"/>
    <w:rsid w:val="006E3594"/>
    <w:rsid w:val="006E48C1"/>
    <w:rsid w:val="006E68B0"/>
    <w:rsid w:val="006E741B"/>
    <w:rsid w:val="006E7BD1"/>
    <w:rsid w:val="006F0543"/>
    <w:rsid w:val="006F1997"/>
    <w:rsid w:val="006F22B3"/>
    <w:rsid w:val="006F46A9"/>
    <w:rsid w:val="006F4820"/>
    <w:rsid w:val="006F53E1"/>
    <w:rsid w:val="006F6404"/>
    <w:rsid w:val="006F7513"/>
    <w:rsid w:val="006F7993"/>
    <w:rsid w:val="0070177F"/>
    <w:rsid w:val="0071294A"/>
    <w:rsid w:val="007140A4"/>
    <w:rsid w:val="007161A1"/>
    <w:rsid w:val="007228D0"/>
    <w:rsid w:val="00724493"/>
    <w:rsid w:val="00724B1E"/>
    <w:rsid w:val="00727F34"/>
    <w:rsid w:val="00732744"/>
    <w:rsid w:val="00732F1B"/>
    <w:rsid w:val="007349B5"/>
    <w:rsid w:val="00734D09"/>
    <w:rsid w:val="00735B09"/>
    <w:rsid w:val="00736F2B"/>
    <w:rsid w:val="00737C5B"/>
    <w:rsid w:val="00741CF7"/>
    <w:rsid w:val="00742B6E"/>
    <w:rsid w:val="007453E2"/>
    <w:rsid w:val="0074604C"/>
    <w:rsid w:val="007464AD"/>
    <w:rsid w:val="00746F32"/>
    <w:rsid w:val="00747185"/>
    <w:rsid w:val="00747FC0"/>
    <w:rsid w:val="00754578"/>
    <w:rsid w:val="0076625E"/>
    <w:rsid w:val="00766DC4"/>
    <w:rsid w:val="00767260"/>
    <w:rsid w:val="007678E6"/>
    <w:rsid w:val="007748C0"/>
    <w:rsid w:val="00774EC0"/>
    <w:rsid w:val="00776533"/>
    <w:rsid w:val="00776567"/>
    <w:rsid w:val="00780976"/>
    <w:rsid w:val="00780C0A"/>
    <w:rsid w:val="00783C4C"/>
    <w:rsid w:val="00784232"/>
    <w:rsid w:val="0078765C"/>
    <w:rsid w:val="007919A0"/>
    <w:rsid w:val="00791D5B"/>
    <w:rsid w:val="0079639D"/>
    <w:rsid w:val="007A0CA8"/>
    <w:rsid w:val="007A12BB"/>
    <w:rsid w:val="007A73FE"/>
    <w:rsid w:val="007B0152"/>
    <w:rsid w:val="007B0FD3"/>
    <w:rsid w:val="007B13A4"/>
    <w:rsid w:val="007B2C70"/>
    <w:rsid w:val="007B50E0"/>
    <w:rsid w:val="007B537A"/>
    <w:rsid w:val="007C0040"/>
    <w:rsid w:val="007C0215"/>
    <w:rsid w:val="007C14E4"/>
    <w:rsid w:val="007C1DC8"/>
    <w:rsid w:val="007C452C"/>
    <w:rsid w:val="007C5DF9"/>
    <w:rsid w:val="007C67DE"/>
    <w:rsid w:val="007D10F9"/>
    <w:rsid w:val="007D1EF6"/>
    <w:rsid w:val="007D3DBB"/>
    <w:rsid w:val="007D5AFA"/>
    <w:rsid w:val="007D73B7"/>
    <w:rsid w:val="007D7D80"/>
    <w:rsid w:val="007E17E3"/>
    <w:rsid w:val="007E3557"/>
    <w:rsid w:val="007E42F2"/>
    <w:rsid w:val="007E48E9"/>
    <w:rsid w:val="007E60BB"/>
    <w:rsid w:val="007E6EC2"/>
    <w:rsid w:val="007F07B5"/>
    <w:rsid w:val="007F098D"/>
    <w:rsid w:val="007F165C"/>
    <w:rsid w:val="007F19DA"/>
    <w:rsid w:val="007F2FD9"/>
    <w:rsid w:val="007F38E6"/>
    <w:rsid w:val="007F52A6"/>
    <w:rsid w:val="007F5598"/>
    <w:rsid w:val="007F6D0D"/>
    <w:rsid w:val="008000B8"/>
    <w:rsid w:val="00801683"/>
    <w:rsid w:val="0080202F"/>
    <w:rsid w:val="00803178"/>
    <w:rsid w:val="008038B0"/>
    <w:rsid w:val="00804182"/>
    <w:rsid w:val="008109C1"/>
    <w:rsid w:val="0081188C"/>
    <w:rsid w:val="008171EB"/>
    <w:rsid w:val="00817FF0"/>
    <w:rsid w:val="008204F1"/>
    <w:rsid w:val="00820EA8"/>
    <w:rsid w:val="00821095"/>
    <w:rsid w:val="00822CEB"/>
    <w:rsid w:val="00823025"/>
    <w:rsid w:val="0082478B"/>
    <w:rsid w:val="00825960"/>
    <w:rsid w:val="00825C8D"/>
    <w:rsid w:val="0082624A"/>
    <w:rsid w:val="008266CA"/>
    <w:rsid w:val="00826B12"/>
    <w:rsid w:val="0083170F"/>
    <w:rsid w:val="00834116"/>
    <w:rsid w:val="0083521A"/>
    <w:rsid w:val="00835CDB"/>
    <w:rsid w:val="00836159"/>
    <w:rsid w:val="00837B13"/>
    <w:rsid w:val="008408B7"/>
    <w:rsid w:val="00840B05"/>
    <w:rsid w:val="00841EF0"/>
    <w:rsid w:val="00841F9B"/>
    <w:rsid w:val="00842A67"/>
    <w:rsid w:val="00843016"/>
    <w:rsid w:val="00845696"/>
    <w:rsid w:val="00846710"/>
    <w:rsid w:val="00846B67"/>
    <w:rsid w:val="008507DC"/>
    <w:rsid w:val="00853197"/>
    <w:rsid w:val="00853B94"/>
    <w:rsid w:val="0085685D"/>
    <w:rsid w:val="00856E9D"/>
    <w:rsid w:val="00857A83"/>
    <w:rsid w:val="008619B2"/>
    <w:rsid w:val="008622C6"/>
    <w:rsid w:val="008634DE"/>
    <w:rsid w:val="008665C0"/>
    <w:rsid w:val="008671ED"/>
    <w:rsid w:val="00867429"/>
    <w:rsid w:val="00871CFD"/>
    <w:rsid w:val="00871FC2"/>
    <w:rsid w:val="00872835"/>
    <w:rsid w:val="0087328B"/>
    <w:rsid w:val="0087519F"/>
    <w:rsid w:val="00875BCD"/>
    <w:rsid w:val="00881228"/>
    <w:rsid w:val="0088124B"/>
    <w:rsid w:val="00881DA4"/>
    <w:rsid w:val="008830A7"/>
    <w:rsid w:val="00886751"/>
    <w:rsid w:val="008872B4"/>
    <w:rsid w:val="00887584"/>
    <w:rsid w:val="00887AB4"/>
    <w:rsid w:val="008904D8"/>
    <w:rsid w:val="00890675"/>
    <w:rsid w:val="00892245"/>
    <w:rsid w:val="00893BEF"/>
    <w:rsid w:val="00893C24"/>
    <w:rsid w:val="00894B75"/>
    <w:rsid w:val="0089550D"/>
    <w:rsid w:val="008A0D3B"/>
    <w:rsid w:val="008A18B6"/>
    <w:rsid w:val="008A1CE1"/>
    <w:rsid w:val="008A3D1F"/>
    <w:rsid w:val="008A432C"/>
    <w:rsid w:val="008A519E"/>
    <w:rsid w:val="008A6015"/>
    <w:rsid w:val="008A6371"/>
    <w:rsid w:val="008B03D7"/>
    <w:rsid w:val="008B0F1C"/>
    <w:rsid w:val="008B146A"/>
    <w:rsid w:val="008B190D"/>
    <w:rsid w:val="008B2CFB"/>
    <w:rsid w:val="008B31E7"/>
    <w:rsid w:val="008B3487"/>
    <w:rsid w:val="008B41E2"/>
    <w:rsid w:val="008B4B03"/>
    <w:rsid w:val="008B51CC"/>
    <w:rsid w:val="008B5846"/>
    <w:rsid w:val="008B7828"/>
    <w:rsid w:val="008C08BD"/>
    <w:rsid w:val="008C2462"/>
    <w:rsid w:val="008C2BB4"/>
    <w:rsid w:val="008C4437"/>
    <w:rsid w:val="008C671C"/>
    <w:rsid w:val="008C79E2"/>
    <w:rsid w:val="008D1CEF"/>
    <w:rsid w:val="008D205D"/>
    <w:rsid w:val="008D3371"/>
    <w:rsid w:val="008D3483"/>
    <w:rsid w:val="008D441C"/>
    <w:rsid w:val="008D461A"/>
    <w:rsid w:val="008D4BEC"/>
    <w:rsid w:val="008D7E71"/>
    <w:rsid w:val="008E1A00"/>
    <w:rsid w:val="008E2827"/>
    <w:rsid w:val="008E3061"/>
    <w:rsid w:val="008E65FF"/>
    <w:rsid w:val="008F0ABA"/>
    <w:rsid w:val="008F1149"/>
    <w:rsid w:val="008F1496"/>
    <w:rsid w:val="008F19D2"/>
    <w:rsid w:val="008F34B4"/>
    <w:rsid w:val="008F4678"/>
    <w:rsid w:val="008F4FC2"/>
    <w:rsid w:val="008F75FA"/>
    <w:rsid w:val="00900083"/>
    <w:rsid w:val="0090030D"/>
    <w:rsid w:val="00900CCC"/>
    <w:rsid w:val="00901132"/>
    <w:rsid w:val="00904285"/>
    <w:rsid w:val="00904429"/>
    <w:rsid w:val="00904490"/>
    <w:rsid w:val="00904EAD"/>
    <w:rsid w:val="00906CB5"/>
    <w:rsid w:val="00907A67"/>
    <w:rsid w:val="009121C1"/>
    <w:rsid w:val="00915971"/>
    <w:rsid w:val="00916150"/>
    <w:rsid w:val="009166B2"/>
    <w:rsid w:val="00916EAB"/>
    <w:rsid w:val="0092197D"/>
    <w:rsid w:val="00923B1E"/>
    <w:rsid w:val="00924CF8"/>
    <w:rsid w:val="0092568E"/>
    <w:rsid w:val="00925D47"/>
    <w:rsid w:val="00927182"/>
    <w:rsid w:val="00930166"/>
    <w:rsid w:val="00930486"/>
    <w:rsid w:val="009309E1"/>
    <w:rsid w:val="00931806"/>
    <w:rsid w:val="00933861"/>
    <w:rsid w:val="00933FBB"/>
    <w:rsid w:val="0093478E"/>
    <w:rsid w:val="009348D2"/>
    <w:rsid w:val="00934C52"/>
    <w:rsid w:val="009356CD"/>
    <w:rsid w:val="009356DF"/>
    <w:rsid w:val="0093691E"/>
    <w:rsid w:val="00937560"/>
    <w:rsid w:val="00940CDD"/>
    <w:rsid w:val="00941015"/>
    <w:rsid w:val="00941807"/>
    <w:rsid w:val="0094370A"/>
    <w:rsid w:val="00944627"/>
    <w:rsid w:val="00946581"/>
    <w:rsid w:val="00946F2A"/>
    <w:rsid w:val="00947004"/>
    <w:rsid w:val="0094732E"/>
    <w:rsid w:val="009476BE"/>
    <w:rsid w:val="0095246A"/>
    <w:rsid w:val="009525D4"/>
    <w:rsid w:val="00953C6D"/>
    <w:rsid w:val="00955814"/>
    <w:rsid w:val="009562AC"/>
    <w:rsid w:val="00956CB4"/>
    <w:rsid w:val="00963583"/>
    <w:rsid w:val="00963954"/>
    <w:rsid w:val="009653E1"/>
    <w:rsid w:val="0096696E"/>
    <w:rsid w:val="00970034"/>
    <w:rsid w:val="00971BE5"/>
    <w:rsid w:val="009724BB"/>
    <w:rsid w:val="00972D05"/>
    <w:rsid w:val="0097465D"/>
    <w:rsid w:val="00974B0F"/>
    <w:rsid w:val="00974C06"/>
    <w:rsid w:val="0097708F"/>
    <w:rsid w:val="009809DA"/>
    <w:rsid w:val="00982044"/>
    <w:rsid w:val="0098224A"/>
    <w:rsid w:val="00982564"/>
    <w:rsid w:val="00982E91"/>
    <w:rsid w:val="00982F1B"/>
    <w:rsid w:val="00985173"/>
    <w:rsid w:val="00985C79"/>
    <w:rsid w:val="00986188"/>
    <w:rsid w:val="00991B12"/>
    <w:rsid w:val="00991B8E"/>
    <w:rsid w:val="009A1462"/>
    <w:rsid w:val="009A2CF8"/>
    <w:rsid w:val="009A4CF9"/>
    <w:rsid w:val="009A6122"/>
    <w:rsid w:val="009B0198"/>
    <w:rsid w:val="009B18BB"/>
    <w:rsid w:val="009B1D7B"/>
    <w:rsid w:val="009B2155"/>
    <w:rsid w:val="009B2476"/>
    <w:rsid w:val="009B35B5"/>
    <w:rsid w:val="009B3DEA"/>
    <w:rsid w:val="009B451F"/>
    <w:rsid w:val="009B49B7"/>
    <w:rsid w:val="009B71C7"/>
    <w:rsid w:val="009C0F57"/>
    <w:rsid w:val="009C10BE"/>
    <w:rsid w:val="009C2C04"/>
    <w:rsid w:val="009C4909"/>
    <w:rsid w:val="009C4EF7"/>
    <w:rsid w:val="009D0B62"/>
    <w:rsid w:val="009D2533"/>
    <w:rsid w:val="009D28EB"/>
    <w:rsid w:val="009D3D76"/>
    <w:rsid w:val="009D4540"/>
    <w:rsid w:val="009D53CD"/>
    <w:rsid w:val="009D585F"/>
    <w:rsid w:val="009D600F"/>
    <w:rsid w:val="009D637F"/>
    <w:rsid w:val="009D6FEA"/>
    <w:rsid w:val="009E3525"/>
    <w:rsid w:val="009E3C06"/>
    <w:rsid w:val="009E65B2"/>
    <w:rsid w:val="009E6ABF"/>
    <w:rsid w:val="009E7C6A"/>
    <w:rsid w:val="009F129D"/>
    <w:rsid w:val="009F15BD"/>
    <w:rsid w:val="009F18A4"/>
    <w:rsid w:val="009F1973"/>
    <w:rsid w:val="009F4304"/>
    <w:rsid w:val="009F5DB7"/>
    <w:rsid w:val="00A00220"/>
    <w:rsid w:val="00A011BD"/>
    <w:rsid w:val="00A0161D"/>
    <w:rsid w:val="00A01658"/>
    <w:rsid w:val="00A018B8"/>
    <w:rsid w:val="00A03254"/>
    <w:rsid w:val="00A0335B"/>
    <w:rsid w:val="00A03872"/>
    <w:rsid w:val="00A05AFD"/>
    <w:rsid w:val="00A067F4"/>
    <w:rsid w:val="00A07388"/>
    <w:rsid w:val="00A10183"/>
    <w:rsid w:val="00A12F12"/>
    <w:rsid w:val="00A1348B"/>
    <w:rsid w:val="00A15D98"/>
    <w:rsid w:val="00A205D5"/>
    <w:rsid w:val="00A223A6"/>
    <w:rsid w:val="00A22FE9"/>
    <w:rsid w:val="00A232C2"/>
    <w:rsid w:val="00A23B70"/>
    <w:rsid w:val="00A254FF"/>
    <w:rsid w:val="00A26767"/>
    <w:rsid w:val="00A27DE4"/>
    <w:rsid w:val="00A32C17"/>
    <w:rsid w:val="00A33B55"/>
    <w:rsid w:val="00A405F5"/>
    <w:rsid w:val="00A43B17"/>
    <w:rsid w:val="00A44B7F"/>
    <w:rsid w:val="00A45700"/>
    <w:rsid w:val="00A463A1"/>
    <w:rsid w:val="00A503F9"/>
    <w:rsid w:val="00A5324B"/>
    <w:rsid w:val="00A5379D"/>
    <w:rsid w:val="00A538CE"/>
    <w:rsid w:val="00A53B02"/>
    <w:rsid w:val="00A57A8F"/>
    <w:rsid w:val="00A57EDC"/>
    <w:rsid w:val="00A61623"/>
    <w:rsid w:val="00A65E54"/>
    <w:rsid w:val="00A67376"/>
    <w:rsid w:val="00A734E7"/>
    <w:rsid w:val="00A75669"/>
    <w:rsid w:val="00A756AB"/>
    <w:rsid w:val="00A757E3"/>
    <w:rsid w:val="00A75880"/>
    <w:rsid w:val="00A81742"/>
    <w:rsid w:val="00A84049"/>
    <w:rsid w:val="00A84388"/>
    <w:rsid w:val="00A86574"/>
    <w:rsid w:val="00A86FE8"/>
    <w:rsid w:val="00A9175D"/>
    <w:rsid w:val="00A92CBD"/>
    <w:rsid w:val="00AA0003"/>
    <w:rsid w:val="00AA1EC4"/>
    <w:rsid w:val="00AA39A9"/>
    <w:rsid w:val="00AA3DD0"/>
    <w:rsid w:val="00AA5D71"/>
    <w:rsid w:val="00AA6A6F"/>
    <w:rsid w:val="00AA79E5"/>
    <w:rsid w:val="00AA7C34"/>
    <w:rsid w:val="00AB0FFF"/>
    <w:rsid w:val="00AB4F50"/>
    <w:rsid w:val="00AB5381"/>
    <w:rsid w:val="00AB53F7"/>
    <w:rsid w:val="00AB648F"/>
    <w:rsid w:val="00AB7C6A"/>
    <w:rsid w:val="00AC17DC"/>
    <w:rsid w:val="00AC2907"/>
    <w:rsid w:val="00AC441F"/>
    <w:rsid w:val="00AC48CB"/>
    <w:rsid w:val="00AC545C"/>
    <w:rsid w:val="00AC63FE"/>
    <w:rsid w:val="00AC6CDF"/>
    <w:rsid w:val="00AC71DB"/>
    <w:rsid w:val="00AC7353"/>
    <w:rsid w:val="00AD0AEF"/>
    <w:rsid w:val="00AD2757"/>
    <w:rsid w:val="00AD290A"/>
    <w:rsid w:val="00AD6CDB"/>
    <w:rsid w:val="00AD7934"/>
    <w:rsid w:val="00AE0A7E"/>
    <w:rsid w:val="00AE1278"/>
    <w:rsid w:val="00AE1536"/>
    <w:rsid w:val="00AE255B"/>
    <w:rsid w:val="00AE4D20"/>
    <w:rsid w:val="00AE56FB"/>
    <w:rsid w:val="00AE58D0"/>
    <w:rsid w:val="00AE5E49"/>
    <w:rsid w:val="00AE6F90"/>
    <w:rsid w:val="00AE728E"/>
    <w:rsid w:val="00AF0988"/>
    <w:rsid w:val="00AF15DC"/>
    <w:rsid w:val="00AF5A29"/>
    <w:rsid w:val="00AF6967"/>
    <w:rsid w:val="00B02D86"/>
    <w:rsid w:val="00B0548C"/>
    <w:rsid w:val="00B05AF3"/>
    <w:rsid w:val="00B05EB4"/>
    <w:rsid w:val="00B06BDA"/>
    <w:rsid w:val="00B07D3E"/>
    <w:rsid w:val="00B10368"/>
    <w:rsid w:val="00B115EF"/>
    <w:rsid w:val="00B1206A"/>
    <w:rsid w:val="00B15FA9"/>
    <w:rsid w:val="00B17C06"/>
    <w:rsid w:val="00B2034B"/>
    <w:rsid w:val="00B2057B"/>
    <w:rsid w:val="00B20BA1"/>
    <w:rsid w:val="00B2150F"/>
    <w:rsid w:val="00B22654"/>
    <w:rsid w:val="00B268FB"/>
    <w:rsid w:val="00B26A88"/>
    <w:rsid w:val="00B315E2"/>
    <w:rsid w:val="00B32693"/>
    <w:rsid w:val="00B32E7B"/>
    <w:rsid w:val="00B33410"/>
    <w:rsid w:val="00B33882"/>
    <w:rsid w:val="00B34733"/>
    <w:rsid w:val="00B34DDB"/>
    <w:rsid w:val="00B3772F"/>
    <w:rsid w:val="00B42F30"/>
    <w:rsid w:val="00B44C5C"/>
    <w:rsid w:val="00B46AF7"/>
    <w:rsid w:val="00B46F0F"/>
    <w:rsid w:val="00B46F59"/>
    <w:rsid w:val="00B47069"/>
    <w:rsid w:val="00B53D51"/>
    <w:rsid w:val="00B56E74"/>
    <w:rsid w:val="00B64068"/>
    <w:rsid w:val="00B6636F"/>
    <w:rsid w:val="00B66B3F"/>
    <w:rsid w:val="00B67C5D"/>
    <w:rsid w:val="00B67FB7"/>
    <w:rsid w:val="00B715C9"/>
    <w:rsid w:val="00B753B2"/>
    <w:rsid w:val="00B75EC2"/>
    <w:rsid w:val="00B77375"/>
    <w:rsid w:val="00B77E99"/>
    <w:rsid w:val="00B80C91"/>
    <w:rsid w:val="00B80D55"/>
    <w:rsid w:val="00B80DE8"/>
    <w:rsid w:val="00B80F67"/>
    <w:rsid w:val="00B81C44"/>
    <w:rsid w:val="00B824D4"/>
    <w:rsid w:val="00B82A7C"/>
    <w:rsid w:val="00B84719"/>
    <w:rsid w:val="00B85976"/>
    <w:rsid w:val="00B871BB"/>
    <w:rsid w:val="00B90019"/>
    <w:rsid w:val="00B9062E"/>
    <w:rsid w:val="00B90BF1"/>
    <w:rsid w:val="00B91C83"/>
    <w:rsid w:val="00B92A84"/>
    <w:rsid w:val="00B9366F"/>
    <w:rsid w:val="00B9413A"/>
    <w:rsid w:val="00BA0129"/>
    <w:rsid w:val="00BA13DF"/>
    <w:rsid w:val="00BA2B3C"/>
    <w:rsid w:val="00BA3134"/>
    <w:rsid w:val="00BA4152"/>
    <w:rsid w:val="00BA435D"/>
    <w:rsid w:val="00BB0FDE"/>
    <w:rsid w:val="00BB21FE"/>
    <w:rsid w:val="00BB539D"/>
    <w:rsid w:val="00BB69FE"/>
    <w:rsid w:val="00BB6D95"/>
    <w:rsid w:val="00BC0F12"/>
    <w:rsid w:val="00BC135F"/>
    <w:rsid w:val="00BC1549"/>
    <w:rsid w:val="00BC171F"/>
    <w:rsid w:val="00BC2EBC"/>
    <w:rsid w:val="00BC4B58"/>
    <w:rsid w:val="00BC55C0"/>
    <w:rsid w:val="00BC57B8"/>
    <w:rsid w:val="00BC640C"/>
    <w:rsid w:val="00BC7915"/>
    <w:rsid w:val="00BD00BA"/>
    <w:rsid w:val="00BD0284"/>
    <w:rsid w:val="00BD05DA"/>
    <w:rsid w:val="00BD339D"/>
    <w:rsid w:val="00BD3E76"/>
    <w:rsid w:val="00BD4585"/>
    <w:rsid w:val="00BD4AA4"/>
    <w:rsid w:val="00BE2374"/>
    <w:rsid w:val="00BE26CD"/>
    <w:rsid w:val="00BE33E6"/>
    <w:rsid w:val="00BE3E0F"/>
    <w:rsid w:val="00BE4B3B"/>
    <w:rsid w:val="00BE5E85"/>
    <w:rsid w:val="00BE601F"/>
    <w:rsid w:val="00BE7678"/>
    <w:rsid w:val="00BF051C"/>
    <w:rsid w:val="00BF16CF"/>
    <w:rsid w:val="00BF496E"/>
    <w:rsid w:val="00BF5B8D"/>
    <w:rsid w:val="00C0026E"/>
    <w:rsid w:val="00C00CBC"/>
    <w:rsid w:val="00C02950"/>
    <w:rsid w:val="00C030D5"/>
    <w:rsid w:val="00C03D81"/>
    <w:rsid w:val="00C05A92"/>
    <w:rsid w:val="00C05BD8"/>
    <w:rsid w:val="00C0669B"/>
    <w:rsid w:val="00C10844"/>
    <w:rsid w:val="00C13582"/>
    <w:rsid w:val="00C140F2"/>
    <w:rsid w:val="00C1428F"/>
    <w:rsid w:val="00C16292"/>
    <w:rsid w:val="00C17073"/>
    <w:rsid w:val="00C20143"/>
    <w:rsid w:val="00C2049B"/>
    <w:rsid w:val="00C21868"/>
    <w:rsid w:val="00C21D44"/>
    <w:rsid w:val="00C2231B"/>
    <w:rsid w:val="00C223CA"/>
    <w:rsid w:val="00C23CF5"/>
    <w:rsid w:val="00C24F2A"/>
    <w:rsid w:val="00C2615A"/>
    <w:rsid w:val="00C27ADA"/>
    <w:rsid w:val="00C27FDB"/>
    <w:rsid w:val="00C319FA"/>
    <w:rsid w:val="00C326A6"/>
    <w:rsid w:val="00C3560E"/>
    <w:rsid w:val="00C36714"/>
    <w:rsid w:val="00C36C17"/>
    <w:rsid w:val="00C42803"/>
    <w:rsid w:val="00C42E35"/>
    <w:rsid w:val="00C44E05"/>
    <w:rsid w:val="00C45BD2"/>
    <w:rsid w:val="00C4792A"/>
    <w:rsid w:val="00C518C0"/>
    <w:rsid w:val="00C5266D"/>
    <w:rsid w:val="00C55810"/>
    <w:rsid w:val="00C5670B"/>
    <w:rsid w:val="00C575A1"/>
    <w:rsid w:val="00C60138"/>
    <w:rsid w:val="00C64087"/>
    <w:rsid w:val="00C64410"/>
    <w:rsid w:val="00C65824"/>
    <w:rsid w:val="00C702CE"/>
    <w:rsid w:val="00C70814"/>
    <w:rsid w:val="00C71258"/>
    <w:rsid w:val="00C7246E"/>
    <w:rsid w:val="00C7492B"/>
    <w:rsid w:val="00C7552C"/>
    <w:rsid w:val="00C75787"/>
    <w:rsid w:val="00C757ED"/>
    <w:rsid w:val="00C82EF2"/>
    <w:rsid w:val="00C83EC5"/>
    <w:rsid w:val="00C841F3"/>
    <w:rsid w:val="00C85595"/>
    <w:rsid w:val="00C87CC2"/>
    <w:rsid w:val="00C90D23"/>
    <w:rsid w:val="00C92566"/>
    <w:rsid w:val="00C92BF5"/>
    <w:rsid w:val="00C92F9A"/>
    <w:rsid w:val="00C959D7"/>
    <w:rsid w:val="00CA0572"/>
    <w:rsid w:val="00CA0634"/>
    <w:rsid w:val="00CA143D"/>
    <w:rsid w:val="00CA2436"/>
    <w:rsid w:val="00CA26E8"/>
    <w:rsid w:val="00CB044A"/>
    <w:rsid w:val="00CB04C2"/>
    <w:rsid w:val="00CB2EDF"/>
    <w:rsid w:val="00CC134E"/>
    <w:rsid w:val="00CC149B"/>
    <w:rsid w:val="00CC3746"/>
    <w:rsid w:val="00CC499A"/>
    <w:rsid w:val="00CC517C"/>
    <w:rsid w:val="00CC5246"/>
    <w:rsid w:val="00CC52D9"/>
    <w:rsid w:val="00CC5315"/>
    <w:rsid w:val="00CC6D27"/>
    <w:rsid w:val="00CD0D0B"/>
    <w:rsid w:val="00CD2206"/>
    <w:rsid w:val="00CD2DC7"/>
    <w:rsid w:val="00CD43BE"/>
    <w:rsid w:val="00CD4FC7"/>
    <w:rsid w:val="00CD7080"/>
    <w:rsid w:val="00CD7B81"/>
    <w:rsid w:val="00CE0C26"/>
    <w:rsid w:val="00CE181E"/>
    <w:rsid w:val="00CE489A"/>
    <w:rsid w:val="00CE4E6F"/>
    <w:rsid w:val="00CE5B55"/>
    <w:rsid w:val="00CE609E"/>
    <w:rsid w:val="00CE613D"/>
    <w:rsid w:val="00CE7D9A"/>
    <w:rsid w:val="00CF0EF5"/>
    <w:rsid w:val="00CF180C"/>
    <w:rsid w:val="00CF1AFA"/>
    <w:rsid w:val="00CF1B05"/>
    <w:rsid w:val="00CF3C92"/>
    <w:rsid w:val="00CF42DA"/>
    <w:rsid w:val="00CF4A50"/>
    <w:rsid w:val="00CF6D00"/>
    <w:rsid w:val="00D0133C"/>
    <w:rsid w:val="00D01686"/>
    <w:rsid w:val="00D02301"/>
    <w:rsid w:val="00D02856"/>
    <w:rsid w:val="00D02ABC"/>
    <w:rsid w:val="00D02B72"/>
    <w:rsid w:val="00D0382D"/>
    <w:rsid w:val="00D03D41"/>
    <w:rsid w:val="00D04EC9"/>
    <w:rsid w:val="00D05405"/>
    <w:rsid w:val="00D05CAD"/>
    <w:rsid w:val="00D071AA"/>
    <w:rsid w:val="00D07973"/>
    <w:rsid w:val="00D12CD8"/>
    <w:rsid w:val="00D13171"/>
    <w:rsid w:val="00D15BC3"/>
    <w:rsid w:val="00D16CF9"/>
    <w:rsid w:val="00D203F2"/>
    <w:rsid w:val="00D21351"/>
    <w:rsid w:val="00D25E27"/>
    <w:rsid w:val="00D3249B"/>
    <w:rsid w:val="00D35BF7"/>
    <w:rsid w:val="00D3791E"/>
    <w:rsid w:val="00D400A3"/>
    <w:rsid w:val="00D40AFE"/>
    <w:rsid w:val="00D41D30"/>
    <w:rsid w:val="00D42052"/>
    <w:rsid w:val="00D4244B"/>
    <w:rsid w:val="00D42632"/>
    <w:rsid w:val="00D43F3F"/>
    <w:rsid w:val="00D45557"/>
    <w:rsid w:val="00D46035"/>
    <w:rsid w:val="00D46BB3"/>
    <w:rsid w:val="00D50044"/>
    <w:rsid w:val="00D5108C"/>
    <w:rsid w:val="00D51AE9"/>
    <w:rsid w:val="00D521B2"/>
    <w:rsid w:val="00D523CB"/>
    <w:rsid w:val="00D53E97"/>
    <w:rsid w:val="00D55879"/>
    <w:rsid w:val="00D56F49"/>
    <w:rsid w:val="00D573C4"/>
    <w:rsid w:val="00D57A2C"/>
    <w:rsid w:val="00D57F5D"/>
    <w:rsid w:val="00D6124C"/>
    <w:rsid w:val="00D63591"/>
    <w:rsid w:val="00D63CC9"/>
    <w:rsid w:val="00D66C8C"/>
    <w:rsid w:val="00D676FB"/>
    <w:rsid w:val="00D7042B"/>
    <w:rsid w:val="00D70D22"/>
    <w:rsid w:val="00D70E48"/>
    <w:rsid w:val="00D7223C"/>
    <w:rsid w:val="00D736F6"/>
    <w:rsid w:val="00D7577A"/>
    <w:rsid w:val="00D75865"/>
    <w:rsid w:val="00D76715"/>
    <w:rsid w:val="00D809CC"/>
    <w:rsid w:val="00D87943"/>
    <w:rsid w:val="00D90A95"/>
    <w:rsid w:val="00D91023"/>
    <w:rsid w:val="00D91602"/>
    <w:rsid w:val="00D91E68"/>
    <w:rsid w:val="00D94A46"/>
    <w:rsid w:val="00D94B8B"/>
    <w:rsid w:val="00D94DAE"/>
    <w:rsid w:val="00D96264"/>
    <w:rsid w:val="00D96EC6"/>
    <w:rsid w:val="00DA1870"/>
    <w:rsid w:val="00DA2026"/>
    <w:rsid w:val="00DA346D"/>
    <w:rsid w:val="00DA3C90"/>
    <w:rsid w:val="00DA3F23"/>
    <w:rsid w:val="00DA3FB4"/>
    <w:rsid w:val="00DA5943"/>
    <w:rsid w:val="00DA6DEA"/>
    <w:rsid w:val="00DB17C7"/>
    <w:rsid w:val="00DB26D3"/>
    <w:rsid w:val="00DB2F58"/>
    <w:rsid w:val="00DC0114"/>
    <w:rsid w:val="00DC0202"/>
    <w:rsid w:val="00DC122A"/>
    <w:rsid w:val="00DC209C"/>
    <w:rsid w:val="00DC23DA"/>
    <w:rsid w:val="00DC2A43"/>
    <w:rsid w:val="00DC31F1"/>
    <w:rsid w:val="00DC356E"/>
    <w:rsid w:val="00DC3D5D"/>
    <w:rsid w:val="00DC4DAB"/>
    <w:rsid w:val="00DC6087"/>
    <w:rsid w:val="00DC6DF3"/>
    <w:rsid w:val="00DC721F"/>
    <w:rsid w:val="00DD101A"/>
    <w:rsid w:val="00DD16CA"/>
    <w:rsid w:val="00DD1D7B"/>
    <w:rsid w:val="00DD2D0F"/>
    <w:rsid w:val="00DD3676"/>
    <w:rsid w:val="00DD3702"/>
    <w:rsid w:val="00DD4123"/>
    <w:rsid w:val="00DD472E"/>
    <w:rsid w:val="00DD623C"/>
    <w:rsid w:val="00DD640D"/>
    <w:rsid w:val="00DD7838"/>
    <w:rsid w:val="00DE008C"/>
    <w:rsid w:val="00DE19AC"/>
    <w:rsid w:val="00DE24F6"/>
    <w:rsid w:val="00DE26BD"/>
    <w:rsid w:val="00DE33A2"/>
    <w:rsid w:val="00DE5F8F"/>
    <w:rsid w:val="00DE7535"/>
    <w:rsid w:val="00DF2082"/>
    <w:rsid w:val="00DF28AC"/>
    <w:rsid w:val="00DF5A6D"/>
    <w:rsid w:val="00E02446"/>
    <w:rsid w:val="00E02E52"/>
    <w:rsid w:val="00E03A96"/>
    <w:rsid w:val="00E0457B"/>
    <w:rsid w:val="00E05218"/>
    <w:rsid w:val="00E05935"/>
    <w:rsid w:val="00E05AEB"/>
    <w:rsid w:val="00E06CE6"/>
    <w:rsid w:val="00E07C72"/>
    <w:rsid w:val="00E10628"/>
    <w:rsid w:val="00E12380"/>
    <w:rsid w:val="00E13427"/>
    <w:rsid w:val="00E1418A"/>
    <w:rsid w:val="00E1732E"/>
    <w:rsid w:val="00E20F2C"/>
    <w:rsid w:val="00E218B2"/>
    <w:rsid w:val="00E23C01"/>
    <w:rsid w:val="00E26817"/>
    <w:rsid w:val="00E27E9A"/>
    <w:rsid w:val="00E30E07"/>
    <w:rsid w:val="00E3172A"/>
    <w:rsid w:val="00E33E18"/>
    <w:rsid w:val="00E34FA3"/>
    <w:rsid w:val="00E36357"/>
    <w:rsid w:val="00E40053"/>
    <w:rsid w:val="00E4129B"/>
    <w:rsid w:val="00E417A5"/>
    <w:rsid w:val="00E436E7"/>
    <w:rsid w:val="00E44F0D"/>
    <w:rsid w:val="00E452ED"/>
    <w:rsid w:val="00E46076"/>
    <w:rsid w:val="00E461E6"/>
    <w:rsid w:val="00E47EDE"/>
    <w:rsid w:val="00E50060"/>
    <w:rsid w:val="00E50584"/>
    <w:rsid w:val="00E564BA"/>
    <w:rsid w:val="00E60BAA"/>
    <w:rsid w:val="00E6759C"/>
    <w:rsid w:val="00E703D9"/>
    <w:rsid w:val="00E7106E"/>
    <w:rsid w:val="00E72B67"/>
    <w:rsid w:val="00E73386"/>
    <w:rsid w:val="00E744C5"/>
    <w:rsid w:val="00E802A3"/>
    <w:rsid w:val="00E80461"/>
    <w:rsid w:val="00E857A5"/>
    <w:rsid w:val="00E86C80"/>
    <w:rsid w:val="00E877C5"/>
    <w:rsid w:val="00E877F9"/>
    <w:rsid w:val="00E908CF"/>
    <w:rsid w:val="00E90CFB"/>
    <w:rsid w:val="00E90FF7"/>
    <w:rsid w:val="00E91CF8"/>
    <w:rsid w:val="00E91E9B"/>
    <w:rsid w:val="00E9302D"/>
    <w:rsid w:val="00E936DA"/>
    <w:rsid w:val="00E945D2"/>
    <w:rsid w:val="00E95252"/>
    <w:rsid w:val="00EA2050"/>
    <w:rsid w:val="00EA469F"/>
    <w:rsid w:val="00EA5730"/>
    <w:rsid w:val="00EA65A0"/>
    <w:rsid w:val="00EA69A5"/>
    <w:rsid w:val="00EA7342"/>
    <w:rsid w:val="00EB291D"/>
    <w:rsid w:val="00EB4A60"/>
    <w:rsid w:val="00EB4A61"/>
    <w:rsid w:val="00EB5B8D"/>
    <w:rsid w:val="00EB5D24"/>
    <w:rsid w:val="00EC0536"/>
    <w:rsid w:val="00EC34D9"/>
    <w:rsid w:val="00EC4C2B"/>
    <w:rsid w:val="00EC692E"/>
    <w:rsid w:val="00EC6C4F"/>
    <w:rsid w:val="00ED0820"/>
    <w:rsid w:val="00ED2534"/>
    <w:rsid w:val="00ED288F"/>
    <w:rsid w:val="00ED3F29"/>
    <w:rsid w:val="00ED4020"/>
    <w:rsid w:val="00ED464D"/>
    <w:rsid w:val="00ED6F03"/>
    <w:rsid w:val="00EE093D"/>
    <w:rsid w:val="00EE11EC"/>
    <w:rsid w:val="00EE2046"/>
    <w:rsid w:val="00EE2872"/>
    <w:rsid w:val="00EE2A76"/>
    <w:rsid w:val="00EE3823"/>
    <w:rsid w:val="00EF1031"/>
    <w:rsid w:val="00EF184B"/>
    <w:rsid w:val="00EF3A78"/>
    <w:rsid w:val="00EF4973"/>
    <w:rsid w:val="00EF598B"/>
    <w:rsid w:val="00EF5BF3"/>
    <w:rsid w:val="00EF6328"/>
    <w:rsid w:val="00EF71AB"/>
    <w:rsid w:val="00EF784C"/>
    <w:rsid w:val="00EF7B02"/>
    <w:rsid w:val="00F00C03"/>
    <w:rsid w:val="00F00E0A"/>
    <w:rsid w:val="00F0565E"/>
    <w:rsid w:val="00F05EEC"/>
    <w:rsid w:val="00F0684F"/>
    <w:rsid w:val="00F10875"/>
    <w:rsid w:val="00F10C48"/>
    <w:rsid w:val="00F113DF"/>
    <w:rsid w:val="00F123A4"/>
    <w:rsid w:val="00F1532F"/>
    <w:rsid w:val="00F15B6A"/>
    <w:rsid w:val="00F1659E"/>
    <w:rsid w:val="00F165E0"/>
    <w:rsid w:val="00F1691E"/>
    <w:rsid w:val="00F169AC"/>
    <w:rsid w:val="00F16AB2"/>
    <w:rsid w:val="00F172C9"/>
    <w:rsid w:val="00F202C3"/>
    <w:rsid w:val="00F20369"/>
    <w:rsid w:val="00F21FAE"/>
    <w:rsid w:val="00F22235"/>
    <w:rsid w:val="00F23C51"/>
    <w:rsid w:val="00F26B0D"/>
    <w:rsid w:val="00F26CD6"/>
    <w:rsid w:val="00F302A5"/>
    <w:rsid w:val="00F30484"/>
    <w:rsid w:val="00F3305D"/>
    <w:rsid w:val="00F338A6"/>
    <w:rsid w:val="00F36BB5"/>
    <w:rsid w:val="00F370B3"/>
    <w:rsid w:val="00F372BF"/>
    <w:rsid w:val="00F40ED7"/>
    <w:rsid w:val="00F4161A"/>
    <w:rsid w:val="00F464DB"/>
    <w:rsid w:val="00F4761C"/>
    <w:rsid w:val="00F47FE1"/>
    <w:rsid w:val="00F5057D"/>
    <w:rsid w:val="00F525A3"/>
    <w:rsid w:val="00F54A24"/>
    <w:rsid w:val="00F57276"/>
    <w:rsid w:val="00F57536"/>
    <w:rsid w:val="00F61D88"/>
    <w:rsid w:val="00F641B1"/>
    <w:rsid w:val="00F65636"/>
    <w:rsid w:val="00F65B61"/>
    <w:rsid w:val="00F67A6F"/>
    <w:rsid w:val="00F70311"/>
    <w:rsid w:val="00F70396"/>
    <w:rsid w:val="00F70775"/>
    <w:rsid w:val="00F71582"/>
    <w:rsid w:val="00F72681"/>
    <w:rsid w:val="00F75087"/>
    <w:rsid w:val="00F75246"/>
    <w:rsid w:val="00F757C1"/>
    <w:rsid w:val="00F75C98"/>
    <w:rsid w:val="00F77CC6"/>
    <w:rsid w:val="00F77D40"/>
    <w:rsid w:val="00F80842"/>
    <w:rsid w:val="00F82E66"/>
    <w:rsid w:val="00F83596"/>
    <w:rsid w:val="00F843B5"/>
    <w:rsid w:val="00F84BBC"/>
    <w:rsid w:val="00F901E0"/>
    <w:rsid w:val="00F92025"/>
    <w:rsid w:val="00F936D3"/>
    <w:rsid w:val="00F94875"/>
    <w:rsid w:val="00F96B25"/>
    <w:rsid w:val="00FA0A3E"/>
    <w:rsid w:val="00FA0A4F"/>
    <w:rsid w:val="00FA0C5C"/>
    <w:rsid w:val="00FA0D51"/>
    <w:rsid w:val="00FA0FBB"/>
    <w:rsid w:val="00FA0FC5"/>
    <w:rsid w:val="00FA324D"/>
    <w:rsid w:val="00FA5E41"/>
    <w:rsid w:val="00FA716E"/>
    <w:rsid w:val="00FA74F6"/>
    <w:rsid w:val="00FA78FF"/>
    <w:rsid w:val="00FB121C"/>
    <w:rsid w:val="00FB16B5"/>
    <w:rsid w:val="00FB1A4A"/>
    <w:rsid w:val="00FB1AB1"/>
    <w:rsid w:val="00FB1B70"/>
    <w:rsid w:val="00FB51B8"/>
    <w:rsid w:val="00FB7367"/>
    <w:rsid w:val="00FC0BED"/>
    <w:rsid w:val="00FC1E5A"/>
    <w:rsid w:val="00FC4C83"/>
    <w:rsid w:val="00FD042C"/>
    <w:rsid w:val="00FD1FCF"/>
    <w:rsid w:val="00FD3126"/>
    <w:rsid w:val="00FD333C"/>
    <w:rsid w:val="00FD58D2"/>
    <w:rsid w:val="00FE1BA3"/>
    <w:rsid w:val="00FE36B8"/>
    <w:rsid w:val="00FE3731"/>
    <w:rsid w:val="00FE4202"/>
    <w:rsid w:val="00FE72B3"/>
    <w:rsid w:val="00FF3C6C"/>
    <w:rsid w:val="00FF4493"/>
    <w:rsid w:val="00FF53EE"/>
    <w:rsid w:val="00FF5C53"/>
    <w:rsid w:val="00FF6DE0"/>
    <w:rsid w:val="00FF7681"/>
    <w:rsid w:val="00FF7CBC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4FF23E19"/>
  <w15:chartTrackingRefBased/>
  <w15:docId w15:val="{6A1340C4-FD59-48B8-9C4C-E0707713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5B5"/>
  </w:style>
  <w:style w:type="paragraph" w:styleId="Titre1">
    <w:name w:val="heading 1"/>
    <w:basedOn w:val="Normal"/>
    <w:next w:val="Normal"/>
    <w:link w:val="Titre1Car"/>
    <w:qFormat/>
    <w:rsid w:val="00A05AFD"/>
    <w:pPr>
      <w:numPr>
        <w:numId w:val="3"/>
      </w:numPr>
      <w:tabs>
        <w:tab w:val="left" w:pos="357"/>
      </w:tabs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bCs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1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06E"/>
  </w:style>
  <w:style w:type="paragraph" w:styleId="Pieddepage">
    <w:name w:val="footer"/>
    <w:basedOn w:val="Normal"/>
    <w:link w:val="PieddepageCar"/>
    <w:uiPriority w:val="99"/>
    <w:unhideWhenUsed/>
    <w:rsid w:val="00E71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06E"/>
  </w:style>
  <w:style w:type="paragraph" w:styleId="NormalWeb">
    <w:name w:val="Normal (Web)"/>
    <w:basedOn w:val="Normal"/>
    <w:uiPriority w:val="99"/>
    <w:unhideWhenUsed/>
    <w:rsid w:val="00E7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aliases w:val="EC,Colorful List Accent 1,Paragraphe de liste1,Colorful List - Accent 11,List Paragraph,Dot pt,List Paragraph1,No Spacing1,List Paragraph Char Char Char,Indicator Text,Numbered Para 1,F5 List Paragraph,Bullet Points,List Paragraph2,L"/>
    <w:basedOn w:val="Normal"/>
    <w:link w:val="ParagraphedelisteCar"/>
    <w:uiPriority w:val="34"/>
    <w:qFormat/>
    <w:rsid w:val="00E7106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05AFD"/>
    <w:rPr>
      <w:rFonts w:ascii="Times New Roman" w:eastAsia="Times New Roman" w:hAnsi="Times New Roman" w:cs="Times New Roman"/>
      <w:bCs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6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AF7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737C5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740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40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40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40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4025"/>
    <w:rPr>
      <w:b/>
      <w:bCs/>
      <w:sz w:val="20"/>
      <w:szCs w:val="20"/>
    </w:rPr>
  </w:style>
  <w:style w:type="paragraph" w:customStyle="1" w:styleId="Briefinglist1">
    <w:name w:val="Briefing list 1"/>
    <w:basedOn w:val="Normal"/>
    <w:rsid w:val="004C492C"/>
    <w:pPr>
      <w:keepLines/>
      <w:numPr>
        <w:numId w:val="9"/>
      </w:numPr>
      <w:spacing w:after="120" w:line="240" w:lineRule="auto"/>
      <w:jc w:val="both"/>
    </w:pPr>
    <w:rPr>
      <w:rFonts w:ascii="Arial" w:eastAsia="SimSun" w:hAnsi="Arial" w:cs="Arial"/>
      <w:szCs w:val="24"/>
      <w:lang w:val="en-GB"/>
    </w:rPr>
  </w:style>
  <w:style w:type="table" w:styleId="Grilledutableau">
    <w:name w:val="Table Grid"/>
    <w:basedOn w:val="TableauNormal"/>
    <w:uiPriority w:val="39"/>
    <w:rsid w:val="0041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7299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F3A78"/>
    <w:rPr>
      <w:color w:val="954F72" w:themeColor="followedHyperlink"/>
      <w:u w:val="single"/>
    </w:rPr>
  </w:style>
  <w:style w:type="character" w:styleId="Appelnotedebasdep">
    <w:name w:val="footnote reference"/>
    <w:uiPriority w:val="99"/>
    <w:rsid w:val="00F7031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F70311"/>
    <w:pPr>
      <w:suppressAutoHyphens/>
      <w:overflowPunct w:val="0"/>
      <w:autoSpaceDE w:val="0"/>
      <w:spacing w:after="0" w:line="240" w:lineRule="auto"/>
      <w:textAlignment w:val="baseline"/>
    </w:pPr>
    <w:rPr>
      <w:rFonts w:ascii="Univers" w:eastAsia="Times New Roman" w:hAnsi="Univers" w:cs="Times New Roman"/>
      <w:sz w:val="20"/>
      <w:szCs w:val="20"/>
      <w:lang w:val="x-none" w:eastAsia="zh-CN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70311"/>
    <w:rPr>
      <w:rFonts w:ascii="Univers" w:eastAsia="Times New Roman" w:hAnsi="Univers" w:cs="Times New Roman"/>
      <w:sz w:val="20"/>
      <w:szCs w:val="20"/>
      <w:lang w:val="x-none" w:eastAsia="zh-CN"/>
    </w:rPr>
  </w:style>
  <w:style w:type="paragraph" w:styleId="Rvision">
    <w:name w:val="Revision"/>
    <w:hidden/>
    <w:uiPriority w:val="99"/>
    <w:semiHidden/>
    <w:rsid w:val="0098224A"/>
    <w:pPr>
      <w:spacing w:after="0" w:line="240" w:lineRule="auto"/>
    </w:pPr>
  </w:style>
  <w:style w:type="table" w:styleId="TableauGrille4-Accentuation5">
    <w:name w:val="Grid Table 4 Accent 5"/>
    <w:basedOn w:val="TableauNormal"/>
    <w:uiPriority w:val="49"/>
    <w:rsid w:val="00491A2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BA0129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EC Car,Colorful List Accent 1 Car,Paragraphe de liste1 Car,Colorful List - Accent 11 Car,List Paragraph Car,Dot pt Car,List Paragraph1 Car,No Spacing1 Car,List Paragraph Char Char Char Car,Indicator Text Car,Numbered Para 1 Car"/>
    <w:link w:val="Paragraphedeliste"/>
    <w:uiPriority w:val="34"/>
    <w:locked/>
    <w:rsid w:val="00D55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mof.gov.sa/en/financialreport/2022/Documents/Q4%20E%202022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esor.economie.gouv.fr/Pays/S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346CDA7DB494BA8AE550FE76BAEE3" ma:contentTypeVersion="1" ma:contentTypeDescription="Crée un document." ma:contentTypeScope="" ma:versionID="c0066ac04a2b9d4848d69fb5f13f73c7">
  <xsd:schema xmlns:xsd="http://www.w3.org/2001/XMLSchema" xmlns:xs="http://www.w3.org/2001/XMLSchema" xmlns:p="http://schemas.microsoft.com/office/2006/metadata/properties" xmlns:ns2="a9644f39-4862-4879-8c9e-dd04c555e241" targetNamespace="http://schemas.microsoft.com/office/2006/metadata/properties" ma:root="true" ma:fieldsID="4833d446f19ee96a861159e7e00a39f3" ns2:_="">
    <xsd:import namespace="a9644f39-4862-4879-8c9e-dd04c555e2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44f39-4862-4879-8c9e-dd04c555e2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9644f39-4862-4879-8c9e-dd04c555e241">5E7PTNV2N63R-268-77</_dlc_DocId>
    <_dlc_DocIdUrl xmlns="a9644f39-4862-4879-8c9e-dd04c555e241">
      <Url>https://monespace.dgtresor.gouv.fr/communaute/forum/forumreseau/_layouts/15/DocIdRedir.aspx?ID=5E7PTNV2N63R-268-77</Url>
      <Description>5E7PTNV2N63R-268-77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01589-8F77-4FDC-9FCC-33741D05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44f39-4862-4879-8c9e-dd04c555e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C2C27-9B76-485C-BD8A-816924B00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87EA5-96F5-4233-9460-34F7A5E76C1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9644f39-4862-4879-8c9e-dd04c555e24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C91D158-31A7-45ED-AEF7-DD16BC7CA2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A3E594-CF6C-45E5-B5EC-9F120EA1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11260</TotalTime>
  <Pages>3</Pages>
  <Words>1193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Ibrahim</dc:creator>
  <cp:keywords/>
  <dc:description/>
  <cp:lastModifiedBy>ESTRADE Laurent</cp:lastModifiedBy>
  <cp:revision>755</cp:revision>
  <cp:lastPrinted>2022-05-23T11:52:00Z</cp:lastPrinted>
  <dcterms:created xsi:type="dcterms:W3CDTF">2021-11-01T14:14:00Z</dcterms:created>
  <dcterms:modified xsi:type="dcterms:W3CDTF">2023-03-26T12:34:00Z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0x0101001CC346CDA7DB494BA8AE550FE76BAEE3</vt:lpwstr>
  </property>
  <property fmtid="{D5CDD505-2E9C-101B-9397-08002B2CF9AE}" pid="3" name="_dlc_DocIdItemGuid">
    <vt:lpwstr>50fc5127-415e-45e3-9c57-206da21524fa</vt:lpwstr>
  </property>
</Properties>
</file>