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78F" w:rsidRPr="00B1327A" w:rsidRDefault="009D678F" w:rsidP="00CA1C81">
      <w:pPr>
        <w:ind w:left="-142"/>
        <w:jc w:val="right"/>
        <w:rPr>
          <w:rFonts w:ascii="Georgia" w:hAnsi="Georgia"/>
          <w:i/>
          <w:sz w:val="18"/>
        </w:rPr>
        <w:sectPr w:rsidR="009D678F" w:rsidRPr="00B1327A" w:rsidSect="00C84DA1">
          <w:headerReference w:type="first" r:id="rId8"/>
          <w:type w:val="continuous"/>
          <w:pgSz w:w="11906" w:h="16838"/>
          <w:pgMar w:top="851" w:right="851" w:bottom="851" w:left="851" w:header="567" w:footer="709" w:gutter="0"/>
          <w:cols w:num="2" w:space="566"/>
          <w:titlePg/>
          <w:docGrid w:linePitch="360"/>
        </w:sectPr>
      </w:pPr>
      <w:bookmarkStart w:id="0" w:name="_GoBack"/>
      <w:bookmarkEnd w:id="0"/>
    </w:p>
    <w:tbl>
      <w:tblPr>
        <w:tblStyle w:val="Grilledutableau"/>
        <w:tblW w:w="0" w:type="auto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10910"/>
      </w:tblGrid>
      <w:tr w:rsidR="009D678F" w:rsidRPr="00B1327A" w:rsidTr="00A94063">
        <w:trPr>
          <w:trHeight w:val="348"/>
        </w:trPr>
        <w:tc>
          <w:tcPr>
            <w:tcW w:w="10910" w:type="dxa"/>
            <w:shd w:val="clear" w:color="auto" w:fill="FFC000"/>
            <w:vAlign w:val="center"/>
          </w:tcPr>
          <w:p w:rsidR="009D678F" w:rsidRPr="000B16E5" w:rsidRDefault="009D678F" w:rsidP="002A68DD">
            <w:pPr>
              <w:spacing w:line="276" w:lineRule="auto"/>
              <w:jc w:val="center"/>
              <w:rPr>
                <w:rFonts w:ascii="Georgia" w:hAnsi="Georgia"/>
                <w:b/>
                <w:color w:val="002060"/>
                <w:szCs w:val="20"/>
              </w:rPr>
            </w:pPr>
            <w:r w:rsidRPr="000B16E5">
              <w:rPr>
                <w:rFonts w:ascii="Georgia" w:hAnsi="Georgia"/>
                <w:b/>
                <w:color w:val="002060"/>
                <w:szCs w:val="20"/>
              </w:rPr>
              <w:t>La</w:t>
            </w:r>
            <w:r w:rsidR="002A68DD">
              <w:rPr>
                <w:rFonts w:ascii="Georgia" w:hAnsi="Georgia"/>
                <w:b/>
                <w:color w:val="002060"/>
                <w:szCs w:val="20"/>
              </w:rPr>
              <w:t xml:space="preserve"> Malaisie, leader mondial de la </w:t>
            </w:r>
            <w:r w:rsidR="00F0505E">
              <w:rPr>
                <w:rFonts w:ascii="Georgia" w:hAnsi="Georgia"/>
                <w:b/>
                <w:color w:val="002060"/>
                <w:szCs w:val="20"/>
              </w:rPr>
              <w:t>finance islamique</w:t>
            </w:r>
            <w:bookmarkStart w:id="1" w:name="PAUVRETE"/>
            <w:bookmarkEnd w:id="1"/>
          </w:p>
        </w:tc>
      </w:tr>
    </w:tbl>
    <w:p w:rsidR="009D678F" w:rsidRDefault="009D678F" w:rsidP="009D678F">
      <w:pPr>
        <w:tabs>
          <w:tab w:val="left" w:pos="6663"/>
        </w:tabs>
        <w:jc w:val="both"/>
        <w:rPr>
          <w:i/>
        </w:rPr>
        <w:sectPr w:rsidR="009D678F" w:rsidSect="009D678F">
          <w:type w:val="continuous"/>
          <w:pgSz w:w="11906" w:h="16838"/>
          <w:pgMar w:top="1417" w:right="991" w:bottom="851" w:left="993" w:header="567" w:footer="708" w:gutter="0"/>
          <w:cols w:space="708"/>
          <w:titlePg/>
          <w:docGrid w:linePitch="360"/>
        </w:sectPr>
      </w:pPr>
    </w:p>
    <w:p w:rsidR="009D678F" w:rsidRPr="009D678F" w:rsidRDefault="002A68DD" w:rsidP="00F14F5A">
      <w:pPr>
        <w:tabs>
          <w:tab w:val="left" w:pos="6663"/>
        </w:tabs>
        <w:spacing w:after="120"/>
        <w:jc w:val="both"/>
        <w:rPr>
          <w:rFonts w:ascii="Georgia" w:hAnsi="Georgia"/>
          <w:i/>
          <w:sz w:val="20"/>
          <w:szCs w:val="20"/>
        </w:rPr>
      </w:pPr>
      <w:r w:rsidRPr="002A68DD">
        <w:rPr>
          <w:rFonts w:ascii="Georgia" w:hAnsi="Georgia"/>
          <w:i/>
          <w:sz w:val="20"/>
          <w:szCs w:val="20"/>
        </w:rPr>
        <w:t xml:space="preserve">La </w:t>
      </w:r>
      <w:r w:rsidR="00727634">
        <w:rPr>
          <w:rFonts w:ascii="Georgia" w:hAnsi="Georgia"/>
          <w:i/>
          <w:sz w:val="20"/>
          <w:szCs w:val="20"/>
        </w:rPr>
        <w:t xml:space="preserve">Malaisie a lancé fin juin 2017 la première émission mondiale d’obligation islamique verte (« green </w:t>
      </w:r>
      <w:proofErr w:type="spellStart"/>
      <w:r w:rsidR="00727634">
        <w:rPr>
          <w:rFonts w:ascii="Georgia" w:hAnsi="Georgia"/>
          <w:i/>
          <w:sz w:val="20"/>
          <w:szCs w:val="20"/>
        </w:rPr>
        <w:t>sukuk</w:t>
      </w:r>
      <w:proofErr w:type="spellEnd"/>
      <w:r w:rsidR="00727634">
        <w:rPr>
          <w:rFonts w:ascii="Georgia" w:hAnsi="Georgia"/>
          <w:i/>
          <w:sz w:val="20"/>
          <w:szCs w:val="20"/>
        </w:rPr>
        <w:t> »), témoignant d</w:t>
      </w:r>
      <w:r w:rsidR="00D67249">
        <w:rPr>
          <w:rFonts w:ascii="Georgia" w:hAnsi="Georgia"/>
          <w:i/>
          <w:sz w:val="20"/>
          <w:szCs w:val="20"/>
        </w:rPr>
        <w:t xml:space="preserve">e la capacité d’innovation </w:t>
      </w:r>
      <w:r w:rsidR="00727634">
        <w:rPr>
          <w:rFonts w:ascii="Georgia" w:hAnsi="Georgia"/>
          <w:i/>
          <w:sz w:val="20"/>
          <w:szCs w:val="20"/>
        </w:rPr>
        <w:t>de ce pays dans ce domaine en forte croissance</w:t>
      </w:r>
      <w:r w:rsidR="00BE2A19">
        <w:rPr>
          <w:rFonts w:ascii="Georgia" w:hAnsi="Georgia"/>
          <w:i/>
          <w:sz w:val="20"/>
          <w:szCs w:val="20"/>
        </w:rPr>
        <w:t xml:space="preserve"> (+17% par an depuis 2009)</w:t>
      </w:r>
      <w:r w:rsidR="00727634">
        <w:rPr>
          <w:rFonts w:ascii="Georgia" w:hAnsi="Georgia"/>
          <w:i/>
          <w:sz w:val="20"/>
          <w:szCs w:val="20"/>
        </w:rPr>
        <w:t xml:space="preserve">. </w:t>
      </w:r>
      <w:r w:rsidR="00D67249">
        <w:rPr>
          <w:rFonts w:ascii="Georgia" w:hAnsi="Georgia"/>
          <w:i/>
          <w:sz w:val="20"/>
          <w:szCs w:val="20"/>
        </w:rPr>
        <w:t xml:space="preserve">La finance islamique se distingue principalement de la finance conventionnelle </w:t>
      </w:r>
      <w:r w:rsidR="00F14F5A">
        <w:rPr>
          <w:rFonts w:ascii="Georgia" w:hAnsi="Georgia"/>
          <w:i/>
          <w:sz w:val="20"/>
          <w:szCs w:val="20"/>
        </w:rPr>
        <w:t>par</w:t>
      </w:r>
      <w:r w:rsidR="00D67249">
        <w:rPr>
          <w:rFonts w:ascii="Georgia" w:hAnsi="Georgia"/>
          <w:i/>
          <w:sz w:val="20"/>
          <w:szCs w:val="20"/>
        </w:rPr>
        <w:t xml:space="preserve"> l’application d</w:t>
      </w:r>
      <w:r w:rsidR="00F14F5A">
        <w:rPr>
          <w:rFonts w:ascii="Georgia" w:hAnsi="Georgia"/>
          <w:i/>
          <w:sz w:val="20"/>
          <w:szCs w:val="20"/>
        </w:rPr>
        <w:t>u</w:t>
      </w:r>
      <w:r w:rsidR="00D67249">
        <w:rPr>
          <w:rFonts w:ascii="Georgia" w:hAnsi="Georgia"/>
          <w:i/>
          <w:sz w:val="20"/>
          <w:szCs w:val="20"/>
        </w:rPr>
        <w:t xml:space="preserve"> principe de partage des</w:t>
      </w:r>
      <w:r w:rsidR="00A61CDB">
        <w:rPr>
          <w:rFonts w:ascii="Georgia" w:hAnsi="Georgia"/>
          <w:i/>
          <w:sz w:val="20"/>
          <w:szCs w:val="20"/>
        </w:rPr>
        <w:t xml:space="preserve"> risques (donc des </w:t>
      </w:r>
      <w:r w:rsidR="00D67249">
        <w:rPr>
          <w:rFonts w:ascii="Georgia" w:hAnsi="Georgia"/>
          <w:i/>
          <w:sz w:val="20"/>
          <w:szCs w:val="20"/>
        </w:rPr>
        <w:t xml:space="preserve">profits </w:t>
      </w:r>
      <w:r w:rsidR="00A61CDB">
        <w:rPr>
          <w:rFonts w:ascii="Georgia" w:hAnsi="Georgia"/>
          <w:i/>
          <w:sz w:val="20"/>
          <w:szCs w:val="20"/>
        </w:rPr>
        <w:t xml:space="preserve">ou </w:t>
      </w:r>
      <w:r w:rsidR="00D67249">
        <w:rPr>
          <w:rFonts w:ascii="Georgia" w:hAnsi="Georgia"/>
          <w:i/>
          <w:sz w:val="20"/>
          <w:szCs w:val="20"/>
        </w:rPr>
        <w:t>des pertes)</w:t>
      </w:r>
      <w:r w:rsidR="00F14F5A">
        <w:rPr>
          <w:rFonts w:ascii="Georgia" w:hAnsi="Georgia"/>
          <w:i/>
          <w:sz w:val="20"/>
          <w:szCs w:val="20"/>
        </w:rPr>
        <w:t xml:space="preserve"> afin d’assurer une justice et une équité économique</w:t>
      </w:r>
      <w:r w:rsidR="00E51B5D">
        <w:rPr>
          <w:rFonts w:ascii="Georgia" w:hAnsi="Georgia"/>
          <w:i/>
          <w:sz w:val="20"/>
          <w:szCs w:val="20"/>
        </w:rPr>
        <w:t xml:space="preserve"> conforme au droit islamique (</w:t>
      </w:r>
      <w:proofErr w:type="spellStart"/>
      <w:r w:rsidR="00E51B5D">
        <w:rPr>
          <w:rFonts w:ascii="Georgia" w:hAnsi="Georgia"/>
          <w:i/>
          <w:sz w:val="20"/>
          <w:szCs w:val="20"/>
        </w:rPr>
        <w:t>Shariah</w:t>
      </w:r>
      <w:proofErr w:type="spellEnd"/>
      <w:r w:rsidR="00E51B5D">
        <w:rPr>
          <w:rFonts w:ascii="Georgia" w:hAnsi="Georgia"/>
          <w:i/>
          <w:sz w:val="20"/>
          <w:szCs w:val="20"/>
        </w:rPr>
        <w:t>)</w:t>
      </w:r>
      <w:r w:rsidR="00F14F5A">
        <w:rPr>
          <w:rFonts w:ascii="Georgia" w:hAnsi="Georgia"/>
          <w:i/>
          <w:sz w:val="20"/>
          <w:szCs w:val="20"/>
        </w:rPr>
        <w:t>.</w:t>
      </w:r>
      <w:r w:rsidR="00D67249">
        <w:rPr>
          <w:rFonts w:ascii="Georgia" w:hAnsi="Georgia"/>
          <w:i/>
          <w:sz w:val="20"/>
          <w:szCs w:val="20"/>
        </w:rPr>
        <w:t xml:space="preserve"> </w:t>
      </w:r>
      <w:r w:rsidR="00BE2A19">
        <w:rPr>
          <w:rFonts w:ascii="Georgia" w:hAnsi="Georgia"/>
          <w:i/>
          <w:sz w:val="20"/>
          <w:szCs w:val="20"/>
        </w:rPr>
        <w:t>Cela interdit le</w:t>
      </w:r>
      <w:r w:rsidR="00F14F5A">
        <w:rPr>
          <w:rFonts w:ascii="Georgia" w:hAnsi="Georgia"/>
          <w:i/>
          <w:sz w:val="20"/>
          <w:szCs w:val="20"/>
        </w:rPr>
        <w:t xml:space="preserve"> paiement d’intérêts.</w:t>
      </w:r>
      <w:r w:rsidR="00D67249">
        <w:rPr>
          <w:rFonts w:ascii="Georgia" w:hAnsi="Georgia"/>
          <w:i/>
          <w:sz w:val="20"/>
          <w:szCs w:val="20"/>
        </w:rPr>
        <w:t xml:space="preserve"> </w:t>
      </w:r>
      <w:r w:rsidR="00727634">
        <w:rPr>
          <w:rFonts w:ascii="Georgia" w:hAnsi="Georgia"/>
          <w:i/>
          <w:sz w:val="20"/>
          <w:szCs w:val="20"/>
        </w:rPr>
        <w:t>Si la finance islamique mondiale ne représente encore qu’un faible montant</w:t>
      </w:r>
      <w:r w:rsidR="00BD78AE">
        <w:rPr>
          <w:rFonts w:ascii="Georgia" w:hAnsi="Georgia"/>
          <w:i/>
          <w:sz w:val="20"/>
          <w:szCs w:val="20"/>
        </w:rPr>
        <w:t xml:space="preserve"> (1,3%)</w:t>
      </w:r>
      <w:r w:rsidR="00727634">
        <w:rPr>
          <w:rFonts w:ascii="Georgia" w:hAnsi="Georgia"/>
          <w:i/>
          <w:sz w:val="20"/>
          <w:szCs w:val="20"/>
        </w:rPr>
        <w:t xml:space="preserve"> de la totalité des actifs financiers mondiaux</w:t>
      </w:r>
      <w:r w:rsidR="00BD78AE">
        <w:rPr>
          <w:rFonts w:ascii="Georgia" w:hAnsi="Georgia"/>
          <w:i/>
          <w:sz w:val="20"/>
          <w:szCs w:val="20"/>
        </w:rPr>
        <w:t xml:space="preserve">, la Malaisie </w:t>
      </w:r>
      <w:r w:rsidR="00D67249">
        <w:rPr>
          <w:rFonts w:ascii="Georgia" w:hAnsi="Georgia"/>
          <w:i/>
          <w:sz w:val="20"/>
          <w:szCs w:val="20"/>
        </w:rPr>
        <w:t>en est le leader, avec l’Arabie Saoudite et l’Iran.</w:t>
      </w:r>
      <w:r w:rsidR="00F14F5A">
        <w:rPr>
          <w:rFonts w:ascii="Georgia" w:hAnsi="Georgia"/>
          <w:i/>
          <w:sz w:val="20"/>
          <w:szCs w:val="20"/>
        </w:rPr>
        <w:t xml:space="preserve"> Ce leadership, stimulé par les pouvoirs publics, pourrait permettre à la Malaisie de devenir un hub mondial de la finance islamique</w:t>
      </w:r>
      <w:r w:rsidR="009D678F" w:rsidRPr="009D678F">
        <w:rPr>
          <w:rFonts w:ascii="Georgia" w:hAnsi="Georgia"/>
          <w:i/>
          <w:sz w:val="20"/>
          <w:szCs w:val="20"/>
        </w:rPr>
        <w:t>.</w:t>
      </w:r>
    </w:p>
    <w:p w:rsidR="009D678F" w:rsidRDefault="009D678F" w:rsidP="009D678F">
      <w:pPr>
        <w:spacing w:after="120"/>
        <w:jc w:val="both"/>
        <w:rPr>
          <w:rFonts w:ascii="Georgia" w:hAnsi="Georgia" w:cs="Arial"/>
          <w:b/>
          <w:color w:val="2E74B5"/>
          <w:sz w:val="20"/>
          <w:szCs w:val="20"/>
        </w:rPr>
      </w:pPr>
      <w:r w:rsidRPr="009D678F">
        <w:rPr>
          <w:rFonts w:ascii="Georgia" w:hAnsi="Georgia" w:cs="Arial"/>
          <w:b/>
          <w:color w:val="2E74B5"/>
          <w:sz w:val="20"/>
          <w:szCs w:val="20"/>
        </w:rPr>
        <w:t>P</w:t>
      </w:r>
      <w:r w:rsidR="00BE2A19">
        <w:rPr>
          <w:rFonts w:ascii="Georgia" w:hAnsi="Georgia" w:cs="Arial"/>
          <w:b/>
          <w:color w:val="2E74B5"/>
          <w:sz w:val="20"/>
          <w:szCs w:val="20"/>
        </w:rPr>
        <w:t>lus de 2</w:t>
      </w:r>
      <w:r w:rsidRPr="009D678F">
        <w:rPr>
          <w:rFonts w:ascii="Georgia" w:hAnsi="Georgia" w:cs="Arial"/>
          <w:b/>
          <w:color w:val="2E74B5"/>
          <w:sz w:val="20"/>
          <w:szCs w:val="20"/>
        </w:rPr>
        <w:t>0% de</w:t>
      </w:r>
      <w:r w:rsidR="00BE2A19">
        <w:rPr>
          <w:rFonts w:ascii="Georgia" w:hAnsi="Georgia" w:cs="Arial"/>
          <w:b/>
          <w:color w:val="2E74B5"/>
          <w:sz w:val="20"/>
          <w:szCs w:val="20"/>
        </w:rPr>
        <w:t>s actifs financiers islamiques mondiaux sont gérés en Malaisie</w:t>
      </w:r>
    </w:p>
    <w:p w:rsidR="004A2516" w:rsidRDefault="004A2516" w:rsidP="004A2516">
      <w:pPr>
        <w:spacing w:after="12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Kuala Lumpur est la 1</w:t>
      </w:r>
      <w:r w:rsidRPr="007A7CAC">
        <w:rPr>
          <w:rFonts w:ascii="Georgia" w:hAnsi="Georgia"/>
          <w:b/>
          <w:sz w:val="20"/>
          <w:szCs w:val="20"/>
          <w:vertAlign w:val="superscript"/>
        </w:rPr>
        <w:t>ère</w:t>
      </w:r>
      <w:r>
        <w:rPr>
          <w:rFonts w:ascii="Georgia" w:hAnsi="Georgia"/>
          <w:b/>
          <w:sz w:val="20"/>
          <w:szCs w:val="20"/>
        </w:rPr>
        <w:t xml:space="preserve"> place mondiale pour l’émission d’obligations islamiques (</w:t>
      </w:r>
      <w:proofErr w:type="spellStart"/>
      <w:r>
        <w:rPr>
          <w:rFonts w:ascii="Georgia" w:hAnsi="Georgia"/>
          <w:b/>
          <w:sz w:val="20"/>
          <w:szCs w:val="20"/>
        </w:rPr>
        <w:t>sukuk</w:t>
      </w:r>
      <w:proofErr w:type="spellEnd"/>
      <w:r>
        <w:rPr>
          <w:rFonts w:ascii="Georgia" w:hAnsi="Georgia"/>
          <w:b/>
          <w:sz w:val="20"/>
          <w:szCs w:val="20"/>
        </w:rPr>
        <w:t>) et un acteur majeur des financements et de l’assurance (</w:t>
      </w:r>
      <w:proofErr w:type="spellStart"/>
      <w:r>
        <w:rPr>
          <w:rFonts w:ascii="Georgia" w:hAnsi="Georgia"/>
          <w:b/>
          <w:sz w:val="20"/>
          <w:szCs w:val="20"/>
        </w:rPr>
        <w:t>takaful</w:t>
      </w:r>
      <w:proofErr w:type="spellEnd"/>
      <w:r>
        <w:rPr>
          <w:rFonts w:ascii="Georgia" w:hAnsi="Georgia"/>
          <w:b/>
          <w:sz w:val="20"/>
          <w:szCs w:val="20"/>
        </w:rPr>
        <w:t>) islamique</w:t>
      </w:r>
      <w:r w:rsidR="00806BAC">
        <w:rPr>
          <w:rFonts w:ascii="Georgia" w:hAnsi="Georgia"/>
          <w:b/>
          <w:sz w:val="20"/>
          <w:szCs w:val="20"/>
        </w:rPr>
        <w:t>s</w:t>
      </w:r>
      <w:r w:rsidRPr="009D678F">
        <w:rPr>
          <w:rFonts w:ascii="Georgia" w:hAnsi="Georgia"/>
          <w:b/>
          <w:sz w:val="20"/>
          <w:szCs w:val="20"/>
        </w:rPr>
        <w:t>.</w:t>
      </w:r>
      <w:r w:rsidRPr="009D678F">
        <w:rPr>
          <w:rFonts w:ascii="Georgia" w:hAnsi="Georgia"/>
          <w:sz w:val="20"/>
          <w:szCs w:val="20"/>
        </w:rPr>
        <w:t xml:space="preserve"> </w:t>
      </w:r>
      <w:r w:rsidRPr="00000D4E">
        <w:rPr>
          <w:rFonts w:ascii="Georgia" w:hAnsi="Georgia"/>
          <w:sz w:val="20"/>
          <w:szCs w:val="20"/>
        </w:rPr>
        <w:t>Sur un marché global</w:t>
      </w:r>
      <w:r w:rsidR="00D72C28" w:rsidRPr="00000D4E">
        <w:rPr>
          <w:rFonts w:ascii="Georgia" w:hAnsi="Georgia"/>
          <w:sz w:val="20"/>
          <w:szCs w:val="20"/>
        </w:rPr>
        <w:t xml:space="preserve"> de la finance islamique</w:t>
      </w:r>
      <w:r w:rsidRPr="00000D4E">
        <w:rPr>
          <w:rFonts w:ascii="Georgia" w:hAnsi="Georgia"/>
          <w:sz w:val="20"/>
          <w:szCs w:val="20"/>
        </w:rPr>
        <w:t xml:space="preserve"> évalué fin 2015 à 1</w:t>
      </w:r>
      <w:r w:rsidR="00D72C28" w:rsidRPr="00000D4E">
        <w:rPr>
          <w:rFonts w:ascii="Georgia" w:hAnsi="Georgia"/>
          <w:sz w:val="20"/>
          <w:szCs w:val="20"/>
        </w:rPr>
        <w:t> </w:t>
      </w:r>
      <w:r w:rsidRPr="00000D4E">
        <w:rPr>
          <w:rFonts w:ascii="Georgia" w:hAnsi="Georgia"/>
          <w:sz w:val="20"/>
          <w:szCs w:val="20"/>
        </w:rPr>
        <w:t>800</w:t>
      </w:r>
      <w:r w:rsidR="00D72C28" w:rsidRPr="00000D4E">
        <w:rPr>
          <w:rFonts w:ascii="Georgia" w:hAnsi="Georgia"/>
          <w:sz w:val="20"/>
          <w:szCs w:val="20"/>
        </w:rPr>
        <w:t> </w:t>
      </w:r>
      <w:r w:rsidR="00E52397">
        <w:rPr>
          <w:rFonts w:ascii="Georgia" w:hAnsi="Georgia"/>
          <w:sz w:val="20"/>
          <w:szCs w:val="20"/>
        </w:rPr>
        <w:t xml:space="preserve">MD </w:t>
      </w:r>
      <w:r w:rsidRPr="00000D4E">
        <w:rPr>
          <w:rFonts w:ascii="Georgia" w:hAnsi="Georgia"/>
          <w:sz w:val="20"/>
          <w:szCs w:val="20"/>
        </w:rPr>
        <w:t>USD, la Malaisie (415 Md USD</w:t>
      </w:r>
      <w:r w:rsidR="00D72C28" w:rsidRPr="00000D4E">
        <w:rPr>
          <w:rFonts w:ascii="Georgia" w:hAnsi="Georgia"/>
          <w:sz w:val="20"/>
          <w:szCs w:val="20"/>
        </w:rPr>
        <w:t>, 23%</w:t>
      </w:r>
      <w:r w:rsidRPr="00000D4E">
        <w:rPr>
          <w:rFonts w:ascii="Georgia" w:hAnsi="Georgia"/>
          <w:sz w:val="20"/>
          <w:szCs w:val="20"/>
        </w:rPr>
        <w:t>) devance l’Arabie Saoudite (412 Md USD</w:t>
      </w:r>
      <w:r w:rsidR="00000D4E" w:rsidRPr="00000D4E">
        <w:rPr>
          <w:rFonts w:ascii="Georgia" w:hAnsi="Georgia"/>
          <w:sz w:val="20"/>
          <w:szCs w:val="20"/>
        </w:rPr>
        <w:t> ; 22,9%</w:t>
      </w:r>
      <w:r w:rsidRPr="00000D4E">
        <w:rPr>
          <w:rFonts w:ascii="Georgia" w:hAnsi="Georgia"/>
          <w:sz w:val="20"/>
          <w:szCs w:val="20"/>
        </w:rPr>
        <w:t>) et l’Iran (345</w:t>
      </w:r>
      <w:r w:rsidR="00000D4E" w:rsidRPr="00000D4E">
        <w:rPr>
          <w:rFonts w:ascii="Georgia" w:hAnsi="Georgia"/>
          <w:sz w:val="20"/>
          <w:szCs w:val="20"/>
        </w:rPr>
        <w:t> </w:t>
      </w:r>
      <w:r w:rsidRPr="00000D4E">
        <w:rPr>
          <w:rFonts w:ascii="Georgia" w:hAnsi="Georgia"/>
          <w:sz w:val="20"/>
          <w:szCs w:val="20"/>
        </w:rPr>
        <w:t>Md USD</w:t>
      </w:r>
      <w:r w:rsidR="00000D4E" w:rsidRPr="00000D4E">
        <w:rPr>
          <w:rFonts w:ascii="Georgia" w:hAnsi="Georgia"/>
          <w:sz w:val="20"/>
          <w:szCs w:val="20"/>
        </w:rPr>
        <w:t> ; 19,1%</w:t>
      </w:r>
      <w:r w:rsidRPr="00000D4E">
        <w:rPr>
          <w:rFonts w:ascii="Georgia" w:hAnsi="Georgia"/>
          <w:sz w:val="20"/>
          <w:szCs w:val="20"/>
        </w:rPr>
        <w:t>)</w:t>
      </w:r>
      <w:r w:rsidR="00D72C28" w:rsidRPr="00000D4E">
        <w:rPr>
          <w:rFonts w:ascii="Georgia" w:hAnsi="Georgia"/>
          <w:sz w:val="20"/>
          <w:szCs w:val="20"/>
        </w:rPr>
        <w:t>, en détenant plus de 55% du marché des obligations islamiques (167 Md USD) et une part significative (13%) des financements islamiques (174 Md USD) ainsi que des assurances islamiques (25%, 8,2 Md USD).</w:t>
      </w:r>
    </w:p>
    <w:p w:rsidR="00E52397" w:rsidRDefault="00732D50" w:rsidP="00732D50">
      <w:pPr>
        <w:pStyle w:val="Sansinterligne"/>
        <w:ind w:left="-142"/>
        <w:jc w:val="center"/>
        <w:rPr>
          <w:rFonts w:ascii="Georgia" w:hAnsi="Georgia"/>
          <w:b/>
          <w:sz w:val="18"/>
          <w:szCs w:val="20"/>
          <w:u w:val="single"/>
        </w:rPr>
      </w:pPr>
      <w:r>
        <w:rPr>
          <w:rFonts w:ascii="Georgia" w:hAnsi="Georgia"/>
          <w:b/>
          <w:sz w:val="18"/>
          <w:szCs w:val="20"/>
          <w:u w:val="single"/>
        </w:rPr>
        <w:t>Actifs financiers islamiques dans le monde</w:t>
      </w:r>
    </w:p>
    <w:p w:rsidR="00732D50" w:rsidRDefault="00E52397" w:rsidP="00732D50">
      <w:pPr>
        <w:pStyle w:val="Sansinterligne"/>
        <w:ind w:left="-142"/>
        <w:jc w:val="center"/>
        <w:rPr>
          <w:rFonts w:ascii="Georgia" w:hAnsi="Georgia"/>
          <w:b/>
          <w:sz w:val="18"/>
          <w:szCs w:val="20"/>
          <w:u w:val="single"/>
        </w:rPr>
      </w:pPr>
      <w:r>
        <w:rPr>
          <w:rFonts w:ascii="Georgia" w:hAnsi="Georgia"/>
          <w:b/>
          <w:sz w:val="18"/>
          <w:szCs w:val="20"/>
          <w:u w:val="single"/>
        </w:rPr>
        <w:t xml:space="preserve">- pays du </w:t>
      </w:r>
      <w:r w:rsidR="00732D50">
        <w:rPr>
          <w:rFonts w:ascii="Georgia" w:hAnsi="Georgia"/>
          <w:b/>
          <w:sz w:val="18"/>
          <w:szCs w:val="20"/>
          <w:u w:val="single"/>
        </w:rPr>
        <w:t>Top 10</w:t>
      </w:r>
      <w:r>
        <w:rPr>
          <w:rFonts w:ascii="Georgia" w:hAnsi="Georgia"/>
          <w:b/>
          <w:sz w:val="18"/>
          <w:szCs w:val="20"/>
          <w:u w:val="single"/>
        </w:rPr>
        <w:t xml:space="preserve"> </w:t>
      </w:r>
      <w:r w:rsidR="00442E6D">
        <w:rPr>
          <w:rFonts w:ascii="Georgia" w:hAnsi="Georgia"/>
          <w:b/>
          <w:sz w:val="18"/>
          <w:szCs w:val="20"/>
          <w:u w:val="single"/>
        </w:rPr>
        <w:t>–</w:t>
      </w:r>
    </w:p>
    <w:p w:rsidR="00442E6D" w:rsidRPr="00442E6D" w:rsidRDefault="00442E6D" w:rsidP="00732D50">
      <w:pPr>
        <w:pStyle w:val="Sansinterligne"/>
        <w:ind w:left="-142"/>
        <w:jc w:val="center"/>
        <w:rPr>
          <w:rFonts w:ascii="Georgia" w:hAnsi="Georgia"/>
          <w:b/>
          <w:sz w:val="18"/>
          <w:szCs w:val="20"/>
        </w:rPr>
      </w:pPr>
      <w:r w:rsidRPr="00442E6D">
        <w:rPr>
          <w:noProof/>
          <w:lang w:eastAsia="fr-FR"/>
        </w:rPr>
        <w:drawing>
          <wp:inline distT="0" distB="0" distL="0" distR="0" wp14:anchorId="71183EC8" wp14:editId="63EAB1DD">
            <wp:extent cx="3060700" cy="2159635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516" w:rsidRPr="00732D50" w:rsidRDefault="00732D50" w:rsidP="00442E6D">
      <w:pPr>
        <w:spacing w:after="60"/>
        <w:jc w:val="both"/>
        <w:rPr>
          <w:rFonts w:ascii="Georgia" w:hAnsi="Georgia"/>
          <w:i/>
          <w:sz w:val="16"/>
          <w:szCs w:val="20"/>
        </w:rPr>
      </w:pPr>
      <w:r w:rsidRPr="00732D50">
        <w:rPr>
          <w:rFonts w:ascii="Georgia" w:hAnsi="Georgia"/>
          <w:i/>
          <w:sz w:val="16"/>
          <w:szCs w:val="20"/>
        </w:rPr>
        <w:t>Source </w:t>
      </w:r>
      <w:proofErr w:type="gramStart"/>
      <w:r w:rsidRPr="00732D50">
        <w:rPr>
          <w:rFonts w:ascii="Georgia" w:hAnsi="Georgia"/>
          <w:i/>
          <w:sz w:val="16"/>
          <w:szCs w:val="20"/>
        </w:rPr>
        <w:t>:Thomson</w:t>
      </w:r>
      <w:proofErr w:type="gramEnd"/>
      <w:r w:rsidRPr="00732D50">
        <w:rPr>
          <w:rFonts w:ascii="Georgia" w:hAnsi="Georgia"/>
          <w:i/>
          <w:sz w:val="16"/>
          <w:szCs w:val="20"/>
        </w:rPr>
        <w:t xml:space="preserve"> Reuters </w:t>
      </w:r>
      <w:proofErr w:type="spellStart"/>
      <w:r w:rsidRPr="00732D50">
        <w:rPr>
          <w:rFonts w:ascii="Georgia" w:hAnsi="Georgia"/>
          <w:i/>
          <w:sz w:val="16"/>
          <w:szCs w:val="20"/>
        </w:rPr>
        <w:t>Islamic</w:t>
      </w:r>
      <w:proofErr w:type="spellEnd"/>
      <w:r w:rsidRPr="00732D50">
        <w:rPr>
          <w:rFonts w:ascii="Georgia" w:hAnsi="Georgia"/>
          <w:i/>
          <w:sz w:val="16"/>
          <w:szCs w:val="20"/>
        </w:rPr>
        <w:t xml:space="preserve"> Finance report 2015</w:t>
      </w:r>
    </w:p>
    <w:p w:rsidR="004F6E4F" w:rsidRDefault="00CC095D" w:rsidP="004A2516">
      <w:pPr>
        <w:spacing w:after="120"/>
        <w:jc w:val="both"/>
        <w:rPr>
          <w:rFonts w:ascii="Georgia" w:hAnsi="Georgia" w:cs="Times New Roman"/>
          <w:sz w:val="20"/>
          <w:szCs w:val="20"/>
        </w:rPr>
      </w:pPr>
      <w:r w:rsidRPr="00442E6D">
        <w:rPr>
          <w:rFonts w:ascii="Georgia" w:hAnsi="Georgia"/>
          <w:b/>
          <w:sz w:val="20"/>
          <w:szCs w:val="20"/>
        </w:rPr>
        <w:t xml:space="preserve">Les pouvoirs publics </w:t>
      </w:r>
      <w:r w:rsidR="00AB487A" w:rsidRPr="00442E6D">
        <w:rPr>
          <w:rFonts w:ascii="Georgia" w:hAnsi="Georgia"/>
          <w:b/>
          <w:sz w:val="20"/>
          <w:szCs w:val="20"/>
        </w:rPr>
        <w:t xml:space="preserve">malaisiens </w:t>
      </w:r>
      <w:r w:rsidRPr="00442E6D">
        <w:rPr>
          <w:rFonts w:ascii="Georgia" w:hAnsi="Georgia"/>
          <w:b/>
          <w:sz w:val="20"/>
          <w:szCs w:val="20"/>
        </w:rPr>
        <w:t>appuient le développement de la finance islamique</w:t>
      </w:r>
      <w:r w:rsidR="009D678F" w:rsidRPr="00442E6D">
        <w:rPr>
          <w:rFonts w:ascii="Georgia" w:hAnsi="Georgia"/>
          <w:b/>
          <w:sz w:val="20"/>
          <w:szCs w:val="20"/>
        </w:rPr>
        <w:t>.</w:t>
      </w:r>
      <w:r w:rsidR="009D678F" w:rsidRPr="00442E6D">
        <w:rPr>
          <w:rFonts w:ascii="Georgia" w:hAnsi="Georgia"/>
          <w:sz w:val="20"/>
          <w:szCs w:val="20"/>
        </w:rPr>
        <w:t xml:space="preserve"> </w:t>
      </w:r>
      <w:r w:rsidR="00AB487A" w:rsidRPr="00442E6D">
        <w:rPr>
          <w:rFonts w:ascii="Georgia" w:hAnsi="Georgia" w:cs="Times New Roman"/>
          <w:sz w:val="20"/>
          <w:szCs w:val="20"/>
        </w:rPr>
        <w:t xml:space="preserve">La première pierre est posée en 1963 avec la création du fonds </w:t>
      </w:r>
      <w:proofErr w:type="spellStart"/>
      <w:r w:rsidR="00AB487A" w:rsidRPr="00442E6D">
        <w:rPr>
          <w:rFonts w:ascii="Georgia" w:hAnsi="Georgia" w:cs="Times New Roman"/>
          <w:b/>
          <w:sz w:val="20"/>
          <w:szCs w:val="20"/>
        </w:rPr>
        <w:t>Tabung</w:t>
      </w:r>
      <w:proofErr w:type="spellEnd"/>
      <w:r w:rsidR="00AB487A" w:rsidRPr="00442E6D">
        <w:rPr>
          <w:rFonts w:ascii="Georgia" w:hAnsi="Georgia" w:cs="Times New Roman"/>
          <w:b/>
          <w:sz w:val="20"/>
          <w:szCs w:val="20"/>
        </w:rPr>
        <w:t xml:space="preserve"> </w:t>
      </w:r>
      <w:proofErr w:type="spellStart"/>
      <w:r w:rsidR="00AB487A" w:rsidRPr="00442E6D">
        <w:rPr>
          <w:rFonts w:ascii="Georgia" w:hAnsi="Georgia" w:cs="Times New Roman"/>
          <w:b/>
          <w:sz w:val="20"/>
          <w:szCs w:val="20"/>
        </w:rPr>
        <w:t>Haji</w:t>
      </w:r>
      <w:proofErr w:type="spellEnd"/>
      <w:r w:rsidR="00AB487A" w:rsidRPr="00442E6D">
        <w:rPr>
          <w:rFonts w:ascii="Georgia" w:hAnsi="Georgia" w:cs="Times New Roman"/>
          <w:b/>
          <w:sz w:val="20"/>
          <w:szCs w:val="20"/>
        </w:rPr>
        <w:t xml:space="preserve">, </w:t>
      </w:r>
      <w:r w:rsidR="00AB487A" w:rsidRPr="00442E6D">
        <w:rPr>
          <w:rFonts w:ascii="Georgia" w:hAnsi="Georgia" w:cs="Times New Roman"/>
          <w:sz w:val="20"/>
          <w:szCs w:val="20"/>
        </w:rPr>
        <w:t>destiné à aider les Malaisiens à épargner la somme nécessaire au pèlerinage à la Mecque. Puis, en 1983, l’</w:t>
      </w:r>
      <w:proofErr w:type="spellStart"/>
      <w:r w:rsidR="00AB487A" w:rsidRPr="00442E6D">
        <w:rPr>
          <w:rFonts w:ascii="Georgia" w:hAnsi="Georgia" w:cs="Times New Roman"/>
          <w:i/>
          <w:sz w:val="20"/>
          <w:szCs w:val="20"/>
        </w:rPr>
        <w:t>Islamic</w:t>
      </w:r>
      <w:proofErr w:type="spellEnd"/>
      <w:r w:rsidR="00AB487A" w:rsidRPr="00442E6D">
        <w:rPr>
          <w:rFonts w:ascii="Georgia" w:hAnsi="Georgia" w:cs="Times New Roman"/>
          <w:i/>
          <w:sz w:val="20"/>
          <w:szCs w:val="20"/>
        </w:rPr>
        <w:t xml:space="preserve"> Banking </w:t>
      </w:r>
      <w:proofErr w:type="spellStart"/>
      <w:r w:rsidR="00AB487A" w:rsidRPr="00442E6D">
        <w:rPr>
          <w:rFonts w:ascii="Georgia" w:hAnsi="Georgia" w:cs="Times New Roman"/>
          <w:i/>
          <w:sz w:val="20"/>
          <w:szCs w:val="20"/>
        </w:rPr>
        <w:t>Act</w:t>
      </w:r>
      <w:proofErr w:type="spellEnd"/>
      <w:r w:rsidR="00AB487A" w:rsidRPr="00442E6D">
        <w:rPr>
          <w:rFonts w:ascii="Georgia" w:hAnsi="Georgia" w:cs="Times New Roman"/>
          <w:i/>
          <w:sz w:val="20"/>
          <w:szCs w:val="20"/>
        </w:rPr>
        <w:t xml:space="preserve"> </w:t>
      </w:r>
      <w:r w:rsidR="00AB487A" w:rsidRPr="00442E6D">
        <w:rPr>
          <w:rFonts w:ascii="Georgia" w:hAnsi="Georgia" w:cs="Times New Roman"/>
          <w:sz w:val="20"/>
          <w:szCs w:val="20"/>
        </w:rPr>
        <w:t xml:space="preserve">autorise la création de banques islamiques, sous la tutelle de la Banque centrale (Bank Negara Malaysia, BNM), et le gouvernement crée la </w:t>
      </w:r>
      <w:r w:rsidR="00AB487A" w:rsidRPr="00442E6D">
        <w:rPr>
          <w:rFonts w:ascii="Georgia" w:hAnsi="Georgia" w:cs="Times New Roman"/>
          <w:b/>
          <w:sz w:val="20"/>
          <w:szCs w:val="20"/>
        </w:rPr>
        <w:t xml:space="preserve">Bank Islam Malaysia </w:t>
      </w:r>
      <w:proofErr w:type="spellStart"/>
      <w:r w:rsidR="00AB487A" w:rsidRPr="00442E6D">
        <w:rPr>
          <w:rFonts w:ascii="Georgia" w:hAnsi="Georgia" w:cs="Times New Roman"/>
          <w:b/>
          <w:sz w:val="20"/>
          <w:szCs w:val="20"/>
        </w:rPr>
        <w:t>Behrad</w:t>
      </w:r>
      <w:proofErr w:type="spellEnd"/>
      <w:r w:rsidR="00AB487A" w:rsidRPr="00442E6D">
        <w:rPr>
          <w:rFonts w:ascii="Georgia" w:hAnsi="Georgia" w:cs="Times New Roman"/>
          <w:sz w:val="20"/>
          <w:szCs w:val="20"/>
        </w:rPr>
        <w:t xml:space="preserve"> (BIMB). L’année suivante, les bases d’un secteur islamique de l’assurance sont jetées avec le </w:t>
      </w:r>
      <w:proofErr w:type="spellStart"/>
      <w:r w:rsidR="00AB487A" w:rsidRPr="00442E6D">
        <w:rPr>
          <w:rFonts w:ascii="Georgia" w:hAnsi="Georgia" w:cs="Times New Roman"/>
          <w:i/>
          <w:sz w:val="20"/>
          <w:szCs w:val="20"/>
        </w:rPr>
        <w:t>Takaful</w:t>
      </w:r>
      <w:proofErr w:type="spellEnd"/>
      <w:r w:rsidR="00AB487A" w:rsidRPr="00442E6D">
        <w:rPr>
          <w:rFonts w:ascii="Georgia" w:hAnsi="Georgia" w:cs="Times New Roman"/>
          <w:i/>
          <w:sz w:val="20"/>
          <w:szCs w:val="20"/>
        </w:rPr>
        <w:t xml:space="preserve"> </w:t>
      </w:r>
      <w:proofErr w:type="spellStart"/>
      <w:r w:rsidR="00AB487A" w:rsidRPr="00442E6D">
        <w:rPr>
          <w:rFonts w:ascii="Georgia" w:hAnsi="Georgia" w:cs="Times New Roman"/>
          <w:i/>
          <w:sz w:val="20"/>
          <w:szCs w:val="20"/>
        </w:rPr>
        <w:t>Act</w:t>
      </w:r>
      <w:proofErr w:type="spellEnd"/>
      <w:r w:rsidR="00AB487A" w:rsidRPr="00442E6D">
        <w:rPr>
          <w:rFonts w:ascii="Georgia" w:hAnsi="Georgia" w:cs="Times New Roman"/>
          <w:sz w:val="20"/>
          <w:szCs w:val="20"/>
        </w:rPr>
        <w:t>. La croissance du secteur s’accélère avec la création d’un marché interbancaire islamique en 1994 (</w:t>
      </w:r>
      <w:proofErr w:type="spellStart"/>
      <w:r w:rsidR="00AB487A" w:rsidRPr="00442E6D">
        <w:rPr>
          <w:rFonts w:ascii="Georgia" w:hAnsi="Georgia" w:cs="Times New Roman"/>
          <w:sz w:val="20"/>
          <w:szCs w:val="20"/>
        </w:rPr>
        <w:t>Interest</w:t>
      </w:r>
      <w:proofErr w:type="spellEnd"/>
      <w:r w:rsidR="00AB487A" w:rsidRPr="00442E6D">
        <w:rPr>
          <w:rFonts w:ascii="Georgia" w:hAnsi="Georgia" w:cs="Times New Roman"/>
          <w:sz w:val="20"/>
          <w:szCs w:val="20"/>
        </w:rPr>
        <w:t xml:space="preserve">-free </w:t>
      </w:r>
      <w:r w:rsidR="00AB487A" w:rsidRPr="00442E6D">
        <w:rPr>
          <w:rFonts w:ascii="Georgia" w:hAnsi="Georgia" w:cs="Times New Roman"/>
          <w:sz w:val="20"/>
          <w:szCs w:val="20"/>
        </w:rPr>
        <w:t xml:space="preserve">Banking </w:t>
      </w:r>
      <w:proofErr w:type="spellStart"/>
      <w:r w:rsidR="00AB487A" w:rsidRPr="00442E6D">
        <w:rPr>
          <w:rFonts w:ascii="Georgia" w:hAnsi="Georgia" w:cs="Times New Roman"/>
          <w:sz w:val="20"/>
          <w:szCs w:val="20"/>
        </w:rPr>
        <w:t>Scheme</w:t>
      </w:r>
      <w:proofErr w:type="spellEnd"/>
      <w:r w:rsidR="00AB487A" w:rsidRPr="00442E6D">
        <w:rPr>
          <w:rFonts w:ascii="Georgia" w:hAnsi="Georgia" w:cs="Times New Roman"/>
          <w:sz w:val="20"/>
          <w:szCs w:val="20"/>
        </w:rPr>
        <w:t>, IBS), ce qui engendre une dualisation du système bancaire, partagé entre une partie conventionnelle et une partie islamique</w:t>
      </w:r>
      <w:r w:rsidR="009D1342" w:rsidRPr="00442E6D">
        <w:rPr>
          <w:rFonts w:ascii="Georgia" w:hAnsi="Georgia" w:cs="Times New Roman"/>
          <w:sz w:val="20"/>
          <w:szCs w:val="20"/>
        </w:rPr>
        <w:t>.</w:t>
      </w:r>
      <w:r w:rsidR="004F6E4F" w:rsidRPr="00442E6D">
        <w:rPr>
          <w:rFonts w:ascii="Georgia" w:hAnsi="Georgia" w:cs="Times New Roman"/>
          <w:sz w:val="20"/>
          <w:szCs w:val="20"/>
        </w:rPr>
        <w:t xml:space="preserve"> </w:t>
      </w:r>
      <w:r w:rsidR="00EB61DA" w:rsidRPr="00442E6D">
        <w:rPr>
          <w:rFonts w:ascii="Georgia" w:hAnsi="Georgia" w:cs="Times New Roman"/>
          <w:b/>
          <w:sz w:val="20"/>
          <w:szCs w:val="20"/>
        </w:rPr>
        <w:t>Plusieurs aides fiscales sont mises en place</w:t>
      </w:r>
      <w:r w:rsidR="00EB61DA" w:rsidRPr="00442E6D">
        <w:rPr>
          <w:rFonts w:ascii="Georgia" w:hAnsi="Georgia" w:cs="Times New Roman"/>
          <w:sz w:val="20"/>
          <w:szCs w:val="20"/>
        </w:rPr>
        <w:t xml:space="preserve"> pour soutenir le secteur (ex : exonération de taxe sur les </w:t>
      </w:r>
      <w:r w:rsidR="00A70613" w:rsidRPr="00442E6D">
        <w:rPr>
          <w:rFonts w:ascii="Georgia" w:hAnsi="Georgia" w:cs="Times New Roman"/>
          <w:sz w:val="20"/>
          <w:szCs w:val="20"/>
        </w:rPr>
        <w:t xml:space="preserve">profits des </w:t>
      </w:r>
      <w:proofErr w:type="spellStart"/>
      <w:r w:rsidR="00A70613" w:rsidRPr="00442E6D">
        <w:rPr>
          <w:rFonts w:ascii="Georgia" w:hAnsi="Georgia" w:cs="Times New Roman"/>
          <w:sz w:val="20"/>
          <w:szCs w:val="20"/>
        </w:rPr>
        <w:t>sukuks</w:t>
      </w:r>
      <w:proofErr w:type="spellEnd"/>
      <w:r w:rsidR="00A70613" w:rsidRPr="00442E6D">
        <w:rPr>
          <w:rFonts w:ascii="Georgia" w:hAnsi="Georgia" w:cs="Times New Roman"/>
          <w:sz w:val="20"/>
          <w:szCs w:val="20"/>
        </w:rPr>
        <w:t xml:space="preserve"> ou exonération pendant 10 ans des revenus des banques islamiques pour leurs activités en devises étrangères). </w:t>
      </w:r>
      <w:r w:rsidR="004F6E4F" w:rsidRPr="00442E6D">
        <w:rPr>
          <w:rFonts w:ascii="Georgia" w:hAnsi="Georgia" w:cs="Times New Roman"/>
          <w:sz w:val="20"/>
          <w:szCs w:val="20"/>
        </w:rPr>
        <w:t>En 2013, l’entrée en vigueur d</w:t>
      </w:r>
      <w:r w:rsidR="00442E6D">
        <w:rPr>
          <w:rFonts w:ascii="Georgia" w:hAnsi="Georgia" w:cs="Times New Roman"/>
          <w:sz w:val="20"/>
          <w:szCs w:val="20"/>
        </w:rPr>
        <w:t>e l’</w:t>
      </w:r>
      <w:proofErr w:type="spellStart"/>
      <w:r w:rsidR="004F6E4F" w:rsidRPr="00442E6D">
        <w:rPr>
          <w:rFonts w:ascii="Georgia" w:hAnsi="Georgia" w:cs="Times New Roman"/>
          <w:i/>
          <w:sz w:val="20"/>
          <w:szCs w:val="20"/>
        </w:rPr>
        <w:t>Islamic</w:t>
      </w:r>
      <w:proofErr w:type="spellEnd"/>
      <w:r w:rsidR="004F6E4F" w:rsidRPr="00442E6D">
        <w:rPr>
          <w:rFonts w:ascii="Georgia" w:hAnsi="Georgia" w:cs="Times New Roman"/>
          <w:i/>
          <w:sz w:val="20"/>
          <w:szCs w:val="20"/>
        </w:rPr>
        <w:t xml:space="preserve"> Financial Service </w:t>
      </w:r>
      <w:proofErr w:type="spellStart"/>
      <w:r w:rsidR="004F6E4F" w:rsidRPr="00442E6D">
        <w:rPr>
          <w:rFonts w:ascii="Georgia" w:hAnsi="Georgia" w:cs="Times New Roman"/>
          <w:i/>
          <w:sz w:val="20"/>
          <w:szCs w:val="20"/>
        </w:rPr>
        <w:t>Act</w:t>
      </w:r>
      <w:proofErr w:type="spellEnd"/>
      <w:r w:rsidR="004F6E4F" w:rsidRPr="00442E6D">
        <w:rPr>
          <w:rFonts w:ascii="Georgia" w:hAnsi="Georgia" w:cs="Times New Roman"/>
          <w:sz w:val="20"/>
          <w:szCs w:val="20"/>
        </w:rPr>
        <w:t xml:space="preserve">, qui remplace le cadre juridique précédent, conduit les établissements islamiques à renforcer la mise en œuvre des principes de la </w:t>
      </w:r>
      <w:proofErr w:type="spellStart"/>
      <w:r w:rsidR="004F6E4F" w:rsidRPr="00442E6D">
        <w:rPr>
          <w:rFonts w:ascii="Georgia" w:hAnsi="Georgia" w:cs="Times New Roman"/>
          <w:sz w:val="20"/>
          <w:szCs w:val="20"/>
        </w:rPr>
        <w:t>Shariah</w:t>
      </w:r>
      <w:proofErr w:type="spellEnd"/>
      <w:r w:rsidR="004F6E4F" w:rsidRPr="00442E6D">
        <w:rPr>
          <w:rFonts w:ascii="Georgia" w:hAnsi="Georgia" w:cs="Times New Roman"/>
          <w:sz w:val="20"/>
          <w:szCs w:val="20"/>
        </w:rPr>
        <w:t xml:space="preserve"> dans toutes leurs opérations </w:t>
      </w:r>
      <w:r w:rsidR="004A2516" w:rsidRPr="00442E6D">
        <w:rPr>
          <w:rFonts w:ascii="Georgia" w:hAnsi="Georgia" w:cs="Times New Roman"/>
          <w:sz w:val="20"/>
          <w:szCs w:val="20"/>
        </w:rPr>
        <w:t xml:space="preserve">et produits, et à en assurer l’acceptabilité au niveau mondial. </w:t>
      </w:r>
      <w:r w:rsidR="004F6E4F" w:rsidRPr="00442E6D">
        <w:rPr>
          <w:rFonts w:ascii="Georgia" w:hAnsi="Georgia" w:cs="Times New Roman"/>
          <w:sz w:val="20"/>
          <w:szCs w:val="20"/>
        </w:rPr>
        <w:t xml:space="preserve">Aujourd’hui, </w:t>
      </w:r>
      <w:r w:rsidR="004F6E4F" w:rsidRPr="00442E6D">
        <w:rPr>
          <w:rFonts w:ascii="Georgia" w:hAnsi="Georgia" w:cs="Times New Roman"/>
          <w:b/>
          <w:sz w:val="20"/>
          <w:szCs w:val="20"/>
        </w:rPr>
        <w:t>16</w:t>
      </w:r>
      <w:r w:rsidR="00442E6D">
        <w:rPr>
          <w:rFonts w:ascii="Georgia" w:hAnsi="Georgia" w:cs="Times New Roman"/>
          <w:b/>
          <w:sz w:val="20"/>
          <w:szCs w:val="20"/>
        </w:rPr>
        <w:t> </w:t>
      </w:r>
      <w:r w:rsidR="004F6E4F" w:rsidRPr="00442E6D">
        <w:rPr>
          <w:rFonts w:ascii="Georgia" w:hAnsi="Georgia" w:cs="Times New Roman"/>
          <w:b/>
          <w:sz w:val="20"/>
          <w:szCs w:val="20"/>
        </w:rPr>
        <w:t xml:space="preserve">établissements bancaires </w:t>
      </w:r>
      <w:r w:rsidR="004A2516" w:rsidRPr="00442E6D">
        <w:rPr>
          <w:rFonts w:ascii="Georgia" w:hAnsi="Georgia" w:cs="Times New Roman"/>
          <w:b/>
          <w:sz w:val="20"/>
          <w:szCs w:val="20"/>
        </w:rPr>
        <w:t xml:space="preserve">malaisiens </w:t>
      </w:r>
      <w:r w:rsidR="004A2516" w:rsidRPr="00442E6D">
        <w:rPr>
          <w:rFonts w:ascii="Georgia" w:hAnsi="Georgia" w:cs="Times New Roman"/>
          <w:sz w:val="20"/>
          <w:szCs w:val="20"/>
        </w:rPr>
        <w:t>sont entièrement dédiés à la finance islamique</w:t>
      </w:r>
      <w:r w:rsidR="00442E6D">
        <w:rPr>
          <w:rFonts w:ascii="Georgia" w:hAnsi="Georgia" w:cs="Times New Roman"/>
          <w:sz w:val="20"/>
          <w:szCs w:val="20"/>
        </w:rPr>
        <w:t xml:space="preserve">. </w:t>
      </w:r>
      <w:proofErr w:type="spellStart"/>
      <w:r w:rsidR="004A2516" w:rsidRPr="00442E6D">
        <w:rPr>
          <w:rFonts w:ascii="Georgia" w:hAnsi="Georgia" w:cs="Times New Roman"/>
          <w:sz w:val="20"/>
          <w:szCs w:val="20"/>
        </w:rPr>
        <w:t>Maybank</w:t>
      </w:r>
      <w:proofErr w:type="spellEnd"/>
      <w:r w:rsidR="004A2516" w:rsidRPr="00442E6D">
        <w:rPr>
          <w:rFonts w:ascii="Georgia" w:hAnsi="Georgia" w:cs="Times New Roman"/>
          <w:sz w:val="20"/>
          <w:szCs w:val="20"/>
        </w:rPr>
        <w:t xml:space="preserve"> </w:t>
      </w:r>
      <w:proofErr w:type="spellStart"/>
      <w:r w:rsidR="004A2516" w:rsidRPr="00442E6D">
        <w:rPr>
          <w:rFonts w:ascii="Georgia" w:hAnsi="Georgia" w:cs="Times New Roman"/>
          <w:sz w:val="20"/>
          <w:szCs w:val="20"/>
        </w:rPr>
        <w:t>Islamic</w:t>
      </w:r>
      <w:proofErr w:type="spellEnd"/>
      <w:r w:rsidR="004A2516" w:rsidRPr="00442E6D">
        <w:rPr>
          <w:rFonts w:ascii="Georgia" w:hAnsi="Georgia" w:cs="Times New Roman"/>
          <w:sz w:val="20"/>
          <w:szCs w:val="20"/>
        </w:rPr>
        <w:t xml:space="preserve">, BIMB, Bank </w:t>
      </w:r>
      <w:proofErr w:type="spellStart"/>
      <w:r w:rsidR="004A2516" w:rsidRPr="00442E6D">
        <w:rPr>
          <w:rFonts w:ascii="Georgia" w:hAnsi="Georgia" w:cs="Times New Roman"/>
          <w:sz w:val="20"/>
          <w:szCs w:val="20"/>
        </w:rPr>
        <w:t>Rakkyat</w:t>
      </w:r>
      <w:proofErr w:type="spellEnd"/>
      <w:r w:rsidR="004A2516" w:rsidRPr="00442E6D">
        <w:rPr>
          <w:rFonts w:ascii="Georgia" w:hAnsi="Georgia" w:cs="Times New Roman"/>
          <w:sz w:val="20"/>
          <w:szCs w:val="20"/>
        </w:rPr>
        <w:t xml:space="preserve">, CIMB </w:t>
      </w:r>
      <w:proofErr w:type="spellStart"/>
      <w:r w:rsidR="004A2516" w:rsidRPr="00442E6D">
        <w:rPr>
          <w:rFonts w:ascii="Georgia" w:hAnsi="Georgia" w:cs="Times New Roman"/>
          <w:sz w:val="20"/>
          <w:szCs w:val="20"/>
        </w:rPr>
        <w:t>Isl</w:t>
      </w:r>
      <w:proofErr w:type="spellEnd"/>
      <w:r w:rsidR="00442E6D">
        <w:rPr>
          <w:rFonts w:ascii="Georgia" w:hAnsi="Georgia" w:cs="Times New Roman"/>
          <w:sz w:val="20"/>
          <w:szCs w:val="20"/>
        </w:rPr>
        <w:t>.</w:t>
      </w:r>
      <w:r w:rsidR="004A2516" w:rsidRPr="00442E6D">
        <w:rPr>
          <w:rFonts w:ascii="Georgia" w:hAnsi="Georgia" w:cs="Times New Roman"/>
          <w:sz w:val="20"/>
          <w:szCs w:val="20"/>
        </w:rPr>
        <w:t xml:space="preserve">, Public Bank </w:t>
      </w:r>
      <w:proofErr w:type="spellStart"/>
      <w:r w:rsidR="004A2516" w:rsidRPr="00442E6D">
        <w:rPr>
          <w:rFonts w:ascii="Georgia" w:hAnsi="Georgia" w:cs="Times New Roman"/>
          <w:sz w:val="20"/>
          <w:szCs w:val="20"/>
        </w:rPr>
        <w:t>Isl</w:t>
      </w:r>
      <w:proofErr w:type="spellEnd"/>
      <w:r w:rsidR="00442E6D">
        <w:rPr>
          <w:rFonts w:ascii="Georgia" w:hAnsi="Georgia" w:cs="Times New Roman"/>
          <w:sz w:val="20"/>
          <w:szCs w:val="20"/>
        </w:rPr>
        <w:t>.</w:t>
      </w:r>
      <w:r w:rsidR="004A2516" w:rsidRPr="00442E6D">
        <w:rPr>
          <w:rFonts w:ascii="Georgia" w:hAnsi="Georgia" w:cs="Times New Roman"/>
          <w:sz w:val="20"/>
          <w:szCs w:val="20"/>
        </w:rPr>
        <w:t xml:space="preserve"> </w:t>
      </w:r>
      <w:proofErr w:type="gramStart"/>
      <w:r w:rsidR="004A2516" w:rsidRPr="00442E6D">
        <w:rPr>
          <w:rFonts w:ascii="Georgia" w:hAnsi="Georgia" w:cs="Times New Roman"/>
          <w:sz w:val="20"/>
          <w:szCs w:val="20"/>
        </w:rPr>
        <w:t>et</w:t>
      </w:r>
      <w:proofErr w:type="gramEnd"/>
      <w:r w:rsidR="004A2516" w:rsidRPr="00442E6D">
        <w:rPr>
          <w:rFonts w:ascii="Georgia" w:hAnsi="Georgia" w:cs="Times New Roman"/>
          <w:sz w:val="20"/>
          <w:szCs w:val="20"/>
        </w:rPr>
        <w:t xml:space="preserve"> RHB </w:t>
      </w:r>
      <w:proofErr w:type="spellStart"/>
      <w:r w:rsidR="004A2516" w:rsidRPr="00442E6D">
        <w:rPr>
          <w:rFonts w:ascii="Georgia" w:hAnsi="Georgia" w:cs="Times New Roman"/>
          <w:sz w:val="20"/>
          <w:szCs w:val="20"/>
        </w:rPr>
        <w:t>Isl</w:t>
      </w:r>
      <w:proofErr w:type="spellEnd"/>
      <w:r w:rsidR="00442E6D">
        <w:rPr>
          <w:rFonts w:ascii="Georgia" w:hAnsi="Georgia" w:cs="Times New Roman"/>
          <w:sz w:val="20"/>
          <w:szCs w:val="20"/>
        </w:rPr>
        <w:t>.</w:t>
      </w:r>
      <w:r w:rsidR="004A2516" w:rsidRPr="00442E6D">
        <w:rPr>
          <w:rFonts w:ascii="Georgia" w:hAnsi="Georgia" w:cs="Times New Roman"/>
          <w:sz w:val="20"/>
          <w:szCs w:val="20"/>
        </w:rPr>
        <w:t xml:space="preserve"> </w:t>
      </w:r>
      <w:proofErr w:type="gramStart"/>
      <w:r w:rsidR="004A2516" w:rsidRPr="00442E6D">
        <w:rPr>
          <w:rFonts w:ascii="Georgia" w:hAnsi="Georgia" w:cs="Times New Roman"/>
          <w:sz w:val="20"/>
          <w:szCs w:val="20"/>
        </w:rPr>
        <w:t>compt</w:t>
      </w:r>
      <w:r w:rsidR="00442E6D">
        <w:rPr>
          <w:rFonts w:ascii="Georgia" w:hAnsi="Georgia" w:cs="Times New Roman"/>
          <w:sz w:val="20"/>
          <w:szCs w:val="20"/>
        </w:rPr>
        <w:t>e</w:t>
      </w:r>
      <w:r w:rsidR="004A2516" w:rsidRPr="00442E6D">
        <w:rPr>
          <w:rFonts w:ascii="Georgia" w:hAnsi="Georgia" w:cs="Times New Roman"/>
          <w:sz w:val="20"/>
          <w:szCs w:val="20"/>
        </w:rPr>
        <w:t>nt</w:t>
      </w:r>
      <w:proofErr w:type="gramEnd"/>
      <w:r w:rsidR="004A2516" w:rsidRPr="00442E6D">
        <w:rPr>
          <w:rFonts w:ascii="Georgia" w:hAnsi="Georgia" w:cs="Times New Roman"/>
          <w:sz w:val="20"/>
          <w:szCs w:val="20"/>
        </w:rPr>
        <w:t xml:space="preserve"> parmi les principaux</w:t>
      </w:r>
      <w:r w:rsidR="00E52397" w:rsidRPr="00442E6D">
        <w:rPr>
          <w:rFonts w:ascii="Georgia" w:hAnsi="Georgia" w:cs="Times New Roman"/>
          <w:sz w:val="20"/>
          <w:szCs w:val="20"/>
        </w:rPr>
        <w:t>.</w:t>
      </w:r>
      <w:r w:rsidR="004F6E4F" w:rsidRPr="00442E6D">
        <w:rPr>
          <w:rFonts w:ascii="Georgia" w:hAnsi="Georgia" w:cs="Times New Roman"/>
          <w:sz w:val="20"/>
          <w:szCs w:val="20"/>
        </w:rPr>
        <w:t xml:space="preserve"> </w:t>
      </w:r>
    </w:p>
    <w:p w:rsidR="007F0B69" w:rsidRDefault="007F0B69" w:rsidP="00442E6D">
      <w:pPr>
        <w:pStyle w:val="Sansinterligne"/>
        <w:ind w:left="-142"/>
        <w:jc w:val="center"/>
        <w:rPr>
          <w:rFonts w:ascii="Georgia" w:hAnsi="Georgia"/>
          <w:b/>
          <w:sz w:val="18"/>
          <w:szCs w:val="20"/>
          <w:u w:val="single"/>
        </w:rPr>
      </w:pPr>
      <w:r>
        <w:rPr>
          <w:rFonts w:ascii="Georgia" w:hAnsi="Georgia"/>
          <w:b/>
          <w:sz w:val="18"/>
          <w:szCs w:val="20"/>
          <w:u w:val="single"/>
        </w:rPr>
        <w:t>P</w:t>
      </w:r>
      <w:r w:rsidR="00442E6D">
        <w:rPr>
          <w:rFonts w:ascii="Georgia" w:hAnsi="Georgia"/>
          <w:b/>
          <w:sz w:val="18"/>
          <w:szCs w:val="20"/>
          <w:u w:val="single"/>
        </w:rPr>
        <w:t>art des financements conventionnels</w:t>
      </w:r>
    </w:p>
    <w:p w:rsidR="00442E6D" w:rsidRDefault="00442E6D" w:rsidP="00442E6D">
      <w:pPr>
        <w:pStyle w:val="Sansinterligne"/>
        <w:ind w:left="-142"/>
        <w:jc w:val="center"/>
        <w:rPr>
          <w:rFonts w:ascii="Georgia" w:hAnsi="Georgia"/>
          <w:b/>
          <w:sz w:val="18"/>
          <w:szCs w:val="20"/>
          <w:u w:val="single"/>
        </w:rPr>
      </w:pPr>
      <w:proofErr w:type="gramStart"/>
      <w:r>
        <w:rPr>
          <w:rFonts w:ascii="Georgia" w:hAnsi="Georgia"/>
          <w:b/>
          <w:sz w:val="18"/>
          <w:szCs w:val="20"/>
          <w:u w:val="single"/>
        </w:rPr>
        <w:t>et</w:t>
      </w:r>
      <w:proofErr w:type="gramEnd"/>
      <w:r>
        <w:rPr>
          <w:rFonts w:ascii="Georgia" w:hAnsi="Georgia"/>
          <w:b/>
          <w:sz w:val="18"/>
          <w:szCs w:val="20"/>
          <w:u w:val="single"/>
        </w:rPr>
        <w:t xml:space="preserve"> islamiques en Malaisie</w:t>
      </w:r>
      <w:r w:rsidR="007F0B69">
        <w:rPr>
          <w:rFonts w:ascii="Georgia" w:hAnsi="Georgia"/>
          <w:b/>
          <w:sz w:val="18"/>
          <w:szCs w:val="20"/>
          <w:u w:val="single"/>
        </w:rPr>
        <w:t xml:space="preserve"> (2009-2020)</w:t>
      </w:r>
    </w:p>
    <w:p w:rsidR="00442E6D" w:rsidRDefault="00442E6D" w:rsidP="004A2516">
      <w:pPr>
        <w:spacing w:after="120"/>
        <w:jc w:val="both"/>
        <w:rPr>
          <w:rFonts w:ascii="Georgia" w:hAnsi="Georgia" w:cs="Times New Roman"/>
          <w:sz w:val="20"/>
          <w:szCs w:val="20"/>
        </w:rPr>
      </w:pPr>
      <w:r w:rsidRPr="00442E6D">
        <w:rPr>
          <w:noProof/>
          <w:lang w:eastAsia="fr-FR"/>
        </w:rPr>
        <w:drawing>
          <wp:inline distT="0" distB="0" distL="0" distR="0" wp14:anchorId="35568313" wp14:editId="11835C4C">
            <wp:extent cx="3060700" cy="1833245"/>
            <wp:effectExtent l="0" t="0" r="635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183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B69" w:rsidRPr="00732D50" w:rsidRDefault="007F0B69" w:rsidP="007F0B69">
      <w:pPr>
        <w:spacing w:after="120"/>
        <w:jc w:val="both"/>
        <w:rPr>
          <w:rFonts w:ascii="Georgia" w:hAnsi="Georgia"/>
          <w:i/>
          <w:sz w:val="16"/>
          <w:szCs w:val="20"/>
        </w:rPr>
      </w:pPr>
      <w:r w:rsidRPr="00732D50">
        <w:rPr>
          <w:rFonts w:ascii="Georgia" w:hAnsi="Georgia"/>
          <w:i/>
          <w:sz w:val="16"/>
          <w:szCs w:val="20"/>
        </w:rPr>
        <w:t>Source :</w:t>
      </w:r>
      <w:r>
        <w:rPr>
          <w:rFonts w:ascii="Georgia" w:hAnsi="Georgia"/>
          <w:i/>
          <w:sz w:val="16"/>
          <w:szCs w:val="20"/>
        </w:rPr>
        <w:t xml:space="preserve"> rapports annuels, BNM, DBS Bank, </w:t>
      </w:r>
      <w:proofErr w:type="spellStart"/>
      <w:r>
        <w:rPr>
          <w:rFonts w:ascii="Georgia" w:hAnsi="Georgia"/>
          <w:i/>
          <w:sz w:val="16"/>
          <w:szCs w:val="20"/>
        </w:rPr>
        <w:t>AllianceDBS</w:t>
      </w:r>
      <w:proofErr w:type="spellEnd"/>
    </w:p>
    <w:p w:rsidR="009D678F" w:rsidRPr="00442E6D" w:rsidRDefault="009D678F" w:rsidP="009D678F">
      <w:pPr>
        <w:spacing w:after="120"/>
        <w:jc w:val="both"/>
        <w:rPr>
          <w:rFonts w:ascii="Georgia" w:hAnsi="Georgia" w:cs="Arial"/>
          <w:b/>
          <w:color w:val="2E74B5"/>
          <w:sz w:val="20"/>
          <w:szCs w:val="20"/>
        </w:rPr>
      </w:pPr>
      <w:r w:rsidRPr="00442E6D">
        <w:rPr>
          <w:rFonts w:ascii="Georgia" w:hAnsi="Georgia" w:cs="Arial"/>
          <w:b/>
          <w:color w:val="2E74B5"/>
          <w:sz w:val="20"/>
          <w:szCs w:val="20"/>
        </w:rPr>
        <w:t>L</w:t>
      </w:r>
      <w:r w:rsidR="00C8390A" w:rsidRPr="00442E6D">
        <w:rPr>
          <w:rFonts w:ascii="Georgia" w:hAnsi="Georgia" w:cs="Arial"/>
          <w:b/>
          <w:color w:val="2E74B5"/>
          <w:sz w:val="20"/>
          <w:szCs w:val="20"/>
        </w:rPr>
        <w:t>a Malaisie se positionne pour devenir un hub mondial de la finance islamique d’ici 2020</w:t>
      </w:r>
    </w:p>
    <w:p w:rsidR="000A6322" w:rsidRDefault="007F0B69" w:rsidP="000A6322">
      <w:pPr>
        <w:spacing w:after="120"/>
        <w:jc w:val="both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b/>
          <w:sz w:val="20"/>
          <w:szCs w:val="20"/>
        </w:rPr>
        <w:t>Dans son plan quinquennal 2016-2020, le gouvernement malaisien a fixé 4 objectifs clés à l’industrie de la finance islamique :</w:t>
      </w:r>
      <w:r w:rsidR="009D678F" w:rsidRPr="00442E6D">
        <w:rPr>
          <w:rFonts w:ascii="Georgia" w:hAnsi="Georgia" w:cs="Arial"/>
          <w:b/>
          <w:sz w:val="20"/>
          <w:szCs w:val="20"/>
        </w:rPr>
        <w:t xml:space="preserve"> </w:t>
      </w:r>
      <w:r w:rsidRPr="007F0B69">
        <w:rPr>
          <w:rFonts w:ascii="Georgia" w:hAnsi="Georgia" w:cs="Arial"/>
          <w:sz w:val="20"/>
          <w:szCs w:val="20"/>
        </w:rPr>
        <w:t>(1)</w:t>
      </w:r>
      <w:r>
        <w:rPr>
          <w:rFonts w:ascii="Georgia" w:hAnsi="Georgia" w:cs="Arial"/>
          <w:sz w:val="20"/>
          <w:szCs w:val="20"/>
        </w:rPr>
        <w:t xml:space="preserve"> passer de 8% à 13% la part du marché des actifs financiers islamiques (soutenir les fonds malaisiens spécialisés) ; (2) accroître la part des assureurs malaisiens sur le marché des </w:t>
      </w:r>
      <w:proofErr w:type="spellStart"/>
      <w:r>
        <w:rPr>
          <w:rFonts w:ascii="Georgia" w:hAnsi="Georgia" w:cs="Arial"/>
          <w:sz w:val="20"/>
          <w:szCs w:val="20"/>
        </w:rPr>
        <w:t>takaful</w:t>
      </w:r>
      <w:proofErr w:type="spellEnd"/>
      <w:r>
        <w:rPr>
          <w:rFonts w:ascii="Georgia" w:hAnsi="Georgia" w:cs="Arial"/>
          <w:sz w:val="20"/>
          <w:szCs w:val="20"/>
        </w:rPr>
        <w:t> ; (3) atteindre 40% de financements islamiques en Malaisie en 2020, et (4) classer une institution financière malaisienne parmi les 10 principaux acteurs mondiaux.</w:t>
      </w:r>
      <w:r w:rsidR="000A6322">
        <w:rPr>
          <w:rFonts w:ascii="Georgia" w:hAnsi="Georgia" w:cs="Arial"/>
          <w:sz w:val="20"/>
          <w:szCs w:val="20"/>
        </w:rPr>
        <w:t xml:space="preserve"> L</w:t>
      </w:r>
      <w:r w:rsidR="00A61CDB">
        <w:rPr>
          <w:rFonts w:ascii="Georgia" w:hAnsi="Georgia" w:cs="Arial"/>
          <w:sz w:val="20"/>
          <w:szCs w:val="20"/>
        </w:rPr>
        <w:t xml:space="preserve">’ambition est aussi, sous réserve de l’harmonisation de l’interprétation normative des principes de la </w:t>
      </w:r>
      <w:proofErr w:type="spellStart"/>
      <w:r w:rsidR="00A61CDB">
        <w:rPr>
          <w:rFonts w:ascii="Georgia" w:hAnsi="Georgia" w:cs="Arial"/>
          <w:sz w:val="20"/>
          <w:szCs w:val="20"/>
        </w:rPr>
        <w:t>Shariah</w:t>
      </w:r>
      <w:proofErr w:type="spellEnd"/>
      <w:r w:rsidR="00A61CDB">
        <w:rPr>
          <w:rFonts w:ascii="Georgia" w:hAnsi="Georgia" w:cs="Arial"/>
          <w:sz w:val="20"/>
          <w:szCs w:val="20"/>
        </w:rPr>
        <w:t>, d</w:t>
      </w:r>
      <w:r w:rsidR="000A6322">
        <w:rPr>
          <w:rFonts w:ascii="Georgia" w:hAnsi="Georgia" w:cs="Arial"/>
          <w:sz w:val="20"/>
          <w:szCs w:val="20"/>
        </w:rPr>
        <w:t>’étendre le</w:t>
      </w:r>
      <w:r w:rsidR="00A61CDB">
        <w:rPr>
          <w:rFonts w:ascii="Georgia" w:hAnsi="Georgia" w:cs="Arial"/>
          <w:sz w:val="20"/>
          <w:szCs w:val="20"/>
        </w:rPr>
        <w:t xml:space="preserve"> savoir-faire des établissements islamiques malaisiens à d’autres marchés et d’autres acteurs. </w:t>
      </w:r>
      <w:r w:rsidR="00C84DA1" w:rsidRPr="00C84DA1">
        <w:rPr>
          <w:rFonts w:ascii="Georgia" w:hAnsi="Georgia" w:cs="Arial"/>
          <w:sz w:val="20"/>
          <w:szCs w:val="20"/>
        </w:rPr>
        <w:t xml:space="preserve">A fin 2015, les banques malaisiennes avaient déjà procédé à l’émission de 32 </w:t>
      </w:r>
      <w:proofErr w:type="spellStart"/>
      <w:r w:rsidR="00C84DA1" w:rsidRPr="00C84DA1">
        <w:rPr>
          <w:rFonts w:ascii="Georgia" w:hAnsi="Georgia" w:cs="Arial"/>
          <w:sz w:val="20"/>
          <w:szCs w:val="20"/>
        </w:rPr>
        <w:t>sukuks</w:t>
      </w:r>
      <w:proofErr w:type="spellEnd"/>
      <w:r w:rsidR="00C84DA1" w:rsidRPr="00C84DA1">
        <w:rPr>
          <w:rFonts w:ascii="Georgia" w:hAnsi="Georgia" w:cs="Arial"/>
          <w:sz w:val="20"/>
          <w:szCs w:val="20"/>
        </w:rPr>
        <w:t xml:space="preserve"> en devises étrangères (USD, CNY, JPY, SGD) pour le compte d’émetteurs malaisiens et étrangers, équivalents à un total de 21,3 Mds USD (BNM).</w:t>
      </w:r>
      <w:r w:rsidR="00A61CDB">
        <w:rPr>
          <w:rFonts w:ascii="Georgia" w:hAnsi="Georgia" w:cs="Arial"/>
          <w:sz w:val="20"/>
          <w:szCs w:val="20"/>
        </w:rPr>
        <w:t xml:space="preserve"> </w:t>
      </w:r>
      <w:r w:rsidR="000A6322">
        <w:rPr>
          <w:rFonts w:ascii="Georgia" w:hAnsi="Georgia" w:cs="Arial"/>
          <w:sz w:val="20"/>
          <w:szCs w:val="20"/>
        </w:rPr>
        <w:t>Les banques islamiques malaisiennes se positionnent sur</w:t>
      </w:r>
      <w:r w:rsidR="00A61CDB">
        <w:rPr>
          <w:rFonts w:ascii="Georgia" w:hAnsi="Georgia" w:cs="Arial"/>
          <w:sz w:val="20"/>
          <w:szCs w:val="20"/>
        </w:rPr>
        <w:t xml:space="preserve"> le</w:t>
      </w:r>
      <w:r w:rsidR="000A6322">
        <w:rPr>
          <w:rFonts w:ascii="Georgia" w:hAnsi="Georgia" w:cs="Arial"/>
          <w:sz w:val="20"/>
          <w:szCs w:val="20"/>
        </w:rPr>
        <w:t>s</w:t>
      </w:r>
      <w:r w:rsidR="00A61CDB">
        <w:rPr>
          <w:rFonts w:ascii="Georgia" w:hAnsi="Georgia" w:cs="Arial"/>
          <w:sz w:val="20"/>
          <w:szCs w:val="20"/>
        </w:rPr>
        <w:t xml:space="preserve"> marché</w:t>
      </w:r>
      <w:r w:rsidR="000A6322">
        <w:rPr>
          <w:rFonts w:ascii="Georgia" w:hAnsi="Georgia" w:cs="Arial"/>
          <w:sz w:val="20"/>
          <w:szCs w:val="20"/>
        </w:rPr>
        <w:t xml:space="preserve">s porteurs, en particulier le voisin indonésien, premier pays </w:t>
      </w:r>
      <w:r w:rsidR="00310C13">
        <w:rPr>
          <w:rFonts w:ascii="Georgia" w:hAnsi="Georgia" w:cs="Arial"/>
          <w:sz w:val="20"/>
          <w:szCs w:val="20"/>
        </w:rPr>
        <w:t>au monde en nombre d’habitants de confession</w:t>
      </w:r>
      <w:r w:rsidR="000A6322">
        <w:rPr>
          <w:rFonts w:ascii="Georgia" w:hAnsi="Georgia" w:cs="Arial"/>
          <w:sz w:val="20"/>
          <w:szCs w:val="20"/>
        </w:rPr>
        <w:t xml:space="preserve"> musulmane.</w:t>
      </w:r>
    </w:p>
    <w:p w:rsidR="0020513C" w:rsidRPr="007E4826" w:rsidRDefault="007F0B69" w:rsidP="000A6322">
      <w:pPr>
        <w:jc w:val="both"/>
        <w:rPr>
          <w:rFonts w:ascii="Georgia" w:eastAsia="Arial" w:hAnsi="Georgia"/>
          <w:iCs/>
          <w:color w:val="0563C1" w:themeColor="hyperlink"/>
          <w:sz w:val="20"/>
          <w:szCs w:val="20"/>
          <w:u w:val="single"/>
        </w:rPr>
      </w:pPr>
      <w:r w:rsidRPr="00425134">
        <w:rPr>
          <w:rFonts w:ascii="Georgia" w:hAnsi="Georgia"/>
          <w:i/>
          <w:sz w:val="18"/>
          <w:szCs w:val="20"/>
        </w:rPr>
        <w:t xml:space="preserve">Contact : </w:t>
      </w:r>
      <w:hyperlink r:id="rId11" w:history="1">
        <w:r w:rsidRPr="00CE08AC">
          <w:rPr>
            <w:rStyle w:val="Lienhypertexte"/>
            <w:rFonts w:ascii="Georgia" w:hAnsi="Georgia"/>
            <w:i/>
            <w:sz w:val="18"/>
            <w:szCs w:val="20"/>
          </w:rPr>
          <w:t>arnaud.boulanger@dgtresor.gouv.fr</w:t>
        </w:r>
      </w:hyperlink>
    </w:p>
    <w:sectPr w:rsidR="0020513C" w:rsidRPr="007E4826" w:rsidSect="00C84DA1">
      <w:headerReference w:type="first" r:id="rId12"/>
      <w:type w:val="continuous"/>
      <w:pgSz w:w="11906" w:h="16838"/>
      <w:pgMar w:top="1134" w:right="851" w:bottom="794" w:left="851" w:header="567" w:footer="709" w:gutter="0"/>
      <w:cols w:num="2" w:space="56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595" w:rsidRDefault="00C06595" w:rsidP="0058371D">
      <w:r>
        <w:separator/>
      </w:r>
    </w:p>
  </w:endnote>
  <w:endnote w:type="continuationSeparator" w:id="0">
    <w:p w:rsidR="00C06595" w:rsidRDefault="00C06595" w:rsidP="0058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595" w:rsidRDefault="00C06595" w:rsidP="0058371D">
      <w:r>
        <w:separator/>
      </w:r>
    </w:p>
  </w:footnote>
  <w:footnote w:type="continuationSeparator" w:id="0">
    <w:p w:rsidR="00C06595" w:rsidRDefault="00C06595" w:rsidP="00583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AD7" w:rsidRPr="001C09EC" w:rsidRDefault="00085AD7" w:rsidP="00C84DA1">
    <w:pPr>
      <w:pStyle w:val="En-tte"/>
      <w:keepNext/>
      <w:keepLines/>
      <w:suppressAutoHyphens/>
      <w:spacing w:before="60"/>
      <w:jc w:val="both"/>
      <w:rPr>
        <w:rFonts w:ascii="Georgia" w:hAnsi="Georgia" w:cs="Arial"/>
        <w:sz w:val="18"/>
        <w:lang w:eastAsia="fr-FR"/>
      </w:rPr>
    </w:pPr>
    <w:r w:rsidRPr="001C09EC">
      <w:rPr>
        <w:rFonts w:ascii="Georgia" w:hAnsi="Georgia" w:cs="Arial"/>
        <w:b/>
        <w:bCs/>
        <w:color w:val="DAA800"/>
        <w:spacing w:val="30"/>
        <w:sz w:val="18"/>
        <w:lang w:eastAsia="fr-FR"/>
      </w:rPr>
      <w:t>HORIZON ASEAN</w:t>
    </w:r>
    <w:r w:rsidRPr="001C09EC">
      <w:rPr>
        <w:rFonts w:ascii="Georgia" w:hAnsi="Georgia" w:cs="Arial"/>
        <w:b/>
        <w:bCs/>
        <w:color w:val="FF9900"/>
        <w:spacing w:val="30"/>
        <w:sz w:val="18"/>
        <w:lang w:eastAsia="fr-FR"/>
      </w:rPr>
      <w:t xml:space="preserve"> </w:t>
    </w:r>
    <w:r w:rsidRPr="001C09EC">
      <w:rPr>
        <w:rFonts w:ascii="Georgia" w:hAnsi="Georgia" w:cs="Arial"/>
        <w:b/>
        <w:bCs/>
        <w:color w:val="004559"/>
        <w:spacing w:val="30"/>
        <w:sz w:val="18"/>
        <w:lang w:eastAsia="fr-FR"/>
      </w:rPr>
      <w:t xml:space="preserve"> – </w:t>
    </w:r>
    <w:r>
      <w:rPr>
        <w:rFonts w:ascii="Georgia" w:hAnsi="Georgia" w:cs="Arial"/>
        <w:b/>
        <w:bCs/>
        <w:color w:val="004559"/>
        <w:spacing w:val="30"/>
        <w:sz w:val="18"/>
        <w:lang w:eastAsia="fr-FR"/>
      </w:rPr>
      <w:t>Octobre</w:t>
    </w:r>
    <w:r w:rsidRPr="001C09EC">
      <w:rPr>
        <w:rFonts w:ascii="Georgia" w:hAnsi="Georgia" w:cs="Arial"/>
        <w:b/>
        <w:bCs/>
        <w:color w:val="004559"/>
        <w:spacing w:val="30"/>
        <w:sz w:val="18"/>
        <w:lang w:eastAsia="fr-FR"/>
      </w:rPr>
      <w:t xml:space="preserve"> 2017</w:t>
    </w:r>
    <w:r w:rsidRPr="001C09EC">
      <w:rPr>
        <w:rFonts w:ascii="Georgia" w:hAnsi="Georgia" w:cs="Arial"/>
        <w:b/>
        <w:bCs/>
        <w:color w:val="336699"/>
        <w:spacing w:val="30"/>
        <w:sz w:val="18"/>
        <w:lang w:eastAsia="fr-FR"/>
      </w:rPr>
      <w:t xml:space="preserve"> </w:t>
    </w:r>
    <w:r w:rsidRPr="001C09EC">
      <w:rPr>
        <w:rFonts w:ascii="Georgia" w:hAnsi="Georgia" w:cs="Arial"/>
        <w:sz w:val="18"/>
        <w:lang w:eastAsia="fr-FR"/>
      </w:rPr>
      <w:t>© DG Trésor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AD7" w:rsidRDefault="00085AD7" w:rsidP="009E5CAE">
    <w:pPr>
      <w:pStyle w:val="En-tte"/>
      <w:keepNext/>
      <w:keepLines/>
      <w:suppressAutoHyphens/>
      <w:spacing w:before="60"/>
      <w:ind w:left="-142" w:firstLine="142"/>
      <w:jc w:val="both"/>
      <w:rPr>
        <w:rFonts w:ascii="Georgia" w:hAnsi="Georgia" w:cs="Arial"/>
        <w:b/>
        <w:bCs/>
        <w:color w:val="DAA800"/>
        <w:spacing w:val="30"/>
        <w:sz w:val="18"/>
        <w:lang w:eastAsia="fr-FR"/>
      </w:rPr>
    </w:pPr>
  </w:p>
  <w:p w:rsidR="00085AD7" w:rsidRPr="001C09EC" w:rsidRDefault="00085AD7" w:rsidP="009E5CAE">
    <w:pPr>
      <w:pStyle w:val="En-tte"/>
      <w:keepNext/>
      <w:keepLines/>
      <w:suppressAutoHyphens/>
      <w:spacing w:before="60"/>
      <w:ind w:left="-142" w:firstLine="142"/>
      <w:jc w:val="both"/>
      <w:rPr>
        <w:rFonts w:ascii="Georgia" w:hAnsi="Georgia" w:cs="Arial"/>
        <w:sz w:val="18"/>
        <w:lang w:eastAsia="fr-FR"/>
      </w:rPr>
    </w:pPr>
    <w:r w:rsidRPr="001C09EC">
      <w:rPr>
        <w:rFonts w:ascii="Georgia" w:hAnsi="Georgia" w:cs="Arial"/>
        <w:b/>
        <w:bCs/>
        <w:color w:val="DAA800"/>
        <w:spacing w:val="30"/>
        <w:sz w:val="18"/>
        <w:lang w:eastAsia="fr-FR"/>
      </w:rPr>
      <w:t>HORIZON ASEAN</w:t>
    </w:r>
    <w:r w:rsidRPr="001C09EC">
      <w:rPr>
        <w:rFonts w:ascii="Georgia" w:hAnsi="Georgia" w:cs="Arial"/>
        <w:b/>
        <w:bCs/>
        <w:color w:val="FF9900"/>
        <w:spacing w:val="30"/>
        <w:sz w:val="18"/>
        <w:lang w:eastAsia="fr-FR"/>
      </w:rPr>
      <w:t xml:space="preserve"> </w:t>
    </w:r>
    <w:r w:rsidRPr="001C09EC">
      <w:rPr>
        <w:rFonts w:ascii="Georgia" w:hAnsi="Georgia" w:cs="Arial"/>
        <w:b/>
        <w:bCs/>
        <w:color w:val="004559"/>
        <w:spacing w:val="30"/>
        <w:sz w:val="18"/>
        <w:lang w:eastAsia="fr-FR"/>
      </w:rPr>
      <w:t xml:space="preserve"> – Juillet 2017</w:t>
    </w:r>
    <w:r w:rsidRPr="001C09EC">
      <w:rPr>
        <w:rFonts w:ascii="Georgia" w:hAnsi="Georgia" w:cs="Arial"/>
        <w:b/>
        <w:bCs/>
        <w:color w:val="336699"/>
        <w:spacing w:val="30"/>
        <w:sz w:val="18"/>
        <w:lang w:eastAsia="fr-FR"/>
      </w:rPr>
      <w:t xml:space="preserve"> </w:t>
    </w:r>
    <w:r w:rsidRPr="001C09EC">
      <w:rPr>
        <w:rFonts w:ascii="Georgia" w:hAnsi="Georgia" w:cs="Arial"/>
        <w:sz w:val="18"/>
        <w:lang w:eastAsia="fr-FR"/>
      </w:rPr>
      <w:t>© DG Trésor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D7345"/>
    <w:multiLevelType w:val="hybridMultilevel"/>
    <w:tmpl w:val="7FAC6610"/>
    <w:lvl w:ilvl="0" w:tplc="CF1E2712">
      <w:start w:val="1"/>
      <w:numFmt w:val="decimal"/>
      <w:lvlText w:val="%1."/>
      <w:lvlJc w:val="left"/>
      <w:pPr>
        <w:ind w:left="720" w:hanging="360"/>
      </w:pPr>
      <w:rPr>
        <w:rFonts w:ascii="Georgia" w:eastAsia="Times New Roman" w:hAnsi="Georgia" w:cs="Times New Roman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71D"/>
    <w:rsid w:val="00000D4E"/>
    <w:rsid w:val="00001762"/>
    <w:rsid w:val="00015F1C"/>
    <w:rsid w:val="00044791"/>
    <w:rsid w:val="00052849"/>
    <w:rsid w:val="00063E17"/>
    <w:rsid w:val="000640A2"/>
    <w:rsid w:val="00085AD7"/>
    <w:rsid w:val="00087B5D"/>
    <w:rsid w:val="00091E75"/>
    <w:rsid w:val="000A6322"/>
    <w:rsid w:val="000B16E5"/>
    <w:rsid w:val="000B20F0"/>
    <w:rsid w:val="000C38F3"/>
    <w:rsid w:val="000D6BBF"/>
    <w:rsid w:val="000E4DC0"/>
    <w:rsid w:val="00114823"/>
    <w:rsid w:val="00125733"/>
    <w:rsid w:val="00131D25"/>
    <w:rsid w:val="001516B3"/>
    <w:rsid w:val="001A23F9"/>
    <w:rsid w:val="001B2A18"/>
    <w:rsid w:val="001B6E66"/>
    <w:rsid w:val="001C64F0"/>
    <w:rsid w:val="001C793C"/>
    <w:rsid w:val="0020513C"/>
    <w:rsid w:val="0021404F"/>
    <w:rsid w:val="00215029"/>
    <w:rsid w:val="00235930"/>
    <w:rsid w:val="00247599"/>
    <w:rsid w:val="002750C2"/>
    <w:rsid w:val="00286AE1"/>
    <w:rsid w:val="002A68DD"/>
    <w:rsid w:val="002B5C7A"/>
    <w:rsid w:val="002B6FEE"/>
    <w:rsid w:val="00310BEE"/>
    <w:rsid w:val="00310C13"/>
    <w:rsid w:val="00313A1B"/>
    <w:rsid w:val="00334215"/>
    <w:rsid w:val="00340FAC"/>
    <w:rsid w:val="00353F6D"/>
    <w:rsid w:val="00361F7C"/>
    <w:rsid w:val="00364453"/>
    <w:rsid w:val="0036594C"/>
    <w:rsid w:val="003674F6"/>
    <w:rsid w:val="00384F2E"/>
    <w:rsid w:val="00386BEF"/>
    <w:rsid w:val="003B3E9D"/>
    <w:rsid w:val="003B7418"/>
    <w:rsid w:val="003C5A5C"/>
    <w:rsid w:val="003F5FC6"/>
    <w:rsid w:val="003F69D9"/>
    <w:rsid w:val="00425134"/>
    <w:rsid w:val="0043256F"/>
    <w:rsid w:val="004376E6"/>
    <w:rsid w:val="00442E6D"/>
    <w:rsid w:val="00446B70"/>
    <w:rsid w:val="00483EAF"/>
    <w:rsid w:val="004A2516"/>
    <w:rsid w:val="004A5AC6"/>
    <w:rsid w:val="004B72F5"/>
    <w:rsid w:val="004F6E4F"/>
    <w:rsid w:val="00505D0E"/>
    <w:rsid w:val="00507B00"/>
    <w:rsid w:val="00515BB7"/>
    <w:rsid w:val="005175B5"/>
    <w:rsid w:val="00531AA0"/>
    <w:rsid w:val="005420F0"/>
    <w:rsid w:val="00553CE9"/>
    <w:rsid w:val="0056200D"/>
    <w:rsid w:val="00577B7C"/>
    <w:rsid w:val="0058371D"/>
    <w:rsid w:val="005850DF"/>
    <w:rsid w:val="005A0579"/>
    <w:rsid w:val="005A4228"/>
    <w:rsid w:val="005B006D"/>
    <w:rsid w:val="005C1021"/>
    <w:rsid w:val="005C2F18"/>
    <w:rsid w:val="005F403E"/>
    <w:rsid w:val="006269F0"/>
    <w:rsid w:val="00647440"/>
    <w:rsid w:val="0066174D"/>
    <w:rsid w:val="006716F4"/>
    <w:rsid w:val="006764F3"/>
    <w:rsid w:val="00687FB4"/>
    <w:rsid w:val="006A3121"/>
    <w:rsid w:val="006B5085"/>
    <w:rsid w:val="006E022D"/>
    <w:rsid w:val="006E5A80"/>
    <w:rsid w:val="006E78AC"/>
    <w:rsid w:val="006F0DF7"/>
    <w:rsid w:val="006F2426"/>
    <w:rsid w:val="00727634"/>
    <w:rsid w:val="0073278D"/>
    <w:rsid w:val="00732D50"/>
    <w:rsid w:val="007654E9"/>
    <w:rsid w:val="007A7343"/>
    <w:rsid w:val="007A7CAC"/>
    <w:rsid w:val="007B43A6"/>
    <w:rsid w:val="007B50BF"/>
    <w:rsid w:val="007E0C34"/>
    <w:rsid w:val="007E374A"/>
    <w:rsid w:val="007E3F49"/>
    <w:rsid w:val="007E4826"/>
    <w:rsid w:val="007F0B69"/>
    <w:rsid w:val="0080181A"/>
    <w:rsid w:val="00806BAC"/>
    <w:rsid w:val="00855902"/>
    <w:rsid w:val="00864782"/>
    <w:rsid w:val="00865C9E"/>
    <w:rsid w:val="00866366"/>
    <w:rsid w:val="008B0E43"/>
    <w:rsid w:val="008B7222"/>
    <w:rsid w:val="008C4086"/>
    <w:rsid w:val="008F3FD5"/>
    <w:rsid w:val="008F524B"/>
    <w:rsid w:val="008F5E59"/>
    <w:rsid w:val="009020AC"/>
    <w:rsid w:val="009140AF"/>
    <w:rsid w:val="00914DC0"/>
    <w:rsid w:val="00915F7C"/>
    <w:rsid w:val="009168D5"/>
    <w:rsid w:val="00932036"/>
    <w:rsid w:val="0097386D"/>
    <w:rsid w:val="009930E0"/>
    <w:rsid w:val="00996F74"/>
    <w:rsid w:val="009A578F"/>
    <w:rsid w:val="009B03FF"/>
    <w:rsid w:val="009B1176"/>
    <w:rsid w:val="009D1342"/>
    <w:rsid w:val="009D2111"/>
    <w:rsid w:val="009D678F"/>
    <w:rsid w:val="009E388A"/>
    <w:rsid w:val="009E5CAE"/>
    <w:rsid w:val="009F1A49"/>
    <w:rsid w:val="00A2161D"/>
    <w:rsid w:val="00A25354"/>
    <w:rsid w:val="00A61CDB"/>
    <w:rsid w:val="00A642F8"/>
    <w:rsid w:val="00A70613"/>
    <w:rsid w:val="00A8104A"/>
    <w:rsid w:val="00A81E5F"/>
    <w:rsid w:val="00A94063"/>
    <w:rsid w:val="00AA7421"/>
    <w:rsid w:val="00AB487A"/>
    <w:rsid w:val="00AB73A9"/>
    <w:rsid w:val="00AC3F0A"/>
    <w:rsid w:val="00AF2219"/>
    <w:rsid w:val="00AF62F3"/>
    <w:rsid w:val="00B1327A"/>
    <w:rsid w:val="00B14D0D"/>
    <w:rsid w:val="00B27A93"/>
    <w:rsid w:val="00B347E2"/>
    <w:rsid w:val="00B5054B"/>
    <w:rsid w:val="00B55A0F"/>
    <w:rsid w:val="00B90E4C"/>
    <w:rsid w:val="00B92910"/>
    <w:rsid w:val="00BC1EEB"/>
    <w:rsid w:val="00BC3E90"/>
    <w:rsid w:val="00BC708F"/>
    <w:rsid w:val="00BD03DE"/>
    <w:rsid w:val="00BD4FF5"/>
    <w:rsid w:val="00BD536A"/>
    <w:rsid w:val="00BD78AE"/>
    <w:rsid w:val="00BE2A19"/>
    <w:rsid w:val="00BE2DAF"/>
    <w:rsid w:val="00BF1CD4"/>
    <w:rsid w:val="00C06595"/>
    <w:rsid w:val="00C06B06"/>
    <w:rsid w:val="00C14B84"/>
    <w:rsid w:val="00C749DB"/>
    <w:rsid w:val="00C82327"/>
    <w:rsid w:val="00C8390A"/>
    <w:rsid w:val="00C84DA1"/>
    <w:rsid w:val="00C95468"/>
    <w:rsid w:val="00CA1C81"/>
    <w:rsid w:val="00CB240C"/>
    <w:rsid w:val="00CC095D"/>
    <w:rsid w:val="00CD5B65"/>
    <w:rsid w:val="00CE5544"/>
    <w:rsid w:val="00CF306D"/>
    <w:rsid w:val="00D23799"/>
    <w:rsid w:val="00D26AFF"/>
    <w:rsid w:val="00D336DD"/>
    <w:rsid w:val="00D51739"/>
    <w:rsid w:val="00D64DD8"/>
    <w:rsid w:val="00D67249"/>
    <w:rsid w:val="00D72C28"/>
    <w:rsid w:val="00D8274D"/>
    <w:rsid w:val="00D91531"/>
    <w:rsid w:val="00DB4327"/>
    <w:rsid w:val="00DF101B"/>
    <w:rsid w:val="00E00A44"/>
    <w:rsid w:val="00E05151"/>
    <w:rsid w:val="00E24443"/>
    <w:rsid w:val="00E30C48"/>
    <w:rsid w:val="00E51B5D"/>
    <w:rsid w:val="00E52397"/>
    <w:rsid w:val="00E658C1"/>
    <w:rsid w:val="00E70B89"/>
    <w:rsid w:val="00E82ED2"/>
    <w:rsid w:val="00E914B3"/>
    <w:rsid w:val="00E917D4"/>
    <w:rsid w:val="00E955B4"/>
    <w:rsid w:val="00EA4419"/>
    <w:rsid w:val="00EB61DA"/>
    <w:rsid w:val="00EC3CFF"/>
    <w:rsid w:val="00EF5D95"/>
    <w:rsid w:val="00F0505E"/>
    <w:rsid w:val="00F14F5A"/>
    <w:rsid w:val="00F2600D"/>
    <w:rsid w:val="00F50D00"/>
    <w:rsid w:val="00F7783B"/>
    <w:rsid w:val="00F93026"/>
    <w:rsid w:val="00FA0BB5"/>
    <w:rsid w:val="00FD3EE1"/>
    <w:rsid w:val="00FD6A5F"/>
    <w:rsid w:val="00FD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4104A73-6CE9-4D2B-9841-9F8E081C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837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8371D"/>
  </w:style>
  <w:style w:type="paragraph" w:styleId="Pieddepage">
    <w:name w:val="footer"/>
    <w:basedOn w:val="Normal"/>
    <w:link w:val="PieddepageCar"/>
    <w:uiPriority w:val="99"/>
    <w:unhideWhenUsed/>
    <w:rsid w:val="005837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371D"/>
  </w:style>
  <w:style w:type="table" w:styleId="Grilledutableau">
    <w:name w:val="Table Grid"/>
    <w:basedOn w:val="TableauNormal"/>
    <w:uiPriority w:val="39"/>
    <w:rsid w:val="00542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13A1B"/>
    <w:rPr>
      <w:color w:val="0563C1" w:themeColor="hyperlink"/>
      <w:u w:val="single"/>
    </w:rPr>
  </w:style>
  <w:style w:type="paragraph" w:styleId="Notedebasdepage">
    <w:name w:val="footnote text"/>
    <w:aliases w:val=" Char,Char,Arial,Footnote Text Char Char1,Footnote Text Char2,Footnote Text Char Char Char Char,Footnote Text Char1 Char1,Footnote Text Char Char Char1,Footnote Text Char3,Footnote Text Char2 Char,Footnote Text Char1 Char,Char2"/>
    <w:basedOn w:val="Normal"/>
    <w:link w:val="NotedebasdepageCar"/>
    <w:uiPriority w:val="99"/>
    <w:unhideWhenUsed/>
    <w:qFormat/>
    <w:rsid w:val="00063E17"/>
    <w:rPr>
      <w:rFonts w:ascii="Calibri" w:eastAsia="Times New Roman" w:hAnsi="Calibri" w:cs="Times New Roman"/>
      <w:sz w:val="20"/>
      <w:szCs w:val="20"/>
      <w:lang w:eastAsia="fr-FR"/>
    </w:rPr>
  </w:style>
  <w:style w:type="character" w:customStyle="1" w:styleId="NotedebasdepageCar">
    <w:name w:val="Note de bas de page Car"/>
    <w:aliases w:val=" Char Car,Char Car,Arial Car,Footnote Text Char Char1 Car,Footnote Text Char2 Car,Footnote Text Char Char Char Char Car,Footnote Text Char1 Char1 Car,Footnote Text Char Char Char1 Car,Footnote Text Char3 Car,Char2 Car"/>
    <w:basedOn w:val="Policepardfaut"/>
    <w:link w:val="Notedebasdepage"/>
    <w:uiPriority w:val="99"/>
    <w:rsid w:val="00063E17"/>
    <w:rPr>
      <w:rFonts w:ascii="Calibri" w:eastAsia="Times New Roman" w:hAnsi="Calibri" w:cs="Times New Roman"/>
      <w:sz w:val="20"/>
      <w:szCs w:val="20"/>
      <w:lang w:eastAsia="fr-FR"/>
    </w:rPr>
  </w:style>
  <w:style w:type="character" w:styleId="Appelnotedebasdep">
    <w:name w:val="footnote reference"/>
    <w:aliases w:val="FOOTNOTE,pre-cab,ftref,16 Point,Superscript 6 Point,fr,stylish,Appel note de bas de p,Footnote,(NECG) Footnote Reference,o,Style 3,Style 12,Style 124,Appel,Footnote Reference Number,Footnote Reference_LVL6"/>
    <w:uiPriority w:val="99"/>
    <w:unhideWhenUsed/>
    <w:rsid w:val="00063E17"/>
    <w:rPr>
      <w:vertAlign w:val="superscript"/>
    </w:rPr>
  </w:style>
  <w:style w:type="paragraph" w:customStyle="1" w:styleId="mentionslgales">
    <w:name w:val="mentionslégales"/>
    <w:rsid w:val="0020513C"/>
    <w:pPr>
      <w:spacing w:line="180" w:lineRule="exact"/>
      <w:jc w:val="both"/>
    </w:pPr>
    <w:rPr>
      <w:rFonts w:ascii="Arial" w:eastAsia="Times New Roman" w:hAnsi="Arial" w:cs="Times New Roman"/>
      <w:sz w:val="1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117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117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D678F"/>
    <w:pPr>
      <w:ind w:left="708"/>
    </w:pPr>
    <w:rPr>
      <w:rFonts w:ascii="Calibri" w:eastAsia="Times New Roman" w:hAnsi="Calibri" w:cs="Times New Roman"/>
      <w:sz w:val="20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D51739"/>
  </w:style>
  <w:style w:type="character" w:customStyle="1" w:styleId="SansinterligneCar">
    <w:name w:val="Sans interligne Car"/>
    <w:link w:val="Sansinterligne"/>
    <w:uiPriority w:val="1"/>
    <w:locked/>
    <w:rsid w:val="00D51739"/>
  </w:style>
  <w:style w:type="character" w:styleId="Lienhypertextesuivivisit">
    <w:name w:val="FollowedHyperlink"/>
    <w:basedOn w:val="Policepardfaut"/>
    <w:uiPriority w:val="99"/>
    <w:semiHidden/>
    <w:unhideWhenUsed/>
    <w:rsid w:val="00353F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0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naud.boulanger@dgtresor.gouv.f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7505A-1CCE-49A7-AB02-CD5933F8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F0F4CD45.dotm</Template>
  <TotalTime>1</TotalTime>
  <Pages>1</Pages>
  <Words>712</Words>
  <Characters>3917</Characters>
  <Application>Microsoft Office Word</Application>
  <DocSecurity>4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 Trésor</Company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MONTREUIL Lauriane</dc:creator>
  <cp:keywords/>
  <dc:description/>
  <cp:lastModifiedBy>PECRIAUX William</cp:lastModifiedBy>
  <cp:revision>2</cp:revision>
  <cp:lastPrinted>2017-07-17T07:34:00Z</cp:lastPrinted>
  <dcterms:created xsi:type="dcterms:W3CDTF">2018-01-03T07:42:00Z</dcterms:created>
  <dcterms:modified xsi:type="dcterms:W3CDTF">2018-01-03T07:42:00Z</dcterms:modified>
</cp:coreProperties>
</file>