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EE65D" w14:textId="45149AA4" w:rsidR="00BD6695" w:rsidRDefault="00BD6695" w:rsidP="00266C6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NOTE</w:t>
      </w:r>
    </w:p>
    <w:p w14:paraId="1DB85EAB" w14:textId="5446CA0A" w:rsidR="00BD6695" w:rsidRDefault="00BD6695" w:rsidP="001143B1">
      <w:pPr>
        <w:jc w:val="both"/>
        <w:rPr>
          <w:rFonts w:ascii="Times New Roman" w:hAnsi="Times New Roman" w:cs="Times New Roman"/>
        </w:rPr>
      </w:pPr>
      <w:r w:rsidRPr="00266C6A">
        <w:rPr>
          <w:rFonts w:ascii="Times New Roman" w:hAnsi="Times New Roman" w:cs="Times New Roman"/>
          <w:b/>
        </w:rPr>
        <w:t>Objet :</w:t>
      </w:r>
      <w:r>
        <w:rPr>
          <w:rFonts w:ascii="Times New Roman" w:hAnsi="Times New Roman" w:cs="Times New Roman"/>
        </w:rPr>
        <w:t xml:space="preserve"> Les échanges de biens entre la France et le Panama en 2017.</w:t>
      </w:r>
    </w:p>
    <w:p w14:paraId="7167A543" w14:textId="3B35B0CA" w:rsidR="005E1891" w:rsidRPr="00266C6A" w:rsidRDefault="005E1891" w:rsidP="0026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266C6A">
        <w:rPr>
          <w:rFonts w:ascii="Times New Roman" w:hAnsi="Times New Roman" w:cs="Times New Roman"/>
          <w:i/>
        </w:rPr>
        <w:t>La bonne performance des exportations françaises vers le Panama, combinée à des importations structurellement très marginales</w:t>
      </w:r>
      <w:r w:rsidR="00A92D1D" w:rsidRPr="00266C6A">
        <w:rPr>
          <w:rFonts w:ascii="Times New Roman" w:hAnsi="Times New Roman" w:cs="Times New Roman"/>
          <w:i/>
        </w:rPr>
        <w:t>,</w:t>
      </w:r>
      <w:r w:rsidRPr="00266C6A">
        <w:rPr>
          <w:rFonts w:ascii="Times New Roman" w:hAnsi="Times New Roman" w:cs="Times New Roman"/>
          <w:i/>
        </w:rPr>
        <w:t xml:space="preserve"> donne lieu à un excédent notable de 319,1 M EUR</w:t>
      </w:r>
      <w:r w:rsidR="00B61EA8" w:rsidRPr="00266C6A">
        <w:rPr>
          <w:rFonts w:ascii="Times New Roman" w:hAnsi="Times New Roman" w:cs="Times New Roman"/>
          <w:i/>
        </w:rPr>
        <w:t xml:space="preserve"> (CAF/FAB)</w:t>
      </w:r>
      <w:r w:rsidRPr="00266C6A">
        <w:rPr>
          <w:rFonts w:ascii="Times New Roman" w:hAnsi="Times New Roman" w:cs="Times New Roman"/>
          <w:i/>
        </w:rPr>
        <w:t>. Notre commerce avec le Panama nous fournit notre 4</w:t>
      </w:r>
      <w:r w:rsidRPr="00266C6A">
        <w:rPr>
          <w:rFonts w:ascii="Times New Roman" w:hAnsi="Times New Roman" w:cs="Times New Roman"/>
          <w:i/>
          <w:vertAlign w:val="superscript"/>
        </w:rPr>
        <w:t>ème</w:t>
      </w:r>
      <w:r w:rsidRPr="00266C6A">
        <w:rPr>
          <w:rFonts w:ascii="Times New Roman" w:hAnsi="Times New Roman" w:cs="Times New Roman"/>
          <w:i/>
        </w:rPr>
        <w:t xml:space="preserve"> excédent commercial de la zone Amérique latine. Si une part substantielle de cet excédent provient du pôle de réexportation de Colon, la qualité des résultats enregistrés en 2017 doit beaucoup à la bonne santé, non démentie, du marché intérieur panaméen.</w:t>
      </w:r>
    </w:p>
    <w:p w14:paraId="303BFED7" w14:textId="60474E4B" w:rsidR="005E1891" w:rsidRPr="001143B1" w:rsidRDefault="00F713EF" w:rsidP="00266C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08AC4F8E" w14:textId="77777777" w:rsidR="00524FD1" w:rsidRPr="001143B1" w:rsidRDefault="005F1EDF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>Les exportations</w:t>
      </w:r>
      <w:r w:rsidR="00B61EA8">
        <w:rPr>
          <w:rFonts w:ascii="Times New Roman" w:hAnsi="Times New Roman" w:cs="Times New Roman"/>
        </w:rPr>
        <w:t xml:space="preserve"> </w:t>
      </w:r>
      <w:r w:rsidRPr="001143B1">
        <w:rPr>
          <w:rFonts w:ascii="Times New Roman" w:hAnsi="Times New Roman" w:cs="Times New Roman"/>
        </w:rPr>
        <w:t xml:space="preserve">françaises vers le Panama enregistrent une hausse notable en 2017 pour dépasser de 15,1 % leur niveau de 2016. Elles se sont établies à 332 M </w:t>
      </w:r>
      <w:r w:rsidR="004E3673">
        <w:rPr>
          <w:rFonts w:ascii="Times New Roman" w:hAnsi="Times New Roman" w:cs="Times New Roman"/>
        </w:rPr>
        <w:t>EUR</w:t>
      </w:r>
      <w:r w:rsidR="00B61EA8">
        <w:rPr>
          <w:rFonts w:ascii="Times New Roman" w:hAnsi="Times New Roman" w:cs="Times New Roman"/>
        </w:rPr>
        <w:t xml:space="preserve"> (FAB)</w:t>
      </w:r>
      <w:r w:rsidR="007111A5" w:rsidRPr="001143B1">
        <w:rPr>
          <w:rFonts w:ascii="Times New Roman" w:hAnsi="Times New Roman" w:cs="Times New Roman"/>
        </w:rPr>
        <w:t>, ce qui fait du Panama notre sixième client en Amérique latine</w:t>
      </w:r>
      <w:r w:rsidRPr="001143B1">
        <w:rPr>
          <w:rFonts w:ascii="Times New Roman" w:hAnsi="Times New Roman" w:cs="Times New Roman"/>
        </w:rPr>
        <w:t>.</w:t>
      </w:r>
      <w:r w:rsidR="007111A5" w:rsidRPr="001143B1">
        <w:rPr>
          <w:rFonts w:ascii="Times New Roman" w:hAnsi="Times New Roman" w:cs="Times New Roman"/>
        </w:rPr>
        <w:t xml:space="preserve"> Ce bon résultat reste en retrait de 8,3 % de celui enregistré en 2015. Il convient, comme chaque</w:t>
      </w:r>
      <w:r w:rsidR="00D21EFC">
        <w:rPr>
          <w:rFonts w:ascii="Times New Roman" w:hAnsi="Times New Roman" w:cs="Times New Roman"/>
        </w:rPr>
        <w:t xml:space="preserve"> année</w:t>
      </w:r>
      <w:r w:rsidR="007111A5" w:rsidRPr="001143B1">
        <w:rPr>
          <w:rFonts w:ascii="Times New Roman" w:hAnsi="Times New Roman" w:cs="Times New Roman"/>
        </w:rPr>
        <w:t>, de distinguer, dans cette performance, la part attribuable au marché panaméen de celle qui relève de la Zone libre de Colon (ZLC), 2</w:t>
      </w:r>
      <w:r w:rsidR="007111A5" w:rsidRPr="001143B1">
        <w:rPr>
          <w:rFonts w:ascii="Times New Roman" w:hAnsi="Times New Roman" w:cs="Times New Roman"/>
          <w:vertAlign w:val="superscript"/>
        </w:rPr>
        <w:t>ème</w:t>
      </w:r>
      <w:r w:rsidR="007111A5" w:rsidRPr="001143B1">
        <w:rPr>
          <w:rFonts w:ascii="Times New Roman" w:hAnsi="Times New Roman" w:cs="Times New Roman"/>
        </w:rPr>
        <w:t xml:space="preserve"> zone de réexportation au monde.</w:t>
      </w:r>
    </w:p>
    <w:p w14:paraId="5574BF12" w14:textId="77777777" w:rsidR="007111A5" w:rsidRPr="00CF1615" w:rsidRDefault="007111A5" w:rsidP="001143B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CF1615">
        <w:rPr>
          <w:rFonts w:ascii="Times New Roman" w:hAnsi="Times New Roman" w:cs="Times New Roman"/>
          <w:b/>
          <w:u w:val="single"/>
        </w:rPr>
        <w:t>Le marché domestique apporte une contribution particulièrement solide.</w:t>
      </w:r>
    </w:p>
    <w:p w14:paraId="7AD2F020" w14:textId="246A7CD6" w:rsidR="00E14C28" w:rsidRPr="001143B1" w:rsidRDefault="00555C89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>C’est parmi le groupe des « </w:t>
      </w:r>
      <w:r w:rsidRPr="0086297A">
        <w:rPr>
          <w:rFonts w:ascii="Times New Roman" w:hAnsi="Times New Roman" w:cs="Times New Roman"/>
          <w:b/>
        </w:rPr>
        <w:t>équipements mécaniques, matériel électrique, électronique et informatique</w:t>
      </w:r>
      <w:r w:rsidRPr="001143B1">
        <w:rPr>
          <w:rFonts w:ascii="Times New Roman" w:hAnsi="Times New Roman" w:cs="Times New Roman"/>
        </w:rPr>
        <w:t> » qu’il faut rechercher la cause principale de la hausse d’ensemble (+177 %, 74,5 M EUR). Ce type de biens ne se destine généralement qu’au marché local. En son sein, ce sont les « </w:t>
      </w:r>
      <w:r w:rsidRPr="0086297A">
        <w:rPr>
          <w:rFonts w:ascii="Times New Roman" w:hAnsi="Times New Roman" w:cs="Times New Roman"/>
          <w:b/>
        </w:rPr>
        <w:t>moteurs et turbines, à l’exclusion des moteurs pour avions, automobiles et motocycles</w:t>
      </w:r>
      <w:r w:rsidRPr="001143B1">
        <w:rPr>
          <w:rFonts w:ascii="Times New Roman" w:hAnsi="Times New Roman" w:cs="Times New Roman"/>
        </w:rPr>
        <w:t xml:space="preserve"> » qui justifient une bonne partie de la progression, partant de montants négligeables pour atteindre 31,9 M EUR. </w:t>
      </w:r>
      <w:r w:rsidR="00292C76" w:rsidRPr="001143B1">
        <w:rPr>
          <w:rFonts w:ascii="Times New Roman" w:hAnsi="Times New Roman" w:cs="Times New Roman"/>
        </w:rPr>
        <w:t xml:space="preserve">La raison en est la livraison des </w:t>
      </w:r>
      <w:r w:rsidR="00F62D71" w:rsidRPr="001143B1">
        <w:rPr>
          <w:rFonts w:ascii="Times New Roman" w:hAnsi="Times New Roman" w:cs="Times New Roman"/>
        </w:rPr>
        <w:t xml:space="preserve">trois </w:t>
      </w:r>
      <w:r w:rsidR="00292C76" w:rsidRPr="001143B1">
        <w:rPr>
          <w:rFonts w:ascii="Times New Roman" w:hAnsi="Times New Roman" w:cs="Times New Roman"/>
        </w:rPr>
        <w:t>turbines</w:t>
      </w:r>
      <w:r w:rsidR="00F62D71" w:rsidRPr="001143B1">
        <w:rPr>
          <w:rFonts w:ascii="Times New Roman" w:hAnsi="Times New Roman" w:cs="Times New Roman"/>
        </w:rPr>
        <w:t xml:space="preserve"> de modèle « 6F » par l’usine de Belfort de General Electric</w:t>
      </w:r>
      <w:r w:rsidR="008D2C5F">
        <w:rPr>
          <w:rFonts w:ascii="Times New Roman" w:hAnsi="Times New Roman" w:cs="Times New Roman"/>
        </w:rPr>
        <w:t xml:space="preserve"> (GE)</w:t>
      </w:r>
      <w:r w:rsidR="00F62D71" w:rsidRPr="001143B1">
        <w:rPr>
          <w:rFonts w:ascii="Times New Roman" w:hAnsi="Times New Roman" w:cs="Times New Roman"/>
        </w:rPr>
        <w:t xml:space="preserve">, en direction du chantier de centrale à gaz d’AES, côté Caraïbes. D’autres </w:t>
      </w:r>
      <w:r w:rsidR="0086297A">
        <w:rPr>
          <w:rFonts w:ascii="Times New Roman" w:hAnsi="Times New Roman" w:cs="Times New Roman"/>
        </w:rPr>
        <w:t>augmentation</w:t>
      </w:r>
      <w:r w:rsidR="00F62D71" w:rsidRPr="001143B1">
        <w:rPr>
          <w:rFonts w:ascii="Times New Roman" w:hAnsi="Times New Roman" w:cs="Times New Roman"/>
        </w:rPr>
        <w:t>s sont susceptibles d’être expliqués égalem</w:t>
      </w:r>
      <w:r w:rsidR="0086297A">
        <w:rPr>
          <w:rFonts w:ascii="Times New Roman" w:hAnsi="Times New Roman" w:cs="Times New Roman"/>
        </w:rPr>
        <w:t>ent par l’activité de GE, mais aussi de Schneider Electric</w:t>
      </w:r>
      <w:r w:rsidR="00F62D71" w:rsidRPr="001143B1">
        <w:rPr>
          <w:rFonts w:ascii="Times New Roman" w:hAnsi="Times New Roman" w:cs="Times New Roman"/>
        </w:rPr>
        <w:t>. C’est ainsi le cas des « </w:t>
      </w:r>
      <w:r w:rsidR="00F62D71" w:rsidRPr="0086297A">
        <w:rPr>
          <w:rFonts w:ascii="Times New Roman" w:hAnsi="Times New Roman" w:cs="Times New Roman"/>
          <w:b/>
        </w:rPr>
        <w:t>autres matériels électriques</w:t>
      </w:r>
      <w:r w:rsidR="00E14C28" w:rsidRPr="001143B1">
        <w:rPr>
          <w:rFonts w:ascii="Times New Roman" w:hAnsi="Times New Roman" w:cs="Times New Roman"/>
        </w:rPr>
        <w:t> »</w:t>
      </w:r>
      <w:r w:rsidR="00F62D71" w:rsidRPr="001143B1">
        <w:rPr>
          <w:rFonts w:ascii="Times New Roman" w:hAnsi="Times New Roman" w:cs="Times New Roman"/>
        </w:rPr>
        <w:t xml:space="preserve"> (5 M EUR, multipliés par 5) et du « </w:t>
      </w:r>
      <w:r w:rsidR="00F62D71" w:rsidRPr="0086297A">
        <w:rPr>
          <w:rFonts w:ascii="Times New Roman" w:hAnsi="Times New Roman" w:cs="Times New Roman"/>
          <w:b/>
        </w:rPr>
        <w:t>matériel de distribution et de commande électrique</w:t>
      </w:r>
      <w:r w:rsidR="00F62D71" w:rsidRPr="001143B1">
        <w:rPr>
          <w:rFonts w:ascii="Times New Roman" w:hAnsi="Times New Roman" w:cs="Times New Roman"/>
        </w:rPr>
        <w:t> » (+338 %, 5 M EUR).</w:t>
      </w:r>
      <w:r w:rsidR="00E14C28" w:rsidRPr="001143B1">
        <w:rPr>
          <w:rFonts w:ascii="Times New Roman" w:hAnsi="Times New Roman" w:cs="Times New Roman"/>
        </w:rPr>
        <w:t xml:space="preserve"> La montée en régime du chantier de la ligne 2 du métro de la capitale aura probablement joué un rôle dans la progression de certaines lignes du même groupe</w:t>
      </w:r>
      <w:r w:rsidR="004C2B54">
        <w:rPr>
          <w:rFonts w:ascii="Times New Roman" w:hAnsi="Times New Roman" w:cs="Times New Roman"/>
        </w:rPr>
        <w:t>, grâce au dispositif d’alimentation électrique des trains</w:t>
      </w:r>
      <w:r w:rsidR="00E14C28" w:rsidRPr="001143B1">
        <w:rPr>
          <w:rFonts w:ascii="Times New Roman" w:hAnsi="Times New Roman" w:cs="Times New Roman"/>
        </w:rPr>
        <w:t>. La fourniture du matériel de signalisation par Thales peut avoir un rôle dans la hausse des « </w:t>
      </w:r>
      <w:r w:rsidR="00E14C28" w:rsidRPr="0086297A">
        <w:rPr>
          <w:rFonts w:ascii="Times New Roman" w:hAnsi="Times New Roman" w:cs="Times New Roman"/>
          <w:b/>
        </w:rPr>
        <w:t>équipements de communication</w:t>
      </w:r>
      <w:r w:rsidR="00E14C28" w:rsidRPr="001143B1">
        <w:rPr>
          <w:rFonts w:ascii="Times New Roman" w:hAnsi="Times New Roman" w:cs="Times New Roman"/>
        </w:rPr>
        <w:t> » (3,9 M EUR, +12,2 %).</w:t>
      </w:r>
      <w:r w:rsidR="003779A1" w:rsidRPr="001143B1">
        <w:rPr>
          <w:rFonts w:ascii="Times New Roman" w:hAnsi="Times New Roman" w:cs="Times New Roman"/>
        </w:rPr>
        <w:t xml:space="preserve"> Le terrassement de la ligne 2, de même que l’entrée dans sa phase finale du très complexe chantier du 3</w:t>
      </w:r>
      <w:r w:rsidR="003779A1" w:rsidRPr="001143B1">
        <w:rPr>
          <w:rFonts w:ascii="Times New Roman" w:hAnsi="Times New Roman" w:cs="Times New Roman"/>
          <w:vertAlign w:val="superscript"/>
        </w:rPr>
        <w:t>ème</w:t>
      </w:r>
      <w:r w:rsidR="003779A1" w:rsidRPr="001143B1">
        <w:rPr>
          <w:rFonts w:ascii="Times New Roman" w:hAnsi="Times New Roman" w:cs="Times New Roman"/>
        </w:rPr>
        <w:t xml:space="preserve"> pont sur le Canal par Vinci, sont des explications crédibles à la progression des « </w:t>
      </w:r>
      <w:r w:rsidR="003779A1" w:rsidRPr="0086297A">
        <w:rPr>
          <w:rFonts w:ascii="Times New Roman" w:hAnsi="Times New Roman" w:cs="Times New Roman"/>
          <w:b/>
        </w:rPr>
        <w:t>machines pour l’extraction et la construction</w:t>
      </w:r>
      <w:r w:rsidR="003779A1" w:rsidRPr="001143B1">
        <w:rPr>
          <w:rFonts w:ascii="Times New Roman" w:hAnsi="Times New Roman" w:cs="Times New Roman"/>
        </w:rPr>
        <w:t> » (8,4 M EUR, +25,6 %) et du « matériel de levage et de manutention » (4 M EUR, +24,9 %).</w:t>
      </w:r>
    </w:p>
    <w:p w14:paraId="0952EC9F" w14:textId="77777777" w:rsidR="005209DD" w:rsidRPr="001143B1" w:rsidRDefault="005209DD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>Les données des douanes panaméennes situent les importations venant de France et destinées au marché local à un niveau historiquement élevé de 165,4 M USD. Sa hausse de 20,4 % par rapport à 2016 ne peut être attribuée au seul effet-change, qui ne s’est pas fait ressentir sur l’ensemble de l’année et dans des proportions inférieures. Les chiffres locaux enseignent par exemple que</w:t>
      </w:r>
      <w:r w:rsidR="00DF5201" w:rsidRPr="001143B1">
        <w:rPr>
          <w:rFonts w:ascii="Times New Roman" w:hAnsi="Times New Roman" w:cs="Times New Roman"/>
        </w:rPr>
        <w:t xml:space="preserve"> les importations de médicaments français ont dépassé 33 M USD et que celles de vaccins ont avoisiné 5 M USD. Ce constat bat en brèche l’idée selon laquelle les importantes exportations de </w:t>
      </w:r>
      <w:r w:rsidR="00DF5201" w:rsidRPr="0086297A">
        <w:rPr>
          <w:rFonts w:ascii="Times New Roman" w:hAnsi="Times New Roman" w:cs="Times New Roman"/>
          <w:b/>
        </w:rPr>
        <w:t>produits pharmaceutiques</w:t>
      </w:r>
      <w:r w:rsidR="00DF5201" w:rsidRPr="001143B1">
        <w:rPr>
          <w:rFonts w:ascii="Times New Roman" w:hAnsi="Times New Roman" w:cs="Times New Roman"/>
        </w:rPr>
        <w:t>, 2</w:t>
      </w:r>
      <w:r w:rsidR="00DF5201" w:rsidRPr="001143B1">
        <w:rPr>
          <w:rFonts w:ascii="Times New Roman" w:hAnsi="Times New Roman" w:cs="Times New Roman"/>
          <w:vertAlign w:val="superscript"/>
        </w:rPr>
        <w:t>ème</w:t>
      </w:r>
      <w:r w:rsidR="00DF5201" w:rsidRPr="001143B1">
        <w:rPr>
          <w:rFonts w:ascii="Times New Roman" w:hAnsi="Times New Roman" w:cs="Times New Roman"/>
        </w:rPr>
        <w:t xml:space="preserve"> poste habituel (51,6 M EUR, -3 % selon les douanes françaises) sont vouées pour l’essentiel à la réexportation. </w:t>
      </w:r>
    </w:p>
    <w:p w14:paraId="4D4C3FF1" w14:textId="77777777" w:rsidR="003779A1" w:rsidRPr="001143B1" w:rsidRDefault="003779A1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lastRenderedPageBreak/>
        <w:t>Les satisfactions plus isolées du commerce extérieur au Panama en 2017 portent sur la bonne tenue, constamment observée ces dernières années, des « </w:t>
      </w:r>
      <w:r w:rsidRPr="0086297A">
        <w:rPr>
          <w:rFonts w:ascii="Times New Roman" w:hAnsi="Times New Roman" w:cs="Times New Roman"/>
          <w:b/>
        </w:rPr>
        <w:t>vins de raisin</w:t>
      </w:r>
      <w:r w:rsidRPr="001143B1">
        <w:rPr>
          <w:rFonts w:ascii="Times New Roman" w:hAnsi="Times New Roman" w:cs="Times New Roman"/>
        </w:rPr>
        <w:t> » (6,8 M EUR</w:t>
      </w:r>
      <w:r w:rsidR="002F5D65" w:rsidRPr="001143B1">
        <w:rPr>
          <w:rFonts w:ascii="Times New Roman" w:hAnsi="Times New Roman" w:cs="Times New Roman"/>
        </w:rPr>
        <w:t>, +9,3 %) et des « </w:t>
      </w:r>
      <w:r w:rsidR="002F5D65" w:rsidRPr="0086297A">
        <w:rPr>
          <w:rFonts w:ascii="Times New Roman" w:hAnsi="Times New Roman" w:cs="Times New Roman"/>
          <w:b/>
        </w:rPr>
        <w:t>articles de voyage, de maroquinerie, de sellerie et de bourrellerie </w:t>
      </w:r>
      <w:r w:rsidR="002F5D65" w:rsidRPr="001143B1">
        <w:rPr>
          <w:rFonts w:ascii="Times New Roman" w:hAnsi="Times New Roman" w:cs="Times New Roman"/>
        </w:rPr>
        <w:t>» (4,9 M EUR, +25,6 %).</w:t>
      </w:r>
      <w:r w:rsidR="00927C8F" w:rsidRPr="001143B1">
        <w:rPr>
          <w:rFonts w:ascii="Times New Roman" w:hAnsi="Times New Roman" w:cs="Times New Roman"/>
        </w:rPr>
        <w:t xml:space="preserve"> Concernant ces derniers, l’existence de boutiques des grandes marques de luxe françaises (Louis Vuitton, Chanel, Hermès) sont un motif évident.</w:t>
      </w:r>
    </w:p>
    <w:p w14:paraId="013DD287" w14:textId="77777777" w:rsidR="00D83044" w:rsidRPr="001143B1" w:rsidRDefault="00D83044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 xml:space="preserve">Au chapitre des contreperformances ponctuelles, </w:t>
      </w:r>
      <w:r w:rsidR="00244A17" w:rsidRPr="001143B1">
        <w:rPr>
          <w:rFonts w:ascii="Times New Roman" w:hAnsi="Times New Roman" w:cs="Times New Roman"/>
        </w:rPr>
        <w:t>le recul de 56,7 % des « </w:t>
      </w:r>
      <w:r w:rsidR="00244A17" w:rsidRPr="0086297A">
        <w:rPr>
          <w:rFonts w:ascii="Times New Roman" w:hAnsi="Times New Roman" w:cs="Times New Roman"/>
          <w:b/>
        </w:rPr>
        <w:t>navires et structures flottantes </w:t>
      </w:r>
      <w:r w:rsidR="00244A17" w:rsidRPr="001143B1">
        <w:rPr>
          <w:rFonts w:ascii="Times New Roman" w:hAnsi="Times New Roman" w:cs="Times New Roman"/>
        </w:rPr>
        <w:t>» (4,9 M EUR) et de 29,6 % des « </w:t>
      </w:r>
      <w:r w:rsidR="00244A17" w:rsidRPr="0086297A">
        <w:rPr>
          <w:rFonts w:ascii="Times New Roman" w:hAnsi="Times New Roman" w:cs="Times New Roman"/>
          <w:b/>
        </w:rPr>
        <w:t>bateaux de plaisance</w:t>
      </w:r>
      <w:r w:rsidR="00244A17" w:rsidRPr="001143B1">
        <w:rPr>
          <w:rFonts w:ascii="Times New Roman" w:hAnsi="Times New Roman" w:cs="Times New Roman"/>
        </w:rPr>
        <w:t xml:space="preserve"> » (4,1 M EUR) rappelle la grande volatilité de ces lignes, qui ont par le passé valu à nos exportations de dépasser occasionnellement le milliard d’euros, bénéficiant de l’enregistrement de navires </w:t>
      </w:r>
      <w:r w:rsidR="0086297A">
        <w:rPr>
          <w:rFonts w:ascii="Times New Roman" w:hAnsi="Times New Roman" w:cs="Times New Roman"/>
        </w:rPr>
        <w:t>de grande dimension</w:t>
      </w:r>
      <w:r w:rsidR="00244A17" w:rsidRPr="001143B1">
        <w:rPr>
          <w:rFonts w:ascii="Times New Roman" w:hAnsi="Times New Roman" w:cs="Times New Roman"/>
        </w:rPr>
        <w:t xml:space="preserve"> sous le pavillon panaméen. Si les bateaux sont à l’origine</w:t>
      </w:r>
      <w:r w:rsidR="008D00A3" w:rsidRPr="001143B1">
        <w:rPr>
          <w:rFonts w:ascii="Times New Roman" w:hAnsi="Times New Roman" w:cs="Times New Roman"/>
        </w:rPr>
        <w:t xml:space="preserve"> d’une baisse générale des « </w:t>
      </w:r>
      <w:r w:rsidR="008D00A3" w:rsidRPr="0086297A">
        <w:rPr>
          <w:rFonts w:ascii="Times New Roman" w:hAnsi="Times New Roman" w:cs="Times New Roman"/>
          <w:b/>
        </w:rPr>
        <w:t>matériels de transport</w:t>
      </w:r>
      <w:r w:rsidR="008D00A3" w:rsidRPr="001143B1">
        <w:rPr>
          <w:rFonts w:ascii="Times New Roman" w:hAnsi="Times New Roman" w:cs="Times New Roman"/>
        </w:rPr>
        <w:t> » (-30,3 %, 13,8 M EUR), cette donnée n’occulte pas la progression intéressante des « </w:t>
      </w:r>
      <w:r w:rsidR="008D00A3" w:rsidRPr="0086297A">
        <w:rPr>
          <w:rFonts w:ascii="Times New Roman" w:hAnsi="Times New Roman" w:cs="Times New Roman"/>
          <w:b/>
        </w:rPr>
        <w:t>véhicules automobiles</w:t>
      </w:r>
      <w:r w:rsidR="008D00A3" w:rsidRPr="001143B1">
        <w:rPr>
          <w:rFonts w:ascii="Times New Roman" w:hAnsi="Times New Roman" w:cs="Times New Roman"/>
        </w:rPr>
        <w:t> » (3 M EUR, +31,8 %).</w:t>
      </w:r>
      <w:r w:rsidR="00C120EF" w:rsidRPr="001143B1">
        <w:rPr>
          <w:rFonts w:ascii="Times New Roman" w:hAnsi="Times New Roman" w:cs="Times New Roman"/>
        </w:rPr>
        <w:t xml:space="preserve"> Les « </w:t>
      </w:r>
      <w:r w:rsidR="00C120EF" w:rsidRPr="0086297A">
        <w:rPr>
          <w:rFonts w:ascii="Times New Roman" w:hAnsi="Times New Roman" w:cs="Times New Roman"/>
          <w:b/>
        </w:rPr>
        <w:t xml:space="preserve">pneumatiques ; rechapage et </w:t>
      </w:r>
      <w:proofErr w:type="spellStart"/>
      <w:r w:rsidR="00C120EF" w:rsidRPr="0086297A">
        <w:rPr>
          <w:rFonts w:ascii="Times New Roman" w:hAnsi="Times New Roman" w:cs="Times New Roman"/>
          <w:b/>
        </w:rPr>
        <w:t>resculptage</w:t>
      </w:r>
      <w:proofErr w:type="spellEnd"/>
      <w:r w:rsidR="00C120EF" w:rsidRPr="0086297A">
        <w:rPr>
          <w:rFonts w:ascii="Times New Roman" w:hAnsi="Times New Roman" w:cs="Times New Roman"/>
          <w:b/>
        </w:rPr>
        <w:t xml:space="preserve"> de pneumatiques</w:t>
      </w:r>
      <w:r w:rsidR="00C120EF" w:rsidRPr="001143B1">
        <w:rPr>
          <w:rFonts w:ascii="Times New Roman" w:hAnsi="Times New Roman" w:cs="Times New Roman"/>
        </w:rPr>
        <w:t xml:space="preserve"> » s’effondrent de 80,5 %, pour atteindre 1,3 M EUR. Il est difficile d’en dégager une responsabilité particulière du marché domestique, les pneus pouvant être réexportés. </w:t>
      </w:r>
    </w:p>
    <w:p w14:paraId="3BC22D94" w14:textId="77777777" w:rsidR="00783F98" w:rsidRDefault="00783F98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>La baisse de 10,7 % des « </w:t>
      </w:r>
      <w:r w:rsidRPr="0086297A">
        <w:rPr>
          <w:rFonts w:ascii="Times New Roman" w:hAnsi="Times New Roman" w:cs="Times New Roman"/>
          <w:b/>
        </w:rPr>
        <w:t>produits laitiers et fromages</w:t>
      </w:r>
      <w:r w:rsidRPr="001143B1">
        <w:rPr>
          <w:rFonts w:ascii="Times New Roman" w:hAnsi="Times New Roman" w:cs="Times New Roman"/>
        </w:rPr>
        <w:t xml:space="preserve"> » (1,6 M EUR) déçoit, deux ans après en avoir débloqué les contraintes à l’importation. L’implantation d’une filiale régionale de </w:t>
      </w:r>
      <w:proofErr w:type="spellStart"/>
      <w:r w:rsidRPr="001143B1">
        <w:rPr>
          <w:rFonts w:ascii="Times New Roman" w:hAnsi="Times New Roman" w:cs="Times New Roman"/>
        </w:rPr>
        <w:t>Lactalis</w:t>
      </w:r>
      <w:proofErr w:type="spellEnd"/>
      <w:r w:rsidRPr="001143B1">
        <w:rPr>
          <w:rFonts w:ascii="Times New Roman" w:hAnsi="Times New Roman" w:cs="Times New Roman"/>
        </w:rPr>
        <w:t xml:space="preserve"> au Panama ne semble pas avoir répondu aux attentes, le groupe important l’essentiel de ses produits depuis ses usines étatsuniennes</w:t>
      </w:r>
      <w:r w:rsidR="00CF1615">
        <w:rPr>
          <w:rFonts w:ascii="Times New Roman" w:hAnsi="Times New Roman" w:cs="Times New Roman"/>
        </w:rPr>
        <w:t xml:space="preserve"> ou activant prioritairement les canaux d’approvisionnement de </w:t>
      </w:r>
      <w:proofErr w:type="spellStart"/>
      <w:r w:rsidR="00CF1615">
        <w:rPr>
          <w:rFonts w:ascii="Times New Roman" w:hAnsi="Times New Roman" w:cs="Times New Roman"/>
        </w:rPr>
        <w:t>Parmalat</w:t>
      </w:r>
      <w:proofErr w:type="spellEnd"/>
      <w:r w:rsidRPr="001143B1">
        <w:rPr>
          <w:rFonts w:ascii="Times New Roman" w:hAnsi="Times New Roman" w:cs="Times New Roman"/>
        </w:rPr>
        <w:t xml:space="preserve">. </w:t>
      </w:r>
      <w:r w:rsidR="00977D4B" w:rsidRPr="001143B1">
        <w:rPr>
          <w:rFonts w:ascii="Times New Roman" w:hAnsi="Times New Roman" w:cs="Times New Roman"/>
        </w:rPr>
        <w:t>Les producteurs de plus petite taille n’ont pas encore porté leur intérêt sur le Panama.</w:t>
      </w:r>
    </w:p>
    <w:p w14:paraId="235B6AE0" w14:textId="6FDDB4D0" w:rsidR="004E3673" w:rsidRPr="001143B1" w:rsidRDefault="004E3673" w:rsidP="001143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les données panaméennes, ce sont 43,9 % des 376 M USD d’importations panaméennes depuis la France qui se sont dirigées au marché domestique, très au-delà des 25 à 30 % qui en sont l’estimation habituelle. Appliquée aux données des douanes françaises, cette proportion amène à 146 M EUR ce flux particulier, ce qui placerait le marché panaméen au 12</w:t>
      </w:r>
      <w:r w:rsidRPr="004E3673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rang parmi nos exportations en Amérique latine et de loin </w:t>
      </w:r>
      <w:r w:rsidR="00CF1615"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</w:rPr>
        <w:t xml:space="preserve"> 1</w:t>
      </w:r>
      <w:r w:rsidRPr="004E3673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</w:t>
      </w:r>
      <w:r w:rsidR="00C01B45">
        <w:rPr>
          <w:rFonts w:ascii="Times New Roman" w:hAnsi="Times New Roman" w:cs="Times New Roman"/>
        </w:rPr>
        <w:t xml:space="preserve">rang </w:t>
      </w:r>
      <w:r>
        <w:rPr>
          <w:rFonts w:ascii="Times New Roman" w:hAnsi="Times New Roman" w:cs="Times New Roman"/>
        </w:rPr>
        <w:t>en Amérique centrale.</w:t>
      </w:r>
      <w:r w:rsidR="00DF7FD1">
        <w:rPr>
          <w:rFonts w:ascii="Times New Roman" w:hAnsi="Times New Roman" w:cs="Times New Roman"/>
        </w:rPr>
        <w:t xml:space="preserve"> Il resterait notre 4</w:t>
      </w:r>
      <w:r w:rsidR="00DF7FD1" w:rsidRPr="00DF7FD1">
        <w:rPr>
          <w:rFonts w:ascii="Times New Roman" w:hAnsi="Times New Roman" w:cs="Times New Roman"/>
          <w:vertAlign w:val="superscript"/>
        </w:rPr>
        <w:t>ème</w:t>
      </w:r>
      <w:r w:rsidR="00DF7FD1">
        <w:rPr>
          <w:rFonts w:ascii="Times New Roman" w:hAnsi="Times New Roman" w:cs="Times New Roman"/>
        </w:rPr>
        <w:t xml:space="preserve"> excédent commercial du continent (133 M EUR).</w:t>
      </w:r>
    </w:p>
    <w:p w14:paraId="051FC5BB" w14:textId="4BA9D55D" w:rsidR="00141CD7" w:rsidRPr="00CF1615" w:rsidRDefault="00141CD7" w:rsidP="001143B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CF1615">
        <w:rPr>
          <w:rFonts w:ascii="Times New Roman" w:hAnsi="Times New Roman" w:cs="Times New Roman"/>
          <w:b/>
          <w:u w:val="single"/>
        </w:rPr>
        <w:t xml:space="preserve">Les produits-phares de la réexportation poursuivent leur progression, en dépit de débouchés supposés </w:t>
      </w:r>
      <w:r w:rsidR="00840FA9">
        <w:rPr>
          <w:rFonts w:ascii="Times New Roman" w:hAnsi="Times New Roman" w:cs="Times New Roman"/>
          <w:b/>
          <w:u w:val="single"/>
        </w:rPr>
        <w:t>en crise</w:t>
      </w:r>
      <w:r w:rsidRPr="00CF1615">
        <w:rPr>
          <w:rFonts w:ascii="Times New Roman" w:hAnsi="Times New Roman" w:cs="Times New Roman"/>
          <w:b/>
          <w:u w:val="single"/>
        </w:rPr>
        <w:t xml:space="preserve">. </w:t>
      </w:r>
    </w:p>
    <w:p w14:paraId="2EF14CCF" w14:textId="77777777" w:rsidR="008F256B" w:rsidRDefault="008F256B" w:rsidP="001143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211 M USD d’exportations vers la ZLC selon les douanes panaméennes, une progression de 0,4 % est enregistrée, à mettre face à la stagnation de l’activité de la zone. </w:t>
      </w:r>
    </w:p>
    <w:p w14:paraId="7A1C6BAD" w14:textId="77777777" w:rsidR="00F03DCB" w:rsidRPr="001143B1" w:rsidRDefault="008F256B" w:rsidP="001143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bonne tenue d</w:t>
      </w:r>
      <w:r w:rsidR="00AE7BC9" w:rsidRPr="001143B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principaux</w:t>
      </w:r>
      <w:r w:rsidR="00AE7BC9" w:rsidRPr="001143B1">
        <w:rPr>
          <w:rFonts w:ascii="Times New Roman" w:hAnsi="Times New Roman" w:cs="Times New Roman"/>
        </w:rPr>
        <w:t xml:space="preserve"> produits</w:t>
      </w:r>
      <w:r w:rsidR="00017D2A">
        <w:rPr>
          <w:rFonts w:ascii="Times New Roman" w:hAnsi="Times New Roman" w:cs="Times New Roman"/>
        </w:rPr>
        <w:t xml:space="preserve"> exportés vers cette zone</w:t>
      </w:r>
      <w:r w:rsidR="00AE7BC9" w:rsidRPr="001143B1">
        <w:rPr>
          <w:rFonts w:ascii="Times New Roman" w:hAnsi="Times New Roman" w:cs="Times New Roman"/>
        </w:rPr>
        <w:t xml:space="preserve"> est dé</w:t>
      </w:r>
      <w:r w:rsidR="00017D2A">
        <w:rPr>
          <w:rFonts w:ascii="Times New Roman" w:hAnsi="Times New Roman" w:cs="Times New Roman"/>
        </w:rPr>
        <w:t>-</w:t>
      </w:r>
      <w:r w:rsidR="00AE7BC9" w:rsidRPr="001143B1">
        <w:rPr>
          <w:rFonts w:ascii="Times New Roman" w:hAnsi="Times New Roman" w:cs="Times New Roman"/>
        </w:rPr>
        <w:t>corrélée de la santé du marché vénézuélien</w:t>
      </w:r>
      <w:r w:rsidR="00664942" w:rsidRPr="001143B1">
        <w:rPr>
          <w:rFonts w:ascii="Times New Roman" w:hAnsi="Times New Roman" w:cs="Times New Roman"/>
        </w:rPr>
        <w:t xml:space="preserve"> (-73,3 % en direct)</w:t>
      </w:r>
      <w:r w:rsidR="00AE7BC9" w:rsidRPr="001143B1">
        <w:rPr>
          <w:rFonts w:ascii="Times New Roman" w:hAnsi="Times New Roman" w:cs="Times New Roman"/>
        </w:rPr>
        <w:t xml:space="preserve">, pourtant débouché historiquement majeur de la ZLC. Le solide résultat d’ensemble suggère par contraste une dynamique </w:t>
      </w:r>
      <w:r w:rsidR="00F03DCB" w:rsidRPr="001143B1">
        <w:rPr>
          <w:rFonts w:ascii="Times New Roman" w:hAnsi="Times New Roman" w:cs="Times New Roman"/>
        </w:rPr>
        <w:t>porteuse</w:t>
      </w:r>
      <w:r w:rsidR="00AE7BC9" w:rsidRPr="001143B1">
        <w:rPr>
          <w:rFonts w:ascii="Times New Roman" w:hAnsi="Times New Roman" w:cs="Times New Roman"/>
        </w:rPr>
        <w:t xml:space="preserve"> vers les marchés caribéens et centraméricains. </w:t>
      </w:r>
    </w:p>
    <w:p w14:paraId="2F5BBAD1" w14:textId="56E76B73" w:rsidR="00F03DCB" w:rsidRPr="001143B1" w:rsidRDefault="00F03DCB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>Premier bien français exporté au Panama, les « </w:t>
      </w:r>
      <w:r w:rsidRPr="00CF1615">
        <w:rPr>
          <w:rFonts w:ascii="Times New Roman" w:hAnsi="Times New Roman" w:cs="Times New Roman"/>
          <w:b/>
        </w:rPr>
        <w:t>parfums et produits pour la toilette</w:t>
      </w:r>
      <w:r w:rsidRPr="001143B1">
        <w:rPr>
          <w:rFonts w:ascii="Times New Roman" w:hAnsi="Times New Roman" w:cs="Times New Roman"/>
        </w:rPr>
        <w:t> » connaissent une nouvelle progression, de 6,2 %</w:t>
      </w:r>
      <w:r w:rsidR="008A0142">
        <w:rPr>
          <w:rFonts w:ascii="Times New Roman" w:hAnsi="Times New Roman" w:cs="Times New Roman"/>
        </w:rPr>
        <w:t>, pour s’établir à 92,8 M EUR. La principale explication en est la présence au Panama du siège régional de L’Oréal qui exploite la plateforme l</w:t>
      </w:r>
      <w:r w:rsidR="008F256B">
        <w:rPr>
          <w:rFonts w:ascii="Times New Roman" w:hAnsi="Times New Roman" w:cs="Times New Roman"/>
        </w:rPr>
        <w:t xml:space="preserve">ogistique de Colon. Par ailleurs, </w:t>
      </w:r>
      <w:proofErr w:type="spellStart"/>
      <w:r w:rsidR="008F256B">
        <w:rPr>
          <w:rFonts w:ascii="Times New Roman" w:hAnsi="Times New Roman" w:cs="Times New Roman"/>
        </w:rPr>
        <w:t>Bioderma</w:t>
      </w:r>
      <w:proofErr w:type="spellEnd"/>
      <w:r w:rsidR="008F256B">
        <w:rPr>
          <w:rFonts w:ascii="Times New Roman" w:hAnsi="Times New Roman" w:cs="Times New Roman"/>
        </w:rPr>
        <w:t xml:space="preserve"> et l’Espagnol </w:t>
      </w:r>
      <w:proofErr w:type="spellStart"/>
      <w:r w:rsidR="008F256B">
        <w:rPr>
          <w:rFonts w:ascii="Times New Roman" w:hAnsi="Times New Roman" w:cs="Times New Roman"/>
        </w:rPr>
        <w:t>Puig</w:t>
      </w:r>
      <w:proofErr w:type="spellEnd"/>
      <w:r w:rsidR="008F256B">
        <w:rPr>
          <w:rFonts w:ascii="Times New Roman" w:hAnsi="Times New Roman" w:cs="Times New Roman"/>
        </w:rPr>
        <w:t xml:space="preserve">, qui produit en France, sont présents au Panama. </w:t>
      </w:r>
      <w:r w:rsidR="000B0CA8">
        <w:rPr>
          <w:rFonts w:ascii="Times New Roman" w:hAnsi="Times New Roman" w:cs="Times New Roman"/>
        </w:rPr>
        <w:t xml:space="preserve">Selon les douanes panaméennes, ce sont notamment 53,5 M USD de parfums, 22,2 M USD d’eaux de Cologne et 12,5 M USD de maquillages qui transitent par la ZLC pour être vendus dans la région. </w:t>
      </w:r>
    </w:p>
    <w:p w14:paraId="6D1ABE36" w14:textId="071203FB" w:rsidR="00225682" w:rsidRPr="001143B1" w:rsidRDefault="00DD2AA3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 xml:space="preserve">De façon tout aussi significative, les </w:t>
      </w:r>
      <w:r w:rsidRPr="00056E8C">
        <w:rPr>
          <w:rFonts w:ascii="Times New Roman" w:hAnsi="Times New Roman" w:cs="Times New Roman"/>
          <w:b/>
        </w:rPr>
        <w:t>boissons alcoolisées distillées</w:t>
      </w:r>
      <w:r w:rsidRPr="001143B1">
        <w:rPr>
          <w:rFonts w:ascii="Times New Roman" w:hAnsi="Times New Roman" w:cs="Times New Roman"/>
        </w:rPr>
        <w:t xml:space="preserve"> augmentent en valeur de 16,4 %, à 44,3 M EUR.</w:t>
      </w:r>
      <w:r w:rsidR="00056E8C">
        <w:rPr>
          <w:rFonts w:ascii="Times New Roman" w:hAnsi="Times New Roman" w:cs="Times New Roman"/>
        </w:rPr>
        <w:t xml:space="preserve"> A en croire les données panaméennes (</w:t>
      </w:r>
      <w:r w:rsidR="00B61EA8">
        <w:rPr>
          <w:rFonts w:ascii="Times New Roman" w:hAnsi="Times New Roman" w:cs="Times New Roman"/>
        </w:rPr>
        <w:t>53,5</w:t>
      </w:r>
      <w:r w:rsidR="00056E8C">
        <w:rPr>
          <w:rFonts w:ascii="Times New Roman" w:hAnsi="Times New Roman" w:cs="Times New Roman"/>
        </w:rPr>
        <w:t xml:space="preserve"> M USD vers</w:t>
      </w:r>
      <w:r w:rsidR="00B61EA8">
        <w:rPr>
          <w:rFonts w:ascii="Times New Roman" w:hAnsi="Times New Roman" w:cs="Times New Roman"/>
        </w:rPr>
        <w:t xml:space="preserve"> la ZLC</w:t>
      </w:r>
      <w:r w:rsidR="00056E8C">
        <w:rPr>
          <w:rFonts w:ascii="Times New Roman" w:hAnsi="Times New Roman" w:cs="Times New Roman"/>
        </w:rPr>
        <w:t xml:space="preserve">), </w:t>
      </w:r>
      <w:r w:rsidR="00B61EA8">
        <w:rPr>
          <w:rFonts w:ascii="Times New Roman" w:hAnsi="Times New Roman" w:cs="Times New Roman"/>
        </w:rPr>
        <w:t>la très grande majorité en est destinée à la réexportation.</w:t>
      </w:r>
      <w:r w:rsidRPr="001143B1">
        <w:rPr>
          <w:rFonts w:ascii="Times New Roman" w:hAnsi="Times New Roman" w:cs="Times New Roman"/>
        </w:rPr>
        <w:t xml:space="preserve"> </w:t>
      </w:r>
      <w:r w:rsidR="00225682" w:rsidRPr="001143B1">
        <w:rPr>
          <w:rFonts w:ascii="Times New Roman" w:hAnsi="Times New Roman" w:cs="Times New Roman"/>
        </w:rPr>
        <w:t>Le 3</w:t>
      </w:r>
      <w:r w:rsidR="00225682" w:rsidRPr="001143B1">
        <w:rPr>
          <w:rFonts w:ascii="Times New Roman" w:hAnsi="Times New Roman" w:cs="Times New Roman"/>
          <w:vertAlign w:val="superscript"/>
        </w:rPr>
        <w:t>ème</w:t>
      </w:r>
      <w:r w:rsidR="00225682" w:rsidRPr="001143B1">
        <w:rPr>
          <w:rFonts w:ascii="Times New Roman" w:hAnsi="Times New Roman" w:cs="Times New Roman"/>
        </w:rPr>
        <w:t xml:space="preserve"> groupe d’exportation vers la ZLC demeure les </w:t>
      </w:r>
      <w:r w:rsidR="00225682" w:rsidRPr="00056E8C">
        <w:rPr>
          <w:rFonts w:ascii="Times New Roman" w:hAnsi="Times New Roman" w:cs="Times New Roman"/>
          <w:b/>
        </w:rPr>
        <w:t>produits pharmaceutiques</w:t>
      </w:r>
      <w:r w:rsidR="00225682" w:rsidRPr="001143B1">
        <w:rPr>
          <w:rFonts w:ascii="Times New Roman" w:hAnsi="Times New Roman" w:cs="Times New Roman"/>
        </w:rPr>
        <w:t>, dont une part substantielle arrive à des fins de transit (</w:t>
      </w:r>
      <w:r w:rsidR="004D52B3">
        <w:rPr>
          <w:rFonts w:ascii="Times New Roman" w:hAnsi="Times New Roman" w:cs="Times New Roman"/>
        </w:rPr>
        <w:t>47 M USD</w:t>
      </w:r>
      <w:r w:rsidR="00225682" w:rsidRPr="001143B1">
        <w:rPr>
          <w:rFonts w:ascii="Times New Roman" w:hAnsi="Times New Roman" w:cs="Times New Roman"/>
        </w:rPr>
        <w:t xml:space="preserve"> selon les données de la ZLC).</w:t>
      </w:r>
    </w:p>
    <w:p w14:paraId="3600191A" w14:textId="77777777" w:rsidR="00225682" w:rsidRPr="001143B1" w:rsidRDefault="00225682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lastRenderedPageBreak/>
        <w:t xml:space="preserve">Cette bonne performance vers la ZLC se réalise alors que l’activité de celle-ci a </w:t>
      </w:r>
      <w:r w:rsidR="005E2832">
        <w:rPr>
          <w:rFonts w:ascii="Times New Roman" w:hAnsi="Times New Roman" w:cs="Times New Roman"/>
        </w:rPr>
        <w:t>stagné en</w:t>
      </w:r>
      <w:r w:rsidRPr="001143B1">
        <w:rPr>
          <w:rFonts w:ascii="Times New Roman" w:hAnsi="Times New Roman" w:cs="Times New Roman"/>
        </w:rPr>
        <w:t xml:space="preserve"> 2017, </w:t>
      </w:r>
      <w:r w:rsidR="005E2832">
        <w:rPr>
          <w:rFonts w:ascii="Times New Roman" w:hAnsi="Times New Roman" w:cs="Times New Roman"/>
        </w:rPr>
        <w:t>après 4 années de chute très sévère</w:t>
      </w:r>
      <w:r w:rsidRPr="001143B1">
        <w:rPr>
          <w:rFonts w:ascii="Times New Roman" w:hAnsi="Times New Roman" w:cs="Times New Roman"/>
        </w:rPr>
        <w:t xml:space="preserve">. Elle replace la France au </w:t>
      </w:r>
      <w:r w:rsidR="004D52B3">
        <w:rPr>
          <w:rFonts w:ascii="Times New Roman" w:hAnsi="Times New Roman" w:cs="Times New Roman"/>
        </w:rPr>
        <w:t>septième</w:t>
      </w:r>
      <w:r w:rsidRPr="001143B1">
        <w:rPr>
          <w:rFonts w:ascii="Times New Roman" w:hAnsi="Times New Roman" w:cs="Times New Roman"/>
        </w:rPr>
        <w:t xml:space="preserve"> rang parmi les fournisseurs de la ZLC</w:t>
      </w:r>
      <w:r w:rsidR="008F256B">
        <w:rPr>
          <w:rFonts w:ascii="Times New Roman" w:hAnsi="Times New Roman" w:cs="Times New Roman"/>
        </w:rPr>
        <w:t xml:space="preserve"> (2,29 % de part de marché)</w:t>
      </w:r>
      <w:r w:rsidRPr="001143B1">
        <w:rPr>
          <w:rFonts w:ascii="Times New Roman" w:hAnsi="Times New Roman" w:cs="Times New Roman"/>
        </w:rPr>
        <w:t xml:space="preserve">, et à la </w:t>
      </w:r>
      <w:r w:rsidR="004D52B3">
        <w:rPr>
          <w:rFonts w:ascii="Times New Roman" w:hAnsi="Times New Roman" w:cs="Times New Roman"/>
        </w:rPr>
        <w:t>première</w:t>
      </w:r>
      <w:r w:rsidRPr="001143B1">
        <w:rPr>
          <w:rFonts w:ascii="Times New Roman" w:hAnsi="Times New Roman" w:cs="Times New Roman"/>
        </w:rPr>
        <w:t xml:space="preserve"> place pour ce qui est des fournisseurs européens.</w:t>
      </w:r>
    </w:p>
    <w:p w14:paraId="3CCFBB1C" w14:textId="77777777" w:rsidR="00225682" w:rsidRPr="00B61EA8" w:rsidRDefault="00225682" w:rsidP="001143B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B61EA8">
        <w:rPr>
          <w:rFonts w:ascii="Times New Roman" w:hAnsi="Times New Roman" w:cs="Times New Roman"/>
          <w:b/>
          <w:u w:val="single"/>
        </w:rPr>
        <w:t>Nouvelle baisse des importations depuis le Panama.</w:t>
      </w:r>
    </w:p>
    <w:p w14:paraId="0849F1A6" w14:textId="52B0AA8A" w:rsidR="00716CB6" w:rsidRPr="001143B1" w:rsidRDefault="004F5B42" w:rsidP="001143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petit appareil productif panaméen</w:t>
      </w:r>
      <w:r w:rsidR="00225682" w:rsidRPr="001143B1">
        <w:rPr>
          <w:rFonts w:ascii="Times New Roman" w:hAnsi="Times New Roman" w:cs="Times New Roman"/>
        </w:rPr>
        <w:t xml:space="preserve"> </w:t>
      </w:r>
      <w:r w:rsidR="006A4DE3" w:rsidRPr="001143B1">
        <w:rPr>
          <w:rFonts w:ascii="Times New Roman" w:hAnsi="Times New Roman" w:cs="Times New Roman"/>
        </w:rPr>
        <w:t>voit une nouvelle fois ses exportations vers la France diminuer (-9 %), pour arriver à 12,9 M EUR.</w:t>
      </w:r>
      <w:r w:rsidR="00F03DCB" w:rsidRPr="001143B1">
        <w:rPr>
          <w:rFonts w:ascii="Times New Roman" w:hAnsi="Times New Roman" w:cs="Times New Roman"/>
        </w:rPr>
        <w:t xml:space="preserve"> </w:t>
      </w:r>
      <w:r w:rsidR="00716CB6" w:rsidRPr="001143B1">
        <w:rPr>
          <w:rFonts w:ascii="Times New Roman" w:hAnsi="Times New Roman" w:cs="Times New Roman"/>
        </w:rPr>
        <w:t>Les « </w:t>
      </w:r>
      <w:r w:rsidR="00716CB6" w:rsidRPr="00B61EA8">
        <w:rPr>
          <w:rFonts w:ascii="Times New Roman" w:hAnsi="Times New Roman" w:cs="Times New Roman"/>
          <w:b/>
        </w:rPr>
        <w:t>préparations et conserves à base de poisson et de produits de la pêche </w:t>
      </w:r>
      <w:r w:rsidR="00716CB6" w:rsidRPr="001143B1">
        <w:rPr>
          <w:rFonts w:ascii="Times New Roman" w:hAnsi="Times New Roman" w:cs="Times New Roman"/>
        </w:rPr>
        <w:t xml:space="preserve">» augmentent de 47,2 %, à 1,9 M EUR. Les autres produits panaméens traditionnels régressent, de 4,9 % pour les </w:t>
      </w:r>
      <w:r w:rsidR="00716CB6" w:rsidRPr="00B61EA8">
        <w:rPr>
          <w:rFonts w:ascii="Times New Roman" w:hAnsi="Times New Roman" w:cs="Times New Roman"/>
          <w:b/>
        </w:rPr>
        <w:t>fruits tropicaux et subtropicaux</w:t>
      </w:r>
      <w:r w:rsidR="00716CB6" w:rsidRPr="001143B1">
        <w:rPr>
          <w:rFonts w:ascii="Times New Roman" w:hAnsi="Times New Roman" w:cs="Times New Roman"/>
        </w:rPr>
        <w:t xml:space="preserve"> (862 K EUR), de 5,7 % pour les </w:t>
      </w:r>
      <w:r w:rsidR="00716CB6" w:rsidRPr="00B61EA8">
        <w:rPr>
          <w:rFonts w:ascii="Times New Roman" w:hAnsi="Times New Roman" w:cs="Times New Roman"/>
          <w:b/>
        </w:rPr>
        <w:t>boissons alcoolisées distillées</w:t>
      </w:r>
      <w:r w:rsidR="00716CB6" w:rsidRPr="001143B1">
        <w:rPr>
          <w:rFonts w:ascii="Times New Roman" w:hAnsi="Times New Roman" w:cs="Times New Roman"/>
        </w:rPr>
        <w:t xml:space="preserve"> (806 K EUR), de 48,3 % pour les </w:t>
      </w:r>
      <w:r w:rsidR="00716CB6" w:rsidRPr="00B61EA8">
        <w:rPr>
          <w:rFonts w:ascii="Times New Roman" w:hAnsi="Times New Roman" w:cs="Times New Roman"/>
          <w:b/>
        </w:rPr>
        <w:t>huiles et graisses</w:t>
      </w:r>
      <w:r w:rsidR="00716CB6" w:rsidRPr="001143B1">
        <w:rPr>
          <w:rFonts w:ascii="Times New Roman" w:hAnsi="Times New Roman" w:cs="Times New Roman"/>
        </w:rPr>
        <w:t xml:space="preserve"> (978 K EUR). </w:t>
      </w:r>
    </w:p>
    <w:p w14:paraId="17C823EE" w14:textId="77777777" w:rsidR="00A92D1D" w:rsidRDefault="006B600D" w:rsidP="001143B1">
      <w:pPr>
        <w:jc w:val="both"/>
        <w:rPr>
          <w:rFonts w:ascii="Times New Roman" w:hAnsi="Times New Roman" w:cs="Times New Roman"/>
        </w:rPr>
      </w:pPr>
      <w:r w:rsidRPr="001143B1">
        <w:rPr>
          <w:rFonts w:ascii="Times New Roman" w:hAnsi="Times New Roman" w:cs="Times New Roman"/>
        </w:rPr>
        <w:t xml:space="preserve">L’origine des </w:t>
      </w:r>
      <w:r w:rsidRPr="00B61EA8">
        <w:rPr>
          <w:rFonts w:ascii="Times New Roman" w:hAnsi="Times New Roman" w:cs="Times New Roman"/>
          <w:b/>
        </w:rPr>
        <w:t>chaussures</w:t>
      </w:r>
      <w:r w:rsidRPr="001143B1">
        <w:rPr>
          <w:rFonts w:ascii="Times New Roman" w:hAnsi="Times New Roman" w:cs="Times New Roman"/>
        </w:rPr>
        <w:t xml:space="preserve"> (1,6 M EUR,</w:t>
      </w:r>
      <w:r w:rsidR="00AE7BC9" w:rsidRPr="001143B1">
        <w:rPr>
          <w:rFonts w:ascii="Times New Roman" w:hAnsi="Times New Roman" w:cs="Times New Roman"/>
        </w:rPr>
        <w:t xml:space="preserve"> </w:t>
      </w:r>
      <w:r w:rsidRPr="001143B1">
        <w:rPr>
          <w:rFonts w:ascii="Times New Roman" w:hAnsi="Times New Roman" w:cs="Times New Roman"/>
        </w:rPr>
        <w:t xml:space="preserve">+36 %) et des </w:t>
      </w:r>
      <w:r w:rsidRPr="00B61EA8">
        <w:rPr>
          <w:rFonts w:ascii="Times New Roman" w:hAnsi="Times New Roman" w:cs="Times New Roman"/>
          <w:b/>
        </w:rPr>
        <w:t>préparations pharmaceutiques</w:t>
      </w:r>
      <w:r w:rsidRPr="001143B1">
        <w:rPr>
          <w:rFonts w:ascii="Times New Roman" w:hAnsi="Times New Roman" w:cs="Times New Roman"/>
        </w:rPr>
        <w:t xml:space="preserve"> (+275,5 %, 1,2 M EUR) est susceptible d’être étrangère au Panama, témoignant de réexportation. </w:t>
      </w:r>
    </w:p>
    <w:p w14:paraId="634DBF59" w14:textId="77777777" w:rsidR="00A92D1D" w:rsidRDefault="00A9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1" w:rightFromText="141" w:horzAnchor="margin" w:tblpY="653"/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782"/>
        <w:gridCol w:w="1782"/>
      </w:tblGrid>
      <w:tr w:rsidR="00A92D1D" w:rsidRPr="00A92D1D" w14:paraId="52ABCBF3" w14:textId="77777777" w:rsidTr="00F359AF">
        <w:trPr>
          <w:trHeight w:val="3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21F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9278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ZLC (9,21 Md USD importés en 2017)</w:t>
            </w:r>
          </w:p>
        </w:tc>
      </w:tr>
      <w:tr w:rsidR="00A92D1D" w:rsidRPr="00A92D1D" w14:paraId="1790A563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189F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275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DC0D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2017</w:t>
            </w:r>
          </w:p>
        </w:tc>
      </w:tr>
      <w:tr w:rsidR="00A92D1D" w:rsidRPr="00A92D1D" w14:paraId="4569BC1F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619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France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5A39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lang w:eastAsia="fr-FR"/>
              </w:rPr>
              <w:t>2,28%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1EF1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2,29%</w:t>
            </w:r>
          </w:p>
        </w:tc>
      </w:tr>
      <w:tr w:rsidR="00A92D1D" w:rsidRPr="00A92D1D" w14:paraId="235FC182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D06D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Etats-Unis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CEF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9,10%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9486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10,37%</w:t>
            </w:r>
          </w:p>
        </w:tc>
      </w:tr>
      <w:tr w:rsidR="00A92D1D" w:rsidRPr="00A92D1D" w14:paraId="3B10D214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020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Chine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26F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31,33%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8C0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33,73%</w:t>
            </w:r>
          </w:p>
        </w:tc>
      </w:tr>
      <w:tr w:rsidR="00A92D1D" w:rsidRPr="00A92D1D" w14:paraId="1FAAC9A3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B6D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Colombie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620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1,07%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5EF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1,17%</w:t>
            </w:r>
          </w:p>
        </w:tc>
      </w:tr>
      <w:tr w:rsidR="00A92D1D" w:rsidRPr="00A92D1D" w14:paraId="3E9E6E08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6C5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Espagne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B7C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1,16%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111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1,01%</w:t>
            </w:r>
          </w:p>
        </w:tc>
      </w:tr>
      <w:tr w:rsidR="00A92D1D" w:rsidRPr="00A92D1D" w14:paraId="0A556C36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F1D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Allemagne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CF1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1,60%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87B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1,47%</w:t>
            </w:r>
          </w:p>
        </w:tc>
      </w:tr>
      <w:tr w:rsidR="00A92D1D" w:rsidRPr="00A92D1D" w14:paraId="5F86FEA0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FB1C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Italie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0A15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1,51%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835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1,47%</w:t>
            </w:r>
          </w:p>
        </w:tc>
      </w:tr>
      <w:tr w:rsidR="00A92D1D" w:rsidRPr="00A92D1D" w14:paraId="165E16AE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640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Pays  Bas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532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0,83%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20E1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0,73%</w:t>
            </w:r>
          </w:p>
        </w:tc>
      </w:tr>
      <w:tr w:rsidR="00A92D1D" w:rsidRPr="00A92D1D" w14:paraId="5A1F4F0E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DADE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Grande Bretagne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3F55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1,58%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5AB4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1,41%</w:t>
            </w:r>
          </w:p>
        </w:tc>
      </w:tr>
      <w:tr w:rsidR="00A92D1D" w:rsidRPr="00A92D1D" w14:paraId="775050E5" w14:textId="77777777" w:rsidTr="00F359AF">
        <w:trPr>
          <w:trHeight w:val="300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79B" w14:textId="77777777" w:rsidR="00A92D1D" w:rsidRPr="00A92D1D" w:rsidRDefault="00A92D1D" w:rsidP="00266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Belgique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A83F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2,43%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6B4D" w14:textId="77777777" w:rsidR="00A92D1D" w:rsidRPr="00A92D1D" w:rsidRDefault="00A92D1D" w:rsidP="00266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2,01%</w:t>
            </w:r>
          </w:p>
        </w:tc>
      </w:tr>
    </w:tbl>
    <w:p w14:paraId="5F3C5EFF" w14:textId="3378D331" w:rsidR="00AE7BC9" w:rsidRPr="00F359AF" w:rsidRDefault="00266C6A" w:rsidP="001143B1">
      <w:pPr>
        <w:jc w:val="both"/>
        <w:rPr>
          <w:rFonts w:ascii="Times New Roman" w:hAnsi="Times New Roman" w:cs="Times New Roman"/>
          <w:b/>
        </w:rPr>
      </w:pPr>
      <w:r w:rsidRPr="00F359AF">
        <w:rPr>
          <w:rFonts w:ascii="Times New Roman" w:hAnsi="Times New Roman" w:cs="Times New Roman"/>
          <w:b/>
        </w:rPr>
        <w:t>ANNEXE : Les parts de marché françaises et leur évolution.</w:t>
      </w:r>
    </w:p>
    <w:p w14:paraId="2A153594" w14:textId="77777777" w:rsidR="00A92D1D" w:rsidRDefault="00A92D1D" w:rsidP="001143B1">
      <w:pPr>
        <w:jc w:val="both"/>
        <w:rPr>
          <w:rFonts w:ascii="Times New Roman" w:hAnsi="Times New Roman" w:cs="Times New Roman"/>
        </w:rPr>
      </w:pP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837"/>
        <w:gridCol w:w="2288"/>
      </w:tblGrid>
      <w:tr w:rsidR="00A92D1D" w:rsidRPr="00A92D1D" w14:paraId="3220D98D" w14:textId="77777777" w:rsidTr="00A92D1D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98C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6DF9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Marché domestique (12,7 Md USD importés en 2017)</w:t>
            </w:r>
          </w:p>
        </w:tc>
      </w:tr>
      <w:tr w:rsidR="00A92D1D" w:rsidRPr="00A92D1D" w14:paraId="1BC13057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C5DF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914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84E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2017</w:t>
            </w:r>
          </w:p>
        </w:tc>
      </w:tr>
      <w:tr w:rsidR="00A92D1D" w:rsidRPr="00A92D1D" w14:paraId="6B247F6C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894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France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0D8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lang w:eastAsia="fr-FR"/>
              </w:rPr>
              <w:t>1,17%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13C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1,30%</w:t>
            </w:r>
          </w:p>
        </w:tc>
      </w:tr>
      <w:tr w:rsidR="00A92D1D" w:rsidRPr="00A92D1D" w14:paraId="08EDF590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5043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Etats-Unis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843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25,57%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7CD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24,24%</w:t>
            </w:r>
          </w:p>
        </w:tc>
      </w:tr>
      <w:tr w:rsidR="00A92D1D" w:rsidRPr="00A92D1D" w14:paraId="4EDDAD0A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0BB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Chine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15A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9,15%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ADE3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9,77%</w:t>
            </w:r>
          </w:p>
        </w:tc>
      </w:tr>
      <w:tr w:rsidR="00A92D1D" w:rsidRPr="00A92D1D" w14:paraId="0CC415D4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EBA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Colombie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419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3,10%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459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2,55%</w:t>
            </w:r>
          </w:p>
        </w:tc>
      </w:tr>
      <w:tr w:rsidR="00A92D1D" w:rsidRPr="00A92D1D" w14:paraId="3C8BE22D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2208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Espagne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79B5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2,34%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BE57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2,23%</w:t>
            </w:r>
          </w:p>
        </w:tc>
      </w:tr>
      <w:tr w:rsidR="00A92D1D" w:rsidRPr="00A92D1D" w14:paraId="6DC927F9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B8A1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Allemagne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1FD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2,16%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728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2,38%</w:t>
            </w:r>
          </w:p>
        </w:tc>
      </w:tr>
      <w:tr w:rsidR="00A92D1D" w:rsidRPr="00A92D1D" w14:paraId="38B61C9F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19E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Italie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579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1,47%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C17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1,26%</w:t>
            </w:r>
          </w:p>
        </w:tc>
      </w:tr>
      <w:tr w:rsidR="00A92D1D" w:rsidRPr="00A92D1D" w14:paraId="05BEB5BB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D76E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Pays Bas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5E5E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0,96%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9F6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0,58%</w:t>
            </w:r>
          </w:p>
        </w:tc>
      </w:tr>
      <w:tr w:rsidR="00A92D1D" w:rsidRPr="00A92D1D" w14:paraId="69E604A7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5BA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Grande Bretagne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C49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0,60%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3CE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0,53%</w:t>
            </w:r>
          </w:p>
        </w:tc>
      </w:tr>
      <w:tr w:rsidR="00A92D1D" w:rsidRPr="00A92D1D" w14:paraId="5FD37575" w14:textId="77777777" w:rsidTr="00A92D1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D62" w14:textId="77777777" w:rsidR="00A92D1D" w:rsidRPr="00A92D1D" w:rsidRDefault="00A92D1D" w:rsidP="00A92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Belgique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5F7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lang w:eastAsia="fr-FR"/>
              </w:rPr>
              <w:t>0,45%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34A5" w14:textId="77777777" w:rsidR="00A92D1D" w:rsidRPr="00A92D1D" w:rsidRDefault="00A92D1D" w:rsidP="00A92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2D1D">
              <w:rPr>
                <w:rFonts w:ascii="Calibri" w:eastAsia="Times New Roman" w:hAnsi="Calibri" w:cs="Calibri"/>
                <w:color w:val="000000"/>
                <w:lang w:eastAsia="fr-FR"/>
              </w:rPr>
              <w:t>0,59%</w:t>
            </w:r>
          </w:p>
        </w:tc>
      </w:tr>
    </w:tbl>
    <w:p w14:paraId="4E4DE956" w14:textId="6FAD5C9B" w:rsidR="00A92D1D" w:rsidRPr="00B30FF7" w:rsidRDefault="00B30FF7" w:rsidP="001143B1">
      <w:pPr>
        <w:jc w:val="both"/>
        <w:rPr>
          <w:rFonts w:ascii="Times New Roman" w:hAnsi="Times New Roman" w:cs="Times New Roman"/>
          <w:i/>
        </w:rPr>
      </w:pPr>
      <w:r w:rsidRPr="00B30FF7">
        <w:rPr>
          <w:rFonts w:ascii="Times New Roman" w:hAnsi="Times New Roman" w:cs="Times New Roman"/>
          <w:i/>
        </w:rPr>
        <w:t>Source : Douanes panaméennes.</w:t>
      </w:r>
    </w:p>
    <w:sectPr w:rsidR="00A92D1D" w:rsidRPr="00B30FF7" w:rsidSect="00266C6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0636B" w14:textId="77777777" w:rsidR="00697AD5" w:rsidRDefault="00697AD5" w:rsidP="00BD6695">
      <w:pPr>
        <w:spacing w:after="0" w:line="240" w:lineRule="auto"/>
      </w:pPr>
      <w:r>
        <w:separator/>
      </w:r>
    </w:p>
  </w:endnote>
  <w:endnote w:type="continuationSeparator" w:id="0">
    <w:p w14:paraId="3E02C972" w14:textId="77777777" w:rsidR="00697AD5" w:rsidRDefault="00697AD5" w:rsidP="00BD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1C60" w14:textId="77777777" w:rsidR="00697AD5" w:rsidRDefault="00697AD5" w:rsidP="00BD6695">
      <w:pPr>
        <w:spacing w:after="0" w:line="240" w:lineRule="auto"/>
      </w:pPr>
      <w:r>
        <w:separator/>
      </w:r>
    </w:p>
  </w:footnote>
  <w:footnote w:type="continuationSeparator" w:id="0">
    <w:p w14:paraId="720917BD" w14:textId="77777777" w:rsidR="00697AD5" w:rsidRDefault="00697AD5" w:rsidP="00BD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0EBB" w14:textId="77777777" w:rsidR="00BD6695" w:rsidRDefault="00BD6695" w:rsidP="00BD669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DFDA6E1" wp14:editId="36F8027F">
          <wp:extent cx="914400" cy="542925"/>
          <wp:effectExtent l="0" t="0" r="0" b="9525"/>
          <wp:docPr id="15" name="Image 15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8F4F3" w14:textId="77777777" w:rsidR="00BD6695" w:rsidRPr="00823C30" w:rsidRDefault="00BD6695" w:rsidP="00BD6695">
    <w:pPr>
      <w:pStyle w:val="En-tte"/>
      <w:jc w:val="center"/>
      <w:rPr>
        <w:smallCaps/>
        <w:sz w:val="24"/>
        <w:szCs w:val="24"/>
      </w:rPr>
    </w:pPr>
  </w:p>
  <w:p w14:paraId="18C9E007" w14:textId="77777777" w:rsidR="00BD6695" w:rsidRPr="003220F5" w:rsidRDefault="00BD6695" w:rsidP="00BD6695">
    <w:pPr>
      <w:pStyle w:val="En-tte"/>
      <w:jc w:val="center"/>
      <w:rPr>
        <w:rFonts w:ascii="Univers 55" w:hAnsi="Univers 55"/>
        <w:b/>
        <w:smallCaps/>
        <w:sz w:val="24"/>
        <w:szCs w:val="24"/>
      </w:rPr>
    </w:pPr>
    <w:bookmarkStart w:id="1" w:name="Entête"/>
    <w:bookmarkEnd w:id="1"/>
    <w:r w:rsidRPr="00F6667B">
      <w:rPr>
        <w:rFonts w:ascii="Univers 55" w:hAnsi="Univers 55"/>
        <w:b/>
        <w:smallCaps/>
        <w:sz w:val="24"/>
        <w:szCs w:val="24"/>
      </w:rPr>
      <w:t>ambassade</w:t>
    </w:r>
    <w:r w:rsidRPr="003220F5">
      <w:rPr>
        <w:rFonts w:ascii="Univers 55" w:hAnsi="Univers 55"/>
        <w:b/>
        <w:smallCaps/>
        <w:sz w:val="24"/>
        <w:szCs w:val="24"/>
      </w:rPr>
      <w:t xml:space="preserve"> de </w:t>
    </w:r>
    <w:proofErr w:type="spellStart"/>
    <w:r w:rsidRPr="003220F5">
      <w:rPr>
        <w:rFonts w:ascii="Univers 55" w:hAnsi="Univers 55"/>
        <w:b/>
        <w:smallCaps/>
        <w:sz w:val="24"/>
        <w:szCs w:val="24"/>
      </w:rPr>
      <w:t>france</w:t>
    </w:r>
    <w:proofErr w:type="spellEnd"/>
    <w:r w:rsidRPr="003220F5">
      <w:rPr>
        <w:rFonts w:ascii="Univers 55" w:hAnsi="Univers 55"/>
        <w:b/>
        <w:smallCaps/>
        <w:sz w:val="24"/>
        <w:szCs w:val="24"/>
      </w:rPr>
      <w:t xml:space="preserve"> </w:t>
    </w:r>
    <w:r>
      <w:rPr>
        <w:rFonts w:ascii="Univers 55" w:hAnsi="Univers 55"/>
        <w:b/>
        <w:smallCaps/>
        <w:sz w:val="24"/>
        <w:szCs w:val="24"/>
      </w:rPr>
      <w:t>au Panama</w:t>
    </w:r>
  </w:p>
  <w:p w14:paraId="13A4268A" w14:textId="77777777" w:rsidR="00BD6695" w:rsidRPr="003220F5" w:rsidRDefault="00BD6695" w:rsidP="00BD6695">
    <w:pPr>
      <w:pStyle w:val="En-tte"/>
      <w:jc w:val="center"/>
      <w:rPr>
        <w:rFonts w:ascii="Univers 55" w:hAnsi="Univers 55"/>
        <w:b/>
        <w:smallCaps/>
        <w:sz w:val="24"/>
        <w:szCs w:val="24"/>
      </w:rPr>
    </w:pPr>
    <w:r w:rsidRPr="003220F5">
      <w:rPr>
        <w:rFonts w:ascii="Univers 55" w:hAnsi="Univers 55"/>
        <w:b/>
        <w:smallCaps/>
        <w:sz w:val="24"/>
        <w:szCs w:val="24"/>
      </w:rPr>
      <w:t>service économique</w:t>
    </w:r>
    <w:r>
      <w:rPr>
        <w:rFonts w:ascii="Univers 55" w:hAnsi="Univers 55"/>
        <w:b/>
        <w:smallCaps/>
        <w:sz w:val="24"/>
        <w:szCs w:val="24"/>
      </w:rPr>
      <w:t xml:space="preserve"> </w:t>
    </w:r>
    <w:proofErr w:type="spellStart"/>
    <w:r>
      <w:rPr>
        <w:rFonts w:ascii="Univers 55" w:hAnsi="Univers 55"/>
        <w:b/>
        <w:smallCaps/>
        <w:sz w:val="24"/>
        <w:szCs w:val="24"/>
      </w:rPr>
      <w:t>regional</w:t>
    </w:r>
    <w:proofErr w:type="spellEnd"/>
  </w:p>
  <w:tbl>
    <w:tblPr>
      <w:tblW w:w="95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402"/>
    </w:tblGrid>
    <w:tr w:rsidR="00BD6695" w:rsidRPr="002824A7" w14:paraId="30740557" w14:textId="77777777" w:rsidTr="00B54A37">
      <w:tc>
        <w:tcPr>
          <w:tcW w:w="6166" w:type="dxa"/>
          <w:vAlign w:val="center"/>
        </w:tcPr>
        <w:p w14:paraId="1B67463D" w14:textId="77777777" w:rsidR="00BD6695" w:rsidRPr="002824A7" w:rsidRDefault="00BD6695" w:rsidP="00BD6695">
          <w:pPr>
            <w:pStyle w:val="En-tte"/>
            <w:spacing w:before="600"/>
            <w:rPr>
              <w:rFonts w:ascii="Univers 55" w:hAnsi="Univers 55"/>
            </w:rPr>
          </w:pPr>
          <w:bookmarkStart w:id="2" w:name="IntituleEntete"/>
          <w:bookmarkEnd w:id="2"/>
          <w:r>
            <w:rPr>
              <w:rFonts w:ascii="Univers 55" w:hAnsi="Univers 55"/>
            </w:rPr>
            <w:t xml:space="preserve">Le </w:t>
          </w:r>
          <w:r w:rsidRPr="002824A7">
            <w:rPr>
              <w:rFonts w:ascii="Univers 55" w:hAnsi="Univers 55"/>
            </w:rPr>
            <w:t>Chef de</w:t>
          </w:r>
          <w:r>
            <w:rPr>
              <w:rFonts w:ascii="Univers 55" w:hAnsi="Univers 55"/>
            </w:rPr>
            <w:t xml:space="preserve"> s</w:t>
          </w:r>
          <w:r w:rsidRPr="002824A7">
            <w:rPr>
              <w:rFonts w:ascii="Univers 55" w:hAnsi="Univers 55"/>
            </w:rPr>
            <w:t>ervice</w:t>
          </w:r>
        </w:p>
      </w:tc>
      <w:tc>
        <w:tcPr>
          <w:tcW w:w="3402" w:type="dxa"/>
          <w:vAlign w:val="center"/>
        </w:tcPr>
        <w:p w14:paraId="63FE5E49" w14:textId="7933C6CF" w:rsidR="00BD6695" w:rsidRPr="002824A7" w:rsidRDefault="00BD6695" w:rsidP="00BD6695">
          <w:pPr>
            <w:pStyle w:val="En-tte"/>
            <w:spacing w:before="600"/>
            <w:ind w:left="-68" w:firstLine="140"/>
            <w:rPr>
              <w:rFonts w:ascii="Univers 55" w:hAnsi="Univers 55"/>
            </w:rPr>
          </w:pPr>
          <w:bookmarkStart w:id="3" w:name="Ville"/>
          <w:bookmarkEnd w:id="3"/>
          <w:r w:rsidRPr="002824A7">
            <w:rPr>
              <w:rFonts w:ascii="Univers 55" w:hAnsi="Univers 55"/>
            </w:rPr>
            <w:t xml:space="preserve">A </w:t>
          </w:r>
          <w:r>
            <w:rPr>
              <w:rFonts w:ascii="Univers 55" w:hAnsi="Univers 55"/>
            </w:rPr>
            <w:t>Panama</w:t>
          </w:r>
          <w:r w:rsidRPr="002824A7">
            <w:rPr>
              <w:rFonts w:ascii="Univers 55" w:hAnsi="Univers 55"/>
            </w:rPr>
            <w:t xml:space="preserve">, le </w:t>
          </w:r>
          <w:r>
            <w:rPr>
              <w:rFonts w:ascii="Univers 55" w:hAnsi="Univers 55"/>
            </w:rPr>
            <w:t>14 mars 2018</w:t>
          </w:r>
        </w:p>
      </w:tc>
    </w:tr>
  </w:tbl>
  <w:p w14:paraId="566077C8" w14:textId="77777777" w:rsidR="00BD6695" w:rsidRDefault="00BD6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1E3"/>
    <w:multiLevelType w:val="hybridMultilevel"/>
    <w:tmpl w:val="8E420E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DF"/>
    <w:rsid w:val="00017D2A"/>
    <w:rsid w:val="00056E8C"/>
    <w:rsid w:val="000B0CA8"/>
    <w:rsid w:val="001143B1"/>
    <w:rsid w:val="00141CD7"/>
    <w:rsid w:val="00225682"/>
    <w:rsid w:val="00244A17"/>
    <w:rsid w:val="00266C6A"/>
    <w:rsid w:val="00292C76"/>
    <w:rsid w:val="002F5D65"/>
    <w:rsid w:val="002F5FB1"/>
    <w:rsid w:val="003779A1"/>
    <w:rsid w:val="004A69DF"/>
    <w:rsid w:val="004C2B54"/>
    <w:rsid w:val="004D52B3"/>
    <w:rsid w:val="004E3673"/>
    <w:rsid w:val="004F5B42"/>
    <w:rsid w:val="005209DD"/>
    <w:rsid w:val="00524FD1"/>
    <w:rsid w:val="00555C89"/>
    <w:rsid w:val="005E1891"/>
    <w:rsid w:val="005E2832"/>
    <w:rsid w:val="005F1EDF"/>
    <w:rsid w:val="00664942"/>
    <w:rsid w:val="00697AD5"/>
    <w:rsid w:val="006A4DE3"/>
    <w:rsid w:val="006B600D"/>
    <w:rsid w:val="007111A5"/>
    <w:rsid w:val="00716CB6"/>
    <w:rsid w:val="00783F98"/>
    <w:rsid w:val="00840FA9"/>
    <w:rsid w:val="0086212D"/>
    <w:rsid w:val="0086297A"/>
    <w:rsid w:val="008A0142"/>
    <w:rsid w:val="008D00A3"/>
    <w:rsid w:val="008D2C5F"/>
    <w:rsid w:val="008F256B"/>
    <w:rsid w:val="00927C8F"/>
    <w:rsid w:val="00977D4B"/>
    <w:rsid w:val="00A92D1D"/>
    <w:rsid w:val="00AE7BC9"/>
    <w:rsid w:val="00B30FF7"/>
    <w:rsid w:val="00B61EA8"/>
    <w:rsid w:val="00BD6695"/>
    <w:rsid w:val="00C01B45"/>
    <w:rsid w:val="00C120EF"/>
    <w:rsid w:val="00CF1615"/>
    <w:rsid w:val="00D21EFC"/>
    <w:rsid w:val="00D83044"/>
    <w:rsid w:val="00DD2AA3"/>
    <w:rsid w:val="00DF5201"/>
    <w:rsid w:val="00DF7FD1"/>
    <w:rsid w:val="00E14C28"/>
    <w:rsid w:val="00E578A1"/>
    <w:rsid w:val="00F03DCB"/>
    <w:rsid w:val="00F359AF"/>
    <w:rsid w:val="00F62D71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C832"/>
  <w15:chartTrackingRefBased/>
  <w15:docId w15:val="{14C11FCD-89C9-43D8-9942-FB72F015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11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2B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01B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1B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1B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1B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1B45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BD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D6695"/>
  </w:style>
  <w:style w:type="paragraph" w:styleId="Pieddepage">
    <w:name w:val="footer"/>
    <w:basedOn w:val="Normal"/>
    <w:link w:val="PieddepageCar"/>
    <w:uiPriority w:val="99"/>
    <w:unhideWhenUsed/>
    <w:rsid w:val="00BD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7656</Characters>
  <Application>Microsoft Office Word</Application>
  <DocSecurity>4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DEFRANCE Julien</dc:creator>
  <cp:keywords/>
  <dc:description/>
  <cp:lastModifiedBy>LY Hawa</cp:lastModifiedBy>
  <cp:revision>2</cp:revision>
  <cp:lastPrinted>2018-03-06T23:41:00Z</cp:lastPrinted>
  <dcterms:created xsi:type="dcterms:W3CDTF">2018-03-19T15:36:00Z</dcterms:created>
  <dcterms:modified xsi:type="dcterms:W3CDTF">2018-03-19T15:36:00Z</dcterms:modified>
</cp:coreProperties>
</file>