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BE" w:rsidRPr="009544D3" w:rsidRDefault="001557BE" w:rsidP="001557BE">
      <w:pPr>
        <w:rPr>
          <w:color w:val="004559"/>
        </w:rPr>
      </w:pPr>
    </w:p>
    <w:tbl>
      <w:tblPr>
        <w:tblpPr w:leftFromText="141" w:rightFromText="141" w:vertAnchor="text" w:tblpXSpec="right" w:tblpY="1"/>
        <w:tblOverlap w:val="never"/>
        <w:tblW w:w="10356" w:type="dxa"/>
        <w:tblLayout w:type="fixed"/>
        <w:tblCellMar>
          <w:left w:w="70" w:type="dxa"/>
          <w:right w:w="70" w:type="dxa"/>
        </w:tblCellMar>
        <w:tblLook w:val="0000" w:firstRow="0" w:lastRow="0" w:firstColumn="0" w:lastColumn="0" w:noHBand="0" w:noVBand="0"/>
      </w:tblPr>
      <w:tblGrid>
        <w:gridCol w:w="2830"/>
        <w:gridCol w:w="7526"/>
      </w:tblGrid>
      <w:tr w:rsidR="000B1DF7" w:rsidRPr="00F574C3" w:rsidTr="00EC0D4A">
        <w:trPr>
          <w:cantSplit/>
          <w:trHeight w:val="1638"/>
        </w:trPr>
        <w:tc>
          <w:tcPr>
            <w:tcW w:w="2830" w:type="dxa"/>
            <w:vMerge w:val="restart"/>
            <w:vAlign w:val="center"/>
          </w:tcPr>
          <w:p w:rsidR="000B1DF7" w:rsidRPr="00415D0E" w:rsidRDefault="001D26BB" w:rsidP="00836A1D">
            <w:pPr>
              <w:pStyle w:val="Corpsdetexte"/>
              <w:keepNext w:val="0"/>
              <w:ind w:right="0"/>
              <w:jc w:val="left"/>
              <w:rPr>
                <w:b/>
                <w:bCs/>
                <w:color w:val="2A2755"/>
              </w:rPr>
            </w:pPr>
            <w:r>
              <w:rPr>
                <w:b/>
                <w:bCs/>
                <w:noProof/>
                <w:color w:val="2A2755"/>
              </w:rPr>
              <w:drawing>
                <wp:inline distT="0" distB="0" distL="0" distR="0">
                  <wp:extent cx="1608455" cy="1641475"/>
                  <wp:effectExtent l="0" t="0" r="0" b="0"/>
                  <wp:docPr id="5" name="Image 5" descr="KL_Petr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_Petron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455" cy="1641475"/>
                          </a:xfrm>
                          <a:prstGeom prst="rect">
                            <a:avLst/>
                          </a:prstGeom>
                          <a:noFill/>
                          <a:ln>
                            <a:noFill/>
                          </a:ln>
                        </pic:spPr>
                      </pic:pic>
                    </a:graphicData>
                  </a:graphic>
                </wp:inline>
              </w:drawing>
            </w:r>
          </w:p>
        </w:tc>
        <w:tc>
          <w:tcPr>
            <w:tcW w:w="7526" w:type="dxa"/>
            <w:vAlign w:val="center"/>
          </w:tcPr>
          <w:p w:rsidR="000B1DF7" w:rsidRPr="00C42BFF" w:rsidRDefault="007975F9" w:rsidP="00761149">
            <w:pPr>
              <w:pStyle w:val="Titre1"/>
              <w:keepNext w:val="0"/>
              <w:ind w:left="0"/>
              <w:jc w:val="center"/>
              <w:rPr>
                <w:rFonts w:ascii="Arial" w:hAnsi="Arial"/>
                <w:color w:val="E1A800"/>
                <w:sz w:val="52"/>
                <w:szCs w:val="52"/>
                <w:lang w:val="fr-FR"/>
                <w14:shadow w14:blurRad="50800" w14:dist="38100" w14:dir="2700000" w14:sx="100000" w14:sy="100000" w14:kx="0" w14:ky="0" w14:algn="tl">
                  <w14:srgbClr w14:val="000000">
                    <w14:alpha w14:val="60000"/>
                  </w14:srgbClr>
                </w14:shadow>
              </w:rPr>
            </w:pPr>
            <w:r w:rsidRPr="00C42BFF">
              <w:rPr>
                <w:rFonts w:ascii="Arial" w:hAnsi="Arial"/>
                <w:color w:val="E1A800"/>
                <w:sz w:val="52"/>
                <w:szCs w:val="52"/>
                <w:lang w:val="fr-FR"/>
                <w14:shadow w14:blurRad="50800" w14:dist="38100" w14:dir="2700000" w14:sx="100000" w14:sy="100000" w14:kx="0" w14:ky="0" w14:algn="tl">
                  <w14:srgbClr w14:val="000000">
                    <w14:alpha w14:val="60000"/>
                  </w14:srgbClr>
                </w14:shadow>
              </w:rPr>
              <w:t>L</w:t>
            </w:r>
            <w:r w:rsidR="008A20BF">
              <w:rPr>
                <w:rFonts w:ascii="Arial" w:hAnsi="Arial"/>
                <w:color w:val="E1A800"/>
                <w:sz w:val="52"/>
                <w:szCs w:val="52"/>
                <w:lang w:val="fr-FR"/>
                <w14:shadow w14:blurRad="50800" w14:dist="38100" w14:dir="2700000" w14:sx="100000" w14:sy="100000" w14:kx="0" w14:ky="0" w14:algn="tl">
                  <w14:srgbClr w14:val="000000">
                    <w14:alpha w14:val="60000"/>
                  </w14:srgbClr>
                </w14:shadow>
              </w:rPr>
              <w:t xml:space="preserve">es échanges commerciaux franco-malaisiens en </w:t>
            </w:r>
            <w:r w:rsidR="0052086C">
              <w:rPr>
                <w:rFonts w:ascii="Arial" w:hAnsi="Arial"/>
                <w:color w:val="E1A800"/>
                <w:sz w:val="52"/>
                <w:szCs w:val="52"/>
                <w:lang w:val="fr-FR"/>
                <w14:shadow w14:blurRad="50800" w14:dist="38100" w14:dir="2700000" w14:sx="100000" w14:sy="100000" w14:kx="0" w14:ky="0" w14:algn="tl">
                  <w14:srgbClr w14:val="000000">
                    <w14:alpha w14:val="60000"/>
                  </w14:srgbClr>
                </w14:shadow>
              </w:rPr>
              <w:t>201</w:t>
            </w:r>
            <w:r w:rsidR="00761149">
              <w:rPr>
                <w:rFonts w:ascii="Arial" w:hAnsi="Arial"/>
                <w:color w:val="E1A800"/>
                <w:sz w:val="52"/>
                <w:szCs w:val="52"/>
                <w:lang w:val="fr-FR"/>
                <w14:shadow w14:blurRad="50800" w14:dist="38100" w14:dir="2700000" w14:sx="100000" w14:sy="100000" w14:kx="0" w14:ky="0" w14:algn="tl">
                  <w14:srgbClr w14:val="000000">
                    <w14:alpha w14:val="60000"/>
                  </w14:srgbClr>
                </w14:shadow>
              </w:rPr>
              <w:t>7</w:t>
            </w:r>
          </w:p>
        </w:tc>
      </w:tr>
      <w:tr w:rsidR="000B1DF7" w:rsidRPr="00BA4D5D" w:rsidTr="00EC0D4A">
        <w:trPr>
          <w:cantSplit/>
          <w:trHeight w:val="285"/>
        </w:trPr>
        <w:tc>
          <w:tcPr>
            <w:tcW w:w="2830" w:type="dxa"/>
            <w:vMerge/>
            <w:vAlign w:val="bottom"/>
          </w:tcPr>
          <w:p w:rsidR="000B1DF7" w:rsidRPr="00415D0E" w:rsidRDefault="000B1DF7" w:rsidP="00836A1D">
            <w:pPr>
              <w:pStyle w:val="Corpsdetexte"/>
              <w:keepNext w:val="0"/>
              <w:ind w:right="0"/>
              <w:jc w:val="center"/>
              <w:rPr>
                <w:b/>
                <w:bCs/>
                <w:color w:val="2A2755"/>
              </w:rPr>
            </w:pPr>
          </w:p>
        </w:tc>
        <w:tc>
          <w:tcPr>
            <w:tcW w:w="7526" w:type="dxa"/>
            <w:vMerge w:val="restart"/>
            <w:vAlign w:val="center"/>
          </w:tcPr>
          <w:p w:rsidR="006F2468" w:rsidRDefault="006F2468" w:rsidP="008A20BF">
            <w:pPr>
              <w:pStyle w:val="En-tte"/>
              <w:tabs>
                <w:tab w:val="clear" w:pos="4536"/>
              </w:tabs>
              <w:jc w:val="right"/>
              <w:rPr>
                <w:rFonts w:ascii="Arial Gras" w:hAnsi="Arial Gras"/>
                <w:b/>
                <w:color w:val="2A2755"/>
                <w:sz w:val="18"/>
                <w:szCs w:val="18"/>
              </w:rPr>
            </w:pPr>
            <w:bookmarkStart w:id="0" w:name="prefixeActu"/>
            <w:bookmarkStart w:id="1" w:name="anActu"/>
            <w:bookmarkEnd w:id="0"/>
            <w:bookmarkEnd w:id="1"/>
          </w:p>
          <w:p w:rsidR="006F2468" w:rsidRDefault="006F2468" w:rsidP="008A20BF">
            <w:pPr>
              <w:pStyle w:val="En-tte"/>
              <w:tabs>
                <w:tab w:val="clear" w:pos="4536"/>
              </w:tabs>
              <w:jc w:val="right"/>
              <w:rPr>
                <w:rFonts w:ascii="Arial Gras" w:hAnsi="Arial Gras"/>
                <w:b/>
                <w:color w:val="2A2755"/>
                <w:sz w:val="18"/>
                <w:szCs w:val="18"/>
              </w:rPr>
            </w:pPr>
          </w:p>
          <w:p w:rsidR="006F2468" w:rsidRDefault="006F2468" w:rsidP="008A20BF">
            <w:pPr>
              <w:pStyle w:val="En-tte"/>
              <w:tabs>
                <w:tab w:val="clear" w:pos="4536"/>
              </w:tabs>
              <w:jc w:val="right"/>
              <w:rPr>
                <w:rFonts w:ascii="Arial Gras" w:hAnsi="Arial Gras"/>
                <w:b/>
                <w:color w:val="2A2755"/>
                <w:sz w:val="18"/>
                <w:szCs w:val="18"/>
              </w:rPr>
            </w:pPr>
          </w:p>
          <w:p w:rsidR="006F2468" w:rsidRDefault="006F2468" w:rsidP="008A20BF">
            <w:pPr>
              <w:pStyle w:val="En-tte"/>
              <w:tabs>
                <w:tab w:val="clear" w:pos="4536"/>
              </w:tabs>
              <w:jc w:val="right"/>
              <w:rPr>
                <w:rFonts w:ascii="Arial Gras" w:hAnsi="Arial Gras"/>
                <w:b/>
                <w:color w:val="2A2755"/>
                <w:sz w:val="18"/>
                <w:szCs w:val="18"/>
              </w:rPr>
            </w:pPr>
          </w:p>
          <w:p w:rsidR="000B1DF7" w:rsidRPr="00415D0E" w:rsidRDefault="008F161A" w:rsidP="00761149">
            <w:pPr>
              <w:pStyle w:val="En-tte"/>
              <w:tabs>
                <w:tab w:val="clear" w:pos="4536"/>
              </w:tabs>
              <w:jc w:val="right"/>
              <w:rPr>
                <w:rFonts w:ascii="Arial Gras" w:hAnsi="Arial Gras"/>
                <w:b/>
                <w:color w:val="2A2755"/>
                <w:sz w:val="18"/>
                <w:szCs w:val="18"/>
              </w:rPr>
            </w:pPr>
            <w:r>
              <w:rPr>
                <w:rFonts w:ascii="Arial Gras" w:hAnsi="Arial Gras"/>
                <w:b/>
                <w:color w:val="2A2755"/>
                <w:sz w:val="18"/>
                <w:szCs w:val="18"/>
              </w:rPr>
              <w:t>F</w:t>
            </w:r>
            <w:r w:rsidR="00E6209F">
              <w:rPr>
                <w:rFonts w:ascii="Arial Gras" w:hAnsi="Arial Gras"/>
                <w:b/>
                <w:color w:val="2A2755"/>
                <w:sz w:val="18"/>
                <w:szCs w:val="18"/>
              </w:rPr>
              <w:t>é</w:t>
            </w:r>
            <w:r>
              <w:rPr>
                <w:rFonts w:ascii="Arial Gras" w:hAnsi="Arial Gras"/>
                <w:b/>
                <w:color w:val="2A2755"/>
                <w:sz w:val="18"/>
                <w:szCs w:val="18"/>
              </w:rPr>
              <w:t>vrier</w:t>
            </w:r>
            <w:r w:rsidR="001A08A1">
              <w:rPr>
                <w:rFonts w:ascii="Arial Gras" w:hAnsi="Arial Gras"/>
                <w:b/>
                <w:color w:val="2A2755"/>
                <w:sz w:val="18"/>
                <w:szCs w:val="18"/>
              </w:rPr>
              <w:t xml:space="preserve"> </w:t>
            </w:r>
            <w:r w:rsidR="00282E42">
              <w:rPr>
                <w:rFonts w:ascii="Arial Gras" w:hAnsi="Arial Gras"/>
                <w:b/>
                <w:color w:val="2A2755"/>
                <w:sz w:val="18"/>
                <w:szCs w:val="18"/>
              </w:rPr>
              <w:t>201</w:t>
            </w:r>
            <w:r w:rsidR="00761149">
              <w:rPr>
                <w:rFonts w:ascii="Arial Gras" w:hAnsi="Arial Gras"/>
                <w:b/>
                <w:color w:val="2A2755"/>
                <w:sz w:val="18"/>
                <w:szCs w:val="18"/>
              </w:rPr>
              <w:t>8</w:t>
            </w:r>
          </w:p>
        </w:tc>
      </w:tr>
      <w:tr w:rsidR="000B1DF7" w:rsidTr="00EC0D4A">
        <w:trPr>
          <w:trHeight w:val="80"/>
        </w:trPr>
        <w:tc>
          <w:tcPr>
            <w:tcW w:w="2830" w:type="dxa"/>
            <w:vAlign w:val="center"/>
          </w:tcPr>
          <w:p w:rsidR="000B1DF7" w:rsidRPr="00415D0E" w:rsidRDefault="000B1DF7" w:rsidP="00836A1D">
            <w:pPr>
              <w:rPr>
                <w:color w:val="2A2755"/>
              </w:rPr>
            </w:pPr>
            <w:r w:rsidRPr="00415D0E">
              <w:rPr>
                <w:rFonts w:ascii="Arial" w:hAnsi="Arial" w:cs="Arial"/>
                <w:color w:val="2A2755"/>
                <w:sz w:val="16"/>
              </w:rPr>
              <w:t xml:space="preserve">© </w:t>
            </w:r>
            <w:r w:rsidR="00F525C4" w:rsidRPr="00415D0E">
              <w:rPr>
                <w:rFonts w:ascii="Arial" w:hAnsi="Arial" w:cs="Arial"/>
                <w:color w:val="2A2755"/>
                <w:sz w:val="16"/>
              </w:rPr>
              <w:t>DG Tr</w:t>
            </w:r>
            <w:r w:rsidR="003F6019" w:rsidRPr="00415D0E">
              <w:rPr>
                <w:rFonts w:ascii="Arial" w:hAnsi="Arial" w:cs="Arial"/>
                <w:color w:val="2A2755"/>
                <w:sz w:val="16"/>
              </w:rPr>
              <w:t>é</w:t>
            </w:r>
            <w:r w:rsidR="00F525C4" w:rsidRPr="00415D0E">
              <w:rPr>
                <w:rFonts w:ascii="Arial" w:hAnsi="Arial" w:cs="Arial"/>
                <w:color w:val="2A2755"/>
                <w:sz w:val="16"/>
              </w:rPr>
              <w:t>sor</w:t>
            </w:r>
          </w:p>
        </w:tc>
        <w:tc>
          <w:tcPr>
            <w:tcW w:w="7526" w:type="dxa"/>
            <w:vMerge/>
          </w:tcPr>
          <w:p w:rsidR="000B1DF7" w:rsidRDefault="000B1DF7" w:rsidP="00836A1D">
            <w:pPr>
              <w:pStyle w:val="En-tte"/>
              <w:tabs>
                <w:tab w:val="clear" w:pos="4536"/>
                <w:tab w:val="clear" w:pos="9072"/>
              </w:tabs>
              <w:jc w:val="right"/>
            </w:pPr>
          </w:p>
        </w:tc>
      </w:tr>
      <w:tr w:rsidR="000B1DF7" w:rsidRPr="00F574C3" w:rsidTr="003B2BE6">
        <w:tc>
          <w:tcPr>
            <w:tcW w:w="10356" w:type="dxa"/>
            <w:gridSpan w:val="2"/>
            <w:tcBorders>
              <w:bottom w:val="single" w:sz="4" w:space="0" w:color="auto"/>
            </w:tcBorders>
          </w:tcPr>
          <w:p w:rsidR="00761149" w:rsidRDefault="00761149" w:rsidP="00761149">
            <w:pPr>
              <w:pStyle w:val="Dtailarticles"/>
              <w:pBdr>
                <w:top w:val="single" w:sz="4" w:space="1" w:color="auto"/>
              </w:pBdr>
              <w:rPr>
                <w:rFonts w:ascii="Times New Roman" w:hAnsi="Times New Roman"/>
                <w:i/>
                <w:sz w:val="22"/>
                <w:szCs w:val="22"/>
              </w:rPr>
            </w:pPr>
          </w:p>
          <w:p w:rsidR="00761149" w:rsidRPr="00F574C3" w:rsidRDefault="00761149" w:rsidP="00761149">
            <w:pPr>
              <w:pStyle w:val="Dtailarticles"/>
              <w:pBdr>
                <w:top w:val="single" w:sz="4" w:space="1" w:color="auto"/>
              </w:pBdr>
              <w:rPr>
                <w:bCs/>
                <w:i/>
              </w:rPr>
            </w:pPr>
            <w:r w:rsidRPr="003C6C7D">
              <w:rPr>
                <w:rFonts w:ascii="Times New Roman" w:hAnsi="Times New Roman"/>
                <w:i/>
                <w:sz w:val="22"/>
                <w:szCs w:val="22"/>
              </w:rPr>
              <w:t xml:space="preserve">Les échanges commerciaux franco-malaisiens ont </w:t>
            </w:r>
            <w:r>
              <w:rPr>
                <w:rFonts w:ascii="Times New Roman" w:hAnsi="Times New Roman"/>
                <w:i/>
                <w:sz w:val="22"/>
                <w:szCs w:val="22"/>
              </w:rPr>
              <w:t xml:space="preserve">progressé </w:t>
            </w:r>
            <w:r w:rsidRPr="003C6C7D">
              <w:rPr>
                <w:rFonts w:ascii="Times New Roman" w:hAnsi="Times New Roman"/>
                <w:i/>
                <w:sz w:val="22"/>
                <w:szCs w:val="22"/>
              </w:rPr>
              <w:t xml:space="preserve"> de 8,2% en 2017 par rapport à l</w:t>
            </w:r>
            <w:r>
              <w:rPr>
                <w:rFonts w:ascii="Times New Roman" w:hAnsi="Times New Roman"/>
                <w:i/>
                <w:sz w:val="22"/>
                <w:szCs w:val="22"/>
              </w:rPr>
              <w:t xml:space="preserve">’année </w:t>
            </w:r>
            <w:r w:rsidRPr="003C6C7D">
              <w:rPr>
                <w:rFonts w:ascii="Times New Roman" w:hAnsi="Times New Roman"/>
                <w:i/>
                <w:sz w:val="22"/>
                <w:szCs w:val="22"/>
              </w:rPr>
              <w:t>2016</w:t>
            </w:r>
            <w:r>
              <w:rPr>
                <w:rFonts w:ascii="Times New Roman" w:hAnsi="Times New Roman"/>
                <w:i/>
                <w:sz w:val="22"/>
                <w:szCs w:val="22"/>
              </w:rPr>
              <w:t xml:space="preserve"> et s’établissent à </w:t>
            </w:r>
            <w:r w:rsidRPr="003C6C7D">
              <w:rPr>
                <w:rFonts w:ascii="Times New Roman" w:hAnsi="Times New Roman"/>
                <w:i/>
                <w:sz w:val="22"/>
                <w:szCs w:val="22"/>
              </w:rPr>
              <w:t xml:space="preserve">4 009 M€ </w:t>
            </w:r>
            <w:r>
              <w:rPr>
                <w:rFonts w:ascii="Times New Roman" w:hAnsi="Times New Roman"/>
                <w:i/>
                <w:sz w:val="22"/>
                <w:szCs w:val="22"/>
              </w:rPr>
              <w:t>(</w:t>
            </w:r>
            <w:r w:rsidRPr="003C6C7D">
              <w:rPr>
                <w:rFonts w:ascii="Times New Roman" w:hAnsi="Times New Roman"/>
                <w:i/>
                <w:sz w:val="22"/>
                <w:szCs w:val="22"/>
              </w:rPr>
              <w:t>contre 3 704 M€</w:t>
            </w:r>
            <w:r>
              <w:rPr>
                <w:rFonts w:ascii="Times New Roman" w:hAnsi="Times New Roman"/>
                <w:i/>
                <w:sz w:val="22"/>
                <w:szCs w:val="22"/>
              </w:rPr>
              <w:t xml:space="preserve"> en 2016</w:t>
            </w:r>
            <w:r w:rsidRPr="003C6C7D">
              <w:rPr>
                <w:rFonts w:ascii="Times New Roman" w:hAnsi="Times New Roman"/>
                <w:i/>
                <w:sz w:val="22"/>
                <w:szCs w:val="22"/>
              </w:rPr>
              <w:t>). C</w:t>
            </w:r>
            <w:r w:rsidRPr="003C6C7D">
              <w:rPr>
                <w:rFonts w:ascii="Times New Roman" w:hAnsi="Times New Roman"/>
                <w:i/>
                <w:noProof/>
                <w:sz w:val="22"/>
                <w:szCs w:val="22"/>
              </w:rPr>
              <w:t xml:space="preserve">ette évolution s’explique à la fois par la hausse de nos exportations vers ce pays (+23,1% ; 1 885 M€), principalement de nos ventes </w:t>
            </w:r>
            <w:r w:rsidRPr="003C6C7D">
              <w:rPr>
                <w:rFonts w:ascii="Times New Roman" w:hAnsi="Times New Roman"/>
                <w:i/>
                <w:sz w:val="22"/>
                <w:szCs w:val="22"/>
              </w:rPr>
              <w:t>aéronautiques (+47,1% ; 1</w:t>
            </w:r>
            <w:r>
              <w:rPr>
                <w:rFonts w:ascii="Times New Roman" w:hAnsi="Times New Roman"/>
                <w:i/>
                <w:sz w:val="22"/>
                <w:szCs w:val="22"/>
              </w:rPr>
              <w:t> </w:t>
            </w:r>
            <w:r w:rsidRPr="003C6C7D">
              <w:rPr>
                <w:rFonts w:ascii="Times New Roman" w:hAnsi="Times New Roman"/>
                <w:i/>
                <w:sz w:val="22"/>
                <w:szCs w:val="22"/>
              </w:rPr>
              <w:t>071</w:t>
            </w:r>
            <w:r>
              <w:rPr>
                <w:rFonts w:ascii="Times New Roman" w:hAnsi="Times New Roman"/>
                <w:i/>
                <w:sz w:val="22"/>
                <w:szCs w:val="22"/>
              </w:rPr>
              <w:t> </w:t>
            </w:r>
            <w:r w:rsidRPr="003C6C7D">
              <w:rPr>
                <w:rFonts w:ascii="Times New Roman" w:hAnsi="Times New Roman"/>
                <w:i/>
                <w:sz w:val="22"/>
                <w:szCs w:val="22"/>
              </w:rPr>
              <w:t>M€) et d’une légère baisse  de</w:t>
            </w:r>
            <w:r>
              <w:rPr>
                <w:rFonts w:ascii="Times New Roman" w:hAnsi="Times New Roman"/>
                <w:i/>
                <w:sz w:val="22"/>
                <w:szCs w:val="22"/>
              </w:rPr>
              <w:t xml:space="preserve"> no</w:t>
            </w:r>
            <w:r w:rsidRPr="003C6C7D">
              <w:rPr>
                <w:rFonts w:ascii="Times New Roman" w:hAnsi="Times New Roman"/>
                <w:i/>
                <w:sz w:val="22"/>
                <w:szCs w:val="22"/>
              </w:rPr>
              <w:t>s importations en provenance de ce pays (-2,3% ; 2 124M€), en particulier de composants électroniques (-5% ; 721 M€) et de produits de raffinage du pétrole (-94% ; 7 M€). Le déficit du solde commercial bilatéral se r</w:t>
            </w:r>
            <w:r w:rsidRPr="003C6C7D">
              <w:rPr>
                <w:rFonts w:ascii="Times New Roman" w:hAnsi="Times New Roman"/>
                <w:i/>
                <w:noProof/>
                <w:sz w:val="22"/>
                <w:szCs w:val="22"/>
              </w:rPr>
              <w:t>é</w:t>
            </w:r>
            <w:r w:rsidRPr="003C6C7D">
              <w:rPr>
                <w:rFonts w:ascii="Times New Roman" w:hAnsi="Times New Roman"/>
                <w:i/>
                <w:sz w:val="22"/>
                <w:szCs w:val="22"/>
              </w:rPr>
              <w:t xml:space="preserve">duit donc sur la période en passant de -642 M€ à -239 M€ et le taux de couverture de nos importations passe de 70 à 89%. En Asean, la Malaisie est notre </w:t>
            </w:r>
            <w:r>
              <w:rPr>
                <w:rFonts w:ascii="Times New Roman" w:hAnsi="Times New Roman"/>
                <w:i/>
                <w:sz w:val="22"/>
                <w:szCs w:val="22"/>
              </w:rPr>
              <w:t>4</w:t>
            </w:r>
            <w:r w:rsidRPr="0089630A">
              <w:rPr>
                <w:rFonts w:ascii="Times New Roman" w:hAnsi="Times New Roman"/>
                <w:i/>
                <w:sz w:val="22"/>
                <w:szCs w:val="22"/>
                <w:vertAlign w:val="superscript"/>
              </w:rPr>
              <w:t>ème</w:t>
            </w:r>
            <w:r w:rsidRPr="0021689F">
              <w:rPr>
                <w:rFonts w:ascii="Times New Roman" w:hAnsi="Times New Roman"/>
                <w:i/>
                <w:sz w:val="22"/>
                <w:szCs w:val="22"/>
              </w:rPr>
              <w:t xml:space="preserve"> partenaire</w:t>
            </w:r>
            <w:r>
              <w:rPr>
                <w:rFonts w:ascii="Times New Roman" w:hAnsi="Times New Roman"/>
                <w:i/>
                <w:sz w:val="22"/>
                <w:szCs w:val="22"/>
              </w:rPr>
              <w:t xml:space="preserve"> en valeur  totale de commerce de biens, </w:t>
            </w:r>
            <w:r w:rsidRPr="003C6C7D">
              <w:rPr>
                <w:rFonts w:ascii="Times New Roman" w:hAnsi="Times New Roman"/>
                <w:i/>
                <w:sz w:val="22"/>
                <w:szCs w:val="22"/>
              </w:rPr>
              <w:t>3</w:t>
            </w:r>
            <w:r w:rsidRPr="003C6C7D">
              <w:rPr>
                <w:rFonts w:ascii="Times New Roman" w:hAnsi="Times New Roman"/>
                <w:i/>
                <w:sz w:val="22"/>
                <w:szCs w:val="22"/>
                <w:vertAlign w:val="superscript"/>
              </w:rPr>
              <w:t xml:space="preserve">ème </w:t>
            </w:r>
            <w:r w:rsidRPr="003C6C7D">
              <w:rPr>
                <w:rFonts w:ascii="Times New Roman" w:hAnsi="Times New Roman"/>
                <w:i/>
                <w:noProof/>
                <w:sz w:val="22"/>
                <w:szCs w:val="22"/>
              </w:rPr>
              <w:t>client et 4</w:t>
            </w:r>
            <w:r w:rsidRPr="003C6C7D">
              <w:rPr>
                <w:rFonts w:ascii="Times New Roman" w:hAnsi="Times New Roman"/>
                <w:i/>
                <w:noProof/>
                <w:sz w:val="22"/>
                <w:szCs w:val="22"/>
                <w:vertAlign w:val="superscript"/>
              </w:rPr>
              <w:t>ème</w:t>
            </w:r>
            <w:r w:rsidRPr="003C6C7D">
              <w:rPr>
                <w:rFonts w:ascii="Times New Roman" w:hAnsi="Times New Roman"/>
                <w:i/>
                <w:noProof/>
                <w:sz w:val="22"/>
                <w:szCs w:val="22"/>
              </w:rPr>
              <w:t xml:space="preserve">fournisseur </w:t>
            </w:r>
            <w:r>
              <w:rPr>
                <w:rFonts w:ascii="Times New Roman" w:hAnsi="Times New Roman"/>
                <w:i/>
                <w:noProof/>
                <w:sz w:val="22"/>
                <w:szCs w:val="22"/>
              </w:rPr>
              <w:t>en 2017.</w:t>
            </w:r>
          </w:p>
        </w:tc>
      </w:tr>
      <w:tr w:rsidR="000B1DF7" w:rsidRPr="009B1630" w:rsidTr="003B2BE6">
        <w:tc>
          <w:tcPr>
            <w:tcW w:w="2830" w:type="dxa"/>
            <w:tcBorders>
              <w:top w:val="single" w:sz="4" w:space="0" w:color="auto"/>
            </w:tcBorders>
            <w:shd w:val="clear" w:color="auto" w:fill="E1A800"/>
          </w:tcPr>
          <w:p w:rsidR="000B1DF7" w:rsidRPr="00415D0E" w:rsidRDefault="00E6209F" w:rsidP="00761149">
            <w:pPr>
              <w:pStyle w:val="Titre2"/>
              <w:keepNext w:val="0"/>
              <w:spacing w:line="240" w:lineRule="atLeast"/>
              <w:rPr>
                <w:color w:val="2A2755"/>
              </w:rPr>
            </w:pPr>
            <w:r w:rsidRPr="00E6209F">
              <w:rPr>
                <w:color w:val="auto"/>
              </w:rPr>
              <w:t xml:space="preserve">Hausse </w:t>
            </w:r>
            <w:r w:rsidR="00801AB6" w:rsidRPr="00E6209F">
              <w:rPr>
                <w:color w:val="auto"/>
              </w:rPr>
              <w:t>des échanges commerciaux</w:t>
            </w:r>
            <w:r w:rsidR="000D2FE6" w:rsidRPr="00E6209F">
              <w:rPr>
                <w:color w:val="auto"/>
              </w:rPr>
              <w:t xml:space="preserve"> (</w:t>
            </w:r>
            <w:r w:rsidRPr="00E6209F">
              <w:rPr>
                <w:color w:val="auto"/>
              </w:rPr>
              <w:t>+</w:t>
            </w:r>
            <w:r w:rsidR="00761149">
              <w:rPr>
                <w:color w:val="auto"/>
              </w:rPr>
              <w:t>8,2</w:t>
            </w:r>
            <w:r w:rsidR="000D2FE6" w:rsidRPr="00E6209F">
              <w:rPr>
                <w:color w:val="auto"/>
              </w:rPr>
              <w:t>%)</w:t>
            </w:r>
          </w:p>
        </w:tc>
        <w:tc>
          <w:tcPr>
            <w:tcW w:w="7526" w:type="dxa"/>
            <w:tcBorders>
              <w:top w:val="single" w:sz="4" w:space="0" w:color="auto"/>
            </w:tcBorders>
            <w:shd w:val="clear" w:color="auto" w:fill="auto"/>
          </w:tcPr>
          <w:p w:rsidR="001A08A1" w:rsidRPr="00E6209F" w:rsidRDefault="00761149" w:rsidP="008A20BF">
            <w:pPr>
              <w:pStyle w:val="Titre3"/>
              <w:keepNext w:val="0"/>
              <w:spacing w:line="240" w:lineRule="atLeast"/>
              <w:ind w:left="130"/>
              <w:jc w:val="both"/>
              <w:rPr>
                <w:rFonts w:ascii="Times New Roman" w:hAnsi="Times New Roman" w:cs="Times New Roman"/>
                <w:sz w:val="28"/>
                <w:szCs w:val="28"/>
              </w:rPr>
            </w:pPr>
            <w:r>
              <w:rPr>
                <w:rFonts w:ascii="Times New Roman" w:hAnsi="Times New Roman" w:cs="Times New Roman"/>
                <w:sz w:val="28"/>
                <w:szCs w:val="28"/>
              </w:rPr>
              <w:t>Réduction du déficit de nos échanges</w:t>
            </w:r>
          </w:p>
          <w:p w:rsidR="008A20BF" w:rsidRPr="008F161A" w:rsidRDefault="008A20BF" w:rsidP="008A20BF">
            <w:pPr>
              <w:rPr>
                <w:color w:val="FF0000"/>
              </w:rPr>
            </w:pPr>
          </w:p>
        </w:tc>
      </w:tr>
      <w:tr w:rsidR="000B1DF7" w:rsidRPr="00D5161D" w:rsidTr="0056261B">
        <w:tc>
          <w:tcPr>
            <w:tcW w:w="2830" w:type="dxa"/>
          </w:tcPr>
          <w:p w:rsidR="00BD2DD1" w:rsidRDefault="001E1639" w:rsidP="00BC0605">
            <w:pPr>
              <w:spacing w:line="276" w:lineRule="auto"/>
              <w:rPr>
                <w:rFonts w:ascii="Arial" w:hAnsi="Arial" w:cs="Arial"/>
                <w:sz w:val="16"/>
              </w:rPr>
            </w:pPr>
            <w:r>
              <w:rPr>
                <w:noProof/>
              </w:rPr>
              <w:drawing>
                <wp:inline distT="0" distB="0" distL="0" distR="0" wp14:anchorId="2CC59C7C" wp14:editId="34111EC9">
                  <wp:extent cx="1552575" cy="18859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2575" cy="1885950"/>
                          </a:xfrm>
                          <a:prstGeom prst="rect">
                            <a:avLst/>
                          </a:prstGeom>
                        </pic:spPr>
                      </pic:pic>
                    </a:graphicData>
                  </a:graphic>
                </wp:inline>
              </w:drawing>
            </w:r>
          </w:p>
          <w:p w:rsidR="00BD2DD1" w:rsidRPr="00761149" w:rsidRDefault="004955CF" w:rsidP="00BC0605">
            <w:pPr>
              <w:spacing w:line="276" w:lineRule="auto"/>
              <w:rPr>
                <w:rFonts w:ascii="Arial" w:hAnsi="Arial" w:cs="Arial"/>
                <w:color w:val="FF0000"/>
                <w:sz w:val="16"/>
              </w:rPr>
            </w:pPr>
            <w:r w:rsidRPr="00D223AF">
              <w:rPr>
                <w:rFonts w:ascii="Arial" w:hAnsi="Arial" w:cs="Arial"/>
                <w:sz w:val="16"/>
              </w:rPr>
              <w:t>Données consultables s</w:t>
            </w:r>
            <w:r w:rsidR="003632B9" w:rsidRPr="00D223AF">
              <w:rPr>
                <w:rFonts w:ascii="Arial" w:hAnsi="Arial" w:cs="Arial"/>
                <w:sz w:val="16"/>
              </w:rPr>
              <w:t>ur le portail « Le Kiosque de Bercy » (</w:t>
            </w:r>
            <w:hyperlink r:id="rId10" w:history="1">
              <w:r w:rsidR="00D223AF" w:rsidRPr="00AF6A72">
                <w:rPr>
                  <w:rStyle w:val="Lienhypertexte"/>
                  <w:rFonts w:ascii="Arial" w:hAnsi="Arial" w:cs="Arial"/>
                </w:rPr>
                <w:t>https://lekiosque.finances.gouv.fr/</w:t>
              </w:r>
            </w:hyperlink>
            <w:r w:rsidR="00D223AF">
              <w:rPr>
                <w:rFonts w:ascii="Arial" w:hAnsi="Arial" w:cs="Arial"/>
                <w:color w:val="FF0000"/>
                <w:sz w:val="16"/>
              </w:rPr>
              <w:t xml:space="preserve"> </w:t>
            </w:r>
            <w:r w:rsidR="003632B9" w:rsidRPr="00D223AF">
              <w:rPr>
                <w:rFonts w:ascii="Arial" w:hAnsi="Arial" w:cs="Arial"/>
                <w:sz w:val="16"/>
              </w:rPr>
              <w:t>)</w:t>
            </w:r>
          </w:p>
          <w:p w:rsidR="002311BE" w:rsidRDefault="002311BE" w:rsidP="00BC0605">
            <w:pPr>
              <w:spacing w:line="276" w:lineRule="auto"/>
              <w:rPr>
                <w:rFonts w:ascii="Arial" w:hAnsi="Arial" w:cs="Arial"/>
                <w:sz w:val="16"/>
              </w:rPr>
            </w:pPr>
          </w:p>
          <w:p w:rsidR="002311BE" w:rsidRDefault="002311BE" w:rsidP="00BC0605">
            <w:pPr>
              <w:spacing w:line="276" w:lineRule="auto"/>
              <w:rPr>
                <w:rFonts w:ascii="Arial" w:hAnsi="Arial" w:cs="Arial"/>
                <w:sz w:val="16"/>
              </w:rPr>
            </w:pPr>
          </w:p>
          <w:p w:rsidR="00103348" w:rsidRPr="00103348" w:rsidRDefault="00103348" w:rsidP="00103348">
            <w:pPr>
              <w:rPr>
                <w:rFonts w:ascii="Arial" w:hAnsi="Arial" w:cs="Arial"/>
                <w:sz w:val="16"/>
              </w:rPr>
            </w:pPr>
          </w:p>
          <w:p w:rsidR="00F50E17" w:rsidRPr="009233B8" w:rsidRDefault="00F50E17" w:rsidP="00182200">
            <w:pPr>
              <w:rPr>
                <w:rFonts w:ascii="Arial" w:hAnsi="Arial" w:cs="Arial"/>
                <w:sz w:val="16"/>
              </w:rPr>
            </w:pPr>
          </w:p>
        </w:tc>
        <w:tc>
          <w:tcPr>
            <w:tcW w:w="7526" w:type="dxa"/>
          </w:tcPr>
          <w:p w:rsidR="00761149" w:rsidRPr="00761149" w:rsidRDefault="00761149" w:rsidP="00761149">
            <w:pPr>
              <w:overflowPunct w:val="0"/>
              <w:autoSpaceDE w:val="0"/>
              <w:autoSpaceDN w:val="0"/>
              <w:adjustRightInd w:val="0"/>
              <w:jc w:val="both"/>
              <w:textAlignment w:val="baseline"/>
              <w:rPr>
                <w:rFonts w:cs="Arial"/>
                <w:b/>
                <w:sz w:val="22"/>
                <w:szCs w:val="22"/>
              </w:rPr>
            </w:pPr>
            <w:r w:rsidRPr="00761149">
              <w:rPr>
                <w:rFonts w:cs="Arial"/>
                <w:b/>
                <w:sz w:val="22"/>
                <w:szCs w:val="22"/>
              </w:rPr>
              <w:t xml:space="preserve">Le montant total des échanges commerciaux entre la France et la Malaisie a atteint 4 009 M€ en 2017, </w:t>
            </w:r>
            <w:r w:rsidRPr="00761149">
              <w:rPr>
                <w:rFonts w:cs="Arial"/>
                <w:sz w:val="22"/>
                <w:szCs w:val="22"/>
              </w:rPr>
              <w:t xml:space="preserve">alors qu’il était de 3 704 M€ sur la même période de 2017, </w:t>
            </w:r>
            <w:r w:rsidRPr="00761149">
              <w:rPr>
                <w:rFonts w:cs="Arial"/>
                <w:b/>
                <w:sz w:val="22"/>
                <w:szCs w:val="22"/>
              </w:rPr>
              <w:t>soit une hausse de 8,2%.</w:t>
            </w:r>
            <w:r w:rsidRPr="00761149">
              <w:rPr>
                <w:rFonts w:cs="Arial"/>
                <w:sz w:val="22"/>
                <w:szCs w:val="22"/>
              </w:rPr>
              <w:t xml:space="preserve"> Le déficit de notre balance commerciale avec la Malaisie se réduit en passant de -642 M€ en 2016 à -239 M€ en 2017. </w:t>
            </w:r>
            <w:r w:rsidRPr="00761149">
              <w:rPr>
                <w:b/>
                <w:sz w:val="22"/>
                <w:szCs w:val="20"/>
              </w:rPr>
              <w:t>Le taux de couverture</w:t>
            </w:r>
            <w:r w:rsidRPr="00761149">
              <w:rPr>
                <w:sz w:val="22"/>
                <w:szCs w:val="20"/>
              </w:rPr>
              <w:t xml:space="preserve"> de nos importations par les exportations passe de son côté de 70 à </w:t>
            </w:r>
            <w:r w:rsidRPr="00761149">
              <w:rPr>
                <w:b/>
                <w:sz w:val="22"/>
                <w:szCs w:val="20"/>
              </w:rPr>
              <w:t>89%.</w:t>
            </w:r>
            <w:r>
              <w:rPr>
                <w:b/>
                <w:sz w:val="22"/>
                <w:szCs w:val="20"/>
              </w:rPr>
              <w:t xml:space="preserve"> </w:t>
            </w:r>
            <w:r w:rsidRPr="00761149">
              <w:rPr>
                <w:rFonts w:cs="Arial"/>
                <w:sz w:val="22"/>
                <w:szCs w:val="22"/>
              </w:rPr>
              <w:t>Cette amélioration s’explique, malgré une légère baisse des importations (-2,3%; 2</w:t>
            </w:r>
            <w:r w:rsidR="00F46A9F">
              <w:rPr>
                <w:rFonts w:cs="Arial"/>
                <w:sz w:val="22"/>
                <w:szCs w:val="22"/>
              </w:rPr>
              <w:t> </w:t>
            </w:r>
            <w:r w:rsidRPr="00761149">
              <w:rPr>
                <w:rFonts w:cs="Arial"/>
                <w:sz w:val="22"/>
                <w:szCs w:val="22"/>
              </w:rPr>
              <w:t>124</w:t>
            </w:r>
            <w:r w:rsidR="00F46A9F">
              <w:rPr>
                <w:rFonts w:cs="Arial"/>
                <w:sz w:val="22"/>
                <w:szCs w:val="22"/>
              </w:rPr>
              <w:t> </w:t>
            </w:r>
            <w:r w:rsidRPr="00761149">
              <w:rPr>
                <w:rFonts w:cs="Arial"/>
                <w:noProof/>
                <w:sz w:val="22"/>
                <w:szCs w:val="22"/>
              </w:rPr>
              <w:t>M€</w:t>
            </w:r>
            <w:r w:rsidRPr="00761149">
              <w:rPr>
                <w:rFonts w:cs="Arial"/>
                <w:sz w:val="22"/>
                <w:szCs w:val="22"/>
              </w:rPr>
              <w:t>),</w:t>
            </w:r>
            <w:r w:rsidRPr="00761149">
              <w:rPr>
                <w:rFonts w:cs="Arial"/>
                <w:b/>
                <w:sz w:val="22"/>
                <w:szCs w:val="22"/>
              </w:rPr>
              <w:t xml:space="preserve"> par une forte hausse de 23,1% </w:t>
            </w:r>
            <w:r w:rsidRPr="00761149">
              <w:rPr>
                <w:rFonts w:cs="Arial"/>
                <w:sz w:val="22"/>
                <w:szCs w:val="22"/>
              </w:rPr>
              <w:t xml:space="preserve">de nos exportations (1 885 </w:t>
            </w:r>
            <w:r w:rsidRPr="00761149">
              <w:rPr>
                <w:rFonts w:cs="Arial"/>
                <w:noProof/>
                <w:sz w:val="22"/>
                <w:szCs w:val="22"/>
              </w:rPr>
              <w:t>M€</w:t>
            </w:r>
            <w:r w:rsidRPr="00761149">
              <w:rPr>
                <w:rFonts w:cs="Arial"/>
                <w:sz w:val="22"/>
                <w:szCs w:val="22"/>
              </w:rPr>
              <w:t>), liée à</w:t>
            </w:r>
            <w:r w:rsidRPr="00761149">
              <w:rPr>
                <w:rFonts w:cs="Arial"/>
                <w:b/>
                <w:sz w:val="22"/>
                <w:szCs w:val="22"/>
              </w:rPr>
              <w:t xml:space="preserve"> des livraisons d’Airbus à Air Asia. </w:t>
            </w:r>
            <w:r w:rsidRPr="00761149">
              <w:rPr>
                <w:rFonts w:cs="Arial"/>
                <w:sz w:val="22"/>
                <w:szCs w:val="22"/>
              </w:rPr>
              <w:t xml:space="preserve">Le </w:t>
            </w:r>
            <w:r w:rsidRPr="00761149">
              <w:rPr>
                <w:rFonts w:cs="Arial"/>
                <w:b/>
                <w:sz w:val="22"/>
                <w:szCs w:val="22"/>
              </w:rPr>
              <w:t>taux de couverture</w:t>
            </w:r>
            <w:r w:rsidRPr="00761149">
              <w:rPr>
                <w:rFonts w:cs="Arial"/>
                <w:sz w:val="22"/>
                <w:szCs w:val="22"/>
              </w:rPr>
              <w:t xml:space="preserve"> de nos importations passe ainsi de 70% à </w:t>
            </w:r>
            <w:r w:rsidRPr="00761149">
              <w:rPr>
                <w:rFonts w:cs="Arial"/>
                <w:b/>
                <w:sz w:val="22"/>
                <w:szCs w:val="22"/>
              </w:rPr>
              <w:t>89%.</w:t>
            </w:r>
            <w:r w:rsidRPr="00761149">
              <w:rPr>
                <w:rFonts w:cs="Arial"/>
                <w:sz w:val="22"/>
                <w:szCs w:val="22"/>
              </w:rPr>
              <w:t xml:space="preserve"> Parmi les pays de l’Asean, </w:t>
            </w:r>
            <w:r w:rsidRPr="00761149">
              <w:rPr>
                <w:rFonts w:cs="Arial"/>
                <w:b/>
                <w:sz w:val="22"/>
                <w:szCs w:val="22"/>
              </w:rPr>
              <w:t>la</w:t>
            </w:r>
            <w:r w:rsidRPr="00761149">
              <w:rPr>
                <w:rFonts w:cs="Arial"/>
                <w:sz w:val="22"/>
                <w:szCs w:val="22"/>
              </w:rPr>
              <w:t xml:space="preserve"> </w:t>
            </w:r>
            <w:r w:rsidRPr="00761149">
              <w:rPr>
                <w:rFonts w:cs="Arial"/>
                <w:b/>
                <w:sz w:val="22"/>
                <w:szCs w:val="22"/>
              </w:rPr>
              <w:t xml:space="preserve">Malaisie est ainsi notre </w:t>
            </w:r>
            <w:r w:rsidR="00F46A9F">
              <w:rPr>
                <w:rFonts w:cs="Arial"/>
                <w:b/>
                <w:sz w:val="22"/>
                <w:szCs w:val="22"/>
              </w:rPr>
              <w:t>4</w:t>
            </w:r>
            <w:r w:rsidR="00F46A9F" w:rsidRPr="00761149">
              <w:rPr>
                <w:rFonts w:cs="Arial"/>
                <w:b/>
                <w:sz w:val="22"/>
                <w:szCs w:val="22"/>
                <w:vertAlign w:val="superscript"/>
              </w:rPr>
              <w:t>ème</w:t>
            </w:r>
            <w:r w:rsidR="00F46A9F" w:rsidRPr="00761149">
              <w:rPr>
                <w:rFonts w:cs="Arial"/>
                <w:b/>
                <w:sz w:val="22"/>
                <w:szCs w:val="22"/>
              </w:rPr>
              <w:t xml:space="preserve"> </w:t>
            </w:r>
            <w:r w:rsidRPr="00761149">
              <w:rPr>
                <w:rFonts w:cs="Arial"/>
                <w:b/>
                <w:sz w:val="22"/>
                <w:szCs w:val="22"/>
              </w:rPr>
              <w:t>partenaire commercial, 3</w:t>
            </w:r>
            <w:r w:rsidRPr="00761149">
              <w:rPr>
                <w:rFonts w:cs="Arial"/>
                <w:b/>
                <w:sz w:val="22"/>
                <w:szCs w:val="22"/>
                <w:vertAlign w:val="superscript"/>
              </w:rPr>
              <w:t>ème</w:t>
            </w:r>
            <w:r w:rsidRPr="00761149">
              <w:rPr>
                <w:rFonts w:cs="Arial"/>
                <w:b/>
                <w:sz w:val="22"/>
                <w:szCs w:val="22"/>
              </w:rPr>
              <w:t xml:space="preserve"> client et 4</w:t>
            </w:r>
            <w:r w:rsidRPr="00761149">
              <w:rPr>
                <w:rFonts w:cs="Arial"/>
                <w:b/>
                <w:sz w:val="22"/>
                <w:szCs w:val="22"/>
                <w:vertAlign w:val="superscript"/>
              </w:rPr>
              <w:t>ème</w:t>
            </w:r>
            <w:r w:rsidRPr="00761149">
              <w:rPr>
                <w:rFonts w:cs="Arial"/>
                <w:b/>
                <w:sz w:val="22"/>
                <w:szCs w:val="22"/>
              </w:rPr>
              <w:t xml:space="preserve"> fournisseur en 2017.  </w:t>
            </w:r>
          </w:p>
          <w:p w:rsidR="00761149" w:rsidRPr="00E6209F" w:rsidRDefault="00761149" w:rsidP="00E6209F">
            <w:pPr>
              <w:overflowPunct w:val="0"/>
              <w:autoSpaceDE w:val="0"/>
              <w:autoSpaceDN w:val="0"/>
              <w:adjustRightInd w:val="0"/>
              <w:jc w:val="both"/>
              <w:textAlignment w:val="baseline"/>
              <w:rPr>
                <w:b/>
                <w:color w:val="FF0000"/>
                <w:sz w:val="22"/>
                <w:szCs w:val="20"/>
              </w:rPr>
            </w:pPr>
          </w:p>
          <w:p w:rsidR="00761149" w:rsidRPr="00761149" w:rsidRDefault="00761149" w:rsidP="00761149">
            <w:pPr>
              <w:overflowPunct w:val="0"/>
              <w:autoSpaceDE w:val="0"/>
              <w:autoSpaceDN w:val="0"/>
              <w:adjustRightInd w:val="0"/>
              <w:jc w:val="both"/>
              <w:textAlignment w:val="baseline"/>
              <w:rPr>
                <w:iCs/>
                <w:sz w:val="22"/>
                <w:szCs w:val="22"/>
              </w:rPr>
            </w:pPr>
            <w:r w:rsidRPr="00761149">
              <w:rPr>
                <w:rFonts w:cs="Arial"/>
                <w:sz w:val="22"/>
                <w:szCs w:val="22"/>
              </w:rPr>
              <w:t xml:space="preserve">Les flux de services bilatéraux étant négligeables, ils ne compensent pas le déséquilibre de la balance commerciale. </w:t>
            </w:r>
            <w:r w:rsidRPr="00761149">
              <w:rPr>
                <w:iCs/>
                <w:sz w:val="22"/>
                <w:szCs w:val="22"/>
              </w:rPr>
              <w:t>Cependant, ces résultats peuvent ne pas refléter la totalité de nos échanges réels avec ce pays, en raison d’une part, de la non-prise en compte des exportations de matériel de défense</w:t>
            </w:r>
            <w:r w:rsidRPr="00761149">
              <w:rPr>
                <w:sz w:val="22"/>
                <w:szCs w:val="20"/>
              </w:rPr>
              <w:t xml:space="preserve">. D’autre part, </w:t>
            </w:r>
            <w:r w:rsidRPr="00761149">
              <w:rPr>
                <w:iCs/>
                <w:sz w:val="22"/>
                <w:szCs w:val="22"/>
              </w:rPr>
              <w:t xml:space="preserve">le rôle de redistribution de Singapour dans cette région, et inversement de Rotterdam, crée un biais statistique dans l’analyse de nos échanges avec la Malaisie, puisque selon les statistiques malaisiennes, les échanges resteraient excédentaires en faveur de la France : importations depuis la France vers la Malaisie de 12,91 Md de ringgits (environ 2,66 Md </w:t>
            </w:r>
            <w:r w:rsidRPr="00761149">
              <w:rPr>
                <w:sz w:val="22"/>
                <w:szCs w:val="20"/>
              </w:rPr>
              <w:t xml:space="preserve">€) </w:t>
            </w:r>
            <w:r w:rsidRPr="00761149">
              <w:rPr>
                <w:iCs/>
                <w:sz w:val="22"/>
                <w:szCs w:val="22"/>
              </w:rPr>
              <w:t xml:space="preserve">et exportations de la Malaisie vers la France de 5,83 Md de ringgits (environ 1,2 Md </w:t>
            </w:r>
            <w:r w:rsidRPr="00761149">
              <w:rPr>
                <w:sz w:val="22"/>
                <w:szCs w:val="20"/>
              </w:rPr>
              <w:t xml:space="preserve">€), </w:t>
            </w:r>
            <w:r w:rsidRPr="00761149">
              <w:rPr>
                <w:iCs/>
                <w:sz w:val="22"/>
                <w:szCs w:val="22"/>
              </w:rPr>
              <w:t>soit un solde excédentaire pour la France de 7,08</w:t>
            </w:r>
            <w:r w:rsidR="00F46A9F">
              <w:rPr>
                <w:iCs/>
                <w:sz w:val="22"/>
                <w:szCs w:val="22"/>
              </w:rPr>
              <w:t> </w:t>
            </w:r>
            <w:r w:rsidRPr="00761149">
              <w:rPr>
                <w:iCs/>
                <w:sz w:val="22"/>
                <w:szCs w:val="22"/>
              </w:rPr>
              <w:t>Md</w:t>
            </w:r>
            <w:r w:rsidR="00F46A9F">
              <w:rPr>
                <w:iCs/>
                <w:sz w:val="22"/>
                <w:szCs w:val="22"/>
              </w:rPr>
              <w:t> </w:t>
            </w:r>
            <w:r w:rsidRPr="00761149">
              <w:rPr>
                <w:iCs/>
                <w:sz w:val="22"/>
                <w:szCs w:val="22"/>
              </w:rPr>
              <w:t xml:space="preserve">MYR (environ 1,46 Md </w:t>
            </w:r>
            <w:r w:rsidRPr="00761149">
              <w:rPr>
                <w:sz w:val="22"/>
                <w:szCs w:val="20"/>
              </w:rPr>
              <w:t>€)</w:t>
            </w:r>
            <w:r w:rsidRPr="00761149">
              <w:rPr>
                <w:iCs/>
                <w:sz w:val="22"/>
                <w:szCs w:val="22"/>
              </w:rPr>
              <w:t>.</w:t>
            </w:r>
          </w:p>
          <w:p w:rsidR="00761149" w:rsidRPr="00761149" w:rsidRDefault="00761149" w:rsidP="00761149">
            <w:pPr>
              <w:overflowPunct w:val="0"/>
              <w:autoSpaceDE w:val="0"/>
              <w:autoSpaceDN w:val="0"/>
              <w:adjustRightInd w:val="0"/>
              <w:jc w:val="both"/>
              <w:textAlignment w:val="baseline"/>
              <w:rPr>
                <w:iCs/>
                <w:color w:val="FF0000"/>
                <w:sz w:val="22"/>
                <w:szCs w:val="22"/>
              </w:rPr>
            </w:pPr>
          </w:p>
          <w:p w:rsidR="00761149" w:rsidRPr="00761149" w:rsidRDefault="00761149" w:rsidP="00761149">
            <w:pPr>
              <w:overflowPunct w:val="0"/>
              <w:autoSpaceDE w:val="0"/>
              <w:autoSpaceDN w:val="0"/>
              <w:adjustRightInd w:val="0"/>
              <w:jc w:val="both"/>
              <w:textAlignment w:val="baseline"/>
              <w:rPr>
                <w:iCs/>
                <w:sz w:val="22"/>
                <w:szCs w:val="22"/>
              </w:rPr>
            </w:pPr>
            <w:r w:rsidRPr="00761149">
              <w:rPr>
                <w:iCs/>
                <w:sz w:val="22"/>
                <w:szCs w:val="22"/>
              </w:rPr>
              <w:t>Par ailleurs, ce niveau d’échanges n’est pas encore au potentiel de nos deux économies, en particulier pour nos ventes à la Malaisie qui souffrent encore de difficultés d’accès au marché (produits agroalimentaires et procédures SPS, vins et spiritueux, marché automobile,…).</w:t>
            </w:r>
          </w:p>
          <w:p w:rsidR="00182200" w:rsidRPr="00E6209F" w:rsidRDefault="00634A56" w:rsidP="00E6209F">
            <w:pPr>
              <w:overflowPunct w:val="0"/>
              <w:autoSpaceDE w:val="0"/>
              <w:autoSpaceDN w:val="0"/>
              <w:adjustRightInd w:val="0"/>
              <w:jc w:val="both"/>
              <w:textAlignment w:val="baseline"/>
              <w:rPr>
                <w:iCs/>
                <w:sz w:val="22"/>
                <w:szCs w:val="22"/>
              </w:rPr>
            </w:pPr>
            <w:r>
              <w:rPr>
                <w:noProof/>
              </w:rPr>
              <w:lastRenderedPageBreak/>
              <w:drawing>
                <wp:inline distT="0" distB="0" distL="0" distR="0" wp14:anchorId="38EA95CA" wp14:editId="1A8143D2">
                  <wp:extent cx="4600575" cy="193357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3AB7" w:rsidRPr="008F161A" w:rsidRDefault="00182200" w:rsidP="00AA2689">
            <w:pPr>
              <w:rPr>
                <w:color w:val="FF0000"/>
              </w:rPr>
            </w:pPr>
            <w:r w:rsidRPr="00716928">
              <w:rPr>
                <w:i/>
                <w:sz w:val="20"/>
                <w:szCs w:val="20"/>
              </w:rPr>
              <w:t>Source : Douanes françaises</w:t>
            </w:r>
          </w:p>
        </w:tc>
      </w:tr>
    </w:tbl>
    <w:tbl>
      <w:tblPr>
        <w:tblW w:w="10206" w:type="dxa"/>
        <w:tblInd w:w="70" w:type="dxa"/>
        <w:tblBorders>
          <w:top w:val="single" w:sz="4" w:space="0" w:color="FF9900"/>
        </w:tblBorders>
        <w:tblLayout w:type="fixed"/>
        <w:tblCellMar>
          <w:left w:w="70" w:type="dxa"/>
          <w:right w:w="70" w:type="dxa"/>
        </w:tblCellMar>
        <w:tblLook w:val="0000" w:firstRow="0" w:lastRow="0" w:firstColumn="0" w:lastColumn="0" w:noHBand="0" w:noVBand="0"/>
      </w:tblPr>
      <w:tblGrid>
        <w:gridCol w:w="2680"/>
        <w:gridCol w:w="1645"/>
        <w:gridCol w:w="2268"/>
        <w:gridCol w:w="3613"/>
      </w:tblGrid>
      <w:tr w:rsidR="004018FB" w:rsidRPr="009B1630" w:rsidTr="00BB671F">
        <w:tc>
          <w:tcPr>
            <w:tcW w:w="2680" w:type="dxa"/>
            <w:tcBorders>
              <w:top w:val="single" w:sz="4" w:space="0" w:color="2A2755"/>
              <w:bottom w:val="nil"/>
            </w:tcBorders>
            <w:shd w:val="clear" w:color="auto" w:fill="E1A800"/>
          </w:tcPr>
          <w:p w:rsidR="004018FB" w:rsidRPr="00415D0E" w:rsidRDefault="00FA5A7D" w:rsidP="006C7D2F">
            <w:pPr>
              <w:pStyle w:val="Titre2"/>
              <w:keepNext w:val="0"/>
              <w:spacing w:line="240" w:lineRule="atLeast"/>
              <w:rPr>
                <w:color w:val="2A2755"/>
              </w:rPr>
            </w:pPr>
            <w:r>
              <w:rPr>
                <w:color w:val="2A2755"/>
              </w:rPr>
              <w:lastRenderedPageBreak/>
              <w:t>E</w:t>
            </w:r>
            <w:r w:rsidR="00801AB6">
              <w:rPr>
                <w:color w:val="2A2755"/>
              </w:rPr>
              <w:t>xportations</w:t>
            </w:r>
            <w:r>
              <w:rPr>
                <w:color w:val="2A2755"/>
              </w:rPr>
              <w:t xml:space="preserve"> </w:t>
            </w:r>
            <w:r w:rsidR="000D2FE6">
              <w:rPr>
                <w:color w:val="2A2755"/>
              </w:rPr>
              <w:t>(</w:t>
            </w:r>
            <w:r w:rsidR="00501C29">
              <w:rPr>
                <w:color w:val="2A2755"/>
              </w:rPr>
              <w:t>+</w:t>
            </w:r>
            <w:r w:rsidR="006C7D2F">
              <w:rPr>
                <w:color w:val="2A2755"/>
              </w:rPr>
              <w:t>23,1</w:t>
            </w:r>
            <w:r w:rsidR="00501C29">
              <w:rPr>
                <w:color w:val="2A2755"/>
              </w:rPr>
              <w:t>%</w:t>
            </w:r>
            <w:r w:rsidR="000D2FE6">
              <w:rPr>
                <w:color w:val="2A2755"/>
              </w:rPr>
              <w:t>)</w:t>
            </w:r>
          </w:p>
        </w:tc>
        <w:tc>
          <w:tcPr>
            <w:tcW w:w="7526" w:type="dxa"/>
            <w:gridSpan w:val="3"/>
            <w:tcBorders>
              <w:top w:val="single" w:sz="4" w:space="0" w:color="2A2755"/>
              <w:bottom w:val="nil"/>
            </w:tcBorders>
            <w:shd w:val="clear" w:color="auto" w:fill="auto"/>
          </w:tcPr>
          <w:p w:rsidR="004018FB" w:rsidRPr="008F161A" w:rsidRDefault="00CE4F55" w:rsidP="00501C29">
            <w:pPr>
              <w:pStyle w:val="Titre3"/>
              <w:keepNext w:val="0"/>
              <w:spacing w:line="240" w:lineRule="atLeast"/>
              <w:ind w:left="130"/>
              <w:jc w:val="both"/>
              <w:rPr>
                <w:rFonts w:ascii="Times New Roman" w:hAnsi="Times New Roman" w:cs="Times New Roman"/>
                <w:color w:val="FF0000"/>
                <w:sz w:val="28"/>
                <w:szCs w:val="28"/>
              </w:rPr>
            </w:pPr>
            <w:r w:rsidRPr="00501C29">
              <w:rPr>
                <w:rFonts w:ascii="Times New Roman" w:hAnsi="Times New Roman" w:cs="Times New Roman"/>
                <w:sz w:val="28"/>
                <w:szCs w:val="28"/>
              </w:rPr>
              <w:t>E</w:t>
            </w:r>
            <w:r w:rsidR="008F4E2F" w:rsidRPr="00501C29">
              <w:rPr>
                <w:rFonts w:ascii="Times New Roman" w:hAnsi="Times New Roman" w:cs="Times New Roman"/>
                <w:sz w:val="28"/>
                <w:szCs w:val="28"/>
              </w:rPr>
              <w:t xml:space="preserve">xportations en </w:t>
            </w:r>
            <w:r w:rsidR="00FB48F9">
              <w:rPr>
                <w:rFonts w:ascii="Times New Roman" w:hAnsi="Times New Roman" w:cs="Times New Roman"/>
                <w:sz w:val="28"/>
                <w:szCs w:val="28"/>
              </w:rPr>
              <w:t xml:space="preserve">forte </w:t>
            </w:r>
            <w:r w:rsidR="00501C29" w:rsidRPr="00501C29">
              <w:rPr>
                <w:rFonts w:ascii="Times New Roman" w:hAnsi="Times New Roman" w:cs="Times New Roman"/>
                <w:sz w:val="28"/>
                <w:szCs w:val="28"/>
              </w:rPr>
              <w:t>hausse</w:t>
            </w:r>
            <w:r w:rsidR="008F4E2F" w:rsidRPr="00501C29">
              <w:rPr>
                <w:rFonts w:ascii="Times New Roman" w:hAnsi="Times New Roman" w:cs="Times New Roman"/>
                <w:sz w:val="28"/>
                <w:szCs w:val="28"/>
              </w:rPr>
              <w:t>, en raison de livraisons aéronautiques</w:t>
            </w:r>
            <w:r w:rsidR="00501C29" w:rsidRPr="00501C29">
              <w:rPr>
                <w:rFonts w:ascii="Times New Roman" w:hAnsi="Times New Roman" w:cs="Times New Roman"/>
                <w:sz w:val="28"/>
                <w:szCs w:val="28"/>
              </w:rPr>
              <w:t xml:space="preserve"> plus élevées</w:t>
            </w:r>
          </w:p>
        </w:tc>
      </w:tr>
      <w:tr w:rsidR="004018FB" w:rsidRPr="00D5161D" w:rsidTr="00BB671F">
        <w:tc>
          <w:tcPr>
            <w:tcW w:w="2680" w:type="dxa"/>
            <w:tcBorders>
              <w:top w:val="nil"/>
              <w:bottom w:val="nil"/>
            </w:tcBorders>
          </w:tcPr>
          <w:p w:rsidR="00FA2A49" w:rsidRPr="000D2FE6" w:rsidRDefault="00FA2A49" w:rsidP="000C375A">
            <w:pPr>
              <w:spacing w:line="276" w:lineRule="auto"/>
              <w:jc w:val="center"/>
              <w:rPr>
                <w:rFonts w:ascii="Arial" w:hAnsi="Arial" w:cs="Arial"/>
                <w:i/>
                <w:sz w:val="16"/>
                <w:szCs w:val="16"/>
              </w:rPr>
            </w:pPr>
          </w:p>
          <w:p w:rsidR="00FA2A49" w:rsidRPr="00C24717" w:rsidRDefault="00FA2A49" w:rsidP="002C23B4">
            <w:pPr>
              <w:jc w:val="center"/>
              <w:rPr>
                <w:rFonts w:ascii="Arial" w:hAnsi="Arial" w:cs="Arial"/>
                <w:sz w:val="16"/>
                <w:szCs w:val="16"/>
              </w:rPr>
            </w:pPr>
          </w:p>
          <w:p w:rsidR="002C23B4" w:rsidRDefault="008375E2" w:rsidP="00144A7C">
            <w:pPr>
              <w:overflowPunct w:val="0"/>
              <w:autoSpaceDE w:val="0"/>
              <w:autoSpaceDN w:val="0"/>
              <w:adjustRightInd w:val="0"/>
              <w:jc w:val="both"/>
              <w:textAlignment w:val="baseline"/>
              <w:rPr>
                <w:color w:val="000000" w:themeColor="text1"/>
                <w:sz w:val="22"/>
                <w:szCs w:val="20"/>
              </w:rPr>
            </w:pPr>
            <w:r>
              <w:rPr>
                <w:noProof/>
              </w:rPr>
              <w:drawing>
                <wp:inline distT="0" distB="0" distL="0" distR="0" wp14:anchorId="0D3743F1" wp14:editId="43BBE029">
                  <wp:extent cx="1612900" cy="16764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12900" cy="1676400"/>
                          </a:xfrm>
                          <a:prstGeom prst="rect">
                            <a:avLst/>
                          </a:prstGeom>
                        </pic:spPr>
                      </pic:pic>
                    </a:graphicData>
                  </a:graphic>
                </wp:inline>
              </w:drawing>
            </w:r>
          </w:p>
          <w:p w:rsidR="008375E2" w:rsidRDefault="008375E2" w:rsidP="00144A7C">
            <w:pPr>
              <w:overflowPunct w:val="0"/>
              <w:autoSpaceDE w:val="0"/>
              <w:autoSpaceDN w:val="0"/>
              <w:adjustRightInd w:val="0"/>
              <w:jc w:val="both"/>
              <w:textAlignment w:val="baseline"/>
              <w:rPr>
                <w:color w:val="000000" w:themeColor="text1"/>
                <w:sz w:val="22"/>
                <w:szCs w:val="20"/>
              </w:rPr>
            </w:pPr>
            <w:r>
              <w:rPr>
                <w:noProof/>
              </w:rPr>
              <w:drawing>
                <wp:inline distT="0" distB="0" distL="0" distR="0" wp14:anchorId="6D243141" wp14:editId="40399993">
                  <wp:extent cx="1612900" cy="1828165"/>
                  <wp:effectExtent l="0" t="0" r="635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12900" cy="1828165"/>
                          </a:xfrm>
                          <a:prstGeom prst="rect">
                            <a:avLst/>
                          </a:prstGeom>
                        </pic:spPr>
                      </pic:pic>
                    </a:graphicData>
                  </a:graphic>
                </wp:inline>
              </w:drawing>
            </w:r>
          </w:p>
          <w:p w:rsidR="008E4108" w:rsidRPr="008E4108" w:rsidRDefault="008E4108" w:rsidP="008E4108">
            <w:pPr>
              <w:overflowPunct w:val="0"/>
              <w:autoSpaceDE w:val="0"/>
              <w:autoSpaceDN w:val="0"/>
              <w:adjustRightInd w:val="0"/>
              <w:jc w:val="both"/>
              <w:textAlignment w:val="baseline"/>
              <w:rPr>
                <w:i/>
                <w:sz w:val="20"/>
                <w:szCs w:val="20"/>
              </w:rPr>
            </w:pPr>
            <w:r w:rsidRPr="008E4108">
              <w:rPr>
                <w:i/>
                <w:sz w:val="20"/>
                <w:szCs w:val="20"/>
              </w:rPr>
              <w:t>Source : Douanes françaises</w:t>
            </w:r>
          </w:p>
          <w:p w:rsidR="002C23B4" w:rsidRDefault="002C23B4" w:rsidP="00144A7C">
            <w:pPr>
              <w:overflowPunct w:val="0"/>
              <w:autoSpaceDE w:val="0"/>
              <w:autoSpaceDN w:val="0"/>
              <w:adjustRightInd w:val="0"/>
              <w:jc w:val="both"/>
              <w:textAlignment w:val="baseline"/>
              <w:rPr>
                <w:color w:val="000000" w:themeColor="text1"/>
                <w:sz w:val="22"/>
                <w:szCs w:val="20"/>
              </w:rPr>
            </w:pPr>
          </w:p>
          <w:p w:rsidR="00501C29" w:rsidRDefault="00501C29" w:rsidP="008375E2">
            <w:pPr>
              <w:overflowPunct w:val="0"/>
              <w:autoSpaceDE w:val="0"/>
              <w:autoSpaceDN w:val="0"/>
              <w:adjustRightInd w:val="0"/>
              <w:jc w:val="center"/>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501C29" w:rsidRDefault="00501C29" w:rsidP="00144A7C">
            <w:pPr>
              <w:overflowPunct w:val="0"/>
              <w:autoSpaceDE w:val="0"/>
              <w:autoSpaceDN w:val="0"/>
              <w:adjustRightInd w:val="0"/>
              <w:jc w:val="both"/>
              <w:textAlignment w:val="baseline"/>
              <w:rPr>
                <w:color w:val="000000" w:themeColor="text1"/>
                <w:sz w:val="22"/>
                <w:szCs w:val="20"/>
              </w:rPr>
            </w:pPr>
          </w:p>
          <w:p w:rsidR="00B8058A" w:rsidRDefault="00B8058A" w:rsidP="0044570D">
            <w:pPr>
              <w:overflowPunct w:val="0"/>
              <w:autoSpaceDE w:val="0"/>
              <w:autoSpaceDN w:val="0"/>
              <w:adjustRightInd w:val="0"/>
              <w:jc w:val="both"/>
              <w:textAlignment w:val="baseline"/>
              <w:rPr>
                <w:bCs/>
                <w:sz w:val="20"/>
                <w:szCs w:val="20"/>
              </w:rPr>
            </w:pPr>
          </w:p>
          <w:p w:rsidR="00B8058A" w:rsidRDefault="00B8058A"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CE3AB7" w:rsidRDefault="00CE3AB7" w:rsidP="0044570D">
            <w:pPr>
              <w:overflowPunct w:val="0"/>
              <w:autoSpaceDE w:val="0"/>
              <w:autoSpaceDN w:val="0"/>
              <w:adjustRightInd w:val="0"/>
              <w:jc w:val="both"/>
              <w:textAlignment w:val="baseline"/>
              <w:rPr>
                <w:bCs/>
                <w:sz w:val="20"/>
                <w:szCs w:val="20"/>
              </w:rPr>
            </w:pPr>
          </w:p>
          <w:p w:rsidR="008375E2" w:rsidRDefault="008375E2" w:rsidP="005B6D9E">
            <w:pPr>
              <w:overflowPunct w:val="0"/>
              <w:autoSpaceDE w:val="0"/>
              <w:autoSpaceDN w:val="0"/>
              <w:adjustRightInd w:val="0"/>
              <w:jc w:val="both"/>
              <w:textAlignment w:val="baseline"/>
              <w:rPr>
                <w:bCs/>
                <w:sz w:val="20"/>
                <w:szCs w:val="20"/>
              </w:rPr>
            </w:pPr>
          </w:p>
          <w:p w:rsidR="00474A2C" w:rsidRPr="008F161A" w:rsidRDefault="0044570D" w:rsidP="005B6D9E">
            <w:pPr>
              <w:overflowPunct w:val="0"/>
              <w:autoSpaceDE w:val="0"/>
              <w:autoSpaceDN w:val="0"/>
              <w:adjustRightInd w:val="0"/>
              <w:jc w:val="both"/>
              <w:textAlignment w:val="baseline"/>
              <w:rPr>
                <w:sz w:val="20"/>
                <w:szCs w:val="20"/>
              </w:rPr>
            </w:pPr>
            <w:r w:rsidRPr="00AA6D34">
              <w:rPr>
                <w:bCs/>
                <w:sz w:val="20"/>
                <w:szCs w:val="20"/>
              </w:rPr>
              <w:t xml:space="preserve">La </w:t>
            </w:r>
            <w:r w:rsidRPr="00AA6D34">
              <w:rPr>
                <w:sz w:val="20"/>
                <w:szCs w:val="20"/>
              </w:rPr>
              <w:t>France, 1</w:t>
            </w:r>
            <w:r w:rsidR="00FB48F9">
              <w:rPr>
                <w:sz w:val="20"/>
                <w:szCs w:val="20"/>
              </w:rPr>
              <w:t>5</w:t>
            </w:r>
            <w:r w:rsidR="00144A7C" w:rsidRPr="00AA6D34">
              <w:rPr>
                <w:b/>
                <w:sz w:val="20"/>
                <w:szCs w:val="20"/>
                <w:vertAlign w:val="superscript"/>
              </w:rPr>
              <w:t>ème</w:t>
            </w:r>
            <w:r w:rsidR="00144A7C" w:rsidRPr="00AA6D34">
              <w:rPr>
                <w:b/>
                <w:sz w:val="20"/>
                <w:szCs w:val="20"/>
              </w:rPr>
              <w:t xml:space="preserve"> fournisseur</w:t>
            </w:r>
            <w:r w:rsidRPr="00AA6D34">
              <w:rPr>
                <w:b/>
                <w:sz w:val="20"/>
                <w:szCs w:val="20"/>
              </w:rPr>
              <w:t xml:space="preserve"> de la Malaisie </w:t>
            </w:r>
            <w:r w:rsidRPr="00AA6D34">
              <w:rPr>
                <w:sz w:val="20"/>
                <w:szCs w:val="20"/>
              </w:rPr>
              <w:t>(pa</w:t>
            </w:r>
            <w:r w:rsidR="00144A7C" w:rsidRPr="00AA6D34">
              <w:rPr>
                <w:sz w:val="20"/>
                <w:szCs w:val="20"/>
              </w:rPr>
              <w:t>rt de marché</w:t>
            </w:r>
            <w:r w:rsidRPr="00AA6D34">
              <w:rPr>
                <w:sz w:val="20"/>
                <w:szCs w:val="20"/>
              </w:rPr>
              <w:t xml:space="preserve"> : </w:t>
            </w:r>
            <w:r w:rsidR="00144A7C" w:rsidRPr="00AA6D34">
              <w:rPr>
                <w:sz w:val="20"/>
                <w:szCs w:val="20"/>
              </w:rPr>
              <w:t>1,</w:t>
            </w:r>
            <w:r w:rsidR="00FB48F9">
              <w:rPr>
                <w:sz w:val="20"/>
                <w:szCs w:val="20"/>
              </w:rPr>
              <w:t>5</w:t>
            </w:r>
            <w:r w:rsidR="00D423E0">
              <w:rPr>
                <w:sz w:val="20"/>
                <w:szCs w:val="20"/>
              </w:rPr>
              <w:t>4</w:t>
            </w:r>
            <w:r w:rsidR="00144A7C" w:rsidRPr="00AA6D34">
              <w:rPr>
                <w:sz w:val="20"/>
                <w:szCs w:val="20"/>
              </w:rPr>
              <w:t>%</w:t>
            </w:r>
            <w:r w:rsidRPr="00AA6D34">
              <w:rPr>
                <w:sz w:val="20"/>
                <w:szCs w:val="20"/>
              </w:rPr>
              <w:t xml:space="preserve">) et </w:t>
            </w:r>
            <w:r w:rsidR="00D423E0" w:rsidRPr="0003322A">
              <w:rPr>
                <w:b/>
                <w:sz w:val="20"/>
                <w:szCs w:val="20"/>
              </w:rPr>
              <w:t>2</w:t>
            </w:r>
            <w:r w:rsidRPr="0003322A">
              <w:rPr>
                <w:b/>
                <w:sz w:val="20"/>
                <w:szCs w:val="20"/>
                <w:vertAlign w:val="superscript"/>
              </w:rPr>
              <w:t>ème</w:t>
            </w:r>
            <w:r w:rsidRPr="00AA6D34">
              <w:rPr>
                <w:b/>
                <w:sz w:val="20"/>
                <w:szCs w:val="20"/>
              </w:rPr>
              <w:t xml:space="preserve"> fournisseur européen</w:t>
            </w:r>
            <w:r w:rsidRPr="00AA6D34">
              <w:rPr>
                <w:sz w:val="20"/>
                <w:szCs w:val="20"/>
              </w:rPr>
              <w:t>,</w:t>
            </w:r>
            <w:r w:rsidR="005B6D9E">
              <w:rPr>
                <w:sz w:val="20"/>
                <w:szCs w:val="20"/>
              </w:rPr>
              <w:t xml:space="preserve"> </w:t>
            </w:r>
            <w:r w:rsidR="00144A7C" w:rsidRPr="00AA6D34">
              <w:rPr>
                <w:sz w:val="20"/>
                <w:szCs w:val="20"/>
              </w:rPr>
              <w:t>derrière l’Allemagne</w:t>
            </w:r>
            <w:r w:rsidRPr="00AA6D34">
              <w:rPr>
                <w:sz w:val="20"/>
                <w:szCs w:val="20"/>
              </w:rPr>
              <w:t xml:space="preserve">. </w:t>
            </w:r>
          </w:p>
        </w:tc>
        <w:tc>
          <w:tcPr>
            <w:tcW w:w="7526" w:type="dxa"/>
            <w:gridSpan w:val="3"/>
            <w:tcBorders>
              <w:top w:val="nil"/>
              <w:bottom w:val="nil"/>
            </w:tcBorders>
          </w:tcPr>
          <w:p w:rsidR="0050173C" w:rsidRDefault="0050173C" w:rsidP="00FB48F9">
            <w:pPr>
              <w:overflowPunct w:val="0"/>
              <w:autoSpaceDE w:val="0"/>
              <w:autoSpaceDN w:val="0"/>
              <w:adjustRightInd w:val="0"/>
              <w:jc w:val="both"/>
              <w:textAlignment w:val="baseline"/>
              <w:rPr>
                <w:sz w:val="22"/>
                <w:szCs w:val="20"/>
              </w:rPr>
            </w:pPr>
          </w:p>
          <w:p w:rsidR="00FB48F9" w:rsidRPr="00FB48F9" w:rsidRDefault="00FB48F9" w:rsidP="00FB48F9">
            <w:pPr>
              <w:overflowPunct w:val="0"/>
              <w:autoSpaceDE w:val="0"/>
              <w:autoSpaceDN w:val="0"/>
              <w:adjustRightInd w:val="0"/>
              <w:jc w:val="both"/>
              <w:textAlignment w:val="baseline"/>
              <w:rPr>
                <w:sz w:val="22"/>
                <w:szCs w:val="20"/>
              </w:rPr>
            </w:pPr>
            <w:r w:rsidRPr="00FB48F9">
              <w:rPr>
                <w:sz w:val="22"/>
                <w:szCs w:val="20"/>
              </w:rPr>
              <w:t>Sur l’année 2017, nos ventes à destination de la Malaisie se sont élevées à 1 885 M€ contre 1 531 M€ en 2016</w:t>
            </w:r>
            <w:r w:rsidRPr="00FB48F9">
              <w:rPr>
                <w:rFonts w:cs="Arial"/>
                <w:sz w:val="22"/>
                <w:szCs w:val="22"/>
              </w:rPr>
              <w:t xml:space="preserve">. </w:t>
            </w:r>
            <w:r w:rsidRPr="00FB48F9">
              <w:rPr>
                <w:sz w:val="22"/>
                <w:szCs w:val="20"/>
              </w:rPr>
              <w:t xml:space="preserve">Cette hausse de 23,1% s’explique principalement </w:t>
            </w:r>
            <w:r w:rsidRPr="00FB48F9">
              <w:rPr>
                <w:b/>
                <w:sz w:val="22"/>
                <w:szCs w:val="20"/>
              </w:rPr>
              <w:t>par la forte progression</w:t>
            </w:r>
            <w:r w:rsidRPr="00FB48F9">
              <w:rPr>
                <w:sz w:val="22"/>
                <w:szCs w:val="20"/>
              </w:rPr>
              <w:t xml:space="preserve"> </w:t>
            </w:r>
            <w:r w:rsidRPr="00FB48F9">
              <w:rPr>
                <w:b/>
                <w:sz w:val="22"/>
                <w:szCs w:val="20"/>
              </w:rPr>
              <w:t>des ventes de matériels de transport</w:t>
            </w:r>
            <w:r w:rsidRPr="00FB48F9">
              <w:rPr>
                <w:sz w:val="22"/>
                <w:szCs w:val="20"/>
              </w:rPr>
              <w:t xml:space="preserve"> en 2017</w:t>
            </w:r>
            <w:r w:rsidRPr="00FB48F9">
              <w:rPr>
                <w:rFonts w:cs="Arial"/>
                <w:sz w:val="22"/>
                <w:szCs w:val="22"/>
              </w:rPr>
              <w:t xml:space="preserve"> (1 112 </w:t>
            </w:r>
            <w:r w:rsidRPr="00FB48F9">
              <w:rPr>
                <w:rFonts w:cs="Arial"/>
                <w:noProof/>
                <w:sz w:val="22"/>
                <w:szCs w:val="22"/>
              </w:rPr>
              <w:t xml:space="preserve">M€ ; +48,2%), à commencer </w:t>
            </w:r>
            <w:r w:rsidRPr="00FB48F9">
              <w:rPr>
                <w:rFonts w:cs="Arial"/>
                <w:sz w:val="22"/>
                <w:szCs w:val="22"/>
              </w:rPr>
              <w:t>par les exportations aéronautiques en hausse de +47% (1</w:t>
            </w:r>
            <w:r w:rsidR="00F46A9F">
              <w:rPr>
                <w:rFonts w:cs="Arial"/>
                <w:sz w:val="22"/>
                <w:szCs w:val="22"/>
              </w:rPr>
              <w:t> </w:t>
            </w:r>
            <w:r w:rsidRPr="00FB48F9">
              <w:rPr>
                <w:rFonts w:cs="Arial"/>
                <w:sz w:val="22"/>
                <w:szCs w:val="22"/>
              </w:rPr>
              <w:t>071</w:t>
            </w:r>
            <w:r w:rsidR="00F46A9F">
              <w:rPr>
                <w:rFonts w:cs="Arial"/>
                <w:sz w:val="22"/>
                <w:szCs w:val="22"/>
              </w:rPr>
              <w:t> </w:t>
            </w:r>
            <w:r w:rsidRPr="00FB48F9">
              <w:rPr>
                <w:rFonts w:cs="Arial"/>
                <w:noProof/>
                <w:sz w:val="22"/>
                <w:szCs w:val="22"/>
              </w:rPr>
              <w:t>M€ contre 728 M€ en 2016</w:t>
            </w:r>
            <w:r w:rsidRPr="00FB48F9">
              <w:rPr>
                <w:rFonts w:cs="Arial"/>
                <w:sz w:val="22"/>
                <w:szCs w:val="22"/>
              </w:rPr>
              <w:t xml:space="preserve">). </w:t>
            </w:r>
            <w:r w:rsidRPr="00FB48F9">
              <w:rPr>
                <w:sz w:val="22"/>
                <w:szCs w:val="20"/>
                <w:u w:val="single"/>
              </w:rPr>
              <w:t xml:space="preserve">La part de l’aéronautique dans nos exportations repasse ainsi de 47,6% à </w:t>
            </w:r>
            <w:r w:rsidRPr="00FB48F9">
              <w:rPr>
                <w:b/>
                <w:sz w:val="22"/>
                <w:szCs w:val="20"/>
                <w:u w:val="single"/>
              </w:rPr>
              <w:t>56,8%</w:t>
            </w:r>
            <w:r w:rsidRPr="00FB48F9">
              <w:rPr>
                <w:sz w:val="22"/>
                <w:szCs w:val="20"/>
              </w:rPr>
              <w:t xml:space="preserve">, en raison d’un calendrier de livraison plus favorable d’Airbus commandés par Air Asia. Les ventes de véhicules automobiles sont également en hausse, passant de 9,8 M€ à 22,6 M€ en 2017 (+131,2%) – ce qui reflète le succès du nouveau véhicule 3008 de Peugeot (dont les 1 000 premières unités ont été totalement importées de France) -, ainsi que celles d’autres parties et accessoires pour véhicules automobiles (+39,2% ; 10,4 M€). </w:t>
            </w:r>
          </w:p>
          <w:p w:rsidR="00FB48F9" w:rsidRPr="00FB48F9" w:rsidRDefault="00FB48F9" w:rsidP="00FB48F9">
            <w:pPr>
              <w:overflowPunct w:val="0"/>
              <w:autoSpaceDE w:val="0"/>
              <w:autoSpaceDN w:val="0"/>
              <w:adjustRightInd w:val="0"/>
              <w:jc w:val="both"/>
              <w:textAlignment w:val="baseline"/>
              <w:rPr>
                <w:sz w:val="22"/>
                <w:szCs w:val="20"/>
              </w:rPr>
            </w:pPr>
          </w:p>
          <w:p w:rsidR="00FB48F9" w:rsidRPr="00FB48F9" w:rsidRDefault="00FB48F9" w:rsidP="00FB48F9">
            <w:pPr>
              <w:overflowPunct w:val="0"/>
              <w:autoSpaceDE w:val="0"/>
              <w:autoSpaceDN w:val="0"/>
              <w:adjustRightInd w:val="0"/>
              <w:jc w:val="both"/>
              <w:textAlignment w:val="baseline"/>
              <w:rPr>
                <w:rFonts w:cs="Arial"/>
                <w:sz w:val="22"/>
                <w:szCs w:val="22"/>
              </w:rPr>
            </w:pPr>
            <w:r w:rsidRPr="00FB48F9">
              <w:rPr>
                <w:rFonts w:cs="Arial"/>
                <w:sz w:val="22"/>
                <w:szCs w:val="22"/>
              </w:rPr>
              <w:t xml:space="preserve">Deux autres postes d’exportations ont également connu des progressions significatives en 2017 :  </w:t>
            </w:r>
          </w:p>
          <w:p w:rsidR="00FB48F9" w:rsidRPr="00FB48F9" w:rsidRDefault="00FB48F9" w:rsidP="00FB48F9">
            <w:pPr>
              <w:overflowPunct w:val="0"/>
              <w:autoSpaceDE w:val="0"/>
              <w:autoSpaceDN w:val="0"/>
              <w:adjustRightInd w:val="0"/>
              <w:jc w:val="both"/>
              <w:textAlignment w:val="baseline"/>
              <w:rPr>
                <w:rFonts w:cs="Arial"/>
                <w:sz w:val="22"/>
                <w:szCs w:val="22"/>
              </w:rPr>
            </w:pPr>
          </w:p>
          <w:p w:rsidR="00FB48F9" w:rsidRPr="00FB48F9" w:rsidRDefault="00FB48F9" w:rsidP="00FB48F9">
            <w:pPr>
              <w:numPr>
                <w:ilvl w:val="0"/>
                <w:numId w:val="12"/>
              </w:numPr>
              <w:overflowPunct w:val="0"/>
              <w:autoSpaceDE w:val="0"/>
              <w:autoSpaceDN w:val="0"/>
              <w:adjustRightInd w:val="0"/>
              <w:contextualSpacing/>
              <w:jc w:val="both"/>
              <w:textAlignment w:val="baseline"/>
              <w:rPr>
                <w:rFonts w:cs="Arial"/>
                <w:sz w:val="22"/>
                <w:szCs w:val="22"/>
              </w:rPr>
            </w:pPr>
            <w:r w:rsidRPr="00FB48F9">
              <w:rPr>
                <w:b/>
                <w:sz w:val="22"/>
                <w:szCs w:val="20"/>
              </w:rPr>
              <w:t xml:space="preserve">Les autres produits industriels </w:t>
            </w:r>
            <w:r w:rsidRPr="00FB48F9">
              <w:rPr>
                <w:sz w:val="22"/>
                <w:szCs w:val="20"/>
              </w:rPr>
              <w:t>(</w:t>
            </w:r>
            <w:r w:rsidRPr="00FB48F9">
              <w:rPr>
                <w:b/>
                <w:sz w:val="22"/>
                <w:szCs w:val="20"/>
              </w:rPr>
              <w:t>3</w:t>
            </w:r>
            <w:r w:rsidRPr="00FB48F9">
              <w:rPr>
                <w:b/>
                <w:sz w:val="22"/>
                <w:szCs w:val="20"/>
                <w:vertAlign w:val="superscript"/>
              </w:rPr>
              <w:t>ème</w:t>
            </w:r>
            <w:r w:rsidRPr="00FB48F9">
              <w:rPr>
                <w:b/>
                <w:sz w:val="22"/>
                <w:szCs w:val="20"/>
              </w:rPr>
              <w:t xml:space="preserve"> </w:t>
            </w:r>
            <w:r w:rsidRPr="00FB48F9">
              <w:rPr>
                <w:sz w:val="22"/>
                <w:szCs w:val="20"/>
              </w:rPr>
              <w:t>secteur d’exportations</w:t>
            </w:r>
            <w:r w:rsidRPr="00FB48F9">
              <w:rPr>
                <w:b/>
                <w:sz w:val="22"/>
                <w:szCs w:val="20"/>
              </w:rPr>
              <w:t xml:space="preserve"> </w:t>
            </w:r>
            <w:r w:rsidRPr="00FB48F9">
              <w:rPr>
                <w:sz w:val="22"/>
                <w:szCs w:val="20"/>
              </w:rPr>
              <w:t xml:space="preserve">pour </w:t>
            </w:r>
            <w:r w:rsidRPr="00FB48F9">
              <w:rPr>
                <w:b/>
                <w:sz w:val="22"/>
                <w:szCs w:val="20"/>
              </w:rPr>
              <w:t>14,3%</w:t>
            </w:r>
            <w:r w:rsidRPr="00FB48F9">
              <w:rPr>
                <w:sz w:val="22"/>
                <w:szCs w:val="20"/>
              </w:rPr>
              <w:t xml:space="preserve"> du total) ont enregistré une </w:t>
            </w:r>
            <w:r w:rsidRPr="00FB48F9">
              <w:rPr>
                <w:b/>
                <w:sz w:val="22"/>
                <w:szCs w:val="20"/>
              </w:rPr>
              <w:t>hausse de 3,8%</w:t>
            </w:r>
            <w:r w:rsidRPr="00FB48F9">
              <w:rPr>
                <w:sz w:val="22"/>
                <w:szCs w:val="20"/>
              </w:rPr>
              <w:t xml:space="preserve"> (269 M€), avec en particulier les </w:t>
            </w:r>
            <w:r w:rsidRPr="00FB48F9">
              <w:rPr>
                <w:i/>
                <w:sz w:val="22"/>
                <w:szCs w:val="20"/>
              </w:rPr>
              <w:t>« produits chimiques, parfums et cosmétiques »</w:t>
            </w:r>
            <w:r w:rsidRPr="00FB48F9">
              <w:rPr>
                <w:sz w:val="22"/>
                <w:szCs w:val="20"/>
              </w:rPr>
              <w:t xml:space="preserve"> (+3,7% ; 78,7 M€), </w:t>
            </w:r>
            <w:r w:rsidRPr="00FB48F9">
              <w:rPr>
                <w:i/>
                <w:sz w:val="22"/>
                <w:szCs w:val="20"/>
              </w:rPr>
              <w:t>les produits métallurgiques et métalliques (</w:t>
            </w:r>
            <w:r w:rsidRPr="00FB48F9">
              <w:rPr>
                <w:sz w:val="22"/>
                <w:szCs w:val="20"/>
              </w:rPr>
              <w:t xml:space="preserve">+24% ;47,3 M€), le poste </w:t>
            </w:r>
            <w:r w:rsidRPr="00FB48F9">
              <w:rPr>
                <w:i/>
                <w:sz w:val="22"/>
                <w:szCs w:val="20"/>
              </w:rPr>
              <w:t xml:space="preserve">« textiles, habillement, cuir et chaussures » ( </w:t>
            </w:r>
            <w:r w:rsidRPr="00FB48F9">
              <w:rPr>
                <w:sz w:val="22"/>
                <w:szCs w:val="20"/>
              </w:rPr>
              <w:t xml:space="preserve">+14,5% ; 26,7 M€) et </w:t>
            </w:r>
            <w:r w:rsidRPr="00FB48F9">
              <w:rPr>
                <w:i/>
                <w:sz w:val="22"/>
                <w:szCs w:val="20"/>
              </w:rPr>
              <w:t>le bois, le papier et le carton</w:t>
            </w:r>
            <w:r w:rsidRPr="00FB48F9">
              <w:rPr>
                <w:sz w:val="22"/>
                <w:szCs w:val="20"/>
              </w:rPr>
              <w:t xml:space="preserve"> (+11,1% ;16,2 M€) . En revanche, </w:t>
            </w:r>
            <w:r w:rsidRPr="00FB48F9">
              <w:rPr>
                <w:i/>
                <w:sz w:val="22"/>
                <w:szCs w:val="20"/>
              </w:rPr>
              <w:t xml:space="preserve">les </w:t>
            </w:r>
            <w:r w:rsidRPr="00FB48F9">
              <w:rPr>
                <w:i/>
                <w:sz w:val="22"/>
                <w:szCs w:val="20"/>
                <w:u w:val="single"/>
              </w:rPr>
              <w:t>produits pharmaceutiques</w:t>
            </w:r>
            <w:r w:rsidRPr="00FB48F9">
              <w:rPr>
                <w:sz w:val="22"/>
                <w:szCs w:val="20"/>
              </w:rPr>
              <w:t xml:space="preserve"> enregistrent une baisse de -2,5% pour un montant total de 60,9 M€, de même que les</w:t>
            </w:r>
            <w:r w:rsidRPr="00FB48F9">
              <w:rPr>
                <w:bCs/>
                <w:i/>
                <w:sz w:val="22"/>
                <w:szCs w:val="20"/>
              </w:rPr>
              <w:t xml:space="preserve"> produits en caoutchouc et en plastique</w:t>
            </w:r>
            <w:r w:rsidRPr="00FB48F9">
              <w:rPr>
                <w:bCs/>
                <w:sz w:val="22"/>
                <w:szCs w:val="20"/>
              </w:rPr>
              <w:t xml:space="preserve">, </w:t>
            </w:r>
            <w:r w:rsidRPr="00FB48F9">
              <w:rPr>
                <w:bCs/>
                <w:i/>
                <w:sz w:val="22"/>
                <w:szCs w:val="20"/>
              </w:rPr>
              <w:t>produits minéraux divers</w:t>
            </w:r>
            <w:r w:rsidRPr="00FB48F9">
              <w:rPr>
                <w:bCs/>
                <w:sz w:val="22"/>
                <w:szCs w:val="20"/>
              </w:rPr>
              <w:t xml:space="preserve"> (-17,1% ; 25,8 </w:t>
            </w:r>
            <w:r w:rsidRPr="00FB48F9">
              <w:rPr>
                <w:sz w:val="22"/>
                <w:szCs w:val="20"/>
              </w:rPr>
              <w:t xml:space="preserve">M€) </w:t>
            </w:r>
            <w:r w:rsidRPr="00FB48F9">
              <w:rPr>
                <w:i/>
                <w:sz w:val="22"/>
                <w:szCs w:val="20"/>
              </w:rPr>
              <w:t>et les produits manufacturés divers</w:t>
            </w:r>
            <w:r w:rsidRPr="00FB48F9">
              <w:rPr>
                <w:sz w:val="22"/>
                <w:szCs w:val="20"/>
              </w:rPr>
              <w:t xml:space="preserve"> (-0,9% ; 13,4 M€) ; </w:t>
            </w:r>
          </w:p>
          <w:p w:rsidR="00FB48F9" w:rsidRPr="00FB48F9" w:rsidRDefault="00FB48F9" w:rsidP="00FB48F9">
            <w:pPr>
              <w:numPr>
                <w:ilvl w:val="0"/>
                <w:numId w:val="12"/>
              </w:numPr>
              <w:overflowPunct w:val="0"/>
              <w:autoSpaceDE w:val="0"/>
              <w:autoSpaceDN w:val="0"/>
              <w:adjustRightInd w:val="0"/>
              <w:contextualSpacing/>
              <w:jc w:val="both"/>
              <w:textAlignment w:val="baseline"/>
              <w:rPr>
                <w:rFonts w:cs="Arial"/>
                <w:sz w:val="22"/>
                <w:szCs w:val="22"/>
              </w:rPr>
            </w:pPr>
            <w:r w:rsidRPr="00FB48F9">
              <w:rPr>
                <w:sz w:val="22"/>
                <w:szCs w:val="20"/>
              </w:rPr>
              <w:t xml:space="preserve">Les </w:t>
            </w:r>
            <w:r w:rsidRPr="00FB48F9">
              <w:rPr>
                <w:b/>
                <w:sz w:val="22"/>
                <w:szCs w:val="20"/>
              </w:rPr>
              <w:t>produits des industries agroalimentaires</w:t>
            </w:r>
            <w:r w:rsidRPr="00FB48F9">
              <w:rPr>
                <w:sz w:val="22"/>
                <w:szCs w:val="20"/>
              </w:rPr>
              <w:t xml:space="preserve"> (notre </w:t>
            </w:r>
            <w:r w:rsidRPr="00FB48F9">
              <w:rPr>
                <w:b/>
                <w:sz w:val="22"/>
                <w:szCs w:val="20"/>
              </w:rPr>
              <w:t>4</w:t>
            </w:r>
            <w:r w:rsidRPr="00FB48F9">
              <w:rPr>
                <w:b/>
                <w:sz w:val="22"/>
                <w:szCs w:val="20"/>
                <w:vertAlign w:val="superscript"/>
              </w:rPr>
              <w:t>ème</w:t>
            </w:r>
            <w:r w:rsidRPr="00FB48F9">
              <w:rPr>
                <w:b/>
                <w:sz w:val="22"/>
                <w:szCs w:val="20"/>
              </w:rPr>
              <w:t xml:space="preserve"> </w:t>
            </w:r>
            <w:r w:rsidRPr="00FB48F9">
              <w:rPr>
                <w:sz w:val="22"/>
                <w:szCs w:val="20"/>
              </w:rPr>
              <w:t xml:space="preserve">secteur d’exportations pour </w:t>
            </w:r>
            <w:r w:rsidRPr="00FB48F9">
              <w:rPr>
                <w:b/>
                <w:sz w:val="22"/>
                <w:szCs w:val="20"/>
              </w:rPr>
              <w:t>7,3%</w:t>
            </w:r>
            <w:r w:rsidRPr="00FB48F9">
              <w:rPr>
                <w:sz w:val="22"/>
                <w:szCs w:val="20"/>
              </w:rPr>
              <w:t xml:space="preserve"> du total</w:t>
            </w:r>
            <w:r w:rsidRPr="00FB48F9">
              <w:rPr>
                <w:b/>
                <w:sz w:val="22"/>
                <w:szCs w:val="20"/>
              </w:rPr>
              <w:t>)</w:t>
            </w:r>
            <w:r w:rsidRPr="00FB48F9">
              <w:rPr>
                <w:sz w:val="22"/>
                <w:szCs w:val="20"/>
              </w:rPr>
              <w:t xml:space="preserve">, qui enregistrent une </w:t>
            </w:r>
            <w:r w:rsidRPr="00FB48F9">
              <w:rPr>
                <w:b/>
                <w:sz w:val="22"/>
                <w:szCs w:val="20"/>
              </w:rPr>
              <w:t>hausse notable de 6,4%</w:t>
            </w:r>
            <w:r w:rsidRPr="00FB48F9">
              <w:rPr>
                <w:sz w:val="22"/>
                <w:szCs w:val="20"/>
              </w:rPr>
              <w:t xml:space="preserve"> pour s’établir à 137 M€ (contre 129 M€ en 2016), en particulier pour les </w:t>
            </w:r>
            <w:r w:rsidRPr="00FB48F9">
              <w:rPr>
                <w:i/>
                <w:sz w:val="22"/>
                <w:szCs w:val="20"/>
              </w:rPr>
              <w:t>« </w:t>
            </w:r>
            <w:r w:rsidRPr="00FB48F9">
              <w:rPr>
                <w:rFonts w:cs="Arial"/>
                <w:i/>
                <w:sz w:val="22"/>
                <w:szCs w:val="22"/>
                <w:u w:val="single"/>
              </w:rPr>
              <w:t>produits laitiers et fromages</w:t>
            </w:r>
            <w:r w:rsidRPr="00FB48F9">
              <w:rPr>
                <w:rFonts w:cs="Arial"/>
                <w:i/>
                <w:sz w:val="22"/>
                <w:szCs w:val="22"/>
              </w:rPr>
              <w:t> »</w:t>
            </w:r>
            <w:r w:rsidRPr="00FB48F9">
              <w:rPr>
                <w:rFonts w:cs="Arial"/>
                <w:sz w:val="22"/>
                <w:szCs w:val="22"/>
              </w:rPr>
              <w:t xml:space="preserve"> (+52,8% ; 40 </w:t>
            </w:r>
            <w:r w:rsidRPr="00FB48F9">
              <w:rPr>
                <w:rFonts w:cs="Arial"/>
                <w:noProof/>
                <w:sz w:val="22"/>
                <w:szCs w:val="22"/>
              </w:rPr>
              <w:t>M€</w:t>
            </w:r>
            <w:r w:rsidRPr="00FB48F9">
              <w:rPr>
                <w:rFonts w:cs="Arial"/>
                <w:sz w:val="22"/>
                <w:szCs w:val="22"/>
              </w:rPr>
              <w:t xml:space="preserve">) </w:t>
            </w:r>
            <w:r w:rsidRPr="00FB48F9">
              <w:rPr>
                <w:sz w:val="22"/>
                <w:szCs w:val="20"/>
              </w:rPr>
              <w:t>et les vins de raisin (+15,3% ; 12 M€). En revanche, les b</w:t>
            </w:r>
            <w:r w:rsidRPr="00FB48F9">
              <w:rPr>
                <w:bCs/>
                <w:sz w:val="22"/>
                <w:szCs w:val="20"/>
              </w:rPr>
              <w:t>oissons alcoolisées distillées ont fortement chuté (-</w:t>
            </w:r>
            <w:r w:rsidRPr="00FB48F9">
              <w:rPr>
                <w:sz w:val="22"/>
                <w:szCs w:val="20"/>
              </w:rPr>
              <w:t>17,7%; 42,4 M€), sans doute du fait de l’impact complet de la nouvelle fiscalité introduite en avril 2016 et d’un effet devise.</w:t>
            </w:r>
          </w:p>
          <w:p w:rsidR="00FB48F9" w:rsidRPr="00FB48F9" w:rsidRDefault="00FB48F9" w:rsidP="00FB48F9">
            <w:pPr>
              <w:overflowPunct w:val="0"/>
              <w:autoSpaceDE w:val="0"/>
              <w:autoSpaceDN w:val="0"/>
              <w:adjustRightInd w:val="0"/>
              <w:jc w:val="both"/>
              <w:textAlignment w:val="baseline"/>
              <w:rPr>
                <w:color w:val="FF0000"/>
                <w:sz w:val="22"/>
                <w:szCs w:val="20"/>
              </w:rPr>
            </w:pPr>
          </w:p>
          <w:p w:rsidR="00FB48F9" w:rsidRPr="00FB48F9" w:rsidRDefault="00FB48F9" w:rsidP="00FB48F9">
            <w:pPr>
              <w:overflowPunct w:val="0"/>
              <w:autoSpaceDE w:val="0"/>
              <w:autoSpaceDN w:val="0"/>
              <w:adjustRightInd w:val="0"/>
              <w:jc w:val="both"/>
              <w:textAlignment w:val="baseline"/>
              <w:rPr>
                <w:sz w:val="22"/>
                <w:szCs w:val="20"/>
              </w:rPr>
            </w:pPr>
            <w:r w:rsidRPr="00FB48F9">
              <w:rPr>
                <w:sz w:val="22"/>
                <w:szCs w:val="20"/>
              </w:rPr>
              <w:t xml:space="preserve">En ce qui concerne les autres postes, l’évolution de nos ventes est moins favorable : </w:t>
            </w:r>
          </w:p>
          <w:p w:rsidR="00FB48F9" w:rsidRPr="00FB48F9" w:rsidRDefault="00FB48F9" w:rsidP="00FB48F9">
            <w:pPr>
              <w:overflowPunct w:val="0"/>
              <w:autoSpaceDE w:val="0"/>
              <w:autoSpaceDN w:val="0"/>
              <w:adjustRightInd w:val="0"/>
              <w:jc w:val="both"/>
              <w:textAlignment w:val="baseline"/>
              <w:rPr>
                <w:sz w:val="22"/>
                <w:szCs w:val="20"/>
              </w:rPr>
            </w:pPr>
          </w:p>
          <w:p w:rsidR="00FB48F9" w:rsidRPr="00FB48F9" w:rsidRDefault="00FB48F9" w:rsidP="00FB48F9">
            <w:pPr>
              <w:numPr>
                <w:ilvl w:val="0"/>
                <w:numId w:val="12"/>
              </w:numPr>
              <w:overflowPunct w:val="0"/>
              <w:autoSpaceDE w:val="0"/>
              <w:autoSpaceDN w:val="0"/>
              <w:adjustRightInd w:val="0"/>
              <w:contextualSpacing/>
              <w:jc w:val="both"/>
              <w:textAlignment w:val="baseline"/>
              <w:rPr>
                <w:rFonts w:cs="Arial"/>
                <w:sz w:val="22"/>
                <w:szCs w:val="22"/>
              </w:rPr>
            </w:pPr>
            <w:r w:rsidRPr="00FB48F9">
              <w:rPr>
                <w:sz w:val="22"/>
                <w:szCs w:val="20"/>
              </w:rPr>
              <w:lastRenderedPageBreak/>
              <w:t>Nos ventes d’</w:t>
            </w:r>
            <w:r w:rsidRPr="00FB48F9">
              <w:rPr>
                <w:b/>
                <w:sz w:val="22"/>
                <w:szCs w:val="20"/>
              </w:rPr>
              <w:t xml:space="preserve">équipements mécaniques, de matériel électrique, électronique et informatique </w:t>
            </w:r>
            <w:r w:rsidRPr="00FB48F9">
              <w:rPr>
                <w:sz w:val="22"/>
                <w:szCs w:val="20"/>
              </w:rPr>
              <w:t xml:space="preserve">(notre </w:t>
            </w:r>
            <w:r w:rsidRPr="00FB48F9">
              <w:rPr>
                <w:b/>
                <w:sz w:val="22"/>
                <w:szCs w:val="20"/>
              </w:rPr>
              <w:t>2</w:t>
            </w:r>
            <w:r w:rsidRPr="00FB48F9">
              <w:rPr>
                <w:b/>
                <w:sz w:val="22"/>
                <w:szCs w:val="20"/>
                <w:vertAlign w:val="superscript"/>
              </w:rPr>
              <w:t>ème</w:t>
            </w:r>
            <w:r w:rsidRPr="00FB48F9">
              <w:rPr>
                <w:b/>
                <w:sz w:val="22"/>
                <w:szCs w:val="20"/>
              </w:rPr>
              <w:t xml:space="preserve"> secteur d’exportations</w:t>
            </w:r>
            <w:r w:rsidRPr="00FB48F9">
              <w:rPr>
                <w:sz w:val="22"/>
                <w:szCs w:val="20"/>
              </w:rPr>
              <w:t xml:space="preserve"> pour </w:t>
            </w:r>
            <w:r w:rsidRPr="00FB48F9">
              <w:rPr>
                <w:b/>
                <w:sz w:val="22"/>
                <w:szCs w:val="20"/>
              </w:rPr>
              <w:t xml:space="preserve">18,2% </w:t>
            </w:r>
            <w:r w:rsidRPr="00FB48F9">
              <w:rPr>
                <w:sz w:val="22"/>
                <w:szCs w:val="20"/>
              </w:rPr>
              <w:t>du total</w:t>
            </w:r>
            <w:r w:rsidRPr="00FB48F9">
              <w:rPr>
                <w:b/>
                <w:sz w:val="22"/>
                <w:szCs w:val="20"/>
              </w:rPr>
              <w:t>)</w:t>
            </w:r>
            <w:r w:rsidRPr="00FB48F9">
              <w:rPr>
                <w:sz w:val="22"/>
                <w:szCs w:val="20"/>
              </w:rPr>
              <w:t xml:space="preserve"> </w:t>
            </w:r>
            <w:r w:rsidRPr="00FB48F9">
              <w:rPr>
                <w:b/>
                <w:sz w:val="22"/>
                <w:szCs w:val="20"/>
              </w:rPr>
              <w:t xml:space="preserve">baissent de -2,3% (343 M€), </w:t>
            </w:r>
            <w:r w:rsidRPr="00FB48F9">
              <w:rPr>
                <w:sz w:val="22"/>
                <w:szCs w:val="20"/>
              </w:rPr>
              <w:t xml:space="preserve">au premier rang desquels </w:t>
            </w:r>
            <w:r w:rsidRPr="00FB48F9">
              <w:rPr>
                <w:i/>
                <w:sz w:val="22"/>
                <w:szCs w:val="20"/>
              </w:rPr>
              <w:t>les produits électroniques, informatiques et optiques</w:t>
            </w:r>
            <w:r w:rsidRPr="00FB48F9">
              <w:rPr>
                <w:b/>
                <w:i/>
                <w:sz w:val="22"/>
                <w:szCs w:val="20"/>
              </w:rPr>
              <w:t xml:space="preserve"> </w:t>
            </w:r>
            <w:r w:rsidRPr="00FB48F9">
              <w:rPr>
                <w:sz w:val="22"/>
                <w:szCs w:val="20"/>
              </w:rPr>
              <w:t>qui représentent 179 M€ (-4,6%),</w:t>
            </w:r>
            <w:r w:rsidRPr="00FB48F9">
              <w:rPr>
                <w:b/>
                <w:sz w:val="22"/>
                <w:szCs w:val="20"/>
              </w:rPr>
              <w:t xml:space="preserve"> </w:t>
            </w:r>
            <w:r w:rsidRPr="00FB48F9">
              <w:rPr>
                <w:sz w:val="22"/>
                <w:szCs w:val="20"/>
              </w:rPr>
              <w:t xml:space="preserve">avec en particulier les composants électroniques (87 M€ ; -19,9%) et </w:t>
            </w:r>
            <w:r w:rsidRPr="00FB48F9">
              <w:rPr>
                <w:rFonts w:cs="Arial"/>
                <w:sz w:val="22"/>
                <w:szCs w:val="22"/>
              </w:rPr>
              <w:t>les instruments de mesure, d’essai et de navigation (</w:t>
            </w:r>
            <w:r w:rsidRPr="00FB48F9">
              <w:rPr>
                <w:rFonts w:cs="Arial"/>
                <w:sz w:val="22"/>
                <w:szCs w:val="22"/>
              </w:rPr>
              <w:noBreakHyphen/>
              <w:t xml:space="preserve">2,4%; 43 </w:t>
            </w:r>
            <w:r w:rsidRPr="00FB48F9">
              <w:rPr>
                <w:rFonts w:cs="Arial"/>
                <w:noProof/>
                <w:sz w:val="22"/>
                <w:szCs w:val="22"/>
              </w:rPr>
              <w:t>M€</w:t>
            </w:r>
            <w:r w:rsidRPr="00FB48F9">
              <w:rPr>
                <w:rFonts w:cs="Arial"/>
                <w:sz w:val="22"/>
                <w:szCs w:val="22"/>
              </w:rPr>
              <w:t>), mais aussi les équipements électriques et ménagers (-65% ; 63</w:t>
            </w:r>
            <w:r w:rsidRPr="00FB48F9">
              <w:rPr>
                <w:rFonts w:cs="Arial"/>
                <w:noProof/>
                <w:sz w:val="22"/>
                <w:szCs w:val="22"/>
              </w:rPr>
              <w:t xml:space="preserve"> M€). En revanche, les machines industrielles et diverses ont progressé de 4,9% (101,6 </w:t>
            </w:r>
            <w:r w:rsidRPr="00FB48F9">
              <w:rPr>
                <w:rFonts w:cs="Arial"/>
                <w:sz w:val="22"/>
                <w:szCs w:val="22"/>
              </w:rPr>
              <w:t xml:space="preserve"> </w:t>
            </w:r>
            <w:r w:rsidRPr="00FB48F9">
              <w:rPr>
                <w:rFonts w:cs="Arial"/>
                <w:noProof/>
                <w:sz w:val="22"/>
                <w:szCs w:val="22"/>
              </w:rPr>
              <w:t xml:space="preserve">M€), en particlier les </w:t>
            </w:r>
            <w:r w:rsidRPr="00FB48F9">
              <w:rPr>
                <w:rFonts w:cs="Arial"/>
                <w:sz w:val="22"/>
                <w:szCs w:val="22"/>
              </w:rPr>
              <w:t>« autres pompes et compresseurs » (35</w:t>
            </w:r>
            <w:r w:rsidRPr="00FB48F9">
              <w:rPr>
                <w:rFonts w:cs="Arial"/>
                <w:noProof/>
                <w:sz w:val="22"/>
                <w:szCs w:val="22"/>
              </w:rPr>
              <w:t xml:space="preserve"> M€ ;</w:t>
            </w:r>
            <w:r w:rsidRPr="00FB48F9">
              <w:rPr>
                <w:rFonts w:cs="Arial"/>
                <w:sz w:val="22"/>
                <w:szCs w:val="22"/>
              </w:rPr>
              <w:t xml:space="preserve"> +74%) ;</w:t>
            </w:r>
          </w:p>
          <w:p w:rsidR="00FB48F9" w:rsidRPr="00FB48F9" w:rsidRDefault="00FB48F9" w:rsidP="00FB48F9">
            <w:pPr>
              <w:numPr>
                <w:ilvl w:val="0"/>
                <w:numId w:val="12"/>
              </w:numPr>
              <w:overflowPunct w:val="0"/>
              <w:autoSpaceDE w:val="0"/>
              <w:autoSpaceDN w:val="0"/>
              <w:adjustRightInd w:val="0"/>
              <w:contextualSpacing/>
              <w:jc w:val="both"/>
              <w:textAlignment w:val="baseline"/>
              <w:rPr>
                <w:rFonts w:cs="Arial"/>
                <w:sz w:val="22"/>
                <w:szCs w:val="22"/>
              </w:rPr>
            </w:pPr>
            <w:r w:rsidRPr="00FB48F9">
              <w:rPr>
                <w:rFonts w:cs="Arial"/>
                <w:sz w:val="22"/>
                <w:szCs w:val="22"/>
              </w:rPr>
              <w:t>Enfin,</w:t>
            </w:r>
            <w:r w:rsidRPr="00FB48F9">
              <w:rPr>
                <w:rFonts w:cs="Arial"/>
                <w:b/>
                <w:sz w:val="22"/>
                <w:szCs w:val="22"/>
              </w:rPr>
              <w:t xml:space="preserve"> les produits agricoles, sylvicoles, de la pêche et de l’aquaculture </w:t>
            </w:r>
            <w:r w:rsidRPr="00FB48F9">
              <w:rPr>
                <w:rFonts w:cs="Arial"/>
                <w:sz w:val="22"/>
                <w:szCs w:val="22"/>
              </w:rPr>
              <w:t>ont enregistré</w:t>
            </w:r>
            <w:r w:rsidRPr="00FB48F9">
              <w:rPr>
                <w:rFonts w:cs="Arial"/>
                <w:b/>
                <w:sz w:val="22"/>
                <w:szCs w:val="22"/>
              </w:rPr>
              <w:t xml:space="preserve"> une chute de 51,8% </w:t>
            </w:r>
            <w:r w:rsidRPr="00FB48F9">
              <w:rPr>
                <w:rFonts w:cs="Arial"/>
                <w:sz w:val="22"/>
                <w:szCs w:val="22"/>
              </w:rPr>
              <w:t xml:space="preserve">en passant de 16 à 7,8 </w:t>
            </w:r>
            <w:r w:rsidRPr="00FB48F9">
              <w:rPr>
                <w:rFonts w:cs="Arial"/>
                <w:noProof/>
                <w:sz w:val="22"/>
                <w:szCs w:val="22"/>
              </w:rPr>
              <w:t xml:space="preserve">M€, de même que </w:t>
            </w:r>
            <w:r w:rsidRPr="00FB48F9">
              <w:rPr>
                <w:rFonts w:cs="Arial"/>
                <w:b/>
                <w:noProof/>
                <w:sz w:val="22"/>
                <w:szCs w:val="22"/>
              </w:rPr>
              <w:t xml:space="preserve">les hydrocarbures naturels et autres produits des industries extractives </w:t>
            </w:r>
            <w:r w:rsidRPr="00FB48F9">
              <w:rPr>
                <w:rFonts w:cs="Arial"/>
                <w:noProof/>
                <w:sz w:val="22"/>
                <w:szCs w:val="22"/>
              </w:rPr>
              <w:t>(6 M€ ; -68,1%).</w:t>
            </w:r>
          </w:p>
          <w:p w:rsidR="00FB48F9" w:rsidRDefault="00FB48F9" w:rsidP="00FB48F9">
            <w:pPr>
              <w:jc w:val="both"/>
              <w:rPr>
                <w:sz w:val="22"/>
              </w:rPr>
            </w:pPr>
          </w:p>
          <w:p w:rsidR="00FB48F9" w:rsidRDefault="00FB48F9" w:rsidP="00FB48F9">
            <w:pPr>
              <w:jc w:val="both"/>
              <w:rPr>
                <w:sz w:val="22"/>
                <w:szCs w:val="22"/>
              </w:rPr>
            </w:pPr>
            <w:r w:rsidRPr="008D0F35">
              <w:rPr>
                <w:sz w:val="22"/>
              </w:rPr>
              <w:t xml:space="preserve">La Malaisie est en 2017 le </w:t>
            </w:r>
            <w:r w:rsidRPr="008D0F35">
              <w:rPr>
                <w:b/>
                <w:sz w:val="22"/>
              </w:rPr>
              <w:t>42</w:t>
            </w:r>
            <w:r w:rsidRPr="008D0F35">
              <w:rPr>
                <w:b/>
                <w:sz w:val="22"/>
                <w:vertAlign w:val="superscript"/>
              </w:rPr>
              <w:t>ème</w:t>
            </w:r>
            <w:r w:rsidRPr="008D0F35">
              <w:rPr>
                <w:b/>
                <w:sz w:val="22"/>
              </w:rPr>
              <w:t xml:space="preserve"> client de la France</w:t>
            </w:r>
            <w:r w:rsidRPr="008D0F35">
              <w:rPr>
                <w:sz w:val="22"/>
              </w:rPr>
              <w:t xml:space="preserve">, en progression de </w:t>
            </w:r>
            <w:r>
              <w:rPr>
                <w:sz w:val="22"/>
              </w:rPr>
              <w:t xml:space="preserve">trois </w:t>
            </w:r>
            <w:r w:rsidRPr="008D0F35">
              <w:rPr>
                <w:sz w:val="22"/>
              </w:rPr>
              <w:t xml:space="preserve">places par rapport à 2016, mais </w:t>
            </w:r>
            <w:r w:rsidRPr="00E84CD9">
              <w:rPr>
                <w:sz w:val="22"/>
              </w:rPr>
              <w:t xml:space="preserve">ne représente que </w:t>
            </w:r>
            <w:r w:rsidRPr="00E84CD9">
              <w:rPr>
                <w:b/>
                <w:sz w:val="22"/>
              </w:rPr>
              <w:t>0,41% de nos exportations totales</w:t>
            </w:r>
            <w:r w:rsidRPr="00E84CD9">
              <w:rPr>
                <w:sz w:val="22"/>
              </w:rPr>
              <w:t xml:space="preserve">. </w:t>
            </w:r>
            <w:r w:rsidRPr="00E84CD9">
              <w:rPr>
                <w:bCs/>
                <w:sz w:val="22"/>
              </w:rPr>
              <w:t xml:space="preserve">La </w:t>
            </w:r>
            <w:r w:rsidRPr="003955B6">
              <w:rPr>
                <w:bCs/>
                <w:sz w:val="22"/>
              </w:rPr>
              <w:t>Fédération malaisienne est notre 3</w:t>
            </w:r>
            <w:r w:rsidRPr="003955B6">
              <w:rPr>
                <w:bCs/>
                <w:sz w:val="22"/>
                <w:vertAlign w:val="superscript"/>
              </w:rPr>
              <w:t>ème</w:t>
            </w:r>
            <w:r w:rsidRPr="003955B6">
              <w:rPr>
                <w:bCs/>
                <w:sz w:val="22"/>
              </w:rPr>
              <w:t xml:space="preserve"> </w:t>
            </w:r>
            <w:r w:rsidRPr="003955B6">
              <w:rPr>
                <w:b/>
                <w:bCs/>
                <w:sz w:val="22"/>
              </w:rPr>
              <w:t xml:space="preserve">débouché en </w:t>
            </w:r>
            <w:r w:rsidRPr="00E84CD9">
              <w:rPr>
                <w:b/>
                <w:bCs/>
                <w:sz w:val="22"/>
              </w:rPr>
              <w:t>Asean (12,3% du total),</w:t>
            </w:r>
            <w:r w:rsidRPr="00E84CD9">
              <w:rPr>
                <w:bCs/>
                <w:sz w:val="22"/>
              </w:rPr>
              <w:t xml:space="preserve"> derrière </w:t>
            </w:r>
            <w:r w:rsidRPr="003955B6">
              <w:rPr>
                <w:bCs/>
                <w:sz w:val="22"/>
              </w:rPr>
              <w:t>Singapour (</w:t>
            </w:r>
            <w:r>
              <w:rPr>
                <w:bCs/>
                <w:sz w:val="22"/>
              </w:rPr>
              <w:t xml:space="preserve">6,8 Md€, </w:t>
            </w:r>
            <w:r w:rsidRPr="003955B6">
              <w:rPr>
                <w:bCs/>
                <w:sz w:val="22"/>
              </w:rPr>
              <w:t xml:space="preserve">plaque tournante par laquelle transite une partie importante mais non évaluée des produits exportés vers la Malaisie) et la </w:t>
            </w:r>
            <w:r w:rsidRPr="00E84CD9">
              <w:rPr>
                <w:bCs/>
                <w:sz w:val="22"/>
              </w:rPr>
              <w:t>Thaïlande</w:t>
            </w:r>
            <w:r>
              <w:rPr>
                <w:bCs/>
                <w:sz w:val="22"/>
              </w:rPr>
              <w:t xml:space="preserve"> (2,32 Md€)</w:t>
            </w:r>
            <w:r w:rsidRPr="00E84CD9">
              <w:rPr>
                <w:bCs/>
                <w:sz w:val="22"/>
              </w:rPr>
              <w:t>, et devant l’Indonésie</w:t>
            </w:r>
            <w:r>
              <w:rPr>
                <w:bCs/>
                <w:sz w:val="22"/>
              </w:rPr>
              <w:t xml:space="preserve"> (1,74 Md€)</w:t>
            </w:r>
            <w:r w:rsidRPr="00E84CD9">
              <w:rPr>
                <w:bCs/>
                <w:sz w:val="22"/>
              </w:rPr>
              <w:t xml:space="preserve"> et le Vietnam</w:t>
            </w:r>
            <w:r>
              <w:rPr>
                <w:bCs/>
                <w:sz w:val="22"/>
              </w:rPr>
              <w:t xml:space="preserve"> (1,6 Md€)</w:t>
            </w:r>
            <w:r w:rsidRPr="00E84CD9">
              <w:rPr>
                <w:bCs/>
                <w:sz w:val="22"/>
              </w:rPr>
              <w:t xml:space="preserve">. </w:t>
            </w:r>
          </w:p>
          <w:p w:rsidR="00FB48F9" w:rsidRPr="00D45005" w:rsidRDefault="00FB48F9" w:rsidP="00FB48F9">
            <w:pPr>
              <w:jc w:val="both"/>
              <w:rPr>
                <w:bCs/>
                <w:color w:val="FF0000"/>
                <w:sz w:val="22"/>
              </w:rPr>
            </w:pPr>
          </w:p>
          <w:p w:rsidR="00CE3AB7" w:rsidRPr="008F161A" w:rsidRDefault="00FB48F9" w:rsidP="005B6D9E">
            <w:pPr>
              <w:jc w:val="both"/>
              <w:rPr>
                <w:rFonts w:eastAsia="Calibri"/>
                <w:color w:val="FF0000"/>
                <w:sz w:val="20"/>
                <w:szCs w:val="20"/>
              </w:rPr>
            </w:pPr>
            <w:r w:rsidRPr="00357ECC">
              <w:rPr>
                <w:rFonts w:eastAsiaTheme="minorHAnsi"/>
                <w:sz w:val="22"/>
                <w:szCs w:val="22"/>
              </w:rPr>
              <w:t xml:space="preserve">Selon les statistiques officielles malaisiennes, </w:t>
            </w:r>
            <w:r w:rsidRPr="00357ECC">
              <w:rPr>
                <w:rFonts w:eastAsiaTheme="minorHAnsi"/>
                <w:sz w:val="22"/>
              </w:rPr>
              <w:t xml:space="preserve">la France est </w:t>
            </w:r>
            <w:r w:rsidRPr="00357ECC">
              <w:rPr>
                <w:rFonts w:eastAsiaTheme="minorHAnsi"/>
                <w:b/>
                <w:sz w:val="22"/>
              </w:rPr>
              <w:t>le 15</w:t>
            </w:r>
            <w:r w:rsidRPr="00357ECC">
              <w:rPr>
                <w:rFonts w:eastAsiaTheme="minorHAnsi"/>
                <w:b/>
                <w:sz w:val="22"/>
                <w:vertAlign w:val="superscript"/>
              </w:rPr>
              <w:t>ème</w:t>
            </w:r>
            <w:r w:rsidRPr="00357ECC">
              <w:rPr>
                <w:rFonts w:eastAsiaTheme="minorHAnsi"/>
                <w:b/>
                <w:sz w:val="22"/>
              </w:rPr>
              <w:t xml:space="preserve"> fournisseur </w:t>
            </w:r>
            <w:r w:rsidRPr="00357ECC">
              <w:rPr>
                <w:rFonts w:eastAsiaTheme="minorHAnsi"/>
                <w:sz w:val="22"/>
              </w:rPr>
              <w:t>(16</w:t>
            </w:r>
            <w:r w:rsidRPr="00357ECC">
              <w:rPr>
                <w:rFonts w:eastAsiaTheme="minorHAnsi"/>
                <w:sz w:val="22"/>
                <w:vertAlign w:val="superscript"/>
              </w:rPr>
              <w:t>ème</w:t>
            </w:r>
            <w:r w:rsidRPr="00357ECC">
              <w:rPr>
                <w:rFonts w:eastAsiaTheme="minorHAnsi"/>
                <w:sz w:val="22"/>
              </w:rPr>
              <w:t xml:space="preserve"> en 2016), avec </w:t>
            </w:r>
            <w:r w:rsidRPr="003749F8">
              <w:rPr>
                <w:rFonts w:eastAsiaTheme="minorHAnsi"/>
                <w:sz w:val="22"/>
              </w:rPr>
              <w:t xml:space="preserve">une </w:t>
            </w:r>
            <w:r w:rsidRPr="003749F8">
              <w:rPr>
                <w:rFonts w:eastAsiaTheme="minorHAnsi"/>
                <w:b/>
                <w:sz w:val="22"/>
                <w:szCs w:val="22"/>
              </w:rPr>
              <w:t>part de marché</w:t>
            </w:r>
            <w:r w:rsidRPr="003749F8">
              <w:rPr>
                <w:rFonts w:eastAsiaTheme="minorHAnsi"/>
                <w:sz w:val="22"/>
                <w:szCs w:val="22"/>
              </w:rPr>
              <w:t xml:space="preserve"> de </w:t>
            </w:r>
            <w:r w:rsidRPr="003749F8">
              <w:rPr>
                <w:rFonts w:eastAsiaTheme="minorHAnsi"/>
                <w:b/>
                <w:sz w:val="22"/>
                <w:szCs w:val="22"/>
              </w:rPr>
              <w:t xml:space="preserve">1,54% </w:t>
            </w:r>
            <w:r w:rsidRPr="003749F8">
              <w:rPr>
                <w:rFonts w:eastAsiaTheme="minorHAnsi"/>
                <w:sz w:val="22"/>
                <w:szCs w:val="22"/>
              </w:rPr>
              <w:t>(1,36% en 2016).</w:t>
            </w:r>
            <w:r w:rsidRPr="003749F8">
              <w:rPr>
                <w:rFonts w:eastAsiaTheme="minorHAnsi"/>
                <w:b/>
                <w:sz w:val="22"/>
                <w:szCs w:val="22"/>
              </w:rPr>
              <w:t xml:space="preserve"> Parmi les fournisseurs européens</w:t>
            </w:r>
            <w:r w:rsidRPr="003749F8">
              <w:rPr>
                <w:rFonts w:eastAsiaTheme="minorHAnsi"/>
                <w:sz w:val="22"/>
                <w:szCs w:val="22"/>
              </w:rPr>
              <w:t xml:space="preserve">, la France occupe </w:t>
            </w:r>
            <w:r w:rsidRPr="003749F8">
              <w:rPr>
                <w:rFonts w:eastAsiaTheme="minorHAnsi"/>
                <w:b/>
                <w:sz w:val="22"/>
                <w:szCs w:val="22"/>
              </w:rPr>
              <w:t xml:space="preserve">la </w:t>
            </w:r>
            <w:r w:rsidR="00CE3AB7">
              <w:rPr>
                <w:rFonts w:eastAsiaTheme="minorHAnsi"/>
                <w:b/>
                <w:sz w:val="22"/>
                <w:szCs w:val="22"/>
              </w:rPr>
              <w:t>2</w:t>
            </w:r>
            <w:r w:rsidR="00CE3AB7" w:rsidRPr="00CE3AB7">
              <w:rPr>
                <w:rFonts w:eastAsiaTheme="minorHAnsi"/>
                <w:b/>
                <w:sz w:val="22"/>
                <w:szCs w:val="22"/>
                <w:vertAlign w:val="superscript"/>
              </w:rPr>
              <w:t>ème</w:t>
            </w:r>
            <w:r w:rsidR="00CE3AB7">
              <w:rPr>
                <w:rFonts w:eastAsiaTheme="minorHAnsi"/>
                <w:b/>
                <w:sz w:val="22"/>
                <w:szCs w:val="22"/>
              </w:rPr>
              <w:t xml:space="preserve"> </w:t>
            </w:r>
            <w:r w:rsidRPr="005E69F0">
              <w:rPr>
                <w:rFonts w:eastAsiaTheme="minorHAnsi"/>
                <w:b/>
                <w:sz w:val="22"/>
                <w:szCs w:val="22"/>
              </w:rPr>
              <w:t xml:space="preserve">place, </w:t>
            </w:r>
            <w:r w:rsidRPr="005E69F0">
              <w:rPr>
                <w:rFonts w:eastAsiaTheme="minorHAnsi"/>
                <w:sz w:val="22"/>
                <w:szCs w:val="22"/>
              </w:rPr>
              <w:t>comme en 2016, derrière l’Allemagne (3,75%), mais devant les Pays-Bas (0,94%) et le Royaume Uni (0,8%)</w:t>
            </w:r>
            <w:r w:rsidR="005B6D9E">
              <w:rPr>
                <w:rFonts w:eastAsiaTheme="minorHAnsi"/>
                <w:sz w:val="22"/>
                <w:szCs w:val="22"/>
              </w:rPr>
              <w:t>.</w:t>
            </w:r>
            <w:bookmarkStart w:id="2" w:name="_GoBack"/>
            <w:bookmarkEnd w:id="2"/>
          </w:p>
        </w:tc>
      </w:tr>
      <w:tr w:rsidR="00C42BFF" w:rsidRPr="009B1630" w:rsidTr="002D1A40">
        <w:tc>
          <w:tcPr>
            <w:tcW w:w="2680" w:type="dxa"/>
            <w:tcBorders>
              <w:top w:val="single" w:sz="4" w:space="0" w:color="2A2755"/>
              <w:bottom w:val="nil"/>
            </w:tcBorders>
            <w:shd w:val="clear" w:color="auto" w:fill="E1A800"/>
          </w:tcPr>
          <w:p w:rsidR="00C42BFF" w:rsidRPr="00415D0E" w:rsidRDefault="00FA5A7D" w:rsidP="00CE3AB7">
            <w:pPr>
              <w:pStyle w:val="Titre2"/>
              <w:keepNext w:val="0"/>
              <w:spacing w:line="240" w:lineRule="atLeast"/>
              <w:rPr>
                <w:color w:val="2A2755"/>
              </w:rPr>
            </w:pPr>
            <w:r w:rsidRPr="00064D40">
              <w:rPr>
                <w:color w:val="auto"/>
              </w:rPr>
              <w:t>I</w:t>
            </w:r>
            <w:r w:rsidR="0072325F" w:rsidRPr="00064D40">
              <w:rPr>
                <w:color w:val="auto"/>
              </w:rPr>
              <w:t>mportations</w:t>
            </w:r>
            <w:r w:rsidR="000D2FE6" w:rsidRPr="00064D40">
              <w:rPr>
                <w:color w:val="auto"/>
              </w:rPr>
              <w:t xml:space="preserve"> (</w:t>
            </w:r>
            <w:r w:rsidR="00CE3AB7">
              <w:rPr>
                <w:color w:val="auto"/>
              </w:rPr>
              <w:t>-2,3</w:t>
            </w:r>
            <w:r w:rsidR="000D2FE6" w:rsidRPr="00064D40">
              <w:rPr>
                <w:color w:val="auto"/>
              </w:rPr>
              <w:t>%)</w:t>
            </w:r>
          </w:p>
        </w:tc>
        <w:tc>
          <w:tcPr>
            <w:tcW w:w="7526" w:type="dxa"/>
            <w:gridSpan w:val="3"/>
            <w:tcBorders>
              <w:top w:val="single" w:sz="4" w:space="0" w:color="2A2755"/>
              <w:bottom w:val="nil"/>
            </w:tcBorders>
            <w:shd w:val="clear" w:color="auto" w:fill="auto"/>
          </w:tcPr>
          <w:p w:rsidR="00C42BFF" w:rsidRPr="008F161A" w:rsidRDefault="00CE4F55" w:rsidP="00CE4F55">
            <w:pPr>
              <w:pStyle w:val="Titre3"/>
              <w:keepNext w:val="0"/>
              <w:spacing w:line="240" w:lineRule="atLeast"/>
              <w:ind w:left="130"/>
              <w:jc w:val="both"/>
              <w:rPr>
                <w:rFonts w:ascii="Times New Roman" w:hAnsi="Times New Roman" w:cs="Times New Roman"/>
                <w:color w:val="FF0000"/>
                <w:sz w:val="28"/>
                <w:szCs w:val="28"/>
              </w:rPr>
            </w:pPr>
            <w:r w:rsidRPr="00064D40">
              <w:rPr>
                <w:rFonts w:ascii="Times New Roman" w:hAnsi="Times New Roman" w:cs="Times New Roman"/>
                <w:sz w:val="28"/>
                <w:szCs w:val="28"/>
              </w:rPr>
              <w:t>Im</w:t>
            </w:r>
            <w:r w:rsidR="008F4E2F" w:rsidRPr="00064D40">
              <w:rPr>
                <w:rFonts w:ascii="Times New Roman" w:hAnsi="Times New Roman" w:cs="Times New Roman"/>
                <w:sz w:val="28"/>
                <w:szCs w:val="28"/>
              </w:rPr>
              <w:t>portations concentrées sur l</w:t>
            </w:r>
            <w:r w:rsidR="0072325F" w:rsidRPr="00064D40">
              <w:rPr>
                <w:rFonts w:ascii="Times New Roman" w:hAnsi="Times New Roman" w:cs="Times New Roman"/>
                <w:sz w:val="28"/>
                <w:szCs w:val="28"/>
              </w:rPr>
              <w:t>’</w:t>
            </w:r>
            <w:r w:rsidR="008F4E2F" w:rsidRPr="00064D40">
              <w:rPr>
                <w:rFonts w:ascii="Times New Roman" w:hAnsi="Times New Roman" w:cs="Times New Roman"/>
                <w:sz w:val="28"/>
                <w:szCs w:val="28"/>
              </w:rPr>
              <w:t xml:space="preserve">informatique et </w:t>
            </w:r>
            <w:r w:rsidR="0072325F" w:rsidRPr="00064D40">
              <w:rPr>
                <w:rFonts w:ascii="Times New Roman" w:hAnsi="Times New Roman" w:cs="Times New Roman"/>
                <w:sz w:val="28"/>
                <w:szCs w:val="28"/>
              </w:rPr>
              <w:t>l’</w:t>
            </w:r>
            <w:r w:rsidR="008F4E2F" w:rsidRPr="00064D40">
              <w:rPr>
                <w:rFonts w:ascii="Times New Roman" w:hAnsi="Times New Roman" w:cs="Times New Roman"/>
                <w:sz w:val="28"/>
                <w:szCs w:val="28"/>
              </w:rPr>
              <w:t>électronique</w:t>
            </w:r>
            <w:r w:rsidR="00E830F5" w:rsidRPr="00064D40">
              <w:rPr>
                <w:rFonts w:ascii="Times New Roman" w:hAnsi="Times New Roman" w:cs="Times New Roman"/>
                <w:sz w:val="28"/>
                <w:szCs w:val="28"/>
              </w:rPr>
              <w:t xml:space="preserve"> </w:t>
            </w:r>
          </w:p>
        </w:tc>
      </w:tr>
      <w:tr w:rsidR="00C42BFF" w:rsidRPr="00D5161D" w:rsidTr="001D26BB">
        <w:tc>
          <w:tcPr>
            <w:tcW w:w="2680" w:type="dxa"/>
            <w:tcBorders>
              <w:top w:val="nil"/>
              <w:bottom w:val="nil"/>
            </w:tcBorders>
          </w:tcPr>
          <w:p w:rsidR="000366E9" w:rsidRPr="000D2FE6" w:rsidRDefault="000366E9" w:rsidP="006B495F">
            <w:pPr>
              <w:spacing w:line="276" w:lineRule="auto"/>
              <w:rPr>
                <w:rFonts w:ascii="Garamond" w:hAnsi="Garamond"/>
                <w:b/>
                <w:bCs/>
                <w:color w:val="00549B"/>
                <w:sz w:val="16"/>
              </w:rPr>
            </w:pPr>
          </w:p>
          <w:p w:rsidR="0070503A" w:rsidRPr="00C24717" w:rsidRDefault="008375E2" w:rsidP="006B495F">
            <w:pPr>
              <w:spacing w:line="276" w:lineRule="auto"/>
              <w:rPr>
                <w:rFonts w:ascii="Garamond" w:hAnsi="Garamond"/>
                <w:b/>
                <w:bCs/>
                <w:color w:val="00549B"/>
                <w:sz w:val="16"/>
              </w:rPr>
            </w:pPr>
            <w:r>
              <w:rPr>
                <w:noProof/>
              </w:rPr>
              <w:drawing>
                <wp:inline distT="0" distB="0" distL="0" distR="0" wp14:anchorId="3F51E057" wp14:editId="66E6D251">
                  <wp:extent cx="1612900" cy="17335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12900" cy="1733550"/>
                          </a:xfrm>
                          <a:prstGeom prst="rect">
                            <a:avLst/>
                          </a:prstGeom>
                        </pic:spPr>
                      </pic:pic>
                    </a:graphicData>
                  </a:graphic>
                </wp:inline>
              </w:drawing>
            </w:r>
          </w:p>
          <w:p w:rsidR="008375E2" w:rsidRDefault="008375E2" w:rsidP="0050173C">
            <w:pPr>
              <w:rPr>
                <w:i/>
                <w:sz w:val="20"/>
                <w:szCs w:val="20"/>
              </w:rPr>
            </w:pPr>
            <w:r>
              <w:rPr>
                <w:noProof/>
              </w:rPr>
              <w:drawing>
                <wp:inline distT="0" distB="0" distL="0" distR="0" wp14:anchorId="38097852" wp14:editId="78813EAE">
                  <wp:extent cx="1612900" cy="1861185"/>
                  <wp:effectExtent l="0" t="0" r="635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12900" cy="1861185"/>
                          </a:xfrm>
                          <a:prstGeom prst="rect">
                            <a:avLst/>
                          </a:prstGeom>
                        </pic:spPr>
                      </pic:pic>
                    </a:graphicData>
                  </a:graphic>
                </wp:inline>
              </w:drawing>
            </w:r>
          </w:p>
          <w:p w:rsidR="00AA6D34" w:rsidRPr="008E4108" w:rsidRDefault="008E4108" w:rsidP="00FB1CE2">
            <w:pPr>
              <w:overflowPunct w:val="0"/>
              <w:autoSpaceDE w:val="0"/>
              <w:autoSpaceDN w:val="0"/>
              <w:adjustRightInd w:val="0"/>
              <w:jc w:val="both"/>
              <w:textAlignment w:val="baseline"/>
              <w:rPr>
                <w:i/>
                <w:sz w:val="20"/>
                <w:szCs w:val="20"/>
              </w:rPr>
            </w:pPr>
            <w:r w:rsidRPr="008E4108">
              <w:rPr>
                <w:i/>
                <w:sz w:val="20"/>
                <w:szCs w:val="20"/>
              </w:rPr>
              <w:t>Source : Douanes françaises</w:t>
            </w: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Pr="008E4108" w:rsidRDefault="00AA6D34" w:rsidP="00FB1CE2">
            <w:pPr>
              <w:overflowPunct w:val="0"/>
              <w:autoSpaceDE w:val="0"/>
              <w:autoSpaceDN w:val="0"/>
              <w:adjustRightInd w:val="0"/>
              <w:jc w:val="both"/>
              <w:textAlignment w:val="baseline"/>
              <w:rPr>
                <w:i/>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color w:val="FF0000"/>
                <w:sz w:val="20"/>
                <w:szCs w:val="20"/>
              </w:rPr>
            </w:pPr>
          </w:p>
          <w:p w:rsidR="002F729D" w:rsidRDefault="002F729D" w:rsidP="00FB1CE2">
            <w:pPr>
              <w:overflowPunct w:val="0"/>
              <w:autoSpaceDE w:val="0"/>
              <w:autoSpaceDN w:val="0"/>
              <w:adjustRightInd w:val="0"/>
              <w:jc w:val="both"/>
              <w:textAlignment w:val="baseline"/>
              <w:rPr>
                <w:color w:val="FF0000"/>
                <w:sz w:val="20"/>
                <w:szCs w:val="20"/>
              </w:rPr>
            </w:pPr>
          </w:p>
          <w:p w:rsidR="00AA6D34" w:rsidRDefault="00AA6D34" w:rsidP="00FB1CE2">
            <w:pPr>
              <w:overflowPunct w:val="0"/>
              <w:autoSpaceDE w:val="0"/>
              <w:autoSpaceDN w:val="0"/>
              <w:adjustRightInd w:val="0"/>
              <w:jc w:val="both"/>
              <w:textAlignment w:val="baseline"/>
              <w:rPr>
                <w:sz w:val="20"/>
                <w:szCs w:val="20"/>
              </w:rPr>
            </w:pPr>
          </w:p>
          <w:p w:rsidR="00AA6D34" w:rsidRDefault="00AA6D34" w:rsidP="00FB1CE2">
            <w:pPr>
              <w:overflowPunct w:val="0"/>
              <w:autoSpaceDE w:val="0"/>
              <w:autoSpaceDN w:val="0"/>
              <w:adjustRightInd w:val="0"/>
              <w:jc w:val="both"/>
              <w:textAlignment w:val="baseline"/>
              <w:rPr>
                <w:sz w:val="20"/>
                <w:szCs w:val="20"/>
              </w:rPr>
            </w:pPr>
          </w:p>
          <w:p w:rsidR="00AA6D34" w:rsidRDefault="00AA6D34" w:rsidP="00FB1CE2">
            <w:pPr>
              <w:overflowPunct w:val="0"/>
              <w:autoSpaceDE w:val="0"/>
              <w:autoSpaceDN w:val="0"/>
              <w:adjustRightInd w:val="0"/>
              <w:jc w:val="both"/>
              <w:textAlignment w:val="baseline"/>
              <w:rPr>
                <w:sz w:val="20"/>
                <w:szCs w:val="20"/>
              </w:rPr>
            </w:pPr>
          </w:p>
          <w:p w:rsidR="00AA6D34" w:rsidRDefault="00AA6D34" w:rsidP="00FB1CE2">
            <w:pPr>
              <w:overflowPunct w:val="0"/>
              <w:autoSpaceDE w:val="0"/>
              <w:autoSpaceDN w:val="0"/>
              <w:adjustRightInd w:val="0"/>
              <w:jc w:val="both"/>
              <w:textAlignment w:val="baseline"/>
              <w:rPr>
                <w:sz w:val="20"/>
                <w:szCs w:val="20"/>
              </w:rPr>
            </w:pPr>
          </w:p>
          <w:p w:rsidR="00551822" w:rsidRDefault="00551822" w:rsidP="00FB1CE2">
            <w:pPr>
              <w:overflowPunct w:val="0"/>
              <w:autoSpaceDE w:val="0"/>
              <w:autoSpaceDN w:val="0"/>
              <w:adjustRightInd w:val="0"/>
              <w:jc w:val="both"/>
              <w:textAlignment w:val="baseline"/>
              <w:rPr>
                <w:sz w:val="20"/>
                <w:szCs w:val="20"/>
              </w:rPr>
            </w:pPr>
          </w:p>
          <w:p w:rsidR="00474A2C" w:rsidRPr="000D2FE6" w:rsidRDefault="00E228A6" w:rsidP="00FB1CE2">
            <w:pPr>
              <w:overflowPunct w:val="0"/>
              <w:autoSpaceDE w:val="0"/>
              <w:autoSpaceDN w:val="0"/>
              <w:adjustRightInd w:val="0"/>
              <w:jc w:val="both"/>
              <w:textAlignment w:val="baseline"/>
              <w:rPr>
                <w:sz w:val="20"/>
                <w:szCs w:val="20"/>
              </w:rPr>
            </w:pPr>
            <w:r w:rsidRPr="009554E4">
              <w:rPr>
                <w:sz w:val="20"/>
                <w:szCs w:val="20"/>
              </w:rPr>
              <w:t>L</w:t>
            </w:r>
            <w:r w:rsidR="00FB1CE2" w:rsidRPr="009554E4">
              <w:rPr>
                <w:sz w:val="20"/>
                <w:szCs w:val="20"/>
              </w:rPr>
              <w:t xml:space="preserve">a France, </w:t>
            </w:r>
            <w:r w:rsidR="005B6D9E">
              <w:rPr>
                <w:b/>
                <w:sz w:val="20"/>
                <w:szCs w:val="20"/>
              </w:rPr>
              <w:t>21</w:t>
            </w:r>
            <w:r w:rsidR="00297DFC" w:rsidRPr="00297DFC">
              <w:rPr>
                <w:b/>
                <w:sz w:val="20"/>
                <w:szCs w:val="20"/>
                <w:vertAlign w:val="superscript"/>
              </w:rPr>
              <w:t>ème</w:t>
            </w:r>
            <w:r w:rsidR="00297DFC">
              <w:rPr>
                <w:b/>
                <w:sz w:val="20"/>
                <w:szCs w:val="20"/>
              </w:rPr>
              <w:t xml:space="preserve"> </w:t>
            </w:r>
            <w:r w:rsidR="00FB1CE2" w:rsidRPr="009554E4">
              <w:rPr>
                <w:b/>
                <w:sz w:val="20"/>
                <w:szCs w:val="20"/>
              </w:rPr>
              <w:t>client de la Malaisie</w:t>
            </w:r>
            <w:r w:rsidR="00FB1CE2" w:rsidRPr="009554E4">
              <w:rPr>
                <w:sz w:val="20"/>
                <w:szCs w:val="20"/>
              </w:rPr>
              <w:t xml:space="preserve"> (0,</w:t>
            </w:r>
            <w:r w:rsidR="005B6D9E">
              <w:rPr>
                <w:sz w:val="20"/>
                <w:szCs w:val="20"/>
              </w:rPr>
              <w:t>62</w:t>
            </w:r>
            <w:r w:rsidR="00FB1CE2" w:rsidRPr="009554E4">
              <w:rPr>
                <w:sz w:val="20"/>
                <w:szCs w:val="20"/>
              </w:rPr>
              <w:t xml:space="preserve">% des exportations malaisiennes) et </w:t>
            </w:r>
            <w:r w:rsidR="00FB1CE2" w:rsidRPr="009554E4">
              <w:rPr>
                <w:b/>
                <w:sz w:val="20"/>
                <w:szCs w:val="20"/>
              </w:rPr>
              <w:t>4</w:t>
            </w:r>
            <w:r w:rsidR="00FB1CE2" w:rsidRPr="009554E4">
              <w:rPr>
                <w:b/>
                <w:sz w:val="20"/>
                <w:szCs w:val="20"/>
                <w:vertAlign w:val="superscript"/>
              </w:rPr>
              <w:t>ème</w:t>
            </w:r>
            <w:r w:rsidR="00FB1CE2" w:rsidRPr="009554E4">
              <w:rPr>
                <w:b/>
                <w:sz w:val="20"/>
                <w:szCs w:val="20"/>
              </w:rPr>
              <w:t xml:space="preserve"> client au sein de l’UE</w:t>
            </w:r>
            <w:r w:rsidR="00FB1CE2" w:rsidRPr="009554E4">
              <w:rPr>
                <w:sz w:val="20"/>
                <w:szCs w:val="20"/>
              </w:rPr>
              <w:t>, derrière l’</w:t>
            </w:r>
            <w:r w:rsidR="00C24717">
              <w:rPr>
                <w:sz w:val="20"/>
                <w:szCs w:val="20"/>
              </w:rPr>
              <w:t>Allemagne</w:t>
            </w:r>
            <w:r w:rsidR="009554E4">
              <w:rPr>
                <w:sz w:val="20"/>
                <w:szCs w:val="20"/>
              </w:rPr>
              <w:t>, les Pays-Bas</w:t>
            </w:r>
            <w:r w:rsidR="00FB1CE2" w:rsidRPr="009554E4">
              <w:rPr>
                <w:sz w:val="20"/>
                <w:szCs w:val="20"/>
              </w:rPr>
              <w:t xml:space="preserve"> et le </w:t>
            </w:r>
            <w:r w:rsidR="00C24717">
              <w:rPr>
                <w:sz w:val="20"/>
                <w:szCs w:val="20"/>
              </w:rPr>
              <w:t>Royaume-Uni</w:t>
            </w:r>
            <w:r w:rsidR="00FB1CE2" w:rsidRPr="009554E4">
              <w:rPr>
                <w:i/>
                <w:sz w:val="20"/>
                <w:szCs w:val="20"/>
              </w:rPr>
              <w:t xml:space="preserve"> </w:t>
            </w:r>
          </w:p>
        </w:tc>
        <w:tc>
          <w:tcPr>
            <w:tcW w:w="7526" w:type="dxa"/>
            <w:gridSpan w:val="3"/>
            <w:tcBorders>
              <w:top w:val="nil"/>
              <w:bottom w:val="nil"/>
            </w:tcBorders>
          </w:tcPr>
          <w:p w:rsidR="0050173C" w:rsidRDefault="0050173C" w:rsidP="00CE3AB7">
            <w:pPr>
              <w:overflowPunct w:val="0"/>
              <w:autoSpaceDE w:val="0"/>
              <w:autoSpaceDN w:val="0"/>
              <w:adjustRightInd w:val="0"/>
              <w:jc w:val="both"/>
              <w:textAlignment w:val="baseline"/>
              <w:rPr>
                <w:rFonts w:cs="Arial"/>
                <w:sz w:val="22"/>
                <w:szCs w:val="22"/>
              </w:rPr>
            </w:pPr>
          </w:p>
          <w:p w:rsidR="00CE3AB7" w:rsidRPr="00CE3AB7" w:rsidRDefault="00CE3AB7" w:rsidP="00CE3AB7">
            <w:pPr>
              <w:overflowPunct w:val="0"/>
              <w:autoSpaceDE w:val="0"/>
              <w:autoSpaceDN w:val="0"/>
              <w:adjustRightInd w:val="0"/>
              <w:jc w:val="both"/>
              <w:textAlignment w:val="baseline"/>
              <w:rPr>
                <w:rFonts w:cs="Arial"/>
                <w:noProof/>
                <w:sz w:val="22"/>
                <w:szCs w:val="22"/>
              </w:rPr>
            </w:pPr>
            <w:r w:rsidRPr="00CE3AB7">
              <w:rPr>
                <w:rFonts w:cs="Arial"/>
                <w:sz w:val="22"/>
                <w:szCs w:val="22"/>
              </w:rPr>
              <w:t xml:space="preserve">Nos achats de produits malaisiens en 2017 ont atteint </w:t>
            </w:r>
            <w:r w:rsidRPr="00CE3AB7">
              <w:rPr>
                <w:rFonts w:cs="Arial"/>
                <w:b/>
                <w:sz w:val="22"/>
                <w:szCs w:val="22"/>
              </w:rPr>
              <w:t xml:space="preserve">2 124 </w:t>
            </w:r>
            <w:r w:rsidRPr="00CE3AB7">
              <w:rPr>
                <w:rFonts w:cs="Arial"/>
                <w:b/>
                <w:noProof/>
                <w:sz w:val="22"/>
                <w:szCs w:val="22"/>
              </w:rPr>
              <w:t>M€</w:t>
            </w:r>
            <w:r w:rsidRPr="00CE3AB7">
              <w:rPr>
                <w:rFonts w:cs="Arial"/>
                <w:b/>
                <w:sz w:val="22"/>
                <w:szCs w:val="22"/>
              </w:rPr>
              <w:t xml:space="preserve">, soit  une légère baisse de 2,3% </w:t>
            </w:r>
            <w:r w:rsidRPr="00CE3AB7">
              <w:rPr>
                <w:rFonts w:cs="Arial"/>
                <w:sz w:val="22"/>
                <w:szCs w:val="22"/>
              </w:rPr>
              <w:t xml:space="preserve">(2 173 </w:t>
            </w:r>
            <w:r w:rsidRPr="00CE3AB7">
              <w:rPr>
                <w:rFonts w:cs="Arial"/>
                <w:noProof/>
                <w:sz w:val="22"/>
                <w:szCs w:val="22"/>
              </w:rPr>
              <w:t xml:space="preserve">M€ </w:t>
            </w:r>
            <w:r w:rsidRPr="00CE3AB7">
              <w:rPr>
                <w:rFonts w:cs="Arial"/>
                <w:sz w:val="22"/>
                <w:szCs w:val="22"/>
              </w:rPr>
              <w:t>en 2016). Les raisons principales de cette baisse sont à mettre au compte des produits informatiques, électroniques et optiques (-2,5%; 1 094</w:t>
            </w:r>
            <w:r w:rsidRPr="00CE3AB7">
              <w:rPr>
                <w:rFonts w:cs="Arial"/>
                <w:noProof/>
                <w:sz w:val="22"/>
                <w:szCs w:val="22"/>
              </w:rPr>
              <w:t xml:space="preserve"> M€</w:t>
            </w:r>
            <w:r w:rsidRPr="00CE3AB7">
              <w:rPr>
                <w:rFonts w:cs="Arial"/>
                <w:sz w:val="22"/>
                <w:szCs w:val="22"/>
              </w:rPr>
              <w:t xml:space="preserve">, dont 721 </w:t>
            </w:r>
            <w:r w:rsidRPr="00CE3AB7">
              <w:rPr>
                <w:rFonts w:cs="Arial"/>
                <w:noProof/>
                <w:sz w:val="22"/>
                <w:szCs w:val="22"/>
              </w:rPr>
              <w:t>M€</w:t>
            </w:r>
            <w:r w:rsidRPr="00CE3AB7">
              <w:rPr>
                <w:rFonts w:cs="Arial"/>
                <w:sz w:val="22"/>
                <w:szCs w:val="22"/>
              </w:rPr>
              <w:t xml:space="preserve"> de composants électroniques (-5%), </w:t>
            </w:r>
            <w:r w:rsidRPr="00CE3AB7">
              <w:rPr>
                <w:rFonts w:cs="Arial"/>
                <w:noProof/>
                <w:sz w:val="22"/>
                <w:szCs w:val="22"/>
              </w:rPr>
              <w:t>des produits manufacturés divers (96,6 M€ ; -13,1%) et</w:t>
            </w:r>
            <w:r w:rsidRPr="00CE3AB7">
              <w:rPr>
                <w:rFonts w:cs="Arial"/>
                <w:sz w:val="22"/>
                <w:szCs w:val="22"/>
              </w:rPr>
              <w:t xml:space="preserve"> des produits pétroliers raffinés (7,2 </w:t>
            </w:r>
            <w:r w:rsidRPr="00CE3AB7">
              <w:rPr>
                <w:rFonts w:cs="Arial"/>
                <w:noProof/>
                <w:sz w:val="22"/>
                <w:szCs w:val="22"/>
              </w:rPr>
              <w:t xml:space="preserve">M€ contre 125 M€ en 2016;  </w:t>
            </w:r>
            <w:r w:rsidRPr="00CE3AB7">
              <w:rPr>
                <w:rFonts w:cs="Arial"/>
                <w:sz w:val="22"/>
                <w:szCs w:val="22"/>
              </w:rPr>
              <w:t xml:space="preserve">-94,3%), de produits des industries agro-alimentaires (72 </w:t>
            </w:r>
            <w:r w:rsidRPr="00CE3AB7">
              <w:rPr>
                <w:rFonts w:cs="Arial"/>
                <w:noProof/>
                <w:sz w:val="22"/>
                <w:szCs w:val="22"/>
              </w:rPr>
              <w:t>M€ ; -0,8</w:t>
            </w:r>
            <w:r w:rsidRPr="00CE3AB7">
              <w:rPr>
                <w:rFonts w:cs="Arial"/>
                <w:sz w:val="22"/>
                <w:szCs w:val="22"/>
              </w:rPr>
              <w:t>%</w:t>
            </w:r>
            <w:r w:rsidRPr="00CE3AB7">
              <w:rPr>
                <w:rFonts w:cs="Arial"/>
                <w:noProof/>
                <w:sz w:val="22"/>
                <w:szCs w:val="22"/>
              </w:rPr>
              <w:t>).</w:t>
            </w:r>
            <w:r w:rsidRPr="00CE3AB7">
              <w:rPr>
                <w:rFonts w:cs="Arial"/>
                <w:sz w:val="22"/>
                <w:szCs w:val="22"/>
              </w:rPr>
              <w:t xml:space="preserve"> Ces baisses ont été partiellement compensées par la hausse de nos achats d’équipements électriques et ménagers (217 </w:t>
            </w:r>
            <w:r w:rsidRPr="00CE3AB7">
              <w:rPr>
                <w:rFonts w:cs="Arial"/>
                <w:noProof/>
                <w:sz w:val="22"/>
                <w:szCs w:val="22"/>
              </w:rPr>
              <w:t xml:space="preserve">M€ ; </w:t>
            </w:r>
            <w:r w:rsidRPr="00CE3AB7">
              <w:rPr>
                <w:rFonts w:cs="Arial"/>
                <w:sz w:val="22"/>
                <w:szCs w:val="22"/>
              </w:rPr>
              <w:t xml:space="preserve">+21,2%), de machines industrielles (201 </w:t>
            </w:r>
            <w:r w:rsidRPr="00CE3AB7">
              <w:rPr>
                <w:rFonts w:cs="Arial"/>
                <w:noProof/>
                <w:sz w:val="22"/>
                <w:szCs w:val="22"/>
              </w:rPr>
              <w:t xml:space="preserve">M€; </w:t>
            </w:r>
            <w:r w:rsidRPr="00CE3AB7">
              <w:rPr>
                <w:rFonts w:cs="Arial"/>
                <w:sz w:val="22"/>
                <w:szCs w:val="22"/>
              </w:rPr>
              <w:t xml:space="preserve">+29,6%), de produits en caoutchouc (143 </w:t>
            </w:r>
            <w:r w:rsidRPr="00CE3AB7">
              <w:rPr>
                <w:rFonts w:cs="Arial"/>
                <w:noProof/>
                <w:sz w:val="22"/>
                <w:szCs w:val="22"/>
              </w:rPr>
              <w:t xml:space="preserve">M€ ; </w:t>
            </w:r>
            <w:r w:rsidRPr="00CE3AB7">
              <w:rPr>
                <w:rFonts w:cs="Arial"/>
                <w:sz w:val="22"/>
                <w:szCs w:val="22"/>
              </w:rPr>
              <w:t>+6,8%)</w:t>
            </w:r>
            <w:r w:rsidRPr="00CE3AB7">
              <w:rPr>
                <w:rFonts w:cs="Arial"/>
                <w:noProof/>
                <w:sz w:val="22"/>
                <w:szCs w:val="22"/>
              </w:rPr>
              <w:t xml:space="preserve"> et de produits métallurgiques et métalliques (48 M€ ; +84,7%). </w:t>
            </w:r>
          </w:p>
          <w:p w:rsidR="00CE3AB7" w:rsidRPr="00CE3AB7" w:rsidRDefault="00CE3AB7" w:rsidP="00CE3AB7">
            <w:pPr>
              <w:overflowPunct w:val="0"/>
              <w:autoSpaceDE w:val="0"/>
              <w:autoSpaceDN w:val="0"/>
              <w:adjustRightInd w:val="0"/>
              <w:jc w:val="both"/>
              <w:textAlignment w:val="baseline"/>
              <w:rPr>
                <w:rFonts w:cs="Arial"/>
                <w:color w:val="FF0000"/>
                <w:sz w:val="22"/>
                <w:szCs w:val="22"/>
              </w:rPr>
            </w:pPr>
          </w:p>
          <w:p w:rsidR="00CE3AB7" w:rsidRPr="00CE3AB7" w:rsidRDefault="00CE3AB7" w:rsidP="00CE3AB7">
            <w:pPr>
              <w:overflowPunct w:val="0"/>
              <w:autoSpaceDE w:val="0"/>
              <w:autoSpaceDN w:val="0"/>
              <w:adjustRightInd w:val="0"/>
              <w:jc w:val="both"/>
              <w:textAlignment w:val="baseline"/>
              <w:rPr>
                <w:sz w:val="22"/>
                <w:szCs w:val="20"/>
              </w:rPr>
            </w:pPr>
            <w:r w:rsidRPr="00CE3AB7">
              <w:rPr>
                <w:sz w:val="22"/>
                <w:szCs w:val="22"/>
              </w:rPr>
              <w:t xml:space="preserve">Le </w:t>
            </w:r>
            <w:r>
              <w:rPr>
                <w:sz w:val="22"/>
                <w:szCs w:val="22"/>
              </w:rPr>
              <w:t>1</w:t>
            </w:r>
            <w:r w:rsidRPr="00CE3AB7">
              <w:rPr>
                <w:sz w:val="22"/>
                <w:szCs w:val="22"/>
                <w:vertAlign w:val="superscript"/>
              </w:rPr>
              <w:t>er</w:t>
            </w:r>
            <w:r>
              <w:rPr>
                <w:sz w:val="22"/>
                <w:szCs w:val="22"/>
              </w:rPr>
              <w:t xml:space="preserve"> </w:t>
            </w:r>
            <w:r w:rsidRPr="00CE3AB7">
              <w:rPr>
                <w:sz w:val="22"/>
                <w:szCs w:val="22"/>
              </w:rPr>
              <w:t xml:space="preserve">secteur d’importations reste cependant celui </w:t>
            </w:r>
            <w:r w:rsidRPr="00CE3AB7">
              <w:rPr>
                <w:b/>
                <w:sz w:val="22"/>
                <w:szCs w:val="22"/>
              </w:rPr>
              <w:t xml:space="preserve">des équipements </w:t>
            </w:r>
            <w:r w:rsidRPr="00CE3AB7">
              <w:rPr>
                <w:b/>
                <w:bCs/>
                <w:sz w:val="22"/>
                <w:szCs w:val="20"/>
              </w:rPr>
              <w:t>mécaniques, de matériel électrique, électronique et informatique,</w:t>
            </w:r>
            <w:r w:rsidRPr="00CE3AB7">
              <w:rPr>
                <w:bCs/>
                <w:sz w:val="22"/>
                <w:szCs w:val="20"/>
              </w:rPr>
              <w:t xml:space="preserve"> qui comptent pour </w:t>
            </w:r>
            <w:r w:rsidRPr="00CE3AB7">
              <w:rPr>
                <w:b/>
                <w:bCs/>
                <w:sz w:val="22"/>
                <w:szCs w:val="20"/>
              </w:rPr>
              <w:t>71,2</w:t>
            </w:r>
            <w:r w:rsidRPr="00CE3AB7">
              <w:rPr>
                <w:b/>
                <w:sz w:val="22"/>
                <w:szCs w:val="20"/>
              </w:rPr>
              <w:t xml:space="preserve">% </w:t>
            </w:r>
            <w:r w:rsidRPr="00CE3AB7">
              <w:rPr>
                <w:sz w:val="22"/>
                <w:szCs w:val="20"/>
              </w:rPr>
              <w:t xml:space="preserve">de nos importations depuis la Malaisie pour un montant en 2016 de </w:t>
            </w:r>
            <w:r w:rsidRPr="00CE3AB7">
              <w:rPr>
                <w:b/>
                <w:sz w:val="22"/>
                <w:szCs w:val="20"/>
              </w:rPr>
              <w:t xml:space="preserve">1 513 M€ </w:t>
            </w:r>
            <w:r w:rsidRPr="00CE3AB7">
              <w:rPr>
                <w:sz w:val="22"/>
                <w:szCs w:val="20"/>
              </w:rPr>
              <w:t>(contre 1 457 M€ en 2016). Les trois principales composantes de ce poste sont les suivantes:</w:t>
            </w:r>
          </w:p>
          <w:p w:rsidR="00CE3AB7" w:rsidRPr="00CE3AB7" w:rsidRDefault="00CE3AB7" w:rsidP="00CE3AB7">
            <w:pPr>
              <w:overflowPunct w:val="0"/>
              <w:autoSpaceDE w:val="0"/>
              <w:autoSpaceDN w:val="0"/>
              <w:adjustRightInd w:val="0"/>
              <w:jc w:val="both"/>
              <w:textAlignment w:val="baseline"/>
              <w:rPr>
                <w:color w:val="FF0000"/>
                <w:sz w:val="8"/>
                <w:szCs w:val="8"/>
              </w:rPr>
            </w:pPr>
          </w:p>
          <w:p w:rsidR="00CE3AB7" w:rsidRPr="00CE3AB7" w:rsidRDefault="00CE3AB7" w:rsidP="00CE3AB7">
            <w:pPr>
              <w:numPr>
                <w:ilvl w:val="0"/>
                <w:numId w:val="13"/>
              </w:numPr>
              <w:overflowPunct w:val="0"/>
              <w:autoSpaceDE w:val="0"/>
              <w:autoSpaceDN w:val="0"/>
              <w:adjustRightInd w:val="0"/>
              <w:contextualSpacing/>
              <w:jc w:val="both"/>
              <w:textAlignment w:val="baseline"/>
              <w:rPr>
                <w:bCs/>
                <w:sz w:val="22"/>
                <w:szCs w:val="20"/>
              </w:rPr>
            </w:pPr>
            <w:r w:rsidRPr="00CE3AB7">
              <w:rPr>
                <w:i/>
                <w:sz w:val="22"/>
                <w:szCs w:val="20"/>
              </w:rPr>
              <w:t>Les produits informatiques, électroniques et optiques,</w:t>
            </w:r>
            <w:r w:rsidRPr="00CE3AB7">
              <w:rPr>
                <w:sz w:val="22"/>
                <w:szCs w:val="20"/>
              </w:rPr>
              <w:t xml:space="preserve"> qui sont en légère baisse de -2,5%, et atteignent 1094 M€ (72% de l’ensemble de cette catégorie de produits). Ils constituent ainsi, et de loin, notre </w:t>
            </w:r>
            <w:r w:rsidR="00AA2689">
              <w:rPr>
                <w:sz w:val="22"/>
                <w:szCs w:val="20"/>
              </w:rPr>
              <w:t>1</w:t>
            </w:r>
            <w:r w:rsidR="00AA2689" w:rsidRPr="00AA2689">
              <w:rPr>
                <w:sz w:val="22"/>
                <w:szCs w:val="20"/>
                <w:vertAlign w:val="superscript"/>
              </w:rPr>
              <w:t>er</w:t>
            </w:r>
            <w:r w:rsidR="00AA2689">
              <w:rPr>
                <w:sz w:val="22"/>
                <w:szCs w:val="20"/>
              </w:rPr>
              <w:t xml:space="preserve"> </w:t>
            </w:r>
            <w:r w:rsidRPr="00CE3AB7">
              <w:rPr>
                <w:sz w:val="22"/>
                <w:szCs w:val="20"/>
              </w:rPr>
              <w:t xml:space="preserve">poste d’importations tous secteurs confondus. Parmi ceux-ci, les composants électroniques en représentent 66% </w:t>
            </w:r>
            <w:r w:rsidR="00AA2689">
              <w:rPr>
                <w:sz w:val="22"/>
                <w:szCs w:val="20"/>
              </w:rPr>
              <w:t>(</w:t>
            </w:r>
            <w:r w:rsidRPr="00CE3AB7">
              <w:rPr>
                <w:sz w:val="22"/>
                <w:szCs w:val="20"/>
              </w:rPr>
              <w:t>721 M€</w:t>
            </w:r>
            <w:r w:rsidR="00AA2689">
              <w:rPr>
                <w:sz w:val="22"/>
                <w:szCs w:val="20"/>
              </w:rPr>
              <w:t> ;</w:t>
            </w:r>
            <w:r w:rsidRPr="00CE3AB7">
              <w:rPr>
                <w:sz w:val="22"/>
                <w:szCs w:val="20"/>
              </w:rPr>
              <w:t>-5%). Le reste est constitué pour l’essentiel d’équipements de communication (100 M€ ; +20,5%),</w:t>
            </w:r>
            <w:r w:rsidRPr="00CE3AB7">
              <w:rPr>
                <w:color w:val="FF0000"/>
                <w:sz w:val="22"/>
                <w:szCs w:val="20"/>
              </w:rPr>
              <w:t xml:space="preserve"> </w:t>
            </w:r>
            <w:r w:rsidRPr="00CE3AB7">
              <w:rPr>
                <w:sz w:val="22"/>
                <w:szCs w:val="20"/>
              </w:rPr>
              <w:t>d’ordinateurs et équipements périphériques (71 M€ ; -10,6%), d’instruments et appareils de mesure ou d’essai (64 M€ : +1%) et de machines et équipements pour bureau (74 M€ ; +35,2%). Ils ont bénéficié à plein de</w:t>
            </w:r>
            <w:r w:rsidRPr="00CE3AB7">
              <w:rPr>
                <w:sz w:val="22"/>
                <w:szCs w:val="22"/>
              </w:rPr>
              <w:t xml:space="preserve"> la </w:t>
            </w:r>
            <w:r w:rsidRPr="00CE3AB7">
              <w:rPr>
                <w:rFonts w:eastAsia="Calibri"/>
                <w:sz w:val="22"/>
                <w:szCs w:val="22"/>
                <w:lang w:eastAsia="en-US"/>
              </w:rPr>
              <w:t>baisse du cours du Ringgit, qui a amélioré la compétitivité de l’industrie électronique malaisienne ;</w:t>
            </w:r>
          </w:p>
          <w:p w:rsidR="00CE3AB7" w:rsidRPr="00CE3AB7" w:rsidRDefault="00CE3AB7" w:rsidP="00CE3AB7">
            <w:pPr>
              <w:overflowPunct w:val="0"/>
              <w:autoSpaceDE w:val="0"/>
              <w:autoSpaceDN w:val="0"/>
              <w:adjustRightInd w:val="0"/>
              <w:jc w:val="both"/>
              <w:textAlignment w:val="baseline"/>
              <w:rPr>
                <w:color w:val="FF0000"/>
                <w:sz w:val="8"/>
                <w:szCs w:val="8"/>
              </w:rPr>
            </w:pPr>
          </w:p>
          <w:p w:rsidR="00CE3AB7" w:rsidRPr="00CE3AB7" w:rsidRDefault="00CE3AB7" w:rsidP="00CE3AB7">
            <w:pPr>
              <w:numPr>
                <w:ilvl w:val="0"/>
                <w:numId w:val="13"/>
              </w:numPr>
              <w:overflowPunct w:val="0"/>
              <w:autoSpaceDE w:val="0"/>
              <w:autoSpaceDN w:val="0"/>
              <w:adjustRightInd w:val="0"/>
              <w:contextualSpacing/>
              <w:jc w:val="both"/>
              <w:textAlignment w:val="baseline"/>
              <w:rPr>
                <w:bCs/>
                <w:sz w:val="22"/>
                <w:szCs w:val="20"/>
              </w:rPr>
            </w:pPr>
            <w:r w:rsidRPr="00CE3AB7">
              <w:rPr>
                <w:i/>
                <w:sz w:val="22"/>
                <w:szCs w:val="20"/>
              </w:rPr>
              <w:t>Les équipements électriques et ménagers</w:t>
            </w:r>
            <w:r w:rsidRPr="00CE3AB7">
              <w:rPr>
                <w:sz w:val="22"/>
                <w:szCs w:val="20"/>
              </w:rPr>
              <w:t xml:space="preserve">, qui contribuent également de manière significative à cette progression avec des achats de 217 M€ (+21,2%), dont 144 M€ d’appareils électro-ménagers (+42%), pour les mêmes raisons qu’indiquées </w:t>
            </w:r>
            <w:r w:rsidR="00AA2689">
              <w:rPr>
                <w:sz w:val="22"/>
                <w:szCs w:val="20"/>
              </w:rPr>
              <w:t xml:space="preserve">ci-dessus </w:t>
            </w:r>
            <w:r w:rsidRPr="00CE3AB7">
              <w:rPr>
                <w:sz w:val="22"/>
                <w:szCs w:val="20"/>
              </w:rPr>
              <w:t>;</w:t>
            </w:r>
          </w:p>
          <w:p w:rsidR="00CE3AB7" w:rsidRPr="00CE3AB7" w:rsidRDefault="00CE3AB7" w:rsidP="00CE3AB7">
            <w:pPr>
              <w:overflowPunct w:val="0"/>
              <w:autoSpaceDE w:val="0"/>
              <w:autoSpaceDN w:val="0"/>
              <w:adjustRightInd w:val="0"/>
              <w:jc w:val="both"/>
              <w:textAlignment w:val="baseline"/>
              <w:rPr>
                <w:color w:val="FF0000"/>
                <w:sz w:val="8"/>
                <w:szCs w:val="8"/>
              </w:rPr>
            </w:pPr>
          </w:p>
          <w:p w:rsidR="00CE3AB7" w:rsidRPr="00CE3AB7" w:rsidRDefault="00CE3AB7" w:rsidP="00CE3AB7">
            <w:pPr>
              <w:numPr>
                <w:ilvl w:val="0"/>
                <w:numId w:val="13"/>
              </w:numPr>
              <w:overflowPunct w:val="0"/>
              <w:autoSpaceDE w:val="0"/>
              <w:autoSpaceDN w:val="0"/>
              <w:adjustRightInd w:val="0"/>
              <w:contextualSpacing/>
              <w:jc w:val="both"/>
              <w:textAlignment w:val="baseline"/>
              <w:rPr>
                <w:bCs/>
                <w:sz w:val="22"/>
                <w:szCs w:val="20"/>
              </w:rPr>
            </w:pPr>
            <w:r w:rsidRPr="00CE3AB7">
              <w:rPr>
                <w:i/>
                <w:sz w:val="22"/>
                <w:szCs w:val="20"/>
              </w:rPr>
              <w:t xml:space="preserve">Les machines industrielles et machines diverses, </w:t>
            </w:r>
            <w:r w:rsidRPr="00CE3AB7">
              <w:rPr>
                <w:sz w:val="22"/>
                <w:szCs w:val="20"/>
              </w:rPr>
              <w:t>qui ont  progressé de 29,6% pour atteindre 201 M€.</w:t>
            </w:r>
          </w:p>
          <w:p w:rsidR="00CE3AB7" w:rsidRPr="00CE3AB7" w:rsidRDefault="00CE3AB7" w:rsidP="00CE3AB7">
            <w:pPr>
              <w:jc w:val="both"/>
              <w:rPr>
                <w:bCs/>
                <w:color w:val="FF0000"/>
                <w:sz w:val="22"/>
                <w:szCs w:val="20"/>
              </w:rPr>
            </w:pPr>
          </w:p>
          <w:p w:rsidR="00CE3AB7" w:rsidRPr="00CE3AB7" w:rsidRDefault="00CE3AB7" w:rsidP="00CE3AB7">
            <w:pPr>
              <w:jc w:val="both"/>
              <w:rPr>
                <w:sz w:val="22"/>
                <w:szCs w:val="22"/>
              </w:rPr>
            </w:pPr>
            <w:r w:rsidRPr="00CE3AB7">
              <w:rPr>
                <w:bCs/>
                <w:sz w:val="22"/>
                <w:szCs w:val="20"/>
              </w:rPr>
              <w:t xml:space="preserve">De leur côté, </w:t>
            </w:r>
            <w:r w:rsidRPr="00CE3AB7">
              <w:rPr>
                <w:b/>
                <w:bCs/>
                <w:sz w:val="22"/>
                <w:szCs w:val="20"/>
              </w:rPr>
              <w:t>les autres produits industriels</w:t>
            </w:r>
            <w:r w:rsidRPr="00CE3AB7">
              <w:rPr>
                <w:bCs/>
                <w:sz w:val="22"/>
                <w:szCs w:val="20"/>
              </w:rPr>
              <w:t xml:space="preserve"> </w:t>
            </w:r>
            <w:r w:rsidRPr="00CE3AB7">
              <w:rPr>
                <w:b/>
                <w:bCs/>
                <w:sz w:val="22"/>
                <w:szCs w:val="20"/>
              </w:rPr>
              <w:t>(20,2% du total)</w:t>
            </w:r>
            <w:r w:rsidRPr="00CE3AB7">
              <w:rPr>
                <w:bCs/>
                <w:sz w:val="22"/>
                <w:szCs w:val="20"/>
              </w:rPr>
              <w:t xml:space="preserve"> confirment cette tendance avec une hausse globale de 4,5%, avec en particulier les </w:t>
            </w:r>
            <w:r w:rsidRPr="00CE3AB7">
              <w:rPr>
                <w:sz w:val="22"/>
                <w:szCs w:val="20"/>
              </w:rPr>
              <w:t xml:space="preserve">« produits en caoutchouc et en plastique, produits minéraux divers » </w:t>
            </w:r>
            <w:r w:rsidRPr="00CE3AB7">
              <w:rPr>
                <w:bCs/>
                <w:sz w:val="22"/>
                <w:szCs w:val="20"/>
              </w:rPr>
              <w:t>(143</w:t>
            </w:r>
            <w:r w:rsidRPr="00CE3AB7">
              <w:rPr>
                <w:sz w:val="22"/>
                <w:szCs w:val="20"/>
              </w:rPr>
              <w:t xml:space="preserve"> M€ ; +6,8%), les produits chimiques, parfums et cosmétiques (62 M€ ; +4%), les produits métallurgiques et métalliques (48 M€ ; +84,7%) et le « bois, papier et carton » (31 M€ ;+3,1%). En revanche, les produits manufacturés divers (97 M€) et  «le textile, l’habillement, le cuir et les chaussures » (44 M€) sont en baisse de -13,1% et -7,4% M€. </w:t>
            </w:r>
            <w:r w:rsidRPr="00CE3AB7">
              <w:rPr>
                <w:b/>
                <w:sz w:val="22"/>
                <w:szCs w:val="22"/>
              </w:rPr>
              <w:t>Les matériels de transport</w:t>
            </w:r>
            <w:r w:rsidRPr="00CE3AB7">
              <w:rPr>
                <w:sz w:val="22"/>
                <w:szCs w:val="22"/>
              </w:rPr>
              <w:t xml:space="preserve"> (72 </w:t>
            </w:r>
            <w:r w:rsidRPr="00CE3AB7">
              <w:rPr>
                <w:sz w:val="22"/>
                <w:szCs w:val="20"/>
              </w:rPr>
              <w:t>M€), l</w:t>
            </w:r>
            <w:r w:rsidRPr="00CE3AB7">
              <w:rPr>
                <w:b/>
                <w:sz w:val="22"/>
                <w:szCs w:val="22"/>
              </w:rPr>
              <w:t>es produits des industries agro-alimentaires</w:t>
            </w:r>
            <w:r w:rsidRPr="00CE3AB7">
              <w:rPr>
                <w:sz w:val="22"/>
                <w:szCs w:val="22"/>
              </w:rPr>
              <w:t xml:space="preserve"> (72 </w:t>
            </w:r>
            <w:r w:rsidRPr="00CE3AB7">
              <w:rPr>
                <w:sz w:val="22"/>
                <w:szCs w:val="20"/>
              </w:rPr>
              <w:t xml:space="preserve">M€) </w:t>
            </w:r>
            <w:r w:rsidRPr="00CE3AB7">
              <w:rPr>
                <w:b/>
                <w:sz w:val="22"/>
                <w:szCs w:val="22"/>
              </w:rPr>
              <w:t>les produits agricoles, sylvicoles, de la pêche et de l’aquaculture</w:t>
            </w:r>
            <w:r w:rsidRPr="00CE3AB7">
              <w:rPr>
                <w:sz w:val="22"/>
                <w:szCs w:val="22"/>
              </w:rPr>
              <w:t xml:space="preserve"> (27 </w:t>
            </w:r>
            <w:r w:rsidRPr="00CE3AB7">
              <w:rPr>
                <w:sz w:val="22"/>
                <w:szCs w:val="20"/>
              </w:rPr>
              <w:t xml:space="preserve">M€) </w:t>
            </w:r>
            <w:r w:rsidRPr="00CE3AB7">
              <w:rPr>
                <w:sz w:val="22"/>
                <w:szCs w:val="22"/>
              </w:rPr>
              <w:t xml:space="preserve">sont en recul </w:t>
            </w:r>
            <w:r w:rsidRPr="00CE3AB7">
              <w:rPr>
                <w:sz w:val="22"/>
                <w:szCs w:val="20"/>
              </w:rPr>
              <w:t>respectivement de -5,3%, -0,8% et -3,1</w:t>
            </w:r>
            <w:r w:rsidRPr="00CE3AB7">
              <w:rPr>
                <w:sz w:val="22"/>
                <w:szCs w:val="22"/>
              </w:rPr>
              <w:t>% (notamment en raison de la baisse des achats de produits aéronautiques (51</w:t>
            </w:r>
            <w:r w:rsidRPr="00CE3AB7">
              <w:rPr>
                <w:sz w:val="22"/>
                <w:szCs w:val="20"/>
              </w:rPr>
              <w:t xml:space="preserve"> M€ ; </w:t>
            </w:r>
            <w:r w:rsidRPr="00CE3AB7">
              <w:rPr>
                <w:sz w:val="22"/>
                <w:szCs w:val="22"/>
              </w:rPr>
              <w:t xml:space="preserve">-13,9%) et d’huiles et graisses (pour l’essentiel de l’huile de palme ; 34 </w:t>
            </w:r>
            <w:r w:rsidRPr="00CE3AB7">
              <w:rPr>
                <w:sz w:val="22"/>
                <w:szCs w:val="20"/>
              </w:rPr>
              <w:t>M€ ; -10,2%)</w:t>
            </w:r>
            <w:r w:rsidRPr="00CE3AB7">
              <w:rPr>
                <w:sz w:val="22"/>
                <w:szCs w:val="22"/>
              </w:rPr>
              <w:t xml:space="preserve">. </w:t>
            </w:r>
          </w:p>
          <w:p w:rsidR="00CE3AB7" w:rsidRPr="00CE3AB7" w:rsidRDefault="00CE3AB7" w:rsidP="00CE3AB7">
            <w:pPr>
              <w:overflowPunct w:val="0"/>
              <w:autoSpaceDE w:val="0"/>
              <w:autoSpaceDN w:val="0"/>
              <w:adjustRightInd w:val="0"/>
              <w:jc w:val="both"/>
              <w:textAlignment w:val="baseline"/>
              <w:rPr>
                <w:sz w:val="22"/>
                <w:szCs w:val="22"/>
              </w:rPr>
            </w:pPr>
          </w:p>
          <w:p w:rsidR="00CE3AB7" w:rsidRPr="00CE3AB7" w:rsidRDefault="00CE3AB7" w:rsidP="00CE3AB7">
            <w:pPr>
              <w:overflowPunct w:val="0"/>
              <w:autoSpaceDE w:val="0"/>
              <w:autoSpaceDN w:val="0"/>
              <w:adjustRightInd w:val="0"/>
              <w:jc w:val="both"/>
              <w:textAlignment w:val="baseline"/>
              <w:rPr>
                <w:sz w:val="22"/>
                <w:szCs w:val="22"/>
              </w:rPr>
            </w:pPr>
            <w:r w:rsidRPr="00CE3AB7">
              <w:rPr>
                <w:sz w:val="22"/>
                <w:szCs w:val="22"/>
              </w:rPr>
              <w:t>La Malaisie ne se classe en 2017 qu’au 43</w:t>
            </w:r>
            <w:r w:rsidRPr="00CE3AB7">
              <w:rPr>
                <w:b/>
                <w:sz w:val="22"/>
                <w:szCs w:val="22"/>
                <w:vertAlign w:val="superscript"/>
              </w:rPr>
              <w:t>ème</w:t>
            </w:r>
            <w:r w:rsidRPr="00CE3AB7">
              <w:rPr>
                <w:b/>
                <w:sz w:val="22"/>
                <w:szCs w:val="22"/>
              </w:rPr>
              <w:t xml:space="preserve"> rang de nos fournisseurs</w:t>
            </w:r>
            <w:r w:rsidRPr="00CE3AB7">
              <w:rPr>
                <w:sz w:val="22"/>
                <w:szCs w:val="22"/>
              </w:rPr>
              <w:t xml:space="preserve"> (39</w:t>
            </w:r>
            <w:r w:rsidRPr="00CE3AB7">
              <w:rPr>
                <w:sz w:val="22"/>
                <w:szCs w:val="22"/>
                <w:vertAlign w:val="superscript"/>
              </w:rPr>
              <w:t>ème</w:t>
            </w:r>
            <w:r w:rsidRPr="00CE3AB7">
              <w:rPr>
                <w:sz w:val="22"/>
                <w:szCs w:val="22"/>
              </w:rPr>
              <w:t xml:space="preserve"> en 2016), mais ne représente que </w:t>
            </w:r>
            <w:r w:rsidRPr="00CE3AB7">
              <w:rPr>
                <w:b/>
                <w:sz w:val="22"/>
                <w:szCs w:val="22"/>
              </w:rPr>
              <w:t>0,39% de nos importations totales</w:t>
            </w:r>
            <w:r w:rsidRPr="00CE3AB7">
              <w:rPr>
                <w:sz w:val="22"/>
                <w:szCs w:val="22"/>
              </w:rPr>
              <w:t xml:space="preserve">. </w:t>
            </w:r>
            <w:r w:rsidRPr="00CE3AB7">
              <w:rPr>
                <w:b/>
                <w:sz w:val="22"/>
                <w:szCs w:val="22"/>
              </w:rPr>
              <w:t>Au sein de l’Asean</w:t>
            </w:r>
            <w:r w:rsidRPr="00CE3AB7">
              <w:rPr>
                <w:sz w:val="22"/>
                <w:szCs w:val="22"/>
              </w:rPr>
              <w:t xml:space="preserve">, la Malaisie est notre </w:t>
            </w:r>
            <w:r w:rsidRPr="00CE3AB7">
              <w:rPr>
                <w:b/>
                <w:sz w:val="22"/>
                <w:szCs w:val="22"/>
              </w:rPr>
              <w:t>4</w:t>
            </w:r>
            <w:r w:rsidRPr="00CE3AB7">
              <w:rPr>
                <w:b/>
                <w:sz w:val="22"/>
                <w:szCs w:val="22"/>
                <w:vertAlign w:val="superscript"/>
              </w:rPr>
              <w:t>ème</w:t>
            </w:r>
            <w:r w:rsidRPr="00CE3AB7">
              <w:rPr>
                <w:b/>
                <w:sz w:val="22"/>
                <w:szCs w:val="22"/>
              </w:rPr>
              <w:t xml:space="preserve"> fournisseur</w:t>
            </w:r>
            <w:r w:rsidRPr="00CE3AB7">
              <w:rPr>
                <w:sz w:val="22"/>
                <w:szCs w:val="22"/>
              </w:rPr>
              <w:t xml:space="preserve"> (13,1% du total), derrière le Vietnam (5,2 Md€), la Thaïlande (2,7 Md€) et Singapour (2,15 Md€). Selon les statistiques malaisiennes, la France est le </w:t>
            </w:r>
            <w:r w:rsidRPr="00CE3AB7">
              <w:rPr>
                <w:b/>
                <w:sz w:val="22"/>
                <w:szCs w:val="22"/>
              </w:rPr>
              <w:t>21</w:t>
            </w:r>
            <w:r w:rsidRPr="00CE3AB7">
              <w:rPr>
                <w:b/>
                <w:sz w:val="22"/>
                <w:szCs w:val="22"/>
                <w:vertAlign w:val="superscript"/>
              </w:rPr>
              <w:t>ème</w:t>
            </w:r>
            <w:r w:rsidRPr="00CE3AB7">
              <w:rPr>
                <w:b/>
                <w:sz w:val="22"/>
                <w:szCs w:val="22"/>
              </w:rPr>
              <w:t xml:space="preserve"> client de la Malaisie</w:t>
            </w:r>
            <w:r w:rsidRPr="00CE3AB7">
              <w:rPr>
                <w:sz w:val="22"/>
                <w:szCs w:val="22"/>
              </w:rPr>
              <w:t xml:space="preserve"> en 2017 (20</w:t>
            </w:r>
            <w:r w:rsidRPr="00CE3AB7">
              <w:rPr>
                <w:sz w:val="22"/>
                <w:szCs w:val="22"/>
                <w:vertAlign w:val="superscript"/>
              </w:rPr>
              <w:t>ème</w:t>
            </w:r>
            <w:r w:rsidRPr="00CE3AB7">
              <w:rPr>
                <w:sz w:val="22"/>
                <w:szCs w:val="22"/>
              </w:rPr>
              <w:t xml:space="preserve"> en 2016) et représente </w:t>
            </w:r>
            <w:r w:rsidRPr="00CE3AB7">
              <w:rPr>
                <w:b/>
                <w:sz w:val="22"/>
                <w:szCs w:val="22"/>
              </w:rPr>
              <w:t>0,62% des exportations malaisiennes</w:t>
            </w:r>
            <w:r w:rsidRPr="00CE3AB7">
              <w:rPr>
                <w:sz w:val="22"/>
                <w:szCs w:val="22"/>
              </w:rPr>
              <w:t xml:space="preserve">. Elle se positionne au </w:t>
            </w:r>
            <w:r w:rsidR="00AA2689">
              <w:rPr>
                <w:b/>
                <w:sz w:val="22"/>
                <w:szCs w:val="22"/>
              </w:rPr>
              <w:t>4</w:t>
            </w:r>
            <w:r w:rsidR="00AA2689" w:rsidRPr="00AA2689">
              <w:rPr>
                <w:b/>
                <w:sz w:val="22"/>
                <w:szCs w:val="22"/>
                <w:vertAlign w:val="superscript"/>
              </w:rPr>
              <w:t>ème</w:t>
            </w:r>
            <w:r w:rsidR="00AA2689">
              <w:rPr>
                <w:b/>
                <w:sz w:val="22"/>
                <w:szCs w:val="22"/>
              </w:rPr>
              <w:t xml:space="preserve"> </w:t>
            </w:r>
            <w:r w:rsidRPr="00CE3AB7">
              <w:rPr>
                <w:b/>
                <w:sz w:val="22"/>
                <w:szCs w:val="22"/>
              </w:rPr>
              <w:t>rang des pays de l’UE</w:t>
            </w:r>
            <w:r w:rsidRPr="00CE3AB7">
              <w:rPr>
                <w:sz w:val="22"/>
                <w:szCs w:val="22"/>
              </w:rPr>
              <w:t xml:space="preserve">, derrière les Pays-Bas, l’Allemagne et le Royaume-Uni. </w:t>
            </w:r>
          </w:p>
          <w:p w:rsidR="00396B14" w:rsidRDefault="00396B14" w:rsidP="002311BE">
            <w:pPr>
              <w:jc w:val="center"/>
              <w:rPr>
                <w:sz w:val="22"/>
                <w:szCs w:val="22"/>
              </w:rPr>
            </w:pPr>
            <w:r w:rsidRPr="007E4A2D">
              <w:rPr>
                <w:sz w:val="22"/>
                <w:szCs w:val="22"/>
              </w:rPr>
              <w:t>***</w:t>
            </w:r>
          </w:p>
          <w:p w:rsidR="005B6D9E" w:rsidRPr="008F161A" w:rsidRDefault="006F2A6F" w:rsidP="0050173C">
            <w:pPr>
              <w:tabs>
                <w:tab w:val="center" w:pos="4749"/>
                <w:tab w:val="left" w:pos="6506"/>
              </w:tabs>
              <w:overflowPunct w:val="0"/>
              <w:autoSpaceDE w:val="0"/>
              <w:autoSpaceDN w:val="0"/>
              <w:adjustRightInd w:val="0"/>
              <w:ind w:right="30"/>
              <w:jc w:val="both"/>
              <w:textAlignment w:val="baseline"/>
              <w:rPr>
                <w:rFonts w:eastAsia="Calibri"/>
                <w:color w:val="FF0000"/>
                <w:sz w:val="20"/>
                <w:szCs w:val="20"/>
              </w:rPr>
            </w:pPr>
            <w:r w:rsidRPr="006F2A6F">
              <w:rPr>
                <w:i/>
                <w:sz w:val="22"/>
                <w:szCs w:val="22"/>
              </w:rPr>
              <w:t>Le commerce entre nos deux pays a poursuivi sa progression en 2017, en raison essentiellement de ventes aéronautiques plus importantes. Sur tendance longue, le niveau de nos échanges reste à la fois dépendant du calendrier de livraison d’Airbus (notamment les A320) à Air Asia, de la santé de la filière électronique mondiale et des conditions d’accès au marché (agroalimentaire), mais aussi de l’évolution des discussions autour d’un éventuel accord de libre-échange avec l’Union européenne.</w:t>
            </w:r>
            <w:r w:rsidR="007655BB">
              <w:rPr>
                <w:i/>
                <w:sz w:val="22"/>
                <w:szCs w:val="22"/>
              </w:rPr>
              <w:t xml:space="preserve"> </w:t>
            </w:r>
          </w:p>
        </w:tc>
      </w:tr>
      <w:tr w:rsidR="000B1DF7" w:rsidTr="00DD62BA">
        <w:tblPrEx>
          <w:tblBorders>
            <w:top w:val="none" w:sz="0" w:space="0" w:color="auto"/>
          </w:tblBorders>
        </w:tblPrEx>
        <w:tc>
          <w:tcPr>
            <w:tcW w:w="4325" w:type="dxa"/>
            <w:gridSpan w:val="2"/>
            <w:shd w:val="clear" w:color="auto" w:fill="E1A800"/>
          </w:tcPr>
          <w:p w:rsidR="008E4DB0" w:rsidRPr="00415D0E" w:rsidRDefault="008E4DB0" w:rsidP="008E4DB0">
            <w:pPr>
              <w:pStyle w:val="mentionslgales"/>
              <w:keepLines/>
              <w:rPr>
                <w:rFonts w:ascii="Arial Gras" w:hAnsi="Arial Gras"/>
                <w:b/>
                <w:bCs/>
                <w:color w:val="2A2755"/>
              </w:rPr>
            </w:pPr>
            <w:r w:rsidRPr="00415D0E">
              <w:rPr>
                <w:rFonts w:ascii="Arial Gras" w:hAnsi="Arial Gras"/>
                <w:b/>
                <w:bCs/>
                <w:color w:val="2A2755"/>
              </w:rPr>
              <w:t>Copyright</w:t>
            </w:r>
          </w:p>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 xml:space="preserve">Tous droits de reproduction réservés, sauf autorisation expresse du Service Économique </w:t>
            </w:r>
            <w:r>
              <w:rPr>
                <w:rFonts w:ascii="Arial Gras" w:hAnsi="Arial Gras"/>
                <w:b/>
                <w:color w:val="2A2755"/>
              </w:rPr>
              <w:t xml:space="preserve">de Kuala Lumpur </w:t>
            </w:r>
            <w:r w:rsidRPr="00415D0E">
              <w:rPr>
                <w:rFonts w:ascii="Arial Gras" w:hAnsi="Arial Gras"/>
                <w:b/>
                <w:color w:val="2A2755"/>
              </w:rPr>
              <w:t>(adresser les demandes à</w:t>
            </w:r>
            <w:r>
              <w:rPr>
                <w:rFonts w:ascii="Arial Gras" w:hAnsi="Arial Gras"/>
                <w:b/>
                <w:color w:val="2A2755"/>
              </w:rPr>
              <w:t xml:space="preserve"> </w:t>
            </w:r>
            <w:hyperlink r:id="rId16" w:history="1">
              <w:r w:rsidRPr="00BF4332">
                <w:rPr>
                  <w:rStyle w:val="Lienhypertexte"/>
                  <w:rFonts w:ascii="Arial Gras" w:hAnsi="Arial Gras"/>
                  <w:b/>
                  <w:sz w:val="14"/>
                </w:rPr>
                <w:t>kualalumpur@dgtresor.gouv.fr</w:t>
              </w:r>
            </w:hyperlink>
            <w:r>
              <w:rPr>
                <w:rFonts w:ascii="Arial Gras" w:hAnsi="Arial Gras"/>
                <w:b/>
                <w:color w:val="2A2755"/>
              </w:rPr>
              <w:t xml:space="preserve"> </w:t>
            </w:r>
            <w:r w:rsidRPr="00415D0E">
              <w:rPr>
                <w:rFonts w:ascii="Arial Gras" w:hAnsi="Arial Gras"/>
                <w:b/>
                <w:color w:val="2A2755"/>
              </w:rPr>
              <w:t>).</w:t>
            </w:r>
            <w:r w:rsidR="00DD62BA">
              <w:rPr>
                <w:rFonts w:ascii="Arial Gras" w:hAnsi="Arial Gras"/>
                <w:b/>
                <w:noProof/>
                <w:color w:val="2A2755"/>
              </w:rPr>
              <w:t xml:space="preserve"> </w:t>
            </w:r>
          </w:p>
          <w:p w:rsidR="000B1DF7" w:rsidRPr="00415D0E" w:rsidRDefault="000B1DF7" w:rsidP="00AA0F89">
            <w:pPr>
              <w:pStyle w:val="mentionslgales"/>
              <w:keepLines/>
              <w:rPr>
                <w:rFonts w:ascii="Arial Gras" w:hAnsi="Arial Gras"/>
                <w:b/>
                <w:bCs/>
                <w:color w:val="2A2755"/>
              </w:rPr>
            </w:pPr>
            <w:r w:rsidRPr="00415D0E">
              <w:rPr>
                <w:rFonts w:ascii="Arial Gras" w:hAnsi="Arial Gras"/>
                <w:b/>
                <w:color w:val="2A2755"/>
              </w:rPr>
              <w:tab/>
              <w:t xml:space="preserve"> </w:t>
            </w:r>
            <w:r w:rsidRPr="00415D0E">
              <w:rPr>
                <w:rFonts w:ascii="Arial Gras" w:hAnsi="Arial Gras"/>
                <w:b/>
                <w:color w:val="2A2755"/>
              </w:rPr>
              <w:br/>
            </w:r>
            <w:r w:rsidRPr="00415D0E">
              <w:rPr>
                <w:rFonts w:ascii="Arial Gras" w:hAnsi="Arial Gras"/>
                <w:b/>
                <w:bCs/>
                <w:color w:val="2A2755"/>
              </w:rPr>
              <w:t>Clause de non-responsabilité</w:t>
            </w: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p w:rsidR="000B1DF7" w:rsidRDefault="000B1DF7" w:rsidP="00AA0F89">
            <w:pPr>
              <w:pStyle w:val="mentionslgales"/>
              <w:keepLines/>
            </w:pPr>
          </w:p>
        </w:tc>
        <w:tc>
          <w:tcPr>
            <w:tcW w:w="2268" w:type="dxa"/>
            <w:shd w:val="clear" w:color="auto" w:fill="E1A800"/>
            <w:vAlign w:val="center"/>
          </w:tcPr>
          <w:p w:rsidR="000B1DF7" w:rsidRDefault="00385BD2" w:rsidP="000E7D1C">
            <w:pPr>
              <w:pStyle w:val="mentionslgales"/>
              <w:keepLines/>
              <w:spacing w:line="240" w:lineRule="auto"/>
              <w:jc w:val="center"/>
            </w:pPr>
            <w:r w:rsidRPr="0000628D">
              <w:rPr>
                <w:noProof/>
              </w:rPr>
              <w:drawing>
                <wp:inline distT="0" distB="0" distL="0" distR="0" wp14:anchorId="63980548" wp14:editId="5A0F7957">
                  <wp:extent cx="1371600" cy="1943100"/>
                  <wp:effectExtent l="0" t="0" r="0" b="0"/>
                  <wp:docPr id="6" name="Image 6" descr="C:\Users\wpecriaux\Downloads\.ptmp874122\bloc-sa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ecriaux\Downloads\.ptmp874122\bloc-sapi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943100"/>
                          </a:xfrm>
                          <a:prstGeom prst="rect">
                            <a:avLst/>
                          </a:prstGeom>
                          <a:noFill/>
                          <a:ln>
                            <a:noFill/>
                          </a:ln>
                        </pic:spPr>
                      </pic:pic>
                    </a:graphicData>
                  </a:graphic>
                </wp:inline>
              </w:drawing>
            </w:r>
          </w:p>
        </w:tc>
        <w:tc>
          <w:tcPr>
            <w:tcW w:w="3613" w:type="dxa"/>
            <w:shd w:val="clear" w:color="auto" w:fill="E1A800"/>
          </w:tcPr>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Auteur :</w:t>
            </w:r>
            <w:r>
              <w:rPr>
                <w:rFonts w:ascii="Arial Gras" w:hAnsi="Arial Gras"/>
                <w:b/>
                <w:color w:val="2A2755"/>
              </w:rPr>
              <w:t xml:space="preserve"> </w:t>
            </w:r>
          </w:p>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 xml:space="preserve">Service Économique </w:t>
            </w:r>
            <w:r>
              <w:rPr>
                <w:rFonts w:ascii="Arial Gras" w:hAnsi="Arial Gras"/>
                <w:b/>
                <w:color w:val="2A2755"/>
              </w:rPr>
              <w:t>de Kuala Lumpur</w:t>
            </w:r>
          </w:p>
          <w:p w:rsidR="008E4DB0" w:rsidRDefault="008E4DB0" w:rsidP="008E4DB0">
            <w:pPr>
              <w:pStyle w:val="mentionslgales"/>
              <w:keepLines/>
              <w:rPr>
                <w:rFonts w:ascii="Arial Gras" w:hAnsi="Arial Gras"/>
                <w:b/>
                <w:color w:val="2A2755"/>
              </w:rPr>
            </w:pPr>
            <w:r w:rsidRPr="00415D0E">
              <w:rPr>
                <w:rFonts w:ascii="Arial Gras" w:hAnsi="Arial Gras"/>
                <w:b/>
                <w:color w:val="2A2755"/>
              </w:rPr>
              <w:t xml:space="preserve">Adresse : </w:t>
            </w:r>
            <w:r>
              <w:rPr>
                <w:rFonts w:ascii="Arial Gras" w:hAnsi="Arial Gras"/>
                <w:b/>
                <w:color w:val="2A2755"/>
              </w:rPr>
              <w:t>Ambassade de France</w:t>
            </w:r>
          </w:p>
          <w:p w:rsidR="008E4DB0" w:rsidRDefault="008E4DB0" w:rsidP="008E4DB0">
            <w:pPr>
              <w:pStyle w:val="mentionslgales"/>
              <w:keepLines/>
              <w:rPr>
                <w:rFonts w:ascii="Arial Gras" w:hAnsi="Arial Gras"/>
                <w:b/>
                <w:color w:val="2A2755"/>
              </w:rPr>
            </w:pPr>
            <w:r>
              <w:rPr>
                <w:rFonts w:ascii="Arial Gras" w:hAnsi="Arial Gras"/>
                <w:b/>
                <w:color w:val="2A2755"/>
              </w:rPr>
              <w:t xml:space="preserve">196, </w:t>
            </w:r>
            <w:proofErr w:type="spellStart"/>
            <w:r>
              <w:rPr>
                <w:rFonts w:ascii="Arial Gras" w:hAnsi="Arial Gras"/>
                <w:b/>
                <w:color w:val="2A2755"/>
              </w:rPr>
              <w:t>Jalan</w:t>
            </w:r>
            <w:proofErr w:type="spellEnd"/>
            <w:r>
              <w:rPr>
                <w:rFonts w:ascii="Arial Gras" w:hAnsi="Arial Gras"/>
                <w:b/>
                <w:color w:val="2A2755"/>
              </w:rPr>
              <w:t xml:space="preserve"> </w:t>
            </w:r>
            <w:proofErr w:type="spellStart"/>
            <w:r>
              <w:rPr>
                <w:rFonts w:ascii="Arial Gras" w:hAnsi="Arial Gras"/>
                <w:b/>
                <w:color w:val="2A2755"/>
              </w:rPr>
              <w:t>Ampang</w:t>
            </w:r>
            <w:proofErr w:type="spellEnd"/>
            <w:r>
              <w:rPr>
                <w:rFonts w:ascii="Arial Gras" w:hAnsi="Arial Gras"/>
                <w:b/>
                <w:color w:val="2A2755"/>
              </w:rPr>
              <w:t>, PO Box 10575</w:t>
            </w:r>
          </w:p>
          <w:p w:rsidR="008E4DB0" w:rsidRDefault="008E4DB0" w:rsidP="008E4DB0">
            <w:pPr>
              <w:pStyle w:val="mentionslgales"/>
              <w:keepLines/>
              <w:rPr>
                <w:rFonts w:ascii="Arial Gras" w:hAnsi="Arial Gras"/>
                <w:b/>
                <w:color w:val="2A2755"/>
              </w:rPr>
            </w:pPr>
            <w:r>
              <w:rPr>
                <w:rFonts w:ascii="Arial Gras" w:hAnsi="Arial Gras"/>
                <w:b/>
                <w:color w:val="2A2755"/>
              </w:rPr>
              <w:t>Kuala Lumpur 50718</w:t>
            </w:r>
          </w:p>
          <w:p w:rsidR="008E4DB0" w:rsidRDefault="008E4DB0" w:rsidP="008E4DB0">
            <w:pPr>
              <w:pStyle w:val="mentionslgales"/>
              <w:keepLines/>
              <w:rPr>
                <w:rFonts w:ascii="Arial Gras" w:hAnsi="Arial Gras"/>
                <w:b/>
                <w:color w:val="2A2755"/>
              </w:rPr>
            </w:pPr>
            <w:r>
              <w:rPr>
                <w:rFonts w:ascii="Arial Gras" w:hAnsi="Arial Gras"/>
                <w:b/>
                <w:color w:val="2A2755"/>
              </w:rPr>
              <w:t>Malaisie</w:t>
            </w:r>
          </w:p>
          <w:p w:rsidR="000B1DF7" w:rsidRPr="00415D0E" w:rsidRDefault="000B1DF7" w:rsidP="00AA0F89">
            <w:pPr>
              <w:pStyle w:val="mentionslgales"/>
              <w:keepLines/>
              <w:rPr>
                <w:rFonts w:ascii="Arial Gras" w:hAnsi="Arial Gras"/>
                <w:b/>
                <w:color w:val="2A2755"/>
              </w:rPr>
            </w:pP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Rédigé par :</w:t>
            </w:r>
            <w:r w:rsidR="00D267D6">
              <w:rPr>
                <w:rFonts w:ascii="Arial Gras" w:hAnsi="Arial Gras"/>
                <w:b/>
                <w:color w:val="2A2755"/>
              </w:rPr>
              <w:t xml:space="preserve"> </w:t>
            </w:r>
            <w:r w:rsidR="001D26BB">
              <w:rPr>
                <w:rFonts w:ascii="Arial Gras" w:hAnsi="Arial Gras"/>
                <w:b/>
                <w:color w:val="2A2755"/>
              </w:rPr>
              <w:t xml:space="preserve">William </w:t>
            </w:r>
            <w:proofErr w:type="spellStart"/>
            <w:r w:rsidR="001D26BB">
              <w:rPr>
                <w:rFonts w:ascii="Arial Gras" w:hAnsi="Arial Gras"/>
                <w:b/>
                <w:color w:val="2A2755"/>
              </w:rPr>
              <w:t>Pécriaux</w:t>
            </w:r>
            <w:proofErr w:type="spellEnd"/>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Revu par :</w:t>
            </w:r>
            <w:r w:rsidR="00914775">
              <w:rPr>
                <w:rFonts w:ascii="Arial Gras" w:hAnsi="Arial Gras"/>
                <w:b/>
                <w:color w:val="2A2755"/>
              </w:rPr>
              <w:t xml:space="preserve"> </w:t>
            </w:r>
            <w:r w:rsidR="001D26BB">
              <w:rPr>
                <w:rFonts w:ascii="Arial Gras" w:hAnsi="Arial Gras"/>
                <w:b/>
                <w:color w:val="2A2755"/>
              </w:rPr>
              <w:t>Arnaud Boulanger</w:t>
            </w:r>
          </w:p>
          <w:p w:rsidR="000B1DF7" w:rsidRPr="00415D0E" w:rsidRDefault="000B1DF7" w:rsidP="00AA0F89">
            <w:pPr>
              <w:pStyle w:val="mentionslgales"/>
              <w:keepLines/>
              <w:rPr>
                <w:rFonts w:ascii="Arial Gras" w:hAnsi="Arial Gras"/>
                <w:b/>
                <w:color w:val="2A2755"/>
              </w:rPr>
            </w:pP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 xml:space="preserve">Version du </w:t>
            </w:r>
            <w:r w:rsidR="006F2A6F">
              <w:rPr>
                <w:rFonts w:ascii="Arial Gras" w:hAnsi="Arial Gras"/>
                <w:b/>
                <w:color w:val="2A2755"/>
              </w:rPr>
              <w:t>2</w:t>
            </w:r>
            <w:r w:rsidR="00064D40">
              <w:rPr>
                <w:rFonts w:ascii="Arial Gras" w:hAnsi="Arial Gras"/>
                <w:b/>
                <w:color w:val="2A2755"/>
              </w:rPr>
              <w:t>6</w:t>
            </w:r>
            <w:r w:rsidR="000332CC">
              <w:rPr>
                <w:rFonts w:ascii="Arial Gras" w:hAnsi="Arial Gras"/>
                <w:b/>
                <w:color w:val="2A2755"/>
              </w:rPr>
              <w:t>/0</w:t>
            </w:r>
            <w:r w:rsidR="00064D40">
              <w:rPr>
                <w:rFonts w:ascii="Arial Gras" w:hAnsi="Arial Gras"/>
                <w:b/>
                <w:color w:val="2A2755"/>
              </w:rPr>
              <w:t>2</w:t>
            </w:r>
            <w:r w:rsidR="000332CC">
              <w:rPr>
                <w:rFonts w:ascii="Arial Gras" w:hAnsi="Arial Gras"/>
                <w:b/>
                <w:color w:val="2A2755"/>
              </w:rPr>
              <w:t>/201</w:t>
            </w:r>
            <w:r w:rsidR="006F2A6F">
              <w:rPr>
                <w:rFonts w:ascii="Arial Gras" w:hAnsi="Arial Gras"/>
                <w:b/>
                <w:color w:val="2A2755"/>
              </w:rPr>
              <w:t>8</w:t>
            </w: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Version originelle</w:t>
            </w:r>
            <w:r w:rsidR="00DF2015">
              <w:rPr>
                <w:rFonts w:ascii="Arial Gras" w:hAnsi="Arial Gras"/>
                <w:b/>
                <w:color w:val="2A2755"/>
              </w:rPr>
              <w:t xml:space="preserve"> du</w:t>
            </w:r>
            <w:r w:rsidR="00EF7888">
              <w:rPr>
                <w:rFonts w:ascii="Arial Gras" w:hAnsi="Arial Gras"/>
                <w:b/>
                <w:color w:val="2A2755"/>
              </w:rPr>
              <w:t xml:space="preserve"> 28</w:t>
            </w:r>
            <w:r w:rsidR="00D267D6">
              <w:rPr>
                <w:rFonts w:ascii="Arial Gras" w:hAnsi="Arial Gras"/>
                <w:b/>
                <w:color w:val="2A2755"/>
              </w:rPr>
              <w:t>/</w:t>
            </w:r>
            <w:r w:rsidR="00EF7888">
              <w:rPr>
                <w:rFonts w:ascii="Arial Gras" w:hAnsi="Arial Gras"/>
                <w:b/>
                <w:color w:val="2A2755"/>
              </w:rPr>
              <w:t>05</w:t>
            </w:r>
            <w:r w:rsidR="00D267D6">
              <w:rPr>
                <w:rFonts w:ascii="Arial Gras" w:hAnsi="Arial Gras"/>
                <w:b/>
                <w:color w:val="2A2755"/>
              </w:rPr>
              <w:t>/201</w:t>
            </w:r>
            <w:r w:rsidR="00EF7888">
              <w:rPr>
                <w:rFonts w:ascii="Arial Gras" w:hAnsi="Arial Gras"/>
                <w:b/>
                <w:color w:val="2A2755"/>
              </w:rPr>
              <w:t>0</w:t>
            </w:r>
          </w:p>
          <w:p w:rsidR="000B1DF7" w:rsidRPr="00795E7F" w:rsidRDefault="000B1DF7" w:rsidP="00AA0F89">
            <w:pPr>
              <w:pStyle w:val="mentionslgales"/>
              <w:keepLines/>
              <w:rPr>
                <w:rFonts w:ascii="Arial Gras" w:hAnsi="Arial Gras"/>
                <w:b/>
                <w:color w:val="004559"/>
              </w:rPr>
            </w:pPr>
            <w:bookmarkStart w:id="3" w:name="newVersion"/>
            <w:bookmarkEnd w:id="3"/>
          </w:p>
          <w:p w:rsidR="000B1DF7" w:rsidRDefault="000B1DF7" w:rsidP="00AA0F89">
            <w:pPr>
              <w:pStyle w:val="mentionslgales"/>
              <w:keepLines/>
            </w:pPr>
          </w:p>
        </w:tc>
      </w:tr>
    </w:tbl>
    <w:p w:rsidR="001557BE" w:rsidRDefault="001557BE"/>
    <w:sectPr w:rsidR="001557BE" w:rsidSect="001B2C40">
      <w:headerReference w:type="default" r:id="rId18"/>
      <w:footerReference w:type="default" r:id="rId19"/>
      <w:headerReference w:type="first" r:id="rId20"/>
      <w:footerReference w:type="first" r:id="rId21"/>
      <w:pgSz w:w="11906" w:h="16838"/>
      <w:pgMar w:top="1701" w:right="737" w:bottom="1191"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DD" w:rsidRDefault="000736DD">
      <w:r>
        <w:separator/>
      </w:r>
    </w:p>
  </w:endnote>
  <w:endnote w:type="continuationSeparator" w:id="0">
    <w:p w:rsidR="000736DD" w:rsidRDefault="0007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altName w:val="Times New Roman"/>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9544D3">
    <w:pPr>
      <w:pStyle w:val="Pieddepage"/>
    </w:pPr>
  </w:p>
  <w:p w:rsidR="009544D3" w:rsidRDefault="009544D3" w:rsidP="00C42BFF">
    <w:pPr>
      <w:pStyle w:val="Pieddepage"/>
    </w:pPr>
    <w:bookmarkStart w:id="7" w:name="piedPage1"/>
    <w:bookmarkEnd w:id="7"/>
    <w:r>
      <w:t xml:space="preserve">Ambassade de France en </w:t>
    </w:r>
    <w:r w:rsidR="00C42BFF">
      <w:t>MALAISIE</w:t>
    </w:r>
    <w:r>
      <w:t xml:space="preserve"> - SERVICE </w:t>
    </w:r>
    <w:r>
      <w:rPr>
        <w:rFonts w:hint="eastAsia"/>
      </w:rPr>
      <w:t>É</w:t>
    </w:r>
    <w:r>
      <w:t>conomique</w:t>
    </w:r>
  </w:p>
  <w:p w:rsidR="009544D3" w:rsidRDefault="009544D3">
    <w:pPr>
      <w:pStyle w:val="Pieddepage"/>
    </w:pPr>
    <w:r>
      <w:t xml:space="preserve">- </w:t>
    </w:r>
    <w:r>
      <w:fldChar w:fldCharType="begin"/>
    </w:r>
    <w:r>
      <w:instrText xml:space="preserve"> PAGE </w:instrText>
    </w:r>
    <w:r>
      <w:fldChar w:fldCharType="separate"/>
    </w:r>
    <w:r w:rsidR="0050173C">
      <w:rPr>
        <w:noProof/>
      </w:rPr>
      <w:t>4</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9544D3">
    <w:pPr>
      <w:pStyle w:val="Pieddepage"/>
    </w:pPr>
    <w:r>
      <w:br/>
    </w:r>
    <w:bookmarkStart w:id="8" w:name="piedPage"/>
    <w:bookmarkEnd w:id="8"/>
    <w:r>
      <w:t xml:space="preserve">Ambassade de France en </w:t>
    </w:r>
    <w:r w:rsidR="00C42BFF">
      <w:t>MALAISIE</w:t>
    </w:r>
    <w:r>
      <w:t xml:space="preserve"> - SERVICE </w:t>
    </w:r>
    <w:r>
      <w:rPr>
        <w:rFonts w:hint="eastAsia"/>
      </w:rPr>
      <w:t>É</w:t>
    </w:r>
    <w:r>
      <w:t>conomique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DD" w:rsidRDefault="000736DD">
      <w:r>
        <w:separator/>
      </w:r>
    </w:p>
  </w:footnote>
  <w:footnote w:type="continuationSeparator" w:id="0">
    <w:p w:rsidR="000736DD" w:rsidRDefault="0007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C42BFF" w:rsidP="00127BB6">
    <w:pPr>
      <w:pStyle w:val="En-tte"/>
      <w:spacing w:before="40"/>
      <w:jc w:val="center"/>
      <w:rPr>
        <w:rFonts w:ascii="Arial" w:hAnsi="Arial" w:cs="Arial"/>
        <w:sz w:val="16"/>
      </w:rPr>
    </w:pPr>
    <w:r>
      <w:rPr>
        <w:noProof/>
      </w:rPr>
      <w:drawing>
        <wp:inline distT="0" distB="0" distL="0" distR="0" wp14:anchorId="7E6670FC" wp14:editId="3B097ADE">
          <wp:extent cx="6409055" cy="779145"/>
          <wp:effectExtent l="0" t="0" r="0" b="1905"/>
          <wp:docPr id="13" name="Image 13" descr="Nouvelle 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uvelle 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055" cy="779145"/>
                  </a:xfrm>
                  <a:prstGeom prst="rect">
                    <a:avLst/>
                  </a:prstGeom>
                  <a:noFill/>
                  <a:ln>
                    <a:noFill/>
                  </a:ln>
                </pic:spPr>
              </pic:pic>
            </a:graphicData>
          </a:graphic>
        </wp:inline>
      </w:drawing>
    </w:r>
  </w:p>
  <w:tbl>
    <w:tblPr>
      <w:tblW w:w="10206" w:type="dxa"/>
      <w:tblInd w:w="70" w:type="dxa"/>
      <w:tblCellMar>
        <w:left w:w="70" w:type="dxa"/>
        <w:right w:w="70" w:type="dxa"/>
      </w:tblCellMar>
      <w:tblLook w:val="0000" w:firstRow="0" w:lastRow="0" w:firstColumn="0" w:lastColumn="0" w:noHBand="0" w:noVBand="0"/>
    </w:tblPr>
    <w:tblGrid>
      <w:gridCol w:w="10206"/>
    </w:tblGrid>
    <w:tr w:rsidR="009544D3" w:rsidTr="00BC6975">
      <w:tc>
        <w:tcPr>
          <w:tcW w:w="10206" w:type="dxa"/>
        </w:tcPr>
        <w:p w:rsidR="009544D3" w:rsidRDefault="00703822" w:rsidP="009C73D8">
          <w:pPr>
            <w:pStyle w:val="En-tte"/>
            <w:keepNext/>
            <w:keepLines/>
            <w:suppressAutoHyphens/>
            <w:spacing w:before="60"/>
            <w:ind w:left="181"/>
            <w:rPr>
              <w:rFonts w:ascii="Arial Gras" w:hAnsi="Arial Gras" w:cs="Arial"/>
              <w:b/>
              <w:bCs/>
              <w:spacing w:val="40"/>
              <w:sz w:val="16"/>
            </w:rPr>
          </w:pPr>
          <w:bookmarkStart w:id="4" w:name="titreHead"/>
          <w:bookmarkEnd w:id="4"/>
          <w:r w:rsidRPr="00836A1D">
            <w:rPr>
              <w:rFonts w:ascii="Arial Gras" w:hAnsi="Arial Gras" w:cs="Arial"/>
              <w:b/>
              <w:bCs/>
              <w:color w:val="DAA800"/>
              <w:spacing w:val="30"/>
              <w:sz w:val="16"/>
            </w:rPr>
            <w:t>L</w:t>
          </w:r>
          <w:r>
            <w:rPr>
              <w:rFonts w:ascii="Arial Gras" w:hAnsi="Arial Gras" w:cs="Arial"/>
              <w:b/>
              <w:bCs/>
              <w:color w:val="DAA800"/>
              <w:spacing w:val="30"/>
              <w:sz w:val="16"/>
            </w:rPr>
            <w:t xml:space="preserve">es échanges commerciaux franco-malaisiens en 2015 </w:t>
          </w:r>
          <w:r w:rsidR="009544D3" w:rsidRPr="00BA4D5D">
            <w:rPr>
              <w:rFonts w:ascii="Arial Gras" w:hAnsi="Arial Gras" w:cs="Arial"/>
              <w:b/>
              <w:bCs/>
              <w:color w:val="004559"/>
              <w:spacing w:val="30"/>
              <w:sz w:val="16"/>
            </w:rPr>
            <w:t>–</w:t>
          </w:r>
          <w:bookmarkStart w:id="5" w:name="moisActuHead"/>
          <w:bookmarkEnd w:id="5"/>
          <w:r w:rsidR="009544D3">
            <w:rPr>
              <w:rFonts w:ascii="Arial Gras" w:hAnsi="Arial Gras" w:cs="Arial"/>
              <w:b/>
              <w:bCs/>
              <w:color w:val="336699"/>
              <w:spacing w:val="30"/>
              <w:sz w:val="16"/>
            </w:rPr>
            <w:t xml:space="preserve"> </w:t>
          </w:r>
          <w:bookmarkStart w:id="6" w:name="anActuHead"/>
          <w:bookmarkEnd w:id="6"/>
          <w:r w:rsidR="009C73D8">
            <w:rPr>
              <w:rFonts w:ascii="Arial Gras" w:hAnsi="Arial Gras" w:cs="Arial"/>
              <w:b/>
              <w:bCs/>
              <w:color w:val="336699"/>
              <w:spacing w:val="30"/>
              <w:sz w:val="16"/>
            </w:rPr>
            <w:t>mars</w:t>
          </w:r>
          <w:r w:rsidR="007274D5">
            <w:rPr>
              <w:rFonts w:ascii="Arial Gras" w:hAnsi="Arial Gras" w:cs="Arial"/>
              <w:b/>
              <w:bCs/>
              <w:color w:val="336699"/>
              <w:spacing w:val="30"/>
              <w:sz w:val="16"/>
            </w:rPr>
            <w:t xml:space="preserve"> </w:t>
          </w:r>
          <w:r w:rsidR="009544D3">
            <w:rPr>
              <w:rFonts w:ascii="Arial Gras" w:hAnsi="Arial Gras" w:cs="Arial"/>
              <w:b/>
              <w:bCs/>
              <w:color w:val="336699"/>
              <w:spacing w:val="30"/>
              <w:sz w:val="16"/>
            </w:rPr>
            <w:t>20</w:t>
          </w:r>
          <w:r w:rsidR="00836A1D">
            <w:rPr>
              <w:rFonts w:ascii="Arial Gras" w:hAnsi="Arial Gras" w:cs="Arial"/>
              <w:b/>
              <w:bCs/>
              <w:color w:val="336699"/>
              <w:spacing w:val="30"/>
              <w:sz w:val="16"/>
            </w:rPr>
            <w:t>1</w:t>
          </w:r>
          <w:r w:rsidR="007274D5">
            <w:rPr>
              <w:rFonts w:ascii="Arial Gras" w:hAnsi="Arial Gras" w:cs="Arial"/>
              <w:b/>
              <w:bCs/>
              <w:color w:val="336699"/>
              <w:spacing w:val="30"/>
              <w:sz w:val="16"/>
            </w:rPr>
            <w:t>6</w:t>
          </w:r>
          <w:r w:rsidR="009544D3">
            <w:rPr>
              <w:rFonts w:ascii="Arial Gras" w:hAnsi="Arial Gras" w:cs="Arial"/>
              <w:b/>
              <w:bCs/>
              <w:color w:val="336699"/>
              <w:spacing w:val="30"/>
              <w:sz w:val="16"/>
            </w:rPr>
            <w:t xml:space="preserve"> </w:t>
          </w:r>
          <w:r w:rsidR="009544D3">
            <w:rPr>
              <w:rFonts w:ascii="Arial" w:hAnsi="Arial" w:cs="Arial"/>
              <w:sz w:val="16"/>
            </w:rPr>
            <w:t>©</w:t>
          </w:r>
          <w:r w:rsidR="00D00072">
            <w:rPr>
              <w:rFonts w:ascii="Arial" w:hAnsi="Arial" w:cs="Arial"/>
              <w:sz w:val="16"/>
            </w:rPr>
            <w:t xml:space="preserve"> </w:t>
          </w:r>
          <w:r w:rsidR="009544D3">
            <w:rPr>
              <w:rFonts w:ascii="Arial" w:hAnsi="Arial" w:cs="Arial"/>
              <w:sz w:val="16"/>
            </w:rPr>
            <w:t>DG</w:t>
          </w:r>
          <w:r w:rsidR="008C7F92">
            <w:rPr>
              <w:rFonts w:ascii="Arial" w:hAnsi="Arial" w:cs="Arial"/>
              <w:sz w:val="16"/>
            </w:rPr>
            <w:t xml:space="preserve"> </w:t>
          </w:r>
          <w:r w:rsidR="009544D3">
            <w:rPr>
              <w:rFonts w:ascii="Arial" w:hAnsi="Arial" w:cs="Arial"/>
              <w:sz w:val="16"/>
            </w:rPr>
            <w:t>T</w:t>
          </w:r>
          <w:r w:rsidR="008C7F92">
            <w:rPr>
              <w:rFonts w:ascii="Arial" w:hAnsi="Arial" w:cs="Arial"/>
              <w:sz w:val="16"/>
            </w:rPr>
            <w:t>résor</w:t>
          </w:r>
        </w:p>
      </w:tc>
    </w:tr>
  </w:tbl>
  <w:p w:rsidR="009544D3" w:rsidRDefault="009544D3">
    <w:pPr>
      <w:pStyle w:val="En-tte"/>
      <w:spacing w:before="40"/>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C42BFF" w:rsidP="005120C0">
    <w:pPr>
      <w:pStyle w:val="En-tte"/>
      <w:tabs>
        <w:tab w:val="left" w:pos="142"/>
      </w:tabs>
    </w:pPr>
    <w:r>
      <w:rPr>
        <w:noProof/>
      </w:rPr>
      <w:drawing>
        <wp:inline distT="0" distB="0" distL="0" distR="0">
          <wp:extent cx="6448425" cy="1208405"/>
          <wp:effectExtent l="0" t="0" r="9525" b="0"/>
          <wp:docPr id="14" name="Image 14" descr="Bandeau_publications_services_économiques_20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andeau_publications_services_économiques_2010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7648"/>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F03849"/>
    <w:multiLevelType w:val="hybridMultilevel"/>
    <w:tmpl w:val="320C5FBC"/>
    <w:lvl w:ilvl="0" w:tplc="365AA93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121A1C"/>
    <w:multiLevelType w:val="hybridMultilevel"/>
    <w:tmpl w:val="C3AC1F86"/>
    <w:lvl w:ilvl="0" w:tplc="81B0B3B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3A386B"/>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22424"/>
    <w:multiLevelType w:val="hybridMultilevel"/>
    <w:tmpl w:val="6F849D24"/>
    <w:lvl w:ilvl="0" w:tplc="F440DF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D157A7"/>
    <w:multiLevelType w:val="hybridMultilevel"/>
    <w:tmpl w:val="1B90C634"/>
    <w:lvl w:ilvl="0" w:tplc="779AD0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E93857"/>
    <w:multiLevelType w:val="hybridMultilevel"/>
    <w:tmpl w:val="20407A66"/>
    <w:lvl w:ilvl="0" w:tplc="ECC609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CE4B5C"/>
    <w:multiLevelType w:val="hybridMultilevel"/>
    <w:tmpl w:val="381E21A0"/>
    <w:lvl w:ilvl="0" w:tplc="5C48C686">
      <w:numFmt w:val="bullet"/>
      <w:lvlText w:val=""/>
      <w:lvlJc w:val="left"/>
      <w:pPr>
        <w:tabs>
          <w:tab w:val="num" w:pos="397"/>
        </w:tabs>
        <w:ind w:left="340" w:hanging="340"/>
      </w:pPr>
      <w:rPr>
        <w:rFonts w:ascii="Wingdings" w:hAnsi="Wingdings" w:hint="default"/>
        <w:color w:val="DAA80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23574"/>
    <w:multiLevelType w:val="hybridMultilevel"/>
    <w:tmpl w:val="1B9E003E"/>
    <w:lvl w:ilvl="0" w:tplc="D92E3B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7D2D5C"/>
    <w:multiLevelType w:val="hybridMultilevel"/>
    <w:tmpl w:val="DCE24356"/>
    <w:lvl w:ilvl="0" w:tplc="365AA9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84379A"/>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492CF6"/>
    <w:multiLevelType w:val="hybridMultilevel"/>
    <w:tmpl w:val="05586DD2"/>
    <w:lvl w:ilvl="0" w:tplc="9E0CD5D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9F76568"/>
    <w:multiLevelType w:val="hybridMultilevel"/>
    <w:tmpl w:val="3E9C4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2956A2"/>
    <w:multiLevelType w:val="hybridMultilevel"/>
    <w:tmpl w:val="1B90C634"/>
    <w:lvl w:ilvl="0" w:tplc="779AD0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1"/>
  </w:num>
  <w:num w:numId="5">
    <w:abstractNumId w:val="5"/>
  </w:num>
  <w:num w:numId="6">
    <w:abstractNumId w:val="10"/>
  </w:num>
  <w:num w:numId="7">
    <w:abstractNumId w:val="4"/>
  </w:num>
  <w:num w:numId="8">
    <w:abstractNumId w:val="8"/>
  </w:num>
  <w:num w:numId="9">
    <w:abstractNumId w:val="6"/>
  </w:num>
  <w:num w:numId="10">
    <w:abstractNumId w:val="0"/>
  </w:num>
  <w:num w:numId="11">
    <w:abstractNumId w:val="3"/>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BE"/>
    <w:rsid w:val="00000547"/>
    <w:rsid w:val="0003322A"/>
    <w:rsid w:val="000332CC"/>
    <w:rsid w:val="000366E9"/>
    <w:rsid w:val="00037CBF"/>
    <w:rsid w:val="00044F92"/>
    <w:rsid w:val="00051190"/>
    <w:rsid w:val="00064D40"/>
    <w:rsid w:val="000736DD"/>
    <w:rsid w:val="00076F0B"/>
    <w:rsid w:val="0008510A"/>
    <w:rsid w:val="000A42FF"/>
    <w:rsid w:val="000B1DF7"/>
    <w:rsid w:val="000B2C8F"/>
    <w:rsid w:val="000C35FF"/>
    <w:rsid w:val="000C375A"/>
    <w:rsid w:val="000C7ABB"/>
    <w:rsid w:val="000D2FE6"/>
    <w:rsid w:val="000D708E"/>
    <w:rsid w:val="000E086B"/>
    <w:rsid w:val="000E7D1C"/>
    <w:rsid w:val="00103348"/>
    <w:rsid w:val="0010597A"/>
    <w:rsid w:val="00105E70"/>
    <w:rsid w:val="00110072"/>
    <w:rsid w:val="001110EE"/>
    <w:rsid w:val="0012250E"/>
    <w:rsid w:val="00127BB6"/>
    <w:rsid w:val="00127F59"/>
    <w:rsid w:val="001351E2"/>
    <w:rsid w:val="00144A7C"/>
    <w:rsid w:val="00145E73"/>
    <w:rsid w:val="001557BE"/>
    <w:rsid w:val="00170C70"/>
    <w:rsid w:val="00182200"/>
    <w:rsid w:val="001A08A1"/>
    <w:rsid w:val="001A7013"/>
    <w:rsid w:val="001B2C40"/>
    <w:rsid w:val="001B4B99"/>
    <w:rsid w:val="001D218F"/>
    <w:rsid w:val="001D26BB"/>
    <w:rsid w:val="001D63CD"/>
    <w:rsid w:val="001E1639"/>
    <w:rsid w:val="001E3F84"/>
    <w:rsid w:val="001F16C8"/>
    <w:rsid w:val="002121E0"/>
    <w:rsid w:val="002311BE"/>
    <w:rsid w:val="0023393A"/>
    <w:rsid w:val="002473C6"/>
    <w:rsid w:val="0025240D"/>
    <w:rsid w:val="00257F24"/>
    <w:rsid w:val="00266929"/>
    <w:rsid w:val="00282E42"/>
    <w:rsid w:val="00284645"/>
    <w:rsid w:val="00290147"/>
    <w:rsid w:val="00292CEB"/>
    <w:rsid w:val="00297DFC"/>
    <w:rsid w:val="002C23B4"/>
    <w:rsid w:val="002D23E4"/>
    <w:rsid w:val="002D3F9C"/>
    <w:rsid w:val="002E1B34"/>
    <w:rsid w:val="002E5B13"/>
    <w:rsid w:val="002F047F"/>
    <w:rsid w:val="002F46CA"/>
    <w:rsid w:val="002F729D"/>
    <w:rsid w:val="00311A2B"/>
    <w:rsid w:val="003121DB"/>
    <w:rsid w:val="00312C0F"/>
    <w:rsid w:val="00317454"/>
    <w:rsid w:val="003201E4"/>
    <w:rsid w:val="00325030"/>
    <w:rsid w:val="003258CC"/>
    <w:rsid w:val="0034070F"/>
    <w:rsid w:val="00345B4C"/>
    <w:rsid w:val="00350FAD"/>
    <w:rsid w:val="00352F7A"/>
    <w:rsid w:val="003632B9"/>
    <w:rsid w:val="00365F07"/>
    <w:rsid w:val="0037014D"/>
    <w:rsid w:val="00385BD2"/>
    <w:rsid w:val="0039479F"/>
    <w:rsid w:val="003954B5"/>
    <w:rsid w:val="00396B14"/>
    <w:rsid w:val="003A1FAF"/>
    <w:rsid w:val="003A36E0"/>
    <w:rsid w:val="003A495B"/>
    <w:rsid w:val="003A6C17"/>
    <w:rsid w:val="003B2BE6"/>
    <w:rsid w:val="003B528B"/>
    <w:rsid w:val="003B6FB7"/>
    <w:rsid w:val="003C55EC"/>
    <w:rsid w:val="003C7547"/>
    <w:rsid w:val="003D3685"/>
    <w:rsid w:val="003F4E0A"/>
    <w:rsid w:val="003F6019"/>
    <w:rsid w:val="004018FB"/>
    <w:rsid w:val="004045E3"/>
    <w:rsid w:val="004057BD"/>
    <w:rsid w:val="00413FA5"/>
    <w:rsid w:val="00415D0E"/>
    <w:rsid w:val="00432A0E"/>
    <w:rsid w:val="00434EEC"/>
    <w:rsid w:val="00445689"/>
    <w:rsid w:val="0044570D"/>
    <w:rsid w:val="00451FFF"/>
    <w:rsid w:val="0045269C"/>
    <w:rsid w:val="00456BE5"/>
    <w:rsid w:val="00460AEF"/>
    <w:rsid w:val="00474A2C"/>
    <w:rsid w:val="00486D9D"/>
    <w:rsid w:val="00490ABB"/>
    <w:rsid w:val="004955CF"/>
    <w:rsid w:val="004A1D7E"/>
    <w:rsid w:val="004A709E"/>
    <w:rsid w:val="004B360F"/>
    <w:rsid w:val="004D50B5"/>
    <w:rsid w:val="004E1299"/>
    <w:rsid w:val="004F2ECA"/>
    <w:rsid w:val="004F3FD9"/>
    <w:rsid w:val="004F6561"/>
    <w:rsid w:val="0050173C"/>
    <w:rsid w:val="00501C29"/>
    <w:rsid w:val="005120C0"/>
    <w:rsid w:val="0051270F"/>
    <w:rsid w:val="00512A60"/>
    <w:rsid w:val="0051591E"/>
    <w:rsid w:val="0052086C"/>
    <w:rsid w:val="00541998"/>
    <w:rsid w:val="00542220"/>
    <w:rsid w:val="005449D0"/>
    <w:rsid w:val="00551822"/>
    <w:rsid w:val="0055517B"/>
    <w:rsid w:val="00560420"/>
    <w:rsid w:val="0056261B"/>
    <w:rsid w:val="00562F9D"/>
    <w:rsid w:val="00585649"/>
    <w:rsid w:val="0059156C"/>
    <w:rsid w:val="005A6F04"/>
    <w:rsid w:val="005B6D9E"/>
    <w:rsid w:val="005B74BD"/>
    <w:rsid w:val="005C55F9"/>
    <w:rsid w:val="005E04A3"/>
    <w:rsid w:val="005E36E6"/>
    <w:rsid w:val="005E492D"/>
    <w:rsid w:val="005E731B"/>
    <w:rsid w:val="00600978"/>
    <w:rsid w:val="0063119B"/>
    <w:rsid w:val="00634A56"/>
    <w:rsid w:val="00637C09"/>
    <w:rsid w:val="00682C09"/>
    <w:rsid w:val="006907C9"/>
    <w:rsid w:val="00692B34"/>
    <w:rsid w:val="00696A9C"/>
    <w:rsid w:val="006B2238"/>
    <w:rsid w:val="006B495F"/>
    <w:rsid w:val="006C7D2F"/>
    <w:rsid w:val="006D2EF8"/>
    <w:rsid w:val="006D41EE"/>
    <w:rsid w:val="006D7BA7"/>
    <w:rsid w:val="006D7D96"/>
    <w:rsid w:val="006E1212"/>
    <w:rsid w:val="006F2468"/>
    <w:rsid w:val="006F2A6F"/>
    <w:rsid w:val="006F671F"/>
    <w:rsid w:val="006F7D83"/>
    <w:rsid w:val="00703822"/>
    <w:rsid w:val="0070503A"/>
    <w:rsid w:val="0071081A"/>
    <w:rsid w:val="00716928"/>
    <w:rsid w:val="0072325F"/>
    <w:rsid w:val="007242E9"/>
    <w:rsid w:val="007274D5"/>
    <w:rsid w:val="00727994"/>
    <w:rsid w:val="00733AA5"/>
    <w:rsid w:val="007363E2"/>
    <w:rsid w:val="007464EC"/>
    <w:rsid w:val="007509AB"/>
    <w:rsid w:val="00761149"/>
    <w:rsid w:val="007655BB"/>
    <w:rsid w:val="007676E7"/>
    <w:rsid w:val="00767939"/>
    <w:rsid w:val="00784DB5"/>
    <w:rsid w:val="00785392"/>
    <w:rsid w:val="007939C8"/>
    <w:rsid w:val="007975F9"/>
    <w:rsid w:val="007A4C07"/>
    <w:rsid w:val="007B6300"/>
    <w:rsid w:val="007B6DB9"/>
    <w:rsid w:val="007D2936"/>
    <w:rsid w:val="007D347B"/>
    <w:rsid w:val="007D7C76"/>
    <w:rsid w:val="007E4A2D"/>
    <w:rsid w:val="007E5B8B"/>
    <w:rsid w:val="007F0EF4"/>
    <w:rsid w:val="007F2398"/>
    <w:rsid w:val="007F389E"/>
    <w:rsid w:val="007F4A8E"/>
    <w:rsid w:val="00801AB6"/>
    <w:rsid w:val="00814679"/>
    <w:rsid w:val="00815B81"/>
    <w:rsid w:val="008345A5"/>
    <w:rsid w:val="00836A1D"/>
    <w:rsid w:val="008375E2"/>
    <w:rsid w:val="008463CB"/>
    <w:rsid w:val="00864CC8"/>
    <w:rsid w:val="00866D33"/>
    <w:rsid w:val="00872867"/>
    <w:rsid w:val="00885371"/>
    <w:rsid w:val="00897F3F"/>
    <w:rsid w:val="008A20BF"/>
    <w:rsid w:val="008C7F92"/>
    <w:rsid w:val="008E4108"/>
    <w:rsid w:val="008E4DB0"/>
    <w:rsid w:val="008F161A"/>
    <w:rsid w:val="008F4E2F"/>
    <w:rsid w:val="00900E2B"/>
    <w:rsid w:val="00907496"/>
    <w:rsid w:val="009131EF"/>
    <w:rsid w:val="00913224"/>
    <w:rsid w:val="00914775"/>
    <w:rsid w:val="0091653F"/>
    <w:rsid w:val="00917510"/>
    <w:rsid w:val="00917B0C"/>
    <w:rsid w:val="0092214B"/>
    <w:rsid w:val="009233B8"/>
    <w:rsid w:val="009457A4"/>
    <w:rsid w:val="009457EA"/>
    <w:rsid w:val="00950B04"/>
    <w:rsid w:val="009544D3"/>
    <w:rsid w:val="009554E4"/>
    <w:rsid w:val="0096110F"/>
    <w:rsid w:val="00963663"/>
    <w:rsid w:val="009838D6"/>
    <w:rsid w:val="00997BC5"/>
    <w:rsid w:val="009C10F3"/>
    <w:rsid w:val="009C7368"/>
    <w:rsid w:val="009C73D8"/>
    <w:rsid w:val="009D093F"/>
    <w:rsid w:val="009D67A4"/>
    <w:rsid w:val="00A0623F"/>
    <w:rsid w:val="00A21A69"/>
    <w:rsid w:val="00A25E0C"/>
    <w:rsid w:val="00A30F6F"/>
    <w:rsid w:val="00A47CD2"/>
    <w:rsid w:val="00A536BB"/>
    <w:rsid w:val="00A60C73"/>
    <w:rsid w:val="00A71F38"/>
    <w:rsid w:val="00A742AF"/>
    <w:rsid w:val="00A8459A"/>
    <w:rsid w:val="00A97A73"/>
    <w:rsid w:val="00AA0F89"/>
    <w:rsid w:val="00AA2689"/>
    <w:rsid w:val="00AA4425"/>
    <w:rsid w:val="00AA6D34"/>
    <w:rsid w:val="00AB0A54"/>
    <w:rsid w:val="00AB0D99"/>
    <w:rsid w:val="00AD6933"/>
    <w:rsid w:val="00B131A6"/>
    <w:rsid w:val="00B16A08"/>
    <w:rsid w:val="00B22AEE"/>
    <w:rsid w:val="00B26BBF"/>
    <w:rsid w:val="00B37162"/>
    <w:rsid w:val="00B40074"/>
    <w:rsid w:val="00B47180"/>
    <w:rsid w:val="00B47ED9"/>
    <w:rsid w:val="00B52300"/>
    <w:rsid w:val="00B6555B"/>
    <w:rsid w:val="00B655F0"/>
    <w:rsid w:val="00B73C52"/>
    <w:rsid w:val="00B75AB0"/>
    <w:rsid w:val="00B8058A"/>
    <w:rsid w:val="00B85F26"/>
    <w:rsid w:val="00B87F54"/>
    <w:rsid w:val="00B90BCE"/>
    <w:rsid w:val="00B93C98"/>
    <w:rsid w:val="00BA4E3F"/>
    <w:rsid w:val="00BC0605"/>
    <w:rsid w:val="00BC6975"/>
    <w:rsid w:val="00BC7B92"/>
    <w:rsid w:val="00BD2D3D"/>
    <w:rsid w:val="00BD2DD1"/>
    <w:rsid w:val="00BE35C0"/>
    <w:rsid w:val="00BE3BC0"/>
    <w:rsid w:val="00BE4E60"/>
    <w:rsid w:val="00BE6F5B"/>
    <w:rsid w:val="00BE74A6"/>
    <w:rsid w:val="00BF55A4"/>
    <w:rsid w:val="00BF771E"/>
    <w:rsid w:val="00C029FB"/>
    <w:rsid w:val="00C05630"/>
    <w:rsid w:val="00C112F9"/>
    <w:rsid w:val="00C1503D"/>
    <w:rsid w:val="00C24717"/>
    <w:rsid w:val="00C25020"/>
    <w:rsid w:val="00C30185"/>
    <w:rsid w:val="00C3198E"/>
    <w:rsid w:val="00C36E6A"/>
    <w:rsid w:val="00C42BFF"/>
    <w:rsid w:val="00C52E2B"/>
    <w:rsid w:val="00C53565"/>
    <w:rsid w:val="00C571C2"/>
    <w:rsid w:val="00CA3F0D"/>
    <w:rsid w:val="00CA5BDF"/>
    <w:rsid w:val="00CC5116"/>
    <w:rsid w:val="00CD547F"/>
    <w:rsid w:val="00CE3AB7"/>
    <w:rsid w:val="00CE4CDB"/>
    <w:rsid w:val="00CE4F55"/>
    <w:rsid w:val="00CF415D"/>
    <w:rsid w:val="00CF60E8"/>
    <w:rsid w:val="00D00072"/>
    <w:rsid w:val="00D00B51"/>
    <w:rsid w:val="00D223AF"/>
    <w:rsid w:val="00D22DAD"/>
    <w:rsid w:val="00D25464"/>
    <w:rsid w:val="00D267D6"/>
    <w:rsid w:val="00D26835"/>
    <w:rsid w:val="00D32BEC"/>
    <w:rsid w:val="00D32D1A"/>
    <w:rsid w:val="00D41CB5"/>
    <w:rsid w:val="00D423E0"/>
    <w:rsid w:val="00D436AF"/>
    <w:rsid w:val="00D4551C"/>
    <w:rsid w:val="00D47944"/>
    <w:rsid w:val="00D60D74"/>
    <w:rsid w:val="00D71115"/>
    <w:rsid w:val="00D729C6"/>
    <w:rsid w:val="00D764C4"/>
    <w:rsid w:val="00D80EB8"/>
    <w:rsid w:val="00D90702"/>
    <w:rsid w:val="00D9686F"/>
    <w:rsid w:val="00DA4968"/>
    <w:rsid w:val="00DB7338"/>
    <w:rsid w:val="00DC1D39"/>
    <w:rsid w:val="00DC2CE2"/>
    <w:rsid w:val="00DD62BA"/>
    <w:rsid w:val="00DD7D9C"/>
    <w:rsid w:val="00DF2015"/>
    <w:rsid w:val="00E21A27"/>
    <w:rsid w:val="00E228A6"/>
    <w:rsid w:val="00E33A09"/>
    <w:rsid w:val="00E356D5"/>
    <w:rsid w:val="00E42B07"/>
    <w:rsid w:val="00E47DC3"/>
    <w:rsid w:val="00E50B8B"/>
    <w:rsid w:val="00E6209F"/>
    <w:rsid w:val="00E830F5"/>
    <w:rsid w:val="00E83886"/>
    <w:rsid w:val="00E96BD7"/>
    <w:rsid w:val="00EA2986"/>
    <w:rsid w:val="00EA5702"/>
    <w:rsid w:val="00EB1FDF"/>
    <w:rsid w:val="00EB664D"/>
    <w:rsid w:val="00EB7034"/>
    <w:rsid w:val="00EC0D4A"/>
    <w:rsid w:val="00EC4536"/>
    <w:rsid w:val="00ED2617"/>
    <w:rsid w:val="00EF14BD"/>
    <w:rsid w:val="00EF7888"/>
    <w:rsid w:val="00F20611"/>
    <w:rsid w:val="00F31BC3"/>
    <w:rsid w:val="00F469B8"/>
    <w:rsid w:val="00F46A9F"/>
    <w:rsid w:val="00F50E17"/>
    <w:rsid w:val="00F525C4"/>
    <w:rsid w:val="00F67E05"/>
    <w:rsid w:val="00F72D84"/>
    <w:rsid w:val="00FA2A49"/>
    <w:rsid w:val="00FA5A7D"/>
    <w:rsid w:val="00FA7854"/>
    <w:rsid w:val="00FB1CE2"/>
    <w:rsid w:val="00FB48F9"/>
    <w:rsid w:val="00FC0B10"/>
    <w:rsid w:val="00FE5091"/>
    <w:rsid w:val="00FF05E0"/>
    <w:rsid w:val="00FF3FC7"/>
    <w:rsid w:val="00FF4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4EB7C5-F0EE-4C63-9866-DCA89873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BE"/>
    <w:rPr>
      <w:sz w:val="24"/>
      <w:szCs w:val="24"/>
    </w:rPr>
  </w:style>
  <w:style w:type="paragraph" w:styleId="Titre1">
    <w:name w:val="heading 1"/>
    <w:basedOn w:val="Normal"/>
    <w:next w:val="Normal"/>
    <w:qFormat/>
    <w:rsid w:val="001557BE"/>
    <w:pPr>
      <w:keepNext/>
      <w:spacing w:before="200"/>
      <w:ind w:left="113"/>
      <w:outlineLvl w:val="0"/>
    </w:pPr>
    <w:rPr>
      <w:rFonts w:ascii="Arial Gras" w:hAnsi="Arial Gras" w:cs="Arial"/>
      <w:b/>
      <w:bCs/>
      <w:color w:val="258946"/>
      <w:kern w:val="2"/>
      <w:sz w:val="72"/>
      <w:szCs w:val="32"/>
      <w:lang w:val="en-GB"/>
    </w:rPr>
  </w:style>
  <w:style w:type="paragraph" w:styleId="Titre2">
    <w:name w:val="heading 2"/>
    <w:next w:val="Normal"/>
    <w:qFormat/>
    <w:rsid w:val="001557BE"/>
    <w:pPr>
      <w:keepNext/>
      <w:spacing w:before="60" w:after="60" w:line="240" w:lineRule="exact"/>
      <w:outlineLvl w:val="1"/>
    </w:pPr>
    <w:rPr>
      <w:rFonts w:ascii="Arial Gras" w:hAnsi="Arial Gras" w:cs="Arial"/>
      <w:b/>
      <w:bCs/>
      <w:iCs/>
      <w:color w:val="003366"/>
      <w:sz w:val="24"/>
      <w:szCs w:val="28"/>
    </w:rPr>
  </w:style>
  <w:style w:type="paragraph" w:styleId="Titre3">
    <w:name w:val="heading 3"/>
    <w:basedOn w:val="Normal"/>
    <w:next w:val="Normal"/>
    <w:qFormat/>
    <w:rsid w:val="001557BE"/>
    <w:pPr>
      <w:keepNext/>
      <w:spacing w:before="120" w:after="60" w:line="240" w:lineRule="exact"/>
      <w:outlineLvl w:val="2"/>
    </w:pPr>
    <w:rPr>
      <w:rFonts w:ascii="Arial Gras" w:hAnsi="Arial Gras" w:cs="Arial"/>
      <w:b/>
      <w:bCs/>
      <w:szCs w:val="26"/>
    </w:rPr>
  </w:style>
  <w:style w:type="paragraph" w:styleId="Titre4">
    <w:name w:val="heading 4"/>
    <w:basedOn w:val="Normal"/>
    <w:next w:val="Normal"/>
    <w:link w:val="Titre4Car"/>
    <w:semiHidden/>
    <w:unhideWhenUsed/>
    <w:qFormat/>
    <w:rsid w:val="007975F9"/>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57BE"/>
    <w:pPr>
      <w:tabs>
        <w:tab w:val="center" w:pos="4536"/>
        <w:tab w:val="right" w:pos="9072"/>
      </w:tabs>
    </w:pPr>
  </w:style>
  <w:style w:type="paragraph" w:styleId="Pieddepage">
    <w:name w:val="footer"/>
    <w:rsid w:val="001557BE"/>
    <w:pPr>
      <w:pBdr>
        <w:top w:val="single" w:sz="4" w:space="1" w:color="auto"/>
      </w:pBdr>
      <w:tabs>
        <w:tab w:val="center" w:pos="4536"/>
        <w:tab w:val="right" w:pos="9072"/>
      </w:tabs>
      <w:spacing w:before="60"/>
      <w:jc w:val="center"/>
    </w:pPr>
    <w:rPr>
      <w:rFonts w:ascii="Arial Gras" w:hAnsi="Arial Gras" w:cs="Arial"/>
      <w:b/>
      <w:bCs/>
      <w:caps/>
      <w:spacing w:val="34"/>
      <w:sz w:val="14"/>
      <w:szCs w:val="14"/>
    </w:rPr>
  </w:style>
  <w:style w:type="character" w:styleId="Lienhypertexte">
    <w:name w:val="Hyperlink"/>
    <w:rsid w:val="001557BE"/>
    <w:rPr>
      <w:rFonts w:ascii="Times New Roman" w:hAnsi="Times New Roman"/>
      <w:color w:val="0000FF"/>
      <w:sz w:val="16"/>
      <w:u w:val="single"/>
    </w:rPr>
  </w:style>
  <w:style w:type="paragraph" w:customStyle="1" w:styleId="textecourant">
    <w:name w:val="texte courant"/>
    <w:link w:val="textecourantCar"/>
    <w:rsid w:val="001557BE"/>
    <w:pPr>
      <w:spacing w:line="240" w:lineRule="atLeast"/>
      <w:jc w:val="both"/>
    </w:pPr>
  </w:style>
  <w:style w:type="paragraph" w:customStyle="1" w:styleId="Dtailarticles">
    <w:name w:val="Détail articles"/>
    <w:link w:val="DtailarticlesCar"/>
    <w:rsid w:val="001557BE"/>
    <w:pPr>
      <w:spacing w:line="240" w:lineRule="atLeast"/>
      <w:jc w:val="both"/>
    </w:pPr>
    <w:rPr>
      <w:rFonts w:ascii="Arial" w:hAnsi="Arial"/>
      <w:sz w:val="16"/>
    </w:rPr>
  </w:style>
  <w:style w:type="paragraph" w:customStyle="1" w:styleId="mentionslgales">
    <w:name w:val="mentionslégales"/>
    <w:rsid w:val="001557BE"/>
    <w:pPr>
      <w:spacing w:line="180" w:lineRule="exact"/>
      <w:jc w:val="both"/>
    </w:pPr>
    <w:rPr>
      <w:rFonts w:ascii="Arial" w:hAnsi="Arial"/>
      <w:sz w:val="14"/>
    </w:rPr>
  </w:style>
  <w:style w:type="paragraph" w:styleId="Corpsdetexte">
    <w:name w:val="Body Text"/>
    <w:basedOn w:val="Normal"/>
    <w:rsid w:val="001557BE"/>
    <w:pPr>
      <w:keepNext/>
      <w:ind w:right="284"/>
      <w:jc w:val="right"/>
    </w:pPr>
  </w:style>
  <w:style w:type="character" w:customStyle="1" w:styleId="textecourantCar">
    <w:name w:val="texte courant Car"/>
    <w:link w:val="textecourant"/>
    <w:rsid w:val="001557BE"/>
    <w:rPr>
      <w:lang w:val="fr-FR" w:eastAsia="fr-FR" w:bidi="ar-SA"/>
    </w:rPr>
  </w:style>
  <w:style w:type="character" w:customStyle="1" w:styleId="DtailarticlesCar">
    <w:name w:val="Détail articles Car"/>
    <w:link w:val="Dtailarticles"/>
    <w:rsid w:val="001557BE"/>
    <w:rPr>
      <w:rFonts w:ascii="Arial" w:hAnsi="Arial"/>
      <w:sz w:val="16"/>
      <w:lang w:val="fr-FR" w:eastAsia="fr-FR" w:bidi="ar-SA"/>
    </w:rPr>
  </w:style>
  <w:style w:type="paragraph" w:styleId="Paragraphedeliste">
    <w:name w:val="List Paragraph"/>
    <w:basedOn w:val="Normal"/>
    <w:uiPriority w:val="34"/>
    <w:qFormat/>
    <w:rsid w:val="009544D3"/>
    <w:pPr>
      <w:ind w:left="708"/>
    </w:pPr>
  </w:style>
  <w:style w:type="paragraph" w:styleId="Titre">
    <w:name w:val="Title"/>
    <w:basedOn w:val="Normal"/>
    <w:next w:val="Normal"/>
    <w:link w:val="TitreCar"/>
    <w:uiPriority w:val="10"/>
    <w:qFormat/>
    <w:rsid w:val="007975F9"/>
    <w:pPr>
      <w:pBdr>
        <w:top w:val="single" w:sz="12" w:space="1" w:color="E6A300"/>
        <w:bottom w:val="single" w:sz="12" w:space="1" w:color="E6A300"/>
      </w:pBdr>
      <w:shd w:val="clear" w:color="auto" w:fill="FFFFFF"/>
      <w:spacing w:after="300"/>
      <w:contextualSpacing/>
    </w:pPr>
    <w:rPr>
      <w:rFonts w:ascii="Arial" w:hAnsi="Arial"/>
      <w:color w:val="122255"/>
      <w:spacing w:val="5"/>
      <w:kern w:val="28"/>
      <w:sz w:val="52"/>
      <w:szCs w:val="52"/>
      <w:lang w:eastAsia="en-US"/>
    </w:rPr>
  </w:style>
  <w:style w:type="character" w:customStyle="1" w:styleId="TitreCar">
    <w:name w:val="Titre Car"/>
    <w:basedOn w:val="Policepardfaut"/>
    <w:link w:val="Titre"/>
    <w:uiPriority w:val="10"/>
    <w:rsid w:val="007975F9"/>
    <w:rPr>
      <w:rFonts w:ascii="Arial" w:hAnsi="Arial"/>
      <w:color w:val="122255"/>
      <w:spacing w:val="5"/>
      <w:kern w:val="28"/>
      <w:sz w:val="52"/>
      <w:szCs w:val="52"/>
      <w:shd w:val="clear" w:color="auto" w:fill="FFFFFF"/>
      <w:lang w:eastAsia="en-US"/>
    </w:rPr>
  </w:style>
  <w:style w:type="character" w:customStyle="1" w:styleId="Titre4Car">
    <w:name w:val="Titre 4 Car"/>
    <w:basedOn w:val="Policepardfaut"/>
    <w:link w:val="Titre4"/>
    <w:semiHidden/>
    <w:rsid w:val="007975F9"/>
    <w:rPr>
      <w:rFonts w:asciiTheme="minorHAnsi" w:eastAsiaTheme="minorEastAsia" w:hAnsiTheme="minorHAnsi" w:cstheme="minorBidi"/>
      <w:b/>
      <w:bCs/>
      <w:sz w:val="28"/>
      <w:szCs w:val="28"/>
    </w:rPr>
  </w:style>
  <w:style w:type="paragraph" w:styleId="Lgende">
    <w:name w:val="caption"/>
    <w:basedOn w:val="Normal"/>
    <w:next w:val="Normal"/>
    <w:unhideWhenUsed/>
    <w:qFormat/>
    <w:rsid w:val="00907496"/>
    <w:pPr>
      <w:spacing w:after="200"/>
    </w:pPr>
    <w:rPr>
      <w:i/>
      <w:iCs/>
      <w:color w:val="44546A" w:themeColor="text2"/>
      <w:sz w:val="18"/>
      <w:szCs w:val="18"/>
    </w:rPr>
  </w:style>
  <w:style w:type="table" w:customStyle="1" w:styleId="TableauGrille2-Accentuation41">
    <w:name w:val="Tableau Grille 2 - Accentuation 41"/>
    <w:basedOn w:val="TableauNormal"/>
    <w:uiPriority w:val="47"/>
    <w:rsid w:val="005449D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edebulles">
    <w:name w:val="Balloon Text"/>
    <w:basedOn w:val="Normal"/>
    <w:link w:val="TextedebullesCar"/>
    <w:rsid w:val="006B495F"/>
    <w:rPr>
      <w:rFonts w:ascii="Segoe UI" w:hAnsi="Segoe UI" w:cs="Segoe UI"/>
      <w:sz w:val="18"/>
      <w:szCs w:val="18"/>
    </w:rPr>
  </w:style>
  <w:style w:type="character" w:customStyle="1" w:styleId="TextedebullesCar">
    <w:name w:val="Texte de bulles Car"/>
    <w:basedOn w:val="Policepardfaut"/>
    <w:link w:val="Textedebulles"/>
    <w:rsid w:val="006B495F"/>
    <w:rPr>
      <w:rFonts w:ascii="Segoe UI" w:hAnsi="Segoe UI" w:cs="Segoe UI"/>
      <w:sz w:val="18"/>
      <w:szCs w:val="18"/>
    </w:rPr>
  </w:style>
  <w:style w:type="character" w:styleId="Lienhypertextesuivivisit">
    <w:name w:val="FollowedHyperlink"/>
    <w:basedOn w:val="Policepardfaut"/>
    <w:rsid w:val="00A536BB"/>
    <w:rPr>
      <w:color w:val="954F72" w:themeColor="followedHyperlink"/>
      <w:u w:val="single"/>
    </w:rPr>
  </w:style>
  <w:style w:type="table" w:styleId="Grilledutableau">
    <w:name w:val="Table Grid"/>
    <w:basedOn w:val="TableauNormal"/>
    <w:uiPriority w:val="39"/>
    <w:rsid w:val="005915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61149"/>
    <w:pPr>
      <w:overflowPunct w:val="0"/>
      <w:autoSpaceDE w:val="0"/>
      <w:autoSpaceDN w:val="0"/>
      <w:adjustRightInd w:val="0"/>
      <w:textAlignment w:val="baseline"/>
    </w:pPr>
    <w:rPr>
      <w:rFonts w:ascii="Univers" w:hAnsi="Univers" w:cs="Arial"/>
      <w:sz w:val="20"/>
      <w:szCs w:val="20"/>
    </w:rPr>
  </w:style>
  <w:style w:type="character" w:customStyle="1" w:styleId="NotedebasdepageCar">
    <w:name w:val="Note de bas de page Car"/>
    <w:basedOn w:val="Policepardfaut"/>
    <w:link w:val="Notedebasdepage"/>
    <w:rsid w:val="00761149"/>
    <w:rPr>
      <w:rFonts w:ascii="Univers" w:hAnsi="Univers" w:cs="Arial"/>
    </w:rPr>
  </w:style>
  <w:style w:type="character" w:styleId="Appelnotedebasdep">
    <w:name w:val="footnote reference"/>
    <w:unhideWhenUsed/>
    <w:rsid w:val="00761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6486">
      <w:bodyDiv w:val="1"/>
      <w:marLeft w:val="0"/>
      <w:marRight w:val="0"/>
      <w:marTop w:val="0"/>
      <w:marBottom w:val="0"/>
      <w:divBdr>
        <w:top w:val="none" w:sz="0" w:space="0" w:color="auto"/>
        <w:left w:val="none" w:sz="0" w:space="0" w:color="auto"/>
        <w:bottom w:val="none" w:sz="0" w:space="0" w:color="auto"/>
        <w:right w:val="none" w:sz="0" w:space="0" w:color="auto"/>
      </w:divBdr>
    </w:div>
    <w:div w:id="269093531">
      <w:bodyDiv w:val="1"/>
      <w:marLeft w:val="0"/>
      <w:marRight w:val="0"/>
      <w:marTop w:val="0"/>
      <w:marBottom w:val="0"/>
      <w:divBdr>
        <w:top w:val="none" w:sz="0" w:space="0" w:color="auto"/>
        <w:left w:val="none" w:sz="0" w:space="0" w:color="auto"/>
        <w:bottom w:val="none" w:sz="0" w:space="0" w:color="auto"/>
        <w:right w:val="none" w:sz="0" w:space="0" w:color="auto"/>
      </w:divBdr>
    </w:div>
    <w:div w:id="316694959">
      <w:bodyDiv w:val="1"/>
      <w:marLeft w:val="0"/>
      <w:marRight w:val="0"/>
      <w:marTop w:val="0"/>
      <w:marBottom w:val="0"/>
      <w:divBdr>
        <w:top w:val="none" w:sz="0" w:space="0" w:color="auto"/>
        <w:left w:val="none" w:sz="0" w:space="0" w:color="auto"/>
        <w:bottom w:val="none" w:sz="0" w:space="0" w:color="auto"/>
        <w:right w:val="none" w:sz="0" w:space="0" w:color="auto"/>
      </w:divBdr>
    </w:div>
    <w:div w:id="435448700">
      <w:bodyDiv w:val="1"/>
      <w:marLeft w:val="0"/>
      <w:marRight w:val="0"/>
      <w:marTop w:val="0"/>
      <w:marBottom w:val="0"/>
      <w:divBdr>
        <w:top w:val="none" w:sz="0" w:space="0" w:color="auto"/>
        <w:left w:val="none" w:sz="0" w:space="0" w:color="auto"/>
        <w:bottom w:val="none" w:sz="0" w:space="0" w:color="auto"/>
        <w:right w:val="none" w:sz="0" w:space="0" w:color="auto"/>
      </w:divBdr>
    </w:div>
    <w:div w:id="467237636">
      <w:bodyDiv w:val="1"/>
      <w:marLeft w:val="0"/>
      <w:marRight w:val="0"/>
      <w:marTop w:val="0"/>
      <w:marBottom w:val="0"/>
      <w:divBdr>
        <w:top w:val="none" w:sz="0" w:space="0" w:color="auto"/>
        <w:left w:val="none" w:sz="0" w:space="0" w:color="auto"/>
        <w:bottom w:val="none" w:sz="0" w:space="0" w:color="auto"/>
        <w:right w:val="none" w:sz="0" w:space="0" w:color="auto"/>
      </w:divBdr>
    </w:div>
    <w:div w:id="884175836">
      <w:bodyDiv w:val="1"/>
      <w:marLeft w:val="0"/>
      <w:marRight w:val="0"/>
      <w:marTop w:val="0"/>
      <w:marBottom w:val="0"/>
      <w:divBdr>
        <w:top w:val="none" w:sz="0" w:space="0" w:color="auto"/>
        <w:left w:val="none" w:sz="0" w:space="0" w:color="auto"/>
        <w:bottom w:val="none" w:sz="0" w:space="0" w:color="auto"/>
        <w:right w:val="none" w:sz="0" w:space="0" w:color="auto"/>
      </w:divBdr>
    </w:div>
    <w:div w:id="1012414844">
      <w:bodyDiv w:val="1"/>
      <w:marLeft w:val="0"/>
      <w:marRight w:val="0"/>
      <w:marTop w:val="0"/>
      <w:marBottom w:val="0"/>
      <w:divBdr>
        <w:top w:val="none" w:sz="0" w:space="0" w:color="auto"/>
        <w:left w:val="none" w:sz="0" w:space="0" w:color="auto"/>
        <w:bottom w:val="none" w:sz="0" w:space="0" w:color="auto"/>
        <w:right w:val="none" w:sz="0" w:space="0" w:color="auto"/>
      </w:divBdr>
    </w:div>
    <w:div w:id="2064717890">
      <w:bodyDiv w:val="1"/>
      <w:marLeft w:val="0"/>
      <w:marRight w:val="0"/>
      <w:marTop w:val="0"/>
      <w:marBottom w:val="0"/>
      <w:divBdr>
        <w:top w:val="none" w:sz="0" w:space="0" w:color="auto"/>
        <w:left w:val="none" w:sz="0" w:space="0" w:color="auto"/>
        <w:bottom w:val="none" w:sz="0" w:space="0" w:color="auto"/>
        <w:right w:val="none" w:sz="0" w:space="0" w:color="auto"/>
      </w:divBdr>
    </w:div>
    <w:div w:id="2085952978">
      <w:bodyDiv w:val="1"/>
      <w:marLeft w:val="0"/>
      <w:marRight w:val="0"/>
      <w:marTop w:val="0"/>
      <w:marBottom w:val="0"/>
      <w:divBdr>
        <w:top w:val="none" w:sz="0" w:space="0" w:color="auto"/>
        <w:left w:val="none" w:sz="0" w:space="0" w:color="auto"/>
        <w:bottom w:val="none" w:sz="0" w:space="0" w:color="auto"/>
        <w:right w:val="none" w:sz="0" w:space="0" w:color="auto"/>
      </w:divBdr>
    </w:div>
    <w:div w:id="21194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kualalumpur@dgtresor.gouv.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lekiosque.finances.gouv.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Echanges bilatéraux</a:t>
            </a:r>
            <a:r>
              <a:rPr lang="fr-FR" baseline="0"/>
              <a:t> 2015 - 2017</a:t>
            </a:r>
            <a:r>
              <a:rPr lang="fr-FR"/>
              <a:t> </a:t>
            </a:r>
          </a:p>
        </c:rich>
      </c:tx>
      <c:layout/>
      <c:overlay val="0"/>
      <c:spPr>
        <a:noFill/>
        <a:ln w="25400">
          <a:noFill/>
        </a:ln>
      </c:spPr>
    </c:title>
    <c:autoTitleDeleted val="0"/>
    <c:plotArea>
      <c:layout/>
      <c:barChart>
        <c:barDir val="col"/>
        <c:grouping val="clustered"/>
        <c:varyColors val="0"/>
        <c:ser>
          <c:idx val="0"/>
          <c:order val="0"/>
          <c:tx>
            <c:strRef>
              <c:f>Feuil1!$A$6</c:f>
              <c:strCache>
                <c:ptCount val="1"/>
                <c:pt idx="0">
                  <c:v>2015</c:v>
                </c:pt>
              </c:strCache>
            </c:strRef>
          </c:tx>
          <c:spPr>
            <a:solidFill>
              <a:srgbClr val="4F81BD"/>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Feuil1!$B$5:$D$5</c:f>
              <c:strCache>
                <c:ptCount val="3"/>
                <c:pt idx="0">
                  <c:v>exportations</c:v>
                </c:pt>
                <c:pt idx="1">
                  <c:v>importations</c:v>
                </c:pt>
                <c:pt idx="2">
                  <c:v>solde</c:v>
                </c:pt>
              </c:strCache>
            </c:strRef>
          </c:cat>
          <c:val>
            <c:numRef>
              <c:f>Feuil1!$B$6:$D$6</c:f>
              <c:numCache>
                <c:formatCode>#,##0</c:formatCode>
                <c:ptCount val="3"/>
                <c:pt idx="0">
                  <c:v>1419</c:v>
                </c:pt>
                <c:pt idx="1">
                  <c:v>2049</c:v>
                </c:pt>
                <c:pt idx="2" formatCode="General">
                  <c:v>-630</c:v>
                </c:pt>
              </c:numCache>
            </c:numRef>
          </c:val>
        </c:ser>
        <c:ser>
          <c:idx val="1"/>
          <c:order val="1"/>
          <c:tx>
            <c:strRef>
              <c:f>Feuil1!$A$7</c:f>
              <c:strCache>
                <c:ptCount val="1"/>
                <c:pt idx="0">
                  <c:v>2016</c:v>
                </c:pt>
              </c:strCache>
            </c:strRef>
          </c:tx>
          <c:spPr>
            <a:solidFill>
              <a:srgbClr val="C0504D"/>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Feuil1!$B$5:$D$5</c:f>
              <c:strCache>
                <c:ptCount val="3"/>
                <c:pt idx="0">
                  <c:v>exportations</c:v>
                </c:pt>
                <c:pt idx="1">
                  <c:v>importations</c:v>
                </c:pt>
                <c:pt idx="2">
                  <c:v>solde</c:v>
                </c:pt>
              </c:strCache>
            </c:strRef>
          </c:cat>
          <c:val>
            <c:numRef>
              <c:f>Feuil1!$B$7:$D$7</c:f>
              <c:numCache>
                <c:formatCode>#,##0</c:formatCode>
                <c:ptCount val="3"/>
                <c:pt idx="0">
                  <c:v>1531</c:v>
                </c:pt>
                <c:pt idx="1">
                  <c:v>2173</c:v>
                </c:pt>
                <c:pt idx="2" formatCode="General">
                  <c:v>-642</c:v>
                </c:pt>
              </c:numCache>
            </c:numRef>
          </c:val>
        </c:ser>
        <c:ser>
          <c:idx val="2"/>
          <c:order val="2"/>
          <c:tx>
            <c:strRef>
              <c:f>Feuil1!$A$8</c:f>
              <c:strCache>
                <c:ptCount val="1"/>
                <c:pt idx="0">
                  <c:v>2017</c:v>
                </c:pt>
              </c:strCache>
            </c:strRef>
          </c:tx>
          <c:spPr>
            <a:solidFill>
              <a:srgbClr val="9BBB59"/>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Feuil1!$B$5:$D$5</c:f>
              <c:strCache>
                <c:ptCount val="3"/>
                <c:pt idx="0">
                  <c:v>exportations</c:v>
                </c:pt>
                <c:pt idx="1">
                  <c:v>importations</c:v>
                </c:pt>
                <c:pt idx="2">
                  <c:v>solde</c:v>
                </c:pt>
              </c:strCache>
            </c:strRef>
          </c:cat>
          <c:val>
            <c:numRef>
              <c:f>Feuil1!$B$8:$D$8</c:f>
              <c:numCache>
                <c:formatCode>#,##0</c:formatCode>
                <c:ptCount val="3"/>
                <c:pt idx="0">
                  <c:v>1885</c:v>
                </c:pt>
                <c:pt idx="1">
                  <c:v>2124</c:v>
                </c:pt>
                <c:pt idx="2" formatCode="General">
                  <c:v>-239</c:v>
                </c:pt>
              </c:numCache>
            </c:numRef>
          </c:val>
        </c:ser>
        <c:dLbls>
          <c:dLblPos val="outEnd"/>
          <c:showLegendKey val="0"/>
          <c:showVal val="1"/>
          <c:showCatName val="0"/>
          <c:showSerName val="0"/>
          <c:showPercent val="0"/>
          <c:showBubbleSize val="0"/>
        </c:dLbls>
        <c:gapWidth val="219"/>
        <c:axId val="205575760"/>
        <c:axId val="205576152"/>
      </c:barChart>
      <c:catAx>
        <c:axId val="20557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5576152"/>
        <c:crosses val="autoZero"/>
        <c:auto val="1"/>
        <c:lblAlgn val="ctr"/>
        <c:lblOffset val="100"/>
        <c:noMultiLvlLbl val="0"/>
      </c:catAx>
      <c:valAx>
        <c:axId val="205576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5575760"/>
        <c:crosses val="autoZero"/>
        <c:crossBetween val="between"/>
      </c:valAx>
      <c:spPr>
        <a:noFill/>
        <a:ln w="25400">
          <a:noFill/>
        </a:ln>
      </c:spPr>
    </c:plotArea>
    <c:legend>
      <c:legendPos val="b"/>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2456-6A10-4688-AB32-0F150F19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1998</Words>
  <Characters>10616</Characters>
  <Application>Microsoft Office Word</Application>
  <DocSecurity>0</DocSecurity>
  <Lines>88</Lines>
  <Paragraphs>25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Photo ou illustration</vt:lpstr>
      <vt:lpstr>Photo ou illustration</vt:lpstr>
    </vt:vector>
  </TitlesOfParts>
  <Company>DREE</Company>
  <LinksUpToDate>false</LinksUpToDate>
  <CharactersWithSpaces>12589</CharactersWithSpaces>
  <SharedDoc>false</SharedDoc>
  <HLinks>
    <vt:vector size="6" baseType="variant">
      <vt:variant>
        <vt:i4>917566</vt:i4>
      </vt:variant>
      <vt:variant>
        <vt:i4>0</vt:i4>
      </vt:variant>
      <vt:variant>
        <vt:i4>0</vt:i4>
      </vt:variant>
      <vt:variant>
        <vt:i4>5</vt:i4>
      </vt:variant>
      <vt:variant>
        <vt:lpwstr>mailto:machin@dgtpe.fr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ou illustration</dc:title>
  <dc:creator>LIM Shih-Jun</dc:creator>
  <cp:lastModifiedBy>PECRIAUX William</cp:lastModifiedBy>
  <cp:revision>3</cp:revision>
  <cp:lastPrinted>2014-07-04T10:21:00Z</cp:lastPrinted>
  <dcterms:created xsi:type="dcterms:W3CDTF">2018-03-07T08:39:00Z</dcterms:created>
  <dcterms:modified xsi:type="dcterms:W3CDTF">2018-03-07T09:32:00Z</dcterms:modified>
</cp:coreProperties>
</file>