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8F" w:rsidRPr="00B1327A" w:rsidRDefault="009D678F" w:rsidP="00CA1C81">
      <w:pPr>
        <w:ind w:left="-142"/>
        <w:jc w:val="right"/>
        <w:rPr>
          <w:rFonts w:ascii="Georgia" w:hAnsi="Georgia"/>
          <w:i/>
          <w:sz w:val="18"/>
        </w:rPr>
        <w:sectPr w:rsidR="009D678F" w:rsidRPr="00B1327A" w:rsidSect="00C84DA1">
          <w:headerReference w:type="first" r:id="rId8"/>
          <w:type w:val="continuous"/>
          <w:pgSz w:w="11906" w:h="16838"/>
          <w:pgMar w:top="851" w:right="851" w:bottom="851" w:left="851" w:header="567" w:footer="709" w:gutter="0"/>
          <w:cols w:num="2" w:space="566"/>
          <w:titlePg/>
          <w:docGrid w:linePitch="360"/>
        </w:sectPr>
      </w:pPr>
    </w:p>
    <w:tbl>
      <w:tblPr>
        <w:tblStyle w:val="Grilledutableau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910"/>
      </w:tblGrid>
      <w:tr w:rsidR="009D678F" w:rsidRPr="00B1327A" w:rsidTr="00A94063">
        <w:trPr>
          <w:trHeight w:val="348"/>
        </w:trPr>
        <w:tc>
          <w:tcPr>
            <w:tcW w:w="10910" w:type="dxa"/>
            <w:shd w:val="clear" w:color="auto" w:fill="FFC000"/>
            <w:vAlign w:val="center"/>
          </w:tcPr>
          <w:p w:rsidR="009D678F" w:rsidRPr="000B16E5" w:rsidRDefault="009D678F" w:rsidP="003A1529">
            <w:pPr>
              <w:spacing w:line="276" w:lineRule="auto"/>
              <w:jc w:val="center"/>
              <w:rPr>
                <w:rFonts w:ascii="Georgia" w:hAnsi="Georgia"/>
                <w:b/>
                <w:color w:val="002060"/>
                <w:szCs w:val="20"/>
              </w:rPr>
            </w:pPr>
            <w:r w:rsidRPr="000B16E5">
              <w:rPr>
                <w:rFonts w:ascii="Georgia" w:hAnsi="Georgia"/>
                <w:b/>
                <w:color w:val="002060"/>
                <w:szCs w:val="20"/>
              </w:rPr>
              <w:t>L</w:t>
            </w:r>
            <w:r w:rsidR="00102451">
              <w:rPr>
                <w:rFonts w:ascii="Georgia" w:hAnsi="Georgia"/>
                <w:b/>
                <w:color w:val="002060"/>
                <w:szCs w:val="20"/>
              </w:rPr>
              <w:t>e budget 2018 de l</w:t>
            </w:r>
            <w:r w:rsidRPr="000B16E5">
              <w:rPr>
                <w:rFonts w:ascii="Georgia" w:hAnsi="Georgia"/>
                <w:b/>
                <w:color w:val="002060"/>
                <w:szCs w:val="20"/>
              </w:rPr>
              <w:t>a</w:t>
            </w:r>
            <w:r w:rsidR="002A68DD">
              <w:rPr>
                <w:rFonts w:ascii="Georgia" w:hAnsi="Georgia"/>
                <w:b/>
                <w:color w:val="002060"/>
                <w:szCs w:val="20"/>
              </w:rPr>
              <w:t xml:space="preserve"> Malaisie</w:t>
            </w:r>
            <w:bookmarkStart w:id="0" w:name="PAUVRETE"/>
            <w:bookmarkEnd w:id="0"/>
          </w:p>
        </w:tc>
      </w:tr>
    </w:tbl>
    <w:p w:rsidR="009D678F" w:rsidRDefault="009D678F" w:rsidP="009D678F">
      <w:pPr>
        <w:tabs>
          <w:tab w:val="left" w:pos="6663"/>
        </w:tabs>
        <w:jc w:val="both"/>
        <w:rPr>
          <w:i/>
        </w:rPr>
        <w:sectPr w:rsidR="009D678F" w:rsidSect="009D678F">
          <w:type w:val="continuous"/>
          <w:pgSz w:w="11906" w:h="16838"/>
          <w:pgMar w:top="1417" w:right="991" w:bottom="851" w:left="993" w:header="567" w:footer="708" w:gutter="0"/>
          <w:cols w:space="708"/>
          <w:titlePg/>
          <w:docGrid w:linePitch="360"/>
        </w:sectPr>
      </w:pPr>
    </w:p>
    <w:p w:rsidR="00C27982" w:rsidRDefault="002A68DD" w:rsidP="00F14F5A">
      <w:pPr>
        <w:tabs>
          <w:tab w:val="left" w:pos="6663"/>
        </w:tabs>
        <w:spacing w:after="120"/>
        <w:jc w:val="both"/>
        <w:rPr>
          <w:rFonts w:ascii="Georgia" w:hAnsi="Georgia"/>
          <w:i/>
          <w:sz w:val="20"/>
          <w:szCs w:val="20"/>
        </w:rPr>
      </w:pPr>
      <w:r w:rsidRPr="002A68DD">
        <w:rPr>
          <w:rFonts w:ascii="Georgia" w:hAnsi="Georgia"/>
          <w:i/>
          <w:sz w:val="20"/>
          <w:szCs w:val="20"/>
        </w:rPr>
        <w:t xml:space="preserve">La </w:t>
      </w:r>
      <w:r w:rsidR="00727634">
        <w:rPr>
          <w:rFonts w:ascii="Georgia" w:hAnsi="Georgia"/>
          <w:i/>
          <w:sz w:val="20"/>
          <w:szCs w:val="20"/>
        </w:rPr>
        <w:t xml:space="preserve">Malaisie </w:t>
      </w:r>
      <w:r w:rsidR="00F92038">
        <w:rPr>
          <w:rFonts w:ascii="Georgia" w:hAnsi="Georgia"/>
          <w:i/>
          <w:sz w:val="20"/>
          <w:szCs w:val="20"/>
        </w:rPr>
        <w:t xml:space="preserve">engage l’année 2018 avec un budget </w:t>
      </w:r>
      <w:r w:rsidR="00C27982">
        <w:rPr>
          <w:rFonts w:ascii="Georgia" w:hAnsi="Georgia"/>
          <w:i/>
          <w:sz w:val="20"/>
          <w:szCs w:val="20"/>
        </w:rPr>
        <w:t>pour la nation</w:t>
      </w:r>
      <w:r w:rsidR="00F92038">
        <w:rPr>
          <w:rFonts w:ascii="Georgia" w:hAnsi="Georgia"/>
          <w:i/>
          <w:sz w:val="20"/>
          <w:szCs w:val="20"/>
        </w:rPr>
        <w:t xml:space="preserve"> qui cherche à concilier discipline fiscale et objectifs socio-économiques de soutien aux plus modestes et d’appui aux entreprises de demain. </w:t>
      </w:r>
      <w:r w:rsidR="00C27982">
        <w:rPr>
          <w:rFonts w:ascii="Georgia" w:hAnsi="Georgia"/>
          <w:i/>
          <w:sz w:val="20"/>
          <w:szCs w:val="20"/>
        </w:rPr>
        <w:t xml:space="preserve">Le budget fédéral malaisien </w:t>
      </w:r>
      <w:r w:rsidR="00AD356A">
        <w:rPr>
          <w:rFonts w:ascii="Georgia" w:hAnsi="Georgia"/>
          <w:i/>
          <w:sz w:val="20"/>
          <w:szCs w:val="20"/>
        </w:rPr>
        <w:t xml:space="preserve">s’établit à </w:t>
      </w:r>
      <w:r w:rsidR="003A1529">
        <w:rPr>
          <w:rFonts w:ascii="Georgia" w:hAnsi="Georgia"/>
          <w:i/>
          <w:sz w:val="20"/>
          <w:szCs w:val="20"/>
        </w:rPr>
        <w:t>280</w:t>
      </w:r>
      <w:r w:rsidR="00C15775">
        <w:rPr>
          <w:rFonts w:ascii="Georgia" w:hAnsi="Georgia"/>
          <w:i/>
          <w:sz w:val="20"/>
          <w:szCs w:val="20"/>
        </w:rPr>
        <w:t>,25</w:t>
      </w:r>
      <w:r w:rsidR="003A1529">
        <w:rPr>
          <w:rFonts w:ascii="Georgia" w:hAnsi="Georgia"/>
          <w:i/>
          <w:sz w:val="20"/>
          <w:szCs w:val="20"/>
        </w:rPr>
        <w:t xml:space="preserve"> milliards de ringgits (65 Md USD, </w:t>
      </w:r>
      <w:r w:rsidR="00AD356A">
        <w:rPr>
          <w:rFonts w:ascii="Georgia" w:hAnsi="Georgia"/>
          <w:i/>
          <w:sz w:val="20"/>
          <w:szCs w:val="20"/>
        </w:rPr>
        <w:t>19</w:t>
      </w:r>
      <w:r w:rsidR="00412638">
        <w:rPr>
          <w:rFonts w:ascii="Georgia" w:hAnsi="Georgia"/>
          <w:i/>
          <w:sz w:val="20"/>
          <w:szCs w:val="20"/>
        </w:rPr>
        <w:t>,5</w:t>
      </w:r>
      <w:r w:rsidR="00AD356A">
        <w:rPr>
          <w:rFonts w:ascii="Georgia" w:hAnsi="Georgia"/>
          <w:i/>
          <w:sz w:val="20"/>
          <w:szCs w:val="20"/>
        </w:rPr>
        <w:t xml:space="preserve">% du PIB), en croissance de </w:t>
      </w:r>
      <w:r w:rsidR="00C908DC">
        <w:rPr>
          <w:rFonts w:ascii="Georgia" w:hAnsi="Georgia"/>
          <w:i/>
          <w:sz w:val="20"/>
          <w:szCs w:val="20"/>
        </w:rPr>
        <w:t>+</w:t>
      </w:r>
      <w:r w:rsidR="00C15775">
        <w:rPr>
          <w:rFonts w:ascii="Georgia" w:hAnsi="Georgia"/>
          <w:i/>
          <w:sz w:val="20"/>
          <w:szCs w:val="20"/>
        </w:rPr>
        <w:t>7</w:t>
      </w:r>
      <w:r w:rsidR="00AD356A">
        <w:rPr>
          <w:rFonts w:ascii="Georgia" w:hAnsi="Georgia"/>
          <w:i/>
          <w:sz w:val="20"/>
          <w:szCs w:val="20"/>
        </w:rPr>
        <w:t>,</w:t>
      </w:r>
      <w:r w:rsidR="00C15775">
        <w:rPr>
          <w:rFonts w:ascii="Georgia" w:hAnsi="Georgia"/>
          <w:i/>
          <w:sz w:val="20"/>
          <w:szCs w:val="20"/>
        </w:rPr>
        <w:t>5</w:t>
      </w:r>
      <w:r w:rsidR="00AD356A">
        <w:rPr>
          <w:rFonts w:ascii="Georgia" w:hAnsi="Georgia"/>
          <w:i/>
          <w:sz w:val="20"/>
          <w:szCs w:val="20"/>
        </w:rPr>
        <w:t xml:space="preserve">% par rapport à 2017. Il  </w:t>
      </w:r>
      <w:r w:rsidR="00C27982">
        <w:rPr>
          <w:rFonts w:ascii="Georgia" w:hAnsi="Georgia"/>
          <w:i/>
          <w:sz w:val="20"/>
          <w:szCs w:val="20"/>
        </w:rPr>
        <w:t xml:space="preserve">s’inscrit dans </w:t>
      </w:r>
      <w:r w:rsidR="00AD356A">
        <w:rPr>
          <w:rFonts w:ascii="Georgia" w:hAnsi="Georgia"/>
          <w:i/>
          <w:sz w:val="20"/>
          <w:szCs w:val="20"/>
        </w:rPr>
        <w:t xml:space="preserve">un contexte de forte reprise économique et </w:t>
      </w:r>
      <w:r w:rsidR="003A1529">
        <w:rPr>
          <w:rFonts w:ascii="Georgia" w:hAnsi="Georgia"/>
          <w:i/>
          <w:sz w:val="20"/>
          <w:szCs w:val="20"/>
        </w:rPr>
        <w:t xml:space="preserve">se fonde </w:t>
      </w:r>
      <w:r w:rsidR="00C27982">
        <w:rPr>
          <w:rFonts w:ascii="Georgia" w:hAnsi="Georgia"/>
          <w:i/>
          <w:sz w:val="20"/>
          <w:szCs w:val="20"/>
        </w:rPr>
        <w:t>sur une croissance annuelle entre +5,0% et +5,5%, jugée raisonnable par les agences de notation</w:t>
      </w:r>
      <w:r w:rsidR="003A1529">
        <w:rPr>
          <w:rFonts w:ascii="Georgia" w:hAnsi="Georgia"/>
          <w:i/>
          <w:sz w:val="20"/>
          <w:szCs w:val="20"/>
        </w:rPr>
        <w:t>.</w:t>
      </w:r>
      <w:r w:rsidR="00E808ED">
        <w:rPr>
          <w:rFonts w:ascii="Georgia" w:hAnsi="Georgia"/>
          <w:i/>
          <w:sz w:val="20"/>
          <w:szCs w:val="20"/>
        </w:rPr>
        <w:t xml:space="preserve"> Les autres principaux paramètres macroéconomiques sont estimés avec prudence : prix du baril de pétrole</w:t>
      </w:r>
      <w:r w:rsidR="00940AB9">
        <w:rPr>
          <w:rFonts w:ascii="Georgia" w:hAnsi="Georgia"/>
          <w:i/>
          <w:sz w:val="20"/>
          <w:szCs w:val="20"/>
        </w:rPr>
        <w:t xml:space="preserve"> </w:t>
      </w:r>
      <w:r w:rsidR="00C908DC">
        <w:rPr>
          <w:rFonts w:ascii="Georgia" w:hAnsi="Georgia"/>
          <w:i/>
          <w:sz w:val="20"/>
          <w:szCs w:val="20"/>
        </w:rPr>
        <w:t xml:space="preserve">(Brent) </w:t>
      </w:r>
      <w:r w:rsidR="00E808ED">
        <w:rPr>
          <w:rFonts w:ascii="Georgia" w:hAnsi="Georgia"/>
          <w:i/>
          <w:sz w:val="20"/>
          <w:szCs w:val="20"/>
        </w:rPr>
        <w:t>à 52</w:t>
      </w:r>
      <w:r w:rsidR="00940AB9">
        <w:rPr>
          <w:rFonts w:ascii="Georgia" w:hAnsi="Georgia"/>
          <w:i/>
          <w:sz w:val="20"/>
          <w:szCs w:val="20"/>
        </w:rPr>
        <w:t> </w:t>
      </w:r>
      <w:r w:rsidR="00E808ED">
        <w:rPr>
          <w:rFonts w:ascii="Georgia" w:hAnsi="Georgia"/>
          <w:i/>
          <w:sz w:val="20"/>
          <w:szCs w:val="20"/>
        </w:rPr>
        <w:t>USD</w:t>
      </w:r>
      <w:r w:rsidR="00C908DC">
        <w:rPr>
          <w:rFonts w:ascii="Georgia" w:hAnsi="Georgia"/>
          <w:i/>
          <w:sz w:val="20"/>
          <w:szCs w:val="20"/>
        </w:rPr>
        <w:t xml:space="preserve"> (contre 50 USD en 2017)</w:t>
      </w:r>
      <w:r w:rsidR="00E808ED">
        <w:rPr>
          <w:rFonts w:ascii="Georgia" w:hAnsi="Georgia"/>
          <w:i/>
          <w:sz w:val="20"/>
          <w:szCs w:val="20"/>
        </w:rPr>
        <w:t xml:space="preserve">, inflation </w:t>
      </w:r>
      <w:r w:rsidR="00303C76">
        <w:rPr>
          <w:rFonts w:ascii="Georgia" w:hAnsi="Georgia"/>
          <w:i/>
          <w:sz w:val="20"/>
          <w:szCs w:val="20"/>
        </w:rPr>
        <w:t>entre</w:t>
      </w:r>
      <w:r w:rsidR="00E808ED">
        <w:rPr>
          <w:rFonts w:ascii="Georgia" w:hAnsi="Georgia"/>
          <w:i/>
          <w:sz w:val="20"/>
          <w:szCs w:val="20"/>
        </w:rPr>
        <w:t xml:space="preserve"> +2,5%</w:t>
      </w:r>
      <w:r w:rsidR="00303C76">
        <w:rPr>
          <w:rFonts w:ascii="Georgia" w:hAnsi="Georgia"/>
          <w:i/>
          <w:sz w:val="20"/>
          <w:szCs w:val="20"/>
        </w:rPr>
        <w:t xml:space="preserve"> et</w:t>
      </w:r>
      <w:r w:rsidR="00E808ED">
        <w:rPr>
          <w:rFonts w:ascii="Georgia" w:hAnsi="Georgia"/>
          <w:i/>
          <w:sz w:val="20"/>
          <w:szCs w:val="20"/>
        </w:rPr>
        <w:t xml:space="preserve"> + 3,5%, taux d’intérêt à 3,0% et taux de change du dollar à 4,35 ringgits.</w:t>
      </w:r>
      <w:r w:rsidR="0050207A">
        <w:rPr>
          <w:rFonts w:ascii="Georgia" w:hAnsi="Georgia"/>
          <w:i/>
          <w:sz w:val="20"/>
          <w:szCs w:val="20"/>
        </w:rPr>
        <w:t xml:space="preserve"> En </w:t>
      </w:r>
      <w:r w:rsidR="00303C76">
        <w:rPr>
          <w:rFonts w:ascii="Georgia" w:hAnsi="Georgia"/>
          <w:i/>
          <w:sz w:val="20"/>
          <w:szCs w:val="20"/>
        </w:rPr>
        <w:t>ligne</w:t>
      </w:r>
      <w:r w:rsidR="0050207A">
        <w:rPr>
          <w:rFonts w:ascii="Georgia" w:hAnsi="Georgia"/>
          <w:i/>
          <w:sz w:val="20"/>
          <w:szCs w:val="20"/>
        </w:rPr>
        <w:t xml:space="preserve"> avec la consolidation conduite depuis 2010, le déficit budgétaire se</w:t>
      </w:r>
      <w:r w:rsidR="00303C76">
        <w:rPr>
          <w:rFonts w:ascii="Georgia" w:hAnsi="Georgia"/>
          <w:i/>
          <w:sz w:val="20"/>
          <w:szCs w:val="20"/>
        </w:rPr>
        <w:t>rait ramené</w:t>
      </w:r>
      <w:r w:rsidR="0050207A">
        <w:rPr>
          <w:rFonts w:ascii="Georgia" w:hAnsi="Georgia"/>
          <w:i/>
          <w:sz w:val="20"/>
          <w:szCs w:val="20"/>
        </w:rPr>
        <w:t xml:space="preserve"> en 2018 à </w:t>
      </w:r>
      <w:r w:rsidR="00C908DC">
        <w:rPr>
          <w:rFonts w:ascii="Georgia" w:hAnsi="Georgia"/>
          <w:i/>
          <w:sz w:val="20"/>
          <w:szCs w:val="20"/>
        </w:rPr>
        <w:t>-</w:t>
      </w:r>
      <w:r w:rsidR="0050207A">
        <w:rPr>
          <w:rFonts w:ascii="Georgia" w:hAnsi="Georgia"/>
          <w:i/>
          <w:sz w:val="20"/>
          <w:szCs w:val="20"/>
        </w:rPr>
        <w:t xml:space="preserve">2,8% </w:t>
      </w:r>
      <w:r w:rsidR="00303C76">
        <w:rPr>
          <w:rFonts w:ascii="Georgia" w:hAnsi="Georgia"/>
          <w:i/>
          <w:sz w:val="20"/>
          <w:szCs w:val="20"/>
        </w:rPr>
        <w:t xml:space="preserve">du PIB </w:t>
      </w:r>
      <w:r w:rsidR="0050207A">
        <w:rPr>
          <w:rFonts w:ascii="Georgia" w:hAnsi="Georgia"/>
          <w:i/>
          <w:sz w:val="20"/>
          <w:szCs w:val="20"/>
        </w:rPr>
        <w:t xml:space="preserve">(contre </w:t>
      </w:r>
      <w:r w:rsidR="00C908DC">
        <w:rPr>
          <w:rFonts w:ascii="Georgia" w:hAnsi="Georgia"/>
          <w:i/>
          <w:sz w:val="20"/>
          <w:szCs w:val="20"/>
        </w:rPr>
        <w:t>-</w:t>
      </w:r>
      <w:r w:rsidR="0050207A">
        <w:rPr>
          <w:rFonts w:ascii="Georgia" w:hAnsi="Georgia"/>
          <w:i/>
          <w:sz w:val="20"/>
          <w:szCs w:val="20"/>
        </w:rPr>
        <w:t xml:space="preserve">3,0% en 2017 et </w:t>
      </w:r>
      <w:r w:rsidR="00C908DC">
        <w:rPr>
          <w:rFonts w:ascii="Georgia" w:hAnsi="Georgia"/>
          <w:i/>
          <w:sz w:val="20"/>
          <w:szCs w:val="20"/>
        </w:rPr>
        <w:t>-</w:t>
      </w:r>
      <w:r w:rsidR="0050207A">
        <w:rPr>
          <w:rFonts w:ascii="Georgia" w:hAnsi="Georgia"/>
          <w:i/>
          <w:sz w:val="20"/>
          <w:szCs w:val="20"/>
        </w:rPr>
        <w:t>3,2% en 2016).</w:t>
      </w:r>
    </w:p>
    <w:p w:rsidR="009D678F" w:rsidRDefault="004C2FFF" w:rsidP="00A10C11">
      <w:pPr>
        <w:spacing w:after="60"/>
        <w:jc w:val="both"/>
        <w:rPr>
          <w:rFonts w:ascii="Georgia" w:hAnsi="Georgia" w:cs="Arial"/>
          <w:b/>
          <w:color w:val="2E74B5"/>
          <w:sz w:val="20"/>
          <w:szCs w:val="20"/>
        </w:rPr>
      </w:pPr>
      <w:r>
        <w:rPr>
          <w:rFonts w:ascii="Georgia" w:hAnsi="Georgia" w:cs="Arial"/>
          <w:b/>
          <w:color w:val="2E74B5"/>
          <w:sz w:val="20"/>
          <w:szCs w:val="20"/>
        </w:rPr>
        <w:t>Le</w:t>
      </w:r>
      <w:r w:rsidR="00DA2B3E">
        <w:rPr>
          <w:rFonts w:ascii="Georgia" w:hAnsi="Georgia" w:cs="Arial"/>
          <w:b/>
          <w:color w:val="2E74B5"/>
          <w:sz w:val="20"/>
          <w:szCs w:val="20"/>
        </w:rPr>
        <w:t>s recettes budgétaires malaisiennes sont moins sensibles au secteur pétrolier</w:t>
      </w:r>
    </w:p>
    <w:p w:rsidR="00EA4FF3" w:rsidRDefault="004C2FFF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 w:rsidRPr="00442E6D">
        <w:rPr>
          <w:rFonts w:ascii="Georgia" w:hAnsi="Georgia"/>
          <w:b/>
          <w:sz w:val="20"/>
          <w:szCs w:val="20"/>
        </w:rPr>
        <w:t>L</w:t>
      </w:r>
      <w:r w:rsidR="00CD1CB7">
        <w:rPr>
          <w:rFonts w:ascii="Georgia" w:hAnsi="Georgia"/>
          <w:b/>
          <w:sz w:val="20"/>
          <w:szCs w:val="20"/>
        </w:rPr>
        <w:t>a structure des ressources reste stable et le</w:t>
      </w:r>
      <w:r w:rsidR="00EA4FF3">
        <w:rPr>
          <w:rFonts w:ascii="Georgia" w:hAnsi="Georgia"/>
          <w:b/>
          <w:sz w:val="20"/>
          <w:szCs w:val="20"/>
        </w:rPr>
        <w:t xml:space="preserve"> budget de l’Etat est financé à 85% par les taxes et autres recettes</w:t>
      </w:r>
      <w:r w:rsidR="00940AB9" w:rsidRPr="00940AB9">
        <w:rPr>
          <w:rFonts w:ascii="Georgia" w:hAnsi="Georgia"/>
          <w:sz w:val="20"/>
          <w:szCs w:val="20"/>
        </w:rPr>
        <w:t>, 15% par l’endettement et la valorisation de certains actifs de l’Etat</w:t>
      </w:r>
      <w:r w:rsidRPr="00940AB9">
        <w:rPr>
          <w:rFonts w:ascii="Georgia" w:hAnsi="Georgia"/>
          <w:sz w:val="20"/>
          <w:szCs w:val="20"/>
        </w:rPr>
        <w:t xml:space="preserve">. </w:t>
      </w:r>
    </w:p>
    <w:p w:rsidR="00450943" w:rsidRDefault="00450943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 w:rsidRPr="00450943">
        <w:rPr>
          <w:noProof/>
          <w:lang w:eastAsia="fr-FR"/>
        </w:rPr>
        <w:drawing>
          <wp:inline distT="0" distB="0" distL="0" distR="0" wp14:anchorId="6A01B4FB" wp14:editId="21AEF53A">
            <wp:extent cx="3060065" cy="1936750"/>
            <wp:effectExtent l="0" t="0" r="698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B9" w:rsidRDefault="00940AB9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Le budget 2018 s’appuie sur des </w:t>
      </w:r>
      <w:r w:rsidRPr="00202302">
        <w:rPr>
          <w:rFonts w:ascii="Georgia" w:hAnsi="Georgia"/>
          <w:b/>
          <w:sz w:val="20"/>
          <w:szCs w:val="20"/>
        </w:rPr>
        <w:t>recettes fiscales</w:t>
      </w:r>
      <w:r w:rsidR="00CB7416">
        <w:rPr>
          <w:rFonts w:ascii="Georgia" w:hAnsi="Georgia"/>
          <w:b/>
          <w:sz w:val="20"/>
          <w:szCs w:val="20"/>
        </w:rPr>
        <w:t xml:space="preserve"> </w:t>
      </w:r>
      <w:r w:rsidRPr="00202302">
        <w:rPr>
          <w:rFonts w:ascii="Georgia" w:hAnsi="Georgia"/>
          <w:b/>
          <w:sz w:val="20"/>
          <w:szCs w:val="20"/>
        </w:rPr>
        <w:t xml:space="preserve">estimées </w:t>
      </w:r>
      <w:r w:rsidRPr="00202302">
        <w:rPr>
          <w:rFonts w:ascii="Georgia" w:hAnsi="Georgia" w:cs="Times New Roman"/>
          <w:b/>
          <w:sz w:val="20"/>
          <w:szCs w:val="20"/>
        </w:rPr>
        <w:t>à 239,9</w:t>
      </w:r>
      <w:r>
        <w:rPr>
          <w:rFonts w:ascii="Georgia" w:hAnsi="Georgia" w:cs="Times New Roman"/>
          <w:b/>
          <w:sz w:val="20"/>
          <w:szCs w:val="20"/>
        </w:rPr>
        <w:t> </w:t>
      </w:r>
      <w:r w:rsidRPr="00202302">
        <w:rPr>
          <w:rFonts w:ascii="Georgia" w:hAnsi="Georgia" w:cs="Times New Roman"/>
          <w:b/>
          <w:sz w:val="20"/>
          <w:szCs w:val="20"/>
        </w:rPr>
        <w:t>Md MYR</w:t>
      </w:r>
      <w:r>
        <w:rPr>
          <w:rFonts w:ascii="Georgia" w:hAnsi="Georgia" w:cs="Times New Roman"/>
          <w:sz w:val="20"/>
          <w:szCs w:val="20"/>
        </w:rPr>
        <w:t xml:space="preserve"> (16,6% du PIB)</w:t>
      </w:r>
      <w:r w:rsidR="00B24F30">
        <w:rPr>
          <w:rFonts w:ascii="Georgia" w:hAnsi="Georgia" w:cs="Times New Roman"/>
          <w:sz w:val="20"/>
          <w:szCs w:val="20"/>
        </w:rPr>
        <w:t xml:space="preserve">, en hausse de </w:t>
      </w:r>
      <w:r w:rsidR="00C908DC">
        <w:rPr>
          <w:rFonts w:ascii="Georgia" w:hAnsi="Georgia" w:cs="Times New Roman"/>
          <w:sz w:val="20"/>
          <w:szCs w:val="20"/>
        </w:rPr>
        <w:t>+</w:t>
      </w:r>
      <w:r>
        <w:rPr>
          <w:rFonts w:ascii="Georgia" w:hAnsi="Georgia" w:cs="Times New Roman"/>
          <w:sz w:val="20"/>
          <w:szCs w:val="20"/>
        </w:rPr>
        <w:t xml:space="preserve">6,4% par rapport à 2017 (225 Md MYR, 16,8% du PIB). </w:t>
      </w:r>
      <w:r w:rsidR="00CB7416">
        <w:rPr>
          <w:rFonts w:ascii="Georgia" w:hAnsi="Georgia" w:cs="Times New Roman"/>
          <w:sz w:val="20"/>
          <w:szCs w:val="20"/>
        </w:rPr>
        <w:t>Sur ce total, l</w:t>
      </w:r>
      <w:r w:rsidR="00202302">
        <w:rPr>
          <w:rFonts w:ascii="Georgia" w:hAnsi="Georgia" w:cs="Times New Roman"/>
          <w:sz w:val="20"/>
          <w:szCs w:val="20"/>
        </w:rPr>
        <w:t xml:space="preserve">es taxes directes </w:t>
      </w:r>
      <w:r w:rsidR="00CB7416">
        <w:rPr>
          <w:rFonts w:ascii="Georgia" w:hAnsi="Georgia" w:cs="Times New Roman"/>
          <w:sz w:val="20"/>
          <w:szCs w:val="20"/>
        </w:rPr>
        <w:t xml:space="preserve">représentent 53% et </w:t>
      </w:r>
      <w:r w:rsidR="00CB40A6">
        <w:rPr>
          <w:rFonts w:ascii="Georgia" w:hAnsi="Georgia" w:cs="Times New Roman"/>
          <w:sz w:val="20"/>
          <w:szCs w:val="20"/>
        </w:rPr>
        <w:t>s’établissent à 127,7</w:t>
      </w:r>
      <w:r w:rsidR="00CB7416">
        <w:rPr>
          <w:rFonts w:ascii="Georgia" w:hAnsi="Georgia" w:cs="Times New Roman"/>
          <w:sz w:val="20"/>
          <w:szCs w:val="20"/>
        </w:rPr>
        <w:t> </w:t>
      </w:r>
      <w:r w:rsidR="00CB40A6">
        <w:rPr>
          <w:rFonts w:ascii="Georgia" w:hAnsi="Georgia" w:cs="Times New Roman"/>
          <w:sz w:val="20"/>
          <w:szCs w:val="20"/>
        </w:rPr>
        <w:t>Md MYR</w:t>
      </w:r>
      <w:r w:rsidR="00CB7416">
        <w:rPr>
          <w:rFonts w:ascii="Georgia" w:hAnsi="Georgia" w:cs="Times New Roman"/>
          <w:sz w:val="20"/>
          <w:szCs w:val="20"/>
        </w:rPr>
        <w:t xml:space="preserve">, en hausse de </w:t>
      </w:r>
      <w:r w:rsidR="00C908DC">
        <w:rPr>
          <w:rFonts w:ascii="Georgia" w:hAnsi="Georgia" w:cs="Times New Roman"/>
          <w:sz w:val="20"/>
          <w:szCs w:val="20"/>
        </w:rPr>
        <w:t>+</w:t>
      </w:r>
      <w:r w:rsidR="00CB40A6">
        <w:rPr>
          <w:rFonts w:ascii="Georgia" w:hAnsi="Georgia" w:cs="Times New Roman"/>
          <w:sz w:val="20"/>
          <w:szCs w:val="20"/>
        </w:rPr>
        <w:t>6,7%</w:t>
      </w:r>
      <w:r>
        <w:rPr>
          <w:rFonts w:ascii="Georgia" w:hAnsi="Georgia" w:cs="Times New Roman"/>
          <w:sz w:val="20"/>
          <w:szCs w:val="20"/>
        </w:rPr>
        <w:t xml:space="preserve">. </w:t>
      </w:r>
      <w:r w:rsidR="00CB7416">
        <w:rPr>
          <w:rFonts w:ascii="Georgia" w:hAnsi="Georgia" w:cs="Times New Roman"/>
          <w:sz w:val="20"/>
          <w:szCs w:val="20"/>
        </w:rPr>
        <w:t xml:space="preserve">La </w:t>
      </w:r>
      <w:proofErr w:type="spellStart"/>
      <w:r w:rsidR="00CB7416" w:rsidRPr="00CB7416">
        <w:rPr>
          <w:rFonts w:ascii="Georgia" w:hAnsi="Georgia" w:cs="Times New Roman"/>
          <w:i/>
          <w:sz w:val="20"/>
          <w:szCs w:val="20"/>
        </w:rPr>
        <w:t>Companies</w:t>
      </w:r>
      <w:proofErr w:type="spellEnd"/>
      <w:r w:rsidR="00CB7416" w:rsidRPr="00CB7416">
        <w:rPr>
          <w:rFonts w:ascii="Georgia" w:hAnsi="Georgia" w:cs="Times New Roman"/>
          <w:i/>
          <w:sz w:val="20"/>
          <w:szCs w:val="20"/>
        </w:rPr>
        <w:t xml:space="preserve"> </w:t>
      </w:r>
      <w:proofErr w:type="spellStart"/>
      <w:r w:rsidR="00CB7416" w:rsidRPr="00CB7416">
        <w:rPr>
          <w:rFonts w:ascii="Georgia" w:hAnsi="Georgia" w:cs="Times New Roman"/>
          <w:i/>
          <w:sz w:val="20"/>
          <w:szCs w:val="20"/>
        </w:rPr>
        <w:t>Income</w:t>
      </w:r>
      <w:proofErr w:type="spellEnd"/>
      <w:r w:rsidR="00CB7416" w:rsidRPr="00CB7416">
        <w:rPr>
          <w:rFonts w:ascii="Georgia" w:hAnsi="Georgia" w:cs="Times New Roman"/>
          <w:i/>
          <w:sz w:val="20"/>
          <w:szCs w:val="20"/>
        </w:rPr>
        <w:t xml:space="preserve"> </w:t>
      </w:r>
      <w:proofErr w:type="spellStart"/>
      <w:r w:rsidR="00CB7416" w:rsidRPr="00CB7416">
        <w:rPr>
          <w:rFonts w:ascii="Georgia" w:hAnsi="Georgia" w:cs="Times New Roman"/>
          <w:i/>
          <w:sz w:val="20"/>
          <w:szCs w:val="20"/>
        </w:rPr>
        <w:t>Tax</w:t>
      </w:r>
      <w:proofErr w:type="spellEnd"/>
      <w:r w:rsidR="00CB7416">
        <w:rPr>
          <w:rFonts w:ascii="Georgia" w:hAnsi="Georgia" w:cs="Times New Roman"/>
          <w:sz w:val="20"/>
          <w:szCs w:val="20"/>
        </w:rPr>
        <w:t xml:space="preserve"> (72,5 Md  MYR) et les impôts sur les revenus de</w:t>
      </w:r>
      <w:r w:rsidR="00723BC5">
        <w:rPr>
          <w:rFonts w:ascii="Georgia" w:hAnsi="Georgia" w:cs="Times New Roman"/>
          <w:sz w:val="20"/>
          <w:szCs w:val="20"/>
        </w:rPr>
        <w:t xml:space="preserve"> </w:t>
      </w:r>
      <w:r w:rsidR="00CB7416">
        <w:rPr>
          <w:rFonts w:ascii="Georgia" w:hAnsi="Georgia" w:cs="Times New Roman"/>
          <w:sz w:val="20"/>
          <w:szCs w:val="20"/>
        </w:rPr>
        <w:t>7</w:t>
      </w:r>
      <w:r w:rsidR="00853A40">
        <w:rPr>
          <w:rFonts w:ascii="Georgia" w:hAnsi="Georgia" w:cs="Times New Roman"/>
          <w:sz w:val="20"/>
          <w:szCs w:val="20"/>
        </w:rPr>
        <w:t>,2 </w:t>
      </w:r>
      <w:r w:rsidR="00CB7416">
        <w:rPr>
          <w:rFonts w:ascii="Georgia" w:hAnsi="Georgia" w:cs="Times New Roman"/>
          <w:sz w:val="20"/>
          <w:szCs w:val="20"/>
        </w:rPr>
        <w:t>millions de ménages (32,2 Md MYR</w:t>
      </w:r>
      <w:r w:rsidR="00853A40">
        <w:rPr>
          <w:rFonts w:ascii="Georgia" w:hAnsi="Georgia" w:cs="Times New Roman"/>
          <w:sz w:val="20"/>
          <w:szCs w:val="20"/>
        </w:rPr>
        <w:t xml:space="preserve">) représentent l’essentiel de la collecte (43,5% des recettes fiscales). En hausse de </w:t>
      </w:r>
      <w:r w:rsidR="00C908DC">
        <w:rPr>
          <w:rFonts w:ascii="Georgia" w:hAnsi="Georgia" w:cs="Times New Roman"/>
          <w:sz w:val="20"/>
          <w:szCs w:val="20"/>
        </w:rPr>
        <w:t>+</w:t>
      </w:r>
      <w:r w:rsidR="00853A40">
        <w:rPr>
          <w:rFonts w:ascii="Georgia" w:hAnsi="Georgia" w:cs="Times New Roman"/>
          <w:sz w:val="20"/>
          <w:szCs w:val="20"/>
        </w:rPr>
        <w:t>5,6%, l</w:t>
      </w:r>
      <w:r>
        <w:rPr>
          <w:rFonts w:ascii="Georgia" w:hAnsi="Georgia" w:cs="Times New Roman"/>
          <w:sz w:val="20"/>
          <w:szCs w:val="20"/>
        </w:rPr>
        <w:t xml:space="preserve">es recettes indirectes </w:t>
      </w:r>
      <w:r w:rsidR="00853A40">
        <w:rPr>
          <w:rFonts w:ascii="Georgia" w:hAnsi="Georgia" w:cs="Times New Roman"/>
          <w:sz w:val="20"/>
          <w:szCs w:val="20"/>
        </w:rPr>
        <w:t>(</w:t>
      </w:r>
      <w:r>
        <w:rPr>
          <w:rFonts w:ascii="Georgia" w:hAnsi="Georgia" w:cs="Times New Roman"/>
          <w:sz w:val="20"/>
          <w:szCs w:val="20"/>
        </w:rPr>
        <w:t>63,8</w:t>
      </w:r>
      <w:r w:rsidR="00C908DC">
        <w:rPr>
          <w:rFonts w:ascii="Georgia" w:hAnsi="Georgia" w:cs="Times New Roman"/>
          <w:sz w:val="20"/>
          <w:szCs w:val="20"/>
        </w:rPr>
        <w:t> </w:t>
      </w:r>
      <w:r>
        <w:rPr>
          <w:rFonts w:ascii="Georgia" w:hAnsi="Georgia" w:cs="Times New Roman"/>
          <w:sz w:val="20"/>
          <w:szCs w:val="20"/>
        </w:rPr>
        <w:t>Md</w:t>
      </w:r>
      <w:r w:rsidR="00C908DC">
        <w:rPr>
          <w:rFonts w:ascii="Georgia" w:hAnsi="Georgia" w:cs="Times New Roman"/>
          <w:sz w:val="20"/>
          <w:szCs w:val="20"/>
        </w:rPr>
        <w:t> </w:t>
      </w:r>
      <w:r>
        <w:rPr>
          <w:rFonts w:ascii="Georgia" w:hAnsi="Georgia" w:cs="Times New Roman"/>
          <w:sz w:val="20"/>
          <w:szCs w:val="20"/>
        </w:rPr>
        <w:t>MYR</w:t>
      </w:r>
      <w:r w:rsidR="00853A40">
        <w:rPr>
          <w:rFonts w:ascii="Georgia" w:hAnsi="Georgia" w:cs="Times New Roman"/>
          <w:sz w:val="20"/>
          <w:szCs w:val="20"/>
        </w:rPr>
        <w:t xml:space="preserve">), </w:t>
      </w:r>
      <w:r w:rsidR="00723BC5">
        <w:rPr>
          <w:rFonts w:ascii="Georgia" w:hAnsi="Georgia" w:cs="Times New Roman"/>
          <w:sz w:val="20"/>
          <w:szCs w:val="20"/>
        </w:rPr>
        <w:t xml:space="preserve">résultent </w:t>
      </w:r>
      <w:r w:rsidR="00853A40">
        <w:rPr>
          <w:rFonts w:ascii="Georgia" w:hAnsi="Georgia" w:cs="Times New Roman"/>
          <w:sz w:val="20"/>
          <w:szCs w:val="20"/>
        </w:rPr>
        <w:t>principalement de la TVA à 6%</w:t>
      </w:r>
      <w:r w:rsidR="00723BC5">
        <w:rPr>
          <w:rFonts w:ascii="Georgia" w:hAnsi="Georgia" w:cs="Times New Roman"/>
          <w:sz w:val="20"/>
          <w:szCs w:val="20"/>
        </w:rPr>
        <w:t xml:space="preserve"> </w:t>
      </w:r>
      <w:r w:rsidR="00853A40">
        <w:rPr>
          <w:rFonts w:ascii="Georgia" w:hAnsi="Georgia" w:cs="Times New Roman"/>
          <w:sz w:val="20"/>
          <w:szCs w:val="20"/>
        </w:rPr>
        <w:t>(43,8 Md MYR, 18,3% des recettes).</w:t>
      </w:r>
    </w:p>
    <w:p w:rsidR="004A2516" w:rsidRDefault="00785F74" w:rsidP="004A2516">
      <w:pPr>
        <w:spacing w:after="12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L</w:t>
      </w:r>
      <w:r w:rsidR="00723BC5">
        <w:rPr>
          <w:rFonts w:ascii="Georgia" w:hAnsi="Georgia"/>
          <w:b/>
          <w:sz w:val="20"/>
          <w:szCs w:val="20"/>
        </w:rPr>
        <w:t xml:space="preserve">es ressources </w:t>
      </w:r>
      <w:r w:rsidR="00742817">
        <w:rPr>
          <w:rFonts w:ascii="Georgia" w:hAnsi="Georgia"/>
          <w:b/>
          <w:sz w:val="20"/>
          <w:szCs w:val="20"/>
        </w:rPr>
        <w:t>tirées d</w:t>
      </w:r>
      <w:r w:rsidR="00723BC5">
        <w:rPr>
          <w:rFonts w:ascii="Georgia" w:hAnsi="Georgia"/>
          <w:b/>
          <w:sz w:val="20"/>
          <w:szCs w:val="20"/>
        </w:rPr>
        <w:t>u</w:t>
      </w:r>
      <w:r w:rsidR="003C47AA">
        <w:rPr>
          <w:rFonts w:ascii="Georgia" w:hAnsi="Georgia"/>
          <w:b/>
          <w:sz w:val="20"/>
          <w:szCs w:val="20"/>
        </w:rPr>
        <w:t xml:space="preserve"> pétrole </w:t>
      </w:r>
      <w:r w:rsidR="00723BC5">
        <w:rPr>
          <w:rFonts w:ascii="Georgia" w:hAnsi="Georgia"/>
          <w:b/>
          <w:sz w:val="20"/>
          <w:szCs w:val="20"/>
        </w:rPr>
        <w:t xml:space="preserve">se stabilisent </w:t>
      </w:r>
      <w:r w:rsidR="003C47AA">
        <w:rPr>
          <w:rFonts w:ascii="Georgia" w:hAnsi="Georgia"/>
          <w:b/>
          <w:sz w:val="20"/>
          <w:szCs w:val="20"/>
        </w:rPr>
        <w:t>à 15% des recettes budgétaires</w:t>
      </w:r>
      <w:r w:rsidR="00B02EAD" w:rsidRPr="00B02EAD">
        <w:rPr>
          <w:rFonts w:ascii="Georgia" w:hAnsi="Georgia"/>
          <w:sz w:val="20"/>
          <w:szCs w:val="20"/>
        </w:rPr>
        <w:t xml:space="preserve"> et</w:t>
      </w:r>
      <w:r w:rsidR="00E4679F">
        <w:rPr>
          <w:rFonts w:ascii="Georgia" w:hAnsi="Georgia"/>
          <w:sz w:val="20"/>
          <w:szCs w:val="20"/>
        </w:rPr>
        <w:t xml:space="preserve"> </w:t>
      </w:r>
      <w:r w:rsidR="002520C5">
        <w:rPr>
          <w:rFonts w:ascii="Georgia" w:hAnsi="Georgia"/>
          <w:sz w:val="20"/>
          <w:szCs w:val="20"/>
        </w:rPr>
        <w:t xml:space="preserve">sont estimées à  </w:t>
      </w:r>
      <w:r w:rsidR="00B02EAD">
        <w:rPr>
          <w:rFonts w:ascii="Georgia" w:hAnsi="Georgia"/>
          <w:sz w:val="20"/>
          <w:szCs w:val="20"/>
        </w:rPr>
        <w:t xml:space="preserve">37,8 </w:t>
      </w:r>
      <w:r w:rsidR="002520C5">
        <w:rPr>
          <w:rFonts w:ascii="Georgia" w:hAnsi="Georgia"/>
          <w:sz w:val="20"/>
          <w:szCs w:val="20"/>
        </w:rPr>
        <w:t xml:space="preserve">Md MYR en 2018 </w:t>
      </w:r>
      <w:r w:rsidR="00B02EAD">
        <w:rPr>
          <w:rFonts w:ascii="Georgia" w:hAnsi="Georgia"/>
          <w:sz w:val="20"/>
          <w:szCs w:val="20"/>
        </w:rPr>
        <w:t>(+5,4%). E</w:t>
      </w:r>
      <w:r w:rsidR="002520C5">
        <w:rPr>
          <w:rFonts w:ascii="Georgia" w:hAnsi="Georgia"/>
          <w:sz w:val="20"/>
          <w:szCs w:val="20"/>
        </w:rPr>
        <w:t xml:space="preserve">lles </w:t>
      </w:r>
      <w:r w:rsidR="00E4679F">
        <w:rPr>
          <w:rFonts w:ascii="Georgia" w:hAnsi="Georgia"/>
          <w:sz w:val="20"/>
          <w:szCs w:val="20"/>
        </w:rPr>
        <w:t xml:space="preserve">résultent </w:t>
      </w:r>
      <w:r w:rsidR="0043518D">
        <w:rPr>
          <w:rFonts w:ascii="Georgia" w:hAnsi="Georgia"/>
          <w:sz w:val="20"/>
          <w:szCs w:val="20"/>
        </w:rPr>
        <w:t xml:space="preserve">du </w:t>
      </w:r>
      <w:r w:rsidR="00852477">
        <w:rPr>
          <w:rFonts w:ascii="Georgia" w:hAnsi="Georgia"/>
          <w:sz w:val="20"/>
          <w:szCs w:val="20"/>
        </w:rPr>
        <w:t>(i) </w:t>
      </w:r>
      <w:r w:rsidR="0043518D" w:rsidRPr="00582E61">
        <w:rPr>
          <w:rFonts w:ascii="Georgia" w:hAnsi="Georgia"/>
          <w:b/>
          <w:sz w:val="20"/>
          <w:szCs w:val="20"/>
        </w:rPr>
        <w:t xml:space="preserve">dividende de </w:t>
      </w:r>
      <w:proofErr w:type="spellStart"/>
      <w:r w:rsidR="0043518D" w:rsidRPr="00582E61">
        <w:rPr>
          <w:rFonts w:ascii="Georgia" w:hAnsi="Georgia"/>
          <w:b/>
          <w:sz w:val="20"/>
          <w:szCs w:val="20"/>
        </w:rPr>
        <w:t>Petronas</w:t>
      </w:r>
      <w:proofErr w:type="spellEnd"/>
      <w:r w:rsidR="0043518D">
        <w:rPr>
          <w:rFonts w:ascii="Georgia" w:hAnsi="Georgia"/>
          <w:sz w:val="20"/>
          <w:szCs w:val="20"/>
        </w:rPr>
        <w:t xml:space="preserve"> (19 Md MYR, +18%) ; </w:t>
      </w:r>
      <w:r w:rsidR="00852477">
        <w:rPr>
          <w:rFonts w:ascii="Georgia" w:hAnsi="Georgia"/>
          <w:sz w:val="20"/>
          <w:szCs w:val="20"/>
        </w:rPr>
        <w:t xml:space="preserve">(ii) </w:t>
      </w:r>
      <w:r w:rsidR="00E4679F">
        <w:rPr>
          <w:rFonts w:ascii="Georgia" w:hAnsi="Georgia"/>
          <w:sz w:val="20"/>
          <w:szCs w:val="20"/>
        </w:rPr>
        <w:t xml:space="preserve">de la </w:t>
      </w:r>
      <w:r w:rsidR="00E4679F" w:rsidRPr="00C35AEA">
        <w:rPr>
          <w:rFonts w:ascii="Georgia" w:hAnsi="Georgia"/>
          <w:b/>
          <w:i/>
          <w:sz w:val="20"/>
          <w:szCs w:val="20"/>
        </w:rPr>
        <w:t xml:space="preserve">Petroleum </w:t>
      </w:r>
      <w:proofErr w:type="spellStart"/>
      <w:r w:rsidR="00E4679F" w:rsidRPr="00C35AEA">
        <w:rPr>
          <w:rFonts w:ascii="Georgia" w:hAnsi="Georgia"/>
          <w:b/>
          <w:i/>
          <w:sz w:val="20"/>
          <w:szCs w:val="20"/>
        </w:rPr>
        <w:t>Income</w:t>
      </w:r>
      <w:proofErr w:type="spellEnd"/>
      <w:r w:rsidR="00E4679F" w:rsidRPr="00C35AEA">
        <w:rPr>
          <w:rFonts w:ascii="Georgia" w:hAnsi="Georgia"/>
          <w:b/>
          <w:i/>
          <w:sz w:val="20"/>
          <w:szCs w:val="20"/>
        </w:rPr>
        <w:t xml:space="preserve"> </w:t>
      </w:r>
      <w:proofErr w:type="spellStart"/>
      <w:r w:rsidR="00E4679F" w:rsidRPr="00C35AEA">
        <w:rPr>
          <w:rFonts w:ascii="Georgia" w:hAnsi="Georgia"/>
          <w:b/>
          <w:i/>
          <w:sz w:val="20"/>
          <w:szCs w:val="20"/>
        </w:rPr>
        <w:t>Tax</w:t>
      </w:r>
      <w:proofErr w:type="spellEnd"/>
      <w:r w:rsidR="00E4679F" w:rsidRPr="00E4679F">
        <w:rPr>
          <w:rFonts w:ascii="Georgia" w:hAnsi="Georgia"/>
          <w:i/>
          <w:sz w:val="20"/>
          <w:szCs w:val="20"/>
        </w:rPr>
        <w:t xml:space="preserve"> </w:t>
      </w:r>
      <w:r w:rsidR="00E4679F">
        <w:rPr>
          <w:rFonts w:ascii="Georgia" w:hAnsi="Georgia"/>
          <w:sz w:val="20"/>
          <w:szCs w:val="20"/>
        </w:rPr>
        <w:t>(11,4 Md MYR</w:t>
      </w:r>
      <w:r w:rsidR="00582E61">
        <w:rPr>
          <w:rFonts w:ascii="Georgia" w:hAnsi="Georgia"/>
          <w:sz w:val="20"/>
          <w:szCs w:val="20"/>
        </w:rPr>
        <w:t xml:space="preserve">, </w:t>
      </w:r>
      <w:r w:rsidR="00E4679F">
        <w:rPr>
          <w:rFonts w:ascii="Georgia" w:hAnsi="Georgia"/>
          <w:sz w:val="20"/>
          <w:szCs w:val="20"/>
        </w:rPr>
        <w:t>+4,6%)</w:t>
      </w:r>
      <w:r w:rsidR="0043518D">
        <w:rPr>
          <w:rFonts w:ascii="Georgia" w:hAnsi="Georgia"/>
          <w:sz w:val="20"/>
          <w:szCs w:val="20"/>
        </w:rPr>
        <w:t> ;</w:t>
      </w:r>
      <w:r w:rsidR="00E4679F">
        <w:rPr>
          <w:rFonts w:ascii="Georgia" w:hAnsi="Georgia"/>
          <w:sz w:val="20"/>
          <w:szCs w:val="20"/>
        </w:rPr>
        <w:t xml:space="preserve"> </w:t>
      </w:r>
      <w:r w:rsidR="00852477">
        <w:rPr>
          <w:rFonts w:ascii="Georgia" w:hAnsi="Georgia"/>
          <w:sz w:val="20"/>
          <w:szCs w:val="20"/>
        </w:rPr>
        <w:t xml:space="preserve">(iii) </w:t>
      </w:r>
      <w:r w:rsidR="00C35AEA">
        <w:rPr>
          <w:rFonts w:ascii="Georgia" w:hAnsi="Georgia"/>
          <w:sz w:val="20"/>
          <w:szCs w:val="20"/>
        </w:rPr>
        <w:t>des</w:t>
      </w:r>
      <w:r w:rsidR="00E4679F">
        <w:rPr>
          <w:rFonts w:ascii="Georgia" w:hAnsi="Georgia"/>
          <w:sz w:val="20"/>
          <w:szCs w:val="20"/>
        </w:rPr>
        <w:t xml:space="preserve"> </w:t>
      </w:r>
      <w:r w:rsidR="00E4679F" w:rsidRPr="00C35AEA">
        <w:rPr>
          <w:rFonts w:ascii="Georgia" w:hAnsi="Georgia"/>
          <w:b/>
          <w:sz w:val="20"/>
          <w:szCs w:val="20"/>
        </w:rPr>
        <w:t>royalties</w:t>
      </w:r>
      <w:r w:rsidR="00C35AEA">
        <w:rPr>
          <w:rFonts w:ascii="Georgia" w:hAnsi="Georgia"/>
          <w:sz w:val="20"/>
          <w:szCs w:val="20"/>
        </w:rPr>
        <w:t xml:space="preserve"> </w:t>
      </w:r>
      <w:r w:rsidR="0043518D">
        <w:rPr>
          <w:rFonts w:ascii="Georgia" w:hAnsi="Georgia"/>
          <w:sz w:val="20"/>
          <w:szCs w:val="20"/>
        </w:rPr>
        <w:t>prélevées sur les opérateurs étrangers (</w:t>
      </w:r>
      <w:r w:rsidR="00E4679F">
        <w:rPr>
          <w:rFonts w:ascii="Georgia" w:hAnsi="Georgia"/>
          <w:sz w:val="20"/>
          <w:szCs w:val="20"/>
        </w:rPr>
        <w:t>4,1</w:t>
      </w:r>
      <w:r w:rsidR="0043518D">
        <w:rPr>
          <w:rFonts w:ascii="Georgia" w:hAnsi="Georgia"/>
          <w:sz w:val="20"/>
          <w:szCs w:val="20"/>
        </w:rPr>
        <w:t> </w:t>
      </w:r>
      <w:r w:rsidR="00E4679F">
        <w:rPr>
          <w:rFonts w:ascii="Georgia" w:hAnsi="Georgia"/>
          <w:sz w:val="20"/>
          <w:szCs w:val="20"/>
        </w:rPr>
        <w:t>Md MYR</w:t>
      </w:r>
      <w:r w:rsidR="00582E61">
        <w:rPr>
          <w:rFonts w:ascii="Georgia" w:hAnsi="Georgia"/>
          <w:sz w:val="20"/>
          <w:szCs w:val="20"/>
        </w:rPr>
        <w:t xml:space="preserve">, </w:t>
      </w:r>
      <w:r w:rsidR="002520C5">
        <w:rPr>
          <w:rFonts w:ascii="Georgia" w:hAnsi="Georgia"/>
          <w:sz w:val="20"/>
          <w:szCs w:val="20"/>
        </w:rPr>
        <w:t>+6,6%)</w:t>
      </w:r>
      <w:r w:rsidR="0043518D">
        <w:rPr>
          <w:rFonts w:ascii="Georgia" w:hAnsi="Georgia"/>
          <w:sz w:val="20"/>
          <w:szCs w:val="20"/>
        </w:rPr>
        <w:t> ;</w:t>
      </w:r>
      <w:r w:rsidR="00C35AEA">
        <w:rPr>
          <w:rFonts w:ascii="Georgia" w:hAnsi="Georgia"/>
          <w:sz w:val="20"/>
          <w:szCs w:val="20"/>
        </w:rPr>
        <w:t xml:space="preserve"> </w:t>
      </w:r>
      <w:r w:rsidR="00852477">
        <w:rPr>
          <w:rFonts w:ascii="Georgia" w:hAnsi="Georgia"/>
          <w:sz w:val="20"/>
          <w:szCs w:val="20"/>
        </w:rPr>
        <w:t xml:space="preserve">(iv) </w:t>
      </w:r>
      <w:r w:rsidR="00B02EAD">
        <w:rPr>
          <w:rFonts w:ascii="Georgia" w:hAnsi="Georgia"/>
          <w:sz w:val="20"/>
          <w:szCs w:val="20"/>
        </w:rPr>
        <w:t>de</w:t>
      </w:r>
      <w:r w:rsidR="00E4679F">
        <w:rPr>
          <w:rFonts w:ascii="Georgia" w:hAnsi="Georgia"/>
          <w:sz w:val="20"/>
          <w:szCs w:val="20"/>
        </w:rPr>
        <w:t xml:space="preserve"> </w:t>
      </w:r>
      <w:r w:rsidR="00E4679F" w:rsidRPr="00B02EAD">
        <w:rPr>
          <w:rFonts w:ascii="Georgia" w:hAnsi="Georgia"/>
          <w:b/>
          <w:sz w:val="20"/>
          <w:szCs w:val="20"/>
        </w:rPr>
        <w:t>taxe</w:t>
      </w:r>
      <w:r w:rsidR="00B02EAD" w:rsidRPr="00B02EAD">
        <w:rPr>
          <w:rFonts w:ascii="Georgia" w:hAnsi="Georgia"/>
          <w:b/>
          <w:sz w:val="20"/>
          <w:szCs w:val="20"/>
        </w:rPr>
        <w:t>s</w:t>
      </w:r>
      <w:r w:rsidR="00E4679F" w:rsidRPr="00B02EAD">
        <w:rPr>
          <w:rFonts w:ascii="Georgia" w:hAnsi="Georgia"/>
          <w:b/>
          <w:sz w:val="20"/>
          <w:szCs w:val="20"/>
        </w:rPr>
        <w:t xml:space="preserve"> à l’export</w:t>
      </w:r>
      <w:r w:rsidR="00E4679F">
        <w:rPr>
          <w:rFonts w:ascii="Georgia" w:hAnsi="Georgia"/>
          <w:sz w:val="20"/>
          <w:szCs w:val="20"/>
        </w:rPr>
        <w:t xml:space="preserve"> (1,1 Md MYR</w:t>
      </w:r>
      <w:r w:rsidR="00B02EAD">
        <w:rPr>
          <w:rFonts w:ascii="Georgia" w:hAnsi="Georgia"/>
          <w:sz w:val="20"/>
          <w:szCs w:val="20"/>
        </w:rPr>
        <w:t>, +18,8%)</w:t>
      </w:r>
      <w:r w:rsidR="00852477">
        <w:rPr>
          <w:rFonts w:ascii="Georgia" w:hAnsi="Georgia"/>
          <w:sz w:val="20"/>
          <w:szCs w:val="20"/>
        </w:rPr>
        <w:t xml:space="preserve">, </w:t>
      </w:r>
      <w:r w:rsidR="00B02EAD">
        <w:rPr>
          <w:rFonts w:ascii="Georgia" w:hAnsi="Georgia"/>
          <w:sz w:val="20"/>
          <w:szCs w:val="20"/>
        </w:rPr>
        <w:t xml:space="preserve">et </w:t>
      </w:r>
      <w:r w:rsidR="00852477">
        <w:rPr>
          <w:rFonts w:ascii="Georgia" w:hAnsi="Georgia"/>
          <w:sz w:val="20"/>
          <w:szCs w:val="20"/>
        </w:rPr>
        <w:t xml:space="preserve">(v) </w:t>
      </w:r>
      <w:r w:rsidR="00B02EAD">
        <w:rPr>
          <w:rFonts w:ascii="Georgia" w:hAnsi="Georgia"/>
          <w:sz w:val="20"/>
          <w:szCs w:val="20"/>
        </w:rPr>
        <w:t xml:space="preserve">des </w:t>
      </w:r>
      <w:r w:rsidR="00C908DC">
        <w:rPr>
          <w:rFonts w:ascii="Georgia" w:hAnsi="Georgia"/>
          <w:sz w:val="20"/>
          <w:szCs w:val="20"/>
        </w:rPr>
        <w:t>revenus</w:t>
      </w:r>
      <w:r w:rsidR="00B02EAD">
        <w:rPr>
          <w:rFonts w:ascii="Georgia" w:hAnsi="Georgia"/>
          <w:sz w:val="20"/>
          <w:szCs w:val="20"/>
        </w:rPr>
        <w:t xml:space="preserve"> tirés de la </w:t>
      </w:r>
      <w:r w:rsidR="00C908DC" w:rsidRPr="0043518D">
        <w:rPr>
          <w:rFonts w:ascii="Georgia" w:hAnsi="Georgia"/>
          <w:i/>
          <w:sz w:val="20"/>
          <w:szCs w:val="20"/>
        </w:rPr>
        <w:t>Malaysia-</w:t>
      </w:r>
      <w:proofErr w:type="spellStart"/>
      <w:r w:rsidR="00C908DC" w:rsidRPr="0043518D">
        <w:rPr>
          <w:rFonts w:ascii="Georgia" w:hAnsi="Georgia"/>
          <w:i/>
          <w:sz w:val="20"/>
          <w:szCs w:val="20"/>
        </w:rPr>
        <w:t>Thailand</w:t>
      </w:r>
      <w:proofErr w:type="spellEnd"/>
      <w:r w:rsidR="00C908DC" w:rsidRPr="0043518D">
        <w:rPr>
          <w:rFonts w:ascii="Georgia" w:hAnsi="Georgia"/>
          <w:i/>
          <w:sz w:val="20"/>
          <w:szCs w:val="20"/>
        </w:rPr>
        <w:t xml:space="preserve"> Joint </w:t>
      </w:r>
      <w:proofErr w:type="spellStart"/>
      <w:r w:rsidR="00C908DC" w:rsidRPr="0043518D">
        <w:rPr>
          <w:rFonts w:ascii="Georgia" w:hAnsi="Georgia"/>
          <w:i/>
          <w:sz w:val="20"/>
          <w:szCs w:val="20"/>
        </w:rPr>
        <w:t>Authority</w:t>
      </w:r>
      <w:proofErr w:type="spellEnd"/>
      <w:r w:rsidR="00C908DC">
        <w:rPr>
          <w:rFonts w:ascii="Georgia" w:hAnsi="Georgia"/>
          <w:sz w:val="20"/>
          <w:szCs w:val="20"/>
        </w:rPr>
        <w:t xml:space="preserve"> (</w:t>
      </w:r>
      <w:r w:rsidR="00B02EAD">
        <w:rPr>
          <w:rFonts w:ascii="Georgia" w:hAnsi="Georgia"/>
          <w:sz w:val="20"/>
          <w:szCs w:val="20"/>
        </w:rPr>
        <w:t>2,2 Md MYR</w:t>
      </w:r>
      <w:r w:rsidR="00C908DC">
        <w:rPr>
          <w:rFonts w:ascii="Georgia" w:hAnsi="Georgia"/>
          <w:sz w:val="20"/>
          <w:szCs w:val="20"/>
        </w:rPr>
        <w:t>, +10%</w:t>
      </w:r>
      <w:r w:rsidR="00E4679F">
        <w:rPr>
          <w:rFonts w:ascii="Georgia" w:hAnsi="Georgia"/>
          <w:sz w:val="20"/>
          <w:szCs w:val="20"/>
        </w:rPr>
        <w:t>)</w:t>
      </w:r>
      <w:r w:rsidR="00D72C28" w:rsidRPr="00000D4E">
        <w:rPr>
          <w:rFonts w:ascii="Georgia" w:hAnsi="Georgia"/>
          <w:sz w:val="20"/>
          <w:szCs w:val="20"/>
        </w:rPr>
        <w:t>.</w:t>
      </w:r>
    </w:p>
    <w:p w:rsidR="00732D50" w:rsidRDefault="00BC7484" w:rsidP="00732D50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  <w:u w:val="single"/>
        </w:rPr>
      </w:pPr>
      <w:r>
        <w:rPr>
          <w:rFonts w:ascii="Georgia" w:hAnsi="Georgia"/>
          <w:b/>
          <w:sz w:val="18"/>
          <w:szCs w:val="20"/>
          <w:u w:val="single"/>
        </w:rPr>
        <w:t>Evolution des recettes liées au pétrole</w:t>
      </w:r>
    </w:p>
    <w:p w:rsidR="00442E6D" w:rsidRPr="00442E6D" w:rsidRDefault="00BC7484" w:rsidP="00732D50">
      <w:pPr>
        <w:pStyle w:val="Sansinterligne"/>
        <w:ind w:left="-142"/>
        <w:jc w:val="center"/>
        <w:rPr>
          <w:rFonts w:ascii="Georgia" w:hAnsi="Georgia"/>
          <w:b/>
          <w:sz w:val="18"/>
          <w:szCs w:val="20"/>
        </w:rPr>
      </w:pPr>
      <w:r w:rsidRPr="00BC7484">
        <w:rPr>
          <w:noProof/>
          <w:lang w:eastAsia="fr-FR"/>
        </w:rPr>
        <w:drawing>
          <wp:inline distT="0" distB="0" distL="0" distR="0" wp14:anchorId="550AD0C3" wp14:editId="2A7C3225">
            <wp:extent cx="3060065" cy="1767840"/>
            <wp:effectExtent l="0" t="0" r="698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516" w:rsidRPr="00732D50" w:rsidRDefault="00732D50" w:rsidP="00A23408">
      <w:pPr>
        <w:spacing w:after="60"/>
        <w:jc w:val="both"/>
        <w:rPr>
          <w:rFonts w:ascii="Georgia" w:hAnsi="Georgia"/>
          <w:i/>
          <w:sz w:val="16"/>
          <w:szCs w:val="20"/>
        </w:rPr>
      </w:pPr>
      <w:r w:rsidRPr="00732D50">
        <w:rPr>
          <w:rFonts w:ascii="Georgia" w:hAnsi="Georgia"/>
          <w:i/>
          <w:sz w:val="16"/>
          <w:szCs w:val="20"/>
        </w:rPr>
        <w:t>Source </w:t>
      </w:r>
      <w:proofErr w:type="gramStart"/>
      <w:r w:rsidRPr="00732D50">
        <w:rPr>
          <w:rFonts w:ascii="Georgia" w:hAnsi="Georgia"/>
          <w:i/>
          <w:sz w:val="16"/>
          <w:szCs w:val="20"/>
        </w:rPr>
        <w:t>:</w:t>
      </w:r>
      <w:r w:rsidR="00BC7484">
        <w:rPr>
          <w:rFonts w:ascii="Georgia" w:hAnsi="Georgia"/>
          <w:i/>
          <w:sz w:val="16"/>
          <w:szCs w:val="20"/>
        </w:rPr>
        <w:t>Ministère</w:t>
      </w:r>
      <w:proofErr w:type="gramEnd"/>
      <w:r w:rsidR="00BC7484">
        <w:rPr>
          <w:rFonts w:ascii="Georgia" w:hAnsi="Georgia"/>
          <w:i/>
          <w:sz w:val="16"/>
          <w:szCs w:val="20"/>
        </w:rPr>
        <w:t xml:space="preserve"> des finances, </w:t>
      </w:r>
      <w:proofErr w:type="spellStart"/>
      <w:r w:rsidR="00BC7484">
        <w:rPr>
          <w:rFonts w:ascii="Georgia" w:hAnsi="Georgia"/>
          <w:i/>
          <w:sz w:val="16"/>
          <w:szCs w:val="20"/>
        </w:rPr>
        <w:t>Maybank</w:t>
      </w:r>
      <w:proofErr w:type="spellEnd"/>
    </w:p>
    <w:p w:rsidR="00A10C11" w:rsidRDefault="00A10C11" w:rsidP="00A10C11">
      <w:pPr>
        <w:spacing w:after="60"/>
        <w:jc w:val="both"/>
        <w:rPr>
          <w:rFonts w:ascii="Georgia" w:hAnsi="Georgia" w:cs="Arial"/>
          <w:b/>
          <w:color w:val="2E74B5"/>
          <w:sz w:val="20"/>
          <w:szCs w:val="20"/>
        </w:rPr>
      </w:pPr>
      <w:r>
        <w:rPr>
          <w:rFonts w:ascii="Georgia" w:hAnsi="Georgia" w:cs="Arial"/>
          <w:b/>
          <w:color w:val="2E74B5"/>
          <w:sz w:val="20"/>
          <w:szCs w:val="20"/>
        </w:rPr>
        <w:t xml:space="preserve">Les dépenses </w:t>
      </w:r>
      <w:r w:rsidR="0002629B">
        <w:rPr>
          <w:rFonts w:ascii="Georgia" w:hAnsi="Georgia" w:cs="Arial"/>
          <w:b/>
          <w:color w:val="2E74B5"/>
          <w:sz w:val="20"/>
          <w:szCs w:val="20"/>
        </w:rPr>
        <w:t xml:space="preserve">budgétaires </w:t>
      </w:r>
      <w:r w:rsidR="00797077">
        <w:rPr>
          <w:rFonts w:ascii="Georgia" w:hAnsi="Georgia" w:cs="Arial"/>
          <w:b/>
          <w:color w:val="2E74B5"/>
          <w:sz w:val="20"/>
          <w:szCs w:val="20"/>
        </w:rPr>
        <w:t xml:space="preserve">mettent l’accent sur les besoins sociaux, </w:t>
      </w:r>
      <w:r w:rsidR="00E46165">
        <w:rPr>
          <w:rFonts w:ascii="Georgia" w:hAnsi="Georgia" w:cs="Arial"/>
          <w:b/>
          <w:color w:val="2E74B5"/>
          <w:sz w:val="20"/>
          <w:szCs w:val="20"/>
        </w:rPr>
        <w:t xml:space="preserve">en particulier </w:t>
      </w:r>
      <w:r w:rsidR="00797077">
        <w:rPr>
          <w:rFonts w:ascii="Georgia" w:hAnsi="Georgia" w:cs="Arial"/>
          <w:b/>
          <w:color w:val="2E74B5"/>
          <w:sz w:val="20"/>
          <w:szCs w:val="20"/>
        </w:rPr>
        <w:t>l</w:t>
      </w:r>
      <w:r w:rsidR="00191DA5">
        <w:rPr>
          <w:rFonts w:ascii="Georgia" w:hAnsi="Georgia" w:cs="Arial"/>
          <w:b/>
          <w:color w:val="2E74B5"/>
          <w:sz w:val="20"/>
          <w:szCs w:val="20"/>
        </w:rPr>
        <w:t>’éducation</w:t>
      </w:r>
      <w:r w:rsidR="0002629B">
        <w:rPr>
          <w:rFonts w:ascii="Georgia" w:hAnsi="Georgia" w:cs="Arial"/>
          <w:b/>
          <w:color w:val="2E74B5"/>
          <w:sz w:val="20"/>
          <w:szCs w:val="20"/>
        </w:rPr>
        <w:t xml:space="preserve"> supérieure, </w:t>
      </w:r>
      <w:r w:rsidR="00797077">
        <w:rPr>
          <w:rFonts w:ascii="Georgia" w:hAnsi="Georgia" w:cs="Arial"/>
          <w:b/>
          <w:color w:val="2E74B5"/>
          <w:sz w:val="20"/>
          <w:szCs w:val="20"/>
        </w:rPr>
        <w:t xml:space="preserve">la santé </w:t>
      </w:r>
      <w:r w:rsidR="0002629B">
        <w:rPr>
          <w:rFonts w:ascii="Georgia" w:hAnsi="Georgia" w:cs="Arial"/>
          <w:b/>
          <w:color w:val="2E74B5"/>
          <w:sz w:val="20"/>
          <w:szCs w:val="20"/>
        </w:rPr>
        <w:t>et le logement</w:t>
      </w:r>
      <w:r w:rsidR="00797077">
        <w:rPr>
          <w:rFonts w:ascii="Georgia" w:hAnsi="Georgia" w:cs="Arial"/>
          <w:b/>
          <w:color w:val="2E74B5"/>
          <w:sz w:val="20"/>
          <w:szCs w:val="20"/>
        </w:rPr>
        <w:t xml:space="preserve"> </w:t>
      </w:r>
    </w:p>
    <w:p w:rsidR="00027469" w:rsidRDefault="00C908DC" w:rsidP="00852477">
      <w:pPr>
        <w:jc w:val="both"/>
        <w:rPr>
          <w:rFonts w:ascii="Georgia" w:hAnsi="Georgia" w:cs="Times New Roman"/>
          <w:sz w:val="20"/>
          <w:szCs w:val="20"/>
        </w:rPr>
      </w:pPr>
      <w:r w:rsidRPr="00C908DC">
        <w:rPr>
          <w:rFonts w:ascii="Georgia" w:hAnsi="Georgia"/>
          <w:b/>
          <w:sz w:val="20"/>
          <w:szCs w:val="20"/>
        </w:rPr>
        <w:t>Le budget 2018 est consacré à 85% aux dépenses de fonctionnement, en hausse de 6,5%.</w:t>
      </w:r>
      <w:r w:rsidR="009D678F" w:rsidRPr="00442E6D">
        <w:rPr>
          <w:rFonts w:ascii="Georgia" w:hAnsi="Georgia"/>
          <w:sz w:val="20"/>
          <w:szCs w:val="20"/>
        </w:rPr>
        <w:t xml:space="preserve"> </w:t>
      </w:r>
      <w:r w:rsidR="0095259D">
        <w:rPr>
          <w:rFonts w:ascii="Georgia" w:hAnsi="Georgia"/>
          <w:sz w:val="20"/>
          <w:szCs w:val="20"/>
        </w:rPr>
        <w:t>Celles-ci s</w:t>
      </w:r>
      <w:r>
        <w:rPr>
          <w:rFonts w:ascii="Georgia" w:hAnsi="Georgia" w:cs="Times New Roman"/>
          <w:sz w:val="20"/>
          <w:szCs w:val="20"/>
        </w:rPr>
        <w:t>’établissent à 234,3 Md MYR (</w:t>
      </w:r>
      <w:r w:rsidR="00430C75">
        <w:rPr>
          <w:rFonts w:ascii="Georgia" w:hAnsi="Georgia" w:cs="Times New Roman"/>
          <w:sz w:val="20"/>
          <w:szCs w:val="20"/>
        </w:rPr>
        <w:t>16,2% du PIB) et sont principalement imputables à des dépenses fixes ou non arbitrables</w:t>
      </w:r>
      <w:r w:rsidR="0002629B">
        <w:rPr>
          <w:rFonts w:ascii="Georgia" w:hAnsi="Georgia" w:cs="Times New Roman"/>
          <w:sz w:val="20"/>
          <w:szCs w:val="20"/>
        </w:rPr>
        <w:t xml:space="preserve"> : </w:t>
      </w:r>
      <w:r w:rsidR="00430C75">
        <w:rPr>
          <w:rFonts w:ascii="Georgia" w:hAnsi="Georgia" w:cs="Times New Roman"/>
          <w:sz w:val="20"/>
          <w:szCs w:val="20"/>
        </w:rPr>
        <w:t>salaires, pensions, charge de la dette</w:t>
      </w:r>
      <w:r w:rsidR="0002629B">
        <w:rPr>
          <w:rFonts w:ascii="Georgia" w:hAnsi="Georgia" w:cs="Times New Roman"/>
          <w:sz w:val="20"/>
          <w:szCs w:val="20"/>
        </w:rPr>
        <w:t xml:space="preserve"> (en forte hausse de +7%).</w:t>
      </w:r>
    </w:p>
    <w:p w:rsidR="00430C75" w:rsidRDefault="00027469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 w:rsidRPr="00027469">
        <w:rPr>
          <w:noProof/>
          <w:lang w:eastAsia="fr-FR"/>
        </w:rPr>
        <w:drawing>
          <wp:inline distT="0" distB="0" distL="0" distR="0" wp14:anchorId="683C93E8" wp14:editId="0580B1F7">
            <wp:extent cx="3060065" cy="2181225"/>
            <wp:effectExtent l="0" t="0" r="698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59D" w:rsidRDefault="0095259D" w:rsidP="004A2516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Dans cet ensemble, l’Etat fait le choix de la stabilité relative de la masse salariale de la fonction publique</w:t>
      </w:r>
      <w:r w:rsidR="00AB487A" w:rsidRPr="00442E6D">
        <w:rPr>
          <w:rFonts w:ascii="Georgia" w:hAnsi="Georgia" w:cs="Times New Roman"/>
          <w:b/>
          <w:sz w:val="20"/>
          <w:szCs w:val="20"/>
        </w:rPr>
        <w:t xml:space="preserve"> </w:t>
      </w:r>
      <w:r w:rsidRPr="0095259D">
        <w:rPr>
          <w:rFonts w:ascii="Georgia" w:hAnsi="Georgia" w:cs="Times New Roman"/>
          <w:sz w:val="20"/>
          <w:szCs w:val="20"/>
        </w:rPr>
        <w:t>(79,1 Md MYR, +0,4%)</w:t>
      </w:r>
      <w:r>
        <w:rPr>
          <w:rFonts w:ascii="Georgia" w:hAnsi="Georgia" w:cs="Times New Roman"/>
          <w:sz w:val="20"/>
          <w:szCs w:val="20"/>
        </w:rPr>
        <w:t xml:space="preserve">, les pensions évoluant au rythme de l’inflation (24,5 Md MYR, +3,8%). L’effort porte sur les subventions à caractère social, en hausse de +15% à 26,5 Md MYR, </w:t>
      </w:r>
      <w:r w:rsidR="0002629B">
        <w:rPr>
          <w:rFonts w:ascii="Georgia" w:hAnsi="Georgia" w:cs="Times New Roman"/>
          <w:sz w:val="20"/>
          <w:szCs w:val="20"/>
        </w:rPr>
        <w:t xml:space="preserve">notamment </w:t>
      </w:r>
      <w:r>
        <w:rPr>
          <w:rFonts w:ascii="Georgia" w:hAnsi="Georgia" w:cs="Times New Roman"/>
          <w:sz w:val="20"/>
          <w:szCs w:val="20"/>
        </w:rPr>
        <w:t>pour compenser les coûts croissants des transports</w:t>
      </w:r>
      <w:r w:rsidR="005A2A72">
        <w:rPr>
          <w:rFonts w:ascii="Georgia" w:hAnsi="Georgia" w:cs="Times New Roman"/>
          <w:sz w:val="20"/>
          <w:szCs w:val="20"/>
        </w:rPr>
        <w:t xml:space="preserve"> et</w:t>
      </w:r>
      <w:r>
        <w:rPr>
          <w:rFonts w:ascii="Georgia" w:hAnsi="Georgia" w:cs="Times New Roman"/>
          <w:sz w:val="20"/>
          <w:szCs w:val="20"/>
        </w:rPr>
        <w:t xml:space="preserve"> de l’électricité</w:t>
      </w:r>
      <w:r w:rsidR="005A2A72">
        <w:rPr>
          <w:rFonts w:ascii="Georgia" w:hAnsi="Georgia" w:cs="Times New Roman"/>
          <w:sz w:val="20"/>
          <w:szCs w:val="20"/>
        </w:rPr>
        <w:t>.</w:t>
      </w:r>
      <w:r w:rsidR="0002629B">
        <w:rPr>
          <w:rFonts w:ascii="Georgia" w:hAnsi="Georgia" w:cs="Times New Roman"/>
          <w:sz w:val="20"/>
          <w:szCs w:val="20"/>
        </w:rPr>
        <w:t xml:space="preserve"> </w:t>
      </w:r>
      <w:r w:rsidR="005A2A72">
        <w:rPr>
          <w:rFonts w:ascii="Georgia" w:hAnsi="Georgia" w:cs="Times New Roman"/>
          <w:sz w:val="20"/>
          <w:szCs w:val="20"/>
        </w:rPr>
        <w:t>Un effort singulier est porté dans le domaine de l’éducation supérieure, dont le programme de bourses « MARA » voit son enveloppe croître de 70% à 2,5 Md MYR</w:t>
      </w:r>
      <w:r w:rsidR="003174BD">
        <w:rPr>
          <w:rFonts w:ascii="Georgia" w:hAnsi="Georgia" w:cs="Times New Roman"/>
          <w:sz w:val="20"/>
          <w:szCs w:val="20"/>
        </w:rPr>
        <w:t>.</w:t>
      </w:r>
    </w:p>
    <w:p w:rsidR="000A6322" w:rsidRPr="00187B37" w:rsidRDefault="0002629B" w:rsidP="000A6322">
      <w:pPr>
        <w:spacing w:after="12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Si les dépenses </w:t>
      </w:r>
      <w:r w:rsidR="00852477">
        <w:rPr>
          <w:rFonts w:ascii="Georgia" w:hAnsi="Georgia" w:cs="Times New Roman"/>
          <w:sz w:val="20"/>
          <w:szCs w:val="20"/>
        </w:rPr>
        <w:t xml:space="preserve">nettes </w:t>
      </w:r>
      <w:r>
        <w:rPr>
          <w:rFonts w:ascii="Georgia" w:hAnsi="Georgia" w:cs="Times New Roman"/>
          <w:sz w:val="20"/>
          <w:szCs w:val="20"/>
        </w:rPr>
        <w:t xml:space="preserve">d’investissements restent stables à </w:t>
      </w:r>
      <w:r w:rsidR="00852477">
        <w:rPr>
          <w:rFonts w:ascii="Georgia" w:hAnsi="Georgia" w:cs="Times New Roman"/>
          <w:sz w:val="20"/>
          <w:szCs w:val="20"/>
        </w:rPr>
        <w:t>46</w:t>
      </w:r>
      <w:r>
        <w:rPr>
          <w:rFonts w:ascii="Georgia" w:hAnsi="Georgia" w:cs="Times New Roman"/>
          <w:sz w:val="20"/>
          <w:szCs w:val="20"/>
        </w:rPr>
        <w:t>,</w:t>
      </w:r>
      <w:r w:rsidR="00852477">
        <w:rPr>
          <w:rFonts w:ascii="Georgia" w:hAnsi="Georgia" w:cs="Times New Roman"/>
          <w:sz w:val="20"/>
          <w:szCs w:val="20"/>
        </w:rPr>
        <w:t>0</w:t>
      </w:r>
      <w:r>
        <w:rPr>
          <w:rFonts w:ascii="Georgia" w:hAnsi="Georgia" w:cs="Times New Roman"/>
          <w:sz w:val="20"/>
          <w:szCs w:val="20"/>
        </w:rPr>
        <w:t> Md MYR</w:t>
      </w:r>
      <w:r w:rsidR="00852477">
        <w:rPr>
          <w:rFonts w:ascii="Georgia" w:hAnsi="Georgia" w:cs="Times New Roman"/>
          <w:sz w:val="20"/>
          <w:szCs w:val="20"/>
        </w:rPr>
        <w:t xml:space="preserve"> (+0,2%) et concentrées sur le développement économique (26,3 Md MYR)</w:t>
      </w:r>
      <w:r>
        <w:rPr>
          <w:rFonts w:ascii="Georgia" w:hAnsi="Georgia" w:cs="Times New Roman"/>
          <w:sz w:val="20"/>
          <w:szCs w:val="20"/>
        </w:rPr>
        <w:t>, l’Etat procède à des réallocation</w:t>
      </w:r>
      <w:r w:rsidR="005A2A72">
        <w:rPr>
          <w:rFonts w:ascii="Georgia" w:hAnsi="Georgia" w:cs="Times New Roman"/>
          <w:sz w:val="20"/>
          <w:szCs w:val="20"/>
        </w:rPr>
        <w:t>s</w:t>
      </w:r>
      <w:r>
        <w:rPr>
          <w:rFonts w:ascii="Georgia" w:hAnsi="Georgia" w:cs="Times New Roman"/>
          <w:sz w:val="20"/>
          <w:szCs w:val="20"/>
        </w:rPr>
        <w:t>, notamment au bénéfice du secteur de la santé (1,9 Md MYR, +25%</w:t>
      </w:r>
      <w:r w:rsidR="003174BD">
        <w:rPr>
          <w:rFonts w:ascii="Georgia" w:hAnsi="Georgia" w:cs="Times New Roman"/>
          <w:sz w:val="20"/>
          <w:szCs w:val="20"/>
        </w:rPr>
        <w:t>, pour la construction de nouveaux hôpitaux</w:t>
      </w:r>
      <w:r>
        <w:rPr>
          <w:rFonts w:ascii="Georgia" w:hAnsi="Georgia" w:cs="Times New Roman"/>
          <w:sz w:val="20"/>
          <w:szCs w:val="20"/>
        </w:rPr>
        <w:t>)</w:t>
      </w:r>
      <w:r w:rsidR="003174BD">
        <w:rPr>
          <w:rFonts w:ascii="Georgia" w:hAnsi="Georgia" w:cs="Times New Roman"/>
          <w:sz w:val="20"/>
          <w:szCs w:val="20"/>
        </w:rPr>
        <w:t xml:space="preserve"> et</w:t>
      </w:r>
      <w:r>
        <w:rPr>
          <w:rFonts w:ascii="Georgia" w:hAnsi="Georgia" w:cs="Times New Roman"/>
          <w:sz w:val="20"/>
          <w:szCs w:val="20"/>
        </w:rPr>
        <w:t xml:space="preserve"> du logement </w:t>
      </w:r>
      <w:r w:rsidR="003174BD">
        <w:rPr>
          <w:rFonts w:ascii="Georgia" w:hAnsi="Georgia" w:cs="Times New Roman"/>
          <w:sz w:val="20"/>
          <w:szCs w:val="20"/>
        </w:rPr>
        <w:t xml:space="preserve">social </w:t>
      </w:r>
      <w:r w:rsidR="005A2A72">
        <w:rPr>
          <w:rFonts w:ascii="Georgia" w:hAnsi="Georgia" w:cs="Times New Roman"/>
          <w:sz w:val="20"/>
          <w:szCs w:val="20"/>
        </w:rPr>
        <w:t>(</w:t>
      </w:r>
      <w:r w:rsidR="003174BD">
        <w:rPr>
          <w:rFonts w:ascii="Georgia" w:hAnsi="Georgia" w:cs="Times New Roman"/>
          <w:sz w:val="20"/>
          <w:szCs w:val="20"/>
        </w:rPr>
        <w:t>1,1 Md MYR, +34%)</w:t>
      </w:r>
      <w:bookmarkStart w:id="1" w:name="_GoBack"/>
      <w:bookmarkEnd w:id="1"/>
      <w:r w:rsidR="005A2A72">
        <w:rPr>
          <w:rFonts w:ascii="Georgia" w:hAnsi="Georgia" w:cs="Times New Roman"/>
          <w:sz w:val="20"/>
          <w:szCs w:val="20"/>
        </w:rPr>
        <w:t>.</w:t>
      </w:r>
      <w:r w:rsidR="003174BD">
        <w:rPr>
          <w:rFonts w:ascii="Georgia" w:hAnsi="Georgia" w:cs="Times New Roman"/>
          <w:sz w:val="20"/>
          <w:szCs w:val="20"/>
        </w:rPr>
        <w:t xml:space="preserve"> Le budget d’équipement de la police et de l’armée reste stable à 5,2 Md MYR.</w:t>
      </w:r>
      <w:r w:rsidR="00187B37">
        <w:rPr>
          <w:rFonts w:ascii="Georgia" w:hAnsi="Georgia" w:cs="Times New Roman"/>
          <w:sz w:val="20"/>
          <w:szCs w:val="20"/>
        </w:rPr>
        <w:t xml:space="preserve"> </w:t>
      </w:r>
      <w:r w:rsidR="00AE5963">
        <w:rPr>
          <w:rFonts w:ascii="Georgia" w:hAnsi="Georgia" w:cs="Times New Roman"/>
          <w:sz w:val="20"/>
          <w:szCs w:val="20"/>
        </w:rPr>
        <w:t xml:space="preserve">Enfin, </w:t>
      </w:r>
      <w:r w:rsidR="00A23408">
        <w:rPr>
          <w:rFonts w:ascii="Georgia" w:hAnsi="Georgia" w:cs="Times New Roman"/>
          <w:sz w:val="20"/>
          <w:szCs w:val="20"/>
        </w:rPr>
        <w:t>de nouvelles mesures fiscales sont introduites p</w:t>
      </w:r>
      <w:r w:rsidR="008D2581">
        <w:rPr>
          <w:rFonts w:ascii="Georgia" w:hAnsi="Georgia" w:cs="Arial"/>
          <w:sz w:val="20"/>
          <w:szCs w:val="20"/>
        </w:rPr>
        <w:t>our</w:t>
      </w:r>
      <w:r w:rsidR="00187B37">
        <w:rPr>
          <w:rFonts w:ascii="Georgia" w:hAnsi="Georgia" w:cs="Arial"/>
          <w:sz w:val="20"/>
          <w:szCs w:val="20"/>
        </w:rPr>
        <w:t xml:space="preserve"> soutenir l’« industrie 4.0 », l’économie numérique</w:t>
      </w:r>
      <w:r w:rsidR="00E46165">
        <w:rPr>
          <w:rFonts w:ascii="Georgia" w:hAnsi="Georgia" w:cs="Arial"/>
          <w:sz w:val="20"/>
          <w:szCs w:val="20"/>
        </w:rPr>
        <w:t>, les services financiers et le tourisme.</w:t>
      </w:r>
    </w:p>
    <w:p w:rsidR="0020513C" w:rsidRPr="007E4826" w:rsidRDefault="007F0B69" w:rsidP="000A6322">
      <w:pPr>
        <w:jc w:val="both"/>
        <w:rPr>
          <w:rFonts w:ascii="Georgia" w:eastAsia="Arial" w:hAnsi="Georgia"/>
          <w:iCs/>
          <w:color w:val="0563C1" w:themeColor="hyperlink"/>
          <w:sz w:val="20"/>
          <w:szCs w:val="20"/>
          <w:u w:val="single"/>
        </w:rPr>
      </w:pPr>
      <w:r w:rsidRPr="00425134">
        <w:rPr>
          <w:rFonts w:ascii="Georgia" w:hAnsi="Georgia"/>
          <w:i/>
          <w:sz w:val="18"/>
          <w:szCs w:val="20"/>
        </w:rPr>
        <w:t xml:space="preserve">Contact : </w:t>
      </w:r>
      <w:hyperlink r:id="rId12" w:history="1">
        <w:r w:rsidRPr="00CE08AC">
          <w:rPr>
            <w:rStyle w:val="Lienhypertexte"/>
            <w:rFonts w:ascii="Georgia" w:hAnsi="Georgia"/>
            <w:i/>
            <w:sz w:val="18"/>
            <w:szCs w:val="20"/>
          </w:rPr>
          <w:t>arnaud.boulanger@dgtresor.gouv.fr</w:t>
        </w:r>
      </w:hyperlink>
    </w:p>
    <w:sectPr w:rsidR="0020513C" w:rsidRPr="007E4826" w:rsidSect="00C84DA1">
      <w:headerReference w:type="first" r:id="rId13"/>
      <w:type w:val="continuous"/>
      <w:pgSz w:w="11906" w:h="16838"/>
      <w:pgMar w:top="1134" w:right="851" w:bottom="794" w:left="851" w:header="567" w:footer="709" w:gutter="0"/>
      <w:cols w:num="2"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5D3" w:rsidRDefault="002455D3" w:rsidP="0058371D">
      <w:r>
        <w:separator/>
      </w:r>
    </w:p>
  </w:endnote>
  <w:endnote w:type="continuationSeparator" w:id="0">
    <w:p w:rsidR="002455D3" w:rsidRDefault="002455D3" w:rsidP="0058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5D3" w:rsidRDefault="002455D3" w:rsidP="0058371D">
      <w:r>
        <w:separator/>
      </w:r>
    </w:p>
  </w:footnote>
  <w:footnote w:type="continuationSeparator" w:id="0">
    <w:p w:rsidR="002455D3" w:rsidRDefault="002455D3" w:rsidP="0058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D7" w:rsidRPr="001C09EC" w:rsidRDefault="00085AD7" w:rsidP="00C84DA1">
    <w:pPr>
      <w:pStyle w:val="En-tte"/>
      <w:keepNext/>
      <w:keepLines/>
      <w:suppressAutoHyphens/>
      <w:spacing w:before="60"/>
      <w:jc w:val="both"/>
      <w:rPr>
        <w:rFonts w:ascii="Georgia" w:hAnsi="Georgia" w:cs="Arial"/>
        <w:sz w:val="18"/>
        <w:lang w:eastAsia="fr-FR"/>
      </w:rPr>
    </w:pPr>
    <w:r w:rsidRPr="001C09EC">
      <w:rPr>
        <w:rFonts w:ascii="Georgia" w:hAnsi="Georgia" w:cs="Arial"/>
        <w:b/>
        <w:bCs/>
        <w:color w:val="DAA800"/>
        <w:spacing w:val="30"/>
        <w:sz w:val="18"/>
        <w:lang w:eastAsia="fr-FR"/>
      </w:rPr>
      <w:t>HORIZON ASEAN</w:t>
    </w:r>
    <w:r w:rsidRPr="001C09EC">
      <w:rPr>
        <w:rFonts w:ascii="Georgia" w:hAnsi="Georgia" w:cs="Arial"/>
        <w:b/>
        <w:bCs/>
        <w:color w:val="FF9900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– </w:t>
    </w:r>
    <w:r>
      <w:rPr>
        <w:rFonts w:ascii="Georgia" w:hAnsi="Georgia" w:cs="Arial"/>
        <w:b/>
        <w:bCs/>
        <w:color w:val="004559"/>
        <w:spacing w:val="30"/>
        <w:sz w:val="18"/>
        <w:lang w:eastAsia="fr-FR"/>
      </w:rPr>
      <w:t>Octobre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2017</w:t>
    </w:r>
    <w:r w:rsidRPr="001C09EC">
      <w:rPr>
        <w:rFonts w:ascii="Georgia" w:hAnsi="Georgia" w:cs="Arial"/>
        <w:b/>
        <w:bCs/>
        <w:color w:val="336699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sz w:val="18"/>
        <w:lang w:eastAsia="fr-FR"/>
      </w:rPr>
      <w:t>© DG Trésor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D7" w:rsidRDefault="00085AD7" w:rsidP="009E5CAE">
    <w:pPr>
      <w:pStyle w:val="En-tte"/>
      <w:keepNext/>
      <w:keepLines/>
      <w:suppressAutoHyphens/>
      <w:spacing w:before="60"/>
      <w:ind w:left="-142" w:firstLine="142"/>
      <w:jc w:val="both"/>
      <w:rPr>
        <w:rFonts w:ascii="Georgia" w:hAnsi="Georgia" w:cs="Arial"/>
        <w:b/>
        <w:bCs/>
        <w:color w:val="DAA800"/>
        <w:spacing w:val="30"/>
        <w:sz w:val="18"/>
        <w:lang w:eastAsia="fr-FR"/>
      </w:rPr>
    </w:pPr>
  </w:p>
  <w:p w:rsidR="00085AD7" w:rsidRPr="001C09EC" w:rsidRDefault="00085AD7" w:rsidP="009E5CAE">
    <w:pPr>
      <w:pStyle w:val="En-tte"/>
      <w:keepNext/>
      <w:keepLines/>
      <w:suppressAutoHyphens/>
      <w:spacing w:before="60"/>
      <w:ind w:left="-142" w:firstLine="142"/>
      <w:jc w:val="both"/>
      <w:rPr>
        <w:rFonts w:ascii="Georgia" w:hAnsi="Georgia" w:cs="Arial"/>
        <w:sz w:val="18"/>
        <w:lang w:eastAsia="fr-FR"/>
      </w:rPr>
    </w:pPr>
    <w:r w:rsidRPr="001C09EC">
      <w:rPr>
        <w:rFonts w:ascii="Georgia" w:hAnsi="Georgia" w:cs="Arial"/>
        <w:b/>
        <w:bCs/>
        <w:color w:val="DAA800"/>
        <w:spacing w:val="30"/>
        <w:sz w:val="18"/>
        <w:lang w:eastAsia="fr-FR"/>
      </w:rPr>
      <w:t>HORIZON ASEAN</w:t>
    </w:r>
    <w:r w:rsidRPr="001C09EC">
      <w:rPr>
        <w:rFonts w:ascii="Georgia" w:hAnsi="Georgia" w:cs="Arial"/>
        <w:b/>
        <w:bCs/>
        <w:color w:val="FF9900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b/>
        <w:bCs/>
        <w:color w:val="004559"/>
        <w:spacing w:val="30"/>
        <w:sz w:val="18"/>
        <w:lang w:eastAsia="fr-FR"/>
      </w:rPr>
      <w:t xml:space="preserve"> – Juillet 2017</w:t>
    </w:r>
    <w:r w:rsidRPr="001C09EC">
      <w:rPr>
        <w:rFonts w:ascii="Georgia" w:hAnsi="Georgia" w:cs="Arial"/>
        <w:b/>
        <w:bCs/>
        <w:color w:val="336699"/>
        <w:spacing w:val="30"/>
        <w:sz w:val="18"/>
        <w:lang w:eastAsia="fr-FR"/>
      </w:rPr>
      <w:t xml:space="preserve"> </w:t>
    </w:r>
    <w:r w:rsidRPr="001C09EC">
      <w:rPr>
        <w:rFonts w:ascii="Georgia" w:hAnsi="Georgia" w:cs="Arial"/>
        <w:sz w:val="18"/>
        <w:lang w:eastAsia="fr-FR"/>
      </w:rPr>
      <w:t>© DG Trésor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D7345"/>
    <w:multiLevelType w:val="hybridMultilevel"/>
    <w:tmpl w:val="7FAC6610"/>
    <w:lvl w:ilvl="0" w:tplc="CF1E271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1D"/>
    <w:rsid w:val="00000D4E"/>
    <w:rsid w:val="00001762"/>
    <w:rsid w:val="00015F1C"/>
    <w:rsid w:val="0002629B"/>
    <w:rsid w:val="00027469"/>
    <w:rsid w:val="00044791"/>
    <w:rsid w:val="00052849"/>
    <w:rsid w:val="00063E17"/>
    <w:rsid w:val="000640A2"/>
    <w:rsid w:val="00085AD7"/>
    <w:rsid w:val="00085C2A"/>
    <w:rsid w:val="00087B5D"/>
    <w:rsid w:val="00091E75"/>
    <w:rsid w:val="000A6322"/>
    <w:rsid w:val="000B16E5"/>
    <w:rsid w:val="000B20F0"/>
    <w:rsid w:val="000C38F3"/>
    <w:rsid w:val="000D6BBF"/>
    <w:rsid w:val="000E4DC0"/>
    <w:rsid w:val="00102451"/>
    <w:rsid w:val="00114823"/>
    <w:rsid w:val="00125733"/>
    <w:rsid w:val="001311A5"/>
    <w:rsid w:val="00131D25"/>
    <w:rsid w:val="001516B3"/>
    <w:rsid w:val="00167A4D"/>
    <w:rsid w:val="00187B37"/>
    <w:rsid w:val="00191DA5"/>
    <w:rsid w:val="001A23F9"/>
    <w:rsid w:val="001B2A18"/>
    <w:rsid w:val="001B6E66"/>
    <w:rsid w:val="001C64F0"/>
    <w:rsid w:val="001C793C"/>
    <w:rsid w:val="001D15E1"/>
    <w:rsid w:val="00202302"/>
    <w:rsid w:val="0020513C"/>
    <w:rsid w:val="0021404F"/>
    <w:rsid w:val="00215029"/>
    <w:rsid w:val="00235930"/>
    <w:rsid w:val="002455D3"/>
    <w:rsid w:val="00247599"/>
    <w:rsid w:val="002520C5"/>
    <w:rsid w:val="002750C2"/>
    <w:rsid w:val="00286AE1"/>
    <w:rsid w:val="002A68DD"/>
    <w:rsid w:val="002B5C7A"/>
    <w:rsid w:val="002B6FEE"/>
    <w:rsid w:val="00303C76"/>
    <w:rsid w:val="00310BEE"/>
    <w:rsid w:val="00310C13"/>
    <w:rsid w:val="00313A1B"/>
    <w:rsid w:val="003174BD"/>
    <w:rsid w:val="00334215"/>
    <w:rsid w:val="00340FAC"/>
    <w:rsid w:val="00353F6D"/>
    <w:rsid w:val="00361F7C"/>
    <w:rsid w:val="00364453"/>
    <w:rsid w:val="0036594C"/>
    <w:rsid w:val="003674F6"/>
    <w:rsid w:val="00384F2E"/>
    <w:rsid w:val="00386BEF"/>
    <w:rsid w:val="003A1529"/>
    <w:rsid w:val="003B3E9D"/>
    <w:rsid w:val="003B7418"/>
    <w:rsid w:val="003C47AA"/>
    <w:rsid w:val="003C5A5C"/>
    <w:rsid w:val="003F5FC6"/>
    <w:rsid w:val="003F69D9"/>
    <w:rsid w:val="00412638"/>
    <w:rsid w:val="00425134"/>
    <w:rsid w:val="00430C75"/>
    <w:rsid w:val="0043256F"/>
    <w:rsid w:val="0043518D"/>
    <w:rsid w:val="004376E6"/>
    <w:rsid w:val="00442E6D"/>
    <w:rsid w:val="00446B70"/>
    <w:rsid w:val="00450943"/>
    <w:rsid w:val="00483EAF"/>
    <w:rsid w:val="004A2516"/>
    <w:rsid w:val="004A5AC6"/>
    <w:rsid w:val="004B72F5"/>
    <w:rsid w:val="004C2FFF"/>
    <w:rsid w:val="004F6E4F"/>
    <w:rsid w:val="0050207A"/>
    <w:rsid w:val="00505D0E"/>
    <w:rsid w:val="00507B00"/>
    <w:rsid w:val="00515BB7"/>
    <w:rsid w:val="005175B5"/>
    <w:rsid w:val="00531AA0"/>
    <w:rsid w:val="0053683A"/>
    <w:rsid w:val="005420F0"/>
    <w:rsid w:val="00553CE9"/>
    <w:rsid w:val="0056200D"/>
    <w:rsid w:val="00577B7C"/>
    <w:rsid w:val="00582E61"/>
    <w:rsid w:val="0058371D"/>
    <w:rsid w:val="005850DF"/>
    <w:rsid w:val="005A0579"/>
    <w:rsid w:val="005A2A72"/>
    <w:rsid w:val="005A4228"/>
    <w:rsid w:val="005B006D"/>
    <w:rsid w:val="005C0DF8"/>
    <w:rsid w:val="005C1021"/>
    <w:rsid w:val="005C2F18"/>
    <w:rsid w:val="005F403E"/>
    <w:rsid w:val="006269F0"/>
    <w:rsid w:val="00647440"/>
    <w:rsid w:val="006716F4"/>
    <w:rsid w:val="006764F3"/>
    <w:rsid w:val="00687FB4"/>
    <w:rsid w:val="006A3121"/>
    <w:rsid w:val="006B5085"/>
    <w:rsid w:val="006E022D"/>
    <w:rsid w:val="006E5A80"/>
    <w:rsid w:val="006E78AC"/>
    <w:rsid w:val="006F0DF7"/>
    <w:rsid w:val="006F2426"/>
    <w:rsid w:val="00723BC5"/>
    <w:rsid w:val="00727634"/>
    <w:rsid w:val="0073278D"/>
    <w:rsid w:val="00732D50"/>
    <w:rsid w:val="00742817"/>
    <w:rsid w:val="007654E9"/>
    <w:rsid w:val="00785F74"/>
    <w:rsid w:val="00797077"/>
    <w:rsid w:val="007A7343"/>
    <w:rsid w:val="007A7CAC"/>
    <w:rsid w:val="007B43A6"/>
    <w:rsid w:val="007B50BF"/>
    <w:rsid w:val="007E0C34"/>
    <w:rsid w:val="007E374A"/>
    <w:rsid w:val="007E3F49"/>
    <w:rsid w:val="007E4826"/>
    <w:rsid w:val="007F0B69"/>
    <w:rsid w:val="0080181A"/>
    <w:rsid w:val="00806BAC"/>
    <w:rsid w:val="00852477"/>
    <w:rsid w:val="00853A40"/>
    <w:rsid w:val="00855902"/>
    <w:rsid w:val="00864782"/>
    <w:rsid w:val="00865C9E"/>
    <w:rsid w:val="00866366"/>
    <w:rsid w:val="008B0E43"/>
    <w:rsid w:val="008B7222"/>
    <w:rsid w:val="008C4086"/>
    <w:rsid w:val="008D2581"/>
    <w:rsid w:val="008F3FD5"/>
    <w:rsid w:val="008F524B"/>
    <w:rsid w:val="008F5E59"/>
    <w:rsid w:val="009020AC"/>
    <w:rsid w:val="009140AF"/>
    <w:rsid w:val="00914DC0"/>
    <w:rsid w:val="00915F7C"/>
    <w:rsid w:val="009168D5"/>
    <w:rsid w:val="00932036"/>
    <w:rsid w:val="00940AB9"/>
    <w:rsid w:val="0095259D"/>
    <w:rsid w:val="0097386D"/>
    <w:rsid w:val="009930E0"/>
    <w:rsid w:val="00996F74"/>
    <w:rsid w:val="009A578F"/>
    <w:rsid w:val="009B03FF"/>
    <w:rsid w:val="009B1176"/>
    <w:rsid w:val="009C5B45"/>
    <w:rsid w:val="009D1342"/>
    <w:rsid w:val="009D2111"/>
    <w:rsid w:val="009D678F"/>
    <w:rsid w:val="009E388A"/>
    <w:rsid w:val="009E5CAE"/>
    <w:rsid w:val="009F1A49"/>
    <w:rsid w:val="00A10C11"/>
    <w:rsid w:val="00A2161D"/>
    <w:rsid w:val="00A23408"/>
    <w:rsid w:val="00A25354"/>
    <w:rsid w:val="00A60A0F"/>
    <w:rsid w:val="00A61CDB"/>
    <w:rsid w:val="00A642F8"/>
    <w:rsid w:val="00A70613"/>
    <w:rsid w:val="00A8104A"/>
    <w:rsid w:val="00A81E5F"/>
    <w:rsid w:val="00A94063"/>
    <w:rsid w:val="00AA7421"/>
    <w:rsid w:val="00AB487A"/>
    <w:rsid w:val="00AB73A9"/>
    <w:rsid w:val="00AC3F0A"/>
    <w:rsid w:val="00AD356A"/>
    <w:rsid w:val="00AE5963"/>
    <w:rsid w:val="00AF2219"/>
    <w:rsid w:val="00AF62F3"/>
    <w:rsid w:val="00B02EAD"/>
    <w:rsid w:val="00B1327A"/>
    <w:rsid w:val="00B14D0D"/>
    <w:rsid w:val="00B24F30"/>
    <w:rsid w:val="00B27A93"/>
    <w:rsid w:val="00B347E2"/>
    <w:rsid w:val="00B5054B"/>
    <w:rsid w:val="00B55A0F"/>
    <w:rsid w:val="00B8308C"/>
    <w:rsid w:val="00B90E4C"/>
    <w:rsid w:val="00B92910"/>
    <w:rsid w:val="00BA1524"/>
    <w:rsid w:val="00BC1EEB"/>
    <w:rsid w:val="00BC3E90"/>
    <w:rsid w:val="00BC708F"/>
    <w:rsid w:val="00BC7484"/>
    <w:rsid w:val="00BD03DE"/>
    <w:rsid w:val="00BD4FF5"/>
    <w:rsid w:val="00BD536A"/>
    <w:rsid w:val="00BD78AE"/>
    <w:rsid w:val="00BE2A19"/>
    <w:rsid w:val="00BE2DAF"/>
    <w:rsid w:val="00BF1CD4"/>
    <w:rsid w:val="00C06595"/>
    <w:rsid w:val="00C06B06"/>
    <w:rsid w:val="00C14B84"/>
    <w:rsid w:val="00C15775"/>
    <w:rsid w:val="00C27982"/>
    <w:rsid w:val="00C35AEA"/>
    <w:rsid w:val="00C749DB"/>
    <w:rsid w:val="00C82327"/>
    <w:rsid w:val="00C8390A"/>
    <w:rsid w:val="00C84DA1"/>
    <w:rsid w:val="00C908DC"/>
    <w:rsid w:val="00C95468"/>
    <w:rsid w:val="00CA1C81"/>
    <w:rsid w:val="00CA3D45"/>
    <w:rsid w:val="00CB240C"/>
    <w:rsid w:val="00CB40A6"/>
    <w:rsid w:val="00CB7416"/>
    <w:rsid w:val="00CC095D"/>
    <w:rsid w:val="00CD1CB7"/>
    <w:rsid w:val="00CD5B65"/>
    <w:rsid w:val="00CE5544"/>
    <w:rsid w:val="00CF306D"/>
    <w:rsid w:val="00D23799"/>
    <w:rsid w:val="00D26AFF"/>
    <w:rsid w:val="00D336DD"/>
    <w:rsid w:val="00D427EF"/>
    <w:rsid w:val="00D51739"/>
    <w:rsid w:val="00D64DD8"/>
    <w:rsid w:val="00D665A9"/>
    <w:rsid w:val="00D67249"/>
    <w:rsid w:val="00D72C28"/>
    <w:rsid w:val="00D8274D"/>
    <w:rsid w:val="00D91531"/>
    <w:rsid w:val="00DA2B3E"/>
    <w:rsid w:val="00DB4327"/>
    <w:rsid w:val="00DD49BE"/>
    <w:rsid w:val="00DF101B"/>
    <w:rsid w:val="00E00A44"/>
    <w:rsid w:val="00E05151"/>
    <w:rsid w:val="00E24443"/>
    <w:rsid w:val="00E30C48"/>
    <w:rsid w:val="00E46165"/>
    <w:rsid w:val="00E4679F"/>
    <w:rsid w:val="00E51B5D"/>
    <w:rsid w:val="00E52397"/>
    <w:rsid w:val="00E658C1"/>
    <w:rsid w:val="00E70B89"/>
    <w:rsid w:val="00E808ED"/>
    <w:rsid w:val="00E82ED2"/>
    <w:rsid w:val="00E914B3"/>
    <w:rsid w:val="00E917D4"/>
    <w:rsid w:val="00E955B4"/>
    <w:rsid w:val="00EA4419"/>
    <w:rsid w:val="00EA4FF3"/>
    <w:rsid w:val="00EB61DA"/>
    <w:rsid w:val="00EC3CFF"/>
    <w:rsid w:val="00EF4169"/>
    <w:rsid w:val="00EF5D95"/>
    <w:rsid w:val="00F0505E"/>
    <w:rsid w:val="00F14F5A"/>
    <w:rsid w:val="00F2600D"/>
    <w:rsid w:val="00F50D00"/>
    <w:rsid w:val="00F7783B"/>
    <w:rsid w:val="00F92038"/>
    <w:rsid w:val="00F93026"/>
    <w:rsid w:val="00FA0BB5"/>
    <w:rsid w:val="00FD3EE1"/>
    <w:rsid w:val="00FD6A5F"/>
    <w:rsid w:val="00F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4104A73-6CE9-4D2B-9841-9F8E081C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37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71D"/>
  </w:style>
  <w:style w:type="paragraph" w:styleId="Pieddepage">
    <w:name w:val="footer"/>
    <w:basedOn w:val="Normal"/>
    <w:link w:val="PieddepageCar"/>
    <w:uiPriority w:val="99"/>
    <w:unhideWhenUsed/>
    <w:rsid w:val="005837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71D"/>
  </w:style>
  <w:style w:type="table" w:styleId="Grilledutableau">
    <w:name w:val="Table Grid"/>
    <w:basedOn w:val="TableauNormal"/>
    <w:uiPriority w:val="39"/>
    <w:rsid w:val="0054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3A1B"/>
    <w:rPr>
      <w:color w:val="0563C1" w:themeColor="hyperlink"/>
      <w:u w:val="single"/>
    </w:rPr>
  </w:style>
  <w:style w:type="paragraph" w:styleId="Notedebasdepage">
    <w:name w:val="footnote text"/>
    <w:aliases w:val=" Char,Char,Arial,Footnote Text Char Char1,Footnote Text Char2,Footnote Text Char Char Char Char,Footnote Text Char1 Char1,Footnote Text Char Char Char1,Footnote Text Char3,Footnote Text Char2 Char,Footnote Text Char1 Char,Char2"/>
    <w:basedOn w:val="Normal"/>
    <w:link w:val="NotedebasdepageCar"/>
    <w:uiPriority w:val="99"/>
    <w:unhideWhenUsed/>
    <w:qFormat/>
    <w:rsid w:val="00063E17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 Char Car,Char Car,Arial Car,Footnote Text Char Char1 Car,Footnote Text Char2 Car,Footnote Text Char Char Char Char Car,Footnote Text Char1 Char1 Car,Footnote Text Char Char Char1 Car,Footnote Text Char3 Car,Char2 Car"/>
    <w:basedOn w:val="Policepardfaut"/>
    <w:link w:val="Notedebasdepage"/>
    <w:uiPriority w:val="99"/>
    <w:rsid w:val="00063E17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aliases w:val="FOOTNOTE,pre-cab,ftref,16 Point,Superscript 6 Point,fr,stylish,Appel note de bas de p,Footnote,(NECG) Footnote Reference,o,Style 3,Style 12,Style 124,Appel,Footnote Reference Number,Footnote Reference_LVL6"/>
    <w:uiPriority w:val="99"/>
    <w:unhideWhenUsed/>
    <w:rsid w:val="00063E17"/>
    <w:rPr>
      <w:vertAlign w:val="superscript"/>
    </w:rPr>
  </w:style>
  <w:style w:type="paragraph" w:customStyle="1" w:styleId="mentionslgales">
    <w:name w:val="mentionslégales"/>
    <w:rsid w:val="0020513C"/>
    <w:pPr>
      <w:spacing w:line="180" w:lineRule="exact"/>
      <w:jc w:val="both"/>
    </w:pPr>
    <w:rPr>
      <w:rFonts w:ascii="Arial" w:eastAsia="Times New Roman" w:hAnsi="Arial" w:cs="Times New Roman"/>
      <w:sz w:val="1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1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17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D678F"/>
    <w:pPr>
      <w:ind w:left="708"/>
    </w:pPr>
    <w:rPr>
      <w:rFonts w:ascii="Calibri" w:eastAsia="Times New Roman" w:hAnsi="Calibri" w:cs="Times New Roman"/>
      <w:sz w:val="20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D51739"/>
  </w:style>
  <w:style w:type="character" w:customStyle="1" w:styleId="SansinterligneCar">
    <w:name w:val="Sans interligne Car"/>
    <w:link w:val="Sansinterligne"/>
    <w:uiPriority w:val="1"/>
    <w:locked/>
    <w:rsid w:val="00D51739"/>
  </w:style>
  <w:style w:type="character" w:styleId="Lienhypertextesuivivisit">
    <w:name w:val="FollowedHyperlink"/>
    <w:basedOn w:val="Policepardfaut"/>
    <w:uiPriority w:val="99"/>
    <w:semiHidden/>
    <w:unhideWhenUsed/>
    <w:rsid w:val="0035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naud.boulanger@dgtresor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8E1F-2056-409B-BF14-2B05A269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62456007.dotm</Template>
  <TotalTime>11</TotalTime>
  <Pages>1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MONTREUIL Lauriane</dc:creator>
  <cp:keywords/>
  <dc:description/>
  <cp:lastModifiedBy>BOULANGER Arnaud</cp:lastModifiedBy>
  <cp:revision>4</cp:revision>
  <cp:lastPrinted>2017-07-17T07:34:00Z</cp:lastPrinted>
  <dcterms:created xsi:type="dcterms:W3CDTF">2018-01-29T10:46:00Z</dcterms:created>
  <dcterms:modified xsi:type="dcterms:W3CDTF">2018-01-30T03:40:00Z</dcterms:modified>
</cp:coreProperties>
</file>