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55348" w14:textId="49B0CC0D" w:rsidR="00F90A90" w:rsidRPr="005F4BD9" w:rsidRDefault="00196391" w:rsidP="001F0DEE">
      <w:pPr>
        <w:pStyle w:val="Titre"/>
        <w:spacing w:after="120" w:line="276" w:lineRule="auto"/>
        <w:contextualSpacing w:val="0"/>
        <w:rPr>
          <w:sz w:val="28"/>
        </w:rPr>
      </w:pPr>
      <w:r w:rsidRPr="005F4BD9">
        <w:rPr>
          <w:bCs/>
          <w:sz w:val="28"/>
        </w:rPr>
        <w:t>Le</w:t>
      </w:r>
      <w:r w:rsidR="00277B54" w:rsidRPr="005F4BD9">
        <w:rPr>
          <w:bCs/>
          <w:sz w:val="28"/>
        </w:rPr>
        <w:t xml:space="preserve">s relations économiques bilatérales entre </w:t>
      </w:r>
      <w:r w:rsidR="006A6A13" w:rsidRPr="005F4BD9">
        <w:rPr>
          <w:bCs/>
          <w:sz w:val="28"/>
        </w:rPr>
        <w:t>la France et la Tunisie</w:t>
      </w:r>
      <w:bookmarkStart w:id="0" w:name="anActuHead"/>
      <w:bookmarkEnd w:id="0"/>
    </w:p>
    <w:p w14:paraId="73DCB530" w14:textId="2E74FE0F" w:rsidR="00B1364F" w:rsidRPr="00B1364F" w:rsidRDefault="00B84EA8" w:rsidP="00B1364F">
      <w:pPr>
        <w:autoSpaceDE w:val="0"/>
        <w:autoSpaceDN w:val="0"/>
        <w:adjustRightInd w:val="0"/>
        <w:spacing w:after="120"/>
        <w:jc w:val="both"/>
        <w:rPr>
          <w:rFonts w:cs="Times New Roman"/>
          <w:i/>
          <w:szCs w:val="20"/>
        </w:rPr>
      </w:pPr>
      <w:r w:rsidRPr="00B84EA8">
        <w:rPr>
          <w:rFonts w:cs="Times New Roman"/>
          <w:i/>
          <w:szCs w:val="20"/>
        </w:rPr>
        <w:t xml:space="preserve">La France entretient avec la Tunisie des relations économiques privilégiées, en étant à la fois son premier </w:t>
      </w:r>
      <w:r w:rsidRPr="00B1364F">
        <w:rPr>
          <w:rFonts w:cs="Times New Roman"/>
          <w:i/>
          <w:szCs w:val="20"/>
        </w:rPr>
        <w:t xml:space="preserve">partenaire commercial (accueillant en 2016 environ 30% des exportations tunisiennes et fournissant 16% des importations du pays) et son premier fournisseur d’IDE. Alors que la balance commerciale tunisienne est déficitaire, la France enregistre un déficit commercial bilatéral avec le pays. </w:t>
      </w:r>
      <w:r w:rsidR="007A46E7">
        <w:rPr>
          <w:rFonts w:cs="Times New Roman"/>
          <w:i/>
          <w:szCs w:val="20"/>
        </w:rPr>
        <w:t>Par ailleurs, l</w:t>
      </w:r>
      <w:r w:rsidRPr="00B1364F">
        <w:rPr>
          <w:rFonts w:cs="Times New Roman"/>
          <w:i/>
          <w:szCs w:val="20"/>
        </w:rPr>
        <w:t xml:space="preserve">a France reste un investisseur de premier plan dans le pays (second en stock, premier en flux depuis la révolution), en étant une référence dans les secteurs industriels et dans les services, employant plus de 135 000 personnes. L’avenir des relations économiques bilatérales dépend désormais de la capacité de la Tunisie à </w:t>
      </w:r>
      <w:r w:rsidR="007A46E7">
        <w:rPr>
          <w:rFonts w:cs="Times New Roman"/>
          <w:i/>
          <w:szCs w:val="20"/>
        </w:rPr>
        <w:t>renforcer l’attractivité de son territoire</w:t>
      </w:r>
      <w:r w:rsidRPr="00B1364F">
        <w:rPr>
          <w:rFonts w:cs="Times New Roman"/>
          <w:i/>
          <w:szCs w:val="20"/>
        </w:rPr>
        <w:t xml:space="preserve"> pour les investisseurs dans les secteurs industriels matures, comme dans les secteurs d’avenir – avec en filigrane le défi de l’évolution du régime totalement exportateur et l’opportunité à saisir des négociations de l’ALECA</w:t>
      </w:r>
      <w:r w:rsidR="004711EA" w:rsidRPr="00B1364F">
        <w:rPr>
          <w:rFonts w:cs="Times New Roman"/>
          <w:i/>
          <w:szCs w:val="20"/>
        </w:rPr>
        <w:t>.</w:t>
      </w:r>
    </w:p>
    <w:p w14:paraId="280B0E25" w14:textId="5943443D" w:rsidR="00B1364F" w:rsidRPr="00B1364F" w:rsidRDefault="00B84EA8" w:rsidP="00B1364F">
      <w:pPr>
        <w:pStyle w:val="Paragraphedeliste"/>
        <w:numPr>
          <w:ilvl w:val="0"/>
          <w:numId w:val="22"/>
        </w:numPr>
        <w:autoSpaceDE w:val="0"/>
        <w:autoSpaceDN w:val="0"/>
        <w:adjustRightInd w:val="0"/>
        <w:spacing w:before="120" w:after="120"/>
        <w:contextualSpacing w:val="0"/>
        <w:jc w:val="both"/>
        <w:rPr>
          <w:rFonts w:cs="Times New Roman"/>
          <w:i/>
          <w:sz w:val="24"/>
          <w:szCs w:val="20"/>
        </w:rPr>
      </w:pPr>
      <w:r w:rsidRPr="00B1364F">
        <w:rPr>
          <w:rFonts w:eastAsiaTheme="majorEastAsia" w:cstheme="majorBidi"/>
          <w:b/>
          <w:bCs/>
          <w:iCs/>
          <w:color w:val="122255"/>
          <w:sz w:val="24"/>
          <w:szCs w:val="20"/>
        </w:rPr>
        <w:t xml:space="preserve">La France enregistre un déficit commercial </w:t>
      </w:r>
      <w:r w:rsidR="00725545">
        <w:rPr>
          <w:rFonts w:eastAsiaTheme="majorEastAsia" w:cstheme="majorBidi"/>
          <w:b/>
          <w:bCs/>
          <w:iCs/>
          <w:color w:val="122255"/>
          <w:sz w:val="24"/>
          <w:szCs w:val="20"/>
        </w:rPr>
        <w:t>important avec la Tunisie</w:t>
      </w:r>
    </w:p>
    <w:p w14:paraId="0A1B98AB" w14:textId="77777777" w:rsidR="00B84EA8" w:rsidRPr="00B1364F" w:rsidRDefault="00B84EA8" w:rsidP="00B1364F">
      <w:pPr>
        <w:spacing w:after="60"/>
        <w:jc w:val="both"/>
        <w:rPr>
          <w:rFonts w:cs="Times New Roman"/>
          <w:szCs w:val="20"/>
        </w:rPr>
      </w:pPr>
      <w:r w:rsidRPr="00B1364F">
        <w:rPr>
          <w:rFonts w:cs="Times New Roman"/>
          <w:szCs w:val="20"/>
          <w:u w:val="single"/>
        </w:rPr>
        <w:t>En 2016, les échanges franco-tunisiens ont atteint 7,4 Mds€, en baisse de 2,5% par rapport à 2015. Ils devraient se situer à un niveau équivalent en 2017</w:t>
      </w:r>
      <w:r w:rsidRPr="00B1364F">
        <w:rPr>
          <w:rFonts w:cs="Times New Roman"/>
          <w:szCs w:val="20"/>
        </w:rPr>
        <w:t>. Si les échanges commerciaux bilatéraux ont connu une croissance moyenne de 4% par an sur les dix dernières années, passant de 5,6 Mds€ à 7,4 Mds€, on observe une stagnation des échanges depuis 2011.</w:t>
      </w:r>
    </w:p>
    <w:p w14:paraId="72DA982C" w14:textId="31FEAD72" w:rsidR="00277B54" w:rsidRPr="00B1364F" w:rsidRDefault="00B84EA8" w:rsidP="00725545">
      <w:pPr>
        <w:spacing w:after="120"/>
        <w:jc w:val="both"/>
        <w:rPr>
          <w:rFonts w:cs="Times New Roman"/>
          <w:szCs w:val="20"/>
          <w:u w:val="single"/>
        </w:rPr>
      </w:pPr>
      <w:r w:rsidRPr="00B1364F">
        <w:rPr>
          <w:rFonts w:cs="Times New Roman"/>
          <w:szCs w:val="20"/>
          <w:u w:val="single"/>
        </w:rPr>
        <w:t>La France enregistre un déficit bilatéral structurel avec la Tunisie</w:t>
      </w:r>
      <w:r w:rsidRPr="00B1364F">
        <w:rPr>
          <w:rFonts w:cs="Times New Roman"/>
          <w:szCs w:val="20"/>
        </w:rPr>
        <w:t>, alors que le commerce extérieur tunisien, dans son ensemble, est déficitaire. Le déficit est très volatile depuis dix ans, fluctuant entre le quasi équilibre (2009) et 930 M€, niveau atteint en 2016. Le déficit devrait être du même ordre de grandeur en 2017</w:t>
      </w:r>
      <w:r w:rsidR="00277B54" w:rsidRPr="00B1364F">
        <w:rPr>
          <w:rFonts w:cs="Times New Roman"/>
          <w:szCs w:val="20"/>
          <w:u w:val="single"/>
        </w:rPr>
        <w:t>.</w:t>
      </w:r>
    </w:p>
    <w:p w14:paraId="62E8478E" w14:textId="0A027EB7" w:rsidR="00B84EA8" w:rsidRPr="00B1364F" w:rsidRDefault="00725545" w:rsidP="00725545">
      <w:pPr>
        <w:pStyle w:val="Paragraphedeliste"/>
        <w:numPr>
          <w:ilvl w:val="0"/>
          <w:numId w:val="23"/>
        </w:numPr>
        <w:spacing w:after="120"/>
        <w:contextualSpacing w:val="0"/>
        <w:jc w:val="both"/>
        <w:rPr>
          <w:rFonts w:eastAsiaTheme="majorEastAsia" w:cs="Arial"/>
          <w:b/>
          <w:bCs/>
          <w:i/>
          <w:iCs/>
          <w:color w:val="122255"/>
          <w:szCs w:val="20"/>
        </w:rPr>
      </w:pPr>
      <w:r>
        <w:rPr>
          <w:rFonts w:eastAsiaTheme="majorEastAsia" w:cs="Arial"/>
          <w:b/>
          <w:bCs/>
          <w:i/>
          <w:iCs/>
          <w:color w:val="122255"/>
          <w:szCs w:val="20"/>
        </w:rPr>
        <w:t>L</w:t>
      </w:r>
      <w:r w:rsidR="00B84EA8" w:rsidRPr="00B1364F">
        <w:rPr>
          <w:rFonts w:eastAsiaTheme="majorEastAsia" w:cs="Arial"/>
          <w:b/>
          <w:bCs/>
          <w:i/>
          <w:iCs/>
          <w:color w:val="122255"/>
          <w:szCs w:val="20"/>
        </w:rPr>
        <w:t xml:space="preserve">es exportations </w:t>
      </w:r>
      <w:r>
        <w:rPr>
          <w:rFonts w:eastAsiaTheme="majorEastAsia" w:cs="Arial"/>
          <w:b/>
          <w:bCs/>
          <w:i/>
          <w:iCs/>
          <w:color w:val="122255"/>
          <w:szCs w:val="20"/>
        </w:rPr>
        <w:t xml:space="preserve">devraient se </w:t>
      </w:r>
      <w:r w:rsidR="00C21499">
        <w:rPr>
          <w:rFonts w:eastAsiaTheme="majorEastAsia" w:cs="Arial"/>
          <w:b/>
          <w:bCs/>
          <w:i/>
          <w:iCs/>
          <w:color w:val="122255"/>
          <w:szCs w:val="20"/>
        </w:rPr>
        <w:t>stabiliser</w:t>
      </w:r>
      <w:r>
        <w:rPr>
          <w:rFonts w:eastAsiaTheme="majorEastAsia" w:cs="Arial"/>
          <w:b/>
          <w:bCs/>
          <w:i/>
          <w:iCs/>
          <w:color w:val="122255"/>
          <w:szCs w:val="20"/>
        </w:rPr>
        <w:t xml:space="preserve"> en 2017</w:t>
      </w:r>
      <w:r w:rsidR="00C21499">
        <w:rPr>
          <w:rFonts w:eastAsiaTheme="majorEastAsia" w:cs="Arial"/>
          <w:b/>
          <w:bCs/>
          <w:i/>
          <w:iCs/>
          <w:color w:val="122255"/>
          <w:szCs w:val="20"/>
        </w:rPr>
        <w:t>, à un niveau relativement faible</w:t>
      </w:r>
      <w:r>
        <w:rPr>
          <w:rFonts w:eastAsiaTheme="majorEastAsia" w:cs="Arial"/>
          <w:b/>
          <w:bCs/>
          <w:i/>
          <w:iCs/>
          <w:color w:val="122255"/>
          <w:szCs w:val="20"/>
        </w:rPr>
        <w:t xml:space="preserve"> </w:t>
      </w:r>
    </w:p>
    <w:p w14:paraId="0629F2D9" w14:textId="33A206A5" w:rsidR="00B84EA8" w:rsidRPr="00B1364F" w:rsidRDefault="00B84EA8" w:rsidP="00B1364F">
      <w:pPr>
        <w:spacing w:after="60"/>
        <w:jc w:val="both"/>
        <w:rPr>
          <w:rFonts w:cs="Times New Roman"/>
          <w:szCs w:val="20"/>
        </w:rPr>
      </w:pPr>
      <w:r w:rsidRPr="00B1364F">
        <w:rPr>
          <w:rFonts w:cs="Times New Roman"/>
          <w:szCs w:val="20"/>
          <w:u w:val="single"/>
        </w:rPr>
        <w:t>Les exportations françaises à destination de la Tunisie ont atteint 3,2 Mds€ en 2016, soit une baisse de 10% par rapport à 2015. Elles devraient se stabiliser à ce niveau en 2017</w:t>
      </w:r>
      <w:r w:rsidRPr="00B1364F">
        <w:rPr>
          <w:rFonts w:cs="Times New Roman"/>
          <w:szCs w:val="20"/>
        </w:rPr>
        <w:t xml:space="preserve">, alors que dans le même temps les importations totales du pays ont augmenté en volume de 2,5%. </w:t>
      </w:r>
      <w:r w:rsidRPr="00B1364F">
        <w:rPr>
          <w:rFonts w:cs="Times New Roman"/>
          <w:szCs w:val="20"/>
          <w:u w:val="single"/>
        </w:rPr>
        <w:t>La France, qui occupe historiquement la position de premier fournisseur de la Tunisie, a vu ses parts de marché passer de 23% à 16% entre 2006 et 2016, talonnée par l’Italie qui se maintient</w:t>
      </w:r>
      <w:r w:rsidRPr="00B1364F">
        <w:rPr>
          <w:rFonts w:cs="Times New Roman"/>
          <w:szCs w:val="20"/>
        </w:rPr>
        <w:t xml:space="preserve"> (15% de parts de marché en 2016</w:t>
      </w:r>
      <w:r w:rsidR="00B1364F" w:rsidRPr="00B1364F">
        <w:rPr>
          <w:rFonts w:cs="Times New Roman"/>
          <w:szCs w:val="20"/>
        </w:rPr>
        <w:t>).</w:t>
      </w:r>
      <w:bookmarkStart w:id="1" w:name="_GoBack"/>
      <w:bookmarkEnd w:id="1"/>
    </w:p>
    <w:p w14:paraId="12560F94" w14:textId="3F058CBA" w:rsidR="00B84EA8" w:rsidRPr="00B1364F" w:rsidRDefault="00B84EA8" w:rsidP="00B1364F">
      <w:pPr>
        <w:spacing w:after="60"/>
        <w:jc w:val="both"/>
        <w:rPr>
          <w:rFonts w:cs="Times New Roman"/>
          <w:szCs w:val="20"/>
        </w:rPr>
      </w:pPr>
      <w:r w:rsidRPr="00B1364F">
        <w:rPr>
          <w:rFonts w:cs="Times New Roman"/>
          <w:szCs w:val="20"/>
        </w:rPr>
        <w:t xml:space="preserve">Fin octobre 2017, </w:t>
      </w:r>
      <w:r w:rsidRPr="00B1364F">
        <w:rPr>
          <w:rFonts w:cs="Times New Roman"/>
          <w:szCs w:val="20"/>
          <w:u w:val="single"/>
        </w:rPr>
        <w:t>le premier poste d’exportation (équipements mécaniques, électriques et informatiques – environ un tiers du total) est en retrait de 6% par rapport à l’année dernière. C’est aussi le cas pour le second poste (matériel de transport) dont les exportations devraient encore diminuer de 10% par rapport à 2016</w:t>
      </w:r>
      <w:r w:rsidRPr="00B1364F">
        <w:rPr>
          <w:rFonts w:cs="Times New Roman"/>
          <w:szCs w:val="20"/>
        </w:rPr>
        <w:t>, alors qu’elles avaient déjà chutées en 2016 (-45% par rapport à 2015</w:t>
      </w:r>
      <w:r w:rsidR="00C21499">
        <w:rPr>
          <w:rFonts w:cs="Times New Roman"/>
          <w:szCs w:val="20"/>
        </w:rPr>
        <w:t>)</w:t>
      </w:r>
      <w:r w:rsidRPr="00B1364F">
        <w:rPr>
          <w:rFonts w:cs="Times New Roman"/>
          <w:szCs w:val="20"/>
        </w:rPr>
        <w:t>. Elles s’élèvent désormais à environ 350 M€, soit 10% des exportations totales. Les exportations de produits pharmaceutiques (-10%) et de produits agricoles (-7%) et ont également reculé à ce stade de l’année, représentant respectivement 7% et 3% des exportations totales du pays.</w:t>
      </w:r>
    </w:p>
    <w:p w14:paraId="183100A4" w14:textId="56E796A6" w:rsidR="00277B54" w:rsidRPr="00B1364F" w:rsidRDefault="00B84EA8" w:rsidP="00725545">
      <w:pPr>
        <w:spacing w:after="120"/>
        <w:jc w:val="both"/>
        <w:rPr>
          <w:rFonts w:cs="Times New Roman"/>
          <w:szCs w:val="20"/>
        </w:rPr>
      </w:pPr>
      <w:r w:rsidRPr="00B1364F">
        <w:rPr>
          <w:rFonts w:cs="Times New Roman"/>
          <w:i/>
          <w:szCs w:val="20"/>
        </w:rPr>
        <w:t>A contrario</w:t>
      </w:r>
      <w:r w:rsidRPr="00B1364F">
        <w:rPr>
          <w:rFonts w:cs="Times New Roman"/>
          <w:szCs w:val="20"/>
        </w:rPr>
        <w:t xml:space="preserve">, </w:t>
      </w:r>
      <w:r w:rsidRPr="00B1364F">
        <w:rPr>
          <w:rFonts w:cs="Times New Roman"/>
          <w:szCs w:val="20"/>
          <w:u w:val="single"/>
        </w:rPr>
        <w:t>plusieurs secteurs devraient afficher des performances plus satisfaisantes en 2017</w:t>
      </w:r>
      <w:r w:rsidRPr="00B1364F">
        <w:rPr>
          <w:rFonts w:cs="Times New Roman"/>
          <w:szCs w:val="20"/>
        </w:rPr>
        <w:t xml:space="preserve">. Ainsi, les exportations de </w:t>
      </w:r>
      <w:r w:rsidRPr="00B1364F">
        <w:rPr>
          <w:rFonts w:cs="Times New Roman"/>
          <w:szCs w:val="20"/>
          <w:u w:val="single"/>
        </w:rPr>
        <w:t>produits pétroliers</w:t>
      </w:r>
      <w:r w:rsidRPr="00B1364F">
        <w:rPr>
          <w:rFonts w:cs="Times New Roman"/>
          <w:szCs w:val="20"/>
        </w:rPr>
        <w:t xml:space="preserve"> ont augmenté de 85% fin octobre 2017, pour représenter 6% des exportations totales. Les secteurs de la </w:t>
      </w:r>
      <w:r w:rsidRPr="00B1364F">
        <w:rPr>
          <w:rFonts w:cs="Times New Roman"/>
          <w:szCs w:val="20"/>
          <w:u w:val="single"/>
        </w:rPr>
        <w:t>métallurgie</w:t>
      </w:r>
      <w:r w:rsidRPr="00B1364F">
        <w:rPr>
          <w:rFonts w:cs="Times New Roman"/>
          <w:szCs w:val="20"/>
        </w:rPr>
        <w:t xml:space="preserve"> (+24%) ainsi que celui </w:t>
      </w:r>
      <w:r w:rsidRPr="00B1364F">
        <w:rPr>
          <w:rFonts w:cs="Times New Roman"/>
          <w:szCs w:val="20"/>
          <w:u w:val="single"/>
        </w:rPr>
        <w:t>du caoutchouc et du plastique</w:t>
      </w:r>
      <w:r w:rsidRPr="00B1364F">
        <w:rPr>
          <w:rFonts w:cs="Times New Roman"/>
          <w:szCs w:val="20"/>
        </w:rPr>
        <w:t xml:space="preserve"> (+4%) ont également enregistré des résultats positifs, représentant respectivement 8% et 7% des exportations totales du pays fin octobre 2017</w:t>
      </w:r>
      <w:r w:rsidR="00277B54" w:rsidRPr="00B1364F">
        <w:rPr>
          <w:rFonts w:cs="Times New Roman"/>
          <w:szCs w:val="20"/>
        </w:rPr>
        <w:t>.</w:t>
      </w:r>
    </w:p>
    <w:p w14:paraId="0041C843" w14:textId="77777777" w:rsidR="00B84EA8" w:rsidRPr="00B1364F" w:rsidRDefault="00B84EA8" w:rsidP="00725545">
      <w:pPr>
        <w:pStyle w:val="Paragraphedeliste"/>
        <w:numPr>
          <w:ilvl w:val="0"/>
          <w:numId w:val="23"/>
        </w:numPr>
        <w:spacing w:after="120"/>
        <w:contextualSpacing w:val="0"/>
        <w:jc w:val="both"/>
        <w:rPr>
          <w:rFonts w:eastAsiaTheme="majorEastAsia" w:cs="Arial"/>
          <w:b/>
          <w:bCs/>
          <w:i/>
          <w:iCs/>
          <w:color w:val="122255"/>
          <w:szCs w:val="20"/>
        </w:rPr>
      </w:pPr>
      <w:r w:rsidRPr="00B1364F">
        <w:rPr>
          <w:rFonts w:eastAsiaTheme="majorEastAsia" w:cs="Arial"/>
          <w:b/>
          <w:bCs/>
          <w:i/>
          <w:iCs/>
          <w:color w:val="122255"/>
          <w:szCs w:val="20"/>
        </w:rPr>
        <w:t xml:space="preserve">Les importations devraient rester élevées en 2017, confirmant l’orientation de l’appareil productif tunisien pour servir le marché français </w:t>
      </w:r>
    </w:p>
    <w:p w14:paraId="79A9FD60" w14:textId="77777777" w:rsidR="00B84EA8" w:rsidRPr="00B1364F" w:rsidRDefault="00B84EA8" w:rsidP="00B1364F">
      <w:pPr>
        <w:spacing w:after="60"/>
        <w:jc w:val="both"/>
        <w:rPr>
          <w:rFonts w:cs="Times New Roman"/>
          <w:szCs w:val="20"/>
          <w:u w:val="single"/>
        </w:rPr>
      </w:pPr>
      <w:r w:rsidRPr="00B1364F">
        <w:rPr>
          <w:rFonts w:cs="Times New Roman"/>
          <w:szCs w:val="20"/>
          <w:u w:val="single"/>
        </w:rPr>
        <w:t xml:space="preserve">Les importations de la France en provenance de Tunisie ont augmenté en 2016 de près de 5%, atteignant un niveau record à 4,2 Mds€. Si leur niveau devrait se tasser légèrement en 2017, la France </w:t>
      </w:r>
      <w:r w:rsidRPr="00B1364F">
        <w:rPr>
          <w:rFonts w:cs="Times New Roman"/>
          <w:bCs/>
          <w:szCs w:val="20"/>
          <w:u w:val="single"/>
        </w:rPr>
        <w:t>maintiendra sa position historique de premier client de la Tunisie, représentant près de 30% des exportations du pays</w:t>
      </w:r>
      <w:r w:rsidRPr="00B1364F">
        <w:rPr>
          <w:rFonts w:cs="Times New Roman"/>
          <w:szCs w:val="20"/>
          <w:u w:val="single"/>
        </w:rPr>
        <w:t>.</w:t>
      </w:r>
    </w:p>
    <w:p w14:paraId="096A41E4" w14:textId="77777777" w:rsidR="00B84EA8" w:rsidRPr="00B1364F" w:rsidRDefault="00B84EA8" w:rsidP="00B1364F">
      <w:pPr>
        <w:spacing w:after="60"/>
        <w:jc w:val="both"/>
        <w:rPr>
          <w:rFonts w:cs="Times New Roman"/>
          <w:szCs w:val="20"/>
        </w:rPr>
      </w:pPr>
      <w:r w:rsidRPr="00B1364F">
        <w:rPr>
          <w:rFonts w:cs="Times New Roman"/>
          <w:szCs w:val="20"/>
          <w:u w:val="single"/>
        </w:rPr>
        <w:t>La filière des équipements et matériels mécaniques, électriques et informatiques</w:t>
      </w:r>
      <w:r w:rsidRPr="00B1364F">
        <w:rPr>
          <w:rFonts w:cs="Times New Roman"/>
          <w:b/>
          <w:szCs w:val="20"/>
          <w:u w:val="single"/>
        </w:rPr>
        <w:t xml:space="preserve"> </w:t>
      </w:r>
      <w:r w:rsidRPr="00B1364F">
        <w:rPr>
          <w:rFonts w:cs="Times New Roman"/>
          <w:szCs w:val="20"/>
          <w:u w:val="single"/>
        </w:rPr>
        <w:t>représente une part croissante des importations françaises (40% en 2016 contre 20% en 2006), illustrant la réussite du modèle de sous-traitance choisi dès les années 1970 par la Tunisie.</w:t>
      </w:r>
    </w:p>
    <w:p w14:paraId="58F0095E" w14:textId="52F497CE" w:rsidR="00277B54" w:rsidRPr="00B1364F" w:rsidRDefault="00B84EA8" w:rsidP="00725545">
      <w:pPr>
        <w:spacing w:after="120"/>
        <w:jc w:val="both"/>
        <w:rPr>
          <w:rFonts w:cs="Times New Roman"/>
          <w:szCs w:val="20"/>
          <w:u w:val="single"/>
        </w:rPr>
      </w:pPr>
      <w:r w:rsidRPr="00B1364F">
        <w:rPr>
          <w:rFonts w:cs="Times New Roman"/>
          <w:szCs w:val="20"/>
          <w:u w:val="single"/>
        </w:rPr>
        <w:t xml:space="preserve">Le secteur du textile devrait connaitre des performances </w:t>
      </w:r>
      <w:r w:rsidRPr="00C21499">
        <w:rPr>
          <w:rFonts w:cs="Times New Roman"/>
          <w:szCs w:val="20"/>
          <w:u w:val="single"/>
        </w:rPr>
        <w:t>satisfaisantes</w:t>
      </w:r>
      <w:r w:rsidRPr="00B64E75">
        <w:rPr>
          <w:rFonts w:cs="Times New Roman"/>
          <w:szCs w:val="20"/>
          <w:u w:val="single"/>
        </w:rPr>
        <w:t xml:space="preserve"> en 2017</w:t>
      </w:r>
      <w:r w:rsidRPr="00B1364F">
        <w:rPr>
          <w:rFonts w:cs="Times New Roman"/>
          <w:szCs w:val="20"/>
        </w:rPr>
        <w:t xml:space="preserve"> (+5% fin octobre). Il représente encore 28% du total des importations françaises, néanmoins à comparer à 45% il y a dix ans. Les importations de matériels de transport, qui représentent 20% des importations françaises (contre 11% en 2006), ont augmenté légèrement (+1% fin octobre 2017 par rapport à la même période en 2016). Enfin, les importations de produits caoutchoucs et plastiques (+15%) et métallurgiques (10%) ont augmenté plus nettement, et représentent à ce stade de l’année respectivement 4% et 3% des importations totales</w:t>
      </w:r>
      <w:r w:rsidR="006A6A13" w:rsidRPr="00B1364F">
        <w:rPr>
          <w:rFonts w:cs="Times New Roman"/>
          <w:szCs w:val="20"/>
          <w:u w:val="single"/>
        </w:rPr>
        <w:t>.</w:t>
      </w:r>
    </w:p>
    <w:p w14:paraId="7502685C" w14:textId="77777777" w:rsidR="00B84EA8" w:rsidRPr="00B1364F" w:rsidRDefault="00B84EA8" w:rsidP="00725545">
      <w:pPr>
        <w:pStyle w:val="Paragraphedeliste"/>
        <w:numPr>
          <w:ilvl w:val="0"/>
          <w:numId w:val="23"/>
        </w:numPr>
        <w:spacing w:after="120"/>
        <w:contextualSpacing w:val="0"/>
        <w:jc w:val="both"/>
        <w:rPr>
          <w:rFonts w:eastAsiaTheme="majorEastAsia" w:cs="Arial"/>
          <w:b/>
          <w:bCs/>
          <w:i/>
          <w:iCs/>
          <w:color w:val="122255"/>
          <w:szCs w:val="20"/>
        </w:rPr>
      </w:pPr>
      <w:r w:rsidRPr="00B1364F">
        <w:rPr>
          <w:rFonts w:eastAsiaTheme="majorEastAsia" w:cs="Arial"/>
          <w:b/>
          <w:bCs/>
          <w:i/>
          <w:iCs/>
          <w:color w:val="122255"/>
          <w:szCs w:val="20"/>
        </w:rPr>
        <w:lastRenderedPageBreak/>
        <w:t xml:space="preserve">Incertitudes sur l’évolution des conditions d’accès au marché </w:t>
      </w:r>
    </w:p>
    <w:p w14:paraId="293859AE" w14:textId="4FDA743A" w:rsidR="00B84EA8" w:rsidRPr="00B1364F" w:rsidRDefault="00B84EA8" w:rsidP="00B1364F">
      <w:pPr>
        <w:spacing w:after="60"/>
        <w:jc w:val="both"/>
        <w:rPr>
          <w:rFonts w:cs="Times New Roman"/>
          <w:szCs w:val="20"/>
        </w:rPr>
      </w:pPr>
      <w:r w:rsidRPr="00B1364F">
        <w:rPr>
          <w:rFonts w:cs="Times New Roman"/>
          <w:szCs w:val="20"/>
          <w:u w:val="single"/>
        </w:rPr>
        <w:t>Dans le cadre de l’accord de libre-échange signé avec la Tunisie en 1995 et mis en œuvre à partir de 1998, les produits industriels européens bénéficient d’un accès préférentiel dans le pays</w:t>
      </w:r>
      <w:r w:rsidRPr="00B1364F">
        <w:rPr>
          <w:rFonts w:cs="Times New Roman"/>
          <w:szCs w:val="20"/>
        </w:rPr>
        <w:t xml:space="preserve"> – les produits agricoles et les services n’entrant que très marginalement dans le cadre de l’accord. </w:t>
      </w:r>
      <w:r w:rsidRPr="00B1364F">
        <w:rPr>
          <w:rFonts w:cs="Times New Roman"/>
          <w:szCs w:val="20"/>
          <w:u w:val="single"/>
        </w:rPr>
        <w:t>Toutefois, la Tunisie maintient un certain nombre de barrières non-tarifaires qui limitent l’accès au marché</w:t>
      </w:r>
      <w:r w:rsidR="007A46E7">
        <w:rPr>
          <w:rFonts w:cs="Times New Roman"/>
          <w:szCs w:val="20"/>
          <w:u w:val="single"/>
        </w:rPr>
        <w:t xml:space="preserve"> pour les produits européens</w:t>
      </w:r>
      <w:r w:rsidRPr="00B1364F">
        <w:rPr>
          <w:rFonts w:cs="Times New Roman"/>
          <w:szCs w:val="20"/>
        </w:rPr>
        <w:t xml:space="preserve">. </w:t>
      </w:r>
    </w:p>
    <w:p w14:paraId="71D52640" w14:textId="0AA9C039" w:rsidR="00B84EA8" w:rsidRPr="00B1364F" w:rsidRDefault="00B84EA8" w:rsidP="00B1364F">
      <w:pPr>
        <w:spacing w:after="60"/>
        <w:jc w:val="both"/>
        <w:rPr>
          <w:rFonts w:cs="Times New Roman"/>
          <w:szCs w:val="20"/>
        </w:rPr>
      </w:pPr>
      <w:r w:rsidRPr="00B1364F">
        <w:rPr>
          <w:rFonts w:cs="Times New Roman"/>
          <w:szCs w:val="20"/>
          <w:u w:val="single"/>
        </w:rPr>
        <w:t>Les négociations de l’Accord de Libre-Echange Complet et Approfondi (ALECA) lancées en novembre 2015 sont actuellement en phase de relance</w:t>
      </w:r>
      <w:r w:rsidRPr="00B1364F">
        <w:rPr>
          <w:rFonts w:cs="Times New Roman"/>
          <w:szCs w:val="20"/>
        </w:rPr>
        <w:t>, suite à la nomination côté tunisien d’un nouveau négociateur en chef, et à la signature d’un plan d’action conjoint en décembre 2017. Outre une ouverture accrue pour les produits agricoles, les services et les investissements, l’ALECA ambitionne de rapprocher progressivement les règlementations afin d’intégrer plus étroitement l'économie tunisienne dans le marché intérieur.</w:t>
      </w:r>
    </w:p>
    <w:p w14:paraId="34C73D29" w14:textId="3EFE3029" w:rsidR="00B1364F" w:rsidRPr="00B1364F" w:rsidRDefault="00B84EA8" w:rsidP="00B1364F">
      <w:pPr>
        <w:spacing w:after="60"/>
        <w:jc w:val="both"/>
        <w:rPr>
          <w:rFonts w:cs="Times New Roman"/>
          <w:szCs w:val="20"/>
        </w:rPr>
      </w:pPr>
      <w:r w:rsidRPr="00B1364F">
        <w:rPr>
          <w:rFonts w:cs="Times New Roman"/>
          <w:szCs w:val="20"/>
        </w:rPr>
        <w:t xml:space="preserve">Dans le cadre de la loi de finances 2018, le gouvernement a imposé une augmentation des droits de douane. Par ailleurs, de nombreuses circulaires qui complexifient les procédures d’importation (contrôles techniques, dédouanement, accès aux financements bancaires), ont été mises en place, avec un </w:t>
      </w:r>
      <w:r w:rsidR="00B1364F" w:rsidRPr="00B1364F">
        <w:rPr>
          <w:rFonts w:cs="Times New Roman"/>
          <w:szCs w:val="20"/>
        </w:rPr>
        <w:t>risque d’</w:t>
      </w:r>
      <w:r w:rsidRPr="00B1364F">
        <w:rPr>
          <w:rFonts w:cs="Times New Roman"/>
          <w:szCs w:val="20"/>
        </w:rPr>
        <w:t>impact sur le commerce bilatéral.</w:t>
      </w:r>
    </w:p>
    <w:p w14:paraId="310A6C66" w14:textId="77777777" w:rsidR="00B1364F" w:rsidRPr="00B1364F" w:rsidRDefault="00B1364F" w:rsidP="00B1364F">
      <w:pPr>
        <w:pStyle w:val="Paragraphedeliste"/>
        <w:numPr>
          <w:ilvl w:val="0"/>
          <w:numId w:val="22"/>
        </w:numPr>
        <w:spacing w:before="120" w:after="120"/>
        <w:contextualSpacing w:val="0"/>
        <w:jc w:val="both"/>
        <w:rPr>
          <w:rFonts w:cs="Times New Roman"/>
          <w:sz w:val="24"/>
          <w:szCs w:val="20"/>
        </w:rPr>
      </w:pPr>
      <w:r w:rsidRPr="00B1364F">
        <w:rPr>
          <w:rFonts w:eastAsiaTheme="majorEastAsia" w:cstheme="majorBidi"/>
          <w:b/>
          <w:bCs/>
          <w:iCs/>
          <w:color w:val="122255"/>
          <w:sz w:val="24"/>
          <w:szCs w:val="20"/>
        </w:rPr>
        <w:t>La France reste le principal investisseur étranger en Tunisie, référence dans l’industrie et les services</w:t>
      </w:r>
    </w:p>
    <w:p w14:paraId="1C140FDB" w14:textId="388A5E1A" w:rsidR="00B84EA8" w:rsidRPr="00B1364F" w:rsidRDefault="00B84EA8" w:rsidP="00B1364F">
      <w:pPr>
        <w:spacing w:after="60"/>
        <w:jc w:val="both"/>
        <w:rPr>
          <w:rFonts w:cs="Times New Roman"/>
          <w:szCs w:val="20"/>
        </w:rPr>
      </w:pPr>
      <w:r w:rsidRPr="00B1364F">
        <w:rPr>
          <w:rFonts w:cs="Times New Roman"/>
          <w:szCs w:val="20"/>
          <w:u w:val="single"/>
        </w:rPr>
        <w:t>Avec un stock d’Investissements Directs Etrangers (IDE) de près de 3,3 Mds TND (1,4 Md€) en 2016, la France est le deuxième investisseur en Tunisie (16% des IDE), derrière les Emirats Arabes Unis (24%)</w:t>
      </w:r>
      <w:r w:rsidRPr="00B1364F">
        <w:rPr>
          <w:rFonts w:cs="Times New Roman"/>
          <w:szCs w:val="20"/>
        </w:rPr>
        <w:t xml:space="preserve">. Cela représente environ 1 300 implantations et 135 000 emplois – premier pays pourvoyeur d’emplois. Avec 15% des flux entrants entre 2011 et 2016, la France est le premier fournisseur d’IDE depuis la révolution </w:t>
      </w:r>
      <w:r w:rsidR="007A46E7">
        <w:rPr>
          <w:rFonts w:cs="Times New Roman"/>
          <w:szCs w:val="20"/>
        </w:rPr>
        <w:t>et un</w:t>
      </w:r>
      <w:r w:rsidRPr="00B1364F">
        <w:rPr>
          <w:rFonts w:cs="Times New Roman"/>
          <w:szCs w:val="20"/>
        </w:rPr>
        <w:t xml:space="preserve"> investisseur de référence dans les industries manufacturières et les services. En 2016, la France est restée le premier investisseur hors énergie (150 M€, soit un tiers des IDE, en augmentation de 30% par rapport à 2015), devant l’Allemagne (14%) et le Royaume-Uni (8%).</w:t>
      </w:r>
    </w:p>
    <w:p w14:paraId="48B10526" w14:textId="177A76C2" w:rsidR="00B84EA8" w:rsidRPr="00B1364F" w:rsidRDefault="00B84EA8" w:rsidP="00B1364F">
      <w:pPr>
        <w:spacing w:after="60"/>
        <w:jc w:val="both"/>
        <w:rPr>
          <w:rFonts w:cs="Times New Roman"/>
          <w:szCs w:val="20"/>
        </w:rPr>
      </w:pPr>
      <w:r w:rsidRPr="00B1364F">
        <w:rPr>
          <w:rFonts w:cs="Times New Roman"/>
          <w:szCs w:val="20"/>
          <w:u w:val="single"/>
        </w:rPr>
        <w:t>Ces dernières années, la grande majorité des investissements français sont en fait des extensions de projets déjà existants (à environ 90%)</w:t>
      </w:r>
      <w:r w:rsidRPr="00B1364F">
        <w:rPr>
          <w:rFonts w:cs="Times New Roman"/>
          <w:szCs w:val="20"/>
        </w:rPr>
        <w:t>.</w:t>
      </w:r>
    </w:p>
    <w:p w14:paraId="4A1F4C4F" w14:textId="1BC53699" w:rsidR="00B84EA8" w:rsidRPr="00B1364F" w:rsidRDefault="00B84EA8" w:rsidP="00B1364F">
      <w:pPr>
        <w:spacing w:after="60"/>
        <w:jc w:val="both"/>
        <w:rPr>
          <w:rFonts w:cs="Times New Roman"/>
          <w:szCs w:val="20"/>
        </w:rPr>
      </w:pPr>
      <w:r w:rsidRPr="00B1364F">
        <w:rPr>
          <w:rFonts w:cs="Times New Roman"/>
          <w:szCs w:val="20"/>
          <w:u w:val="single"/>
        </w:rPr>
        <w:t>Les IDE français se concentrent principalement dans le secteur des industries manufacturières (environ la moitié des IDE sur la période 2010-2015)</w:t>
      </w:r>
      <w:r w:rsidRPr="00B1364F">
        <w:rPr>
          <w:rFonts w:cs="Times New Roman"/>
          <w:szCs w:val="20"/>
        </w:rPr>
        <w:t xml:space="preserve">. </w:t>
      </w:r>
      <w:r w:rsidRPr="00B1364F">
        <w:rPr>
          <w:rFonts w:cs="Times New Roman"/>
          <w:szCs w:val="20"/>
          <w:u w:val="single"/>
        </w:rPr>
        <w:t>Ils sont aussi très présents dans le secteur des services (37% des IDE sur la même période)</w:t>
      </w:r>
      <w:r w:rsidR="00B1207B">
        <w:rPr>
          <w:rFonts w:cs="Times New Roman"/>
          <w:szCs w:val="20"/>
        </w:rPr>
        <w:t xml:space="preserve">. </w:t>
      </w:r>
      <w:r w:rsidRPr="00B1364F">
        <w:rPr>
          <w:rFonts w:cs="Times New Roman"/>
          <w:szCs w:val="20"/>
        </w:rPr>
        <w:t>Se développent aussi des services à plus forte valeur-</w:t>
      </w:r>
      <w:r w:rsidR="00B1207B" w:rsidRPr="00B1364F">
        <w:rPr>
          <w:rFonts w:cs="Times New Roman"/>
          <w:szCs w:val="20"/>
        </w:rPr>
        <w:t>ajoutée</w:t>
      </w:r>
      <w:r w:rsidRPr="00B1364F">
        <w:rPr>
          <w:rFonts w:cs="Times New Roman"/>
          <w:szCs w:val="20"/>
        </w:rPr>
        <w:t xml:space="preserve">. La présence directe française sur le marché tunisien concerne aussi les produits pétroliers et gaziers, la pharmacie, le tourisme ou encore l’agro-alimentaire. </w:t>
      </w:r>
    </w:p>
    <w:p w14:paraId="1FFEEF43" w14:textId="3AE5E773" w:rsidR="00B84EA8" w:rsidRPr="00B1364F" w:rsidRDefault="00B84EA8" w:rsidP="00B1364F">
      <w:pPr>
        <w:spacing w:after="60"/>
        <w:jc w:val="both"/>
        <w:rPr>
          <w:rFonts w:cs="Times New Roman"/>
          <w:szCs w:val="20"/>
        </w:rPr>
      </w:pPr>
      <w:r w:rsidRPr="00B1364F">
        <w:rPr>
          <w:rFonts w:cs="Times New Roman"/>
          <w:szCs w:val="20"/>
          <w:u w:val="single"/>
        </w:rPr>
        <w:t>La grande majorité des investissements se concentrent dans le secteur totalement exportateur</w:t>
      </w:r>
      <w:r w:rsidRPr="00B1364F">
        <w:rPr>
          <w:rFonts w:cs="Times New Roman"/>
          <w:szCs w:val="20"/>
        </w:rPr>
        <w:t>, qui bénéficie traditionnellement d’une politique fiscale et d’un traitement administratif attractif. Selon l’OCDE, il attirait en 2015 près de 90% des IDE et représentait un tiers de l’emploi formel.</w:t>
      </w:r>
    </w:p>
    <w:p w14:paraId="513845E7" w14:textId="5A4DB284" w:rsidR="002E2B38" w:rsidRDefault="00B84EA8" w:rsidP="00B64E75">
      <w:pPr>
        <w:spacing w:after="60"/>
        <w:jc w:val="both"/>
        <w:rPr>
          <w:rFonts w:asciiTheme="minorBidi" w:hAnsiTheme="minorBidi"/>
          <w:szCs w:val="20"/>
        </w:rPr>
      </w:pPr>
      <w:r w:rsidRPr="00B1364F">
        <w:rPr>
          <w:rFonts w:cs="Times New Roman"/>
          <w:szCs w:val="20"/>
          <w:u w:val="single"/>
        </w:rPr>
        <w:t>Deux tendances sont désormais à encourager : (i) les investissements orientés vers le développement du marché intérieur tunisien</w:t>
      </w:r>
      <w:r w:rsidRPr="00B1364F">
        <w:rPr>
          <w:rFonts w:cs="Times New Roman"/>
          <w:szCs w:val="20"/>
        </w:rPr>
        <w:t xml:space="preserve">, étant entendu que le modèle d’accords avec des partenaires locaux par exemple via des importateurs ou des franchises (comme c’est le cas dans le secteur du tourisme et de la distribution : automobiles, grande distribution) peut venir renforcer le rôle des IDE et (ii) </w:t>
      </w:r>
      <w:r w:rsidRPr="00B1364F">
        <w:rPr>
          <w:rFonts w:cs="Times New Roman"/>
          <w:szCs w:val="20"/>
          <w:u w:val="single"/>
        </w:rPr>
        <w:t>les développements conjoints vers les marchés tiers</w:t>
      </w:r>
      <w:r w:rsidRPr="00B1364F">
        <w:rPr>
          <w:rFonts w:cs="Times New Roman"/>
          <w:szCs w:val="20"/>
        </w:rPr>
        <w:t xml:space="preserve"> – colocalisations pour satisfaire les marchés développés conformément aux objectifs de la politique tunisienne dans ce domaine ; développement sur le marché local ; et enfin conquête de marchés tiers et notamment l’Afrique et le Moyen Orient.</w:t>
      </w:r>
    </w:p>
    <w:p w14:paraId="7B125860" w14:textId="77777777" w:rsidR="00AD6631" w:rsidRDefault="00AD6631" w:rsidP="00803B0F">
      <w:pPr>
        <w:autoSpaceDE w:val="0"/>
        <w:autoSpaceDN w:val="0"/>
        <w:adjustRightInd w:val="0"/>
        <w:spacing w:before="120" w:after="0"/>
        <w:jc w:val="both"/>
        <w:rPr>
          <w:rFonts w:asciiTheme="minorBidi" w:hAnsiTheme="minorBidi"/>
          <w:szCs w:val="20"/>
        </w:rPr>
      </w:pPr>
    </w:p>
    <w:p w14:paraId="71C64CFD" w14:textId="77777777" w:rsidR="00B64E75" w:rsidRDefault="00B64E75" w:rsidP="00803B0F">
      <w:pPr>
        <w:autoSpaceDE w:val="0"/>
        <w:autoSpaceDN w:val="0"/>
        <w:adjustRightInd w:val="0"/>
        <w:spacing w:before="120" w:after="0"/>
        <w:jc w:val="both"/>
        <w:rPr>
          <w:rFonts w:asciiTheme="minorBidi" w:hAnsiTheme="minorBidi"/>
          <w:szCs w:val="20"/>
        </w:rPr>
      </w:pPr>
    </w:p>
    <w:p w14:paraId="03CC7F96" w14:textId="77777777" w:rsidR="00B64E75" w:rsidRDefault="00B64E75" w:rsidP="00803B0F">
      <w:pPr>
        <w:autoSpaceDE w:val="0"/>
        <w:autoSpaceDN w:val="0"/>
        <w:adjustRightInd w:val="0"/>
        <w:spacing w:before="120" w:after="0"/>
        <w:jc w:val="both"/>
        <w:rPr>
          <w:rFonts w:asciiTheme="minorBidi" w:hAnsiTheme="minorBidi"/>
          <w:szCs w:val="20"/>
        </w:rPr>
      </w:pPr>
    </w:p>
    <w:p w14:paraId="574745BA" w14:textId="77777777" w:rsidR="00B64E75" w:rsidRDefault="00B64E75" w:rsidP="00803B0F">
      <w:pPr>
        <w:autoSpaceDE w:val="0"/>
        <w:autoSpaceDN w:val="0"/>
        <w:adjustRightInd w:val="0"/>
        <w:spacing w:before="120" w:after="0"/>
        <w:jc w:val="both"/>
        <w:rPr>
          <w:rFonts w:asciiTheme="minorBidi" w:hAnsiTheme="minorBidi"/>
          <w:szCs w:val="20"/>
        </w:rPr>
      </w:pPr>
    </w:p>
    <w:p w14:paraId="5F847A59" w14:textId="77777777" w:rsidR="00B64E75" w:rsidRPr="007D525E" w:rsidRDefault="00B64E75" w:rsidP="00803B0F">
      <w:pPr>
        <w:autoSpaceDE w:val="0"/>
        <w:autoSpaceDN w:val="0"/>
        <w:adjustRightInd w:val="0"/>
        <w:spacing w:before="120" w:after="0"/>
        <w:jc w:val="both"/>
        <w:rPr>
          <w:rFonts w:asciiTheme="minorBidi" w:hAnsiTheme="minorBidi"/>
          <w:szCs w:val="20"/>
        </w:rPr>
      </w:pPr>
    </w:p>
    <w:tbl>
      <w:tblPr>
        <w:tblStyle w:val="Grilledutableau"/>
        <w:tblW w:w="0" w:type="auto"/>
        <w:shd w:val="clear" w:color="auto" w:fill="E6A300"/>
        <w:tblLook w:val="04A0" w:firstRow="1" w:lastRow="0" w:firstColumn="1" w:lastColumn="0" w:noHBand="0" w:noVBand="1"/>
      </w:tblPr>
      <w:tblGrid>
        <w:gridCol w:w="9628"/>
      </w:tblGrid>
      <w:tr w:rsidR="002C1015" w:rsidRPr="007D525E" w14:paraId="1C7BF07A" w14:textId="77777777" w:rsidTr="00E974EE">
        <w:trPr>
          <w:trHeight w:val="70"/>
        </w:trPr>
        <w:tc>
          <w:tcPr>
            <w:tcW w:w="9628" w:type="dxa"/>
            <w:shd w:val="clear" w:color="auto" w:fill="E6A300"/>
          </w:tcPr>
          <w:p w14:paraId="7BB65230" w14:textId="77777777" w:rsidR="002C1015" w:rsidRPr="004711EA" w:rsidRDefault="002C1015" w:rsidP="00803B0F">
            <w:pPr>
              <w:pStyle w:val="Titre5"/>
              <w:spacing w:line="276" w:lineRule="auto"/>
              <w:outlineLvl w:val="4"/>
              <w:rPr>
                <w:rFonts w:cs="Arial"/>
                <w:szCs w:val="20"/>
              </w:rPr>
            </w:pPr>
            <w:r w:rsidRPr="004711EA">
              <w:rPr>
                <w:rFonts w:cs="Arial"/>
                <w:szCs w:val="20"/>
              </w:rPr>
              <w:t xml:space="preserve">Clause de non-responsabilité - Le service économique s’efforce de diffuser des informations exactes et à jour, et corrigera, dans la mesure du possible, les erreurs qui lui seront signalées. Toutefois, il ne peut en aucun cas être tenu responsable de l’utilisation et de l’interprétation de l’information contenue dans cette publication. </w:t>
            </w:r>
          </w:p>
        </w:tc>
      </w:tr>
    </w:tbl>
    <w:p w14:paraId="59C547AB" w14:textId="77777777" w:rsidR="000F0B51" w:rsidRPr="007D525E" w:rsidRDefault="000F0B51" w:rsidP="00803B0F">
      <w:pPr>
        <w:spacing w:before="120" w:after="0"/>
        <w:jc w:val="both"/>
        <w:rPr>
          <w:rFonts w:cs="Arial"/>
          <w:szCs w:val="20"/>
        </w:rPr>
      </w:pPr>
    </w:p>
    <w:sectPr w:rsidR="000F0B51" w:rsidRPr="007D525E" w:rsidSect="00B64E75">
      <w:footerReference w:type="default" r:id="rId8"/>
      <w:pgSz w:w="11906" w:h="16838"/>
      <w:pgMar w:top="709" w:right="1134" w:bottom="1134" w:left="1134"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32EA2" w14:textId="77777777" w:rsidR="00425979" w:rsidRDefault="00425979" w:rsidP="00F425DB">
      <w:pPr>
        <w:spacing w:after="0" w:line="240" w:lineRule="auto"/>
      </w:pPr>
      <w:r>
        <w:separator/>
      </w:r>
    </w:p>
  </w:endnote>
  <w:endnote w:type="continuationSeparator" w:id="0">
    <w:p w14:paraId="53ABD6A2" w14:textId="77777777" w:rsidR="00425979" w:rsidRDefault="00425979" w:rsidP="00F42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L">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Gra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122255"/>
      </w:rPr>
      <w:id w:val="-1677181724"/>
      <w:docPartObj>
        <w:docPartGallery w:val="Page Numbers (Bottom of Page)"/>
        <w:docPartUnique/>
      </w:docPartObj>
    </w:sdtPr>
    <w:sdtEndPr>
      <w:rPr>
        <w:color w:val="auto"/>
        <w:sz w:val="18"/>
        <w:szCs w:val="18"/>
      </w:rPr>
    </w:sdtEndPr>
    <w:sdtContent>
      <w:tbl>
        <w:tblPr>
          <w:tblStyle w:val="Grilledutableau"/>
          <w:tblW w:w="9957" w:type="dxa"/>
          <w:tblInd w:w="108" w:type="dxa"/>
          <w:tblBorders>
            <w:top w:val="single" w:sz="12" w:space="0" w:color="E6A3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5040"/>
          <w:gridCol w:w="2331"/>
        </w:tblGrid>
        <w:tr w:rsidR="00347E10" w:rsidRPr="00347E10" w14:paraId="270229AE" w14:textId="77777777" w:rsidTr="001F0DEE">
          <w:trPr>
            <w:trHeight w:val="815"/>
          </w:trPr>
          <w:tc>
            <w:tcPr>
              <w:tcW w:w="2586" w:type="dxa"/>
            </w:tcPr>
            <w:p w14:paraId="37520FAD" w14:textId="2961C843" w:rsidR="005A69FD" w:rsidRPr="00FF6E23" w:rsidRDefault="00B84EA8" w:rsidP="001506E5">
              <w:pPr>
                <w:spacing w:before="120"/>
                <w:rPr>
                  <w:rFonts w:ascii="Arial Gras" w:hAnsi="Arial Gras" w:cs="Arial"/>
                  <w:b/>
                  <w:bCs/>
                  <w:color w:val="122255"/>
                  <w:sz w:val="16"/>
                </w:rPr>
              </w:pPr>
              <w:r>
                <w:rPr>
                  <w:rFonts w:ascii="Arial Gras" w:hAnsi="Arial Gras" w:cs="Arial"/>
                  <w:b/>
                  <w:bCs/>
                  <w:color w:val="122255"/>
                  <w:sz w:val="16"/>
                </w:rPr>
                <w:t>Janvier 2018</w:t>
              </w:r>
              <w:r w:rsidR="005A69FD" w:rsidRPr="00347E10">
                <w:rPr>
                  <w:rFonts w:ascii="Arial Gras" w:hAnsi="Arial Gras" w:cs="Arial"/>
                  <w:b/>
                  <w:bCs/>
                  <w:color w:val="122255"/>
                  <w:sz w:val="16"/>
                </w:rPr>
                <w:t xml:space="preserve"> </w:t>
              </w:r>
              <w:r w:rsidR="00C3179B" w:rsidRPr="00347E10">
                <w:rPr>
                  <w:rFonts w:ascii="Arial Gras" w:hAnsi="Arial Gras" w:cs="Arial"/>
                  <w:b/>
                  <w:color w:val="122255"/>
                  <w:sz w:val="16"/>
                </w:rPr>
                <w:t>© DG Trésor</w:t>
              </w:r>
            </w:p>
            <w:p w14:paraId="623027B4" w14:textId="77777777" w:rsidR="005A69FD" w:rsidRPr="00347E10" w:rsidRDefault="005A69FD" w:rsidP="005A69FD">
              <w:pPr>
                <w:rPr>
                  <w:color w:val="122255"/>
                  <w:sz w:val="18"/>
                  <w:szCs w:val="18"/>
                </w:rPr>
              </w:pPr>
            </w:p>
          </w:tc>
          <w:tc>
            <w:tcPr>
              <w:tcW w:w="5040" w:type="dxa"/>
            </w:tcPr>
            <w:p w14:paraId="6C701CA6" w14:textId="77777777" w:rsidR="00803591" w:rsidRPr="00347E10" w:rsidRDefault="00803591" w:rsidP="000B5DAE">
              <w:pPr>
                <w:spacing w:before="120"/>
                <w:jc w:val="center"/>
                <w:rPr>
                  <w:b/>
                  <w:color w:val="122255"/>
                  <w:sz w:val="18"/>
                  <w:szCs w:val="18"/>
                </w:rPr>
              </w:pPr>
              <w:r w:rsidRPr="00347E10">
                <w:rPr>
                  <w:b/>
                  <w:color w:val="122255"/>
                  <w:sz w:val="18"/>
                  <w:szCs w:val="18"/>
                </w:rPr>
                <w:t xml:space="preserve">AMBASSADE DE FRANCE </w:t>
              </w:r>
              <w:r w:rsidR="002D6BD9">
                <w:rPr>
                  <w:b/>
                  <w:color w:val="122255"/>
                  <w:sz w:val="18"/>
                  <w:szCs w:val="18"/>
                </w:rPr>
                <w:t>EN TUNISIE</w:t>
              </w:r>
            </w:p>
            <w:p w14:paraId="2407FA9A" w14:textId="77777777" w:rsidR="005A69FD" w:rsidRDefault="002D6BD9" w:rsidP="00803591">
              <w:pPr>
                <w:jc w:val="center"/>
                <w:rPr>
                  <w:b/>
                  <w:color w:val="122255"/>
                  <w:sz w:val="18"/>
                  <w:szCs w:val="18"/>
                </w:rPr>
              </w:pPr>
              <w:r>
                <w:rPr>
                  <w:b/>
                  <w:color w:val="122255"/>
                  <w:sz w:val="18"/>
                  <w:szCs w:val="18"/>
                </w:rPr>
                <w:t>SERVICE ECONOMIQUE REGIONAL</w:t>
              </w:r>
            </w:p>
            <w:p w14:paraId="6125A7CE" w14:textId="77777777" w:rsidR="002611F0" w:rsidRPr="002611F0" w:rsidRDefault="002611F0" w:rsidP="00803591">
              <w:pPr>
                <w:jc w:val="center"/>
                <w:rPr>
                  <w:color w:val="122255"/>
                  <w:sz w:val="16"/>
                  <w:szCs w:val="16"/>
                </w:rPr>
              </w:pPr>
            </w:p>
          </w:tc>
          <w:tc>
            <w:tcPr>
              <w:tcW w:w="2331" w:type="dxa"/>
            </w:tcPr>
            <w:p w14:paraId="7CA37D13" w14:textId="77777777" w:rsidR="005A69FD" w:rsidRPr="00347E10" w:rsidRDefault="005A69FD" w:rsidP="00347E10">
              <w:pPr>
                <w:spacing w:before="120"/>
                <w:jc w:val="right"/>
                <w:rPr>
                  <w:b/>
                  <w:color w:val="122255"/>
                  <w:sz w:val="16"/>
                  <w:szCs w:val="16"/>
                </w:rPr>
              </w:pPr>
              <w:r w:rsidRPr="00347E10">
                <w:rPr>
                  <w:b/>
                  <w:color w:val="122255"/>
                  <w:sz w:val="16"/>
                  <w:szCs w:val="16"/>
                </w:rPr>
                <w:fldChar w:fldCharType="begin"/>
              </w:r>
              <w:r w:rsidRPr="00347E10">
                <w:rPr>
                  <w:b/>
                  <w:color w:val="122255"/>
                  <w:sz w:val="16"/>
                  <w:szCs w:val="16"/>
                </w:rPr>
                <w:instrText>PAGE   \* MERGEFORMAT</w:instrText>
              </w:r>
              <w:r w:rsidRPr="00347E10">
                <w:rPr>
                  <w:b/>
                  <w:color w:val="122255"/>
                  <w:sz w:val="16"/>
                  <w:szCs w:val="16"/>
                </w:rPr>
                <w:fldChar w:fldCharType="separate"/>
              </w:r>
              <w:r w:rsidR="00076A30">
                <w:rPr>
                  <w:b/>
                  <w:noProof/>
                  <w:color w:val="122255"/>
                  <w:sz w:val="16"/>
                  <w:szCs w:val="16"/>
                </w:rPr>
                <w:t>2</w:t>
              </w:r>
              <w:r w:rsidRPr="00347E10">
                <w:rPr>
                  <w:b/>
                  <w:color w:val="122255"/>
                  <w:sz w:val="16"/>
                  <w:szCs w:val="16"/>
                </w:rPr>
                <w:fldChar w:fldCharType="end"/>
              </w:r>
            </w:p>
          </w:tc>
        </w:tr>
      </w:tbl>
      <w:p w14:paraId="1905C1B8" w14:textId="792D00AB" w:rsidR="005A69FD" w:rsidRPr="005A69FD" w:rsidRDefault="00942060" w:rsidP="00942060">
        <w:pPr>
          <w:pStyle w:val="Pieddepage"/>
          <w:tabs>
            <w:tab w:val="clear" w:pos="4536"/>
            <w:tab w:val="clear" w:pos="9072"/>
            <w:tab w:val="left" w:pos="2327"/>
          </w:tabs>
          <w:rPr>
            <w:sz w:val="18"/>
            <w:szCs w:val="18"/>
          </w:rPr>
        </w:pPr>
        <w:r>
          <w:rPr>
            <w:sz w:val="18"/>
            <w:szCs w:val="18"/>
          </w:rPr>
          <w:tab/>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0F14B" w14:textId="77777777" w:rsidR="00425979" w:rsidRDefault="00425979" w:rsidP="00F425DB">
      <w:pPr>
        <w:spacing w:after="0" w:line="240" w:lineRule="auto"/>
      </w:pPr>
      <w:r>
        <w:separator/>
      </w:r>
    </w:p>
  </w:footnote>
  <w:footnote w:type="continuationSeparator" w:id="0">
    <w:p w14:paraId="3123A85B" w14:textId="77777777" w:rsidR="00425979" w:rsidRDefault="00425979" w:rsidP="00F425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15:restartNumberingAfterBreak="0">
    <w:nsid w:val="04671D7C"/>
    <w:multiLevelType w:val="hybridMultilevel"/>
    <w:tmpl w:val="0E82ED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E6231B"/>
    <w:multiLevelType w:val="hybridMultilevel"/>
    <w:tmpl w:val="82C41476"/>
    <w:lvl w:ilvl="0" w:tplc="73564CD6">
      <w:start w:val="1"/>
      <w:numFmt w:val="upperRoman"/>
      <w:lvlText w:val="%1."/>
      <w:lvlJc w:val="left"/>
      <w:pPr>
        <w:ind w:left="1440" w:hanging="720"/>
      </w:pPr>
      <w:rPr>
        <w:rFonts w:eastAsiaTheme="majorEastAsia" w:cstheme="majorBidi" w:hint="default"/>
        <w:b/>
        <w:i w:val="0"/>
        <w:color w:val="122255"/>
        <w:sz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130B3303"/>
    <w:multiLevelType w:val="multilevel"/>
    <w:tmpl w:val="71A2B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683CC4"/>
    <w:multiLevelType w:val="hybridMultilevel"/>
    <w:tmpl w:val="FEA8077C"/>
    <w:lvl w:ilvl="0" w:tplc="040C000F">
      <w:start w:val="1"/>
      <w:numFmt w:val="decimal"/>
      <w:lvlText w:val="%1."/>
      <w:lvlJc w:val="left"/>
      <w:pPr>
        <w:ind w:left="862" w:hanging="360"/>
      </w:p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4" w15:restartNumberingAfterBreak="0">
    <w:nsid w:val="1A5F5AC9"/>
    <w:multiLevelType w:val="hybridMultilevel"/>
    <w:tmpl w:val="3DC417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8E305A"/>
    <w:multiLevelType w:val="hybridMultilevel"/>
    <w:tmpl w:val="34702C72"/>
    <w:lvl w:ilvl="0" w:tplc="299A860E">
      <w:start w:val="21"/>
      <w:numFmt w:val="bullet"/>
      <w:lvlText w:val="-"/>
      <w:lvlJc w:val="left"/>
      <w:pPr>
        <w:ind w:left="720" w:hanging="360"/>
      </w:pPr>
      <w:rPr>
        <w:rFonts w:ascii="FuturaL" w:eastAsia="Calibri" w:hAnsi="FuturaL" w:cs="Times New Roman" w:hint="default"/>
        <w:color w:val="575758"/>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B525F9"/>
    <w:multiLevelType w:val="multilevel"/>
    <w:tmpl w:val="0CAEF0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335E99"/>
    <w:multiLevelType w:val="multilevel"/>
    <w:tmpl w:val="A966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PicBulletId w:val="3"/>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701285"/>
    <w:multiLevelType w:val="hybridMultilevel"/>
    <w:tmpl w:val="59744B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0D21A75"/>
    <w:multiLevelType w:val="multilevel"/>
    <w:tmpl w:val="5568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C8275F"/>
    <w:multiLevelType w:val="multilevel"/>
    <w:tmpl w:val="36F4991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CA83DE7"/>
    <w:multiLevelType w:val="multilevel"/>
    <w:tmpl w:val="2A30D44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4406A0"/>
    <w:multiLevelType w:val="hybridMultilevel"/>
    <w:tmpl w:val="D36EC0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26B5539"/>
    <w:multiLevelType w:val="multilevel"/>
    <w:tmpl w:val="48D478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A722E9"/>
    <w:multiLevelType w:val="multilevel"/>
    <w:tmpl w:val="131C62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3B1C0A"/>
    <w:multiLevelType w:val="hybridMultilevel"/>
    <w:tmpl w:val="B4CCA74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F652092"/>
    <w:multiLevelType w:val="hybridMultilevel"/>
    <w:tmpl w:val="42A8AAA4"/>
    <w:lvl w:ilvl="0" w:tplc="5DC6E336">
      <w:start w:val="1"/>
      <w:numFmt w:val="upperRoman"/>
      <w:lvlText w:val="%1."/>
      <w:lvlJc w:val="right"/>
      <w:pPr>
        <w:ind w:left="720" w:hanging="360"/>
      </w:pPr>
      <w:rPr>
        <w:rFonts w:ascii="Times New Roman" w:hAnsi="Times New Roman" w:cs="Times New Roman"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41576C5"/>
    <w:multiLevelType w:val="multilevel"/>
    <w:tmpl w:val="7F7C4D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392DAE"/>
    <w:multiLevelType w:val="multilevel"/>
    <w:tmpl w:val="6FEE7E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AB52E5"/>
    <w:multiLevelType w:val="multilevel"/>
    <w:tmpl w:val="BF3298E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eastAsia="Times New Roman" w:hint="default"/>
        <w:b/>
        <w:i w:val="0"/>
      </w:rPr>
    </w:lvl>
    <w:lvl w:ilvl="2">
      <w:start w:val="1"/>
      <w:numFmt w:val="decimal"/>
      <w:isLgl/>
      <w:lvlText w:val="%1.%2.%3."/>
      <w:lvlJc w:val="left"/>
      <w:pPr>
        <w:ind w:left="1080" w:hanging="720"/>
      </w:pPr>
      <w:rPr>
        <w:rFonts w:eastAsia="Times New Roman" w:hint="default"/>
        <w:b/>
        <w:i w:val="0"/>
      </w:rPr>
    </w:lvl>
    <w:lvl w:ilvl="3">
      <w:start w:val="1"/>
      <w:numFmt w:val="decimal"/>
      <w:isLgl/>
      <w:lvlText w:val="%1.%2.%3.%4."/>
      <w:lvlJc w:val="left"/>
      <w:pPr>
        <w:ind w:left="1080" w:hanging="720"/>
      </w:pPr>
      <w:rPr>
        <w:rFonts w:eastAsia="Times New Roman" w:hint="default"/>
        <w:b/>
        <w:i w:val="0"/>
      </w:rPr>
    </w:lvl>
    <w:lvl w:ilvl="4">
      <w:start w:val="1"/>
      <w:numFmt w:val="decimal"/>
      <w:isLgl/>
      <w:lvlText w:val="%1.%2.%3.%4.%5."/>
      <w:lvlJc w:val="left"/>
      <w:pPr>
        <w:ind w:left="1440" w:hanging="1080"/>
      </w:pPr>
      <w:rPr>
        <w:rFonts w:eastAsia="Times New Roman" w:hint="default"/>
        <w:b/>
        <w:i w:val="0"/>
      </w:rPr>
    </w:lvl>
    <w:lvl w:ilvl="5">
      <w:start w:val="1"/>
      <w:numFmt w:val="decimal"/>
      <w:isLgl/>
      <w:lvlText w:val="%1.%2.%3.%4.%5.%6."/>
      <w:lvlJc w:val="left"/>
      <w:pPr>
        <w:ind w:left="1440" w:hanging="1080"/>
      </w:pPr>
      <w:rPr>
        <w:rFonts w:eastAsia="Times New Roman" w:hint="default"/>
        <w:b/>
        <w:i w:val="0"/>
      </w:rPr>
    </w:lvl>
    <w:lvl w:ilvl="6">
      <w:start w:val="1"/>
      <w:numFmt w:val="decimal"/>
      <w:isLgl/>
      <w:lvlText w:val="%1.%2.%3.%4.%5.%6.%7."/>
      <w:lvlJc w:val="left"/>
      <w:pPr>
        <w:ind w:left="1800" w:hanging="1440"/>
      </w:pPr>
      <w:rPr>
        <w:rFonts w:eastAsia="Times New Roman" w:hint="default"/>
        <w:b/>
        <w:i w:val="0"/>
      </w:rPr>
    </w:lvl>
    <w:lvl w:ilvl="7">
      <w:start w:val="1"/>
      <w:numFmt w:val="decimal"/>
      <w:isLgl/>
      <w:lvlText w:val="%1.%2.%3.%4.%5.%6.%7.%8."/>
      <w:lvlJc w:val="left"/>
      <w:pPr>
        <w:ind w:left="1800" w:hanging="1440"/>
      </w:pPr>
      <w:rPr>
        <w:rFonts w:eastAsia="Times New Roman" w:hint="default"/>
        <w:b/>
        <w:i w:val="0"/>
      </w:rPr>
    </w:lvl>
    <w:lvl w:ilvl="8">
      <w:start w:val="1"/>
      <w:numFmt w:val="decimal"/>
      <w:isLgl/>
      <w:lvlText w:val="%1.%2.%3.%4.%5.%6.%7.%8.%9."/>
      <w:lvlJc w:val="left"/>
      <w:pPr>
        <w:ind w:left="2160" w:hanging="1800"/>
      </w:pPr>
      <w:rPr>
        <w:rFonts w:eastAsia="Times New Roman" w:hint="default"/>
        <w:b/>
        <w:i w:val="0"/>
      </w:rPr>
    </w:lvl>
  </w:abstractNum>
  <w:abstractNum w:abstractNumId="20" w15:restartNumberingAfterBreak="0">
    <w:nsid w:val="69D311A4"/>
    <w:multiLevelType w:val="hybridMultilevel"/>
    <w:tmpl w:val="00FC148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6AAA3E1C"/>
    <w:multiLevelType w:val="hybridMultilevel"/>
    <w:tmpl w:val="8F4853DC"/>
    <w:lvl w:ilvl="0" w:tplc="7340EAB6">
      <w:start w:val="1"/>
      <w:numFmt w:val="upperRoman"/>
      <w:lvlText w:val="%1."/>
      <w:lvlJc w:val="right"/>
      <w:pPr>
        <w:ind w:left="720" w:hanging="360"/>
      </w:pPr>
      <w:rPr>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7EC6707"/>
    <w:multiLevelType w:val="hybridMultilevel"/>
    <w:tmpl w:val="2898B8AA"/>
    <w:lvl w:ilvl="0" w:tplc="73564CD6">
      <w:start w:val="1"/>
      <w:numFmt w:val="upperRoman"/>
      <w:lvlText w:val="%1."/>
      <w:lvlJc w:val="left"/>
      <w:pPr>
        <w:ind w:left="1440" w:hanging="720"/>
      </w:pPr>
      <w:rPr>
        <w:rFonts w:eastAsiaTheme="majorEastAsia" w:cstheme="majorBidi" w:hint="default"/>
        <w:b/>
        <w:i w:val="0"/>
        <w:color w:val="122255"/>
        <w:sz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7C0C289B"/>
    <w:multiLevelType w:val="multilevel"/>
    <w:tmpl w:val="213C5A60"/>
    <w:lvl w:ilvl="0">
      <w:start w:val="1"/>
      <w:numFmt w:val="decimal"/>
      <w:lvlText w:val="%1."/>
      <w:lvlJc w:val="left"/>
      <w:pPr>
        <w:ind w:left="360" w:hanging="360"/>
      </w:pPr>
      <w:rPr>
        <w:rFonts w:hint="default"/>
        <w:i w:val="0"/>
        <w:u w:val="single"/>
      </w:rPr>
    </w:lvl>
    <w:lvl w:ilvl="1">
      <w:start w:val="1"/>
      <w:numFmt w:val="decimal"/>
      <w:lvlText w:val="%1.%2."/>
      <w:lvlJc w:val="left"/>
      <w:pPr>
        <w:ind w:left="720" w:hanging="720"/>
      </w:pPr>
      <w:rPr>
        <w:rFonts w:hint="default"/>
        <w:i/>
        <w:u w:val="none"/>
      </w:rPr>
    </w:lvl>
    <w:lvl w:ilvl="2">
      <w:start w:val="1"/>
      <w:numFmt w:val="decimal"/>
      <w:lvlText w:val="%1.%2.%3."/>
      <w:lvlJc w:val="left"/>
      <w:pPr>
        <w:ind w:left="720" w:hanging="720"/>
      </w:pPr>
      <w:rPr>
        <w:rFonts w:hint="default"/>
        <w:i w:val="0"/>
        <w:u w:val="single"/>
      </w:rPr>
    </w:lvl>
    <w:lvl w:ilvl="3">
      <w:start w:val="1"/>
      <w:numFmt w:val="decimal"/>
      <w:lvlText w:val="%1.%2.%3.%4."/>
      <w:lvlJc w:val="left"/>
      <w:pPr>
        <w:ind w:left="1080" w:hanging="1080"/>
      </w:pPr>
      <w:rPr>
        <w:rFonts w:hint="default"/>
        <w:i w:val="0"/>
        <w:u w:val="single"/>
      </w:rPr>
    </w:lvl>
    <w:lvl w:ilvl="4">
      <w:start w:val="1"/>
      <w:numFmt w:val="decimal"/>
      <w:lvlText w:val="%1.%2.%3.%4.%5."/>
      <w:lvlJc w:val="left"/>
      <w:pPr>
        <w:ind w:left="1080" w:hanging="1080"/>
      </w:pPr>
      <w:rPr>
        <w:rFonts w:hint="default"/>
        <w:i w:val="0"/>
        <w:u w:val="single"/>
      </w:rPr>
    </w:lvl>
    <w:lvl w:ilvl="5">
      <w:start w:val="1"/>
      <w:numFmt w:val="decimal"/>
      <w:lvlText w:val="%1.%2.%3.%4.%5.%6."/>
      <w:lvlJc w:val="left"/>
      <w:pPr>
        <w:ind w:left="1440" w:hanging="1440"/>
      </w:pPr>
      <w:rPr>
        <w:rFonts w:hint="default"/>
        <w:i w:val="0"/>
        <w:u w:val="single"/>
      </w:rPr>
    </w:lvl>
    <w:lvl w:ilvl="6">
      <w:start w:val="1"/>
      <w:numFmt w:val="decimal"/>
      <w:lvlText w:val="%1.%2.%3.%4.%5.%6.%7."/>
      <w:lvlJc w:val="left"/>
      <w:pPr>
        <w:ind w:left="1440" w:hanging="1440"/>
      </w:pPr>
      <w:rPr>
        <w:rFonts w:hint="default"/>
        <w:i w:val="0"/>
        <w:u w:val="single"/>
      </w:rPr>
    </w:lvl>
    <w:lvl w:ilvl="7">
      <w:start w:val="1"/>
      <w:numFmt w:val="decimal"/>
      <w:lvlText w:val="%1.%2.%3.%4.%5.%6.%7.%8."/>
      <w:lvlJc w:val="left"/>
      <w:pPr>
        <w:ind w:left="1800" w:hanging="1800"/>
      </w:pPr>
      <w:rPr>
        <w:rFonts w:hint="default"/>
        <w:i w:val="0"/>
        <w:u w:val="single"/>
      </w:rPr>
    </w:lvl>
    <w:lvl w:ilvl="8">
      <w:start w:val="1"/>
      <w:numFmt w:val="decimal"/>
      <w:lvlText w:val="%1.%2.%3.%4.%5.%6.%7.%8.%9."/>
      <w:lvlJc w:val="left"/>
      <w:pPr>
        <w:ind w:left="1800" w:hanging="1800"/>
      </w:pPr>
      <w:rPr>
        <w:rFonts w:hint="default"/>
        <w:i w:val="0"/>
        <w:u w:val="single"/>
      </w:rPr>
    </w:lvl>
  </w:abstractNum>
  <w:abstractNum w:abstractNumId="24" w15:restartNumberingAfterBreak="0">
    <w:nsid w:val="7DB27446"/>
    <w:multiLevelType w:val="multilevel"/>
    <w:tmpl w:val="C1FA0D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4"/>
  </w:num>
  <w:num w:numId="3">
    <w:abstractNumId w:val="17"/>
  </w:num>
  <w:num w:numId="4">
    <w:abstractNumId w:val="2"/>
  </w:num>
  <w:num w:numId="5">
    <w:abstractNumId w:val="24"/>
  </w:num>
  <w:num w:numId="6">
    <w:abstractNumId w:val="7"/>
  </w:num>
  <w:num w:numId="7">
    <w:abstractNumId w:val="20"/>
  </w:num>
  <w:num w:numId="8">
    <w:abstractNumId w:val="0"/>
  </w:num>
  <w:num w:numId="9">
    <w:abstractNumId w:val="5"/>
  </w:num>
  <w:num w:numId="10">
    <w:abstractNumId w:val="6"/>
  </w:num>
  <w:num w:numId="11">
    <w:abstractNumId w:val="13"/>
  </w:num>
  <w:num w:numId="12">
    <w:abstractNumId w:val="18"/>
  </w:num>
  <w:num w:numId="13">
    <w:abstractNumId w:val="4"/>
  </w:num>
  <w:num w:numId="14">
    <w:abstractNumId w:val="19"/>
  </w:num>
  <w:num w:numId="15">
    <w:abstractNumId w:val="11"/>
  </w:num>
  <w:num w:numId="16">
    <w:abstractNumId w:val="10"/>
  </w:num>
  <w:num w:numId="17">
    <w:abstractNumId w:val="23"/>
  </w:num>
  <w:num w:numId="18">
    <w:abstractNumId w:val="8"/>
  </w:num>
  <w:num w:numId="19">
    <w:abstractNumId w:val="21"/>
  </w:num>
  <w:num w:numId="20">
    <w:abstractNumId w:val="16"/>
  </w:num>
  <w:num w:numId="21">
    <w:abstractNumId w:val="3"/>
  </w:num>
  <w:num w:numId="22">
    <w:abstractNumId w:val="1"/>
  </w:num>
  <w:num w:numId="23">
    <w:abstractNumId w:val="12"/>
  </w:num>
  <w:num w:numId="24">
    <w:abstractNumId w:val="15"/>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409"/>
    <w:rsid w:val="00003EBF"/>
    <w:rsid w:val="000165CC"/>
    <w:rsid w:val="000207D3"/>
    <w:rsid w:val="00054CDE"/>
    <w:rsid w:val="000652F9"/>
    <w:rsid w:val="00067894"/>
    <w:rsid w:val="000764B1"/>
    <w:rsid w:val="00076A30"/>
    <w:rsid w:val="0007713D"/>
    <w:rsid w:val="00086949"/>
    <w:rsid w:val="000905DA"/>
    <w:rsid w:val="000B5DAE"/>
    <w:rsid w:val="000C52B6"/>
    <w:rsid w:val="000D16BE"/>
    <w:rsid w:val="000D5D1A"/>
    <w:rsid w:val="000E580F"/>
    <w:rsid w:val="000F0B51"/>
    <w:rsid w:val="00102B63"/>
    <w:rsid w:val="001506E5"/>
    <w:rsid w:val="0015600B"/>
    <w:rsid w:val="00175749"/>
    <w:rsid w:val="00177197"/>
    <w:rsid w:val="00196391"/>
    <w:rsid w:val="001A137F"/>
    <w:rsid w:val="001B286A"/>
    <w:rsid w:val="001B451E"/>
    <w:rsid w:val="001C0F89"/>
    <w:rsid w:val="001D494F"/>
    <w:rsid w:val="001F0DEE"/>
    <w:rsid w:val="002062EC"/>
    <w:rsid w:val="0021111A"/>
    <w:rsid w:val="00216A0E"/>
    <w:rsid w:val="00227D0A"/>
    <w:rsid w:val="0023311E"/>
    <w:rsid w:val="0024314F"/>
    <w:rsid w:val="00256A40"/>
    <w:rsid w:val="00256EE1"/>
    <w:rsid w:val="002611F0"/>
    <w:rsid w:val="00277B54"/>
    <w:rsid w:val="0028770B"/>
    <w:rsid w:val="002A008A"/>
    <w:rsid w:val="002A27F8"/>
    <w:rsid w:val="002A2D9B"/>
    <w:rsid w:val="002A58ED"/>
    <w:rsid w:val="002B62EC"/>
    <w:rsid w:val="002C034E"/>
    <w:rsid w:val="002C1015"/>
    <w:rsid w:val="002D2DC2"/>
    <w:rsid w:val="002D6BD9"/>
    <w:rsid w:val="002E2B38"/>
    <w:rsid w:val="002E3887"/>
    <w:rsid w:val="002E6781"/>
    <w:rsid w:val="002F0CD4"/>
    <w:rsid w:val="00316A01"/>
    <w:rsid w:val="00332F60"/>
    <w:rsid w:val="003425B6"/>
    <w:rsid w:val="00347E10"/>
    <w:rsid w:val="00354160"/>
    <w:rsid w:val="00354ED8"/>
    <w:rsid w:val="00364ADB"/>
    <w:rsid w:val="0037291F"/>
    <w:rsid w:val="0037395A"/>
    <w:rsid w:val="00383A7F"/>
    <w:rsid w:val="003849B7"/>
    <w:rsid w:val="003B3388"/>
    <w:rsid w:val="003C0610"/>
    <w:rsid w:val="003D1901"/>
    <w:rsid w:val="003D38B4"/>
    <w:rsid w:val="004043E7"/>
    <w:rsid w:val="00412619"/>
    <w:rsid w:val="00413B0F"/>
    <w:rsid w:val="00416D7D"/>
    <w:rsid w:val="0042461C"/>
    <w:rsid w:val="00425979"/>
    <w:rsid w:val="00427381"/>
    <w:rsid w:val="00436D0C"/>
    <w:rsid w:val="004407CA"/>
    <w:rsid w:val="004468D5"/>
    <w:rsid w:val="00447D6B"/>
    <w:rsid w:val="004543BF"/>
    <w:rsid w:val="00462939"/>
    <w:rsid w:val="004711EA"/>
    <w:rsid w:val="00471F28"/>
    <w:rsid w:val="004873EE"/>
    <w:rsid w:val="004A11B4"/>
    <w:rsid w:val="004A63ED"/>
    <w:rsid w:val="004B1D8A"/>
    <w:rsid w:val="004C0132"/>
    <w:rsid w:val="004C458A"/>
    <w:rsid w:val="004D7E73"/>
    <w:rsid w:val="004E23B4"/>
    <w:rsid w:val="004E6A6F"/>
    <w:rsid w:val="004F662C"/>
    <w:rsid w:val="00523AEF"/>
    <w:rsid w:val="0053158E"/>
    <w:rsid w:val="0054195C"/>
    <w:rsid w:val="005507A9"/>
    <w:rsid w:val="0056683C"/>
    <w:rsid w:val="005A0290"/>
    <w:rsid w:val="005A69FD"/>
    <w:rsid w:val="005B2229"/>
    <w:rsid w:val="005E2702"/>
    <w:rsid w:val="005F21AC"/>
    <w:rsid w:val="005F3CE5"/>
    <w:rsid w:val="005F4BD9"/>
    <w:rsid w:val="00611F09"/>
    <w:rsid w:val="00621FAE"/>
    <w:rsid w:val="00635863"/>
    <w:rsid w:val="006528B5"/>
    <w:rsid w:val="00671551"/>
    <w:rsid w:val="006A6A13"/>
    <w:rsid w:val="006B118B"/>
    <w:rsid w:val="006B3702"/>
    <w:rsid w:val="006B4164"/>
    <w:rsid w:val="006B5CB2"/>
    <w:rsid w:val="006C4105"/>
    <w:rsid w:val="006C77C3"/>
    <w:rsid w:val="006D72C7"/>
    <w:rsid w:val="006E0409"/>
    <w:rsid w:val="006E169B"/>
    <w:rsid w:val="006F11E9"/>
    <w:rsid w:val="00700122"/>
    <w:rsid w:val="0070416D"/>
    <w:rsid w:val="007133F8"/>
    <w:rsid w:val="00725545"/>
    <w:rsid w:val="00725CDF"/>
    <w:rsid w:val="00733A17"/>
    <w:rsid w:val="00736551"/>
    <w:rsid w:val="007A243F"/>
    <w:rsid w:val="007A46E7"/>
    <w:rsid w:val="007B42E4"/>
    <w:rsid w:val="007D1F97"/>
    <w:rsid w:val="007D525E"/>
    <w:rsid w:val="007E1114"/>
    <w:rsid w:val="007E5AE4"/>
    <w:rsid w:val="007F0323"/>
    <w:rsid w:val="007F1945"/>
    <w:rsid w:val="00803591"/>
    <w:rsid w:val="00803870"/>
    <w:rsid w:val="00803B0F"/>
    <w:rsid w:val="00814CB7"/>
    <w:rsid w:val="008410A2"/>
    <w:rsid w:val="00863DDC"/>
    <w:rsid w:val="00864336"/>
    <w:rsid w:val="008658D0"/>
    <w:rsid w:val="00871D21"/>
    <w:rsid w:val="00872C3B"/>
    <w:rsid w:val="008736AA"/>
    <w:rsid w:val="008761A1"/>
    <w:rsid w:val="00884568"/>
    <w:rsid w:val="008C2251"/>
    <w:rsid w:val="008E4F4A"/>
    <w:rsid w:val="00901BA9"/>
    <w:rsid w:val="00924E05"/>
    <w:rsid w:val="00926398"/>
    <w:rsid w:val="00931BCE"/>
    <w:rsid w:val="00942060"/>
    <w:rsid w:val="00950C61"/>
    <w:rsid w:val="009557C3"/>
    <w:rsid w:val="00955C1F"/>
    <w:rsid w:val="009564AA"/>
    <w:rsid w:val="0096234D"/>
    <w:rsid w:val="0098635D"/>
    <w:rsid w:val="009873F4"/>
    <w:rsid w:val="009917E4"/>
    <w:rsid w:val="009A16A6"/>
    <w:rsid w:val="009A53AA"/>
    <w:rsid w:val="009A65E7"/>
    <w:rsid w:val="009C2C71"/>
    <w:rsid w:val="009D11A4"/>
    <w:rsid w:val="009D483E"/>
    <w:rsid w:val="009F7C9F"/>
    <w:rsid w:val="00A02D67"/>
    <w:rsid w:val="00A0718C"/>
    <w:rsid w:val="00A23AD5"/>
    <w:rsid w:val="00A25FC8"/>
    <w:rsid w:val="00A30C57"/>
    <w:rsid w:val="00A3566D"/>
    <w:rsid w:val="00A47DCC"/>
    <w:rsid w:val="00A626A2"/>
    <w:rsid w:val="00A72588"/>
    <w:rsid w:val="00A72D34"/>
    <w:rsid w:val="00A87A0B"/>
    <w:rsid w:val="00A95E79"/>
    <w:rsid w:val="00AA0B01"/>
    <w:rsid w:val="00AA6495"/>
    <w:rsid w:val="00AB70B6"/>
    <w:rsid w:val="00AD18FE"/>
    <w:rsid w:val="00AD6631"/>
    <w:rsid w:val="00AE44BA"/>
    <w:rsid w:val="00AF41A5"/>
    <w:rsid w:val="00B1207B"/>
    <w:rsid w:val="00B1364F"/>
    <w:rsid w:val="00B17663"/>
    <w:rsid w:val="00B209AC"/>
    <w:rsid w:val="00B26315"/>
    <w:rsid w:val="00B3539C"/>
    <w:rsid w:val="00B374C6"/>
    <w:rsid w:val="00B5662B"/>
    <w:rsid w:val="00B64E75"/>
    <w:rsid w:val="00B67BDA"/>
    <w:rsid w:val="00B741DC"/>
    <w:rsid w:val="00B77AE1"/>
    <w:rsid w:val="00B829FF"/>
    <w:rsid w:val="00B84EA8"/>
    <w:rsid w:val="00B97C3F"/>
    <w:rsid w:val="00BB65E4"/>
    <w:rsid w:val="00BE4C3D"/>
    <w:rsid w:val="00BF79A7"/>
    <w:rsid w:val="00C05F7B"/>
    <w:rsid w:val="00C108AB"/>
    <w:rsid w:val="00C21499"/>
    <w:rsid w:val="00C26BD2"/>
    <w:rsid w:val="00C3179B"/>
    <w:rsid w:val="00C37EFC"/>
    <w:rsid w:val="00C4094A"/>
    <w:rsid w:val="00C64D1F"/>
    <w:rsid w:val="00C929D3"/>
    <w:rsid w:val="00CA2091"/>
    <w:rsid w:val="00CB29AE"/>
    <w:rsid w:val="00CB3FC6"/>
    <w:rsid w:val="00D050D6"/>
    <w:rsid w:val="00D11CE8"/>
    <w:rsid w:val="00D35449"/>
    <w:rsid w:val="00D420C4"/>
    <w:rsid w:val="00D443AD"/>
    <w:rsid w:val="00D4689D"/>
    <w:rsid w:val="00D64488"/>
    <w:rsid w:val="00D709E0"/>
    <w:rsid w:val="00D71314"/>
    <w:rsid w:val="00D86D29"/>
    <w:rsid w:val="00D9689C"/>
    <w:rsid w:val="00DA10D3"/>
    <w:rsid w:val="00DB2BFA"/>
    <w:rsid w:val="00DC20F4"/>
    <w:rsid w:val="00DC30FB"/>
    <w:rsid w:val="00DE7C38"/>
    <w:rsid w:val="00E20810"/>
    <w:rsid w:val="00E25523"/>
    <w:rsid w:val="00E26282"/>
    <w:rsid w:val="00E33A0C"/>
    <w:rsid w:val="00E64AFD"/>
    <w:rsid w:val="00E76811"/>
    <w:rsid w:val="00E76C44"/>
    <w:rsid w:val="00E77EA9"/>
    <w:rsid w:val="00E8216F"/>
    <w:rsid w:val="00E87DF6"/>
    <w:rsid w:val="00E91989"/>
    <w:rsid w:val="00E925A7"/>
    <w:rsid w:val="00E974EE"/>
    <w:rsid w:val="00EB6483"/>
    <w:rsid w:val="00EC7DDD"/>
    <w:rsid w:val="00EE32D2"/>
    <w:rsid w:val="00EE57C5"/>
    <w:rsid w:val="00EF7B71"/>
    <w:rsid w:val="00F21E23"/>
    <w:rsid w:val="00F24033"/>
    <w:rsid w:val="00F305ED"/>
    <w:rsid w:val="00F35B32"/>
    <w:rsid w:val="00F4135F"/>
    <w:rsid w:val="00F4165E"/>
    <w:rsid w:val="00F425DB"/>
    <w:rsid w:val="00F5085B"/>
    <w:rsid w:val="00F547B7"/>
    <w:rsid w:val="00F5747A"/>
    <w:rsid w:val="00F83625"/>
    <w:rsid w:val="00F90074"/>
    <w:rsid w:val="00F90A90"/>
    <w:rsid w:val="00F93083"/>
    <w:rsid w:val="00FA6183"/>
    <w:rsid w:val="00FA72FB"/>
    <w:rsid w:val="00FB65C1"/>
    <w:rsid w:val="00FD47F5"/>
    <w:rsid w:val="00FE4E06"/>
    <w:rsid w:val="00FE582A"/>
    <w:rsid w:val="00FF008B"/>
    <w:rsid w:val="00FF0EA3"/>
    <w:rsid w:val="00FF6E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09FDF"/>
  <w15:docId w15:val="{E002F3CC-CB19-4E82-A245-935EF1448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0C4"/>
    <w:rPr>
      <w:rFonts w:ascii="Arial" w:hAnsi="Arial"/>
      <w:sz w:val="20"/>
    </w:rPr>
  </w:style>
  <w:style w:type="paragraph" w:styleId="Titre1">
    <w:name w:val="heading 1"/>
    <w:basedOn w:val="Normal"/>
    <w:next w:val="Normal"/>
    <w:link w:val="Titre1Car"/>
    <w:uiPriority w:val="9"/>
    <w:qFormat/>
    <w:rsid w:val="00347E10"/>
    <w:pPr>
      <w:keepNext/>
      <w:keepLines/>
      <w:pBdr>
        <w:bottom w:val="single" w:sz="8" w:space="1" w:color="002060"/>
      </w:pBdr>
      <w:spacing w:before="600" w:after="120"/>
      <w:outlineLvl w:val="0"/>
    </w:pPr>
    <w:rPr>
      <w:rFonts w:eastAsiaTheme="majorEastAsia" w:cstheme="majorBidi"/>
      <w:b/>
      <w:bCs/>
      <w:color w:val="122255"/>
      <w:sz w:val="32"/>
      <w:szCs w:val="28"/>
    </w:rPr>
  </w:style>
  <w:style w:type="paragraph" w:styleId="Titre2">
    <w:name w:val="heading 2"/>
    <w:basedOn w:val="Normal"/>
    <w:next w:val="Normal"/>
    <w:link w:val="Titre2Car"/>
    <w:uiPriority w:val="9"/>
    <w:unhideWhenUsed/>
    <w:qFormat/>
    <w:rsid w:val="00347E10"/>
    <w:pPr>
      <w:keepNext/>
      <w:keepLines/>
      <w:pBdr>
        <w:bottom w:val="single" w:sz="8" w:space="1" w:color="002060"/>
      </w:pBdr>
      <w:spacing w:before="200" w:after="0"/>
      <w:outlineLvl w:val="1"/>
    </w:pPr>
    <w:rPr>
      <w:rFonts w:eastAsiaTheme="majorEastAsia" w:cstheme="majorBidi"/>
      <w:b/>
      <w:bCs/>
      <w:color w:val="122255"/>
      <w:sz w:val="28"/>
      <w:szCs w:val="26"/>
    </w:rPr>
  </w:style>
  <w:style w:type="paragraph" w:styleId="Titre3">
    <w:name w:val="heading 3"/>
    <w:basedOn w:val="Normal"/>
    <w:next w:val="Normal"/>
    <w:link w:val="Titre3Car"/>
    <w:uiPriority w:val="9"/>
    <w:unhideWhenUsed/>
    <w:qFormat/>
    <w:rsid w:val="00347E10"/>
    <w:pPr>
      <w:keepNext/>
      <w:keepLines/>
      <w:pBdr>
        <w:bottom w:val="single" w:sz="8" w:space="1" w:color="002060"/>
      </w:pBdr>
      <w:spacing w:before="200" w:after="120"/>
      <w:outlineLvl w:val="2"/>
    </w:pPr>
    <w:rPr>
      <w:rFonts w:eastAsiaTheme="majorEastAsia" w:cstheme="majorBidi"/>
      <w:b/>
      <w:bCs/>
      <w:color w:val="122255"/>
      <w:sz w:val="24"/>
    </w:rPr>
  </w:style>
  <w:style w:type="paragraph" w:styleId="Titre4">
    <w:name w:val="heading 4"/>
    <w:aliases w:val="Texte résumé"/>
    <w:basedOn w:val="Normal"/>
    <w:next w:val="Normal"/>
    <w:link w:val="Titre4Car"/>
    <w:uiPriority w:val="9"/>
    <w:unhideWhenUsed/>
    <w:qFormat/>
    <w:rsid w:val="00DB2BFA"/>
    <w:pPr>
      <w:keepNext/>
      <w:keepLines/>
      <w:pBdr>
        <w:top w:val="single" w:sz="8" w:space="1" w:color="122255"/>
        <w:left w:val="single" w:sz="8" w:space="4" w:color="122255"/>
        <w:bottom w:val="single" w:sz="8" w:space="1" w:color="122255"/>
        <w:right w:val="single" w:sz="8" w:space="4" w:color="122255"/>
      </w:pBdr>
      <w:spacing w:before="120" w:after="120"/>
      <w:jc w:val="both"/>
      <w:outlineLvl w:val="3"/>
    </w:pPr>
    <w:rPr>
      <w:rFonts w:eastAsiaTheme="majorEastAsia" w:cstheme="majorBidi"/>
      <w:bCs/>
      <w:iCs/>
    </w:rPr>
  </w:style>
  <w:style w:type="paragraph" w:styleId="Titre5">
    <w:name w:val="heading 5"/>
    <w:aliases w:val="Copyright"/>
    <w:basedOn w:val="Normal"/>
    <w:next w:val="Normal"/>
    <w:link w:val="Titre5Car"/>
    <w:uiPriority w:val="9"/>
    <w:unhideWhenUsed/>
    <w:qFormat/>
    <w:rsid w:val="004C458A"/>
    <w:pPr>
      <w:keepNext/>
      <w:keepLines/>
      <w:shd w:val="clear" w:color="auto" w:fill="E6A300"/>
      <w:spacing w:after="0"/>
      <w:jc w:val="both"/>
      <w:outlineLvl w:val="4"/>
    </w:pPr>
    <w:rPr>
      <w:rFonts w:eastAsiaTheme="majorEastAsia" w:cstheme="majorBidi"/>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E0409"/>
    <w:rPr>
      <w:color w:val="0000FF"/>
      <w:u w:val="single"/>
    </w:rPr>
  </w:style>
  <w:style w:type="paragraph" w:styleId="Textedebulles">
    <w:name w:val="Balloon Text"/>
    <w:basedOn w:val="Normal"/>
    <w:link w:val="TextedebullesCar"/>
    <w:uiPriority w:val="99"/>
    <w:semiHidden/>
    <w:unhideWhenUsed/>
    <w:rsid w:val="006E04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0409"/>
    <w:rPr>
      <w:rFonts w:ascii="Tahoma" w:hAnsi="Tahoma" w:cs="Tahoma"/>
      <w:sz w:val="16"/>
      <w:szCs w:val="16"/>
    </w:rPr>
  </w:style>
  <w:style w:type="paragraph" w:styleId="Titre">
    <w:name w:val="Title"/>
    <w:basedOn w:val="Normal"/>
    <w:next w:val="Normal"/>
    <w:link w:val="TitreCar"/>
    <w:uiPriority w:val="10"/>
    <w:qFormat/>
    <w:rsid w:val="00A626A2"/>
    <w:pPr>
      <w:pBdr>
        <w:top w:val="single" w:sz="12" w:space="1" w:color="E6A300"/>
        <w:bottom w:val="single" w:sz="12" w:space="1" w:color="E6A300"/>
      </w:pBdr>
      <w:shd w:val="clear" w:color="auto" w:fill="FFFFFF" w:themeFill="background1"/>
      <w:spacing w:after="300" w:line="240" w:lineRule="auto"/>
      <w:contextualSpacing/>
      <w:jc w:val="center"/>
    </w:pPr>
    <w:rPr>
      <w:rFonts w:eastAsiaTheme="majorEastAsia" w:cstheme="majorBidi"/>
      <w:color w:val="122255"/>
      <w:spacing w:val="5"/>
      <w:kern w:val="28"/>
      <w:sz w:val="52"/>
      <w:szCs w:val="52"/>
    </w:rPr>
  </w:style>
  <w:style w:type="character" w:customStyle="1" w:styleId="TitreCar">
    <w:name w:val="Titre Car"/>
    <w:basedOn w:val="Policepardfaut"/>
    <w:link w:val="Titre"/>
    <w:uiPriority w:val="10"/>
    <w:rsid w:val="00A626A2"/>
    <w:rPr>
      <w:rFonts w:ascii="Arial" w:eastAsiaTheme="majorEastAsia" w:hAnsi="Arial" w:cstheme="majorBidi"/>
      <w:color w:val="122255"/>
      <w:spacing w:val="5"/>
      <w:kern w:val="28"/>
      <w:sz w:val="52"/>
      <w:szCs w:val="52"/>
      <w:shd w:val="clear" w:color="auto" w:fill="FFFFFF" w:themeFill="background1"/>
    </w:rPr>
  </w:style>
  <w:style w:type="character" w:customStyle="1" w:styleId="Titre2Car">
    <w:name w:val="Titre 2 Car"/>
    <w:basedOn w:val="Policepardfaut"/>
    <w:link w:val="Titre2"/>
    <w:uiPriority w:val="9"/>
    <w:rsid w:val="00347E10"/>
    <w:rPr>
      <w:rFonts w:ascii="Arial" w:eastAsiaTheme="majorEastAsia" w:hAnsi="Arial" w:cstheme="majorBidi"/>
      <w:b/>
      <w:bCs/>
      <w:color w:val="122255"/>
      <w:sz w:val="28"/>
      <w:szCs w:val="26"/>
    </w:rPr>
  </w:style>
  <w:style w:type="paragraph" w:styleId="En-tte">
    <w:name w:val="header"/>
    <w:basedOn w:val="Normal"/>
    <w:link w:val="En-tteCar"/>
    <w:uiPriority w:val="99"/>
    <w:unhideWhenUsed/>
    <w:rsid w:val="00F425DB"/>
    <w:pPr>
      <w:tabs>
        <w:tab w:val="center" w:pos="4536"/>
        <w:tab w:val="right" w:pos="9072"/>
      </w:tabs>
      <w:spacing w:after="0" w:line="240" w:lineRule="auto"/>
    </w:pPr>
  </w:style>
  <w:style w:type="character" w:customStyle="1" w:styleId="En-tteCar">
    <w:name w:val="En-tête Car"/>
    <w:basedOn w:val="Policepardfaut"/>
    <w:link w:val="En-tte"/>
    <w:uiPriority w:val="99"/>
    <w:rsid w:val="00F425DB"/>
  </w:style>
  <w:style w:type="paragraph" w:styleId="Pieddepage">
    <w:name w:val="footer"/>
    <w:basedOn w:val="Normal"/>
    <w:link w:val="PieddepageCar"/>
    <w:uiPriority w:val="99"/>
    <w:unhideWhenUsed/>
    <w:rsid w:val="00F425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5DB"/>
  </w:style>
  <w:style w:type="paragraph" w:styleId="Paragraphedeliste">
    <w:name w:val="List Paragraph"/>
    <w:basedOn w:val="Normal"/>
    <w:uiPriority w:val="34"/>
    <w:qFormat/>
    <w:rsid w:val="00926398"/>
    <w:pPr>
      <w:ind w:left="720"/>
      <w:contextualSpacing/>
    </w:pPr>
  </w:style>
  <w:style w:type="table" w:styleId="Grilledutableau">
    <w:name w:val="Table Grid"/>
    <w:basedOn w:val="TableauNormal"/>
    <w:uiPriority w:val="59"/>
    <w:rsid w:val="005A6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347E10"/>
    <w:rPr>
      <w:rFonts w:ascii="Arial" w:eastAsiaTheme="majorEastAsia" w:hAnsi="Arial" w:cstheme="majorBidi"/>
      <w:b/>
      <w:bCs/>
      <w:color w:val="122255"/>
      <w:sz w:val="24"/>
    </w:rPr>
  </w:style>
  <w:style w:type="character" w:customStyle="1" w:styleId="Titre1Car">
    <w:name w:val="Titre 1 Car"/>
    <w:basedOn w:val="Policepardfaut"/>
    <w:link w:val="Titre1"/>
    <w:uiPriority w:val="9"/>
    <w:rsid w:val="00347E10"/>
    <w:rPr>
      <w:rFonts w:ascii="Arial" w:eastAsiaTheme="majorEastAsia" w:hAnsi="Arial" w:cstheme="majorBidi"/>
      <w:b/>
      <w:bCs/>
      <w:color w:val="122255"/>
      <w:sz w:val="32"/>
      <w:szCs w:val="28"/>
    </w:rPr>
  </w:style>
  <w:style w:type="character" w:customStyle="1" w:styleId="Titre4Car">
    <w:name w:val="Titre 4 Car"/>
    <w:aliases w:val="Texte résumé Car"/>
    <w:basedOn w:val="Policepardfaut"/>
    <w:link w:val="Titre4"/>
    <w:uiPriority w:val="9"/>
    <w:rsid w:val="00DB2BFA"/>
    <w:rPr>
      <w:rFonts w:ascii="Arial" w:eastAsiaTheme="majorEastAsia" w:hAnsi="Arial" w:cstheme="majorBidi"/>
      <w:bCs/>
      <w:iCs/>
      <w:sz w:val="20"/>
    </w:rPr>
  </w:style>
  <w:style w:type="paragraph" w:styleId="Sous-titre">
    <w:name w:val="Subtitle"/>
    <w:basedOn w:val="Normal"/>
    <w:next w:val="Normal"/>
    <w:link w:val="Sous-titreCar"/>
    <w:uiPriority w:val="11"/>
    <w:qFormat/>
    <w:rsid w:val="00D4689D"/>
    <w:pPr>
      <w:numPr>
        <w:ilvl w:val="1"/>
      </w:numPr>
    </w:pPr>
    <w:rPr>
      <w:rFonts w:ascii="Times New Roman" w:eastAsiaTheme="majorEastAsia" w:hAnsi="Times New Roman" w:cstheme="majorBidi"/>
      <w:i/>
      <w:iCs/>
      <w:color w:val="0D0D0D" w:themeColor="text1" w:themeTint="F2"/>
      <w:spacing w:val="15"/>
      <w:sz w:val="24"/>
      <w:szCs w:val="24"/>
    </w:rPr>
  </w:style>
  <w:style w:type="character" w:customStyle="1" w:styleId="Sous-titreCar">
    <w:name w:val="Sous-titre Car"/>
    <w:basedOn w:val="Policepardfaut"/>
    <w:link w:val="Sous-titre"/>
    <w:uiPriority w:val="11"/>
    <w:rsid w:val="00D4689D"/>
    <w:rPr>
      <w:rFonts w:ascii="Times New Roman" w:eastAsiaTheme="majorEastAsia" w:hAnsi="Times New Roman" w:cstheme="majorBidi"/>
      <w:i/>
      <w:iCs/>
      <w:color w:val="0D0D0D" w:themeColor="text1" w:themeTint="F2"/>
      <w:spacing w:val="15"/>
      <w:sz w:val="24"/>
      <w:szCs w:val="24"/>
    </w:rPr>
  </w:style>
  <w:style w:type="character" w:customStyle="1" w:styleId="Titre5Car">
    <w:name w:val="Titre 5 Car"/>
    <w:aliases w:val="Copyright Car"/>
    <w:basedOn w:val="Policepardfaut"/>
    <w:link w:val="Titre5"/>
    <w:uiPriority w:val="9"/>
    <w:rsid w:val="004C458A"/>
    <w:rPr>
      <w:rFonts w:ascii="Arial" w:eastAsiaTheme="majorEastAsia" w:hAnsi="Arial" w:cstheme="majorBidi"/>
      <w:sz w:val="16"/>
      <w:shd w:val="clear" w:color="auto" w:fill="E6A300"/>
    </w:rPr>
  </w:style>
  <w:style w:type="paragraph" w:styleId="Notedebasdepage">
    <w:name w:val="footnote text"/>
    <w:basedOn w:val="Normal"/>
    <w:link w:val="NotedebasdepageCar"/>
    <w:uiPriority w:val="99"/>
    <w:semiHidden/>
    <w:rsid w:val="00067894"/>
    <w:pPr>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0"/>
      <w:lang w:eastAsia="fr-FR"/>
    </w:rPr>
  </w:style>
  <w:style w:type="character" w:customStyle="1" w:styleId="NotedebasdepageCar">
    <w:name w:val="Note de bas de page Car"/>
    <w:basedOn w:val="Policepardfaut"/>
    <w:link w:val="Notedebasdepage"/>
    <w:uiPriority w:val="99"/>
    <w:semiHidden/>
    <w:rsid w:val="00067894"/>
    <w:rPr>
      <w:rFonts w:ascii="Times New Roman" w:eastAsia="Times New Roman" w:hAnsi="Times New Roman" w:cs="Arial"/>
      <w:sz w:val="24"/>
      <w:szCs w:val="20"/>
      <w:lang w:eastAsia="fr-FR"/>
    </w:rPr>
  </w:style>
  <w:style w:type="character" w:styleId="Marquedecommentaire">
    <w:name w:val="annotation reference"/>
    <w:basedOn w:val="Policepardfaut"/>
    <w:uiPriority w:val="99"/>
    <w:semiHidden/>
    <w:unhideWhenUsed/>
    <w:rsid w:val="000E580F"/>
    <w:rPr>
      <w:sz w:val="16"/>
      <w:szCs w:val="16"/>
    </w:rPr>
  </w:style>
  <w:style w:type="paragraph" w:styleId="Commentaire">
    <w:name w:val="annotation text"/>
    <w:basedOn w:val="Normal"/>
    <w:link w:val="CommentaireCar"/>
    <w:uiPriority w:val="99"/>
    <w:semiHidden/>
    <w:unhideWhenUsed/>
    <w:rsid w:val="000E580F"/>
    <w:pPr>
      <w:spacing w:line="240" w:lineRule="auto"/>
    </w:pPr>
    <w:rPr>
      <w:szCs w:val="20"/>
    </w:rPr>
  </w:style>
  <w:style w:type="character" w:customStyle="1" w:styleId="CommentaireCar">
    <w:name w:val="Commentaire Car"/>
    <w:basedOn w:val="Policepardfaut"/>
    <w:link w:val="Commentaire"/>
    <w:uiPriority w:val="99"/>
    <w:semiHidden/>
    <w:rsid w:val="000E580F"/>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0E580F"/>
    <w:rPr>
      <w:b/>
      <w:bCs/>
    </w:rPr>
  </w:style>
  <w:style w:type="character" w:customStyle="1" w:styleId="ObjetducommentaireCar">
    <w:name w:val="Objet du commentaire Car"/>
    <w:basedOn w:val="CommentaireCar"/>
    <w:link w:val="Objetducommentaire"/>
    <w:uiPriority w:val="99"/>
    <w:semiHidden/>
    <w:rsid w:val="000E580F"/>
    <w:rPr>
      <w:rFonts w:ascii="Arial" w:hAnsi="Arial"/>
      <w:b/>
      <w:bCs/>
      <w:sz w:val="20"/>
      <w:szCs w:val="20"/>
    </w:rPr>
  </w:style>
  <w:style w:type="character" w:styleId="Appelnotedebasdep">
    <w:name w:val="footnote reference"/>
    <w:basedOn w:val="Policepardfaut"/>
    <w:uiPriority w:val="99"/>
    <w:semiHidden/>
    <w:unhideWhenUsed/>
    <w:rsid w:val="001963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179288">
      <w:bodyDiv w:val="1"/>
      <w:marLeft w:val="0"/>
      <w:marRight w:val="0"/>
      <w:marTop w:val="0"/>
      <w:marBottom w:val="0"/>
      <w:divBdr>
        <w:top w:val="none" w:sz="0" w:space="0" w:color="auto"/>
        <w:left w:val="none" w:sz="0" w:space="0" w:color="auto"/>
        <w:bottom w:val="none" w:sz="0" w:space="0" w:color="auto"/>
        <w:right w:val="none" w:sz="0" w:space="0" w:color="auto"/>
      </w:divBdr>
    </w:div>
    <w:div w:id="248125072">
      <w:bodyDiv w:val="1"/>
      <w:marLeft w:val="0"/>
      <w:marRight w:val="0"/>
      <w:marTop w:val="0"/>
      <w:marBottom w:val="0"/>
      <w:divBdr>
        <w:top w:val="none" w:sz="0" w:space="0" w:color="auto"/>
        <w:left w:val="none" w:sz="0" w:space="0" w:color="auto"/>
        <w:bottom w:val="none" w:sz="0" w:space="0" w:color="auto"/>
        <w:right w:val="none" w:sz="0" w:space="0" w:color="auto"/>
      </w:divBdr>
    </w:div>
    <w:div w:id="506481785">
      <w:bodyDiv w:val="1"/>
      <w:marLeft w:val="0"/>
      <w:marRight w:val="0"/>
      <w:marTop w:val="0"/>
      <w:marBottom w:val="0"/>
      <w:divBdr>
        <w:top w:val="none" w:sz="0" w:space="0" w:color="auto"/>
        <w:left w:val="none" w:sz="0" w:space="0" w:color="auto"/>
        <w:bottom w:val="none" w:sz="0" w:space="0" w:color="auto"/>
        <w:right w:val="none" w:sz="0" w:space="0" w:color="auto"/>
      </w:divBdr>
    </w:div>
    <w:div w:id="876704195">
      <w:bodyDiv w:val="1"/>
      <w:marLeft w:val="0"/>
      <w:marRight w:val="0"/>
      <w:marTop w:val="0"/>
      <w:marBottom w:val="0"/>
      <w:divBdr>
        <w:top w:val="none" w:sz="0" w:space="0" w:color="auto"/>
        <w:left w:val="none" w:sz="0" w:space="0" w:color="auto"/>
        <w:bottom w:val="none" w:sz="0" w:space="0" w:color="auto"/>
        <w:right w:val="none" w:sz="0" w:space="0" w:color="auto"/>
      </w:divBdr>
      <w:divsChild>
        <w:div w:id="1316491390">
          <w:marLeft w:val="300"/>
          <w:marRight w:val="0"/>
          <w:marTop w:val="375"/>
          <w:marBottom w:val="225"/>
          <w:divBdr>
            <w:top w:val="none" w:sz="0" w:space="0" w:color="auto"/>
            <w:left w:val="none" w:sz="0" w:space="0" w:color="auto"/>
            <w:bottom w:val="none" w:sz="0" w:space="0" w:color="auto"/>
            <w:right w:val="none" w:sz="0" w:space="0" w:color="auto"/>
          </w:divBdr>
          <w:divsChild>
            <w:div w:id="1973828614">
              <w:marLeft w:val="0"/>
              <w:marRight w:val="0"/>
              <w:marTop w:val="0"/>
              <w:marBottom w:val="0"/>
              <w:divBdr>
                <w:top w:val="none" w:sz="0" w:space="0" w:color="auto"/>
                <w:left w:val="none" w:sz="0" w:space="0" w:color="auto"/>
                <w:bottom w:val="none" w:sz="0" w:space="0" w:color="auto"/>
                <w:right w:val="none" w:sz="0" w:space="0" w:color="auto"/>
              </w:divBdr>
              <w:divsChild>
                <w:div w:id="1374696158">
                  <w:marLeft w:val="0"/>
                  <w:marRight w:val="0"/>
                  <w:marTop w:val="0"/>
                  <w:marBottom w:val="0"/>
                  <w:divBdr>
                    <w:top w:val="none" w:sz="0" w:space="0" w:color="auto"/>
                    <w:left w:val="none" w:sz="0" w:space="0" w:color="auto"/>
                    <w:bottom w:val="none" w:sz="0" w:space="0" w:color="auto"/>
                    <w:right w:val="none" w:sz="0" w:space="0" w:color="auto"/>
                  </w:divBdr>
                  <w:divsChild>
                    <w:div w:id="143547384">
                      <w:marLeft w:val="0"/>
                      <w:marRight w:val="0"/>
                      <w:marTop w:val="0"/>
                      <w:marBottom w:val="0"/>
                      <w:divBdr>
                        <w:top w:val="none" w:sz="0" w:space="0" w:color="auto"/>
                        <w:left w:val="none" w:sz="0" w:space="0" w:color="auto"/>
                        <w:bottom w:val="none" w:sz="0" w:space="0" w:color="auto"/>
                        <w:right w:val="none" w:sz="0" w:space="0" w:color="auto"/>
                      </w:divBdr>
                      <w:divsChild>
                        <w:div w:id="3883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262540">
      <w:bodyDiv w:val="1"/>
      <w:marLeft w:val="0"/>
      <w:marRight w:val="0"/>
      <w:marTop w:val="0"/>
      <w:marBottom w:val="0"/>
      <w:divBdr>
        <w:top w:val="none" w:sz="0" w:space="0" w:color="auto"/>
        <w:left w:val="none" w:sz="0" w:space="0" w:color="auto"/>
        <w:bottom w:val="none" w:sz="0" w:space="0" w:color="auto"/>
        <w:right w:val="none" w:sz="0" w:space="0" w:color="auto"/>
      </w:divBdr>
    </w:div>
    <w:div w:id="1661084075">
      <w:bodyDiv w:val="1"/>
      <w:marLeft w:val="0"/>
      <w:marRight w:val="0"/>
      <w:marTop w:val="0"/>
      <w:marBottom w:val="0"/>
      <w:divBdr>
        <w:top w:val="none" w:sz="0" w:space="0" w:color="auto"/>
        <w:left w:val="none" w:sz="0" w:space="0" w:color="auto"/>
        <w:bottom w:val="none" w:sz="0" w:space="0" w:color="auto"/>
        <w:right w:val="none" w:sz="0" w:space="0" w:color="auto"/>
      </w:divBdr>
      <w:divsChild>
        <w:div w:id="1878200404">
          <w:marLeft w:val="300"/>
          <w:marRight w:val="0"/>
          <w:marTop w:val="375"/>
          <w:marBottom w:val="225"/>
          <w:divBdr>
            <w:top w:val="none" w:sz="0" w:space="0" w:color="auto"/>
            <w:left w:val="none" w:sz="0" w:space="0" w:color="auto"/>
            <w:bottom w:val="none" w:sz="0" w:space="0" w:color="auto"/>
            <w:right w:val="none" w:sz="0" w:space="0" w:color="auto"/>
          </w:divBdr>
          <w:divsChild>
            <w:div w:id="709569375">
              <w:marLeft w:val="0"/>
              <w:marRight w:val="0"/>
              <w:marTop w:val="0"/>
              <w:marBottom w:val="0"/>
              <w:divBdr>
                <w:top w:val="none" w:sz="0" w:space="0" w:color="auto"/>
                <w:left w:val="none" w:sz="0" w:space="0" w:color="auto"/>
                <w:bottom w:val="none" w:sz="0" w:space="0" w:color="auto"/>
                <w:right w:val="none" w:sz="0" w:space="0" w:color="auto"/>
              </w:divBdr>
              <w:divsChild>
                <w:div w:id="375204544">
                  <w:marLeft w:val="0"/>
                  <w:marRight w:val="0"/>
                  <w:marTop w:val="0"/>
                  <w:marBottom w:val="0"/>
                  <w:divBdr>
                    <w:top w:val="none" w:sz="0" w:space="0" w:color="auto"/>
                    <w:left w:val="none" w:sz="0" w:space="0" w:color="auto"/>
                    <w:bottom w:val="none" w:sz="0" w:space="0" w:color="auto"/>
                    <w:right w:val="none" w:sz="0" w:space="0" w:color="auto"/>
                  </w:divBdr>
                </w:div>
                <w:div w:id="583227115">
                  <w:marLeft w:val="0"/>
                  <w:marRight w:val="0"/>
                  <w:marTop w:val="0"/>
                  <w:marBottom w:val="0"/>
                  <w:divBdr>
                    <w:top w:val="none" w:sz="0" w:space="0" w:color="auto"/>
                    <w:left w:val="none" w:sz="0" w:space="0" w:color="auto"/>
                    <w:bottom w:val="none" w:sz="0" w:space="0" w:color="auto"/>
                    <w:right w:val="none" w:sz="0" w:space="0" w:color="auto"/>
                  </w:divBdr>
                  <w:divsChild>
                    <w:div w:id="1917010926">
                      <w:marLeft w:val="0"/>
                      <w:marRight w:val="0"/>
                      <w:marTop w:val="0"/>
                      <w:marBottom w:val="0"/>
                      <w:divBdr>
                        <w:top w:val="none" w:sz="0" w:space="0" w:color="auto"/>
                        <w:left w:val="none" w:sz="0" w:space="0" w:color="auto"/>
                        <w:bottom w:val="none" w:sz="0" w:space="0" w:color="auto"/>
                        <w:right w:val="none" w:sz="0" w:space="0" w:color="auto"/>
                      </w:divBdr>
                      <w:divsChild>
                        <w:div w:id="1948386814">
                          <w:marLeft w:val="0"/>
                          <w:marRight w:val="0"/>
                          <w:marTop w:val="0"/>
                          <w:marBottom w:val="0"/>
                          <w:divBdr>
                            <w:top w:val="none" w:sz="0" w:space="0" w:color="auto"/>
                            <w:left w:val="none" w:sz="0" w:space="0" w:color="auto"/>
                            <w:bottom w:val="none" w:sz="0" w:space="0" w:color="auto"/>
                            <w:right w:val="none" w:sz="0" w:space="0" w:color="auto"/>
                          </w:divBdr>
                          <w:divsChild>
                            <w:div w:id="251016775">
                              <w:marLeft w:val="0"/>
                              <w:marRight w:val="0"/>
                              <w:marTop w:val="15"/>
                              <w:marBottom w:val="0"/>
                              <w:divBdr>
                                <w:top w:val="none" w:sz="0" w:space="0" w:color="auto"/>
                                <w:left w:val="none" w:sz="0" w:space="0" w:color="auto"/>
                                <w:bottom w:val="none" w:sz="0" w:space="0" w:color="auto"/>
                                <w:right w:val="none" w:sz="0" w:space="0" w:color="auto"/>
                              </w:divBdr>
                            </w:div>
                            <w:div w:id="1493136400">
                              <w:marLeft w:val="0"/>
                              <w:marRight w:val="0"/>
                              <w:marTop w:val="15"/>
                              <w:marBottom w:val="0"/>
                              <w:divBdr>
                                <w:top w:val="none" w:sz="0" w:space="0" w:color="auto"/>
                                <w:left w:val="none" w:sz="0" w:space="0" w:color="auto"/>
                                <w:bottom w:val="none" w:sz="0" w:space="0" w:color="auto"/>
                                <w:right w:val="none" w:sz="0" w:space="0" w:color="auto"/>
                              </w:divBdr>
                            </w:div>
                            <w:div w:id="124827403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054447">
      <w:bodyDiv w:val="1"/>
      <w:marLeft w:val="0"/>
      <w:marRight w:val="0"/>
      <w:marTop w:val="0"/>
      <w:marBottom w:val="0"/>
      <w:divBdr>
        <w:top w:val="none" w:sz="0" w:space="0" w:color="auto"/>
        <w:left w:val="none" w:sz="0" w:space="0" w:color="auto"/>
        <w:bottom w:val="none" w:sz="0" w:space="0" w:color="auto"/>
        <w:right w:val="none" w:sz="0" w:space="0" w:color="auto"/>
      </w:divBdr>
    </w:div>
    <w:div w:id="2103525887">
      <w:bodyDiv w:val="1"/>
      <w:marLeft w:val="0"/>
      <w:marRight w:val="0"/>
      <w:marTop w:val="0"/>
      <w:marBottom w:val="0"/>
      <w:divBdr>
        <w:top w:val="none" w:sz="0" w:space="0" w:color="auto"/>
        <w:left w:val="none" w:sz="0" w:space="0" w:color="auto"/>
        <w:bottom w:val="none" w:sz="0" w:space="0" w:color="auto"/>
        <w:right w:val="none" w:sz="0" w:space="0" w:color="auto"/>
      </w:divBdr>
      <w:divsChild>
        <w:div w:id="1350791836">
          <w:marLeft w:val="0"/>
          <w:marRight w:val="0"/>
          <w:marTop w:val="100"/>
          <w:marBottom w:val="100"/>
          <w:divBdr>
            <w:top w:val="none" w:sz="0" w:space="0" w:color="auto"/>
            <w:left w:val="single" w:sz="6" w:space="0" w:color="8E8F92"/>
            <w:bottom w:val="none" w:sz="0" w:space="0" w:color="auto"/>
            <w:right w:val="single" w:sz="6" w:space="0" w:color="8E8F92"/>
          </w:divBdr>
          <w:divsChild>
            <w:div w:id="241137344">
              <w:marLeft w:val="300"/>
              <w:marRight w:val="750"/>
              <w:marTop w:val="150"/>
              <w:marBottom w:val="150"/>
              <w:divBdr>
                <w:top w:val="dotted" w:sz="6" w:space="0" w:color="E8E5D6"/>
                <w:left w:val="dotted" w:sz="6" w:space="0" w:color="E8E5D6"/>
                <w:bottom w:val="dotted" w:sz="6" w:space="0" w:color="E8E5D6"/>
                <w:right w:val="dotted" w:sz="6" w:space="0" w:color="E8E5D6"/>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52C76-2A28-4FC6-9247-A0C03E80E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ACD7E1E5.dotm</Template>
  <TotalTime>28</TotalTime>
  <Pages>2</Pages>
  <Words>1379</Words>
  <Characters>7585</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DG Tresor</Company>
  <LinksUpToDate>false</LinksUpToDate>
  <CharactersWithSpaces>8947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Faten.BOUKHCHANA@dgtresor.gouv.fr</dc:creator>
  <cp:lastModifiedBy>DE WARREN Grégoire</cp:lastModifiedBy>
  <cp:revision>7</cp:revision>
  <cp:lastPrinted>2016-02-15T09:33:00Z</cp:lastPrinted>
  <dcterms:created xsi:type="dcterms:W3CDTF">2018-01-09T11:41:00Z</dcterms:created>
  <dcterms:modified xsi:type="dcterms:W3CDTF">2018-01-22T10:57:00Z</dcterms:modified>
</cp:coreProperties>
</file>