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3E22" w14:textId="56F21EED" w:rsidR="00894A24" w:rsidRPr="00D868E5" w:rsidRDefault="0048477D" w:rsidP="00522E98">
      <w:pPr>
        <w:tabs>
          <w:tab w:val="left" w:pos="9155"/>
        </w:tabs>
        <w:spacing w:after="0" w:line="240" w:lineRule="auto"/>
        <w:ind w:left="0" w:right="0" w:firstLine="0"/>
        <w:jc w:val="right"/>
        <w:rPr>
          <w:rFonts w:ascii="Arial" w:eastAsia="Arial" w:hAnsi="Arial" w:cs="Arial"/>
          <w:bCs/>
          <w:sz w:val="24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6A1C08" wp14:editId="208F60F8">
                <wp:simplePos x="0" y="0"/>
                <wp:positionH relativeFrom="column">
                  <wp:posOffset>-108585</wp:posOffset>
                </wp:positionH>
                <wp:positionV relativeFrom="paragraph">
                  <wp:posOffset>25</wp:posOffset>
                </wp:positionV>
                <wp:extent cx="1461770" cy="812165"/>
                <wp:effectExtent l="0" t="0" r="0" b="0"/>
                <wp:wrapSquare wrapText="bothSides"/>
                <wp:docPr id="5042" name="Group 5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770" cy="812165"/>
                          <a:chOff x="0" y="0"/>
                          <a:chExt cx="1581023" cy="96647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588" y="36550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4974F" w14:textId="77777777" w:rsidR="00894A24" w:rsidRDefault="007721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88" y="536957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A3E45" w14:textId="77777777" w:rsidR="00894A24" w:rsidRDefault="007721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023" cy="9664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1588" y="686753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4C6A3" w14:textId="77777777" w:rsidR="00894A24" w:rsidRDefault="007721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6A1C08" id="Group 5042" o:spid="_x0000_s1026" style="position:absolute;left:0;text-align:left;margin-left:-8.55pt;margin-top:0;width:115.1pt;height:63.95pt;z-index:251658240;mso-width-relative:margin;mso-height-relative:margin" coordsize="15810,9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">
                <v:rect id="Rectangle 10" o:spid="_x0000_s1027" style="position:absolute;left:15;top:365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634974F" w14:textId="77777777" w:rsidR="00894A24" w:rsidRDefault="007721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8" style="position:absolute;left:15;top:5369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B0A3E45" w14:textId="77777777" w:rsidR="00894A24" w:rsidRDefault="007721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width:15810;height:9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">
                  <v:imagedata r:id="rId12" o:title=""/>
                </v:shape>
                <v:rect id="Rectangle 15" o:spid="_x0000_s1030" style="position:absolute;left:15;top:6867;width:517;height:2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1B4C6A3" w14:textId="77777777" w:rsidR="00894A24" w:rsidRDefault="007721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14:paraId="5DD17D51" w14:textId="1BEEE426" w:rsidR="0030454F" w:rsidRPr="00D868E5" w:rsidRDefault="0030454F" w:rsidP="00A64714">
      <w:pPr>
        <w:spacing w:after="0" w:line="240" w:lineRule="auto"/>
        <w:ind w:left="0" w:right="0" w:firstLine="0"/>
        <w:jc w:val="right"/>
        <w:rPr>
          <w:bCs/>
        </w:rPr>
      </w:pPr>
    </w:p>
    <w:p w14:paraId="644D67DB" w14:textId="57399410" w:rsidR="00894A24" w:rsidRPr="00D868E5" w:rsidRDefault="00894A24" w:rsidP="00A64714">
      <w:pPr>
        <w:spacing w:after="0" w:line="240" w:lineRule="auto"/>
        <w:ind w:left="0" w:right="0" w:firstLine="0"/>
        <w:jc w:val="right"/>
        <w:rPr>
          <w:rFonts w:ascii="Arial" w:eastAsia="Arial" w:hAnsi="Arial" w:cs="Arial"/>
          <w:bCs/>
          <w:sz w:val="24"/>
        </w:rPr>
      </w:pPr>
    </w:p>
    <w:p w14:paraId="60C9B5DA" w14:textId="77777777" w:rsidR="00ED2A33" w:rsidRPr="00185E6A" w:rsidRDefault="00ED2A33" w:rsidP="0046269B">
      <w:pPr>
        <w:spacing w:after="0" w:line="240" w:lineRule="auto"/>
        <w:ind w:left="0" w:right="11" w:firstLine="0"/>
        <w:jc w:val="right"/>
        <w:rPr>
          <w:sz w:val="16"/>
          <w:szCs w:val="16"/>
        </w:rPr>
      </w:pPr>
      <w:r w:rsidRPr="00185E6A">
        <w:rPr>
          <w:rFonts w:eastAsia="Arial"/>
          <w:b/>
          <w:sz w:val="16"/>
          <w:szCs w:val="16"/>
        </w:rPr>
        <w:t>Direction générale du Trésor</w:t>
      </w:r>
    </w:p>
    <w:p w14:paraId="789DCADF" w14:textId="77777777" w:rsidR="0048477D" w:rsidRDefault="0048477D" w:rsidP="00A64714">
      <w:pPr>
        <w:spacing w:after="0" w:line="240" w:lineRule="auto"/>
        <w:ind w:left="0" w:right="0" w:firstLine="0"/>
        <w:jc w:val="right"/>
      </w:pPr>
    </w:p>
    <w:p w14:paraId="4097BF43" w14:textId="47544C9C" w:rsidR="00894A24" w:rsidRPr="00237264" w:rsidRDefault="00772141" w:rsidP="005A2118">
      <w:pPr>
        <w:tabs>
          <w:tab w:val="left" w:pos="6237"/>
          <w:tab w:val="left" w:pos="7513"/>
          <w:tab w:val="center" w:pos="7732"/>
          <w:tab w:val="left" w:pos="8505"/>
        </w:tabs>
        <w:spacing w:after="0" w:line="240" w:lineRule="auto"/>
        <w:ind w:left="0" w:right="-99" w:firstLine="0"/>
        <w:jc w:val="left"/>
      </w:pPr>
      <w:r w:rsidRPr="00185E6A">
        <w:rPr>
          <w:b/>
          <w:sz w:val="18"/>
          <w:szCs w:val="18"/>
        </w:rPr>
        <w:t>Ambassade de France en Suède</w:t>
      </w:r>
      <w:r w:rsidRPr="00237264">
        <w:rPr>
          <w:b/>
        </w:rPr>
        <w:t xml:space="preserve"> </w:t>
      </w:r>
      <w:r w:rsidRPr="00237264">
        <w:rPr>
          <w:b/>
        </w:rPr>
        <w:tab/>
      </w:r>
      <w:r w:rsidR="00FB38E6">
        <w:rPr>
          <w:b/>
        </w:rPr>
        <w:tab/>
      </w:r>
    </w:p>
    <w:p w14:paraId="189153C5" w14:textId="080BDF35" w:rsidR="00894A24" w:rsidRPr="00237264" w:rsidRDefault="00772141" w:rsidP="005A2118">
      <w:pPr>
        <w:tabs>
          <w:tab w:val="center" w:pos="7128"/>
          <w:tab w:val="left" w:pos="7371"/>
          <w:tab w:val="left" w:pos="9356"/>
        </w:tabs>
        <w:spacing w:after="0" w:line="240" w:lineRule="auto"/>
        <w:ind w:left="0" w:right="10" w:firstLine="0"/>
      </w:pPr>
      <w:r w:rsidRPr="00185E6A">
        <w:rPr>
          <w:b/>
          <w:sz w:val="18"/>
          <w:szCs w:val="18"/>
        </w:rPr>
        <w:t>Service économique de Stockholm</w:t>
      </w:r>
      <w:r w:rsidRPr="00237264">
        <w:rPr>
          <w:sz w:val="22"/>
        </w:rPr>
        <w:t xml:space="preserve"> </w:t>
      </w:r>
      <w:r w:rsidRPr="00237264">
        <w:rPr>
          <w:sz w:val="22"/>
        </w:rPr>
        <w:tab/>
      </w:r>
      <w:r w:rsidR="00FB38E6">
        <w:rPr>
          <w:sz w:val="22"/>
        </w:rPr>
        <w:tab/>
      </w:r>
    </w:p>
    <w:p w14:paraId="1A476BA9" w14:textId="6A6C97B9" w:rsidR="00894A24" w:rsidRPr="00185E6A" w:rsidRDefault="00772141" w:rsidP="0046269B">
      <w:pPr>
        <w:pStyle w:val="Titre1"/>
        <w:spacing w:before="120" w:after="120" w:line="240" w:lineRule="auto"/>
        <w:ind w:right="153"/>
        <w:rPr>
          <w:sz w:val="28"/>
          <w:szCs w:val="28"/>
        </w:rPr>
      </w:pPr>
      <w:r w:rsidRPr="00185E6A">
        <w:rPr>
          <w:sz w:val="28"/>
          <w:szCs w:val="28"/>
        </w:rPr>
        <w:t>Suède : Situation économique et financière</w:t>
      </w:r>
    </w:p>
    <w:p w14:paraId="40F9E39F" w14:textId="561A5B27" w:rsidR="00894A24" w:rsidRPr="00984071" w:rsidRDefault="00772141" w:rsidP="00D90E32">
      <w:pPr>
        <w:spacing w:after="0" w:line="240" w:lineRule="auto"/>
        <w:ind w:left="-6" w:right="130" w:hanging="11"/>
        <w:rPr>
          <w:color w:val="006CE5"/>
          <w:szCs w:val="20"/>
        </w:rPr>
      </w:pPr>
      <w:r w:rsidRPr="00CE78B0">
        <w:rPr>
          <w:color w:val="006CE5"/>
          <w:szCs w:val="20"/>
        </w:rPr>
        <w:t>Résumé</w:t>
      </w:r>
      <w:r w:rsidR="00737BF8" w:rsidRPr="00CE78B0">
        <w:rPr>
          <w:color w:val="006CE5"/>
          <w:szCs w:val="20"/>
        </w:rPr>
        <w:t xml:space="preserve"> </w:t>
      </w:r>
      <w:r w:rsidRPr="00CE78B0">
        <w:rPr>
          <w:color w:val="006CE5"/>
          <w:szCs w:val="20"/>
        </w:rPr>
        <w:t>:</w:t>
      </w:r>
      <w:r w:rsidR="00984071">
        <w:rPr>
          <w:color w:val="006CE5"/>
          <w:szCs w:val="20"/>
        </w:rPr>
        <w:t xml:space="preserve"> </w:t>
      </w:r>
      <w:r w:rsidR="00672C76" w:rsidRPr="00CE78B0">
        <w:rPr>
          <w:color w:val="006CE5"/>
          <w:szCs w:val="20"/>
        </w:rPr>
        <w:t xml:space="preserve">La Suède a connu </w:t>
      </w:r>
      <w:r w:rsidRPr="00CE78B0">
        <w:rPr>
          <w:color w:val="006CE5"/>
          <w:szCs w:val="20"/>
        </w:rPr>
        <w:t>ces deux dernières décennies des performances économiques remarquables</w:t>
      </w:r>
      <w:r w:rsidR="00CB639F" w:rsidRPr="00CE78B0">
        <w:rPr>
          <w:color w:val="006CE5"/>
          <w:szCs w:val="20"/>
        </w:rPr>
        <w:t xml:space="preserve"> </w:t>
      </w:r>
      <w:bookmarkStart w:id="0" w:name="_Hlk162449993"/>
      <w:r w:rsidR="00CB639F" w:rsidRPr="00CE78B0">
        <w:rPr>
          <w:color w:val="006CE5"/>
          <w:szCs w:val="20"/>
        </w:rPr>
        <w:t>(</w:t>
      </w:r>
      <w:bookmarkStart w:id="1" w:name="_Hlk162440701"/>
      <w:r w:rsidR="00CB639F" w:rsidRPr="00CE78B0">
        <w:rPr>
          <w:color w:val="006CE5"/>
          <w:szCs w:val="20"/>
        </w:rPr>
        <w:t xml:space="preserve">croissance moyenne </w:t>
      </w:r>
      <w:r w:rsidR="00C750DC">
        <w:rPr>
          <w:color w:val="006CE5"/>
          <w:szCs w:val="20"/>
        </w:rPr>
        <w:t xml:space="preserve">de </w:t>
      </w:r>
      <w:r w:rsidR="00093010">
        <w:rPr>
          <w:color w:val="006CE5"/>
          <w:szCs w:val="20"/>
        </w:rPr>
        <w:t>2,3% entre 2000 et 2023</w:t>
      </w:r>
      <w:r w:rsidR="003F3ECB">
        <w:rPr>
          <w:color w:val="006CE5"/>
          <w:szCs w:val="20"/>
        </w:rPr>
        <w:t>,</w:t>
      </w:r>
      <w:r w:rsidR="00093010">
        <w:rPr>
          <w:color w:val="006CE5"/>
          <w:szCs w:val="20"/>
        </w:rPr>
        <w:t xml:space="preserve"> </w:t>
      </w:r>
      <w:bookmarkEnd w:id="0"/>
      <w:r w:rsidR="00FB38E6">
        <w:rPr>
          <w:color w:val="006CE5"/>
          <w:szCs w:val="20"/>
        </w:rPr>
        <w:t>soit une croissance supérieure à la croissance enregistrée sur la même période</w:t>
      </w:r>
      <w:r w:rsidR="001C1D4D">
        <w:rPr>
          <w:color w:val="006CE5"/>
          <w:szCs w:val="20"/>
        </w:rPr>
        <w:t xml:space="preserve"> </w:t>
      </w:r>
      <w:r w:rsidR="003F3ECB">
        <w:rPr>
          <w:color w:val="006CE5"/>
          <w:szCs w:val="20"/>
        </w:rPr>
        <w:t>dans</w:t>
      </w:r>
      <w:r w:rsidR="001C1D4D">
        <w:rPr>
          <w:color w:val="006CE5"/>
          <w:szCs w:val="20"/>
        </w:rPr>
        <w:t xml:space="preserve"> l’UE et </w:t>
      </w:r>
      <w:r w:rsidR="003F3ECB">
        <w:rPr>
          <w:color w:val="006CE5"/>
          <w:szCs w:val="20"/>
        </w:rPr>
        <w:t>dans les pays de</w:t>
      </w:r>
      <w:r w:rsidR="001C1D4D">
        <w:rPr>
          <w:color w:val="006CE5"/>
          <w:szCs w:val="20"/>
        </w:rPr>
        <w:t xml:space="preserve"> l’OCDE)</w:t>
      </w:r>
      <w:bookmarkEnd w:id="1"/>
      <w:r w:rsidR="001C1D4D">
        <w:rPr>
          <w:color w:val="006CE5"/>
          <w:szCs w:val="20"/>
        </w:rPr>
        <w:t>, n</w:t>
      </w:r>
      <w:r w:rsidRPr="00CE78B0">
        <w:rPr>
          <w:color w:val="006CE5"/>
          <w:szCs w:val="20"/>
        </w:rPr>
        <w:t xml:space="preserve">ourries par la montée en gamme de son industrie traditionnelle (automobile, chimie-pharmacie, bois) et </w:t>
      </w:r>
      <w:r w:rsidR="00265C73" w:rsidRPr="00CE78B0">
        <w:rPr>
          <w:color w:val="006CE5"/>
          <w:szCs w:val="20"/>
        </w:rPr>
        <w:t xml:space="preserve">par </w:t>
      </w:r>
      <w:r w:rsidRPr="00CE78B0">
        <w:rPr>
          <w:color w:val="006CE5"/>
          <w:szCs w:val="20"/>
        </w:rPr>
        <w:t>l’émergence de nouveaux secteurs à la frontière technologique (nombre</w:t>
      </w:r>
      <w:r w:rsidR="00984071">
        <w:rPr>
          <w:color w:val="006CE5"/>
          <w:szCs w:val="20"/>
        </w:rPr>
        <w:t xml:space="preserve"> </w:t>
      </w:r>
      <w:r w:rsidR="0057780F" w:rsidRPr="00CE78B0">
        <w:rPr>
          <w:color w:val="006CE5"/>
          <w:szCs w:val="20"/>
        </w:rPr>
        <w:t xml:space="preserve">élevé </w:t>
      </w:r>
      <w:r w:rsidRPr="00CE78B0">
        <w:rPr>
          <w:color w:val="006CE5"/>
          <w:szCs w:val="20"/>
        </w:rPr>
        <w:t>de licornes par habitant</w:t>
      </w:r>
      <w:r w:rsidR="00E67DE6" w:rsidRPr="00CE78B0">
        <w:rPr>
          <w:color w:val="006CE5"/>
          <w:szCs w:val="20"/>
        </w:rPr>
        <w:t xml:space="preserve">, projets </w:t>
      </w:r>
      <w:r w:rsidR="000F3E3F">
        <w:rPr>
          <w:color w:val="006CE5"/>
          <w:szCs w:val="20"/>
        </w:rPr>
        <w:t>d’acier vert</w:t>
      </w:r>
      <w:r w:rsidR="00E67DE6" w:rsidRPr="00CE78B0">
        <w:rPr>
          <w:color w:val="006CE5"/>
          <w:szCs w:val="20"/>
        </w:rPr>
        <w:t xml:space="preserve"> dans le nord du pays</w:t>
      </w:r>
      <w:r w:rsidRPr="00CE78B0">
        <w:rPr>
          <w:color w:val="006CE5"/>
          <w:szCs w:val="20"/>
        </w:rPr>
        <w:t xml:space="preserve">). </w:t>
      </w:r>
    </w:p>
    <w:p w14:paraId="028BDB0E" w14:textId="2B3F1A3B" w:rsidR="007B50CC" w:rsidRDefault="00305B0F" w:rsidP="00D90E32">
      <w:pPr>
        <w:spacing w:after="0" w:line="240" w:lineRule="auto"/>
        <w:rPr>
          <w:color w:val="006CE5"/>
          <w:szCs w:val="20"/>
        </w:rPr>
      </w:pPr>
      <w:bookmarkStart w:id="2" w:name="_Hlk162449951"/>
      <w:r w:rsidRPr="00CE78B0">
        <w:rPr>
          <w:color w:val="006CE5"/>
          <w:szCs w:val="20"/>
        </w:rPr>
        <w:t xml:space="preserve">En </w:t>
      </w:r>
      <w:r w:rsidR="00672C76" w:rsidRPr="00CE78B0">
        <w:rPr>
          <w:color w:val="006CE5"/>
          <w:szCs w:val="20"/>
        </w:rPr>
        <w:t>2023,</w:t>
      </w:r>
      <w:r w:rsidR="007F50FB">
        <w:rPr>
          <w:color w:val="006CE5"/>
          <w:szCs w:val="20"/>
        </w:rPr>
        <w:t xml:space="preserve"> </w:t>
      </w:r>
      <w:r w:rsidR="00C47911">
        <w:rPr>
          <w:color w:val="006CE5"/>
          <w:szCs w:val="20"/>
        </w:rPr>
        <w:t xml:space="preserve">l’économie </w:t>
      </w:r>
      <w:r w:rsidR="00E62DD9">
        <w:rPr>
          <w:color w:val="006CE5"/>
          <w:szCs w:val="20"/>
        </w:rPr>
        <w:t xml:space="preserve">est </w:t>
      </w:r>
      <w:r w:rsidR="00C47911">
        <w:rPr>
          <w:color w:val="006CE5"/>
          <w:szCs w:val="20"/>
        </w:rPr>
        <w:t xml:space="preserve">néanmoins </w:t>
      </w:r>
      <w:r w:rsidR="00E62DD9">
        <w:rPr>
          <w:color w:val="006CE5"/>
          <w:szCs w:val="20"/>
        </w:rPr>
        <w:t xml:space="preserve">entrée </w:t>
      </w:r>
      <w:r w:rsidR="00C47911">
        <w:rPr>
          <w:color w:val="006CE5"/>
          <w:szCs w:val="20"/>
        </w:rPr>
        <w:t>en récession</w:t>
      </w:r>
      <w:r w:rsidR="000303B8">
        <w:rPr>
          <w:color w:val="006CE5"/>
          <w:szCs w:val="20"/>
        </w:rPr>
        <w:t>, le P</w:t>
      </w:r>
      <w:r w:rsidR="00B1148B">
        <w:rPr>
          <w:color w:val="006CE5"/>
          <w:szCs w:val="20"/>
        </w:rPr>
        <w:t xml:space="preserve">IB </w:t>
      </w:r>
      <w:r w:rsidR="000303B8">
        <w:rPr>
          <w:color w:val="006CE5"/>
          <w:szCs w:val="20"/>
        </w:rPr>
        <w:t xml:space="preserve">affichant une contraction </w:t>
      </w:r>
      <w:r w:rsidR="00C47911">
        <w:rPr>
          <w:color w:val="006CE5"/>
          <w:szCs w:val="20"/>
        </w:rPr>
        <w:t xml:space="preserve">de </w:t>
      </w:r>
      <w:r w:rsidR="00A47768">
        <w:rPr>
          <w:color w:val="006CE5"/>
          <w:szCs w:val="20"/>
        </w:rPr>
        <w:t>-0,2%</w:t>
      </w:r>
      <w:r w:rsidR="00442872">
        <w:rPr>
          <w:color w:val="006CE5"/>
          <w:szCs w:val="20"/>
        </w:rPr>
        <w:t>,</w:t>
      </w:r>
      <w:r w:rsidR="00C47911">
        <w:rPr>
          <w:color w:val="006CE5"/>
          <w:szCs w:val="20"/>
        </w:rPr>
        <w:t xml:space="preserve"> </w:t>
      </w:r>
      <w:bookmarkEnd w:id="2"/>
      <w:r w:rsidR="00A7628D">
        <w:rPr>
          <w:color w:val="006CE5"/>
          <w:szCs w:val="20"/>
        </w:rPr>
        <w:t>dans un contexte de ralentissement mondial</w:t>
      </w:r>
      <w:r w:rsidR="008B7032" w:rsidRPr="00984071">
        <w:rPr>
          <w:color w:val="006CE5"/>
          <w:szCs w:val="20"/>
        </w:rPr>
        <w:t xml:space="preserve">. </w:t>
      </w:r>
      <w:r w:rsidR="00625A27" w:rsidRPr="00984071">
        <w:rPr>
          <w:color w:val="006CE5"/>
          <w:szCs w:val="20"/>
        </w:rPr>
        <w:t>L</w:t>
      </w:r>
      <w:r w:rsidR="00265C73" w:rsidRPr="00984071">
        <w:rPr>
          <w:color w:val="006CE5"/>
          <w:szCs w:val="20"/>
        </w:rPr>
        <w:t>es dépenses de consommation des ménages</w:t>
      </w:r>
      <w:r w:rsidR="002E43EB" w:rsidRPr="00984071">
        <w:rPr>
          <w:color w:val="006CE5"/>
          <w:szCs w:val="20"/>
        </w:rPr>
        <w:t>, principal moteur de la croissance</w:t>
      </w:r>
      <w:r w:rsidR="0050660A" w:rsidRPr="00984071">
        <w:rPr>
          <w:color w:val="006CE5"/>
          <w:szCs w:val="20"/>
        </w:rPr>
        <w:t xml:space="preserve">, </w:t>
      </w:r>
      <w:r w:rsidR="00625A27" w:rsidRPr="00984071">
        <w:rPr>
          <w:color w:val="006CE5"/>
          <w:szCs w:val="20"/>
        </w:rPr>
        <w:t>ont pâti de la flambée des prix de l’énergie et de l’alimentation</w:t>
      </w:r>
      <w:r w:rsidR="00B26C43">
        <w:rPr>
          <w:color w:val="006CE5"/>
          <w:szCs w:val="20"/>
        </w:rPr>
        <w:t xml:space="preserve"> ainsi que de l’impact de la hausse des taux d’intérêt sur le budget des ménages (dette immobilière essentiellement à taux variables)</w:t>
      </w:r>
      <w:r w:rsidR="000F69FD" w:rsidRPr="00984071">
        <w:rPr>
          <w:color w:val="006CE5"/>
          <w:szCs w:val="20"/>
        </w:rPr>
        <w:t xml:space="preserve">. </w:t>
      </w:r>
      <w:r w:rsidR="00045B9B" w:rsidRPr="00984071">
        <w:rPr>
          <w:color w:val="006CE5"/>
          <w:szCs w:val="20"/>
        </w:rPr>
        <w:t>M</w:t>
      </w:r>
      <w:r w:rsidR="008E1289" w:rsidRPr="00984071">
        <w:rPr>
          <w:color w:val="006CE5"/>
          <w:szCs w:val="20"/>
        </w:rPr>
        <w:t xml:space="preserve">algré les interventions </w:t>
      </w:r>
      <w:r w:rsidR="00B653B1" w:rsidRPr="00984071">
        <w:rPr>
          <w:color w:val="006CE5"/>
          <w:szCs w:val="20"/>
        </w:rPr>
        <w:t xml:space="preserve">successives </w:t>
      </w:r>
      <w:r w:rsidR="008E1289" w:rsidRPr="00984071">
        <w:rPr>
          <w:color w:val="006CE5"/>
          <w:szCs w:val="20"/>
        </w:rPr>
        <w:t>de la Banque centrale</w:t>
      </w:r>
      <w:r w:rsidR="00045B9B" w:rsidRPr="00984071">
        <w:rPr>
          <w:color w:val="006CE5"/>
          <w:szCs w:val="20"/>
        </w:rPr>
        <w:t xml:space="preserve"> en 2023, l’inflation (et notamment l’inflation sous-jacente) est restée élevé</w:t>
      </w:r>
      <w:r w:rsidR="00B26C43">
        <w:rPr>
          <w:color w:val="006CE5"/>
          <w:szCs w:val="20"/>
        </w:rPr>
        <w:t>e</w:t>
      </w:r>
      <w:r w:rsidR="00045B9B" w:rsidRPr="00984071">
        <w:rPr>
          <w:color w:val="006CE5"/>
          <w:szCs w:val="20"/>
        </w:rPr>
        <w:t xml:space="preserve"> </w:t>
      </w:r>
      <w:r w:rsidR="00D917C3" w:rsidRPr="00984071">
        <w:rPr>
          <w:color w:val="006CE5"/>
          <w:szCs w:val="20"/>
        </w:rPr>
        <w:t xml:space="preserve">à </w:t>
      </w:r>
      <w:r w:rsidR="003C4FEC">
        <w:rPr>
          <w:color w:val="006CE5"/>
          <w:szCs w:val="20"/>
        </w:rPr>
        <w:t>+6%</w:t>
      </w:r>
      <w:r w:rsidR="000F69FD" w:rsidRPr="00984071">
        <w:rPr>
          <w:color w:val="006CE5"/>
          <w:szCs w:val="20"/>
        </w:rPr>
        <w:t xml:space="preserve">. </w:t>
      </w:r>
      <w:r w:rsidR="006B0DBC" w:rsidRPr="00984071">
        <w:rPr>
          <w:color w:val="006CE5"/>
          <w:szCs w:val="20"/>
        </w:rPr>
        <w:t xml:space="preserve">Le </w:t>
      </w:r>
      <w:r w:rsidR="000F69FD" w:rsidRPr="00984071">
        <w:rPr>
          <w:color w:val="006CE5"/>
          <w:szCs w:val="20"/>
        </w:rPr>
        <w:t xml:space="preserve">taux de chômage est à la </w:t>
      </w:r>
      <w:r w:rsidR="00045B9B" w:rsidRPr="00984071">
        <w:rPr>
          <w:color w:val="006CE5"/>
          <w:szCs w:val="20"/>
        </w:rPr>
        <w:t>h</w:t>
      </w:r>
      <w:r w:rsidR="000F69FD" w:rsidRPr="00984071">
        <w:rPr>
          <w:color w:val="006CE5"/>
          <w:szCs w:val="20"/>
        </w:rPr>
        <w:t xml:space="preserve">ausse et devrait atteindre </w:t>
      </w:r>
      <w:r w:rsidR="003C4FEC">
        <w:rPr>
          <w:color w:val="006CE5"/>
          <w:szCs w:val="20"/>
        </w:rPr>
        <w:t>8,3%</w:t>
      </w:r>
      <w:r w:rsidR="006B0DBC" w:rsidRPr="00984071">
        <w:rPr>
          <w:color w:val="006CE5"/>
          <w:szCs w:val="20"/>
        </w:rPr>
        <w:t xml:space="preserve"> de la population active</w:t>
      </w:r>
      <w:r w:rsidR="006A4527" w:rsidRPr="00984071">
        <w:rPr>
          <w:color w:val="006CE5"/>
          <w:szCs w:val="20"/>
        </w:rPr>
        <w:t xml:space="preserve"> </w:t>
      </w:r>
      <w:r w:rsidR="000F69FD" w:rsidRPr="00984071">
        <w:rPr>
          <w:color w:val="006CE5"/>
          <w:szCs w:val="20"/>
        </w:rPr>
        <w:t>en 2024</w:t>
      </w:r>
      <w:r w:rsidR="00CB4530">
        <w:rPr>
          <w:color w:val="006CE5"/>
          <w:szCs w:val="20"/>
        </w:rPr>
        <w:t>,</w:t>
      </w:r>
      <w:r w:rsidR="001C6F57">
        <w:rPr>
          <w:color w:val="006CE5"/>
          <w:szCs w:val="20"/>
        </w:rPr>
        <w:t xml:space="preserve"> contre 7,7</w:t>
      </w:r>
      <w:r w:rsidR="00AE7D90">
        <w:rPr>
          <w:color w:val="006CE5"/>
          <w:szCs w:val="20"/>
        </w:rPr>
        <w:t>%</w:t>
      </w:r>
      <w:r w:rsidR="001C6F57">
        <w:rPr>
          <w:color w:val="006CE5"/>
          <w:szCs w:val="20"/>
        </w:rPr>
        <w:t xml:space="preserve"> en 2023</w:t>
      </w:r>
      <w:r w:rsidR="007B50CC" w:rsidRPr="00984071">
        <w:rPr>
          <w:color w:val="006CE5"/>
          <w:szCs w:val="20"/>
        </w:rPr>
        <w:t xml:space="preserve">. </w:t>
      </w:r>
      <w:r w:rsidR="007B50CC" w:rsidRPr="003F6E43">
        <w:rPr>
          <w:color w:val="006CE5"/>
          <w:szCs w:val="20"/>
          <w:u w:val="single"/>
        </w:rPr>
        <w:t xml:space="preserve">Le </w:t>
      </w:r>
      <w:r w:rsidR="00EC28B4" w:rsidRPr="003F6E43">
        <w:rPr>
          <w:color w:val="006CE5"/>
          <w:szCs w:val="20"/>
          <w:u w:val="single"/>
        </w:rPr>
        <w:t>déficit</w:t>
      </w:r>
      <w:r w:rsidR="007B50CC" w:rsidRPr="003F6E43">
        <w:rPr>
          <w:color w:val="006CE5"/>
          <w:szCs w:val="20"/>
          <w:u w:val="single"/>
        </w:rPr>
        <w:t xml:space="preserve"> budgétaire des administrations publiques </w:t>
      </w:r>
      <w:r w:rsidR="00CB4530" w:rsidRPr="003F6E43">
        <w:rPr>
          <w:color w:val="006CE5"/>
          <w:szCs w:val="20"/>
          <w:u w:val="single"/>
        </w:rPr>
        <w:t>s’est creusé à</w:t>
      </w:r>
      <w:r w:rsidR="002B28EB" w:rsidRPr="003F6E43">
        <w:rPr>
          <w:color w:val="006CE5"/>
          <w:szCs w:val="20"/>
          <w:u w:val="single"/>
        </w:rPr>
        <w:t xml:space="preserve"> </w:t>
      </w:r>
      <w:r w:rsidR="003C4FEC" w:rsidRPr="003F6E43">
        <w:rPr>
          <w:color w:val="006CE5"/>
          <w:szCs w:val="20"/>
          <w:u w:val="single"/>
        </w:rPr>
        <w:t>-0,</w:t>
      </w:r>
      <w:r w:rsidR="00E041FE" w:rsidRPr="003F6E43">
        <w:rPr>
          <w:color w:val="006CE5"/>
          <w:szCs w:val="20"/>
          <w:u w:val="single"/>
        </w:rPr>
        <w:t>6% du PIB</w:t>
      </w:r>
      <w:r w:rsidR="00B26C43" w:rsidRPr="003F6E43">
        <w:rPr>
          <w:color w:val="006CE5"/>
          <w:szCs w:val="20"/>
          <w:u w:val="single"/>
        </w:rPr>
        <w:t>, soit</w:t>
      </w:r>
      <w:r w:rsidR="00E041FE" w:rsidRPr="003F6E43">
        <w:rPr>
          <w:color w:val="006CE5"/>
          <w:szCs w:val="20"/>
          <w:u w:val="single"/>
        </w:rPr>
        <w:t xml:space="preserve"> </w:t>
      </w:r>
      <w:r w:rsidR="00B26C43" w:rsidRPr="003F6E43">
        <w:rPr>
          <w:color w:val="006CE5"/>
          <w:szCs w:val="20"/>
          <w:u w:val="single"/>
        </w:rPr>
        <w:t>-</w:t>
      </w:r>
      <w:r w:rsidR="00E041FE" w:rsidRPr="003F6E43">
        <w:rPr>
          <w:color w:val="006CE5"/>
          <w:szCs w:val="20"/>
          <w:u w:val="single"/>
        </w:rPr>
        <w:t>40,4 milliards de SEK</w:t>
      </w:r>
      <w:r w:rsidR="0095317F" w:rsidRPr="003F6E43">
        <w:rPr>
          <w:color w:val="006CE5"/>
          <w:szCs w:val="20"/>
          <w:u w:val="single"/>
        </w:rPr>
        <w:t xml:space="preserve"> (3,52 milliards EUR)</w:t>
      </w:r>
      <w:r w:rsidR="00B26C43" w:rsidRPr="003F6E43">
        <w:rPr>
          <w:color w:val="006CE5"/>
          <w:szCs w:val="20"/>
          <w:u w:val="single"/>
        </w:rPr>
        <w:t>. Les</w:t>
      </w:r>
      <w:r w:rsidR="002A0908" w:rsidRPr="003F6E43">
        <w:rPr>
          <w:color w:val="006CE5"/>
          <w:szCs w:val="20"/>
          <w:u w:val="single"/>
        </w:rPr>
        <w:t xml:space="preserve"> finances publiques</w:t>
      </w:r>
      <w:r w:rsidR="00B26C43" w:rsidRPr="003F6E43">
        <w:rPr>
          <w:color w:val="006CE5"/>
          <w:szCs w:val="20"/>
          <w:u w:val="single"/>
        </w:rPr>
        <w:t xml:space="preserve"> </w:t>
      </w:r>
      <w:r w:rsidR="007B50CC" w:rsidRPr="003F6E43">
        <w:rPr>
          <w:color w:val="006CE5"/>
          <w:szCs w:val="20"/>
          <w:u w:val="single"/>
        </w:rPr>
        <w:t xml:space="preserve">restent </w:t>
      </w:r>
      <w:r w:rsidR="00EC28B4" w:rsidRPr="003F6E43">
        <w:rPr>
          <w:color w:val="006CE5"/>
          <w:szCs w:val="20"/>
          <w:u w:val="single"/>
        </w:rPr>
        <w:t xml:space="preserve">malgré tout </w:t>
      </w:r>
      <w:r w:rsidR="007B50CC" w:rsidRPr="003F6E43">
        <w:rPr>
          <w:color w:val="006CE5"/>
          <w:szCs w:val="20"/>
          <w:u w:val="single"/>
        </w:rPr>
        <w:t>solides, l</w:t>
      </w:r>
      <w:r w:rsidR="00F65B6F" w:rsidRPr="003F6E43">
        <w:rPr>
          <w:color w:val="006CE5"/>
          <w:szCs w:val="20"/>
          <w:u w:val="single"/>
        </w:rPr>
        <w:t xml:space="preserve">a dette publique </w:t>
      </w:r>
      <w:r w:rsidR="00B26C43" w:rsidRPr="003F6E43">
        <w:rPr>
          <w:color w:val="006CE5"/>
          <w:szCs w:val="20"/>
          <w:u w:val="single"/>
        </w:rPr>
        <w:t>étant</w:t>
      </w:r>
      <w:r w:rsidR="005A2118" w:rsidRPr="003F6E43">
        <w:rPr>
          <w:color w:val="006CE5"/>
          <w:szCs w:val="20"/>
          <w:u w:val="single"/>
        </w:rPr>
        <w:t xml:space="preserve"> </w:t>
      </w:r>
      <w:r w:rsidR="00B26C43" w:rsidRPr="003F6E43">
        <w:rPr>
          <w:color w:val="006CE5"/>
          <w:szCs w:val="20"/>
          <w:u w:val="single"/>
        </w:rPr>
        <w:t>en baisse tant en valeur nominale qu’en proportion du PIB</w:t>
      </w:r>
      <w:r w:rsidR="007B50CC" w:rsidRPr="003F6E43">
        <w:rPr>
          <w:color w:val="006CE5"/>
          <w:szCs w:val="20"/>
          <w:u w:val="single"/>
        </w:rPr>
        <w:t xml:space="preserve"> </w:t>
      </w:r>
      <w:r w:rsidR="00EC28B4" w:rsidRPr="003F6E43">
        <w:rPr>
          <w:color w:val="006CE5"/>
          <w:szCs w:val="20"/>
          <w:u w:val="single"/>
        </w:rPr>
        <w:t>(</w:t>
      </w:r>
      <w:r w:rsidR="008B67AA" w:rsidRPr="003F6E43">
        <w:rPr>
          <w:color w:val="006CE5"/>
          <w:szCs w:val="20"/>
          <w:u w:val="single"/>
        </w:rPr>
        <w:t>31,2% du PIB en 2023</w:t>
      </w:r>
      <w:r w:rsidR="00B26C43" w:rsidRPr="003F6E43">
        <w:rPr>
          <w:color w:val="006CE5"/>
          <w:szCs w:val="20"/>
          <w:u w:val="single"/>
        </w:rPr>
        <w:t xml:space="preserve"> vs 33,2% en 2022</w:t>
      </w:r>
      <w:r w:rsidR="00EC28B4" w:rsidRPr="003F6E43">
        <w:rPr>
          <w:color w:val="006CE5"/>
          <w:szCs w:val="20"/>
          <w:u w:val="single"/>
        </w:rPr>
        <w:t xml:space="preserve">) </w:t>
      </w:r>
      <w:r w:rsidR="00101D4F" w:rsidRPr="00984071">
        <w:rPr>
          <w:color w:val="006CE5"/>
          <w:szCs w:val="20"/>
        </w:rPr>
        <w:t xml:space="preserve">et le </w:t>
      </w:r>
      <w:r w:rsidR="007B50CC" w:rsidRPr="00984071">
        <w:rPr>
          <w:color w:val="006CE5"/>
          <w:szCs w:val="20"/>
        </w:rPr>
        <w:t>niveau de vie élevé, compte-tenu d’une industrie, notamment manufacturière, forte et diversifiée</w:t>
      </w:r>
      <w:r w:rsidR="00F65B6F" w:rsidRPr="00984071">
        <w:rPr>
          <w:color w:val="006CE5"/>
          <w:szCs w:val="20"/>
        </w:rPr>
        <w:t xml:space="preserve">. </w:t>
      </w:r>
      <w:r w:rsidR="00863A3B" w:rsidRPr="00984071">
        <w:rPr>
          <w:color w:val="006CE5"/>
          <w:szCs w:val="20"/>
        </w:rPr>
        <w:t>L</w:t>
      </w:r>
      <w:r w:rsidR="00A06048" w:rsidRPr="00984071">
        <w:rPr>
          <w:color w:val="006CE5"/>
          <w:szCs w:val="20"/>
        </w:rPr>
        <w:t>a contribution des exportations à la croissance</w:t>
      </w:r>
      <w:r w:rsidR="002B28EB">
        <w:rPr>
          <w:color w:val="006CE5"/>
          <w:szCs w:val="20"/>
        </w:rPr>
        <w:t xml:space="preserve"> </w:t>
      </w:r>
      <w:r w:rsidR="00863A3B" w:rsidRPr="00984071">
        <w:rPr>
          <w:color w:val="006CE5"/>
          <w:szCs w:val="20"/>
        </w:rPr>
        <w:t>reste</w:t>
      </w:r>
      <w:r w:rsidR="00A86D41" w:rsidRPr="00984071">
        <w:rPr>
          <w:color w:val="006CE5"/>
          <w:szCs w:val="20"/>
        </w:rPr>
        <w:t xml:space="preserve"> positive</w:t>
      </w:r>
      <w:r w:rsidR="003F6E43">
        <w:rPr>
          <w:color w:val="006CE5"/>
          <w:szCs w:val="20"/>
        </w:rPr>
        <w:t xml:space="preserve"> et </w:t>
      </w:r>
      <w:r w:rsidR="003F6E43">
        <w:rPr>
          <w:color w:val="006CE5"/>
          <w:szCs w:val="20"/>
          <w:u w:val="single"/>
        </w:rPr>
        <w:t>l’économie redémarre (+0,7% de croissance prévue pour 2024 et +2,5% en 2025).</w:t>
      </w:r>
      <w:r w:rsidR="00A86D41" w:rsidRPr="00984071">
        <w:rPr>
          <w:color w:val="006CE5"/>
          <w:szCs w:val="20"/>
        </w:rPr>
        <w:t xml:space="preserve"> </w:t>
      </w:r>
      <w:r w:rsidR="00863A3B" w:rsidRPr="00984071">
        <w:rPr>
          <w:color w:val="006CE5"/>
          <w:szCs w:val="20"/>
        </w:rPr>
        <w:t xml:space="preserve">Le </w:t>
      </w:r>
      <w:proofErr w:type="spellStart"/>
      <w:r w:rsidR="00863A3B" w:rsidRPr="00D8343D">
        <w:rPr>
          <w:i/>
          <w:iCs/>
          <w:color w:val="006CE5"/>
          <w:szCs w:val="20"/>
        </w:rPr>
        <w:t>policy</w:t>
      </w:r>
      <w:proofErr w:type="spellEnd"/>
      <w:r w:rsidR="00863A3B" w:rsidRPr="00D8343D">
        <w:rPr>
          <w:i/>
          <w:iCs/>
          <w:color w:val="006CE5"/>
          <w:szCs w:val="20"/>
        </w:rPr>
        <w:t xml:space="preserve"> mix</w:t>
      </w:r>
      <w:r w:rsidR="00863A3B" w:rsidRPr="00CE78B0">
        <w:rPr>
          <w:color w:val="006CE5"/>
          <w:szCs w:val="20"/>
        </w:rPr>
        <w:t xml:space="preserve"> </w:t>
      </w:r>
      <w:r w:rsidR="003F6E43">
        <w:rPr>
          <w:color w:val="006CE5"/>
          <w:szCs w:val="20"/>
        </w:rPr>
        <w:t>ayant donné</w:t>
      </w:r>
      <w:r w:rsidR="00863A3B" w:rsidRPr="00CE78B0">
        <w:rPr>
          <w:color w:val="006CE5"/>
          <w:szCs w:val="20"/>
        </w:rPr>
        <w:t xml:space="preserve"> la priorité à la lutte contre l’inflation</w:t>
      </w:r>
      <w:r w:rsidR="002B28EB">
        <w:rPr>
          <w:color w:val="006CE5"/>
          <w:szCs w:val="20"/>
        </w:rPr>
        <w:t>, l</w:t>
      </w:r>
      <w:r w:rsidR="00863A3B" w:rsidRPr="00CE78B0">
        <w:rPr>
          <w:color w:val="006CE5"/>
          <w:szCs w:val="20"/>
        </w:rPr>
        <w:t>a modération salariale se confirme</w:t>
      </w:r>
      <w:r w:rsidR="00B26C43">
        <w:rPr>
          <w:color w:val="006CE5"/>
          <w:szCs w:val="20"/>
        </w:rPr>
        <w:t xml:space="preserve"> et l’inflation est en passe d’être maîtrisée (prévision de +2,1% en 2024 et +1,7% en 2025)</w:t>
      </w:r>
      <w:r w:rsidR="00863A3B" w:rsidRPr="00CE78B0">
        <w:rPr>
          <w:color w:val="006CE5"/>
          <w:szCs w:val="20"/>
        </w:rPr>
        <w:t>.</w:t>
      </w:r>
    </w:p>
    <w:p w14:paraId="5E808ADF" w14:textId="1C59DC8C" w:rsidR="00ED7B5B" w:rsidRPr="00BE0CC7" w:rsidRDefault="00ED7B5B" w:rsidP="00A64714">
      <w:pPr>
        <w:spacing w:before="120" w:after="120" w:line="240" w:lineRule="auto"/>
        <w:ind w:left="11" w:right="147" w:hanging="11"/>
        <w:rPr>
          <w:color w:val="000091"/>
        </w:rPr>
      </w:pPr>
      <w:r w:rsidRPr="00BE0CC7">
        <w:rPr>
          <w:noProof/>
          <w:color w:val="000091"/>
        </w:rPr>
        <mc:AlternateContent>
          <mc:Choice Requires="wps">
            <w:drawing>
              <wp:inline distT="0" distB="0" distL="0" distR="0" wp14:anchorId="51162869" wp14:editId="2FC50179">
                <wp:extent cx="5873750" cy="280491"/>
                <wp:effectExtent l="0" t="0" r="0" b="571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280491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5305" w14:textId="451B7000" w:rsidR="00ED7B5B" w:rsidRPr="00ED7B5B" w:rsidRDefault="00ED7B5B" w:rsidP="00ED7B5B">
                            <w:pPr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  <w:sz w:val="22"/>
                              </w:rPr>
                            </w:pPr>
                            <w:r w:rsidRPr="00ED7B5B">
                              <w:rPr>
                                <w:color w:val="FFFFFF" w:themeColor="background1"/>
                                <w:sz w:val="22"/>
                              </w:rPr>
                              <w:t xml:space="preserve">I. </w:t>
                            </w:r>
                            <w:r w:rsidRPr="00ED7B5B">
                              <w:rPr>
                                <w:color w:val="FFFFFF"/>
                                <w:sz w:val="22"/>
                              </w:rPr>
                              <w:t>Une économie</w:t>
                            </w:r>
                            <w:r w:rsidR="0050660A">
                              <w:rPr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3C5132">
                              <w:rPr>
                                <w:color w:val="FFFFFF"/>
                                <w:sz w:val="22"/>
                              </w:rPr>
                              <w:t xml:space="preserve">prospère, </w:t>
                            </w:r>
                            <w:r w:rsidR="005129F8">
                              <w:rPr>
                                <w:color w:val="FFFFFF"/>
                                <w:sz w:val="22"/>
                              </w:rPr>
                              <w:t>ouverte vers l’extérieur</w:t>
                            </w:r>
                            <w:r w:rsidR="005129F8" w:rsidRPr="00ED7B5B">
                              <w:rPr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5129F8">
                              <w:rPr>
                                <w:color w:val="FFFFFF"/>
                                <w:sz w:val="22"/>
                              </w:rPr>
                              <w:t xml:space="preserve">et </w:t>
                            </w:r>
                            <w:r w:rsidRPr="00ED7B5B">
                              <w:rPr>
                                <w:color w:val="FFFFFF"/>
                                <w:sz w:val="22"/>
                              </w:rPr>
                              <w:t>diversifiée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1628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width:462.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" fillcolor="#006ce5" stroked="f">
                <v:textbox>
                  <w:txbxContent>
                    <w:p w14:paraId="11115305" w14:textId="451B7000" w:rsidR="00ED7B5B" w:rsidRPr="00ED7B5B" w:rsidRDefault="00ED7B5B" w:rsidP="00ED7B5B">
                      <w:pPr>
                        <w:rPr>
                          <w:rFonts w:ascii="Segoe UI Historic" w:hAnsi="Segoe UI Historic" w:cs="Segoe UI Historic"/>
                          <w:color w:val="FFFFFF" w:themeColor="background1"/>
                          <w:sz w:val="22"/>
                        </w:rPr>
                      </w:pPr>
                      <w:r w:rsidRPr="00ED7B5B">
                        <w:rPr>
                          <w:color w:val="FFFFFF" w:themeColor="background1"/>
                          <w:sz w:val="22"/>
                        </w:rPr>
                        <w:t xml:space="preserve">I. </w:t>
                      </w:r>
                      <w:r w:rsidRPr="00ED7B5B">
                        <w:rPr>
                          <w:color w:val="FFFFFF"/>
                          <w:sz w:val="22"/>
                        </w:rPr>
                        <w:t>Une économie</w:t>
                      </w:r>
                      <w:r w:rsidR="0050660A">
                        <w:rPr>
                          <w:color w:val="FFFFFF"/>
                          <w:sz w:val="22"/>
                        </w:rPr>
                        <w:t xml:space="preserve"> </w:t>
                      </w:r>
                      <w:r w:rsidR="003C5132">
                        <w:rPr>
                          <w:color w:val="FFFFFF"/>
                          <w:sz w:val="22"/>
                        </w:rPr>
                        <w:t xml:space="preserve">prospère, </w:t>
                      </w:r>
                      <w:r w:rsidR="005129F8">
                        <w:rPr>
                          <w:color w:val="FFFFFF"/>
                          <w:sz w:val="22"/>
                        </w:rPr>
                        <w:t>ouverte vers l’extérieur</w:t>
                      </w:r>
                      <w:r w:rsidR="005129F8" w:rsidRPr="00ED7B5B">
                        <w:rPr>
                          <w:color w:val="FFFFFF"/>
                          <w:sz w:val="22"/>
                        </w:rPr>
                        <w:t xml:space="preserve"> </w:t>
                      </w:r>
                      <w:r w:rsidR="005129F8">
                        <w:rPr>
                          <w:color w:val="FFFFFF"/>
                          <w:sz w:val="22"/>
                        </w:rPr>
                        <w:t xml:space="preserve">et </w:t>
                      </w:r>
                      <w:r w:rsidRPr="00ED7B5B">
                        <w:rPr>
                          <w:color w:val="FFFFFF"/>
                          <w:sz w:val="22"/>
                        </w:rPr>
                        <w:t>diversifiée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EC834F" w14:textId="11BBA6E7" w:rsidR="008F30A9" w:rsidRPr="00637CB7" w:rsidRDefault="005E0722" w:rsidP="00637CB7">
      <w:pPr>
        <w:pStyle w:val="Briefinglist1"/>
        <w:keepLines w:val="0"/>
        <w:numPr>
          <w:ilvl w:val="0"/>
          <w:numId w:val="0"/>
        </w:numPr>
        <w:tabs>
          <w:tab w:val="left" w:pos="708"/>
        </w:tabs>
        <w:spacing w:after="0"/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</w:pPr>
      <w:r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Avec un </w:t>
      </w:r>
      <w:r w:rsidRPr="00A10485">
        <w:rPr>
          <w:rFonts w:ascii="Segoe UI" w:eastAsia="Segoe UI" w:hAnsi="Segoe UI" w:cs="Segoe UI"/>
          <w:b/>
          <w:bCs/>
          <w:color w:val="000000"/>
          <w:sz w:val="20"/>
          <w:szCs w:val="20"/>
          <w:lang w:val="fr-FR" w:eastAsia="fr-FR"/>
        </w:rPr>
        <w:t>PIB</w:t>
      </w:r>
      <w:r w:rsidR="003F09AA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5A2118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de</w:t>
      </w:r>
      <w:r w:rsidR="003F09AA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A10485" w:rsidRPr="00522E98">
        <w:rPr>
          <w:rFonts w:ascii="Segoe UI" w:hAnsi="Segoe UI" w:cs="Segoe UI"/>
          <w:sz w:val="20"/>
          <w:szCs w:val="20"/>
          <w:lang w:val="fr-FR"/>
        </w:rPr>
        <w:t>6 294 Mds</w:t>
      </w:r>
      <w:r w:rsidR="00A10485">
        <w:rPr>
          <w:rFonts w:ascii="Segoe UI" w:hAnsi="Segoe UI" w:cs="Segoe UI"/>
          <w:sz w:val="20"/>
          <w:szCs w:val="20"/>
          <w:lang w:val="fr-FR"/>
        </w:rPr>
        <w:t xml:space="preserve"> SEK </w:t>
      </w:r>
      <w:r w:rsidR="00312D24">
        <w:rPr>
          <w:rFonts w:ascii="Segoe UI" w:hAnsi="Segoe UI" w:cs="Segoe UI"/>
          <w:sz w:val="20"/>
          <w:szCs w:val="20"/>
          <w:lang w:val="fr-FR"/>
        </w:rPr>
        <w:t>(</w:t>
      </w:r>
      <w:r w:rsidR="00312D24" w:rsidRPr="00522E98">
        <w:rPr>
          <w:rFonts w:ascii="Segoe UI" w:hAnsi="Segoe UI" w:cs="Segoe UI"/>
          <w:b/>
          <w:bCs/>
          <w:sz w:val="20"/>
          <w:szCs w:val="20"/>
          <w:lang w:val="fr-FR"/>
        </w:rPr>
        <w:t>548 Mds€</w:t>
      </w:r>
      <w:r w:rsidR="00312D24">
        <w:rPr>
          <w:rFonts w:ascii="Segoe UI" w:hAnsi="Segoe UI" w:cs="Segoe UI"/>
          <w:sz w:val="20"/>
          <w:szCs w:val="20"/>
          <w:lang w:val="fr-FR"/>
        </w:rPr>
        <w:t>)</w:t>
      </w:r>
      <w:r w:rsidR="003B1178">
        <w:rPr>
          <w:rFonts w:ascii="Segoe UI" w:hAnsi="Segoe UI" w:cs="Segoe UI"/>
          <w:sz w:val="20"/>
          <w:szCs w:val="20"/>
          <w:lang w:val="fr-FR"/>
        </w:rPr>
        <w:t xml:space="preserve"> en 2023</w:t>
      </w:r>
      <w:r w:rsidR="003C5132"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, </w:t>
      </w:r>
      <w:r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la Suède </w:t>
      </w:r>
      <w:r w:rsidR="00AE7D90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est</w:t>
      </w:r>
      <w:r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347367"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la </w:t>
      </w:r>
      <w:r w:rsidR="00347367" w:rsidRPr="00A10485">
        <w:rPr>
          <w:rFonts w:ascii="Segoe UI" w:eastAsia="Segoe UI" w:hAnsi="Segoe UI" w:cs="Segoe UI"/>
          <w:b/>
          <w:bCs/>
          <w:color w:val="000000"/>
          <w:sz w:val="20"/>
          <w:szCs w:val="20"/>
          <w:lang w:val="fr-FR" w:eastAsia="fr-FR"/>
        </w:rPr>
        <w:t>7</w:t>
      </w:r>
      <w:r w:rsidR="00347367" w:rsidRPr="00A10485">
        <w:rPr>
          <w:rFonts w:ascii="Segoe UI" w:eastAsia="Segoe UI" w:hAnsi="Segoe UI" w:cs="Segoe UI"/>
          <w:b/>
          <w:bCs/>
          <w:color w:val="000000"/>
          <w:sz w:val="20"/>
          <w:szCs w:val="20"/>
          <w:vertAlign w:val="superscript"/>
          <w:lang w:val="fr-FR" w:eastAsia="fr-FR"/>
        </w:rPr>
        <w:t>ème</w:t>
      </w:r>
      <w:r w:rsidR="00347367" w:rsidRPr="00A10485">
        <w:rPr>
          <w:rFonts w:ascii="Segoe UI" w:eastAsia="Segoe UI" w:hAnsi="Segoe UI" w:cs="Segoe UI"/>
          <w:b/>
          <w:bCs/>
          <w:color w:val="000000"/>
          <w:sz w:val="20"/>
          <w:szCs w:val="20"/>
          <w:lang w:val="fr-FR" w:eastAsia="fr-FR"/>
        </w:rPr>
        <w:t xml:space="preserve"> économie de l’Union européenne</w:t>
      </w:r>
      <w:r w:rsidR="00347367" w:rsidRPr="00A10485">
        <w:rPr>
          <w:rStyle w:val="Appelnotedebasdep"/>
          <w:rFonts w:ascii="Segoe UI" w:eastAsia="Segoe UI" w:hAnsi="Segoe UI" w:cs="Segoe UI"/>
          <w:b/>
          <w:bCs/>
          <w:color w:val="000000"/>
          <w:sz w:val="20"/>
          <w:szCs w:val="20"/>
          <w:lang w:val="fr-FR" w:eastAsia="fr-FR"/>
        </w:rPr>
        <w:footnoteReference w:id="1"/>
      </w:r>
      <w:r w:rsidR="00347367"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et </w:t>
      </w:r>
      <w:r w:rsidRPr="00A10485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la 24</w:t>
      </w:r>
      <w:r w:rsidRPr="00312D24">
        <w:rPr>
          <w:rFonts w:ascii="Segoe UI" w:eastAsia="Segoe UI" w:hAnsi="Segoe UI" w:cs="Segoe UI"/>
          <w:color w:val="000000"/>
          <w:sz w:val="20"/>
          <w:szCs w:val="20"/>
          <w:vertAlign w:val="superscript"/>
          <w:lang w:val="fr-FR" w:eastAsia="fr-FR"/>
        </w:rPr>
        <w:t>ème</w:t>
      </w:r>
      <w:r w:rsidRPr="00312D24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347367" w:rsidRPr="00601590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au plan mondial</w:t>
      </w:r>
      <w:r w:rsidRPr="00234FE3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. 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En dépit 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des 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chocs 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externes</w:t>
      </w:r>
      <w:r w:rsidR="00BF54A9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(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crise financière de 2008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, pandémie de la Covid19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et</w:t>
      </w:r>
      <w:r w:rsidR="00AE7D90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,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plus récemment</w:t>
      </w:r>
      <w:r w:rsidR="00AE7D90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,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conséquences de </w:t>
      </w:r>
      <w:r w:rsidR="00EC4A82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la guerre</w:t>
      </w:r>
      <w:r w:rsidR="00741198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russe en l’Ukraine), 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la croissance </w:t>
      </w:r>
      <w:r w:rsidR="00FE0F33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est résiliente</w:t>
      </w:r>
      <w:r w:rsidR="00892565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. Elle 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atteint 2,</w:t>
      </w:r>
      <w:r w:rsidR="0046269B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3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% en moyenne sur la période 2000-202</w:t>
      </w:r>
      <w:r w:rsidR="0046269B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3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, soit une performance supérieure à celle de la moyenne UE (</w:t>
      </w:r>
      <w:r w:rsidR="00585F1E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1,53</w:t>
      </w:r>
      <w:r w:rsidR="00E50264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%</w:t>
      </w:r>
      <w:r w:rsidR="003B1178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  <w:r w:rsidR="0046269B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en </w:t>
      </w:r>
      <w:r w:rsidR="003B1178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2023</w:t>
      </w:r>
      <w:r w:rsidR="00772141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)</w:t>
      </w:r>
      <w:r w:rsidR="0046269B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>.</w:t>
      </w:r>
      <w:r w:rsidR="002C6757" w:rsidRPr="00637CB7">
        <w:rPr>
          <w:rFonts w:ascii="Segoe UI" w:eastAsia="Segoe UI" w:hAnsi="Segoe UI" w:cs="Segoe UI"/>
          <w:color w:val="000000"/>
          <w:sz w:val="20"/>
          <w:szCs w:val="20"/>
          <w:lang w:val="fr-FR" w:eastAsia="fr-FR"/>
        </w:rPr>
        <w:t xml:space="preserve"> </w:t>
      </w:r>
    </w:p>
    <w:p w14:paraId="6A1BB142" w14:textId="59F5D88B" w:rsidR="00894A24" w:rsidRPr="00BF54A9" w:rsidRDefault="00772141" w:rsidP="00984071">
      <w:pPr>
        <w:spacing w:after="0" w:line="240" w:lineRule="auto"/>
        <w:ind w:left="-6" w:right="130" w:hanging="11"/>
        <w:rPr>
          <w:szCs w:val="20"/>
        </w:rPr>
      </w:pPr>
      <w:r w:rsidRPr="003F6E43">
        <w:rPr>
          <w:b/>
          <w:bCs/>
          <w:szCs w:val="20"/>
        </w:rPr>
        <w:t>Très ouverte sur le plan commercial</w:t>
      </w:r>
      <w:r w:rsidR="00EC28B4" w:rsidRPr="003F6E43">
        <w:rPr>
          <w:b/>
          <w:bCs/>
          <w:szCs w:val="20"/>
        </w:rPr>
        <w:t xml:space="preserve">, </w:t>
      </w:r>
      <w:r w:rsidRPr="003F6E43">
        <w:rPr>
          <w:b/>
          <w:bCs/>
          <w:szCs w:val="20"/>
        </w:rPr>
        <w:t>l’économie suédoise repose sur un appareil industriel diversifié</w:t>
      </w:r>
      <w:r w:rsidR="00187632" w:rsidRPr="00BF54A9">
        <w:rPr>
          <w:szCs w:val="20"/>
        </w:rPr>
        <w:t xml:space="preserve">. Elle </w:t>
      </w:r>
      <w:r w:rsidRPr="00BF54A9">
        <w:rPr>
          <w:szCs w:val="20"/>
        </w:rPr>
        <w:t>dispose des atouts suivants</w:t>
      </w:r>
      <w:r w:rsidR="006F5B7A" w:rsidRPr="006F5B7A">
        <w:t> </w:t>
      </w:r>
      <w:r w:rsidRPr="00BF54A9">
        <w:rPr>
          <w:szCs w:val="20"/>
        </w:rPr>
        <w:t xml:space="preserve">: </w:t>
      </w:r>
    </w:p>
    <w:p w14:paraId="436C2664" w14:textId="52AB668D" w:rsidR="00894A24" w:rsidRPr="00070370" w:rsidRDefault="006F5B7A" w:rsidP="00984071">
      <w:pPr>
        <w:numPr>
          <w:ilvl w:val="0"/>
          <w:numId w:val="1"/>
        </w:numPr>
        <w:spacing w:after="0" w:line="240" w:lineRule="auto"/>
        <w:ind w:left="357" w:right="130" w:hanging="357"/>
        <w:rPr>
          <w:szCs w:val="20"/>
        </w:rPr>
      </w:pPr>
      <w:bookmarkStart w:id="3" w:name="_Hlk155620645"/>
      <w:r w:rsidRPr="00070370">
        <w:rPr>
          <w:bCs/>
          <w:szCs w:val="20"/>
        </w:rPr>
        <w:t>La Suède se classe</w:t>
      </w:r>
      <w:r w:rsidR="0046269B">
        <w:rPr>
          <w:bCs/>
          <w:szCs w:val="20"/>
        </w:rPr>
        <w:t>,</w:t>
      </w:r>
      <w:r w:rsidR="0012574E">
        <w:rPr>
          <w:bCs/>
          <w:szCs w:val="20"/>
        </w:rPr>
        <w:t xml:space="preserve"> en 2021</w:t>
      </w:r>
      <w:r w:rsidR="0046269B">
        <w:rPr>
          <w:bCs/>
          <w:szCs w:val="20"/>
        </w:rPr>
        <w:t>,</w:t>
      </w:r>
      <w:r w:rsidRPr="00070370">
        <w:rPr>
          <w:bCs/>
          <w:szCs w:val="20"/>
        </w:rPr>
        <w:t xml:space="preserve"> </w:t>
      </w:r>
      <w:r w:rsidRPr="00C610F8">
        <w:rPr>
          <w:b/>
          <w:szCs w:val="20"/>
        </w:rPr>
        <w:t>5</w:t>
      </w:r>
      <w:r w:rsidRPr="00C610F8">
        <w:rPr>
          <w:b/>
          <w:szCs w:val="20"/>
          <w:vertAlign w:val="superscript"/>
        </w:rPr>
        <w:t>è</w:t>
      </w:r>
      <w:r w:rsidR="00AE7D90">
        <w:rPr>
          <w:b/>
          <w:szCs w:val="20"/>
          <w:vertAlign w:val="superscript"/>
        </w:rPr>
        <w:t>me</w:t>
      </w:r>
      <w:r w:rsidRPr="00C610F8">
        <w:rPr>
          <w:b/>
          <w:szCs w:val="20"/>
        </w:rPr>
        <w:t xml:space="preserve"> parmi les pays de l’OCDE en termes d’</w:t>
      </w:r>
      <w:r w:rsidR="00772141" w:rsidRPr="00C610F8">
        <w:rPr>
          <w:b/>
          <w:szCs w:val="20"/>
        </w:rPr>
        <w:t>effort de R&amp;D</w:t>
      </w:r>
      <w:r w:rsidR="0012574E">
        <w:rPr>
          <w:rStyle w:val="Appelnotedebasdep"/>
          <w:b/>
          <w:szCs w:val="20"/>
        </w:rPr>
        <w:footnoteReference w:id="2"/>
      </w:r>
      <w:r w:rsidR="0046269B">
        <w:rPr>
          <w:bCs/>
          <w:szCs w:val="20"/>
        </w:rPr>
        <w:t> :</w:t>
      </w:r>
      <w:r w:rsidRPr="00070370">
        <w:rPr>
          <w:bCs/>
          <w:szCs w:val="20"/>
        </w:rPr>
        <w:t xml:space="preserve"> elle y consacre</w:t>
      </w:r>
      <w:r w:rsidRPr="00070370">
        <w:rPr>
          <w:b/>
          <w:szCs w:val="20"/>
        </w:rPr>
        <w:t xml:space="preserve"> </w:t>
      </w:r>
      <w:r w:rsidR="00772141" w:rsidRPr="00070370">
        <w:rPr>
          <w:szCs w:val="20"/>
        </w:rPr>
        <w:t>3,4</w:t>
      </w:r>
      <w:r w:rsidR="003E01C4">
        <w:rPr>
          <w:szCs w:val="20"/>
        </w:rPr>
        <w:t>0</w:t>
      </w:r>
      <w:r w:rsidR="00772141" w:rsidRPr="00070370">
        <w:rPr>
          <w:szCs w:val="20"/>
        </w:rPr>
        <w:t>% d</w:t>
      </w:r>
      <w:r w:rsidR="0046269B">
        <w:rPr>
          <w:szCs w:val="20"/>
        </w:rPr>
        <w:t xml:space="preserve">e son </w:t>
      </w:r>
      <w:r w:rsidR="00772141" w:rsidRPr="00070370">
        <w:rPr>
          <w:szCs w:val="20"/>
        </w:rPr>
        <w:t>PIB</w:t>
      </w:r>
      <w:r w:rsidR="003E01C4">
        <w:rPr>
          <w:rStyle w:val="Appelnotedebasdep"/>
          <w:szCs w:val="20"/>
        </w:rPr>
        <w:footnoteReference w:id="3"/>
      </w:r>
      <w:r w:rsidR="00772141" w:rsidRPr="00070370">
        <w:rPr>
          <w:szCs w:val="20"/>
        </w:rPr>
        <w:t>, dont 7</w:t>
      </w:r>
      <w:r w:rsidR="002B28EB" w:rsidRPr="00070370">
        <w:rPr>
          <w:szCs w:val="20"/>
        </w:rPr>
        <w:t>2</w:t>
      </w:r>
      <w:r w:rsidR="00772141" w:rsidRPr="00070370">
        <w:rPr>
          <w:szCs w:val="20"/>
        </w:rPr>
        <w:t>%</w:t>
      </w:r>
      <w:r w:rsidR="00FA5B65" w:rsidRPr="00070370">
        <w:rPr>
          <w:szCs w:val="20"/>
        </w:rPr>
        <w:t xml:space="preserve"> est </w:t>
      </w:r>
      <w:r w:rsidR="00772141" w:rsidRPr="00070370">
        <w:rPr>
          <w:szCs w:val="20"/>
        </w:rPr>
        <w:t>financé par le privé</w:t>
      </w:r>
      <w:r w:rsidR="00FA5B65" w:rsidRPr="00070370">
        <w:rPr>
          <w:rStyle w:val="Appelnotedebasdep"/>
          <w:szCs w:val="20"/>
        </w:rPr>
        <w:footnoteReference w:id="4"/>
      </w:r>
      <w:bookmarkEnd w:id="3"/>
      <w:r w:rsidR="0046269B">
        <w:rPr>
          <w:szCs w:val="20"/>
        </w:rPr>
        <w:t xml:space="preserve">. </w:t>
      </w:r>
      <w:r w:rsidR="00101868" w:rsidRPr="00101868">
        <w:rPr>
          <w:szCs w:val="20"/>
        </w:rPr>
        <w:t xml:space="preserve">En 2022, </w:t>
      </w:r>
      <w:r w:rsidR="00101868">
        <w:rPr>
          <w:szCs w:val="20"/>
        </w:rPr>
        <w:t>c</w:t>
      </w:r>
      <w:r w:rsidR="00101868" w:rsidRPr="00101868">
        <w:rPr>
          <w:szCs w:val="20"/>
        </w:rPr>
        <w:t xml:space="preserve">es dépenses </w:t>
      </w:r>
      <w:r w:rsidR="00101868">
        <w:rPr>
          <w:szCs w:val="20"/>
        </w:rPr>
        <w:t>s</w:t>
      </w:r>
      <w:r w:rsidR="00101868" w:rsidRPr="00101868">
        <w:rPr>
          <w:szCs w:val="20"/>
        </w:rPr>
        <w:t xml:space="preserve">ont </w:t>
      </w:r>
      <w:r w:rsidR="00101868">
        <w:rPr>
          <w:szCs w:val="20"/>
        </w:rPr>
        <w:t xml:space="preserve">en </w:t>
      </w:r>
      <w:r w:rsidR="00101868" w:rsidRPr="00101868">
        <w:rPr>
          <w:szCs w:val="20"/>
        </w:rPr>
        <w:t>augment</w:t>
      </w:r>
      <w:r w:rsidR="00101868">
        <w:rPr>
          <w:szCs w:val="20"/>
        </w:rPr>
        <w:t>ation</w:t>
      </w:r>
      <w:r w:rsidR="0046269B">
        <w:rPr>
          <w:szCs w:val="20"/>
        </w:rPr>
        <w:t>,</w:t>
      </w:r>
      <w:r w:rsidR="00101868" w:rsidRPr="00101868">
        <w:rPr>
          <w:szCs w:val="20"/>
        </w:rPr>
        <w:t xml:space="preserve"> en grande partie grâce à </w:t>
      </w:r>
      <w:r w:rsidR="00101868">
        <w:rPr>
          <w:szCs w:val="20"/>
        </w:rPr>
        <w:t>l’effort du privé</w:t>
      </w:r>
      <w:r w:rsidR="00101868">
        <w:rPr>
          <w:rStyle w:val="Appelnotedebasdep"/>
          <w:szCs w:val="20"/>
        </w:rPr>
        <w:footnoteReference w:id="5"/>
      </w:r>
      <w:r w:rsidR="00101868">
        <w:rPr>
          <w:szCs w:val="20"/>
        </w:rPr>
        <w:t xml:space="preserve">. </w:t>
      </w:r>
    </w:p>
    <w:p w14:paraId="27099602" w14:textId="1A2B775B" w:rsidR="00894A24" w:rsidRPr="00070370" w:rsidRDefault="00772141" w:rsidP="00984071">
      <w:pPr>
        <w:numPr>
          <w:ilvl w:val="0"/>
          <w:numId w:val="1"/>
        </w:numPr>
        <w:spacing w:after="0" w:line="240" w:lineRule="auto"/>
        <w:ind w:left="357" w:right="130" w:hanging="357"/>
        <w:rPr>
          <w:szCs w:val="20"/>
        </w:rPr>
      </w:pPr>
      <w:r w:rsidRPr="00070370">
        <w:rPr>
          <w:szCs w:val="20"/>
        </w:rPr>
        <w:t xml:space="preserve">Un </w:t>
      </w:r>
      <w:r w:rsidRPr="00C610F8">
        <w:rPr>
          <w:b/>
          <w:bCs/>
          <w:szCs w:val="20"/>
        </w:rPr>
        <w:t xml:space="preserve">taux d’emploi </w:t>
      </w:r>
      <w:r w:rsidR="00A64714" w:rsidRPr="00C610F8">
        <w:rPr>
          <w:b/>
          <w:bCs/>
          <w:szCs w:val="20"/>
        </w:rPr>
        <w:t xml:space="preserve">élevé </w:t>
      </w:r>
      <w:r w:rsidR="00B84DFF" w:rsidRPr="00C610F8">
        <w:rPr>
          <w:b/>
          <w:bCs/>
          <w:szCs w:val="20"/>
        </w:rPr>
        <w:t>(</w:t>
      </w:r>
      <w:r w:rsidR="00304FFD">
        <w:rPr>
          <w:b/>
          <w:bCs/>
          <w:szCs w:val="20"/>
        </w:rPr>
        <w:t xml:space="preserve">69,4 % </w:t>
      </w:r>
      <w:r w:rsidR="008C6AB4" w:rsidRPr="00C610F8">
        <w:rPr>
          <w:b/>
          <w:bCs/>
          <w:szCs w:val="20"/>
        </w:rPr>
        <w:t>pour les 15-74 ans</w:t>
      </w:r>
      <w:r w:rsidR="008C6AB4" w:rsidRPr="00070370">
        <w:rPr>
          <w:szCs w:val="20"/>
        </w:rPr>
        <w:t xml:space="preserve"> en 2023</w:t>
      </w:r>
      <w:r w:rsidRPr="00070370">
        <w:rPr>
          <w:szCs w:val="20"/>
        </w:rPr>
        <w:t xml:space="preserve">) ; </w:t>
      </w:r>
    </w:p>
    <w:p w14:paraId="35CC8FBD" w14:textId="55A81CD5" w:rsidR="00894A24" w:rsidRPr="00070370" w:rsidRDefault="00772141" w:rsidP="00984071">
      <w:pPr>
        <w:numPr>
          <w:ilvl w:val="0"/>
          <w:numId w:val="1"/>
        </w:numPr>
        <w:spacing w:after="0" w:line="240" w:lineRule="auto"/>
        <w:ind w:left="357" w:right="130" w:hanging="357"/>
        <w:rPr>
          <w:szCs w:val="20"/>
        </w:rPr>
      </w:pPr>
      <w:r w:rsidRPr="0046269B">
        <w:rPr>
          <w:szCs w:val="20"/>
        </w:rPr>
        <w:t xml:space="preserve">Des </w:t>
      </w:r>
      <w:r w:rsidRPr="0046269B">
        <w:rPr>
          <w:b/>
          <w:bCs/>
          <w:szCs w:val="20"/>
        </w:rPr>
        <w:t>gains de productivité relativement dynamiques</w:t>
      </w:r>
      <w:r w:rsidRPr="0046269B">
        <w:rPr>
          <w:szCs w:val="20"/>
        </w:rPr>
        <w:t xml:space="preserve"> (+1,2% par an sur la période 2000-202</w:t>
      </w:r>
      <w:r w:rsidR="00B84DFF" w:rsidRPr="0046269B">
        <w:rPr>
          <w:szCs w:val="20"/>
        </w:rPr>
        <w:t>2</w:t>
      </w:r>
      <w:r w:rsidRPr="00070370">
        <w:rPr>
          <w:szCs w:val="20"/>
        </w:rPr>
        <w:t xml:space="preserve">) ; </w:t>
      </w:r>
    </w:p>
    <w:p w14:paraId="03B3044E" w14:textId="7D4E99D0" w:rsidR="00894A24" w:rsidRPr="00070370" w:rsidRDefault="00772141" w:rsidP="00984071">
      <w:pPr>
        <w:numPr>
          <w:ilvl w:val="0"/>
          <w:numId w:val="1"/>
        </w:numPr>
        <w:spacing w:after="0" w:line="240" w:lineRule="auto"/>
        <w:ind w:left="357" w:right="130" w:hanging="357"/>
        <w:rPr>
          <w:szCs w:val="20"/>
        </w:rPr>
      </w:pPr>
      <w:r w:rsidRPr="00070370">
        <w:rPr>
          <w:szCs w:val="20"/>
        </w:rPr>
        <w:t xml:space="preserve">Un marché financier efficient (cotations en nombre record sur le Nasdaq Stockholm) et un </w:t>
      </w:r>
      <w:r w:rsidRPr="00C610F8">
        <w:rPr>
          <w:b/>
          <w:bCs/>
          <w:szCs w:val="20"/>
        </w:rPr>
        <w:t>capitalisme familial puissant</w:t>
      </w:r>
      <w:r w:rsidR="00D819A8" w:rsidRPr="00070370">
        <w:rPr>
          <w:szCs w:val="20"/>
        </w:rPr>
        <w:t xml:space="preserve"> (familles Wallenberg et </w:t>
      </w:r>
      <w:proofErr w:type="spellStart"/>
      <w:r w:rsidR="00D819A8" w:rsidRPr="00070370">
        <w:rPr>
          <w:szCs w:val="20"/>
        </w:rPr>
        <w:t>Lundberg</w:t>
      </w:r>
      <w:proofErr w:type="spellEnd"/>
      <w:r w:rsidR="00D819A8" w:rsidRPr="00070370">
        <w:rPr>
          <w:szCs w:val="20"/>
        </w:rPr>
        <w:t xml:space="preserve"> notamment)</w:t>
      </w:r>
      <w:r w:rsidRPr="00070370">
        <w:rPr>
          <w:szCs w:val="20"/>
        </w:rPr>
        <w:t xml:space="preserve">. </w:t>
      </w:r>
    </w:p>
    <w:p w14:paraId="7683024D" w14:textId="2EDE08D3" w:rsidR="009D7732" w:rsidRDefault="000F3E3F" w:rsidP="00984071">
      <w:pPr>
        <w:spacing w:after="0" w:line="240" w:lineRule="auto"/>
        <w:ind w:left="-6" w:right="130" w:hanging="11"/>
        <w:rPr>
          <w:szCs w:val="20"/>
        </w:rPr>
      </w:pPr>
      <w:r>
        <w:rPr>
          <w:szCs w:val="20"/>
        </w:rPr>
        <w:t>L</w:t>
      </w:r>
      <w:r w:rsidR="00772141" w:rsidRPr="00BF54A9">
        <w:rPr>
          <w:szCs w:val="20"/>
        </w:rPr>
        <w:t xml:space="preserve">e poids du secteur manufacturier dans la valeur ajoutée a </w:t>
      </w:r>
      <w:r w:rsidR="00FF6FDB">
        <w:rPr>
          <w:szCs w:val="20"/>
        </w:rPr>
        <w:t xml:space="preserve">néanmoins </w:t>
      </w:r>
      <w:r w:rsidR="00772141" w:rsidRPr="00BF54A9">
        <w:rPr>
          <w:szCs w:val="20"/>
        </w:rPr>
        <w:t xml:space="preserve">enregistré un déclin </w:t>
      </w:r>
      <w:r w:rsidR="00C610F8">
        <w:rPr>
          <w:szCs w:val="20"/>
        </w:rPr>
        <w:t>significatif</w:t>
      </w:r>
      <w:r w:rsidR="00772141" w:rsidRPr="00BF54A9">
        <w:rPr>
          <w:szCs w:val="20"/>
        </w:rPr>
        <w:t xml:space="preserve"> (de 20% en 2000 à 12,5% en 2020)</w:t>
      </w:r>
      <w:r w:rsidR="00357234" w:rsidRPr="00BF54A9">
        <w:rPr>
          <w:szCs w:val="20"/>
        </w:rPr>
        <w:t xml:space="preserve"> et l</w:t>
      </w:r>
      <w:r w:rsidR="00772141" w:rsidRPr="00BF54A9">
        <w:rPr>
          <w:szCs w:val="20"/>
        </w:rPr>
        <w:t xml:space="preserve">es matières premières </w:t>
      </w:r>
      <w:r w:rsidR="00357234" w:rsidRPr="00BF54A9">
        <w:rPr>
          <w:szCs w:val="20"/>
        </w:rPr>
        <w:t xml:space="preserve">(mines, bois </w:t>
      </w:r>
      <w:r w:rsidR="00772141" w:rsidRPr="00BF54A9">
        <w:rPr>
          <w:szCs w:val="20"/>
        </w:rPr>
        <w:t>et produits transformés</w:t>
      </w:r>
      <w:r w:rsidR="00357234" w:rsidRPr="00BF54A9">
        <w:rPr>
          <w:szCs w:val="20"/>
        </w:rPr>
        <w:t xml:space="preserve"> (aciers …)</w:t>
      </w:r>
      <w:r w:rsidR="00F267B9">
        <w:rPr>
          <w:szCs w:val="20"/>
        </w:rPr>
        <w:t>)</w:t>
      </w:r>
      <w:r w:rsidR="00772141" w:rsidRPr="00BF54A9">
        <w:rPr>
          <w:szCs w:val="20"/>
        </w:rPr>
        <w:t xml:space="preserve"> représentent près d’un quart des exportations de biens du pays.</w:t>
      </w:r>
    </w:p>
    <w:p w14:paraId="1E61A211" w14:textId="77777777" w:rsidR="00894A24" w:rsidRDefault="00ED7B5B" w:rsidP="00A64714">
      <w:pPr>
        <w:spacing w:before="120" w:after="120" w:line="240" w:lineRule="auto"/>
        <w:ind w:left="11" w:right="147" w:hanging="11"/>
      </w:pPr>
      <w:r w:rsidRPr="00BE0CC7">
        <w:rPr>
          <w:noProof/>
          <w:color w:val="000091"/>
        </w:rPr>
        <mc:AlternateContent>
          <mc:Choice Requires="wps">
            <w:drawing>
              <wp:inline distT="0" distB="0" distL="0" distR="0" wp14:anchorId="13382059" wp14:editId="6A6680B9">
                <wp:extent cx="5873750" cy="449249"/>
                <wp:effectExtent l="0" t="0" r="0" b="952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449249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9527" w14:textId="60A8AFE0" w:rsidR="00ED7B5B" w:rsidRPr="003770DB" w:rsidRDefault="00ED7B5B" w:rsidP="00984071">
                            <w:pPr>
                              <w:shd w:val="clear" w:color="auto" w:fill="006CE5"/>
                              <w:spacing w:after="0" w:line="240" w:lineRule="auto"/>
                              <w:ind w:left="11" w:right="0" w:hanging="11"/>
                              <w:jc w:val="left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II. L’économie suédoise </w:t>
                            </w:r>
                            <w:r w:rsidR="0057780F">
                              <w:rPr>
                                <w:color w:val="FFFFFF"/>
                                <w:sz w:val="22"/>
                              </w:rPr>
                              <w:t>est entrée</w:t>
                            </w:r>
                            <w:r w:rsidR="00940F99">
                              <w:rPr>
                                <w:color w:val="FFFFFF"/>
                                <w:sz w:val="22"/>
                              </w:rPr>
                              <w:t xml:space="preserve"> en récession en 2023</w:t>
                            </w:r>
                            <w:r w:rsidR="00945C44">
                              <w:rPr>
                                <w:color w:val="FFFFFF"/>
                                <w:sz w:val="22"/>
                              </w:rPr>
                              <w:t xml:space="preserve">, pénalisée par le ralentissement de la consommation et </w:t>
                            </w:r>
                            <w:r w:rsidR="00903AAC">
                              <w:rPr>
                                <w:color w:val="FFFFFF"/>
                                <w:sz w:val="22"/>
                              </w:rPr>
                              <w:t>la forte</w:t>
                            </w:r>
                            <w:r w:rsidR="00984071">
                              <w:rPr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="00903AAC">
                              <w:rPr>
                                <w:color w:val="FFFFFF"/>
                                <w:sz w:val="22"/>
                              </w:rPr>
                              <w:t xml:space="preserve">hausse des </w:t>
                            </w:r>
                            <w:r w:rsidR="00945C44">
                              <w:rPr>
                                <w:color w:val="FFFFFF"/>
                                <w:sz w:val="22"/>
                              </w:rPr>
                              <w:t>taux d’intérêt</w:t>
                            </w:r>
                            <w:r w:rsidR="00C62655">
                              <w:rPr>
                                <w:color w:val="FFFFFF"/>
                                <w:sz w:val="22"/>
                              </w:rPr>
                              <w:t>, mais accélère</w:t>
                            </w:r>
                            <w:r w:rsidR="00153638">
                              <w:rPr>
                                <w:color w:val="FFFFFF"/>
                                <w:sz w:val="22"/>
                              </w:rPr>
                              <w:t>ra</w:t>
                            </w:r>
                            <w:r w:rsidR="00C62655">
                              <w:rPr>
                                <w:color w:val="FFFFFF"/>
                                <w:sz w:val="22"/>
                              </w:rPr>
                              <w:t xml:space="preserve"> en 2024 et 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382059" id="_x0000_s1032" type="#_x0000_t202" style="width:462.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" fillcolor="#006ce5" stroked="f">
                <v:textbox>
                  <w:txbxContent>
                    <w:p w14:paraId="0CF39527" w14:textId="60A8AFE0" w:rsidR="00ED7B5B" w:rsidRPr="003770DB" w:rsidRDefault="00ED7B5B" w:rsidP="00984071">
                      <w:pPr>
                        <w:shd w:val="clear" w:color="auto" w:fill="006CE5"/>
                        <w:spacing w:after="0" w:line="240" w:lineRule="auto"/>
                        <w:ind w:left="11" w:right="0" w:hanging="11"/>
                        <w:jc w:val="left"/>
                        <w:rPr>
                          <w:rFonts w:ascii="Segoe UI Historic" w:hAnsi="Segoe UI Historic" w:cs="Segoe UI Historic"/>
                          <w:color w:val="FFFFFF" w:themeColor="background1"/>
                        </w:rPr>
                      </w:pPr>
                      <w:r>
                        <w:rPr>
                          <w:color w:val="FFFFFF"/>
                          <w:sz w:val="22"/>
                        </w:rPr>
                        <w:t xml:space="preserve">II. L’économie suédoise </w:t>
                      </w:r>
                      <w:r w:rsidR="0057780F">
                        <w:rPr>
                          <w:color w:val="FFFFFF"/>
                          <w:sz w:val="22"/>
                        </w:rPr>
                        <w:t>est entrée</w:t>
                      </w:r>
                      <w:r w:rsidR="00940F99">
                        <w:rPr>
                          <w:color w:val="FFFFFF"/>
                          <w:sz w:val="22"/>
                        </w:rPr>
                        <w:t xml:space="preserve"> en récession en 2023</w:t>
                      </w:r>
                      <w:r w:rsidR="00945C44">
                        <w:rPr>
                          <w:color w:val="FFFFFF"/>
                          <w:sz w:val="22"/>
                        </w:rPr>
                        <w:t xml:space="preserve">, pénalisée par le ralentissement de la consommation et </w:t>
                      </w:r>
                      <w:r w:rsidR="00903AAC">
                        <w:rPr>
                          <w:color w:val="FFFFFF"/>
                          <w:sz w:val="22"/>
                        </w:rPr>
                        <w:t>la forte</w:t>
                      </w:r>
                      <w:r w:rsidR="00984071">
                        <w:rPr>
                          <w:color w:val="FFFFFF"/>
                          <w:sz w:val="22"/>
                        </w:rPr>
                        <w:t xml:space="preserve"> </w:t>
                      </w:r>
                      <w:r w:rsidR="00903AAC">
                        <w:rPr>
                          <w:color w:val="FFFFFF"/>
                          <w:sz w:val="22"/>
                        </w:rPr>
                        <w:t xml:space="preserve">hausse des </w:t>
                      </w:r>
                      <w:r w:rsidR="00945C44">
                        <w:rPr>
                          <w:color w:val="FFFFFF"/>
                          <w:sz w:val="22"/>
                        </w:rPr>
                        <w:t>taux d’intérêt</w:t>
                      </w:r>
                      <w:r w:rsidR="00C62655">
                        <w:rPr>
                          <w:color w:val="FFFFFF"/>
                          <w:sz w:val="22"/>
                        </w:rPr>
                        <w:t>, mais accélère</w:t>
                      </w:r>
                      <w:r w:rsidR="00153638">
                        <w:rPr>
                          <w:color w:val="FFFFFF"/>
                          <w:sz w:val="22"/>
                        </w:rPr>
                        <w:t>ra</w:t>
                      </w:r>
                      <w:r w:rsidR="00C62655">
                        <w:rPr>
                          <w:color w:val="FFFFFF"/>
                          <w:sz w:val="22"/>
                        </w:rPr>
                        <w:t xml:space="preserve"> en 2024 et 2025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123ED" w14:textId="2E90F3D0" w:rsidR="008206F9" w:rsidRDefault="00FE0F33" w:rsidP="00442BCA">
      <w:pPr>
        <w:spacing w:after="120" w:line="240" w:lineRule="auto"/>
        <w:ind w:left="-6" w:right="130" w:hanging="11"/>
        <w:rPr>
          <w:rFonts w:eastAsiaTheme="minorHAnsi"/>
          <w:b/>
          <w:bCs/>
          <w:szCs w:val="20"/>
        </w:rPr>
      </w:pPr>
      <w:r>
        <w:t>Si l</w:t>
      </w:r>
      <w:r w:rsidR="00B247C1" w:rsidRPr="00B247C1">
        <w:t>es</w:t>
      </w:r>
      <w:r w:rsidR="007B1C3E">
        <w:t xml:space="preserve"> effets</w:t>
      </w:r>
      <w:r w:rsidR="00B247C1" w:rsidRPr="00B247C1">
        <w:t xml:space="preserve"> de la crise sanitaire </w:t>
      </w:r>
      <w:r w:rsidR="007B1C3E">
        <w:t xml:space="preserve">liée à la Covid19 </w:t>
      </w:r>
      <w:r w:rsidR="00B247C1" w:rsidRPr="00B247C1">
        <w:t>ont été plus faibles en Suède que dans le reste de l’UE (recul du PIB de -2,</w:t>
      </w:r>
      <w:r w:rsidR="00B76722">
        <w:t>9</w:t>
      </w:r>
      <w:r w:rsidR="00B247C1" w:rsidRPr="00B247C1">
        <w:t xml:space="preserve"> % en 2020 contre -5,9 % dans l’UE et retour au niveau </w:t>
      </w:r>
      <w:proofErr w:type="spellStart"/>
      <w:r w:rsidR="00B247C1" w:rsidRPr="00B247C1">
        <w:t>pré-pandémique</w:t>
      </w:r>
      <w:proofErr w:type="spellEnd"/>
      <w:r w:rsidR="00B247C1" w:rsidRPr="00B247C1">
        <w:t xml:space="preserve"> dès la mi-</w:t>
      </w:r>
      <w:r w:rsidR="00B247C1" w:rsidRPr="00B247C1">
        <w:lastRenderedPageBreak/>
        <w:t>2021</w:t>
      </w:r>
      <w:r w:rsidR="00076C31">
        <w:t>),</w:t>
      </w:r>
      <w:r w:rsidR="007B1C3E">
        <w:t xml:space="preserve"> les </w:t>
      </w:r>
      <w:r w:rsidR="00E27AA6" w:rsidRPr="000E2673">
        <w:t>effets sur l’activité du</w:t>
      </w:r>
      <w:r w:rsidR="00940F99" w:rsidRPr="000E2673">
        <w:t xml:space="preserve"> choc</w:t>
      </w:r>
      <w:r w:rsidR="00101687" w:rsidRPr="000E2673">
        <w:t xml:space="preserve"> d’offre</w:t>
      </w:r>
      <w:r w:rsidR="00940F99" w:rsidRPr="000E2673">
        <w:t xml:space="preserve"> lié à l’agression de l’Ukraine par la Russie</w:t>
      </w:r>
      <w:r w:rsidR="00E27AA6" w:rsidRPr="000E2673">
        <w:t xml:space="preserve"> se </w:t>
      </w:r>
      <w:r w:rsidR="000E2673">
        <w:t>sont fai</w:t>
      </w:r>
      <w:r w:rsidR="0034355A">
        <w:t>t</w:t>
      </w:r>
      <w:r w:rsidR="00FF6FDB">
        <w:t>s</w:t>
      </w:r>
      <w:r w:rsidR="00AE7D90">
        <w:t xml:space="preserve"> nettement</w:t>
      </w:r>
      <w:r w:rsidR="00E27AA6" w:rsidRPr="000E2673">
        <w:t xml:space="preserve"> ressentir</w:t>
      </w:r>
      <w:r w:rsidR="006B40DB">
        <w:t>.</w:t>
      </w:r>
      <w:r w:rsidR="00984071">
        <w:t xml:space="preserve"> </w:t>
      </w:r>
      <w:r w:rsidR="0091759A" w:rsidRPr="00637CB7">
        <w:rPr>
          <w:rFonts w:eastAsiaTheme="minorHAnsi"/>
          <w:szCs w:val="20"/>
        </w:rPr>
        <w:t>E</w:t>
      </w:r>
      <w:r w:rsidR="00892565" w:rsidRPr="00637CB7">
        <w:rPr>
          <w:rFonts w:eastAsiaTheme="minorHAnsi"/>
          <w:szCs w:val="20"/>
        </w:rPr>
        <w:t>n 2023</w:t>
      </w:r>
      <w:r w:rsidR="0091759A" w:rsidRPr="00637CB7">
        <w:rPr>
          <w:rFonts w:eastAsiaTheme="minorHAnsi"/>
          <w:szCs w:val="20"/>
        </w:rPr>
        <w:t xml:space="preserve">, </w:t>
      </w:r>
      <w:r w:rsidR="0091759A" w:rsidRPr="00637CB7">
        <w:rPr>
          <w:rFonts w:eastAsiaTheme="minorHAnsi"/>
          <w:b/>
          <w:bCs/>
          <w:szCs w:val="20"/>
        </w:rPr>
        <w:t xml:space="preserve">la </w:t>
      </w:r>
      <w:r w:rsidR="00E3377F" w:rsidRPr="00637CB7">
        <w:rPr>
          <w:rFonts w:eastAsiaTheme="minorHAnsi"/>
          <w:b/>
          <w:bCs/>
          <w:szCs w:val="20"/>
        </w:rPr>
        <w:t xml:space="preserve">Suède </w:t>
      </w:r>
      <w:r w:rsidR="008206F9">
        <w:rPr>
          <w:rFonts w:eastAsiaTheme="minorHAnsi"/>
          <w:b/>
          <w:bCs/>
          <w:szCs w:val="20"/>
        </w:rPr>
        <w:t xml:space="preserve">est </w:t>
      </w:r>
      <w:r w:rsidR="00AE7D90">
        <w:rPr>
          <w:rFonts w:eastAsiaTheme="minorHAnsi"/>
          <w:b/>
          <w:bCs/>
          <w:szCs w:val="20"/>
        </w:rPr>
        <w:t xml:space="preserve">ainsi entrée </w:t>
      </w:r>
      <w:r w:rsidR="008206F9">
        <w:rPr>
          <w:rFonts w:eastAsiaTheme="minorHAnsi"/>
          <w:b/>
          <w:bCs/>
          <w:szCs w:val="20"/>
        </w:rPr>
        <w:t>en</w:t>
      </w:r>
      <w:r w:rsidR="00E3377F" w:rsidRPr="00637CB7">
        <w:rPr>
          <w:rFonts w:eastAsiaTheme="minorHAnsi"/>
          <w:b/>
          <w:bCs/>
          <w:szCs w:val="20"/>
        </w:rPr>
        <w:t xml:space="preserve"> récession</w:t>
      </w:r>
      <w:r w:rsidR="00076C31" w:rsidRPr="00637CB7">
        <w:rPr>
          <w:rFonts w:eastAsiaTheme="minorHAnsi"/>
          <w:b/>
          <w:bCs/>
          <w:szCs w:val="20"/>
        </w:rPr>
        <w:t xml:space="preserve"> </w:t>
      </w:r>
      <w:r w:rsidR="00225D98">
        <w:rPr>
          <w:rFonts w:eastAsiaTheme="minorHAnsi"/>
          <w:b/>
          <w:bCs/>
          <w:szCs w:val="20"/>
        </w:rPr>
        <w:t>(c</w:t>
      </w:r>
      <w:r w:rsidR="00076C31" w:rsidRPr="00637CB7">
        <w:rPr>
          <w:rFonts w:eastAsiaTheme="minorHAnsi"/>
          <w:b/>
          <w:bCs/>
          <w:szCs w:val="20"/>
        </w:rPr>
        <w:t>ontraction d</w:t>
      </w:r>
      <w:r w:rsidR="00387055">
        <w:rPr>
          <w:rFonts w:eastAsiaTheme="minorHAnsi"/>
          <w:b/>
          <w:bCs/>
          <w:szCs w:val="20"/>
        </w:rPr>
        <w:t>u</w:t>
      </w:r>
      <w:r w:rsidR="00076C31" w:rsidRPr="00637CB7">
        <w:rPr>
          <w:rFonts w:eastAsiaTheme="minorHAnsi"/>
          <w:b/>
          <w:bCs/>
          <w:szCs w:val="20"/>
        </w:rPr>
        <w:t xml:space="preserve"> PIB de -0,</w:t>
      </w:r>
      <w:r w:rsidR="003F09AA">
        <w:rPr>
          <w:rFonts w:eastAsiaTheme="minorHAnsi"/>
          <w:b/>
          <w:bCs/>
          <w:szCs w:val="20"/>
        </w:rPr>
        <w:t>2</w:t>
      </w:r>
      <w:r w:rsidR="00076C31" w:rsidRPr="00637CB7">
        <w:rPr>
          <w:rFonts w:eastAsiaTheme="minorHAnsi"/>
          <w:b/>
          <w:bCs/>
          <w:szCs w:val="20"/>
        </w:rPr>
        <w:t>%</w:t>
      </w:r>
      <w:r w:rsidR="00225D98">
        <w:rPr>
          <w:rFonts w:eastAsiaTheme="minorHAnsi"/>
          <w:b/>
          <w:bCs/>
          <w:szCs w:val="20"/>
        </w:rPr>
        <w:t>)</w:t>
      </w:r>
      <w:r w:rsidR="00201718">
        <w:rPr>
          <w:rFonts w:eastAsiaTheme="minorHAnsi"/>
          <w:b/>
          <w:bCs/>
          <w:szCs w:val="20"/>
        </w:rPr>
        <w:t>.</w:t>
      </w:r>
      <w:r w:rsidR="008206F9">
        <w:rPr>
          <w:rFonts w:eastAsiaTheme="minorHAnsi"/>
          <w:b/>
          <w:bCs/>
          <w:szCs w:val="20"/>
        </w:rPr>
        <w:t xml:space="preserve"> </w:t>
      </w:r>
    </w:p>
    <w:p w14:paraId="26839164" w14:textId="7884C659" w:rsidR="00945C44" w:rsidRPr="006B34F5" w:rsidRDefault="00201718" w:rsidP="00442BCA">
      <w:pPr>
        <w:spacing w:after="120" w:line="240" w:lineRule="auto"/>
        <w:ind w:left="-6" w:right="130" w:hanging="11"/>
        <w:rPr>
          <w:rFonts w:eastAsiaTheme="minorHAnsi"/>
          <w:szCs w:val="20"/>
        </w:rPr>
      </w:pPr>
      <w:r>
        <w:rPr>
          <w:rFonts w:eastAsiaTheme="minorHAnsi"/>
          <w:b/>
          <w:bCs/>
          <w:szCs w:val="20"/>
        </w:rPr>
        <w:t>La</w:t>
      </w:r>
      <w:r w:rsidR="00185E6A">
        <w:rPr>
          <w:rFonts w:eastAsiaTheme="minorHAnsi"/>
          <w:b/>
          <w:bCs/>
          <w:szCs w:val="20"/>
        </w:rPr>
        <w:t xml:space="preserve"> </w:t>
      </w:r>
      <w:r w:rsidR="00E3377F" w:rsidRPr="001C1FF2">
        <w:rPr>
          <w:rFonts w:eastAsiaTheme="minorHAnsi"/>
          <w:b/>
          <w:bCs/>
          <w:szCs w:val="20"/>
        </w:rPr>
        <w:t>croissance</w:t>
      </w:r>
      <w:r w:rsidR="00AE7D90">
        <w:rPr>
          <w:rFonts w:eastAsiaTheme="minorHAnsi"/>
          <w:b/>
          <w:bCs/>
          <w:szCs w:val="20"/>
        </w:rPr>
        <w:t xml:space="preserve"> reprend toutefois </w:t>
      </w:r>
      <w:r w:rsidR="00E3377F" w:rsidRPr="001C1FF2">
        <w:rPr>
          <w:rFonts w:eastAsiaTheme="minorHAnsi"/>
          <w:b/>
          <w:bCs/>
          <w:szCs w:val="20"/>
        </w:rPr>
        <w:t>en</w:t>
      </w:r>
      <w:r w:rsidR="00892565" w:rsidRPr="001C1FF2">
        <w:rPr>
          <w:rFonts w:eastAsiaTheme="minorHAnsi"/>
          <w:b/>
          <w:bCs/>
          <w:szCs w:val="20"/>
        </w:rPr>
        <w:t xml:space="preserve"> 2024</w:t>
      </w:r>
      <w:r w:rsidR="00131338">
        <w:rPr>
          <w:rFonts w:eastAsiaTheme="minorHAnsi"/>
          <w:b/>
          <w:bCs/>
          <w:szCs w:val="20"/>
        </w:rPr>
        <w:t xml:space="preserve"> et 2025</w:t>
      </w:r>
      <w:r w:rsidR="00892565" w:rsidRPr="001C1FF2">
        <w:rPr>
          <w:rFonts w:eastAsiaTheme="minorHAnsi"/>
          <w:b/>
          <w:bCs/>
          <w:szCs w:val="20"/>
        </w:rPr>
        <w:t xml:space="preserve"> (</w:t>
      </w:r>
      <w:r w:rsidR="00131338">
        <w:rPr>
          <w:rFonts w:eastAsiaTheme="minorHAnsi"/>
          <w:b/>
          <w:bCs/>
          <w:szCs w:val="20"/>
        </w:rPr>
        <w:t xml:space="preserve">resp. </w:t>
      </w:r>
      <w:r w:rsidR="00892565" w:rsidRPr="001C1FF2">
        <w:rPr>
          <w:rFonts w:eastAsiaTheme="minorHAnsi"/>
          <w:b/>
          <w:bCs/>
          <w:szCs w:val="20"/>
        </w:rPr>
        <w:t>+0,</w:t>
      </w:r>
      <w:r w:rsidR="003F09AA">
        <w:rPr>
          <w:rFonts w:eastAsiaTheme="minorHAnsi"/>
          <w:b/>
          <w:bCs/>
          <w:szCs w:val="20"/>
        </w:rPr>
        <w:t>7</w:t>
      </w:r>
      <w:r w:rsidR="00892565" w:rsidRPr="001C1FF2">
        <w:rPr>
          <w:rFonts w:eastAsiaTheme="minorHAnsi"/>
          <w:b/>
          <w:bCs/>
          <w:szCs w:val="20"/>
        </w:rPr>
        <w:t>%</w:t>
      </w:r>
      <w:r w:rsidR="00AE7D90">
        <w:rPr>
          <w:rFonts w:eastAsiaTheme="minorHAnsi"/>
          <w:b/>
          <w:bCs/>
          <w:szCs w:val="20"/>
        </w:rPr>
        <w:t xml:space="preserve"> </w:t>
      </w:r>
      <w:r w:rsidR="00131338">
        <w:rPr>
          <w:rFonts w:eastAsiaTheme="minorHAnsi"/>
          <w:b/>
          <w:bCs/>
          <w:szCs w:val="20"/>
        </w:rPr>
        <w:t xml:space="preserve">et +2,5% </w:t>
      </w:r>
      <w:r w:rsidR="00AE7D90">
        <w:rPr>
          <w:rFonts w:eastAsiaTheme="minorHAnsi"/>
          <w:b/>
          <w:bCs/>
          <w:szCs w:val="20"/>
        </w:rPr>
        <w:t>selon le gouvernement</w:t>
      </w:r>
      <w:r w:rsidR="00892565" w:rsidRPr="001C1FF2">
        <w:rPr>
          <w:rFonts w:eastAsiaTheme="minorHAnsi"/>
          <w:b/>
          <w:bCs/>
          <w:szCs w:val="20"/>
        </w:rPr>
        <w:t>)</w:t>
      </w:r>
      <w:r w:rsidR="00892565" w:rsidRPr="00BF54A9">
        <w:rPr>
          <w:rFonts w:eastAsiaTheme="minorHAnsi"/>
          <w:szCs w:val="20"/>
        </w:rPr>
        <w:t>.</w:t>
      </w:r>
      <w:r w:rsidR="00984071">
        <w:rPr>
          <w:rFonts w:eastAsiaTheme="minorHAnsi"/>
          <w:szCs w:val="20"/>
        </w:rPr>
        <w:t xml:space="preserve"> </w:t>
      </w:r>
      <w:r w:rsidR="00D917C3" w:rsidRPr="006A6960">
        <w:rPr>
          <w:b/>
          <w:bCs/>
          <w:szCs w:val="20"/>
        </w:rPr>
        <w:t>L’inflation</w:t>
      </w:r>
      <w:r w:rsidR="00185E6A">
        <w:rPr>
          <w:szCs w:val="20"/>
        </w:rPr>
        <w:t xml:space="preserve"> </w:t>
      </w:r>
      <w:r w:rsidR="00411DDB">
        <w:rPr>
          <w:szCs w:val="20"/>
        </w:rPr>
        <w:t>a</w:t>
      </w:r>
      <w:r w:rsidR="00131338">
        <w:rPr>
          <w:szCs w:val="20"/>
        </w:rPr>
        <w:t>vait</w:t>
      </w:r>
      <w:r w:rsidR="00411DDB">
        <w:rPr>
          <w:szCs w:val="20"/>
        </w:rPr>
        <w:t xml:space="preserve"> été plus forte</w:t>
      </w:r>
      <w:r w:rsidR="00C15F7D">
        <w:rPr>
          <w:szCs w:val="20"/>
        </w:rPr>
        <w:t>ment ressentie qu’ailleurs en Europe</w:t>
      </w:r>
      <w:r w:rsidR="00387055" w:rsidRPr="00387055">
        <w:rPr>
          <w:szCs w:val="20"/>
        </w:rPr>
        <w:t xml:space="preserve"> </w:t>
      </w:r>
      <w:r w:rsidR="00387055">
        <w:rPr>
          <w:szCs w:val="20"/>
        </w:rPr>
        <w:t>en raison notamment de la dépréciation de la couronne suédoise (inflation importée)</w:t>
      </w:r>
      <w:r w:rsidR="00185E6A">
        <w:rPr>
          <w:szCs w:val="20"/>
        </w:rPr>
        <w:t>. L</w:t>
      </w:r>
      <w:r w:rsidR="0060493E">
        <w:rPr>
          <w:szCs w:val="20"/>
        </w:rPr>
        <w:t>’IPCH</w:t>
      </w:r>
      <w:r w:rsidR="00185E6A">
        <w:rPr>
          <w:szCs w:val="20"/>
        </w:rPr>
        <w:t xml:space="preserve"> </w:t>
      </w:r>
      <w:r w:rsidR="00185E6A" w:rsidRPr="00185E6A">
        <w:rPr>
          <w:color w:val="auto"/>
          <w:szCs w:val="20"/>
        </w:rPr>
        <w:t>(indice des prix harmonisé à la consommation établi par Eurostat à des fins de comparaison)</w:t>
      </w:r>
      <w:r w:rsidR="0060493E" w:rsidRPr="00185E6A">
        <w:rPr>
          <w:color w:val="auto"/>
          <w:szCs w:val="20"/>
        </w:rPr>
        <w:t xml:space="preserve"> </w:t>
      </w:r>
      <w:r w:rsidR="00185E6A">
        <w:rPr>
          <w:szCs w:val="20"/>
        </w:rPr>
        <w:t>a</w:t>
      </w:r>
      <w:r w:rsidR="00131338">
        <w:rPr>
          <w:szCs w:val="20"/>
        </w:rPr>
        <w:t>vait atteint</w:t>
      </w:r>
      <w:r w:rsidR="00185E6A">
        <w:rPr>
          <w:szCs w:val="20"/>
        </w:rPr>
        <w:t xml:space="preserve"> </w:t>
      </w:r>
      <w:r w:rsidR="008206F9">
        <w:rPr>
          <w:szCs w:val="20"/>
        </w:rPr>
        <w:t>+</w:t>
      </w:r>
      <w:r w:rsidR="0060493E">
        <w:rPr>
          <w:szCs w:val="20"/>
        </w:rPr>
        <w:t xml:space="preserve">5,9% en Suède en 2023 contre </w:t>
      </w:r>
      <w:r w:rsidR="008206F9">
        <w:rPr>
          <w:szCs w:val="20"/>
        </w:rPr>
        <w:t>+</w:t>
      </w:r>
      <w:r w:rsidR="00411DDB">
        <w:rPr>
          <w:szCs w:val="20"/>
        </w:rPr>
        <w:t>5,4% en zone euro</w:t>
      </w:r>
      <w:r w:rsidR="00411DDB">
        <w:rPr>
          <w:rStyle w:val="Appelnotedebasdep"/>
          <w:rFonts w:eastAsiaTheme="minorHAnsi"/>
          <w:szCs w:val="20"/>
        </w:rPr>
        <w:footnoteReference w:id="6"/>
      </w:r>
      <w:r w:rsidR="00C15F7D">
        <w:rPr>
          <w:szCs w:val="20"/>
        </w:rPr>
        <w:t xml:space="preserve">. </w:t>
      </w:r>
      <w:r w:rsidR="00317163" w:rsidRPr="00984071">
        <w:rPr>
          <w:color w:val="auto"/>
          <w:szCs w:val="20"/>
        </w:rPr>
        <w:t xml:space="preserve">La Banque </w:t>
      </w:r>
      <w:r w:rsidR="00637CB7">
        <w:rPr>
          <w:color w:val="auto"/>
          <w:szCs w:val="20"/>
        </w:rPr>
        <w:t>c</w:t>
      </w:r>
      <w:r w:rsidR="00317163" w:rsidRPr="00984071">
        <w:rPr>
          <w:color w:val="auto"/>
          <w:szCs w:val="20"/>
        </w:rPr>
        <w:t>entrale a</w:t>
      </w:r>
      <w:r w:rsidR="00387055">
        <w:rPr>
          <w:color w:val="auto"/>
          <w:szCs w:val="20"/>
        </w:rPr>
        <w:t xml:space="preserve"> </w:t>
      </w:r>
      <w:r w:rsidR="00317163" w:rsidRPr="00984071">
        <w:rPr>
          <w:color w:val="auto"/>
          <w:szCs w:val="20"/>
        </w:rPr>
        <w:t xml:space="preserve">relevé son taux directeur à +4% </w:t>
      </w:r>
      <w:r w:rsidR="00387055">
        <w:rPr>
          <w:color w:val="auto"/>
          <w:szCs w:val="20"/>
        </w:rPr>
        <w:t xml:space="preserve">dès </w:t>
      </w:r>
      <w:r w:rsidR="00317163" w:rsidRPr="00984071">
        <w:rPr>
          <w:color w:val="auto"/>
          <w:szCs w:val="20"/>
        </w:rPr>
        <w:t>le 29 novembre 2023</w:t>
      </w:r>
      <w:r w:rsidR="00AE1F7E">
        <w:rPr>
          <w:color w:val="auto"/>
          <w:szCs w:val="20"/>
        </w:rPr>
        <w:t xml:space="preserve"> (</w:t>
      </w:r>
      <w:r w:rsidR="00B70E0A">
        <w:rPr>
          <w:color w:val="auto"/>
          <w:szCs w:val="20"/>
        </w:rPr>
        <w:t xml:space="preserve">taux </w:t>
      </w:r>
      <w:r w:rsidR="00AE1F7E">
        <w:rPr>
          <w:color w:val="auto"/>
          <w:szCs w:val="20"/>
        </w:rPr>
        <w:t>inchangé au 27 mars 2024)</w:t>
      </w:r>
      <w:r w:rsidR="00317163" w:rsidRPr="00984071">
        <w:rPr>
          <w:color w:val="auto"/>
          <w:szCs w:val="20"/>
        </w:rPr>
        <w:t xml:space="preserve">, soit son niveau le plus élevé depuis </w:t>
      </w:r>
      <w:r w:rsidR="00317163" w:rsidRPr="00B70E0A">
        <w:rPr>
          <w:color w:val="auto"/>
          <w:szCs w:val="20"/>
        </w:rPr>
        <w:t>2008</w:t>
      </w:r>
      <w:r w:rsidR="00317163" w:rsidRPr="00B70E0A">
        <w:rPr>
          <w:rStyle w:val="Appelnotedebasdep"/>
          <w:color w:val="auto"/>
          <w:szCs w:val="20"/>
        </w:rPr>
        <w:footnoteReference w:id="7"/>
      </w:r>
      <w:r w:rsidR="00317163" w:rsidRPr="00B70E0A">
        <w:rPr>
          <w:color w:val="auto"/>
          <w:szCs w:val="20"/>
        </w:rPr>
        <w:t>.</w:t>
      </w:r>
      <w:r w:rsidR="00984071" w:rsidRPr="00B70E0A">
        <w:rPr>
          <w:color w:val="auto"/>
          <w:szCs w:val="20"/>
        </w:rPr>
        <w:t xml:space="preserve"> </w:t>
      </w:r>
      <w:r w:rsidR="00B70E0A">
        <w:rPr>
          <w:color w:val="auto"/>
          <w:szCs w:val="20"/>
        </w:rPr>
        <w:t>En 2023</w:t>
      </w:r>
      <w:r w:rsidR="008206F9">
        <w:rPr>
          <w:color w:val="auto"/>
          <w:szCs w:val="20"/>
        </w:rPr>
        <w:t>,</w:t>
      </w:r>
      <w:r w:rsidR="00B70E0A">
        <w:rPr>
          <w:color w:val="auto"/>
          <w:szCs w:val="20"/>
        </w:rPr>
        <w:t xml:space="preserve"> l</w:t>
      </w:r>
      <w:r w:rsidR="00563FA2" w:rsidRPr="00CE78B0">
        <w:rPr>
          <w:szCs w:val="20"/>
        </w:rPr>
        <w:t xml:space="preserve">a </w:t>
      </w:r>
      <w:r w:rsidR="00563FA2" w:rsidRPr="001E7F48">
        <w:rPr>
          <w:b/>
          <w:bCs/>
          <w:szCs w:val="20"/>
        </w:rPr>
        <w:t>consommation des ménages</w:t>
      </w:r>
      <w:r w:rsidR="00563FA2" w:rsidRPr="00CE78B0">
        <w:rPr>
          <w:szCs w:val="20"/>
        </w:rPr>
        <w:t xml:space="preserve"> </w:t>
      </w:r>
      <w:r w:rsidR="00076C31">
        <w:rPr>
          <w:szCs w:val="20"/>
        </w:rPr>
        <w:t xml:space="preserve">a </w:t>
      </w:r>
      <w:r w:rsidR="008206F9">
        <w:rPr>
          <w:b/>
          <w:bCs/>
          <w:szCs w:val="20"/>
        </w:rPr>
        <w:t>ralenti</w:t>
      </w:r>
      <w:r w:rsidR="00FA6A56" w:rsidRPr="001E7F48">
        <w:rPr>
          <w:b/>
          <w:bCs/>
          <w:szCs w:val="20"/>
        </w:rPr>
        <w:t xml:space="preserve"> </w:t>
      </w:r>
      <w:r w:rsidR="00FA6A56" w:rsidRPr="00C610F8">
        <w:rPr>
          <w:b/>
          <w:bCs/>
          <w:szCs w:val="20"/>
        </w:rPr>
        <w:t>(</w:t>
      </w:r>
      <w:r w:rsidR="003F6E43">
        <w:rPr>
          <w:b/>
          <w:bCs/>
          <w:szCs w:val="20"/>
        </w:rPr>
        <w:t>-</w:t>
      </w:r>
      <w:r w:rsidR="00FA6A56" w:rsidRPr="00C610F8">
        <w:rPr>
          <w:b/>
          <w:bCs/>
          <w:szCs w:val="20"/>
        </w:rPr>
        <w:t>2,</w:t>
      </w:r>
      <w:r w:rsidR="00AF471E">
        <w:rPr>
          <w:b/>
          <w:bCs/>
          <w:szCs w:val="20"/>
        </w:rPr>
        <w:t>5</w:t>
      </w:r>
      <w:r w:rsidR="00FA6A56" w:rsidRPr="00C610F8">
        <w:rPr>
          <w:b/>
          <w:bCs/>
          <w:szCs w:val="20"/>
        </w:rPr>
        <w:t>%)</w:t>
      </w:r>
      <w:r w:rsidR="00FA6A56">
        <w:rPr>
          <w:szCs w:val="20"/>
        </w:rPr>
        <w:t xml:space="preserve"> et devrait </w:t>
      </w:r>
      <w:r w:rsidR="0030765B">
        <w:rPr>
          <w:szCs w:val="20"/>
        </w:rPr>
        <w:t>croître faiblement</w:t>
      </w:r>
      <w:r w:rsidR="00B70E0A">
        <w:rPr>
          <w:szCs w:val="20"/>
        </w:rPr>
        <w:t xml:space="preserve"> </w:t>
      </w:r>
      <w:r w:rsidR="00FA6A56">
        <w:rPr>
          <w:szCs w:val="20"/>
        </w:rPr>
        <w:t>en 2024</w:t>
      </w:r>
      <w:r w:rsidR="00B70E0A">
        <w:rPr>
          <w:szCs w:val="20"/>
        </w:rPr>
        <w:t xml:space="preserve"> (+1,2%)</w:t>
      </w:r>
      <w:r w:rsidR="00FA6A56">
        <w:rPr>
          <w:szCs w:val="20"/>
        </w:rPr>
        <w:t xml:space="preserve">. </w:t>
      </w:r>
      <w:r w:rsidR="00C15F7D">
        <w:t>L</w:t>
      </w:r>
      <w:r w:rsidR="00370443" w:rsidRPr="004E218F">
        <w:t>es salaires réels</w:t>
      </w:r>
      <w:r w:rsidR="000748FF">
        <w:t xml:space="preserve"> </w:t>
      </w:r>
      <w:r w:rsidR="0034355A">
        <w:t xml:space="preserve">connaissent une forte baisse </w:t>
      </w:r>
      <w:r w:rsidR="009F3EC2">
        <w:t>(-5% sur l’année 2022</w:t>
      </w:r>
      <w:r w:rsidR="00AE4C73">
        <w:t xml:space="preserve"> et -6,6% en 2023</w:t>
      </w:r>
      <w:r w:rsidR="00AE4C73">
        <w:rPr>
          <w:rStyle w:val="Appelnotedebasdep"/>
        </w:rPr>
        <w:footnoteReference w:id="8"/>
      </w:r>
      <w:r w:rsidR="009F3EC2">
        <w:t>)</w:t>
      </w:r>
      <w:r w:rsidR="00101687">
        <w:t xml:space="preserve">. </w:t>
      </w:r>
      <w:r w:rsidR="00C84B76">
        <w:t>C</w:t>
      </w:r>
      <w:r w:rsidR="005B6D89">
        <w:t xml:space="preserve">ette singularité s’explique essentiellement </w:t>
      </w:r>
      <w:r w:rsidR="005B6D89" w:rsidRPr="005B6D89">
        <w:t xml:space="preserve">par </w:t>
      </w:r>
      <w:r w:rsidR="005B6D89" w:rsidRPr="001E7F48">
        <w:rPr>
          <w:b/>
          <w:bCs/>
        </w:rPr>
        <w:t>l’effet de la hausse des taux d’intérêt sur le marché immobilier</w:t>
      </w:r>
      <w:r w:rsidR="005B6D89" w:rsidRPr="005B6D89">
        <w:t xml:space="preserve"> (taux endettement des ménages de 200% du RDN, </w:t>
      </w:r>
      <w:r w:rsidR="005B6D89">
        <w:t>crédits pou</w:t>
      </w:r>
      <w:r w:rsidR="005B6D89" w:rsidRPr="005B6D89">
        <w:t xml:space="preserve">r </w:t>
      </w:r>
      <w:r w:rsidR="00AE7D90">
        <w:t xml:space="preserve">plus de la </w:t>
      </w:r>
      <w:r w:rsidR="005B6D89" w:rsidRPr="005B6D89">
        <w:t>moitié à taux variable</w:t>
      </w:r>
      <w:r w:rsidR="00AE7D90">
        <w:t>s</w:t>
      </w:r>
      <w:r w:rsidR="005B6D89" w:rsidRPr="005B6D89">
        <w:t>)</w:t>
      </w:r>
      <w:r w:rsidR="005B6D89">
        <w:t>, exacerbant l’érosion du</w:t>
      </w:r>
      <w:r w:rsidR="005B6D89" w:rsidRPr="008D29A7">
        <w:t xml:space="preserve"> pouvoir d’achat </w:t>
      </w:r>
      <w:r w:rsidR="005B6D89">
        <w:t>des ménages.</w:t>
      </w:r>
      <w:r w:rsidR="00984071">
        <w:t xml:space="preserve"> </w:t>
      </w:r>
      <w:r w:rsidR="00892565" w:rsidRPr="00380E6A">
        <w:rPr>
          <w:b/>
          <w:bCs/>
        </w:rPr>
        <w:t>L’excédent courant</w:t>
      </w:r>
      <w:r w:rsidR="00892565" w:rsidRPr="00380E6A">
        <w:t xml:space="preserve"> se maintient toutefois à des niveaux élevés (</w:t>
      </w:r>
      <w:r w:rsidR="003F6E43">
        <w:t>+</w:t>
      </w:r>
      <w:r w:rsidR="00070370" w:rsidRPr="00380E6A">
        <w:rPr>
          <w:b/>
          <w:bCs/>
        </w:rPr>
        <w:t>6,5</w:t>
      </w:r>
      <w:r w:rsidR="00892565" w:rsidRPr="00380E6A">
        <w:rPr>
          <w:b/>
          <w:bCs/>
        </w:rPr>
        <w:t>% du PIB en 202</w:t>
      </w:r>
      <w:r w:rsidR="00070370" w:rsidRPr="00380E6A">
        <w:rPr>
          <w:b/>
          <w:bCs/>
        </w:rPr>
        <w:t>3</w:t>
      </w:r>
      <w:r w:rsidR="00892565" w:rsidRPr="00380E6A">
        <w:t>).</w:t>
      </w:r>
      <w:r w:rsidR="00892565">
        <w:t xml:space="preserve"> En dépit d’un taux de </w:t>
      </w:r>
      <w:r w:rsidR="00892565" w:rsidRPr="00070370">
        <w:rPr>
          <w:b/>
          <w:bCs/>
        </w:rPr>
        <w:t>chômage</w:t>
      </w:r>
      <w:r w:rsidR="00892565">
        <w:t xml:space="preserve"> persistant </w:t>
      </w:r>
      <w:r w:rsidR="00380E6A">
        <w:t>(</w:t>
      </w:r>
      <w:r w:rsidR="00B81C5C">
        <w:rPr>
          <w:b/>
          <w:bCs/>
        </w:rPr>
        <w:t>+7,7</w:t>
      </w:r>
      <w:r w:rsidR="00AE7D90">
        <w:rPr>
          <w:b/>
          <w:bCs/>
        </w:rPr>
        <w:t>%</w:t>
      </w:r>
      <w:r w:rsidR="00B81C5C">
        <w:rPr>
          <w:b/>
          <w:bCs/>
        </w:rPr>
        <w:t xml:space="preserve"> </w:t>
      </w:r>
      <w:r w:rsidR="00380E6A">
        <w:t xml:space="preserve">de la population active </w:t>
      </w:r>
      <w:r w:rsidR="00B81C5C">
        <w:rPr>
          <w:b/>
          <w:bCs/>
        </w:rPr>
        <w:t>en 2023</w:t>
      </w:r>
      <w:r w:rsidR="00892565">
        <w:t xml:space="preserve">), les entreprises </w:t>
      </w:r>
      <w:r w:rsidR="003F6E43">
        <w:t xml:space="preserve">peinent à recruter. </w:t>
      </w:r>
      <w:r w:rsidR="00892565">
        <w:t xml:space="preserve"> </w:t>
      </w:r>
    </w:p>
    <w:p w14:paraId="15513F78" w14:textId="77777777" w:rsidR="00ED7B5B" w:rsidRPr="00BE0CC7" w:rsidRDefault="00ED7B5B" w:rsidP="00342096">
      <w:pPr>
        <w:spacing w:before="120" w:after="120" w:line="240" w:lineRule="auto"/>
        <w:ind w:left="11" w:right="147" w:hanging="11"/>
        <w:rPr>
          <w:noProof/>
          <w:color w:val="000091"/>
        </w:rPr>
      </w:pPr>
      <w:r w:rsidRPr="00BE0CC7">
        <w:rPr>
          <w:noProof/>
          <w:color w:val="000091"/>
        </w:rPr>
        <mc:AlternateContent>
          <mc:Choice Requires="wps">
            <w:drawing>
              <wp:inline distT="0" distB="0" distL="0" distR="0" wp14:anchorId="38A8105D" wp14:editId="4C59F2A2">
                <wp:extent cx="5854890" cy="311848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890" cy="311848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E5984" w14:textId="522374AB" w:rsidR="00CC3A19" w:rsidRDefault="00ED7B5B" w:rsidP="00342096">
                            <w:pPr>
                              <w:shd w:val="clear" w:color="auto" w:fill="006CE5"/>
                              <w:spacing w:after="0" w:line="240" w:lineRule="auto"/>
                              <w:ind w:left="11" w:right="91" w:hanging="11"/>
                              <w:jc w:val="left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II</w:t>
                            </w:r>
                            <w:r w:rsidR="00CC3A19">
                              <w:rPr>
                                <w:color w:val="FFFFFF"/>
                                <w:sz w:val="22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 xml:space="preserve">. </w:t>
                            </w:r>
                            <w:r w:rsidR="00CC3A19">
                              <w:rPr>
                                <w:color w:val="FFFFFF"/>
                                <w:sz w:val="22"/>
                              </w:rPr>
                              <w:t>Les marges de manœuvre budgétaire</w:t>
                            </w:r>
                            <w:r w:rsidR="00153638">
                              <w:rPr>
                                <w:color w:val="FFFFFF"/>
                                <w:sz w:val="22"/>
                              </w:rPr>
                              <w:t xml:space="preserve">, </w:t>
                            </w:r>
                            <w:r w:rsidR="00CC3A19">
                              <w:rPr>
                                <w:color w:val="FFFFFF"/>
                                <w:sz w:val="22"/>
                              </w:rPr>
                              <w:t>importantes</w:t>
                            </w:r>
                            <w:r w:rsidR="00153638">
                              <w:rPr>
                                <w:color w:val="FFFFFF"/>
                                <w:sz w:val="22"/>
                              </w:rPr>
                              <w:t>,</w:t>
                            </w:r>
                            <w:r w:rsidR="00796194">
                              <w:rPr>
                                <w:color w:val="FFFFFF"/>
                                <w:sz w:val="22"/>
                              </w:rPr>
                              <w:t xml:space="preserve"> se</w:t>
                            </w:r>
                            <w:r w:rsidR="00940F99">
                              <w:rPr>
                                <w:color w:val="FFFFFF"/>
                                <w:sz w:val="22"/>
                              </w:rPr>
                              <w:t xml:space="preserve"> mobilis</w:t>
                            </w:r>
                            <w:r w:rsidR="00796194">
                              <w:rPr>
                                <w:color w:val="FFFFFF"/>
                                <w:sz w:val="22"/>
                              </w:rPr>
                              <w:t>ent</w:t>
                            </w:r>
                            <w:r w:rsidR="00153638">
                              <w:rPr>
                                <w:color w:val="FFFFFF"/>
                                <w:sz w:val="22"/>
                              </w:rPr>
                              <w:t xml:space="preserve"> progressivement</w:t>
                            </w:r>
                            <w:r w:rsidR="00796194">
                              <w:rPr>
                                <w:color w:val="FFFFFF"/>
                                <w:sz w:val="22"/>
                              </w:rPr>
                              <w:t xml:space="preserve"> </w:t>
                            </w:r>
                          </w:p>
                          <w:p w14:paraId="01BD0196" w14:textId="77777777" w:rsidR="00ED7B5B" w:rsidRPr="003770DB" w:rsidRDefault="00ED7B5B" w:rsidP="00ED7B5B">
                            <w:pPr>
                              <w:shd w:val="clear" w:color="auto" w:fill="006CE5"/>
                              <w:spacing w:after="0" w:line="259" w:lineRule="auto"/>
                              <w:ind w:right="0"/>
                              <w:jc w:val="left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A8105D" id="_x0000_s1033" type="#_x0000_t202" style="width:461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" fillcolor="#006ce5" stroked="f">
                <v:textbox>
                  <w:txbxContent>
                    <w:p w14:paraId="5DFE5984" w14:textId="522374AB" w:rsidR="00CC3A19" w:rsidRDefault="00ED7B5B" w:rsidP="00342096">
                      <w:pPr>
                        <w:shd w:val="clear" w:color="auto" w:fill="006CE5"/>
                        <w:spacing w:after="0" w:line="240" w:lineRule="auto"/>
                        <w:ind w:left="11" w:right="91" w:hanging="11"/>
                        <w:jc w:val="left"/>
                      </w:pPr>
                      <w:r>
                        <w:rPr>
                          <w:color w:val="FFFFFF"/>
                          <w:sz w:val="22"/>
                        </w:rPr>
                        <w:t>II</w:t>
                      </w:r>
                      <w:r w:rsidR="00CC3A19">
                        <w:rPr>
                          <w:color w:val="FFFFFF"/>
                          <w:sz w:val="22"/>
                        </w:rPr>
                        <w:t>I</w:t>
                      </w:r>
                      <w:r>
                        <w:rPr>
                          <w:color w:val="FFFFFF"/>
                          <w:sz w:val="22"/>
                        </w:rPr>
                        <w:t xml:space="preserve">. </w:t>
                      </w:r>
                      <w:r w:rsidR="00CC3A19">
                        <w:rPr>
                          <w:color w:val="FFFFFF"/>
                          <w:sz w:val="22"/>
                        </w:rPr>
                        <w:t>Les marges de manœuvre budgétaire</w:t>
                      </w:r>
                      <w:r w:rsidR="00153638">
                        <w:rPr>
                          <w:color w:val="FFFFFF"/>
                          <w:sz w:val="22"/>
                        </w:rPr>
                        <w:t xml:space="preserve">, </w:t>
                      </w:r>
                      <w:r w:rsidR="00CC3A19">
                        <w:rPr>
                          <w:color w:val="FFFFFF"/>
                          <w:sz w:val="22"/>
                        </w:rPr>
                        <w:t>importantes</w:t>
                      </w:r>
                      <w:r w:rsidR="00153638">
                        <w:rPr>
                          <w:color w:val="FFFFFF"/>
                          <w:sz w:val="22"/>
                        </w:rPr>
                        <w:t>,</w:t>
                      </w:r>
                      <w:r w:rsidR="00796194">
                        <w:rPr>
                          <w:color w:val="FFFFFF"/>
                          <w:sz w:val="22"/>
                        </w:rPr>
                        <w:t xml:space="preserve"> se</w:t>
                      </w:r>
                      <w:r w:rsidR="00940F99">
                        <w:rPr>
                          <w:color w:val="FFFFFF"/>
                          <w:sz w:val="22"/>
                        </w:rPr>
                        <w:t xml:space="preserve"> mobilis</w:t>
                      </w:r>
                      <w:r w:rsidR="00796194">
                        <w:rPr>
                          <w:color w:val="FFFFFF"/>
                          <w:sz w:val="22"/>
                        </w:rPr>
                        <w:t>ent</w:t>
                      </w:r>
                      <w:r w:rsidR="00153638">
                        <w:rPr>
                          <w:color w:val="FFFFFF"/>
                          <w:sz w:val="22"/>
                        </w:rPr>
                        <w:t xml:space="preserve"> progressivement</w:t>
                      </w:r>
                      <w:r w:rsidR="00796194">
                        <w:rPr>
                          <w:color w:val="FFFFFF"/>
                          <w:sz w:val="22"/>
                        </w:rPr>
                        <w:t xml:space="preserve"> </w:t>
                      </w:r>
                    </w:p>
                    <w:p w14:paraId="01BD0196" w14:textId="77777777" w:rsidR="00ED7B5B" w:rsidRPr="003770DB" w:rsidRDefault="00ED7B5B" w:rsidP="00ED7B5B">
                      <w:pPr>
                        <w:shd w:val="clear" w:color="auto" w:fill="006CE5"/>
                        <w:spacing w:after="0" w:line="259" w:lineRule="auto"/>
                        <w:ind w:right="0"/>
                        <w:jc w:val="left"/>
                        <w:rPr>
                          <w:rFonts w:ascii="Segoe UI Historic" w:hAnsi="Segoe UI Historic" w:cs="Segoe UI Historic"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201B52" w14:textId="56A8BB6E" w:rsidR="00894A24" w:rsidRDefault="00772141" w:rsidP="00D90E32">
      <w:pPr>
        <w:spacing w:after="0" w:line="240" w:lineRule="auto"/>
        <w:ind w:left="-6" w:right="130" w:hanging="11"/>
      </w:pPr>
      <w:r>
        <w:rPr>
          <w:b/>
        </w:rPr>
        <w:t xml:space="preserve">La gestion </w:t>
      </w:r>
      <w:r w:rsidR="00FD2304">
        <w:rPr>
          <w:b/>
        </w:rPr>
        <w:t xml:space="preserve">rigoureuse </w:t>
      </w:r>
      <w:r>
        <w:rPr>
          <w:b/>
        </w:rPr>
        <w:t>des finances publiques</w:t>
      </w:r>
      <w:r>
        <w:t xml:space="preserve"> - le solde budgétaire ayant été en excédent ou en faible déficit depuis 1998 – </w:t>
      </w:r>
      <w:r>
        <w:rPr>
          <w:b/>
        </w:rPr>
        <w:t xml:space="preserve">a permis de ramener le niveau de la dette </w:t>
      </w:r>
      <w:r w:rsidR="00581989">
        <w:rPr>
          <w:b/>
        </w:rPr>
        <w:t xml:space="preserve">publique </w:t>
      </w:r>
      <w:r>
        <w:rPr>
          <w:b/>
        </w:rPr>
        <w:t>de près de 70% du PIB en 1995 à</w:t>
      </w:r>
      <w:r w:rsidR="00984071">
        <w:rPr>
          <w:b/>
        </w:rPr>
        <w:t xml:space="preserve"> </w:t>
      </w:r>
      <w:r w:rsidR="00494EDF">
        <w:rPr>
          <w:b/>
        </w:rPr>
        <w:t>31,2</w:t>
      </w:r>
      <w:r w:rsidR="00AB40D6">
        <w:rPr>
          <w:b/>
        </w:rPr>
        <w:t>%</w:t>
      </w:r>
      <w:r w:rsidR="005448DC">
        <w:rPr>
          <w:b/>
        </w:rPr>
        <w:t xml:space="preserve"> en 2023</w:t>
      </w:r>
      <w:r w:rsidR="00E65572" w:rsidRPr="00F3571A">
        <w:rPr>
          <w:bCs/>
        </w:rPr>
        <w:t>, soit en-dessous de</w:t>
      </w:r>
      <w:r w:rsidR="00E65572">
        <w:rPr>
          <w:b/>
        </w:rPr>
        <w:t xml:space="preserve"> </w:t>
      </w:r>
      <w:r w:rsidR="00E65572">
        <w:t>la cible</w:t>
      </w:r>
      <w:r>
        <w:t xml:space="preserve"> de 35% fixée par le Parlement (« règle d’or » informelle d’un excédent de 0,33% du PIB </w:t>
      </w:r>
      <w:r w:rsidR="00B9067E">
        <w:t xml:space="preserve">en moyenne </w:t>
      </w:r>
      <w:r>
        <w:t>sur un cycle). Le niveau des prélèvements</w:t>
      </w:r>
      <w:r w:rsidR="00AE7D90">
        <w:t xml:space="preserve"> obligatoires</w:t>
      </w:r>
      <w:r>
        <w:t xml:space="preserve"> (</w:t>
      </w:r>
      <w:r w:rsidR="00E65572">
        <w:t>4</w:t>
      </w:r>
      <w:r w:rsidR="00B9067E">
        <w:t>3,5</w:t>
      </w:r>
      <w:r>
        <w:t xml:space="preserve">% du PIB) reste élevé, </w:t>
      </w:r>
      <w:r w:rsidR="00AE7D90">
        <w:t>et</w:t>
      </w:r>
      <w:r>
        <w:t xml:space="preserve"> pèse en proportion davantage sur les ménages</w:t>
      </w:r>
      <w:r w:rsidR="00AE7D90">
        <w:t xml:space="preserve"> qu’ailleurs en Europe</w:t>
      </w:r>
      <w:r>
        <w:t>.</w:t>
      </w:r>
      <w:r w:rsidR="002C6757">
        <w:t xml:space="preserve"> </w:t>
      </w:r>
    </w:p>
    <w:p w14:paraId="4DC4F77F" w14:textId="001C1871" w:rsidR="00894A24" w:rsidRDefault="005448DC" w:rsidP="00D90E32">
      <w:pPr>
        <w:spacing w:after="0" w:line="240" w:lineRule="auto"/>
        <w:ind w:left="0" w:right="147" w:firstLine="0"/>
      </w:pPr>
      <w:r>
        <w:t xml:space="preserve">En 2024, en continuité avec 2023, </w:t>
      </w:r>
      <w:r w:rsidR="00772141">
        <w:t>la politique budgétaire</w:t>
      </w:r>
      <w:r w:rsidR="00984071">
        <w:t xml:space="preserve"> </w:t>
      </w:r>
      <w:r>
        <w:t>vise la neutralité</w:t>
      </w:r>
      <w:r w:rsidR="00BF16F0">
        <w:t xml:space="preserve"> (solde structurel nul et </w:t>
      </w:r>
      <w:r w:rsidR="000F7A0D">
        <w:t>in</w:t>
      </w:r>
      <w:r w:rsidR="00BF16F0">
        <w:t xml:space="preserve">changé). </w:t>
      </w:r>
      <w:r>
        <w:t xml:space="preserve">L’adhésion de la Suède à </w:t>
      </w:r>
      <w:r w:rsidRPr="00070370">
        <w:rPr>
          <w:b/>
          <w:bCs/>
        </w:rPr>
        <w:t>l’OTAN</w:t>
      </w:r>
      <w:r>
        <w:t xml:space="preserve"> </w:t>
      </w:r>
      <w:r w:rsidR="00B9067E">
        <w:t>s’étant</w:t>
      </w:r>
      <w:r>
        <w:t xml:space="preserve"> concrétis</w:t>
      </w:r>
      <w:r w:rsidR="00B9067E">
        <w:t>ée</w:t>
      </w:r>
      <w:r>
        <w:t xml:space="preserve">, </w:t>
      </w:r>
      <w:r w:rsidR="003C6192">
        <w:t xml:space="preserve">une </w:t>
      </w:r>
      <w:r w:rsidR="003C6192" w:rsidRPr="00070370">
        <w:rPr>
          <w:b/>
          <w:bCs/>
        </w:rPr>
        <w:t>hausse des dépenses de défense est attendue</w:t>
      </w:r>
      <w:r w:rsidR="003C6192">
        <w:t xml:space="preserve"> – ces dernières devraient passer de 1,3% du PIB à 2% à un horizon d’au moins 5 ans. </w:t>
      </w:r>
      <w:r w:rsidR="00EB4B04">
        <w:t>L</w:t>
      </w:r>
      <w:r w:rsidR="00C812BA">
        <w:t xml:space="preserve">a </w:t>
      </w:r>
      <w:r w:rsidR="00AB40D6">
        <w:t>m</w:t>
      </w:r>
      <w:r w:rsidR="00C812BA">
        <w:t xml:space="preserve">inistre des Finances Elisabeth </w:t>
      </w:r>
      <w:proofErr w:type="spellStart"/>
      <w:r w:rsidR="00C812BA">
        <w:t>Svantesson</w:t>
      </w:r>
      <w:proofErr w:type="spellEnd"/>
      <w:r w:rsidR="00C812BA">
        <w:t xml:space="preserve"> </w:t>
      </w:r>
      <w:r w:rsidR="0026055F">
        <w:t>justifi</w:t>
      </w:r>
      <w:r w:rsidR="00B9067E">
        <w:t>ait</w:t>
      </w:r>
      <w:r w:rsidR="0026055F">
        <w:t xml:space="preserve"> </w:t>
      </w:r>
      <w:r w:rsidR="006A6960">
        <w:t>la</w:t>
      </w:r>
      <w:r w:rsidR="0026055F">
        <w:t xml:space="preserve"> </w:t>
      </w:r>
      <w:r w:rsidR="0026055F" w:rsidRPr="006A6960">
        <w:rPr>
          <w:b/>
          <w:bCs/>
        </w:rPr>
        <w:t xml:space="preserve">prudence </w:t>
      </w:r>
      <w:r w:rsidR="006A6960" w:rsidRPr="006A6960">
        <w:rPr>
          <w:b/>
          <w:bCs/>
        </w:rPr>
        <w:t>de sa politique budgétaire</w:t>
      </w:r>
      <w:r w:rsidR="00B9067E">
        <w:rPr>
          <w:b/>
          <w:bCs/>
        </w:rPr>
        <w:t xml:space="preserve"> en 2022 et 2023</w:t>
      </w:r>
      <w:r w:rsidR="006A6960" w:rsidRPr="006A6960">
        <w:rPr>
          <w:b/>
          <w:bCs/>
        </w:rPr>
        <w:t xml:space="preserve"> (</w:t>
      </w:r>
      <w:r w:rsidR="000F3E3F">
        <w:rPr>
          <w:b/>
          <w:bCs/>
        </w:rPr>
        <w:t xml:space="preserve">excédent </w:t>
      </w:r>
      <w:r w:rsidR="003267E8">
        <w:rPr>
          <w:b/>
          <w:bCs/>
        </w:rPr>
        <w:t>de +1,2% du P</w:t>
      </w:r>
      <w:r w:rsidR="00887936">
        <w:rPr>
          <w:b/>
          <w:bCs/>
        </w:rPr>
        <w:t>IB</w:t>
      </w:r>
      <w:r w:rsidR="003267E8">
        <w:rPr>
          <w:b/>
          <w:bCs/>
        </w:rPr>
        <w:t xml:space="preserve"> </w:t>
      </w:r>
      <w:r w:rsidR="000F3E3F">
        <w:rPr>
          <w:b/>
          <w:bCs/>
        </w:rPr>
        <w:t xml:space="preserve">en 2022 et </w:t>
      </w:r>
      <w:r w:rsidR="006A6960" w:rsidRPr="006A6960">
        <w:rPr>
          <w:b/>
          <w:bCs/>
        </w:rPr>
        <w:t xml:space="preserve">déficit public de </w:t>
      </w:r>
      <w:r w:rsidR="003267E8">
        <w:rPr>
          <w:b/>
          <w:bCs/>
        </w:rPr>
        <w:t>-</w:t>
      </w:r>
      <w:r w:rsidR="000F3E3F">
        <w:rPr>
          <w:b/>
          <w:bCs/>
        </w:rPr>
        <w:t>0,6</w:t>
      </w:r>
      <w:r w:rsidR="006A6960" w:rsidRPr="006A6960">
        <w:rPr>
          <w:b/>
          <w:bCs/>
        </w:rPr>
        <w:t xml:space="preserve">% du PIB </w:t>
      </w:r>
      <w:r w:rsidR="006A6960" w:rsidRPr="006A6960">
        <w:t>en 202</w:t>
      </w:r>
      <w:r w:rsidR="000F3E3F">
        <w:t>3</w:t>
      </w:r>
      <w:r w:rsidR="006A6960" w:rsidRPr="006A6960">
        <w:t>)</w:t>
      </w:r>
      <w:r w:rsidR="006A6960">
        <w:t xml:space="preserve"> </w:t>
      </w:r>
      <w:r w:rsidR="0026055F">
        <w:t xml:space="preserve">par la volonté de soutenir </w:t>
      </w:r>
      <w:r w:rsidR="00356CCF">
        <w:t xml:space="preserve">les effets de la </w:t>
      </w:r>
      <w:r w:rsidR="0026055F">
        <w:t>politique monétaire</w:t>
      </w:r>
      <w:r w:rsidR="00356CCF">
        <w:t xml:space="preserve"> en limitant tout risque de relance inflationniste</w:t>
      </w:r>
      <w:r w:rsidR="0026055F">
        <w:t xml:space="preserve">. </w:t>
      </w:r>
      <w:r w:rsidR="00B9067E">
        <w:t>Mais u</w:t>
      </w:r>
      <w:r w:rsidR="00581989">
        <w:t>ne nouvelle étape, plus ambitieuse au plan budgétaire</w:t>
      </w:r>
      <w:r w:rsidR="00B9067E">
        <w:t xml:space="preserve"> </w:t>
      </w:r>
      <w:r w:rsidR="00B9067E" w:rsidRPr="006A6960">
        <w:rPr>
          <w:b/>
          <w:bCs/>
        </w:rPr>
        <w:t xml:space="preserve">(déficit public de </w:t>
      </w:r>
      <w:r w:rsidR="000F3E3F">
        <w:rPr>
          <w:b/>
          <w:bCs/>
        </w:rPr>
        <w:t>-</w:t>
      </w:r>
      <w:r w:rsidR="00B9067E" w:rsidRPr="006A6960">
        <w:rPr>
          <w:b/>
          <w:bCs/>
        </w:rPr>
        <w:t xml:space="preserve">1,3% du PIB </w:t>
      </w:r>
      <w:r w:rsidR="00B9067E" w:rsidRPr="006A6960">
        <w:t>prévu en 2024)</w:t>
      </w:r>
      <w:r w:rsidR="00581989">
        <w:t xml:space="preserve">, devrait pouvoir s’engager </w:t>
      </w:r>
      <w:r w:rsidR="000F3E3F">
        <w:t xml:space="preserve">compte tenu du contexte actuel, </w:t>
      </w:r>
      <w:r w:rsidR="00581989">
        <w:t xml:space="preserve">selon les dernières déclarations de la Ministre. </w:t>
      </w:r>
    </w:p>
    <w:p w14:paraId="1857B3C2" w14:textId="77777777" w:rsidR="006A0CF5" w:rsidRPr="00BE0CC7" w:rsidRDefault="006A0CF5" w:rsidP="00342096">
      <w:pPr>
        <w:spacing w:before="120" w:after="0" w:line="240" w:lineRule="auto"/>
        <w:ind w:left="11" w:right="147" w:hanging="11"/>
        <w:rPr>
          <w:noProof/>
          <w:color w:val="000091"/>
        </w:rPr>
      </w:pPr>
      <w:r w:rsidRPr="00BE0CC7">
        <w:rPr>
          <w:noProof/>
          <w:color w:val="000091"/>
        </w:rPr>
        <mc:AlternateContent>
          <mc:Choice Requires="wps">
            <w:drawing>
              <wp:inline distT="0" distB="0" distL="0" distR="0" wp14:anchorId="6A33068F" wp14:editId="2148673D">
                <wp:extent cx="5780599" cy="306562"/>
                <wp:effectExtent l="0" t="0" r="0" b="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599" cy="306562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6C184" w14:textId="33352120" w:rsidR="006A0CF5" w:rsidRDefault="006A0CF5" w:rsidP="00940F99">
                            <w:pPr>
                              <w:shd w:val="clear" w:color="auto" w:fill="006CE5"/>
                              <w:spacing w:after="1" w:line="258" w:lineRule="auto"/>
                              <w:ind w:right="90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IV. La</w:t>
                            </w:r>
                            <w:r>
                              <w:rPr>
                                <w:rFonts w:ascii="Segoe UI Historic" w:eastAsia="Segoe UI Historic" w:hAnsi="Segoe UI Historic" w:cs="Segoe UI Historic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FD7969">
                              <w:rPr>
                                <w:color w:val="FFFFFF"/>
                                <w:sz w:val="22"/>
                              </w:rPr>
                              <w:t xml:space="preserve">politique monétaire </w:t>
                            </w:r>
                            <w:r w:rsidR="00FD7969">
                              <w:rPr>
                                <w:color w:val="FFFFFF"/>
                                <w:sz w:val="22"/>
                              </w:rPr>
                              <w:t>s</w:t>
                            </w:r>
                            <w:r w:rsidR="00153638">
                              <w:rPr>
                                <w:color w:val="FFFFFF"/>
                                <w:sz w:val="22"/>
                              </w:rPr>
                              <w:t>’était</w:t>
                            </w:r>
                            <w:r w:rsidR="00FD7969">
                              <w:rPr>
                                <w:color w:val="FFFFFF"/>
                                <w:sz w:val="22"/>
                              </w:rPr>
                              <w:t xml:space="preserve"> resserr</w:t>
                            </w:r>
                            <w:r w:rsidR="00153638">
                              <w:rPr>
                                <w:color w:val="FFFFFF"/>
                                <w:sz w:val="22"/>
                              </w:rPr>
                              <w:t>ée</w:t>
                            </w:r>
                            <w:r w:rsidR="00FD7969">
                              <w:rPr>
                                <w:color w:val="FFFFFF"/>
                                <w:sz w:val="22"/>
                              </w:rPr>
                              <w:t xml:space="preserve"> nettement</w:t>
                            </w:r>
                            <w:r w:rsidR="0026332D">
                              <w:rPr>
                                <w:color w:val="FFFFFF"/>
                                <w:sz w:val="22"/>
                              </w:rPr>
                              <w:t>, exposant le secteur immobilier</w:t>
                            </w:r>
                          </w:p>
                          <w:p w14:paraId="47EAD9C4" w14:textId="77777777" w:rsidR="006A0CF5" w:rsidRPr="003770DB" w:rsidRDefault="006A0CF5" w:rsidP="006A0CF5">
                            <w:pPr>
                              <w:shd w:val="clear" w:color="auto" w:fill="006CE5"/>
                              <w:spacing w:after="0" w:line="259" w:lineRule="auto"/>
                              <w:ind w:right="0"/>
                              <w:jc w:val="left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33068F" id="Zone de texte 3" o:spid="_x0000_s1034" type="#_x0000_t202" style="width:455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" fillcolor="#006ce5" stroked="f">
                <v:textbox>
                  <w:txbxContent>
                    <w:p w14:paraId="5576C184" w14:textId="33352120" w:rsidR="006A0CF5" w:rsidRDefault="006A0CF5" w:rsidP="00940F99">
                      <w:pPr>
                        <w:shd w:val="clear" w:color="auto" w:fill="006CE5"/>
                        <w:spacing w:after="1" w:line="258" w:lineRule="auto"/>
                        <w:ind w:right="90"/>
                      </w:pPr>
                      <w:r>
                        <w:rPr>
                          <w:color w:val="FFFFFF"/>
                          <w:sz w:val="22"/>
                        </w:rPr>
                        <w:t>IV. La</w:t>
                      </w:r>
                      <w:r>
                        <w:rPr>
                          <w:rFonts w:ascii="Segoe UI Historic" w:eastAsia="Segoe UI Historic" w:hAnsi="Segoe UI Historic" w:cs="Segoe UI Historic"/>
                          <w:color w:val="FFFFFF"/>
                          <w:sz w:val="22"/>
                        </w:rPr>
                        <w:t xml:space="preserve"> </w:t>
                      </w:r>
                      <w:r w:rsidRPr="00FD7969">
                        <w:rPr>
                          <w:color w:val="FFFFFF"/>
                          <w:sz w:val="22"/>
                        </w:rPr>
                        <w:t xml:space="preserve">politique monétaire </w:t>
                      </w:r>
                      <w:r w:rsidR="00FD7969">
                        <w:rPr>
                          <w:color w:val="FFFFFF"/>
                          <w:sz w:val="22"/>
                        </w:rPr>
                        <w:t>s</w:t>
                      </w:r>
                      <w:r w:rsidR="00153638">
                        <w:rPr>
                          <w:color w:val="FFFFFF"/>
                          <w:sz w:val="22"/>
                        </w:rPr>
                        <w:t>’était</w:t>
                      </w:r>
                      <w:r w:rsidR="00FD7969">
                        <w:rPr>
                          <w:color w:val="FFFFFF"/>
                          <w:sz w:val="22"/>
                        </w:rPr>
                        <w:t xml:space="preserve"> resserr</w:t>
                      </w:r>
                      <w:r w:rsidR="00153638">
                        <w:rPr>
                          <w:color w:val="FFFFFF"/>
                          <w:sz w:val="22"/>
                        </w:rPr>
                        <w:t>ée</w:t>
                      </w:r>
                      <w:r w:rsidR="00FD7969">
                        <w:rPr>
                          <w:color w:val="FFFFFF"/>
                          <w:sz w:val="22"/>
                        </w:rPr>
                        <w:t xml:space="preserve"> nettement</w:t>
                      </w:r>
                      <w:r w:rsidR="0026332D">
                        <w:rPr>
                          <w:color w:val="FFFFFF"/>
                          <w:sz w:val="22"/>
                        </w:rPr>
                        <w:t>, exposant le secteur immobilier</w:t>
                      </w:r>
                    </w:p>
                    <w:p w14:paraId="47EAD9C4" w14:textId="77777777" w:rsidR="006A0CF5" w:rsidRPr="003770DB" w:rsidRDefault="006A0CF5" w:rsidP="006A0CF5">
                      <w:pPr>
                        <w:shd w:val="clear" w:color="auto" w:fill="006CE5"/>
                        <w:spacing w:after="0" w:line="259" w:lineRule="auto"/>
                        <w:ind w:right="0"/>
                        <w:jc w:val="left"/>
                        <w:rPr>
                          <w:rFonts w:ascii="Segoe UI Historic" w:hAnsi="Segoe UI Historic" w:cs="Segoe UI Historic"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33DA33" w14:textId="3578FA6F" w:rsidR="00894A24" w:rsidRDefault="00772141" w:rsidP="006E7E8E">
      <w:pPr>
        <w:spacing w:before="120" w:after="0" w:line="240" w:lineRule="auto"/>
        <w:ind w:left="-6" w:right="130" w:hanging="11"/>
      </w:pPr>
      <w:r>
        <w:rPr>
          <w:b/>
        </w:rPr>
        <w:t>En 202</w:t>
      </w:r>
      <w:r w:rsidR="006B6F24">
        <w:rPr>
          <w:b/>
        </w:rPr>
        <w:t>3</w:t>
      </w:r>
      <w:r w:rsidR="006E690A">
        <w:rPr>
          <w:b/>
        </w:rPr>
        <w:t xml:space="preserve"> </w:t>
      </w:r>
      <w:r w:rsidR="006E690A" w:rsidRPr="00ED72DE">
        <w:rPr>
          <w:bCs/>
        </w:rPr>
        <w:t>(en glissement annuel)</w:t>
      </w:r>
      <w:r>
        <w:rPr>
          <w:b/>
        </w:rPr>
        <w:t>, l’inflation</w:t>
      </w:r>
      <w:r w:rsidR="0060493E">
        <w:rPr>
          <w:b/>
        </w:rPr>
        <w:t xml:space="preserve">, </w:t>
      </w:r>
      <w:r w:rsidR="0060493E" w:rsidRPr="00F21759">
        <w:rPr>
          <w:bCs/>
          <w:color w:val="auto"/>
        </w:rPr>
        <w:t>mesurée par l</w:t>
      </w:r>
      <w:r w:rsidR="0060493E">
        <w:rPr>
          <w:b/>
        </w:rPr>
        <w:t>’</w:t>
      </w:r>
      <w:r w:rsidR="004C556A" w:rsidRPr="00ED72DE">
        <w:rPr>
          <w:bCs/>
        </w:rPr>
        <w:t xml:space="preserve">indicateur </w:t>
      </w:r>
      <w:r w:rsidR="00C00BD7">
        <w:rPr>
          <w:bCs/>
        </w:rPr>
        <w:t xml:space="preserve">KPIF </w:t>
      </w:r>
      <w:r w:rsidR="00F21759">
        <w:rPr>
          <w:bCs/>
        </w:rPr>
        <w:t>(</w:t>
      </w:r>
      <w:proofErr w:type="spellStart"/>
      <w:r w:rsidR="00C00BD7" w:rsidRPr="00F21759">
        <w:rPr>
          <w:bCs/>
          <w:i/>
          <w:iCs/>
        </w:rPr>
        <w:t>konsument</w:t>
      </w:r>
      <w:proofErr w:type="spellEnd"/>
      <w:r w:rsidR="00C00BD7" w:rsidRPr="00F21759">
        <w:rPr>
          <w:bCs/>
          <w:i/>
          <w:iCs/>
        </w:rPr>
        <w:t xml:space="preserve"> pris index </w:t>
      </w:r>
      <w:proofErr w:type="spellStart"/>
      <w:r w:rsidR="00C00BD7" w:rsidRPr="00F21759">
        <w:rPr>
          <w:bCs/>
          <w:i/>
          <w:iCs/>
        </w:rPr>
        <w:t>med</w:t>
      </w:r>
      <w:proofErr w:type="spellEnd"/>
      <w:r w:rsidR="00C00BD7" w:rsidRPr="00F21759">
        <w:rPr>
          <w:bCs/>
          <w:i/>
          <w:iCs/>
        </w:rPr>
        <w:t xml:space="preserve"> fast </w:t>
      </w:r>
      <w:proofErr w:type="spellStart"/>
      <w:r w:rsidR="00C00BD7" w:rsidRPr="00F21759">
        <w:rPr>
          <w:bCs/>
          <w:i/>
          <w:iCs/>
        </w:rPr>
        <w:t>ränta</w:t>
      </w:r>
      <w:proofErr w:type="spellEnd"/>
      <w:r w:rsidR="00C00BD7">
        <w:rPr>
          <w:bCs/>
        </w:rPr>
        <w:t>, qui sert de cible à la Banque centrale)</w:t>
      </w:r>
      <w:r w:rsidR="00F21759">
        <w:rPr>
          <w:bCs/>
        </w:rPr>
        <w:t xml:space="preserve"> </w:t>
      </w:r>
      <w:r>
        <w:rPr>
          <w:b/>
        </w:rPr>
        <w:t xml:space="preserve">a atteint </w:t>
      </w:r>
      <w:r w:rsidR="003C4DE0">
        <w:rPr>
          <w:b/>
        </w:rPr>
        <w:t>+6,</w:t>
      </w:r>
      <w:r w:rsidR="0020670E">
        <w:rPr>
          <w:b/>
        </w:rPr>
        <w:t>0</w:t>
      </w:r>
      <w:r w:rsidR="00482BAB">
        <w:rPr>
          <w:b/>
        </w:rPr>
        <w:t>%</w:t>
      </w:r>
      <w:r w:rsidR="00DA2FDD">
        <w:rPr>
          <w:bCs/>
        </w:rPr>
        <w:t>, la hausse des prix alimentaires prenant le relais des prix de l’énergie</w:t>
      </w:r>
      <w:r>
        <w:t xml:space="preserve">. Dans ce contexte, la Banque centrale a relevé </w:t>
      </w:r>
      <w:r w:rsidR="00ED72DE">
        <w:t xml:space="preserve">plusieurs fois </w:t>
      </w:r>
      <w:r>
        <w:t xml:space="preserve">son </w:t>
      </w:r>
      <w:r w:rsidRPr="00070370">
        <w:rPr>
          <w:b/>
          <w:bCs/>
        </w:rPr>
        <w:t>taux directeur</w:t>
      </w:r>
      <w:r>
        <w:t xml:space="preserve"> </w:t>
      </w:r>
      <w:r w:rsidR="00231035">
        <w:t>depuis le printemps</w:t>
      </w:r>
      <w:r w:rsidR="000F3E3F">
        <w:t xml:space="preserve"> 2023</w:t>
      </w:r>
      <w:r w:rsidR="00D722D1">
        <w:t xml:space="preserve">, pour </w:t>
      </w:r>
      <w:r w:rsidR="001D2693">
        <w:t xml:space="preserve">le </w:t>
      </w:r>
      <w:r w:rsidR="00D722D1">
        <w:t>port</w:t>
      </w:r>
      <w:r w:rsidR="001D2693">
        <w:t>er</w:t>
      </w:r>
      <w:r w:rsidR="00131338">
        <w:t xml:space="preserve"> et le maintenir</w:t>
      </w:r>
      <w:r w:rsidR="00D722D1">
        <w:t xml:space="preserve"> à </w:t>
      </w:r>
      <w:r w:rsidR="003C4DE0" w:rsidRPr="00070370">
        <w:rPr>
          <w:b/>
          <w:bCs/>
        </w:rPr>
        <w:t>4</w:t>
      </w:r>
      <w:r w:rsidR="00D722D1" w:rsidRPr="00070370">
        <w:rPr>
          <w:b/>
          <w:bCs/>
        </w:rPr>
        <w:t>,0%</w:t>
      </w:r>
      <w:r w:rsidR="00D722D1">
        <w:t xml:space="preserve"> </w:t>
      </w:r>
      <w:r w:rsidR="00131338">
        <w:t>depuis</w:t>
      </w:r>
      <w:r w:rsidR="00D722D1">
        <w:t xml:space="preserve"> </w:t>
      </w:r>
      <w:r w:rsidR="003C4DE0">
        <w:t>novembre</w:t>
      </w:r>
      <w:r w:rsidR="00131338">
        <w:t xml:space="preserve"> 2023</w:t>
      </w:r>
      <w:r w:rsidR="00231035">
        <w:t xml:space="preserve">. </w:t>
      </w:r>
      <w:r w:rsidR="00DA2FDD">
        <w:t>Le canal de</w:t>
      </w:r>
      <w:r w:rsidR="00B85150">
        <w:t xml:space="preserve"> transmission de</w:t>
      </w:r>
      <w:r w:rsidR="00DA2FDD">
        <w:t xml:space="preserve">s taux d’intérêt </w:t>
      </w:r>
      <w:r w:rsidR="00B85150">
        <w:t>au crédit bancaire est efficace (</w:t>
      </w:r>
      <w:r w:rsidR="00B85150" w:rsidRPr="00070370">
        <w:rPr>
          <w:b/>
          <w:bCs/>
        </w:rPr>
        <w:t>forte proportion de crédits hypothécaires à taux variable</w:t>
      </w:r>
      <w:r w:rsidR="00B85150" w:rsidRPr="00070370">
        <w:t>, faible durée des prêts à taux fixe</w:t>
      </w:r>
      <w:r w:rsidR="00B85150">
        <w:t xml:space="preserve">), mais cette efficacité génère également des risques accrus pour le secteur immobilier résidentiel et encore plus </w:t>
      </w:r>
      <w:r w:rsidR="00B85150" w:rsidRPr="00070370">
        <w:rPr>
          <w:b/>
          <w:bCs/>
        </w:rPr>
        <w:t>l’immobilier commercial.</w:t>
      </w:r>
      <w:r w:rsidR="00B85150">
        <w:t xml:space="preserve"> La </w:t>
      </w:r>
      <w:r w:rsidR="00B85150" w:rsidRPr="00070370">
        <w:rPr>
          <w:b/>
          <w:bCs/>
        </w:rPr>
        <w:t>correction sur les prix des actifs immobiliers</w:t>
      </w:r>
      <w:r w:rsidR="00B85150">
        <w:t xml:space="preserve"> est importante (-</w:t>
      </w:r>
      <w:r w:rsidR="00A050FA">
        <w:t>15</w:t>
      </w:r>
      <w:r w:rsidR="00B85150">
        <w:t xml:space="preserve">% depuis début 2022, après d’un doublement entre 2010 et 2021). </w:t>
      </w:r>
      <w:r w:rsidR="004522D2">
        <w:rPr>
          <w:bCs/>
        </w:rPr>
        <w:t xml:space="preserve">Toutefois, </w:t>
      </w:r>
      <w:r w:rsidR="004522D2" w:rsidRPr="000F4D5D">
        <w:rPr>
          <w:b/>
        </w:rPr>
        <w:t>l</w:t>
      </w:r>
      <w:r w:rsidR="0026332D" w:rsidRPr="000F4D5D">
        <w:rPr>
          <w:b/>
        </w:rPr>
        <w:t>es banques suédoises sont bien capitalisées (ratio de capital CET1 de 19,9% en 2021)</w:t>
      </w:r>
      <w:r w:rsidR="0026332D">
        <w:t xml:space="preserve"> et le niveau des crédits non performants reste bas.</w:t>
      </w:r>
      <w:r w:rsidR="00984071">
        <w:t xml:space="preserve"> </w:t>
      </w:r>
      <w:r w:rsidR="00B85150">
        <w:t>La couronne suédoise s’est nettement dépréciée</w:t>
      </w:r>
      <w:r w:rsidR="00984071">
        <w:t xml:space="preserve">, </w:t>
      </w:r>
      <w:r w:rsidR="00B85150">
        <w:t>à la fois par rapport au dollar et par rapport à la devise européenne</w:t>
      </w:r>
      <w:r w:rsidR="000948D3">
        <w:t xml:space="preserve">. Par rapport à l’euro, la </w:t>
      </w:r>
      <w:r w:rsidR="00070370">
        <w:t>couronne suédoise (SEK)</w:t>
      </w:r>
      <w:r w:rsidR="000948D3">
        <w:t xml:space="preserve"> a enregistré une </w:t>
      </w:r>
      <w:r w:rsidR="000948D3" w:rsidRPr="00070370">
        <w:rPr>
          <w:b/>
          <w:bCs/>
        </w:rPr>
        <w:t xml:space="preserve">baisse de </w:t>
      </w:r>
      <w:r w:rsidR="00432ABA" w:rsidRPr="00070370">
        <w:rPr>
          <w:b/>
          <w:bCs/>
        </w:rPr>
        <w:t>7,5%</w:t>
      </w:r>
      <w:r w:rsidR="000948D3" w:rsidRPr="00070370">
        <w:rPr>
          <w:b/>
          <w:bCs/>
        </w:rPr>
        <w:t xml:space="preserve"> entre janvier 2022 et janvier 202</w:t>
      </w:r>
      <w:r w:rsidR="00432ABA" w:rsidRPr="00070370">
        <w:rPr>
          <w:b/>
          <w:bCs/>
        </w:rPr>
        <w:t>4</w:t>
      </w:r>
      <w:r w:rsidR="000948D3">
        <w:t>.</w:t>
      </w:r>
      <w:r w:rsidR="00B85150">
        <w:t xml:space="preserve"> Sur longue période, une tendance à la </w:t>
      </w:r>
      <w:r w:rsidR="00B85150" w:rsidRPr="001E7F48">
        <w:rPr>
          <w:b/>
          <w:bCs/>
        </w:rPr>
        <w:t>dépréciation du change réel</w:t>
      </w:r>
      <w:r w:rsidR="00B85150">
        <w:t xml:space="preserve"> est </w:t>
      </w:r>
      <w:r w:rsidR="00070370">
        <w:t xml:space="preserve">donc </w:t>
      </w:r>
      <w:r w:rsidR="00B85150">
        <w:t>observée, et ce, en dépit des bonnes performances de l’économie.</w:t>
      </w:r>
      <w:r w:rsidR="00F57148">
        <w:t xml:space="preserve"> </w:t>
      </w:r>
      <w:r w:rsidR="00131338">
        <w:t>Ceci renforce la compétitivité-prix de l</w:t>
      </w:r>
      <w:r w:rsidR="0026332D">
        <w:t xml:space="preserve">’économie suédoise. </w:t>
      </w:r>
    </w:p>
    <w:p w14:paraId="24C0FEDA" w14:textId="77777777" w:rsidR="00442BCA" w:rsidRPr="00BE0CC7" w:rsidRDefault="00442BCA" w:rsidP="00442BCA">
      <w:pPr>
        <w:spacing w:before="120" w:after="0" w:line="240" w:lineRule="auto"/>
        <w:ind w:left="11" w:right="147" w:hanging="11"/>
        <w:rPr>
          <w:noProof/>
          <w:color w:val="000091"/>
        </w:rPr>
      </w:pPr>
      <w:r w:rsidRPr="00BE0CC7">
        <w:rPr>
          <w:noProof/>
          <w:color w:val="000091"/>
        </w:rPr>
        <mc:AlternateContent>
          <mc:Choice Requires="wps">
            <w:drawing>
              <wp:inline distT="0" distB="0" distL="0" distR="0" wp14:anchorId="1AFDC052" wp14:editId="678A4172">
                <wp:extent cx="5780599" cy="286101"/>
                <wp:effectExtent l="0" t="0" r="0" b="0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599" cy="286101"/>
                        </a:xfrm>
                        <a:prstGeom prst="rect">
                          <a:avLst/>
                        </a:prstGeom>
                        <a:solidFill>
                          <a:srgbClr val="006CE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C220C" w14:textId="5A5FB167" w:rsidR="00442BCA" w:rsidRDefault="00442BCA" w:rsidP="00442BCA">
                            <w:pPr>
                              <w:shd w:val="clear" w:color="auto" w:fill="006CE5"/>
                              <w:spacing w:after="1" w:line="258" w:lineRule="auto"/>
                              <w:ind w:right="90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>V. La</w:t>
                            </w:r>
                            <w:r>
                              <w:rPr>
                                <w:rFonts w:ascii="Segoe UI Historic" w:eastAsia="Segoe UI Historic" w:hAnsi="Segoe UI Historic" w:cs="Segoe UI Historic"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Suède est à la frontière technologique de la transition verte</w:t>
                            </w:r>
                          </w:p>
                          <w:p w14:paraId="54E2F8B4" w14:textId="77777777" w:rsidR="00442BCA" w:rsidRPr="003770DB" w:rsidRDefault="00442BCA" w:rsidP="00442BCA">
                            <w:pPr>
                              <w:shd w:val="clear" w:color="auto" w:fill="006CE5"/>
                              <w:spacing w:after="0" w:line="259" w:lineRule="auto"/>
                              <w:ind w:right="0"/>
                              <w:jc w:val="left"/>
                              <w:rPr>
                                <w:rFonts w:ascii="Segoe UI Historic" w:hAnsi="Segoe UI Historic" w:cs="Segoe UI Historic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FDC052" id="Zone de texte 4" o:spid="_x0000_s1035" type="#_x0000_t202" style="width:455.15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" fillcolor="#006ce5" stroked="f">
                <v:textbox>
                  <w:txbxContent>
                    <w:p w14:paraId="43EC220C" w14:textId="5A5FB167" w:rsidR="00442BCA" w:rsidRDefault="00442BCA" w:rsidP="00442BCA">
                      <w:pPr>
                        <w:shd w:val="clear" w:color="auto" w:fill="006CE5"/>
                        <w:spacing w:after="1" w:line="258" w:lineRule="auto"/>
                        <w:ind w:right="90"/>
                      </w:pPr>
                      <w:r>
                        <w:rPr>
                          <w:color w:val="FFFFFF"/>
                          <w:sz w:val="22"/>
                        </w:rPr>
                        <w:t>V. La</w:t>
                      </w:r>
                      <w:r>
                        <w:rPr>
                          <w:rFonts w:ascii="Segoe UI Historic" w:eastAsia="Segoe UI Historic" w:hAnsi="Segoe UI Historic" w:cs="Segoe UI Historic"/>
                          <w:color w:val="FFFFFF"/>
                          <w:sz w:val="22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</w:rPr>
                        <w:t>Suède est à la frontière technologique de la transition verte</w:t>
                      </w:r>
                    </w:p>
                    <w:p w14:paraId="54E2F8B4" w14:textId="77777777" w:rsidR="00442BCA" w:rsidRPr="003770DB" w:rsidRDefault="00442BCA" w:rsidP="00442BCA">
                      <w:pPr>
                        <w:shd w:val="clear" w:color="auto" w:fill="006CE5"/>
                        <w:spacing w:after="0" w:line="259" w:lineRule="auto"/>
                        <w:ind w:right="0"/>
                        <w:jc w:val="left"/>
                        <w:rPr>
                          <w:rFonts w:ascii="Segoe UI Historic" w:hAnsi="Segoe UI Historic" w:cs="Segoe UI Historic"/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3750E2" w14:textId="2C96EFC4" w:rsidR="005E1368" w:rsidRDefault="003F6E43" w:rsidP="00A403BA">
      <w:pPr>
        <w:spacing w:after="0" w:line="240" w:lineRule="auto"/>
        <w:ind w:left="-6" w:right="130" w:hanging="11"/>
      </w:pPr>
      <w:r w:rsidRPr="003F6E43">
        <w:rPr>
          <w:bCs/>
        </w:rPr>
        <w:t>Outre son dynamisme dans la Tech,</w:t>
      </w:r>
      <w:r>
        <w:rPr>
          <w:b/>
        </w:rPr>
        <w:t xml:space="preserve"> l</w:t>
      </w:r>
      <w:r w:rsidR="00772141">
        <w:rPr>
          <w:b/>
        </w:rPr>
        <w:t>’industrie suédoise investit massivement en faveur de technologies bas carbone dans les secteurs clés de l’économie</w:t>
      </w:r>
      <w:r w:rsidR="00772141">
        <w:t xml:space="preserve"> (</w:t>
      </w:r>
      <w:proofErr w:type="spellStart"/>
      <w:r w:rsidR="00772141">
        <w:t>gigafactories</w:t>
      </w:r>
      <w:proofErr w:type="spellEnd"/>
      <w:r w:rsidR="00772141">
        <w:t xml:space="preserve"> de batteries, acier vert). </w:t>
      </w:r>
      <w:r>
        <w:t>Le</w:t>
      </w:r>
      <w:r w:rsidR="00772141">
        <w:t xml:space="preserve"> pays conforte </w:t>
      </w:r>
      <w:r>
        <w:t>ainsi sa</w:t>
      </w:r>
      <w:r w:rsidR="00772141">
        <w:t xml:space="preserve"> position de leader acquise dans le domaine de la transition énergétique au sein de l’UE (56% d’énergie renouvelable dans la consommation finale notamment grâce à la biomasse, taxe carbone la plus élevée au monde…)</w:t>
      </w:r>
      <w:r w:rsidR="00FF6FDB">
        <w:t>, ce qui renforce sa résilience aux chocs énergétiques</w:t>
      </w:r>
      <w:r w:rsidR="00772141">
        <w:t xml:space="preserve">. </w:t>
      </w:r>
    </w:p>
    <w:p w14:paraId="2C48E7BC" w14:textId="1C313B5C" w:rsidR="00AC2001" w:rsidRPr="00B94C12" w:rsidRDefault="00B94C12" w:rsidP="005E1368">
      <w:pPr>
        <w:spacing w:before="120" w:after="0" w:line="240" w:lineRule="auto"/>
        <w:ind w:left="-6" w:right="130" w:hanging="11"/>
        <w:jc w:val="right"/>
        <w:rPr>
          <w:b/>
          <w:bCs/>
          <w:i/>
          <w:iCs/>
          <w:color w:val="006CE5"/>
          <w:sz w:val="16"/>
          <w:szCs w:val="16"/>
          <w:u w:val="single" w:color="006CE5"/>
        </w:rPr>
      </w:pPr>
      <w:r w:rsidRPr="00FF6FDB">
        <w:rPr>
          <w:b/>
          <w:bCs/>
          <w:i/>
          <w:iCs/>
          <w:color w:val="auto"/>
          <w:szCs w:val="20"/>
        </w:rPr>
        <w:t>Olivier Cuny</w:t>
      </w:r>
      <w:r w:rsidR="005E1368" w:rsidRPr="00FF6FDB">
        <w:rPr>
          <w:b/>
          <w:bCs/>
          <w:i/>
          <w:iCs/>
          <w:color w:val="auto"/>
          <w:szCs w:val="20"/>
        </w:rPr>
        <w:t xml:space="preserve">, </w:t>
      </w:r>
      <w:r w:rsidRPr="00FF6FDB">
        <w:rPr>
          <w:b/>
          <w:bCs/>
          <w:i/>
          <w:iCs/>
          <w:color w:val="auto"/>
          <w:szCs w:val="20"/>
        </w:rPr>
        <w:t>Chef du service économique régional de Stockholm</w:t>
      </w:r>
      <w:r w:rsidR="00AC2001" w:rsidRPr="00B94C12">
        <w:rPr>
          <w:b/>
          <w:bCs/>
          <w:i/>
          <w:iCs/>
          <w:sz w:val="16"/>
          <w:szCs w:val="16"/>
        </w:rPr>
        <w:br w:type="page"/>
      </w:r>
    </w:p>
    <w:p w14:paraId="4C6FF18E" w14:textId="393C8C03" w:rsidR="005F7D5F" w:rsidRDefault="00EF4D40" w:rsidP="00EF4D40">
      <w:pPr>
        <w:pStyle w:val="Titre2"/>
        <w:pBdr>
          <w:bottom w:val="single" w:sz="4" w:space="1" w:color="auto"/>
        </w:pBdr>
        <w:rPr>
          <w:rFonts w:ascii="Arial" w:hAnsi="Arial" w:cs="Arial"/>
          <w:b/>
          <w:bCs/>
          <w:color w:val="auto"/>
          <w:sz w:val="20"/>
          <w:szCs w:val="20"/>
        </w:rPr>
      </w:pPr>
      <w:r w:rsidRPr="001E4BBC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Annexe</w:t>
      </w:r>
      <w:r w:rsidR="00DF4226" w:rsidRPr="001E4BBC">
        <w:rPr>
          <w:rFonts w:ascii="Arial" w:hAnsi="Arial" w:cs="Arial"/>
          <w:b/>
          <w:bCs/>
          <w:color w:val="auto"/>
          <w:sz w:val="20"/>
          <w:szCs w:val="20"/>
        </w:rPr>
        <w:t>s</w:t>
      </w:r>
    </w:p>
    <w:p w14:paraId="62D40FAD" w14:textId="7C6A4FB6" w:rsidR="00F21759" w:rsidRDefault="00F21759" w:rsidP="00F21759"/>
    <w:p w14:paraId="15810097" w14:textId="77777777" w:rsidR="00F21759" w:rsidRPr="00F21759" w:rsidRDefault="00F21759" w:rsidP="00F21759"/>
    <w:p w14:paraId="32EE6C1F" w14:textId="69668A46" w:rsidR="00EF4D40" w:rsidRPr="001E4BBC" w:rsidRDefault="00F21759" w:rsidP="00F21759">
      <w:pPr>
        <w:pStyle w:val="Titre2"/>
        <w:pBdr>
          <w:bottom w:val="single" w:sz="4" w:space="1" w:color="auto"/>
        </w:pBdr>
        <w:jc w:val="lef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bCs/>
          <w:color w:val="auto"/>
          <w:sz w:val="16"/>
          <w:szCs w:val="16"/>
        </w:rPr>
        <w:t xml:space="preserve">Tableau 1. </w:t>
      </w:r>
      <w:r w:rsidR="005F7D5F" w:rsidRPr="001E4BBC">
        <w:rPr>
          <w:rFonts w:ascii="Arial" w:hAnsi="Arial" w:cs="Arial"/>
          <w:b/>
          <w:bCs/>
          <w:color w:val="auto"/>
          <w:sz w:val="16"/>
          <w:szCs w:val="16"/>
        </w:rPr>
        <w:t>C</w:t>
      </w:r>
      <w:r w:rsidR="00EF4D40" w:rsidRPr="001E4BBC">
        <w:rPr>
          <w:rFonts w:ascii="Arial" w:hAnsi="Arial" w:cs="Arial"/>
          <w:b/>
          <w:bCs/>
          <w:color w:val="auto"/>
          <w:sz w:val="16"/>
          <w:szCs w:val="16"/>
        </w:rPr>
        <w:t>hiffres clés au 2</w:t>
      </w:r>
      <w:r w:rsidR="00522E98" w:rsidRPr="001E4BBC">
        <w:rPr>
          <w:rFonts w:ascii="Arial" w:hAnsi="Arial" w:cs="Arial"/>
          <w:b/>
          <w:bCs/>
          <w:color w:val="auto"/>
          <w:sz w:val="16"/>
          <w:szCs w:val="16"/>
        </w:rPr>
        <w:t>0</w:t>
      </w:r>
      <w:r w:rsidR="00EF4D40" w:rsidRPr="001E4BBC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r w:rsidR="00522E98" w:rsidRPr="001E4BBC">
        <w:rPr>
          <w:rFonts w:ascii="Arial" w:hAnsi="Arial" w:cs="Arial"/>
          <w:b/>
          <w:bCs/>
          <w:color w:val="auto"/>
          <w:sz w:val="16"/>
          <w:szCs w:val="16"/>
        </w:rPr>
        <w:t>mars</w:t>
      </w:r>
      <w:r w:rsidR="00EF4D40" w:rsidRPr="001E4BBC">
        <w:rPr>
          <w:rFonts w:ascii="Arial" w:hAnsi="Arial" w:cs="Arial"/>
          <w:b/>
          <w:bCs/>
          <w:color w:val="auto"/>
          <w:sz w:val="16"/>
          <w:szCs w:val="16"/>
        </w:rPr>
        <w:t xml:space="preserve"> 202</w:t>
      </w:r>
      <w:r w:rsidR="00522E98" w:rsidRPr="001E4BBC">
        <w:rPr>
          <w:rFonts w:ascii="Arial" w:hAnsi="Arial" w:cs="Arial"/>
          <w:b/>
          <w:bCs/>
          <w:color w:val="auto"/>
          <w:sz w:val="16"/>
          <w:szCs w:val="16"/>
        </w:rPr>
        <w:t>4</w:t>
      </w:r>
      <w:r w:rsidR="00EF4D40" w:rsidRPr="001E4BBC">
        <w:rPr>
          <w:rFonts w:ascii="Arial" w:hAnsi="Arial" w:cs="Arial"/>
          <w:color w:val="auto"/>
          <w:sz w:val="16"/>
          <w:szCs w:val="16"/>
          <w:u w:color="000000"/>
        </w:rPr>
        <w:t xml:space="preserve"> (</w:t>
      </w:r>
      <w:r w:rsidR="00EF4D40" w:rsidRPr="001E4BBC">
        <w:rPr>
          <w:rFonts w:ascii="Arial" w:hAnsi="Arial" w:cs="Arial"/>
          <w:sz w:val="16"/>
          <w:szCs w:val="16"/>
        </w:rPr>
        <w:t xml:space="preserve">source </w:t>
      </w:r>
      <w:hyperlink r:id="rId13" w:history="1">
        <w:r w:rsidR="00EF4D40" w:rsidRPr="001E4BBC">
          <w:rPr>
            <w:rStyle w:val="Lienhypertexte"/>
            <w:rFonts w:ascii="Arial" w:hAnsi="Arial" w:cs="Arial"/>
            <w:sz w:val="16"/>
            <w:szCs w:val="16"/>
          </w:rPr>
          <w:t>Ministère des Finances</w:t>
        </w:r>
      </w:hyperlink>
      <w:r w:rsidR="00EF4D40" w:rsidRPr="001E4BBC">
        <w:rPr>
          <w:rFonts w:ascii="Arial" w:hAnsi="Arial" w:cs="Arial"/>
          <w:color w:val="auto"/>
          <w:sz w:val="16"/>
          <w:szCs w:val="16"/>
          <w:u w:color="000000"/>
        </w:rPr>
        <w:t>)</w:t>
      </w:r>
    </w:p>
    <w:tbl>
      <w:tblPr>
        <w:tblStyle w:val="TableGrid"/>
        <w:tblW w:w="8465" w:type="dxa"/>
        <w:tblInd w:w="0" w:type="dxa"/>
        <w:tblLayout w:type="fixed"/>
        <w:tblCellMar>
          <w:top w:w="4" w:type="dxa"/>
          <w:left w:w="46" w:type="dxa"/>
          <w:right w:w="74" w:type="dxa"/>
        </w:tblCellMar>
        <w:tblLook w:val="04A0" w:firstRow="1" w:lastRow="0" w:firstColumn="1" w:lastColumn="0" w:noHBand="0" w:noVBand="1"/>
      </w:tblPr>
      <w:tblGrid>
        <w:gridCol w:w="4637"/>
        <w:gridCol w:w="1276"/>
        <w:gridCol w:w="1276"/>
        <w:gridCol w:w="1276"/>
      </w:tblGrid>
      <w:tr w:rsidR="00E5042B" w:rsidRPr="0090574B" w14:paraId="0AAE9D07" w14:textId="4B1D5636" w:rsidTr="00E5042B">
        <w:trPr>
          <w:trHeight w:val="470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0874399" w14:textId="77777777" w:rsidR="00E5042B" w:rsidRPr="005C429A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C429A">
              <w:rPr>
                <w:rFonts w:ascii="Arial" w:eastAsia="Arial" w:hAnsi="Arial" w:cs="Arial"/>
                <w:b/>
                <w:sz w:val="18"/>
                <w:szCs w:val="18"/>
              </w:rPr>
              <w:t xml:space="preserve">Chiffres clés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4C78CE13" w14:textId="77777777" w:rsidR="00E5042B" w:rsidRPr="006E7E8E" w:rsidRDefault="00E5042B" w:rsidP="00936285">
            <w:pPr>
              <w:spacing w:line="259" w:lineRule="auto"/>
              <w:ind w:left="64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2023</w:t>
            </w:r>
          </w:p>
          <w:p w14:paraId="518696AD" w14:textId="181FD406" w:rsidR="00E5042B" w:rsidRPr="006E7E8E" w:rsidRDefault="00E5042B" w:rsidP="00936285">
            <w:pPr>
              <w:ind w:left="64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34F5AA4" w14:textId="77777777" w:rsidR="00E5042B" w:rsidRPr="006E7E8E" w:rsidRDefault="00E5042B" w:rsidP="00936285">
            <w:pPr>
              <w:ind w:left="64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2024</w:t>
            </w:r>
          </w:p>
          <w:p w14:paraId="06551FB9" w14:textId="77777777" w:rsidR="00E5042B" w:rsidRPr="006E7E8E" w:rsidRDefault="00E5042B" w:rsidP="00936285">
            <w:pPr>
              <w:ind w:left="64"/>
              <w:jc w:val="center"/>
              <w:rPr>
                <w:rFonts w:ascii="Arial" w:eastAsia="Arial" w:hAnsi="Arial" w:cs="Arial"/>
                <w:b/>
                <w:i/>
                <w:i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</w:rPr>
              <w:t>(prévision)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</w:tcPr>
          <w:p w14:paraId="3215665A" w14:textId="5B6BC227" w:rsidR="00E5042B" w:rsidRPr="006E7E8E" w:rsidRDefault="00E5042B" w:rsidP="00E5042B">
            <w:pPr>
              <w:ind w:left="64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202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5</w:t>
            </w:r>
          </w:p>
          <w:p w14:paraId="3F81396C" w14:textId="7A0469A0" w:rsidR="00E5042B" w:rsidRPr="006E7E8E" w:rsidRDefault="00E5042B" w:rsidP="00E5042B">
            <w:pPr>
              <w:ind w:left="64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i/>
                <w:iCs/>
                <w:color w:val="auto"/>
                <w:sz w:val="18"/>
                <w:szCs w:val="18"/>
              </w:rPr>
              <w:t>(prévision)</w:t>
            </w:r>
          </w:p>
        </w:tc>
      </w:tr>
      <w:tr w:rsidR="00E5042B" w:rsidRPr="0090574B" w14:paraId="7696EA2E" w14:textId="5B84BBF9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ADE72" w14:textId="77777777" w:rsidR="00E5042B" w:rsidRPr="00522E98" w:rsidRDefault="00E5042B" w:rsidP="00936285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>PIB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A5F87" w14:textId="1356F3E8" w:rsidR="00E5042B" w:rsidRPr="006E7E8E" w:rsidRDefault="00E5042B" w:rsidP="009362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-0,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FAAC3" w14:textId="362B2FEB" w:rsidR="00E5042B" w:rsidRPr="006E7E8E" w:rsidRDefault="00E5042B" w:rsidP="009362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C3433" w14:textId="6D2209E1" w:rsidR="00E5042B" w:rsidRPr="006E7E8E" w:rsidRDefault="00E5042B" w:rsidP="00936285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2,5</w:t>
            </w:r>
          </w:p>
        </w:tc>
      </w:tr>
      <w:tr w:rsidR="00E5042B" w:rsidRPr="0090574B" w14:paraId="55640B72" w14:textId="50DB3BDA" w:rsidTr="00E5042B">
        <w:trPr>
          <w:trHeight w:val="260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2E3C5" w14:textId="77777777" w:rsidR="00E5042B" w:rsidRPr="00522E98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Consommation des ménages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1D11" w14:textId="37271886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-2,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1CF8C" w14:textId="4AF4B9B0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4044C" w14:textId="51E611FC" w:rsidR="00E5042B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3,2</w:t>
            </w:r>
          </w:p>
        </w:tc>
      </w:tr>
      <w:tr w:rsidR="00E5042B" w:rsidRPr="0090574B" w14:paraId="21881BEE" w14:textId="1A7592E1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7E93B" w14:textId="77777777" w:rsidR="00E5042B" w:rsidRPr="00522E98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Consommation publique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E450" w14:textId="6A91B98D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48D27" w14:textId="355DD96A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8F37" w14:textId="72EFD74F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0,1</w:t>
            </w:r>
          </w:p>
        </w:tc>
      </w:tr>
      <w:tr w:rsidR="00E5042B" w:rsidRPr="0090574B" w14:paraId="64B33D5F" w14:textId="63D303C6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42D15" w14:textId="77777777" w:rsidR="00E5042B" w:rsidRPr="00522E98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Formation brute de capital fixe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D918" w14:textId="4638534D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-1,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63CB1" w14:textId="19AE4DCE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4B81E" w14:textId="2DCD9711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2,7</w:t>
            </w:r>
          </w:p>
        </w:tc>
      </w:tr>
      <w:tr w:rsidR="00E5042B" w:rsidRPr="0090574B" w14:paraId="5BFE5ED0" w14:textId="34583409" w:rsidTr="00E5042B">
        <w:trPr>
          <w:trHeight w:val="348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65501" w14:textId="77777777" w:rsidR="00E5042B" w:rsidRPr="00522E98" w:rsidRDefault="00E5042B" w:rsidP="00936285">
            <w:pPr>
              <w:spacing w:line="259" w:lineRule="auto"/>
              <w:ind w:right="14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Exportations nettes, contribution à la croissance du PIB </w:t>
            </w:r>
            <w:r w:rsidRPr="00B54EBF">
              <w:rPr>
                <w:rFonts w:ascii="Arial" w:eastAsia="Arial" w:hAnsi="Arial" w:cs="Arial"/>
                <w:sz w:val="10"/>
                <w:szCs w:val="10"/>
              </w:rPr>
              <w:t>en points de %</w:t>
            </w: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546F0" w14:textId="349C2003" w:rsidR="00E5042B" w:rsidRPr="006E7E8E" w:rsidRDefault="00E5042B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52F5" w14:textId="5A29DD33" w:rsidR="00E5042B" w:rsidRPr="006E7E8E" w:rsidRDefault="00E5042B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0,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0EA4" w14:textId="302BE6F2" w:rsidR="00E5042B" w:rsidRPr="006E7E8E" w:rsidRDefault="00F21759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0,4</w:t>
            </w:r>
          </w:p>
        </w:tc>
      </w:tr>
      <w:tr w:rsidR="00E5042B" w:rsidRPr="0090574B" w14:paraId="66888903" w14:textId="0D2B8D76" w:rsidTr="00E5042B">
        <w:trPr>
          <w:trHeight w:val="260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3B49" w14:textId="77777777" w:rsidR="00E5042B" w:rsidRPr="00522E98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Taux d’emploi en % de la population (15-74 ans)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5C92" w14:textId="0B211492" w:rsidR="00E5042B" w:rsidRPr="006E7E8E" w:rsidRDefault="00E5042B" w:rsidP="00936285">
            <w:pPr>
              <w:ind w:left="119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69,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5F798" w14:textId="59594712" w:rsidR="00E5042B" w:rsidRPr="006E7E8E" w:rsidRDefault="00E5042B" w:rsidP="00936285">
            <w:pPr>
              <w:ind w:left="119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68,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EA036" w14:textId="2F67618B" w:rsidR="00E5042B" w:rsidRPr="006E7E8E" w:rsidRDefault="00F21759" w:rsidP="00936285">
            <w:pPr>
              <w:ind w:left="119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69,0</w:t>
            </w:r>
          </w:p>
        </w:tc>
      </w:tr>
      <w:tr w:rsidR="00E5042B" w:rsidRPr="0090574B" w14:paraId="04B6BA00" w14:textId="29B5283C" w:rsidTr="00E5042B">
        <w:trPr>
          <w:trHeight w:val="266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2F9A" w14:textId="77777777" w:rsidR="00E5042B" w:rsidRPr="00522E98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Chômage (en % de la population active)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22372" w14:textId="508214DD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959F" w14:textId="2EB10795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8,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55FDD" w14:textId="40536FC2" w:rsidR="00E5042B" w:rsidRPr="006E7E8E" w:rsidRDefault="00F21759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8,4</w:t>
            </w:r>
          </w:p>
        </w:tc>
      </w:tr>
      <w:tr w:rsidR="00E5042B" w:rsidRPr="006E7E8E" w14:paraId="211D1A91" w14:textId="05CB6181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E2CB49" w14:textId="085FFE89" w:rsidR="00E5042B" w:rsidRPr="00522E98" w:rsidRDefault="00E5042B" w:rsidP="002C2D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Inflation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(KPIF cible Banque centrale)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9DB4D1" w14:textId="77777777" w:rsidR="00E5042B" w:rsidRPr="006E7E8E" w:rsidRDefault="00E5042B" w:rsidP="002C2DC7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2E952A" w14:textId="77777777" w:rsidR="00E5042B" w:rsidRPr="006E7E8E" w:rsidRDefault="00E5042B" w:rsidP="002C2DC7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3886" w14:textId="278F2B4B" w:rsidR="00E5042B" w:rsidRDefault="00F21759" w:rsidP="002C2DC7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1,7</w:t>
            </w:r>
          </w:p>
        </w:tc>
      </w:tr>
      <w:tr w:rsidR="00E5042B" w:rsidRPr="0090574B" w14:paraId="40EB37D2" w14:textId="474D6264" w:rsidTr="00E5042B">
        <w:trPr>
          <w:trHeight w:val="266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45723" w14:textId="7E976437" w:rsidR="00E5042B" w:rsidRPr="00522E98" w:rsidRDefault="00F32B06" w:rsidP="00936285">
            <w:pPr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Solde budgétaire des APU (en % du PIB)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FC145" w14:textId="35A61EF5" w:rsidR="00E5042B" w:rsidRPr="006E7E8E" w:rsidRDefault="00F32B06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-0,6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363A" w14:textId="77777777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47DE0" w14:textId="77777777" w:rsidR="00E5042B" w:rsidRPr="006E7E8E" w:rsidRDefault="00E5042B" w:rsidP="00936285">
            <w:pPr>
              <w:ind w:left="61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E5042B" w:rsidRPr="0090574B" w14:paraId="24620218" w14:textId="531DFBA0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D9AE" w14:textId="20771D5C" w:rsidR="00E5042B" w:rsidRPr="00522E98" w:rsidRDefault="00E5042B" w:rsidP="00053804">
            <w:pPr>
              <w:spacing w:line="259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color w:val="auto"/>
                <w:sz w:val="18"/>
                <w:szCs w:val="18"/>
              </w:rPr>
              <w:t>Taux directeur Banque centrale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(moyenne)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485E6" w14:textId="61927A39" w:rsidR="00E5042B" w:rsidRPr="006E7E8E" w:rsidRDefault="00E5042B" w:rsidP="00936285">
            <w:pPr>
              <w:ind w:left="119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3,46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1846C" w14:textId="03DFCFE4" w:rsidR="00E5042B" w:rsidRPr="006E7E8E" w:rsidRDefault="00E5042B" w:rsidP="00936285">
            <w:pPr>
              <w:ind w:left="119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B0FB4" w14:textId="17B4A419" w:rsidR="00E5042B" w:rsidRDefault="00F21759" w:rsidP="00936285">
            <w:pPr>
              <w:ind w:left="119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2,71</w:t>
            </w:r>
          </w:p>
        </w:tc>
      </w:tr>
      <w:tr w:rsidR="00E5042B" w:rsidRPr="0090574B" w14:paraId="4A9AB67A" w14:textId="1AA6396B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72AE8" w14:textId="77777777" w:rsidR="00E5042B" w:rsidRPr="00522E98" w:rsidRDefault="00E5042B" w:rsidP="0093628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22E98">
              <w:rPr>
                <w:rFonts w:ascii="Arial" w:eastAsia="Arial" w:hAnsi="Arial" w:cs="Arial"/>
                <w:sz w:val="18"/>
                <w:szCs w:val="18"/>
              </w:rPr>
              <w:t xml:space="preserve">Output gap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028E" w14:textId="5B25CB8F" w:rsidR="00E5042B" w:rsidRPr="006E7E8E" w:rsidRDefault="00E5042B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EDEE" w14:textId="49CEAAF5" w:rsidR="00E5042B" w:rsidRPr="006E7E8E" w:rsidRDefault="00E5042B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6E7E8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-2,</w:t>
            </w: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8D38" w14:textId="351239AB" w:rsidR="00E5042B" w:rsidRPr="006E7E8E" w:rsidRDefault="00F21759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-1,4</w:t>
            </w:r>
          </w:p>
        </w:tc>
      </w:tr>
      <w:tr w:rsidR="00E5042B" w:rsidRPr="0090574B" w14:paraId="7E32C938" w14:textId="683784E4" w:rsidTr="00E5042B">
        <w:trPr>
          <w:trHeight w:val="265"/>
        </w:trPr>
        <w:tc>
          <w:tcPr>
            <w:tcW w:w="4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73944" w14:textId="29358D98" w:rsidR="00E5042B" w:rsidRPr="00522E98" w:rsidRDefault="00F32B06" w:rsidP="0093628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Dette publique (en % du PIB)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D2420" w14:textId="23A87E65" w:rsidR="00E5042B" w:rsidRPr="006E7E8E" w:rsidRDefault="00F32B06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5FB1BE" w14:textId="19FAEE4E" w:rsidR="00E5042B" w:rsidRPr="006E7E8E" w:rsidRDefault="00E5042B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2203B" w14:textId="77777777" w:rsidR="00E5042B" w:rsidRPr="006E7E8E" w:rsidRDefault="00E5042B" w:rsidP="00936285">
            <w:pPr>
              <w:ind w:left="56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7F64A09F" w14:textId="03B744D9" w:rsidR="0091759A" w:rsidRDefault="00B54EBF">
      <w:pPr>
        <w:ind w:left="-5" w:right="13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Source : </w:t>
      </w:r>
      <w:proofErr w:type="spellStart"/>
      <w:r>
        <w:rPr>
          <w:rFonts w:ascii="Arial" w:hAnsi="Arial" w:cs="Arial"/>
          <w:szCs w:val="20"/>
        </w:rPr>
        <w:t>Finansdepartementet</w:t>
      </w:r>
      <w:proofErr w:type="spellEnd"/>
      <w:r w:rsidR="001E4BBC"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SCB</w:t>
      </w:r>
      <w:r w:rsidR="001E4BBC">
        <w:rPr>
          <w:rFonts w:ascii="Arial" w:hAnsi="Arial" w:cs="Arial"/>
          <w:szCs w:val="20"/>
        </w:rPr>
        <w:t xml:space="preserve">, </w:t>
      </w:r>
      <w:proofErr w:type="spellStart"/>
      <w:r w:rsidR="001E4BBC">
        <w:rPr>
          <w:rFonts w:ascii="Arial" w:hAnsi="Arial" w:cs="Arial"/>
          <w:szCs w:val="20"/>
        </w:rPr>
        <w:t>Riksbank</w:t>
      </w:r>
      <w:proofErr w:type="spellEnd"/>
    </w:p>
    <w:p w14:paraId="1C6B3A7C" w14:textId="2C78845E" w:rsidR="0091759A" w:rsidRDefault="0091759A">
      <w:pPr>
        <w:ind w:left="-5" w:right="133"/>
        <w:rPr>
          <w:rFonts w:ascii="Arial" w:hAnsi="Arial" w:cs="Arial"/>
          <w:szCs w:val="20"/>
        </w:rPr>
      </w:pPr>
      <w:bookmarkStart w:id="4" w:name="_Hlk163035988"/>
    </w:p>
    <w:p w14:paraId="2682E6C1" w14:textId="77777777" w:rsidR="00E13B25" w:rsidRDefault="00E13B25">
      <w:pPr>
        <w:ind w:left="-5" w:right="133"/>
        <w:rPr>
          <w:rFonts w:ascii="Arial" w:hAnsi="Arial" w:cs="Arial"/>
          <w:szCs w:val="20"/>
        </w:rPr>
      </w:pPr>
    </w:p>
    <w:p w14:paraId="5AB7B246" w14:textId="543EFEF2" w:rsidR="0091759A" w:rsidRDefault="0091759A">
      <w:pPr>
        <w:ind w:left="-5" w:right="133"/>
        <w:rPr>
          <w:rFonts w:ascii="Arial" w:hAnsi="Arial" w:cs="Arial"/>
          <w:szCs w:val="20"/>
        </w:rPr>
      </w:pPr>
    </w:p>
    <w:p w14:paraId="02848E5A" w14:textId="59505BAD" w:rsidR="002A0908" w:rsidRDefault="002A0908" w:rsidP="00F21759">
      <w:pPr>
        <w:pStyle w:val="Titre2"/>
        <w:spacing w:after="0" w:line="240" w:lineRule="auto"/>
        <w:ind w:right="159"/>
        <w:jc w:val="both"/>
        <w:rPr>
          <w:rFonts w:eastAsia="Times New Roman"/>
          <w:b/>
          <w:bCs/>
          <w:color w:val="auto"/>
          <w:sz w:val="18"/>
          <w:szCs w:val="18"/>
        </w:rPr>
      </w:pPr>
      <w:r>
        <w:rPr>
          <w:rFonts w:eastAsia="Times New Roman"/>
          <w:b/>
          <w:bCs/>
          <w:color w:val="auto"/>
          <w:sz w:val="18"/>
          <w:szCs w:val="18"/>
        </w:rPr>
        <w:t>Tableau</w:t>
      </w:r>
      <w:r w:rsidR="00F21759">
        <w:rPr>
          <w:rFonts w:eastAsia="Times New Roman"/>
          <w:b/>
          <w:bCs/>
          <w:color w:val="auto"/>
          <w:sz w:val="18"/>
          <w:szCs w:val="18"/>
        </w:rPr>
        <w:t xml:space="preserve"> 2.</w:t>
      </w:r>
      <w:r>
        <w:rPr>
          <w:rFonts w:eastAsia="Times New Roman"/>
          <w:b/>
          <w:bCs/>
          <w:color w:val="auto"/>
          <w:sz w:val="18"/>
          <w:szCs w:val="18"/>
        </w:rPr>
        <w:t xml:space="preserve"> Solde budgétaire des administrations publiques (APU)</w:t>
      </w:r>
      <w:r w:rsidR="00F21759">
        <w:rPr>
          <w:rFonts w:eastAsia="Times New Roman"/>
          <w:b/>
          <w:bCs/>
          <w:color w:val="auto"/>
          <w:sz w:val="18"/>
          <w:szCs w:val="18"/>
        </w:rPr>
        <w:t xml:space="preserve"> </w:t>
      </w:r>
      <w:r>
        <w:rPr>
          <w:rFonts w:eastAsia="Times New Roman"/>
          <w:b/>
          <w:bCs/>
          <w:color w:val="auto"/>
          <w:sz w:val="18"/>
          <w:szCs w:val="18"/>
        </w:rPr>
        <w:t>et dette publique notifiée (</w:t>
      </w:r>
      <w:r>
        <w:rPr>
          <w:rFonts w:eastAsia="Times New Roman"/>
          <w:b/>
          <w:bCs/>
          <w:color w:val="auto"/>
          <w:sz w:val="14"/>
          <w:szCs w:val="14"/>
        </w:rPr>
        <w:t>2020-2023</w:t>
      </w:r>
      <w:r>
        <w:rPr>
          <w:rFonts w:eastAsia="Times New Roman"/>
          <w:b/>
          <w:bCs/>
          <w:color w:val="auto"/>
          <w:sz w:val="18"/>
          <w:szCs w:val="18"/>
        </w:rPr>
        <w:t>)</w:t>
      </w:r>
    </w:p>
    <w:p w14:paraId="3255C546" w14:textId="77777777" w:rsidR="002A0908" w:rsidRDefault="002A0908" w:rsidP="002A0908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tbl>
      <w:tblPr>
        <w:tblW w:w="8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077"/>
        <w:gridCol w:w="1077"/>
        <w:gridCol w:w="1077"/>
        <w:gridCol w:w="1077"/>
      </w:tblGrid>
      <w:tr w:rsidR="002A0908" w14:paraId="79FC66F8" w14:textId="77777777" w:rsidTr="00E5042B">
        <w:trPr>
          <w:trHeight w:val="465"/>
        </w:trPr>
        <w:tc>
          <w:tcPr>
            <w:tcW w:w="3825" w:type="dxa"/>
            <w:tcBorders>
              <w:top w:val="single" w:sz="8" w:space="0" w:color="BDD6EE"/>
              <w:left w:val="single" w:sz="8" w:space="0" w:color="BDD6EE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D936" w14:textId="77777777" w:rsidR="002A0908" w:rsidRDefault="002A0908">
            <w:pPr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2C1BD" w14:textId="77777777" w:rsidR="002A0908" w:rsidRDefault="002A0908">
            <w:pPr>
              <w:ind w:right="133"/>
              <w:jc w:val="center"/>
              <w:rPr>
                <w:rFonts w:eastAsiaTheme="minorHAns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2020</w:t>
            </w:r>
          </w:p>
        </w:tc>
        <w:tc>
          <w:tcPr>
            <w:tcW w:w="1077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3053" w14:textId="77777777" w:rsidR="002A0908" w:rsidRDefault="002A0908">
            <w:pPr>
              <w:ind w:right="133"/>
              <w:jc w:val="center"/>
              <w:rPr>
                <w:rFonts w:ascii="Calibri" w:hAnsi="Calibri" w:cs="Calibri"/>
                <w:b/>
                <w:bCs/>
                <w:color w:val="auto"/>
                <w:szCs w:val="20"/>
              </w:rPr>
            </w:pPr>
            <w:r>
              <w:rPr>
                <w:b/>
                <w:bCs/>
                <w:szCs w:val="20"/>
              </w:rPr>
              <w:t>2021</w:t>
            </w:r>
          </w:p>
        </w:tc>
        <w:tc>
          <w:tcPr>
            <w:tcW w:w="1077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DB0A1" w14:textId="77777777" w:rsidR="002A0908" w:rsidRDefault="002A0908">
            <w:pPr>
              <w:ind w:right="13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2022</w:t>
            </w:r>
          </w:p>
        </w:tc>
        <w:tc>
          <w:tcPr>
            <w:tcW w:w="1077" w:type="dxa"/>
            <w:tcBorders>
              <w:top w:val="single" w:sz="8" w:space="0" w:color="BDD6EE"/>
              <w:left w:val="nil"/>
              <w:bottom w:val="single" w:sz="12" w:space="0" w:color="9CC2E5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DC71C" w14:textId="77777777" w:rsidR="002A0908" w:rsidRDefault="002A0908">
            <w:pPr>
              <w:ind w:right="133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2023</w:t>
            </w:r>
          </w:p>
        </w:tc>
      </w:tr>
      <w:tr w:rsidR="002A0908" w14:paraId="23A08FAE" w14:textId="77777777" w:rsidTr="00E5042B">
        <w:trPr>
          <w:trHeight w:val="57"/>
        </w:trPr>
        <w:tc>
          <w:tcPr>
            <w:tcW w:w="3825" w:type="dxa"/>
            <w:tcBorders>
              <w:top w:val="nil"/>
              <w:left w:val="single" w:sz="8" w:space="0" w:color="BDD6EE"/>
              <w:bottom w:val="nil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2437" w14:textId="77777777" w:rsidR="002A0908" w:rsidRDefault="002A0908">
            <w:pPr>
              <w:ind w:right="133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PIB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53004" w14:textId="77777777" w:rsidR="002A0908" w:rsidRDefault="002A0908">
            <w:pPr>
              <w:ind w:right="13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E1B7" w14:textId="77777777" w:rsidR="002A0908" w:rsidRDefault="002A0908">
            <w:pPr>
              <w:ind w:right="13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28A2" w14:textId="77777777" w:rsidR="002A0908" w:rsidRDefault="002A0908">
            <w:pPr>
              <w:ind w:right="133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B222" w14:textId="77777777" w:rsidR="002A0908" w:rsidRDefault="002A0908">
            <w:pPr>
              <w:ind w:right="133"/>
              <w:jc w:val="center"/>
              <w:rPr>
                <w:color w:val="0070C0"/>
                <w:sz w:val="18"/>
                <w:szCs w:val="18"/>
              </w:rPr>
            </w:pPr>
          </w:p>
        </w:tc>
      </w:tr>
      <w:tr w:rsidR="002A0908" w14:paraId="7A9C2920" w14:textId="77777777" w:rsidTr="00E5042B">
        <w:trPr>
          <w:trHeight w:val="45"/>
        </w:trPr>
        <w:tc>
          <w:tcPr>
            <w:tcW w:w="38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CB11" w14:textId="77777777" w:rsidR="002A0908" w:rsidRDefault="002A0908">
            <w:pPr>
              <w:ind w:right="13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En milliards de SEK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489A" w14:textId="77777777" w:rsidR="002A0908" w:rsidRDefault="002A0908">
            <w:pPr>
              <w:ind w:right="13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5 038,5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3EB1" w14:textId="77777777" w:rsidR="002A0908" w:rsidRDefault="002A0908">
            <w:pPr>
              <w:ind w:right="13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5 486,6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0B28" w14:textId="77777777" w:rsidR="002A0908" w:rsidRDefault="002A0908">
            <w:pPr>
              <w:ind w:right="13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5 971,6</w:t>
            </w:r>
          </w:p>
        </w:tc>
        <w:tc>
          <w:tcPr>
            <w:tcW w:w="1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C4DD" w14:textId="77777777" w:rsidR="002A0908" w:rsidRDefault="002A0908">
            <w:pPr>
              <w:ind w:right="133"/>
              <w:jc w:val="center"/>
              <w:rPr>
                <w:b/>
                <w:bCs/>
                <w:color w:val="0070C0"/>
                <w:sz w:val="12"/>
                <w:szCs w:val="12"/>
              </w:rPr>
            </w:pPr>
            <w:r>
              <w:rPr>
                <w:b/>
                <w:bCs/>
                <w:color w:val="0070C0"/>
                <w:sz w:val="12"/>
                <w:szCs w:val="12"/>
              </w:rPr>
              <w:t>6 294,7</w:t>
            </w:r>
          </w:p>
        </w:tc>
      </w:tr>
      <w:tr w:rsidR="002A0908" w14:paraId="4790FFEE" w14:textId="77777777" w:rsidTr="00E5042B">
        <w:trPr>
          <w:trHeight w:val="45"/>
        </w:trPr>
        <w:tc>
          <w:tcPr>
            <w:tcW w:w="3825" w:type="dxa"/>
            <w:tcBorders>
              <w:top w:val="nil"/>
              <w:left w:val="nil"/>
              <w:bottom w:val="single" w:sz="12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29E78" w14:textId="77777777" w:rsidR="002A0908" w:rsidRDefault="002A0908">
            <w:pPr>
              <w:ind w:right="133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En milliards d’EUR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4686" w14:textId="77777777" w:rsidR="002A0908" w:rsidRDefault="002A0908">
            <w:pPr>
              <w:ind w:right="133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480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4FDC" w14:textId="77777777" w:rsidR="002A0908" w:rsidRDefault="002A0908">
            <w:pPr>
              <w:ind w:right="133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541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61D7" w14:textId="77777777" w:rsidR="002A0908" w:rsidRDefault="002A0908">
            <w:pPr>
              <w:ind w:right="133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561,7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2" w:space="0" w:color="5B9BD5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7AC7" w14:textId="77777777" w:rsidR="002A0908" w:rsidRDefault="002A0908">
            <w:pPr>
              <w:ind w:right="133"/>
              <w:jc w:val="center"/>
              <w:rPr>
                <w:color w:val="0070C0"/>
                <w:sz w:val="12"/>
                <w:szCs w:val="12"/>
              </w:rPr>
            </w:pPr>
            <w:r>
              <w:rPr>
                <w:color w:val="0070C0"/>
                <w:sz w:val="12"/>
                <w:szCs w:val="12"/>
              </w:rPr>
              <w:t>548,7</w:t>
            </w:r>
          </w:p>
        </w:tc>
      </w:tr>
      <w:tr w:rsidR="002A0908" w14:paraId="59A092DB" w14:textId="77777777" w:rsidTr="00E5042B">
        <w:tc>
          <w:tcPr>
            <w:tcW w:w="3825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2CEC" w14:textId="77777777" w:rsidR="002A0908" w:rsidRDefault="002A0908">
            <w:pPr>
              <w:ind w:right="13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Solde budgétaire des APU</w:t>
            </w:r>
          </w:p>
          <w:p w14:paraId="2E431CF2" w14:textId="77777777" w:rsidR="002A0908" w:rsidRDefault="002A0908">
            <w:pPr>
              <w:ind w:right="13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(besoin ou capacité de financement)</w:t>
            </w:r>
          </w:p>
          <w:p w14:paraId="5FBA4721" w14:textId="77777777" w:rsidR="002A0908" w:rsidRDefault="002A0908">
            <w:pPr>
              <w:ind w:right="1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En milliards de SEK</w:t>
            </w:r>
          </w:p>
          <w:p w14:paraId="0847A751" w14:textId="77777777" w:rsidR="002A0908" w:rsidRDefault="002A0908">
            <w:pPr>
              <w:ind w:right="1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(En milliards EUR)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783C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noBreakHyphen/>
              <w:t>142,1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7D46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BA5A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</w:p>
          <w:p w14:paraId="072ED2F5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70,6</w:t>
            </w:r>
          </w:p>
          <w:p w14:paraId="2A5FC6B0" w14:textId="77777777" w:rsidR="002A0908" w:rsidRDefault="002A0908">
            <w:pPr>
              <w:ind w:right="1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(6,64)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624EE" w14:textId="77777777" w:rsidR="002A0908" w:rsidRDefault="002A0908">
            <w:pPr>
              <w:ind w:right="133"/>
              <w:jc w:val="center"/>
              <w:rPr>
                <w:b/>
                <w:bCs/>
                <w:color w:val="C00000"/>
                <w:sz w:val="14"/>
                <w:szCs w:val="14"/>
              </w:rPr>
            </w:pPr>
          </w:p>
          <w:p w14:paraId="7ED393E0" w14:textId="77777777" w:rsidR="002A0908" w:rsidRDefault="002A0908">
            <w:pPr>
              <w:ind w:right="133"/>
              <w:jc w:val="center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noBreakHyphen/>
              <w:t>40,4</w:t>
            </w:r>
          </w:p>
          <w:p w14:paraId="15DCFB47" w14:textId="77777777" w:rsidR="002A0908" w:rsidRDefault="002A0908">
            <w:pPr>
              <w:ind w:right="133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(3,52)</w:t>
            </w:r>
          </w:p>
        </w:tc>
      </w:tr>
      <w:tr w:rsidR="002A0908" w14:paraId="11DEB9F1" w14:textId="77777777" w:rsidTr="00E5042B">
        <w:tc>
          <w:tcPr>
            <w:tcW w:w="3825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EC104" w14:textId="77777777" w:rsidR="002A0908" w:rsidRDefault="002A0908">
            <w:pPr>
              <w:ind w:right="133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En % du PIB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67AF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noBreakHyphen/>
              <w:t>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6504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1469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BE57" w14:textId="77777777" w:rsidR="002A0908" w:rsidRDefault="002A0908">
            <w:pPr>
              <w:ind w:right="1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noBreakHyphen/>
              <w:t>0,6</w:t>
            </w:r>
          </w:p>
        </w:tc>
      </w:tr>
      <w:tr w:rsidR="002A0908" w14:paraId="1594159C" w14:textId="77777777" w:rsidTr="00E5042B">
        <w:tc>
          <w:tcPr>
            <w:tcW w:w="3825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1E15" w14:textId="77777777" w:rsidR="002A0908" w:rsidRDefault="002A0908">
            <w:pPr>
              <w:ind w:right="133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Dette publique brute notifiée </w:t>
            </w:r>
          </w:p>
          <w:p w14:paraId="3BDEC2B4" w14:textId="77777777" w:rsidR="002A0908" w:rsidRDefault="002A0908">
            <w:pPr>
              <w:ind w:right="13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En milliards de SEK</w:t>
            </w:r>
          </w:p>
          <w:p w14:paraId="6BE03A45" w14:textId="77777777" w:rsidR="002A0908" w:rsidRDefault="002A0908">
            <w:pPr>
              <w:ind w:right="13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(En milliards EUR)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862D4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2 024,1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418EF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2 012,9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D7252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1 979,7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AA67" w14:textId="77777777" w:rsidR="002A0908" w:rsidRDefault="002A0908">
            <w:pPr>
              <w:ind w:right="133"/>
              <w:jc w:val="center"/>
              <w:rPr>
                <w:b/>
                <w:bCs/>
                <w:color w:val="C00000"/>
                <w:sz w:val="14"/>
                <w:szCs w:val="14"/>
              </w:rPr>
            </w:pPr>
          </w:p>
          <w:p w14:paraId="6410F97F" w14:textId="77777777" w:rsidR="002A0908" w:rsidRDefault="002A0908">
            <w:pPr>
              <w:ind w:right="133"/>
              <w:jc w:val="center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1 965,9</w:t>
            </w:r>
          </w:p>
          <w:p w14:paraId="7A40734C" w14:textId="77777777" w:rsidR="002A0908" w:rsidRDefault="002A0908">
            <w:pPr>
              <w:ind w:right="133"/>
              <w:jc w:val="center"/>
              <w:rPr>
                <w:b/>
                <w:bCs/>
                <w:color w:val="C00000"/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(171,4)</w:t>
            </w:r>
          </w:p>
        </w:tc>
      </w:tr>
      <w:tr w:rsidR="002A0908" w14:paraId="1ECC6B41" w14:textId="77777777" w:rsidTr="00E5042B">
        <w:tc>
          <w:tcPr>
            <w:tcW w:w="3825" w:type="dxa"/>
            <w:tcBorders>
              <w:top w:val="nil"/>
              <w:left w:val="single" w:sz="8" w:space="0" w:color="BDD6EE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DC3D5" w14:textId="77777777" w:rsidR="002A0908" w:rsidRDefault="002A0908">
            <w:pPr>
              <w:ind w:right="133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En % du PIB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EAB21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7E86D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9CD3" w14:textId="77777777" w:rsidR="002A0908" w:rsidRDefault="002A0908">
            <w:pPr>
              <w:ind w:right="1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BDD6EE"/>
              <w:right w:val="single" w:sz="8" w:space="0" w:color="BDD6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934D3" w14:textId="77777777" w:rsidR="002A0908" w:rsidRDefault="002A0908">
            <w:pPr>
              <w:ind w:right="133"/>
              <w:jc w:val="center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>31,2</w:t>
            </w:r>
          </w:p>
        </w:tc>
      </w:tr>
    </w:tbl>
    <w:p w14:paraId="57858C4A" w14:textId="0695DED6" w:rsidR="00314BC0" w:rsidRPr="00BD3A79" w:rsidRDefault="00314BC0" w:rsidP="002A0908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sz w:val="16"/>
          <w:szCs w:val="16"/>
        </w:rPr>
      </w:pPr>
      <w:r w:rsidRPr="00BD3A79">
        <w:rPr>
          <w:rFonts w:ascii="Segoe UI" w:hAnsi="Segoe UI" w:cs="Segoe UI"/>
          <w:sz w:val="16"/>
          <w:szCs w:val="16"/>
        </w:rPr>
        <w:t xml:space="preserve">Source : </w:t>
      </w:r>
      <w:hyperlink r:id="rId14" w:history="1">
        <w:r w:rsidRPr="00BD3A79">
          <w:rPr>
            <w:rStyle w:val="Lienhypertexte"/>
            <w:rFonts w:ascii="Segoe UI" w:hAnsi="Segoe UI" w:cs="Segoe UI"/>
            <w:sz w:val="16"/>
            <w:szCs w:val="16"/>
          </w:rPr>
          <w:t>SCB</w:t>
        </w:r>
      </w:hyperlink>
      <w:r w:rsidRPr="00BD3A79">
        <w:rPr>
          <w:rFonts w:ascii="Segoe UI" w:hAnsi="Segoe UI" w:cs="Segoe UI"/>
          <w:sz w:val="16"/>
          <w:szCs w:val="16"/>
        </w:rPr>
        <w:t xml:space="preserve"> </w:t>
      </w:r>
    </w:p>
    <w:bookmarkEnd w:id="4"/>
    <w:p w14:paraId="0FC769C0" w14:textId="7030AA70" w:rsidR="0091759A" w:rsidRDefault="0091759A">
      <w:pPr>
        <w:ind w:left="-5" w:right="133"/>
        <w:rPr>
          <w:rFonts w:ascii="Arial" w:hAnsi="Arial" w:cs="Arial"/>
          <w:szCs w:val="20"/>
        </w:rPr>
      </w:pPr>
    </w:p>
    <w:sectPr w:rsidR="0091759A" w:rsidSect="0046269B">
      <w:pgSz w:w="11905" w:h="16840"/>
      <w:pgMar w:top="680" w:right="1259" w:bottom="68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F5D4" w14:textId="77777777" w:rsidR="00392EBB" w:rsidRDefault="00392EBB" w:rsidP="008B0CE6">
      <w:pPr>
        <w:spacing w:after="0" w:line="240" w:lineRule="auto"/>
      </w:pPr>
      <w:r>
        <w:separator/>
      </w:r>
    </w:p>
  </w:endnote>
  <w:endnote w:type="continuationSeparator" w:id="0">
    <w:p w14:paraId="70011BA0" w14:textId="77777777" w:rsidR="00392EBB" w:rsidRDefault="00392EBB" w:rsidP="008B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8E3B" w14:textId="77777777" w:rsidR="00392EBB" w:rsidRDefault="00392EBB" w:rsidP="008B0CE6">
      <w:pPr>
        <w:spacing w:after="0" w:line="240" w:lineRule="auto"/>
      </w:pPr>
      <w:r>
        <w:separator/>
      </w:r>
    </w:p>
  </w:footnote>
  <w:footnote w:type="continuationSeparator" w:id="0">
    <w:p w14:paraId="27BD81CA" w14:textId="77777777" w:rsidR="00392EBB" w:rsidRDefault="00392EBB" w:rsidP="008B0CE6">
      <w:pPr>
        <w:spacing w:after="0" w:line="240" w:lineRule="auto"/>
      </w:pPr>
      <w:r>
        <w:continuationSeparator/>
      </w:r>
    </w:p>
  </w:footnote>
  <w:footnote w:id="1">
    <w:p w14:paraId="7B7C6965" w14:textId="3972ABFE" w:rsidR="00347367" w:rsidRPr="0046269B" w:rsidRDefault="00347367">
      <w:pPr>
        <w:pStyle w:val="Notedebasdepage"/>
        <w:rPr>
          <w:sz w:val="10"/>
          <w:szCs w:val="10"/>
        </w:rPr>
      </w:pPr>
      <w:r w:rsidRPr="0046269B">
        <w:rPr>
          <w:rStyle w:val="Appelnotedebasdep"/>
          <w:sz w:val="10"/>
          <w:szCs w:val="10"/>
        </w:rPr>
        <w:footnoteRef/>
      </w:r>
      <w:r w:rsidRPr="0046269B">
        <w:rPr>
          <w:sz w:val="10"/>
          <w:szCs w:val="10"/>
        </w:rPr>
        <w:t xml:space="preserve"> </w:t>
      </w:r>
      <w:r w:rsidR="00A300B6" w:rsidRPr="0046269B">
        <w:rPr>
          <w:sz w:val="10"/>
          <w:szCs w:val="10"/>
        </w:rPr>
        <w:t>A</w:t>
      </w:r>
      <w:r w:rsidRPr="0046269B">
        <w:rPr>
          <w:sz w:val="10"/>
          <w:szCs w:val="10"/>
        </w:rPr>
        <w:t xml:space="preserve">près l’Allemagne, </w:t>
      </w:r>
      <w:r w:rsidR="00A300B6" w:rsidRPr="0046269B">
        <w:rPr>
          <w:sz w:val="10"/>
          <w:szCs w:val="10"/>
        </w:rPr>
        <w:t xml:space="preserve">la France, l’Italie, l’Espagne, </w:t>
      </w:r>
      <w:r w:rsidR="00234FE3" w:rsidRPr="0046269B">
        <w:rPr>
          <w:sz w:val="10"/>
          <w:szCs w:val="10"/>
        </w:rPr>
        <w:t>les Pays-Bas</w:t>
      </w:r>
      <w:r w:rsidR="005A2118" w:rsidRPr="0046269B">
        <w:rPr>
          <w:sz w:val="10"/>
          <w:szCs w:val="10"/>
        </w:rPr>
        <w:t xml:space="preserve"> </w:t>
      </w:r>
      <w:r w:rsidR="00234FE3" w:rsidRPr="0046269B">
        <w:rPr>
          <w:sz w:val="10"/>
          <w:szCs w:val="10"/>
        </w:rPr>
        <w:t xml:space="preserve">et </w:t>
      </w:r>
      <w:r w:rsidR="00A300B6" w:rsidRPr="0046269B">
        <w:rPr>
          <w:sz w:val="10"/>
          <w:szCs w:val="10"/>
        </w:rPr>
        <w:t>la Pologne</w:t>
      </w:r>
      <w:r w:rsidR="005A2118" w:rsidRPr="0046269B">
        <w:rPr>
          <w:sz w:val="10"/>
          <w:szCs w:val="10"/>
        </w:rPr>
        <w:t>.</w:t>
      </w:r>
    </w:p>
  </w:footnote>
  <w:footnote w:id="2">
    <w:p w14:paraId="4AE3E253" w14:textId="20D6E683" w:rsidR="0012574E" w:rsidRPr="0046269B" w:rsidRDefault="0012574E">
      <w:pPr>
        <w:pStyle w:val="Notedebasdepage"/>
        <w:rPr>
          <w:sz w:val="10"/>
          <w:szCs w:val="10"/>
          <w:lang w:val="en-GB"/>
        </w:rPr>
      </w:pPr>
      <w:r w:rsidRPr="0046269B">
        <w:rPr>
          <w:rStyle w:val="Appelnotedebasdep"/>
          <w:sz w:val="10"/>
          <w:szCs w:val="10"/>
        </w:rPr>
        <w:footnoteRef/>
      </w:r>
      <w:r w:rsidRPr="0046269B">
        <w:rPr>
          <w:sz w:val="10"/>
          <w:szCs w:val="10"/>
          <w:lang w:val="en-GB"/>
        </w:rPr>
        <w:t xml:space="preserve"> </w:t>
      </w:r>
      <w:r w:rsidR="00392EBB">
        <w:fldChar w:fldCharType="begin"/>
      </w:r>
      <w:r w:rsidR="00392EBB" w:rsidRPr="00F32B06">
        <w:rPr>
          <w:lang w:val="en-US"/>
        </w:rPr>
        <w:instrText xml:space="preserve"> HYPERLINK "https://www.scb.se/en/finding-statistics/statistics-by-subject-area/education-and-research/research/research-and-development-in-sweden/pong/statistical-news/sweden-fifth-most-rd-intensive-country-within-the-oecd-area/" </w:instrText>
      </w:r>
      <w:r w:rsidR="00392EBB">
        <w:fldChar w:fldCharType="separate"/>
      </w:r>
      <w:r w:rsidRPr="0046269B">
        <w:rPr>
          <w:rStyle w:val="Lienhypertexte"/>
          <w:sz w:val="10"/>
          <w:szCs w:val="10"/>
          <w:lang w:val="en-GB"/>
        </w:rPr>
        <w:t>Sweden fifth most R&amp;D intensive country within the OECD area (scb.se)</w:t>
      </w:r>
      <w:r w:rsidR="00392EBB">
        <w:rPr>
          <w:rStyle w:val="Lienhypertexte"/>
          <w:sz w:val="10"/>
          <w:szCs w:val="10"/>
          <w:lang w:val="en-GB"/>
        </w:rPr>
        <w:fldChar w:fldCharType="end"/>
      </w:r>
    </w:p>
  </w:footnote>
  <w:footnote w:id="3">
    <w:p w14:paraId="28CF2ACF" w14:textId="1A1C4B24" w:rsidR="003E01C4" w:rsidRPr="0046269B" w:rsidRDefault="003E01C4">
      <w:pPr>
        <w:pStyle w:val="Notedebasdepage"/>
        <w:rPr>
          <w:sz w:val="10"/>
          <w:szCs w:val="10"/>
          <w:lang w:val="en-GB"/>
        </w:rPr>
      </w:pPr>
      <w:r w:rsidRPr="0046269B">
        <w:rPr>
          <w:rStyle w:val="Appelnotedebasdep"/>
          <w:sz w:val="10"/>
          <w:szCs w:val="10"/>
        </w:rPr>
        <w:footnoteRef/>
      </w:r>
      <w:r w:rsidRPr="0046269B">
        <w:rPr>
          <w:sz w:val="10"/>
          <w:szCs w:val="10"/>
          <w:lang w:val="en-GB"/>
        </w:rPr>
        <w:t xml:space="preserve"> </w:t>
      </w:r>
      <w:r w:rsidR="00392EBB">
        <w:fldChar w:fldCharType="begin"/>
      </w:r>
      <w:r w:rsidR="00392EBB" w:rsidRPr="00F32B06">
        <w:rPr>
          <w:lang w:val="en-US"/>
        </w:rPr>
        <w:instrText xml:space="preserve"> HYPERLINK "https://www.oecd.org/sti/inno/researchanddevelopmentstatisticsrds.htm" </w:instrText>
      </w:r>
      <w:r w:rsidR="00392EBB">
        <w:fldChar w:fldCharType="separate"/>
      </w:r>
      <w:r w:rsidRPr="0046269B">
        <w:rPr>
          <w:rStyle w:val="Lienhypertexte"/>
          <w:sz w:val="10"/>
          <w:szCs w:val="10"/>
          <w:lang w:val="en-GB"/>
        </w:rPr>
        <w:t>Research and Development Statistics (RDS) - OECD</w:t>
      </w:r>
      <w:r w:rsidR="00392EBB">
        <w:rPr>
          <w:rStyle w:val="Lienhypertexte"/>
          <w:sz w:val="10"/>
          <w:szCs w:val="10"/>
          <w:lang w:val="en-GB"/>
        </w:rPr>
        <w:fldChar w:fldCharType="end"/>
      </w:r>
    </w:p>
  </w:footnote>
  <w:footnote w:id="4">
    <w:p w14:paraId="66B14394" w14:textId="3082D2BF" w:rsidR="00FA5B65" w:rsidRPr="0046269B" w:rsidRDefault="00FA5B65">
      <w:pPr>
        <w:pStyle w:val="Notedebasdepage"/>
        <w:rPr>
          <w:sz w:val="10"/>
          <w:szCs w:val="10"/>
          <w:lang w:val="en-GB"/>
        </w:rPr>
      </w:pPr>
      <w:r w:rsidRPr="0046269B">
        <w:rPr>
          <w:rStyle w:val="Appelnotedebasdep"/>
          <w:sz w:val="10"/>
          <w:szCs w:val="10"/>
        </w:rPr>
        <w:footnoteRef/>
      </w:r>
      <w:r w:rsidRPr="0046269B">
        <w:rPr>
          <w:sz w:val="10"/>
          <w:szCs w:val="10"/>
          <w:lang w:val="en-GB"/>
        </w:rPr>
        <w:t xml:space="preserve"> </w:t>
      </w:r>
      <w:r w:rsidR="00392EBB">
        <w:fldChar w:fldCharType="begin"/>
      </w:r>
      <w:r w:rsidR="00392EBB" w:rsidRPr="00F32B06">
        <w:rPr>
          <w:lang w:val="en-US"/>
        </w:rPr>
        <w:instrText xml:space="preserve"> HYPERLINK "https://www.scb.se/en/finding-statistics/statistics-by-subject-area/education-and-research/research/research-and-development-in-sweden/pong/tables-and-graphs/rd-in-sweden/intramural-rd-expenditure-by-sector-and-source-of-finance/" </w:instrText>
      </w:r>
      <w:r w:rsidR="00392EBB">
        <w:fldChar w:fldCharType="separate"/>
      </w:r>
      <w:r w:rsidRPr="0046269B">
        <w:rPr>
          <w:rStyle w:val="Lienhypertexte"/>
          <w:sz w:val="10"/>
          <w:szCs w:val="10"/>
          <w:lang w:val="en-GB"/>
        </w:rPr>
        <w:t>Intramural R&amp;D expenditure by sector and source of finance (scb.se)</w:t>
      </w:r>
      <w:r w:rsidR="00392EBB">
        <w:rPr>
          <w:rStyle w:val="Lienhypertexte"/>
          <w:sz w:val="10"/>
          <w:szCs w:val="10"/>
          <w:lang w:val="en-GB"/>
        </w:rPr>
        <w:fldChar w:fldCharType="end"/>
      </w:r>
    </w:p>
  </w:footnote>
  <w:footnote w:id="5">
    <w:p w14:paraId="680B807D" w14:textId="698A54B6" w:rsidR="00101868" w:rsidRPr="00101868" w:rsidRDefault="00101868">
      <w:pPr>
        <w:pStyle w:val="Notedebasdepage"/>
        <w:rPr>
          <w:lang w:val="en-GB"/>
        </w:rPr>
      </w:pPr>
      <w:r w:rsidRPr="0046269B">
        <w:rPr>
          <w:rStyle w:val="Appelnotedebasdep"/>
          <w:sz w:val="10"/>
          <w:szCs w:val="10"/>
        </w:rPr>
        <w:footnoteRef/>
      </w:r>
      <w:r w:rsidRPr="0046269B">
        <w:rPr>
          <w:sz w:val="10"/>
          <w:szCs w:val="10"/>
          <w:lang w:val="en-GB"/>
        </w:rPr>
        <w:t xml:space="preserve"> </w:t>
      </w:r>
      <w:r w:rsidR="00392EBB">
        <w:fldChar w:fldCharType="begin"/>
      </w:r>
      <w:r w:rsidR="00392EBB" w:rsidRPr="00F32B06">
        <w:rPr>
          <w:lang w:val="en-US"/>
        </w:rPr>
        <w:instrText xml:space="preserve"> HYPERLINK "https://www.scb.se/en/finding-statistics/statistics-by-subject-area/education-and-research/research/research-and-development-in-sweden/pong/statistical-news/research-and-development-in</w:instrText>
      </w:r>
      <w:r w:rsidR="00392EBB" w:rsidRPr="00F32B06">
        <w:rPr>
          <w:lang w:val="en-US"/>
        </w:rPr>
        <w:instrText xml:space="preserve">-sweden-2022/" </w:instrText>
      </w:r>
      <w:r w:rsidR="00392EBB">
        <w:fldChar w:fldCharType="separate"/>
      </w:r>
      <w:r w:rsidRPr="0046269B">
        <w:rPr>
          <w:rStyle w:val="Lienhypertexte"/>
          <w:sz w:val="10"/>
          <w:szCs w:val="10"/>
          <w:lang w:val="en-GB"/>
        </w:rPr>
        <w:t>Research and Development in Sweden 2022 (scb.se)</w:t>
      </w:r>
      <w:r w:rsidR="00392EBB">
        <w:rPr>
          <w:rStyle w:val="Lienhypertexte"/>
          <w:sz w:val="10"/>
          <w:szCs w:val="10"/>
          <w:lang w:val="en-GB"/>
        </w:rPr>
        <w:fldChar w:fldCharType="end"/>
      </w:r>
    </w:p>
  </w:footnote>
  <w:footnote w:id="6">
    <w:p w14:paraId="52CD4F3F" w14:textId="431305C0" w:rsidR="00411DDB" w:rsidRPr="00185E6A" w:rsidRDefault="00411DDB" w:rsidP="00BC23B4">
      <w:pPr>
        <w:pStyle w:val="Notedebasdepage"/>
        <w:rPr>
          <w:sz w:val="10"/>
          <w:szCs w:val="10"/>
        </w:rPr>
      </w:pPr>
      <w:r w:rsidRPr="00185E6A">
        <w:rPr>
          <w:rStyle w:val="Appelnotedebasdep"/>
          <w:sz w:val="10"/>
          <w:szCs w:val="10"/>
        </w:rPr>
        <w:footnoteRef/>
      </w:r>
      <w:r w:rsidRPr="00185E6A">
        <w:rPr>
          <w:sz w:val="10"/>
          <w:szCs w:val="10"/>
        </w:rPr>
        <w:t xml:space="preserve"> </w:t>
      </w:r>
      <w:hyperlink r:id="rId1" w:history="1">
        <w:proofErr w:type="spellStart"/>
        <w:r w:rsidR="0060493E" w:rsidRPr="00185E6A">
          <w:rPr>
            <w:rStyle w:val="Lienhypertexte"/>
            <w:sz w:val="10"/>
            <w:szCs w:val="10"/>
          </w:rPr>
          <w:t>Statistics</w:t>
        </w:r>
        <w:proofErr w:type="spellEnd"/>
        <w:r w:rsidR="0060493E" w:rsidRPr="00185E6A">
          <w:rPr>
            <w:rStyle w:val="Lienhypertexte"/>
            <w:sz w:val="10"/>
            <w:szCs w:val="10"/>
          </w:rPr>
          <w:t xml:space="preserve"> | Eurostat (europa.eu)</w:t>
        </w:r>
      </w:hyperlink>
      <w:r w:rsidR="0060493E" w:rsidRPr="00185E6A">
        <w:rPr>
          <w:sz w:val="10"/>
          <w:szCs w:val="10"/>
        </w:rPr>
        <w:t xml:space="preserve"> </w:t>
      </w:r>
    </w:p>
  </w:footnote>
  <w:footnote w:id="7">
    <w:p w14:paraId="2E07F7B9" w14:textId="77777777" w:rsidR="00317163" w:rsidRPr="00185E6A" w:rsidRDefault="00317163" w:rsidP="00317163">
      <w:pPr>
        <w:pStyle w:val="Notedebasdepage"/>
        <w:rPr>
          <w:sz w:val="10"/>
          <w:szCs w:val="10"/>
        </w:rPr>
      </w:pPr>
      <w:r w:rsidRPr="00185E6A">
        <w:rPr>
          <w:rStyle w:val="Appelnotedebasdep"/>
          <w:sz w:val="10"/>
          <w:szCs w:val="10"/>
        </w:rPr>
        <w:footnoteRef/>
      </w:r>
      <w:r w:rsidRPr="00185E6A">
        <w:rPr>
          <w:sz w:val="10"/>
          <w:szCs w:val="10"/>
        </w:rPr>
        <w:t xml:space="preserve"> https://www.riksbank.se/sv/statistik/rantor-och-valutakurser/styrranta-in--och-utlaningsranta/</w:t>
      </w:r>
    </w:p>
  </w:footnote>
  <w:footnote w:id="8">
    <w:p w14:paraId="232F8CF5" w14:textId="2102CA52" w:rsidR="00AE4C73" w:rsidRDefault="00AE4C73">
      <w:pPr>
        <w:pStyle w:val="Notedebasdepage"/>
      </w:pPr>
      <w:r w:rsidRPr="00185E6A">
        <w:rPr>
          <w:rStyle w:val="Appelnotedebasdep"/>
          <w:sz w:val="10"/>
          <w:szCs w:val="10"/>
        </w:rPr>
        <w:footnoteRef/>
      </w:r>
      <w:r w:rsidRPr="00185E6A">
        <w:rPr>
          <w:sz w:val="10"/>
          <w:szCs w:val="10"/>
        </w:rPr>
        <w:t xml:space="preserve"> </w:t>
      </w:r>
      <w:hyperlink r:id="rId2" w:history="1">
        <w:r w:rsidR="00B81C5C" w:rsidRPr="00185E6A">
          <w:rPr>
            <w:rStyle w:val="Lienhypertexte"/>
            <w:sz w:val="10"/>
            <w:szCs w:val="10"/>
          </w:rPr>
          <w:t>https://www.mi.se/app/uploads/loneutvecklingen-i-sverige-tom-februari-2023.pdf</w:t>
        </w:r>
      </w:hyperlink>
      <w:r w:rsidR="00B81C5C" w:rsidRPr="00185E6A">
        <w:rPr>
          <w:sz w:val="10"/>
          <w:szCs w:val="10"/>
        </w:rPr>
        <w:t xml:space="preserve"> page 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626"/>
    <w:multiLevelType w:val="hybridMultilevel"/>
    <w:tmpl w:val="167E1E8A"/>
    <w:lvl w:ilvl="0" w:tplc="1F961EDC">
      <w:start w:val="1"/>
      <w:numFmt w:val="bullet"/>
      <w:pStyle w:val="Briefinglis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12425"/>
    <w:multiLevelType w:val="hybridMultilevel"/>
    <w:tmpl w:val="B1E2D506"/>
    <w:lvl w:ilvl="0" w:tplc="F042DB82">
      <w:start w:val="2"/>
      <w:numFmt w:val="upperRoman"/>
      <w:lvlText w:val="%1."/>
      <w:lvlJc w:val="left"/>
      <w:pPr>
        <w:ind w:left="441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B21DD2">
      <w:start w:val="1"/>
      <w:numFmt w:val="lowerLetter"/>
      <w:lvlText w:val="%2"/>
      <w:lvlJc w:val="left"/>
      <w:pPr>
        <w:ind w:left="123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2401D8">
      <w:start w:val="1"/>
      <w:numFmt w:val="lowerRoman"/>
      <w:lvlText w:val="%3"/>
      <w:lvlJc w:val="left"/>
      <w:pPr>
        <w:ind w:left="195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E0AA8">
      <w:start w:val="1"/>
      <w:numFmt w:val="decimal"/>
      <w:lvlText w:val="%4"/>
      <w:lvlJc w:val="left"/>
      <w:pPr>
        <w:ind w:left="267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C2960">
      <w:start w:val="1"/>
      <w:numFmt w:val="lowerLetter"/>
      <w:lvlText w:val="%5"/>
      <w:lvlJc w:val="left"/>
      <w:pPr>
        <w:ind w:left="339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CE21A">
      <w:start w:val="1"/>
      <w:numFmt w:val="lowerRoman"/>
      <w:lvlText w:val="%6"/>
      <w:lvlJc w:val="left"/>
      <w:pPr>
        <w:ind w:left="411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1CC710">
      <w:start w:val="1"/>
      <w:numFmt w:val="decimal"/>
      <w:lvlText w:val="%7"/>
      <w:lvlJc w:val="left"/>
      <w:pPr>
        <w:ind w:left="483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BE1950">
      <w:start w:val="1"/>
      <w:numFmt w:val="lowerLetter"/>
      <w:lvlText w:val="%8"/>
      <w:lvlJc w:val="left"/>
      <w:pPr>
        <w:ind w:left="555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20820A">
      <w:start w:val="1"/>
      <w:numFmt w:val="lowerRoman"/>
      <w:lvlText w:val="%9"/>
      <w:lvlJc w:val="left"/>
      <w:pPr>
        <w:ind w:left="6270"/>
      </w:pPr>
      <w:rPr>
        <w:rFonts w:ascii="Segoe UI" w:eastAsia="Segoe UI" w:hAnsi="Segoe UI" w:cs="Segoe UI"/>
        <w:b w:val="0"/>
        <w:i w:val="0"/>
        <w:strike w:val="0"/>
        <w:dstrike w:val="0"/>
        <w:color w:val="FFFF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0F15E7"/>
    <w:multiLevelType w:val="hybridMultilevel"/>
    <w:tmpl w:val="0C069570"/>
    <w:lvl w:ilvl="0" w:tplc="7E82C938">
      <w:start w:val="1"/>
      <w:numFmt w:val="bullet"/>
      <w:lvlText w:val="-"/>
      <w:lvlJc w:val="left"/>
      <w:pPr>
        <w:ind w:left="35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62324">
      <w:start w:val="1"/>
      <w:numFmt w:val="bullet"/>
      <w:lvlText w:val="o"/>
      <w:lvlJc w:val="left"/>
      <w:pPr>
        <w:ind w:left="115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DCED0C">
      <w:start w:val="1"/>
      <w:numFmt w:val="bullet"/>
      <w:lvlText w:val="▪"/>
      <w:lvlJc w:val="left"/>
      <w:pPr>
        <w:ind w:left="187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8F814">
      <w:start w:val="1"/>
      <w:numFmt w:val="bullet"/>
      <w:lvlText w:val="•"/>
      <w:lvlJc w:val="left"/>
      <w:pPr>
        <w:ind w:left="25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5C6C34">
      <w:start w:val="1"/>
      <w:numFmt w:val="bullet"/>
      <w:lvlText w:val="o"/>
      <w:lvlJc w:val="left"/>
      <w:pPr>
        <w:ind w:left="33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023F7A">
      <w:start w:val="1"/>
      <w:numFmt w:val="bullet"/>
      <w:lvlText w:val="▪"/>
      <w:lvlJc w:val="left"/>
      <w:pPr>
        <w:ind w:left="403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F8DFFC">
      <w:start w:val="1"/>
      <w:numFmt w:val="bullet"/>
      <w:lvlText w:val="•"/>
      <w:lvlJc w:val="left"/>
      <w:pPr>
        <w:ind w:left="475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70CFDE">
      <w:start w:val="1"/>
      <w:numFmt w:val="bullet"/>
      <w:lvlText w:val="o"/>
      <w:lvlJc w:val="left"/>
      <w:pPr>
        <w:ind w:left="547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8CDCA">
      <w:start w:val="1"/>
      <w:numFmt w:val="bullet"/>
      <w:lvlText w:val="▪"/>
      <w:lvlJc w:val="left"/>
      <w:pPr>
        <w:ind w:left="619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24"/>
    <w:rsid w:val="0000289A"/>
    <w:rsid w:val="00003FAC"/>
    <w:rsid w:val="0000537E"/>
    <w:rsid w:val="000069D4"/>
    <w:rsid w:val="00010266"/>
    <w:rsid w:val="00027760"/>
    <w:rsid w:val="000303B8"/>
    <w:rsid w:val="00031181"/>
    <w:rsid w:val="00033C63"/>
    <w:rsid w:val="000410A3"/>
    <w:rsid w:val="00045B9B"/>
    <w:rsid w:val="00047AC7"/>
    <w:rsid w:val="00053804"/>
    <w:rsid w:val="00053A73"/>
    <w:rsid w:val="00070109"/>
    <w:rsid w:val="00070370"/>
    <w:rsid w:val="000748A7"/>
    <w:rsid w:val="000748FF"/>
    <w:rsid w:val="00076C31"/>
    <w:rsid w:val="000863F9"/>
    <w:rsid w:val="00093010"/>
    <w:rsid w:val="000948D3"/>
    <w:rsid w:val="000A0767"/>
    <w:rsid w:val="000A24B2"/>
    <w:rsid w:val="000A6354"/>
    <w:rsid w:val="000B0C26"/>
    <w:rsid w:val="000B5E16"/>
    <w:rsid w:val="000C2165"/>
    <w:rsid w:val="000D55A0"/>
    <w:rsid w:val="000E2673"/>
    <w:rsid w:val="000E6CB3"/>
    <w:rsid w:val="000F3E3F"/>
    <w:rsid w:val="000F4D5D"/>
    <w:rsid w:val="000F69FD"/>
    <w:rsid w:val="000F7A0D"/>
    <w:rsid w:val="000F7AB3"/>
    <w:rsid w:val="00100778"/>
    <w:rsid w:val="00101687"/>
    <w:rsid w:val="00101868"/>
    <w:rsid w:val="00101D4F"/>
    <w:rsid w:val="0010594C"/>
    <w:rsid w:val="00106B30"/>
    <w:rsid w:val="001115A0"/>
    <w:rsid w:val="00113348"/>
    <w:rsid w:val="00113484"/>
    <w:rsid w:val="0012574E"/>
    <w:rsid w:val="00131338"/>
    <w:rsid w:val="001344F2"/>
    <w:rsid w:val="00136E69"/>
    <w:rsid w:val="001438E1"/>
    <w:rsid w:val="00145D1A"/>
    <w:rsid w:val="00146D22"/>
    <w:rsid w:val="0015160E"/>
    <w:rsid w:val="00153638"/>
    <w:rsid w:val="0015468D"/>
    <w:rsid w:val="001578C6"/>
    <w:rsid w:val="00164C2B"/>
    <w:rsid w:val="00165CC8"/>
    <w:rsid w:val="001677F9"/>
    <w:rsid w:val="00167BA6"/>
    <w:rsid w:val="00172CCC"/>
    <w:rsid w:val="001741B4"/>
    <w:rsid w:val="00176418"/>
    <w:rsid w:val="001778AF"/>
    <w:rsid w:val="00183750"/>
    <w:rsid w:val="00185E6A"/>
    <w:rsid w:val="00187632"/>
    <w:rsid w:val="00190304"/>
    <w:rsid w:val="00190487"/>
    <w:rsid w:val="001A226B"/>
    <w:rsid w:val="001A37E2"/>
    <w:rsid w:val="001B1AC0"/>
    <w:rsid w:val="001B2271"/>
    <w:rsid w:val="001B44A5"/>
    <w:rsid w:val="001C051E"/>
    <w:rsid w:val="001C1D4D"/>
    <w:rsid w:val="001C1FF2"/>
    <w:rsid w:val="001C5166"/>
    <w:rsid w:val="001C6F57"/>
    <w:rsid w:val="001D04E5"/>
    <w:rsid w:val="001D2693"/>
    <w:rsid w:val="001D4857"/>
    <w:rsid w:val="001D54EF"/>
    <w:rsid w:val="001E4143"/>
    <w:rsid w:val="001E4BBC"/>
    <w:rsid w:val="001E5734"/>
    <w:rsid w:val="001E7F48"/>
    <w:rsid w:val="001F24A7"/>
    <w:rsid w:val="001F444E"/>
    <w:rsid w:val="00201718"/>
    <w:rsid w:val="0020670E"/>
    <w:rsid w:val="0021517A"/>
    <w:rsid w:val="00224AD0"/>
    <w:rsid w:val="00225D98"/>
    <w:rsid w:val="00230E10"/>
    <w:rsid w:val="00231035"/>
    <w:rsid w:val="00234FE3"/>
    <w:rsid w:val="00235AA6"/>
    <w:rsid w:val="00237264"/>
    <w:rsid w:val="00241446"/>
    <w:rsid w:val="00241565"/>
    <w:rsid w:val="00251AB2"/>
    <w:rsid w:val="00252E33"/>
    <w:rsid w:val="002531A1"/>
    <w:rsid w:val="0026055F"/>
    <w:rsid w:val="0026297D"/>
    <w:rsid w:val="0026332D"/>
    <w:rsid w:val="00265C73"/>
    <w:rsid w:val="00276AB7"/>
    <w:rsid w:val="00281457"/>
    <w:rsid w:val="002815B2"/>
    <w:rsid w:val="00281744"/>
    <w:rsid w:val="00283F2B"/>
    <w:rsid w:val="00284DDD"/>
    <w:rsid w:val="00290CC3"/>
    <w:rsid w:val="002961DD"/>
    <w:rsid w:val="00297039"/>
    <w:rsid w:val="002A0908"/>
    <w:rsid w:val="002A614D"/>
    <w:rsid w:val="002B28EB"/>
    <w:rsid w:val="002B362F"/>
    <w:rsid w:val="002C6757"/>
    <w:rsid w:val="002D01F0"/>
    <w:rsid w:val="002D4366"/>
    <w:rsid w:val="002D6460"/>
    <w:rsid w:val="002D749A"/>
    <w:rsid w:val="002D79BC"/>
    <w:rsid w:val="002E2127"/>
    <w:rsid w:val="002E43EB"/>
    <w:rsid w:val="00301582"/>
    <w:rsid w:val="00301F94"/>
    <w:rsid w:val="003020DD"/>
    <w:rsid w:val="003030D3"/>
    <w:rsid w:val="0030454F"/>
    <w:rsid w:val="00304FDD"/>
    <w:rsid w:val="00304FFD"/>
    <w:rsid w:val="00305B0F"/>
    <w:rsid w:val="0030765B"/>
    <w:rsid w:val="00312D24"/>
    <w:rsid w:val="00314544"/>
    <w:rsid w:val="00314BC0"/>
    <w:rsid w:val="0031600D"/>
    <w:rsid w:val="00317163"/>
    <w:rsid w:val="003267E8"/>
    <w:rsid w:val="00330620"/>
    <w:rsid w:val="00333294"/>
    <w:rsid w:val="003342BE"/>
    <w:rsid w:val="0033661F"/>
    <w:rsid w:val="00342096"/>
    <w:rsid w:val="00342CC4"/>
    <w:rsid w:val="0034355A"/>
    <w:rsid w:val="00347367"/>
    <w:rsid w:val="0034739D"/>
    <w:rsid w:val="00356CCF"/>
    <w:rsid w:val="00357234"/>
    <w:rsid w:val="00367FFE"/>
    <w:rsid w:val="00370443"/>
    <w:rsid w:val="003731F9"/>
    <w:rsid w:val="0037382D"/>
    <w:rsid w:val="00380E6A"/>
    <w:rsid w:val="00384D06"/>
    <w:rsid w:val="00387055"/>
    <w:rsid w:val="00391E67"/>
    <w:rsid w:val="00392EBB"/>
    <w:rsid w:val="003A1289"/>
    <w:rsid w:val="003B1178"/>
    <w:rsid w:val="003B4382"/>
    <w:rsid w:val="003B4625"/>
    <w:rsid w:val="003B5BA5"/>
    <w:rsid w:val="003C4DE0"/>
    <w:rsid w:val="003C4FEC"/>
    <w:rsid w:val="003C5132"/>
    <w:rsid w:val="003C6192"/>
    <w:rsid w:val="003E01C4"/>
    <w:rsid w:val="003E26D9"/>
    <w:rsid w:val="003E6725"/>
    <w:rsid w:val="003E6A51"/>
    <w:rsid w:val="003F09AA"/>
    <w:rsid w:val="003F3ECB"/>
    <w:rsid w:val="003F6D27"/>
    <w:rsid w:val="003F6E43"/>
    <w:rsid w:val="00400BF9"/>
    <w:rsid w:val="00404A33"/>
    <w:rsid w:val="00411DDB"/>
    <w:rsid w:val="00424C9C"/>
    <w:rsid w:val="00425645"/>
    <w:rsid w:val="00432ABA"/>
    <w:rsid w:val="00432F2A"/>
    <w:rsid w:val="004362B3"/>
    <w:rsid w:val="00442872"/>
    <w:rsid w:val="0044287A"/>
    <w:rsid w:val="00442BCA"/>
    <w:rsid w:val="00450EB6"/>
    <w:rsid w:val="0045114B"/>
    <w:rsid w:val="00451D49"/>
    <w:rsid w:val="004522D2"/>
    <w:rsid w:val="0046269B"/>
    <w:rsid w:val="00463CF0"/>
    <w:rsid w:val="0046580E"/>
    <w:rsid w:val="004709A3"/>
    <w:rsid w:val="0047249F"/>
    <w:rsid w:val="00482BAB"/>
    <w:rsid w:val="0048477D"/>
    <w:rsid w:val="00484A98"/>
    <w:rsid w:val="0048633B"/>
    <w:rsid w:val="00494EDE"/>
    <w:rsid w:val="00494EDF"/>
    <w:rsid w:val="004A23C5"/>
    <w:rsid w:val="004A7660"/>
    <w:rsid w:val="004B006D"/>
    <w:rsid w:val="004B2E23"/>
    <w:rsid w:val="004C33B9"/>
    <w:rsid w:val="004C556A"/>
    <w:rsid w:val="004C5851"/>
    <w:rsid w:val="004D11E1"/>
    <w:rsid w:val="004D4B81"/>
    <w:rsid w:val="004E218F"/>
    <w:rsid w:val="004E2A78"/>
    <w:rsid w:val="004F5DC6"/>
    <w:rsid w:val="00503043"/>
    <w:rsid w:val="0050660A"/>
    <w:rsid w:val="005120FB"/>
    <w:rsid w:val="005129F8"/>
    <w:rsid w:val="00520FD6"/>
    <w:rsid w:val="00522E98"/>
    <w:rsid w:val="00534B67"/>
    <w:rsid w:val="00536123"/>
    <w:rsid w:val="00542714"/>
    <w:rsid w:val="005448DC"/>
    <w:rsid w:val="00545B8F"/>
    <w:rsid w:val="005548A2"/>
    <w:rsid w:val="00554EB1"/>
    <w:rsid w:val="005607C2"/>
    <w:rsid w:val="00563FA2"/>
    <w:rsid w:val="00574C1C"/>
    <w:rsid w:val="0057780F"/>
    <w:rsid w:val="00581989"/>
    <w:rsid w:val="00585F1E"/>
    <w:rsid w:val="00587BD0"/>
    <w:rsid w:val="00587FF3"/>
    <w:rsid w:val="005A2118"/>
    <w:rsid w:val="005A7A40"/>
    <w:rsid w:val="005A7E0B"/>
    <w:rsid w:val="005B1C08"/>
    <w:rsid w:val="005B41E1"/>
    <w:rsid w:val="005B6D89"/>
    <w:rsid w:val="005B7A07"/>
    <w:rsid w:val="005C021C"/>
    <w:rsid w:val="005C429A"/>
    <w:rsid w:val="005D29FC"/>
    <w:rsid w:val="005E0722"/>
    <w:rsid w:val="005E1368"/>
    <w:rsid w:val="005E186E"/>
    <w:rsid w:val="005E71EA"/>
    <w:rsid w:val="005F1031"/>
    <w:rsid w:val="005F7D5F"/>
    <w:rsid w:val="00601590"/>
    <w:rsid w:val="0060493E"/>
    <w:rsid w:val="00612700"/>
    <w:rsid w:val="0061556C"/>
    <w:rsid w:val="006211C3"/>
    <w:rsid w:val="00625A27"/>
    <w:rsid w:val="00627E04"/>
    <w:rsid w:val="00632C10"/>
    <w:rsid w:val="00637CB7"/>
    <w:rsid w:val="00646BAC"/>
    <w:rsid w:val="00650030"/>
    <w:rsid w:val="00660D13"/>
    <w:rsid w:val="0067008F"/>
    <w:rsid w:val="006712A4"/>
    <w:rsid w:val="00672C76"/>
    <w:rsid w:val="0068226C"/>
    <w:rsid w:val="006832DC"/>
    <w:rsid w:val="0068429E"/>
    <w:rsid w:val="00694C1D"/>
    <w:rsid w:val="00697A7A"/>
    <w:rsid w:val="006A0CF5"/>
    <w:rsid w:val="006A2681"/>
    <w:rsid w:val="006A2878"/>
    <w:rsid w:val="006A32C7"/>
    <w:rsid w:val="006A4527"/>
    <w:rsid w:val="006A6960"/>
    <w:rsid w:val="006B0DBC"/>
    <w:rsid w:val="006B40DB"/>
    <w:rsid w:val="006B6F24"/>
    <w:rsid w:val="006C3738"/>
    <w:rsid w:val="006D23D6"/>
    <w:rsid w:val="006D3CE5"/>
    <w:rsid w:val="006D3EFA"/>
    <w:rsid w:val="006E5AE9"/>
    <w:rsid w:val="006E690A"/>
    <w:rsid w:val="006E7E8E"/>
    <w:rsid w:val="006F07F9"/>
    <w:rsid w:val="006F105A"/>
    <w:rsid w:val="006F30D9"/>
    <w:rsid w:val="006F5B7A"/>
    <w:rsid w:val="006F6A25"/>
    <w:rsid w:val="006F7205"/>
    <w:rsid w:val="007018C1"/>
    <w:rsid w:val="0070418B"/>
    <w:rsid w:val="00712058"/>
    <w:rsid w:val="00717275"/>
    <w:rsid w:val="00723AB0"/>
    <w:rsid w:val="00737BF8"/>
    <w:rsid w:val="00741198"/>
    <w:rsid w:val="00742D20"/>
    <w:rsid w:val="00756D72"/>
    <w:rsid w:val="00763019"/>
    <w:rsid w:val="00766658"/>
    <w:rsid w:val="00772141"/>
    <w:rsid w:val="00776E77"/>
    <w:rsid w:val="00785DAF"/>
    <w:rsid w:val="00796083"/>
    <w:rsid w:val="00796194"/>
    <w:rsid w:val="0079780E"/>
    <w:rsid w:val="007B1C3E"/>
    <w:rsid w:val="007B3CFB"/>
    <w:rsid w:val="007B50CC"/>
    <w:rsid w:val="007C1965"/>
    <w:rsid w:val="007C2E95"/>
    <w:rsid w:val="007C5852"/>
    <w:rsid w:val="007D0A95"/>
    <w:rsid w:val="007D181F"/>
    <w:rsid w:val="007E1730"/>
    <w:rsid w:val="007F50FB"/>
    <w:rsid w:val="0080056E"/>
    <w:rsid w:val="008117C5"/>
    <w:rsid w:val="00812EAB"/>
    <w:rsid w:val="00815047"/>
    <w:rsid w:val="008206F9"/>
    <w:rsid w:val="00826F6C"/>
    <w:rsid w:val="00834806"/>
    <w:rsid w:val="008514F2"/>
    <w:rsid w:val="00861CCA"/>
    <w:rsid w:val="00863A3B"/>
    <w:rsid w:val="00871A0E"/>
    <w:rsid w:val="008763F3"/>
    <w:rsid w:val="00887936"/>
    <w:rsid w:val="00892565"/>
    <w:rsid w:val="00894A24"/>
    <w:rsid w:val="00897E62"/>
    <w:rsid w:val="008A0721"/>
    <w:rsid w:val="008A3E25"/>
    <w:rsid w:val="008B0CE6"/>
    <w:rsid w:val="008B67AA"/>
    <w:rsid w:val="008B7032"/>
    <w:rsid w:val="008C0C6A"/>
    <w:rsid w:val="008C29D5"/>
    <w:rsid w:val="008C3342"/>
    <w:rsid w:val="008C3354"/>
    <w:rsid w:val="008C6AB4"/>
    <w:rsid w:val="008C79EA"/>
    <w:rsid w:val="008D29A7"/>
    <w:rsid w:val="008E1289"/>
    <w:rsid w:val="008F30A9"/>
    <w:rsid w:val="008F3CBD"/>
    <w:rsid w:val="008F4DBC"/>
    <w:rsid w:val="00901CD1"/>
    <w:rsid w:val="00902AF8"/>
    <w:rsid w:val="00903AAC"/>
    <w:rsid w:val="0090574B"/>
    <w:rsid w:val="0091759A"/>
    <w:rsid w:val="00923A6A"/>
    <w:rsid w:val="00926219"/>
    <w:rsid w:val="00940F99"/>
    <w:rsid w:val="00945C44"/>
    <w:rsid w:val="0095317F"/>
    <w:rsid w:val="00961B3D"/>
    <w:rsid w:val="009622A3"/>
    <w:rsid w:val="00967B34"/>
    <w:rsid w:val="009743E6"/>
    <w:rsid w:val="0097510B"/>
    <w:rsid w:val="00975299"/>
    <w:rsid w:val="0097717D"/>
    <w:rsid w:val="00983355"/>
    <w:rsid w:val="00984071"/>
    <w:rsid w:val="00993C41"/>
    <w:rsid w:val="009A1A05"/>
    <w:rsid w:val="009A3B3D"/>
    <w:rsid w:val="009B4BB8"/>
    <w:rsid w:val="009B52C2"/>
    <w:rsid w:val="009C0F17"/>
    <w:rsid w:val="009C2014"/>
    <w:rsid w:val="009D7732"/>
    <w:rsid w:val="009E3E42"/>
    <w:rsid w:val="009E5538"/>
    <w:rsid w:val="009F1749"/>
    <w:rsid w:val="009F3EC2"/>
    <w:rsid w:val="009F534E"/>
    <w:rsid w:val="00A050FA"/>
    <w:rsid w:val="00A052D7"/>
    <w:rsid w:val="00A06048"/>
    <w:rsid w:val="00A10485"/>
    <w:rsid w:val="00A150EB"/>
    <w:rsid w:val="00A167EB"/>
    <w:rsid w:val="00A16F35"/>
    <w:rsid w:val="00A22ED9"/>
    <w:rsid w:val="00A300B6"/>
    <w:rsid w:val="00A3078A"/>
    <w:rsid w:val="00A30D4E"/>
    <w:rsid w:val="00A403BA"/>
    <w:rsid w:val="00A42C1C"/>
    <w:rsid w:val="00A4605E"/>
    <w:rsid w:val="00A46CF1"/>
    <w:rsid w:val="00A4758E"/>
    <w:rsid w:val="00A47768"/>
    <w:rsid w:val="00A54D45"/>
    <w:rsid w:val="00A628F4"/>
    <w:rsid w:val="00A64714"/>
    <w:rsid w:val="00A67DC0"/>
    <w:rsid w:val="00A716C7"/>
    <w:rsid w:val="00A74E74"/>
    <w:rsid w:val="00A7628D"/>
    <w:rsid w:val="00A81545"/>
    <w:rsid w:val="00A855FC"/>
    <w:rsid w:val="00A85D8E"/>
    <w:rsid w:val="00A86D41"/>
    <w:rsid w:val="00A9598C"/>
    <w:rsid w:val="00AA2315"/>
    <w:rsid w:val="00AA57DD"/>
    <w:rsid w:val="00AA5AFB"/>
    <w:rsid w:val="00AB40D6"/>
    <w:rsid w:val="00AB4361"/>
    <w:rsid w:val="00AB462D"/>
    <w:rsid w:val="00AB7FD0"/>
    <w:rsid w:val="00AC2001"/>
    <w:rsid w:val="00AC57C9"/>
    <w:rsid w:val="00AD128A"/>
    <w:rsid w:val="00AD74D7"/>
    <w:rsid w:val="00AE1F7E"/>
    <w:rsid w:val="00AE4C73"/>
    <w:rsid w:val="00AE7D90"/>
    <w:rsid w:val="00AF05B2"/>
    <w:rsid w:val="00AF09AD"/>
    <w:rsid w:val="00AF471E"/>
    <w:rsid w:val="00AF5968"/>
    <w:rsid w:val="00AF60D0"/>
    <w:rsid w:val="00B1148B"/>
    <w:rsid w:val="00B13404"/>
    <w:rsid w:val="00B224A2"/>
    <w:rsid w:val="00B22A57"/>
    <w:rsid w:val="00B247C1"/>
    <w:rsid w:val="00B26C43"/>
    <w:rsid w:val="00B26F10"/>
    <w:rsid w:val="00B27564"/>
    <w:rsid w:val="00B354E6"/>
    <w:rsid w:val="00B54EBF"/>
    <w:rsid w:val="00B6168F"/>
    <w:rsid w:val="00B653B1"/>
    <w:rsid w:val="00B658FB"/>
    <w:rsid w:val="00B6799B"/>
    <w:rsid w:val="00B70E0A"/>
    <w:rsid w:val="00B74B04"/>
    <w:rsid w:val="00B76722"/>
    <w:rsid w:val="00B76C1E"/>
    <w:rsid w:val="00B77568"/>
    <w:rsid w:val="00B80BFE"/>
    <w:rsid w:val="00B81C5C"/>
    <w:rsid w:val="00B84DFF"/>
    <w:rsid w:val="00B85150"/>
    <w:rsid w:val="00B9067E"/>
    <w:rsid w:val="00B94C12"/>
    <w:rsid w:val="00B96DB6"/>
    <w:rsid w:val="00BA38A9"/>
    <w:rsid w:val="00BB709E"/>
    <w:rsid w:val="00BC1150"/>
    <w:rsid w:val="00BC23B4"/>
    <w:rsid w:val="00BC56E6"/>
    <w:rsid w:val="00BD061A"/>
    <w:rsid w:val="00BD0A88"/>
    <w:rsid w:val="00BD1363"/>
    <w:rsid w:val="00BD1464"/>
    <w:rsid w:val="00BD3A79"/>
    <w:rsid w:val="00BE06B5"/>
    <w:rsid w:val="00BF16F0"/>
    <w:rsid w:val="00BF54A9"/>
    <w:rsid w:val="00C00BD7"/>
    <w:rsid w:val="00C02C66"/>
    <w:rsid w:val="00C06DC5"/>
    <w:rsid w:val="00C13842"/>
    <w:rsid w:val="00C15F7D"/>
    <w:rsid w:val="00C17E97"/>
    <w:rsid w:val="00C21C11"/>
    <w:rsid w:val="00C3184E"/>
    <w:rsid w:val="00C3311F"/>
    <w:rsid w:val="00C34587"/>
    <w:rsid w:val="00C3648F"/>
    <w:rsid w:val="00C406E2"/>
    <w:rsid w:val="00C463E1"/>
    <w:rsid w:val="00C47911"/>
    <w:rsid w:val="00C53BD9"/>
    <w:rsid w:val="00C566D0"/>
    <w:rsid w:val="00C56CD0"/>
    <w:rsid w:val="00C57676"/>
    <w:rsid w:val="00C60237"/>
    <w:rsid w:val="00C610F8"/>
    <w:rsid w:val="00C61BB3"/>
    <w:rsid w:val="00C62655"/>
    <w:rsid w:val="00C66136"/>
    <w:rsid w:val="00C67914"/>
    <w:rsid w:val="00C750DC"/>
    <w:rsid w:val="00C812BA"/>
    <w:rsid w:val="00C84B76"/>
    <w:rsid w:val="00C85D6F"/>
    <w:rsid w:val="00C936F1"/>
    <w:rsid w:val="00C967BE"/>
    <w:rsid w:val="00CA1C7C"/>
    <w:rsid w:val="00CA2156"/>
    <w:rsid w:val="00CA460C"/>
    <w:rsid w:val="00CB4530"/>
    <w:rsid w:val="00CB639F"/>
    <w:rsid w:val="00CC3A19"/>
    <w:rsid w:val="00CC74CD"/>
    <w:rsid w:val="00CD7BCF"/>
    <w:rsid w:val="00CE5EB1"/>
    <w:rsid w:val="00CE78B0"/>
    <w:rsid w:val="00CF0682"/>
    <w:rsid w:val="00CF65AC"/>
    <w:rsid w:val="00D42786"/>
    <w:rsid w:val="00D56217"/>
    <w:rsid w:val="00D61984"/>
    <w:rsid w:val="00D627A5"/>
    <w:rsid w:val="00D6397E"/>
    <w:rsid w:val="00D66E21"/>
    <w:rsid w:val="00D722D1"/>
    <w:rsid w:val="00D745B4"/>
    <w:rsid w:val="00D75817"/>
    <w:rsid w:val="00D80979"/>
    <w:rsid w:val="00D819A8"/>
    <w:rsid w:val="00D8343D"/>
    <w:rsid w:val="00D868E5"/>
    <w:rsid w:val="00D90E32"/>
    <w:rsid w:val="00D917C3"/>
    <w:rsid w:val="00D921C2"/>
    <w:rsid w:val="00DA2FDD"/>
    <w:rsid w:val="00DA3F34"/>
    <w:rsid w:val="00DA70F5"/>
    <w:rsid w:val="00DB06A8"/>
    <w:rsid w:val="00DB3271"/>
    <w:rsid w:val="00DB5CD9"/>
    <w:rsid w:val="00DC6654"/>
    <w:rsid w:val="00DD4324"/>
    <w:rsid w:val="00DD6F92"/>
    <w:rsid w:val="00DE3552"/>
    <w:rsid w:val="00DE6CD0"/>
    <w:rsid w:val="00DF20A8"/>
    <w:rsid w:val="00DF4226"/>
    <w:rsid w:val="00DF58E3"/>
    <w:rsid w:val="00DF6AE8"/>
    <w:rsid w:val="00E018F2"/>
    <w:rsid w:val="00E041FE"/>
    <w:rsid w:val="00E0545C"/>
    <w:rsid w:val="00E07360"/>
    <w:rsid w:val="00E11F70"/>
    <w:rsid w:val="00E13B25"/>
    <w:rsid w:val="00E16D27"/>
    <w:rsid w:val="00E1752A"/>
    <w:rsid w:val="00E17D95"/>
    <w:rsid w:val="00E20584"/>
    <w:rsid w:val="00E20C62"/>
    <w:rsid w:val="00E20F52"/>
    <w:rsid w:val="00E23E00"/>
    <w:rsid w:val="00E26297"/>
    <w:rsid w:val="00E26B5E"/>
    <w:rsid w:val="00E27AA6"/>
    <w:rsid w:val="00E3377F"/>
    <w:rsid w:val="00E363B4"/>
    <w:rsid w:val="00E3776E"/>
    <w:rsid w:val="00E44462"/>
    <w:rsid w:val="00E461E3"/>
    <w:rsid w:val="00E473F6"/>
    <w:rsid w:val="00E50264"/>
    <w:rsid w:val="00E5042B"/>
    <w:rsid w:val="00E509C3"/>
    <w:rsid w:val="00E62DD9"/>
    <w:rsid w:val="00E65572"/>
    <w:rsid w:val="00E6712C"/>
    <w:rsid w:val="00E67DE6"/>
    <w:rsid w:val="00E82AD5"/>
    <w:rsid w:val="00E91705"/>
    <w:rsid w:val="00EA63D1"/>
    <w:rsid w:val="00EB07E1"/>
    <w:rsid w:val="00EB4B04"/>
    <w:rsid w:val="00EB5846"/>
    <w:rsid w:val="00EB65E8"/>
    <w:rsid w:val="00EC28B4"/>
    <w:rsid w:val="00EC4A82"/>
    <w:rsid w:val="00EC500B"/>
    <w:rsid w:val="00ED0050"/>
    <w:rsid w:val="00ED2A33"/>
    <w:rsid w:val="00ED631A"/>
    <w:rsid w:val="00ED72DE"/>
    <w:rsid w:val="00ED7B5B"/>
    <w:rsid w:val="00ED7DC5"/>
    <w:rsid w:val="00EE217F"/>
    <w:rsid w:val="00EE3921"/>
    <w:rsid w:val="00EF3ED2"/>
    <w:rsid w:val="00EF4D40"/>
    <w:rsid w:val="00F01972"/>
    <w:rsid w:val="00F05F32"/>
    <w:rsid w:val="00F1166A"/>
    <w:rsid w:val="00F142C1"/>
    <w:rsid w:val="00F16B7C"/>
    <w:rsid w:val="00F17FC2"/>
    <w:rsid w:val="00F21759"/>
    <w:rsid w:val="00F22E05"/>
    <w:rsid w:val="00F2610F"/>
    <w:rsid w:val="00F2655C"/>
    <w:rsid w:val="00F267B9"/>
    <w:rsid w:val="00F268A4"/>
    <w:rsid w:val="00F31003"/>
    <w:rsid w:val="00F320A5"/>
    <w:rsid w:val="00F32B06"/>
    <w:rsid w:val="00F32C9C"/>
    <w:rsid w:val="00F3571A"/>
    <w:rsid w:val="00F3771D"/>
    <w:rsid w:val="00F41232"/>
    <w:rsid w:val="00F4539D"/>
    <w:rsid w:val="00F51714"/>
    <w:rsid w:val="00F520A8"/>
    <w:rsid w:val="00F57148"/>
    <w:rsid w:val="00F63D24"/>
    <w:rsid w:val="00F65B6F"/>
    <w:rsid w:val="00F75539"/>
    <w:rsid w:val="00F779B7"/>
    <w:rsid w:val="00F77B95"/>
    <w:rsid w:val="00F8235D"/>
    <w:rsid w:val="00F839D5"/>
    <w:rsid w:val="00F84079"/>
    <w:rsid w:val="00F87108"/>
    <w:rsid w:val="00F87F7E"/>
    <w:rsid w:val="00F93594"/>
    <w:rsid w:val="00F93A9F"/>
    <w:rsid w:val="00FA5326"/>
    <w:rsid w:val="00FA5AB0"/>
    <w:rsid w:val="00FA5B65"/>
    <w:rsid w:val="00FA6A56"/>
    <w:rsid w:val="00FB2B6E"/>
    <w:rsid w:val="00FB38E6"/>
    <w:rsid w:val="00FC0F9F"/>
    <w:rsid w:val="00FD2304"/>
    <w:rsid w:val="00FD61F4"/>
    <w:rsid w:val="00FD6A0C"/>
    <w:rsid w:val="00FD7969"/>
    <w:rsid w:val="00FE065C"/>
    <w:rsid w:val="00FE0F33"/>
    <w:rsid w:val="00FE28B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674F"/>
  <w15:docId w15:val="{D0079928-176C-46A9-BA54-567AFF20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CA"/>
    <w:pPr>
      <w:spacing w:after="23" w:line="249" w:lineRule="auto"/>
      <w:ind w:left="10" w:right="145" w:hanging="10"/>
      <w:jc w:val="both"/>
    </w:pPr>
    <w:rPr>
      <w:rFonts w:ascii="Segoe UI" w:eastAsia="Segoe UI" w:hAnsi="Segoe UI" w:cs="Segoe U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4"/>
      <w:ind w:right="154"/>
      <w:jc w:val="center"/>
      <w:outlineLvl w:val="0"/>
    </w:pPr>
    <w:rPr>
      <w:rFonts w:ascii="Segoe UI" w:eastAsia="Segoe UI" w:hAnsi="Segoe UI" w:cs="Segoe UI"/>
      <w:color w:val="006CE5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38"/>
      <w:ind w:right="160"/>
      <w:jc w:val="center"/>
      <w:outlineLvl w:val="1"/>
    </w:pPr>
    <w:rPr>
      <w:rFonts w:ascii="Segoe UI" w:eastAsia="Segoe UI" w:hAnsi="Segoe UI" w:cs="Segoe UI"/>
      <w:color w:val="006CE5"/>
      <w:sz w:val="24"/>
      <w:u w:val="single" w:color="006CE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Pr>
      <w:rFonts w:ascii="Segoe UI" w:eastAsia="Segoe UI" w:hAnsi="Segoe UI" w:cs="Segoe UI"/>
      <w:color w:val="006CE5"/>
      <w:sz w:val="24"/>
      <w:u w:val="single" w:color="006CE5"/>
    </w:rPr>
  </w:style>
  <w:style w:type="character" w:customStyle="1" w:styleId="Titre1Car">
    <w:name w:val="Titre 1 Car"/>
    <w:link w:val="Titre1"/>
    <w:rPr>
      <w:rFonts w:ascii="Segoe UI" w:eastAsia="Segoe UI" w:hAnsi="Segoe UI" w:cs="Segoe UI"/>
      <w:color w:val="006CE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ED7B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6F35"/>
    <w:pPr>
      <w:spacing w:after="0"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F35"/>
    <w:rPr>
      <w:rFonts w:ascii="Segoe UI" w:eastAsia="Segoe U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418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418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030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30D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30D3"/>
    <w:rPr>
      <w:rFonts w:ascii="Segoe UI" w:eastAsia="Segoe UI" w:hAnsi="Segoe UI" w:cs="Segoe U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30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30D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4539D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0CE6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0CE6"/>
    <w:rPr>
      <w:rFonts w:ascii="Segoe UI" w:eastAsia="Segoe UI" w:hAnsi="Segoe UI" w:cs="Segoe U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B0CE6"/>
    <w:rPr>
      <w:vertAlign w:val="superscript"/>
    </w:rPr>
  </w:style>
  <w:style w:type="paragraph" w:customStyle="1" w:styleId="Briefinglist1">
    <w:name w:val="Briefing list 1"/>
    <w:basedOn w:val="Normal"/>
    <w:rsid w:val="005E0722"/>
    <w:pPr>
      <w:keepLines/>
      <w:numPr>
        <w:numId w:val="3"/>
      </w:numPr>
      <w:spacing w:after="120" w:line="240" w:lineRule="auto"/>
      <w:ind w:right="0"/>
    </w:pPr>
    <w:rPr>
      <w:rFonts w:ascii="Arial" w:eastAsia="SimSun" w:hAnsi="Arial" w:cs="Arial"/>
      <w:color w:val="auto"/>
      <w:sz w:val="22"/>
      <w:szCs w:val="24"/>
      <w:lang w:val="en-GB" w:eastAsia="en-US"/>
    </w:rPr>
  </w:style>
  <w:style w:type="table" w:styleId="Grilledutableau">
    <w:name w:val="Table Grid"/>
    <w:basedOn w:val="TableauNormal"/>
    <w:uiPriority w:val="39"/>
    <w:rsid w:val="00E1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0908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color w:val="auto"/>
      <w:sz w:val="22"/>
    </w:rPr>
  </w:style>
  <w:style w:type="table" w:styleId="Tableausimple4">
    <w:name w:val="Plain Table 4"/>
    <w:basedOn w:val="TableauNormal"/>
    <w:uiPriority w:val="44"/>
    <w:rsid w:val="007E173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eringen.se/pressmeddelanden/2024/03/inflationen-i-sverige-har-fallit-tillbaka-tydlig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cb.se/hitta-statistik/statistik-efter-amne/nationalrakenskaper/nationalrakenskaper/offentliga-forvaltningens-sparande-och-bruttoskuld-enligt-eu-s-konvergenskriterier/pong/statistiknyhet/offentliga-forvaltningens-sparande-och-bruttoskuld-2023-enligt-eus-konvergenskriterie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i.se/app/uploads/loneutvecklingen-i-sverige-tom-februari-2023.pdf" TargetMode="External"/><Relationship Id="rId1" Type="http://schemas.openxmlformats.org/officeDocument/2006/relationships/hyperlink" Target="https://ec.europa.eu/eurostat/databrowser/view/PRC_HICP_AIND__custom_10674234/default/table?lang=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AEF0D4617794395AF9C016AD2AE8E" ma:contentTypeVersion="1" ma:contentTypeDescription="Crée un document." ma:contentTypeScope="" ma:versionID="5378aafaeecc8abdf95c816eaa66a63f">
  <xsd:schema xmlns:xsd="http://www.w3.org/2001/XMLSchema" xmlns:xs="http://www.w3.org/2001/XMLSchema" xmlns:p="http://schemas.microsoft.com/office/2006/metadata/properties" xmlns:ns2="949954e1-05b7-4378-8500-42f6ed1ab7cc" targetNamespace="http://schemas.microsoft.com/office/2006/metadata/properties" ma:root="true" ma:fieldsID="f594bd2d1efa15a641fa15644d1b76fa" ns2:_="">
    <xsd:import namespace="949954e1-05b7-4378-8500-42f6ed1ab7c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954e1-05b7-4378-8500-42f6ed1ab7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648F7-B352-4D1B-8A52-5C9119A79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E2F311-FF62-4B97-A8CE-9C3B5DB6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954e1-05b7-4378-8500-42f6ed1ab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34338-A2D4-4F0D-B054-E0AA9B3FD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64ADE-F5F6-462F-8B40-EB7760E43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1571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Leïla</dc:creator>
  <cp:keywords/>
  <cp:lastModifiedBy>CUNY Olivier</cp:lastModifiedBy>
  <cp:revision>3</cp:revision>
  <cp:lastPrinted>2024-04-04T12:36:00Z</cp:lastPrinted>
  <dcterms:created xsi:type="dcterms:W3CDTF">2024-04-04T16:10:00Z</dcterms:created>
  <dcterms:modified xsi:type="dcterms:W3CDTF">2024-04-04T16:10:00Z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0x0101006DEAEF0D4617794395AF9C016AD2AE8E</vt:lpwstr>
  </property>
</Properties>
</file>