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BE5AC" w14:textId="77777777" w:rsidR="000D604B" w:rsidRDefault="000D604B" w:rsidP="000D604B">
      <w:pPr>
        <w:spacing w:after="120"/>
        <w:jc w:val="center"/>
        <w:rPr>
          <w:rFonts w:ascii="Times New Roman" w:hAnsi="Times New Roman"/>
          <w:b/>
          <w:sz w:val="23"/>
          <w:szCs w:val="23"/>
        </w:rPr>
      </w:pPr>
    </w:p>
    <w:p w14:paraId="2E0BE5AD" w14:textId="77777777" w:rsidR="000D604B" w:rsidRPr="000D604B" w:rsidRDefault="000D604B" w:rsidP="000D604B">
      <w:pPr>
        <w:spacing w:after="120"/>
        <w:jc w:val="center"/>
        <w:rPr>
          <w:rFonts w:ascii="Times New Roman" w:hAnsi="Times New Roman"/>
          <w:b/>
          <w:sz w:val="23"/>
          <w:szCs w:val="23"/>
        </w:rPr>
      </w:pPr>
      <w:r w:rsidRPr="000D604B">
        <w:rPr>
          <w:rFonts w:ascii="Times New Roman" w:hAnsi="Times New Roman"/>
          <w:b/>
          <w:sz w:val="23"/>
          <w:szCs w:val="23"/>
        </w:rPr>
        <w:t>NOTE</w:t>
      </w:r>
    </w:p>
    <w:p w14:paraId="2E0BE5AE" w14:textId="77777777" w:rsidR="000D604B" w:rsidRPr="000D604B" w:rsidRDefault="000D604B" w:rsidP="000D604B">
      <w:pPr>
        <w:spacing w:after="120"/>
        <w:jc w:val="both"/>
        <w:rPr>
          <w:rFonts w:ascii="Times New Roman" w:hAnsi="Times New Roman"/>
          <w:b/>
          <w:sz w:val="23"/>
          <w:szCs w:val="23"/>
        </w:rPr>
      </w:pPr>
    </w:p>
    <w:p w14:paraId="2E0BE5AF" w14:textId="77777777" w:rsidR="000D604B" w:rsidRPr="000D604B" w:rsidRDefault="000D604B" w:rsidP="000D604B">
      <w:pPr>
        <w:spacing w:after="120"/>
        <w:jc w:val="both"/>
        <w:rPr>
          <w:rFonts w:ascii="Times New Roman" w:hAnsi="Times New Roman"/>
          <w:b/>
          <w:sz w:val="23"/>
          <w:szCs w:val="23"/>
        </w:rPr>
      </w:pPr>
      <w:r w:rsidRPr="000D604B">
        <w:rPr>
          <w:rFonts w:ascii="Times New Roman" w:hAnsi="Times New Roman"/>
          <w:b/>
          <w:sz w:val="23"/>
          <w:szCs w:val="23"/>
        </w:rPr>
        <w:t xml:space="preserve">Objet : Situation économique et </w:t>
      </w:r>
      <w:r>
        <w:rPr>
          <w:rFonts w:ascii="Times New Roman" w:hAnsi="Times New Roman"/>
          <w:b/>
          <w:sz w:val="23"/>
          <w:szCs w:val="23"/>
        </w:rPr>
        <w:t>financiè</w:t>
      </w:r>
      <w:r w:rsidRPr="000D604B">
        <w:rPr>
          <w:rFonts w:ascii="Times New Roman" w:hAnsi="Times New Roman"/>
          <w:b/>
          <w:sz w:val="23"/>
          <w:szCs w:val="23"/>
        </w:rPr>
        <w:t>re de l’Italie</w:t>
      </w:r>
    </w:p>
    <w:p w14:paraId="2E0BE5B0" w14:textId="77777777" w:rsidR="007F1C13" w:rsidRPr="000D604B" w:rsidRDefault="007F1C13" w:rsidP="007F1C13">
      <w:pPr>
        <w:spacing w:before="120"/>
        <w:jc w:val="both"/>
        <w:rPr>
          <w:rFonts w:ascii="Times New Roman" w:hAnsi="Times New Roman"/>
          <w:i/>
          <w:sz w:val="23"/>
          <w:szCs w:val="23"/>
        </w:rPr>
      </w:pPr>
    </w:p>
    <w:p w14:paraId="2E0BE5B1" w14:textId="0F70F0E4" w:rsidR="000D604B" w:rsidRPr="00C06CB4" w:rsidRDefault="000D604B" w:rsidP="00C06CB4">
      <w:pPr>
        <w:keepNext/>
        <w:keepLines/>
        <w:spacing w:before="120" w:after="120" w:line="240" w:lineRule="auto"/>
        <w:jc w:val="both"/>
        <w:rPr>
          <w:rFonts w:ascii="Times New Roman" w:hAnsi="Times New Roman"/>
          <w:b/>
          <w:sz w:val="23"/>
          <w:szCs w:val="23"/>
          <w:u w:val="single"/>
        </w:rPr>
      </w:pPr>
      <w:r w:rsidRPr="00FF2A1E">
        <w:rPr>
          <w:rFonts w:ascii="Times New Roman" w:hAnsi="Times New Roman"/>
          <w:b/>
          <w:sz w:val="23"/>
          <w:szCs w:val="23"/>
          <w:u w:val="single"/>
        </w:rPr>
        <w:t xml:space="preserve">1/ </w:t>
      </w:r>
      <w:r w:rsidR="00FF2A1E">
        <w:rPr>
          <w:rFonts w:ascii="Times New Roman" w:hAnsi="Times New Roman"/>
          <w:b/>
          <w:sz w:val="23"/>
          <w:szCs w:val="23"/>
          <w:u w:val="single"/>
        </w:rPr>
        <w:t>E</w:t>
      </w:r>
      <w:r w:rsidR="00FF2A1E" w:rsidRPr="00C06CB4">
        <w:rPr>
          <w:rFonts w:ascii="Times New Roman" w:hAnsi="Times New Roman"/>
          <w:b/>
          <w:u w:val="single"/>
        </w:rPr>
        <w:t xml:space="preserve">ncore marquée par les années de </w:t>
      </w:r>
      <w:r w:rsidR="00FF2A1E">
        <w:rPr>
          <w:rFonts w:ascii="Times New Roman" w:hAnsi="Times New Roman"/>
          <w:b/>
          <w:u w:val="single"/>
        </w:rPr>
        <w:t>crise</w:t>
      </w:r>
      <w:r w:rsidR="00FF2A1E" w:rsidRPr="00C06CB4">
        <w:rPr>
          <w:rFonts w:ascii="Times New Roman" w:hAnsi="Times New Roman"/>
          <w:b/>
          <w:u w:val="single"/>
        </w:rPr>
        <w:t xml:space="preserve">, l’économie italienne bénéficie </w:t>
      </w:r>
      <w:r w:rsidR="00FF2A1E">
        <w:rPr>
          <w:rFonts w:ascii="Times New Roman" w:hAnsi="Times New Roman"/>
          <w:b/>
          <w:u w:val="single"/>
        </w:rPr>
        <w:t xml:space="preserve">toutefois </w:t>
      </w:r>
      <w:r w:rsidR="00FF2A1E" w:rsidRPr="00C06CB4">
        <w:rPr>
          <w:rFonts w:ascii="Times New Roman" w:hAnsi="Times New Roman"/>
          <w:b/>
          <w:u w:val="single"/>
        </w:rPr>
        <w:t>de l’accélération de la croissance européenne</w:t>
      </w:r>
    </w:p>
    <w:p w14:paraId="32496503" w14:textId="14039CE8" w:rsidR="005E5F33" w:rsidRDefault="00FC12B4" w:rsidP="00C06CB4">
      <w:pPr>
        <w:autoSpaceDE w:val="0"/>
        <w:autoSpaceDN w:val="0"/>
        <w:spacing w:before="120" w:after="120" w:line="240" w:lineRule="auto"/>
        <w:jc w:val="both"/>
        <w:rPr>
          <w:rFonts w:ascii="Times New Roman" w:hAnsi="Times New Roman"/>
          <w:iCs/>
          <w:sz w:val="23"/>
          <w:szCs w:val="23"/>
        </w:rPr>
      </w:pPr>
      <w:r w:rsidRPr="00C06CB4">
        <w:rPr>
          <w:rFonts w:ascii="Times New Roman" w:hAnsi="Times New Roman"/>
          <w:sz w:val="23"/>
          <w:szCs w:val="23"/>
        </w:rPr>
        <w:t xml:space="preserve">Fortement </w:t>
      </w:r>
      <w:r>
        <w:rPr>
          <w:rFonts w:ascii="Times New Roman" w:hAnsi="Times New Roman"/>
          <w:sz w:val="23"/>
          <w:szCs w:val="23"/>
        </w:rPr>
        <w:t xml:space="preserve">impactée par la crise financière internationale puis la crise de la zone euro, l’économie italienne a perdu près de 9% de PIB réel entre 2007 et 2014, avec quatre années </w:t>
      </w:r>
      <w:r w:rsidR="000D604B" w:rsidRPr="00C06CB4">
        <w:rPr>
          <w:rFonts w:ascii="Times New Roman" w:hAnsi="Times New Roman"/>
          <w:iCs/>
          <w:sz w:val="23"/>
          <w:szCs w:val="23"/>
        </w:rPr>
        <w:t>de récession</w:t>
      </w:r>
      <w:r w:rsidR="00FF2A1E" w:rsidRPr="00C06CB4">
        <w:rPr>
          <w:rFonts w:ascii="Times New Roman" w:hAnsi="Times New Roman"/>
          <w:iCs/>
          <w:sz w:val="23"/>
          <w:szCs w:val="23"/>
        </w:rPr>
        <w:t xml:space="preserve"> </w:t>
      </w:r>
      <w:r>
        <w:rPr>
          <w:rFonts w:ascii="Times New Roman" w:hAnsi="Times New Roman"/>
          <w:iCs/>
          <w:sz w:val="23"/>
          <w:szCs w:val="23"/>
        </w:rPr>
        <w:t xml:space="preserve">au cours de </w:t>
      </w:r>
      <w:r w:rsidR="005E5F33">
        <w:rPr>
          <w:rFonts w:ascii="Times New Roman" w:hAnsi="Times New Roman"/>
          <w:iCs/>
          <w:sz w:val="23"/>
          <w:szCs w:val="23"/>
        </w:rPr>
        <w:t>la</w:t>
      </w:r>
      <w:r>
        <w:rPr>
          <w:rFonts w:ascii="Times New Roman" w:hAnsi="Times New Roman"/>
          <w:iCs/>
          <w:sz w:val="23"/>
          <w:szCs w:val="23"/>
        </w:rPr>
        <w:t xml:space="preserve"> période </w:t>
      </w:r>
      <w:r w:rsidR="00FF2A1E" w:rsidRPr="00C06CB4">
        <w:rPr>
          <w:rFonts w:ascii="Times New Roman" w:hAnsi="Times New Roman"/>
          <w:iCs/>
          <w:sz w:val="23"/>
          <w:szCs w:val="23"/>
        </w:rPr>
        <w:t>(2008-2009 puis 2012-2013)</w:t>
      </w:r>
      <w:r>
        <w:rPr>
          <w:rFonts w:ascii="Times New Roman" w:hAnsi="Times New Roman"/>
          <w:iCs/>
          <w:sz w:val="23"/>
          <w:szCs w:val="23"/>
        </w:rPr>
        <w:t xml:space="preserve">. </w:t>
      </w:r>
    </w:p>
    <w:p w14:paraId="69ED5073" w14:textId="762ED144" w:rsidR="005E5F33" w:rsidRDefault="00FC12B4" w:rsidP="00C06CB4">
      <w:pPr>
        <w:autoSpaceDE w:val="0"/>
        <w:autoSpaceDN w:val="0"/>
        <w:spacing w:before="120" w:after="120" w:line="240" w:lineRule="auto"/>
        <w:jc w:val="both"/>
        <w:rPr>
          <w:rFonts w:ascii="Times New Roman" w:hAnsi="Times New Roman"/>
          <w:iCs/>
          <w:sz w:val="23"/>
          <w:szCs w:val="23"/>
        </w:rPr>
      </w:pPr>
      <w:r>
        <w:rPr>
          <w:rFonts w:ascii="Times New Roman" w:hAnsi="Times New Roman"/>
          <w:iCs/>
          <w:sz w:val="23"/>
          <w:szCs w:val="23"/>
        </w:rPr>
        <w:t xml:space="preserve">L’Italie </w:t>
      </w:r>
      <w:r w:rsidR="000D604B" w:rsidRPr="000D604B">
        <w:rPr>
          <w:rFonts w:ascii="Times New Roman" w:hAnsi="Times New Roman"/>
          <w:iCs/>
          <w:sz w:val="23"/>
          <w:szCs w:val="23"/>
        </w:rPr>
        <w:t xml:space="preserve">a </w:t>
      </w:r>
      <w:r w:rsidR="000D604B" w:rsidRPr="000D604B">
        <w:rPr>
          <w:rFonts w:ascii="Times New Roman" w:hAnsi="Times New Roman"/>
          <w:b/>
          <w:iCs/>
          <w:sz w:val="23"/>
          <w:szCs w:val="23"/>
        </w:rPr>
        <w:t xml:space="preserve">renoué avec </w:t>
      </w:r>
      <w:r w:rsidR="00B53F1C">
        <w:rPr>
          <w:rFonts w:ascii="Times New Roman" w:hAnsi="Times New Roman"/>
          <w:b/>
          <w:iCs/>
          <w:sz w:val="23"/>
          <w:szCs w:val="23"/>
        </w:rPr>
        <w:t>la</w:t>
      </w:r>
      <w:r w:rsidR="000D604B" w:rsidRPr="000D604B">
        <w:rPr>
          <w:rFonts w:ascii="Times New Roman" w:hAnsi="Times New Roman"/>
          <w:b/>
          <w:iCs/>
          <w:sz w:val="23"/>
          <w:szCs w:val="23"/>
        </w:rPr>
        <w:t xml:space="preserve"> croissance à partir de 2014 </w:t>
      </w:r>
      <w:r w:rsidR="000D604B" w:rsidRPr="000D604B">
        <w:rPr>
          <w:rFonts w:ascii="Times New Roman" w:hAnsi="Times New Roman"/>
          <w:iCs/>
          <w:sz w:val="23"/>
          <w:szCs w:val="23"/>
        </w:rPr>
        <w:t>(+0,1% en 2014, +</w:t>
      </w:r>
      <w:r w:rsidR="00403B99">
        <w:rPr>
          <w:rFonts w:ascii="Times New Roman" w:hAnsi="Times New Roman"/>
          <w:iCs/>
          <w:sz w:val="23"/>
          <w:szCs w:val="23"/>
        </w:rPr>
        <w:t>1</w:t>
      </w:r>
      <w:r w:rsidR="000D604B" w:rsidRPr="000D604B">
        <w:rPr>
          <w:rFonts w:ascii="Times New Roman" w:hAnsi="Times New Roman"/>
          <w:iCs/>
          <w:sz w:val="23"/>
          <w:szCs w:val="23"/>
        </w:rPr>
        <w:t>% en 2015</w:t>
      </w:r>
      <w:r w:rsidR="00B53F1C">
        <w:rPr>
          <w:rFonts w:ascii="Times New Roman" w:hAnsi="Times New Roman"/>
          <w:iCs/>
          <w:sz w:val="23"/>
          <w:szCs w:val="23"/>
        </w:rPr>
        <w:t>,</w:t>
      </w:r>
      <w:r w:rsidR="000D604B" w:rsidRPr="000D604B">
        <w:rPr>
          <w:rFonts w:ascii="Times New Roman" w:hAnsi="Times New Roman"/>
          <w:iCs/>
          <w:sz w:val="23"/>
          <w:szCs w:val="23"/>
        </w:rPr>
        <w:t xml:space="preserve"> +0,9% en 2016</w:t>
      </w:r>
      <w:r w:rsidR="00AE3DA5">
        <w:rPr>
          <w:rFonts w:ascii="Times New Roman" w:hAnsi="Times New Roman"/>
          <w:iCs/>
          <w:sz w:val="23"/>
          <w:szCs w:val="23"/>
        </w:rPr>
        <w:t xml:space="preserve">) et </w:t>
      </w:r>
      <w:r w:rsidR="00AE3DA5" w:rsidRPr="00C06CB4">
        <w:rPr>
          <w:rFonts w:ascii="Times New Roman" w:hAnsi="Times New Roman"/>
          <w:b/>
          <w:iCs/>
          <w:sz w:val="23"/>
          <w:szCs w:val="23"/>
        </w:rPr>
        <w:t>bénéficie aujourd’hui de la conjoncture favorable que connaît la zone euro</w:t>
      </w:r>
      <w:r w:rsidR="005E5F33">
        <w:rPr>
          <w:rFonts w:ascii="Times New Roman" w:hAnsi="Times New Roman"/>
          <w:b/>
          <w:iCs/>
          <w:sz w:val="23"/>
          <w:szCs w:val="23"/>
        </w:rPr>
        <w:t>, la</w:t>
      </w:r>
      <w:r w:rsidR="00AE3DA5" w:rsidRPr="00C06CB4">
        <w:rPr>
          <w:rFonts w:ascii="Times New Roman" w:hAnsi="Times New Roman"/>
          <w:b/>
          <w:iCs/>
          <w:sz w:val="23"/>
          <w:szCs w:val="23"/>
        </w:rPr>
        <w:t xml:space="preserve"> prévision de croissance </w:t>
      </w:r>
      <w:r w:rsidR="005E5F33">
        <w:rPr>
          <w:rFonts w:ascii="Times New Roman" w:hAnsi="Times New Roman"/>
          <w:b/>
          <w:iCs/>
          <w:sz w:val="23"/>
          <w:szCs w:val="23"/>
        </w:rPr>
        <w:t xml:space="preserve">pour 2017 s’établissant à </w:t>
      </w:r>
      <w:r w:rsidR="00AE3DA5" w:rsidRPr="00C06CB4">
        <w:rPr>
          <w:rFonts w:ascii="Times New Roman" w:hAnsi="Times New Roman"/>
          <w:b/>
          <w:iCs/>
          <w:sz w:val="23"/>
          <w:szCs w:val="23"/>
        </w:rPr>
        <w:t>+</w:t>
      </w:r>
      <w:r w:rsidR="00B53F1C" w:rsidRPr="00C06CB4">
        <w:rPr>
          <w:rFonts w:ascii="Times New Roman" w:hAnsi="Times New Roman"/>
          <w:b/>
          <w:iCs/>
          <w:sz w:val="23"/>
          <w:szCs w:val="23"/>
        </w:rPr>
        <w:t>1,5</w:t>
      </w:r>
      <w:proofErr w:type="gramStart"/>
      <w:r w:rsidR="00B53F1C" w:rsidRPr="00C06CB4">
        <w:rPr>
          <w:rFonts w:ascii="Times New Roman" w:hAnsi="Times New Roman"/>
          <w:b/>
          <w:iCs/>
          <w:sz w:val="23"/>
          <w:szCs w:val="23"/>
        </w:rPr>
        <w:t xml:space="preserve">% </w:t>
      </w:r>
      <w:r w:rsidR="00AE3DA5">
        <w:rPr>
          <w:rFonts w:ascii="Times New Roman" w:hAnsi="Times New Roman"/>
          <w:iCs/>
          <w:sz w:val="23"/>
          <w:szCs w:val="23"/>
        </w:rPr>
        <w:t xml:space="preserve"> selon</w:t>
      </w:r>
      <w:proofErr w:type="gramEnd"/>
      <w:r w:rsidR="00AE3DA5">
        <w:rPr>
          <w:rFonts w:ascii="Times New Roman" w:hAnsi="Times New Roman"/>
          <w:iCs/>
          <w:sz w:val="23"/>
          <w:szCs w:val="23"/>
        </w:rPr>
        <w:t xml:space="preserve"> le FMI (+2,2% pour la zone euro). </w:t>
      </w:r>
      <w:r w:rsidR="005E5F33">
        <w:rPr>
          <w:rFonts w:ascii="Times New Roman" w:hAnsi="Times New Roman"/>
          <w:iCs/>
          <w:sz w:val="23"/>
          <w:szCs w:val="23"/>
        </w:rPr>
        <w:t>A la fin du</w:t>
      </w:r>
      <w:r w:rsidR="005E5F33">
        <w:rPr>
          <w:rFonts w:ascii="Times New Roman" w:hAnsi="Times New Roman"/>
          <w:iCs/>
          <w:sz w:val="23"/>
          <w:szCs w:val="23"/>
        </w:rPr>
        <w:t xml:space="preserve"> deuxième trimestre</w:t>
      </w:r>
      <w:r w:rsidR="005E5F33">
        <w:rPr>
          <w:rFonts w:ascii="Times New Roman" w:hAnsi="Times New Roman"/>
          <w:iCs/>
          <w:sz w:val="23"/>
          <w:szCs w:val="23"/>
        </w:rPr>
        <w:t xml:space="preserve"> 2017</w:t>
      </w:r>
      <w:r w:rsidR="005E5F33">
        <w:rPr>
          <w:rFonts w:ascii="Times New Roman" w:hAnsi="Times New Roman"/>
          <w:iCs/>
          <w:sz w:val="23"/>
          <w:szCs w:val="23"/>
        </w:rPr>
        <w:t>, l’acquis de croissance pour l’année 2017 s’établi</w:t>
      </w:r>
      <w:r w:rsidR="005E5F33">
        <w:rPr>
          <w:rFonts w:ascii="Times New Roman" w:hAnsi="Times New Roman"/>
          <w:iCs/>
          <w:sz w:val="23"/>
          <w:szCs w:val="23"/>
        </w:rPr>
        <w:t>ssait</w:t>
      </w:r>
      <w:r w:rsidR="005E5F33">
        <w:rPr>
          <w:rFonts w:ascii="Times New Roman" w:hAnsi="Times New Roman"/>
          <w:iCs/>
          <w:sz w:val="23"/>
          <w:szCs w:val="23"/>
        </w:rPr>
        <w:t xml:space="preserve"> </w:t>
      </w:r>
      <w:proofErr w:type="gramStart"/>
      <w:r w:rsidR="005E5F33">
        <w:rPr>
          <w:rFonts w:ascii="Times New Roman" w:hAnsi="Times New Roman"/>
          <w:iCs/>
          <w:sz w:val="23"/>
          <w:szCs w:val="23"/>
        </w:rPr>
        <w:t>à</w:t>
      </w:r>
      <w:proofErr w:type="gramEnd"/>
      <w:r w:rsidR="005E5F33">
        <w:rPr>
          <w:rFonts w:ascii="Times New Roman" w:hAnsi="Times New Roman"/>
          <w:iCs/>
          <w:sz w:val="23"/>
          <w:szCs w:val="23"/>
        </w:rPr>
        <w:t xml:space="preserve"> +1,2%.</w:t>
      </w:r>
      <w:r w:rsidR="005E5F33" w:rsidRPr="000D604B">
        <w:rPr>
          <w:rFonts w:ascii="Times New Roman" w:hAnsi="Times New Roman"/>
          <w:iCs/>
          <w:sz w:val="23"/>
          <w:szCs w:val="23"/>
        </w:rPr>
        <w:t xml:space="preserve"> Le </w:t>
      </w:r>
      <w:r w:rsidR="005E5F33" w:rsidRPr="000D604B">
        <w:rPr>
          <w:rFonts w:ascii="Times New Roman" w:hAnsi="Times New Roman"/>
          <w:sz w:val="23"/>
          <w:szCs w:val="23"/>
        </w:rPr>
        <w:t xml:space="preserve">gouvernement italien </w:t>
      </w:r>
      <w:r w:rsidR="005E5F33">
        <w:rPr>
          <w:rFonts w:ascii="Times New Roman" w:hAnsi="Times New Roman"/>
          <w:iCs/>
          <w:sz w:val="23"/>
          <w:szCs w:val="23"/>
        </w:rPr>
        <w:t>a également relevé</w:t>
      </w:r>
      <w:r w:rsidR="005E5F33" w:rsidRPr="000D604B">
        <w:rPr>
          <w:rFonts w:ascii="Times New Roman" w:hAnsi="Times New Roman"/>
          <w:iCs/>
          <w:sz w:val="23"/>
          <w:szCs w:val="23"/>
        </w:rPr>
        <w:t xml:space="preserve"> ses prévisions initiales (+</w:t>
      </w:r>
      <w:r w:rsidR="005E5F33" w:rsidRPr="000D604B">
        <w:rPr>
          <w:rFonts w:ascii="Times New Roman" w:hAnsi="Times New Roman"/>
          <w:sz w:val="23"/>
          <w:szCs w:val="23"/>
        </w:rPr>
        <w:t>1</w:t>
      </w:r>
      <w:r w:rsidR="005E5F33" w:rsidRPr="000D604B">
        <w:rPr>
          <w:rFonts w:ascii="Times New Roman" w:hAnsi="Times New Roman"/>
          <w:iCs/>
          <w:sz w:val="23"/>
          <w:szCs w:val="23"/>
        </w:rPr>
        <w:t>,</w:t>
      </w:r>
      <w:r w:rsidR="005E5F33">
        <w:rPr>
          <w:rFonts w:ascii="Times New Roman" w:hAnsi="Times New Roman"/>
          <w:iCs/>
          <w:sz w:val="23"/>
          <w:szCs w:val="23"/>
        </w:rPr>
        <w:t>5</w:t>
      </w:r>
      <w:r w:rsidR="005E5F33" w:rsidRPr="000D604B">
        <w:rPr>
          <w:rFonts w:ascii="Times New Roman" w:hAnsi="Times New Roman"/>
          <w:iCs/>
          <w:sz w:val="23"/>
          <w:szCs w:val="23"/>
        </w:rPr>
        <w:t>%). La Commission européenne et l’OCDE, dont les prévisions sont antérieures à celles du FMI, tablent sur des taux de croissance respectifs de +0,9 % et +1,</w:t>
      </w:r>
      <w:r w:rsidR="005E5F33">
        <w:rPr>
          <w:rFonts w:ascii="Times New Roman" w:hAnsi="Times New Roman"/>
          <w:iCs/>
          <w:sz w:val="23"/>
          <w:szCs w:val="23"/>
        </w:rPr>
        <w:t>4</w:t>
      </w:r>
      <w:r w:rsidR="005E5F33" w:rsidRPr="000D604B">
        <w:rPr>
          <w:rFonts w:ascii="Times New Roman" w:hAnsi="Times New Roman"/>
          <w:iCs/>
          <w:sz w:val="23"/>
          <w:szCs w:val="23"/>
        </w:rPr>
        <w:t> %.</w:t>
      </w:r>
    </w:p>
    <w:p w14:paraId="2E0BE5B3" w14:textId="643B7B4C" w:rsidR="000D604B" w:rsidRDefault="00AE3DA5" w:rsidP="00C06CB4">
      <w:pPr>
        <w:autoSpaceDE w:val="0"/>
        <w:autoSpaceDN w:val="0"/>
        <w:spacing w:before="120" w:after="120" w:line="240" w:lineRule="auto"/>
        <w:jc w:val="both"/>
        <w:rPr>
          <w:rFonts w:ascii="Times New Roman" w:hAnsi="Times New Roman"/>
          <w:iCs/>
          <w:sz w:val="23"/>
          <w:szCs w:val="23"/>
        </w:rPr>
      </w:pPr>
      <w:r>
        <w:rPr>
          <w:rFonts w:ascii="Times New Roman" w:hAnsi="Times New Roman"/>
          <w:iCs/>
          <w:sz w:val="23"/>
          <w:szCs w:val="23"/>
        </w:rPr>
        <w:t>Toutefois,</w:t>
      </w:r>
      <w:r w:rsidR="000D604B" w:rsidRPr="000D604B">
        <w:rPr>
          <w:rFonts w:ascii="Times New Roman" w:hAnsi="Times New Roman"/>
          <w:iCs/>
          <w:sz w:val="23"/>
          <w:szCs w:val="23"/>
        </w:rPr>
        <w:t xml:space="preserve"> le </w:t>
      </w:r>
      <w:r w:rsidR="000D604B" w:rsidRPr="000D604B">
        <w:rPr>
          <w:rFonts w:ascii="Times New Roman" w:hAnsi="Times New Roman"/>
          <w:b/>
          <w:iCs/>
          <w:sz w:val="23"/>
          <w:szCs w:val="23"/>
        </w:rPr>
        <w:t xml:space="preserve">PIB réel </w:t>
      </w:r>
      <w:r w:rsidR="000D604B" w:rsidRPr="000D604B">
        <w:rPr>
          <w:rFonts w:ascii="Times New Roman" w:hAnsi="Times New Roman"/>
          <w:iCs/>
          <w:sz w:val="23"/>
          <w:szCs w:val="23"/>
        </w:rPr>
        <w:t xml:space="preserve">reste </w:t>
      </w:r>
      <w:r w:rsidR="00B53F1C">
        <w:rPr>
          <w:rFonts w:ascii="Times New Roman" w:hAnsi="Times New Roman"/>
          <w:iCs/>
          <w:sz w:val="23"/>
          <w:szCs w:val="23"/>
        </w:rPr>
        <w:t xml:space="preserve">encore </w:t>
      </w:r>
      <w:r w:rsidR="000D604B" w:rsidRPr="000D604B">
        <w:rPr>
          <w:rFonts w:ascii="Times New Roman" w:hAnsi="Times New Roman"/>
          <w:b/>
          <w:iCs/>
          <w:sz w:val="23"/>
          <w:szCs w:val="23"/>
        </w:rPr>
        <w:t xml:space="preserve">inférieur d’environ </w:t>
      </w:r>
      <w:r w:rsidR="00FC12B4">
        <w:rPr>
          <w:rFonts w:ascii="Times New Roman" w:hAnsi="Times New Roman"/>
          <w:b/>
          <w:iCs/>
          <w:sz w:val="23"/>
          <w:szCs w:val="23"/>
        </w:rPr>
        <w:t>5</w:t>
      </w:r>
      <w:r w:rsidR="000D604B" w:rsidRPr="000D604B">
        <w:rPr>
          <w:rFonts w:ascii="Times New Roman" w:hAnsi="Times New Roman"/>
          <w:b/>
          <w:iCs/>
          <w:sz w:val="23"/>
          <w:szCs w:val="23"/>
        </w:rPr>
        <w:t xml:space="preserve">% </w:t>
      </w:r>
      <w:r>
        <w:rPr>
          <w:rFonts w:ascii="Times New Roman" w:hAnsi="Times New Roman"/>
          <w:b/>
          <w:iCs/>
          <w:sz w:val="23"/>
          <w:szCs w:val="23"/>
        </w:rPr>
        <w:t>de</w:t>
      </w:r>
      <w:r w:rsidR="000D604B" w:rsidRPr="000D604B">
        <w:rPr>
          <w:rFonts w:ascii="Times New Roman" w:hAnsi="Times New Roman"/>
          <w:b/>
          <w:iCs/>
          <w:sz w:val="23"/>
          <w:szCs w:val="23"/>
        </w:rPr>
        <w:t xml:space="preserve"> son niveau de 2007</w:t>
      </w:r>
      <w:r w:rsidR="000D604B" w:rsidRPr="000D604B">
        <w:rPr>
          <w:rFonts w:ascii="Times New Roman" w:hAnsi="Times New Roman"/>
          <w:iCs/>
          <w:sz w:val="23"/>
          <w:szCs w:val="23"/>
        </w:rPr>
        <w:t>, l’Italie marquant ainsi un décrochage par rapport à la moyenne de la zone euro</w:t>
      </w:r>
      <w:r w:rsidR="00B53F1C">
        <w:rPr>
          <w:rFonts w:ascii="Times New Roman" w:hAnsi="Times New Roman"/>
          <w:iCs/>
          <w:sz w:val="23"/>
          <w:szCs w:val="23"/>
        </w:rPr>
        <w:t xml:space="preserve"> (+5%) et à ses grands partenaires européen</w:t>
      </w:r>
      <w:r w:rsidR="000D604B" w:rsidRPr="000D604B">
        <w:rPr>
          <w:rFonts w:ascii="Times New Roman" w:hAnsi="Times New Roman"/>
          <w:iCs/>
          <w:sz w:val="23"/>
          <w:szCs w:val="23"/>
        </w:rPr>
        <w:t>.</w:t>
      </w:r>
    </w:p>
    <w:p w14:paraId="2E0BE5B5" w14:textId="2BF07327" w:rsidR="000D604B" w:rsidRDefault="000D604B" w:rsidP="00C06CB4">
      <w:pPr>
        <w:autoSpaceDE w:val="0"/>
        <w:autoSpaceDN w:val="0"/>
        <w:spacing w:before="120" w:after="120" w:line="240" w:lineRule="auto"/>
        <w:jc w:val="both"/>
        <w:rPr>
          <w:rFonts w:ascii="Times New Roman" w:hAnsi="Times New Roman"/>
          <w:iCs/>
          <w:sz w:val="23"/>
          <w:szCs w:val="23"/>
        </w:rPr>
      </w:pPr>
      <w:r w:rsidRPr="000D604B">
        <w:rPr>
          <w:rFonts w:ascii="Times New Roman" w:hAnsi="Times New Roman"/>
          <w:iCs/>
          <w:sz w:val="23"/>
          <w:szCs w:val="23"/>
        </w:rPr>
        <w:t xml:space="preserve">Malgré les réformes structurelles engagées ces dernières années pour améliorer la productivité et la compétitivité et développer l’activité économique, les </w:t>
      </w:r>
      <w:r w:rsidRPr="000D604B">
        <w:rPr>
          <w:rFonts w:ascii="Times New Roman" w:hAnsi="Times New Roman"/>
          <w:b/>
          <w:iCs/>
          <w:sz w:val="23"/>
          <w:szCs w:val="23"/>
        </w:rPr>
        <w:t>perspectives de croissance</w:t>
      </w:r>
      <w:r w:rsidRPr="000D604B">
        <w:rPr>
          <w:rFonts w:ascii="Times New Roman" w:hAnsi="Times New Roman"/>
          <w:iCs/>
          <w:sz w:val="23"/>
          <w:szCs w:val="23"/>
        </w:rPr>
        <w:t xml:space="preserve"> restent </w:t>
      </w:r>
      <w:r w:rsidR="00AE3DA5">
        <w:rPr>
          <w:rFonts w:ascii="Times New Roman" w:hAnsi="Times New Roman"/>
          <w:b/>
          <w:iCs/>
          <w:sz w:val="23"/>
          <w:szCs w:val="23"/>
        </w:rPr>
        <w:t>modestes en raison d’une croissance potentielle faible</w:t>
      </w:r>
      <w:r w:rsidR="00B90504">
        <w:rPr>
          <w:rFonts w:ascii="Times New Roman" w:hAnsi="Times New Roman"/>
          <w:b/>
          <w:iCs/>
          <w:sz w:val="23"/>
          <w:szCs w:val="23"/>
        </w:rPr>
        <w:t>, légèrement positive</w:t>
      </w:r>
      <w:r w:rsidR="00AE3DA5">
        <w:rPr>
          <w:rFonts w:ascii="Times New Roman" w:hAnsi="Times New Roman"/>
          <w:b/>
          <w:iCs/>
          <w:sz w:val="23"/>
          <w:szCs w:val="23"/>
        </w:rPr>
        <w:t xml:space="preserve">. </w:t>
      </w:r>
      <w:r w:rsidR="00AE3DA5" w:rsidRPr="000D604B">
        <w:rPr>
          <w:rFonts w:ascii="Times New Roman" w:hAnsi="Times New Roman"/>
          <w:iCs/>
          <w:sz w:val="23"/>
          <w:szCs w:val="23"/>
        </w:rPr>
        <w:t xml:space="preserve">Le </w:t>
      </w:r>
      <w:r w:rsidR="00B90504">
        <w:rPr>
          <w:rFonts w:ascii="Times New Roman" w:hAnsi="Times New Roman"/>
          <w:iCs/>
          <w:sz w:val="23"/>
          <w:szCs w:val="23"/>
        </w:rPr>
        <w:t xml:space="preserve">niveau du </w:t>
      </w:r>
      <w:r w:rsidR="00AE3DA5" w:rsidRPr="000D604B">
        <w:rPr>
          <w:rFonts w:ascii="Times New Roman" w:hAnsi="Times New Roman"/>
          <w:iCs/>
          <w:sz w:val="23"/>
          <w:szCs w:val="23"/>
        </w:rPr>
        <w:t xml:space="preserve">PIB est </w:t>
      </w:r>
      <w:r w:rsidR="005E5F33">
        <w:rPr>
          <w:rFonts w:ascii="Times New Roman" w:hAnsi="Times New Roman"/>
          <w:iCs/>
          <w:sz w:val="23"/>
          <w:szCs w:val="23"/>
        </w:rPr>
        <w:t xml:space="preserve">encore </w:t>
      </w:r>
      <w:r w:rsidR="00AE3DA5" w:rsidRPr="000D604B">
        <w:rPr>
          <w:rFonts w:ascii="Times New Roman" w:hAnsi="Times New Roman"/>
          <w:iCs/>
          <w:sz w:val="23"/>
          <w:szCs w:val="23"/>
        </w:rPr>
        <w:t xml:space="preserve">inférieur à son niveau potentiel mais l’écart de production, ou </w:t>
      </w:r>
      <w:r w:rsidR="00AE3DA5" w:rsidRPr="000D604B">
        <w:rPr>
          <w:rFonts w:ascii="Times New Roman" w:hAnsi="Times New Roman"/>
          <w:i/>
          <w:iCs/>
          <w:sz w:val="23"/>
          <w:szCs w:val="23"/>
        </w:rPr>
        <w:t>output gap</w:t>
      </w:r>
      <w:r w:rsidR="00AE3DA5" w:rsidRPr="000D604B">
        <w:rPr>
          <w:rFonts w:ascii="Times New Roman" w:hAnsi="Times New Roman"/>
          <w:iCs/>
          <w:sz w:val="23"/>
          <w:szCs w:val="23"/>
        </w:rPr>
        <w:t>, se referme progressivement (</w:t>
      </w:r>
      <w:r w:rsidR="005E5F33">
        <w:rPr>
          <w:rFonts w:ascii="Times New Roman" w:hAnsi="Times New Roman"/>
          <w:iCs/>
          <w:sz w:val="23"/>
          <w:szCs w:val="23"/>
        </w:rPr>
        <w:t>-</w:t>
      </w:r>
      <w:r w:rsidR="00AE3DA5" w:rsidRPr="000D604B">
        <w:rPr>
          <w:rFonts w:ascii="Times New Roman" w:hAnsi="Times New Roman"/>
          <w:iCs/>
          <w:sz w:val="23"/>
          <w:szCs w:val="23"/>
        </w:rPr>
        <w:t>1,6% en 2016</w:t>
      </w:r>
      <w:r w:rsidR="005E5F33">
        <w:rPr>
          <w:rFonts w:ascii="Times New Roman" w:hAnsi="Times New Roman"/>
          <w:iCs/>
          <w:sz w:val="23"/>
          <w:szCs w:val="23"/>
        </w:rPr>
        <w:t xml:space="preserve"> et</w:t>
      </w:r>
      <w:r w:rsidR="00AE3DA5" w:rsidRPr="000D604B">
        <w:rPr>
          <w:rFonts w:ascii="Times New Roman" w:hAnsi="Times New Roman"/>
          <w:iCs/>
          <w:sz w:val="23"/>
          <w:szCs w:val="23"/>
        </w:rPr>
        <w:t xml:space="preserve"> </w:t>
      </w:r>
      <w:r w:rsidR="00AE3DA5">
        <w:rPr>
          <w:rFonts w:ascii="Times New Roman" w:hAnsi="Times New Roman"/>
          <w:iCs/>
          <w:sz w:val="23"/>
          <w:szCs w:val="23"/>
        </w:rPr>
        <w:t>−</w:t>
      </w:r>
      <w:r w:rsidR="00AE3DA5" w:rsidRPr="000D604B">
        <w:rPr>
          <w:rFonts w:ascii="Times New Roman" w:hAnsi="Times New Roman"/>
          <w:iCs/>
          <w:sz w:val="23"/>
          <w:szCs w:val="23"/>
        </w:rPr>
        <w:t>0,8% en 2017 selon le</w:t>
      </w:r>
      <w:r w:rsidR="005E5F33">
        <w:rPr>
          <w:rFonts w:ascii="Times New Roman" w:hAnsi="Times New Roman"/>
          <w:iCs/>
          <w:sz w:val="23"/>
          <w:szCs w:val="23"/>
        </w:rPr>
        <w:t xml:space="preserve"> calcul </w:t>
      </w:r>
      <w:r w:rsidR="00AE3DA5" w:rsidRPr="000D604B">
        <w:rPr>
          <w:rFonts w:ascii="Times New Roman" w:hAnsi="Times New Roman"/>
          <w:iCs/>
          <w:sz w:val="23"/>
          <w:szCs w:val="23"/>
        </w:rPr>
        <w:t>de la Commission européenne).</w:t>
      </w:r>
      <w:r w:rsidRPr="000D604B">
        <w:rPr>
          <w:rFonts w:ascii="Times New Roman" w:hAnsi="Times New Roman"/>
          <w:iCs/>
          <w:sz w:val="23"/>
          <w:szCs w:val="23"/>
        </w:rPr>
        <w:t xml:space="preserve"> </w:t>
      </w:r>
      <w:r w:rsidR="00B90504">
        <w:rPr>
          <w:rFonts w:ascii="Times New Roman" w:hAnsi="Times New Roman"/>
          <w:iCs/>
          <w:sz w:val="23"/>
          <w:szCs w:val="23"/>
        </w:rPr>
        <w:t>Corollaire de cette faible croissance, le</w:t>
      </w:r>
      <w:r w:rsidRPr="000D604B">
        <w:rPr>
          <w:rFonts w:ascii="Times New Roman" w:hAnsi="Times New Roman"/>
          <w:iCs/>
          <w:sz w:val="23"/>
          <w:szCs w:val="23"/>
        </w:rPr>
        <w:t xml:space="preserve"> </w:t>
      </w:r>
      <w:r w:rsidRPr="000D604B">
        <w:rPr>
          <w:rFonts w:ascii="Times New Roman" w:hAnsi="Times New Roman"/>
          <w:b/>
          <w:iCs/>
          <w:sz w:val="23"/>
          <w:szCs w:val="23"/>
        </w:rPr>
        <w:t xml:space="preserve">niveau de </w:t>
      </w:r>
      <w:r w:rsidRPr="00C06CB4">
        <w:rPr>
          <w:rFonts w:ascii="Times New Roman" w:hAnsi="Times New Roman"/>
          <w:b/>
          <w:iCs/>
          <w:sz w:val="23"/>
          <w:szCs w:val="23"/>
        </w:rPr>
        <w:t xml:space="preserve">chômage </w:t>
      </w:r>
      <w:r w:rsidR="00B90504">
        <w:rPr>
          <w:rFonts w:ascii="Times New Roman" w:hAnsi="Times New Roman"/>
          <w:b/>
          <w:iCs/>
          <w:sz w:val="23"/>
          <w:szCs w:val="23"/>
        </w:rPr>
        <w:t xml:space="preserve">se résorbe lentement et </w:t>
      </w:r>
      <w:r w:rsidR="00B90504" w:rsidRPr="00C06CB4">
        <w:rPr>
          <w:rFonts w:ascii="Times New Roman" w:hAnsi="Times New Roman"/>
          <w:b/>
          <w:iCs/>
          <w:sz w:val="23"/>
          <w:szCs w:val="23"/>
        </w:rPr>
        <w:t>reste</w:t>
      </w:r>
      <w:r w:rsidRPr="00C06CB4">
        <w:rPr>
          <w:rFonts w:ascii="Times New Roman" w:hAnsi="Times New Roman"/>
          <w:b/>
          <w:iCs/>
          <w:sz w:val="23"/>
          <w:szCs w:val="23"/>
        </w:rPr>
        <w:t xml:space="preserve"> élevé</w:t>
      </w:r>
      <w:r w:rsidRPr="000D604B">
        <w:rPr>
          <w:rFonts w:ascii="Times New Roman" w:hAnsi="Times New Roman"/>
          <w:iCs/>
          <w:sz w:val="23"/>
          <w:szCs w:val="23"/>
        </w:rPr>
        <w:t xml:space="preserve"> (11,</w:t>
      </w:r>
      <w:r w:rsidR="00403B99">
        <w:rPr>
          <w:rFonts w:ascii="Times New Roman" w:hAnsi="Times New Roman"/>
          <w:iCs/>
          <w:sz w:val="23"/>
          <w:szCs w:val="23"/>
        </w:rPr>
        <w:t>1</w:t>
      </w:r>
      <w:r w:rsidR="00757E63">
        <w:rPr>
          <w:rFonts w:ascii="Times New Roman" w:hAnsi="Times New Roman"/>
          <w:iCs/>
          <w:sz w:val="23"/>
          <w:szCs w:val="23"/>
        </w:rPr>
        <w:t> </w:t>
      </w:r>
      <w:r w:rsidRPr="000D604B">
        <w:rPr>
          <w:rFonts w:ascii="Times New Roman" w:hAnsi="Times New Roman"/>
          <w:iCs/>
          <w:sz w:val="23"/>
          <w:szCs w:val="23"/>
        </w:rPr>
        <w:t>% en</w:t>
      </w:r>
      <w:r w:rsidR="00757E63">
        <w:rPr>
          <w:rFonts w:ascii="Times New Roman" w:hAnsi="Times New Roman"/>
          <w:iCs/>
          <w:sz w:val="23"/>
          <w:szCs w:val="23"/>
        </w:rPr>
        <w:t xml:space="preserve"> </w:t>
      </w:r>
      <w:r w:rsidR="00403B99">
        <w:rPr>
          <w:rFonts w:ascii="Times New Roman" w:hAnsi="Times New Roman"/>
          <w:iCs/>
          <w:sz w:val="23"/>
          <w:szCs w:val="23"/>
        </w:rPr>
        <w:t>septembre</w:t>
      </w:r>
      <w:r w:rsidRPr="000D604B">
        <w:rPr>
          <w:rFonts w:ascii="Times New Roman" w:hAnsi="Times New Roman"/>
          <w:iCs/>
          <w:sz w:val="23"/>
          <w:szCs w:val="23"/>
        </w:rPr>
        <w:t xml:space="preserve"> 2017</w:t>
      </w:r>
      <w:r w:rsidR="00B90504">
        <w:rPr>
          <w:rFonts w:ascii="Times New Roman" w:hAnsi="Times New Roman"/>
          <w:iCs/>
          <w:sz w:val="23"/>
          <w:szCs w:val="23"/>
        </w:rPr>
        <w:t>, le pic ayant été atteint fin 2014 avec 12,8%</w:t>
      </w:r>
      <w:r w:rsidRPr="000D604B">
        <w:rPr>
          <w:rFonts w:ascii="Times New Roman" w:hAnsi="Times New Roman"/>
          <w:iCs/>
          <w:sz w:val="23"/>
          <w:szCs w:val="23"/>
        </w:rPr>
        <w:t xml:space="preserve">), en particulier chez les jeunes </w:t>
      </w:r>
      <w:r w:rsidR="00AE3DA5">
        <w:rPr>
          <w:rFonts w:ascii="Times New Roman" w:hAnsi="Times New Roman"/>
          <w:iCs/>
          <w:sz w:val="23"/>
          <w:szCs w:val="23"/>
        </w:rPr>
        <w:t xml:space="preserve">de moins de 25 ans </w:t>
      </w:r>
      <w:r w:rsidRPr="000D604B">
        <w:rPr>
          <w:rFonts w:ascii="Times New Roman" w:hAnsi="Times New Roman"/>
          <w:iCs/>
          <w:sz w:val="23"/>
          <w:szCs w:val="23"/>
        </w:rPr>
        <w:t>(3</w:t>
      </w:r>
      <w:r w:rsidR="00CB28D9">
        <w:rPr>
          <w:rFonts w:ascii="Times New Roman" w:hAnsi="Times New Roman"/>
          <w:iCs/>
          <w:sz w:val="23"/>
          <w:szCs w:val="23"/>
        </w:rPr>
        <w:t>5,</w:t>
      </w:r>
      <w:r w:rsidR="00403B99">
        <w:rPr>
          <w:rFonts w:ascii="Times New Roman" w:hAnsi="Times New Roman"/>
          <w:iCs/>
          <w:sz w:val="23"/>
          <w:szCs w:val="23"/>
        </w:rPr>
        <w:t>7</w:t>
      </w:r>
      <w:r w:rsidRPr="000D604B">
        <w:rPr>
          <w:rFonts w:ascii="Times New Roman" w:hAnsi="Times New Roman"/>
          <w:iCs/>
          <w:sz w:val="23"/>
          <w:szCs w:val="23"/>
        </w:rPr>
        <w:t>%).</w:t>
      </w:r>
    </w:p>
    <w:p w14:paraId="2E0BE5BD" w14:textId="6B000C7E" w:rsidR="000D604B" w:rsidRPr="000D604B" w:rsidRDefault="00B90504" w:rsidP="00C06CB4">
      <w:pPr>
        <w:tabs>
          <w:tab w:val="left" w:pos="705"/>
        </w:tabs>
        <w:autoSpaceDE w:val="0"/>
        <w:autoSpaceDN w:val="0"/>
        <w:spacing w:before="120" w:after="120" w:line="240" w:lineRule="auto"/>
        <w:jc w:val="both"/>
        <w:rPr>
          <w:rFonts w:ascii="Times New Roman" w:hAnsi="Times New Roman"/>
          <w:iCs/>
          <w:sz w:val="23"/>
          <w:szCs w:val="23"/>
        </w:rPr>
      </w:pPr>
      <w:r>
        <w:rPr>
          <w:rFonts w:ascii="Times New Roman" w:hAnsi="Times New Roman"/>
          <w:iCs/>
          <w:sz w:val="23"/>
          <w:szCs w:val="23"/>
        </w:rPr>
        <w:t>La</w:t>
      </w:r>
      <w:r w:rsidR="000D604B" w:rsidRPr="000D604B">
        <w:rPr>
          <w:rFonts w:ascii="Times New Roman" w:hAnsi="Times New Roman"/>
          <w:iCs/>
          <w:sz w:val="23"/>
          <w:szCs w:val="23"/>
        </w:rPr>
        <w:t xml:space="preserve"> faiblesse de la croissance potentielle </w:t>
      </w:r>
      <w:r>
        <w:rPr>
          <w:rFonts w:ascii="Times New Roman" w:hAnsi="Times New Roman"/>
          <w:iCs/>
          <w:sz w:val="23"/>
          <w:szCs w:val="23"/>
        </w:rPr>
        <w:t xml:space="preserve">est liée à </w:t>
      </w:r>
      <w:r w:rsidR="000D604B" w:rsidRPr="000D604B">
        <w:rPr>
          <w:rFonts w:ascii="Times New Roman" w:hAnsi="Times New Roman"/>
          <w:iCs/>
          <w:sz w:val="23"/>
          <w:szCs w:val="23"/>
        </w:rPr>
        <w:t xml:space="preserve">une </w:t>
      </w:r>
      <w:r w:rsidRPr="00C06CB4">
        <w:rPr>
          <w:rFonts w:ascii="Times New Roman" w:hAnsi="Times New Roman"/>
          <w:b/>
          <w:iCs/>
          <w:sz w:val="23"/>
          <w:szCs w:val="23"/>
        </w:rPr>
        <w:t xml:space="preserve">faible dynamique de </w:t>
      </w:r>
      <w:r w:rsidR="000D604B" w:rsidRPr="00C06CB4">
        <w:rPr>
          <w:rFonts w:ascii="Times New Roman" w:hAnsi="Times New Roman"/>
          <w:b/>
          <w:iCs/>
          <w:sz w:val="23"/>
          <w:szCs w:val="23"/>
        </w:rPr>
        <w:t>la productivité</w:t>
      </w:r>
      <w:r w:rsidRPr="00C06CB4">
        <w:rPr>
          <w:rFonts w:ascii="Times New Roman" w:hAnsi="Times New Roman"/>
          <w:b/>
          <w:iCs/>
          <w:sz w:val="23"/>
          <w:szCs w:val="23"/>
        </w:rPr>
        <w:t xml:space="preserve"> du travail</w:t>
      </w:r>
      <w:r>
        <w:rPr>
          <w:rFonts w:ascii="Times New Roman" w:hAnsi="Times New Roman"/>
          <w:iCs/>
          <w:sz w:val="23"/>
          <w:szCs w:val="23"/>
        </w:rPr>
        <w:t xml:space="preserve"> par rapport à la moyenne de la zone euro</w:t>
      </w:r>
      <w:r w:rsidR="000D604B" w:rsidRPr="000D604B">
        <w:rPr>
          <w:rFonts w:ascii="Times New Roman" w:hAnsi="Times New Roman"/>
          <w:iCs/>
          <w:sz w:val="23"/>
          <w:szCs w:val="23"/>
        </w:rPr>
        <w:t xml:space="preserve">. Cette atonie </w:t>
      </w:r>
      <w:r w:rsidR="004A2CDF">
        <w:rPr>
          <w:rFonts w:ascii="Times New Roman" w:hAnsi="Times New Roman"/>
          <w:iCs/>
          <w:sz w:val="23"/>
          <w:szCs w:val="23"/>
        </w:rPr>
        <w:t>découle en partie</w:t>
      </w:r>
      <w:r w:rsidR="000D604B" w:rsidRPr="000D604B">
        <w:rPr>
          <w:rFonts w:ascii="Times New Roman" w:hAnsi="Times New Roman"/>
          <w:iCs/>
          <w:sz w:val="23"/>
          <w:szCs w:val="23"/>
        </w:rPr>
        <w:t xml:space="preserve"> de </w:t>
      </w:r>
      <w:r w:rsidR="004A2CDF">
        <w:rPr>
          <w:rFonts w:ascii="Times New Roman" w:hAnsi="Times New Roman"/>
          <w:iCs/>
          <w:sz w:val="23"/>
          <w:szCs w:val="23"/>
        </w:rPr>
        <w:t xml:space="preserve">certaines spécificités </w:t>
      </w:r>
      <w:r w:rsidR="000D604B" w:rsidRPr="000D604B">
        <w:rPr>
          <w:rFonts w:ascii="Times New Roman" w:hAnsi="Times New Roman"/>
          <w:iCs/>
          <w:sz w:val="23"/>
          <w:szCs w:val="23"/>
        </w:rPr>
        <w:t>structurel</w:t>
      </w:r>
      <w:r w:rsidR="004A2CDF">
        <w:rPr>
          <w:rFonts w:ascii="Times New Roman" w:hAnsi="Times New Roman"/>
          <w:iCs/>
          <w:sz w:val="23"/>
          <w:szCs w:val="23"/>
        </w:rPr>
        <w:t>les</w:t>
      </w:r>
      <w:r w:rsidR="000D604B" w:rsidRPr="000D604B">
        <w:rPr>
          <w:rFonts w:ascii="Times New Roman" w:hAnsi="Times New Roman"/>
          <w:iCs/>
          <w:sz w:val="23"/>
          <w:szCs w:val="23"/>
        </w:rPr>
        <w:t xml:space="preserve"> tel</w:t>
      </w:r>
      <w:r w:rsidR="004A2CDF">
        <w:rPr>
          <w:rFonts w:ascii="Times New Roman" w:hAnsi="Times New Roman"/>
          <w:iCs/>
          <w:sz w:val="23"/>
          <w:szCs w:val="23"/>
        </w:rPr>
        <w:t>le</w:t>
      </w:r>
      <w:r w:rsidR="000D604B" w:rsidRPr="000D604B">
        <w:rPr>
          <w:rFonts w:ascii="Times New Roman" w:hAnsi="Times New Roman"/>
          <w:iCs/>
          <w:sz w:val="23"/>
          <w:szCs w:val="23"/>
        </w:rPr>
        <w:t>s qu</w:t>
      </w:r>
      <w:r w:rsidR="004A2CDF">
        <w:rPr>
          <w:rFonts w:ascii="Times New Roman" w:hAnsi="Times New Roman"/>
          <w:iCs/>
          <w:sz w:val="23"/>
          <w:szCs w:val="23"/>
        </w:rPr>
        <w:t>e la structure du tissu d’entreprises</w:t>
      </w:r>
      <w:r w:rsidR="000D604B" w:rsidRPr="000D604B">
        <w:rPr>
          <w:rFonts w:ascii="Times New Roman" w:hAnsi="Times New Roman"/>
          <w:iCs/>
          <w:sz w:val="23"/>
          <w:szCs w:val="23"/>
        </w:rPr>
        <w:t xml:space="preserve">, </w:t>
      </w:r>
      <w:r w:rsidR="004A2CDF">
        <w:rPr>
          <w:rFonts w:ascii="Times New Roman" w:hAnsi="Times New Roman"/>
          <w:iCs/>
          <w:sz w:val="23"/>
          <w:szCs w:val="23"/>
        </w:rPr>
        <w:t>l’</w:t>
      </w:r>
      <w:r w:rsidR="000D604B" w:rsidRPr="000D604B">
        <w:rPr>
          <w:rFonts w:ascii="Times New Roman" w:hAnsi="Times New Roman"/>
          <w:iCs/>
          <w:sz w:val="23"/>
          <w:szCs w:val="23"/>
        </w:rPr>
        <w:t xml:space="preserve">adéquation imparfaite de la formation de la population active aux besoins de l’économie et la faiblesse </w:t>
      </w:r>
      <w:r w:rsidR="004A2CDF">
        <w:rPr>
          <w:rFonts w:ascii="Times New Roman" w:hAnsi="Times New Roman"/>
          <w:iCs/>
          <w:sz w:val="23"/>
          <w:szCs w:val="23"/>
        </w:rPr>
        <w:t xml:space="preserve">au cours des dernières années </w:t>
      </w:r>
      <w:r w:rsidR="000D604B" w:rsidRPr="000D604B">
        <w:rPr>
          <w:rFonts w:ascii="Times New Roman" w:hAnsi="Times New Roman"/>
          <w:iCs/>
          <w:sz w:val="23"/>
          <w:szCs w:val="23"/>
        </w:rPr>
        <w:t xml:space="preserve">des </w:t>
      </w:r>
      <w:r w:rsidR="004A2CDF">
        <w:rPr>
          <w:rFonts w:ascii="Times New Roman" w:hAnsi="Times New Roman"/>
          <w:iCs/>
          <w:sz w:val="23"/>
          <w:szCs w:val="23"/>
        </w:rPr>
        <w:t>investissements privés et publics, dont e</w:t>
      </w:r>
      <w:r w:rsidR="000D604B" w:rsidRPr="000D604B">
        <w:rPr>
          <w:rFonts w:ascii="Times New Roman" w:hAnsi="Times New Roman"/>
          <w:iCs/>
          <w:sz w:val="23"/>
          <w:szCs w:val="23"/>
        </w:rPr>
        <w:t xml:space="preserve">n R&amp;D. D’autres facteurs </w:t>
      </w:r>
      <w:r w:rsidR="004A2CDF">
        <w:rPr>
          <w:rFonts w:ascii="Times New Roman" w:hAnsi="Times New Roman"/>
          <w:iCs/>
          <w:sz w:val="23"/>
          <w:szCs w:val="23"/>
        </w:rPr>
        <w:t xml:space="preserve">contextuels peuvent contraindre </w:t>
      </w:r>
      <w:r w:rsidR="000D604B" w:rsidRPr="000D604B">
        <w:rPr>
          <w:rFonts w:ascii="Times New Roman" w:hAnsi="Times New Roman"/>
          <w:iCs/>
          <w:sz w:val="23"/>
          <w:szCs w:val="23"/>
        </w:rPr>
        <w:t>la croissance</w:t>
      </w:r>
      <w:r w:rsidR="004A2CDF">
        <w:rPr>
          <w:rFonts w:ascii="Times New Roman" w:hAnsi="Times New Roman"/>
          <w:iCs/>
          <w:sz w:val="23"/>
          <w:szCs w:val="23"/>
        </w:rPr>
        <w:t xml:space="preserve"> économique</w:t>
      </w:r>
      <w:r w:rsidR="000D604B" w:rsidRPr="000D604B">
        <w:rPr>
          <w:rFonts w:ascii="Times New Roman" w:hAnsi="Times New Roman"/>
          <w:iCs/>
          <w:sz w:val="23"/>
          <w:szCs w:val="23"/>
        </w:rPr>
        <w:t xml:space="preserve">, </w:t>
      </w:r>
      <w:r w:rsidR="004A2CDF">
        <w:rPr>
          <w:rFonts w:ascii="Times New Roman" w:hAnsi="Times New Roman"/>
          <w:iCs/>
          <w:sz w:val="23"/>
          <w:szCs w:val="23"/>
        </w:rPr>
        <w:t>comme l’</w:t>
      </w:r>
      <w:r w:rsidR="000D604B" w:rsidRPr="000D604B">
        <w:rPr>
          <w:rFonts w:ascii="Times New Roman" w:hAnsi="Times New Roman"/>
          <w:iCs/>
          <w:sz w:val="23"/>
          <w:szCs w:val="23"/>
        </w:rPr>
        <w:t>instabilité politique</w:t>
      </w:r>
      <w:r w:rsidR="004A2CDF">
        <w:rPr>
          <w:rFonts w:ascii="Times New Roman" w:hAnsi="Times New Roman"/>
          <w:iCs/>
          <w:sz w:val="23"/>
          <w:szCs w:val="23"/>
        </w:rPr>
        <w:t xml:space="preserve"> relative</w:t>
      </w:r>
      <w:r w:rsidR="000D604B" w:rsidRPr="000D604B">
        <w:rPr>
          <w:rFonts w:ascii="Times New Roman" w:hAnsi="Times New Roman"/>
          <w:iCs/>
          <w:sz w:val="23"/>
          <w:szCs w:val="23"/>
        </w:rPr>
        <w:t xml:space="preserve">, des mécanismes de décision complexes, une économie souterraine </w:t>
      </w:r>
      <w:r w:rsidR="004A2CDF">
        <w:rPr>
          <w:rFonts w:ascii="Times New Roman" w:hAnsi="Times New Roman"/>
          <w:iCs/>
          <w:sz w:val="23"/>
          <w:szCs w:val="23"/>
        </w:rPr>
        <w:t>qui perdure</w:t>
      </w:r>
      <w:r w:rsidR="000D604B" w:rsidRPr="000D604B">
        <w:rPr>
          <w:rFonts w:ascii="Times New Roman" w:hAnsi="Times New Roman"/>
          <w:iCs/>
          <w:sz w:val="23"/>
          <w:szCs w:val="23"/>
        </w:rPr>
        <w:t xml:space="preserve">, </w:t>
      </w:r>
      <w:r w:rsidR="004A2CDF">
        <w:rPr>
          <w:rFonts w:ascii="Times New Roman" w:hAnsi="Times New Roman"/>
          <w:iCs/>
          <w:sz w:val="23"/>
          <w:szCs w:val="23"/>
        </w:rPr>
        <w:t>d</w:t>
      </w:r>
      <w:r w:rsidR="000D604B" w:rsidRPr="000D604B">
        <w:rPr>
          <w:rFonts w:ascii="Times New Roman" w:hAnsi="Times New Roman"/>
          <w:iCs/>
          <w:sz w:val="23"/>
          <w:szCs w:val="23"/>
        </w:rPr>
        <w:t>es disparités socio-</w:t>
      </w:r>
      <w:r w:rsidR="000D604B" w:rsidRPr="000D604B">
        <w:rPr>
          <w:rFonts w:ascii="Times New Roman" w:hAnsi="Times New Roman"/>
          <w:iCs/>
          <w:sz w:val="23"/>
          <w:szCs w:val="23"/>
        </w:rPr>
        <w:lastRenderedPageBreak/>
        <w:t xml:space="preserve">économiques entre régions du nord et du sud, </w:t>
      </w:r>
      <w:r w:rsidR="00FD196C">
        <w:rPr>
          <w:rFonts w:ascii="Times New Roman" w:hAnsi="Times New Roman"/>
          <w:iCs/>
          <w:sz w:val="23"/>
          <w:szCs w:val="23"/>
        </w:rPr>
        <w:t xml:space="preserve">ou encore </w:t>
      </w:r>
      <w:r w:rsidR="000D604B" w:rsidRPr="000D604B">
        <w:rPr>
          <w:rFonts w:ascii="Times New Roman" w:hAnsi="Times New Roman"/>
          <w:iCs/>
          <w:sz w:val="23"/>
          <w:szCs w:val="23"/>
        </w:rPr>
        <w:t>un fonctionnement perfectible des services publics et de la justice.</w:t>
      </w:r>
    </w:p>
    <w:p w14:paraId="2E0BE5BF" w14:textId="6F8051C0" w:rsidR="000D604B" w:rsidRPr="00492752" w:rsidRDefault="000D604B" w:rsidP="00C06CB4">
      <w:pPr>
        <w:tabs>
          <w:tab w:val="left" w:pos="705"/>
        </w:tabs>
        <w:autoSpaceDE w:val="0"/>
        <w:autoSpaceDN w:val="0"/>
        <w:spacing w:before="120" w:after="120" w:line="240" w:lineRule="auto"/>
        <w:jc w:val="both"/>
        <w:rPr>
          <w:rFonts w:ascii="Times New Roman" w:hAnsi="Times New Roman"/>
          <w:iCs/>
          <w:sz w:val="23"/>
          <w:szCs w:val="23"/>
        </w:rPr>
      </w:pPr>
      <w:r w:rsidRPr="000D604B">
        <w:rPr>
          <w:rFonts w:ascii="Times New Roman" w:hAnsi="Times New Roman"/>
          <w:iCs/>
          <w:sz w:val="23"/>
          <w:szCs w:val="23"/>
        </w:rPr>
        <w:t xml:space="preserve">Pour y remédier, </w:t>
      </w:r>
      <w:r w:rsidRPr="000D604B">
        <w:rPr>
          <w:rFonts w:ascii="Times New Roman" w:hAnsi="Times New Roman"/>
          <w:b/>
          <w:iCs/>
          <w:sz w:val="23"/>
          <w:szCs w:val="23"/>
        </w:rPr>
        <w:t xml:space="preserve">les gouvernements successifs ont </w:t>
      </w:r>
      <w:r w:rsidR="00FD196C">
        <w:rPr>
          <w:rFonts w:ascii="Times New Roman" w:hAnsi="Times New Roman"/>
          <w:b/>
          <w:iCs/>
          <w:sz w:val="23"/>
          <w:szCs w:val="23"/>
        </w:rPr>
        <w:t>engagé</w:t>
      </w:r>
      <w:r w:rsidRPr="000D604B">
        <w:rPr>
          <w:rFonts w:ascii="Times New Roman" w:hAnsi="Times New Roman"/>
          <w:b/>
          <w:iCs/>
          <w:sz w:val="23"/>
          <w:szCs w:val="23"/>
        </w:rPr>
        <w:t xml:space="preserve"> différentes réformes structurelles, en particulier depuis 2012</w:t>
      </w:r>
      <w:r w:rsidRPr="000D604B">
        <w:rPr>
          <w:rFonts w:ascii="Times New Roman" w:hAnsi="Times New Roman"/>
          <w:iCs/>
          <w:sz w:val="23"/>
          <w:szCs w:val="23"/>
        </w:rPr>
        <w:t>, par exemple dans les domaines de la concurrence</w:t>
      </w:r>
      <w:r w:rsidR="00492752">
        <w:rPr>
          <w:rFonts w:ascii="Times New Roman" w:hAnsi="Times New Roman"/>
          <w:iCs/>
          <w:sz w:val="23"/>
          <w:szCs w:val="23"/>
        </w:rPr>
        <w:t xml:space="preserve"> sectorielle</w:t>
      </w:r>
      <w:r w:rsidRPr="000D604B">
        <w:rPr>
          <w:rFonts w:ascii="Times New Roman" w:hAnsi="Times New Roman"/>
          <w:iCs/>
          <w:sz w:val="23"/>
          <w:szCs w:val="23"/>
        </w:rPr>
        <w:t xml:space="preserve">, </w:t>
      </w:r>
      <w:r w:rsidR="00492752">
        <w:rPr>
          <w:rFonts w:ascii="Times New Roman" w:hAnsi="Times New Roman"/>
          <w:iCs/>
          <w:sz w:val="23"/>
          <w:szCs w:val="23"/>
        </w:rPr>
        <w:t xml:space="preserve">de la numérisation de l’économie et des entreprises, </w:t>
      </w:r>
      <w:r w:rsidRPr="000D604B">
        <w:rPr>
          <w:rFonts w:ascii="Times New Roman" w:hAnsi="Times New Roman"/>
          <w:iCs/>
          <w:sz w:val="23"/>
          <w:szCs w:val="23"/>
        </w:rPr>
        <w:t>du marché du travail (</w:t>
      </w:r>
      <w:r w:rsidRPr="000D604B">
        <w:rPr>
          <w:rFonts w:ascii="Times New Roman" w:hAnsi="Times New Roman"/>
          <w:i/>
          <w:iCs/>
          <w:sz w:val="23"/>
          <w:szCs w:val="23"/>
        </w:rPr>
        <w:t xml:space="preserve">Jobs </w:t>
      </w:r>
      <w:proofErr w:type="spellStart"/>
      <w:r w:rsidRPr="000D604B">
        <w:rPr>
          <w:rFonts w:ascii="Times New Roman" w:hAnsi="Times New Roman"/>
          <w:i/>
          <w:iCs/>
          <w:sz w:val="23"/>
          <w:szCs w:val="23"/>
        </w:rPr>
        <w:t>Act</w:t>
      </w:r>
      <w:proofErr w:type="spellEnd"/>
      <w:r w:rsidRPr="000D604B">
        <w:rPr>
          <w:rFonts w:ascii="Times New Roman" w:hAnsi="Times New Roman"/>
          <w:iCs/>
          <w:sz w:val="23"/>
          <w:szCs w:val="23"/>
        </w:rPr>
        <w:t xml:space="preserve">), </w:t>
      </w:r>
      <w:r w:rsidR="00492752">
        <w:rPr>
          <w:rFonts w:ascii="Times New Roman" w:hAnsi="Times New Roman"/>
          <w:iCs/>
          <w:sz w:val="23"/>
          <w:szCs w:val="23"/>
        </w:rPr>
        <w:t xml:space="preserve">du secteur bancaire, </w:t>
      </w:r>
      <w:r w:rsidRPr="000D604B">
        <w:rPr>
          <w:rFonts w:ascii="Times New Roman" w:hAnsi="Times New Roman"/>
          <w:iCs/>
          <w:sz w:val="23"/>
          <w:szCs w:val="23"/>
        </w:rPr>
        <w:t>de l’administration</w:t>
      </w:r>
      <w:r w:rsidR="00492752">
        <w:rPr>
          <w:rFonts w:ascii="Times New Roman" w:hAnsi="Times New Roman"/>
          <w:iCs/>
          <w:sz w:val="23"/>
          <w:szCs w:val="23"/>
        </w:rPr>
        <w:t xml:space="preserve"> publique</w:t>
      </w:r>
      <w:r w:rsidRPr="000D604B">
        <w:rPr>
          <w:rFonts w:ascii="Times New Roman" w:hAnsi="Times New Roman"/>
          <w:iCs/>
          <w:sz w:val="23"/>
          <w:szCs w:val="23"/>
        </w:rPr>
        <w:t xml:space="preserve">, de l’organisation fiscale et de la lutte contre la fraude, de l’éducation. </w:t>
      </w:r>
      <w:r w:rsidRPr="00492752">
        <w:rPr>
          <w:rFonts w:ascii="Times New Roman" w:hAnsi="Times New Roman"/>
          <w:iCs/>
          <w:sz w:val="23"/>
          <w:szCs w:val="23"/>
        </w:rPr>
        <w:t xml:space="preserve">Leurs effets restent néanmoins encore peu perceptibles </w:t>
      </w:r>
      <w:r w:rsidR="00492752" w:rsidRPr="00492752">
        <w:rPr>
          <w:rFonts w:ascii="Times New Roman" w:hAnsi="Times New Roman"/>
          <w:iCs/>
          <w:sz w:val="23"/>
          <w:szCs w:val="23"/>
        </w:rPr>
        <w:t>dans les résultats macroéconomiques et devraient se faire sentir à plus long terme</w:t>
      </w:r>
      <w:r w:rsidRPr="00492752">
        <w:rPr>
          <w:rFonts w:ascii="Times New Roman" w:hAnsi="Times New Roman"/>
          <w:iCs/>
          <w:sz w:val="23"/>
          <w:szCs w:val="23"/>
        </w:rPr>
        <w:t>.</w:t>
      </w:r>
    </w:p>
    <w:p w14:paraId="2E0BE5C1" w14:textId="475772F5" w:rsidR="000D604B" w:rsidRPr="00C06CB4" w:rsidRDefault="000D604B" w:rsidP="00C06CB4">
      <w:pPr>
        <w:autoSpaceDE w:val="0"/>
        <w:autoSpaceDN w:val="0"/>
        <w:spacing w:before="120" w:after="120" w:line="240" w:lineRule="auto"/>
        <w:jc w:val="both"/>
        <w:rPr>
          <w:rFonts w:ascii="Times New Roman" w:hAnsi="Times New Roman"/>
          <w:iCs/>
          <w:sz w:val="23"/>
          <w:szCs w:val="23"/>
        </w:rPr>
      </w:pPr>
      <w:r w:rsidRPr="00FF2A1E">
        <w:rPr>
          <w:rFonts w:ascii="Times New Roman" w:hAnsi="Times New Roman"/>
          <w:b/>
          <w:sz w:val="23"/>
          <w:szCs w:val="23"/>
          <w:u w:val="single"/>
        </w:rPr>
        <w:t xml:space="preserve">2/ </w:t>
      </w:r>
      <w:r w:rsidR="00D55512">
        <w:rPr>
          <w:rFonts w:ascii="Times New Roman" w:hAnsi="Times New Roman"/>
          <w:b/>
          <w:sz w:val="23"/>
          <w:szCs w:val="23"/>
          <w:u w:val="single"/>
        </w:rPr>
        <w:t>Le</w:t>
      </w:r>
      <w:r w:rsidR="00FF2A1E">
        <w:rPr>
          <w:rFonts w:ascii="Times New Roman" w:hAnsi="Times New Roman"/>
          <w:b/>
          <w:sz w:val="23"/>
          <w:szCs w:val="23"/>
          <w:u w:val="single"/>
        </w:rPr>
        <w:t xml:space="preserve"> défi </w:t>
      </w:r>
      <w:r w:rsidR="00FF2A1E" w:rsidRPr="00C06CB4">
        <w:rPr>
          <w:rFonts w:ascii="Times New Roman" w:hAnsi="Times New Roman"/>
          <w:b/>
          <w:u w:val="single"/>
        </w:rPr>
        <w:t xml:space="preserve">du désendettement des finances publiques </w:t>
      </w:r>
      <w:r w:rsidR="00D55512">
        <w:rPr>
          <w:rFonts w:ascii="Times New Roman" w:hAnsi="Times New Roman"/>
          <w:b/>
          <w:u w:val="single"/>
        </w:rPr>
        <w:t>ne laisse que d</w:t>
      </w:r>
      <w:r w:rsidR="00FF2A1E" w:rsidRPr="00C06CB4">
        <w:rPr>
          <w:rFonts w:ascii="Times New Roman" w:hAnsi="Times New Roman"/>
          <w:b/>
          <w:u w:val="single"/>
        </w:rPr>
        <w:t xml:space="preserve">es marges </w:t>
      </w:r>
      <w:r w:rsidR="00D55512">
        <w:rPr>
          <w:rFonts w:ascii="Times New Roman" w:hAnsi="Times New Roman"/>
          <w:b/>
          <w:u w:val="single"/>
        </w:rPr>
        <w:t>étroites pour la</w:t>
      </w:r>
      <w:r w:rsidR="00FF2A1E" w:rsidRPr="00C06CB4">
        <w:rPr>
          <w:rFonts w:ascii="Times New Roman" w:hAnsi="Times New Roman"/>
          <w:b/>
          <w:u w:val="single"/>
        </w:rPr>
        <w:t xml:space="preserve"> pol</w:t>
      </w:r>
      <w:r w:rsidR="00D55512">
        <w:rPr>
          <w:rFonts w:ascii="Times New Roman" w:hAnsi="Times New Roman"/>
          <w:b/>
          <w:u w:val="single"/>
        </w:rPr>
        <w:t>itique budgétaire</w:t>
      </w:r>
    </w:p>
    <w:p w14:paraId="2E0BE5C2" w14:textId="279CE96C" w:rsidR="006D1CA8" w:rsidRDefault="00D55512" w:rsidP="00C06CB4">
      <w:pPr>
        <w:autoSpaceDE w:val="0"/>
        <w:autoSpaceDN w:val="0"/>
        <w:spacing w:before="120" w:after="120" w:line="240" w:lineRule="auto"/>
        <w:jc w:val="both"/>
        <w:rPr>
          <w:rFonts w:ascii="Times New Roman" w:hAnsi="Times New Roman"/>
          <w:iCs/>
          <w:sz w:val="23"/>
          <w:szCs w:val="23"/>
        </w:rPr>
      </w:pPr>
      <w:r>
        <w:rPr>
          <w:rFonts w:ascii="Times New Roman" w:hAnsi="Times New Roman"/>
          <w:iCs/>
          <w:sz w:val="23"/>
          <w:szCs w:val="23"/>
        </w:rPr>
        <w:t xml:space="preserve">Les finances publiques sont caractérisées par un </w:t>
      </w:r>
      <w:r w:rsidRPr="00025325">
        <w:rPr>
          <w:rFonts w:ascii="Times New Roman" w:hAnsi="Times New Roman"/>
          <w:b/>
          <w:iCs/>
          <w:sz w:val="23"/>
          <w:szCs w:val="23"/>
        </w:rPr>
        <w:t xml:space="preserve">niveau d’endettement élevé </w:t>
      </w:r>
      <w:r w:rsidRPr="00025325">
        <w:rPr>
          <w:rFonts w:ascii="Times New Roman" w:hAnsi="Times New Roman"/>
          <w:b/>
          <w:iCs/>
          <w:sz w:val="23"/>
          <w:szCs w:val="23"/>
        </w:rPr>
        <w:t>(132,6% du PIB fin 2016)</w:t>
      </w:r>
      <w:r w:rsidR="00D80B22">
        <w:rPr>
          <w:rFonts w:ascii="Times New Roman" w:hAnsi="Times New Roman"/>
          <w:iCs/>
          <w:sz w:val="23"/>
          <w:szCs w:val="23"/>
        </w:rPr>
        <w:t xml:space="preserve">, ce qui constitue un facteur de risque </w:t>
      </w:r>
      <w:r w:rsidR="00025325">
        <w:rPr>
          <w:rFonts w:ascii="Times New Roman" w:hAnsi="Times New Roman"/>
          <w:iCs/>
          <w:sz w:val="23"/>
          <w:szCs w:val="23"/>
        </w:rPr>
        <w:t xml:space="preserve">sur la soutenabilité budgétaire </w:t>
      </w:r>
      <w:r w:rsidR="00D80B22">
        <w:rPr>
          <w:rFonts w:ascii="Times New Roman" w:hAnsi="Times New Roman"/>
          <w:iCs/>
          <w:sz w:val="23"/>
          <w:szCs w:val="23"/>
        </w:rPr>
        <w:t>en cas de remontée durable des taux d’intérêts souverains</w:t>
      </w:r>
      <w:r>
        <w:rPr>
          <w:rFonts w:ascii="Times New Roman" w:hAnsi="Times New Roman"/>
          <w:iCs/>
          <w:sz w:val="23"/>
          <w:szCs w:val="23"/>
        </w:rPr>
        <w:t>. Dans cette situation, les règles européennes imposent une trajectoire d’ajustement structurel exigeante laissant pe</w:t>
      </w:r>
      <w:r w:rsidR="0052560F">
        <w:rPr>
          <w:rFonts w:ascii="Times New Roman" w:hAnsi="Times New Roman"/>
          <w:iCs/>
          <w:sz w:val="23"/>
          <w:szCs w:val="23"/>
        </w:rPr>
        <w:t>u de marges à la</w:t>
      </w:r>
      <w:r>
        <w:rPr>
          <w:rFonts w:ascii="Times New Roman" w:hAnsi="Times New Roman"/>
          <w:iCs/>
          <w:sz w:val="23"/>
          <w:szCs w:val="23"/>
        </w:rPr>
        <w:t xml:space="preserve"> politique budgétaire</w:t>
      </w:r>
      <w:r w:rsidR="0052560F">
        <w:rPr>
          <w:rFonts w:ascii="Times New Roman" w:hAnsi="Times New Roman"/>
          <w:iCs/>
          <w:sz w:val="23"/>
          <w:szCs w:val="23"/>
        </w:rPr>
        <w:t xml:space="preserve"> du gouvernement.</w:t>
      </w:r>
    </w:p>
    <w:p w14:paraId="580CDCE5" w14:textId="514B23C0" w:rsidR="0052560F" w:rsidRPr="00C06CB4" w:rsidRDefault="000208DC" w:rsidP="00C06CB4">
      <w:pPr>
        <w:autoSpaceDE w:val="0"/>
        <w:autoSpaceDN w:val="0"/>
        <w:spacing w:before="120" w:after="120" w:line="240" w:lineRule="auto"/>
        <w:jc w:val="both"/>
        <w:rPr>
          <w:rFonts w:ascii="Times New Roman" w:hAnsi="Times New Roman"/>
          <w:iCs/>
          <w:sz w:val="23"/>
          <w:szCs w:val="23"/>
        </w:rPr>
      </w:pPr>
      <w:r>
        <w:rPr>
          <w:rFonts w:ascii="Times New Roman" w:hAnsi="Times New Roman"/>
          <w:iCs/>
          <w:sz w:val="23"/>
          <w:szCs w:val="23"/>
        </w:rPr>
        <w:t xml:space="preserve">Après 2,1% en 2017, </w:t>
      </w:r>
      <w:r w:rsidRPr="00025325">
        <w:rPr>
          <w:rFonts w:ascii="Times New Roman" w:hAnsi="Times New Roman"/>
          <w:b/>
          <w:iCs/>
          <w:sz w:val="23"/>
          <w:szCs w:val="23"/>
        </w:rPr>
        <w:t>le déficit public nominal est prévu à 1,6%</w:t>
      </w:r>
      <w:r w:rsidR="00790E96" w:rsidRPr="00025325">
        <w:rPr>
          <w:rFonts w:ascii="Times New Roman" w:hAnsi="Times New Roman"/>
          <w:b/>
          <w:iCs/>
          <w:sz w:val="23"/>
          <w:szCs w:val="23"/>
        </w:rPr>
        <w:t xml:space="preserve"> du PIB</w:t>
      </w:r>
      <w:r w:rsidRPr="00025325">
        <w:rPr>
          <w:rFonts w:ascii="Times New Roman" w:hAnsi="Times New Roman"/>
          <w:b/>
          <w:iCs/>
          <w:sz w:val="23"/>
          <w:szCs w:val="23"/>
        </w:rPr>
        <w:t xml:space="preserve"> en 2018</w:t>
      </w:r>
      <w:r w:rsidR="00790E96">
        <w:rPr>
          <w:rFonts w:ascii="Times New Roman" w:hAnsi="Times New Roman"/>
          <w:iCs/>
          <w:sz w:val="23"/>
          <w:szCs w:val="23"/>
        </w:rPr>
        <w:t>. Ceci correspondrait à un déficit structurel à 1% du PIB</w:t>
      </w:r>
      <w:r>
        <w:rPr>
          <w:rFonts w:ascii="Times New Roman" w:hAnsi="Times New Roman"/>
          <w:iCs/>
          <w:sz w:val="23"/>
          <w:szCs w:val="23"/>
        </w:rPr>
        <w:t xml:space="preserve">, </w:t>
      </w:r>
      <w:r w:rsidR="00790E96">
        <w:rPr>
          <w:rFonts w:ascii="Times New Roman" w:hAnsi="Times New Roman"/>
          <w:iCs/>
          <w:sz w:val="23"/>
          <w:szCs w:val="23"/>
        </w:rPr>
        <w:t>et un a</w:t>
      </w:r>
      <w:r>
        <w:rPr>
          <w:rFonts w:ascii="Times New Roman" w:hAnsi="Times New Roman"/>
          <w:iCs/>
          <w:sz w:val="23"/>
          <w:szCs w:val="23"/>
        </w:rPr>
        <w:t>justement structurel de 0,3 point de PIB</w:t>
      </w:r>
      <w:r w:rsidR="00790E96">
        <w:rPr>
          <w:rFonts w:ascii="Times New Roman" w:hAnsi="Times New Roman"/>
          <w:iCs/>
          <w:sz w:val="23"/>
          <w:szCs w:val="23"/>
        </w:rPr>
        <w:t xml:space="preserve"> par rapport à l’année précédente. Cet ajustement structurel est toutefois inférieur à celui initialement envisagé dans la trajectoire </w:t>
      </w:r>
      <w:r w:rsidR="00790E96" w:rsidRPr="000D604B">
        <w:rPr>
          <w:rFonts w:ascii="Times New Roman" w:hAnsi="Times New Roman"/>
          <w:iCs/>
          <w:sz w:val="23"/>
          <w:szCs w:val="23"/>
        </w:rPr>
        <w:t>convenue avec la Commission européenne</w:t>
      </w:r>
      <w:r w:rsidR="00D80B22">
        <w:rPr>
          <w:rFonts w:ascii="Times New Roman" w:hAnsi="Times New Roman"/>
          <w:iCs/>
          <w:sz w:val="23"/>
          <w:szCs w:val="23"/>
        </w:rPr>
        <w:t xml:space="preserve">, et l’atteinte de </w:t>
      </w:r>
      <w:r w:rsidR="00790E96" w:rsidRPr="000D604B">
        <w:rPr>
          <w:rFonts w:ascii="Times New Roman" w:hAnsi="Times New Roman"/>
          <w:iCs/>
          <w:sz w:val="23"/>
          <w:szCs w:val="23"/>
        </w:rPr>
        <w:t xml:space="preserve">l’équilibre structurel des finances publiques </w:t>
      </w:r>
      <w:r w:rsidR="00025325">
        <w:rPr>
          <w:rFonts w:ascii="Times New Roman" w:hAnsi="Times New Roman"/>
          <w:iCs/>
          <w:sz w:val="23"/>
          <w:szCs w:val="23"/>
        </w:rPr>
        <w:t>serait</w:t>
      </w:r>
      <w:r w:rsidR="00D80B22">
        <w:rPr>
          <w:rFonts w:ascii="Times New Roman" w:hAnsi="Times New Roman"/>
          <w:iCs/>
          <w:sz w:val="23"/>
          <w:szCs w:val="23"/>
        </w:rPr>
        <w:t xml:space="preserve"> </w:t>
      </w:r>
      <w:proofErr w:type="gramStart"/>
      <w:r w:rsidR="00D80B22">
        <w:rPr>
          <w:rFonts w:ascii="Times New Roman" w:hAnsi="Times New Roman"/>
          <w:iCs/>
          <w:sz w:val="23"/>
          <w:szCs w:val="23"/>
        </w:rPr>
        <w:t>reporté</w:t>
      </w:r>
      <w:proofErr w:type="gramEnd"/>
      <w:r w:rsidR="00D80B22">
        <w:rPr>
          <w:rFonts w:ascii="Times New Roman" w:hAnsi="Times New Roman"/>
          <w:iCs/>
          <w:sz w:val="23"/>
          <w:szCs w:val="23"/>
        </w:rPr>
        <w:t xml:space="preserve"> après 2020. Exprimé en proportion du PIB, l’endettement public devrait </w:t>
      </w:r>
      <w:r w:rsidR="00025325">
        <w:rPr>
          <w:rFonts w:ascii="Times New Roman" w:hAnsi="Times New Roman"/>
          <w:iCs/>
          <w:sz w:val="23"/>
          <w:szCs w:val="23"/>
        </w:rPr>
        <w:t xml:space="preserve">toutefois </w:t>
      </w:r>
      <w:r w:rsidR="00D80B22">
        <w:rPr>
          <w:rFonts w:ascii="Times New Roman" w:hAnsi="Times New Roman"/>
          <w:iCs/>
          <w:sz w:val="23"/>
          <w:szCs w:val="23"/>
        </w:rPr>
        <w:t>refluer à partir de 2017</w:t>
      </w:r>
      <w:r w:rsidR="00025325">
        <w:rPr>
          <w:rFonts w:ascii="Times New Roman" w:hAnsi="Times New Roman"/>
          <w:iCs/>
          <w:sz w:val="23"/>
          <w:szCs w:val="23"/>
        </w:rPr>
        <w:t xml:space="preserve"> (prévision à 130% en 2018)</w:t>
      </w:r>
      <w:r w:rsidR="00D80B22">
        <w:rPr>
          <w:rFonts w:ascii="Times New Roman" w:hAnsi="Times New Roman"/>
          <w:iCs/>
          <w:sz w:val="23"/>
          <w:szCs w:val="23"/>
        </w:rPr>
        <w:t xml:space="preserve">. </w:t>
      </w:r>
      <w:r w:rsidR="00790E96">
        <w:rPr>
          <w:rFonts w:ascii="Times New Roman" w:hAnsi="Times New Roman"/>
          <w:iCs/>
          <w:sz w:val="23"/>
          <w:szCs w:val="23"/>
        </w:rPr>
        <w:t xml:space="preserve">Le solde </w:t>
      </w:r>
      <w:r w:rsidR="00D80B22">
        <w:rPr>
          <w:rFonts w:ascii="Times New Roman" w:hAnsi="Times New Roman"/>
          <w:iCs/>
          <w:sz w:val="23"/>
          <w:szCs w:val="23"/>
        </w:rPr>
        <w:t xml:space="preserve">budgétaire </w:t>
      </w:r>
      <w:r w:rsidR="00790E96">
        <w:rPr>
          <w:rFonts w:ascii="Times New Roman" w:hAnsi="Times New Roman"/>
          <w:iCs/>
          <w:sz w:val="23"/>
          <w:szCs w:val="23"/>
        </w:rPr>
        <w:t xml:space="preserve">primaire (hors prise en compte des intérêts de la dette) </w:t>
      </w:r>
      <w:r w:rsidR="00025325">
        <w:rPr>
          <w:rFonts w:ascii="Times New Roman" w:hAnsi="Times New Roman"/>
          <w:iCs/>
          <w:sz w:val="23"/>
          <w:szCs w:val="23"/>
        </w:rPr>
        <w:t>est</w:t>
      </w:r>
      <w:r w:rsidR="00790E96">
        <w:rPr>
          <w:rFonts w:ascii="Times New Roman" w:hAnsi="Times New Roman"/>
          <w:iCs/>
          <w:sz w:val="23"/>
          <w:szCs w:val="23"/>
        </w:rPr>
        <w:t xml:space="preserve"> prévu </w:t>
      </w:r>
      <w:proofErr w:type="gramStart"/>
      <w:r w:rsidR="00790E96">
        <w:rPr>
          <w:rFonts w:ascii="Times New Roman" w:hAnsi="Times New Roman"/>
          <w:iCs/>
          <w:sz w:val="23"/>
          <w:szCs w:val="23"/>
        </w:rPr>
        <w:t>à</w:t>
      </w:r>
      <w:proofErr w:type="gramEnd"/>
      <w:r w:rsidR="00790E96">
        <w:rPr>
          <w:rFonts w:ascii="Times New Roman" w:hAnsi="Times New Roman"/>
          <w:iCs/>
          <w:sz w:val="23"/>
          <w:szCs w:val="23"/>
        </w:rPr>
        <w:t xml:space="preserve"> +2% du PIB en 2018.</w:t>
      </w:r>
    </w:p>
    <w:p w14:paraId="2E0BE5C7" w14:textId="29B8091C" w:rsidR="000D604B" w:rsidRPr="0052560F" w:rsidRDefault="00790E96" w:rsidP="00C06CB4">
      <w:pPr>
        <w:autoSpaceDE w:val="0"/>
        <w:autoSpaceDN w:val="0"/>
        <w:spacing w:before="120" w:after="120" w:line="240" w:lineRule="auto"/>
        <w:jc w:val="both"/>
        <w:rPr>
          <w:rFonts w:ascii="Times New Roman" w:hAnsi="Times New Roman"/>
          <w:bCs/>
          <w:iCs/>
          <w:sz w:val="23"/>
          <w:szCs w:val="23"/>
        </w:rPr>
      </w:pPr>
      <w:r>
        <w:rPr>
          <w:rFonts w:ascii="Times New Roman" w:hAnsi="Times New Roman"/>
          <w:iCs/>
          <w:sz w:val="23"/>
          <w:szCs w:val="23"/>
        </w:rPr>
        <w:t>Le</w:t>
      </w:r>
      <w:r w:rsidR="0086189F">
        <w:rPr>
          <w:rFonts w:ascii="Times New Roman" w:hAnsi="Times New Roman"/>
          <w:iCs/>
          <w:sz w:val="23"/>
          <w:szCs w:val="23"/>
        </w:rPr>
        <w:t xml:space="preserve"> projet de</w:t>
      </w:r>
      <w:r w:rsidR="000D604B" w:rsidRPr="000D604B">
        <w:rPr>
          <w:rFonts w:ascii="Times New Roman" w:hAnsi="Times New Roman"/>
          <w:iCs/>
          <w:sz w:val="23"/>
          <w:szCs w:val="23"/>
        </w:rPr>
        <w:t xml:space="preserve"> loi de finances </w:t>
      </w:r>
      <w:r>
        <w:rPr>
          <w:rFonts w:ascii="Times New Roman" w:hAnsi="Times New Roman"/>
          <w:iCs/>
          <w:sz w:val="23"/>
          <w:szCs w:val="23"/>
        </w:rPr>
        <w:t xml:space="preserve">pour 2018 </w:t>
      </w:r>
      <w:r w:rsidR="000D604B" w:rsidRPr="000D604B">
        <w:rPr>
          <w:rFonts w:ascii="Times New Roman" w:hAnsi="Times New Roman"/>
          <w:iCs/>
          <w:sz w:val="23"/>
          <w:szCs w:val="23"/>
        </w:rPr>
        <w:t>prévo</w:t>
      </w:r>
      <w:r w:rsidR="0086189F">
        <w:rPr>
          <w:rFonts w:ascii="Times New Roman" w:hAnsi="Times New Roman"/>
          <w:iCs/>
          <w:sz w:val="23"/>
          <w:szCs w:val="23"/>
        </w:rPr>
        <w:t>it</w:t>
      </w:r>
      <w:r w:rsidR="000D604B" w:rsidRPr="000D604B">
        <w:rPr>
          <w:rFonts w:ascii="Times New Roman" w:hAnsi="Times New Roman"/>
          <w:iCs/>
          <w:sz w:val="23"/>
          <w:szCs w:val="23"/>
        </w:rPr>
        <w:t xml:space="preserve"> des mesures </w:t>
      </w:r>
      <w:r>
        <w:rPr>
          <w:rFonts w:ascii="Times New Roman" w:hAnsi="Times New Roman"/>
          <w:iCs/>
          <w:sz w:val="23"/>
          <w:szCs w:val="23"/>
        </w:rPr>
        <w:t xml:space="preserve">nouvelles </w:t>
      </w:r>
      <w:r w:rsidR="000D604B" w:rsidRPr="000D604B">
        <w:rPr>
          <w:rFonts w:ascii="Times New Roman" w:hAnsi="Times New Roman"/>
          <w:iCs/>
          <w:sz w:val="23"/>
          <w:szCs w:val="23"/>
        </w:rPr>
        <w:t xml:space="preserve">de </w:t>
      </w:r>
      <w:r>
        <w:rPr>
          <w:rFonts w:ascii="Times New Roman" w:hAnsi="Times New Roman"/>
          <w:iCs/>
          <w:sz w:val="23"/>
          <w:szCs w:val="23"/>
        </w:rPr>
        <w:t>soutien à la croissance à</w:t>
      </w:r>
      <w:r w:rsidR="0086189F">
        <w:rPr>
          <w:rFonts w:ascii="Times New Roman" w:hAnsi="Times New Roman"/>
          <w:iCs/>
          <w:sz w:val="23"/>
          <w:szCs w:val="23"/>
        </w:rPr>
        <w:t xml:space="preserve"> hauteur de 5 Md€ </w:t>
      </w:r>
      <w:r w:rsidR="000D604B" w:rsidRPr="000D604B">
        <w:rPr>
          <w:rFonts w:ascii="Times New Roman" w:hAnsi="Times New Roman"/>
          <w:iCs/>
          <w:sz w:val="23"/>
          <w:szCs w:val="23"/>
        </w:rPr>
        <w:t>(baisse de la pression fiscale</w:t>
      </w:r>
      <w:r w:rsidR="00386AB2">
        <w:rPr>
          <w:rFonts w:ascii="Times New Roman" w:hAnsi="Times New Roman"/>
          <w:iCs/>
          <w:sz w:val="23"/>
          <w:szCs w:val="23"/>
        </w:rPr>
        <w:t>, investissements publics, lutte contre la pauvreté</w:t>
      </w:r>
      <w:r w:rsidR="000D604B" w:rsidRPr="000D604B">
        <w:rPr>
          <w:rFonts w:ascii="Times New Roman" w:hAnsi="Times New Roman"/>
          <w:iCs/>
          <w:sz w:val="23"/>
          <w:szCs w:val="23"/>
        </w:rPr>
        <w:t>)</w:t>
      </w:r>
      <w:r>
        <w:rPr>
          <w:rFonts w:ascii="Times New Roman" w:hAnsi="Times New Roman"/>
          <w:iCs/>
          <w:sz w:val="23"/>
          <w:szCs w:val="23"/>
        </w:rPr>
        <w:t xml:space="preserve">. </w:t>
      </w:r>
      <w:r w:rsidR="00025325">
        <w:rPr>
          <w:rFonts w:ascii="Times New Roman" w:hAnsi="Times New Roman"/>
          <w:iCs/>
          <w:sz w:val="23"/>
          <w:szCs w:val="23"/>
        </w:rPr>
        <w:t>Dans le cadre de l’examen du projet de budget pour 2018, l</w:t>
      </w:r>
      <w:r w:rsidR="00386AB2">
        <w:rPr>
          <w:rFonts w:ascii="Times New Roman" w:hAnsi="Times New Roman"/>
          <w:iCs/>
          <w:sz w:val="23"/>
          <w:szCs w:val="23"/>
        </w:rPr>
        <w:t xml:space="preserve">a Commission </w:t>
      </w:r>
      <w:r w:rsidR="00025325">
        <w:rPr>
          <w:rFonts w:ascii="Times New Roman" w:hAnsi="Times New Roman"/>
          <w:iCs/>
          <w:sz w:val="23"/>
          <w:szCs w:val="23"/>
        </w:rPr>
        <w:t xml:space="preserve">européenne </w:t>
      </w:r>
      <w:r w:rsidR="00386AB2">
        <w:rPr>
          <w:rFonts w:ascii="Times New Roman" w:hAnsi="Times New Roman"/>
          <w:iCs/>
          <w:sz w:val="23"/>
          <w:szCs w:val="23"/>
        </w:rPr>
        <w:t>a mis en garde l’Italie contre un risque de non-conformité avec le volet préventif du Pacte de stabilité et de croissance et avec les règles sur la dette publique, par courrier adressé au ministre de l’économie et des finances italien le 27 octobre 2017</w:t>
      </w:r>
      <w:r w:rsidR="000D604B" w:rsidRPr="0052560F">
        <w:rPr>
          <w:rFonts w:ascii="Times New Roman" w:hAnsi="Times New Roman"/>
          <w:bCs/>
          <w:iCs/>
          <w:sz w:val="23"/>
          <w:szCs w:val="23"/>
        </w:rPr>
        <w:t>.</w:t>
      </w:r>
    </w:p>
    <w:p w14:paraId="2E0BE5C9" w14:textId="68E8CCEF" w:rsidR="000D604B" w:rsidRDefault="000D604B" w:rsidP="00C06CB4">
      <w:pPr>
        <w:autoSpaceDE w:val="0"/>
        <w:autoSpaceDN w:val="0"/>
        <w:spacing w:before="120" w:after="120" w:line="240" w:lineRule="auto"/>
        <w:jc w:val="both"/>
        <w:rPr>
          <w:rFonts w:ascii="Times New Roman" w:hAnsi="Times New Roman"/>
          <w:b/>
          <w:sz w:val="23"/>
          <w:szCs w:val="23"/>
          <w:u w:val="single"/>
        </w:rPr>
      </w:pPr>
      <w:r w:rsidRPr="000D604B">
        <w:rPr>
          <w:rFonts w:ascii="Times New Roman" w:hAnsi="Times New Roman"/>
          <w:b/>
          <w:sz w:val="23"/>
          <w:szCs w:val="23"/>
          <w:u w:val="single"/>
        </w:rPr>
        <w:t xml:space="preserve">3/ </w:t>
      </w:r>
      <w:r w:rsidR="008B0AD5">
        <w:rPr>
          <w:rFonts w:ascii="Times New Roman" w:hAnsi="Times New Roman"/>
          <w:b/>
          <w:sz w:val="23"/>
          <w:szCs w:val="23"/>
          <w:u w:val="single"/>
        </w:rPr>
        <w:t>Bien que fortement affecté par les années de récession</w:t>
      </w:r>
      <w:r w:rsidRPr="000D604B">
        <w:rPr>
          <w:rFonts w:ascii="Times New Roman" w:hAnsi="Times New Roman"/>
          <w:b/>
          <w:sz w:val="23"/>
          <w:szCs w:val="23"/>
          <w:u w:val="single"/>
        </w:rPr>
        <w:t>, le secteur financier italien fait preuve de résilience</w:t>
      </w:r>
    </w:p>
    <w:p w14:paraId="2E0BE5CB" w14:textId="77316175" w:rsidR="000D604B" w:rsidRDefault="000D604B" w:rsidP="00C06CB4">
      <w:pPr>
        <w:autoSpaceDE w:val="0"/>
        <w:autoSpaceDN w:val="0"/>
        <w:spacing w:before="120" w:after="120" w:line="240" w:lineRule="auto"/>
        <w:jc w:val="both"/>
        <w:rPr>
          <w:rFonts w:ascii="Times New Roman" w:hAnsi="Times New Roman"/>
          <w:b/>
          <w:sz w:val="23"/>
          <w:szCs w:val="23"/>
        </w:rPr>
      </w:pPr>
      <w:r w:rsidRPr="000D604B">
        <w:rPr>
          <w:rFonts w:ascii="Times New Roman" w:hAnsi="Times New Roman"/>
          <w:b/>
          <w:sz w:val="23"/>
          <w:szCs w:val="23"/>
        </w:rPr>
        <w:t>Si le secteur bancaire italien présente encore des fragilités, liées notamment à sa fragmentation</w:t>
      </w:r>
      <w:r w:rsidRPr="000D604B">
        <w:rPr>
          <w:rFonts w:ascii="Times New Roman" w:hAnsi="Times New Roman"/>
          <w:sz w:val="23"/>
          <w:szCs w:val="23"/>
        </w:rPr>
        <w:t xml:space="preserve"> (604 banques fin 2016</w:t>
      </w:r>
      <w:r w:rsidRPr="000D604B">
        <w:rPr>
          <w:rStyle w:val="Appelnotedebasdep"/>
          <w:rFonts w:ascii="Times New Roman" w:hAnsi="Times New Roman"/>
          <w:sz w:val="23"/>
          <w:szCs w:val="23"/>
        </w:rPr>
        <w:footnoteReference w:id="2"/>
      </w:r>
      <w:r w:rsidRPr="000D604B">
        <w:rPr>
          <w:rFonts w:ascii="Times New Roman" w:hAnsi="Times New Roman"/>
          <w:sz w:val="23"/>
          <w:szCs w:val="23"/>
        </w:rPr>
        <w:t xml:space="preserve">), </w:t>
      </w:r>
      <w:r w:rsidRPr="000D604B">
        <w:rPr>
          <w:rFonts w:ascii="Times New Roman" w:hAnsi="Times New Roman"/>
          <w:b/>
          <w:sz w:val="23"/>
          <w:szCs w:val="23"/>
        </w:rPr>
        <w:t>et au taux important de créances douteuses</w:t>
      </w:r>
      <w:r w:rsidRPr="000D604B">
        <w:rPr>
          <w:rFonts w:ascii="Times New Roman" w:hAnsi="Times New Roman"/>
          <w:sz w:val="23"/>
          <w:szCs w:val="23"/>
        </w:rPr>
        <w:t xml:space="preserve"> (</w:t>
      </w:r>
      <w:r w:rsidRPr="000D604B">
        <w:rPr>
          <w:rFonts w:ascii="Times New Roman" w:hAnsi="Times New Roman"/>
          <w:i/>
          <w:sz w:val="23"/>
          <w:szCs w:val="23"/>
        </w:rPr>
        <w:t xml:space="preserve">Non </w:t>
      </w:r>
      <w:proofErr w:type="spellStart"/>
      <w:r w:rsidRPr="000D604B">
        <w:rPr>
          <w:rFonts w:ascii="Times New Roman" w:hAnsi="Times New Roman"/>
          <w:i/>
          <w:sz w:val="23"/>
          <w:szCs w:val="23"/>
        </w:rPr>
        <w:t>performing</w:t>
      </w:r>
      <w:proofErr w:type="spellEnd"/>
      <w:r w:rsidRPr="000D604B">
        <w:rPr>
          <w:rFonts w:ascii="Times New Roman" w:hAnsi="Times New Roman"/>
          <w:i/>
          <w:sz w:val="23"/>
          <w:szCs w:val="23"/>
        </w:rPr>
        <w:t xml:space="preserve"> </w:t>
      </w:r>
      <w:proofErr w:type="spellStart"/>
      <w:r w:rsidRPr="000D604B">
        <w:rPr>
          <w:rFonts w:ascii="Times New Roman" w:hAnsi="Times New Roman"/>
          <w:i/>
          <w:sz w:val="23"/>
          <w:szCs w:val="23"/>
        </w:rPr>
        <w:t>loans</w:t>
      </w:r>
      <w:proofErr w:type="spellEnd"/>
      <w:r w:rsidRPr="000D604B">
        <w:rPr>
          <w:rFonts w:ascii="Times New Roman" w:hAnsi="Times New Roman"/>
          <w:sz w:val="23"/>
          <w:szCs w:val="23"/>
        </w:rPr>
        <w:t xml:space="preserve"> ou NPL) figurant dans les bilans des banques (349 Md€ d’encours brut au 31 décembre 2016, soit 17,3% de l’encours de crédit ; </w:t>
      </w:r>
      <w:r w:rsidRPr="000D604B">
        <w:rPr>
          <w:rFonts w:ascii="Times New Roman" w:hAnsi="Times New Roman"/>
          <w:b/>
          <w:sz w:val="23"/>
          <w:szCs w:val="23"/>
        </w:rPr>
        <w:t xml:space="preserve">il fait état de résultats </w:t>
      </w:r>
      <w:r w:rsidR="002A6402">
        <w:rPr>
          <w:rFonts w:ascii="Times New Roman" w:hAnsi="Times New Roman"/>
          <w:b/>
          <w:sz w:val="23"/>
          <w:szCs w:val="23"/>
        </w:rPr>
        <w:t xml:space="preserve">en hausse </w:t>
      </w:r>
      <w:r w:rsidRPr="000D604B">
        <w:rPr>
          <w:rFonts w:ascii="Times New Roman" w:hAnsi="Times New Roman"/>
          <w:b/>
          <w:sz w:val="23"/>
          <w:szCs w:val="23"/>
        </w:rPr>
        <w:t>au premier semestre 2017</w:t>
      </w:r>
      <w:r w:rsidR="002A6402">
        <w:rPr>
          <w:rStyle w:val="Appelnotedebasdep"/>
          <w:rFonts w:ascii="Times New Roman" w:hAnsi="Times New Roman"/>
          <w:b/>
          <w:sz w:val="23"/>
          <w:szCs w:val="23"/>
        </w:rPr>
        <w:footnoteReference w:id="3"/>
      </w:r>
      <w:r w:rsidR="002A6402">
        <w:rPr>
          <w:rFonts w:ascii="Times New Roman" w:hAnsi="Times New Roman"/>
          <w:b/>
          <w:sz w:val="23"/>
          <w:szCs w:val="23"/>
        </w:rPr>
        <w:t>, dans un contexte de reprise favorable</w:t>
      </w:r>
      <w:r w:rsidRPr="000D604B">
        <w:rPr>
          <w:rFonts w:ascii="Times New Roman" w:hAnsi="Times New Roman"/>
          <w:b/>
          <w:sz w:val="23"/>
          <w:szCs w:val="23"/>
        </w:rPr>
        <w:t>.</w:t>
      </w:r>
    </w:p>
    <w:p w14:paraId="2E0BE5CF" w14:textId="65EC9182" w:rsidR="000D604B" w:rsidRDefault="002A6402" w:rsidP="00C06CB4">
      <w:pPr>
        <w:autoSpaceDE w:val="0"/>
        <w:autoSpaceDN w:val="0"/>
        <w:spacing w:before="120" w:after="120" w:line="240" w:lineRule="auto"/>
        <w:jc w:val="both"/>
        <w:rPr>
          <w:rFonts w:ascii="Times New Roman" w:hAnsi="Times New Roman"/>
          <w:sz w:val="23"/>
          <w:szCs w:val="23"/>
        </w:rPr>
      </w:pPr>
      <w:r>
        <w:rPr>
          <w:rFonts w:ascii="Times New Roman" w:hAnsi="Times New Roman"/>
          <w:b/>
          <w:sz w:val="23"/>
          <w:szCs w:val="23"/>
        </w:rPr>
        <w:t>E</w:t>
      </w:r>
      <w:r w:rsidR="000D604B" w:rsidRPr="000D604B">
        <w:rPr>
          <w:rFonts w:ascii="Times New Roman" w:hAnsi="Times New Roman"/>
          <w:b/>
          <w:sz w:val="23"/>
          <w:szCs w:val="23"/>
        </w:rPr>
        <w:t xml:space="preserve">n réponse aux difficultés </w:t>
      </w:r>
      <w:r>
        <w:rPr>
          <w:rFonts w:ascii="Times New Roman" w:hAnsi="Times New Roman"/>
          <w:b/>
          <w:sz w:val="23"/>
          <w:szCs w:val="23"/>
        </w:rPr>
        <w:t xml:space="preserve">rencontrées par le secteur bancaire italien ces dernières années, </w:t>
      </w:r>
      <w:r w:rsidR="00203426">
        <w:rPr>
          <w:rFonts w:ascii="Times New Roman" w:hAnsi="Times New Roman"/>
          <w:b/>
          <w:sz w:val="23"/>
          <w:szCs w:val="23"/>
        </w:rPr>
        <w:t xml:space="preserve">le gouvernement a engagé plusieurs </w:t>
      </w:r>
      <w:r w:rsidR="000D604B" w:rsidRPr="000D604B">
        <w:rPr>
          <w:rFonts w:ascii="Times New Roman" w:hAnsi="Times New Roman"/>
          <w:b/>
          <w:sz w:val="23"/>
          <w:szCs w:val="23"/>
        </w:rPr>
        <w:t xml:space="preserve">réformes </w:t>
      </w:r>
      <w:r w:rsidR="00203426">
        <w:rPr>
          <w:rFonts w:ascii="Times New Roman" w:hAnsi="Times New Roman"/>
          <w:b/>
          <w:sz w:val="23"/>
          <w:szCs w:val="23"/>
        </w:rPr>
        <w:t>pour restructurer et consolider le secteur</w:t>
      </w:r>
      <w:r w:rsidR="000D604B" w:rsidRPr="000D604B">
        <w:rPr>
          <w:rFonts w:ascii="Times New Roman" w:hAnsi="Times New Roman"/>
          <w:sz w:val="23"/>
          <w:szCs w:val="23"/>
        </w:rPr>
        <w:t xml:space="preserve"> (réforme des banques populaires, réforme des banques de crédit coopératif, mise en place d’une garantie publique sur les créances douteuses </w:t>
      </w:r>
      <w:proofErr w:type="spellStart"/>
      <w:r w:rsidR="000D604B" w:rsidRPr="000D604B">
        <w:rPr>
          <w:rFonts w:ascii="Times New Roman" w:hAnsi="Times New Roman"/>
          <w:sz w:val="23"/>
          <w:szCs w:val="23"/>
        </w:rPr>
        <w:t>titrisées</w:t>
      </w:r>
      <w:proofErr w:type="spellEnd"/>
      <w:r w:rsidR="000D604B" w:rsidRPr="000D604B">
        <w:rPr>
          <w:rFonts w:ascii="Times New Roman" w:hAnsi="Times New Roman"/>
          <w:sz w:val="23"/>
          <w:szCs w:val="23"/>
        </w:rPr>
        <w:t xml:space="preserve">) </w:t>
      </w:r>
      <w:r w:rsidR="00203426">
        <w:rPr>
          <w:rFonts w:ascii="Times New Roman" w:hAnsi="Times New Roman"/>
          <w:sz w:val="23"/>
          <w:szCs w:val="23"/>
        </w:rPr>
        <w:t xml:space="preserve">et a encouragé la mise en place par le </w:t>
      </w:r>
      <w:r w:rsidR="00203426" w:rsidRPr="00203426">
        <w:rPr>
          <w:rFonts w:ascii="Times New Roman" w:hAnsi="Times New Roman"/>
          <w:sz w:val="23"/>
          <w:szCs w:val="23"/>
        </w:rPr>
        <w:t xml:space="preserve">secteur </w:t>
      </w:r>
      <w:r w:rsidR="000D604B" w:rsidRPr="00203426">
        <w:rPr>
          <w:rFonts w:ascii="Times New Roman" w:hAnsi="Times New Roman"/>
          <w:sz w:val="23"/>
          <w:szCs w:val="23"/>
        </w:rPr>
        <w:t xml:space="preserve">lui-même </w:t>
      </w:r>
      <w:r w:rsidR="00203426">
        <w:rPr>
          <w:rFonts w:ascii="Times New Roman" w:hAnsi="Times New Roman"/>
          <w:sz w:val="23"/>
          <w:szCs w:val="23"/>
        </w:rPr>
        <w:t xml:space="preserve">de dispositifs </w:t>
      </w:r>
      <w:r w:rsidR="003B6113">
        <w:rPr>
          <w:rFonts w:ascii="Times New Roman" w:hAnsi="Times New Roman"/>
          <w:sz w:val="23"/>
          <w:szCs w:val="23"/>
        </w:rPr>
        <w:t xml:space="preserve">mutualisés </w:t>
      </w:r>
      <w:r w:rsidR="00203426">
        <w:rPr>
          <w:rFonts w:ascii="Times New Roman" w:hAnsi="Times New Roman"/>
          <w:sz w:val="23"/>
          <w:szCs w:val="23"/>
        </w:rPr>
        <w:t xml:space="preserve">de soutien financier </w:t>
      </w:r>
      <w:r w:rsidR="000D604B" w:rsidRPr="000D604B">
        <w:rPr>
          <w:rFonts w:ascii="Times New Roman" w:hAnsi="Times New Roman"/>
          <w:sz w:val="23"/>
          <w:szCs w:val="23"/>
        </w:rPr>
        <w:t>(</w:t>
      </w:r>
      <w:r w:rsidR="00203426">
        <w:rPr>
          <w:rFonts w:ascii="Times New Roman" w:hAnsi="Times New Roman"/>
          <w:sz w:val="23"/>
          <w:szCs w:val="23"/>
        </w:rPr>
        <w:t xml:space="preserve">notamment la </w:t>
      </w:r>
      <w:r w:rsidR="000D604B" w:rsidRPr="000D604B">
        <w:rPr>
          <w:rFonts w:ascii="Times New Roman" w:hAnsi="Times New Roman"/>
          <w:sz w:val="23"/>
          <w:szCs w:val="23"/>
        </w:rPr>
        <w:t>création d</w:t>
      </w:r>
      <w:r w:rsidR="00203426">
        <w:rPr>
          <w:rFonts w:ascii="Times New Roman" w:hAnsi="Times New Roman"/>
          <w:sz w:val="23"/>
          <w:szCs w:val="23"/>
        </w:rPr>
        <w:t>es</w:t>
      </w:r>
      <w:r w:rsidR="000D604B" w:rsidRPr="000D604B">
        <w:rPr>
          <w:rFonts w:ascii="Times New Roman" w:hAnsi="Times New Roman"/>
          <w:sz w:val="23"/>
          <w:szCs w:val="23"/>
        </w:rPr>
        <w:t xml:space="preserve"> fonds Atlante </w:t>
      </w:r>
      <w:r w:rsidR="00203426">
        <w:rPr>
          <w:rFonts w:ascii="Times New Roman" w:hAnsi="Times New Roman"/>
          <w:sz w:val="23"/>
          <w:szCs w:val="23"/>
        </w:rPr>
        <w:t>I et II en</w:t>
      </w:r>
      <w:r w:rsidR="000D604B" w:rsidRPr="000D604B">
        <w:rPr>
          <w:rFonts w:ascii="Times New Roman" w:hAnsi="Times New Roman"/>
          <w:sz w:val="23"/>
          <w:szCs w:val="23"/>
        </w:rPr>
        <w:t xml:space="preserve"> 2016</w:t>
      </w:r>
      <w:r w:rsidR="00203426">
        <w:rPr>
          <w:rFonts w:ascii="Times New Roman" w:hAnsi="Times New Roman"/>
          <w:sz w:val="23"/>
          <w:szCs w:val="23"/>
        </w:rPr>
        <w:t>)</w:t>
      </w:r>
      <w:r w:rsidR="000D604B" w:rsidRPr="000D604B">
        <w:rPr>
          <w:rFonts w:ascii="Times New Roman" w:hAnsi="Times New Roman"/>
          <w:sz w:val="23"/>
          <w:szCs w:val="23"/>
        </w:rPr>
        <w:t>.</w:t>
      </w:r>
    </w:p>
    <w:p w14:paraId="2E0BE5D1" w14:textId="53F11FAC" w:rsidR="000D604B" w:rsidRDefault="003B6113" w:rsidP="00C06CB4">
      <w:pPr>
        <w:autoSpaceDE w:val="0"/>
        <w:autoSpaceDN w:val="0"/>
        <w:spacing w:before="120" w:after="120" w:line="240" w:lineRule="auto"/>
        <w:jc w:val="both"/>
        <w:rPr>
          <w:rFonts w:ascii="Times New Roman" w:hAnsi="Times New Roman"/>
          <w:sz w:val="23"/>
          <w:szCs w:val="23"/>
        </w:rPr>
      </w:pPr>
      <w:r>
        <w:rPr>
          <w:rFonts w:ascii="Times New Roman" w:hAnsi="Times New Roman"/>
          <w:sz w:val="23"/>
          <w:szCs w:val="23"/>
        </w:rPr>
        <w:t xml:space="preserve">A la suite de l’échec fin 2016 du plan de recapitalisation privé </w:t>
      </w:r>
      <w:r w:rsidR="000D604B" w:rsidRPr="000D604B">
        <w:rPr>
          <w:rFonts w:ascii="Times New Roman" w:hAnsi="Times New Roman"/>
          <w:sz w:val="23"/>
          <w:szCs w:val="23"/>
        </w:rPr>
        <w:t xml:space="preserve">de la banque </w:t>
      </w:r>
      <w:r w:rsidR="000D604B" w:rsidRPr="000D604B">
        <w:rPr>
          <w:rFonts w:ascii="Times New Roman" w:hAnsi="Times New Roman"/>
          <w:i/>
          <w:sz w:val="23"/>
          <w:szCs w:val="23"/>
        </w:rPr>
        <w:t xml:space="preserve">Monte dei </w:t>
      </w:r>
      <w:proofErr w:type="spellStart"/>
      <w:r w:rsidR="000D604B" w:rsidRPr="000D604B">
        <w:rPr>
          <w:rFonts w:ascii="Times New Roman" w:hAnsi="Times New Roman"/>
          <w:i/>
          <w:sz w:val="23"/>
          <w:szCs w:val="23"/>
        </w:rPr>
        <w:t>Paschi</w:t>
      </w:r>
      <w:proofErr w:type="spellEnd"/>
      <w:r w:rsidR="000D604B" w:rsidRPr="000D604B">
        <w:rPr>
          <w:rFonts w:ascii="Times New Roman" w:hAnsi="Times New Roman"/>
          <w:i/>
          <w:sz w:val="23"/>
          <w:szCs w:val="23"/>
        </w:rPr>
        <w:t xml:space="preserve"> di </w:t>
      </w:r>
      <w:proofErr w:type="spellStart"/>
      <w:r w:rsidR="000D604B" w:rsidRPr="000D604B">
        <w:rPr>
          <w:rFonts w:ascii="Times New Roman" w:hAnsi="Times New Roman"/>
          <w:i/>
          <w:sz w:val="23"/>
          <w:szCs w:val="23"/>
        </w:rPr>
        <w:t>Siena</w:t>
      </w:r>
      <w:proofErr w:type="spellEnd"/>
      <w:r w:rsidR="000D604B" w:rsidRPr="000D604B">
        <w:rPr>
          <w:rFonts w:ascii="Times New Roman" w:hAnsi="Times New Roman"/>
          <w:sz w:val="23"/>
          <w:szCs w:val="23"/>
        </w:rPr>
        <w:t xml:space="preserve"> (MPS</w:t>
      </w:r>
      <w:r w:rsidR="00245611">
        <w:rPr>
          <w:rFonts w:ascii="Times New Roman" w:hAnsi="Times New Roman"/>
          <w:sz w:val="23"/>
          <w:szCs w:val="23"/>
        </w:rPr>
        <w:t xml:space="preserve"> – 4</w:t>
      </w:r>
      <w:r w:rsidR="00245611" w:rsidRPr="00245611">
        <w:rPr>
          <w:rFonts w:ascii="Times New Roman" w:hAnsi="Times New Roman"/>
          <w:sz w:val="23"/>
          <w:szCs w:val="23"/>
          <w:vertAlign w:val="superscript"/>
        </w:rPr>
        <w:t>ème</w:t>
      </w:r>
      <w:r w:rsidR="00245611">
        <w:rPr>
          <w:rFonts w:ascii="Times New Roman" w:hAnsi="Times New Roman"/>
          <w:sz w:val="23"/>
          <w:szCs w:val="23"/>
        </w:rPr>
        <w:t xml:space="preserve"> banque italienne en taille de bilan</w:t>
      </w:r>
      <w:r w:rsidR="000D604B" w:rsidRPr="000D604B">
        <w:rPr>
          <w:rFonts w:ascii="Times New Roman" w:hAnsi="Times New Roman"/>
          <w:sz w:val="23"/>
          <w:szCs w:val="23"/>
        </w:rPr>
        <w:t xml:space="preserve">), </w:t>
      </w:r>
      <w:r w:rsidR="000D604B" w:rsidRPr="00245611">
        <w:rPr>
          <w:rFonts w:ascii="Times New Roman" w:hAnsi="Times New Roman"/>
          <w:b/>
          <w:sz w:val="23"/>
          <w:szCs w:val="23"/>
        </w:rPr>
        <w:t>l</w:t>
      </w:r>
      <w:r w:rsidRPr="00245611">
        <w:rPr>
          <w:rFonts w:ascii="Times New Roman" w:hAnsi="Times New Roman"/>
          <w:b/>
          <w:sz w:val="23"/>
          <w:szCs w:val="23"/>
        </w:rPr>
        <w:t xml:space="preserve">’Etat a </w:t>
      </w:r>
      <w:proofErr w:type="spellStart"/>
      <w:r w:rsidRPr="00245611">
        <w:rPr>
          <w:rFonts w:ascii="Times New Roman" w:hAnsi="Times New Roman"/>
          <w:b/>
          <w:sz w:val="23"/>
          <w:szCs w:val="23"/>
        </w:rPr>
        <w:t>du</w:t>
      </w:r>
      <w:proofErr w:type="spellEnd"/>
      <w:r w:rsidRPr="00245611">
        <w:rPr>
          <w:rFonts w:ascii="Times New Roman" w:hAnsi="Times New Roman"/>
          <w:b/>
          <w:sz w:val="23"/>
          <w:szCs w:val="23"/>
        </w:rPr>
        <w:t xml:space="preserve"> </w:t>
      </w:r>
      <w:r w:rsidR="00B02D19" w:rsidRPr="00245611">
        <w:rPr>
          <w:rFonts w:ascii="Times New Roman" w:hAnsi="Times New Roman"/>
          <w:b/>
          <w:sz w:val="23"/>
          <w:szCs w:val="23"/>
        </w:rPr>
        <w:t>mettre en place en urgence un dispositif de</w:t>
      </w:r>
      <w:r w:rsidRPr="00245611">
        <w:rPr>
          <w:rFonts w:ascii="Times New Roman" w:hAnsi="Times New Roman"/>
          <w:b/>
          <w:sz w:val="23"/>
          <w:szCs w:val="23"/>
        </w:rPr>
        <w:t xml:space="preserve"> soutien financier </w:t>
      </w:r>
      <w:r w:rsidR="00B02D19" w:rsidRPr="00245611">
        <w:rPr>
          <w:rFonts w:ascii="Times New Roman" w:hAnsi="Times New Roman"/>
          <w:b/>
          <w:sz w:val="23"/>
          <w:szCs w:val="23"/>
        </w:rPr>
        <w:t>public pour les banques en difficulté</w:t>
      </w:r>
      <w:r w:rsidR="00B02D19">
        <w:rPr>
          <w:rStyle w:val="Appelnotedebasdep"/>
          <w:rFonts w:ascii="Times New Roman" w:hAnsi="Times New Roman"/>
          <w:sz w:val="23"/>
          <w:szCs w:val="23"/>
        </w:rPr>
        <w:footnoteReference w:id="4"/>
      </w:r>
      <w:r w:rsidR="000D604B" w:rsidRPr="000D604B">
        <w:rPr>
          <w:rFonts w:ascii="Times New Roman" w:hAnsi="Times New Roman"/>
          <w:sz w:val="23"/>
          <w:szCs w:val="23"/>
        </w:rPr>
        <w:t xml:space="preserve">, </w:t>
      </w:r>
      <w:r w:rsidR="00B02D19">
        <w:rPr>
          <w:rFonts w:ascii="Times New Roman" w:hAnsi="Times New Roman"/>
          <w:sz w:val="23"/>
          <w:szCs w:val="23"/>
        </w:rPr>
        <w:t>e</w:t>
      </w:r>
      <w:r>
        <w:rPr>
          <w:rFonts w:ascii="Times New Roman" w:hAnsi="Times New Roman"/>
          <w:sz w:val="23"/>
          <w:szCs w:val="23"/>
        </w:rPr>
        <w:t xml:space="preserve">n </w:t>
      </w:r>
      <w:r w:rsidR="00B02D19">
        <w:rPr>
          <w:rFonts w:ascii="Times New Roman" w:hAnsi="Times New Roman"/>
          <w:sz w:val="23"/>
          <w:szCs w:val="23"/>
        </w:rPr>
        <w:t>accord a</w:t>
      </w:r>
      <w:r>
        <w:rPr>
          <w:rFonts w:ascii="Times New Roman" w:hAnsi="Times New Roman"/>
          <w:sz w:val="23"/>
          <w:szCs w:val="23"/>
        </w:rPr>
        <w:t>vec la Commission européenne et le superviseur bancaire.</w:t>
      </w:r>
    </w:p>
    <w:p w14:paraId="2E0BE5D3" w14:textId="6A827112" w:rsidR="000D604B" w:rsidRDefault="00245611" w:rsidP="00C06CB4">
      <w:pPr>
        <w:autoSpaceDE w:val="0"/>
        <w:autoSpaceDN w:val="0"/>
        <w:spacing w:before="120" w:after="120" w:line="240" w:lineRule="auto"/>
        <w:jc w:val="both"/>
        <w:rPr>
          <w:rFonts w:ascii="Times New Roman" w:hAnsi="Times New Roman"/>
          <w:sz w:val="23"/>
          <w:szCs w:val="23"/>
        </w:rPr>
      </w:pPr>
      <w:r>
        <w:rPr>
          <w:rFonts w:ascii="Times New Roman" w:hAnsi="Times New Roman"/>
          <w:b/>
          <w:sz w:val="23"/>
          <w:szCs w:val="23"/>
        </w:rPr>
        <w:t>L</w:t>
      </w:r>
      <w:r w:rsidR="000D604B" w:rsidRPr="000D604B">
        <w:rPr>
          <w:rFonts w:ascii="Times New Roman" w:hAnsi="Times New Roman"/>
          <w:b/>
          <w:sz w:val="23"/>
          <w:szCs w:val="23"/>
        </w:rPr>
        <w:t>e p</w:t>
      </w:r>
      <w:r>
        <w:rPr>
          <w:rFonts w:ascii="Times New Roman" w:hAnsi="Times New Roman"/>
          <w:b/>
          <w:sz w:val="23"/>
          <w:szCs w:val="23"/>
        </w:rPr>
        <w:t xml:space="preserve">lan de </w:t>
      </w:r>
      <w:r w:rsidR="000D604B" w:rsidRPr="000D604B">
        <w:rPr>
          <w:rFonts w:ascii="Times New Roman" w:hAnsi="Times New Roman"/>
          <w:b/>
          <w:sz w:val="23"/>
          <w:szCs w:val="23"/>
        </w:rPr>
        <w:t xml:space="preserve">redressement de la banque Monte dei </w:t>
      </w:r>
      <w:proofErr w:type="spellStart"/>
      <w:r w:rsidR="000D604B" w:rsidRPr="000D604B">
        <w:rPr>
          <w:rFonts w:ascii="Times New Roman" w:hAnsi="Times New Roman"/>
          <w:b/>
          <w:sz w:val="23"/>
          <w:szCs w:val="23"/>
        </w:rPr>
        <w:t>Paschi</w:t>
      </w:r>
      <w:proofErr w:type="spellEnd"/>
      <w:r w:rsidR="000D604B" w:rsidRPr="000D604B">
        <w:rPr>
          <w:rFonts w:ascii="Times New Roman" w:hAnsi="Times New Roman"/>
          <w:b/>
          <w:sz w:val="23"/>
          <w:szCs w:val="23"/>
        </w:rPr>
        <w:t xml:space="preserve"> di </w:t>
      </w:r>
      <w:proofErr w:type="spellStart"/>
      <w:r w:rsidR="000D604B" w:rsidRPr="000D604B">
        <w:rPr>
          <w:rFonts w:ascii="Times New Roman" w:hAnsi="Times New Roman"/>
          <w:b/>
          <w:sz w:val="23"/>
          <w:szCs w:val="23"/>
        </w:rPr>
        <w:t>Siena</w:t>
      </w:r>
      <w:proofErr w:type="spellEnd"/>
      <w:r w:rsidR="000D604B" w:rsidRPr="000D604B">
        <w:rPr>
          <w:rFonts w:ascii="Times New Roman" w:hAnsi="Times New Roman"/>
          <w:b/>
          <w:sz w:val="23"/>
          <w:szCs w:val="23"/>
        </w:rPr>
        <w:t xml:space="preserve"> (MPS)</w:t>
      </w:r>
      <w:r w:rsidR="000D604B" w:rsidRPr="000D604B">
        <w:rPr>
          <w:rFonts w:ascii="Times New Roman" w:hAnsi="Times New Roman"/>
          <w:sz w:val="23"/>
          <w:szCs w:val="23"/>
        </w:rPr>
        <w:t xml:space="preserve">, approuvé par la Commission européenne le 4 juillet 2017, </w:t>
      </w:r>
      <w:r>
        <w:rPr>
          <w:rFonts w:ascii="Times New Roman" w:hAnsi="Times New Roman"/>
          <w:sz w:val="23"/>
          <w:szCs w:val="23"/>
        </w:rPr>
        <w:t xml:space="preserve">s’est traduit par l’entrée de </w:t>
      </w:r>
      <w:r w:rsidR="000D604B" w:rsidRPr="00C27615">
        <w:rPr>
          <w:rFonts w:ascii="Times New Roman" w:hAnsi="Times New Roman"/>
          <w:sz w:val="23"/>
          <w:szCs w:val="23"/>
        </w:rPr>
        <w:t xml:space="preserve">l’Etat italien au capital à hauteur de 52% </w:t>
      </w:r>
      <w:r w:rsidR="00C27615">
        <w:rPr>
          <w:rFonts w:ascii="Times New Roman" w:hAnsi="Times New Roman"/>
          <w:sz w:val="23"/>
          <w:szCs w:val="23"/>
        </w:rPr>
        <w:t>(augmentation de capital de</w:t>
      </w:r>
      <w:r w:rsidR="000D604B" w:rsidRPr="00C27615">
        <w:rPr>
          <w:rFonts w:ascii="Times New Roman" w:hAnsi="Times New Roman"/>
          <w:sz w:val="23"/>
          <w:szCs w:val="23"/>
        </w:rPr>
        <w:t xml:space="preserve"> 3,85 Md€</w:t>
      </w:r>
      <w:r w:rsidR="00C27615">
        <w:rPr>
          <w:rFonts w:ascii="Times New Roman" w:hAnsi="Times New Roman"/>
          <w:sz w:val="23"/>
          <w:szCs w:val="23"/>
        </w:rPr>
        <w:t>)</w:t>
      </w:r>
      <w:r w:rsidR="000D604B" w:rsidRPr="00C27615">
        <w:rPr>
          <w:rFonts w:ascii="Times New Roman" w:hAnsi="Times New Roman"/>
          <w:sz w:val="23"/>
          <w:szCs w:val="23"/>
        </w:rPr>
        <w:t>.</w:t>
      </w:r>
      <w:r w:rsidR="000D604B" w:rsidRPr="000D604B">
        <w:rPr>
          <w:rFonts w:ascii="Times New Roman" w:hAnsi="Times New Roman"/>
          <w:sz w:val="23"/>
          <w:szCs w:val="23"/>
        </w:rPr>
        <w:t xml:space="preserve"> Cette opération a été validée </w:t>
      </w:r>
      <w:r w:rsidR="00C27615">
        <w:rPr>
          <w:rFonts w:ascii="Times New Roman" w:hAnsi="Times New Roman"/>
          <w:sz w:val="23"/>
          <w:szCs w:val="23"/>
        </w:rPr>
        <w:t xml:space="preserve">par la Commission </w:t>
      </w:r>
      <w:r w:rsidR="000D604B" w:rsidRPr="000D604B">
        <w:rPr>
          <w:rFonts w:ascii="Times New Roman" w:hAnsi="Times New Roman"/>
          <w:sz w:val="23"/>
          <w:szCs w:val="23"/>
        </w:rPr>
        <w:t xml:space="preserve">dans la mesure où elle n’est pas constitutive d’une aide d’Etat et où elle a été précédée d’un partage des charges </w:t>
      </w:r>
      <w:r w:rsidR="00C27615">
        <w:rPr>
          <w:rFonts w:ascii="Times New Roman" w:hAnsi="Times New Roman"/>
          <w:sz w:val="23"/>
          <w:szCs w:val="23"/>
        </w:rPr>
        <w:t>(</w:t>
      </w:r>
      <w:proofErr w:type="spellStart"/>
      <w:r w:rsidR="00C27615">
        <w:rPr>
          <w:rFonts w:ascii="Times New Roman" w:hAnsi="Times New Roman"/>
          <w:sz w:val="23"/>
          <w:szCs w:val="23"/>
        </w:rPr>
        <w:t>burden</w:t>
      </w:r>
      <w:proofErr w:type="spellEnd"/>
      <w:r w:rsidR="00C27615">
        <w:rPr>
          <w:rFonts w:ascii="Times New Roman" w:hAnsi="Times New Roman"/>
          <w:sz w:val="23"/>
          <w:szCs w:val="23"/>
        </w:rPr>
        <w:t xml:space="preserve"> sharing) </w:t>
      </w:r>
      <w:r w:rsidR="000D604B" w:rsidRPr="000D604B">
        <w:rPr>
          <w:rFonts w:ascii="Times New Roman" w:hAnsi="Times New Roman"/>
          <w:sz w:val="23"/>
          <w:szCs w:val="23"/>
        </w:rPr>
        <w:t>sous la forme d’une conversion des obligations subordonnées de la banque en actions à hauteur de 4,47 Md€. La part</w:t>
      </w:r>
      <w:r w:rsidR="00C27615">
        <w:rPr>
          <w:rFonts w:ascii="Times New Roman" w:hAnsi="Times New Roman"/>
          <w:sz w:val="23"/>
          <w:szCs w:val="23"/>
        </w:rPr>
        <w:t xml:space="preserve">icipation </w:t>
      </w:r>
      <w:r w:rsidR="000D604B" w:rsidRPr="000D604B">
        <w:rPr>
          <w:rFonts w:ascii="Times New Roman" w:hAnsi="Times New Roman"/>
          <w:sz w:val="23"/>
          <w:szCs w:val="23"/>
        </w:rPr>
        <w:t xml:space="preserve">de l’Etat </w:t>
      </w:r>
      <w:r w:rsidR="00C27615">
        <w:rPr>
          <w:rFonts w:ascii="Times New Roman" w:hAnsi="Times New Roman"/>
          <w:sz w:val="23"/>
          <w:szCs w:val="23"/>
        </w:rPr>
        <w:t>devrait atteindre</w:t>
      </w:r>
      <w:r w:rsidR="000D604B" w:rsidRPr="000D604B">
        <w:rPr>
          <w:rFonts w:ascii="Times New Roman" w:hAnsi="Times New Roman"/>
          <w:sz w:val="23"/>
          <w:szCs w:val="23"/>
        </w:rPr>
        <w:t xml:space="preserve"> 70% avec le rachat des actions </w:t>
      </w:r>
      <w:r w:rsidR="00C27615">
        <w:rPr>
          <w:rFonts w:ascii="Times New Roman" w:hAnsi="Times New Roman"/>
          <w:sz w:val="23"/>
          <w:szCs w:val="23"/>
        </w:rPr>
        <w:t xml:space="preserve">issues de la conversion des obligations </w:t>
      </w:r>
      <w:r w:rsidR="00D744F6">
        <w:rPr>
          <w:rFonts w:ascii="Times New Roman" w:hAnsi="Times New Roman"/>
          <w:sz w:val="23"/>
          <w:szCs w:val="23"/>
        </w:rPr>
        <w:t xml:space="preserve">détenues par la </w:t>
      </w:r>
      <w:r w:rsidR="00C27615">
        <w:rPr>
          <w:rFonts w:ascii="Times New Roman" w:hAnsi="Times New Roman"/>
          <w:sz w:val="23"/>
          <w:szCs w:val="23"/>
        </w:rPr>
        <w:t xml:space="preserve">clientèle de </w:t>
      </w:r>
      <w:r w:rsidR="00D744F6">
        <w:rPr>
          <w:rFonts w:ascii="Times New Roman" w:hAnsi="Times New Roman"/>
          <w:sz w:val="23"/>
          <w:szCs w:val="23"/>
        </w:rPr>
        <w:t>particuliers</w:t>
      </w:r>
      <w:r w:rsidR="00C27615">
        <w:rPr>
          <w:rFonts w:ascii="Times New Roman" w:hAnsi="Times New Roman"/>
          <w:sz w:val="23"/>
          <w:szCs w:val="23"/>
        </w:rPr>
        <w:t xml:space="preserve">. En parallèle, l’actif du bilan sera allégé par la cession </w:t>
      </w:r>
      <w:r w:rsidR="000D604B" w:rsidRPr="000D604B">
        <w:rPr>
          <w:rFonts w:ascii="Times New Roman" w:hAnsi="Times New Roman"/>
          <w:sz w:val="23"/>
          <w:szCs w:val="23"/>
        </w:rPr>
        <w:t xml:space="preserve">de 28,6 Md€ </w:t>
      </w:r>
      <w:r w:rsidR="00C27615">
        <w:rPr>
          <w:rFonts w:ascii="Times New Roman" w:hAnsi="Times New Roman"/>
          <w:sz w:val="23"/>
          <w:szCs w:val="23"/>
        </w:rPr>
        <w:t xml:space="preserve">(valeur brute) </w:t>
      </w:r>
      <w:r w:rsidR="000D604B" w:rsidRPr="000D604B">
        <w:rPr>
          <w:rFonts w:ascii="Times New Roman" w:hAnsi="Times New Roman"/>
          <w:sz w:val="23"/>
          <w:szCs w:val="23"/>
        </w:rPr>
        <w:t xml:space="preserve">de créances douteuses et la </w:t>
      </w:r>
      <w:r w:rsidR="00C27615">
        <w:rPr>
          <w:rFonts w:ascii="Times New Roman" w:hAnsi="Times New Roman"/>
          <w:sz w:val="23"/>
          <w:szCs w:val="23"/>
        </w:rPr>
        <w:t>banque sera restructurée pour réduire ses coûts.</w:t>
      </w:r>
    </w:p>
    <w:p w14:paraId="2E0BE5D5" w14:textId="218F2191" w:rsidR="000D604B" w:rsidRDefault="000D604B" w:rsidP="00C06CB4">
      <w:pPr>
        <w:autoSpaceDE w:val="0"/>
        <w:autoSpaceDN w:val="0"/>
        <w:spacing w:before="120" w:after="120" w:line="240" w:lineRule="auto"/>
        <w:jc w:val="both"/>
        <w:rPr>
          <w:rFonts w:ascii="Times New Roman" w:hAnsi="Times New Roman"/>
          <w:sz w:val="23"/>
          <w:szCs w:val="23"/>
        </w:rPr>
      </w:pPr>
      <w:r w:rsidRPr="000D604B">
        <w:rPr>
          <w:rFonts w:ascii="Times New Roman" w:hAnsi="Times New Roman"/>
          <w:b/>
          <w:sz w:val="23"/>
          <w:szCs w:val="23"/>
        </w:rPr>
        <w:t xml:space="preserve">Les banques vénitiennes </w:t>
      </w:r>
      <w:proofErr w:type="spellStart"/>
      <w:r w:rsidRPr="000D604B">
        <w:rPr>
          <w:rFonts w:ascii="Times New Roman" w:hAnsi="Times New Roman"/>
          <w:b/>
          <w:i/>
          <w:sz w:val="23"/>
          <w:szCs w:val="23"/>
        </w:rPr>
        <w:t>Banca</w:t>
      </w:r>
      <w:proofErr w:type="spellEnd"/>
      <w:r w:rsidRPr="000D604B">
        <w:rPr>
          <w:rFonts w:ascii="Times New Roman" w:hAnsi="Times New Roman"/>
          <w:b/>
          <w:i/>
          <w:sz w:val="23"/>
          <w:szCs w:val="23"/>
        </w:rPr>
        <w:t xml:space="preserve"> </w:t>
      </w:r>
      <w:proofErr w:type="spellStart"/>
      <w:r w:rsidRPr="000D604B">
        <w:rPr>
          <w:rFonts w:ascii="Times New Roman" w:hAnsi="Times New Roman"/>
          <w:b/>
          <w:i/>
          <w:sz w:val="23"/>
          <w:szCs w:val="23"/>
        </w:rPr>
        <w:t>Popolare</w:t>
      </w:r>
      <w:proofErr w:type="spellEnd"/>
      <w:r w:rsidRPr="000D604B">
        <w:rPr>
          <w:rFonts w:ascii="Times New Roman" w:hAnsi="Times New Roman"/>
          <w:b/>
          <w:i/>
          <w:sz w:val="23"/>
          <w:szCs w:val="23"/>
        </w:rPr>
        <w:t xml:space="preserve"> di </w:t>
      </w:r>
      <w:proofErr w:type="spellStart"/>
      <w:r w:rsidRPr="000D604B">
        <w:rPr>
          <w:rFonts w:ascii="Times New Roman" w:hAnsi="Times New Roman"/>
          <w:b/>
          <w:i/>
          <w:sz w:val="23"/>
          <w:szCs w:val="23"/>
        </w:rPr>
        <w:t>Vicenza</w:t>
      </w:r>
      <w:proofErr w:type="spellEnd"/>
      <w:r w:rsidRPr="000D604B">
        <w:rPr>
          <w:rFonts w:ascii="Times New Roman" w:hAnsi="Times New Roman"/>
          <w:b/>
          <w:sz w:val="23"/>
          <w:szCs w:val="23"/>
        </w:rPr>
        <w:t xml:space="preserve"> (</w:t>
      </w:r>
      <w:proofErr w:type="spellStart"/>
      <w:r w:rsidRPr="000D604B">
        <w:rPr>
          <w:rFonts w:ascii="Times New Roman" w:hAnsi="Times New Roman"/>
          <w:b/>
          <w:sz w:val="23"/>
          <w:szCs w:val="23"/>
        </w:rPr>
        <w:t>BPVi</w:t>
      </w:r>
      <w:proofErr w:type="spellEnd"/>
      <w:r w:rsidRPr="000D604B">
        <w:rPr>
          <w:rFonts w:ascii="Times New Roman" w:hAnsi="Times New Roman"/>
          <w:b/>
          <w:sz w:val="23"/>
          <w:szCs w:val="23"/>
        </w:rPr>
        <w:t xml:space="preserve">) et </w:t>
      </w:r>
      <w:proofErr w:type="spellStart"/>
      <w:r w:rsidRPr="000D604B">
        <w:rPr>
          <w:rFonts w:ascii="Times New Roman" w:hAnsi="Times New Roman"/>
          <w:b/>
          <w:i/>
          <w:sz w:val="23"/>
          <w:szCs w:val="23"/>
        </w:rPr>
        <w:t>Veneto</w:t>
      </w:r>
      <w:proofErr w:type="spellEnd"/>
      <w:r w:rsidRPr="000D604B">
        <w:rPr>
          <w:rFonts w:ascii="Times New Roman" w:hAnsi="Times New Roman"/>
          <w:b/>
          <w:i/>
          <w:sz w:val="23"/>
          <w:szCs w:val="23"/>
        </w:rPr>
        <w:t xml:space="preserve"> </w:t>
      </w:r>
      <w:proofErr w:type="spellStart"/>
      <w:r w:rsidRPr="000D604B">
        <w:rPr>
          <w:rFonts w:ascii="Times New Roman" w:hAnsi="Times New Roman"/>
          <w:b/>
          <w:i/>
          <w:sz w:val="23"/>
          <w:szCs w:val="23"/>
        </w:rPr>
        <w:t>banca</w:t>
      </w:r>
      <w:proofErr w:type="spellEnd"/>
      <w:r w:rsidRPr="000D604B">
        <w:rPr>
          <w:rFonts w:ascii="Times New Roman" w:hAnsi="Times New Roman"/>
          <w:b/>
          <w:i/>
          <w:sz w:val="23"/>
          <w:szCs w:val="23"/>
        </w:rPr>
        <w:t xml:space="preserve"> </w:t>
      </w:r>
      <w:r w:rsidRPr="00D744F6">
        <w:rPr>
          <w:rFonts w:ascii="Times New Roman" w:hAnsi="Times New Roman"/>
          <w:sz w:val="23"/>
          <w:szCs w:val="23"/>
        </w:rPr>
        <w:t>(qui représentent environ 2% du total des dépôts italiens)</w:t>
      </w:r>
      <w:r w:rsidRPr="00D744F6">
        <w:rPr>
          <w:rFonts w:ascii="Times New Roman" w:hAnsi="Times New Roman"/>
          <w:i/>
          <w:sz w:val="23"/>
          <w:szCs w:val="23"/>
        </w:rPr>
        <w:t>,</w:t>
      </w:r>
      <w:r w:rsidRPr="000D604B">
        <w:rPr>
          <w:rFonts w:ascii="Times New Roman" w:hAnsi="Times New Roman"/>
          <w:i/>
          <w:sz w:val="23"/>
          <w:szCs w:val="23"/>
        </w:rPr>
        <w:t xml:space="preserve"> </w:t>
      </w:r>
      <w:r w:rsidRPr="000D604B">
        <w:rPr>
          <w:rFonts w:ascii="Times New Roman" w:hAnsi="Times New Roman"/>
          <w:sz w:val="23"/>
          <w:szCs w:val="23"/>
        </w:rPr>
        <w:t xml:space="preserve">qui avaient </w:t>
      </w:r>
      <w:r w:rsidR="00D744F6">
        <w:rPr>
          <w:rFonts w:ascii="Times New Roman" w:hAnsi="Times New Roman"/>
          <w:sz w:val="23"/>
          <w:szCs w:val="23"/>
        </w:rPr>
        <w:t xml:space="preserve">d’abord envisagé </w:t>
      </w:r>
      <w:r w:rsidRPr="000D604B">
        <w:rPr>
          <w:rFonts w:ascii="Times New Roman" w:hAnsi="Times New Roman"/>
          <w:sz w:val="23"/>
          <w:szCs w:val="23"/>
        </w:rPr>
        <w:t>une recapitalisation publique de précaution</w:t>
      </w:r>
      <w:r w:rsidRPr="00D744F6">
        <w:rPr>
          <w:rFonts w:ascii="Times New Roman" w:hAnsi="Times New Roman"/>
          <w:sz w:val="23"/>
          <w:szCs w:val="23"/>
        </w:rPr>
        <w:t>, ont finalement été mises en liquidation le 25 juin 2017,</w:t>
      </w:r>
      <w:r w:rsidRPr="000D604B">
        <w:rPr>
          <w:rFonts w:ascii="Times New Roman" w:hAnsi="Times New Roman"/>
          <w:sz w:val="23"/>
          <w:szCs w:val="23"/>
        </w:rPr>
        <w:t xml:space="preserve"> en raison d’une situation financière trop dégradée et de leur incapacité à présenter un plan crédible de renforcement de leurs fonds propres. Sélectionnée après appel à manifestation d’intérêt, la banque </w:t>
      </w:r>
      <w:proofErr w:type="spellStart"/>
      <w:r w:rsidRPr="000D604B">
        <w:rPr>
          <w:rFonts w:ascii="Times New Roman" w:hAnsi="Times New Roman"/>
          <w:sz w:val="23"/>
          <w:szCs w:val="23"/>
        </w:rPr>
        <w:t>Intesa</w:t>
      </w:r>
      <w:proofErr w:type="spellEnd"/>
      <w:r w:rsidRPr="000D604B">
        <w:rPr>
          <w:rFonts w:ascii="Times New Roman" w:hAnsi="Times New Roman"/>
          <w:sz w:val="23"/>
          <w:szCs w:val="23"/>
        </w:rPr>
        <w:t xml:space="preserve"> </w:t>
      </w:r>
      <w:proofErr w:type="spellStart"/>
      <w:r w:rsidRPr="000D604B">
        <w:rPr>
          <w:rFonts w:ascii="Times New Roman" w:hAnsi="Times New Roman"/>
          <w:sz w:val="23"/>
          <w:szCs w:val="23"/>
        </w:rPr>
        <w:t>Sanpaolo</w:t>
      </w:r>
      <w:proofErr w:type="spellEnd"/>
      <w:r w:rsidRPr="000D604B">
        <w:rPr>
          <w:rFonts w:ascii="Times New Roman" w:hAnsi="Times New Roman"/>
          <w:sz w:val="23"/>
          <w:szCs w:val="23"/>
        </w:rPr>
        <w:t xml:space="preserve"> a repris les actifs et passifs des deux banques vénitiennes, à l’exception de leurs créances douteuses, transférées dans une </w:t>
      </w:r>
      <w:proofErr w:type="spellStart"/>
      <w:r w:rsidRPr="000D604B">
        <w:rPr>
          <w:rFonts w:ascii="Times New Roman" w:hAnsi="Times New Roman"/>
          <w:i/>
          <w:sz w:val="23"/>
          <w:szCs w:val="23"/>
        </w:rPr>
        <w:t>bad</w:t>
      </w:r>
      <w:proofErr w:type="spellEnd"/>
      <w:r w:rsidRPr="000D604B">
        <w:rPr>
          <w:rFonts w:ascii="Times New Roman" w:hAnsi="Times New Roman"/>
          <w:i/>
          <w:sz w:val="23"/>
          <w:szCs w:val="23"/>
        </w:rPr>
        <w:t xml:space="preserve"> </w:t>
      </w:r>
      <w:proofErr w:type="spellStart"/>
      <w:r w:rsidRPr="000D604B">
        <w:rPr>
          <w:rFonts w:ascii="Times New Roman" w:hAnsi="Times New Roman"/>
          <w:i/>
          <w:sz w:val="23"/>
          <w:szCs w:val="23"/>
        </w:rPr>
        <w:t>bank</w:t>
      </w:r>
      <w:proofErr w:type="spellEnd"/>
      <w:r w:rsidRPr="000D604B">
        <w:rPr>
          <w:rFonts w:ascii="Times New Roman" w:hAnsi="Times New Roman"/>
          <w:sz w:val="23"/>
          <w:szCs w:val="23"/>
        </w:rPr>
        <w:t xml:space="preserve"> publique, et de leurs passifs subordonnés, permettant ainsi la poursuite de l’activité des réseaux de ces banques et la protection de leurs déposants et créanciers seniors. L’Etat italien interviendra au capital d’</w:t>
      </w:r>
      <w:proofErr w:type="spellStart"/>
      <w:r w:rsidRPr="000D604B">
        <w:rPr>
          <w:rFonts w:ascii="Times New Roman" w:hAnsi="Times New Roman"/>
          <w:sz w:val="23"/>
          <w:szCs w:val="23"/>
        </w:rPr>
        <w:t>Intesa</w:t>
      </w:r>
      <w:proofErr w:type="spellEnd"/>
      <w:r w:rsidRPr="000D604B">
        <w:rPr>
          <w:rFonts w:ascii="Times New Roman" w:hAnsi="Times New Roman"/>
          <w:sz w:val="23"/>
          <w:szCs w:val="23"/>
        </w:rPr>
        <w:t xml:space="preserve"> </w:t>
      </w:r>
      <w:r w:rsidR="00D744F6">
        <w:rPr>
          <w:rFonts w:ascii="Times New Roman" w:hAnsi="Times New Roman"/>
          <w:sz w:val="23"/>
          <w:szCs w:val="23"/>
        </w:rPr>
        <w:t xml:space="preserve">San Paolo </w:t>
      </w:r>
      <w:r w:rsidRPr="000D604B">
        <w:rPr>
          <w:rFonts w:ascii="Times New Roman" w:hAnsi="Times New Roman"/>
          <w:sz w:val="23"/>
          <w:szCs w:val="23"/>
        </w:rPr>
        <w:t xml:space="preserve">à hauteur de 5 </w:t>
      </w:r>
      <w:r w:rsidR="00D744F6">
        <w:rPr>
          <w:rFonts w:ascii="Times New Roman" w:hAnsi="Times New Roman"/>
          <w:sz w:val="23"/>
          <w:szCs w:val="23"/>
        </w:rPr>
        <w:t>Md</w:t>
      </w:r>
      <w:r w:rsidRPr="000D604B">
        <w:rPr>
          <w:rFonts w:ascii="Times New Roman" w:hAnsi="Times New Roman"/>
          <w:sz w:val="23"/>
          <w:szCs w:val="23"/>
        </w:rPr>
        <w:t>€, afin de maintenir à un niveau inchangé ses ratios prudentiels et accordera près de 12 Md€ de garanties publiques.</w:t>
      </w:r>
    </w:p>
    <w:p w14:paraId="2E0BE5D7" w14:textId="77777777" w:rsidR="000D604B" w:rsidRPr="000D604B" w:rsidRDefault="000D604B" w:rsidP="00C06CB4">
      <w:pPr>
        <w:spacing w:before="120" w:after="120" w:line="240" w:lineRule="auto"/>
        <w:jc w:val="both"/>
        <w:rPr>
          <w:rFonts w:ascii="Times New Roman" w:hAnsi="Times New Roman"/>
          <w:sz w:val="23"/>
          <w:szCs w:val="23"/>
        </w:rPr>
      </w:pPr>
      <w:r w:rsidRPr="000D604B">
        <w:rPr>
          <w:rFonts w:ascii="Times New Roman" w:hAnsi="Times New Roman"/>
          <w:b/>
          <w:sz w:val="23"/>
          <w:szCs w:val="23"/>
        </w:rPr>
        <w:t>Par ailleurs, la réforme des banques mutualistes</w:t>
      </w:r>
      <w:r w:rsidRPr="000D604B">
        <w:rPr>
          <w:rFonts w:ascii="Times New Roman" w:hAnsi="Times New Roman"/>
          <w:sz w:val="23"/>
          <w:szCs w:val="23"/>
        </w:rPr>
        <w:t xml:space="preserve"> (</w:t>
      </w:r>
      <w:r w:rsidRPr="000D604B">
        <w:rPr>
          <w:rFonts w:ascii="Times New Roman" w:hAnsi="Times New Roman"/>
          <w:i/>
          <w:sz w:val="23"/>
          <w:szCs w:val="23"/>
        </w:rPr>
        <w:t>BCC – Banques de crédit coopératif</w:t>
      </w:r>
      <w:r w:rsidRPr="000D604B">
        <w:rPr>
          <w:rFonts w:ascii="Times New Roman" w:hAnsi="Times New Roman"/>
          <w:sz w:val="23"/>
          <w:szCs w:val="23"/>
        </w:rPr>
        <w:t xml:space="preserve">) </w:t>
      </w:r>
      <w:r w:rsidRPr="000D604B">
        <w:rPr>
          <w:rFonts w:ascii="Times New Roman" w:hAnsi="Times New Roman"/>
          <w:b/>
          <w:sz w:val="23"/>
          <w:szCs w:val="23"/>
        </w:rPr>
        <w:t xml:space="preserve">poursuit son cours. Les 313 établissements </w:t>
      </w:r>
      <w:r w:rsidRPr="000D604B">
        <w:rPr>
          <w:rFonts w:ascii="Times New Roman" w:hAnsi="Times New Roman"/>
          <w:sz w:val="23"/>
          <w:szCs w:val="23"/>
        </w:rPr>
        <w:t>(contre 367 fin 2015)</w:t>
      </w:r>
      <w:r w:rsidRPr="000D604B">
        <w:rPr>
          <w:rFonts w:ascii="Times New Roman" w:hAnsi="Times New Roman"/>
          <w:b/>
          <w:sz w:val="23"/>
          <w:szCs w:val="23"/>
        </w:rPr>
        <w:t xml:space="preserve"> du secteur devraient se regrouper d’ici </w:t>
      </w:r>
      <w:bookmarkStart w:id="0" w:name="_GoBack"/>
      <w:bookmarkEnd w:id="0"/>
      <w:r w:rsidRPr="000D604B">
        <w:rPr>
          <w:rFonts w:ascii="Times New Roman" w:hAnsi="Times New Roman"/>
          <w:b/>
          <w:sz w:val="23"/>
          <w:szCs w:val="23"/>
        </w:rPr>
        <w:t>mai 2018 sous l’égide de trois sociétés mères</w:t>
      </w:r>
      <w:r w:rsidRPr="000D604B">
        <w:rPr>
          <w:rFonts w:ascii="Times New Roman" w:hAnsi="Times New Roman"/>
          <w:sz w:val="23"/>
          <w:szCs w:val="23"/>
        </w:rPr>
        <w:t xml:space="preserve"> (deux de niveau national et une de niveau régional).</w:t>
      </w:r>
    </w:p>
    <w:sectPr w:rsidR="000D604B" w:rsidRPr="000D604B" w:rsidSect="008A7FB4">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C8FE0" w14:textId="77777777" w:rsidR="00920237" w:rsidRDefault="00920237" w:rsidP="001B559D">
      <w:pPr>
        <w:spacing w:after="0" w:line="240" w:lineRule="auto"/>
      </w:pPr>
      <w:r>
        <w:separator/>
      </w:r>
    </w:p>
  </w:endnote>
  <w:endnote w:type="continuationSeparator" w:id="0">
    <w:p w14:paraId="5AD7293C" w14:textId="77777777" w:rsidR="00920237" w:rsidRDefault="00920237" w:rsidP="001B559D">
      <w:pPr>
        <w:spacing w:after="0" w:line="240" w:lineRule="auto"/>
      </w:pPr>
      <w:r>
        <w:continuationSeparator/>
      </w:r>
    </w:p>
  </w:endnote>
  <w:endnote w:type="continuationNotice" w:id="1">
    <w:p w14:paraId="0E0B8E14" w14:textId="77777777" w:rsidR="00920237" w:rsidRDefault="00920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PCL6)">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BE5ED" w14:textId="77777777" w:rsidR="001B559D" w:rsidRPr="00073175" w:rsidRDefault="003C57B2" w:rsidP="001B559D">
    <w:pPr>
      <w:pBdr>
        <w:top w:val="single" w:sz="4" w:space="1" w:color="auto"/>
      </w:pBdr>
      <w:tabs>
        <w:tab w:val="center" w:pos="4536"/>
        <w:tab w:val="right" w:pos="9072"/>
      </w:tabs>
      <w:spacing w:after="0" w:line="240" w:lineRule="auto"/>
      <w:jc w:val="center"/>
      <w:rPr>
        <w:rFonts w:ascii="Univers" w:eastAsia="Times New Roman" w:hAnsi="Univers"/>
        <w:noProof/>
        <w:sz w:val="16"/>
        <w:szCs w:val="16"/>
        <w:lang w:val="it-IT" w:eastAsia="fr-FR"/>
      </w:rPr>
    </w:pPr>
    <w:r w:rsidRPr="00073175">
      <w:rPr>
        <w:rFonts w:ascii="Univers" w:eastAsia="Times New Roman" w:hAnsi="Univers"/>
        <w:noProof/>
        <w:sz w:val="16"/>
        <w:szCs w:val="16"/>
        <w:lang w:val="it-IT" w:eastAsia="fr-FR"/>
      </w:rPr>
      <w:t>Piazza Farnese, 48</w:t>
    </w:r>
    <w:r w:rsidR="001B559D" w:rsidRPr="00073175">
      <w:rPr>
        <w:rFonts w:ascii="Univers" w:eastAsia="Times New Roman" w:hAnsi="Univers"/>
        <w:noProof/>
        <w:sz w:val="16"/>
        <w:szCs w:val="16"/>
        <w:lang w:val="it-IT" w:eastAsia="fr-FR"/>
      </w:rPr>
      <w:t>- 00186 Rome</w:t>
    </w:r>
  </w:p>
  <w:p w14:paraId="2E0BE5EE" w14:textId="77777777" w:rsidR="001B559D" w:rsidRPr="00014F6A" w:rsidRDefault="001B559D" w:rsidP="001B559D">
    <w:pPr>
      <w:tabs>
        <w:tab w:val="center" w:pos="4536"/>
        <w:tab w:val="right" w:pos="9072"/>
      </w:tabs>
      <w:spacing w:after="0" w:line="240" w:lineRule="auto"/>
      <w:jc w:val="center"/>
      <w:rPr>
        <w:rFonts w:ascii="Univers" w:eastAsia="Times New Roman" w:hAnsi="Univers"/>
        <w:noProof/>
        <w:sz w:val="16"/>
        <w:szCs w:val="16"/>
        <w:lang w:val="it-IT" w:eastAsia="fr-FR"/>
      </w:rPr>
    </w:pPr>
    <w:r w:rsidRPr="00014F6A">
      <w:rPr>
        <w:rFonts w:ascii="Univers" w:eastAsia="Times New Roman" w:hAnsi="Univers"/>
        <w:noProof/>
        <w:sz w:val="16"/>
        <w:szCs w:val="16"/>
        <w:lang w:val="it-IT" w:eastAsia="fr-FR"/>
      </w:rPr>
      <w:t xml:space="preserve">Tél. : (39) 06 68 19 15 01 - Fax : (39) 06 68 97 027 </w:t>
    </w:r>
  </w:p>
  <w:p w14:paraId="2E0BE5EF" w14:textId="77777777" w:rsidR="001B559D" w:rsidRPr="00014F6A" w:rsidRDefault="001B559D" w:rsidP="001B559D">
    <w:pPr>
      <w:spacing w:after="0" w:line="240" w:lineRule="auto"/>
      <w:jc w:val="center"/>
      <w:rPr>
        <w:sz w:val="16"/>
        <w:szCs w:val="16"/>
        <w:lang w:val="it-IT"/>
      </w:rPr>
    </w:pPr>
    <w:r w:rsidRPr="00014F6A">
      <w:rPr>
        <w:rFonts w:ascii="Univers" w:eastAsia="Times New Roman" w:hAnsi="Univers"/>
        <w:noProof/>
        <w:sz w:val="16"/>
        <w:szCs w:val="16"/>
        <w:lang w:val="it-IT" w:eastAsia="fr-FR"/>
      </w:rPr>
      <w:t>http://www.tresor.economie.gouv.fr/se/italie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D1A16" w14:textId="77777777" w:rsidR="00920237" w:rsidRDefault="00920237" w:rsidP="001B559D">
      <w:pPr>
        <w:spacing w:after="0" w:line="240" w:lineRule="auto"/>
      </w:pPr>
      <w:r>
        <w:separator/>
      </w:r>
    </w:p>
  </w:footnote>
  <w:footnote w:type="continuationSeparator" w:id="0">
    <w:p w14:paraId="41591DED" w14:textId="77777777" w:rsidR="00920237" w:rsidRDefault="00920237" w:rsidP="001B559D">
      <w:pPr>
        <w:spacing w:after="0" w:line="240" w:lineRule="auto"/>
      </w:pPr>
      <w:r>
        <w:continuationSeparator/>
      </w:r>
    </w:p>
  </w:footnote>
  <w:footnote w:type="continuationNotice" w:id="1">
    <w:p w14:paraId="108B52A8" w14:textId="77777777" w:rsidR="00920237" w:rsidRDefault="00920237">
      <w:pPr>
        <w:spacing w:after="0" w:line="240" w:lineRule="auto"/>
      </w:pPr>
    </w:p>
  </w:footnote>
  <w:footnote w:id="2">
    <w:p w14:paraId="2E0BE5F3" w14:textId="24C62C9B" w:rsidR="000D604B" w:rsidRPr="00245611" w:rsidRDefault="000D604B" w:rsidP="002A6402">
      <w:pPr>
        <w:pStyle w:val="Notedebasdepage"/>
      </w:pPr>
      <w:r w:rsidRPr="002A6402">
        <w:rPr>
          <w:rStyle w:val="Appelnotedebasdep"/>
        </w:rPr>
        <w:footnoteRef/>
      </w:r>
      <w:r w:rsidRPr="002A6402">
        <w:t xml:space="preserve"> </w:t>
      </w:r>
      <w:r w:rsidRPr="00245611">
        <w:t>Contre 643 fin 2015 et 788 fin 2009.</w:t>
      </w:r>
    </w:p>
  </w:footnote>
  <w:footnote w:id="3">
    <w:p w14:paraId="3C74C914" w14:textId="1693D9C4" w:rsidR="002A6402" w:rsidRPr="00245611" w:rsidRDefault="002A6402" w:rsidP="002A6402">
      <w:pPr>
        <w:pStyle w:val="Notedebasdepage"/>
      </w:pPr>
      <w:r w:rsidRPr="00245611">
        <w:rPr>
          <w:rStyle w:val="Appelnotedebasdep"/>
        </w:rPr>
        <w:footnoteRef/>
      </w:r>
      <w:r w:rsidRPr="00245611">
        <w:t xml:space="preserve"> </w:t>
      </w:r>
      <w:r w:rsidRPr="00245611">
        <w:t xml:space="preserve">C’est notamment le cas des deux principales banques italiennes : la banque </w:t>
      </w:r>
      <w:proofErr w:type="spellStart"/>
      <w:r w:rsidRPr="00245611">
        <w:t>UniCredit</w:t>
      </w:r>
      <w:proofErr w:type="spellEnd"/>
      <w:r w:rsidRPr="00245611">
        <w:t xml:space="preserve"> affiche</w:t>
      </w:r>
      <w:r w:rsidRPr="00245611">
        <w:t xml:space="preserve"> un bénéfice net de 1,9 Md€ (contre 1,3 Md€ un an auparavant), et un ratio de solvabilité CET1 à 12,8% fin juin 2017 (contre 10,33% au 1</w:t>
      </w:r>
      <w:r w:rsidRPr="00245611">
        <w:rPr>
          <w:vertAlign w:val="superscript"/>
        </w:rPr>
        <w:t>er</w:t>
      </w:r>
      <w:r w:rsidRPr="00245611">
        <w:t xml:space="preserve"> semestre 2016), et </w:t>
      </w:r>
      <w:r w:rsidRPr="00245611">
        <w:t xml:space="preserve">la banque </w:t>
      </w:r>
      <w:proofErr w:type="spellStart"/>
      <w:r w:rsidRPr="00245611">
        <w:t>Intesa</w:t>
      </w:r>
      <w:proofErr w:type="spellEnd"/>
      <w:r w:rsidRPr="00245611">
        <w:t xml:space="preserve"> San Paolo qui affiche un bénéfice net de 1,7 Md€ et un ratio CET1 de 13%. Le premier assureur italien, Generali, a publié un résultat semestriel en hausse de 3,7%, avec un bénéfice net de 1,2 Md€.</w:t>
      </w:r>
    </w:p>
  </w:footnote>
  <w:footnote w:id="4">
    <w:p w14:paraId="052BF58A" w14:textId="3AF95C90" w:rsidR="00B02D19" w:rsidRPr="00245611" w:rsidRDefault="00B02D19">
      <w:pPr>
        <w:pStyle w:val="Notedebasdepage"/>
      </w:pPr>
      <w:r w:rsidRPr="00245611">
        <w:rPr>
          <w:rStyle w:val="Appelnotedebasdep"/>
        </w:rPr>
        <w:footnoteRef/>
      </w:r>
      <w:r w:rsidRPr="00245611">
        <w:t xml:space="preserve"> Prévu par le décret-loi du 23 décembre 2016 converti en </w:t>
      </w:r>
      <w:proofErr w:type="spellStart"/>
      <w:r w:rsidRPr="00245611">
        <w:t>loile</w:t>
      </w:r>
      <w:proofErr w:type="spellEnd"/>
      <w:r w:rsidRPr="00245611">
        <w:t xml:space="preserve"> 16 février 2017, le dispositif comprend </w:t>
      </w:r>
      <w:r w:rsidRPr="00245611">
        <w:t>un fonds doté de 20 Md€ permettant l’intervention financière de l’Etat</w:t>
      </w:r>
      <w:r w:rsidRPr="00245611">
        <w:rPr>
          <w:b/>
        </w:rPr>
        <w:t xml:space="preserve"> </w:t>
      </w:r>
      <w:r w:rsidRPr="00245611">
        <w:t>sous la forme de</w:t>
      </w:r>
      <w:r w:rsidRPr="00245611">
        <w:t xml:space="preserve"> recapitalisations de précaution d’établissements, et un mécanisme de garantie d’Etat sur les émissions de dette bancaire. Il prévoit en outre, </w:t>
      </w:r>
      <w:r w:rsidRPr="00245611">
        <w:t>pour</w:t>
      </w:r>
      <w:r w:rsidR="00245611" w:rsidRPr="00245611">
        <w:t xml:space="preserve"> limiter l’impact sur la clientèle de détail des banques mises en résolution</w:t>
      </w:r>
      <w:r w:rsidRPr="00245611">
        <w:t xml:space="preserve">, un dispositif de rachat par l’Etat des </w:t>
      </w:r>
      <w:r w:rsidR="00245611" w:rsidRPr="00245611">
        <w:t>actions issues de conversions forcées d’</w:t>
      </w:r>
      <w:r w:rsidRPr="00245611">
        <w:t xml:space="preserve">obligations subordonnées détenues par </w:t>
      </w:r>
      <w:r w:rsidR="00245611" w:rsidRPr="00245611">
        <w:t>cette clientèle</w:t>
      </w:r>
      <w:r w:rsidRPr="00245611">
        <w:t>, ainsi qu’une stratégie nationale d’éducation financière des citoyens italiens</w:t>
      </w:r>
      <w:r w:rsidRPr="0024561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BE5E0" w14:textId="77777777" w:rsidR="001B559D" w:rsidRDefault="00C130DF" w:rsidP="001B559D">
    <w:pPr>
      <w:pStyle w:val="En-tte"/>
      <w:jc w:val="center"/>
    </w:pPr>
    <w:r>
      <w:rPr>
        <w:rFonts w:ascii="Univers (PCL6)" w:eastAsia="Times New Roman" w:hAnsi="Univers (PCL6)"/>
        <w:noProof/>
        <w:sz w:val="24"/>
        <w:szCs w:val="24"/>
        <w:lang w:eastAsia="fr-FR"/>
      </w:rPr>
      <w:drawing>
        <wp:inline distT="0" distB="0" distL="0" distR="0" wp14:anchorId="2E0BE5F0" wp14:editId="2E0BE5F1">
          <wp:extent cx="866775" cy="511810"/>
          <wp:effectExtent l="0" t="0" r="9525" b="2540"/>
          <wp:docPr id="7" name="Image 7" descr="com gouv 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om gouv quad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11810"/>
                  </a:xfrm>
                  <a:prstGeom prst="rect">
                    <a:avLst/>
                  </a:prstGeom>
                  <a:noFill/>
                  <a:ln>
                    <a:noFill/>
                  </a:ln>
                </pic:spPr>
              </pic:pic>
            </a:graphicData>
          </a:graphic>
        </wp:inline>
      </w:drawing>
    </w:r>
  </w:p>
  <w:p w14:paraId="2E0BE5E1" w14:textId="77777777" w:rsidR="001B559D" w:rsidRPr="001B559D" w:rsidRDefault="001B559D" w:rsidP="001B559D">
    <w:pPr>
      <w:pStyle w:val="En-tte"/>
      <w:jc w:val="center"/>
      <w:rPr>
        <w:rFonts w:ascii="Univers" w:hAnsi="Univers"/>
      </w:rPr>
    </w:pPr>
  </w:p>
  <w:p w14:paraId="2E0BE5E2" w14:textId="77777777" w:rsidR="001B559D" w:rsidRPr="001B559D" w:rsidRDefault="001B559D" w:rsidP="001B559D">
    <w:pPr>
      <w:tabs>
        <w:tab w:val="center" w:pos="4536"/>
        <w:tab w:val="right" w:pos="9072"/>
      </w:tabs>
      <w:overflowPunct w:val="0"/>
      <w:autoSpaceDE w:val="0"/>
      <w:autoSpaceDN w:val="0"/>
      <w:adjustRightInd w:val="0"/>
      <w:spacing w:after="0" w:line="240" w:lineRule="auto"/>
      <w:jc w:val="center"/>
      <w:textAlignment w:val="baseline"/>
      <w:rPr>
        <w:rFonts w:ascii="Univers" w:eastAsia="Times New Roman" w:hAnsi="Univers" w:cs="Arial"/>
        <w:b/>
        <w:smallCaps/>
        <w:noProof/>
        <w:sz w:val="24"/>
        <w:szCs w:val="24"/>
        <w:lang w:eastAsia="fr-FR"/>
      </w:rPr>
    </w:pPr>
    <w:r w:rsidRPr="001B559D">
      <w:rPr>
        <w:rFonts w:ascii="Univers" w:eastAsia="Times New Roman" w:hAnsi="Univers" w:cs="Arial"/>
        <w:b/>
        <w:smallCaps/>
        <w:noProof/>
        <w:sz w:val="24"/>
        <w:szCs w:val="24"/>
        <w:lang w:eastAsia="fr-FR"/>
      </w:rPr>
      <w:t>Ambassade de France en Italie</w:t>
    </w:r>
  </w:p>
  <w:p w14:paraId="2E0BE5E3" w14:textId="77777777" w:rsidR="001B559D" w:rsidRDefault="001B559D" w:rsidP="001B559D">
    <w:pPr>
      <w:tabs>
        <w:tab w:val="center" w:pos="4536"/>
        <w:tab w:val="right" w:pos="9072"/>
      </w:tabs>
      <w:overflowPunct w:val="0"/>
      <w:autoSpaceDE w:val="0"/>
      <w:autoSpaceDN w:val="0"/>
      <w:adjustRightInd w:val="0"/>
      <w:spacing w:after="0" w:line="240" w:lineRule="auto"/>
      <w:jc w:val="center"/>
      <w:textAlignment w:val="baseline"/>
      <w:rPr>
        <w:rFonts w:ascii="Univers" w:eastAsia="Times New Roman" w:hAnsi="Univers" w:cs="Arial"/>
        <w:b/>
        <w:smallCaps/>
        <w:noProof/>
        <w:sz w:val="24"/>
        <w:szCs w:val="24"/>
        <w:lang w:eastAsia="fr-FR"/>
      </w:rPr>
    </w:pPr>
    <w:r w:rsidRPr="001B559D">
      <w:rPr>
        <w:rFonts w:ascii="Univers" w:eastAsia="Times New Roman" w:hAnsi="Univers" w:cs="Arial"/>
        <w:b/>
        <w:smallCaps/>
        <w:noProof/>
        <w:sz w:val="24"/>
        <w:szCs w:val="24"/>
        <w:lang w:eastAsia="fr-FR"/>
      </w:rPr>
      <w:t>Service Economique Regional</w:t>
    </w:r>
  </w:p>
  <w:tbl>
    <w:tblPr>
      <w:tblW w:w="0" w:type="auto"/>
      <w:tblCellMar>
        <w:left w:w="70" w:type="dxa"/>
        <w:right w:w="70" w:type="dxa"/>
      </w:tblCellMar>
      <w:tblLook w:val="0000" w:firstRow="0" w:lastRow="0" w:firstColumn="0" w:lastColumn="0" w:noHBand="0" w:noVBand="0"/>
    </w:tblPr>
    <w:tblGrid>
      <w:gridCol w:w="5694"/>
      <w:gridCol w:w="3378"/>
    </w:tblGrid>
    <w:tr w:rsidR="001B559D" w:rsidRPr="00073175" w14:paraId="2E0BE5EB" w14:textId="77777777" w:rsidTr="004700BB">
      <w:tc>
        <w:tcPr>
          <w:tcW w:w="5740" w:type="dxa"/>
        </w:tcPr>
        <w:p w14:paraId="2E0BE5E4" w14:textId="77777777" w:rsidR="00C15915" w:rsidRDefault="00C15915" w:rsidP="004700BB">
          <w:pPr>
            <w:tabs>
              <w:tab w:val="center" w:pos="4536"/>
              <w:tab w:val="right" w:pos="9072"/>
            </w:tabs>
            <w:spacing w:after="0" w:line="240" w:lineRule="auto"/>
            <w:rPr>
              <w:rFonts w:ascii="Univers" w:eastAsia="Times New Roman" w:hAnsi="Univers" w:cs="Arial"/>
              <w:bCs/>
              <w:noProof/>
              <w:sz w:val="20"/>
              <w:szCs w:val="24"/>
              <w:lang w:eastAsia="fr-FR"/>
            </w:rPr>
          </w:pPr>
        </w:p>
        <w:p w14:paraId="2E0BE5E5" w14:textId="77777777" w:rsidR="00C15915" w:rsidRDefault="00C15915" w:rsidP="004700BB">
          <w:pPr>
            <w:tabs>
              <w:tab w:val="center" w:pos="4536"/>
              <w:tab w:val="right" w:pos="9072"/>
            </w:tabs>
            <w:spacing w:after="0" w:line="240" w:lineRule="auto"/>
            <w:rPr>
              <w:rFonts w:ascii="Univers" w:eastAsia="Times New Roman" w:hAnsi="Univers" w:cs="Arial"/>
              <w:bCs/>
              <w:noProof/>
              <w:sz w:val="20"/>
              <w:szCs w:val="24"/>
              <w:lang w:eastAsia="fr-FR"/>
            </w:rPr>
          </w:pPr>
        </w:p>
        <w:p w14:paraId="2E0BE5E6" w14:textId="77777777" w:rsidR="001B559D" w:rsidRPr="000A0C08" w:rsidRDefault="001B559D" w:rsidP="004700BB">
          <w:pPr>
            <w:tabs>
              <w:tab w:val="center" w:pos="4536"/>
              <w:tab w:val="right" w:pos="9072"/>
            </w:tabs>
            <w:spacing w:after="0" w:line="240" w:lineRule="auto"/>
            <w:rPr>
              <w:rFonts w:ascii="Univers" w:eastAsia="Times New Roman" w:hAnsi="Univers" w:cs="Arial"/>
              <w:bCs/>
              <w:noProof/>
              <w:sz w:val="20"/>
              <w:szCs w:val="24"/>
              <w:lang w:eastAsia="fr-FR"/>
            </w:rPr>
          </w:pPr>
          <w:r w:rsidRPr="000A0C08">
            <w:rPr>
              <w:rFonts w:ascii="Univers" w:eastAsia="Times New Roman" w:hAnsi="Univers" w:cs="Arial"/>
              <w:bCs/>
              <w:noProof/>
              <w:sz w:val="20"/>
              <w:szCs w:val="24"/>
              <w:lang w:eastAsia="fr-FR"/>
            </w:rPr>
            <w:t xml:space="preserve">Le Ministre Conseiller </w:t>
          </w:r>
        </w:p>
        <w:p w14:paraId="2E0BE5E7" w14:textId="77777777" w:rsidR="001B559D" w:rsidRPr="001B559D" w:rsidRDefault="001B559D" w:rsidP="004700BB">
          <w:pPr>
            <w:tabs>
              <w:tab w:val="center" w:pos="4536"/>
              <w:tab w:val="right" w:pos="9072"/>
            </w:tabs>
            <w:spacing w:after="0" w:line="240" w:lineRule="auto"/>
            <w:rPr>
              <w:rFonts w:ascii="Univers" w:eastAsia="Times New Roman" w:hAnsi="Univers" w:cs="Arial"/>
              <w:bCs/>
              <w:smallCaps/>
              <w:noProof/>
              <w:sz w:val="20"/>
              <w:szCs w:val="24"/>
              <w:lang w:eastAsia="fr-FR"/>
            </w:rPr>
          </w:pPr>
          <w:r w:rsidRPr="000A0C08">
            <w:rPr>
              <w:rFonts w:ascii="Univers" w:eastAsia="Times New Roman" w:hAnsi="Univers" w:cs="Arial"/>
              <w:bCs/>
              <w:noProof/>
              <w:sz w:val="20"/>
              <w:szCs w:val="24"/>
              <w:lang w:eastAsia="fr-FR"/>
            </w:rPr>
            <w:t>pour les Affaires Economiques</w:t>
          </w:r>
        </w:p>
      </w:tc>
      <w:tc>
        <w:tcPr>
          <w:tcW w:w="3402" w:type="dxa"/>
        </w:tcPr>
        <w:p w14:paraId="2E0BE5E8" w14:textId="77777777" w:rsidR="001B559D" w:rsidRDefault="001B559D" w:rsidP="004700BB">
          <w:pPr>
            <w:tabs>
              <w:tab w:val="center" w:pos="4536"/>
              <w:tab w:val="right" w:pos="9072"/>
            </w:tabs>
            <w:spacing w:after="0" w:line="240" w:lineRule="auto"/>
            <w:jc w:val="right"/>
            <w:rPr>
              <w:rFonts w:ascii="Univers" w:eastAsia="Times New Roman" w:hAnsi="Univers" w:cs="Arial"/>
              <w:bCs/>
              <w:smallCaps/>
              <w:noProof/>
              <w:sz w:val="20"/>
              <w:szCs w:val="24"/>
              <w:lang w:eastAsia="fr-FR"/>
            </w:rPr>
          </w:pPr>
          <w:bookmarkStart w:id="1" w:name="Ville"/>
          <w:bookmarkEnd w:id="1"/>
        </w:p>
        <w:p w14:paraId="2E0BE5E9" w14:textId="77777777" w:rsidR="00C15915" w:rsidRDefault="00C15915" w:rsidP="004700BB">
          <w:pPr>
            <w:tabs>
              <w:tab w:val="center" w:pos="4536"/>
              <w:tab w:val="right" w:pos="9072"/>
            </w:tabs>
            <w:spacing w:after="0" w:line="240" w:lineRule="auto"/>
            <w:jc w:val="right"/>
            <w:rPr>
              <w:rFonts w:ascii="Univers" w:eastAsia="Times New Roman" w:hAnsi="Univers" w:cs="Arial"/>
              <w:bCs/>
              <w:smallCaps/>
              <w:noProof/>
              <w:sz w:val="20"/>
              <w:szCs w:val="24"/>
              <w:lang w:eastAsia="fr-FR"/>
            </w:rPr>
          </w:pPr>
        </w:p>
        <w:p w14:paraId="2E0BE5EA" w14:textId="56D6121F" w:rsidR="001B559D" w:rsidRPr="001B559D" w:rsidRDefault="001B559D" w:rsidP="00403B99">
          <w:pPr>
            <w:tabs>
              <w:tab w:val="center" w:pos="4536"/>
              <w:tab w:val="right" w:pos="9072"/>
            </w:tabs>
            <w:spacing w:after="0" w:line="240" w:lineRule="auto"/>
            <w:jc w:val="center"/>
            <w:rPr>
              <w:rFonts w:ascii="Univers" w:eastAsia="Times New Roman" w:hAnsi="Univers" w:cs="Arial"/>
              <w:bCs/>
              <w:smallCaps/>
              <w:noProof/>
              <w:sz w:val="20"/>
              <w:szCs w:val="24"/>
              <w:lang w:eastAsia="fr-FR"/>
            </w:rPr>
          </w:pPr>
          <w:r w:rsidRPr="001B559D">
            <w:rPr>
              <w:rFonts w:ascii="Univers" w:eastAsia="Times New Roman" w:hAnsi="Univers" w:cs="Arial"/>
              <w:bCs/>
              <w:smallCaps/>
              <w:noProof/>
              <w:sz w:val="20"/>
              <w:szCs w:val="24"/>
              <w:lang w:eastAsia="fr-FR"/>
            </w:rPr>
            <w:t xml:space="preserve">Rome, le </w:t>
          </w:r>
          <w:r w:rsidR="00403B99">
            <w:rPr>
              <w:rFonts w:ascii="Univers" w:eastAsia="Times New Roman" w:hAnsi="Univers" w:cs="Arial"/>
              <w:bCs/>
              <w:smallCaps/>
              <w:noProof/>
              <w:sz w:val="20"/>
              <w:szCs w:val="24"/>
              <w:lang w:eastAsia="fr-FR"/>
            </w:rPr>
            <w:t>02 novembre</w:t>
          </w:r>
          <w:r w:rsidR="00014F6A">
            <w:rPr>
              <w:rFonts w:ascii="Univers" w:eastAsia="Times New Roman" w:hAnsi="Univers" w:cs="Arial"/>
              <w:bCs/>
              <w:smallCaps/>
              <w:noProof/>
              <w:sz w:val="20"/>
              <w:szCs w:val="24"/>
              <w:lang w:eastAsia="fr-FR"/>
            </w:rPr>
            <w:t xml:space="preserve"> 2017</w:t>
          </w:r>
        </w:p>
      </w:tc>
    </w:tr>
  </w:tbl>
  <w:p w14:paraId="2E0BE5EC" w14:textId="77777777" w:rsidR="001B559D" w:rsidRPr="001B559D" w:rsidRDefault="001B559D" w:rsidP="001B559D">
    <w:pPr>
      <w:tabs>
        <w:tab w:val="center" w:pos="4536"/>
        <w:tab w:val="right" w:pos="9072"/>
      </w:tabs>
      <w:overflowPunct w:val="0"/>
      <w:autoSpaceDE w:val="0"/>
      <w:autoSpaceDN w:val="0"/>
      <w:adjustRightInd w:val="0"/>
      <w:spacing w:after="0" w:line="240" w:lineRule="auto"/>
      <w:textAlignment w:val="baseline"/>
      <w:rPr>
        <w:rFonts w:ascii="Univers" w:eastAsia="Times New Roman" w:hAnsi="Univers"/>
        <w:b/>
        <w:smallCaps/>
        <w:noProof/>
        <w:lang w:eastAsia="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40F3C"/>
    <w:multiLevelType w:val="hybridMultilevel"/>
    <w:tmpl w:val="4ED225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E84F4A"/>
    <w:multiLevelType w:val="hybridMultilevel"/>
    <w:tmpl w:val="6F9E58B0"/>
    <w:lvl w:ilvl="0" w:tplc="5366E9FE">
      <w:start w:val="2"/>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2738EC"/>
    <w:multiLevelType w:val="hybridMultilevel"/>
    <w:tmpl w:val="78389F70"/>
    <w:lvl w:ilvl="0" w:tplc="16F2C2B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6357C5"/>
    <w:multiLevelType w:val="hybridMultilevel"/>
    <w:tmpl w:val="7DEC59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A442B65"/>
    <w:multiLevelType w:val="hybridMultilevel"/>
    <w:tmpl w:val="EC2AA6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BDB71DA"/>
    <w:multiLevelType w:val="hybridMultilevel"/>
    <w:tmpl w:val="E89A07AC"/>
    <w:lvl w:ilvl="0" w:tplc="8F4270A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2E32E7"/>
    <w:multiLevelType w:val="hybridMultilevel"/>
    <w:tmpl w:val="BD9486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FD9753B"/>
    <w:multiLevelType w:val="hybridMultilevel"/>
    <w:tmpl w:val="C1F09C54"/>
    <w:lvl w:ilvl="0" w:tplc="8C68EF7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hideSpellingErrors/>
  <w:hideGrammaticalErrors/>
  <w:proofState w:spelling="clean" w:grammar="clean"/>
  <w:attachedTemplate r:id="rId1"/>
  <w:revisionView w:markup="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6A"/>
    <w:rsid w:val="00012398"/>
    <w:rsid w:val="00014F6A"/>
    <w:rsid w:val="000208DC"/>
    <w:rsid w:val="00025325"/>
    <w:rsid w:val="000320CF"/>
    <w:rsid w:val="00071818"/>
    <w:rsid w:val="00073175"/>
    <w:rsid w:val="000733F1"/>
    <w:rsid w:val="000A0C08"/>
    <w:rsid w:val="000A5BFA"/>
    <w:rsid w:val="000D604B"/>
    <w:rsid w:val="000D73E6"/>
    <w:rsid w:val="00130AB6"/>
    <w:rsid w:val="001B559D"/>
    <w:rsid w:val="00203426"/>
    <w:rsid w:val="0022035F"/>
    <w:rsid w:val="00223BCA"/>
    <w:rsid w:val="00245611"/>
    <w:rsid w:val="002709BD"/>
    <w:rsid w:val="002A6402"/>
    <w:rsid w:val="002F080F"/>
    <w:rsid w:val="002F1EC4"/>
    <w:rsid w:val="003231C4"/>
    <w:rsid w:val="00341CFB"/>
    <w:rsid w:val="003765E2"/>
    <w:rsid w:val="003868FB"/>
    <w:rsid w:val="00386AB2"/>
    <w:rsid w:val="003A4D79"/>
    <w:rsid w:val="003B6113"/>
    <w:rsid w:val="003C57B2"/>
    <w:rsid w:val="003D2E99"/>
    <w:rsid w:val="00403B99"/>
    <w:rsid w:val="00424528"/>
    <w:rsid w:val="00457C4B"/>
    <w:rsid w:val="004700BB"/>
    <w:rsid w:val="00492752"/>
    <w:rsid w:val="004A2CDF"/>
    <w:rsid w:val="004B3AEA"/>
    <w:rsid w:val="004B5BCC"/>
    <w:rsid w:val="004D3271"/>
    <w:rsid w:val="0052560F"/>
    <w:rsid w:val="00576DC6"/>
    <w:rsid w:val="005D55B8"/>
    <w:rsid w:val="005E5F33"/>
    <w:rsid w:val="00617A44"/>
    <w:rsid w:val="006635AE"/>
    <w:rsid w:val="0068450A"/>
    <w:rsid w:val="006D1CA8"/>
    <w:rsid w:val="00715F5E"/>
    <w:rsid w:val="00742B0F"/>
    <w:rsid w:val="00754996"/>
    <w:rsid w:val="00757E63"/>
    <w:rsid w:val="00790E96"/>
    <w:rsid w:val="007E3508"/>
    <w:rsid w:val="007E5CEC"/>
    <w:rsid w:val="007F1C13"/>
    <w:rsid w:val="00846017"/>
    <w:rsid w:val="0086189F"/>
    <w:rsid w:val="00872106"/>
    <w:rsid w:val="008934A5"/>
    <w:rsid w:val="008A7FB4"/>
    <w:rsid w:val="008B0AD5"/>
    <w:rsid w:val="008D24B2"/>
    <w:rsid w:val="00906700"/>
    <w:rsid w:val="00910636"/>
    <w:rsid w:val="009153F6"/>
    <w:rsid w:val="00917B44"/>
    <w:rsid w:val="00920237"/>
    <w:rsid w:val="00973630"/>
    <w:rsid w:val="00A24BD9"/>
    <w:rsid w:val="00AB48D9"/>
    <w:rsid w:val="00AC1BBA"/>
    <w:rsid w:val="00AD2EF2"/>
    <w:rsid w:val="00AE3DA5"/>
    <w:rsid w:val="00B02D19"/>
    <w:rsid w:val="00B33F1F"/>
    <w:rsid w:val="00B41732"/>
    <w:rsid w:val="00B53F1C"/>
    <w:rsid w:val="00B60108"/>
    <w:rsid w:val="00B90504"/>
    <w:rsid w:val="00BC1984"/>
    <w:rsid w:val="00C06CB4"/>
    <w:rsid w:val="00C130DF"/>
    <w:rsid w:val="00C15915"/>
    <w:rsid w:val="00C27615"/>
    <w:rsid w:val="00C622C9"/>
    <w:rsid w:val="00C63FA3"/>
    <w:rsid w:val="00CB28D9"/>
    <w:rsid w:val="00CC149D"/>
    <w:rsid w:val="00D55512"/>
    <w:rsid w:val="00D744F6"/>
    <w:rsid w:val="00D80B22"/>
    <w:rsid w:val="00D81005"/>
    <w:rsid w:val="00D816A6"/>
    <w:rsid w:val="00E068AE"/>
    <w:rsid w:val="00E32E2E"/>
    <w:rsid w:val="00EB3F8B"/>
    <w:rsid w:val="00F73EA3"/>
    <w:rsid w:val="00FC12B4"/>
    <w:rsid w:val="00FC6BEB"/>
    <w:rsid w:val="00FD196C"/>
    <w:rsid w:val="00FE15E0"/>
    <w:rsid w:val="00FF2A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0BE5AC"/>
  <w15:docId w15:val="{03B87A1C-3712-49E8-98AF-89A63819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559D"/>
    <w:pPr>
      <w:tabs>
        <w:tab w:val="center" w:pos="4536"/>
        <w:tab w:val="right" w:pos="9072"/>
      </w:tabs>
      <w:spacing w:after="0" w:line="240" w:lineRule="auto"/>
    </w:pPr>
  </w:style>
  <w:style w:type="character" w:customStyle="1" w:styleId="En-tteCar">
    <w:name w:val="En-tête Car"/>
    <w:basedOn w:val="Policepardfaut"/>
    <w:link w:val="En-tte"/>
    <w:uiPriority w:val="99"/>
    <w:rsid w:val="001B559D"/>
  </w:style>
  <w:style w:type="paragraph" w:styleId="Pieddepage">
    <w:name w:val="footer"/>
    <w:basedOn w:val="Normal"/>
    <w:link w:val="PieddepageCar"/>
    <w:uiPriority w:val="99"/>
    <w:unhideWhenUsed/>
    <w:rsid w:val="001B55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559D"/>
  </w:style>
  <w:style w:type="paragraph" w:styleId="Textedebulles">
    <w:name w:val="Balloon Text"/>
    <w:basedOn w:val="Normal"/>
    <w:link w:val="TextedebullesCar"/>
    <w:uiPriority w:val="99"/>
    <w:semiHidden/>
    <w:unhideWhenUsed/>
    <w:rsid w:val="001B559D"/>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B559D"/>
    <w:rPr>
      <w:rFonts w:ascii="Tahoma" w:hAnsi="Tahoma" w:cs="Tahoma"/>
      <w:sz w:val="16"/>
      <w:szCs w:val="16"/>
    </w:rPr>
  </w:style>
  <w:style w:type="paragraph" w:styleId="Notedebasdepage">
    <w:name w:val="footnote text"/>
    <w:aliases w:val="Reference"/>
    <w:basedOn w:val="Normal"/>
    <w:link w:val="NotedebasdepageCar"/>
    <w:autoRedefine/>
    <w:uiPriority w:val="99"/>
    <w:unhideWhenUsed/>
    <w:qFormat/>
    <w:rsid w:val="002A6402"/>
    <w:pPr>
      <w:spacing w:after="0" w:line="240" w:lineRule="auto"/>
      <w:jc w:val="both"/>
    </w:pPr>
    <w:rPr>
      <w:rFonts w:ascii="Times New Roman" w:hAnsi="Times New Roman"/>
      <w:sz w:val="18"/>
      <w:szCs w:val="18"/>
    </w:rPr>
  </w:style>
  <w:style w:type="character" w:customStyle="1" w:styleId="NotedebasdepageCar">
    <w:name w:val="Note de bas de page Car"/>
    <w:aliases w:val="Reference Car"/>
    <w:basedOn w:val="Policepardfaut"/>
    <w:link w:val="Notedebasdepage"/>
    <w:uiPriority w:val="99"/>
    <w:rsid w:val="002A6402"/>
    <w:rPr>
      <w:rFonts w:ascii="Times New Roman" w:hAnsi="Times New Roman"/>
      <w:sz w:val="18"/>
      <w:szCs w:val="18"/>
      <w:lang w:eastAsia="en-US"/>
    </w:rPr>
  </w:style>
  <w:style w:type="paragraph" w:styleId="Paragraphedeliste">
    <w:name w:val="List Paragraph"/>
    <w:basedOn w:val="Normal"/>
    <w:uiPriority w:val="34"/>
    <w:qFormat/>
    <w:rsid w:val="00014F6A"/>
    <w:pPr>
      <w:ind w:left="720"/>
      <w:contextualSpacing/>
    </w:pPr>
  </w:style>
  <w:style w:type="table" w:styleId="Grilledutableau">
    <w:name w:val="Table Grid"/>
    <w:basedOn w:val="TableauNormal"/>
    <w:rsid w:val="007F1C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aliases w:val="Footnote Reference Number,Footnote Reference_LVL6,Footnote Reference_LVL61,Footnote Reference_LVL62,Footnote Reference_LVL63,Footnote Reference_LVL64,SUPERS,HAppel note de bas de p."/>
    <w:basedOn w:val="Policepardfaut"/>
    <w:uiPriority w:val="99"/>
    <w:rsid w:val="007F1C13"/>
    <w:rPr>
      <w:vertAlign w:val="superscript"/>
    </w:rPr>
  </w:style>
  <w:style w:type="character" w:styleId="Marquedecommentaire">
    <w:name w:val="annotation reference"/>
    <w:basedOn w:val="Policepardfaut"/>
    <w:uiPriority w:val="99"/>
    <w:semiHidden/>
    <w:unhideWhenUsed/>
    <w:rsid w:val="00973630"/>
    <w:rPr>
      <w:sz w:val="16"/>
      <w:szCs w:val="16"/>
    </w:rPr>
  </w:style>
  <w:style w:type="paragraph" w:styleId="Commentaire">
    <w:name w:val="annotation text"/>
    <w:basedOn w:val="Normal"/>
    <w:link w:val="CommentaireCar"/>
    <w:uiPriority w:val="99"/>
    <w:semiHidden/>
    <w:unhideWhenUsed/>
    <w:rsid w:val="00973630"/>
    <w:pPr>
      <w:spacing w:line="240" w:lineRule="auto"/>
    </w:pPr>
    <w:rPr>
      <w:sz w:val="20"/>
      <w:szCs w:val="20"/>
    </w:rPr>
  </w:style>
  <w:style w:type="character" w:customStyle="1" w:styleId="CommentaireCar">
    <w:name w:val="Commentaire Car"/>
    <w:basedOn w:val="Policepardfaut"/>
    <w:link w:val="Commentaire"/>
    <w:uiPriority w:val="99"/>
    <w:semiHidden/>
    <w:rsid w:val="00973630"/>
    <w:rPr>
      <w:lang w:eastAsia="en-US"/>
    </w:rPr>
  </w:style>
  <w:style w:type="paragraph" w:styleId="Objetducommentaire">
    <w:name w:val="annotation subject"/>
    <w:basedOn w:val="Commentaire"/>
    <w:next w:val="Commentaire"/>
    <w:link w:val="ObjetducommentaireCar"/>
    <w:uiPriority w:val="99"/>
    <w:semiHidden/>
    <w:unhideWhenUsed/>
    <w:rsid w:val="00973630"/>
    <w:rPr>
      <w:b/>
      <w:bCs/>
    </w:rPr>
  </w:style>
  <w:style w:type="character" w:customStyle="1" w:styleId="ObjetducommentaireCar">
    <w:name w:val="Objet du commentaire Car"/>
    <w:basedOn w:val="CommentaireCar"/>
    <w:link w:val="Objetducommentaire"/>
    <w:uiPriority w:val="99"/>
    <w:semiHidden/>
    <w:rsid w:val="00973630"/>
    <w:rPr>
      <w:b/>
      <w:bCs/>
      <w:lang w:eastAsia="en-US"/>
    </w:rPr>
  </w:style>
  <w:style w:type="paragraph" w:styleId="Rvision">
    <w:name w:val="Revision"/>
    <w:hidden/>
    <w:uiPriority w:val="99"/>
    <w:semiHidden/>
    <w:rsid w:val="0092023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1299">
      <w:bodyDiv w:val="1"/>
      <w:marLeft w:val="0"/>
      <w:marRight w:val="0"/>
      <w:marTop w:val="0"/>
      <w:marBottom w:val="0"/>
      <w:divBdr>
        <w:top w:val="none" w:sz="0" w:space="0" w:color="auto"/>
        <w:left w:val="none" w:sz="0" w:space="0" w:color="auto"/>
        <w:bottom w:val="none" w:sz="0" w:space="0" w:color="auto"/>
        <w:right w:val="none" w:sz="0" w:space="0" w:color="auto"/>
      </w:divBdr>
    </w:div>
    <w:div w:id="485979211">
      <w:bodyDiv w:val="1"/>
      <w:marLeft w:val="0"/>
      <w:marRight w:val="0"/>
      <w:marTop w:val="0"/>
      <w:marBottom w:val="0"/>
      <w:divBdr>
        <w:top w:val="none" w:sz="0" w:space="0" w:color="auto"/>
        <w:left w:val="none" w:sz="0" w:space="0" w:color="auto"/>
        <w:bottom w:val="none" w:sz="0" w:space="0" w:color="auto"/>
        <w:right w:val="none" w:sz="0" w:space="0" w:color="auto"/>
      </w:divBdr>
    </w:div>
    <w:div w:id="168678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Mod&#232;les\DG%20Tr&#233;sor\Modele%20Note%20intern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ilusAppendixType xmlns="574EC87B-062C-446F-AD0E-CFF946545F52">Pièces jointes</NotilusAppendixType>
  </documentManagement>
</p:properties>
</file>

<file path=customXml/item2.xml><?xml version="1.0" encoding="utf-8"?>
<ct:contentTypeSchema xmlns:ct="http://schemas.microsoft.com/office/2006/metadata/contentType" xmlns:ma="http://schemas.microsoft.com/office/2006/metadata/properties/metaAttributes" ct:_="" ma:_="" ma:contentTypeName="Annexe" ma:contentTypeID="0x010100BD75EDE7AEF04AAEBEAC3F4E651B54DB0013733F5E29A8B84683E0C6B83AE7AF82" ma:contentTypeVersion="2" ma:contentTypeDescription="Type de contenu de l'annexe d'une note" ma:contentTypeScope="" ma:versionID="24eea31d7033617f3da6ad21801f485c">
  <xsd:schema xmlns:xsd="http://www.w3.org/2001/XMLSchema" xmlns:xs="http://www.w3.org/2001/XMLSchema" xmlns:p="http://schemas.microsoft.com/office/2006/metadata/properties" xmlns:ns2="574EC87B-062C-446F-AD0E-CFF946545F52" targetNamespace="http://schemas.microsoft.com/office/2006/metadata/properties" ma:root="true" ma:fieldsID="39e458ca99c44dc15c54296f3f420621" ns2:_="">
    <xsd:import namespace="574EC87B-062C-446F-AD0E-CFF946545F52"/>
    <xsd:element name="properties">
      <xsd:complexType>
        <xsd:sequence>
          <xsd:element name="documentManagement">
            <xsd:complexType>
              <xsd:all>
                <xsd:element ref="ns2:NotilusAppendix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EC87B-062C-446F-AD0E-CFF946545F52" elementFormDefault="qualified">
    <xsd:import namespace="http://schemas.microsoft.com/office/2006/documentManagement/types"/>
    <xsd:import namespace="http://schemas.microsoft.com/office/infopath/2007/PartnerControls"/>
    <xsd:element name="NotilusAppendixType" ma:index="8" ma:displayName="Type d'annexe" ma:description="Document annexe de la note" ma:format="RadioButtons" ma:internalName="NotilusAppendixType">
      <xsd:simpleType>
        <xsd:restriction base="dms:Choice">
          <xsd:enumeration value="Pièces jointes"/>
          <xsd:enumeration value="Pièces à signer"/>
          <xsd:enumeration value="Pièces à consult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5F030-4F9D-4659-B51C-0B650E750A67}">
  <ds:schemaRefs>
    <ds:schemaRef ds:uri="http://schemas.openxmlformats.org/package/2006/metadata/core-properties"/>
    <ds:schemaRef ds:uri="http://purl.org/dc/elements/1.1/"/>
    <ds:schemaRef ds:uri="http://schemas.microsoft.com/office/2006/metadata/properties"/>
    <ds:schemaRef ds:uri="http://purl.org/dc/terms/"/>
    <ds:schemaRef ds:uri="574EC87B-062C-446F-AD0E-CFF946545F52"/>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CC956B2-ABA9-4132-8BE7-46CA76D51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EC87B-062C-446F-AD0E-CFF946545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C714F-3C3A-42AB-B257-E32411A56001}">
  <ds:schemaRefs>
    <ds:schemaRef ds:uri="http://schemas.microsoft.com/sharepoint/v3/contenttype/forms"/>
  </ds:schemaRefs>
</ds:datastoreItem>
</file>

<file path=customXml/itemProps4.xml><?xml version="1.0" encoding="utf-8"?>
<ds:datastoreItem xmlns:ds="http://schemas.openxmlformats.org/officeDocument/2006/customXml" ds:itemID="{9609590C-4DF3-4A40-A54D-363BC4FB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Note interne.dotx</Template>
  <TotalTime>92</TotalTime>
  <Pages>3</Pages>
  <Words>1306</Words>
  <Characters>7188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DGT</Company>
  <LinksUpToDate>false</LinksUpToDate>
  <CharactersWithSpaces>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TASSAN-VIOL Federico</dc:creator>
  <cp:keywords>Note</cp:keywords>
  <cp:lastModifiedBy>GUIGNÉ Arnaud</cp:lastModifiedBy>
  <cp:revision>6</cp:revision>
  <cp:lastPrinted>2017-08-16T14:22:00Z</cp:lastPrinted>
  <dcterms:created xsi:type="dcterms:W3CDTF">2017-11-02T18:00:00Z</dcterms:created>
  <dcterms:modified xsi:type="dcterms:W3CDTF">2017-11-02T19:32:00Z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0x010100BD75EDE7AEF04AAEBEAC3F4E651B54DB0013733F5E29A8B84683E0C6B83AE7AF82</vt:lpwstr>
  </property>
</Properties>
</file>