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4F124" w14:textId="01F88F27" w:rsidR="0021111A" w:rsidRPr="004144DB" w:rsidRDefault="008B00DB" w:rsidP="00576572">
      <w:pPr>
        <w:pStyle w:val="Titre"/>
        <w:spacing w:after="120" w:line="276" w:lineRule="auto"/>
        <w:contextualSpacing w:val="0"/>
        <w:rPr>
          <w:rFonts w:cs="Arial"/>
          <w:sz w:val="32"/>
        </w:rPr>
      </w:pPr>
      <w:r w:rsidRPr="004144DB">
        <w:rPr>
          <w:rFonts w:cs="Arial"/>
          <w:bCs/>
          <w:sz w:val="32"/>
        </w:rPr>
        <w:t>Situation économique et financière de la Tunisie</w:t>
      </w:r>
    </w:p>
    <w:p w14:paraId="13D9898A" w14:textId="54B06439" w:rsidR="00172B70" w:rsidRPr="004144DB" w:rsidRDefault="004144DB" w:rsidP="00576572">
      <w:pPr>
        <w:spacing w:after="120"/>
        <w:jc w:val="both"/>
        <w:rPr>
          <w:rFonts w:cs="Arial"/>
          <w:bCs/>
          <w:i/>
          <w:szCs w:val="20"/>
        </w:rPr>
      </w:pPr>
      <w:bookmarkStart w:id="0" w:name="anActuHead"/>
      <w:bookmarkEnd w:id="0"/>
      <w:r w:rsidRPr="004144DB">
        <w:rPr>
          <w:rFonts w:cs="Arial"/>
          <w:bCs/>
          <w:i/>
          <w:szCs w:val="20"/>
        </w:rPr>
        <w:t xml:space="preserve">L’économie tunisienne présente, sept ans après le déclenchement de la révolution, de nombreuses vulnérabilités qui pèsent sur sa croissance. Fortement marquée par l’impact des attentats de 2015, la croissance tunisienne devrait enregistrer un rebond d’environ 2% en 2017 pour approcher 3% en 2018. Le déficit budgétaire est toujours un point d’attention renforcé, tout comme celui de la balance des transactions courantes qui exerce de fortes pressions sur le dinar. Déficit budgétaire chronique et forte dépréciation du dinar alimentent </w:t>
      </w:r>
      <w:r w:rsidR="00610EF5">
        <w:rPr>
          <w:rFonts w:cs="Arial"/>
          <w:bCs/>
          <w:i/>
          <w:szCs w:val="20"/>
        </w:rPr>
        <w:t>la forte augmentation</w:t>
      </w:r>
      <w:r w:rsidR="00610EF5" w:rsidRPr="004144DB">
        <w:rPr>
          <w:rFonts w:cs="Arial"/>
          <w:bCs/>
          <w:i/>
          <w:szCs w:val="20"/>
        </w:rPr>
        <w:t xml:space="preserve"> </w:t>
      </w:r>
      <w:r w:rsidRPr="004144DB">
        <w:rPr>
          <w:rFonts w:cs="Arial"/>
          <w:bCs/>
          <w:i/>
          <w:szCs w:val="20"/>
        </w:rPr>
        <w:t>de la dette publique qui devrait atteindre 70% du PIB en 2017, contre 40% en 2010. Il devient urgent, dans un contexte social difficile, d’adopter et de rapidement mettre en œuvre les réformes identifiées de longue date, pour relancer la croissance</w:t>
      </w:r>
      <w:r w:rsidR="00172B70" w:rsidRPr="004144DB">
        <w:rPr>
          <w:rFonts w:cs="Arial"/>
          <w:bCs/>
          <w:i/>
          <w:szCs w:val="20"/>
        </w:rPr>
        <w:t>.</w:t>
      </w:r>
    </w:p>
    <w:p w14:paraId="1024D6F9" w14:textId="71D6624E" w:rsidR="00172B70" w:rsidRPr="004144DB" w:rsidRDefault="004144DB" w:rsidP="00576572">
      <w:pPr>
        <w:pStyle w:val="Paragraphedeliste"/>
        <w:numPr>
          <w:ilvl w:val="0"/>
          <w:numId w:val="18"/>
        </w:numPr>
        <w:spacing w:before="120" w:after="120"/>
        <w:ind w:right="-284"/>
        <w:contextualSpacing w:val="0"/>
        <w:jc w:val="both"/>
        <w:rPr>
          <w:rFonts w:eastAsiaTheme="majorEastAsia" w:cs="Arial"/>
          <w:b/>
          <w:bCs/>
          <w:iCs/>
          <w:color w:val="122255"/>
          <w:sz w:val="24"/>
          <w:szCs w:val="20"/>
        </w:rPr>
      </w:pPr>
      <w:r w:rsidRPr="004144DB">
        <w:rPr>
          <w:rFonts w:eastAsiaTheme="majorEastAsia" w:cs="Arial"/>
          <w:b/>
          <w:bCs/>
          <w:iCs/>
          <w:color w:val="122255"/>
          <w:sz w:val="24"/>
          <w:szCs w:val="20"/>
        </w:rPr>
        <w:t>La situation économique continue de se dégrader avec des indicateurs peu soutenables sur le long terme</w:t>
      </w:r>
    </w:p>
    <w:p w14:paraId="674689DA" w14:textId="748193FA" w:rsidR="005922A4" w:rsidRPr="004144DB" w:rsidRDefault="005922A4" w:rsidP="00576572">
      <w:pPr>
        <w:autoSpaceDE w:val="0"/>
        <w:autoSpaceDN w:val="0"/>
        <w:adjustRightInd w:val="0"/>
        <w:spacing w:after="120"/>
        <w:jc w:val="both"/>
        <w:rPr>
          <w:rFonts w:eastAsiaTheme="majorEastAsia" w:cs="Arial"/>
          <w:b/>
          <w:bCs/>
          <w:i/>
          <w:iCs/>
          <w:color w:val="122255"/>
          <w:szCs w:val="20"/>
        </w:rPr>
      </w:pPr>
      <w:r w:rsidRPr="004144DB">
        <w:rPr>
          <w:rFonts w:eastAsiaTheme="majorEastAsia" w:cs="Arial"/>
          <w:b/>
          <w:bCs/>
          <w:i/>
          <w:iCs/>
          <w:color w:val="122255"/>
          <w:szCs w:val="20"/>
        </w:rPr>
        <w:t xml:space="preserve">1. </w:t>
      </w:r>
      <w:r w:rsidR="004144DB" w:rsidRPr="004144DB">
        <w:rPr>
          <w:rFonts w:eastAsiaTheme="majorEastAsia" w:cs="Arial"/>
          <w:b/>
          <w:bCs/>
          <w:i/>
          <w:iCs/>
          <w:color w:val="122255"/>
          <w:szCs w:val="20"/>
        </w:rPr>
        <w:t>Reprise modérée de la croissance en 2017</w:t>
      </w:r>
      <w:r w:rsidR="00610EF5">
        <w:rPr>
          <w:rFonts w:eastAsiaTheme="majorEastAsia" w:cs="Arial"/>
          <w:b/>
          <w:bCs/>
          <w:i/>
          <w:iCs/>
          <w:color w:val="122255"/>
          <w:szCs w:val="20"/>
        </w:rPr>
        <w:t xml:space="preserve"> qui devrait se poursuivre</w:t>
      </w:r>
      <w:r w:rsidR="004144DB" w:rsidRPr="004144DB">
        <w:rPr>
          <w:rFonts w:eastAsiaTheme="majorEastAsia" w:cs="Arial"/>
          <w:b/>
          <w:bCs/>
          <w:i/>
          <w:iCs/>
          <w:color w:val="122255"/>
          <w:szCs w:val="20"/>
        </w:rPr>
        <w:t xml:space="preserve"> en 2018</w:t>
      </w:r>
    </w:p>
    <w:p w14:paraId="246CBC4E" w14:textId="45EF505D" w:rsidR="004144DB" w:rsidRPr="004144DB" w:rsidRDefault="004144DB" w:rsidP="00576572">
      <w:pPr>
        <w:autoSpaceDE w:val="0"/>
        <w:autoSpaceDN w:val="0"/>
        <w:adjustRightInd w:val="0"/>
        <w:spacing w:after="120"/>
        <w:jc w:val="both"/>
        <w:rPr>
          <w:rFonts w:eastAsia="Times New Roman" w:cs="Arial"/>
          <w:szCs w:val="20"/>
          <w:lang w:eastAsia="fr-FR"/>
        </w:rPr>
      </w:pPr>
      <w:r w:rsidRPr="004144DB">
        <w:rPr>
          <w:rFonts w:eastAsia="Times New Roman" w:cs="Arial"/>
          <w:szCs w:val="20"/>
          <w:u w:val="single"/>
          <w:lang w:eastAsia="fr-FR"/>
        </w:rPr>
        <w:t>En 2017, la croissance devrait dépasser 2%</w:t>
      </w:r>
      <w:r w:rsidRPr="004144DB">
        <w:rPr>
          <w:rFonts w:eastAsia="Times New Roman" w:cs="Arial"/>
          <w:szCs w:val="20"/>
          <w:lang w:eastAsia="fr-FR"/>
        </w:rPr>
        <w:t xml:space="preserve">, grâce à la reprise des secteurs liés à la transformation du phosphate, à celle du tourisme et à une bonne saison agricole. Ce léger rebond fait suite à deux années de croissance molle (autour de 1%), conséquence directe des trois attentats intervenus en 2015 et d’un climat social </w:t>
      </w:r>
      <w:r w:rsidR="00610EF5">
        <w:rPr>
          <w:rFonts w:eastAsia="Times New Roman" w:cs="Arial"/>
          <w:szCs w:val="20"/>
          <w:lang w:eastAsia="fr-FR"/>
        </w:rPr>
        <w:t>dégradé</w:t>
      </w:r>
      <w:r w:rsidR="00610EF5" w:rsidRPr="004144DB">
        <w:rPr>
          <w:rFonts w:eastAsia="Times New Roman" w:cs="Arial"/>
          <w:szCs w:val="20"/>
          <w:lang w:eastAsia="fr-FR"/>
        </w:rPr>
        <w:t xml:space="preserve"> </w:t>
      </w:r>
      <w:r w:rsidRPr="004144DB">
        <w:rPr>
          <w:rFonts w:eastAsia="Times New Roman" w:cs="Arial"/>
          <w:szCs w:val="20"/>
          <w:lang w:eastAsia="fr-FR"/>
        </w:rPr>
        <w:t xml:space="preserve">qui a fortement affecté les performances des industries extractives. </w:t>
      </w:r>
      <w:r w:rsidRPr="004144DB">
        <w:rPr>
          <w:rFonts w:eastAsia="Times New Roman" w:cs="Arial"/>
          <w:szCs w:val="20"/>
          <w:u w:val="single"/>
          <w:lang w:eastAsia="fr-FR"/>
        </w:rPr>
        <w:t>Pour 2018, la Loi de Finances (LF) table sur un taux de croissance de 3%</w:t>
      </w:r>
      <w:r w:rsidRPr="004144DB">
        <w:rPr>
          <w:rFonts w:eastAsia="Times New Roman" w:cs="Arial"/>
          <w:szCs w:val="20"/>
          <w:lang w:eastAsia="fr-FR"/>
        </w:rPr>
        <w:t>.</w:t>
      </w:r>
    </w:p>
    <w:p w14:paraId="7A80B966" w14:textId="350A7C88" w:rsidR="004144DB" w:rsidRPr="004144DB" w:rsidRDefault="004144DB" w:rsidP="00576572">
      <w:pPr>
        <w:autoSpaceDE w:val="0"/>
        <w:autoSpaceDN w:val="0"/>
        <w:adjustRightInd w:val="0"/>
        <w:spacing w:after="120"/>
        <w:jc w:val="both"/>
        <w:rPr>
          <w:rFonts w:eastAsia="Times New Roman" w:cs="Arial"/>
          <w:szCs w:val="20"/>
          <w:lang w:eastAsia="fr-FR"/>
        </w:rPr>
      </w:pPr>
      <w:r w:rsidRPr="004144DB">
        <w:rPr>
          <w:rFonts w:eastAsia="Times New Roman" w:cs="Arial"/>
          <w:szCs w:val="20"/>
          <w:lang w:eastAsia="fr-FR"/>
        </w:rPr>
        <w:t xml:space="preserve">Depuis la révolution, </w:t>
      </w:r>
      <w:r w:rsidRPr="004144DB">
        <w:rPr>
          <w:rFonts w:eastAsia="Times New Roman" w:cs="Arial"/>
          <w:szCs w:val="20"/>
          <w:u w:val="single"/>
          <w:lang w:eastAsia="fr-FR"/>
        </w:rPr>
        <w:t>l’économie du pays est grevée par un faible niveau d’investissement et un recul de la productivité des facteurs qui altèrent la compétitivité du pays et pèsent sur la croissance potentielle qui serait aujourd’hui ramenée à 2,5%</w:t>
      </w:r>
      <w:r w:rsidRPr="004144DB">
        <w:rPr>
          <w:rFonts w:eastAsia="Times New Roman" w:cs="Arial"/>
          <w:szCs w:val="20"/>
          <w:lang w:eastAsia="fr-FR"/>
        </w:rPr>
        <w:t xml:space="preserve">. L’attractivité du pays est aussi affectée par la lourdeur des procédures administratives. L’activité privée souffre également d’un manque d’ouverture : les barrières à l’exercice de nombreuses activités engendrent des phénomènes de rente. Le système financier </w:t>
      </w:r>
      <w:r w:rsidR="00610EF5">
        <w:rPr>
          <w:rFonts w:eastAsia="Times New Roman" w:cs="Arial"/>
          <w:szCs w:val="20"/>
          <w:lang w:eastAsia="fr-FR"/>
        </w:rPr>
        <w:t>peine à remplir son rôle de financeur de</w:t>
      </w:r>
      <w:r w:rsidRPr="004144DB">
        <w:rPr>
          <w:rFonts w:eastAsia="Times New Roman" w:cs="Arial"/>
          <w:szCs w:val="20"/>
          <w:lang w:eastAsia="fr-FR"/>
        </w:rPr>
        <w:t xml:space="preserve"> l’économie. La croissance pâtit également du développement de l’économie parallèle. Depuis 2011, la croissance tunisienne est essentiellement soutenue par la consommation des ménages. </w:t>
      </w:r>
    </w:p>
    <w:p w14:paraId="37557FAE" w14:textId="6E5831E3" w:rsidR="004144DB" w:rsidRPr="004144DB" w:rsidRDefault="004144DB" w:rsidP="00576572">
      <w:pPr>
        <w:autoSpaceDE w:val="0"/>
        <w:autoSpaceDN w:val="0"/>
        <w:adjustRightInd w:val="0"/>
        <w:spacing w:after="120"/>
        <w:jc w:val="both"/>
        <w:rPr>
          <w:rFonts w:eastAsia="Times New Roman" w:cs="Arial"/>
          <w:szCs w:val="20"/>
          <w:lang w:eastAsia="fr-FR"/>
        </w:rPr>
      </w:pPr>
      <w:r w:rsidRPr="004144DB">
        <w:rPr>
          <w:rFonts w:eastAsia="Times New Roman" w:cs="Arial"/>
          <w:szCs w:val="20"/>
          <w:lang w:eastAsia="fr-FR"/>
        </w:rPr>
        <w:t xml:space="preserve">Après avoir ralenti durant trois années consécutives, </w:t>
      </w:r>
      <w:r w:rsidRPr="004144DB">
        <w:rPr>
          <w:rFonts w:eastAsia="Times New Roman" w:cs="Arial"/>
          <w:szCs w:val="20"/>
          <w:u w:val="single"/>
          <w:lang w:eastAsia="fr-FR"/>
        </w:rPr>
        <w:t>l’inflation est repartie à la hausse depuis la fin de l’année 2016. Fin novembre 2017, l’inflation s’élevait à 6,3% sur un an</w:t>
      </w:r>
      <w:r w:rsidRPr="004144DB">
        <w:rPr>
          <w:rFonts w:eastAsia="Times New Roman" w:cs="Arial"/>
          <w:szCs w:val="20"/>
          <w:lang w:eastAsia="fr-FR"/>
        </w:rPr>
        <w:t>, contre 4</w:t>
      </w:r>
      <w:bookmarkStart w:id="1" w:name="_GoBack"/>
      <w:bookmarkEnd w:id="1"/>
      <w:r w:rsidRPr="004144DB">
        <w:rPr>
          <w:rFonts w:eastAsia="Times New Roman" w:cs="Arial"/>
          <w:szCs w:val="20"/>
          <w:lang w:eastAsia="fr-FR"/>
        </w:rPr>
        <w:t>% à la même période en 2016. La dépréciation du dinar (-20% par rapport à l’euro sur l’année) renforce cette tendance en générant de l’inflation importée. Cela conduit les tunisiens à ressentir une forte augmentation du coût de la vie.</w:t>
      </w:r>
    </w:p>
    <w:p w14:paraId="13813ED4" w14:textId="3D6ABBF2" w:rsidR="008B00DB" w:rsidRPr="004144DB" w:rsidRDefault="004144DB" w:rsidP="00576572">
      <w:pPr>
        <w:autoSpaceDE w:val="0"/>
        <w:autoSpaceDN w:val="0"/>
        <w:adjustRightInd w:val="0"/>
        <w:spacing w:after="120"/>
        <w:jc w:val="both"/>
        <w:rPr>
          <w:rFonts w:cs="Arial"/>
          <w:szCs w:val="20"/>
        </w:rPr>
      </w:pPr>
      <w:r w:rsidRPr="004144DB">
        <w:rPr>
          <w:rFonts w:eastAsia="Times New Roman" w:cs="Arial"/>
          <w:bCs/>
          <w:iCs/>
          <w:szCs w:val="20"/>
          <w:u w:val="single"/>
          <w:lang w:eastAsia="fr-FR"/>
        </w:rPr>
        <w:t xml:space="preserve">Le </w:t>
      </w:r>
      <w:r w:rsidRPr="004144DB">
        <w:rPr>
          <w:rFonts w:eastAsia="Times New Roman" w:cs="Arial"/>
          <w:iCs/>
          <w:szCs w:val="20"/>
          <w:u w:val="single"/>
          <w:lang w:eastAsia="fr-FR"/>
        </w:rPr>
        <w:t>taux de chômage</w:t>
      </w:r>
      <w:r w:rsidRPr="004144DB">
        <w:rPr>
          <w:rFonts w:eastAsia="Times New Roman" w:cs="Arial"/>
          <w:bCs/>
          <w:iCs/>
          <w:szCs w:val="20"/>
          <w:u w:val="single"/>
          <w:lang w:eastAsia="fr-FR"/>
        </w:rPr>
        <w:t xml:space="preserve"> stagne depuis 2013 à environ 15% de la population active, avec de fortes disparités</w:t>
      </w:r>
      <w:r w:rsidRPr="004144DB">
        <w:rPr>
          <w:rFonts w:eastAsia="Times New Roman" w:cs="Arial"/>
          <w:bCs/>
          <w:iCs/>
          <w:szCs w:val="20"/>
          <w:lang w:eastAsia="fr-FR"/>
        </w:rPr>
        <w:t xml:space="preserve"> (entre régions, sexes, classes d’âge, niveaux d’études), qui se sont accrues avec la crise.</w:t>
      </w:r>
      <w:r w:rsidRPr="004144DB">
        <w:rPr>
          <w:rFonts w:eastAsia="Times New Roman" w:cs="Arial"/>
          <w:szCs w:val="20"/>
          <w:lang w:eastAsia="fr-FR"/>
        </w:rPr>
        <w:t xml:space="preserve"> Le taux de pauvreté est pourtant en recul, évalué à 15% de la population en 2015, contre plus de 20% en 2010 – mais aussi caractérisé par de fortes disparités, notamment entre les régions de l’intérieur où il avoisine 30% et les zones côtières (5% à Tunis)</w:t>
      </w:r>
      <w:r w:rsidR="00610EF5">
        <w:rPr>
          <w:rFonts w:eastAsia="Times New Roman" w:cs="Arial"/>
          <w:szCs w:val="20"/>
          <w:lang w:eastAsia="fr-FR"/>
        </w:rPr>
        <w:t>.</w:t>
      </w:r>
    </w:p>
    <w:p w14:paraId="1BBA176F" w14:textId="77777777" w:rsidR="005922A4" w:rsidRPr="004144DB" w:rsidRDefault="005922A4" w:rsidP="00576572">
      <w:pPr>
        <w:spacing w:after="120"/>
        <w:jc w:val="both"/>
        <w:rPr>
          <w:rFonts w:eastAsiaTheme="majorEastAsia" w:cs="Arial"/>
          <w:b/>
          <w:bCs/>
          <w:i/>
          <w:iCs/>
          <w:color w:val="122255"/>
          <w:szCs w:val="20"/>
        </w:rPr>
      </w:pPr>
      <w:r w:rsidRPr="004144DB">
        <w:rPr>
          <w:rFonts w:eastAsiaTheme="majorEastAsia" w:cs="Arial"/>
          <w:b/>
          <w:bCs/>
          <w:i/>
          <w:iCs/>
          <w:color w:val="122255"/>
          <w:szCs w:val="20"/>
        </w:rPr>
        <w:t>2. Les déficits jumeaux, qui ont fortement augmenté depuis 2011, se stabilisent à des niveaux élevés</w:t>
      </w:r>
    </w:p>
    <w:p w14:paraId="72F1A27B" w14:textId="77777777" w:rsidR="004144DB" w:rsidRPr="004144DB" w:rsidRDefault="004144DB" w:rsidP="00576572">
      <w:pPr>
        <w:spacing w:after="120"/>
        <w:jc w:val="both"/>
        <w:rPr>
          <w:rFonts w:eastAsia="Times New Roman" w:cs="Arial"/>
          <w:szCs w:val="20"/>
          <w:lang w:eastAsia="fr-FR"/>
        </w:rPr>
      </w:pPr>
      <w:r w:rsidRPr="004144DB">
        <w:rPr>
          <w:rFonts w:eastAsia="Times New Roman" w:cs="Arial"/>
          <w:szCs w:val="20"/>
          <w:u w:val="single"/>
          <w:lang w:eastAsia="fr-FR"/>
        </w:rPr>
        <w:t>Le déficit de la balance des transactions courantes est une source croissante de préoccupation. Il devrait s’établir à environ 10% du PIB en 2017 contre 5% en 2010</w:t>
      </w:r>
      <w:r w:rsidRPr="004144DB">
        <w:rPr>
          <w:rFonts w:eastAsia="Times New Roman" w:cs="Arial"/>
          <w:szCs w:val="20"/>
          <w:lang w:eastAsia="fr-FR"/>
        </w:rPr>
        <w:t xml:space="preserve"> (augmentant encore d’un point par rapport aux trois dernières années). L’excédent de la balance des services (légère reprise du secteur touristique), n’a pas permis de contrebalancer la forte augmentation du déficit commercial – la dépréciation du dinar n’a que peu d’impact sur la sphère réelle, la compétitivité des produits tunisiens à l’exportation continue de s’éroder. En l’absence de substituts locaux, la consommation est gourmande en produits importés.</w:t>
      </w:r>
    </w:p>
    <w:p w14:paraId="3AF34165" w14:textId="77777777" w:rsidR="004144DB" w:rsidRPr="004144DB" w:rsidRDefault="004144DB" w:rsidP="00576572">
      <w:pPr>
        <w:spacing w:after="120"/>
        <w:jc w:val="both"/>
        <w:rPr>
          <w:rFonts w:eastAsia="Times New Roman" w:cs="Arial"/>
          <w:szCs w:val="20"/>
          <w:lang w:eastAsia="fr-FR"/>
        </w:rPr>
      </w:pPr>
      <w:r w:rsidRPr="004144DB">
        <w:rPr>
          <w:rFonts w:eastAsia="Times New Roman" w:cs="Arial"/>
          <w:szCs w:val="20"/>
          <w:u w:val="single"/>
          <w:lang w:eastAsia="fr-FR"/>
        </w:rPr>
        <w:t>Ces déséquilibres sont en grande partie à l’origine des tensions persistantes sur le dinar, qui se sont renforcées depuis avril 2017</w:t>
      </w:r>
      <w:r w:rsidRPr="004144DB">
        <w:rPr>
          <w:rFonts w:eastAsia="Times New Roman" w:cs="Arial"/>
          <w:szCs w:val="20"/>
          <w:lang w:eastAsia="fr-FR"/>
        </w:rPr>
        <w:t>, la parité atteint désormais près de 3 TND pour un EUR. Dans le même temps, la Banque Centrale de Tunisie (BCT) dispose de de marges de manœuvre réduites : début 2018, les avoirs nets en devises ne représentent plus que 96 jours d’importations, contre 113 à la même période en 2016.</w:t>
      </w:r>
    </w:p>
    <w:p w14:paraId="21208B25" w14:textId="6579673D" w:rsidR="004144DB" w:rsidRPr="004144DB" w:rsidRDefault="004144DB" w:rsidP="00576572">
      <w:pPr>
        <w:spacing w:after="120"/>
        <w:jc w:val="both"/>
        <w:rPr>
          <w:rFonts w:eastAsia="Times New Roman" w:cs="Arial"/>
          <w:szCs w:val="20"/>
          <w:lang w:eastAsia="fr-FR"/>
        </w:rPr>
      </w:pPr>
      <w:r w:rsidRPr="004144DB">
        <w:rPr>
          <w:rFonts w:eastAsia="Times New Roman" w:cs="Arial"/>
          <w:szCs w:val="20"/>
          <w:lang w:eastAsia="fr-FR"/>
        </w:rPr>
        <w:t xml:space="preserve">Alors que l’on a observé une certaine stabilisation de la situation budgétaire en 2014 et en 2015 (avec un déficit proche de 5% tout de même), </w:t>
      </w:r>
      <w:r w:rsidRPr="004144DB">
        <w:rPr>
          <w:rFonts w:eastAsia="Times New Roman" w:cs="Arial"/>
          <w:szCs w:val="20"/>
          <w:u w:val="single"/>
          <w:lang w:eastAsia="fr-FR"/>
        </w:rPr>
        <w:t>le budget tunisien a fortement dérapé ces deux dernières années. En 2017, le déficit s’est élevé 6,1% du PIB contre 5,4% prévu dans la LF. Pour 2018, la LF est ambitieuse. Elle table sur un déficit à 4,9% du PIB, proposant une réduction du déficit plus importante que les projections réalisées par le Fonds Monétaire International (FMI) dans le cadre de son programme d’aide</w:t>
      </w:r>
      <w:r w:rsidR="003F2A8D">
        <w:rPr>
          <w:rFonts w:eastAsia="Times New Roman" w:cs="Arial"/>
          <w:szCs w:val="20"/>
          <w:u w:val="single"/>
          <w:lang w:eastAsia="fr-FR"/>
        </w:rPr>
        <w:t>.</w:t>
      </w:r>
      <w:r w:rsidRPr="004144DB">
        <w:rPr>
          <w:rFonts w:eastAsia="Times New Roman" w:cs="Arial"/>
          <w:szCs w:val="20"/>
          <w:u w:val="single"/>
          <w:lang w:eastAsia="fr-FR"/>
        </w:rPr>
        <w:t> </w:t>
      </w:r>
      <w:r w:rsidR="00FC432B">
        <w:rPr>
          <w:rFonts w:eastAsia="Times New Roman" w:cs="Arial"/>
          <w:szCs w:val="20"/>
          <w:u w:val="single"/>
          <w:lang w:eastAsia="fr-FR"/>
        </w:rPr>
        <w:t>L</w:t>
      </w:r>
      <w:r w:rsidRPr="004144DB">
        <w:rPr>
          <w:rFonts w:eastAsia="Times New Roman" w:cs="Arial"/>
          <w:szCs w:val="20"/>
          <w:lang w:eastAsia="fr-FR"/>
        </w:rPr>
        <w:t xml:space="preserve">a masse </w:t>
      </w:r>
      <w:r w:rsidRPr="004144DB">
        <w:rPr>
          <w:rFonts w:eastAsia="Times New Roman" w:cs="Arial"/>
          <w:szCs w:val="20"/>
          <w:lang w:eastAsia="fr-FR"/>
        </w:rPr>
        <w:lastRenderedPageBreak/>
        <w:t xml:space="preserve">salariale de la fonction publique va </w:t>
      </w:r>
      <w:r w:rsidR="00FC432B">
        <w:rPr>
          <w:rFonts w:eastAsia="Times New Roman" w:cs="Arial"/>
          <w:szCs w:val="20"/>
          <w:lang w:eastAsia="fr-FR"/>
        </w:rPr>
        <w:t xml:space="preserve">toutefois </w:t>
      </w:r>
      <w:r w:rsidRPr="004144DB">
        <w:rPr>
          <w:rFonts w:eastAsia="Times New Roman" w:cs="Arial"/>
          <w:szCs w:val="20"/>
          <w:lang w:eastAsia="fr-FR"/>
        </w:rPr>
        <w:t>continuer à augmenter pour atteindre près de 15% du PIB</w:t>
      </w:r>
      <w:r w:rsidR="00FC432B">
        <w:rPr>
          <w:rFonts w:eastAsia="Times New Roman" w:cs="Arial"/>
          <w:szCs w:val="20"/>
          <w:lang w:eastAsia="fr-FR"/>
        </w:rPr>
        <w:t>. Le</w:t>
      </w:r>
      <w:r w:rsidRPr="004144DB">
        <w:rPr>
          <w:rFonts w:eastAsia="Times New Roman" w:cs="Arial"/>
          <w:szCs w:val="20"/>
          <w:lang w:eastAsia="fr-FR"/>
        </w:rPr>
        <w:t xml:space="preserve"> budget d’investissement est à nouveau utilisé comme la variable d’ajustement. Ce dernier représente aujourd’hui moins de 20% du budget de l’Etat.</w:t>
      </w:r>
    </w:p>
    <w:p w14:paraId="7886E0E8" w14:textId="422E148B" w:rsidR="004144DB" w:rsidRPr="004144DB" w:rsidRDefault="003F2A8D" w:rsidP="00576572">
      <w:pPr>
        <w:spacing w:after="120"/>
        <w:jc w:val="both"/>
        <w:rPr>
          <w:rFonts w:eastAsia="Times New Roman" w:cs="Arial"/>
          <w:szCs w:val="20"/>
          <w:lang w:eastAsia="fr-FR"/>
        </w:rPr>
      </w:pPr>
      <w:r>
        <w:rPr>
          <w:rFonts w:eastAsia="Times New Roman" w:cs="Arial"/>
          <w:szCs w:val="20"/>
          <w:u w:val="single"/>
          <w:lang w:eastAsia="fr-FR"/>
        </w:rPr>
        <w:t xml:space="preserve">Alors que la </w:t>
      </w:r>
      <w:r w:rsidR="00FC432B">
        <w:rPr>
          <w:rFonts w:eastAsia="Times New Roman" w:cs="Arial"/>
          <w:szCs w:val="20"/>
          <w:u w:val="single"/>
          <w:lang w:eastAsia="fr-FR"/>
        </w:rPr>
        <w:t xml:space="preserve">conclusion de la </w:t>
      </w:r>
      <w:r>
        <w:rPr>
          <w:rFonts w:eastAsia="Times New Roman" w:cs="Arial"/>
          <w:szCs w:val="20"/>
          <w:u w:val="single"/>
          <w:lang w:eastAsia="fr-FR"/>
        </w:rPr>
        <w:t xml:space="preserve">seconde revue du programme </w:t>
      </w:r>
      <w:r w:rsidR="00FC432B">
        <w:rPr>
          <w:rFonts w:eastAsia="Times New Roman" w:cs="Arial"/>
          <w:szCs w:val="20"/>
          <w:u w:val="single"/>
          <w:lang w:eastAsia="fr-FR"/>
        </w:rPr>
        <w:t xml:space="preserve">d’aide pluriannuel </w:t>
      </w:r>
      <w:r>
        <w:rPr>
          <w:rFonts w:eastAsia="Times New Roman" w:cs="Arial"/>
          <w:szCs w:val="20"/>
          <w:u w:val="single"/>
          <w:lang w:eastAsia="fr-FR"/>
        </w:rPr>
        <w:t xml:space="preserve">du FMI est conditionnée à certaines actions prioritaires, </w:t>
      </w:r>
      <w:r w:rsidR="004144DB" w:rsidRPr="004144DB">
        <w:rPr>
          <w:rFonts w:eastAsia="Times New Roman" w:cs="Arial"/>
          <w:szCs w:val="20"/>
          <w:u w:val="single"/>
          <w:lang w:eastAsia="fr-FR"/>
        </w:rPr>
        <w:t xml:space="preserve">le gouvernement tunisien </w:t>
      </w:r>
      <w:r>
        <w:rPr>
          <w:rFonts w:eastAsia="Times New Roman" w:cs="Arial"/>
          <w:szCs w:val="20"/>
          <w:u w:val="single"/>
          <w:lang w:eastAsia="fr-FR"/>
        </w:rPr>
        <w:t>reste</w:t>
      </w:r>
      <w:r w:rsidRPr="004144DB">
        <w:rPr>
          <w:rFonts w:eastAsia="Times New Roman" w:cs="Arial"/>
          <w:szCs w:val="20"/>
          <w:u w:val="single"/>
          <w:lang w:eastAsia="fr-FR"/>
        </w:rPr>
        <w:t xml:space="preserve"> </w:t>
      </w:r>
      <w:r w:rsidR="004144DB" w:rsidRPr="004144DB">
        <w:rPr>
          <w:rFonts w:eastAsia="Times New Roman" w:cs="Arial"/>
          <w:szCs w:val="20"/>
          <w:u w:val="single"/>
          <w:lang w:eastAsia="fr-FR"/>
        </w:rPr>
        <w:t>fortement dépendant des bailleurs</w:t>
      </w:r>
      <w:r w:rsidR="004144DB" w:rsidRPr="004144DB">
        <w:rPr>
          <w:rFonts w:eastAsia="Times New Roman" w:cs="Arial"/>
          <w:szCs w:val="20"/>
          <w:lang w:eastAsia="fr-FR"/>
        </w:rPr>
        <w:t xml:space="preserve"> (outre le FMI, Union Européenne, Banque Mondiale, Banque Africaine de Développement, etc.) </w:t>
      </w:r>
      <w:r w:rsidR="004144DB" w:rsidRPr="004144DB">
        <w:rPr>
          <w:rFonts w:eastAsia="Times New Roman" w:cs="Arial"/>
          <w:szCs w:val="20"/>
          <w:u w:val="single"/>
          <w:lang w:eastAsia="fr-FR"/>
        </w:rPr>
        <w:t>pour faire face à ses besoins de financement</w:t>
      </w:r>
      <w:r w:rsidR="004144DB" w:rsidRPr="004144DB">
        <w:rPr>
          <w:rFonts w:eastAsia="Times New Roman" w:cs="Arial"/>
          <w:szCs w:val="20"/>
          <w:lang w:eastAsia="fr-FR"/>
        </w:rPr>
        <w:t> ; puisque parallèlement les conditions dont bénéficie le pays sur les marchés internationaux se dégradent, en même temps ses notations souveraines.</w:t>
      </w:r>
    </w:p>
    <w:p w14:paraId="6542D5B9" w14:textId="5C0AA234" w:rsidR="005922A4" w:rsidRPr="004144DB" w:rsidRDefault="004144DB" w:rsidP="00576572">
      <w:pPr>
        <w:spacing w:after="120"/>
        <w:jc w:val="both"/>
        <w:rPr>
          <w:rFonts w:cs="Arial"/>
          <w:szCs w:val="20"/>
        </w:rPr>
      </w:pPr>
      <w:r w:rsidRPr="004144DB">
        <w:rPr>
          <w:rFonts w:eastAsia="Times New Roman" w:cs="Arial"/>
          <w:szCs w:val="20"/>
          <w:u w:val="single"/>
          <w:lang w:eastAsia="fr-FR"/>
        </w:rPr>
        <w:t>L’augmentation de la dette publique est d’autant plus préoccupante qu’elle est notamment utilisée pour financer des dépenses de fonctionnement. Elle devrait atteindre 70% du PIB en 2017, contre 40% en 2010</w:t>
      </w:r>
      <w:r w:rsidRPr="004144DB">
        <w:rPr>
          <w:rFonts w:eastAsia="Times New Roman" w:cs="Arial"/>
          <w:szCs w:val="20"/>
          <w:lang w:eastAsia="fr-FR"/>
        </w:rPr>
        <w:t xml:space="preserve"> au niveau du gouvernement central. </w:t>
      </w:r>
      <w:r w:rsidRPr="004144DB">
        <w:rPr>
          <w:rFonts w:eastAsia="Times New Roman" w:cs="Arial"/>
          <w:szCs w:val="20"/>
          <w:u w:val="single"/>
          <w:lang w:eastAsia="fr-FR"/>
        </w:rPr>
        <w:t>La dette publique tunisienne est encore jugée soutenable par le FMI</w:t>
      </w:r>
      <w:r w:rsidRPr="004144DB">
        <w:rPr>
          <w:rFonts w:eastAsia="Times New Roman" w:cs="Arial"/>
          <w:szCs w:val="20"/>
          <w:lang w:eastAsia="fr-FR"/>
        </w:rPr>
        <w:t xml:space="preserve">. Cela tient notamment à des maturités relativement longues, et à un taux d’intérêt moyen bas, la Tunisie s’endettant auprès des bailleurs internationaux à des conditions favorables. </w:t>
      </w:r>
      <w:r w:rsidRPr="004144DB">
        <w:rPr>
          <w:rFonts w:eastAsia="Times New Roman" w:cs="Arial"/>
          <w:szCs w:val="20"/>
          <w:u w:val="single"/>
          <w:lang w:eastAsia="fr-FR"/>
        </w:rPr>
        <w:t>Cependant, une large part de cette dette est libellée en devise (environ 70%), ce qui appelle à une vigilance renforcée, compte tenu notamment du rythme auquel se déprécie le dinar</w:t>
      </w:r>
      <w:r w:rsidRPr="004144DB">
        <w:rPr>
          <w:rFonts w:eastAsia="Times New Roman" w:cs="Arial"/>
          <w:szCs w:val="20"/>
          <w:lang w:eastAsia="fr-FR"/>
        </w:rPr>
        <w:t>.</w:t>
      </w:r>
    </w:p>
    <w:p w14:paraId="18447C80" w14:textId="5798C3BA" w:rsidR="005922A4" w:rsidRPr="004144DB" w:rsidRDefault="005922A4" w:rsidP="00576572">
      <w:pPr>
        <w:pStyle w:val="Paragraphedeliste"/>
        <w:numPr>
          <w:ilvl w:val="0"/>
          <w:numId w:val="18"/>
        </w:numPr>
        <w:spacing w:before="120" w:after="120"/>
        <w:ind w:left="1077" w:right="-284"/>
        <w:contextualSpacing w:val="0"/>
        <w:jc w:val="both"/>
        <w:rPr>
          <w:rFonts w:eastAsiaTheme="majorEastAsia" w:cs="Arial"/>
          <w:b/>
          <w:bCs/>
          <w:iCs/>
          <w:color w:val="122255"/>
          <w:sz w:val="24"/>
          <w:szCs w:val="20"/>
        </w:rPr>
      </w:pPr>
      <w:r w:rsidRPr="004144DB">
        <w:rPr>
          <w:rFonts w:eastAsiaTheme="majorEastAsia" w:cs="Arial"/>
          <w:b/>
          <w:bCs/>
          <w:iCs/>
          <w:color w:val="122255"/>
          <w:sz w:val="24"/>
          <w:szCs w:val="20"/>
        </w:rPr>
        <w:t xml:space="preserve">Le gouvernent d’union nationale </w:t>
      </w:r>
      <w:r w:rsidR="004144DB" w:rsidRPr="004144DB">
        <w:rPr>
          <w:rFonts w:eastAsiaTheme="majorEastAsia" w:cs="Arial"/>
          <w:b/>
          <w:bCs/>
          <w:iCs/>
          <w:color w:val="122255"/>
          <w:sz w:val="24"/>
          <w:szCs w:val="20"/>
        </w:rPr>
        <w:t>remanié</w:t>
      </w:r>
      <w:r w:rsidRPr="004144DB">
        <w:rPr>
          <w:rFonts w:eastAsiaTheme="majorEastAsia" w:cs="Arial"/>
          <w:b/>
          <w:bCs/>
          <w:iCs/>
          <w:color w:val="122255"/>
          <w:sz w:val="24"/>
          <w:szCs w:val="20"/>
        </w:rPr>
        <w:t xml:space="preserve"> en août 2016 doit accélérer sur le plan des réformes</w:t>
      </w:r>
    </w:p>
    <w:p w14:paraId="3A27E3B8" w14:textId="18BE9CA8" w:rsidR="004144DB" w:rsidRPr="004144DB" w:rsidRDefault="004144DB" w:rsidP="00576572">
      <w:pPr>
        <w:spacing w:after="120"/>
        <w:jc w:val="both"/>
        <w:rPr>
          <w:rFonts w:cs="Arial"/>
          <w:szCs w:val="20"/>
        </w:rPr>
      </w:pPr>
      <w:r w:rsidRPr="004144DB">
        <w:rPr>
          <w:rFonts w:cs="Arial"/>
          <w:szCs w:val="20"/>
          <w:u w:val="single"/>
        </w:rPr>
        <w:t>Le gouvernement d’union nationale de Youssef Chahed a été investi en août 2016 avec une feuille de route claire : accélérer le processus de réforme avec comme objectif le redressement économique et social du pays</w:t>
      </w:r>
      <w:r w:rsidRPr="004144DB">
        <w:rPr>
          <w:rFonts w:cs="Arial"/>
          <w:szCs w:val="20"/>
        </w:rPr>
        <w:t xml:space="preserve">.. On peut mettre à son crédit l’entrée en vigueur d’une nouvelle législation sur l’investissement. </w:t>
      </w:r>
      <w:r w:rsidR="00FC432B">
        <w:rPr>
          <w:rFonts w:cs="Arial"/>
          <w:szCs w:val="20"/>
        </w:rPr>
        <w:t>De plus</w:t>
      </w:r>
      <w:r w:rsidRPr="004144DB">
        <w:rPr>
          <w:rFonts w:cs="Arial"/>
          <w:szCs w:val="20"/>
        </w:rPr>
        <w:t xml:space="preserve">, le gouvernement Chahed a engagé </w:t>
      </w:r>
      <w:r w:rsidR="00FC432B">
        <w:rPr>
          <w:rFonts w:cs="Arial"/>
          <w:szCs w:val="20"/>
        </w:rPr>
        <w:t>une</w:t>
      </w:r>
      <w:r w:rsidR="00FC432B" w:rsidRPr="004144DB">
        <w:rPr>
          <w:rFonts w:cs="Arial"/>
          <w:szCs w:val="20"/>
        </w:rPr>
        <w:t xml:space="preserve"> </w:t>
      </w:r>
      <w:r w:rsidRPr="004144DB">
        <w:rPr>
          <w:rFonts w:cs="Arial"/>
          <w:szCs w:val="20"/>
        </w:rPr>
        <w:t>restructuration de l’administration – plan de départs à la retraite anticipés et plan de départs volontaires. Enfin, il s’est engagé à partir du printemps 2017 dans une lutte contre la corruption.</w:t>
      </w:r>
    </w:p>
    <w:p w14:paraId="2757D200" w14:textId="58FC7F56" w:rsidR="004144DB" w:rsidRPr="004144DB" w:rsidRDefault="004144DB" w:rsidP="00576572">
      <w:pPr>
        <w:spacing w:after="120"/>
        <w:jc w:val="both"/>
        <w:rPr>
          <w:rFonts w:cs="Arial"/>
          <w:szCs w:val="20"/>
        </w:rPr>
      </w:pPr>
      <w:r w:rsidRPr="004144DB">
        <w:rPr>
          <w:rFonts w:cs="Arial"/>
          <w:szCs w:val="20"/>
          <w:u w:val="single"/>
        </w:rPr>
        <w:t>Youssef Chahed a largement remanié son gouvernement en septembre 2017. Dans son discours à l’Assemblée lors du vote de confiance, il a</w:t>
      </w:r>
      <w:r w:rsidR="00FC432B">
        <w:rPr>
          <w:rFonts w:cs="Arial"/>
          <w:szCs w:val="20"/>
          <w:u w:val="single"/>
        </w:rPr>
        <w:t xml:space="preserve"> indiqué un certain nombre d’objectifs</w:t>
      </w:r>
      <w:r w:rsidRPr="004144DB">
        <w:rPr>
          <w:rFonts w:cs="Arial"/>
          <w:szCs w:val="20"/>
        </w:rPr>
        <w:t> : déficit budgétaire à 3% du PIB, endettement à 70%, masse salariale à 12,5% en y adjoignant un retour à une croissance de 5% en 2020 qui découlerait en particulier de la mise en œuvre pleine et entière de la loi sur l’investissement promulguée en 2017 et au développement effectif du partenariat public-privé.</w:t>
      </w:r>
    </w:p>
    <w:p w14:paraId="6F2020C4" w14:textId="23D91C89" w:rsidR="004144DB" w:rsidRPr="004144DB" w:rsidRDefault="004144DB" w:rsidP="00576572">
      <w:pPr>
        <w:spacing w:after="120"/>
        <w:jc w:val="both"/>
        <w:rPr>
          <w:rFonts w:cs="Arial"/>
          <w:szCs w:val="20"/>
        </w:rPr>
      </w:pPr>
      <w:r w:rsidRPr="004144DB">
        <w:rPr>
          <w:rFonts w:cs="Arial"/>
          <w:szCs w:val="20"/>
          <w:u w:val="single"/>
        </w:rPr>
        <w:t>Outre l’assainissement des finances publiques et la diminution de la masse salariale de la fonction publique, les priorités sont nombreuses avec comme ligne de mire l’amélioration du climat des affaire et de l’attractivité du pays</w:t>
      </w:r>
      <w:r w:rsidRPr="004144DB">
        <w:rPr>
          <w:rFonts w:cs="Arial"/>
          <w:szCs w:val="20"/>
        </w:rPr>
        <w:t xml:space="preserve"> : réforme de l’administration et simplification des procédures, amélioration des services logistiques et douaniers, réforme fiscale, restructuration des entreprises publiques, réforme des caisses sociales, réforme du système de financement de l’économie, réforme du système de compensation des produits de base. Le gouvernement doit également poursuivre et intensifier la lutte contre l’économie parallèle et la corruption et poursuivre le chantier de la réforme territoriale et de la décentralisation. </w:t>
      </w:r>
    </w:p>
    <w:p w14:paraId="634FF8A0" w14:textId="17A8763E" w:rsidR="005922A4" w:rsidRPr="004144DB" w:rsidRDefault="004144DB" w:rsidP="00576572">
      <w:pPr>
        <w:spacing w:after="120"/>
        <w:jc w:val="both"/>
        <w:rPr>
          <w:rFonts w:cs="Arial"/>
          <w:szCs w:val="20"/>
        </w:rPr>
      </w:pPr>
      <w:r w:rsidRPr="004144DB">
        <w:rPr>
          <w:rFonts w:cs="Arial"/>
          <w:b/>
          <w:szCs w:val="20"/>
        </w:rPr>
        <w:t xml:space="preserve">Caractérisée par l’énergie réelle de la société civile mais également par la pesanteur des institutions et des corporations </w:t>
      </w:r>
      <w:r w:rsidRPr="004144DB">
        <w:rPr>
          <w:rFonts w:cs="Arial"/>
          <w:b/>
          <w:i/>
          <w:szCs w:val="20"/>
        </w:rPr>
        <w:t>de facto</w:t>
      </w:r>
      <w:r w:rsidRPr="004144DB">
        <w:rPr>
          <w:rFonts w:cs="Arial"/>
          <w:b/>
          <w:szCs w:val="20"/>
        </w:rPr>
        <w:t xml:space="preserve"> réticentes au changement, l’équation politique implique d’ici les échéances électorales nationales de 2019 des mesures courageuses qui ne peuvent être acceptées que si elles s’accompagnent d’un sentiment d’équité et de justice.</w:t>
      </w:r>
    </w:p>
    <w:p w14:paraId="2D99AF94" w14:textId="77777777" w:rsidR="00DC69F2" w:rsidRDefault="00DC69F2" w:rsidP="00576572">
      <w:pPr>
        <w:spacing w:after="120"/>
        <w:jc w:val="both"/>
        <w:rPr>
          <w:rFonts w:cs="Arial"/>
        </w:rPr>
      </w:pPr>
    </w:p>
    <w:p w14:paraId="6B191284" w14:textId="77777777" w:rsidR="00AC282E" w:rsidRDefault="00AC282E" w:rsidP="00576572">
      <w:pPr>
        <w:spacing w:after="120"/>
        <w:jc w:val="both"/>
        <w:rPr>
          <w:rFonts w:cs="Arial"/>
        </w:rPr>
      </w:pPr>
    </w:p>
    <w:p w14:paraId="3BE840EC" w14:textId="77777777" w:rsidR="00AC282E" w:rsidRDefault="00AC282E" w:rsidP="00576572">
      <w:pPr>
        <w:spacing w:after="120"/>
        <w:jc w:val="both"/>
        <w:rPr>
          <w:rFonts w:cs="Arial"/>
        </w:rPr>
      </w:pPr>
    </w:p>
    <w:p w14:paraId="7BF17E21" w14:textId="77777777" w:rsidR="00DC69F2" w:rsidRPr="004144DB" w:rsidRDefault="00DC69F2" w:rsidP="00576572">
      <w:pPr>
        <w:spacing w:after="120"/>
        <w:jc w:val="both"/>
        <w:rPr>
          <w:rFonts w:cs="Arial"/>
        </w:rPr>
      </w:pPr>
    </w:p>
    <w:tbl>
      <w:tblPr>
        <w:tblStyle w:val="Grilledutableau"/>
        <w:tblW w:w="0" w:type="auto"/>
        <w:shd w:val="clear" w:color="auto" w:fill="E6A300"/>
        <w:tblLook w:val="04A0" w:firstRow="1" w:lastRow="0" w:firstColumn="1" w:lastColumn="0" w:noHBand="0" w:noVBand="1"/>
      </w:tblPr>
      <w:tblGrid>
        <w:gridCol w:w="9628"/>
      </w:tblGrid>
      <w:tr w:rsidR="002C1015" w:rsidRPr="004144DB" w14:paraId="1C7BF07A" w14:textId="77777777" w:rsidTr="00E974EE">
        <w:trPr>
          <w:trHeight w:val="70"/>
        </w:trPr>
        <w:tc>
          <w:tcPr>
            <w:tcW w:w="9628" w:type="dxa"/>
            <w:shd w:val="clear" w:color="auto" w:fill="E6A300"/>
          </w:tcPr>
          <w:p w14:paraId="7BB65230" w14:textId="77777777" w:rsidR="002C1015" w:rsidRPr="004144DB" w:rsidRDefault="002C1015" w:rsidP="00576572">
            <w:pPr>
              <w:pStyle w:val="Titre5"/>
              <w:spacing w:after="120" w:line="276" w:lineRule="auto"/>
              <w:outlineLvl w:val="4"/>
              <w:rPr>
                <w:rFonts w:cs="Arial"/>
              </w:rPr>
            </w:pPr>
            <w:r w:rsidRPr="004144DB">
              <w:rPr>
                <w:rFonts w:cs="Arial"/>
              </w:rPr>
              <w:t xml:space="preserve">Clause de non-responsabilité - 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 </w:t>
            </w:r>
          </w:p>
        </w:tc>
      </w:tr>
    </w:tbl>
    <w:p w14:paraId="59C547AB" w14:textId="77777777" w:rsidR="000F0B51" w:rsidRPr="004144DB" w:rsidRDefault="000F0B51" w:rsidP="00576572">
      <w:pPr>
        <w:spacing w:after="120"/>
        <w:jc w:val="both"/>
        <w:rPr>
          <w:rFonts w:cs="Arial"/>
        </w:rPr>
      </w:pPr>
    </w:p>
    <w:sectPr w:rsidR="000F0B51" w:rsidRPr="004144DB" w:rsidSect="0032109D">
      <w:footerReference w:type="default" r:id="rId8"/>
      <w:pgSz w:w="11906" w:h="16838"/>
      <w:pgMar w:top="851" w:right="1134" w:bottom="851" w:left="1134" w:header="907" w:footer="1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32EA2" w14:textId="77777777" w:rsidR="00425979" w:rsidRDefault="00425979" w:rsidP="00F425DB">
      <w:pPr>
        <w:spacing w:after="0" w:line="240" w:lineRule="auto"/>
      </w:pPr>
      <w:r>
        <w:separator/>
      </w:r>
    </w:p>
  </w:endnote>
  <w:endnote w:type="continuationSeparator" w:id="0">
    <w:p w14:paraId="53ABD6A2" w14:textId="77777777" w:rsidR="00425979" w:rsidRDefault="00425979" w:rsidP="00F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L">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22255"/>
      </w:rPr>
      <w:id w:val="-947159556"/>
      <w:docPartObj>
        <w:docPartGallery w:val="Page Numbers (Bottom of Page)"/>
        <w:docPartUnique/>
      </w:docPartObj>
    </w:sdtPr>
    <w:sdtEndPr>
      <w:rPr>
        <w:color w:val="auto"/>
        <w:sz w:val="18"/>
        <w:szCs w:val="18"/>
      </w:rPr>
    </w:sdtEndPr>
    <w:sdtContent>
      <w:tbl>
        <w:tblPr>
          <w:tblStyle w:val="Grilledutableau"/>
          <w:tblW w:w="9957" w:type="dxa"/>
          <w:tblInd w:w="108" w:type="dxa"/>
          <w:tblBorders>
            <w:top w:val="single" w:sz="12" w:space="0" w:color="E6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5040"/>
          <w:gridCol w:w="2331"/>
        </w:tblGrid>
        <w:tr w:rsidR="00347E10" w:rsidRPr="00347E10" w14:paraId="270229AE" w14:textId="77777777" w:rsidTr="0071295C">
          <w:trPr>
            <w:trHeight w:val="815"/>
          </w:trPr>
          <w:tc>
            <w:tcPr>
              <w:tcW w:w="2586" w:type="dxa"/>
            </w:tcPr>
            <w:p w14:paraId="37520FAD" w14:textId="414B6C84" w:rsidR="005A69FD" w:rsidRPr="00FF6E23" w:rsidRDefault="00741122" w:rsidP="001506E5">
              <w:pPr>
                <w:spacing w:before="120"/>
                <w:rPr>
                  <w:rFonts w:ascii="Arial Gras" w:hAnsi="Arial Gras" w:cs="Arial"/>
                  <w:b/>
                  <w:bCs/>
                  <w:color w:val="122255"/>
                  <w:sz w:val="16"/>
                </w:rPr>
              </w:pPr>
              <w:r>
                <w:rPr>
                  <w:rFonts w:ascii="Arial Gras" w:hAnsi="Arial Gras" w:cs="Arial"/>
                  <w:b/>
                  <w:bCs/>
                  <w:color w:val="122255"/>
                  <w:sz w:val="16"/>
                </w:rPr>
                <w:t>Janvier 2018</w:t>
              </w:r>
              <w:r w:rsidR="005A69FD" w:rsidRPr="00347E10">
                <w:rPr>
                  <w:rFonts w:ascii="Arial Gras" w:hAnsi="Arial Gras" w:cs="Arial"/>
                  <w:b/>
                  <w:bCs/>
                  <w:color w:val="122255"/>
                  <w:sz w:val="16"/>
                </w:rPr>
                <w:t xml:space="preserve"> </w:t>
              </w:r>
              <w:r w:rsidR="00C3179B" w:rsidRPr="00347E10">
                <w:rPr>
                  <w:rFonts w:ascii="Arial Gras" w:hAnsi="Arial Gras" w:cs="Arial"/>
                  <w:b/>
                  <w:color w:val="122255"/>
                  <w:sz w:val="16"/>
                </w:rPr>
                <w:t>© DG Trésor</w:t>
              </w:r>
            </w:p>
            <w:p w14:paraId="623027B4" w14:textId="77777777" w:rsidR="005A69FD" w:rsidRPr="00347E10" w:rsidRDefault="005A69FD" w:rsidP="005A69FD">
              <w:pPr>
                <w:rPr>
                  <w:color w:val="122255"/>
                  <w:sz w:val="18"/>
                  <w:szCs w:val="18"/>
                </w:rPr>
              </w:pPr>
            </w:p>
          </w:tc>
          <w:tc>
            <w:tcPr>
              <w:tcW w:w="5040" w:type="dxa"/>
            </w:tcPr>
            <w:p w14:paraId="6C701CA6" w14:textId="77777777" w:rsidR="00803591" w:rsidRPr="00347E10" w:rsidRDefault="00803591" w:rsidP="000B5DAE">
              <w:pPr>
                <w:spacing w:before="120"/>
                <w:jc w:val="center"/>
                <w:rPr>
                  <w:b/>
                  <w:color w:val="122255"/>
                  <w:sz w:val="18"/>
                  <w:szCs w:val="18"/>
                </w:rPr>
              </w:pPr>
              <w:r w:rsidRPr="00347E10">
                <w:rPr>
                  <w:b/>
                  <w:color w:val="122255"/>
                  <w:sz w:val="18"/>
                  <w:szCs w:val="18"/>
                </w:rPr>
                <w:t xml:space="preserve">AMBASSADE DE FRANCE </w:t>
              </w:r>
              <w:r w:rsidR="002D6BD9">
                <w:rPr>
                  <w:b/>
                  <w:color w:val="122255"/>
                  <w:sz w:val="18"/>
                  <w:szCs w:val="18"/>
                </w:rPr>
                <w:t>EN TUNISIE</w:t>
              </w:r>
            </w:p>
            <w:p w14:paraId="2407FA9A" w14:textId="77777777" w:rsidR="005A69FD" w:rsidRDefault="002D6BD9" w:rsidP="00803591">
              <w:pPr>
                <w:jc w:val="center"/>
                <w:rPr>
                  <w:b/>
                  <w:color w:val="122255"/>
                  <w:sz w:val="18"/>
                  <w:szCs w:val="18"/>
                </w:rPr>
              </w:pPr>
              <w:r>
                <w:rPr>
                  <w:b/>
                  <w:color w:val="122255"/>
                  <w:sz w:val="18"/>
                  <w:szCs w:val="18"/>
                </w:rPr>
                <w:t>SERVICE ECONOMIQUE REGIONAL</w:t>
              </w:r>
            </w:p>
            <w:p w14:paraId="6125A7CE" w14:textId="77777777" w:rsidR="002611F0" w:rsidRPr="002611F0" w:rsidRDefault="002611F0" w:rsidP="00803591">
              <w:pPr>
                <w:jc w:val="center"/>
                <w:rPr>
                  <w:color w:val="122255"/>
                  <w:sz w:val="16"/>
                  <w:szCs w:val="16"/>
                </w:rPr>
              </w:pPr>
            </w:p>
          </w:tc>
          <w:tc>
            <w:tcPr>
              <w:tcW w:w="2331" w:type="dxa"/>
            </w:tcPr>
            <w:p w14:paraId="7CA37D13" w14:textId="77777777" w:rsidR="005A69FD" w:rsidRPr="00347E10" w:rsidRDefault="005A69FD" w:rsidP="00347E10">
              <w:pPr>
                <w:spacing w:before="120"/>
                <w:jc w:val="right"/>
                <w:rPr>
                  <w:b/>
                  <w:color w:val="122255"/>
                  <w:sz w:val="16"/>
                  <w:szCs w:val="16"/>
                </w:rPr>
              </w:pPr>
              <w:r w:rsidRPr="00347E10">
                <w:rPr>
                  <w:b/>
                  <w:color w:val="122255"/>
                  <w:sz w:val="16"/>
                  <w:szCs w:val="16"/>
                </w:rPr>
                <w:fldChar w:fldCharType="begin"/>
              </w:r>
              <w:r w:rsidRPr="00347E10">
                <w:rPr>
                  <w:b/>
                  <w:color w:val="122255"/>
                  <w:sz w:val="16"/>
                  <w:szCs w:val="16"/>
                </w:rPr>
                <w:instrText>PAGE   \* MERGEFORMAT</w:instrText>
              </w:r>
              <w:r w:rsidRPr="00347E10">
                <w:rPr>
                  <w:b/>
                  <w:color w:val="122255"/>
                  <w:sz w:val="16"/>
                  <w:szCs w:val="16"/>
                </w:rPr>
                <w:fldChar w:fldCharType="separate"/>
              </w:r>
              <w:r w:rsidR="00AC282E">
                <w:rPr>
                  <w:b/>
                  <w:noProof/>
                  <w:color w:val="122255"/>
                  <w:sz w:val="16"/>
                  <w:szCs w:val="16"/>
                </w:rPr>
                <w:t>2</w:t>
              </w:r>
              <w:r w:rsidRPr="00347E10">
                <w:rPr>
                  <w:b/>
                  <w:color w:val="122255"/>
                  <w:sz w:val="16"/>
                  <w:szCs w:val="16"/>
                </w:rPr>
                <w:fldChar w:fldCharType="end"/>
              </w:r>
            </w:p>
          </w:tc>
        </w:tr>
      </w:tbl>
      <w:p w14:paraId="1905C1B8" w14:textId="734A8DEF" w:rsidR="005A69FD" w:rsidRPr="005A69FD" w:rsidRDefault="00942060" w:rsidP="00942060">
        <w:pPr>
          <w:pStyle w:val="Pieddepage"/>
          <w:tabs>
            <w:tab w:val="clear" w:pos="4536"/>
            <w:tab w:val="clear" w:pos="9072"/>
            <w:tab w:val="left" w:pos="2327"/>
          </w:tabs>
          <w:rPr>
            <w:sz w:val="18"/>
            <w:szCs w:val="18"/>
          </w:rPr>
        </w:pPr>
        <w:r>
          <w:rPr>
            <w:sz w:val="18"/>
            <w:szCs w:val="18"/>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0F14B" w14:textId="77777777" w:rsidR="00425979" w:rsidRDefault="00425979" w:rsidP="00F425DB">
      <w:pPr>
        <w:spacing w:after="0" w:line="240" w:lineRule="auto"/>
      </w:pPr>
      <w:r>
        <w:separator/>
      </w:r>
    </w:p>
  </w:footnote>
  <w:footnote w:type="continuationSeparator" w:id="0">
    <w:p w14:paraId="3123A85B" w14:textId="77777777" w:rsidR="00425979" w:rsidRDefault="00425979" w:rsidP="00F42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3in;height:3in" o:bullet="t"/>
    </w:pict>
  </w:numPicBullet>
  <w:numPicBullet w:numPicBulletId="1">
    <w:pict>
      <v:shape id="_x0000_i1131" type="#_x0000_t75" style="width:3in;height:3in" o:bullet="t"/>
    </w:pict>
  </w:numPicBullet>
  <w:numPicBullet w:numPicBulletId="2">
    <w:pict>
      <v:shape id="_x0000_i1132" type="#_x0000_t75" style="width:3in;height:3in" o:bullet="t"/>
    </w:pict>
  </w:numPicBullet>
  <w:numPicBullet w:numPicBulletId="3">
    <w:pict>
      <v:shape id="_x0000_i1133" type="#_x0000_t75" style="width:3in;height:3in" o:bullet="t"/>
    </w:pict>
  </w:numPicBullet>
  <w:abstractNum w:abstractNumId="0" w15:restartNumberingAfterBreak="0">
    <w:nsid w:val="04671D7C"/>
    <w:multiLevelType w:val="hybridMultilevel"/>
    <w:tmpl w:val="0E82E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0B3303"/>
    <w:multiLevelType w:val="multilevel"/>
    <w:tmpl w:val="71A2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F5AC9"/>
    <w:multiLevelType w:val="hybridMultilevel"/>
    <w:tmpl w:val="3DC417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8E305A"/>
    <w:multiLevelType w:val="hybridMultilevel"/>
    <w:tmpl w:val="34702C72"/>
    <w:lvl w:ilvl="0" w:tplc="299A860E">
      <w:start w:val="21"/>
      <w:numFmt w:val="bullet"/>
      <w:lvlText w:val="-"/>
      <w:lvlJc w:val="left"/>
      <w:pPr>
        <w:ind w:left="720" w:hanging="360"/>
      </w:pPr>
      <w:rPr>
        <w:rFonts w:ascii="FuturaL" w:eastAsia="Calibri" w:hAnsi="FuturaL" w:cs="Times New Roman" w:hint="default"/>
        <w:color w:val="575758"/>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B525F9"/>
    <w:multiLevelType w:val="multilevel"/>
    <w:tmpl w:val="0CAEF0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35E99"/>
    <w:multiLevelType w:val="multilevel"/>
    <w:tmpl w:val="A96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D21A75"/>
    <w:multiLevelType w:val="multilevel"/>
    <w:tmpl w:val="5568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8275F"/>
    <w:multiLevelType w:val="multilevel"/>
    <w:tmpl w:val="36F4991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CA83DE7"/>
    <w:multiLevelType w:val="multilevel"/>
    <w:tmpl w:val="2A30D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133006"/>
    <w:multiLevelType w:val="hybridMultilevel"/>
    <w:tmpl w:val="021095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26B5539"/>
    <w:multiLevelType w:val="multilevel"/>
    <w:tmpl w:val="48D478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31DA1"/>
    <w:multiLevelType w:val="hybridMultilevel"/>
    <w:tmpl w:val="9DB802F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7A722E9"/>
    <w:multiLevelType w:val="multilevel"/>
    <w:tmpl w:val="131C6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1576C5"/>
    <w:multiLevelType w:val="multilevel"/>
    <w:tmpl w:val="7F7C4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1616F9"/>
    <w:multiLevelType w:val="hybridMultilevel"/>
    <w:tmpl w:val="6422C9AC"/>
    <w:lvl w:ilvl="0" w:tplc="7400C8FA">
      <w:start w:val="1"/>
      <w:numFmt w:val="upperRoman"/>
      <w:lvlText w:val="%1."/>
      <w:lvlJc w:val="left"/>
      <w:pPr>
        <w:ind w:left="1080" w:hanging="720"/>
      </w:pPr>
      <w:rPr>
        <w:rFonts w:ascii="Arial" w:eastAsiaTheme="minorHAnsi" w:hAnsi="Arial" w:cs="Arial"/>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5392DAE"/>
    <w:multiLevelType w:val="multilevel"/>
    <w:tmpl w:val="6FEE7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AB52E5"/>
    <w:multiLevelType w:val="multilevel"/>
    <w:tmpl w:val="BF3298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imes New Roman" w:hint="default"/>
        <w:b/>
        <w:i w:val="0"/>
      </w:rPr>
    </w:lvl>
    <w:lvl w:ilvl="2">
      <w:start w:val="1"/>
      <w:numFmt w:val="decimal"/>
      <w:isLgl/>
      <w:lvlText w:val="%1.%2.%3."/>
      <w:lvlJc w:val="left"/>
      <w:pPr>
        <w:ind w:left="1080" w:hanging="720"/>
      </w:pPr>
      <w:rPr>
        <w:rFonts w:eastAsia="Times New Roman" w:hint="default"/>
        <w:b/>
        <w:i w:val="0"/>
      </w:rPr>
    </w:lvl>
    <w:lvl w:ilvl="3">
      <w:start w:val="1"/>
      <w:numFmt w:val="decimal"/>
      <w:isLgl/>
      <w:lvlText w:val="%1.%2.%3.%4."/>
      <w:lvlJc w:val="left"/>
      <w:pPr>
        <w:ind w:left="1080" w:hanging="720"/>
      </w:pPr>
      <w:rPr>
        <w:rFonts w:eastAsia="Times New Roman" w:hint="default"/>
        <w:b/>
        <w:i w:val="0"/>
      </w:rPr>
    </w:lvl>
    <w:lvl w:ilvl="4">
      <w:start w:val="1"/>
      <w:numFmt w:val="decimal"/>
      <w:isLgl/>
      <w:lvlText w:val="%1.%2.%3.%4.%5."/>
      <w:lvlJc w:val="left"/>
      <w:pPr>
        <w:ind w:left="1440" w:hanging="1080"/>
      </w:pPr>
      <w:rPr>
        <w:rFonts w:eastAsia="Times New Roman" w:hint="default"/>
        <w:b/>
        <w:i w:val="0"/>
      </w:rPr>
    </w:lvl>
    <w:lvl w:ilvl="5">
      <w:start w:val="1"/>
      <w:numFmt w:val="decimal"/>
      <w:isLgl/>
      <w:lvlText w:val="%1.%2.%3.%4.%5.%6."/>
      <w:lvlJc w:val="left"/>
      <w:pPr>
        <w:ind w:left="1440" w:hanging="1080"/>
      </w:pPr>
      <w:rPr>
        <w:rFonts w:eastAsia="Times New Roman" w:hint="default"/>
        <w:b/>
        <w:i w:val="0"/>
      </w:rPr>
    </w:lvl>
    <w:lvl w:ilvl="6">
      <w:start w:val="1"/>
      <w:numFmt w:val="decimal"/>
      <w:isLgl/>
      <w:lvlText w:val="%1.%2.%3.%4.%5.%6.%7."/>
      <w:lvlJc w:val="left"/>
      <w:pPr>
        <w:ind w:left="1800" w:hanging="1440"/>
      </w:pPr>
      <w:rPr>
        <w:rFonts w:eastAsia="Times New Roman" w:hint="default"/>
        <w:b/>
        <w:i w:val="0"/>
      </w:rPr>
    </w:lvl>
    <w:lvl w:ilvl="7">
      <w:start w:val="1"/>
      <w:numFmt w:val="decimal"/>
      <w:isLgl/>
      <w:lvlText w:val="%1.%2.%3.%4.%5.%6.%7.%8."/>
      <w:lvlJc w:val="left"/>
      <w:pPr>
        <w:ind w:left="1800" w:hanging="1440"/>
      </w:pPr>
      <w:rPr>
        <w:rFonts w:eastAsia="Times New Roman" w:hint="default"/>
        <w:b/>
        <w:i w:val="0"/>
      </w:rPr>
    </w:lvl>
    <w:lvl w:ilvl="8">
      <w:start w:val="1"/>
      <w:numFmt w:val="decimal"/>
      <w:isLgl/>
      <w:lvlText w:val="%1.%2.%3.%4.%5.%6.%7.%8.%9."/>
      <w:lvlJc w:val="left"/>
      <w:pPr>
        <w:ind w:left="2160" w:hanging="1800"/>
      </w:pPr>
      <w:rPr>
        <w:rFonts w:eastAsia="Times New Roman" w:hint="default"/>
        <w:b/>
        <w:i w:val="0"/>
      </w:rPr>
    </w:lvl>
  </w:abstractNum>
  <w:abstractNum w:abstractNumId="17" w15:restartNumberingAfterBreak="0">
    <w:nsid w:val="69D311A4"/>
    <w:multiLevelType w:val="hybridMultilevel"/>
    <w:tmpl w:val="00FC14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7C0C289B"/>
    <w:multiLevelType w:val="multilevel"/>
    <w:tmpl w:val="213C5A60"/>
    <w:lvl w:ilvl="0">
      <w:start w:val="1"/>
      <w:numFmt w:val="decimal"/>
      <w:lvlText w:val="%1."/>
      <w:lvlJc w:val="left"/>
      <w:pPr>
        <w:ind w:left="360" w:hanging="360"/>
      </w:pPr>
      <w:rPr>
        <w:rFonts w:hint="default"/>
        <w:i w:val="0"/>
        <w:u w:val="single"/>
      </w:rPr>
    </w:lvl>
    <w:lvl w:ilvl="1">
      <w:start w:val="1"/>
      <w:numFmt w:val="decimal"/>
      <w:lvlText w:val="%1.%2."/>
      <w:lvlJc w:val="left"/>
      <w:pPr>
        <w:ind w:left="720" w:hanging="720"/>
      </w:pPr>
      <w:rPr>
        <w:rFonts w:hint="default"/>
        <w:i/>
        <w:u w:val="non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080" w:hanging="108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440" w:hanging="144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1800" w:hanging="1800"/>
      </w:pPr>
      <w:rPr>
        <w:rFonts w:hint="default"/>
        <w:i w:val="0"/>
        <w:u w:val="single"/>
      </w:rPr>
    </w:lvl>
  </w:abstractNum>
  <w:abstractNum w:abstractNumId="19" w15:restartNumberingAfterBreak="0">
    <w:nsid w:val="7D0340AB"/>
    <w:multiLevelType w:val="hybridMultilevel"/>
    <w:tmpl w:val="CCCEAFFC"/>
    <w:lvl w:ilvl="0" w:tplc="66342E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DB27446"/>
    <w:multiLevelType w:val="multilevel"/>
    <w:tmpl w:val="C1FA0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3"/>
  </w:num>
  <w:num w:numId="4">
    <w:abstractNumId w:val="1"/>
  </w:num>
  <w:num w:numId="5">
    <w:abstractNumId w:val="20"/>
  </w:num>
  <w:num w:numId="6">
    <w:abstractNumId w:val="5"/>
  </w:num>
  <w:num w:numId="7">
    <w:abstractNumId w:val="17"/>
  </w:num>
  <w:num w:numId="8">
    <w:abstractNumId w:val="0"/>
  </w:num>
  <w:num w:numId="9">
    <w:abstractNumId w:val="3"/>
  </w:num>
  <w:num w:numId="10">
    <w:abstractNumId w:val="4"/>
  </w:num>
  <w:num w:numId="11">
    <w:abstractNumId w:val="10"/>
  </w:num>
  <w:num w:numId="12">
    <w:abstractNumId w:val="15"/>
  </w:num>
  <w:num w:numId="13">
    <w:abstractNumId w:val="2"/>
  </w:num>
  <w:num w:numId="14">
    <w:abstractNumId w:val="16"/>
  </w:num>
  <w:num w:numId="15">
    <w:abstractNumId w:val="8"/>
  </w:num>
  <w:num w:numId="16">
    <w:abstractNumId w:val="7"/>
  </w:num>
  <w:num w:numId="17">
    <w:abstractNumId w:val="18"/>
  </w:num>
  <w:num w:numId="18">
    <w:abstractNumId w:val="14"/>
  </w:num>
  <w:num w:numId="19">
    <w:abstractNumId w:val="19"/>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09"/>
    <w:rsid w:val="000165CC"/>
    <w:rsid w:val="000207D3"/>
    <w:rsid w:val="00054CDE"/>
    <w:rsid w:val="000652F9"/>
    <w:rsid w:val="000668BD"/>
    <w:rsid w:val="00067894"/>
    <w:rsid w:val="000764B1"/>
    <w:rsid w:val="0007713D"/>
    <w:rsid w:val="00086949"/>
    <w:rsid w:val="000B5DAE"/>
    <w:rsid w:val="000C52B6"/>
    <w:rsid w:val="000D16BE"/>
    <w:rsid w:val="000D5D1A"/>
    <w:rsid w:val="000E580F"/>
    <w:rsid w:val="000F0B51"/>
    <w:rsid w:val="00102B63"/>
    <w:rsid w:val="00122A26"/>
    <w:rsid w:val="001506E5"/>
    <w:rsid w:val="0015600B"/>
    <w:rsid w:val="00172B70"/>
    <w:rsid w:val="00175749"/>
    <w:rsid w:val="00177197"/>
    <w:rsid w:val="00196391"/>
    <w:rsid w:val="001A137F"/>
    <w:rsid w:val="001B286A"/>
    <w:rsid w:val="001B451E"/>
    <w:rsid w:val="001C0F89"/>
    <w:rsid w:val="001D494F"/>
    <w:rsid w:val="002062EC"/>
    <w:rsid w:val="0021111A"/>
    <w:rsid w:val="00216A0E"/>
    <w:rsid w:val="00227D0A"/>
    <w:rsid w:val="0023311E"/>
    <w:rsid w:val="0024314F"/>
    <w:rsid w:val="00256A40"/>
    <w:rsid w:val="00256EE1"/>
    <w:rsid w:val="002611F0"/>
    <w:rsid w:val="00266FAC"/>
    <w:rsid w:val="0028770B"/>
    <w:rsid w:val="002A008A"/>
    <w:rsid w:val="002A2D9B"/>
    <w:rsid w:val="002A3CA2"/>
    <w:rsid w:val="002A58ED"/>
    <w:rsid w:val="002B62EC"/>
    <w:rsid w:val="002C034E"/>
    <w:rsid w:val="002C1015"/>
    <w:rsid w:val="002D2DC2"/>
    <w:rsid w:val="002D6BD9"/>
    <w:rsid w:val="002E3887"/>
    <w:rsid w:val="002E6781"/>
    <w:rsid w:val="002F0CD4"/>
    <w:rsid w:val="00316A01"/>
    <w:rsid w:val="0032109D"/>
    <w:rsid w:val="00332F60"/>
    <w:rsid w:val="003425B6"/>
    <w:rsid w:val="00347E10"/>
    <w:rsid w:val="00354160"/>
    <w:rsid w:val="00354ED8"/>
    <w:rsid w:val="00364ADB"/>
    <w:rsid w:val="0037291F"/>
    <w:rsid w:val="0037395A"/>
    <w:rsid w:val="00383A7F"/>
    <w:rsid w:val="003849B7"/>
    <w:rsid w:val="003B3388"/>
    <w:rsid w:val="003C0610"/>
    <w:rsid w:val="003D1901"/>
    <w:rsid w:val="003D38B4"/>
    <w:rsid w:val="003F2A8D"/>
    <w:rsid w:val="004043E7"/>
    <w:rsid w:val="00412619"/>
    <w:rsid w:val="00413B0F"/>
    <w:rsid w:val="004144DB"/>
    <w:rsid w:val="00416D7D"/>
    <w:rsid w:val="00425979"/>
    <w:rsid w:val="00427381"/>
    <w:rsid w:val="00436D0C"/>
    <w:rsid w:val="004407CA"/>
    <w:rsid w:val="004468D5"/>
    <w:rsid w:val="0045089B"/>
    <w:rsid w:val="004543BF"/>
    <w:rsid w:val="00462939"/>
    <w:rsid w:val="00471F28"/>
    <w:rsid w:val="004873EE"/>
    <w:rsid w:val="004A11B4"/>
    <w:rsid w:val="004A63ED"/>
    <w:rsid w:val="004C0132"/>
    <w:rsid w:val="004C458A"/>
    <w:rsid w:val="004D7E73"/>
    <w:rsid w:val="004E23B4"/>
    <w:rsid w:val="004E6A6F"/>
    <w:rsid w:val="004F662C"/>
    <w:rsid w:val="00523AEF"/>
    <w:rsid w:val="0053158E"/>
    <w:rsid w:val="0054195C"/>
    <w:rsid w:val="005507A9"/>
    <w:rsid w:val="005658AC"/>
    <w:rsid w:val="0056683C"/>
    <w:rsid w:val="00576572"/>
    <w:rsid w:val="005922A4"/>
    <w:rsid w:val="005A0290"/>
    <w:rsid w:val="005A69FD"/>
    <w:rsid w:val="005B2229"/>
    <w:rsid w:val="005E0D1E"/>
    <w:rsid w:val="005E2702"/>
    <w:rsid w:val="005F21AC"/>
    <w:rsid w:val="005F3CE5"/>
    <w:rsid w:val="00610EF5"/>
    <w:rsid w:val="00611F09"/>
    <w:rsid w:val="00621FAE"/>
    <w:rsid w:val="00635863"/>
    <w:rsid w:val="006528B5"/>
    <w:rsid w:val="00671551"/>
    <w:rsid w:val="006A6A13"/>
    <w:rsid w:val="006B0AB8"/>
    <w:rsid w:val="006B118B"/>
    <w:rsid w:val="006B3702"/>
    <w:rsid w:val="006B4164"/>
    <w:rsid w:val="006B5CB2"/>
    <w:rsid w:val="006C4105"/>
    <w:rsid w:val="006C77C3"/>
    <w:rsid w:val="006D69E4"/>
    <w:rsid w:val="006D72C7"/>
    <w:rsid w:val="006E0409"/>
    <w:rsid w:val="006E169B"/>
    <w:rsid w:val="006F11E9"/>
    <w:rsid w:val="00700122"/>
    <w:rsid w:val="0070416D"/>
    <w:rsid w:val="0071295C"/>
    <w:rsid w:val="007133F8"/>
    <w:rsid w:val="00725CDF"/>
    <w:rsid w:val="00733A17"/>
    <w:rsid w:val="00736551"/>
    <w:rsid w:val="00741122"/>
    <w:rsid w:val="007B2223"/>
    <w:rsid w:val="007B42E4"/>
    <w:rsid w:val="007D1F97"/>
    <w:rsid w:val="007E1114"/>
    <w:rsid w:val="007E5AE4"/>
    <w:rsid w:val="007F0323"/>
    <w:rsid w:val="007F1945"/>
    <w:rsid w:val="00803591"/>
    <w:rsid w:val="00803870"/>
    <w:rsid w:val="00814CB7"/>
    <w:rsid w:val="008410A2"/>
    <w:rsid w:val="008450E0"/>
    <w:rsid w:val="00863DDC"/>
    <w:rsid w:val="00864336"/>
    <w:rsid w:val="008658D0"/>
    <w:rsid w:val="00871D21"/>
    <w:rsid w:val="00872AF5"/>
    <w:rsid w:val="00872C3B"/>
    <w:rsid w:val="008736AA"/>
    <w:rsid w:val="008761A1"/>
    <w:rsid w:val="00884568"/>
    <w:rsid w:val="008B00DB"/>
    <w:rsid w:val="008C2251"/>
    <w:rsid w:val="008E4F4A"/>
    <w:rsid w:val="00901BA9"/>
    <w:rsid w:val="00924E05"/>
    <w:rsid w:val="00926398"/>
    <w:rsid w:val="00931BCE"/>
    <w:rsid w:val="00942060"/>
    <w:rsid w:val="00950C61"/>
    <w:rsid w:val="009557C3"/>
    <w:rsid w:val="00955C1F"/>
    <w:rsid w:val="009564AA"/>
    <w:rsid w:val="0096234D"/>
    <w:rsid w:val="0098635D"/>
    <w:rsid w:val="009873F4"/>
    <w:rsid w:val="009917E4"/>
    <w:rsid w:val="009A16A6"/>
    <w:rsid w:val="009A53AA"/>
    <w:rsid w:val="009A65E7"/>
    <w:rsid w:val="009C2C71"/>
    <w:rsid w:val="009D11A4"/>
    <w:rsid w:val="009D483E"/>
    <w:rsid w:val="009E543B"/>
    <w:rsid w:val="009F7C9F"/>
    <w:rsid w:val="00A02D67"/>
    <w:rsid w:val="00A0718C"/>
    <w:rsid w:val="00A23AD5"/>
    <w:rsid w:val="00A25FC8"/>
    <w:rsid w:val="00A30C57"/>
    <w:rsid w:val="00A3566D"/>
    <w:rsid w:val="00A36C1D"/>
    <w:rsid w:val="00A47DCC"/>
    <w:rsid w:val="00A626A2"/>
    <w:rsid w:val="00A72588"/>
    <w:rsid w:val="00A72D34"/>
    <w:rsid w:val="00A87A0B"/>
    <w:rsid w:val="00A95E79"/>
    <w:rsid w:val="00AA0B01"/>
    <w:rsid w:val="00AA6495"/>
    <w:rsid w:val="00AB70B6"/>
    <w:rsid w:val="00AC282E"/>
    <w:rsid w:val="00AD18FE"/>
    <w:rsid w:val="00AE44BA"/>
    <w:rsid w:val="00AF1A85"/>
    <w:rsid w:val="00B17663"/>
    <w:rsid w:val="00B209AC"/>
    <w:rsid w:val="00B26315"/>
    <w:rsid w:val="00B3539C"/>
    <w:rsid w:val="00B374C6"/>
    <w:rsid w:val="00B5662B"/>
    <w:rsid w:val="00B67BDA"/>
    <w:rsid w:val="00B741DC"/>
    <w:rsid w:val="00B77AE1"/>
    <w:rsid w:val="00B829FF"/>
    <w:rsid w:val="00B97C3F"/>
    <w:rsid w:val="00BB65E4"/>
    <w:rsid w:val="00BE4C3D"/>
    <w:rsid w:val="00BF40B5"/>
    <w:rsid w:val="00BF79A7"/>
    <w:rsid w:val="00C05F7B"/>
    <w:rsid w:val="00C108AB"/>
    <w:rsid w:val="00C26BD2"/>
    <w:rsid w:val="00C3179B"/>
    <w:rsid w:val="00C37EFC"/>
    <w:rsid w:val="00C4094A"/>
    <w:rsid w:val="00C64D1F"/>
    <w:rsid w:val="00C85BB0"/>
    <w:rsid w:val="00C929D3"/>
    <w:rsid w:val="00CA2091"/>
    <w:rsid w:val="00CB29AE"/>
    <w:rsid w:val="00CB3FC6"/>
    <w:rsid w:val="00CD185A"/>
    <w:rsid w:val="00D050D6"/>
    <w:rsid w:val="00D11CE8"/>
    <w:rsid w:val="00D35449"/>
    <w:rsid w:val="00D420C4"/>
    <w:rsid w:val="00D443AD"/>
    <w:rsid w:val="00D4689D"/>
    <w:rsid w:val="00D64488"/>
    <w:rsid w:val="00D709E0"/>
    <w:rsid w:val="00D71314"/>
    <w:rsid w:val="00D86D29"/>
    <w:rsid w:val="00D9689C"/>
    <w:rsid w:val="00DA10D3"/>
    <w:rsid w:val="00DB2BFA"/>
    <w:rsid w:val="00DC20F4"/>
    <w:rsid w:val="00DC30FB"/>
    <w:rsid w:val="00DC69F2"/>
    <w:rsid w:val="00DE7C38"/>
    <w:rsid w:val="00E20810"/>
    <w:rsid w:val="00E25523"/>
    <w:rsid w:val="00E26282"/>
    <w:rsid w:val="00E33A0C"/>
    <w:rsid w:val="00E64AFD"/>
    <w:rsid w:val="00E718FD"/>
    <w:rsid w:val="00E75791"/>
    <w:rsid w:val="00E76811"/>
    <w:rsid w:val="00E76C44"/>
    <w:rsid w:val="00E77EA9"/>
    <w:rsid w:val="00E8216F"/>
    <w:rsid w:val="00E87DF6"/>
    <w:rsid w:val="00E91989"/>
    <w:rsid w:val="00E925A7"/>
    <w:rsid w:val="00E974EE"/>
    <w:rsid w:val="00EB6483"/>
    <w:rsid w:val="00EC7DDD"/>
    <w:rsid w:val="00EE32D2"/>
    <w:rsid w:val="00EE57C5"/>
    <w:rsid w:val="00EF7B71"/>
    <w:rsid w:val="00F15DA9"/>
    <w:rsid w:val="00F21E23"/>
    <w:rsid w:val="00F24033"/>
    <w:rsid w:val="00F305ED"/>
    <w:rsid w:val="00F35B32"/>
    <w:rsid w:val="00F4135F"/>
    <w:rsid w:val="00F4165E"/>
    <w:rsid w:val="00F425DB"/>
    <w:rsid w:val="00F5085B"/>
    <w:rsid w:val="00F547B7"/>
    <w:rsid w:val="00F5747A"/>
    <w:rsid w:val="00F83625"/>
    <w:rsid w:val="00F90074"/>
    <w:rsid w:val="00F93083"/>
    <w:rsid w:val="00FA6183"/>
    <w:rsid w:val="00FA72FB"/>
    <w:rsid w:val="00FB65C1"/>
    <w:rsid w:val="00FC12CF"/>
    <w:rsid w:val="00FC432B"/>
    <w:rsid w:val="00FD47F5"/>
    <w:rsid w:val="00FE4E06"/>
    <w:rsid w:val="00FE582A"/>
    <w:rsid w:val="00FF008B"/>
    <w:rsid w:val="00FF0EA3"/>
    <w:rsid w:val="00FF6E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09FDF"/>
  <w15:docId w15:val="{E002F3CC-CB19-4E82-A245-935EF144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C4"/>
    <w:rPr>
      <w:rFonts w:ascii="Arial" w:hAnsi="Arial"/>
      <w:sz w:val="20"/>
    </w:rPr>
  </w:style>
  <w:style w:type="paragraph" w:styleId="Titre1">
    <w:name w:val="heading 1"/>
    <w:basedOn w:val="Normal"/>
    <w:next w:val="Normal"/>
    <w:link w:val="Titre1Car"/>
    <w:uiPriority w:val="9"/>
    <w:qFormat/>
    <w:rsid w:val="00347E10"/>
    <w:pPr>
      <w:keepNext/>
      <w:keepLines/>
      <w:pBdr>
        <w:bottom w:val="single" w:sz="8" w:space="1" w:color="002060"/>
      </w:pBdr>
      <w:spacing w:before="600" w:after="120"/>
      <w:outlineLvl w:val="0"/>
    </w:pPr>
    <w:rPr>
      <w:rFonts w:eastAsiaTheme="majorEastAsia" w:cstheme="majorBidi"/>
      <w:b/>
      <w:bCs/>
      <w:color w:val="122255"/>
      <w:sz w:val="32"/>
      <w:szCs w:val="28"/>
    </w:rPr>
  </w:style>
  <w:style w:type="paragraph" w:styleId="Titre2">
    <w:name w:val="heading 2"/>
    <w:basedOn w:val="Normal"/>
    <w:next w:val="Normal"/>
    <w:link w:val="Titre2Car"/>
    <w:uiPriority w:val="9"/>
    <w:unhideWhenUsed/>
    <w:qFormat/>
    <w:rsid w:val="00347E10"/>
    <w:pPr>
      <w:keepNext/>
      <w:keepLines/>
      <w:pBdr>
        <w:bottom w:val="single" w:sz="8" w:space="1" w:color="002060"/>
      </w:pBdr>
      <w:spacing w:before="200" w:after="0"/>
      <w:outlineLvl w:val="1"/>
    </w:pPr>
    <w:rPr>
      <w:rFonts w:eastAsiaTheme="majorEastAsia" w:cstheme="majorBidi"/>
      <w:b/>
      <w:bCs/>
      <w:color w:val="122255"/>
      <w:sz w:val="28"/>
      <w:szCs w:val="26"/>
    </w:rPr>
  </w:style>
  <w:style w:type="paragraph" w:styleId="Titre3">
    <w:name w:val="heading 3"/>
    <w:basedOn w:val="Normal"/>
    <w:next w:val="Normal"/>
    <w:link w:val="Titre3Car"/>
    <w:uiPriority w:val="9"/>
    <w:unhideWhenUsed/>
    <w:qFormat/>
    <w:rsid w:val="00347E10"/>
    <w:pPr>
      <w:keepNext/>
      <w:keepLines/>
      <w:pBdr>
        <w:bottom w:val="single" w:sz="8" w:space="1" w:color="002060"/>
      </w:pBdr>
      <w:spacing w:before="200" w:after="120"/>
      <w:outlineLvl w:val="2"/>
    </w:pPr>
    <w:rPr>
      <w:rFonts w:eastAsiaTheme="majorEastAsia" w:cstheme="majorBidi"/>
      <w:b/>
      <w:bCs/>
      <w:color w:val="122255"/>
      <w:sz w:val="24"/>
    </w:rPr>
  </w:style>
  <w:style w:type="paragraph" w:styleId="Titre4">
    <w:name w:val="heading 4"/>
    <w:aliases w:val="Texte résumé"/>
    <w:basedOn w:val="Normal"/>
    <w:next w:val="Normal"/>
    <w:link w:val="Titre4Car"/>
    <w:uiPriority w:val="9"/>
    <w:unhideWhenUsed/>
    <w:qFormat/>
    <w:rsid w:val="00DB2BFA"/>
    <w:pPr>
      <w:keepNext/>
      <w:keepLines/>
      <w:pBdr>
        <w:top w:val="single" w:sz="8" w:space="1" w:color="122255"/>
        <w:left w:val="single" w:sz="8" w:space="4" w:color="122255"/>
        <w:bottom w:val="single" w:sz="8" w:space="1" w:color="122255"/>
        <w:right w:val="single" w:sz="8" w:space="4" w:color="122255"/>
      </w:pBdr>
      <w:spacing w:before="120" w:after="120"/>
      <w:jc w:val="both"/>
      <w:outlineLvl w:val="3"/>
    </w:pPr>
    <w:rPr>
      <w:rFonts w:eastAsiaTheme="majorEastAsia" w:cstheme="majorBidi"/>
      <w:bCs/>
      <w:iCs/>
    </w:rPr>
  </w:style>
  <w:style w:type="paragraph" w:styleId="Titre5">
    <w:name w:val="heading 5"/>
    <w:aliases w:val="Copyright"/>
    <w:basedOn w:val="Normal"/>
    <w:next w:val="Normal"/>
    <w:link w:val="Titre5Car"/>
    <w:uiPriority w:val="9"/>
    <w:unhideWhenUsed/>
    <w:qFormat/>
    <w:rsid w:val="004C458A"/>
    <w:pPr>
      <w:keepNext/>
      <w:keepLines/>
      <w:shd w:val="clear" w:color="auto" w:fill="E6A300"/>
      <w:spacing w:after="0"/>
      <w:jc w:val="both"/>
      <w:outlineLvl w:val="4"/>
    </w:pPr>
    <w:rPr>
      <w:rFonts w:eastAsiaTheme="majorEastAsia" w:cstheme="majorBid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409"/>
    <w:rPr>
      <w:color w:val="0000FF"/>
      <w:u w:val="single"/>
    </w:rPr>
  </w:style>
  <w:style w:type="paragraph" w:styleId="Textedebulles">
    <w:name w:val="Balloon Text"/>
    <w:basedOn w:val="Normal"/>
    <w:link w:val="TextedebullesCar"/>
    <w:uiPriority w:val="99"/>
    <w:semiHidden/>
    <w:unhideWhenUsed/>
    <w:rsid w:val="006E04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0409"/>
    <w:rPr>
      <w:rFonts w:ascii="Tahoma" w:hAnsi="Tahoma" w:cs="Tahoma"/>
      <w:sz w:val="16"/>
      <w:szCs w:val="16"/>
    </w:rPr>
  </w:style>
  <w:style w:type="paragraph" w:styleId="Titre">
    <w:name w:val="Title"/>
    <w:basedOn w:val="Normal"/>
    <w:next w:val="Normal"/>
    <w:link w:val="TitreCar"/>
    <w:uiPriority w:val="10"/>
    <w:qFormat/>
    <w:rsid w:val="00A626A2"/>
    <w:pPr>
      <w:pBdr>
        <w:top w:val="single" w:sz="12" w:space="1" w:color="E6A300"/>
        <w:bottom w:val="single" w:sz="12" w:space="1" w:color="E6A300"/>
      </w:pBdr>
      <w:shd w:val="clear" w:color="auto" w:fill="FFFFFF" w:themeFill="background1"/>
      <w:spacing w:after="300" w:line="240" w:lineRule="auto"/>
      <w:contextualSpacing/>
      <w:jc w:val="center"/>
    </w:pPr>
    <w:rPr>
      <w:rFonts w:eastAsiaTheme="majorEastAsia" w:cstheme="majorBidi"/>
      <w:color w:val="122255"/>
      <w:spacing w:val="5"/>
      <w:kern w:val="28"/>
      <w:sz w:val="52"/>
      <w:szCs w:val="52"/>
    </w:rPr>
  </w:style>
  <w:style w:type="character" w:customStyle="1" w:styleId="TitreCar">
    <w:name w:val="Titre Car"/>
    <w:basedOn w:val="Policepardfaut"/>
    <w:link w:val="Titre"/>
    <w:uiPriority w:val="10"/>
    <w:rsid w:val="00A626A2"/>
    <w:rPr>
      <w:rFonts w:ascii="Arial" w:eastAsiaTheme="majorEastAsia" w:hAnsi="Arial" w:cstheme="majorBidi"/>
      <w:color w:val="122255"/>
      <w:spacing w:val="5"/>
      <w:kern w:val="28"/>
      <w:sz w:val="52"/>
      <w:szCs w:val="52"/>
      <w:shd w:val="clear" w:color="auto" w:fill="FFFFFF" w:themeFill="background1"/>
    </w:rPr>
  </w:style>
  <w:style w:type="character" w:customStyle="1" w:styleId="Titre2Car">
    <w:name w:val="Titre 2 Car"/>
    <w:basedOn w:val="Policepardfaut"/>
    <w:link w:val="Titre2"/>
    <w:uiPriority w:val="9"/>
    <w:rsid w:val="00347E10"/>
    <w:rPr>
      <w:rFonts w:ascii="Arial" w:eastAsiaTheme="majorEastAsia" w:hAnsi="Arial" w:cstheme="majorBidi"/>
      <w:b/>
      <w:bCs/>
      <w:color w:val="122255"/>
      <w:sz w:val="28"/>
      <w:szCs w:val="26"/>
    </w:rPr>
  </w:style>
  <w:style w:type="paragraph" w:styleId="En-tte">
    <w:name w:val="header"/>
    <w:basedOn w:val="Normal"/>
    <w:link w:val="En-tteCar"/>
    <w:uiPriority w:val="99"/>
    <w:unhideWhenUsed/>
    <w:rsid w:val="00F425DB"/>
    <w:pPr>
      <w:tabs>
        <w:tab w:val="center" w:pos="4536"/>
        <w:tab w:val="right" w:pos="9072"/>
      </w:tabs>
      <w:spacing w:after="0" w:line="240" w:lineRule="auto"/>
    </w:pPr>
  </w:style>
  <w:style w:type="character" w:customStyle="1" w:styleId="En-tteCar">
    <w:name w:val="En-tête Car"/>
    <w:basedOn w:val="Policepardfaut"/>
    <w:link w:val="En-tte"/>
    <w:uiPriority w:val="99"/>
    <w:rsid w:val="00F425DB"/>
  </w:style>
  <w:style w:type="paragraph" w:styleId="Pieddepage">
    <w:name w:val="footer"/>
    <w:basedOn w:val="Normal"/>
    <w:link w:val="PieddepageCar"/>
    <w:uiPriority w:val="99"/>
    <w:unhideWhenUsed/>
    <w:rsid w:val="00F42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5DB"/>
  </w:style>
  <w:style w:type="paragraph" w:styleId="Paragraphedeliste">
    <w:name w:val="List Paragraph"/>
    <w:basedOn w:val="Normal"/>
    <w:uiPriority w:val="34"/>
    <w:qFormat/>
    <w:rsid w:val="00926398"/>
    <w:pPr>
      <w:ind w:left="720"/>
      <w:contextualSpacing/>
    </w:pPr>
  </w:style>
  <w:style w:type="table" w:styleId="Grilledutableau">
    <w:name w:val="Table Grid"/>
    <w:basedOn w:val="TableauNormal"/>
    <w:uiPriority w:val="59"/>
    <w:rsid w:val="005A6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47E10"/>
    <w:rPr>
      <w:rFonts w:ascii="Arial" w:eastAsiaTheme="majorEastAsia" w:hAnsi="Arial" w:cstheme="majorBidi"/>
      <w:b/>
      <w:bCs/>
      <w:color w:val="122255"/>
      <w:sz w:val="24"/>
    </w:rPr>
  </w:style>
  <w:style w:type="character" w:customStyle="1" w:styleId="Titre1Car">
    <w:name w:val="Titre 1 Car"/>
    <w:basedOn w:val="Policepardfaut"/>
    <w:link w:val="Titre1"/>
    <w:uiPriority w:val="9"/>
    <w:rsid w:val="00347E10"/>
    <w:rPr>
      <w:rFonts w:ascii="Arial" w:eastAsiaTheme="majorEastAsia" w:hAnsi="Arial" w:cstheme="majorBidi"/>
      <w:b/>
      <w:bCs/>
      <w:color w:val="122255"/>
      <w:sz w:val="32"/>
      <w:szCs w:val="28"/>
    </w:rPr>
  </w:style>
  <w:style w:type="character" w:customStyle="1" w:styleId="Titre4Car">
    <w:name w:val="Titre 4 Car"/>
    <w:aliases w:val="Texte résumé Car"/>
    <w:basedOn w:val="Policepardfaut"/>
    <w:link w:val="Titre4"/>
    <w:uiPriority w:val="9"/>
    <w:rsid w:val="00DB2BFA"/>
    <w:rPr>
      <w:rFonts w:ascii="Arial" w:eastAsiaTheme="majorEastAsia" w:hAnsi="Arial" w:cstheme="majorBidi"/>
      <w:bCs/>
      <w:iCs/>
      <w:sz w:val="20"/>
    </w:rPr>
  </w:style>
  <w:style w:type="paragraph" w:styleId="Sous-titre">
    <w:name w:val="Subtitle"/>
    <w:basedOn w:val="Normal"/>
    <w:next w:val="Normal"/>
    <w:link w:val="Sous-titreCar"/>
    <w:uiPriority w:val="11"/>
    <w:qFormat/>
    <w:rsid w:val="00D4689D"/>
    <w:pPr>
      <w:numPr>
        <w:ilvl w:val="1"/>
      </w:numPr>
    </w:pPr>
    <w:rPr>
      <w:rFonts w:ascii="Times New Roman" w:eastAsiaTheme="majorEastAsia" w:hAnsi="Times New Roman" w:cstheme="majorBidi"/>
      <w:i/>
      <w:iCs/>
      <w:color w:val="0D0D0D" w:themeColor="text1" w:themeTint="F2"/>
      <w:spacing w:val="15"/>
      <w:sz w:val="24"/>
      <w:szCs w:val="24"/>
    </w:rPr>
  </w:style>
  <w:style w:type="character" w:customStyle="1" w:styleId="Sous-titreCar">
    <w:name w:val="Sous-titre Car"/>
    <w:basedOn w:val="Policepardfaut"/>
    <w:link w:val="Sous-titre"/>
    <w:uiPriority w:val="11"/>
    <w:rsid w:val="00D4689D"/>
    <w:rPr>
      <w:rFonts w:ascii="Times New Roman" w:eastAsiaTheme="majorEastAsia" w:hAnsi="Times New Roman" w:cstheme="majorBidi"/>
      <w:i/>
      <w:iCs/>
      <w:color w:val="0D0D0D" w:themeColor="text1" w:themeTint="F2"/>
      <w:spacing w:val="15"/>
      <w:sz w:val="24"/>
      <w:szCs w:val="24"/>
    </w:rPr>
  </w:style>
  <w:style w:type="character" w:customStyle="1" w:styleId="Titre5Car">
    <w:name w:val="Titre 5 Car"/>
    <w:aliases w:val="Copyright Car"/>
    <w:basedOn w:val="Policepardfaut"/>
    <w:link w:val="Titre5"/>
    <w:uiPriority w:val="9"/>
    <w:rsid w:val="004C458A"/>
    <w:rPr>
      <w:rFonts w:ascii="Arial" w:eastAsiaTheme="majorEastAsia" w:hAnsi="Arial" w:cstheme="majorBidi"/>
      <w:sz w:val="16"/>
      <w:shd w:val="clear" w:color="auto" w:fill="E6A300"/>
    </w:rPr>
  </w:style>
  <w:style w:type="paragraph" w:styleId="Notedebasdepage">
    <w:name w:val="footnote text"/>
    <w:basedOn w:val="Normal"/>
    <w:link w:val="NotedebasdepageCar"/>
    <w:uiPriority w:val="99"/>
    <w:semiHidden/>
    <w:rsid w:val="00067894"/>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0"/>
      <w:lang w:eastAsia="fr-FR"/>
    </w:rPr>
  </w:style>
  <w:style w:type="character" w:customStyle="1" w:styleId="NotedebasdepageCar">
    <w:name w:val="Note de bas de page Car"/>
    <w:basedOn w:val="Policepardfaut"/>
    <w:link w:val="Notedebasdepage"/>
    <w:uiPriority w:val="99"/>
    <w:semiHidden/>
    <w:rsid w:val="00067894"/>
    <w:rPr>
      <w:rFonts w:ascii="Times New Roman" w:eastAsia="Times New Roman" w:hAnsi="Times New Roman" w:cs="Arial"/>
      <w:sz w:val="24"/>
      <w:szCs w:val="20"/>
      <w:lang w:eastAsia="fr-FR"/>
    </w:rPr>
  </w:style>
  <w:style w:type="character" w:styleId="Marquedecommentaire">
    <w:name w:val="annotation reference"/>
    <w:basedOn w:val="Policepardfaut"/>
    <w:uiPriority w:val="99"/>
    <w:semiHidden/>
    <w:unhideWhenUsed/>
    <w:rsid w:val="000E580F"/>
    <w:rPr>
      <w:sz w:val="16"/>
      <w:szCs w:val="16"/>
    </w:rPr>
  </w:style>
  <w:style w:type="paragraph" w:styleId="Commentaire">
    <w:name w:val="annotation text"/>
    <w:basedOn w:val="Normal"/>
    <w:link w:val="CommentaireCar"/>
    <w:uiPriority w:val="99"/>
    <w:semiHidden/>
    <w:unhideWhenUsed/>
    <w:rsid w:val="000E580F"/>
    <w:pPr>
      <w:spacing w:line="240" w:lineRule="auto"/>
    </w:pPr>
    <w:rPr>
      <w:szCs w:val="20"/>
    </w:rPr>
  </w:style>
  <w:style w:type="character" w:customStyle="1" w:styleId="CommentaireCar">
    <w:name w:val="Commentaire Car"/>
    <w:basedOn w:val="Policepardfaut"/>
    <w:link w:val="Commentaire"/>
    <w:uiPriority w:val="99"/>
    <w:semiHidden/>
    <w:rsid w:val="000E580F"/>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0E580F"/>
    <w:rPr>
      <w:b/>
      <w:bCs/>
    </w:rPr>
  </w:style>
  <w:style w:type="character" w:customStyle="1" w:styleId="ObjetducommentaireCar">
    <w:name w:val="Objet du commentaire Car"/>
    <w:basedOn w:val="CommentaireCar"/>
    <w:link w:val="Objetducommentaire"/>
    <w:uiPriority w:val="99"/>
    <w:semiHidden/>
    <w:rsid w:val="000E580F"/>
    <w:rPr>
      <w:rFonts w:ascii="Arial" w:hAnsi="Arial"/>
      <w:b/>
      <w:bCs/>
      <w:sz w:val="20"/>
      <w:szCs w:val="20"/>
    </w:rPr>
  </w:style>
  <w:style w:type="character" w:styleId="Appelnotedebasdep">
    <w:name w:val="footnote reference"/>
    <w:basedOn w:val="Policepardfaut"/>
    <w:uiPriority w:val="99"/>
    <w:semiHidden/>
    <w:unhideWhenUsed/>
    <w:rsid w:val="001963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79288">
      <w:bodyDiv w:val="1"/>
      <w:marLeft w:val="0"/>
      <w:marRight w:val="0"/>
      <w:marTop w:val="0"/>
      <w:marBottom w:val="0"/>
      <w:divBdr>
        <w:top w:val="none" w:sz="0" w:space="0" w:color="auto"/>
        <w:left w:val="none" w:sz="0" w:space="0" w:color="auto"/>
        <w:bottom w:val="none" w:sz="0" w:space="0" w:color="auto"/>
        <w:right w:val="none" w:sz="0" w:space="0" w:color="auto"/>
      </w:divBdr>
    </w:div>
    <w:div w:id="248125072">
      <w:bodyDiv w:val="1"/>
      <w:marLeft w:val="0"/>
      <w:marRight w:val="0"/>
      <w:marTop w:val="0"/>
      <w:marBottom w:val="0"/>
      <w:divBdr>
        <w:top w:val="none" w:sz="0" w:space="0" w:color="auto"/>
        <w:left w:val="none" w:sz="0" w:space="0" w:color="auto"/>
        <w:bottom w:val="none" w:sz="0" w:space="0" w:color="auto"/>
        <w:right w:val="none" w:sz="0" w:space="0" w:color="auto"/>
      </w:divBdr>
    </w:div>
    <w:div w:id="506481785">
      <w:bodyDiv w:val="1"/>
      <w:marLeft w:val="0"/>
      <w:marRight w:val="0"/>
      <w:marTop w:val="0"/>
      <w:marBottom w:val="0"/>
      <w:divBdr>
        <w:top w:val="none" w:sz="0" w:space="0" w:color="auto"/>
        <w:left w:val="none" w:sz="0" w:space="0" w:color="auto"/>
        <w:bottom w:val="none" w:sz="0" w:space="0" w:color="auto"/>
        <w:right w:val="none" w:sz="0" w:space="0" w:color="auto"/>
      </w:divBdr>
    </w:div>
    <w:div w:id="876704195">
      <w:bodyDiv w:val="1"/>
      <w:marLeft w:val="0"/>
      <w:marRight w:val="0"/>
      <w:marTop w:val="0"/>
      <w:marBottom w:val="0"/>
      <w:divBdr>
        <w:top w:val="none" w:sz="0" w:space="0" w:color="auto"/>
        <w:left w:val="none" w:sz="0" w:space="0" w:color="auto"/>
        <w:bottom w:val="none" w:sz="0" w:space="0" w:color="auto"/>
        <w:right w:val="none" w:sz="0" w:space="0" w:color="auto"/>
      </w:divBdr>
      <w:divsChild>
        <w:div w:id="1316491390">
          <w:marLeft w:val="300"/>
          <w:marRight w:val="0"/>
          <w:marTop w:val="375"/>
          <w:marBottom w:val="225"/>
          <w:divBdr>
            <w:top w:val="none" w:sz="0" w:space="0" w:color="auto"/>
            <w:left w:val="none" w:sz="0" w:space="0" w:color="auto"/>
            <w:bottom w:val="none" w:sz="0" w:space="0" w:color="auto"/>
            <w:right w:val="none" w:sz="0" w:space="0" w:color="auto"/>
          </w:divBdr>
          <w:divsChild>
            <w:div w:id="1973828614">
              <w:marLeft w:val="0"/>
              <w:marRight w:val="0"/>
              <w:marTop w:val="0"/>
              <w:marBottom w:val="0"/>
              <w:divBdr>
                <w:top w:val="none" w:sz="0" w:space="0" w:color="auto"/>
                <w:left w:val="none" w:sz="0" w:space="0" w:color="auto"/>
                <w:bottom w:val="none" w:sz="0" w:space="0" w:color="auto"/>
                <w:right w:val="none" w:sz="0" w:space="0" w:color="auto"/>
              </w:divBdr>
              <w:divsChild>
                <w:div w:id="1374696158">
                  <w:marLeft w:val="0"/>
                  <w:marRight w:val="0"/>
                  <w:marTop w:val="0"/>
                  <w:marBottom w:val="0"/>
                  <w:divBdr>
                    <w:top w:val="none" w:sz="0" w:space="0" w:color="auto"/>
                    <w:left w:val="none" w:sz="0" w:space="0" w:color="auto"/>
                    <w:bottom w:val="none" w:sz="0" w:space="0" w:color="auto"/>
                    <w:right w:val="none" w:sz="0" w:space="0" w:color="auto"/>
                  </w:divBdr>
                  <w:divsChild>
                    <w:div w:id="143547384">
                      <w:marLeft w:val="0"/>
                      <w:marRight w:val="0"/>
                      <w:marTop w:val="0"/>
                      <w:marBottom w:val="0"/>
                      <w:divBdr>
                        <w:top w:val="none" w:sz="0" w:space="0" w:color="auto"/>
                        <w:left w:val="none" w:sz="0" w:space="0" w:color="auto"/>
                        <w:bottom w:val="none" w:sz="0" w:space="0" w:color="auto"/>
                        <w:right w:val="none" w:sz="0" w:space="0" w:color="auto"/>
                      </w:divBdr>
                      <w:divsChild>
                        <w:div w:id="388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62540">
      <w:bodyDiv w:val="1"/>
      <w:marLeft w:val="0"/>
      <w:marRight w:val="0"/>
      <w:marTop w:val="0"/>
      <w:marBottom w:val="0"/>
      <w:divBdr>
        <w:top w:val="none" w:sz="0" w:space="0" w:color="auto"/>
        <w:left w:val="none" w:sz="0" w:space="0" w:color="auto"/>
        <w:bottom w:val="none" w:sz="0" w:space="0" w:color="auto"/>
        <w:right w:val="none" w:sz="0" w:space="0" w:color="auto"/>
      </w:divBdr>
    </w:div>
    <w:div w:id="1661084075">
      <w:bodyDiv w:val="1"/>
      <w:marLeft w:val="0"/>
      <w:marRight w:val="0"/>
      <w:marTop w:val="0"/>
      <w:marBottom w:val="0"/>
      <w:divBdr>
        <w:top w:val="none" w:sz="0" w:space="0" w:color="auto"/>
        <w:left w:val="none" w:sz="0" w:space="0" w:color="auto"/>
        <w:bottom w:val="none" w:sz="0" w:space="0" w:color="auto"/>
        <w:right w:val="none" w:sz="0" w:space="0" w:color="auto"/>
      </w:divBdr>
      <w:divsChild>
        <w:div w:id="1878200404">
          <w:marLeft w:val="300"/>
          <w:marRight w:val="0"/>
          <w:marTop w:val="375"/>
          <w:marBottom w:val="225"/>
          <w:divBdr>
            <w:top w:val="none" w:sz="0" w:space="0" w:color="auto"/>
            <w:left w:val="none" w:sz="0" w:space="0" w:color="auto"/>
            <w:bottom w:val="none" w:sz="0" w:space="0" w:color="auto"/>
            <w:right w:val="none" w:sz="0" w:space="0" w:color="auto"/>
          </w:divBdr>
          <w:divsChild>
            <w:div w:id="709569375">
              <w:marLeft w:val="0"/>
              <w:marRight w:val="0"/>
              <w:marTop w:val="0"/>
              <w:marBottom w:val="0"/>
              <w:divBdr>
                <w:top w:val="none" w:sz="0" w:space="0" w:color="auto"/>
                <w:left w:val="none" w:sz="0" w:space="0" w:color="auto"/>
                <w:bottom w:val="none" w:sz="0" w:space="0" w:color="auto"/>
                <w:right w:val="none" w:sz="0" w:space="0" w:color="auto"/>
              </w:divBdr>
              <w:divsChild>
                <w:div w:id="375204544">
                  <w:marLeft w:val="0"/>
                  <w:marRight w:val="0"/>
                  <w:marTop w:val="0"/>
                  <w:marBottom w:val="0"/>
                  <w:divBdr>
                    <w:top w:val="none" w:sz="0" w:space="0" w:color="auto"/>
                    <w:left w:val="none" w:sz="0" w:space="0" w:color="auto"/>
                    <w:bottom w:val="none" w:sz="0" w:space="0" w:color="auto"/>
                    <w:right w:val="none" w:sz="0" w:space="0" w:color="auto"/>
                  </w:divBdr>
                </w:div>
                <w:div w:id="583227115">
                  <w:marLeft w:val="0"/>
                  <w:marRight w:val="0"/>
                  <w:marTop w:val="0"/>
                  <w:marBottom w:val="0"/>
                  <w:divBdr>
                    <w:top w:val="none" w:sz="0" w:space="0" w:color="auto"/>
                    <w:left w:val="none" w:sz="0" w:space="0" w:color="auto"/>
                    <w:bottom w:val="none" w:sz="0" w:space="0" w:color="auto"/>
                    <w:right w:val="none" w:sz="0" w:space="0" w:color="auto"/>
                  </w:divBdr>
                  <w:divsChild>
                    <w:div w:id="1917010926">
                      <w:marLeft w:val="0"/>
                      <w:marRight w:val="0"/>
                      <w:marTop w:val="0"/>
                      <w:marBottom w:val="0"/>
                      <w:divBdr>
                        <w:top w:val="none" w:sz="0" w:space="0" w:color="auto"/>
                        <w:left w:val="none" w:sz="0" w:space="0" w:color="auto"/>
                        <w:bottom w:val="none" w:sz="0" w:space="0" w:color="auto"/>
                        <w:right w:val="none" w:sz="0" w:space="0" w:color="auto"/>
                      </w:divBdr>
                      <w:divsChild>
                        <w:div w:id="1948386814">
                          <w:marLeft w:val="0"/>
                          <w:marRight w:val="0"/>
                          <w:marTop w:val="0"/>
                          <w:marBottom w:val="0"/>
                          <w:divBdr>
                            <w:top w:val="none" w:sz="0" w:space="0" w:color="auto"/>
                            <w:left w:val="none" w:sz="0" w:space="0" w:color="auto"/>
                            <w:bottom w:val="none" w:sz="0" w:space="0" w:color="auto"/>
                            <w:right w:val="none" w:sz="0" w:space="0" w:color="auto"/>
                          </w:divBdr>
                          <w:divsChild>
                            <w:div w:id="251016775">
                              <w:marLeft w:val="0"/>
                              <w:marRight w:val="0"/>
                              <w:marTop w:val="15"/>
                              <w:marBottom w:val="0"/>
                              <w:divBdr>
                                <w:top w:val="none" w:sz="0" w:space="0" w:color="auto"/>
                                <w:left w:val="none" w:sz="0" w:space="0" w:color="auto"/>
                                <w:bottom w:val="none" w:sz="0" w:space="0" w:color="auto"/>
                                <w:right w:val="none" w:sz="0" w:space="0" w:color="auto"/>
                              </w:divBdr>
                            </w:div>
                            <w:div w:id="1493136400">
                              <w:marLeft w:val="0"/>
                              <w:marRight w:val="0"/>
                              <w:marTop w:val="15"/>
                              <w:marBottom w:val="0"/>
                              <w:divBdr>
                                <w:top w:val="none" w:sz="0" w:space="0" w:color="auto"/>
                                <w:left w:val="none" w:sz="0" w:space="0" w:color="auto"/>
                                <w:bottom w:val="none" w:sz="0" w:space="0" w:color="auto"/>
                                <w:right w:val="none" w:sz="0" w:space="0" w:color="auto"/>
                              </w:divBdr>
                            </w:div>
                            <w:div w:id="12482740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054447">
      <w:bodyDiv w:val="1"/>
      <w:marLeft w:val="0"/>
      <w:marRight w:val="0"/>
      <w:marTop w:val="0"/>
      <w:marBottom w:val="0"/>
      <w:divBdr>
        <w:top w:val="none" w:sz="0" w:space="0" w:color="auto"/>
        <w:left w:val="none" w:sz="0" w:space="0" w:color="auto"/>
        <w:bottom w:val="none" w:sz="0" w:space="0" w:color="auto"/>
        <w:right w:val="none" w:sz="0" w:space="0" w:color="auto"/>
      </w:divBdr>
    </w:div>
    <w:div w:id="2103525887">
      <w:bodyDiv w:val="1"/>
      <w:marLeft w:val="0"/>
      <w:marRight w:val="0"/>
      <w:marTop w:val="0"/>
      <w:marBottom w:val="0"/>
      <w:divBdr>
        <w:top w:val="none" w:sz="0" w:space="0" w:color="auto"/>
        <w:left w:val="none" w:sz="0" w:space="0" w:color="auto"/>
        <w:bottom w:val="none" w:sz="0" w:space="0" w:color="auto"/>
        <w:right w:val="none" w:sz="0" w:space="0" w:color="auto"/>
      </w:divBdr>
      <w:divsChild>
        <w:div w:id="1350791836">
          <w:marLeft w:val="0"/>
          <w:marRight w:val="0"/>
          <w:marTop w:val="100"/>
          <w:marBottom w:val="100"/>
          <w:divBdr>
            <w:top w:val="none" w:sz="0" w:space="0" w:color="auto"/>
            <w:left w:val="single" w:sz="6" w:space="0" w:color="8E8F92"/>
            <w:bottom w:val="none" w:sz="0" w:space="0" w:color="auto"/>
            <w:right w:val="single" w:sz="6" w:space="0" w:color="8E8F92"/>
          </w:divBdr>
          <w:divsChild>
            <w:div w:id="241137344">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63E59-D7BC-40E6-88C0-445A61E4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CBD6FF2A.dotm</Template>
  <TotalTime>20</TotalTime>
  <Pages>2</Pages>
  <Words>1351</Words>
  <Characters>7432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Faten.BOUKHCHANA@dgtresor.gouv.fr</dc:creator>
  <cp:lastModifiedBy>DE WARREN Grégoire</cp:lastModifiedBy>
  <cp:revision>7</cp:revision>
  <cp:lastPrinted>2016-02-15T09:33:00Z</cp:lastPrinted>
  <dcterms:created xsi:type="dcterms:W3CDTF">2018-01-09T11:11:00Z</dcterms:created>
  <dcterms:modified xsi:type="dcterms:W3CDTF">2018-01-11T11:28:00Z</dcterms:modified>
</cp:coreProperties>
</file>