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1B8C8" w14:textId="79FF94C7" w:rsidR="0021111A" w:rsidRPr="00C5326B" w:rsidRDefault="00A433AD" w:rsidP="00870B4B">
      <w:pPr>
        <w:pStyle w:val="Titre"/>
        <w:spacing w:after="360"/>
        <w:ind w:left="-284"/>
        <w:contextualSpacing w:val="0"/>
        <w:rPr>
          <w:rFonts w:cs="Arial"/>
        </w:rPr>
      </w:pPr>
      <w:r w:rsidRPr="00C5326B">
        <w:rPr>
          <w:rFonts w:cs="Arial"/>
        </w:rPr>
        <w:t xml:space="preserve">Le commerce extérieur du Monténégro </w:t>
      </w:r>
      <w:r w:rsidR="00FB3DF7">
        <w:rPr>
          <w:rFonts w:cs="Arial"/>
        </w:rPr>
        <w:t>en 2017</w:t>
      </w:r>
    </w:p>
    <w:p w14:paraId="4621B8C9" w14:textId="24297BDE" w:rsidR="00BB65E4" w:rsidRPr="00C5326B" w:rsidRDefault="004B753F" w:rsidP="00870B4B">
      <w:pPr>
        <w:pStyle w:val="Titre4"/>
        <w:pBdr>
          <w:bottom w:val="single" w:sz="8" w:space="0" w:color="122255"/>
        </w:pBdr>
        <w:spacing w:before="240" w:after="0"/>
        <w:ind w:left="-284"/>
        <w:rPr>
          <w:rFonts w:cs="Arial"/>
          <w:szCs w:val="20"/>
        </w:rPr>
      </w:pPr>
      <w:bookmarkStart w:id="0" w:name="anActuHead"/>
      <w:bookmarkEnd w:id="0"/>
      <w:r w:rsidRPr="00C5326B">
        <w:rPr>
          <w:rFonts w:cs="Arial"/>
          <w:szCs w:val="20"/>
        </w:rPr>
        <w:t>Depuis son indépendance en 2006, le Monténégro enregistre un</w:t>
      </w:r>
      <w:r w:rsidR="00FB5196">
        <w:rPr>
          <w:rFonts w:cs="Arial"/>
          <w:szCs w:val="20"/>
        </w:rPr>
        <w:t xml:space="preserve"> important déficit commercial, qui se creuse et </w:t>
      </w:r>
      <w:r w:rsidRPr="00C5326B">
        <w:rPr>
          <w:rFonts w:cs="Arial"/>
          <w:szCs w:val="20"/>
        </w:rPr>
        <w:t>représente 46,8 % du PIB en 201</w:t>
      </w:r>
      <w:r w:rsidR="009A5080">
        <w:rPr>
          <w:rFonts w:cs="Arial"/>
          <w:szCs w:val="20"/>
        </w:rPr>
        <w:t>7</w:t>
      </w:r>
      <w:r w:rsidRPr="00C5326B">
        <w:rPr>
          <w:rFonts w:cs="Arial"/>
          <w:szCs w:val="20"/>
        </w:rPr>
        <w:t xml:space="preserve">. L’économie monténégrine repose essentiellement sur le secteur des services et notamment du tourisme. </w:t>
      </w:r>
      <w:r w:rsidR="00C225D5" w:rsidRPr="00C225D5">
        <w:rPr>
          <w:rFonts w:cs="Arial"/>
          <w:szCs w:val="20"/>
        </w:rPr>
        <w:t xml:space="preserve">Si la Serbie demeure le principal partenaire commercial du Monténégro, l’Union européenne représente plus de 45% </w:t>
      </w:r>
      <w:r w:rsidR="00C225D5">
        <w:rPr>
          <w:rFonts w:cs="Arial"/>
          <w:szCs w:val="20"/>
        </w:rPr>
        <w:t xml:space="preserve">des échanges. </w:t>
      </w:r>
    </w:p>
    <w:p w14:paraId="4621B8CA" w14:textId="3318BE19" w:rsidR="00AE067B" w:rsidRPr="00C5326B" w:rsidRDefault="005F059D" w:rsidP="00870B4B">
      <w:pPr>
        <w:pStyle w:val="Titre1"/>
        <w:spacing w:before="480"/>
        <w:ind w:left="-284"/>
        <w:jc w:val="both"/>
        <w:rPr>
          <w:rFonts w:cs="Arial"/>
          <w:sz w:val="28"/>
        </w:rPr>
      </w:pPr>
      <w:r w:rsidRPr="00C5326B">
        <w:rPr>
          <w:rFonts w:cs="Arial"/>
          <w:sz w:val="28"/>
        </w:rPr>
        <w:t xml:space="preserve">Le déficit commercial du Monténégro </w:t>
      </w:r>
      <w:r w:rsidR="00E73A59">
        <w:rPr>
          <w:rFonts w:cs="Arial"/>
          <w:sz w:val="28"/>
        </w:rPr>
        <w:t>continue de se creuser pour la 5</w:t>
      </w:r>
      <w:r w:rsidR="00E73A59" w:rsidRPr="00E73A59">
        <w:rPr>
          <w:rFonts w:cs="Arial"/>
          <w:sz w:val="28"/>
          <w:vertAlign w:val="superscript"/>
        </w:rPr>
        <w:t>ème</w:t>
      </w:r>
      <w:r w:rsidR="00E73A59">
        <w:rPr>
          <w:rFonts w:cs="Arial"/>
          <w:sz w:val="28"/>
        </w:rPr>
        <w:t xml:space="preserve"> année consécutive</w:t>
      </w:r>
    </w:p>
    <w:p w14:paraId="65B0B2B2" w14:textId="0C9FC838" w:rsidR="004C4781" w:rsidRDefault="005F059D" w:rsidP="00870B4B">
      <w:pPr>
        <w:spacing w:after="120"/>
        <w:ind w:left="-284"/>
        <w:jc w:val="both"/>
        <w:rPr>
          <w:rFonts w:cs="Arial"/>
          <w:b/>
        </w:rPr>
      </w:pPr>
      <w:r w:rsidRPr="00C5326B">
        <w:rPr>
          <w:rFonts w:cs="Arial"/>
          <w:b/>
        </w:rPr>
        <w:t>Le déficit commercial monténégrin (1,</w:t>
      </w:r>
      <w:r w:rsidR="003B620F">
        <w:rPr>
          <w:rFonts w:cs="Arial"/>
          <w:b/>
        </w:rPr>
        <w:t>9</w:t>
      </w:r>
      <w:r w:rsidRPr="00C5326B">
        <w:rPr>
          <w:rFonts w:cs="Arial"/>
          <w:b/>
        </w:rPr>
        <w:t xml:space="preserve"> Md EUR) s’est creusé </w:t>
      </w:r>
      <w:r w:rsidRPr="00C5326B">
        <w:rPr>
          <w:rFonts w:cs="Arial"/>
        </w:rPr>
        <w:t>par rapport à 201</w:t>
      </w:r>
      <w:r w:rsidR="003B620F">
        <w:rPr>
          <w:rFonts w:cs="Arial"/>
        </w:rPr>
        <w:t>6</w:t>
      </w:r>
      <w:r w:rsidRPr="00C5326B">
        <w:rPr>
          <w:rFonts w:cs="Arial"/>
        </w:rPr>
        <w:t xml:space="preserve"> et représente </w:t>
      </w:r>
      <w:r w:rsidR="00E73A59">
        <w:rPr>
          <w:rFonts w:cs="Arial"/>
        </w:rPr>
        <w:t xml:space="preserve">en 2017 </w:t>
      </w:r>
      <w:r w:rsidRPr="00C5326B">
        <w:rPr>
          <w:rFonts w:cs="Arial"/>
        </w:rPr>
        <w:t>4</w:t>
      </w:r>
      <w:r w:rsidR="00044A01">
        <w:rPr>
          <w:rFonts w:cs="Arial"/>
        </w:rPr>
        <w:t>6,8</w:t>
      </w:r>
      <w:r w:rsidRPr="00C5326B">
        <w:rPr>
          <w:rFonts w:cs="Arial"/>
        </w:rPr>
        <w:t xml:space="preserve"> % du PIB. </w:t>
      </w:r>
      <w:r w:rsidR="0007523F">
        <w:rPr>
          <w:rFonts w:cs="Arial"/>
        </w:rPr>
        <w:t>Le creusement de c</w:t>
      </w:r>
      <w:r w:rsidRPr="00C5326B">
        <w:rPr>
          <w:rFonts w:cs="Arial"/>
        </w:rPr>
        <w:t xml:space="preserve">e déficit est dû à la hausse </w:t>
      </w:r>
      <w:r w:rsidR="0007523F">
        <w:rPr>
          <w:rFonts w:cs="Arial"/>
        </w:rPr>
        <w:t xml:space="preserve">continue </w:t>
      </w:r>
      <w:r w:rsidRPr="00C5326B">
        <w:rPr>
          <w:rFonts w:cs="Arial"/>
        </w:rPr>
        <w:t>des importations</w:t>
      </w:r>
      <w:r w:rsidR="0007523F">
        <w:rPr>
          <w:rFonts w:cs="Arial"/>
        </w:rPr>
        <w:t xml:space="preserve"> depuis plusieurs années</w:t>
      </w:r>
      <w:r w:rsidR="00E73A59">
        <w:rPr>
          <w:rFonts w:cs="Arial"/>
        </w:rPr>
        <w:t xml:space="preserve">, </w:t>
      </w:r>
      <w:r w:rsidR="00EC31D3">
        <w:rPr>
          <w:rFonts w:cs="Arial"/>
        </w:rPr>
        <w:t xml:space="preserve">non </w:t>
      </w:r>
      <w:r w:rsidR="007852CC" w:rsidRPr="00C5326B">
        <w:rPr>
          <w:rFonts w:cs="Arial"/>
        </w:rPr>
        <w:t xml:space="preserve"> compensée par la hausse des exportations étant donné leur faible volume</w:t>
      </w:r>
      <w:r w:rsidRPr="00C5326B">
        <w:rPr>
          <w:rFonts w:cs="Arial"/>
        </w:rPr>
        <w:t>.</w:t>
      </w:r>
      <w:r w:rsidR="00DA087B">
        <w:rPr>
          <w:rFonts w:cs="Arial"/>
          <w:b/>
        </w:rPr>
        <w:t xml:space="preserve"> </w:t>
      </w:r>
    </w:p>
    <w:p w14:paraId="25DBF630" w14:textId="554F762B" w:rsidR="00BD7B40" w:rsidRPr="00C5326B" w:rsidRDefault="00BD7B40" w:rsidP="00E73A59">
      <w:pPr>
        <w:spacing w:after="120"/>
        <w:ind w:left="-284"/>
        <w:jc w:val="both"/>
        <w:rPr>
          <w:rFonts w:cs="Arial"/>
        </w:rPr>
      </w:pPr>
      <w:r w:rsidRPr="00C5326B">
        <w:rPr>
          <w:rFonts w:cs="Arial"/>
        </w:rPr>
        <w:t xml:space="preserve">Les </w:t>
      </w:r>
      <w:r w:rsidRPr="00C5326B">
        <w:rPr>
          <w:rFonts w:cs="Arial"/>
          <w:b/>
        </w:rPr>
        <w:t xml:space="preserve">exportations du Monténégro s’élèvent à </w:t>
      </w:r>
      <w:r>
        <w:rPr>
          <w:rFonts w:cs="Arial"/>
          <w:b/>
        </w:rPr>
        <w:t>371</w:t>
      </w:r>
      <w:r w:rsidRPr="00C5326B">
        <w:rPr>
          <w:rFonts w:cs="Arial"/>
          <w:b/>
        </w:rPr>
        <w:t xml:space="preserve"> M EUR en 201</w:t>
      </w:r>
      <w:r>
        <w:rPr>
          <w:rFonts w:cs="Arial"/>
          <w:b/>
        </w:rPr>
        <w:t>7</w:t>
      </w:r>
      <w:r w:rsidRPr="00C5326B">
        <w:rPr>
          <w:rFonts w:cs="Arial"/>
          <w:b/>
        </w:rPr>
        <w:t xml:space="preserve">, </w:t>
      </w:r>
      <w:r w:rsidRPr="00C5326B">
        <w:rPr>
          <w:rFonts w:cs="Arial"/>
        </w:rPr>
        <w:t xml:space="preserve">en </w:t>
      </w:r>
      <w:r>
        <w:rPr>
          <w:rFonts w:cs="Arial"/>
        </w:rPr>
        <w:t xml:space="preserve">hausse </w:t>
      </w:r>
      <w:r w:rsidRPr="00C5326B">
        <w:rPr>
          <w:rFonts w:cs="Arial"/>
        </w:rPr>
        <w:t xml:space="preserve">de </w:t>
      </w:r>
      <w:r>
        <w:rPr>
          <w:rFonts w:cs="Arial"/>
        </w:rPr>
        <w:t>14</w:t>
      </w:r>
      <w:r w:rsidRPr="00C5326B">
        <w:rPr>
          <w:rFonts w:cs="Arial"/>
        </w:rPr>
        <w:t>% par rapport à 201</w:t>
      </w:r>
      <w:r>
        <w:rPr>
          <w:rFonts w:cs="Arial"/>
        </w:rPr>
        <w:t>6</w:t>
      </w:r>
      <w:r w:rsidRPr="00C5326B">
        <w:rPr>
          <w:rFonts w:cs="Arial"/>
        </w:rPr>
        <w:t xml:space="preserve">. L’augmentation est principalement le fait de celle des matières premières, </w:t>
      </w:r>
      <w:r>
        <w:rPr>
          <w:rFonts w:cs="Arial"/>
        </w:rPr>
        <w:t xml:space="preserve">surtout </w:t>
      </w:r>
      <w:r w:rsidRPr="00C5326B">
        <w:rPr>
          <w:rFonts w:cs="Arial"/>
        </w:rPr>
        <w:t>de minerais métalliques</w:t>
      </w:r>
      <w:r>
        <w:rPr>
          <w:rFonts w:cs="Arial"/>
        </w:rPr>
        <w:t>,</w:t>
      </w:r>
      <w:r w:rsidRPr="00C5326B">
        <w:rPr>
          <w:rFonts w:cs="Arial"/>
        </w:rPr>
        <w:t xml:space="preserve"> et </w:t>
      </w:r>
      <w:r>
        <w:rPr>
          <w:rFonts w:cs="Arial"/>
        </w:rPr>
        <w:t xml:space="preserve">de </w:t>
      </w:r>
      <w:r w:rsidRPr="00C5326B">
        <w:rPr>
          <w:rFonts w:cs="Arial"/>
        </w:rPr>
        <w:t xml:space="preserve">déchets de métaux. </w:t>
      </w:r>
      <w:r>
        <w:rPr>
          <w:rFonts w:cs="Arial"/>
        </w:rPr>
        <w:t xml:space="preserve">La hausse des </w:t>
      </w:r>
      <w:r w:rsidRPr="00C5326B">
        <w:rPr>
          <w:rFonts w:cs="Arial"/>
          <w:b/>
        </w:rPr>
        <w:t>importations (2,</w:t>
      </w:r>
      <w:r>
        <w:rPr>
          <w:rFonts w:cs="Arial"/>
          <w:b/>
        </w:rPr>
        <w:t>3</w:t>
      </w:r>
      <w:r w:rsidRPr="00C5326B">
        <w:rPr>
          <w:rFonts w:cs="Arial"/>
          <w:b/>
        </w:rPr>
        <w:t xml:space="preserve"> Mds EUR en 201</w:t>
      </w:r>
      <w:r>
        <w:rPr>
          <w:rFonts w:cs="Arial"/>
          <w:b/>
        </w:rPr>
        <w:t xml:space="preserve">7, </w:t>
      </w:r>
      <w:r w:rsidR="00484A8C">
        <w:rPr>
          <w:rFonts w:cs="Arial"/>
          <w:b/>
        </w:rPr>
        <w:t>+</w:t>
      </w:r>
      <w:r>
        <w:rPr>
          <w:rFonts w:cs="Arial"/>
          <w:b/>
        </w:rPr>
        <w:t>11,7% par rapport à 2016</w:t>
      </w:r>
      <w:r w:rsidRPr="00C5326B">
        <w:rPr>
          <w:rFonts w:cs="Arial"/>
          <w:b/>
        </w:rPr>
        <w:t>)</w:t>
      </w:r>
      <w:r w:rsidRPr="00C5326B">
        <w:rPr>
          <w:rFonts w:cs="Arial"/>
        </w:rPr>
        <w:t xml:space="preserve">, </w:t>
      </w:r>
      <w:r w:rsidR="00484A8C">
        <w:rPr>
          <w:rFonts w:cs="Arial"/>
        </w:rPr>
        <w:t xml:space="preserve">s’explique en grande partie </w:t>
      </w:r>
      <w:r>
        <w:rPr>
          <w:rFonts w:cs="Arial"/>
        </w:rPr>
        <w:t xml:space="preserve">par une augmentation des importations de </w:t>
      </w:r>
      <w:r w:rsidRPr="00044A01">
        <w:rPr>
          <w:rFonts w:cs="Arial"/>
          <w:b/>
        </w:rPr>
        <w:t>combustibles minéraux, lubrifiants et matières connexes</w:t>
      </w:r>
      <w:r>
        <w:rPr>
          <w:rFonts w:cs="Arial"/>
          <w:b/>
        </w:rPr>
        <w:t xml:space="preserve"> (+ 36,5%)</w:t>
      </w:r>
      <w:r w:rsidRPr="00C5326B">
        <w:rPr>
          <w:rFonts w:cs="Arial"/>
        </w:rPr>
        <w:t xml:space="preserve"> </w:t>
      </w:r>
      <w:r>
        <w:rPr>
          <w:rFonts w:cs="Arial"/>
        </w:rPr>
        <w:t xml:space="preserve">et de </w:t>
      </w:r>
      <w:r>
        <w:rPr>
          <w:rFonts w:cs="Arial"/>
          <w:b/>
        </w:rPr>
        <w:t>biens manufacturés (+ 19,8%).</w:t>
      </w:r>
    </w:p>
    <w:p w14:paraId="4621B8CB" w14:textId="5478D031" w:rsidR="005F059D" w:rsidRPr="00C5326B" w:rsidRDefault="00DA087B" w:rsidP="00870B4B">
      <w:pPr>
        <w:spacing w:after="120"/>
        <w:ind w:left="-284"/>
        <w:jc w:val="both"/>
        <w:rPr>
          <w:rFonts w:cs="Arial"/>
        </w:rPr>
      </w:pPr>
      <w:r>
        <w:rPr>
          <w:rFonts w:cs="Arial"/>
          <w:b/>
        </w:rPr>
        <w:t xml:space="preserve">La balance des services </w:t>
      </w:r>
      <w:r w:rsidR="00BD7B40">
        <w:rPr>
          <w:rFonts w:cs="Arial"/>
          <w:b/>
        </w:rPr>
        <w:t xml:space="preserve">(836,3 M EUR) </w:t>
      </w:r>
      <w:r w:rsidRPr="00044A01">
        <w:rPr>
          <w:rFonts w:cs="Arial"/>
        </w:rPr>
        <w:t>a augmenté de 8,8% en 2017</w:t>
      </w:r>
      <w:r>
        <w:rPr>
          <w:rFonts w:cs="Arial"/>
          <w:b/>
        </w:rPr>
        <w:t xml:space="preserve">, </w:t>
      </w:r>
      <w:r>
        <w:rPr>
          <w:rFonts w:cs="Arial"/>
        </w:rPr>
        <w:t xml:space="preserve">grâce notamment à </w:t>
      </w:r>
      <w:r w:rsidR="00141E75">
        <w:rPr>
          <w:rFonts w:cs="Arial"/>
        </w:rPr>
        <w:t>une très bonne saison tourist</w:t>
      </w:r>
      <w:r w:rsidR="00A53A55">
        <w:rPr>
          <w:rFonts w:cs="Arial"/>
        </w:rPr>
        <w:t xml:space="preserve">ique qui contribue à hauteur </w:t>
      </w:r>
      <w:r w:rsidR="00214EDF">
        <w:rPr>
          <w:rFonts w:cs="Arial"/>
        </w:rPr>
        <w:t xml:space="preserve">de </w:t>
      </w:r>
      <w:r w:rsidR="00A53A55">
        <w:rPr>
          <w:rFonts w:cs="Arial"/>
        </w:rPr>
        <w:t>859</w:t>
      </w:r>
      <w:r w:rsidR="00C163C8">
        <w:rPr>
          <w:rFonts w:cs="Arial"/>
        </w:rPr>
        <w:t xml:space="preserve"> </w:t>
      </w:r>
      <w:r w:rsidR="00A53A55">
        <w:rPr>
          <w:rFonts w:cs="Arial"/>
        </w:rPr>
        <w:t>M EUR au PIB du pays, soit environ 21%</w:t>
      </w:r>
      <w:r w:rsidR="00C225D5">
        <w:rPr>
          <w:rFonts w:cs="Arial"/>
        </w:rPr>
        <w:t xml:space="preserve"> selon le Programme de réformes économiques</w:t>
      </w:r>
      <w:r w:rsidR="00A53A55">
        <w:rPr>
          <w:rFonts w:cs="Arial"/>
        </w:rPr>
        <w:t>.</w:t>
      </w:r>
      <w:r w:rsidR="00044A01">
        <w:rPr>
          <w:rFonts w:cs="Arial"/>
        </w:rPr>
        <w:t xml:space="preserve"> </w:t>
      </w:r>
      <w:r w:rsidR="00A53A55">
        <w:rPr>
          <w:rFonts w:cs="Arial"/>
          <w:b/>
        </w:rPr>
        <w:t>Dans ce contexte, le</w:t>
      </w:r>
      <w:r w:rsidR="00044A01">
        <w:rPr>
          <w:rFonts w:cs="Arial"/>
          <w:b/>
        </w:rPr>
        <w:t xml:space="preserve"> </w:t>
      </w:r>
      <w:r w:rsidR="005F059D" w:rsidRPr="00C5326B">
        <w:rPr>
          <w:rFonts w:cs="Arial"/>
          <w:b/>
        </w:rPr>
        <w:t xml:space="preserve">déficit du compte des biens et services est </w:t>
      </w:r>
      <w:r w:rsidR="009E5ECE">
        <w:rPr>
          <w:rFonts w:cs="Arial"/>
          <w:b/>
        </w:rPr>
        <w:t>globalement stable</w:t>
      </w:r>
      <w:r w:rsidR="00FA60C7">
        <w:rPr>
          <w:rFonts w:cs="Arial"/>
          <w:b/>
        </w:rPr>
        <w:t xml:space="preserve"> </w:t>
      </w:r>
      <w:r w:rsidR="005F059D" w:rsidRPr="00C5326B">
        <w:rPr>
          <w:rFonts w:cs="Arial"/>
          <w:b/>
        </w:rPr>
        <w:t>(</w:t>
      </w:r>
      <w:r w:rsidR="009E5ECE">
        <w:rPr>
          <w:rFonts w:cs="Arial"/>
          <w:b/>
        </w:rPr>
        <w:t>25</w:t>
      </w:r>
      <w:r w:rsidR="005F059D" w:rsidRPr="00C5326B">
        <w:rPr>
          <w:rFonts w:cs="Arial"/>
          <w:b/>
        </w:rPr>
        <w:t> % du PIB en 201</w:t>
      </w:r>
      <w:r w:rsidR="009E5ECE">
        <w:rPr>
          <w:rFonts w:cs="Arial"/>
          <w:b/>
        </w:rPr>
        <w:t>7</w:t>
      </w:r>
      <w:r w:rsidR="005F059D" w:rsidRPr="00C5326B">
        <w:rPr>
          <w:rFonts w:cs="Arial"/>
          <w:b/>
        </w:rPr>
        <w:t xml:space="preserve">, contre </w:t>
      </w:r>
      <w:r w:rsidR="009E5ECE">
        <w:rPr>
          <w:rFonts w:cs="Arial"/>
          <w:b/>
        </w:rPr>
        <w:t>24</w:t>
      </w:r>
      <w:r w:rsidR="005F059D" w:rsidRPr="00C5326B">
        <w:rPr>
          <w:rFonts w:cs="Arial"/>
          <w:b/>
        </w:rPr>
        <w:t>% en 201</w:t>
      </w:r>
      <w:r w:rsidR="009E5ECE">
        <w:rPr>
          <w:rFonts w:cs="Arial"/>
          <w:b/>
        </w:rPr>
        <w:t>6</w:t>
      </w:r>
      <w:r w:rsidR="005F059D" w:rsidRPr="00C5326B">
        <w:rPr>
          <w:rFonts w:cs="Arial"/>
          <w:b/>
        </w:rPr>
        <w:t>)</w:t>
      </w:r>
      <w:r w:rsidR="005F059D" w:rsidRPr="00C5326B">
        <w:rPr>
          <w:rFonts w:cs="Arial"/>
        </w:rPr>
        <w:t>. Selon la Banque centrale du Monténégro, ce déficit du compte de</w:t>
      </w:r>
      <w:r w:rsidR="007852CC">
        <w:rPr>
          <w:rFonts w:cs="Arial"/>
        </w:rPr>
        <w:t>s</w:t>
      </w:r>
      <w:r w:rsidR="005F059D" w:rsidRPr="00C5326B">
        <w:rPr>
          <w:rFonts w:cs="Arial"/>
        </w:rPr>
        <w:t xml:space="preserve"> biens et services, qui pèse lourdement sur le solde du compte courant (-7</w:t>
      </w:r>
      <w:r w:rsidR="00FA60C7">
        <w:rPr>
          <w:rFonts w:cs="Arial"/>
        </w:rPr>
        <w:t>99</w:t>
      </w:r>
      <w:r w:rsidR="005F059D" w:rsidRPr="00C5326B">
        <w:rPr>
          <w:rFonts w:cs="Arial"/>
        </w:rPr>
        <w:t xml:space="preserve"> M EUR en 201</w:t>
      </w:r>
      <w:r w:rsidR="00FA60C7">
        <w:rPr>
          <w:rFonts w:cs="Arial"/>
        </w:rPr>
        <w:t>7</w:t>
      </w:r>
      <w:r w:rsidR="005F059D" w:rsidRPr="00C5326B">
        <w:rPr>
          <w:rFonts w:cs="Arial"/>
        </w:rPr>
        <w:t>), est corrélé au cycle d’investissement</w:t>
      </w:r>
      <w:r w:rsidR="007852CC">
        <w:rPr>
          <w:rFonts w:cs="Arial"/>
        </w:rPr>
        <w:t>s</w:t>
      </w:r>
      <w:r w:rsidR="005F059D" w:rsidRPr="00C5326B">
        <w:rPr>
          <w:rFonts w:cs="Arial"/>
        </w:rPr>
        <w:t xml:space="preserve"> du pays. Il devrait revenir à la normale une fois les investissements finis, dont notamment la construction de l’autoroute Bar-Boljare, qui relie la côte monténégrine à la Serbie. </w:t>
      </w:r>
      <w:bookmarkStart w:id="1" w:name="_GoBack"/>
      <w:bookmarkEnd w:id="1"/>
    </w:p>
    <w:p w14:paraId="4621B8CD" w14:textId="730A6BF5" w:rsidR="00AE067B" w:rsidRPr="00C5326B" w:rsidRDefault="00AE067B" w:rsidP="00870B4B">
      <w:pPr>
        <w:pStyle w:val="Titre2"/>
        <w:spacing w:before="360" w:after="240" w:line="240" w:lineRule="auto"/>
        <w:ind w:left="-284"/>
        <w:jc w:val="both"/>
        <w:rPr>
          <w:rFonts w:cs="Arial"/>
        </w:rPr>
      </w:pPr>
      <w:r w:rsidRPr="00C5326B">
        <w:rPr>
          <w:rFonts w:cs="Arial"/>
        </w:rPr>
        <w:t>Les exportations monténégrines se concentrent sur les produits manufacturés et matériaux bruts</w:t>
      </w:r>
      <w:r w:rsidR="00E07D79">
        <w:rPr>
          <w:rFonts w:cs="Arial"/>
        </w:rPr>
        <w:t xml:space="preserve"> tandis que près de la moitié des importations sont constituées de matériels de transport et de biens alimentaires</w:t>
      </w:r>
    </w:p>
    <w:p w14:paraId="4621B8CE" w14:textId="4E520240" w:rsidR="00AE067B" w:rsidRPr="00C5326B" w:rsidRDefault="0072393B" w:rsidP="00870B4B">
      <w:pPr>
        <w:spacing w:before="240"/>
        <w:ind w:left="-284"/>
        <w:jc w:val="both"/>
        <w:rPr>
          <w:rFonts w:cs="Arial"/>
        </w:rPr>
      </w:pPr>
      <w:r>
        <w:rPr>
          <w:rFonts w:cs="Arial"/>
          <w:b/>
        </w:rPr>
        <w:t>Près d’un</w:t>
      </w:r>
      <w:r w:rsidR="00AE067B" w:rsidRPr="00C5326B">
        <w:rPr>
          <w:rFonts w:cs="Arial"/>
          <w:b/>
        </w:rPr>
        <w:t xml:space="preserve"> tiers des exportations du Monténégro, soit </w:t>
      </w:r>
      <w:r>
        <w:rPr>
          <w:rFonts w:cs="Arial"/>
          <w:b/>
        </w:rPr>
        <w:t>104</w:t>
      </w:r>
      <w:r w:rsidRPr="00C5326B">
        <w:rPr>
          <w:rFonts w:cs="Arial"/>
          <w:b/>
        </w:rPr>
        <w:t xml:space="preserve"> </w:t>
      </w:r>
      <w:r w:rsidR="00AE067B" w:rsidRPr="00C5326B">
        <w:rPr>
          <w:rFonts w:cs="Arial"/>
          <w:b/>
        </w:rPr>
        <w:t>M EUR, sont des produits manufacturés. Les produits à base de métaux non ferreux (dont l’aluminium), qui représentent 6</w:t>
      </w:r>
      <w:r>
        <w:rPr>
          <w:rFonts w:cs="Arial"/>
          <w:b/>
        </w:rPr>
        <w:t>9</w:t>
      </w:r>
      <w:r w:rsidR="00AE067B" w:rsidRPr="00C5326B">
        <w:rPr>
          <w:rFonts w:cs="Arial"/>
          <w:b/>
        </w:rPr>
        <w:t xml:space="preserve"> % de ce poste d’exportations, </w:t>
      </w:r>
      <w:r>
        <w:rPr>
          <w:rFonts w:cs="Arial"/>
          <w:b/>
        </w:rPr>
        <w:t>sont en hausse de 14,2</w:t>
      </w:r>
      <w:r w:rsidR="00AE067B" w:rsidRPr="00C5326B">
        <w:rPr>
          <w:rFonts w:cs="Arial"/>
          <w:b/>
        </w:rPr>
        <w:t>%.</w:t>
      </w:r>
      <w:r w:rsidR="00AE067B" w:rsidRPr="00C5326B">
        <w:rPr>
          <w:rFonts w:cs="Arial"/>
        </w:rPr>
        <w:t xml:space="preserve"> Ils proviennent essentiellement du Kombinat Aluminijuma Podgorica (KAP) et de l’aciérie Toscelik de Nikšić, rachetés en 2014 par des investisseurs privés (Uniprom). Alors que les exportations d'aluminium représentaient 55 % des exportations totales de marchandises en 2007, la part de l'aluminium a diminué ces dernières années, désormais à 19 % des marchandises exportées. </w:t>
      </w:r>
    </w:p>
    <w:p w14:paraId="7109BB98" w14:textId="7718F643" w:rsidR="00E944C6" w:rsidRDefault="00AE067B" w:rsidP="00870B4B">
      <w:pPr>
        <w:ind w:left="-284"/>
        <w:jc w:val="both"/>
        <w:rPr>
          <w:rFonts w:cs="Arial"/>
        </w:rPr>
      </w:pPr>
      <w:r w:rsidRPr="00C5326B">
        <w:rPr>
          <w:rFonts w:cs="Arial"/>
          <w:b/>
        </w:rPr>
        <w:t xml:space="preserve">Avec </w:t>
      </w:r>
      <w:r w:rsidR="00C04147">
        <w:rPr>
          <w:rFonts w:cs="Arial"/>
          <w:b/>
        </w:rPr>
        <w:t>103</w:t>
      </w:r>
      <w:r w:rsidR="00C04147" w:rsidRPr="00C5326B">
        <w:rPr>
          <w:rFonts w:cs="Arial"/>
          <w:b/>
        </w:rPr>
        <w:t xml:space="preserve"> </w:t>
      </w:r>
      <w:r w:rsidRPr="00C5326B">
        <w:rPr>
          <w:rFonts w:cs="Arial"/>
          <w:b/>
        </w:rPr>
        <w:t xml:space="preserve">M EUR, les ventes de produits bruts constituent le deuxième poste des exportations monténégrines, en hausse de </w:t>
      </w:r>
      <w:r w:rsidR="00C04147">
        <w:rPr>
          <w:rFonts w:cs="Arial"/>
          <w:b/>
        </w:rPr>
        <w:t>48</w:t>
      </w:r>
      <w:r w:rsidRPr="00C5326B">
        <w:rPr>
          <w:rFonts w:cs="Arial"/>
          <w:b/>
        </w:rPr>
        <w:t xml:space="preserve"> % par rapport à 201</w:t>
      </w:r>
      <w:r w:rsidR="00C04147">
        <w:rPr>
          <w:rFonts w:cs="Arial"/>
          <w:b/>
        </w:rPr>
        <w:t>6 et de 61,6% par rapport à 2015</w:t>
      </w:r>
      <w:r w:rsidRPr="00C5326B">
        <w:rPr>
          <w:rFonts w:cs="Arial"/>
          <w:b/>
        </w:rPr>
        <w:t>.</w:t>
      </w:r>
      <w:r w:rsidRPr="00C5326B">
        <w:rPr>
          <w:rFonts w:cs="Arial"/>
        </w:rPr>
        <w:t xml:space="preserve"> Les minerais métalliques et déchets de métaux repré</w:t>
      </w:r>
      <w:r w:rsidR="00EE400D">
        <w:rPr>
          <w:rFonts w:cs="Arial"/>
        </w:rPr>
        <w:t xml:space="preserve">sentent plus de la moitié de cette catégorie </w:t>
      </w:r>
      <w:r w:rsidRPr="00C5326B">
        <w:rPr>
          <w:rFonts w:cs="Arial"/>
        </w:rPr>
        <w:t xml:space="preserve">et connaissent une augmentation de </w:t>
      </w:r>
      <w:r w:rsidR="00C87295">
        <w:rPr>
          <w:rFonts w:cs="Arial"/>
        </w:rPr>
        <w:t>79,6</w:t>
      </w:r>
      <w:r w:rsidR="00C87295" w:rsidRPr="00C5326B">
        <w:rPr>
          <w:rFonts w:cs="Arial"/>
        </w:rPr>
        <w:t xml:space="preserve"> </w:t>
      </w:r>
      <w:r w:rsidRPr="00C5326B">
        <w:rPr>
          <w:rFonts w:cs="Arial"/>
        </w:rPr>
        <w:t>% par rapport à 201</w:t>
      </w:r>
      <w:r w:rsidR="00C87295">
        <w:rPr>
          <w:rFonts w:cs="Arial"/>
        </w:rPr>
        <w:t>6 et de 144% par rapport à 2015</w:t>
      </w:r>
      <w:r w:rsidRPr="00C5326B">
        <w:rPr>
          <w:rFonts w:cs="Arial"/>
        </w:rPr>
        <w:t xml:space="preserve">. En troisième lieu, </w:t>
      </w:r>
      <w:r w:rsidR="00C87295" w:rsidRPr="00C87295">
        <w:rPr>
          <w:rFonts w:cs="Arial"/>
          <w:b/>
        </w:rPr>
        <w:t>les combustibles minéraux, les lubrifiants et matières apparentées</w:t>
      </w:r>
      <w:r w:rsidR="00C87295" w:rsidRPr="00C87295" w:rsidDel="00C87295">
        <w:rPr>
          <w:rFonts w:cs="Arial"/>
          <w:b/>
        </w:rPr>
        <w:t xml:space="preserve"> </w:t>
      </w:r>
      <w:r w:rsidRPr="00C5326B">
        <w:rPr>
          <w:rFonts w:cs="Arial"/>
        </w:rPr>
        <w:t xml:space="preserve">s’établissent à </w:t>
      </w:r>
      <w:r w:rsidR="00C87295">
        <w:rPr>
          <w:rFonts w:cs="Arial"/>
        </w:rPr>
        <w:t>46</w:t>
      </w:r>
      <w:r w:rsidRPr="00C5326B">
        <w:rPr>
          <w:rFonts w:cs="Arial"/>
        </w:rPr>
        <w:t xml:space="preserve"> M EUR en 201</w:t>
      </w:r>
      <w:r w:rsidR="00C87295">
        <w:rPr>
          <w:rFonts w:cs="Arial"/>
        </w:rPr>
        <w:t>7</w:t>
      </w:r>
      <w:r w:rsidRPr="00C5326B">
        <w:rPr>
          <w:rFonts w:cs="Arial"/>
        </w:rPr>
        <w:t xml:space="preserve">, diminuant de </w:t>
      </w:r>
      <w:r w:rsidR="00C87295">
        <w:rPr>
          <w:rFonts w:cs="Arial"/>
        </w:rPr>
        <w:t>11</w:t>
      </w:r>
      <w:r w:rsidRPr="00C5326B">
        <w:rPr>
          <w:rFonts w:cs="Arial"/>
        </w:rPr>
        <w:t xml:space="preserve">% par rapport </w:t>
      </w:r>
      <w:r w:rsidR="00C87295">
        <w:rPr>
          <w:rFonts w:cs="Arial"/>
        </w:rPr>
        <w:t>à 2016.</w:t>
      </w:r>
    </w:p>
    <w:p w14:paraId="4A1CF27B" w14:textId="3A3476CC" w:rsidR="00A91765" w:rsidRPr="00C5326B" w:rsidRDefault="00A91765" w:rsidP="00870B4B">
      <w:pPr>
        <w:ind w:left="-284"/>
        <w:jc w:val="both"/>
        <w:rPr>
          <w:rFonts w:cs="Arial"/>
        </w:rPr>
      </w:pPr>
      <w:r w:rsidRPr="00C5326B">
        <w:rPr>
          <w:rFonts w:cs="Arial"/>
          <w:b/>
        </w:rPr>
        <w:lastRenderedPageBreak/>
        <w:t xml:space="preserve">Le Monténégro a importé </w:t>
      </w:r>
      <w:r>
        <w:rPr>
          <w:rFonts w:cs="Arial"/>
          <w:b/>
        </w:rPr>
        <w:t>552</w:t>
      </w:r>
      <w:r w:rsidRPr="00C5326B">
        <w:rPr>
          <w:rFonts w:cs="Arial"/>
          <w:b/>
        </w:rPr>
        <w:t xml:space="preserve"> M EUR de biens d’équipement</w:t>
      </w:r>
      <w:r w:rsidR="00F0184D">
        <w:rPr>
          <w:rFonts w:cs="Arial"/>
          <w:b/>
        </w:rPr>
        <w:t xml:space="preserve"> et d</w:t>
      </w:r>
      <w:r w:rsidRPr="00C5326B">
        <w:rPr>
          <w:rFonts w:cs="Arial"/>
          <w:b/>
        </w:rPr>
        <w:t>e matériel de transport en 201</w:t>
      </w:r>
      <w:r>
        <w:rPr>
          <w:rFonts w:cs="Arial"/>
          <w:b/>
        </w:rPr>
        <w:t>7</w:t>
      </w:r>
      <w:r w:rsidRPr="00C5326B">
        <w:rPr>
          <w:rFonts w:cs="Arial"/>
          <w:b/>
        </w:rPr>
        <w:t xml:space="preserve"> </w:t>
      </w:r>
      <w:r>
        <w:rPr>
          <w:rFonts w:cs="Arial"/>
        </w:rPr>
        <w:t>(soit 24</w:t>
      </w:r>
      <w:r w:rsidRPr="00C5326B">
        <w:rPr>
          <w:rFonts w:cs="Arial"/>
        </w:rPr>
        <w:t>% des importat</w:t>
      </w:r>
      <w:r>
        <w:rPr>
          <w:rFonts w:cs="Arial"/>
        </w:rPr>
        <w:t>ions totales), en hausse de 4,7</w:t>
      </w:r>
      <w:r w:rsidRPr="00C5326B">
        <w:rPr>
          <w:rFonts w:cs="Arial"/>
        </w:rPr>
        <w:t xml:space="preserve"> % par rapport à 201</w:t>
      </w:r>
      <w:r>
        <w:rPr>
          <w:rFonts w:cs="Arial"/>
        </w:rPr>
        <w:t>6</w:t>
      </w:r>
      <w:r w:rsidRPr="00C5326B">
        <w:rPr>
          <w:rFonts w:cs="Arial"/>
        </w:rPr>
        <w:t xml:space="preserve">. </w:t>
      </w:r>
      <w:r w:rsidRPr="00C5326B">
        <w:rPr>
          <w:rFonts w:cs="Arial"/>
          <w:b/>
        </w:rPr>
        <w:t xml:space="preserve">Le </w:t>
      </w:r>
      <w:r>
        <w:rPr>
          <w:rFonts w:cs="Arial"/>
          <w:b/>
        </w:rPr>
        <w:t>deuxième</w:t>
      </w:r>
      <w:r w:rsidRPr="00C5326B">
        <w:rPr>
          <w:rFonts w:cs="Arial"/>
          <w:b/>
        </w:rPr>
        <w:t xml:space="preserve"> poste d’importations du pays est celui des produits alimentaires avec </w:t>
      </w:r>
      <w:r>
        <w:rPr>
          <w:rFonts w:cs="Arial"/>
          <w:b/>
        </w:rPr>
        <w:t>426</w:t>
      </w:r>
      <w:r w:rsidRPr="00C5326B">
        <w:rPr>
          <w:rFonts w:cs="Arial"/>
          <w:b/>
        </w:rPr>
        <w:t xml:space="preserve"> M EUR en 201</w:t>
      </w:r>
      <w:r>
        <w:rPr>
          <w:rFonts w:cs="Arial"/>
          <w:b/>
        </w:rPr>
        <w:t>7</w:t>
      </w:r>
      <w:r w:rsidRPr="00C5326B">
        <w:rPr>
          <w:rFonts w:cs="Arial"/>
        </w:rPr>
        <w:t xml:space="preserve"> (soit </w:t>
      </w:r>
      <w:r>
        <w:rPr>
          <w:rFonts w:cs="Arial"/>
        </w:rPr>
        <w:t>18,5</w:t>
      </w:r>
      <w:r w:rsidRPr="00C5326B">
        <w:rPr>
          <w:rFonts w:cs="Arial"/>
        </w:rPr>
        <w:t> % des impor</w:t>
      </w:r>
      <w:r>
        <w:rPr>
          <w:rFonts w:cs="Arial"/>
        </w:rPr>
        <w:t>tations totales), en hausse de 7,2 % par rapport à 2016</w:t>
      </w:r>
      <w:r w:rsidR="00DA46C4">
        <w:rPr>
          <w:rFonts w:cs="Arial"/>
        </w:rPr>
        <w:t>.</w:t>
      </w:r>
      <w:r>
        <w:rPr>
          <w:rFonts w:cs="Arial"/>
        </w:rPr>
        <w:t xml:space="preserve"> </w:t>
      </w:r>
      <w:r w:rsidRPr="00C5326B">
        <w:rPr>
          <w:rFonts w:cs="Arial"/>
          <w:b/>
        </w:rPr>
        <w:t xml:space="preserve">Les produits manufacturés correspondent au </w:t>
      </w:r>
      <w:r>
        <w:rPr>
          <w:rFonts w:cs="Arial"/>
          <w:b/>
        </w:rPr>
        <w:t>troisième</w:t>
      </w:r>
      <w:r w:rsidRPr="00C5326B">
        <w:rPr>
          <w:rFonts w:cs="Arial"/>
          <w:b/>
        </w:rPr>
        <w:t xml:space="preserve"> poste d’importations monténégrines</w:t>
      </w:r>
      <w:r w:rsidRPr="00C5326B">
        <w:rPr>
          <w:rFonts w:cs="Arial"/>
        </w:rPr>
        <w:t xml:space="preserve"> et représentent </w:t>
      </w:r>
      <w:r>
        <w:rPr>
          <w:rFonts w:cs="Arial"/>
        </w:rPr>
        <w:t>409,6</w:t>
      </w:r>
      <w:r w:rsidRPr="00C5326B">
        <w:rPr>
          <w:rFonts w:cs="Arial"/>
        </w:rPr>
        <w:t xml:space="preserve"> M EUR en 201</w:t>
      </w:r>
      <w:r>
        <w:rPr>
          <w:rFonts w:cs="Arial"/>
        </w:rPr>
        <w:t>7 (soit 17,8</w:t>
      </w:r>
      <w:r w:rsidRPr="00C5326B">
        <w:rPr>
          <w:rFonts w:cs="Arial"/>
        </w:rPr>
        <w:t xml:space="preserve">% des importations </w:t>
      </w:r>
      <w:r>
        <w:rPr>
          <w:rFonts w:cs="Arial"/>
        </w:rPr>
        <w:t>totales), en hausse de 1</w:t>
      </w:r>
      <w:r w:rsidRPr="00C5326B">
        <w:rPr>
          <w:rFonts w:cs="Arial"/>
        </w:rPr>
        <w:t>9,</w:t>
      </w:r>
      <w:r>
        <w:rPr>
          <w:rFonts w:cs="Arial"/>
        </w:rPr>
        <w:t>8</w:t>
      </w:r>
      <w:r w:rsidRPr="00C5326B">
        <w:rPr>
          <w:rFonts w:cs="Arial"/>
        </w:rPr>
        <w:t xml:space="preserve"> % par rapport à 201</w:t>
      </w:r>
      <w:r>
        <w:rPr>
          <w:rFonts w:cs="Arial"/>
        </w:rPr>
        <w:t>6</w:t>
      </w:r>
      <w:r w:rsidRPr="00C5326B">
        <w:rPr>
          <w:rFonts w:cs="Arial"/>
        </w:rPr>
        <w:t>.</w:t>
      </w:r>
    </w:p>
    <w:p w14:paraId="4621B8D1" w14:textId="77777777" w:rsidR="00361E56" w:rsidRPr="00C5326B" w:rsidRDefault="00361E56" w:rsidP="00870B4B">
      <w:pPr>
        <w:pStyle w:val="Titre1"/>
        <w:ind w:left="-284"/>
        <w:jc w:val="both"/>
        <w:rPr>
          <w:rFonts w:cs="Arial"/>
          <w:sz w:val="28"/>
        </w:rPr>
      </w:pPr>
      <w:r w:rsidRPr="00C5326B">
        <w:rPr>
          <w:rFonts w:cs="Arial"/>
          <w:sz w:val="28"/>
        </w:rPr>
        <w:t>La Serbie demeure le principal partenaire commercial du Monténégro</w:t>
      </w:r>
    </w:p>
    <w:p w14:paraId="22755EC8" w14:textId="0035977E" w:rsidR="00601238" w:rsidRDefault="00361E56" w:rsidP="00870B4B">
      <w:pPr>
        <w:spacing w:after="120"/>
        <w:ind w:left="-284"/>
        <w:jc w:val="both"/>
        <w:rPr>
          <w:rFonts w:cs="Arial"/>
        </w:rPr>
      </w:pPr>
      <w:r w:rsidRPr="00C5326B">
        <w:rPr>
          <w:rFonts w:cs="Arial"/>
          <w:b/>
        </w:rPr>
        <w:t xml:space="preserve">La Serbie est le premier client du Monténégro avec </w:t>
      </w:r>
      <w:r w:rsidR="00D321B9">
        <w:rPr>
          <w:rFonts w:cs="Arial"/>
          <w:b/>
        </w:rPr>
        <w:t>66</w:t>
      </w:r>
      <w:r w:rsidRPr="00C5326B">
        <w:rPr>
          <w:rFonts w:cs="Arial"/>
          <w:b/>
        </w:rPr>
        <w:t xml:space="preserve"> M EUR d’exportations en 201</w:t>
      </w:r>
      <w:r w:rsidR="00D321B9">
        <w:rPr>
          <w:rFonts w:cs="Arial"/>
          <w:b/>
        </w:rPr>
        <w:t>7</w:t>
      </w:r>
      <w:r w:rsidRPr="00C5326B">
        <w:rPr>
          <w:rFonts w:cs="Arial"/>
          <w:b/>
        </w:rPr>
        <w:t>, soit</w:t>
      </w:r>
      <w:r w:rsidR="00D321B9">
        <w:rPr>
          <w:rFonts w:cs="Arial"/>
          <w:b/>
        </w:rPr>
        <w:t xml:space="preserve"> près d’un cinquième</w:t>
      </w:r>
      <w:r w:rsidRPr="00C5326B">
        <w:rPr>
          <w:rFonts w:cs="Arial"/>
          <w:b/>
        </w:rPr>
        <w:t xml:space="preserve"> des exportations totales du Monténégro.</w:t>
      </w:r>
      <w:r w:rsidRPr="00C5326B">
        <w:rPr>
          <w:rFonts w:cs="Arial"/>
        </w:rPr>
        <w:t xml:space="preserve"> La </w:t>
      </w:r>
      <w:r w:rsidR="00D321B9">
        <w:rPr>
          <w:rFonts w:cs="Arial"/>
        </w:rPr>
        <w:t>Bosnie-Herzégovine</w:t>
      </w:r>
      <w:r w:rsidR="00D321B9" w:rsidRPr="00C5326B">
        <w:rPr>
          <w:rFonts w:cs="Arial"/>
        </w:rPr>
        <w:t xml:space="preserve"> </w:t>
      </w:r>
      <w:r w:rsidRPr="00C5326B">
        <w:rPr>
          <w:rFonts w:cs="Arial"/>
        </w:rPr>
        <w:t xml:space="preserve">prend la deuxième place avec </w:t>
      </w:r>
      <w:r w:rsidR="00D321B9">
        <w:rPr>
          <w:rFonts w:cs="Arial"/>
        </w:rPr>
        <w:t>47</w:t>
      </w:r>
      <w:r w:rsidR="00D321B9" w:rsidRPr="00C5326B">
        <w:rPr>
          <w:rFonts w:cs="Arial"/>
        </w:rPr>
        <w:t xml:space="preserve"> </w:t>
      </w:r>
      <w:r w:rsidRPr="00C5326B">
        <w:rPr>
          <w:rFonts w:cs="Arial"/>
        </w:rPr>
        <w:t xml:space="preserve">M EUR, soit </w:t>
      </w:r>
      <w:r w:rsidR="00D321B9">
        <w:rPr>
          <w:rFonts w:cs="Arial"/>
        </w:rPr>
        <w:t xml:space="preserve">presque deux </w:t>
      </w:r>
      <w:r w:rsidRPr="00C5326B">
        <w:rPr>
          <w:rFonts w:cs="Arial"/>
        </w:rPr>
        <w:t>fois plus qu’en 201</w:t>
      </w:r>
      <w:r w:rsidR="00D321B9">
        <w:rPr>
          <w:rFonts w:cs="Arial"/>
        </w:rPr>
        <w:t>6</w:t>
      </w:r>
      <w:r w:rsidRPr="00C5326B">
        <w:rPr>
          <w:rFonts w:cs="Arial"/>
        </w:rPr>
        <w:t xml:space="preserve">. La </w:t>
      </w:r>
      <w:r w:rsidR="001606D8">
        <w:rPr>
          <w:rFonts w:cs="Arial"/>
        </w:rPr>
        <w:t xml:space="preserve">Hongrie occupe la </w:t>
      </w:r>
      <w:r w:rsidRPr="00C5326B">
        <w:rPr>
          <w:rFonts w:cs="Arial"/>
        </w:rPr>
        <w:t xml:space="preserve">troisième place avec </w:t>
      </w:r>
      <w:r w:rsidR="001606D8">
        <w:rPr>
          <w:rFonts w:cs="Arial"/>
        </w:rPr>
        <w:t>31,7</w:t>
      </w:r>
      <w:r w:rsidRPr="00C5326B">
        <w:rPr>
          <w:rFonts w:cs="Arial"/>
        </w:rPr>
        <w:t xml:space="preserve"> M EUR</w:t>
      </w:r>
      <w:r w:rsidR="001606D8">
        <w:rPr>
          <w:rFonts w:cs="Arial"/>
        </w:rPr>
        <w:t xml:space="preserve">. </w:t>
      </w:r>
      <w:r w:rsidRPr="00C5326B">
        <w:rPr>
          <w:rFonts w:cs="Arial"/>
        </w:rPr>
        <w:t xml:space="preserve">Suivent ensuite le Kosovo et la </w:t>
      </w:r>
      <w:r w:rsidR="00DA46C4">
        <w:rPr>
          <w:rFonts w:cs="Arial"/>
        </w:rPr>
        <w:t>Turquie</w:t>
      </w:r>
      <w:r w:rsidRPr="00C5326B">
        <w:rPr>
          <w:rFonts w:cs="Arial"/>
        </w:rPr>
        <w:t>.</w:t>
      </w:r>
      <w:r w:rsidR="001606D8">
        <w:rPr>
          <w:rFonts w:cs="Arial"/>
        </w:rPr>
        <w:t xml:space="preserve"> </w:t>
      </w:r>
    </w:p>
    <w:p w14:paraId="48E29ED2" w14:textId="230168AF" w:rsidR="00601238" w:rsidRDefault="00601238" w:rsidP="00217DC0">
      <w:pPr>
        <w:spacing w:after="120"/>
        <w:ind w:left="-284"/>
        <w:jc w:val="both"/>
        <w:rPr>
          <w:rFonts w:cs="Arial"/>
        </w:rPr>
      </w:pPr>
      <w:r w:rsidRPr="00C5326B">
        <w:rPr>
          <w:rFonts w:cs="Arial"/>
          <w:b/>
        </w:rPr>
        <w:t>La Serbie est aussi le premier fournisseur du Monténégro</w:t>
      </w:r>
      <w:r w:rsidRPr="00C5326B">
        <w:rPr>
          <w:rFonts w:cs="Arial"/>
        </w:rPr>
        <w:t xml:space="preserve">, le Monténégro importe de ce pays </w:t>
      </w:r>
      <w:r>
        <w:rPr>
          <w:rFonts w:cs="Arial"/>
        </w:rPr>
        <w:t>496</w:t>
      </w:r>
      <w:r w:rsidRPr="00C5326B">
        <w:rPr>
          <w:rFonts w:cs="Arial"/>
        </w:rPr>
        <w:t xml:space="preserve"> M EUR en 201</w:t>
      </w:r>
      <w:r>
        <w:rPr>
          <w:rFonts w:cs="Arial"/>
        </w:rPr>
        <w:t>7</w:t>
      </w:r>
      <w:r w:rsidRPr="00C5326B">
        <w:rPr>
          <w:rFonts w:cs="Arial"/>
        </w:rPr>
        <w:t xml:space="preserve"> (représentant 2</w:t>
      </w:r>
      <w:r>
        <w:rPr>
          <w:rFonts w:cs="Arial"/>
        </w:rPr>
        <w:t>1,5</w:t>
      </w:r>
      <w:r w:rsidRPr="00C5326B">
        <w:rPr>
          <w:rFonts w:cs="Arial"/>
        </w:rPr>
        <w:t xml:space="preserve"> % des importations totales). </w:t>
      </w:r>
      <w:r>
        <w:rPr>
          <w:rFonts w:cs="Arial"/>
        </w:rPr>
        <w:t>La Chine devient le deuxième fournisseur de Monténégro avec 221</w:t>
      </w:r>
      <w:r w:rsidR="00DA46C4">
        <w:rPr>
          <w:rFonts w:cs="Arial"/>
        </w:rPr>
        <w:t xml:space="preserve"> </w:t>
      </w:r>
      <w:r>
        <w:rPr>
          <w:rFonts w:cs="Arial"/>
        </w:rPr>
        <w:t xml:space="preserve">M EUR, soit une augmentation de 19,6% par rapport à 2016. Cela est principalement dû aux investissements des entreprises chinoises pour la construction de l’autoroute Bar-Boljare. L’Allemagne est le troisième fournisseur du Monténégro avec 196 M EUR. </w:t>
      </w:r>
    </w:p>
    <w:p w14:paraId="736B0CBF" w14:textId="49679A04" w:rsidR="0044747B" w:rsidRDefault="006131ED" w:rsidP="00870B4B">
      <w:pPr>
        <w:spacing w:after="240"/>
        <w:ind w:left="-284"/>
        <w:jc w:val="both"/>
        <w:rPr>
          <w:rFonts w:cs="Arial"/>
        </w:rPr>
      </w:pPr>
      <w:r>
        <w:rPr>
          <w:rFonts w:cs="Arial"/>
        </w:rPr>
        <w:t xml:space="preserve">L’Union européenne représente 45,6% des échanges du Monténégro, tandis que les pays du CEFTA en représentent 32,5%. </w:t>
      </w:r>
    </w:p>
    <w:p w14:paraId="4621B8D4" w14:textId="080525B1" w:rsidR="00361E56" w:rsidRPr="00C5326B" w:rsidRDefault="00361E56" w:rsidP="00870B4B">
      <w:pPr>
        <w:ind w:left="-284"/>
        <w:jc w:val="both"/>
        <w:rPr>
          <w:rFonts w:cs="Arial"/>
          <w:i/>
          <w:iCs/>
        </w:rPr>
      </w:pPr>
      <w:r w:rsidRPr="00C5326B">
        <w:rPr>
          <w:rFonts w:cs="Arial"/>
          <w:i/>
          <w:iCs/>
        </w:rPr>
        <w:t xml:space="preserve">L’aggravation du déficit commercial du Monténégro prête un risque pour la stabilité macroéconomique du pays. La base productive du Monténégro est très étroite et a besoin d’être élargie afin de diversifier et d’augmenter les exportations. Les exportations de produits bruts </w:t>
      </w:r>
      <w:r w:rsidR="007F1CBE">
        <w:rPr>
          <w:rFonts w:cs="Arial"/>
          <w:i/>
          <w:iCs/>
        </w:rPr>
        <w:t xml:space="preserve">et de produits manufacturés sont les deux principaux soutiens </w:t>
      </w:r>
      <w:r w:rsidRPr="00C5326B">
        <w:rPr>
          <w:rFonts w:cs="Arial"/>
          <w:i/>
          <w:iCs/>
        </w:rPr>
        <w:t>du commerce extérieur</w:t>
      </w:r>
      <w:r w:rsidR="00253403">
        <w:rPr>
          <w:rFonts w:cs="Arial"/>
          <w:i/>
          <w:iCs/>
        </w:rPr>
        <w:t xml:space="preserve">. Cependant, les exportations de produits manufacturés restent trop faibles pour conclure à un renouveau de l’industrie de transformation du pays. </w:t>
      </w:r>
      <w:r w:rsidRPr="00C5326B">
        <w:rPr>
          <w:rFonts w:cs="Arial"/>
          <w:i/>
          <w:iCs/>
        </w:rPr>
        <w:t>Le pays n’a pas la maîtrise du change, puisqu’il a adopté unilatéralement l’euro en 2002.</w:t>
      </w:r>
    </w:p>
    <w:p w14:paraId="4621B8D5" w14:textId="77777777" w:rsidR="00361E56" w:rsidRPr="00C5326B" w:rsidRDefault="00361E56" w:rsidP="00361E56">
      <w:pPr>
        <w:spacing w:line="240" w:lineRule="auto"/>
        <w:ind w:right="261"/>
        <w:jc w:val="both"/>
        <w:rPr>
          <w:rFonts w:cs="Arial"/>
        </w:rPr>
      </w:pPr>
    </w:p>
    <w:p w14:paraId="4621B8D6" w14:textId="77777777" w:rsidR="000F0B51" w:rsidRPr="00C5326B" w:rsidRDefault="000F0B51" w:rsidP="00D64488">
      <w:pPr>
        <w:spacing w:before="120" w:after="0"/>
        <w:jc w:val="both"/>
        <w:rPr>
          <w:rFonts w:cs="Arial"/>
        </w:rPr>
      </w:pPr>
    </w:p>
    <w:p w14:paraId="4621B8D7" w14:textId="77777777" w:rsidR="000F0B51" w:rsidRDefault="000F0B51" w:rsidP="00D64488">
      <w:pPr>
        <w:spacing w:before="120" w:after="0"/>
        <w:jc w:val="both"/>
        <w:rPr>
          <w:rFonts w:cs="Arial"/>
        </w:rPr>
      </w:pPr>
    </w:p>
    <w:p w14:paraId="4883A1A3" w14:textId="77777777" w:rsidR="00DA46C4" w:rsidRDefault="00DA46C4" w:rsidP="00D64488">
      <w:pPr>
        <w:spacing w:before="120" w:after="0"/>
        <w:jc w:val="both"/>
        <w:rPr>
          <w:rFonts w:cs="Arial"/>
        </w:rPr>
      </w:pPr>
    </w:p>
    <w:p w14:paraId="7CDCB5BD" w14:textId="77777777" w:rsidR="00DA46C4" w:rsidRDefault="00DA46C4" w:rsidP="00D64488">
      <w:pPr>
        <w:spacing w:before="120" w:after="0"/>
        <w:jc w:val="both"/>
        <w:rPr>
          <w:rFonts w:cs="Arial"/>
        </w:rPr>
      </w:pPr>
    </w:p>
    <w:p w14:paraId="3A351776" w14:textId="77777777" w:rsidR="00DA46C4" w:rsidRDefault="00DA46C4" w:rsidP="00D64488">
      <w:pPr>
        <w:spacing w:before="120" w:after="0"/>
        <w:jc w:val="both"/>
        <w:rPr>
          <w:rFonts w:cs="Arial"/>
        </w:rPr>
      </w:pPr>
    </w:p>
    <w:p w14:paraId="21D1D0D4" w14:textId="77777777" w:rsidR="00DA46C4" w:rsidRDefault="00DA46C4" w:rsidP="00D64488">
      <w:pPr>
        <w:spacing w:before="120" w:after="0"/>
        <w:jc w:val="both"/>
        <w:rPr>
          <w:rFonts w:cs="Arial"/>
        </w:rPr>
      </w:pPr>
    </w:p>
    <w:p w14:paraId="09450905" w14:textId="77777777" w:rsidR="00DA46C4" w:rsidRDefault="00DA46C4" w:rsidP="00D64488">
      <w:pPr>
        <w:spacing w:before="120" w:after="0"/>
        <w:jc w:val="both"/>
        <w:rPr>
          <w:rFonts w:cs="Arial"/>
        </w:rPr>
      </w:pPr>
    </w:p>
    <w:p w14:paraId="3877BA8A" w14:textId="77777777" w:rsidR="00DA46C4" w:rsidRDefault="00DA46C4" w:rsidP="00D64488">
      <w:pPr>
        <w:spacing w:before="120" w:after="0"/>
        <w:jc w:val="both"/>
        <w:rPr>
          <w:rFonts w:cs="Arial"/>
        </w:rPr>
      </w:pPr>
    </w:p>
    <w:p w14:paraId="260697EE" w14:textId="77777777" w:rsidR="00AE1A49" w:rsidRDefault="00AE1A49" w:rsidP="00D64488">
      <w:pPr>
        <w:spacing w:before="120" w:after="0"/>
        <w:jc w:val="both"/>
        <w:rPr>
          <w:rFonts w:cs="Arial"/>
        </w:rPr>
      </w:pPr>
    </w:p>
    <w:p w14:paraId="65FF4659" w14:textId="77777777" w:rsidR="00AE1A49" w:rsidRDefault="00AE1A49" w:rsidP="00D64488">
      <w:pPr>
        <w:spacing w:before="120" w:after="0"/>
        <w:jc w:val="both"/>
        <w:rPr>
          <w:rFonts w:cs="Arial"/>
        </w:rPr>
      </w:pPr>
    </w:p>
    <w:p w14:paraId="0D3AA9B7" w14:textId="77777777" w:rsidR="00AE1A49" w:rsidRDefault="00AE1A49" w:rsidP="00D64488">
      <w:pPr>
        <w:spacing w:before="120" w:after="0"/>
        <w:jc w:val="both"/>
        <w:rPr>
          <w:rFonts w:cs="Arial"/>
        </w:rPr>
      </w:pPr>
    </w:p>
    <w:p w14:paraId="1E8D7BBE" w14:textId="77777777" w:rsidR="00AE1A49" w:rsidRDefault="00AE1A49" w:rsidP="00D64488">
      <w:pPr>
        <w:spacing w:before="120" w:after="0"/>
        <w:jc w:val="both"/>
        <w:rPr>
          <w:rFonts w:cs="Arial"/>
        </w:rPr>
      </w:pPr>
    </w:p>
    <w:p w14:paraId="4E10F1AF" w14:textId="77777777" w:rsidR="00AE1A49" w:rsidRDefault="00AE1A49" w:rsidP="00D64488">
      <w:pPr>
        <w:spacing w:before="120" w:after="0"/>
        <w:jc w:val="both"/>
        <w:rPr>
          <w:rFonts w:cs="Arial"/>
        </w:rPr>
      </w:pPr>
    </w:p>
    <w:p w14:paraId="643C2309" w14:textId="77777777" w:rsidR="00DA46C4" w:rsidRDefault="00DA46C4" w:rsidP="00D64488">
      <w:pPr>
        <w:spacing w:before="120" w:after="0"/>
        <w:jc w:val="both"/>
        <w:rPr>
          <w:rFonts w:cs="Arial"/>
        </w:rPr>
      </w:pPr>
    </w:p>
    <w:p w14:paraId="7219077A" w14:textId="77777777" w:rsidR="00DA46C4" w:rsidRDefault="00DA46C4" w:rsidP="00D64488">
      <w:pPr>
        <w:spacing w:before="120" w:after="0"/>
        <w:jc w:val="both"/>
        <w:rPr>
          <w:rFonts w:cs="Arial"/>
        </w:rPr>
      </w:pPr>
    </w:p>
    <w:p w14:paraId="4540D326" w14:textId="77777777" w:rsidR="00DA46C4" w:rsidRDefault="00DA46C4" w:rsidP="00D64488">
      <w:pPr>
        <w:spacing w:before="120" w:after="0"/>
        <w:jc w:val="both"/>
        <w:rPr>
          <w:rFonts w:cs="Arial"/>
        </w:rPr>
      </w:pPr>
    </w:p>
    <w:p w14:paraId="4621B8EA" w14:textId="77777777" w:rsidR="00822976" w:rsidRDefault="00822976" w:rsidP="00822976">
      <w:pPr>
        <w:spacing w:line="240" w:lineRule="auto"/>
        <w:jc w:val="center"/>
        <w:rPr>
          <w:rFonts w:cs="Arial"/>
          <w:b/>
          <w:iCs/>
        </w:rPr>
      </w:pPr>
      <w:r w:rsidRPr="00C5326B">
        <w:rPr>
          <w:rFonts w:cs="Arial"/>
          <w:b/>
          <w:iCs/>
        </w:rPr>
        <w:lastRenderedPageBreak/>
        <w:t>ANNEXES</w:t>
      </w:r>
    </w:p>
    <w:p w14:paraId="4621B8ED" w14:textId="5EE5443A" w:rsidR="00822976" w:rsidRDefault="00822976" w:rsidP="00822976">
      <w:pPr>
        <w:ind w:right="57"/>
        <w:rPr>
          <w:rFonts w:cs="Arial"/>
          <w:b/>
          <w:iCs/>
        </w:rPr>
      </w:pPr>
      <w:r w:rsidRPr="0031266C">
        <w:rPr>
          <w:rFonts w:cs="Arial"/>
          <w:b/>
          <w:iCs/>
        </w:rPr>
        <w:t>Les échanges extérieurs du Monténégro de 2006 à 201</w:t>
      </w:r>
      <w:r w:rsidR="00401529">
        <w:rPr>
          <w:rFonts w:cs="Arial"/>
          <w:b/>
          <w:iCs/>
        </w:rPr>
        <w:t>7</w:t>
      </w:r>
      <w:r w:rsidRPr="0031266C">
        <w:rPr>
          <w:rFonts w:cs="Arial"/>
          <w:b/>
          <w:iCs/>
        </w:rPr>
        <w:t xml:space="preserve"> en Md EUR</w:t>
      </w:r>
    </w:p>
    <w:tbl>
      <w:tblPr>
        <w:tblW w:w="10694" w:type="dxa"/>
        <w:tblInd w:w="-735" w:type="dxa"/>
        <w:tblCellMar>
          <w:left w:w="70" w:type="dxa"/>
          <w:right w:w="70" w:type="dxa"/>
        </w:tblCellMar>
        <w:tblLook w:val="04A0" w:firstRow="1" w:lastRow="0" w:firstColumn="1" w:lastColumn="0" w:noHBand="0" w:noVBand="1"/>
      </w:tblPr>
      <w:tblGrid>
        <w:gridCol w:w="1444"/>
        <w:gridCol w:w="619"/>
        <w:gridCol w:w="619"/>
        <w:gridCol w:w="619"/>
        <w:gridCol w:w="619"/>
        <w:gridCol w:w="619"/>
        <w:gridCol w:w="731"/>
        <w:gridCol w:w="731"/>
        <w:gridCol w:w="731"/>
        <w:gridCol w:w="731"/>
        <w:gridCol w:w="731"/>
        <w:gridCol w:w="731"/>
        <w:gridCol w:w="619"/>
        <w:gridCol w:w="1150"/>
      </w:tblGrid>
      <w:tr w:rsidR="00401529" w:rsidRPr="00401529" w14:paraId="2EF6A515" w14:textId="77777777" w:rsidTr="00431635">
        <w:trPr>
          <w:trHeight w:val="346"/>
        </w:trPr>
        <w:tc>
          <w:tcPr>
            <w:tcW w:w="1444" w:type="dxa"/>
            <w:tcBorders>
              <w:top w:val="single" w:sz="8" w:space="0" w:color="auto"/>
              <w:left w:val="single" w:sz="8" w:space="0" w:color="auto"/>
              <w:bottom w:val="single" w:sz="8" w:space="0" w:color="auto"/>
              <w:right w:val="nil"/>
            </w:tcBorders>
            <w:shd w:val="clear" w:color="000000" w:fill="000000"/>
            <w:vAlign w:val="center"/>
            <w:hideMark/>
          </w:tcPr>
          <w:p w14:paraId="6C2CB32D" w14:textId="77777777" w:rsidR="00401529" w:rsidRPr="00401529" w:rsidRDefault="00401529" w:rsidP="00401529">
            <w:pPr>
              <w:spacing w:after="0" w:line="240" w:lineRule="auto"/>
              <w:jc w:val="center"/>
              <w:rPr>
                <w:rFonts w:eastAsia="Times New Roman" w:cs="Arial"/>
                <w:color w:val="FFFFFF"/>
                <w:szCs w:val="20"/>
                <w:lang w:eastAsia="fr-FR"/>
              </w:rPr>
            </w:pPr>
            <w:r w:rsidRPr="00401529">
              <w:rPr>
                <w:rFonts w:eastAsia="Times New Roman" w:cs="Arial"/>
                <w:color w:val="FFFFFF"/>
                <w:szCs w:val="20"/>
                <w:lang w:eastAsia="fr-FR"/>
              </w:rPr>
              <w:t> </w:t>
            </w:r>
          </w:p>
        </w:tc>
        <w:tc>
          <w:tcPr>
            <w:tcW w:w="619" w:type="dxa"/>
            <w:tcBorders>
              <w:top w:val="single" w:sz="8" w:space="0" w:color="auto"/>
              <w:left w:val="nil"/>
              <w:bottom w:val="single" w:sz="8" w:space="0" w:color="auto"/>
              <w:right w:val="nil"/>
            </w:tcBorders>
            <w:shd w:val="clear" w:color="000000" w:fill="000000"/>
            <w:vAlign w:val="center"/>
            <w:hideMark/>
          </w:tcPr>
          <w:p w14:paraId="09E2C268"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2006</w:t>
            </w:r>
          </w:p>
        </w:tc>
        <w:tc>
          <w:tcPr>
            <w:tcW w:w="619" w:type="dxa"/>
            <w:tcBorders>
              <w:top w:val="single" w:sz="8" w:space="0" w:color="auto"/>
              <w:left w:val="nil"/>
              <w:bottom w:val="single" w:sz="8" w:space="0" w:color="auto"/>
              <w:right w:val="nil"/>
            </w:tcBorders>
            <w:shd w:val="clear" w:color="000000" w:fill="000000"/>
            <w:vAlign w:val="center"/>
            <w:hideMark/>
          </w:tcPr>
          <w:p w14:paraId="5B48C966"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2007</w:t>
            </w:r>
          </w:p>
        </w:tc>
        <w:tc>
          <w:tcPr>
            <w:tcW w:w="619" w:type="dxa"/>
            <w:tcBorders>
              <w:top w:val="single" w:sz="8" w:space="0" w:color="auto"/>
              <w:left w:val="nil"/>
              <w:bottom w:val="single" w:sz="8" w:space="0" w:color="auto"/>
              <w:right w:val="nil"/>
            </w:tcBorders>
            <w:shd w:val="clear" w:color="000000" w:fill="000000"/>
            <w:vAlign w:val="center"/>
            <w:hideMark/>
          </w:tcPr>
          <w:p w14:paraId="1263420C"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2008</w:t>
            </w:r>
          </w:p>
        </w:tc>
        <w:tc>
          <w:tcPr>
            <w:tcW w:w="619" w:type="dxa"/>
            <w:tcBorders>
              <w:top w:val="single" w:sz="8" w:space="0" w:color="auto"/>
              <w:left w:val="nil"/>
              <w:bottom w:val="single" w:sz="8" w:space="0" w:color="auto"/>
              <w:right w:val="nil"/>
            </w:tcBorders>
            <w:shd w:val="clear" w:color="000000" w:fill="000000"/>
            <w:vAlign w:val="center"/>
            <w:hideMark/>
          </w:tcPr>
          <w:p w14:paraId="04E980BC"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2009</w:t>
            </w:r>
          </w:p>
        </w:tc>
        <w:tc>
          <w:tcPr>
            <w:tcW w:w="619" w:type="dxa"/>
            <w:tcBorders>
              <w:top w:val="single" w:sz="8" w:space="0" w:color="auto"/>
              <w:left w:val="nil"/>
              <w:bottom w:val="single" w:sz="8" w:space="0" w:color="auto"/>
              <w:right w:val="nil"/>
            </w:tcBorders>
            <w:shd w:val="clear" w:color="000000" w:fill="000000"/>
            <w:vAlign w:val="center"/>
            <w:hideMark/>
          </w:tcPr>
          <w:p w14:paraId="0CFC4C85"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2010</w:t>
            </w:r>
          </w:p>
        </w:tc>
        <w:tc>
          <w:tcPr>
            <w:tcW w:w="731" w:type="dxa"/>
            <w:tcBorders>
              <w:top w:val="single" w:sz="8" w:space="0" w:color="auto"/>
              <w:left w:val="nil"/>
              <w:bottom w:val="single" w:sz="8" w:space="0" w:color="auto"/>
              <w:right w:val="nil"/>
            </w:tcBorders>
            <w:shd w:val="clear" w:color="000000" w:fill="000000"/>
            <w:vAlign w:val="center"/>
            <w:hideMark/>
          </w:tcPr>
          <w:p w14:paraId="461041D7"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2011</w:t>
            </w:r>
          </w:p>
        </w:tc>
        <w:tc>
          <w:tcPr>
            <w:tcW w:w="731" w:type="dxa"/>
            <w:tcBorders>
              <w:top w:val="single" w:sz="8" w:space="0" w:color="auto"/>
              <w:left w:val="nil"/>
              <w:bottom w:val="single" w:sz="8" w:space="0" w:color="auto"/>
              <w:right w:val="nil"/>
            </w:tcBorders>
            <w:shd w:val="clear" w:color="000000" w:fill="000000"/>
            <w:vAlign w:val="center"/>
            <w:hideMark/>
          </w:tcPr>
          <w:p w14:paraId="78BA9F6E"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2012</w:t>
            </w:r>
          </w:p>
        </w:tc>
        <w:tc>
          <w:tcPr>
            <w:tcW w:w="731" w:type="dxa"/>
            <w:tcBorders>
              <w:top w:val="single" w:sz="8" w:space="0" w:color="auto"/>
              <w:left w:val="nil"/>
              <w:bottom w:val="single" w:sz="8" w:space="0" w:color="auto"/>
              <w:right w:val="nil"/>
            </w:tcBorders>
            <w:shd w:val="clear" w:color="000000" w:fill="000000"/>
            <w:vAlign w:val="center"/>
            <w:hideMark/>
          </w:tcPr>
          <w:p w14:paraId="2A83465C"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2013</w:t>
            </w:r>
          </w:p>
        </w:tc>
        <w:tc>
          <w:tcPr>
            <w:tcW w:w="731" w:type="dxa"/>
            <w:tcBorders>
              <w:top w:val="single" w:sz="8" w:space="0" w:color="auto"/>
              <w:left w:val="nil"/>
              <w:bottom w:val="single" w:sz="8" w:space="0" w:color="auto"/>
              <w:right w:val="nil"/>
            </w:tcBorders>
            <w:shd w:val="clear" w:color="000000" w:fill="000000"/>
            <w:vAlign w:val="center"/>
            <w:hideMark/>
          </w:tcPr>
          <w:p w14:paraId="092EF398"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2014</w:t>
            </w:r>
          </w:p>
        </w:tc>
        <w:tc>
          <w:tcPr>
            <w:tcW w:w="731" w:type="dxa"/>
            <w:tcBorders>
              <w:top w:val="single" w:sz="8" w:space="0" w:color="auto"/>
              <w:left w:val="nil"/>
              <w:bottom w:val="single" w:sz="8" w:space="0" w:color="auto"/>
              <w:right w:val="nil"/>
            </w:tcBorders>
            <w:shd w:val="clear" w:color="000000" w:fill="000000"/>
            <w:vAlign w:val="center"/>
            <w:hideMark/>
          </w:tcPr>
          <w:p w14:paraId="6943BC39"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2015</w:t>
            </w:r>
          </w:p>
        </w:tc>
        <w:tc>
          <w:tcPr>
            <w:tcW w:w="731" w:type="dxa"/>
            <w:tcBorders>
              <w:top w:val="single" w:sz="8" w:space="0" w:color="auto"/>
              <w:left w:val="nil"/>
              <w:bottom w:val="single" w:sz="8" w:space="0" w:color="auto"/>
              <w:right w:val="nil"/>
            </w:tcBorders>
            <w:shd w:val="clear" w:color="000000" w:fill="000000"/>
            <w:vAlign w:val="center"/>
            <w:hideMark/>
          </w:tcPr>
          <w:p w14:paraId="6698C4C6"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2016</w:t>
            </w:r>
          </w:p>
        </w:tc>
        <w:tc>
          <w:tcPr>
            <w:tcW w:w="619" w:type="dxa"/>
            <w:tcBorders>
              <w:top w:val="single" w:sz="8" w:space="0" w:color="auto"/>
              <w:left w:val="nil"/>
              <w:bottom w:val="single" w:sz="8" w:space="0" w:color="auto"/>
              <w:right w:val="nil"/>
            </w:tcBorders>
            <w:shd w:val="clear" w:color="000000" w:fill="000000"/>
            <w:vAlign w:val="center"/>
            <w:hideMark/>
          </w:tcPr>
          <w:p w14:paraId="0DC1D99E"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2017</w:t>
            </w:r>
          </w:p>
        </w:tc>
        <w:tc>
          <w:tcPr>
            <w:tcW w:w="1150" w:type="dxa"/>
            <w:tcBorders>
              <w:top w:val="single" w:sz="8" w:space="0" w:color="auto"/>
              <w:left w:val="nil"/>
              <w:bottom w:val="single" w:sz="8" w:space="0" w:color="auto"/>
              <w:right w:val="single" w:sz="8" w:space="0" w:color="auto"/>
            </w:tcBorders>
            <w:shd w:val="clear" w:color="000000" w:fill="000000"/>
            <w:vAlign w:val="center"/>
            <w:hideMark/>
          </w:tcPr>
          <w:p w14:paraId="60C63546" w14:textId="77777777" w:rsidR="00401529" w:rsidRPr="00401529" w:rsidRDefault="00401529" w:rsidP="00401529">
            <w:pPr>
              <w:spacing w:after="0" w:line="240" w:lineRule="auto"/>
              <w:jc w:val="center"/>
              <w:rPr>
                <w:rFonts w:eastAsia="Times New Roman" w:cs="Arial"/>
                <w:b/>
                <w:color w:val="FFFFFF"/>
                <w:szCs w:val="20"/>
                <w:lang w:eastAsia="fr-FR"/>
              </w:rPr>
            </w:pPr>
            <w:r w:rsidRPr="00401529">
              <w:rPr>
                <w:rFonts w:eastAsia="Times New Roman" w:cs="Arial"/>
                <w:b/>
                <w:color w:val="FFFFFF"/>
                <w:szCs w:val="20"/>
                <w:lang w:eastAsia="fr-FR"/>
              </w:rPr>
              <w:t>2017/2016</w:t>
            </w:r>
          </w:p>
        </w:tc>
      </w:tr>
      <w:tr w:rsidR="00401529" w:rsidRPr="00401529" w14:paraId="3481A8E1" w14:textId="77777777" w:rsidTr="00431635">
        <w:trPr>
          <w:trHeight w:val="577"/>
        </w:trPr>
        <w:tc>
          <w:tcPr>
            <w:tcW w:w="1444" w:type="dxa"/>
            <w:tcBorders>
              <w:top w:val="nil"/>
              <w:left w:val="single" w:sz="8" w:space="0" w:color="auto"/>
              <w:bottom w:val="single" w:sz="8" w:space="0" w:color="auto"/>
              <w:right w:val="nil"/>
            </w:tcBorders>
            <w:shd w:val="clear" w:color="000000" w:fill="FFFFFF"/>
            <w:vAlign w:val="center"/>
            <w:hideMark/>
          </w:tcPr>
          <w:p w14:paraId="4727EAA0" w14:textId="77777777" w:rsidR="00401529" w:rsidRPr="00401529" w:rsidRDefault="00401529" w:rsidP="00401529">
            <w:pPr>
              <w:spacing w:after="0" w:line="240" w:lineRule="auto"/>
              <w:jc w:val="center"/>
              <w:rPr>
                <w:rFonts w:eastAsia="Times New Roman" w:cs="Arial"/>
                <w:b/>
                <w:bCs/>
                <w:color w:val="000000"/>
                <w:szCs w:val="20"/>
                <w:lang w:eastAsia="fr-FR"/>
              </w:rPr>
            </w:pPr>
            <w:r w:rsidRPr="00401529">
              <w:rPr>
                <w:rFonts w:eastAsia="Times New Roman" w:cs="Arial"/>
                <w:b/>
                <w:bCs/>
                <w:color w:val="000000"/>
                <w:szCs w:val="20"/>
                <w:lang w:eastAsia="fr-FR"/>
              </w:rPr>
              <w:t>Importations</w:t>
            </w:r>
          </w:p>
        </w:tc>
        <w:tc>
          <w:tcPr>
            <w:tcW w:w="619" w:type="dxa"/>
            <w:tcBorders>
              <w:top w:val="nil"/>
              <w:left w:val="nil"/>
              <w:bottom w:val="single" w:sz="8" w:space="0" w:color="auto"/>
              <w:right w:val="nil"/>
            </w:tcBorders>
            <w:shd w:val="clear" w:color="000000" w:fill="FFFFFF"/>
            <w:vAlign w:val="center"/>
            <w:hideMark/>
          </w:tcPr>
          <w:p w14:paraId="6160C75A"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1,46</w:t>
            </w:r>
          </w:p>
        </w:tc>
        <w:tc>
          <w:tcPr>
            <w:tcW w:w="619" w:type="dxa"/>
            <w:tcBorders>
              <w:top w:val="nil"/>
              <w:left w:val="nil"/>
              <w:bottom w:val="single" w:sz="8" w:space="0" w:color="auto"/>
              <w:right w:val="nil"/>
            </w:tcBorders>
            <w:shd w:val="clear" w:color="000000" w:fill="FFFFFF"/>
            <w:vAlign w:val="center"/>
            <w:hideMark/>
          </w:tcPr>
          <w:p w14:paraId="58CCAF9F"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2,07</w:t>
            </w:r>
          </w:p>
        </w:tc>
        <w:tc>
          <w:tcPr>
            <w:tcW w:w="619" w:type="dxa"/>
            <w:tcBorders>
              <w:top w:val="nil"/>
              <w:left w:val="nil"/>
              <w:bottom w:val="single" w:sz="8" w:space="0" w:color="auto"/>
              <w:right w:val="nil"/>
            </w:tcBorders>
            <w:shd w:val="clear" w:color="000000" w:fill="FFFFFF"/>
            <w:vAlign w:val="center"/>
            <w:hideMark/>
          </w:tcPr>
          <w:p w14:paraId="3F7A3E21"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2,53</w:t>
            </w:r>
          </w:p>
        </w:tc>
        <w:tc>
          <w:tcPr>
            <w:tcW w:w="619" w:type="dxa"/>
            <w:tcBorders>
              <w:top w:val="nil"/>
              <w:left w:val="nil"/>
              <w:bottom w:val="single" w:sz="8" w:space="0" w:color="auto"/>
              <w:right w:val="nil"/>
            </w:tcBorders>
            <w:shd w:val="clear" w:color="000000" w:fill="FFFFFF"/>
            <w:vAlign w:val="center"/>
            <w:hideMark/>
          </w:tcPr>
          <w:p w14:paraId="4FAE49E2"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1,65</w:t>
            </w:r>
          </w:p>
        </w:tc>
        <w:tc>
          <w:tcPr>
            <w:tcW w:w="619" w:type="dxa"/>
            <w:tcBorders>
              <w:top w:val="nil"/>
              <w:left w:val="nil"/>
              <w:bottom w:val="single" w:sz="8" w:space="0" w:color="auto"/>
              <w:right w:val="nil"/>
            </w:tcBorders>
            <w:shd w:val="clear" w:color="000000" w:fill="FFFFFF"/>
            <w:vAlign w:val="center"/>
            <w:hideMark/>
          </w:tcPr>
          <w:p w14:paraId="6C555165"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1,66</w:t>
            </w:r>
          </w:p>
        </w:tc>
        <w:tc>
          <w:tcPr>
            <w:tcW w:w="731" w:type="dxa"/>
            <w:tcBorders>
              <w:top w:val="nil"/>
              <w:left w:val="nil"/>
              <w:bottom w:val="single" w:sz="8" w:space="0" w:color="auto"/>
              <w:right w:val="nil"/>
            </w:tcBorders>
            <w:shd w:val="clear" w:color="000000" w:fill="FFFFFF"/>
            <w:noWrap/>
            <w:vAlign w:val="center"/>
            <w:hideMark/>
          </w:tcPr>
          <w:p w14:paraId="202077EB"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1,82</w:t>
            </w:r>
          </w:p>
        </w:tc>
        <w:tc>
          <w:tcPr>
            <w:tcW w:w="731" w:type="dxa"/>
            <w:tcBorders>
              <w:top w:val="nil"/>
              <w:left w:val="nil"/>
              <w:bottom w:val="single" w:sz="8" w:space="0" w:color="auto"/>
              <w:right w:val="nil"/>
            </w:tcBorders>
            <w:shd w:val="clear" w:color="000000" w:fill="FFFFFF"/>
            <w:noWrap/>
            <w:vAlign w:val="center"/>
            <w:hideMark/>
          </w:tcPr>
          <w:p w14:paraId="18A53F53"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1,82</w:t>
            </w:r>
          </w:p>
        </w:tc>
        <w:tc>
          <w:tcPr>
            <w:tcW w:w="731" w:type="dxa"/>
            <w:tcBorders>
              <w:top w:val="nil"/>
              <w:left w:val="nil"/>
              <w:bottom w:val="single" w:sz="8" w:space="0" w:color="auto"/>
              <w:right w:val="nil"/>
            </w:tcBorders>
            <w:shd w:val="clear" w:color="000000" w:fill="FFFFFF"/>
            <w:noWrap/>
            <w:vAlign w:val="center"/>
            <w:hideMark/>
          </w:tcPr>
          <w:p w14:paraId="167B1B89"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1,77</w:t>
            </w:r>
          </w:p>
        </w:tc>
        <w:tc>
          <w:tcPr>
            <w:tcW w:w="731" w:type="dxa"/>
            <w:tcBorders>
              <w:top w:val="nil"/>
              <w:left w:val="nil"/>
              <w:bottom w:val="single" w:sz="8" w:space="0" w:color="auto"/>
              <w:right w:val="nil"/>
            </w:tcBorders>
            <w:shd w:val="clear" w:color="000000" w:fill="FFFFFF"/>
            <w:noWrap/>
            <w:vAlign w:val="center"/>
            <w:hideMark/>
          </w:tcPr>
          <w:p w14:paraId="0BDC1C15"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1,78</w:t>
            </w:r>
          </w:p>
        </w:tc>
        <w:tc>
          <w:tcPr>
            <w:tcW w:w="731" w:type="dxa"/>
            <w:tcBorders>
              <w:top w:val="nil"/>
              <w:left w:val="nil"/>
              <w:bottom w:val="single" w:sz="8" w:space="0" w:color="auto"/>
              <w:right w:val="nil"/>
            </w:tcBorders>
            <w:shd w:val="clear" w:color="000000" w:fill="FFFFFF"/>
            <w:noWrap/>
            <w:vAlign w:val="center"/>
            <w:hideMark/>
          </w:tcPr>
          <w:p w14:paraId="162E05C8"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1,84</w:t>
            </w:r>
          </w:p>
        </w:tc>
        <w:tc>
          <w:tcPr>
            <w:tcW w:w="731" w:type="dxa"/>
            <w:tcBorders>
              <w:top w:val="nil"/>
              <w:left w:val="nil"/>
              <w:bottom w:val="single" w:sz="8" w:space="0" w:color="auto"/>
              <w:right w:val="nil"/>
            </w:tcBorders>
            <w:shd w:val="clear" w:color="000000" w:fill="FFFFFF"/>
            <w:noWrap/>
            <w:vAlign w:val="center"/>
            <w:hideMark/>
          </w:tcPr>
          <w:p w14:paraId="7EA08D50"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bCs/>
                <w:color w:val="000000"/>
                <w:szCs w:val="20"/>
                <w:lang w:eastAsia="fr-FR"/>
              </w:rPr>
              <w:t>2,06</w:t>
            </w:r>
          </w:p>
        </w:tc>
        <w:tc>
          <w:tcPr>
            <w:tcW w:w="619" w:type="dxa"/>
            <w:tcBorders>
              <w:top w:val="nil"/>
              <w:left w:val="nil"/>
              <w:bottom w:val="single" w:sz="8" w:space="0" w:color="auto"/>
              <w:right w:val="nil"/>
            </w:tcBorders>
            <w:shd w:val="clear" w:color="000000" w:fill="FFFFFF"/>
            <w:vAlign w:val="center"/>
            <w:hideMark/>
          </w:tcPr>
          <w:p w14:paraId="705A3716"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2,30</w:t>
            </w:r>
          </w:p>
        </w:tc>
        <w:tc>
          <w:tcPr>
            <w:tcW w:w="1150" w:type="dxa"/>
            <w:tcBorders>
              <w:top w:val="nil"/>
              <w:left w:val="nil"/>
              <w:bottom w:val="single" w:sz="8" w:space="0" w:color="auto"/>
              <w:right w:val="single" w:sz="8" w:space="0" w:color="auto"/>
            </w:tcBorders>
            <w:shd w:val="clear" w:color="000000" w:fill="FFFFFF"/>
            <w:vAlign w:val="center"/>
            <w:hideMark/>
          </w:tcPr>
          <w:p w14:paraId="50003F1A"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11,82%</w:t>
            </w:r>
          </w:p>
        </w:tc>
      </w:tr>
      <w:tr w:rsidR="00401529" w:rsidRPr="00401529" w14:paraId="7B6C6E69" w14:textId="77777777" w:rsidTr="00431635">
        <w:trPr>
          <w:trHeight w:val="577"/>
        </w:trPr>
        <w:tc>
          <w:tcPr>
            <w:tcW w:w="1444" w:type="dxa"/>
            <w:tcBorders>
              <w:top w:val="nil"/>
              <w:left w:val="single" w:sz="8" w:space="0" w:color="auto"/>
              <w:bottom w:val="single" w:sz="8" w:space="0" w:color="auto"/>
              <w:right w:val="nil"/>
            </w:tcBorders>
            <w:shd w:val="clear" w:color="000000" w:fill="FFFFFF"/>
            <w:vAlign w:val="center"/>
            <w:hideMark/>
          </w:tcPr>
          <w:p w14:paraId="6D3890CF" w14:textId="77777777" w:rsidR="00401529" w:rsidRPr="00401529" w:rsidRDefault="00401529" w:rsidP="00401529">
            <w:pPr>
              <w:spacing w:after="0" w:line="240" w:lineRule="auto"/>
              <w:jc w:val="center"/>
              <w:rPr>
                <w:rFonts w:eastAsia="Times New Roman" w:cs="Arial"/>
                <w:b/>
                <w:bCs/>
                <w:color w:val="000000"/>
                <w:szCs w:val="20"/>
                <w:lang w:eastAsia="fr-FR"/>
              </w:rPr>
            </w:pPr>
            <w:r w:rsidRPr="00401529">
              <w:rPr>
                <w:rFonts w:eastAsia="Times New Roman" w:cs="Arial"/>
                <w:b/>
                <w:bCs/>
                <w:color w:val="000000"/>
                <w:szCs w:val="20"/>
                <w:lang w:eastAsia="fr-FR"/>
              </w:rPr>
              <w:t>Exportations</w:t>
            </w:r>
          </w:p>
        </w:tc>
        <w:tc>
          <w:tcPr>
            <w:tcW w:w="619" w:type="dxa"/>
            <w:tcBorders>
              <w:top w:val="nil"/>
              <w:left w:val="nil"/>
              <w:bottom w:val="single" w:sz="8" w:space="0" w:color="auto"/>
              <w:right w:val="nil"/>
            </w:tcBorders>
            <w:shd w:val="clear" w:color="000000" w:fill="FFFFFF"/>
            <w:vAlign w:val="center"/>
            <w:hideMark/>
          </w:tcPr>
          <w:p w14:paraId="2E184392"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0,44</w:t>
            </w:r>
          </w:p>
        </w:tc>
        <w:tc>
          <w:tcPr>
            <w:tcW w:w="619" w:type="dxa"/>
            <w:tcBorders>
              <w:top w:val="nil"/>
              <w:left w:val="nil"/>
              <w:bottom w:val="single" w:sz="8" w:space="0" w:color="auto"/>
              <w:right w:val="nil"/>
            </w:tcBorders>
            <w:shd w:val="clear" w:color="000000" w:fill="FFFFFF"/>
            <w:vAlign w:val="center"/>
            <w:hideMark/>
          </w:tcPr>
          <w:p w14:paraId="73E500F1"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0,45</w:t>
            </w:r>
          </w:p>
        </w:tc>
        <w:tc>
          <w:tcPr>
            <w:tcW w:w="619" w:type="dxa"/>
            <w:tcBorders>
              <w:top w:val="nil"/>
              <w:left w:val="nil"/>
              <w:bottom w:val="single" w:sz="8" w:space="0" w:color="auto"/>
              <w:right w:val="nil"/>
            </w:tcBorders>
            <w:shd w:val="clear" w:color="000000" w:fill="FFFFFF"/>
            <w:vAlign w:val="center"/>
            <w:hideMark/>
          </w:tcPr>
          <w:p w14:paraId="336213A4"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0,42</w:t>
            </w:r>
          </w:p>
        </w:tc>
        <w:tc>
          <w:tcPr>
            <w:tcW w:w="619" w:type="dxa"/>
            <w:tcBorders>
              <w:top w:val="nil"/>
              <w:left w:val="nil"/>
              <w:bottom w:val="single" w:sz="8" w:space="0" w:color="auto"/>
              <w:right w:val="nil"/>
            </w:tcBorders>
            <w:shd w:val="clear" w:color="000000" w:fill="FFFFFF"/>
            <w:vAlign w:val="center"/>
            <w:hideMark/>
          </w:tcPr>
          <w:p w14:paraId="5498383E"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0,28</w:t>
            </w:r>
          </w:p>
        </w:tc>
        <w:tc>
          <w:tcPr>
            <w:tcW w:w="619" w:type="dxa"/>
            <w:tcBorders>
              <w:top w:val="nil"/>
              <w:left w:val="nil"/>
              <w:bottom w:val="single" w:sz="8" w:space="0" w:color="auto"/>
              <w:right w:val="nil"/>
            </w:tcBorders>
            <w:shd w:val="clear" w:color="000000" w:fill="FFFFFF"/>
            <w:vAlign w:val="center"/>
            <w:hideMark/>
          </w:tcPr>
          <w:p w14:paraId="6EB28F2B"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0,33</w:t>
            </w:r>
          </w:p>
        </w:tc>
        <w:tc>
          <w:tcPr>
            <w:tcW w:w="731" w:type="dxa"/>
            <w:tcBorders>
              <w:top w:val="nil"/>
              <w:left w:val="nil"/>
              <w:bottom w:val="single" w:sz="8" w:space="0" w:color="auto"/>
              <w:right w:val="nil"/>
            </w:tcBorders>
            <w:shd w:val="clear" w:color="000000" w:fill="FFFFFF"/>
            <w:noWrap/>
            <w:vAlign w:val="center"/>
            <w:hideMark/>
          </w:tcPr>
          <w:p w14:paraId="532B4CFF"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0,45</w:t>
            </w:r>
          </w:p>
        </w:tc>
        <w:tc>
          <w:tcPr>
            <w:tcW w:w="731" w:type="dxa"/>
            <w:tcBorders>
              <w:top w:val="nil"/>
              <w:left w:val="nil"/>
              <w:bottom w:val="single" w:sz="8" w:space="0" w:color="auto"/>
              <w:right w:val="nil"/>
            </w:tcBorders>
            <w:shd w:val="clear" w:color="000000" w:fill="FFFFFF"/>
            <w:noWrap/>
            <w:vAlign w:val="center"/>
            <w:hideMark/>
          </w:tcPr>
          <w:p w14:paraId="3F35AD86"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0,37</w:t>
            </w:r>
          </w:p>
        </w:tc>
        <w:tc>
          <w:tcPr>
            <w:tcW w:w="731" w:type="dxa"/>
            <w:tcBorders>
              <w:top w:val="nil"/>
              <w:left w:val="nil"/>
              <w:bottom w:val="single" w:sz="8" w:space="0" w:color="auto"/>
              <w:right w:val="nil"/>
            </w:tcBorders>
            <w:shd w:val="clear" w:color="000000" w:fill="FFFFFF"/>
            <w:noWrap/>
            <w:vAlign w:val="center"/>
            <w:hideMark/>
          </w:tcPr>
          <w:p w14:paraId="094ED42F"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0,38</w:t>
            </w:r>
          </w:p>
        </w:tc>
        <w:tc>
          <w:tcPr>
            <w:tcW w:w="731" w:type="dxa"/>
            <w:tcBorders>
              <w:top w:val="nil"/>
              <w:left w:val="nil"/>
              <w:bottom w:val="single" w:sz="8" w:space="0" w:color="auto"/>
              <w:right w:val="nil"/>
            </w:tcBorders>
            <w:shd w:val="clear" w:color="000000" w:fill="FFFFFF"/>
            <w:noWrap/>
            <w:vAlign w:val="center"/>
            <w:hideMark/>
          </w:tcPr>
          <w:p w14:paraId="302ED522"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0,33</w:t>
            </w:r>
          </w:p>
        </w:tc>
        <w:tc>
          <w:tcPr>
            <w:tcW w:w="731" w:type="dxa"/>
            <w:tcBorders>
              <w:top w:val="nil"/>
              <w:left w:val="nil"/>
              <w:bottom w:val="single" w:sz="8" w:space="0" w:color="auto"/>
              <w:right w:val="nil"/>
            </w:tcBorders>
            <w:shd w:val="clear" w:color="000000" w:fill="FFFFFF"/>
            <w:noWrap/>
            <w:vAlign w:val="center"/>
            <w:hideMark/>
          </w:tcPr>
          <w:p w14:paraId="0FB34CD3"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0,32</w:t>
            </w:r>
          </w:p>
        </w:tc>
        <w:tc>
          <w:tcPr>
            <w:tcW w:w="731" w:type="dxa"/>
            <w:tcBorders>
              <w:top w:val="nil"/>
              <w:left w:val="nil"/>
              <w:bottom w:val="single" w:sz="8" w:space="0" w:color="auto"/>
              <w:right w:val="nil"/>
            </w:tcBorders>
            <w:shd w:val="clear" w:color="000000" w:fill="FFFFFF"/>
            <w:noWrap/>
            <w:vAlign w:val="center"/>
            <w:hideMark/>
          </w:tcPr>
          <w:p w14:paraId="6C96FB77"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bCs/>
                <w:color w:val="000000"/>
                <w:szCs w:val="20"/>
                <w:lang w:eastAsia="fr-FR"/>
              </w:rPr>
              <w:t>0,326</w:t>
            </w:r>
          </w:p>
        </w:tc>
        <w:tc>
          <w:tcPr>
            <w:tcW w:w="619" w:type="dxa"/>
            <w:tcBorders>
              <w:top w:val="nil"/>
              <w:left w:val="nil"/>
              <w:bottom w:val="single" w:sz="8" w:space="0" w:color="auto"/>
              <w:right w:val="nil"/>
            </w:tcBorders>
            <w:shd w:val="clear" w:color="000000" w:fill="FFFFFF"/>
            <w:vAlign w:val="center"/>
            <w:hideMark/>
          </w:tcPr>
          <w:p w14:paraId="7739E2A3"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0,37</w:t>
            </w:r>
          </w:p>
        </w:tc>
        <w:tc>
          <w:tcPr>
            <w:tcW w:w="1150" w:type="dxa"/>
            <w:tcBorders>
              <w:top w:val="nil"/>
              <w:left w:val="nil"/>
              <w:bottom w:val="single" w:sz="8" w:space="0" w:color="auto"/>
              <w:right w:val="single" w:sz="8" w:space="0" w:color="auto"/>
            </w:tcBorders>
            <w:shd w:val="clear" w:color="000000" w:fill="FFFFFF"/>
            <w:vAlign w:val="center"/>
            <w:hideMark/>
          </w:tcPr>
          <w:p w14:paraId="02B88253"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13,95%</w:t>
            </w:r>
          </w:p>
        </w:tc>
      </w:tr>
      <w:tr w:rsidR="00401529" w:rsidRPr="00401529" w14:paraId="7FB3CC37" w14:textId="77777777" w:rsidTr="00431635">
        <w:trPr>
          <w:trHeight w:val="346"/>
        </w:trPr>
        <w:tc>
          <w:tcPr>
            <w:tcW w:w="1444" w:type="dxa"/>
            <w:tcBorders>
              <w:top w:val="nil"/>
              <w:left w:val="single" w:sz="8" w:space="0" w:color="auto"/>
              <w:bottom w:val="single" w:sz="8" w:space="0" w:color="auto"/>
              <w:right w:val="nil"/>
            </w:tcBorders>
            <w:shd w:val="clear" w:color="000000" w:fill="FFFFFF"/>
            <w:vAlign w:val="center"/>
            <w:hideMark/>
          </w:tcPr>
          <w:p w14:paraId="09D49E32" w14:textId="77777777" w:rsidR="00401529" w:rsidRPr="00401529" w:rsidRDefault="00401529" w:rsidP="00401529">
            <w:pPr>
              <w:spacing w:after="0" w:line="240" w:lineRule="auto"/>
              <w:jc w:val="center"/>
              <w:rPr>
                <w:rFonts w:eastAsia="Times New Roman" w:cs="Arial"/>
                <w:b/>
                <w:bCs/>
                <w:color w:val="000000"/>
                <w:szCs w:val="20"/>
                <w:lang w:eastAsia="fr-FR"/>
              </w:rPr>
            </w:pPr>
            <w:r w:rsidRPr="00401529">
              <w:rPr>
                <w:rFonts w:eastAsia="Times New Roman" w:cs="Arial"/>
                <w:b/>
                <w:bCs/>
                <w:color w:val="000000"/>
                <w:szCs w:val="20"/>
                <w:lang w:eastAsia="fr-FR"/>
              </w:rPr>
              <w:t>Total</w:t>
            </w:r>
          </w:p>
        </w:tc>
        <w:tc>
          <w:tcPr>
            <w:tcW w:w="619" w:type="dxa"/>
            <w:tcBorders>
              <w:top w:val="nil"/>
              <w:left w:val="nil"/>
              <w:bottom w:val="single" w:sz="8" w:space="0" w:color="auto"/>
              <w:right w:val="nil"/>
            </w:tcBorders>
            <w:shd w:val="clear" w:color="000000" w:fill="FFFFFF"/>
            <w:vAlign w:val="center"/>
            <w:hideMark/>
          </w:tcPr>
          <w:p w14:paraId="3CC5ABDF"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1,9</w:t>
            </w:r>
          </w:p>
        </w:tc>
        <w:tc>
          <w:tcPr>
            <w:tcW w:w="619" w:type="dxa"/>
            <w:tcBorders>
              <w:top w:val="nil"/>
              <w:left w:val="nil"/>
              <w:bottom w:val="single" w:sz="8" w:space="0" w:color="auto"/>
              <w:right w:val="nil"/>
            </w:tcBorders>
            <w:shd w:val="clear" w:color="000000" w:fill="FFFFFF"/>
            <w:vAlign w:val="center"/>
            <w:hideMark/>
          </w:tcPr>
          <w:p w14:paraId="065F5D56"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2,53</w:t>
            </w:r>
          </w:p>
        </w:tc>
        <w:tc>
          <w:tcPr>
            <w:tcW w:w="619" w:type="dxa"/>
            <w:tcBorders>
              <w:top w:val="nil"/>
              <w:left w:val="nil"/>
              <w:bottom w:val="single" w:sz="8" w:space="0" w:color="auto"/>
              <w:right w:val="nil"/>
            </w:tcBorders>
            <w:shd w:val="clear" w:color="000000" w:fill="FFFFFF"/>
            <w:vAlign w:val="center"/>
            <w:hideMark/>
          </w:tcPr>
          <w:p w14:paraId="138C5F1F"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2,95</w:t>
            </w:r>
          </w:p>
        </w:tc>
        <w:tc>
          <w:tcPr>
            <w:tcW w:w="619" w:type="dxa"/>
            <w:tcBorders>
              <w:top w:val="nil"/>
              <w:left w:val="nil"/>
              <w:bottom w:val="single" w:sz="8" w:space="0" w:color="auto"/>
              <w:right w:val="nil"/>
            </w:tcBorders>
            <w:shd w:val="clear" w:color="000000" w:fill="FFFFFF"/>
            <w:vAlign w:val="center"/>
            <w:hideMark/>
          </w:tcPr>
          <w:p w14:paraId="0B29E88E"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1,93</w:t>
            </w:r>
          </w:p>
        </w:tc>
        <w:tc>
          <w:tcPr>
            <w:tcW w:w="619" w:type="dxa"/>
            <w:tcBorders>
              <w:top w:val="nil"/>
              <w:left w:val="nil"/>
              <w:bottom w:val="single" w:sz="8" w:space="0" w:color="auto"/>
              <w:right w:val="nil"/>
            </w:tcBorders>
            <w:shd w:val="clear" w:color="000000" w:fill="FFFFFF"/>
            <w:vAlign w:val="center"/>
            <w:hideMark/>
          </w:tcPr>
          <w:p w14:paraId="61CB3D37"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1,99</w:t>
            </w:r>
          </w:p>
        </w:tc>
        <w:tc>
          <w:tcPr>
            <w:tcW w:w="731" w:type="dxa"/>
            <w:tcBorders>
              <w:top w:val="nil"/>
              <w:left w:val="nil"/>
              <w:bottom w:val="single" w:sz="8" w:space="0" w:color="auto"/>
              <w:right w:val="nil"/>
            </w:tcBorders>
            <w:shd w:val="clear" w:color="000000" w:fill="FFFFFF"/>
            <w:vAlign w:val="center"/>
            <w:hideMark/>
          </w:tcPr>
          <w:p w14:paraId="4CF85892"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2,28</w:t>
            </w:r>
          </w:p>
        </w:tc>
        <w:tc>
          <w:tcPr>
            <w:tcW w:w="731" w:type="dxa"/>
            <w:tcBorders>
              <w:top w:val="nil"/>
              <w:left w:val="nil"/>
              <w:bottom w:val="single" w:sz="8" w:space="0" w:color="auto"/>
              <w:right w:val="nil"/>
            </w:tcBorders>
            <w:shd w:val="clear" w:color="000000" w:fill="FFFFFF"/>
            <w:vAlign w:val="center"/>
            <w:hideMark/>
          </w:tcPr>
          <w:p w14:paraId="6E6AC0F6"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2,19</w:t>
            </w:r>
          </w:p>
        </w:tc>
        <w:tc>
          <w:tcPr>
            <w:tcW w:w="731" w:type="dxa"/>
            <w:tcBorders>
              <w:top w:val="nil"/>
              <w:left w:val="nil"/>
              <w:bottom w:val="single" w:sz="8" w:space="0" w:color="auto"/>
              <w:right w:val="nil"/>
            </w:tcBorders>
            <w:shd w:val="clear" w:color="000000" w:fill="FFFFFF"/>
            <w:vAlign w:val="center"/>
            <w:hideMark/>
          </w:tcPr>
          <w:p w14:paraId="10799B1A"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2,15</w:t>
            </w:r>
          </w:p>
        </w:tc>
        <w:tc>
          <w:tcPr>
            <w:tcW w:w="731" w:type="dxa"/>
            <w:tcBorders>
              <w:top w:val="nil"/>
              <w:left w:val="nil"/>
              <w:bottom w:val="single" w:sz="8" w:space="0" w:color="auto"/>
              <w:right w:val="nil"/>
            </w:tcBorders>
            <w:shd w:val="clear" w:color="000000" w:fill="FFFFFF"/>
            <w:vAlign w:val="center"/>
            <w:hideMark/>
          </w:tcPr>
          <w:p w14:paraId="243FE021"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2,12</w:t>
            </w:r>
          </w:p>
        </w:tc>
        <w:tc>
          <w:tcPr>
            <w:tcW w:w="731" w:type="dxa"/>
            <w:tcBorders>
              <w:top w:val="nil"/>
              <w:left w:val="nil"/>
              <w:bottom w:val="single" w:sz="8" w:space="0" w:color="auto"/>
              <w:right w:val="nil"/>
            </w:tcBorders>
            <w:shd w:val="clear" w:color="000000" w:fill="FFFFFF"/>
            <w:vAlign w:val="center"/>
            <w:hideMark/>
          </w:tcPr>
          <w:p w14:paraId="418627DB"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2,16</w:t>
            </w:r>
          </w:p>
        </w:tc>
        <w:tc>
          <w:tcPr>
            <w:tcW w:w="731" w:type="dxa"/>
            <w:tcBorders>
              <w:top w:val="nil"/>
              <w:left w:val="nil"/>
              <w:bottom w:val="single" w:sz="8" w:space="0" w:color="auto"/>
              <w:right w:val="nil"/>
            </w:tcBorders>
            <w:shd w:val="clear" w:color="000000" w:fill="FFFFFF"/>
            <w:vAlign w:val="center"/>
            <w:hideMark/>
          </w:tcPr>
          <w:p w14:paraId="52B3DC8A"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2,38</w:t>
            </w:r>
          </w:p>
        </w:tc>
        <w:tc>
          <w:tcPr>
            <w:tcW w:w="619" w:type="dxa"/>
            <w:tcBorders>
              <w:top w:val="nil"/>
              <w:left w:val="nil"/>
              <w:bottom w:val="single" w:sz="8" w:space="0" w:color="auto"/>
              <w:right w:val="nil"/>
            </w:tcBorders>
            <w:shd w:val="clear" w:color="000000" w:fill="FFFFFF"/>
            <w:vAlign w:val="center"/>
            <w:hideMark/>
          </w:tcPr>
          <w:p w14:paraId="59208E1F"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2,67</w:t>
            </w:r>
          </w:p>
        </w:tc>
        <w:tc>
          <w:tcPr>
            <w:tcW w:w="1150" w:type="dxa"/>
            <w:tcBorders>
              <w:top w:val="nil"/>
              <w:left w:val="nil"/>
              <w:bottom w:val="single" w:sz="8" w:space="0" w:color="auto"/>
              <w:right w:val="single" w:sz="8" w:space="0" w:color="auto"/>
            </w:tcBorders>
            <w:shd w:val="clear" w:color="000000" w:fill="FFFFFF"/>
            <w:vAlign w:val="center"/>
            <w:hideMark/>
          </w:tcPr>
          <w:p w14:paraId="50F91BFE"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12,39%</w:t>
            </w:r>
          </w:p>
        </w:tc>
      </w:tr>
      <w:tr w:rsidR="00401529" w:rsidRPr="00401529" w14:paraId="78F1C782" w14:textId="77777777" w:rsidTr="00431635">
        <w:trPr>
          <w:trHeight w:val="346"/>
        </w:trPr>
        <w:tc>
          <w:tcPr>
            <w:tcW w:w="1444" w:type="dxa"/>
            <w:tcBorders>
              <w:top w:val="nil"/>
              <w:left w:val="single" w:sz="8" w:space="0" w:color="auto"/>
              <w:bottom w:val="single" w:sz="8" w:space="0" w:color="auto"/>
              <w:right w:val="nil"/>
            </w:tcBorders>
            <w:shd w:val="clear" w:color="000000" w:fill="FFFFFF"/>
            <w:vAlign w:val="center"/>
            <w:hideMark/>
          </w:tcPr>
          <w:p w14:paraId="2FAE5E3B" w14:textId="77777777" w:rsidR="00401529" w:rsidRPr="00401529" w:rsidRDefault="00401529" w:rsidP="00401529">
            <w:pPr>
              <w:spacing w:after="0" w:line="240" w:lineRule="auto"/>
              <w:jc w:val="center"/>
              <w:rPr>
                <w:rFonts w:eastAsia="Times New Roman" w:cs="Arial"/>
                <w:b/>
                <w:bCs/>
                <w:color w:val="000000"/>
                <w:szCs w:val="20"/>
                <w:lang w:eastAsia="fr-FR"/>
              </w:rPr>
            </w:pPr>
            <w:r w:rsidRPr="00401529">
              <w:rPr>
                <w:rFonts w:eastAsia="Times New Roman" w:cs="Arial"/>
                <w:b/>
                <w:bCs/>
                <w:color w:val="000000"/>
                <w:szCs w:val="20"/>
                <w:lang w:eastAsia="fr-FR"/>
              </w:rPr>
              <w:t>Solde</w:t>
            </w:r>
          </w:p>
        </w:tc>
        <w:tc>
          <w:tcPr>
            <w:tcW w:w="619" w:type="dxa"/>
            <w:tcBorders>
              <w:top w:val="nil"/>
              <w:left w:val="nil"/>
              <w:bottom w:val="single" w:sz="8" w:space="0" w:color="auto"/>
              <w:right w:val="nil"/>
            </w:tcBorders>
            <w:shd w:val="clear" w:color="000000" w:fill="FFFFFF"/>
            <w:vAlign w:val="center"/>
            <w:hideMark/>
          </w:tcPr>
          <w:p w14:paraId="4F61C7D6"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-1,02</w:t>
            </w:r>
          </w:p>
        </w:tc>
        <w:tc>
          <w:tcPr>
            <w:tcW w:w="619" w:type="dxa"/>
            <w:tcBorders>
              <w:top w:val="nil"/>
              <w:left w:val="nil"/>
              <w:bottom w:val="single" w:sz="8" w:space="0" w:color="auto"/>
              <w:right w:val="nil"/>
            </w:tcBorders>
            <w:shd w:val="clear" w:color="000000" w:fill="FFFFFF"/>
            <w:vAlign w:val="center"/>
            <w:hideMark/>
          </w:tcPr>
          <w:p w14:paraId="753C44BD"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-1,62</w:t>
            </w:r>
          </w:p>
        </w:tc>
        <w:tc>
          <w:tcPr>
            <w:tcW w:w="619" w:type="dxa"/>
            <w:tcBorders>
              <w:top w:val="nil"/>
              <w:left w:val="nil"/>
              <w:bottom w:val="single" w:sz="8" w:space="0" w:color="auto"/>
              <w:right w:val="nil"/>
            </w:tcBorders>
            <w:shd w:val="clear" w:color="000000" w:fill="FFFFFF"/>
            <w:vAlign w:val="center"/>
            <w:hideMark/>
          </w:tcPr>
          <w:p w14:paraId="24260B5C"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-2,11</w:t>
            </w:r>
          </w:p>
        </w:tc>
        <w:tc>
          <w:tcPr>
            <w:tcW w:w="619" w:type="dxa"/>
            <w:tcBorders>
              <w:top w:val="nil"/>
              <w:left w:val="nil"/>
              <w:bottom w:val="single" w:sz="8" w:space="0" w:color="auto"/>
              <w:right w:val="nil"/>
            </w:tcBorders>
            <w:shd w:val="clear" w:color="000000" w:fill="FFFFFF"/>
            <w:vAlign w:val="center"/>
            <w:hideMark/>
          </w:tcPr>
          <w:p w14:paraId="628E9645"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-1,38</w:t>
            </w:r>
          </w:p>
        </w:tc>
        <w:tc>
          <w:tcPr>
            <w:tcW w:w="619" w:type="dxa"/>
            <w:tcBorders>
              <w:top w:val="nil"/>
              <w:left w:val="nil"/>
              <w:bottom w:val="single" w:sz="8" w:space="0" w:color="auto"/>
              <w:right w:val="nil"/>
            </w:tcBorders>
            <w:shd w:val="clear" w:color="000000" w:fill="FFFFFF"/>
            <w:vAlign w:val="center"/>
            <w:hideMark/>
          </w:tcPr>
          <w:p w14:paraId="1327CAB5"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-1,33</w:t>
            </w:r>
          </w:p>
        </w:tc>
        <w:tc>
          <w:tcPr>
            <w:tcW w:w="731" w:type="dxa"/>
            <w:tcBorders>
              <w:top w:val="nil"/>
              <w:left w:val="nil"/>
              <w:bottom w:val="single" w:sz="8" w:space="0" w:color="auto"/>
              <w:right w:val="nil"/>
            </w:tcBorders>
            <w:shd w:val="clear" w:color="000000" w:fill="FFFFFF"/>
            <w:vAlign w:val="center"/>
            <w:hideMark/>
          </w:tcPr>
          <w:p w14:paraId="78983BF8"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-1,37</w:t>
            </w:r>
          </w:p>
        </w:tc>
        <w:tc>
          <w:tcPr>
            <w:tcW w:w="731" w:type="dxa"/>
            <w:tcBorders>
              <w:top w:val="nil"/>
              <w:left w:val="nil"/>
              <w:bottom w:val="single" w:sz="8" w:space="0" w:color="auto"/>
              <w:right w:val="nil"/>
            </w:tcBorders>
            <w:shd w:val="clear" w:color="000000" w:fill="FFFFFF"/>
            <w:vAlign w:val="center"/>
            <w:hideMark/>
          </w:tcPr>
          <w:p w14:paraId="03419E78"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-1,45</w:t>
            </w:r>
          </w:p>
        </w:tc>
        <w:tc>
          <w:tcPr>
            <w:tcW w:w="731" w:type="dxa"/>
            <w:tcBorders>
              <w:top w:val="nil"/>
              <w:left w:val="nil"/>
              <w:bottom w:val="single" w:sz="8" w:space="0" w:color="auto"/>
              <w:right w:val="nil"/>
            </w:tcBorders>
            <w:shd w:val="clear" w:color="000000" w:fill="FFFFFF"/>
            <w:vAlign w:val="center"/>
            <w:hideMark/>
          </w:tcPr>
          <w:p w14:paraId="0769215D"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-1,4</w:t>
            </w:r>
          </w:p>
        </w:tc>
        <w:tc>
          <w:tcPr>
            <w:tcW w:w="731" w:type="dxa"/>
            <w:tcBorders>
              <w:top w:val="nil"/>
              <w:left w:val="nil"/>
              <w:bottom w:val="single" w:sz="8" w:space="0" w:color="auto"/>
              <w:right w:val="nil"/>
            </w:tcBorders>
            <w:shd w:val="clear" w:color="000000" w:fill="FFFFFF"/>
            <w:vAlign w:val="center"/>
            <w:hideMark/>
          </w:tcPr>
          <w:p w14:paraId="67319000"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-1,45</w:t>
            </w:r>
          </w:p>
        </w:tc>
        <w:tc>
          <w:tcPr>
            <w:tcW w:w="731" w:type="dxa"/>
            <w:tcBorders>
              <w:top w:val="nil"/>
              <w:left w:val="nil"/>
              <w:bottom w:val="single" w:sz="8" w:space="0" w:color="auto"/>
              <w:right w:val="nil"/>
            </w:tcBorders>
            <w:shd w:val="clear" w:color="000000" w:fill="FFFFFF"/>
            <w:vAlign w:val="center"/>
            <w:hideMark/>
          </w:tcPr>
          <w:p w14:paraId="736E4F11"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-1,52</w:t>
            </w:r>
          </w:p>
        </w:tc>
        <w:tc>
          <w:tcPr>
            <w:tcW w:w="731" w:type="dxa"/>
            <w:tcBorders>
              <w:top w:val="nil"/>
              <w:left w:val="nil"/>
              <w:bottom w:val="single" w:sz="8" w:space="0" w:color="auto"/>
              <w:right w:val="nil"/>
            </w:tcBorders>
            <w:shd w:val="clear" w:color="000000" w:fill="FFFFFF"/>
            <w:vAlign w:val="center"/>
            <w:hideMark/>
          </w:tcPr>
          <w:p w14:paraId="69DC327D"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bCs/>
                <w:color w:val="000000"/>
                <w:szCs w:val="20"/>
                <w:lang w:eastAsia="fr-FR"/>
              </w:rPr>
              <w:t>-1,73</w:t>
            </w:r>
          </w:p>
        </w:tc>
        <w:tc>
          <w:tcPr>
            <w:tcW w:w="619" w:type="dxa"/>
            <w:tcBorders>
              <w:top w:val="nil"/>
              <w:left w:val="nil"/>
              <w:bottom w:val="single" w:sz="8" w:space="0" w:color="auto"/>
              <w:right w:val="nil"/>
            </w:tcBorders>
            <w:shd w:val="clear" w:color="000000" w:fill="FFFFFF"/>
            <w:vAlign w:val="center"/>
            <w:hideMark/>
          </w:tcPr>
          <w:p w14:paraId="3F89D43B"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-1,93</w:t>
            </w:r>
          </w:p>
        </w:tc>
        <w:tc>
          <w:tcPr>
            <w:tcW w:w="1150" w:type="dxa"/>
            <w:tcBorders>
              <w:top w:val="nil"/>
              <w:left w:val="nil"/>
              <w:bottom w:val="single" w:sz="8" w:space="0" w:color="auto"/>
              <w:right w:val="single" w:sz="8" w:space="0" w:color="auto"/>
            </w:tcBorders>
            <w:shd w:val="clear" w:color="000000" w:fill="FFFFFF"/>
            <w:vAlign w:val="center"/>
            <w:hideMark/>
          </w:tcPr>
          <w:p w14:paraId="259FA7B6" w14:textId="77777777" w:rsidR="00401529" w:rsidRPr="00401529" w:rsidRDefault="00401529" w:rsidP="00401529">
            <w:pPr>
              <w:spacing w:after="0" w:line="240" w:lineRule="auto"/>
              <w:jc w:val="center"/>
              <w:rPr>
                <w:rFonts w:eastAsia="Times New Roman" w:cs="Arial"/>
                <w:color w:val="000000"/>
                <w:szCs w:val="20"/>
                <w:lang w:eastAsia="fr-FR"/>
              </w:rPr>
            </w:pPr>
            <w:r w:rsidRPr="00401529">
              <w:rPr>
                <w:rFonts w:eastAsia="Times New Roman" w:cs="Arial"/>
                <w:color w:val="000000"/>
                <w:szCs w:val="20"/>
                <w:lang w:eastAsia="fr-FR"/>
              </w:rPr>
              <w:t>11,68%</w:t>
            </w:r>
          </w:p>
        </w:tc>
      </w:tr>
    </w:tbl>
    <w:p w14:paraId="42824348" w14:textId="26AED7C6" w:rsidR="00110EEA" w:rsidRPr="00DC6CB8" w:rsidRDefault="00864C0E" w:rsidP="00822976">
      <w:pPr>
        <w:ind w:right="57"/>
        <w:rPr>
          <w:rFonts w:cs="Arial"/>
          <w:i/>
          <w:iCs/>
          <w:sz w:val="18"/>
        </w:rPr>
      </w:pPr>
      <w:r w:rsidRPr="00DC6CB8">
        <w:rPr>
          <w:rFonts w:cs="Arial"/>
          <w:i/>
          <w:iCs/>
          <w:sz w:val="18"/>
        </w:rPr>
        <w:t xml:space="preserve">Source : </w:t>
      </w:r>
      <w:r w:rsidR="00DC6CB8" w:rsidRPr="00DC6CB8">
        <w:rPr>
          <w:rFonts w:cs="Arial"/>
          <w:i/>
          <w:iCs/>
          <w:sz w:val="18"/>
        </w:rPr>
        <w:t>Monstat</w:t>
      </w:r>
    </w:p>
    <w:p w14:paraId="7B14B371" w14:textId="77777777" w:rsidR="00AE1A49" w:rsidRDefault="00AE1A49" w:rsidP="00822976">
      <w:pPr>
        <w:spacing w:after="120" w:line="240" w:lineRule="auto"/>
        <w:rPr>
          <w:rFonts w:cs="Arial"/>
          <w:b/>
          <w:iCs/>
        </w:rPr>
      </w:pPr>
    </w:p>
    <w:p w14:paraId="4621B93F" w14:textId="05284887" w:rsidR="00822976" w:rsidRPr="0031266C" w:rsidRDefault="0031266C" w:rsidP="00822976">
      <w:pPr>
        <w:spacing w:after="120" w:line="240" w:lineRule="auto"/>
        <w:rPr>
          <w:rFonts w:cs="Arial"/>
          <w:b/>
          <w:iCs/>
        </w:rPr>
      </w:pPr>
      <w:r>
        <w:rPr>
          <w:rFonts w:cs="Arial"/>
          <w:b/>
          <w:iCs/>
        </w:rPr>
        <w:t>P</w:t>
      </w:r>
      <w:r w:rsidR="00822976" w:rsidRPr="0031266C">
        <w:rPr>
          <w:rFonts w:cs="Arial"/>
          <w:b/>
          <w:iCs/>
        </w:rPr>
        <w:t>art des principaux produits dans les échanges commerciaux du Monténégro de 2010 à 201</w:t>
      </w:r>
      <w:r w:rsidR="005E6DFD">
        <w:rPr>
          <w:rFonts w:cs="Arial"/>
          <w:b/>
          <w:iCs/>
        </w:rPr>
        <w:t>7</w:t>
      </w:r>
      <w:r w:rsidR="00822976" w:rsidRPr="0031266C">
        <w:rPr>
          <w:rFonts w:cs="Arial"/>
          <w:b/>
          <w:iCs/>
        </w:rPr>
        <w:t xml:space="preserve"> en</w:t>
      </w:r>
      <w:r w:rsidR="005E6DFD">
        <w:rPr>
          <w:rFonts w:cs="Arial"/>
          <w:b/>
          <w:iCs/>
        </w:rPr>
        <w:t xml:space="preserve"> % et en M EUR pour l’année 2017</w:t>
      </w:r>
    </w:p>
    <w:tbl>
      <w:tblPr>
        <w:tblW w:w="10632" w:type="dxa"/>
        <w:tblInd w:w="-709" w:type="dxa"/>
        <w:tblCellMar>
          <w:left w:w="70" w:type="dxa"/>
          <w:right w:w="70" w:type="dxa"/>
        </w:tblCellMar>
        <w:tblLook w:val="04A0" w:firstRow="1" w:lastRow="0" w:firstColumn="1" w:lastColumn="0" w:noHBand="0" w:noVBand="1"/>
      </w:tblPr>
      <w:tblGrid>
        <w:gridCol w:w="2055"/>
        <w:gridCol w:w="1064"/>
        <w:gridCol w:w="992"/>
        <w:gridCol w:w="993"/>
        <w:gridCol w:w="992"/>
        <w:gridCol w:w="1134"/>
        <w:gridCol w:w="1134"/>
        <w:gridCol w:w="1134"/>
        <w:gridCol w:w="1134"/>
      </w:tblGrid>
      <w:tr w:rsidR="00BD607A" w:rsidRPr="00BD607A" w14:paraId="3C3D8439" w14:textId="77777777" w:rsidTr="00A908A9">
        <w:trPr>
          <w:trHeight w:val="454"/>
        </w:trPr>
        <w:tc>
          <w:tcPr>
            <w:tcW w:w="2055" w:type="dxa"/>
            <w:tcBorders>
              <w:top w:val="nil"/>
              <w:left w:val="nil"/>
              <w:bottom w:val="nil"/>
              <w:right w:val="nil"/>
            </w:tcBorders>
            <w:shd w:val="clear" w:color="auto" w:fill="auto"/>
            <w:noWrap/>
            <w:vAlign w:val="bottom"/>
            <w:hideMark/>
          </w:tcPr>
          <w:p w14:paraId="394783F5" w14:textId="77777777" w:rsidR="00BD607A" w:rsidRPr="00BD607A" w:rsidRDefault="00BD607A" w:rsidP="00BD607A">
            <w:pPr>
              <w:spacing w:after="0" w:line="240" w:lineRule="auto"/>
              <w:rPr>
                <w:rFonts w:ascii="Times New Roman" w:eastAsia="Times New Roman" w:hAnsi="Times New Roman" w:cs="Times New Roman"/>
                <w:sz w:val="24"/>
                <w:szCs w:val="24"/>
                <w:lang w:eastAsia="fr-FR"/>
              </w:rPr>
            </w:pPr>
          </w:p>
        </w:tc>
        <w:tc>
          <w:tcPr>
            <w:tcW w:w="4041" w:type="dxa"/>
            <w:gridSpan w:val="4"/>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079E1424" w14:textId="77777777" w:rsidR="00BD607A" w:rsidRPr="00BD607A" w:rsidRDefault="00BD607A" w:rsidP="00BD607A">
            <w:pPr>
              <w:spacing w:after="0" w:line="240" w:lineRule="auto"/>
              <w:jc w:val="center"/>
              <w:rPr>
                <w:rFonts w:eastAsia="Times New Roman" w:cs="Arial"/>
                <w:b/>
                <w:color w:val="FFFFFF"/>
                <w:szCs w:val="20"/>
                <w:lang w:eastAsia="fr-FR"/>
              </w:rPr>
            </w:pPr>
            <w:r w:rsidRPr="00BD607A">
              <w:rPr>
                <w:rFonts w:eastAsia="Times New Roman" w:cs="Arial"/>
                <w:b/>
                <w:color w:val="FFFFFF"/>
                <w:szCs w:val="20"/>
                <w:lang w:eastAsia="fr-FR"/>
              </w:rPr>
              <w:t>Exportations</w:t>
            </w:r>
          </w:p>
        </w:tc>
        <w:tc>
          <w:tcPr>
            <w:tcW w:w="4536" w:type="dxa"/>
            <w:gridSpan w:val="4"/>
            <w:tcBorders>
              <w:top w:val="single" w:sz="8" w:space="0" w:color="auto"/>
              <w:left w:val="nil"/>
              <w:bottom w:val="single" w:sz="8" w:space="0" w:color="auto"/>
              <w:right w:val="single" w:sz="8" w:space="0" w:color="000000"/>
            </w:tcBorders>
            <w:shd w:val="clear" w:color="000000" w:fill="000000"/>
            <w:noWrap/>
            <w:vAlign w:val="center"/>
            <w:hideMark/>
          </w:tcPr>
          <w:p w14:paraId="56775D27" w14:textId="77777777" w:rsidR="00BD607A" w:rsidRPr="00BD607A" w:rsidRDefault="00BD607A" w:rsidP="00BD607A">
            <w:pPr>
              <w:spacing w:after="0" w:line="240" w:lineRule="auto"/>
              <w:jc w:val="center"/>
              <w:rPr>
                <w:rFonts w:eastAsia="Times New Roman" w:cs="Arial"/>
                <w:b/>
                <w:color w:val="FFFFFF"/>
                <w:szCs w:val="20"/>
                <w:lang w:eastAsia="fr-FR"/>
              </w:rPr>
            </w:pPr>
            <w:r w:rsidRPr="00BD607A">
              <w:rPr>
                <w:rFonts w:eastAsia="Times New Roman" w:cs="Arial"/>
                <w:b/>
                <w:color w:val="FFFFFF"/>
                <w:szCs w:val="20"/>
                <w:lang w:eastAsia="fr-FR"/>
              </w:rPr>
              <w:t>Importations</w:t>
            </w:r>
          </w:p>
        </w:tc>
      </w:tr>
      <w:tr w:rsidR="00BD607A" w:rsidRPr="00BD607A" w14:paraId="66D339D0" w14:textId="77777777" w:rsidTr="00A908A9">
        <w:trPr>
          <w:trHeight w:val="237"/>
        </w:trPr>
        <w:tc>
          <w:tcPr>
            <w:tcW w:w="2055" w:type="dxa"/>
            <w:tcBorders>
              <w:top w:val="nil"/>
              <w:left w:val="nil"/>
              <w:bottom w:val="single" w:sz="4" w:space="0" w:color="auto"/>
              <w:right w:val="nil"/>
            </w:tcBorders>
            <w:shd w:val="clear" w:color="auto" w:fill="auto"/>
            <w:noWrap/>
            <w:vAlign w:val="bottom"/>
            <w:hideMark/>
          </w:tcPr>
          <w:p w14:paraId="1F065D7E" w14:textId="77777777" w:rsidR="00BD607A" w:rsidRPr="00BD607A" w:rsidRDefault="00BD607A" w:rsidP="00BD607A">
            <w:pPr>
              <w:spacing w:after="0" w:line="240" w:lineRule="auto"/>
              <w:jc w:val="center"/>
              <w:rPr>
                <w:rFonts w:eastAsia="Times New Roman" w:cs="Arial"/>
                <w:color w:val="FFFFFF"/>
                <w:szCs w:val="20"/>
                <w:lang w:eastAsia="fr-FR"/>
              </w:rPr>
            </w:pPr>
          </w:p>
        </w:tc>
        <w:tc>
          <w:tcPr>
            <w:tcW w:w="1064" w:type="dxa"/>
            <w:tcBorders>
              <w:top w:val="nil"/>
              <w:left w:val="single" w:sz="8" w:space="0" w:color="auto"/>
              <w:bottom w:val="single" w:sz="4" w:space="0" w:color="auto"/>
              <w:right w:val="single" w:sz="8" w:space="0" w:color="auto"/>
            </w:tcBorders>
            <w:shd w:val="clear" w:color="000000" w:fill="000000"/>
            <w:noWrap/>
            <w:vAlign w:val="center"/>
            <w:hideMark/>
          </w:tcPr>
          <w:p w14:paraId="523D7BFF" w14:textId="77777777" w:rsidR="00BD607A" w:rsidRPr="00BD607A" w:rsidRDefault="00BD607A" w:rsidP="00BD607A">
            <w:pPr>
              <w:spacing w:after="0" w:line="240" w:lineRule="auto"/>
              <w:jc w:val="center"/>
              <w:rPr>
                <w:rFonts w:eastAsia="Times New Roman" w:cs="Arial"/>
                <w:b/>
                <w:color w:val="FFFFFF"/>
                <w:szCs w:val="20"/>
                <w:lang w:eastAsia="fr-FR"/>
              </w:rPr>
            </w:pPr>
            <w:r w:rsidRPr="00BD607A">
              <w:rPr>
                <w:rFonts w:eastAsia="Times New Roman" w:cs="Arial"/>
                <w:b/>
                <w:color w:val="FFFFFF"/>
                <w:szCs w:val="20"/>
                <w:lang w:eastAsia="fr-FR"/>
              </w:rPr>
              <w:t>2010</w:t>
            </w:r>
          </w:p>
        </w:tc>
        <w:tc>
          <w:tcPr>
            <w:tcW w:w="992" w:type="dxa"/>
            <w:tcBorders>
              <w:top w:val="nil"/>
              <w:left w:val="nil"/>
              <w:bottom w:val="single" w:sz="4" w:space="0" w:color="auto"/>
              <w:right w:val="single" w:sz="8" w:space="0" w:color="auto"/>
            </w:tcBorders>
            <w:shd w:val="clear" w:color="000000" w:fill="000000"/>
            <w:noWrap/>
            <w:vAlign w:val="center"/>
            <w:hideMark/>
          </w:tcPr>
          <w:p w14:paraId="1BCABB95" w14:textId="77777777" w:rsidR="00BD607A" w:rsidRPr="00BD607A" w:rsidRDefault="00BD607A" w:rsidP="00BD607A">
            <w:pPr>
              <w:spacing w:after="0" w:line="240" w:lineRule="auto"/>
              <w:jc w:val="center"/>
              <w:rPr>
                <w:rFonts w:eastAsia="Times New Roman" w:cs="Arial"/>
                <w:b/>
                <w:color w:val="FFFFFF"/>
                <w:szCs w:val="20"/>
                <w:lang w:eastAsia="fr-FR"/>
              </w:rPr>
            </w:pPr>
            <w:r w:rsidRPr="00BD607A">
              <w:rPr>
                <w:rFonts w:eastAsia="Times New Roman" w:cs="Arial"/>
                <w:b/>
                <w:color w:val="FFFFFF"/>
                <w:szCs w:val="20"/>
                <w:lang w:eastAsia="fr-FR"/>
              </w:rPr>
              <w:t>2016</w:t>
            </w:r>
          </w:p>
        </w:tc>
        <w:tc>
          <w:tcPr>
            <w:tcW w:w="1985" w:type="dxa"/>
            <w:gridSpan w:val="2"/>
            <w:tcBorders>
              <w:top w:val="single" w:sz="8" w:space="0" w:color="auto"/>
              <w:left w:val="nil"/>
              <w:bottom w:val="single" w:sz="4" w:space="0" w:color="auto"/>
              <w:right w:val="single" w:sz="8" w:space="0" w:color="000000"/>
            </w:tcBorders>
            <w:shd w:val="clear" w:color="000000" w:fill="000000"/>
            <w:noWrap/>
            <w:vAlign w:val="center"/>
            <w:hideMark/>
          </w:tcPr>
          <w:p w14:paraId="4B8B03B7" w14:textId="77777777" w:rsidR="00BD607A" w:rsidRPr="00BD607A" w:rsidRDefault="00BD607A" w:rsidP="00BD607A">
            <w:pPr>
              <w:spacing w:after="0" w:line="240" w:lineRule="auto"/>
              <w:jc w:val="center"/>
              <w:rPr>
                <w:rFonts w:eastAsia="Times New Roman" w:cs="Arial"/>
                <w:b/>
                <w:color w:val="FFFFFF"/>
                <w:szCs w:val="20"/>
                <w:lang w:eastAsia="fr-FR"/>
              </w:rPr>
            </w:pPr>
            <w:r w:rsidRPr="00BD607A">
              <w:rPr>
                <w:rFonts w:eastAsia="Times New Roman" w:cs="Arial"/>
                <w:b/>
                <w:color w:val="FFFFFF"/>
                <w:szCs w:val="20"/>
                <w:lang w:eastAsia="fr-FR"/>
              </w:rPr>
              <w:t>2017</w:t>
            </w:r>
          </w:p>
        </w:tc>
        <w:tc>
          <w:tcPr>
            <w:tcW w:w="1134" w:type="dxa"/>
            <w:tcBorders>
              <w:top w:val="nil"/>
              <w:left w:val="nil"/>
              <w:bottom w:val="single" w:sz="4" w:space="0" w:color="auto"/>
              <w:right w:val="single" w:sz="8" w:space="0" w:color="auto"/>
            </w:tcBorders>
            <w:shd w:val="clear" w:color="000000" w:fill="000000"/>
            <w:noWrap/>
            <w:vAlign w:val="center"/>
            <w:hideMark/>
          </w:tcPr>
          <w:p w14:paraId="2F1A735A" w14:textId="77777777" w:rsidR="00BD607A" w:rsidRPr="00BD607A" w:rsidRDefault="00BD607A" w:rsidP="00BD607A">
            <w:pPr>
              <w:spacing w:after="0" w:line="240" w:lineRule="auto"/>
              <w:jc w:val="center"/>
              <w:rPr>
                <w:rFonts w:eastAsia="Times New Roman" w:cs="Arial"/>
                <w:b/>
                <w:color w:val="FFFFFF"/>
                <w:szCs w:val="20"/>
                <w:lang w:eastAsia="fr-FR"/>
              </w:rPr>
            </w:pPr>
            <w:r w:rsidRPr="00BD607A">
              <w:rPr>
                <w:rFonts w:eastAsia="Times New Roman" w:cs="Arial"/>
                <w:b/>
                <w:color w:val="FFFFFF"/>
                <w:szCs w:val="20"/>
                <w:lang w:eastAsia="fr-FR"/>
              </w:rPr>
              <w:t>2010</w:t>
            </w:r>
          </w:p>
        </w:tc>
        <w:tc>
          <w:tcPr>
            <w:tcW w:w="1134" w:type="dxa"/>
            <w:tcBorders>
              <w:top w:val="nil"/>
              <w:left w:val="nil"/>
              <w:bottom w:val="single" w:sz="4" w:space="0" w:color="auto"/>
              <w:right w:val="single" w:sz="8" w:space="0" w:color="auto"/>
            </w:tcBorders>
            <w:shd w:val="clear" w:color="000000" w:fill="000000"/>
            <w:noWrap/>
            <w:vAlign w:val="center"/>
            <w:hideMark/>
          </w:tcPr>
          <w:p w14:paraId="24C7FE71" w14:textId="77777777" w:rsidR="00BD607A" w:rsidRPr="00BD607A" w:rsidRDefault="00BD607A" w:rsidP="00BD607A">
            <w:pPr>
              <w:spacing w:after="0" w:line="240" w:lineRule="auto"/>
              <w:jc w:val="center"/>
              <w:rPr>
                <w:rFonts w:eastAsia="Times New Roman" w:cs="Arial"/>
                <w:b/>
                <w:color w:val="FFFFFF"/>
                <w:szCs w:val="20"/>
                <w:lang w:eastAsia="fr-FR"/>
              </w:rPr>
            </w:pPr>
            <w:r w:rsidRPr="00BD607A">
              <w:rPr>
                <w:rFonts w:eastAsia="Times New Roman" w:cs="Arial"/>
                <w:b/>
                <w:color w:val="FFFFFF"/>
                <w:szCs w:val="20"/>
                <w:lang w:eastAsia="fr-FR"/>
              </w:rPr>
              <w:t>2016</w:t>
            </w:r>
          </w:p>
        </w:tc>
        <w:tc>
          <w:tcPr>
            <w:tcW w:w="2268" w:type="dxa"/>
            <w:gridSpan w:val="2"/>
            <w:tcBorders>
              <w:top w:val="single" w:sz="8" w:space="0" w:color="auto"/>
              <w:left w:val="nil"/>
              <w:bottom w:val="single" w:sz="4" w:space="0" w:color="auto"/>
              <w:right w:val="single" w:sz="8" w:space="0" w:color="000000"/>
            </w:tcBorders>
            <w:shd w:val="clear" w:color="000000" w:fill="000000"/>
            <w:noWrap/>
            <w:vAlign w:val="center"/>
            <w:hideMark/>
          </w:tcPr>
          <w:p w14:paraId="2778F81D" w14:textId="77777777" w:rsidR="00BD607A" w:rsidRPr="00BD607A" w:rsidRDefault="00BD607A" w:rsidP="00BD607A">
            <w:pPr>
              <w:spacing w:after="0" w:line="240" w:lineRule="auto"/>
              <w:jc w:val="center"/>
              <w:rPr>
                <w:rFonts w:eastAsia="Times New Roman" w:cs="Arial"/>
                <w:b/>
                <w:color w:val="FFFFFF"/>
                <w:szCs w:val="20"/>
                <w:lang w:eastAsia="fr-FR"/>
              </w:rPr>
            </w:pPr>
            <w:r w:rsidRPr="00BD607A">
              <w:rPr>
                <w:rFonts w:eastAsia="Times New Roman" w:cs="Arial"/>
                <w:b/>
                <w:color w:val="FFFFFF"/>
                <w:szCs w:val="20"/>
                <w:lang w:eastAsia="fr-FR"/>
              </w:rPr>
              <w:t>2017</w:t>
            </w:r>
          </w:p>
        </w:tc>
      </w:tr>
      <w:tr w:rsidR="00BD607A" w:rsidRPr="00BD607A" w14:paraId="0A9215DC" w14:textId="77777777" w:rsidTr="00A908A9">
        <w:trPr>
          <w:trHeight w:val="295"/>
        </w:trPr>
        <w:tc>
          <w:tcPr>
            <w:tcW w:w="2055" w:type="dxa"/>
            <w:tcBorders>
              <w:top w:val="single" w:sz="4" w:space="0" w:color="auto"/>
              <w:left w:val="single" w:sz="4" w:space="0" w:color="auto"/>
              <w:bottom w:val="single" w:sz="8" w:space="0" w:color="auto"/>
              <w:right w:val="nil"/>
            </w:tcBorders>
            <w:shd w:val="clear" w:color="auto" w:fill="auto"/>
            <w:noWrap/>
            <w:vAlign w:val="center"/>
            <w:hideMark/>
          </w:tcPr>
          <w:p w14:paraId="505DD321" w14:textId="77777777" w:rsidR="00BD607A" w:rsidRPr="00BD607A" w:rsidRDefault="00BD607A" w:rsidP="00BD607A">
            <w:pPr>
              <w:spacing w:after="0" w:line="240" w:lineRule="auto"/>
              <w:rPr>
                <w:rFonts w:eastAsia="Times New Roman" w:cs="Arial"/>
                <w:b/>
                <w:bCs/>
                <w:color w:val="000000"/>
                <w:szCs w:val="20"/>
                <w:lang w:eastAsia="fr-FR"/>
              </w:rPr>
            </w:pPr>
            <w:r w:rsidRPr="00BD607A">
              <w:rPr>
                <w:rFonts w:eastAsia="Times New Roman" w:cs="Arial"/>
                <w:b/>
                <w:bCs/>
                <w:color w:val="000000"/>
                <w:szCs w:val="20"/>
                <w:lang w:eastAsia="fr-FR"/>
              </w:rPr>
              <w:t>Catégorie</w:t>
            </w:r>
          </w:p>
        </w:tc>
        <w:tc>
          <w:tcPr>
            <w:tcW w:w="1064" w:type="dxa"/>
            <w:tcBorders>
              <w:top w:val="single" w:sz="4" w:space="0" w:color="auto"/>
              <w:left w:val="single" w:sz="8" w:space="0" w:color="auto"/>
              <w:bottom w:val="nil"/>
              <w:right w:val="single" w:sz="8" w:space="0" w:color="auto"/>
            </w:tcBorders>
            <w:shd w:val="clear" w:color="auto" w:fill="auto"/>
            <w:noWrap/>
            <w:vAlign w:val="center"/>
            <w:hideMark/>
          </w:tcPr>
          <w:p w14:paraId="3A79686A"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w:t>
            </w:r>
          </w:p>
        </w:tc>
        <w:tc>
          <w:tcPr>
            <w:tcW w:w="992" w:type="dxa"/>
            <w:tcBorders>
              <w:top w:val="single" w:sz="4" w:space="0" w:color="auto"/>
              <w:left w:val="nil"/>
              <w:bottom w:val="nil"/>
              <w:right w:val="single" w:sz="8" w:space="0" w:color="auto"/>
            </w:tcBorders>
            <w:shd w:val="clear" w:color="auto" w:fill="auto"/>
            <w:noWrap/>
            <w:vAlign w:val="center"/>
            <w:hideMark/>
          </w:tcPr>
          <w:p w14:paraId="5EA772AA"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w:t>
            </w:r>
          </w:p>
        </w:tc>
        <w:tc>
          <w:tcPr>
            <w:tcW w:w="993" w:type="dxa"/>
            <w:tcBorders>
              <w:top w:val="single" w:sz="4" w:space="0" w:color="auto"/>
              <w:left w:val="nil"/>
              <w:bottom w:val="nil"/>
              <w:right w:val="single" w:sz="8" w:space="0" w:color="auto"/>
            </w:tcBorders>
            <w:shd w:val="clear" w:color="auto" w:fill="auto"/>
            <w:noWrap/>
            <w:vAlign w:val="center"/>
            <w:hideMark/>
          </w:tcPr>
          <w:p w14:paraId="58E6BA8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w:t>
            </w:r>
          </w:p>
        </w:tc>
        <w:tc>
          <w:tcPr>
            <w:tcW w:w="992" w:type="dxa"/>
            <w:tcBorders>
              <w:top w:val="single" w:sz="4" w:space="0" w:color="auto"/>
              <w:left w:val="nil"/>
              <w:bottom w:val="nil"/>
              <w:right w:val="double" w:sz="6" w:space="0" w:color="auto"/>
            </w:tcBorders>
            <w:shd w:val="clear" w:color="auto" w:fill="auto"/>
            <w:noWrap/>
            <w:vAlign w:val="center"/>
            <w:hideMark/>
          </w:tcPr>
          <w:p w14:paraId="268E8D8F"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M EUR</w:t>
            </w:r>
          </w:p>
        </w:tc>
        <w:tc>
          <w:tcPr>
            <w:tcW w:w="1134" w:type="dxa"/>
            <w:tcBorders>
              <w:top w:val="single" w:sz="4" w:space="0" w:color="auto"/>
              <w:left w:val="nil"/>
              <w:bottom w:val="nil"/>
              <w:right w:val="single" w:sz="8" w:space="0" w:color="auto"/>
            </w:tcBorders>
            <w:shd w:val="clear" w:color="auto" w:fill="auto"/>
            <w:noWrap/>
            <w:vAlign w:val="center"/>
            <w:hideMark/>
          </w:tcPr>
          <w:p w14:paraId="45D9697C"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w:t>
            </w:r>
          </w:p>
        </w:tc>
        <w:tc>
          <w:tcPr>
            <w:tcW w:w="1134" w:type="dxa"/>
            <w:tcBorders>
              <w:top w:val="single" w:sz="4" w:space="0" w:color="auto"/>
              <w:left w:val="nil"/>
              <w:bottom w:val="nil"/>
              <w:right w:val="single" w:sz="8" w:space="0" w:color="auto"/>
            </w:tcBorders>
            <w:shd w:val="clear" w:color="auto" w:fill="auto"/>
            <w:noWrap/>
            <w:vAlign w:val="center"/>
            <w:hideMark/>
          </w:tcPr>
          <w:p w14:paraId="40B09F4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w:t>
            </w:r>
          </w:p>
        </w:tc>
        <w:tc>
          <w:tcPr>
            <w:tcW w:w="1134" w:type="dxa"/>
            <w:tcBorders>
              <w:top w:val="single" w:sz="4" w:space="0" w:color="auto"/>
              <w:left w:val="nil"/>
              <w:bottom w:val="nil"/>
              <w:right w:val="single" w:sz="8" w:space="0" w:color="auto"/>
            </w:tcBorders>
            <w:shd w:val="clear" w:color="auto" w:fill="auto"/>
            <w:noWrap/>
            <w:vAlign w:val="center"/>
            <w:hideMark/>
          </w:tcPr>
          <w:p w14:paraId="52DB297A"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w:t>
            </w:r>
          </w:p>
        </w:tc>
        <w:tc>
          <w:tcPr>
            <w:tcW w:w="1134" w:type="dxa"/>
            <w:tcBorders>
              <w:top w:val="single" w:sz="4" w:space="0" w:color="auto"/>
              <w:left w:val="nil"/>
              <w:bottom w:val="nil"/>
              <w:right w:val="single" w:sz="4" w:space="0" w:color="auto"/>
            </w:tcBorders>
            <w:shd w:val="clear" w:color="auto" w:fill="auto"/>
            <w:noWrap/>
            <w:vAlign w:val="center"/>
            <w:hideMark/>
          </w:tcPr>
          <w:p w14:paraId="3CD3207C"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M EUR</w:t>
            </w:r>
          </w:p>
        </w:tc>
      </w:tr>
      <w:tr w:rsidR="00BD607A" w:rsidRPr="00BD607A" w14:paraId="36B4D4EB" w14:textId="77777777" w:rsidTr="00A908A9">
        <w:trPr>
          <w:trHeight w:val="540"/>
        </w:trPr>
        <w:tc>
          <w:tcPr>
            <w:tcW w:w="2055" w:type="dxa"/>
            <w:tcBorders>
              <w:top w:val="nil"/>
              <w:left w:val="single" w:sz="4" w:space="0" w:color="auto"/>
              <w:bottom w:val="single" w:sz="8" w:space="0" w:color="auto"/>
              <w:right w:val="nil"/>
            </w:tcBorders>
            <w:shd w:val="clear" w:color="auto" w:fill="auto"/>
            <w:noWrap/>
            <w:vAlign w:val="center"/>
            <w:hideMark/>
          </w:tcPr>
          <w:p w14:paraId="215D401D" w14:textId="77777777" w:rsidR="00BD607A" w:rsidRPr="00BD607A" w:rsidRDefault="00BD607A" w:rsidP="00BD607A">
            <w:pPr>
              <w:spacing w:after="0" w:line="240" w:lineRule="auto"/>
              <w:rPr>
                <w:rFonts w:eastAsia="Times New Roman" w:cs="Arial"/>
                <w:b/>
                <w:bCs/>
                <w:color w:val="000000"/>
                <w:szCs w:val="20"/>
                <w:lang w:eastAsia="fr-FR"/>
              </w:rPr>
            </w:pPr>
            <w:r w:rsidRPr="00BD607A">
              <w:rPr>
                <w:rFonts w:eastAsia="Times New Roman" w:cs="Arial"/>
                <w:b/>
                <w:bCs/>
                <w:color w:val="000000"/>
                <w:szCs w:val="20"/>
                <w:lang w:eastAsia="fr-FR"/>
              </w:rPr>
              <w:t>Produits manufacturés</w:t>
            </w:r>
          </w:p>
        </w:tc>
        <w:tc>
          <w:tcPr>
            <w:tcW w:w="1064" w:type="dxa"/>
            <w:tcBorders>
              <w:top w:val="nil"/>
              <w:left w:val="single" w:sz="8" w:space="0" w:color="auto"/>
              <w:bottom w:val="nil"/>
              <w:right w:val="single" w:sz="8" w:space="0" w:color="auto"/>
            </w:tcBorders>
            <w:shd w:val="clear" w:color="auto" w:fill="auto"/>
            <w:noWrap/>
            <w:vAlign w:val="center"/>
            <w:hideMark/>
          </w:tcPr>
          <w:p w14:paraId="11714BF0"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50%</w:t>
            </w:r>
          </w:p>
        </w:tc>
        <w:tc>
          <w:tcPr>
            <w:tcW w:w="992" w:type="dxa"/>
            <w:tcBorders>
              <w:top w:val="nil"/>
              <w:left w:val="nil"/>
              <w:bottom w:val="nil"/>
              <w:right w:val="single" w:sz="8" w:space="0" w:color="auto"/>
            </w:tcBorders>
            <w:shd w:val="clear" w:color="auto" w:fill="auto"/>
            <w:noWrap/>
            <w:vAlign w:val="center"/>
            <w:hideMark/>
          </w:tcPr>
          <w:p w14:paraId="427B00E4"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30%</w:t>
            </w:r>
          </w:p>
        </w:tc>
        <w:tc>
          <w:tcPr>
            <w:tcW w:w="993" w:type="dxa"/>
            <w:tcBorders>
              <w:top w:val="nil"/>
              <w:left w:val="nil"/>
              <w:bottom w:val="nil"/>
              <w:right w:val="single" w:sz="8" w:space="0" w:color="auto"/>
            </w:tcBorders>
            <w:shd w:val="clear" w:color="auto" w:fill="auto"/>
            <w:noWrap/>
            <w:vAlign w:val="center"/>
            <w:hideMark/>
          </w:tcPr>
          <w:p w14:paraId="03DE0858"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28%</w:t>
            </w:r>
          </w:p>
        </w:tc>
        <w:tc>
          <w:tcPr>
            <w:tcW w:w="992" w:type="dxa"/>
            <w:tcBorders>
              <w:top w:val="nil"/>
              <w:left w:val="nil"/>
              <w:bottom w:val="nil"/>
              <w:right w:val="double" w:sz="6" w:space="0" w:color="auto"/>
            </w:tcBorders>
            <w:shd w:val="clear" w:color="auto" w:fill="auto"/>
            <w:noWrap/>
            <w:vAlign w:val="center"/>
            <w:hideMark/>
          </w:tcPr>
          <w:p w14:paraId="77F2BF74"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104,0</w:t>
            </w:r>
          </w:p>
        </w:tc>
        <w:tc>
          <w:tcPr>
            <w:tcW w:w="1134" w:type="dxa"/>
            <w:tcBorders>
              <w:top w:val="nil"/>
              <w:left w:val="nil"/>
              <w:bottom w:val="nil"/>
              <w:right w:val="single" w:sz="8" w:space="0" w:color="auto"/>
            </w:tcBorders>
            <w:shd w:val="clear" w:color="auto" w:fill="auto"/>
            <w:noWrap/>
            <w:vAlign w:val="center"/>
            <w:hideMark/>
          </w:tcPr>
          <w:p w14:paraId="36A7BAC7"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29%</w:t>
            </w:r>
          </w:p>
        </w:tc>
        <w:tc>
          <w:tcPr>
            <w:tcW w:w="1134" w:type="dxa"/>
            <w:tcBorders>
              <w:top w:val="nil"/>
              <w:left w:val="nil"/>
              <w:bottom w:val="nil"/>
              <w:right w:val="single" w:sz="8" w:space="0" w:color="auto"/>
            </w:tcBorders>
            <w:shd w:val="clear" w:color="auto" w:fill="auto"/>
            <w:noWrap/>
            <w:vAlign w:val="center"/>
            <w:hideMark/>
          </w:tcPr>
          <w:p w14:paraId="5BB5450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30%</w:t>
            </w:r>
          </w:p>
        </w:tc>
        <w:tc>
          <w:tcPr>
            <w:tcW w:w="1134" w:type="dxa"/>
            <w:tcBorders>
              <w:top w:val="nil"/>
              <w:left w:val="nil"/>
              <w:bottom w:val="nil"/>
              <w:right w:val="single" w:sz="8" w:space="0" w:color="auto"/>
            </w:tcBorders>
            <w:shd w:val="clear" w:color="auto" w:fill="auto"/>
            <w:noWrap/>
            <w:vAlign w:val="center"/>
            <w:hideMark/>
          </w:tcPr>
          <w:p w14:paraId="5425E420"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18%</w:t>
            </w:r>
          </w:p>
        </w:tc>
        <w:tc>
          <w:tcPr>
            <w:tcW w:w="1134" w:type="dxa"/>
            <w:tcBorders>
              <w:top w:val="nil"/>
              <w:left w:val="nil"/>
              <w:bottom w:val="nil"/>
              <w:right w:val="single" w:sz="4" w:space="0" w:color="auto"/>
            </w:tcBorders>
            <w:shd w:val="clear" w:color="auto" w:fill="auto"/>
            <w:noWrap/>
            <w:vAlign w:val="center"/>
            <w:hideMark/>
          </w:tcPr>
          <w:p w14:paraId="4CAD7D82"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409,6</w:t>
            </w:r>
          </w:p>
        </w:tc>
      </w:tr>
      <w:tr w:rsidR="00BD607A" w:rsidRPr="00BD607A" w14:paraId="7A89B6F3" w14:textId="77777777" w:rsidTr="00A908A9">
        <w:trPr>
          <w:trHeight w:val="832"/>
        </w:trPr>
        <w:tc>
          <w:tcPr>
            <w:tcW w:w="2055" w:type="dxa"/>
            <w:tcBorders>
              <w:top w:val="nil"/>
              <w:left w:val="single" w:sz="4" w:space="0" w:color="auto"/>
              <w:bottom w:val="single" w:sz="8" w:space="0" w:color="auto"/>
              <w:right w:val="nil"/>
            </w:tcBorders>
            <w:shd w:val="clear" w:color="auto" w:fill="auto"/>
            <w:noWrap/>
            <w:vAlign w:val="center"/>
            <w:hideMark/>
          </w:tcPr>
          <w:p w14:paraId="52591C67" w14:textId="77777777" w:rsidR="00BD607A" w:rsidRPr="00BD607A" w:rsidRDefault="00BD607A" w:rsidP="00BD607A">
            <w:pPr>
              <w:spacing w:after="0" w:line="240" w:lineRule="auto"/>
              <w:rPr>
                <w:rFonts w:eastAsia="Times New Roman" w:cs="Arial"/>
                <w:b/>
                <w:bCs/>
                <w:color w:val="000000"/>
                <w:szCs w:val="20"/>
                <w:lang w:eastAsia="fr-FR"/>
              </w:rPr>
            </w:pPr>
            <w:r w:rsidRPr="00BD607A">
              <w:rPr>
                <w:rFonts w:eastAsia="Times New Roman" w:cs="Arial"/>
                <w:b/>
                <w:bCs/>
                <w:color w:val="000000"/>
                <w:szCs w:val="20"/>
                <w:lang w:eastAsia="fr-FR"/>
              </w:rPr>
              <w:t>Produits bruts, hors produits énergétiques</w:t>
            </w:r>
          </w:p>
        </w:tc>
        <w:tc>
          <w:tcPr>
            <w:tcW w:w="1064" w:type="dxa"/>
            <w:tcBorders>
              <w:top w:val="nil"/>
              <w:left w:val="single" w:sz="8" w:space="0" w:color="auto"/>
              <w:bottom w:val="nil"/>
              <w:right w:val="single" w:sz="8" w:space="0" w:color="auto"/>
            </w:tcBorders>
            <w:shd w:val="clear" w:color="auto" w:fill="auto"/>
            <w:noWrap/>
            <w:vAlign w:val="center"/>
            <w:hideMark/>
          </w:tcPr>
          <w:p w14:paraId="3FA37DE0"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14%</w:t>
            </w:r>
          </w:p>
        </w:tc>
        <w:tc>
          <w:tcPr>
            <w:tcW w:w="992" w:type="dxa"/>
            <w:tcBorders>
              <w:top w:val="nil"/>
              <w:left w:val="nil"/>
              <w:bottom w:val="nil"/>
              <w:right w:val="single" w:sz="8" w:space="0" w:color="auto"/>
            </w:tcBorders>
            <w:shd w:val="clear" w:color="auto" w:fill="auto"/>
            <w:noWrap/>
            <w:vAlign w:val="center"/>
            <w:hideMark/>
          </w:tcPr>
          <w:p w14:paraId="7E20C7C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22%</w:t>
            </w:r>
          </w:p>
        </w:tc>
        <w:tc>
          <w:tcPr>
            <w:tcW w:w="993" w:type="dxa"/>
            <w:tcBorders>
              <w:top w:val="nil"/>
              <w:left w:val="nil"/>
              <w:bottom w:val="nil"/>
              <w:right w:val="single" w:sz="8" w:space="0" w:color="auto"/>
            </w:tcBorders>
            <w:shd w:val="clear" w:color="auto" w:fill="auto"/>
            <w:noWrap/>
            <w:vAlign w:val="center"/>
            <w:hideMark/>
          </w:tcPr>
          <w:p w14:paraId="4A9CE91F"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28%</w:t>
            </w:r>
          </w:p>
        </w:tc>
        <w:tc>
          <w:tcPr>
            <w:tcW w:w="992" w:type="dxa"/>
            <w:tcBorders>
              <w:top w:val="nil"/>
              <w:left w:val="nil"/>
              <w:bottom w:val="nil"/>
              <w:right w:val="double" w:sz="6" w:space="0" w:color="auto"/>
            </w:tcBorders>
            <w:shd w:val="clear" w:color="auto" w:fill="auto"/>
            <w:noWrap/>
            <w:vAlign w:val="center"/>
            <w:hideMark/>
          </w:tcPr>
          <w:p w14:paraId="00A81D3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102,7</w:t>
            </w:r>
          </w:p>
        </w:tc>
        <w:tc>
          <w:tcPr>
            <w:tcW w:w="1134" w:type="dxa"/>
            <w:tcBorders>
              <w:top w:val="nil"/>
              <w:left w:val="nil"/>
              <w:bottom w:val="nil"/>
              <w:right w:val="single" w:sz="8" w:space="0" w:color="auto"/>
            </w:tcBorders>
            <w:shd w:val="clear" w:color="auto" w:fill="auto"/>
            <w:noWrap/>
            <w:vAlign w:val="center"/>
            <w:hideMark/>
          </w:tcPr>
          <w:p w14:paraId="4C755704"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4%</w:t>
            </w:r>
          </w:p>
        </w:tc>
        <w:tc>
          <w:tcPr>
            <w:tcW w:w="1134" w:type="dxa"/>
            <w:tcBorders>
              <w:top w:val="nil"/>
              <w:left w:val="nil"/>
              <w:bottom w:val="nil"/>
              <w:right w:val="single" w:sz="8" w:space="0" w:color="auto"/>
            </w:tcBorders>
            <w:shd w:val="clear" w:color="auto" w:fill="auto"/>
            <w:noWrap/>
            <w:vAlign w:val="center"/>
            <w:hideMark/>
          </w:tcPr>
          <w:p w14:paraId="4C980959"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w:t>
            </w:r>
          </w:p>
        </w:tc>
        <w:tc>
          <w:tcPr>
            <w:tcW w:w="1134" w:type="dxa"/>
            <w:tcBorders>
              <w:top w:val="nil"/>
              <w:left w:val="nil"/>
              <w:bottom w:val="nil"/>
              <w:right w:val="single" w:sz="8" w:space="0" w:color="auto"/>
            </w:tcBorders>
            <w:shd w:val="clear" w:color="auto" w:fill="auto"/>
            <w:noWrap/>
            <w:vAlign w:val="center"/>
            <w:hideMark/>
          </w:tcPr>
          <w:p w14:paraId="7FAB78EA"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w:t>
            </w:r>
          </w:p>
        </w:tc>
        <w:tc>
          <w:tcPr>
            <w:tcW w:w="1134" w:type="dxa"/>
            <w:tcBorders>
              <w:top w:val="nil"/>
              <w:left w:val="nil"/>
              <w:bottom w:val="nil"/>
              <w:right w:val="single" w:sz="4" w:space="0" w:color="auto"/>
            </w:tcBorders>
            <w:shd w:val="clear" w:color="auto" w:fill="auto"/>
            <w:noWrap/>
            <w:vAlign w:val="center"/>
            <w:hideMark/>
          </w:tcPr>
          <w:p w14:paraId="704AA430"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42,4</w:t>
            </w:r>
          </w:p>
        </w:tc>
      </w:tr>
      <w:tr w:rsidR="00BD607A" w:rsidRPr="00BD607A" w14:paraId="2A3214A2" w14:textId="77777777" w:rsidTr="00A908A9">
        <w:trPr>
          <w:trHeight w:val="561"/>
        </w:trPr>
        <w:tc>
          <w:tcPr>
            <w:tcW w:w="2055" w:type="dxa"/>
            <w:tcBorders>
              <w:top w:val="nil"/>
              <w:left w:val="single" w:sz="4" w:space="0" w:color="auto"/>
              <w:bottom w:val="single" w:sz="8" w:space="0" w:color="auto"/>
              <w:right w:val="nil"/>
            </w:tcBorders>
            <w:shd w:val="clear" w:color="auto" w:fill="auto"/>
            <w:noWrap/>
            <w:vAlign w:val="center"/>
            <w:hideMark/>
          </w:tcPr>
          <w:p w14:paraId="103C8FAD" w14:textId="77777777" w:rsidR="00BD607A" w:rsidRPr="00BD607A" w:rsidRDefault="00BD607A" w:rsidP="00BD607A">
            <w:pPr>
              <w:spacing w:after="0" w:line="240" w:lineRule="auto"/>
              <w:rPr>
                <w:rFonts w:eastAsia="Times New Roman" w:cs="Arial"/>
                <w:b/>
                <w:bCs/>
                <w:color w:val="000000"/>
                <w:szCs w:val="20"/>
                <w:lang w:eastAsia="fr-FR"/>
              </w:rPr>
            </w:pPr>
            <w:r w:rsidRPr="00BD607A">
              <w:rPr>
                <w:rFonts w:eastAsia="Times New Roman" w:cs="Arial"/>
                <w:b/>
                <w:bCs/>
                <w:color w:val="000000"/>
                <w:szCs w:val="20"/>
                <w:lang w:eastAsia="fr-FR"/>
              </w:rPr>
              <w:t>Produits énergétiques</w:t>
            </w:r>
          </w:p>
        </w:tc>
        <w:tc>
          <w:tcPr>
            <w:tcW w:w="1064" w:type="dxa"/>
            <w:tcBorders>
              <w:top w:val="nil"/>
              <w:left w:val="single" w:sz="8" w:space="0" w:color="auto"/>
              <w:bottom w:val="nil"/>
              <w:right w:val="single" w:sz="8" w:space="0" w:color="auto"/>
            </w:tcBorders>
            <w:shd w:val="clear" w:color="auto" w:fill="auto"/>
            <w:noWrap/>
            <w:vAlign w:val="center"/>
            <w:hideMark/>
          </w:tcPr>
          <w:p w14:paraId="7E609C03"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w:t>
            </w:r>
          </w:p>
        </w:tc>
        <w:tc>
          <w:tcPr>
            <w:tcW w:w="992" w:type="dxa"/>
            <w:tcBorders>
              <w:top w:val="nil"/>
              <w:left w:val="nil"/>
              <w:bottom w:val="nil"/>
              <w:right w:val="single" w:sz="8" w:space="0" w:color="auto"/>
            </w:tcBorders>
            <w:shd w:val="clear" w:color="auto" w:fill="auto"/>
            <w:noWrap/>
            <w:vAlign w:val="center"/>
            <w:hideMark/>
          </w:tcPr>
          <w:p w14:paraId="5B4E19D2"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16%</w:t>
            </w:r>
          </w:p>
        </w:tc>
        <w:tc>
          <w:tcPr>
            <w:tcW w:w="993" w:type="dxa"/>
            <w:tcBorders>
              <w:top w:val="nil"/>
              <w:left w:val="nil"/>
              <w:bottom w:val="nil"/>
              <w:right w:val="single" w:sz="8" w:space="0" w:color="auto"/>
            </w:tcBorders>
            <w:shd w:val="clear" w:color="auto" w:fill="auto"/>
            <w:noWrap/>
            <w:vAlign w:val="center"/>
            <w:hideMark/>
          </w:tcPr>
          <w:p w14:paraId="5E417B82"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12%</w:t>
            </w:r>
          </w:p>
        </w:tc>
        <w:tc>
          <w:tcPr>
            <w:tcW w:w="992" w:type="dxa"/>
            <w:tcBorders>
              <w:top w:val="nil"/>
              <w:left w:val="nil"/>
              <w:bottom w:val="nil"/>
              <w:right w:val="double" w:sz="6" w:space="0" w:color="auto"/>
            </w:tcBorders>
            <w:shd w:val="clear" w:color="auto" w:fill="auto"/>
            <w:noWrap/>
            <w:vAlign w:val="center"/>
            <w:hideMark/>
          </w:tcPr>
          <w:p w14:paraId="112C0B7D"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46,0</w:t>
            </w:r>
          </w:p>
        </w:tc>
        <w:tc>
          <w:tcPr>
            <w:tcW w:w="1134" w:type="dxa"/>
            <w:tcBorders>
              <w:top w:val="nil"/>
              <w:left w:val="nil"/>
              <w:bottom w:val="nil"/>
              <w:right w:val="single" w:sz="8" w:space="0" w:color="auto"/>
            </w:tcBorders>
            <w:shd w:val="clear" w:color="auto" w:fill="auto"/>
            <w:noWrap/>
            <w:vAlign w:val="center"/>
            <w:hideMark/>
          </w:tcPr>
          <w:p w14:paraId="61C1650B"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13%</w:t>
            </w:r>
          </w:p>
        </w:tc>
        <w:tc>
          <w:tcPr>
            <w:tcW w:w="1134" w:type="dxa"/>
            <w:tcBorders>
              <w:top w:val="nil"/>
              <w:left w:val="nil"/>
              <w:bottom w:val="nil"/>
              <w:right w:val="single" w:sz="8" w:space="0" w:color="auto"/>
            </w:tcBorders>
            <w:shd w:val="clear" w:color="auto" w:fill="auto"/>
            <w:noWrap/>
            <w:vAlign w:val="center"/>
            <w:hideMark/>
          </w:tcPr>
          <w:p w14:paraId="534E3E65"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9%</w:t>
            </w:r>
          </w:p>
        </w:tc>
        <w:tc>
          <w:tcPr>
            <w:tcW w:w="1134" w:type="dxa"/>
            <w:tcBorders>
              <w:top w:val="nil"/>
              <w:left w:val="nil"/>
              <w:bottom w:val="nil"/>
              <w:right w:val="single" w:sz="8" w:space="0" w:color="auto"/>
            </w:tcBorders>
            <w:shd w:val="clear" w:color="auto" w:fill="auto"/>
            <w:noWrap/>
            <w:vAlign w:val="center"/>
            <w:hideMark/>
          </w:tcPr>
          <w:p w14:paraId="7BBC9C01"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11%</w:t>
            </w:r>
          </w:p>
        </w:tc>
        <w:tc>
          <w:tcPr>
            <w:tcW w:w="1134" w:type="dxa"/>
            <w:tcBorders>
              <w:top w:val="nil"/>
              <w:left w:val="nil"/>
              <w:bottom w:val="nil"/>
              <w:right w:val="single" w:sz="4" w:space="0" w:color="auto"/>
            </w:tcBorders>
            <w:shd w:val="clear" w:color="auto" w:fill="auto"/>
            <w:noWrap/>
            <w:vAlign w:val="center"/>
            <w:hideMark/>
          </w:tcPr>
          <w:p w14:paraId="0DB9C11C"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255,9</w:t>
            </w:r>
          </w:p>
        </w:tc>
      </w:tr>
      <w:tr w:rsidR="00BD607A" w:rsidRPr="00BD607A" w14:paraId="11F01E7E" w14:textId="77777777" w:rsidTr="00A908A9">
        <w:trPr>
          <w:trHeight w:val="810"/>
        </w:trPr>
        <w:tc>
          <w:tcPr>
            <w:tcW w:w="2055" w:type="dxa"/>
            <w:tcBorders>
              <w:top w:val="nil"/>
              <w:left w:val="single" w:sz="4" w:space="0" w:color="auto"/>
              <w:bottom w:val="single" w:sz="8" w:space="0" w:color="auto"/>
              <w:right w:val="nil"/>
            </w:tcBorders>
            <w:shd w:val="clear" w:color="auto" w:fill="auto"/>
            <w:noWrap/>
            <w:vAlign w:val="center"/>
            <w:hideMark/>
          </w:tcPr>
          <w:p w14:paraId="5E4E4CF0" w14:textId="77777777" w:rsidR="00BD607A" w:rsidRPr="00BD607A" w:rsidRDefault="00BD607A" w:rsidP="00BD607A">
            <w:pPr>
              <w:spacing w:after="0" w:line="240" w:lineRule="auto"/>
              <w:rPr>
                <w:rFonts w:eastAsia="Times New Roman" w:cs="Arial"/>
                <w:b/>
                <w:bCs/>
                <w:color w:val="000000"/>
                <w:szCs w:val="20"/>
                <w:lang w:eastAsia="fr-FR"/>
              </w:rPr>
            </w:pPr>
            <w:r w:rsidRPr="00BD607A">
              <w:rPr>
                <w:rFonts w:eastAsia="Times New Roman" w:cs="Arial"/>
                <w:b/>
                <w:bCs/>
                <w:color w:val="000000"/>
                <w:szCs w:val="20"/>
                <w:lang w:eastAsia="fr-FR"/>
              </w:rPr>
              <w:t>Machines et équipements de transport</w:t>
            </w:r>
          </w:p>
        </w:tc>
        <w:tc>
          <w:tcPr>
            <w:tcW w:w="1064" w:type="dxa"/>
            <w:tcBorders>
              <w:top w:val="nil"/>
              <w:left w:val="single" w:sz="8" w:space="0" w:color="auto"/>
              <w:bottom w:val="nil"/>
              <w:right w:val="single" w:sz="8" w:space="0" w:color="auto"/>
            </w:tcBorders>
            <w:shd w:val="clear" w:color="auto" w:fill="auto"/>
            <w:noWrap/>
            <w:vAlign w:val="center"/>
            <w:hideMark/>
          </w:tcPr>
          <w:p w14:paraId="7CEA74F7"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8%</w:t>
            </w:r>
          </w:p>
        </w:tc>
        <w:tc>
          <w:tcPr>
            <w:tcW w:w="992" w:type="dxa"/>
            <w:tcBorders>
              <w:top w:val="nil"/>
              <w:left w:val="nil"/>
              <w:bottom w:val="nil"/>
              <w:right w:val="single" w:sz="8" w:space="0" w:color="auto"/>
            </w:tcBorders>
            <w:shd w:val="clear" w:color="auto" w:fill="auto"/>
            <w:noWrap/>
            <w:vAlign w:val="center"/>
            <w:hideMark/>
          </w:tcPr>
          <w:p w14:paraId="49962982"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w:t>
            </w:r>
          </w:p>
        </w:tc>
        <w:tc>
          <w:tcPr>
            <w:tcW w:w="993" w:type="dxa"/>
            <w:tcBorders>
              <w:top w:val="nil"/>
              <w:left w:val="nil"/>
              <w:bottom w:val="nil"/>
              <w:right w:val="single" w:sz="8" w:space="0" w:color="auto"/>
            </w:tcBorders>
            <w:shd w:val="clear" w:color="auto" w:fill="auto"/>
            <w:noWrap/>
            <w:vAlign w:val="center"/>
            <w:hideMark/>
          </w:tcPr>
          <w:p w14:paraId="20C32AC8"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11%</w:t>
            </w:r>
          </w:p>
        </w:tc>
        <w:tc>
          <w:tcPr>
            <w:tcW w:w="992" w:type="dxa"/>
            <w:tcBorders>
              <w:top w:val="nil"/>
              <w:left w:val="nil"/>
              <w:bottom w:val="nil"/>
              <w:right w:val="double" w:sz="6" w:space="0" w:color="auto"/>
            </w:tcBorders>
            <w:shd w:val="clear" w:color="auto" w:fill="auto"/>
            <w:noWrap/>
            <w:vAlign w:val="center"/>
            <w:hideMark/>
          </w:tcPr>
          <w:p w14:paraId="7A4D0A3A"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41,6</w:t>
            </w:r>
          </w:p>
        </w:tc>
        <w:tc>
          <w:tcPr>
            <w:tcW w:w="1134" w:type="dxa"/>
            <w:tcBorders>
              <w:top w:val="nil"/>
              <w:left w:val="nil"/>
              <w:bottom w:val="nil"/>
              <w:right w:val="single" w:sz="8" w:space="0" w:color="auto"/>
            </w:tcBorders>
            <w:shd w:val="clear" w:color="auto" w:fill="auto"/>
            <w:noWrap/>
            <w:vAlign w:val="center"/>
            <w:hideMark/>
          </w:tcPr>
          <w:p w14:paraId="788E4F8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21%</w:t>
            </w:r>
          </w:p>
        </w:tc>
        <w:tc>
          <w:tcPr>
            <w:tcW w:w="1134" w:type="dxa"/>
            <w:tcBorders>
              <w:top w:val="nil"/>
              <w:left w:val="nil"/>
              <w:bottom w:val="nil"/>
              <w:right w:val="single" w:sz="8" w:space="0" w:color="auto"/>
            </w:tcBorders>
            <w:shd w:val="clear" w:color="auto" w:fill="auto"/>
            <w:noWrap/>
            <w:vAlign w:val="center"/>
            <w:hideMark/>
          </w:tcPr>
          <w:p w14:paraId="068DBCA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26%</w:t>
            </w:r>
          </w:p>
        </w:tc>
        <w:tc>
          <w:tcPr>
            <w:tcW w:w="1134" w:type="dxa"/>
            <w:tcBorders>
              <w:top w:val="nil"/>
              <w:left w:val="nil"/>
              <w:bottom w:val="nil"/>
              <w:right w:val="single" w:sz="8" w:space="0" w:color="auto"/>
            </w:tcBorders>
            <w:shd w:val="clear" w:color="auto" w:fill="auto"/>
            <w:noWrap/>
            <w:vAlign w:val="center"/>
            <w:hideMark/>
          </w:tcPr>
          <w:p w14:paraId="068ACE40"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24%</w:t>
            </w:r>
          </w:p>
        </w:tc>
        <w:tc>
          <w:tcPr>
            <w:tcW w:w="1134" w:type="dxa"/>
            <w:tcBorders>
              <w:top w:val="nil"/>
              <w:left w:val="nil"/>
              <w:bottom w:val="nil"/>
              <w:right w:val="single" w:sz="4" w:space="0" w:color="auto"/>
            </w:tcBorders>
            <w:shd w:val="clear" w:color="auto" w:fill="auto"/>
            <w:noWrap/>
            <w:vAlign w:val="center"/>
            <w:hideMark/>
          </w:tcPr>
          <w:p w14:paraId="16172B98"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552,5</w:t>
            </w:r>
          </w:p>
        </w:tc>
      </w:tr>
      <w:tr w:rsidR="00BD607A" w:rsidRPr="00BD607A" w14:paraId="6D080B3C" w14:textId="77777777" w:rsidTr="00A908A9">
        <w:trPr>
          <w:trHeight w:val="552"/>
        </w:trPr>
        <w:tc>
          <w:tcPr>
            <w:tcW w:w="2055" w:type="dxa"/>
            <w:tcBorders>
              <w:top w:val="nil"/>
              <w:left w:val="single" w:sz="4" w:space="0" w:color="auto"/>
              <w:bottom w:val="single" w:sz="8" w:space="0" w:color="auto"/>
              <w:right w:val="nil"/>
            </w:tcBorders>
            <w:shd w:val="clear" w:color="auto" w:fill="auto"/>
            <w:noWrap/>
            <w:vAlign w:val="center"/>
            <w:hideMark/>
          </w:tcPr>
          <w:p w14:paraId="43CE8B0F" w14:textId="77777777" w:rsidR="00BD607A" w:rsidRPr="00BD607A" w:rsidRDefault="00BD607A" w:rsidP="00BD607A">
            <w:pPr>
              <w:spacing w:after="0" w:line="240" w:lineRule="auto"/>
              <w:rPr>
                <w:rFonts w:eastAsia="Times New Roman" w:cs="Arial"/>
                <w:b/>
                <w:bCs/>
                <w:color w:val="000000"/>
                <w:szCs w:val="20"/>
                <w:lang w:eastAsia="fr-FR"/>
              </w:rPr>
            </w:pPr>
            <w:r w:rsidRPr="00BD607A">
              <w:rPr>
                <w:rFonts w:eastAsia="Times New Roman" w:cs="Arial"/>
                <w:b/>
                <w:bCs/>
                <w:color w:val="000000"/>
                <w:szCs w:val="20"/>
                <w:lang w:eastAsia="fr-FR"/>
              </w:rPr>
              <w:t>Industrie Agro-alimentaire</w:t>
            </w:r>
          </w:p>
        </w:tc>
        <w:tc>
          <w:tcPr>
            <w:tcW w:w="1064" w:type="dxa"/>
            <w:tcBorders>
              <w:top w:val="nil"/>
              <w:left w:val="single" w:sz="8" w:space="0" w:color="auto"/>
              <w:bottom w:val="nil"/>
              <w:right w:val="single" w:sz="8" w:space="0" w:color="auto"/>
            </w:tcBorders>
            <w:shd w:val="clear" w:color="auto" w:fill="auto"/>
            <w:noWrap/>
            <w:vAlign w:val="center"/>
            <w:hideMark/>
          </w:tcPr>
          <w:p w14:paraId="65B99CA2"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14%</w:t>
            </w:r>
          </w:p>
        </w:tc>
        <w:tc>
          <w:tcPr>
            <w:tcW w:w="992" w:type="dxa"/>
            <w:tcBorders>
              <w:top w:val="nil"/>
              <w:left w:val="nil"/>
              <w:bottom w:val="nil"/>
              <w:right w:val="single" w:sz="8" w:space="0" w:color="auto"/>
            </w:tcBorders>
            <w:shd w:val="clear" w:color="auto" w:fill="auto"/>
            <w:noWrap/>
            <w:vAlign w:val="center"/>
            <w:hideMark/>
          </w:tcPr>
          <w:p w14:paraId="1CBAD90E"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15%</w:t>
            </w:r>
          </w:p>
        </w:tc>
        <w:tc>
          <w:tcPr>
            <w:tcW w:w="993" w:type="dxa"/>
            <w:tcBorders>
              <w:top w:val="nil"/>
              <w:left w:val="nil"/>
              <w:bottom w:val="nil"/>
              <w:right w:val="single" w:sz="8" w:space="0" w:color="auto"/>
            </w:tcBorders>
            <w:shd w:val="clear" w:color="auto" w:fill="auto"/>
            <w:noWrap/>
            <w:vAlign w:val="center"/>
            <w:hideMark/>
          </w:tcPr>
          <w:p w14:paraId="4725BEA2"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7%</w:t>
            </w:r>
          </w:p>
        </w:tc>
        <w:tc>
          <w:tcPr>
            <w:tcW w:w="992" w:type="dxa"/>
            <w:tcBorders>
              <w:top w:val="nil"/>
              <w:left w:val="nil"/>
              <w:bottom w:val="nil"/>
              <w:right w:val="double" w:sz="6" w:space="0" w:color="auto"/>
            </w:tcBorders>
            <w:shd w:val="clear" w:color="auto" w:fill="auto"/>
            <w:noWrap/>
            <w:vAlign w:val="center"/>
            <w:hideMark/>
          </w:tcPr>
          <w:p w14:paraId="0E0F30CF"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26,4</w:t>
            </w:r>
          </w:p>
        </w:tc>
        <w:tc>
          <w:tcPr>
            <w:tcW w:w="1134" w:type="dxa"/>
            <w:tcBorders>
              <w:top w:val="nil"/>
              <w:left w:val="nil"/>
              <w:bottom w:val="nil"/>
              <w:right w:val="single" w:sz="8" w:space="0" w:color="auto"/>
            </w:tcBorders>
            <w:shd w:val="clear" w:color="auto" w:fill="auto"/>
            <w:noWrap/>
            <w:vAlign w:val="center"/>
            <w:hideMark/>
          </w:tcPr>
          <w:p w14:paraId="77D03483"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23%</w:t>
            </w:r>
          </w:p>
        </w:tc>
        <w:tc>
          <w:tcPr>
            <w:tcW w:w="1134" w:type="dxa"/>
            <w:tcBorders>
              <w:top w:val="nil"/>
              <w:left w:val="nil"/>
              <w:bottom w:val="nil"/>
              <w:right w:val="single" w:sz="8" w:space="0" w:color="auto"/>
            </w:tcBorders>
            <w:shd w:val="clear" w:color="auto" w:fill="auto"/>
            <w:noWrap/>
            <w:vAlign w:val="center"/>
            <w:hideMark/>
          </w:tcPr>
          <w:p w14:paraId="097B7217"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23%</w:t>
            </w:r>
          </w:p>
        </w:tc>
        <w:tc>
          <w:tcPr>
            <w:tcW w:w="1134" w:type="dxa"/>
            <w:tcBorders>
              <w:top w:val="nil"/>
              <w:left w:val="nil"/>
              <w:bottom w:val="nil"/>
              <w:right w:val="single" w:sz="8" w:space="0" w:color="auto"/>
            </w:tcBorders>
            <w:shd w:val="clear" w:color="auto" w:fill="auto"/>
            <w:noWrap/>
            <w:vAlign w:val="center"/>
            <w:hideMark/>
          </w:tcPr>
          <w:p w14:paraId="5FD4906E"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18%</w:t>
            </w:r>
          </w:p>
        </w:tc>
        <w:tc>
          <w:tcPr>
            <w:tcW w:w="1134" w:type="dxa"/>
            <w:tcBorders>
              <w:top w:val="nil"/>
              <w:left w:val="nil"/>
              <w:bottom w:val="nil"/>
              <w:right w:val="single" w:sz="4" w:space="0" w:color="auto"/>
            </w:tcBorders>
            <w:shd w:val="clear" w:color="auto" w:fill="auto"/>
            <w:noWrap/>
            <w:vAlign w:val="center"/>
            <w:hideMark/>
          </w:tcPr>
          <w:p w14:paraId="78B5AF03"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426,0</w:t>
            </w:r>
          </w:p>
        </w:tc>
      </w:tr>
      <w:tr w:rsidR="00BD607A" w:rsidRPr="00BD607A" w14:paraId="71266403" w14:textId="77777777" w:rsidTr="00A908A9">
        <w:trPr>
          <w:trHeight w:val="830"/>
        </w:trPr>
        <w:tc>
          <w:tcPr>
            <w:tcW w:w="2055" w:type="dxa"/>
            <w:tcBorders>
              <w:top w:val="nil"/>
              <w:left w:val="single" w:sz="4" w:space="0" w:color="auto"/>
              <w:bottom w:val="single" w:sz="8" w:space="0" w:color="auto"/>
              <w:right w:val="nil"/>
            </w:tcBorders>
            <w:shd w:val="clear" w:color="auto" w:fill="auto"/>
            <w:noWrap/>
            <w:vAlign w:val="center"/>
            <w:hideMark/>
          </w:tcPr>
          <w:p w14:paraId="68A3F475" w14:textId="77777777" w:rsidR="00BD607A" w:rsidRPr="00BD607A" w:rsidRDefault="00BD607A" w:rsidP="00BD607A">
            <w:pPr>
              <w:spacing w:after="0" w:line="240" w:lineRule="auto"/>
              <w:rPr>
                <w:rFonts w:eastAsia="Times New Roman" w:cs="Arial"/>
                <w:b/>
                <w:bCs/>
                <w:color w:val="000000"/>
                <w:szCs w:val="20"/>
                <w:lang w:eastAsia="fr-FR"/>
              </w:rPr>
            </w:pPr>
            <w:r w:rsidRPr="00BD607A">
              <w:rPr>
                <w:rFonts w:eastAsia="Times New Roman" w:cs="Arial"/>
                <w:b/>
                <w:bCs/>
                <w:color w:val="000000"/>
                <w:szCs w:val="20"/>
                <w:lang w:eastAsia="fr-FR"/>
              </w:rPr>
              <w:t>Produits pharmaceutiques et chimiques</w:t>
            </w:r>
          </w:p>
        </w:tc>
        <w:tc>
          <w:tcPr>
            <w:tcW w:w="1064" w:type="dxa"/>
            <w:tcBorders>
              <w:top w:val="nil"/>
              <w:left w:val="single" w:sz="8" w:space="0" w:color="auto"/>
              <w:bottom w:val="nil"/>
              <w:right w:val="single" w:sz="8" w:space="0" w:color="auto"/>
            </w:tcBorders>
            <w:shd w:val="clear" w:color="auto" w:fill="auto"/>
            <w:noWrap/>
            <w:vAlign w:val="center"/>
            <w:hideMark/>
          </w:tcPr>
          <w:p w14:paraId="74E6097D"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4%</w:t>
            </w:r>
          </w:p>
        </w:tc>
        <w:tc>
          <w:tcPr>
            <w:tcW w:w="992" w:type="dxa"/>
            <w:tcBorders>
              <w:top w:val="nil"/>
              <w:left w:val="nil"/>
              <w:bottom w:val="nil"/>
              <w:right w:val="single" w:sz="8" w:space="0" w:color="auto"/>
            </w:tcBorders>
            <w:shd w:val="clear" w:color="auto" w:fill="auto"/>
            <w:noWrap/>
            <w:vAlign w:val="center"/>
            <w:hideMark/>
          </w:tcPr>
          <w:p w14:paraId="3806EA3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5%</w:t>
            </w:r>
          </w:p>
        </w:tc>
        <w:tc>
          <w:tcPr>
            <w:tcW w:w="993" w:type="dxa"/>
            <w:tcBorders>
              <w:top w:val="nil"/>
              <w:left w:val="nil"/>
              <w:bottom w:val="nil"/>
              <w:right w:val="single" w:sz="8" w:space="0" w:color="auto"/>
            </w:tcBorders>
            <w:shd w:val="clear" w:color="auto" w:fill="auto"/>
            <w:noWrap/>
            <w:vAlign w:val="center"/>
            <w:hideMark/>
          </w:tcPr>
          <w:p w14:paraId="7C53DF5F"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5%</w:t>
            </w:r>
          </w:p>
        </w:tc>
        <w:tc>
          <w:tcPr>
            <w:tcW w:w="992" w:type="dxa"/>
            <w:tcBorders>
              <w:top w:val="nil"/>
              <w:left w:val="nil"/>
              <w:bottom w:val="nil"/>
              <w:right w:val="double" w:sz="6" w:space="0" w:color="auto"/>
            </w:tcBorders>
            <w:shd w:val="clear" w:color="auto" w:fill="auto"/>
            <w:noWrap/>
            <w:vAlign w:val="center"/>
            <w:hideMark/>
          </w:tcPr>
          <w:p w14:paraId="38AD43D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17,6</w:t>
            </w:r>
          </w:p>
        </w:tc>
        <w:tc>
          <w:tcPr>
            <w:tcW w:w="1134" w:type="dxa"/>
            <w:tcBorders>
              <w:top w:val="nil"/>
              <w:left w:val="nil"/>
              <w:bottom w:val="nil"/>
              <w:right w:val="single" w:sz="8" w:space="0" w:color="auto"/>
            </w:tcBorders>
            <w:shd w:val="clear" w:color="auto" w:fill="auto"/>
            <w:noWrap/>
            <w:vAlign w:val="center"/>
            <w:hideMark/>
          </w:tcPr>
          <w:p w14:paraId="6A103A30"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w:t>
            </w:r>
          </w:p>
        </w:tc>
        <w:tc>
          <w:tcPr>
            <w:tcW w:w="1134" w:type="dxa"/>
            <w:tcBorders>
              <w:top w:val="nil"/>
              <w:left w:val="nil"/>
              <w:bottom w:val="nil"/>
              <w:right w:val="single" w:sz="8" w:space="0" w:color="auto"/>
            </w:tcBorders>
            <w:shd w:val="clear" w:color="auto" w:fill="auto"/>
            <w:noWrap/>
            <w:vAlign w:val="center"/>
            <w:hideMark/>
          </w:tcPr>
          <w:p w14:paraId="0B952E4A"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w:t>
            </w:r>
          </w:p>
        </w:tc>
        <w:tc>
          <w:tcPr>
            <w:tcW w:w="1134" w:type="dxa"/>
            <w:tcBorders>
              <w:top w:val="nil"/>
              <w:left w:val="nil"/>
              <w:bottom w:val="nil"/>
              <w:right w:val="single" w:sz="8" w:space="0" w:color="auto"/>
            </w:tcBorders>
            <w:shd w:val="clear" w:color="auto" w:fill="auto"/>
            <w:noWrap/>
            <w:vAlign w:val="center"/>
            <w:hideMark/>
          </w:tcPr>
          <w:p w14:paraId="751D811B"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w:t>
            </w:r>
          </w:p>
        </w:tc>
        <w:tc>
          <w:tcPr>
            <w:tcW w:w="1134" w:type="dxa"/>
            <w:tcBorders>
              <w:top w:val="nil"/>
              <w:left w:val="nil"/>
              <w:bottom w:val="nil"/>
              <w:right w:val="single" w:sz="4" w:space="0" w:color="auto"/>
            </w:tcBorders>
            <w:shd w:val="clear" w:color="auto" w:fill="auto"/>
            <w:noWrap/>
            <w:vAlign w:val="center"/>
            <w:hideMark/>
          </w:tcPr>
          <w:p w14:paraId="07EED9CE"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227,8</w:t>
            </w:r>
          </w:p>
        </w:tc>
      </w:tr>
      <w:tr w:rsidR="00BD607A" w:rsidRPr="00BD607A" w14:paraId="38276A2E" w14:textId="77777777" w:rsidTr="00A908A9">
        <w:trPr>
          <w:trHeight w:val="237"/>
        </w:trPr>
        <w:tc>
          <w:tcPr>
            <w:tcW w:w="2055" w:type="dxa"/>
            <w:tcBorders>
              <w:top w:val="nil"/>
              <w:left w:val="single" w:sz="4" w:space="0" w:color="auto"/>
              <w:bottom w:val="single" w:sz="4" w:space="0" w:color="auto"/>
              <w:right w:val="nil"/>
            </w:tcBorders>
            <w:shd w:val="clear" w:color="auto" w:fill="auto"/>
            <w:noWrap/>
            <w:vAlign w:val="center"/>
            <w:hideMark/>
          </w:tcPr>
          <w:p w14:paraId="68D7BF6C" w14:textId="77777777" w:rsidR="00BD607A" w:rsidRPr="00BD607A" w:rsidRDefault="00BD607A" w:rsidP="00BD607A">
            <w:pPr>
              <w:spacing w:after="0" w:line="240" w:lineRule="auto"/>
              <w:rPr>
                <w:rFonts w:eastAsia="Times New Roman" w:cs="Arial"/>
                <w:b/>
                <w:bCs/>
                <w:color w:val="000000"/>
                <w:szCs w:val="20"/>
                <w:lang w:eastAsia="fr-FR"/>
              </w:rPr>
            </w:pPr>
            <w:r w:rsidRPr="00BD607A">
              <w:rPr>
                <w:rFonts w:eastAsia="Times New Roman" w:cs="Arial"/>
                <w:b/>
                <w:bCs/>
                <w:color w:val="000000"/>
                <w:szCs w:val="20"/>
                <w:lang w:eastAsia="fr-FR"/>
              </w:rPr>
              <w:t>TOTAL</w:t>
            </w:r>
          </w:p>
        </w:tc>
        <w:tc>
          <w:tcPr>
            <w:tcW w:w="1064" w:type="dxa"/>
            <w:tcBorders>
              <w:top w:val="nil"/>
              <w:left w:val="single" w:sz="8" w:space="0" w:color="auto"/>
              <w:bottom w:val="single" w:sz="4" w:space="0" w:color="auto"/>
              <w:right w:val="single" w:sz="8" w:space="0" w:color="auto"/>
            </w:tcBorders>
            <w:shd w:val="clear" w:color="auto" w:fill="auto"/>
            <w:noWrap/>
            <w:vAlign w:val="center"/>
            <w:hideMark/>
          </w:tcPr>
          <w:p w14:paraId="37D787A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100%</w:t>
            </w:r>
          </w:p>
        </w:tc>
        <w:tc>
          <w:tcPr>
            <w:tcW w:w="992" w:type="dxa"/>
            <w:tcBorders>
              <w:top w:val="nil"/>
              <w:left w:val="nil"/>
              <w:bottom w:val="single" w:sz="4" w:space="0" w:color="auto"/>
              <w:right w:val="single" w:sz="8" w:space="0" w:color="auto"/>
            </w:tcBorders>
            <w:shd w:val="clear" w:color="auto" w:fill="auto"/>
            <w:noWrap/>
            <w:vAlign w:val="center"/>
            <w:hideMark/>
          </w:tcPr>
          <w:p w14:paraId="627BB6FB"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100%</w:t>
            </w:r>
          </w:p>
        </w:tc>
        <w:tc>
          <w:tcPr>
            <w:tcW w:w="993" w:type="dxa"/>
            <w:tcBorders>
              <w:top w:val="nil"/>
              <w:left w:val="nil"/>
              <w:bottom w:val="single" w:sz="4" w:space="0" w:color="auto"/>
              <w:right w:val="single" w:sz="8" w:space="0" w:color="auto"/>
            </w:tcBorders>
            <w:shd w:val="clear" w:color="auto" w:fill="auto"/>
            <w:noWrap/>
            <w:vAlign w:val="center"/>
            <w:hideMark/>
          </w:tcPr>
          <w:p w14:paraId="3F27A68E"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100%</w:t>
            </w:r>
          </w:p>
        </w:tc>
        <w:tc>
          <w:tcPr>
            <w:tcW w:w="992" w:type="dxa"/>
            <w:tcBorders>
              <w:top w:val="nil"/>
              <w:left w:val="nil"/>
              <w:bottom w:val="single" w:sz="4" w:space="0" w:color="auto"/>
              <w:right w:val="double" w:sz="6" w:space="0" w:color="auto"/>
            </w:tcBorders>
            <w:shd w:val="clear" w:color="auto" w:fill="auto"/>
            <w:noWrap/>
            <w:vAlign w:val="center"/>
            <w:hideMark/>
          </w:tcPr>
          <w:p w14:paraId="6F2D7A96"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371,5</w:t>
            </w:r>
          </w:p>
        </w:tc>
        <w:tc>
          <w:tcPr>
            <w:tcW w:w="1134" w:type="dxa"/>
            <w:tcBorders>
              <w:top w:val="nil"/>
              <w:left w:val="nil"/>
              <w:bottom w:val="single" w:sz="4" w:space="0" w:color="auto"/>
              <w:right w:val="single" w:sz="8" w:space="0" w:color="auto"/>
            </w:tcBorders>
            <w:shd w:val="clear" w:color="auto" w:fill="auto"/>
            <w:noWrap/>
            <w:vAlign w:val="center"/>
            <w:hideMark/>
          </w:tcPr>
          <w:p w14:paraId="3EC4C700"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100%</w:t>
            </w:r>
          </w:p>
        </w:tc>
        <w:tc>
          <w:tcPr>
            <w:tcW w:w="1134" w:type="dxa"/>
            <w:tcBorders>
              <w:top w:val="nil"/>
              <w:left w:val="nil"/>
              <w:bottom w:val="single" w:sz="4" w:space="0" w:color="auto"/>
              <w:right w:val="single" w:sz="8" w:space="0" w:color="auto"/>
            </w:tcBorders>
            <w:shd w:val="clear" w:color="auto" w:fill="auto"/>
            <w:noWrap/>
            <w:vAlign w:val="center"/>
            <w:hideMark/>
          </w:tcPr>
          <w:p w14:paraId="1E13243E"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100%</w:t>
            </w:r>
          </w:p>
        </w:tc>
        <w:tc>
          <w:tcPr>
            <w:tcW w:w="1134" w:type="dxa"/>
            <w:tcBorders>
              <w:top w:val="nil"/>
              <w:left w:val="nil"/>
              <w:bottom w:val="single" w:sz="4" w:space="0" w:color="auto"/>
              <w:right w:val="single" w:sz="8" w:space="0" w:color="auto"/>
            </w:tcBorders>
            <w:shd w:val="clear" w:color="auto" w:fill="auto"/>
            <w:noWrap/>
            <w:vAlign w:val="center"/>
            <w:hideMark/>
          </w:tcPr>
          <w:p w14:paraId="5F621ECF"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244E58E" w14:textId="77777777" w:rsidR="00BD607A" w:rsidRPr="00BD607A" w:rsidRDefault="00BD607A" w:rsidP="00BD607A">
            <w:pPr>
              <w:spacing w:after="0" w:line="240" w:lineRule="auto"/>
              <w:jc w:val="center"/>
              <w:rPr>
                <w:rFonts w:eastAsia="Times New Roman" w:cs="Arial"/>
                <w:color w:val="000000"/>
                <w:szCs w:val="20"/>
                <w:lang w:eastAsia="fr-FR"/>
              </w:rPr>
            </w:pPr>
            <w:r w:rsidRPr="00BD607A">
              <w:rPr>
                <w:rFonts w:eastAsia="Times New Roman" w:cs="Arial"/>
                <w:color w:val="000000"/>
                <w:szCs w:val="20"/>
                <w:lang w:eastAsia="fr-FR"/>
              </w:rPr>
              <w:t>2 303,5</w:t>
            </w:r>
          </w:p>
        </w:tc>
      </w:tr>
    </w:tbl>
    <w:p w14:paraId="24291097" w14:textId="77777777" w:rsidR="00DC6CB8" w:rsidRPr="00DC6CB8" w:rsidRDefault="00DC6CB8" w:rsidP="00DC6CB8">
      <w:pPr>
        <w:ind w:right="57"/>
        <w:rPr>
          <w:rFonts w:cs="Arial"/>
          <w:i/>
          <w:iCs/>
          <w:sz w:val="18"/>
        </w:rPr>
      </w:pPr>
      <w:r w:rsidRPr="00DC6CB8">
        <w:rPr>
          <w:rFonts w:cs="Arial"/>
          <w:i/>
          <w:iCs/>
          <w:sz w:val="18"/>
        </w:rPr>
        <w:t>Source : Monstat</w:t>
      </w:r>
    </w:p>
    <w:p w14:paraId="4621B940" w14:textId="77777777" w:rsidR="00FA4245" w:rsidRDefault="00FA4245" w:rsidP="00822976">
      <w:pPr>
        <w:spacing w:after="120" w:line="240" w:lineRule="auto"/>
        <w:rPr>
          <w:rFonts w:cs="Arial"/>
          <w:iCs/>
        </w:rPr>
      </w:pPr>
    </w:p>
    <w:p w14:paraId="4F49AC2F" w14:textId="77777777" w:rsidR="00BF4D79" w:rsidRDefault="00BF4D79" w:rsidP="00822976">
      <w:pPr>
        <w:spacing w:after="120" w:line="240" w:lineRule="auto"/>
        <w:rPr>
          <w:rFonts w:cs="Arial"/>
          <w:iCs/>
        </w:rPr>
      </w:pPr>
    </w:p>
    <w:p w14:paraId="585F6170" w14:textId="77777777" w:rsidR="00BF4D79" w:rsidRDefault="00BF4D79" w:rsidP="00822976">
      <w:pPr>
        <w:spacing w:after="120" w:line="240" w:lineRule="auto"/>
        <w:rPr>
          <w:rFonts w:cs="Arial"/>
          <w:iCs/>
        </w:rPr>
      </w:pPr>
    </w:p>
    <w:p w14:paraId="5E29E1C6" w14:textId="77777777" w:rsidR="00BF4D79" w:rsidRDefault="00BF4D79" w:rsidP="00822976">
      <w:pPr>
        <w:spacing w:after="120" w:line="240" w:lineRule="auto"/>
        <w:rPr>
          <w:rFonts w:cs="Arial"/>
          <w:iCs/>
        </w:rPr>
      </w:pPr>
    </w:p>
    <w:p w14:paraId="07C74BD7" w14:textId="77777777" w:rsidR="00BF4D79" w:rsidRDefault="00BF4D79" w:rsidP="00822976">
      <w:pPr>
        <w:spacing w:after="120" w:line="240" w:lineRule="auto"/>
        <w:rPr>
          <w:rFonts w:cs="Arial"/>
          <w:iCs/>
        </w:rPr>
      </w:pPr>
    </w:p>
    <w:p w14:paraId="03B52198" w14:textId="77777777" w:rsidR="00BF4D79" w:rsidRDefault="00BF4D79" w:rsidP="00822976">
      <w:pPr>
        <w:spacing w:after="120" w:line="240" w:lineRule="auto"/>
        <w:rPr>
          <w:rFonts w:cs="Arial"/>
          <w:iCs/>
        </w:rPr>
      </w:pPr>
    </w:p>
    <w:p w14:paraId="56D67752" w14:textId="77777777" w:rsidR="00BF4D79" w:rsidRDefault="00BF4D79" w:rsidP="00822976">
      <w:pPr>
        <w:spacing w:after="120" w:line="240" w:lineRule="auto"/>
        <w:rPr>
          <w:rFonts w:cs="Arial"/>
          <w:iCs/>
        </w:rPr>
      </w:pPr>
    </w:p>
    <w:p w14:paraId="7CAC59FB" w14:textId="77777777" w:rsidR="00BF4D79" w:rsidRDefault="00BF4D79" w:rsidP="00822976">
      <w:pPr>
        <w:spacing w:after="120" w:line="240" w:lineRule="auto"/>
        <w:rPr>
          <w:rFonts w:cs="Arial"/>
          <w:iCs/>
        </w:rPr>
      </w:pPr>
    </w:p>
    <w:p w14:paraId="7B04E02D" w14:textId="77777777" w:rsidR="00BF4D79" w:rsidRDefault="00BF4D79" w:rsidP="00822976">
      <w:pPr>
        <w:spacing w:after="120" w:line="240" w:lineRule="auto"/>
        <w:rPr>
          <w:rFonts w:cs="Arial"/>
          <w:iCs/>
        </w:rPr>
      </w:pPr>
    </w:p>
    <w:p w14:paraId="05191111" w14:textId="77777777" w:rsidR="00BF4D79" w:rsidRDefault="00BF4D79" w:rsidP="00822976">
      <w:pPr>
        <w:spacing w:after="120" w:line="240" w:lineRule="auto"/>
        <w:rPr>
          <w:rFonts w:cs="Arial"/>
          <w:iCs/>
        </w:rPr>
      </w:pPr>
    </w:p>
    <w:p w14:paraId="2DB07040" w14:textId="77777777" w:rsidR="00BF4D79" w:rsidRDefault="00BF4D79" w:rsidP="00822976">
      <w:pPr>
        <w:spacing w:after="120" w:line="240" w:lineRule="auto"/>
        <w:rPr>
          <w:rFonts w:cs="Arial"/>
          <w:iCs/>
        </w:rPr>
      </w:pPr>
    </w:p>
    <w:p w14:paraId="71DC8D83" w14:textId="0D7EC680" w:rsidR="00217DC0" w:rsidRPr="00BF4D79" w:rsidRDefault="00BF4D79" w:rsidP="00BF4D79">
      <w:pPr>
        <w:spacing w:line="240" w:lineRule="auto"/>
        <w:rPr>
          <w:rFonts w:cs="Arial"/>
          <w:b/>
          <w:iCs/>
        </w:rPr>
      </w:pPr>
      <w:r w:rsidRPr="0031266C">
        <w:rPr>
          <w:rFonts w:cs="Arial"/>
          <w:b/>
          <w:iCs/>
        </w:rPr>
        <w:lastRenderedPageBreak/>
        <w:t>Les dix premiers clients et fournisseurs du Monténégro en 201</w:t>
      </w:r>
      <w:r>
        <w:rPr>
          <w:rFonts w:cs="Arial"/>
          <w:b/>
          <w:iCs/>
        </w:rPr>
        <w:t>7</w:t>
      </w:r>
      <w:r w:rsidRPr="0031266C">
        <w:rPr>
          <w:rFonts w:cs="Arial"/>
          <w:b/>
          <w:iCs/>
        </w:rPr>
        <w:t xml:space="preserve"> en milliers EUR et en %</w:t>
      </w:r>
    </w:p>
    <w:tbl>
      <w:tblPr>
        <w:tblpPr w:leftFromText="141" w:rightFromText="141" w:vertAnchor="text" w:horzAnchor="page" w:tblpX="768" w:tblpY="226"/>
        <w:tblW w:w="10376" w:type="dxa"/>
        <w:tblCellMar>
          <w:left w:w="70" w:type="dxa"/>
          <w:right w:w="70" w:type="dxa"/>
        </w:tblCellMar>
        <w:tblLook w:val="04A0" w:firstRow="1" w:lastRow="0" w:firstColumn="1" w:lastColumn="0" w:noHBand="0" w:noVBand="1"/>
      </w:tblPr>
      <w:tblGrid>
        <w:gridCol w:w="1529"/>
        <w:gridCol w:w="1333"/>
        <w:gridCol w:w="1000"/>
        <w:gridCol w:w="1372"/>
        <w:gridCol w:w="1529"/>
        <w:gridCol w:w="1241"/>
        <w:gridCol w:w="1000"/>
        <w:gridCol w:w="1372"/>
      </w:tblGrid>
      <w:tr w:rsidR="00AE1A49" w:rsidRPr="00BF4D79" w14:paraId="0BD82C48" w14:textId="77777777" w:rsidTr="00431635">
        <w:trPr>
          <w:trHeight w:val="317"/>
        </w:trPr>
        <w:tc>
          <w:tcPr>
            <w:tcW w:w="1529"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4FE0363D" w14:textId="09A7CB0D" w:rsidR="00AE1A49" w:rsidRPr="00BF4D79" w:rsidRDefault="00AE1A49" w:rsidP="00AE1A49">
            <w:pPr>
              <w:spacing w:after="0" w:line="240" w:lineRule="auto"/>
              <w:jc w:val="center"/>
              <w:rPr>
                <w:rFonts w:eastAsia="Times New Roman" w:cs="Arial"/>
                <w:color w:val="FFFFFF"/>
                <w:szCs w:val="20"/>
                <w:lang w:eastAsia="fr-FR"/>
              </w:rPr>
            </w:pPr>
            <w:r>
              <w:rPr>
                <w:rFonts w:cs="Arial"/>
                <w:color w:val="FFFFFF"/>
                <w:szCs w:val="20"/>
              </w:rPr>
              <w:t>Pays</w:t>
            </w:r>
          </w:p>
        </w:tc>
        <w:tc>
          <w:tcPr>
            <w:tcW w:w="1333" w:type="dxa"/>
            <w:tcBorders>
              <w:top w:val="single" w:sz="8" w:space="0" w:color="auto"/>
              <w:left w:val="nil"/>
              <w:bottom w:val="single" w:sz="8" w:space="0" w:color="auto"/>
              <w:right w:val="single" w:sz="8" w:space="0" w:color="auto"/>
            </w:tcBorders>
            <w:shd w:val="clear" w:color="000000" w:fill="000000"/>
            <w:noWrap/>
            <w:vAlign w:val="center"/>
            <w:hideMark/>
          </w:tcPr>
          <w:p w14:paraId="678DAF07" w14:textId="078E1CDB" w:rsidR="00AE1A49" w:rsidRPr="00BF4D79" w:rsidRDefault="00AE1A49" w:rsidP="00AE1A49">
            <w:pPr>
              <w:spacing w:after="0" w:line="240" w:lineRule="auto"/>
              <w:jc w:val="center"/>
              <w:rPr>
                <w:rFonts w:eastAsia="Times New Roman" w:cs="Arial"/>
                <w:color w:val="FFFFFF"/>
                <w:szCs w:val="20"/>
                <w:lang w:eastAsia="fr-FR"/>
              </w:rPr>
            </w:pPr>
            <w:r>
              <w:rPr>
                <w:rFonts w:cs="Arial"/>
                <w:color w:val="FFFFFF"/>
                <w:szCs w:val="20"/>
              </w:rPr>
              <w:t>Exportations</w:t>
            </w:r>
          </w:p>
        </w:tc>
        <w:tc>
          <w:tcPr>
            <w:tcW w:w="1000" w:type="dxa"/>
            <w:tcBorders>
              <w:top w:val="single" w:sz="8" w:space="0" w:color="auto"/>
              <w:left w:val="nil"/>
              <w:bottom w:val="single" w:sz="8" w:space="0" w:color="auto"/>
              <w:right w:val="single" w:sz="8" w:space="0" w:color="auto"/>
            </w:tcBorders>
            <w:shd w:val="clear" w:color="000000" w:fill="000000"/>
            <w:noWrap/>
            <w:vAlign w:val="center"/>
            <w:hideMark/>
          </w:tcPr>
          <w:p w14:paraId="41809CD3" w14:textId="7BDA1DD0" w:rsidR="00AE1A49" w:rsidRPr="00BF4D79" w:rsidRDefault="00AE1A49" w:rsidP="00AE1A49">
            <w:pPr>
              <w:spacing w:after="0" w:line="240" w:lineRule="auto"/>
              <w:jc w:val="center"/>
              <w:rPr>
                <w:rFonts w:eastAsia="Times New Roman" w:cs="Arial"/>
                <w:color w:val="FFFFFF"/>
                <w:szCs w:val="20"/>
                <w:lang w:eastAsia="fr-FR"/>
              </w:rPr>
            </w:pPr>
            <w:r>
              <w:rPr>
                <w:rFonts w:cs="Arial"/>
                <w:color w:val="FFFFFF"/>
                <w:szCs w:val="20"/>
              </w:rPr>
              <w:t>Part (%)</w:t>
            </w:r>
          </w:p>
        </w:tc>
        <w:tc>
          <w:tcPr>
            <w:tcW w:w="1372" w:type="dxa"/>
            <w:tcBorders>
              <w:top w:val="single" w:sz="8" w:space="0" w:color="auto"/>
              <w:left w:val="nil"/>
              <w:bottom w:val="single" w:sz="8" w:space="0" w:color="auto"/>
              <w:right w:val="single" w:sz="8" w:space="0" w:color="auto"/>
            </w:tcBorders>
            <w:shd w:val="clear" w:color="000000" w:fill="000000"/>
            <w:noWrap/>
            <w:vAlign w:val="center"/>
            <w:hideMark/>
          </w:tcPr>
          <w:p w14:paraId="7E0D1919" w14:textId="72EB01CF" w:rsidR="00AE1A49" w:rsidRPr="00BF4D79" w:rsidRDefault="00AE1A49" w:rsidP="00AE1A49">
            <w:pPr>
              <w:spacing w:after="0" w:line="240" w:lineRule="auto"/>
              <w:jc w:val="center"/>
              <w:rPr>
                <w:rFonts w:eastAsia="Times New Roman" w:cs="Arial"/>
                <w:color w:val="FFFFFF"/>
                <w:szCs w:val="20"/>
                <w:lang w:eastAsia="fr-FR"/>
              </w:rPr>
            </w:pPr>
            <w:r>
              <w:rPr>
                <w:rFonts w:cs="Arial"/>
                <w:color w:val="FFFFFF"/>
                <w:szCs w:val="20"/>
              </w:rPr>
              <w:t>Part cumulée</w:t>
            </w:r>
          </w:p>
        </w:tc>
        <w:tc>
          <w:tcPr>
            <w:tcW w:w="1529" w:type="dxa"/>
            <w:tcBorders>
              <w:top w:val="single" w:sz="8" w:space="0" w:color="auto"/>
              <w:left w:val="nil"/>
              <w:bottom w:val="single" w:sz="8" w:space="0" w:color="auto"/>
              <w:right w:val="single" w:sz="8" w:space="0" w:color="auto"/>
            </w:tcBorders>
            <w:shd w:val="clear" w:color="000000" w:fill="000000"/>
            <w:noWrap/>
            <w:vAlign w:val="center"/>
            <w:hideMark/>
          </w:tcPr>
          <w:p w14:paraId="5788DB1A" w14:textId="77EB8B45" w:rsidR="00AE1A49" w:rsidRPr="00BF4D79" w:rsidRDefault="00AE1A49" w:rsidP="00AE1A49">
            <w:pPr>
              <w:spacing w:after="0" w:line="240" w:lineRule="auto"/>
              <w:jc w:val="center"/>
              <w:rPr>
                <w:rFonts w:eastAsia="Times New Roman" w:cs="Arial"/>
                <w:color w:val="FFFFFF"/>
                <w:szCs w:val="20"/>
                <w:lang w:eastAsia="fr-FR"/>
              </w:rPr>
            </w:pPr>
            <w:r>
              <w:rPr>
                <w:rFonts w:cs="Arial"/>
                <w:color w:val="FFFFFF"/>
                <w:szCs w:val="20"/>
              </w:rPr>
              <w:t>Pays</w:t>
            </w:r>
          </w:p>
        </w:tc>
        <w:tc>
          <w:tcPr>
            <w:tcW w:w="1241" w:type="dxa"/>
            <w:tcBorders>
              <w:top w:val="single" w:sz="8" w:space="0" w:color="auto"/>
              <w:left w:val="nil"/>
              <w:bottom w:val="single" w:sz="8" w:space="0" w:color="auto"/>
              <w:right w:val="single" w:sz="8" w:space="0" w:color="auto"/>
            </w:tcBorders>
            <w:shd w:val="clear" w:color="000000" w:fill="000000"/>
            <w:noWrap/>
            <w:vAlign w:val="center"/>
            <w:hideMark/>
          </w:tcPr>
          <w:p w14:paraId="384A5A93" w14:textId="2CCB7E3A" w:rsidR="00AE1A49" w:rsidRPr="00BF4D79" w:rsidRDefault="00AE1A49" w:rsidP="00AE1A49">
            <w:pPr>
              <w:spacing w:after="0" w:line="240" w:lineRule="auto"/>
              <w:jc w:val="center"/>
              <w:rPr>
                <w:rFonts w:eastAsia="Times New Roman" w:cs="Arial"/>
                <w:color w:val="FFFFFF"/>
                <w:szCs w:val="20"/>
                <w:lang w:eastAsia="fr-FR"/>
              </w:rPr>
            </w:pPr>
            <w:r>
              <w:rPr>
                <w:rFonts w:cs="Arial"/>
                <w:color w:val="FFFFFF"/>
                <w:szCs w:val="20"/>
              </w:rPr>
              <w:t>Importations</w:t>
            </w:r>
          </w:p>
        </w:tc>
        <w:tc>
          <w:tcPr>
            <w:tcW w:w="1000" w:type="dxa"/>
            <w:tcBorders>
              <w:top w:val="single" w:sz="8" w:space="0" w:color="auto"/>
              <w:left w:val="nil"/>
              <w:bottom w:val="single" w:sz="8" w:space="0" w:color="auto"/>
              <w:right w:val="single" w:sz="8" w:space="0" w:color="auto"/>
            </w:tcBorders>
            <w:shd w:val="clear" w:color="000000" w:fill="000000"/>
            <w:noWrap/>
            <w:vAlign w:val="center"/>
            <w:hideMark/>
          </w:tcPr>
          <w:p w14:paraId="178182FC" w14:textId="096E2451" w:rsidR="00AE1A49" w:rsidRPr="00BF4D79" w:rsidRDefault="00AE1A49" w:rsidP="00AE1A49">
            <w:pPr>
              <w:spacing w:after="0" w:line="240" w:lineRule="auto"/>
              <w:jc w:val="center"/>
              <w:rPr>
                <w:rFonts w:eastAsia="Times New Roman" w:cs="Arial"/>
                <w:color w:val="FFFFFF"/>
                <w:szCs w:val="20"/>
                <w:lang w:eastAsia="fr-FR"/>
              </w:rPr>
            </w:pPr>
            <w:r>
              <w:rPr>
                <w:rFonts w:cs="Arial"/>
                <w:color w:val="FFFFFF"/>
                <w:szCs w:val="20"/>
              </w:rPr>
              <w:t>Part (%)</w:t>
            </w:r>
          </w:p>
        </w:tc>
        <w:tc>
          <w:tcPr>
            <w:tcW w:w="1372" w:type="dxa"/>
            <w:tcBorders>
              <w:top w:val="single" w:sz="8" w:space="0" w:color="auto"/>
              <w:left w:val="nil"/>
              <w:bottom w:val="single" w:sz="8" w:space="0" w:color="auto"/>
              <w:right w:val="single" w:sz="8" w:space="0" w:color="auto"/>
            </w:tcBorders>
            <w:shd w:val="clear" w:color="000000" w:fill="000000"/>
            <w:noWrap/>
            <w:vAlign w:val="center"/>
            <w:hideMark/>
          </w:tcPr>
          <w:p w14:paraId="5E8ABF42" w14:textId="39EA305B" w:rsidR="00AE1A49" w:rsidRPr="00BF4D79" w:rsidRDefault="00AE1A49" w:rsidP="00AE1A49">
            <w:pPr>
              <w:spacing w:after="0" w:line="240" w:lineRule="auto"/>
              <w:jc w:val="center"/>
              <w:rPr>
                <w:rFonts w:eastAsia="Times New Roman" w:cs="Arial"/>
                <w:color w:val="FFFFFF"/>
                <w:szCs w:val="20"/>
                <w:lang w:eastAsia="fr-FR"/>
              </w:rPr>
            </w:pPr>
            <w:r>
              <w:rPr>
                <w:rFonts w:cs="Arial"/>
                <w:color w:val="FFFFFF"/>
                <w:szCs w:val="20"/>
              </w:rPr>
              <w:t>Part cumulée</w:t>
            </w:r>
          </w:p>
        </w:tc>
      </w:tr>
      <w:tr w:rsidR="00AE1A49" w:rsidRPr="00BF4D79" w14:paraId="3D6427C6" w14:textId="77777777" w:rsidTr="00431635">
        <w:trPr>
          <w:trHeight w:val="302"/>
        </w:trPr>
        <w:tc>
          <w:tcPr>
            <w:tcW w:w="1529" w:type="dxa"/>
            <w:tcBorders>
              <w:top w:val="nil"/>
              <w:left w:val="single" w:sz="8" w:space="0" w:color="auto"/>
              <w:bottom w:val="nil"/>
              <w:right w:val="single" w:sz="8" w:space="0" w:color="auto"/>
            </w:tcBorders>
            <w:shd w:val="clear" w:color="000000" w:fill="FFFFFF"/>
            <w:vAlign w:val="center"/>
            <w:hideMark/>
          </w:tcPr>
          <w:p w14:paraId="7F278FCF" w14:textId="0CF6CE3A"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Serbie</w:t>
            </w:r>
          </w:p>
        </w:tc>
        <w:tc>
          <w:tcPr>
            <w:tcW w:w="1333" w:type="dxa"/>
            <w:tcBorders>
              <w:top w:val="nil"/>
              <w:left w:val="nil"/>
              <w:bottom w:val="nil"/>
              <w:right w:val="single" w:sz="8" w:space="0" w:color="auto"/>
            </w:tcBorders>
            <w:shd w:val="clear" w:color="000000" w:fill="FFFFFF"/>
            <w:noWrap/>
            <w:vAlign w:val="center"/>
            <w:hideMark/>
          </w:tcPr>
          <w:p w14:paraId="2BC4E73F" w14:textId="34D93BD1"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66</w:t>
            </w:r>
          </w:p>
        </w:tc>
        <w:tc>
          <w:tcPr>
            <w:tcW w:w="1000" w:type="dxa"/>
            <w:tcBorders>
              <w:top w:val="nil"/>
              <w:left w:val="nil"/>
              <w:bottom w:val="nil"/>
              <w:right w:val="single" w:sz="8" w:space="0" w:color="auto"/>
            </w:tcBorders>
            <w:shd w:val="clear" w:color="000000" w:fill="FFFFFF"/>
            <w:noWrap/>
            <w:vAlign w:val="center"/>
            <w:hideMark/>
          </w:tcPr>
          <w:p w14:paraId="3BE816DB" w14:textId="6B2F3476"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17,8</w:t>
            </w:r>
          </w:p>
        </w:tc>
        <w:tc>
          <w:tcPr>
            <w:tcW w:w="1372" w:type="dxa"/>
            <w:tcBorders>
              <w:top w:val="nil"/>
              <w:left w:val="nil"/>
              <w:bottom w:val="nil"/>
              <w:right w:val="single" w:sz="8" w:space="0" w:color="auto"/>
            </w:tcBorders>
            <w:shd w:val="clear" w:color="000000" w:fill="FFFFFF"/>
            <w:noWrap/>
            <w:vAlign w:val="center"/>
            <w:hideMark/>
          </w:tcPr>
          <w:p w14:paraId="51C1A786" w14:textId="4E52C5ED"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17,8</w:t>
            </w:r>
          </w:p>
        </w:tc>
        <w:tc>
          <w:tcPr>
            <w:tcW w:w="1529" w:type="dxa"/>
            <w:tcBorders>
              <w:top w:val="nil"/>
              <w:left w:val="nil"/>
              <w:bottom w:val="nil"/>
              <w:right w:val="single" w:sz="8" w:space="0" w:color="auto"/>
            </w:tcBorders>
            <w:shd w:val="clear" w:color="000000" w:fill="FFFFFF"/>
            <w:vAlign w:val="center"/>
            <w:hideMark/>
          </w:tcPr>
          <w:p w14:paraId="0D44A2F7" w14:textId="40B60B13"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Serbie</w:t>
            </w:r>
          </w:p>
        </w:tc>
        <w:tc>
          <w:tcPr>
            <w:tcW w:w="1241" w:type="dxa"/>
            <w:tcBorders>
              <w:top w:val="nil"/>
              <w:left w:val="nil"/>
              <w:bottom w:val="nil"/>
              <w:right w:val="single" w:sz="8" w:space="0" w:color="auto"/>
            </w:tcBorders>
            <w:shd w:val="clear" w:color="000000" w:fill="FFFFFF"/>
            <w:noWrap/>
            <w:vAlign w:val="center"/>
            <w:hideMark/>
          </w:tcPr>
          <w:p w14:paraId="1D2C84B2" w14:textId="2BC45550"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495,7</w:t>
            </w:r>
          </w:p>
        </w:tc>
        <w:tc>
          <w:tcPr>
            <w:tcW w:w="1000" w:type="dxa"/>
            <w:tcBorders>
              <w:top w:val="nil"/>
              <w:left w:val="nil"/>
              <w:bottom w:val="nil"/>
              <w:right w:val="single" w:sz="8" w:space="0" w:color="auto"/>
            </w:tcBorders>
            <w:shd w:val="clear" w:color="000000" w:fill="FFFFFF"/>
            <w:noWrap/>
            <w:vAlign w:val="center"/>
            <w:hideMark/>
          </w:tcPr>
          <w:p w14:paraId="4FEB6586" w14:textId="5B8265E0"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21,5</w:t>
            </w:r>
          </w:p>
        </w:tc>
        <w:tc>
          <w:tcPr>
            <w:tcW w:w="1372" w:type="dxa"/>
            <w:tcBorders>
              <w:top w:val="nil"/>
              <w:left w:val="nil"/>
              <w:bottom w:val="nil"/>
              <w:right w:val="single" w:sz="8" w:space="0" w:color="auto"/>
            </w:tcBorders>
            <w:shd w:val="clear" w:color="000000" w:fill="FFFFFF"/>
            <w:noWrap/>
            <w:vAlign w:val="center"/>
            <w:hideMark/>
          </w:tcPr>
          <w:p w14:paraId="14A29CC0" w14:textId="5B893054"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21,5</w:t>
            </w:r>
          </w:p>
        </w:tc>
      </w:tr>
      <w:tr w:rsidR="00AE1A49" w:rsidRPr="00BF4D79" w14:paraId="5053D9E7" w14:textId="77777777" w:rsidTr="00431635">
        <w:trPr>
          <w:trHeight w:val="771"/>
        </w:trPr>
        <w:tc>
          <w:tcPr>
            <w:tcW w:w="1529" w:type="dxa"/>
            <w:tcBorders>
              <w:top w:val="nil"/>
              <w:left w:val="single" w:sz="8" w:space="0" w:color="auto"/>
              <w:bottom w:val="nil"/>
              <w:right w:val="single" w:sz="8" w:space="0" w:color="auto"/>
            </w:tcBorders>
            <w:shd w:val="clear" w:color="000000" w:fill="FFFFFF"/>
            <w:vAlign w:val="center"/>
            <w:hideMark/>
          </w:tcPr>
          <w:p w14:paraId="4656AF58" w14:textId="3121B49A"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Bosnie-Herzégovine</w:t>
            </w:r>
          </w:p>
        </w:tc>
        <w:tc>
          <w:tcPr>
            <w:tcW w:w="1333" w:type="dxa"/>
            <w:tcBorders>
              <w:top w:val="nil"/>
              <w:left w:val="nil"/>
              <w:bottom w:val="nil"/>
              <w:right w:val="single" w:sz="8" w:space="0" w:color="auto"/>
            </w:tcBorders>
            <w:shd w:val="clear" w:color="000000" w:fill="FFFFFF"/>
            <w:noWrap/>
            <w:vAlign w:val="center"/>
            <w:hideMark/>
          </w:tcPr>
          <w:p w14:paraId="0691A9B3" w14:textId="0D110595"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47,2</w:t>
            </w:r>
          </w:p>
        </w:tc>
        <w:tc>
          <w:tcPr>
            <w:tcW w:w="1000" w:type="dxa"/>
            <w:tcBorders>
              <w:top w:val="nil"/>
              <w:left w:val="nil"/>
              <w:bottom w:val="nil"/>
              <w:right w:val="single" w:sz="8" w:space="0" w:color="auto"/>
            </w:tcBorders>
            <w:shd w:val="clear" w:color="000000" w:fill="FFFFFF"/>
            <w:noWrap/>
            <w:vAlign w:val="center"/>
            <w:hideMark/>
          </w:tcPr>
          <w:p w14:paraId="1D27ECA1" w14:textId="3B14A007"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12,7</w:t>
            </w:r>
          </w:p>
        </w:tc>
        <w:tc>
          <w:tcPr>
            <w:tcW w:w="1372" w:type="dxa"/>
            <w:tcBorders>
              <w:top w:val="nil"/>
              <w:left w:val="nil"/>
              <w:bottom w:val="nil"/>
              <w:right w:val="single" w:sz="8" w:space="0" w:color="auto"/>
            </w:tcBorders>
            <w:shd w:val="clear" w:color="000000" w:fill="FFFFFF"/>
            <w:noWrap/>
            <w:vAlign w:val="center"/>
            <w:hideMark/>
          </w:tcPr>
          <w:p w14:paraId="1FADA399" w14:textId="7D55A6FE"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30,5</w:t>
            </w:r>
          </w:p>
        </w:tc>
        <w:tc>
          <w:tcPr>
            <w:tcW w:w="1529" w:type="dxa"/>
            <w:tcBorders>
              <w:top w:val="nil"/>
              <w:left w:val="nil"/>
              <w:bottom w:val="nil"/>
              <w:right w:val="single" w:sz="8" w:space="0" w:color="auto"/>
            </w:tcBorders>
            <w:shd w:val="clear" w:color="000000" w:fill="FFFFFF"/>
            <w:vAlign w:val="center"/>
            <w:hideMark/>
          </w:tcPr>
          <w:p w14:paraId="6369E684" w14:textId="0F7FF892"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Allemagne</w:t>
            </w:r>
          </w:p>
        </w:tc>
        <w:tc>
          <w:tcPr>
            <w:tcW w:w="1241" w:type="dxa"/>
            <w:tcBorders>
              <w:top w:val="nil"/>
              <w:left w:val="nil"/>
              <w:bottom w:val="nil"/>
              <w:right w:val="single" w:sz="8" w:space="0" w:color="auto"/>
            </w:tcBorders>
            <w:shd w:val="clear" w:color="000000" w:fill="FFFFFF"/>
            <w:noWrap/>
            <w:vAlign w:val="center"/>
            <w:hideMark/>
          </w:tcPr>
          <w:p w14:paraId="70BD5029" w14:textId="45E0F9A2"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196,1</w:t>
            </w:r>
          </w:p>
        </w:tc>
        <w:tc>
          <w:tcPr>
            <w:tcW w:w="1000" w:type="dxa"/>
            <w:tcBorders>
              <w:top w:val="nil"/>
              <w:left w:val="nil"/>
              <w:bottom w:val="nil"/>
              <w:right w:val="single" w:sz="8" w:space="0" w:color="auto"/>
            </w:tcBorders>
            <w:shd w:val="clear" w:color="000000" w:fill="FFFFFF"/>
            <w:noWrap/>
            <w:vAlign w:val="center"/>
            <w:hideMark/>
          </w:tcPr>
          <w:p w14:paraId="29B9188D" w14:textId="38B103E5"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8,5</w:t>
            </w:r>
          </w:p>
        </w:tc>
        <w:tc>
          <w:tcPr>
            <w:tcW w:w="1372" w:type="dxa"/>
            <w:tcBorders>
              <w:top w:val="nil"/>
              <w:left w:val="nil"/>
              <w:bottom w:val="nil"/>
              <w:right w:val="single" w:sz="8" w:space="0" w:color="auto"/>
            </w:tcBorders>
            <w:shd w:val="clear" w:color="000000" w:fill="FFFFFF"/>
            <w:noWrap/>
            <w:vAlign w:val="center"/>
            <w:hideMark/>
          </w:tcPr>
          <w:p w14:paraId="3CEFA32D" w14:textId="67C5811B"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30</w:t>
            </w:r>
          </w:p>
        </w:tc>
      </w:tr>
      <w:tr w:rsidR="00AE1A49" w:rsidRPr="00BF4D79" w14:paraId="2CE63719" w14:textId="77777777" w:rsidTr="00431635">
        <w:trPr>
          <w:trHeight w:val="302"/>
        </w:trPr>
        <w:tc>
          <w:tcPr>
            <w:tcW w:w="1529" w:type="dxa"/>
            <w:tcBorders>
              <w:top w:val="nil"/>
              <w:left w:val="single" w:sz="8" w:space="0" w:color="auto"/>
              <w:bottom w:val="nil"/>
              <w:right w:val="single" w:sz="8" w:space="0" w:color="auto"/>
            </w:tcBorders>
            <w:shd w:val="clear" w:color="000000" w:fill="FFFFFF"/>
            <w:vAlign w:val="center"/>
            <w:hideMark/>
          </w:tcPr>
          <w:p w14:paraId="3BDB439E" w14:textId="7F72FF7C"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Hongrie</w:t>
            </w:r>
          </w:p>
        </w:tc>
        <w:tc>
          <w:tcPr>
            <w:tcW w:w="1333" w:type="dxa"/>
            <w:tcBorders>
              <w:top w:val="nil"/>
              <w:left w:val="nil"/>
              <w:bottom w:val="nil"/>
              <w:right w:val="single" w:sz="8" w:space="0" w:color="auto"/>
            </w:tcBorders>
            <w:shd w:val="clear" w:color="000000" w:fill="FFFFFF"/>
            <w:noWrap/>
            <w:vAlign w:val="center"/>
            <w:hideMark/>
          </w:tcPr>
          <w:p w14:paraId="65BDCFED" w14:textId="5E6E7EAB"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31,7</w:t>
            </w:r>
          </w:p>
        </w:tc>
        <w:tc>
          <w:tcPr>
            <w:tcW w:w="1000" w:type="dxa"/>
            <w:tcBorders>
              <w:top w:val="nil"/>
              <w:left w:val="nil"/>
              <w:bottom w:val="nil"/>
              <w:right w:val="single" w:sz="8" w:space="0" w:color="auto"/>
            </w:tcBorders>
            <w:shd w:val="clear" w:color="000000" w:fill="FFFFFF"/>
            <w:noWrap/>
            <w:vAlign w:val="center"/>
            <w:hideMark/>
          </w:tcPr>
          <w:p w14:paraId="3DDE9489" w14:textId="69474242"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8,5</w:t>
            </w:r>
          </w:p>
        </w:tc>
        <w:tc>
          <w:tcPr>
            <w:tcW w:w="1372" w:type="dxa"/>
            <w:tcBorders>
              <w:top w:val="nil"/>
              <w:left w:val="nil"/>
              <w:bottom w:val="nil"/>
              <w:right w:val="single" w:sz="8" w:space="0" w:color="auto"/>
            </w:tcBorders>
            <w:shd w:val="clear" w:color="000000" w:fill="FFFFFF"/>
            <w:noWrap/>
            <w:vAlign w:val="center"/>
            <w:hideMark/>
          </w:tcPr>
          <w:p w14:paraId="1EF512A7" w14:textId="5A3CE424"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39</w:t>
            </w:r>
          </w:p>
        </w:tc>
        <w:tc>
          <w:tcPr>
            <w:tcW w:w="1529" w:type="dxa"/>
            <w:tcBorders>
              <w:top w:val="nil"/>
              <w:left w:val="nil"/>
              <w:bottom w:val="nil"/>
              <w:right w:val="single" w:sz="8" w:space="0" w:color="auto"/>
            </w:tcBorders>
            <w:shd w:val="clear" w:color="000000" w:fill="FFFFFF"/>
            <w:vAlign w:val="center"/>
            <w:hideMark/>
          </w:tcPr>
          <w:p w14:paraId="3AD96410" w14:textId="12AB7614"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Italie</w:t>
            </w:r>
          </w:p>
        </w:tc>
        <w:tc>
          <w:tcPr>
            <w:tcW w:w="1241" w:type="dxa"/>
            <w:tcBorders>
              <w:top w:val="nil"/>
              <w:left w:val="nil"/>
              <w:bottom w:val="nil"/>
              <w:right w:val="single" w:sz="8" w:space="0" w:color="auto"/>
            </w:tcBorders>
            <w:shd w:val="clear" w:color="000000" w:fill="FFFFFF"/>
            <w:noWrap/>
            <w:vAlign w:val="center"/>
            <w:hideMark/>
          </w:tcPr>
          <w:p w14:paraId="40E09A05" w14:textId="0C9F1F5B"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168,7</w:t>
            </w:r>
          </w:p>
        </w:tc>
        <w:tc>
          <w:tcPr>
            <w:tcW w:w="1000" w:type="dxa"/>
            <w:tcBorders>
              <w:top w:val="nil"/>
              <w:left w:val="nil"/>
              <w:bottom w:val="nil"/>
              <w:right w:val="single" w:sz="8" w:space="0" w:color="auto"/>
            </w:tcBorders>
            <w:shd w:val="clear" w:color="000000" w:fill="FFFFFF"/>
            <w:noWrap/>
            <w:vAlign w:val="center"/>
            <w:hideMark/>
          </w:tcPr>
          <w:p w14:paraId="0381945A" w14:textId="5F743803"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7,3</w:t>
            </w:r>
          </w:p>
        </w:tc>
        <w:tc>
          <w:tcPr>
            <w:tcW w:w="1372" w:type="dxa"/>
            <w:tcBorders>
              <w:top w:val="nil"/>
              <w:left w:val="nil"/>
              <w:bottom w:val="nil"/>
              <w:right w:val="single" w:sz="8" w:space="0" w:color="auto"/>
            </w:tcBorders>
            <w:shd w:val="clear" w:color="000000" w:fill="FFFFFF"/>
            <w:noWrap/>
            <w:vAlign w:val="center"/>
            <w:hideMark/>
          </w:tcPr>
          <w:p w14:paraId="1D24EEB4" w14:textId="6F891445"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37,4</w:t>
            </w:r>
          </w:p>
        </w:tc>
      </w:tr>
      <w:tr w:rsidR="00AE1A49" w:rsidRPr="00BF4D79" w14:paraId="250CD370" w14:textId="77777777" w:rsidTr="00431635">
        <w:trPr>
          <w:trHeight w:val="771"/>
        </w:trPr>
        <w:tc>
          <w:tcPr>
            <w:tcW w:w="1529" w:type="dxa"/>
            <w:tcBorders>
              <w:top w:val="nil"/>
              <w:left w:val="single" w:sz="8" w:space="0" w:color="auto"/>
              <w:bottom w:val="nil"/>
              <w:right w:val="single" w:sz="8" w:space="0" w:color="auto"/>
            </w:tcBorders>
            <w:shd w:val="clear" w:color="000000" w:fill="FFFFFF"/>
            <w:vAlign w:val="center"/>
            <w:hideMark/>
          </w:tcPr>
          <w:p w14:paraId="16DC8D68" w14:textId="18935DD6"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Kosovo</w:t>
            </w:r>
          </w:p>
        </w:tc>
        <w:tc>
          <w:tcPr>
            <w:tcW w:w="1333" w:type="dxa"/>
            <w:tcBorders>
              <w:top w:val="nil"/>
              <w:left w:val="nil"/>
              <w:bottom w:val="nil"/>
              <w:right w:val="single" w:sz="8" w:space="0" w:color="auto"/>
            </w:tcBorders>
            <w:shd w:val="clear" w:color="000000" w:fill="FFFFFF"/>
            <w:noWrap/>
            <w:vAlign w:val="center"/>
            <w:hideMark/>
          </w:tcPr>
          <w:p w14:paraId="262981A9" w14:textId="1E495A19"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22,6</w:t>
            </w:r>
          </w:p>
        </w:tc>
        <w:tc>
          <w:tcPr>
            <w:tcW w:w="1000" w:type="dxa"/>
            <w:tcBorders>
              <w:top w:val="nil"/>
              <w:left w:val="nil"/>
              <w:bottom w:val="nil"/>
              <w:right w:val="single" w:sz="8" w:space="0" w:color="auto"/>
            </w:tcBorders>
            <w:shd w:val="clear" w:color="000000" w:fill="FFFFFF"/>
            <w:noWrap/>
            <w:vAlign w:val="center"/>
            <w:hideMark/>
          </w:tcPr>
          <w:p w14:paraId="215FF0AF" w14:textId="7913B0F5"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6,1</w:t>
            </w:r>
          </w:p>
        </w:tc>
        <w:tc>
          <w:tcPr>
            <w:tcW w:w="1372" w:type="dxa"/>
            <w:tcBorders>
              <w:top w:val="nil"/>
              <w:left w:val="nil"/>
              <w:bottom w:val="nil"/>
              <w:right w:val="single" w:sz="8" w:space="0" w:color="auto"/>
            </w:tcBorders>
            <w:shd w:val="clear" w:color="000000" w:fill="FFFFFF"/>
            <w:noWrap/>
            <w:vAlign w:val="center"/>
            <w:hideMark/>
          </w:tcPr>
          <w:p w14:paraId="78A13D91" w14:textId="47DE608D"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45,1</w:t>
            </w:r>
          </w:p>
        </w:tc>
        <w:tc>
          <w:tcPr>
            <w:tcW w:w="1529" w:type="dxa"/>
            <w:tcBorders>
              <w:top w:val="nil"/>
              <w:left w:val="nil"/>
              <w:bottom w:val="nil"/>
              <w:right w:val="single" w:sz="8" w:space="0" w:color="auto"/>
            </w:tcBorders>
            <w:shd w:val="clear" w:color="000000" w:fill="FFFFFF"/>
            <w:vAlign w:val="center"/>
            <w:hideMark/>
          </w:tcPr>
          <w:p w14:paraId="5CC3D544" w14:textId="3C1FE69D"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Bosnie-Herzégovine</w:t>
            </w:r>
          </w:p>
        </w:tc>
        <w:tc>
          <w:tcPr>
            <w:tcW w:w="1241" w:type="dxa"/>
            <w:tcBorders>
              <w:top w:val="nil"/>
              <w:left w:val="nil"/>
              <w:bottom w:val="nil"/>
              <w:right w:val="single" w:sz="8" w:space="0" w:color="auto"/>
            </w:tcBorders>
            <w:shd w:val="clear" w:color="000000" w:fill="FFFFFF"/>
            <w:noWrap/>
            <w:vAlign w:val="center"/>
            <w:hideMark/>
          </w:tcPr>
          <w:p w14:paraId="5FD979A1" w14:textId="3A0BB2B6"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152</w:t>
            </w:r>
          </w:p>
        </w:tc>
        <w:tc>
          <w:tcPr>
            <w:tcW w:w="1000" w:type="dxa"/>
            <w:tcBorders>
              <w:top w:val="nil"/>
              <w:left w:val="nil"/>
              <w:bottom w:val="nil"/>
              <w:right w:val="single" w:sz="8" w:space="0" w:color="auto"/>
            </w:tcBorders>
            <w:shd w:val="clear" w:color="000000" w:fill="FFFFFF"/>
            <w:noWrap/>
            <w:vAlign w:val="center"/>
            <w:hideMark/>
          </w:tcPr>
          <w:p w14:paraId="351BECDB" w14:textId="6F623FE8"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6,6</w:t>
            </w:r>
          </w:p>
        </w:tc>
        <w:tc>
          <w:tcPr>
            <w:tcW w:w="1372" w:type="dxa"/>
            <w:tcBorders>
              <w:top w:val="nil"/>
              <w:left w:val="nil"/>
              <w:bottom w:val="nil"/>
              <w:right w:val="single" w:sz="8" w:space="0" w:color="auto"/>
            </w:tcBorders>
            <w:shd w:val="clear" w:color="000000" w:fill="FFFFFF"/>
            <w:noWrap/>
            <w:vAlign w:val="center"/>
            <w:hideMark/>
          </w:tcPr>
          <w:p w14:paraId="0B5A5F75" w14:textId="110148BE"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44</w:t>
            </w:r>
          </w:p>
        </w:tc>
      </w:tr>
      <w:tr w:rsidR="00AE1A49" w:rsidRPr="00BF4D79" w14:paraId="61A07B88" w14:textId="77777777" w:rsidTr="00431635">
        <w:trPr>
          <w:trHeight w:val="302"/>
        </w:trPr>
        <w:tc>
          <w:tcPr>
            <w:tcW w:w="1529" w:type="dxa"/>
            <w:tcBorders>
              <w:top w:val="nil"/>
              <w:left w:val="single" w:sz="8" w:space="0" w:color="auto"/>
              <w:bottom w:val="nil"/>
              <w:right w:val="single" w:sz="8" w:space="0" w:color="auto"/>
            </w:tcBorders>
            <w:shd w:val="clear" w:color="000000" w:fill="FFFFFF"/>
            <w:vAlign w:val="center"/>
            <w:hideMark/>
          </w:tcPr>
          <w:p w14:paraId="7818318C" w14:textId="1D83B91C"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Slovénie</w:t>
            </w:r>
          </w:p>
        </w:tc>
        <w:tc>
          <w:tcPr>
            <w:tcW w:w="1333" w:type="dxa"/>
            <w:tcBorders>
              <w:top w:val="nil"/>
              <w:left w:val="nil"/>
              <w:bottom w:val="nil"/>
              <w:right w:val="single" w:sz="8" w:space="0" w:color="auto"/>
            </w:tcBorders>
            <w:shd w:val="clear" w:color="000000" w:fill="FFFFFF"/>
            <w:noWrap/>
            <w:vAlign w:val="center"/>
            <w:hideMark/>
          </w:tcPr>
          <w:p w14:paraId="5331BB19" w14:textId="668A157D"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20</w:t>
            </w:r>
          </w:p>
        </w:tc>
        <w:tc>
          <w:tcPr>
            <w:tcW w:w="1000" w:type="dxa"/>
            <w:tcBorders>
              <w:top w:val="nil"/>
              <w:left w:val="nil"/>
              <w:bottom w:val="nil"/>
              <w:right w:val="single" w:sz="8" w:space="0" w:color="auto"/>
            </w:tcBorders>
            <w:shd w:val="clear" w:color="000000" w:fill="FFFFFF"/>
            <w:noWrap/>
            <w:vAlign w:val="center"/>
            <w:hideMark/>
          </w:tcPr>
          <w:p w14:paraId="35E39602" w14:textId="4A19878D"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5,4</w:t>
            </w:r>
          </w:p>
        </w:tc>
        <w:tc>
          <w:tcPr>
            <w:tcW w:w="1372" w:type="dxa"/>
            <w:tcBorders>
              <w:top w:val="nil"/>
              <w:left w:val="nil"/>
              <w:bottom w:val="nil"/>
              <w:right w:val="single" w:sz="8" w:space="0" w:color="auto"/>
            </w:tcBorders>
            <w:shd w:val="clear" w:color="000000" w:fill="FFFFFF"/>
            <w:noWrap/>
            <w:vAlign w:val="center"/>
            <w:hideMark/>
          </w:tcPr>
          <w:p w14:paraId="76FEA217" w14:textId="4364CE35"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50,5</w:t>
            </w:r>
          </w:p>
        </w:tc>
        <w:tc>
          <w:tcPr>
            <w:tcW w:w="1529" w:type="dxa"/>
            <w:tcBorders>
              <w:top w:val="nil"/>
              <w:left w:val="nil"/>
              <w:bottom w:val="nil"/>
              <w:right w:val="single" w:sz="8" w:space="0" w:color="auto"/>
            </w:tcBorders>
            <w:shd w:val="clear" w:color="000000" w:fill="FFFFFF"/>
            <w:vAlign w:val="center"/>
            <w:hideMark/>
          </w:tcPr>
          <w:p w14:paraId="219D449E" w14:textId="0DFC3E6A"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Croatie</w:t>
            </w:r>
          </w:p>
        </w:tc>
        <w:tc>
          <w:tcPr>
            <w:tcW w:w="1241" w:type="dxa"/>
            <w:tcBorders>
              <w:top w:val="nil"/>
              <w:left w:val="nil"/>
              <w:bottom w:val="nil"/>
              <w:right w:val="single" w:sz="8" w:space="0" w:color="auto"/>
            </w:tcBorders>
            <w:shd w:val="clear" w:color="000000" w:fill="FFFFFF"/>
            <w:noWrap/>
            <w:vAlign w:val="center"/>
            <w:hideMark/>
          </w:tcPr>
          <w:p w14:paraId="295E2968" w14:textId="2A265CFA"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131,1</w:t>
            </w:r>
          </w:p>
        </w:tc>
        <w:tc>
          <w:tcPr>
            <w:tcW w:w="1000" w:type="dxa"/>
            <w:tcBorders>
              <w:top w:val="nil"/>
              <w:left w:val="nil"/>
              <w:bottom w:val="nil"/>
              <w:right w:val="single" w:sz="8" w:space="0" w:color="auto"/>
            </w:tcBorders>
            <w:shd w:val="clear" w:color="000000" w:fill="FFFFFF"/>
            <w:noWrap/>
            <w:vAlign w:val="center"/>
            <w:hideMark/>
          </w:tcPr>
          <w:p w14:paraId="1C67439D" w14:textId="022F32E2"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5,7</w:t>
            </w:r>
          </w:p>
        </w:tc>
        <w:tc>
          <w:tcPr>
            <w:tcW w:w="1372" w:type="dxa"/>
            <w:tcBorders>
              <w:top w:val="nil"/>
              <w:left w:val="nil"/>
              <w:bottom w:val="nil"/>
              <w:right w:val="single" w:sz="8" w:space="0" w:color="auto"/>
            </w:tcBorders>
            <w:shd w:val="clear" w:color="000000" w:fill="FFFFFF"/>
            <w:noWrap/>
            <w:vAlign w:val="center"/>
            <w:hideMark/>
          </w:tcPr>
          <w:p w14:paraId="4099A6CA" w14:textId="3EA09011"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49,6</w:t>
            </w:r>
          </w:p>
        </w:tc>
      </w:tr>
      <w:tr w:rsidR="00AE1A49" w:rsidRPr="00BF4D79" w14:paraId="2BCA6084" w14:textId="77777777" w:rsidTr="00431635">
        <w:trPr>
          <w:trHeight w:val="302"/>
        </w:trPr>
        <w:tc>
          <w:tcPr>
            <w:tcW w:w="1529" w:type="dxa"/>
            <w:tcBorders>
              <w:top w:val="nil"/>
              <w:left w:val="single" w:sz="8" w:space="0" w:color="auto"/>
              <w:bottom w:val="nil"/>
              <w:right w:val="single" w:sz="8" w:space="0" w:color="auto"/>
            </w:tcBorders>
            <w:shd w:val="clear" w:color="000000" w:fill="FFFFFF"/>
            <w:vAlign w:val="center"/>
            <w:hideMark/>
          </w:tcPr>
          <w:p w14:paraId="64AFFCAD" w14:textId="5C648911"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Pologne</w:t>
            </w:r>
          </w:p>
        </w:tc>
        <w:tc>
          <w:tcPr>
            <w:tcW w:w="1333" w:type="dxa"/>
            <w:tcBorders>
              <w:top w:val="nil"/>
              <w:left w:val="nil"/>
              <w:bottom w:val="nil"/>
              <w:right w:val="single" w:sz="8" w:space="0" w:color="auto"/>
            </w:tcBorders>
            <w:shd w:val="clear" w:color="000000" w:fill="FFFFFF"/>
            <w:noWrap/>
            <w:vAlign w:val="center"/>
            <w:hideMark/>
          </w:tcPr>
          <w:p w14:paraId="4E7D64BE" w14:textId="36DD8799"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15,3</w:t>
            </w:r>
          </w:p>
        </w:tc>
        <w:tc>
          <w:tcPr>
            <w:tcW w:w="1000" w:type="dxa"/>
            <w:tcBorders>
              <w:top w:val="nil"/>
              <w:left w:val="nil"/>
              <w:bottom w:val="nil"/>
              <w:right w:val="single" w:sz="8" w:space="0" w:color="auto"/>
            </w:tcBorders>
            <w:shd w:val="clear" w:color="000000" w:fill="FFFFFF"/>
            <w:noWrap/>
            <w:vAlign w:val="center"/>
            <w:hideMark/>
          </w:tcPr>
          <w:p w14:paraId="3B8EBC71" w14:textId="1C43D8D2"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4,1</w:t>
            </w:r>
          </w:p>
        </w:tc>
        <w:tc>
          <w:tcPr>
            <w:tcW w:w="1372" w:type="dxa"/>
            <w:tcBorders>
              <w:top w:val="nil"/>
              <w:left w:val="nil"/>
              <w:bottom w:val="nil"/>
              <w:right w:val="single" w:sz="8" w:space="0" w:color="auto"/>
            </w:tcBorders>
            <w:shd w:val="clear" w:color="000000" w:fill="FFFFFF"/>
            <w:noWrap/>
            <w:vAlign w:val="center"/>
            <w:hideMark/>
          </w:tcPr>
          <w:p w14:paraId="6DE018B5" w14:textId="790C5F98"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54,6</w:t>
            </w:r>
          </w:p>
        </w:tc>
        <w:tc>
          <w:tcPr>
            <w:tcW w:w="1529" w:type="dxa"/>
            <w:tcBorders>
              <w:top w:val="nil"/>
              <w:left w:val="nil"/>
              <w:bottom w:val="nil"/>
              <w:right w:val="single" w:sz="8" w:space="0" w:color="auto"/>
            </w:tcBorders>
            <w:shd w:val="clear" w:color="000000" w:fill="FFFFFF"/>
            <w:vAlign w:val="center"/>
            <w:hideMark/>
          </w:tcPr>
          <w:p w14:paraId="4920D9E7" w14:textId="552C5B38"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Slovénie</w:t>
            </w:r>
          </w:p>
        </w:tc>
        <w:tc>
          <w:tcPr>
            <w:tcW w:w="1241" w:type="dxa"/>
            <w:tcBorders>
              <w:top w:val="nil"/>
              <w:left w:val="nil"/>
              <w:bottom w:val="nil"/>
              <w:right w:val="single" w:sz="8" w:space="0" w:color="auto"/>
            </w:tcBorders>
            <w:shd w:val="clear" w:color="000000" w:fill="FFFFFF"/>
            <w:noWrap/>
            <w:vAlign w:val="center"/>
            <w:hideMark/>
          </w:tcPr>
          <w:p w14:paraId="0C546064" w14:textId="212C45C5"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55,2</w:t>
            </w:r>
          </w:p>
        </w:tc>
        <w:tc>
          <w:tcPr>
            <w:tcW w:w="1000" w:type="dxa"/>
            <w:tcBorders>
              <w:top w:val="nil"/>
              <w:left w:val="nil"/>
              <w:bottom w:val="nil"/>
              <w:right w:val="single" w:sz="8" w:space="0" w:color="auto"/>
            </w:tcBorders>
            <w:shd w:val="clear" w:color="000000" w:fill="FFFFFF"/>
            <w:noWrap/>
            <w:vAlign w:val="center"/>
            <w:hideMark/>
          </w:tcPr>
          <w:p w14:paraId="1C029E44" w14:textId="7454B0BE"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2,4</w:t>
            </w:r>
          </w:p>
        </w:tc>
        <w:tc>
          <w:tcPr>
            <w:tcW w:w="1372" w:type="dxa"/>
            <w:tcBorders>
              <w:top w:val="nil"/>
              <w:left w:val="nil"/>
              <w:bottom w:val="nil"/>
              <w:right w:val="single" w:sz="8" w:space="0" w:color="auto"/>
            </w:tcBorders>
            <w:shd w:val="clear" w:color="000000" w:fill="FFFFFF"/>
            <w:noWrap/>
            <w:vAlign w:val="center"/>
            <w:hideMark/>
          </w:tcPr>
          <w:p w14:paraId="2B7E6A8D" w14:textId="4B1AE3F5"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52</w:t>
            </w:r>
          </w:p>
        </w:tc>
      </w:tr>
      <w:tr w:rsidR="00AE1A49" w:rsidRPr="00BF4D79" w14:paraId="27CF945C" w14:textId="77777777" w:rsidTr="00431635">
        <w:trPr>
          <w:trHeight w:val="302"/>
        </w:trPr>
        <w:tc>
          <w:tcPr>
            <w:tcW w:w="1529" w:type="dxa"/>
            <w:tcBorders>
              <w:top w:val="nil"/>
              <w:left w:val="single" w:sz="8" w:space="0" w:color="auto"/>
              <w:bottom w:val="nil"/>
              <w:right w:val="single" w:sz="8" w:space="0" w:color="auto"/>
            </w:tcBorders>
            <w:shd w:val="clear" w:color="000000" w:fill="FFFFFF"/>
            <w:vAlign w:val="center"/>
            <w:hideMark/>
          </w:tcPr>
          <w:p w14:paraId="0DE571C3" w14:textId="04535163"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Italie</w:t>
            </w:r>
          </w:p>
        </w:tc>
        <w:tc>
          <w:tcPr>
            <w:tcW w:w="1333" w:type="dxa"/>
            <w:tcBorders>
              <w:top w:val="nil"/>
              <w:left w:val="nil"/>
              <w:bottom w:val="nil"/>
              <w:right w:val="single" w:sz="8" w:space="0" w:color="auto"/>
            </w:tcBorders>
            <w:shd w:val="clear" w:color="000000" w:fill="FFFFFF"/>
            <w:noWrap/>
            <w:vAlign w:val="center"/>
            <w:hideMark/>
          </w:tcPr>
          <w:p w14:paraId="3649F618" w14:textId="64583FF1"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13,1</w:t>
            </w:r>
          </w:p>
        </w:tc>
        <w:tc>
          <w:tcPr>
            <w:tcW w:w="1000" w:type="dxa"/>
            <w:tcBorders>
              <w:top w:val="nil"/>
              <w:left w:val="nil"/>
              <w:bottom w:val="nil"/>
              <w:right w:val="single" w:sz="8" w:space="0" w:color="auto"/>
            </w:tcBorders>
            <w:shd w:val="clear" w:color="000000" w:fill="FFFFFF"/>
            <w:noWrap/>
            <w:vAlign w:val="center"/>
            <w:hideMark/>
          </w:tcPr>
          <w:p w14:paraId="4E72CFA8" w14:textId="33C8E411"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3,5</w:t>
            </w:r>
          </w:p>
        </w:tc>
        <w:tc>
          <w:tcPr>
            <w:tcW w:w="1372" w:type="dxa"/>
            <w:tcBorders>
              <w:top w:val="nil"/>
              <w:left w:val="nil"/>
              <w:bottom w:val="nil"/>
              <w:right w:val="single" w:sz="8" w:space="0" w:color="auto"/>
            </w:tcBorders>
            <w:shd w:val="clear" w:color="000000" w:fill="FFFFFF"/>
            <w:noWrap/>
            <w:vAlign w:val="center"/>
            <w:hideMark/>
          </w:tcPr>
          <w:p w14:paraId="2595512D" w14:textId="4C9C4B5A"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58,1</w:t>
            </w:r>
          </w:p>
        </w:tc>
        <w:tc>
          <w:tcPr>
            <w:tcW w:w="1529" w:type="dxa"/>
            <w:tcBorders>
              <w:top w:val="nil"/>
              <w:left w:val="nil"/>
              <w:bottom w:val="nil"/>
              <w:right w:val="single" w:sz="8" w:space="0" w:color="auto"/>
            </w:tcBorders>
            <w:shd w:val="clear" w:color="000000" w:fill="FFFFFF"/>
            <w:vAlign w:val="center"/>
            <w:hideMark/>
          </w:tcPr>
          <w:p w14:paraId="6C57E976" w14:textId="5A6D075F"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 xml:space="preserve">France </w:t>
            </w:r>
          </w:p>
        </w:tc>
        <w:tc>
          <w:tcPr>
            <w:tcW w:w="1241" w:type="dxa"/>
            <w:tcBorders>
              <w:top w:val="nil"/>
              <w:left w:val="nil"/>
              <w:bottom w:val="nil"/>
              <w:right w:val="single" w:sz="8" w:space="0" w:color="auto"/>
            </w:tcBorders>
            <w:shd w:val="clear" w:color="000000" w:fill="FFFFFF"/>
            <w:noWrap/>
            <w:vAlign w:val="center"/>
            <w:hideMark/>
          </w:tcPr>
          <w:p w14:paraId="03A443F7" w14:textId="342DDB00"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52,6</w:t>
            </w:r>
          </w:p>
        </w:tc>
        <w:tc>
          <w:tcPr>
            <w:tcW w:w="1000" w:type="dxa"/>
            <w:tcBorders>
              <w:top w:val="nil"/>
              <w:left w:val="nil"/>
              <w:bottom w:val="nil"/>
              <w:right w:val="single" w:sz="8" w:space="0" w:color="auto"/>
            </w:tcBorders>
            <w:shd w:val="clear" w:color="000000" w:fill="FFFFFF"/>
            <w:noWrap/>
            <w:vAlign w:val="center"/>
            <w:hideMark/>
          </w:tcPr>
          <w:p w14:paraId="4FD00404" w14:textId="0DA9DE32"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2,3</w:t>
            </w:r>
          </w:p>
        </w:tc>
        <w:tc>
          <w:tcPr>
            <w:tcW w:w="1372" w:type="dxa"/>
            <w:tcBorders>
              <w:top w:val="nil"/>
              <w:left w:val="nil"/>
              <w:bottom w:val="nil"/>
              <w:right w:val="single" w:sz="8" w:space="0" w:color="auto"/>
            </w:tcBorders>
            <w:shd w:val="clear" w:color="000000" w:fill="FFFFFF"/>
            <w:noWrap/>
            <w:vAlign w:val="center"/>
            <w:hideMark/>
          </w:tcPr>
          <w:p w14:paraId="7A36EA83" w14:textId="37C12C56"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54,3</w:t>
            </w:r>
          </w:p>
        </w:tc>
      </w:tr>
      <w:tr w:rsidR="00AE1A49" w:rsidRPr="00BF4D79" w14:paraId="3A3932A9" w14:textId="77777777" w:rsidTr="00431635">
        <w:trPr>
          <w:trHeight w:val="302"/>
        </w:trPr>
        <w:tc>
          <w:tcPr>
            <w:tcW w:w="1529" w:type="dxa"/>
            <w:tcBorders>
              <w:top w:val="nil"/>
              <w:left w:val="single" w:sz="8" w:space="0" w:color="auto"/>
              <w:bottom w:val="nil"/>
              <w:right w:val="single" w:sz="8" w:space="0" w:color="auto"/>
            </w:tcBorders>
            <w:shd w:val="clear" w:color="000000" w:fill="FFFFFF"/>
            <w:vAlign w:val="center"/>
            <w:hideMark/>
          </w:tcPr>
          <w:p w14:paraId="617B4F22" w14:textId="5CA0F5E7"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Lituanie</w:t>
            </w:r>
          </w:p>
        </w:tc>
        <w:tc>
          <w:tcPr>
            <w:tcW w:w="1333" w:type="dxa"/>
            <w:tcBorders>
              <w:top w:val="nil"/>
              <w:left w:val="nil"/>
              <w:bottom w:val="nil"/>
              <w:right w:val="single" w:sz="8" w:space="0" w:color="auto"/>
            </w:tcBorders>
            <w:shd w:val="clear" w:color="000000" w:fill="FFFFFF"/>
            <w:noWrap/>
            <w:vAlign w:val="center"/>
            <w:hideMark/>
          </w:tcPr>
          <w:p w14:paraId="5297B0A7" w14:textId="6275477F"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11,1</w:t>
            </w:r>
          </w:p>
        </w:tc>
        <w:tc>
          <w:tcPr>
            <w:tcW w:w="1000" w:type="dxa"/>
            <w:tcBorders>
              <w:top w:val="nil"/>
              <w:left w:val="nil"/>
              <w:bottom w:val="nil"/>
              <w:right w:val="single" w:sz="8" w:space="0" w:color="auto"/>
            </w:tcBorders>
            <w:shd w:val="clear" w:color="000000" w:fill="FFFFFF"/>
            <w:noWrap/>
            <w:vAlign w:val="center"/>
            <w:hideMark/>
          </w:tcPr>
          <w:p w14:paraId="2060E6B0" w14:textId="12C2E9E9"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w:t>
            </w:r>
          </w:p>
        </w:tc>
        <w:tc>
          <w:tcPr>
            <w:tcW w:w="1372" w:type="dxa"/>
            <w:tcBorders>
              <w:top w:val="nil"/>
              <w:left w:val="nil"/>
              <w:bottom w:val="nil"/>
              <w:right w:val="single" w:sz="8" w:space="0" w:color="auto"/>
            </w:tcBorders>
            <w:shd w:val="clear" w:color="000000" w:fill="FFFFFF"/>
            <w:noWrap/>
            <w:vAlign w:val="center"/>
            <w:hideMark/>
          </w:tcPr>
          <w:p w14:paraId="407EB69E" w14:textId="06BFD857"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61,1</w:t>
            </w:r>
          </w:p>
        </w:tc>
        <w:tc>
          <w:tcPr>
            <w:tcW w:w="1529" w:type="dxa"/>
            <w:tcBorders>
              <w:top w:val="nil"/>
              <w:left w:val="nil"/>
              <w:bottom w:val="nil"/>
              <w:right w:val="single" w:sz="8" w:space="0" w:color="auto"/>
            </w:tcBorders>
            <w:shd w:val="clear" w:color="000000" w:fill="FFFFFF"/>
            <w:vAlign w:val="center"/>
            <w:hideMark/>
          </w:tcPr>
          <w:p w14:paraId="5830AC94" w14:textId="5CD81511"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Pologne</w:t>
            </w:r>
          </w:p>
        </w:tc>
        <w:tc>
          <w:tcPr>
            <w:tcW w:w="1241" w:type="dxa"/>
            <w:tcBorders>
              <w:top w:val="nil"/>
              <w:left w:val="nil"/>
              <w:bottom w:val="nil"/>
              <w:right w:val="single" w:sz="8" w:space="0" w:color="auto"/>
            </w:tcBorders>
            <w:shd w:val="clear" w:color="000000" w:fill="FFFFFF"/>
            <w:noWrap/>
            <w:vAlign w:val="center"/>
            <w:hideMark/>
          </w:tcPr>
          <w:p w14:paraId="5E599A28" w14:textId="52B08214"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38</w:t>
            </w:r>
          </w:p>
        </w:tc>
        <w:tc>
          <w:tcPr>
            <w:tcW w:w="1000" w:type="dxa"/>
            <w:tcBorders>
              <w:top w:val="nil"/>
              <w:left w:val="nil"/>
              <w:bottom w:val="nil"/>
              <w:right w:val="single" w:sz="8" w:space="0" w:color="auto"/>
            </w:tcBorders>
            <w:shd w:val="clear" w:color="000000" w:fill="FFFFFF"/>
            <w:noWrap/>
            <w:vAlign w:val="center"/>
            <w:hideMark/>
          </w:tcPr>
          <w:p w14:paraId="2E7BDC0E" w14:textId="068A0E1C"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1,7</w:t>
            </w:r>
          </w:p>
        </w:tc>
        <w:tc>
          <w:tcPr>
            <w:tcW w:w="1372" w:type="dxa"/>
            <w:tcBorders>
              <w:top w:val="nil"/>
              <w:left w:val="nil"/>
              <w:bottom w:val="nil"/>
              <w:right w:val="single" w:sz="8" w:space="0" w:color="auto"/>
            </w:tcBorders>
            <w:shd w:val="clear" w:color="000000" w:fill="FFFFFF"/>
            <w:noWrap/>
            <w:vAlign w:val="center"/>
            <w:hideMark/>
          </w:tcPr>
          <w:p w14:paraId="60B5D1A9" w14:textId="7554E634"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56</w:t>
            </w:r>
          </w:p>
        </w:tc>
      </w:tr>
      <w:tr w:rsidR="00AE1A49" w:rsidRPr="00BF4D79" w14:paraId="455770B8" w14:textId="77777777" w:rsidTr="00431635">
        <w:trPr>
          <w:trHeight w:val="302"/>
        </w:trPr>
        <w:tc>
          <w:tcPr>
            <w:tcW w:w="1529" w:type="dxa"/>
            <w:tcBorders>
              <w:top w:val="nil"/>
              <w:left w:val="single" w:sz="8" w:space="0" w:color="auto"/>
              <w:bottom w:val="nil"/>
              <w:right w:val="single" w:sz="8" w:space="0" w:color="auto"/>
            </w:tcBorders>
            <w:shd w:val="clear" w:color="000000" w:fill="FFFFFF"/>
            <w:vAlign w:val="center"/>
            <w:hideMark/>
          </w:tcPr>
          <w:p w14:paraId="3F59574F" w14:textId="6DCC8FC2"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Albanie</w:t>
            </w:r>
          </w:p>
        </w:tc>
        <w:tc>
          <w:tcPr>
            <w:tcW w:w="1333" w:type="dxa"/>
            <w:tcBorders>
              <w:top w:val="nil"/>
              <w:left w:val="nil"/>
              <w:bottom w:val="nil"/>
              <w:right w:val="single" w:sz="8" w:space="0" w:color="auto"/>
            </w:tcBorders>
            <w:shd w:val="clear" w:color="000000" w:fill="FFFFFF"/>
            <w:noWrap/>
            <w:vAlign w:val="center"/>
            <w:hideMark/>
          </w:tcPr>
          <w:p w14:paraId="61774A56" w14:textId="2298A96A"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10,9</w:t>
            </w:r>
          </w:p>
        </w:tc>
        <w:tc>
          <w:tcPr>
            <w:tcW w:w="1000" w:type="dxa"/>
            <w:tcBorders>
              <w:top w:val="nil"/>
              <w:left w:val="nil"/>
              <w:bottom w:val="nil"/>
              <w:right w:val="single" w:sz="8" w:space="0" w:color="auto"/>
            </w:tcBorders>
            <w:shd w:val="clear" w:color="000000" w:fill="FFFFFF"/>
            <w:noWrap/>
            <w:vAlign w:val="center"/>
            <w:hideMark/>
          </w:tcPr>
          <w:p w14:paraId="386BC0E0" w14:textId="2987F962"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2,9</w:t>
            </w:r>
          </w:p>
        </w:tc>
        <w:tc>
          <w:tcPr>
            <w:tcW w:w="1372" w:type="dxa"/>
            <w:tcBorders>
              <w:top w:val="nil"/>
              <w:left w:val="nil"/>
              <w:bottom w:val="nil"/>
              <w:right w:val="single" w:sz="8" w:space="0" w:color="auto"/>
            </w:tcBorders>
            <w:shd w:val="clear" w:color="000000" w:fill="FFFFFF"/>
            <w:noWrap/>
            <w:vAlign w:val="center"/>
            <w:hideMark/>
          </w:tcPr>
          <w:p w14:paraId="18D31FFA" w14:textId="4D238838"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64</w:t>
            </w:r>
          </w:p>
        </w:tc>
        <w:tc>
          <w:tcPr>
            <w:tcW w:w="1529" w:type="dxa"/>
            <w:tcBorders>
              <w:top w:val="nil"/>
              <w:left w:val="nil"/>
              <w:bottom w:val="nil"/>
              <w:right w:val="single" w:sz="8" w:space="0" w:color="auto"/>
            </w:tcBorders>
            <w:shd w:val="clear" w:color="000000" w:fill="FFFFFF"/>
            <w:vAlign w:val="center"/>
            <w:hideMark/>
          </w:tcPr>
          <w:p w14:paraId="767E820C" w14:textId="5C36574A"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Albanie</w:t>
            </w:r>
          </w:p>
        </w:tc>
        <w:tc>
          <w:tcPr>
            <w:tcW w:w="1241" w:type="dxa"/>
            <w:tcBorders>
              <w:top w:val="nil"/>
              <w:left w:val="nil"/>
              <w:bottom w:val="nil"/>
              <w:right w:val="single" w:sz="8" w:space="0" w:color="auto"/>
            </w:tcBorders>
            <w:shd w:val="clear" w:color="000000" w:fill="FFFFFF"/>
            <w:noWrap/>
            <w:vAlign w:val="center"/>
            <w:hideMark/>
          </w:tcPr>
          <w:p w14:paraId="6E500A75" w14:textId="70B8CED9"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35</w:t>
            </w:r>
          </w:p>
        </w:tc>
        <w:tc>
          <w:tcPr>
            <w:tcW w:w="1000" w:type="dxa"/>
            <w:tcBorders>
              <w:top w:val="nil"/>
              <w:left w:val="nil"/>
              <w:bottom w:val="nil"/>
              <w:right w:val="single" w:sz="8" w:space="0" w:color="auto"/>
            </w:tcBorders>
            <w:shd w:val="clear" w:color="000000" w:fill="FFFFFF"/>
            <w:noWrap/>
            <w:vAlign w:val="center"/>
            <w:hideMark/>
          </w:tcPr>
          <w:p w14:paraId="0FAE0D56" w14:textId="5CDBF8BD"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1,5</w:t>
            </w:r>
          </w:p>
        </w:tc>
        <w:tc>
          <w:tcPr>
            <w:tcW w:w="1372" w:type="dxa"/>
            <w:tcBorders>
              <w:top w:val="nil"/>
              <w:left w:val="nil"/>
              <w:bottom w:val="nil"/>
              <w:right w:val="single" w:sz="8" w:space="0" w:color="auto"/>
            </w:tcBorders>
            <w:shd w:val="clear" w:color="000000" w:fill="FFFFFF"/>
            <w:noWrap/>
            <w:vAlign w:val="center"/>
            <w:hideMark/>
          </w:tcPr>
          <w:p w14:paraId="23426633" w14:textId="71167E5F"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57,5</w:t>
            </w:r>
          </w:p>
        </w:tc>
      </w:tr>
      <w:tr w:rsidR="00AE1A49" w:rsidRPr="00BF4D79" w14:paraId="2281B1E8" w14:textId="77777777" w:rsidTr="00431635">
        <w:trPr>
          <w:trHeight w:val="529"/>
        </w:trPr>
        <w:tc>
          <w:tcPr>
            <w:tcW w:w="1529" w:type="dxa"/>
            <w:tcBorders>
              <w:top w:val="nil"/>
              <w:left w:val="single" w:sz="8" w:space="0" w:color="auto"/>
              <w:bottom w:val="single" w:sz="8" w:space="0" w:color="auto"/>
              <w:right w:val="single" w:sz="8" w:space="0" w:color="auto"/>
            </w:tcBorders>
            <w:shd w:val="clear" w:color="000000" w:fill="FFFFFF"/>
            <w:vAlign w:val="center"/>
            <w:hideMark/>
          </w:tcPr>
          <w:p w14:paraId="468C138B" w14:textId="62A4A644"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Allemagne</w:t>
            </w:r>
          </w:p>
        </w:tc>
        <w:tc>
          <w:tcPr>
            <w:tcW w:w="1333" w:type="dxa"/>
            <w:tcBorders>
              <w:top w:val="nil"/>
              <w:left w:val="nil"/>
              <w:bottom w:val="single" w:sz="8" w:space="0" w:color="auto"/>
              <w:right w:val="single" w:sz="8" w:space="0" w:color="auto"/>
            </w:tcBorders>
            <w:shd w:val="clear" w:color="000000" w:fill="FFFFFF"/>
            <w:noWrap/>
            <w:vAlign w:val="center"/>
            <w:hideMark/>
          </w:tcPr>
          <w:p w14:paraId="06D68707" w14:textId="3C2F22E1"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9,3</w:t>
            </w:r>
          </w:p>
        </w:tc>
        <w:tc>
          <w:tcPr>
            <w:tcW w:w="1000" w:type="dxa"/>
            <w:tcBorders>
              <w:top w:val="nil"/>
              <w:left w:val="nil"/>
              <w:bottom w:val="single" w:sz="8" w:space="0" w:color="auto"/>
              <w:right w:val="single" w:sz="8" w:space="0" w:color="auto"/>
            </w:tcBorders>
            <w:shd w:val="clear" w:color="000000" w:fill="FFFFFF"/>
            <w:noWrap/>
            <w:vAlign w:val="center"/>
            <w:hideMark/>
          </w:tcPr>
          <w:p w14:paraId="6F06CE9D" w14:textId="5189A919"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2,5</w:t>
            </w:r>
          </w:p>
        </w:tc>
        <w:tc>
          <w:tcPr>
            <w:tcW w:w="1372" w:type="dxa"/>
            <w:tcBorders>
              <w:top w:val="nil"/>
              <w:left w:val="nil"/>
              <w:bottom w:val="single" w:sz="8" w:space="0" w:color="auto"/>
              <w:right w:val="single" w:sz="8" w:space="0" w:color="auto"/>
            </w:tcBorders>
            <w:shd w:val="clear" w:color="000000" w:fill="FFFFFF"/>
            <w:noWrap/>
            <w:vAlign w:val="center"/>
            <w:hideMark/>
          </w:tcPr>
          <w:p w14:paraId="73314A47" w14:textId="262906D2"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66,5</w:t>
            </w:r>
          </w:p>
        </w:tc>
        <w:tc>
          <w:tcPr>
            <w:tcW w:w="1529" w:type="dxa"/>
            <w:tcBorders>
              <w:top w:val="nil"/>
              <w:left w:val="nil"/>
              <w:bottom w:val="single" w:sz="8" w:space="0" w:color="auto"/>
              <w:right w:val="single" w:sz="8" w:space="0" w:color="auto"/>
            </w:tcBorders>
            <w:shd w:val="clear" w:color="000000" w:fill="FFFFFF"/>
            <w:vAlign w:val="center"/>
            <w:hideMark/>
          </w:tcPr>
          <w:p w14:paraId="44FB7FB4" w14:textId="44692CC9" w:rsidR="00AE1A49" w:rsidRPr="00BF4D79" w:rsidRDefault="00AE1A49" w:rsidP="00AE1A49">
            <w:pPr>
              <w:spacing w:after="0" w:line="240" w:lineRule="auto"/>
              <w:rPr>
                <w:rFonts w:eastAsia="Times New Roman" w:cs="Arial"/>
                <w:b/>
                <w:bCs/>
                <w:color w:val="000000"/>
                <w:szCs w:val="20"/>
                <w:lang w:eastAsia="fr-FR"/>
              </w:rPr>
            </w:pPr>
            <w:r>
              <w:rPr>
                <w:rFonts w:cs="Arial"/>
                <w:b/>
                <w:bCs/>
                <w:color w:val="000000"/>
                <w:szCs w:val="20"/>
              </w:rPr>
              <w:t>République Tchèque</w:t>
            </w:r>
          </w:p>
        </w:tc>
        <w:tc>
          <w:tcPr>
            <w:tcW w:w="1241" w:type="dxa"/>
            <w:tcBorders>
              <w:top w:val="nil"/>
              <w:left w:val="nil"/>
              <w:bottom w:val="single" w:sz="8" w:space="0" w:color="auto"/>
              <w:right w:val="single" w:sz="8" w:space="0" w:color="auto"/>
            </w:tcBorders>
            <w:shd w:val="clear" w:color="000000" w:fill="FFFFFF"/>
            <w:noWrap/>
            <w:vAlign w:val="center"/>
            <w:hideMark/>
          </w:tcPr>
          <w:p w14:paraId="7F5EE43E" w14:textId="0B83E3C5"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30,9</w:t>
            </w:r>
          </w:p>
        </w:tc>
        <w:tc>
          <w:tcPr>
            <w:tcW w:w="1000" w:type="dxa"/>
            <w:tcBorders>
              <w:top w:val="nil"/>
              <w:left w:val="nil"/>
              <w:bottom w:val="single" w:sz="8" w:space="0" w:color="auto"/>
              <w:right w:val="single" w:sz="8" w:space="0" w:color="auto"/>
            </w:tcBorders>
            <w:shd w:val="clear" w:color="000000" w:fill="FFFFFF"/>
            <w:noWrap/>
            <w:vAlign w:val="center"/>
            <w:hideMark/>
          </w:tcPr>
          <w:p w14:paraId="76672624" w14:textId="02FCB350"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1,3</w:t>
            </w:r>
          </w:p>
        </w:tc>
        <w:tc>
          <w:tcPr>
            <w:tcW w:w="1372" w:type="dxa"/>
            <w:tcBorders>
              <w:top w:val="nil"/>
              <w:left w:val="nil"/>
              <w:bottom w:val="single" w:sz="8" w:space="0" w:color="auto"/>
              <w:right w:val="single" w:sz="8" w:space="0" w:color="auto"/>
            </w:tcBorders>
            <w:shd w:val="clear" w:color="000000" w:fill="FFFFFF"/>
            <w:noWrap/>
            <w:vAlign w:val="center"/>
            <w:hideMark/>
          </w:tcPr>
          <w:p w14:paraId="6E2F2A96" w14:textId="10CF1192" w:rsidR="00AE1A49" w:rsidRPr="00BF4D79" w:rsidRDefault="00AE1A49" w:rsidP="00AE1A49">
            <w:pPr>
              <w:spacing w:after="0" w:line="240" w:lineRule="auto"/>
              <w:jc w:val="center"/>
              <w:rPr>
                <w:rFonts w:eastAsia="Times New Roman" w:cs="Arial"/>
                <w:color w:val="000000"/>
                <w:szCs w:val="20"/>
                <w:lang w:eastAsia="fr-FR"/>
              </w:rPr>
            </w:pPr>
            <w:r>
              <w:rPr>
                <w:rFonts w:cs="Arial"/>
                <w:color w:val="000000"/>
                <w:szCs w:val="20"/>
              </w:rPr>
              <w:t>58,8</w:t>
            </w:r>
          </w:p>
        </w:tc>
      </w:tr>
    </w:tbl>
    <w:p w14:paraId="39C47A35" w14:textId="77777777" w:rsidR="00E05629" w:rsidRDefault="00E05629" w:rsidP="00DC6CB8">
      <w:pPr>
        <w:ind w:right="57"/>
        <w:rPr>
          <w:rFonts w:cs="Arial"/>
          <w:i/>
          <w:iCs/>
          <w:sz w:val="18"/>
        </w:rPr>
      </w:pPr>
    </w:p>
    <w:p w14:paraId="4621BA28" w14:textId="49543DB9" w:rsidR="00C5326B" w:rsidRDefault="00DC6CB8" w:rsidP="00DC6CB8">
      <w:pPr>
        <w:ind w:right="57"/>
        <w:rPr>
          <w:rFonts w:cs="Arial"/>
          <w:i/>
          <w:iCs/>
          <w:sz w:val="18"/>
        </w:rPr>
      </w:pPr>
      <w:r w:rsidRPr="00DC6CB8">
        <w:rPr>
          <w:rFonts w:cs="Arial"/>
          <w:i/>
          <w:iCs/>
          <w:sz w:val="18"/>
        </w:rPr>
        <w:t>Source : Monstat</w:t>
      </w:r>
    </w:p>
    <w:p w14:paraId="6434F354" w14:textId="77777777" w:rsidR="00AE1A49" w:rsidRDefault="00AE1A49" w:rsidP="00DC6CB8">
      <w:pPr>
        <w:ind w:right="57"/>
        <w:rPr>
          <w:rFonts w:cs="Arial"/>
          <w:i/>
          <w:iCs/>
          <w:sz w:val="18"/>
        </w:rPr>
      </w:pPr>
    </w:p>
    <w:p w14:paraId="5E67D254" w14:textId="77777777" w:rsidR="00AE1A49" w:rsidRDefault="00AE1A49" w:rsidP="00DC6CB8">
      <w:pPr>
        <w:ind w:right="57"/>
        <w:rPr>
          <w:rFonts w:cs="Arial"/>
          <w:i/>
          <w:iCs/>
          <w:sz w:val="18"/>
        </w:rPr>
      </w:pPr>
    </w:p>
    <w:p w14:paraId="4FFCC12C" w14:textId="77777777" w:rsidR="00AE1A49" w:rsidRDefault="00AE1A49" w:rsidP="00DC6CB8">
      <w:pPr>
        <w:ind w:right="57"/>
        <w:rPr>
          <w:rFonts w:cs="Arial"/>
          <w:i/>
          <w:iCs/>
          <w:sz w:val="18"/>
        </w:rPr>
      </w:pPr>
    </w:p>
    <w:p w14:paraId="2E8B9AF7" w14:textId="77777777" w:rsidR="00AE1A49" w:rsidRDefault="00AE1A49" w:rsidP="00DC6CB8">
      <w:pPr>
        <w:ind w:right="57"/>
        <w:rPr>
          <w:rFonts w:cs="Arial"/>
          <w:i/>
          <w:iCs/>
          <w:sz w:val="18"/>
        </w:rPr>
      </w:pPr>
    </w:p>
    <w:p w14:paraId="3CC4B160" w14:textId="77777777" w:rsidR="00AE1A49" w:rsidRDefault="00AE1A49" w:rsidP="00DC6CB8">
      <w:pPr>
        <w:ind w:right="57"/>
        <w:rPr>
          <w:rFonts w:cs="Arial"/>
          <w:i/>
          <w:iCs/>
          <w:sz w:val="18"/>
        </w:rPr>
      </w:pPr>
    </w:p>
    <w:p w14:paraId="60D579D4" w14:textId="77777777" w:rsidR="00AE1A49" w:rsidRDefault="00AE1A49" w:rsidP="00DC6CB8">
      <w:pPr>
        <w:ind w:right="57"/>
        <w:rPr>
          <w:rFonts w:cs="Arial"/>
          <w:i/>
          <w:iCs/>
          <w:sz w:val="18"/>
        </w:rPr>
      </w:pPr>
    </w:p>
    <w:p w14:paraId="78AF9E91" w14:textId="77777777" w:rsidR="00AE1A49" w:rsidRDefault="00AE1A49" w:rsidP="00DC6CB8">
      <w:pPr>
        <w:ind w:right="57"/>
        <w:rPr>
          <w:rFonts w:cs="Arial"/>
          <w:i/>
          <w:iCs/>
          <w:sz w:val="18"/>
        </w:rPr>
      </w:pPr>
    </w:p>
    <w:p w14:paraId="046317BE" w14:textId="77777777" w:rsidR="00AE1A49" w:rsidRDefault="00AE1A49" w:rsidP="00DC6CB8">
      <w:pPr>
        <w:ind w:right="57"/>
        <w:rPr>
          <w:rFonts w:cs="Arial"/>
          <w:i/>
          <w:iCs/>
          <w:sz w:val="18"/>
        </w:rPr>
      </w:pPr>
    </w:p>
    <w:p w14:paraId="68927943" w14:textId="77777777" w:rsidR="00AE1A49" w:rsidRDefault="00AE1A49" w:rsidP="00DC6CB8">
      <w:pPr>
        <w:ind w:right="57"/>
        <w:rPr>
          <w:rFonts w:cs="Arial"/>
          <w:i/>
          <w:iCs/>
          <w:sz w:val="18"/>
        </w:rPr>
      </w:pPr>
    </w:p>
    <w:p w14:paraId="5642E3BE" w14:textId="77777777" w:rsidR="00AE1A49" w:rsidRDefault="00AE1A49" w:rsidP="00DC6CB8">
      <w:pPr>
        <w:ind w:right="57"/>
        <w:rPr>
          <w:rFonts w:cs="Arial"/>
          <w:i/>
          <w:iCs/>
          <w:sz w:val="18"/>
        </w:rPr>
      </w:pPr>
    </w:p>
    <w:p w14:paraId="5F27D925" w14:textId="77777777" w:rsidR="00AE1A49" w:rsidRDefault="00AE1A49" w:rsidP="00DC6CB8">
      <w:pPr>
        <w:ind w:right="57"/>
        <w:rPr>
          <w:rFonts w:cs="Arial"/>
          <w:i/>
          <w:iCs/>
          <w:sz w:val="18"/>
        </w:rPr>
      </w:pPr>
    </w:p>
    <w:p w14:paraId="16C25A94" w14:textId="77777777" w:rsidR="00AE1A49" w:rsidRDefault="00AE1A49" w:rsidP="00DC6CB8">
      <w:pPr>
        <w:ind w:right="57"/>
        <w:rPr>
          <w:rFonts w:cs="Arial"/>
          <w:i/>
          <w:iCs/>
          <w:sz w:val="18"/>
        </w:rPr>
      </w:pPr>
    </w:p>
    <w:p w14:paraId="39199617" w14:textId="77777777" w:rsidR="00AE1A49" w:rsidRDefault="00AE1A49" w:rsidP="00DC6CB8">
      <w:pPr>
        <w:ind w:right="57"/>
        <w:rPr>
          <w:rFonts w:cs="Arial"/>
          <w:i/>
          <w:iCs/>
          <w:sz w:val="18"/>
        </w:rPr>
      </w:pPr>
    </w:p>
    <w:p w14:paraId="259FBE48" w14:textId="77777777" w:rsidR="00AE1A49" w:rsidRDefault="00AE1A49" w:rsidP="00DC6CB8">
      <w:pPr>
        <w:ind w:right="57"/>
        <w:rPr>
          <w:rFonts w:cs="Arial"/>
          <w:i/>
          <w:iCs/>
          <w:sz w:val="18"/>
        </w:rPr>
      </w:pPr>
    </w:p>
    <w:p w14:paraId="7C53A665" w14:textId="77777777" w:rsidR="00AE1A49" w:rsidRDefault="00AE1A49" w:rsidP="00DC6CB8">
      <w:pPr>
        <w:ind w:right="57"/>
        <w:rPr>
          <w:rFonts w:cs="Arial"/>
          <w:i/>
          <w:iCs/>
          <w:sz w:val="18"/>
        </w:rPr>
      </w:pPr>
    </w:p>
    <w:p w14:paraId="30237384" w14:textId="77777777" w:rsidR="00AE1A49" w:rsidRDefault="00AE1A49" w:rsidP="00DC6CB8">
      <w:pPr>
        <w:ind w:right="57"/>
        <w:rPr>
          <w:rFonts w:cs="Arial"/>
          <w:i/>
          <w:iCs/>
          <w:sz w:val="18"/>
        </w:rPr>
      </w:pPr>
    </w:p>
    <w:p w14:paraId="13827B98" w14:textId="77777777" w:rsidR="00AE1A49" w:rsidRPr="00DC6CB8" w:rsidRDefault="00AE1A49" w:rsidP="00DC6CB8">
      <w:pPr>
        <w:ind w:right="57"/>
        <w:rPr>
          <w:rFonts w:cs="Arial"/>
          <w:i/>
          <w:iCs/>
          <w:sz w:val="18"/>
        </w:rPr>
      </w:pPr>
    </w:p>
    <w:tbl>
      <w:tblPr>
        <w:tblStyle w:val="Grilledutableau"/>
        <w:tblW w:w="9928" w:type="dxa"/>
        <w:jc w:val="center"/>
        <w:shd w:val="clear" w:color="auto" w:fill="E6A300"/>
        <w:tblLayout w:type="fixed"/>
        <w:tblLook w:val="04A0" w:firstRow="1" w:lastRow="0" w:firstColumn="1" w:lastColumn="0" w:noHBand="0" w:noVBand="1"/>
      </w:tblPr>
      <w:tblGrid>
        <w:gridCol w:w="9928"/>
      </w:tblGrid>
      <w:tr w:rsidR="002C1015" w:rsidRPr="00C5326B" w14:paraId="4621BA34" w14:textId="77777777" w:rsidTr="00DA46C4">
        <w:trPr>
          <w:trHeight w:val="144"/>
          <w:jc w:val="center"/>
        </w:trPr>
        <w:tc>
          <w:tcPr>
            <w:tcW w:w="9928" w:type="dxa"/>
            <w:shd w:val="clear" w:color="auto" w:fill="E6A300"/>
          </w:tcPr>
          <w:p w14:paraId="4621BA31" w14:textId="146B3A3A" w:rsidR="002C1015" w:rsidRPr="00C5326B" w:rsidRDefault="002C1015" w:rsidP="009743A6">
            <w:pPr>
              <w:pStyle w:val="Titre5"/>
              <w:jc w:val="center"/>
              <w:outlineLvl w:val="4"/>
              <w:rPr>
                <w:rFonts w:cs="Arial"/>
                <w:szCs w:val="16"/>
              </w:rPr>
            </w:pPr>
            <w:r w:rsidRPr="00C5326B">
              <w:rPr>
                <w:rFonts w:cs="Arial"/>
                <w:szCs w:val="16"/>
              </w:rPr>
              <w:t>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w:t>
            </w:r>
          </w:p>
          <w:p w14:paraId="4621BA32" w14:textId="28115BB6" w:rsidR="00ED1437" w:rsidRPr="00C5326B" w:rsidRDefault="00ED1437" w:rsidP="00ED1437">
            <w:pPr>
              <w:jc w:val="center"/>
              <w:rPr>
                <w:rFonts w:cs="Arial"/>
                <w:sz w:val="16"/>
                <w:szCs w:val="16"/>
              </w:rPr>
            </w:pPr>
            <w:r w:rsidRPr="00C5326B">
              <w:rPr>
                <w:rFonts w:cs="Arial"/>
                <w:sz w:val="16"/>
                <w:szCs w:val="16"/>
              </w:rPr>
              <w:t xml:space="preserve">Rédigé par : </w:t>
            </w:r>
            <w:r w:rsidR="00431635">
              <w:rPr>
                <w:rFonts w:cs="Arial"/>
                <w:sz w:val="16"/>
                <w:szCs w:val="16"/>
              </w:rPr>
              <w:t>Yacine Allam</w:t>
            </w:r>
          </w:p>
          <w:p w14:paraId="4621BA33" w14:textId="77777777" w:rsidR="00ED1437" w:rsidRPr="00C5326B" w:rsidRDefault="00ED1437" w:rsidP="00ED1437">
            <w:pPr>
              <w:jc w:val="center"/>
              <w:rPr>
                <w:rFonts w:cs="Arial"/>
                <w:sz w:val="16"/>
                <w:szCs w:val="16"/>
              </w:rPr>
            </w:pPr>
            <w:r w:rsidRPr="00C5326B">
              <w:rPr>
                <w:rFonts w:cs="Arial"/>
                <w:sz w:val="16"/>
                <w:szCs w:val="16"/>
              </w:rPr>
              <w:t>Revu par : Sébastien Bégoc, Jean-Pierre Gastaud</w:t>
            </w:r>
          </w:p>
        </w:tc>
      </w:tr>
    </w:tbl>
    <w:p w14:paraId="4621BA35" w14:textId="77777777" w:rsidR="000F0B51" w:rsidRPr="00C5326B" w:rsidRDefault="000F0B51" w:rsidP="00C3179B">
      <w:pPr>
        <w:spacing w:before="120" w:after="0"/>
        <w:jc w:val="both"/>
        <w:rPr>
          <w:rFonts w:cs="Arial"/>
        </w:rPr>
      </w:pPr>
    </w:p>
    <w:sectPr w:rsidR="000F0B51" w:rsidRPr="00C5326B" w:rsidSect="00870B4B">
      <w:footerReference w:type="default" r:id="rId11"/>
      <w:pgSz w:w="11906" w:h="16838"/>
      <w:pgMar w:top="993" w:right="1417" w:bottom="1417" w:left="1417" w:header="85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E7788" w14:textId="77777777" w:rsidR="00D11E0A" w:rsidRDefault="00D11E0A" w:rsidP="00F425DB">
      <w:pPr>
        <w:spacing w:after="0" w:line="240" w:lineRule="auto"/>
      </w:pPr>
      <w:r>
        <w:separator/>
      </w:r>
    </w:p>
  </w:endnote>
  <w:endnote w:type="continuationSeparator" w:id="0">
    <w:p w14:paraId="360711F6" w14:textId="77777777" w:rsidR="00D11E0A" w:rsidRDefault="00D11E0A"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1863310349"/>
      <w:docPartObj>
        <w:docPartGallery w:val="Page Numbers (Bottom of Page)"/>
        <w:docPartUnique/>
      </w:docPartObj>
    </w:sdtPr>
    <w:sdtEndPr>
      <w:rPr>
        <w:color w:val="auto"/>
        <w:sz w:val="18"/>
        <w:szCs w:val="18"/>
      </w:rPr>
    </w:sdtEndPr>
    <w:sdtContent>
      <w:tbl>
        <w:tblPr>
          <w:tblStyle w:val="Grilledutableau"/>
          <w:tblW w:w="9356" w:type="dxa"/>
          <w:tblInd w:w="-284"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040"/>
          <w:gridCol w:w="1906"/>
        </w:tblGrid>
        <w:tr w:rsidR="00347E10" w:rsidRPr="00347E10" w14:paraId="4621BA40" w14:textId="77777777" w:rsidTr="00484A8C">
          <w:trPr>
            <w:trHeight w:val="815"/>
          </w:trPr>
          <w:tc>
            <w:tcPr>
              <w:tcW w:w="2410" w:type="dxa"/>
            </w:tcPr>
            <w:p w14:paraId="4621BA3A" w14:textId="7D239CAC" w:rsidR="005A69FD" w:rsidRPr="00347E10" w:rsidRDefault="00E549B8" w:rsidP="00484A8C">
              <w:pPr>
                <w:spacing w:before="120"/>
                <w:rPr>
                  <w:rFonts w:ascii="Arial Gras" w:hAnsi="Arial Gras" w:cs="Arial"/>
                  <w:b/>
                  <w:color w:val="122255"/>
                  <w:sz w:val="16"/>
                </w:rPr>
              </w:pPr>
              <w:r>
                <w:rPr>
                  <w:rFonts w:ascii="Arial Gras" w:hAnsi="Arial Gras" w:cs="Arial"/>
                  <w:b/>
                  <w:bCs/>
                  <w:color w:val="122255"/>
                  <w:sz w:val="16"/>
                </w:rPr>
                <w:t>Avril 201</w:t>
              </w:r>
              <w:r w:rsidR="00E141EB">
                <w:rPr>
                  <w:rFonts w:ascii="Arial Gras" w:hAnsi="Arial Gras" w:cs="Arial"/>
                  <w:b/>
                  <w:bCs/>
                  <w:color w:val="122255"/>
                  <w:sz w:val="16"/>
                </w:rPr>
                <w:t>8</w:t>
              </w:r>
              <w:r w:rsidR="005A69FD" w:rsidRPr="00347E10">
                <w:rPr>
                  <w:rFonts w:ascii="Arial Gras" w:hAnsi="Arial Gras" w:cs="Arial"/>
                  <w:b/>
                  <w:bCs/>
                  <w:color w:val="122255"/>
                  <w:sz w:val="16"/>
                </w:rPr>
                <w:t xml:space="preserve"> </w:t>
              </w:r>
              <w:r w:rsidR="00C3179B" w:rsidRPr="00347E10">
                <w:rPr>
                  <w:rFonts w:ascii="Arial Gras" w:hAnsi="Arial Gras" w:cs="Arial"/>
                  <w:b/>
                  <w:color w:val="122255"/>
                  <w:sz w:val="16"/>
                </w:rPr>
                <w:t>© DG Trésor</w:t>
              </w:r>
            </w:p>
            <w:p w14:paraId="4621BA3B" w14:textId="77777777" w:rsidR="005A69FD" w:rsidRPr="00347E10" w:rsidRDefault="005A69FD" w:rsidP="00484A8C">
              <w:pPr>
                <w:rPr>
                  <w:color w:val="122255"/>
                  <w:sz w:val="18"/>
                  <w:szCs w:val="18"/>
                </w:rPr>
              </w:pPr>
            </w:p>
          </w:tc>
          <w:tc>
            <w:tcPr>
              <w:tcW w:w="5040" w:type="dxa"/>
            </w:tcPr>
            <w:p w14:paraId="4621BA3C" w14:textId="77777777" w:rsidR="00803591" w:rsidRPr="00347E10" w:rsidRDefault="00803591" w:rsidP="00484A8C">
              <w:pPr>
                <w:spacing w:before="120"/>
                <w:jc w:val="center"/>
                <w:rPr>
                  <w:b/>
                  <w:color w:val="122255"/>
                  <w:sz w:val="18"/>
                  <w:szCs w:val="18"/>
                </w:rPr>
              </w:pPr>
              <w:r w:rsidRPr="00347E10">
                <w:rPr>
                  <w:b/>
                  <w:color w:val="122255"/>
                  <w:sz w:val="18"/>
                  <w:szCs w:val="18"/>
                </w:rPr>
                <w:t xml:space="preserve">AMBASSADE DE FRANCE </w:t>
              </w:r>
              <w:r w:rsidR="002C1015">
                <w:rPr>
                  <w:b/>
                  <w:color w:val="122255"/>
                  <w:sz w:val="18"/>
                  <w:szCs w:val="18"/>
                </w:rPr>
                <w:t xml:space="preserve">EN </w:t>
              </w:r>
              <w:r w:rsidR="009117D5">
                <w:rPr>
                  <w:b/>
                  <w:color w:val="122255"/>
                  <w:sz w:val="18"/>
                  <w:szCs w:val="18"/>
                </w:rPr>
                <w:t>SERBIE</w:t>
              </w:r>
            </w:p>
            <w:p w14:paraId="4621BA3D" w14:textId="77777777" w:rsidR="005A69FD" w:rsidRDefault="009117D5" w:rsidP="00484A8C">
              <w:pPr>
                <w:jc w:val="center"/>
                <w:rPr>
                  <w:b/>
                  <w:color w:val="122255"/>
                  <w:sz w:val="18"/>
                  <w:szCs w:val="18"/>
                </w:rPr>
              </w:pPr>
              <w:r>
                <w:rPr>
                  <w:b/>
                  <w:color w:val="122255"/>
                  <w:sz w:val="18"/>
                  <w:szCs w:val="18"/>
                </w:rPr>
                <w:t>SERVICE ECONOMIQUE DE BELGRADE</w:t>
              </w:r>
            </w:p>
            <w:p w14:paraId="4621BA3E" w14:textId="77777777" w:rsidR="002611F0" w:rsidRPr="002611F0" w:rsidRDefault="002611F0" w:rsidP="00484A8C">
              <w:pPr>
                <w:jc w:val="center"/>
                <w:rPr>
                  <w:color w:val="122255"/>
                  <w:sz w:val="16"/>
                  <w:szCs w:val="16"/>
                </w:rPr>
              </w:pPr>
            </w:p>
          </w:tc>
          <w:tc>
            <w:tcPr>
              <w:tcW w:w="1906" w:type="dxa"/>
            </w:tcPr>
            <w:p w14:paraId="4621BA3F" w14:textId="6AF4AAD2"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B020C8">
                <w:rPr>
                  <w:b/>
                  <w:noProof/>
                  <w:color w:val="122255"/>
                  <w:sz w:val="16"/>
                  <w:szCs w:val="16"/>
                </w:rPr>
                <w:t>3</w:t>
              </w:r>
              <w:r w:rsidRPr="00347E10">
                <w:rPr>
                  <w:b/>
                  <w:color w:val="122255"/>
                  <w:sz w:val="16"/>
                  <w:szCs w:val="16"/>
                </w:rPr>
                <w:fldChar w:fldCharType="end"/>
              </w:r>
            </w:p>
          </w:tc>
        </w:tr>
      </w:tbl>
      <w:p w14:paraId="4621BA41" w14:textId="6FD66816" w:rsidR="005A69FD" w:rsidRPr="005A69FD" w:rsidRDefault="00B020C8" w:rsidP="005A69FD">
        <w:pPr>
          <w:pStyle w:val="Pieddepage"/>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86F08" w14:textId="77777777" w:rsidR="00D11E0A" w:rsidRDefault="00D11E0A" w:rsidP="00F425DB">
      <w:pPr>
        <w:spacing w:after="0" w:line="240" w:lineRule="auto"/>
      </w:pPr>
      <w:r>
        <w:separator/>
      </w:r>
    </w:p>
  </w:footnote>
  <w:footnote w:type="continuationSeparator" w:id="0">
    <w:p w14:paraId="42AC5990" w14:textId="77777777" w:rsidR="00D11E0A" w:rsidRDefault="00D11E0A" w:rsidP="00F42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in;height:3in" o:bullet="t"/>
    </w:pict>
  </w:numPicBullet>
  <w:numPicBullet w:numPicBulletId="1">
    <w:pict>
      <v:shape id="_x0000_i1131" type="#_x0000_t75" style="width:3in;height:3in" o:bullet="t"/>
    </w:pict>
  </w:numPicBullet>
  <w:numPicBullet w:numPicBulletId="2">
    <w:pict>
      <v:shape id="_x0000_i1132" type="#_x0000_t75" style="width:3in;height:3in" o:bullet="t"/>
    </w:pict>
  </w:numPicBullet>
  <w:numPicBullet w:numPicBulletId="3">
    <w:pict>
      <v:shape id="_x0000_i1133"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685D55"/>
    <w:multiLevelType w:val="hybridMultilevel"/>
    <w:tmpl w:val="2B863F54"/>
    <w:lvl w:ilvl="0" w:tplc="3B441F0A">
      <w:start w:val="2"/>
      <w:numFmt w:val="decimal"/>
      <w:lvlText w:val="%1."/>
      <w:lvlJc w:val="left"/>
      <w:pPr>
        <w:ind w:left="720" w:hanging="360"/>
      </w:pPr>
      <w:rPr>
        <w:rFonts w:eastAsiaTheme="majorEastAsia"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C0144"/>
    <w:multiLevelType w:val="hybridMultilevel"/>
    <w:tmpl w:val="AF641CC0"/>
    <w:lvl w:ilvl="0" w:tplc="337802DA">
      <w:start w:val="2"/>
      <w:numFmt w:val="decimal"/>
      <w:lvlText w:val="%1."/>
      <w:lvlJc w:val="left"/>
      <w:pPr>
        <w:ind w:left="720" w:hanging="360"/>
      </w:pPr>
      <w:rPr>
        <w:rFonts w:eastAsiaTheme="majorEastAsia"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460D3E"/>
    <w:multiLevelType w:val="hybridMultilevel"/>
    <w:tmpl w:val="6EA06FA6"/>
    <w:lvl w:ilvl="0" w:tplc="E37A831C">
      <w:start w:val="2"/>
      <w:numFmt w:val="decimal"/>
      <w:lvlText w:val="%1."/>
      <w:lvlJc w:val="left"/>
      <w:pPr>
        <w:ind w:left="720" w:hanging="360"/>
      </w:pPr>
      <w:rPr>
        <w:rFonts w:eastAsiaTheme="majorEastAsia"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910F3"/>
    <w:multiLevelType w:val="multilevel"/>
    <w:tmpl w:val="6DD88170"/>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43891DFB"/>
    <w:multiLevelType w:val="hybridMultilevel"/>
    <w:tmpl w:val="C61A8334"/>
    <w:lvl w:ilvl="0" w:tplc="EA94D764">
      <w:start w:val="1"/>
      <w:numFmt w:val="decimal"/>
      <w:lvlText w:val="%1"/>
      <w:lvlJc w:val="left"/>
      <w:pPr>
        <w:ind w:left="720"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27031A"/>
    <w:multiLevelType w:val="hybridMultilevel"/>
    <w:tmpl w:val="2E62F3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F6F54"/>
    <w:multiLevelType w:val="hybridMultilevel"/>
    <w:tmpl w:val="234EA856"/>
    <w:lvl w:ilvl="0" w:tplc="04385960">
      <w:start w:val="1"/>
      <w:numFmt w:val="decimal"/>
      <w:lvlText w:val="%1."/>
      <w:lvlJc w:val="left"/>
      <w:pPr>
        <w:ind w:left="720" w:hanging="360"/>
      </w:pPr>
      <w:rPr>
        <w:rFonts w:eastAsiaTheme="majorEastAsia"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8412AA"/>
    <w:multiLevelType w:val="hybridMultilevel"/>
    <w:tmpl w:val="5A8C20CC"/>
    <w:lvl w:ilvl="0" w:tplc="24820828">
      <w:start w:val="1"/>
      <w:numFmt w:val="decimal"/>
      <w:lvlText w:val="%1."/>
      <w:lvlJc w:val="left"/>
      <w:pPr>
        <w:ind w:left="720"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FE92651"/>
    <w:multiLevelType w:val="hybridMultilevel"/>
    <w:tmpl w:val="C4D6F046"/>
    <w:lvl w:ilvl="0" w:tplc="D5329842">
      <w:start w:val="2"/>
      <w:numFmt w:val="decimal"/>
      <w:lvlText w:val="%1"/>
      <w:lvlJc w:val="left"/>
      <w:pPr>
        <w:ind w:left="720" w:hanging="360"/>
      </w:pPr>
      <w:rPr>
        <w:rFonts w:eastAsiaTheme="majorEastAsia"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E5E4866"/>
    <w:multiLevelType w:val="hybridMultilevel"/>
    <w:tmpl w:val="61602AA8"/>
    <w:lvl w:ilvl="0" w:tplc="1DB88EE4">
      <w:start w:val="1"/>
      <w:numFmt w:val="decimal"/>
      <w:lvlText w:val="%1."/>
      <w:lvlJc w:val="left"/>
      <w:pPr>
        <w:ind w:left="720"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D246EE"/>
    <w:multiLevelType w:val="hybridMultilevel"/>
    <w:tmpl w:val="38B8339E"/>
    <w:lvl w:ilvl="0" w:tplc="EBB045C0">
      <w:start w:val="1"/>
      <w:numFmt w:val="decimal"/>
      <w:lvlText w:val="%1."/>
      <w:lvlJc w:val="left"/>
      <w:pPr>
        <w:ind w:left="720"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B665DD9"/>
    <w:multiLevelType w:val="hybridMultilevel"/>
    <w:tmpl w:val="A62209CC"/>
    <w:lvl w:ilvl="0" w:tplc="0360DB96">
      <w:start w:val="1"/>
      <w:numFmt w:val="decimal"/>
      <w:lvlText w:val="%1."/>
      <w:lvlJc w:val="left"/>
      <w:pPr>
        <w:ind w:left="720"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11"/>
  </w:num>
  <w:num w:numId="4">
    <w:abstractNumId w:val="2"/>
  </w:num>
  <w:num w:numId="5">
    <w:abstractNumId w:val="19"/>
  </w:num>
  <w:num w:numId="6">
    <w:abstractNumId w:val="5"/>
  </w:num>
  <w:num w:numId="7">
    <w:abstractNumId w:val="15"/>
  </w:num>
  <w:num w:numId="8">
    <w:abstractNumId w:val="0"/>
  </w:num>
  <w:num w:numId="9">
    <w:abstractNumId w:val="7"/>
  </w:num>
  <w:num w:numId="10">
    <w:abstractNumId w:val="12"/>
  </w:num>
  <w:num w:numId="11">
    <w:abstractNumId w:val="3"/>
  </w:num>
  <w:num w:numId="12">
    <w:abstractNumId w:val="1"/>
  </w:num>
  <w:num w:numId="13">
    <w:abstractNumId w:val="14"/>
  </w:num>
  <w:num w:numId="14">
    <w:abstractNumId w:val="4"/>
  </w:num>
  <w:num w:numId="15">
    <w:abstractNumId w:val="17"/>
  </w:num>
  <w:num w:numId="16">
    <w:abstractNumId w:val="8"/>
  </w:num>
  <w:num w:numId="17">
    <w:abstractNumId w:val="18"/>
  </w:num>
  <w:num w:numId="18">
    <w:abstractNumId w:val="16"/>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03903"/>
    <w:rsid w:val="00044A01"/>
    <w:rsid w:val="00061867"/>
    <w:rsid w:val="000652F9"/>
    <w:rsid w:val="0007523F"/>
    <w:rsid w:val="000A092E"/>
    <w:rsid w:val="000B5DAE"/>
    <w:rsid w:val="000C47B2"/>
    <w:rsid w:val="000C52B6"/>
    <w:rsid w:val="000F0B51"/>
    <w:rsid w:val="00110EEA"/>
    <w:rsid w:val="0012020C"/>
    <w:rsid w:val="00123BAC"/>
    <w:rsid w:val="00141E75"/>
    <w:rsid w:val="001606D8"/>
    <w:rsid w:val="0016441D"/>
    <w:rsid w:val="001A0FB9"/>
    <w:rsid w:val="001B2031"/>
    <w:rsid w:val="001B451E"/>
    <w:rsid w:val="001C4032"/>
    <w:rsid w:val="001F1141"/>
    <w:rsid w:val="0021111A"/>
    <w:rsid w:val="00214EDF"/>
    <w:rsid w:val="00217DC0"/>
    <w:rsid w:val="0023311E"/>
    <w:rsid w:val="0024314F"/>
    <w:rsid w:val="00253403"/>
    <w:rsid w:val="00256A40"/>
    <w:rsid w:val="002611F0"/>
    <w:rsid w:val="002914BA"/>
    <w:rsid w:val="002A008A"/>
    <w:rsid w:val="002A2D9B"/>
    <w:rsid w:val="002C1015"/>
    <w:rsid w:val="002D5086"/>
    <w:rsid w:val="002E6781"/>
    <w:rsid w:val="002F3A9D"/>
    <w:rsid w:val="002F4327"/>
    <w:rsid w:val="00302534"/>
    <w:rsid w:val="0031266C"/>
    <w:rsid w:val="00332F60"/>
    <w:rsid w:val="00340CA3"/>
    <w:rsid w:val="00347E10"/>
    <w:rsid w:val="00361E56"/>
    <w:rsid w:val="0037395A"/>
    <w:rsid w:val="00383A7F"/>
    <w:rsid w:val="003849B7"/>
    <w:rsid w:val="003B3388"/>
    <w:rsid w:val="003B620F"/>
    <w:rsid w:val="003D1901"/>
    <w:rsid w:val="003E7336"/>
    <w:rsid w:val="00401529"/>
    <w:rsid w:val="00413B0F"/>
    <w:rsid w:val="00427381"/>
    <w:rsid w:val="00431635"/>
    <w:rsid w:val="004350B0"/>
    <w:rsid w:val="00436D0C"/>
    <w:rsid w:val="004468D5"/>
    <w:rsid w:val="0044747B"/>
    <w:rsid w:val="00484A8C"/>
    <w:rsid w:val="0049631E"/>
    <w:rsid w:val="004B38EE"/>
    <w:rsid w:val="004B753F"/>
    <w:rsid w:val="004C458A"/>
    <w:rsid w:val="004C4781"/>
    <w:rsid w:val="004D7C62"/>
    <w:rsid w:val="004D7E73"/>
    <w:rsid w:val="004E6A6F"/>
    <w:rsid w:val="00577EA3"/>
    <w:rsid w:val="005A69FD"/>
    <w:rsid w:val="005E6DFD"/>
    <w:rsid w:val="005F059D"/>
    <w:rsid w:val="00601238"/>
    <w:rsid w:val="006131ED"/>
    <w:rsid w:val="00631F6A"/>
    <w:rsid w:val="006757E4"/>
    <w:rsid w:val="006904A9"/>
    <w:rsid w:val="006B118B"/>
    <w:rsid w:val="006B3CA5"/>
    <w:rsid w:val="006E0409"/>
    <w:rsid w:val="006F11E9"/>
    <w:rsid w:val="00707295"/>
    <w:rsid w:val="00714F40"/>
    <w:rsid w:val="0072393B"/>
    <w:rsid w:val="007852CC"/>
    <w:rsid w:val="007B42E4"/>
    <w:rsid w:val="007F0323"/>
    <w:rsid w:val="007F1945"/>
    <w:rsid w:val="007F1CBE"/>
    <w:rsid w:val="00803591"/>
    <w:rsid w:val="00822976"/>
    <w:rsid w:val="008410A2"/>
    <w:rsid w:val="00864336"/>
    <w:rsid w:val="00864C0E"/>
    <w:rsid w:val="008658D0"/>
    <w:rsid w:val="00870B4B"/>
    <w:rsid w:val="0089467C"/>
    <w:rsid w:val="008A68FD"/>
    <w:rsid w:val="008C0566"/>
    <w:rsid w:val="009117D5"/>
    <w:rsid w:val="00926398"/>
    <w:rsid w:val="009557C3"/>
    <w:rsid w:val="0096234D"/>
    <w:rsid w:val="009743A6"/>
    <w:rsid w:val="009A5080"/>
    <w:rsid w:val="009A53AA"/>
    <w:rsid w:val="009D2941"/>
    <w:rsid w:val="009E5ECE"/>
    <w:rsid w:val="009F7C9F"/>
    <w:rsid w:val="00A23AD5"/>
    <w:rsid w:val="00A433AD"/>
    <w:rsid w:val="00A47DCC"/>
    <w:rsid w:val="00A53A55"/>
    <w:rsid w:val="00A626A2"/>
    <w:rsid w:val="00A72588"/>
    <w:rsid w:val="00A72D34"/>
    <w:rsid w:val="00A908A9"/>
    <w:rsid w:val="00A91765"/>
    <w:rsid w:val="00A95E79"/>
    <w:rsid w:val="00AA0B01"/>
    <w:rsid w:val="00AB6E4E"/>
    <w:rsid w:val="00AE067B"/>
    <w:rsid w:val="00AE1A49"/>
    <w:rsid w:val="00B020C8"/>
    <w:rsid w:val="00B5662B"/>
    <w:rsid w:val="00B67BDA"/>
    <w:rsid w:val="00B97C3F"/>
    <w:rsid w:val="00BB65E4"/>
    <w:rsid w:val="00BD607A"/>
    <w:rsid w:val="00BD7B40"/>
    <w:rsid w:val="00BE4C3D"/>
    <w:rsid w:val="00BF37F8"/>
    <w:rsid w:val="00BF4D79"/>
    <w:rsid w:val="00C04147"/>
    <w:rsid w:val="00C163C8"/>
    <w:rsid w:val="00C225D5"/>
    <w:rsid w:val="00C3179B"/>
    <w:rsid w:val="00C37EFC"/>
    <w:rsid w:val="00C4094A"/>
    <w:rsid w:val="00C5326B"/>
    <w:rsid w:val="00C64D1F"/>
    <w:rsid w:val="00C80A7F"/>
    <w:rsid w:val="00C87295"/>
    <w:rsid w:val="00C911C6"/>
    <w:rsid w:val="00CA2091"/>
    <w:rsid w:val="00CB3FC6"/>
    <w:rsid w:val="00D050D6"/>
    <w:rsid w:val="00D11E0A"/>
    <w:rsid w:val="00D321B9"/>
    <w:rsid w:val="00D420C4"/>
    <w:rsid w:val="00D4689D"/>
    <w:rsid w:val="00D62A57"/>
    <w:rsid w:val="00D64488"/>
    <w:rsid w:val="00D70057"/>
    <w:rsid w:val="00DA087B"/>
    <w:rsid w:val="00DA46C4"/>
    <w:rsid w:val="00DB15FE"/>
    <w:rsid w:val="00DB2BFA"/>
    <w:rsid w:val="00DC6CB8"/>
    <w:rsid w:val="00DD1162"/>
    <w:rsid w:val="00E05629"/>
    <w:rsid w:val="00E07D79"/>
    <w:rsid w:val="00E141EB"/>
    <w:rsid w:val="00E20810"/>
    <w:rsid w:val="00E549B8"/>
    <w:rsid w:val="00E73A59"/>
    <w:rsid w:val="00E76811"/>
    <w:rsid w:val="00E76C44"/>
    <w:rsid w:val="00E77EA9"/>
    <w:rsid w:val="00E925A7"/>
    <w:rsid w:val="00E944C6"/>
    <w:rsid w:val="00EA717C"/>
    <w:rsid w:val="00EC31D3"/>
    <w:rsid w:val="00ED1437"/>
    <w:rsid w:val="00EE32D2"/>
    <w:rsid w:val="00EE3BD5"/>
    <w:rsid w:val="00EE400D"/>
    <w:rsid w:val="00EE57C5"/>
    <w:rsid w:val="00F0184D"/>
    <w:rsid w:val="00F27FD2"/>
    <w:rsid w:val="00F35B32"/>
    <w:rsid w:val="00F425DB"/>
    <w:rsid w:val="00F5085B"/>
    <w:rsid w:val="00F7334F"/>
    <w:rsid w:val="00FA4245"/>
    <w:rsid w:val="00FA60C7"/>
    <w:rsid w:val="00FB39B6"/>
    <w:rsid w:val="00FB3DF7"/>
    <w:rsid w:val="00FB51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1B8C8"/>
  <w15:docId w15:val="{783DB1EC-E79E-4D2B-BC86-C39FC042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character" w:styleId="Marquedecommentaire">
    <w:name w:val="annotation reference"/>
    <w:basedOn w:val="Policepardfaut"/>
    <w:uiPriority w:val="99"/>
    <w:semiHidden/>
    <w:unhideWhenUsed/>
    <w:rsid w:val="00BD7B40"/>
    <w:rPr>
      <w:sz w:val="16"/>
      <w:szCs w:val="16"/>
    </w:rPr>
  </w:style>
  <w:style w:type="paragraph" w:styleId="Commentaire">
    <w:name w:val="annotation text"/>
    <w:basedOn w:val="Normal"/>
    <w:link w:val="CommentaireCar"/>
    <w:uiPriority w:val="99"/>
    <w:semiHidden/>
    <w:unhideWhenUsed/>
    <w:rsid w:val="00BD7B40"/>
    <w:pPr>
      <w:spacing w:line="240" w:lineRule="auto"/>
    </w:pPr>
    <w:rPr>
      <w:szCs w:val="20"/>
    </w:rPr>
  </w:style>
  <w:style w:type="character" w:customStyle="1" w:styleId="CommentaireCar">
    <w:name w:val="Commentaire Car"/>
    <w:basedOn w:val="Policepardfaut"/>
    <w:link w:val="Commentaire"/>
    <w:uiPriority w:val="99"/>
    <w:semiHidden/>
    <w:rsid w:val="00BD7B40"/>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D7B40"/>
    <w:rPr>
      <w:b/>
      <w:bCs/>
    </w:rPr>
  </w:style>
  <w:style w:type="character" w:customStyle="1" w:styleId="ObjetducommentaireCar">
    <w:name w:val="Objet du commentaire Car"/>
    <w:basedOn w:val="CommentaireCar"/>
    <w:link w:val="Objetducommentaire"/>
    <w:uiPriority w:val="99"/>
    <w:semiHidden/>
    <w:rsid w:val="00BD7B4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802">
      <w:bodyDiv w:val="1"/>
      <w:marLeft w:val="0"/>
      <w:marRight w:val="0"/>
      <w:marTop w:val="0"/>
      <w:marBottom w:val="0"/>
      <w:divBdr>
        <w:top w:val="none" w:sz="0" w:space="0" w:color="auto"/>
        <w:left w:val="none" w:sz="0" w:space="0" w:color="auto"/>
        <w:bottom w:val="none" w:sz="0" w:space="0" w:color="auto"/>
        <w:right w:val="none" w:sz="0" w:space="0" w:color="auto"/>
      </w:divBdr>
    </w:div>
    <w:div w:id="343091741">
      <w:bodyDiv w:val="1"/>
      <w:marLeft w:val="0"/>
      <w:marRight w:val="0"/>
      <w:marTop w:val="0"/>
      <w:marBottom w:val="0"/>
      <w:divBdr>
        <w:top w:val="none" w:sz="0" w:space="0" w:color="auto"/>
        <w:left w:val="none" w:sz="0" w:space="0" w:color="auto"/>
        <w:bottom w:val="none" w:sz="0" w:space="0" w:color="auto"/>
        <w:right w:val="none" w:sz="0" w:space="0" w:color="auto"/>
      </w:divBdr>
    </w:div>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01195153">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693617">
      <w:bodyDiv w:val="1"/>
      <w:marLeft w:val="0"/>
      <w:marRight w:val="0"/>
      <w:marTop w:val="0"/>
      <w:marBottom w:val="0"/>
      <w:divBdr>
        <w:top w:val="none" w:sz="0" w:space="0" w:color="auto"/>
        <w:left w:val="none" w:sz="0" w:space="0" w:color="auto"/>
        <w:bottom w:val="none" w:sz="0" w:space="0" w:color="auto"/>
        <w:right w:val="none" w:sz="0" w:space="0" w:color="auto"/>
      </w:divBdr>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500347818">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E761ADFB4849AE1F01BA2109305C" ma:contentTypeVersion="0" ma:contentTypeDescription="Crée un document." ma:contentTypeScope="" ma:versionID="33fce3a26d1c651dbea53a2beff07cd2">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4E525-F13A-4EE4-84A6-B168B4F4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67C7A9-6C40-457E-8B70-A85FDFEAA453}">
  <ds:schemaRefs>
    <ds:schemaRef ds:uri="http://schemas.microsoft.com/sharepoint/v3/contenttype/forms"/>
  </ds:schemaRefs>
</ds:datastoreItem>
</file>

<file path=customXml/itemProps3.xml><?xml version="1.0" encoding="utf-8"?>
<ds:datastoreItem xmlns:ds="http://schemas.openxmlformats.org/officeDocument/2006/customXml" ds:itemID="{94324A34-D51D-4D23-96DB-A5BF9E7E6C9D}">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554A2E35-B198-4E3D-B08F-48D1B4F1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1196</Words>
  <Characters>6582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MARGELIDON Paul</dc:creator>
  <cp:lastModifiedBy>BEGOC Sébastien</cp:lastModifiedBy>
  <cp:revision>4</cp:revision>
  <cp:lastPrinted>2014-06-03T08:56:00Z</cp:lastPrinted>
  <dcterms:created xsi:type="dcterms:W3CDTF">2018-04-17T08:12:00Z</dcterms:created>
  <dcterms:modified xsi:type="dcterms:W3CDTF">2018-04-17T08:46:00Z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0x0101000858E761ADFB4849AE1F01BA2109305C</vt:lpwstr>
  </property>
</Properties>
</file>