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5B211" w14:textId="77777777" w:rsidR="00B86881" w:rsidRPr="00E07B95" w:rsidRDefault="00B86881" w:rsidP="00AF219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/>
        </w:rPr>
      </w:pPr>
      <w:r w:rsidRPr="00E07B95">
        <w:rPr>
          <w:rFonts w:eastAsia="Calibri"/>
          <w:noProof/>
          <w:lang w:eastAsia="fr-FR"/>
        </w:rPr>
        <w:drawing>
          <wp:inline distT="0" distB="0" distL="0" distR="0" wp14:anchorId="02E381E6" wp14:editId="6CFAFDEA">
            <wp:extent cx="914400" cy="542290"/>
            <wp:effectExtent l="0" t="0" r="0" b="0"/>
            <wp:docPr id="3" name="Image 3" descr="MariannePanto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MariannePantone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D030E" w14:textId="77777777" w:rsidR="00B86881" w:rsidRPr="00E07B95" w:rsidRDefault="00B86881" w:rsidP="00AF219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/>
          <w:b/>
          <w:smallCaps/>
        </w:rPr>
      </w:pPr>
      <w:r w:rsidRPr="00E07B95">
        <w:rPr>
          <w:rFonts w:eastAsia="Calibri"/>
          <w:b/>
          <w:smallCaps/>
        </w:rPr>
        <w:t xml:space="preserve"> </w:t>
      </w:r>
      <w:bookmarkStart w:id="0" w:name="Entête"/>
      <w:bookmarkEnd w:id="0"/>
      <w:r w:rsidRPr="00E07B95">
        <w:rPr>
          <w:rFonts w:eastAsia="Calibri"/>
          <w:b/>
          <w:smallCaps/>
        </w:rPr>
        <w:t>Ambassade de France en Norvège</w:t>
      </w:r>
    </w:p>
    <w:p w14:paraId="294AF180" w14:textId="77777777" w:rsidR="00B86881" w:rsidRPr="00E07B95" w:rsidRDefault="00B86881" w:rsidP="00AF219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/>
          <w:b/>
          <w:smallCaps/>
        </w:rPr>
      </w:pPr>
      <w:r w:rsidRPr="00E07B95">
        <w:rPr>
          <w:rFonts w:eastAsia="Calibri"/>
          <w:b/>
          <w:smallCaps/>
        </w:rPr>
        <w:t>Service Économique d'OSLO</w:t>
      </w:r>
    </w:p>
    <w:p w14:paraId="20C0154A" w14:textId="77777777" w:rsidR="001A2036" w:rsidRPr="00E07B95" w:rsidRDefault="001A2036" w:rsidP="00AF2199">
      <w:pPr>
        <w:tabs>
          <w:tab w:val="center" w:pos="4536"/>
          <w:tab w:val="left" w:pos="4956"/>
        </w:tabs>
        <w:spacing w:after="0" w:line="240" w:lineRule="auto"/>
        <w:rPr>
          <w:rFonts w:eastAsia="Calibri" w:cs="Times New Roman"/>
        </w:rPr>
      </w:pPr>
    </w:p>
    <w:p w14:paraId="03FD8E34" w14:textId="77777777" w:rsidR="001A2036" w:rsidRPr="00E07B95" w:rsidRDefault="001A2036" w:rsidP="00AF2199">
      <w:pPr>
        <w:tabs>
          <w:tab w:val="center" w:pos="4536"/>
          <w:tab w:val="left" w:pos="4956"/>
        </w:tabs>
        <w:spacing w:after="0" w:line="240" w:lineRule="auto"/>
        <w:rPr>
          <w:rFonts w:eastAsia="Calibri" w:cs="Times New Roman"/>
        </w:rPr>
      </w:pPr>
    </w:p>
    <w:p w14:paraId="31451DF5" w14:textId="77777777" w:rsidR="001A2036" w:rsidRPr="00E07B95" w:rsidRDefault="001A2036" w:rsidP="00AF2199">
      <w:pPr>
        <w:tabs>
          <w:tab w:val="center" w:pos="4536"/>
          <w:tab w:val="left" w:pos="4956"/>
        </w:tabs>
        <w:spacing w:after="0" w:line="240" w:lineRule="auto"/>
        <w:rPr>
          <w:rFonts w:eastAsia="Calibri" w:cs="Times New Roman"/>
        </w:rPr>
      </w:pPr>
    </w:p>
    <w:p w14:paraId="439B1B44" w14:textId="77777777" w:rsidR="001A2036" w:rsidRPr="00E07B95" w:rsidRDefault="001A2036" w:rsidP="00AF2199">
      <w:pPr>
        <w:tabs>
          <w:tab w:val="center" w:pos="4536"/>
          <w:tab w:val="left" w:pos="4956"/>
        </w:tabs>
        <w:spacing w:after="0" w:line="240" w:lineRule="auto"/>
        <w:rPr>
          <w:rFonts w:eastAsia="Calibri" w:cs="Times New Roman"/>
        </w:rPr>
      </w:pPr>
    </w:p>
    <w:p w14:paraId="3071E2AF" w14:textId="77777777" w:rsidR="001A2036" w:rsidRPr="00E07B95" w:rsidRDefault="001A2036" w:rsidP="00AF2199">
      <w:pPr>
        <w:tabs>
          <w:tab w:val="center" w:pos="4536"/>
          <w:tab w:val="left" w:pos="4956"/>
        </w:tabs>
        <w:spacing w:after="0" w:line="240" w:lineRule="auto"/>
        <w:rPr>
          <w:rFonts w:eastAsia="Calibri" w:cs="Times New Roman"/>
        </w:rPr>
      </w:pPr>
    </w:p>
    <w:p w14:paraId="5B8E7320" w14:textId="024A1824" w:rsidR="00B86881" w:rsidRPr="00E07B95" w:rsidRDefault="00CD7486" w:rsidP="00AF2199">
      <w:pPr>
        <w:tabs>
          <w:tab w:val="center" w:pos="4536"/>
          <w:tab w:val="left" w:pos="4956"/>
        </w:tabs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Le Chef du </w:t>
      </w:r>
      <w:r w:rsidR="00F41116">
        <w:rPr>
          <w:rFonts w:eastAsia="Calibri" w:cs="Times New Roman"/>
        </w:rPr>
        <w:t>SE d’OSLO</w:t>
      </w:r>
      <w:r w:rsidR="008816EC" w:rsidRPr="00E07B95">
        <w:rPr>
          <w:rFonts w:eastAsia="Calibri" w:cs="Times New Roman"/>
        </w:rPr>
        <w:t xml:space="preserve"> </w:t>
      </w:r>
      <w:r w:rsidR="00B86881" w:rsidRPr="00E07B95">
        <w:rPr>
          <w:rFonts w:eastAsia="Calibri" w:cs="Times New Roman"/>
        </w:rPr>
        <w:tab/>
      </w:r>
      <w:r w:rsidR="001B4B45" w:rsidRPr="00E07B95">
        <w:rPr>
          <w:rFonts w:eastAsia="Calibri" w:cs="Times New Roman"/>
        </w:rPr>
        <w:tab/>
      </w:r>
      <w:r w:rsidR="001B4B45" w:rsidRPr="00E07B95">
        <w:rPr>
          <w:rFonts w:eastAsia="Calibri" w:cs="Times New Roman"/>
        </w:rPr>
        <w:tab/>
      </w:r>
      <w:r w:rsidR="001B4B45" w:rsidRPr="00E07B95">
        <w:rPr>
          <w:rFonts w:eastAsia="Calibri" w:cs="Times New Roman"/>
        </w:rPr>
        <w:tab/>
      </w:r>
      <w:r w:rsidR="001B4B45" w:rsidRPr="00E07B95">
        <w:rPr>
          <w:rFonts w:eastAsia="Calibri" w:cs="Times New Roman"/>
        </w:rPr>
        <w:tab/>
      </w:r>
      <w:r w:rsidR="001B4B45" w:rsidRPr="00E07B95">
        <w:rPr>
          <w:rFonts w:eastAsia="Calibri" w:cs="Times New Roman"/>
        </w:rPr>
        <w:tab/>
      </w:r>
      <w:r w:rsidR="00B86881" w:rsidRPr="00E07B95">
        <w:rPr>
          <w:rFonts w:eastAsia="Calibri" w:cs="Times New Roman"/>
        </w:rPr>
        <w:t xml:space="preserve">Oslo, </w:t>
      </w:r>
      <w:r w:rsidR="00626E67">
        <w:rPr>
          <w:rFonts w:eastAsia="Calibri" w:cs="Times New Roman"/>
        </w:rPr>
        <w:t>2</w:t>
      </w:r>
      <w:r w:rsidR="00067C63">
        <w:rPr>
          <w:rFonts w:eastAsia="Calibri" w:cs="Times New Roman"/>
        </w:rPr>
        <w:t>2</w:t>
      </w:r>
      <w:r w:rsidR="009830C4">
        <w:rPr>
          <w:rFonts w:eastAsia="Calibri" w:cs="Times New Roman"/>
        </w:rPr>
        <w:t>/</w:t>
      </w:r>
      <w:r w:rsidR="000B6FB5">
        <w:rPr>
          <w:rFonts w:eastAsia="Calibri" w:cs="Times New Roman"/>
        </w:rPr>
        <w:t>09</w:t>
      </w:r>
      <w:r w:rsidR="009830C4">
        <w:rPr>
          <w:rFonts w:eastAsia="Calibri" w:cs="Times New Roman"/>
        </w:rPr>
        <w:t>/2017</w:t>
      </w:r>
    </w:p>
    <w:p w14:paraId="286EF338" w14:textId="77777777" w:rsidR="00AF2199" w:rsidRPr="00E07B95" w:rsidRDefault="00AF2199" w:rsidP="00AF2199">
      <w:pPr>
        <w:spacing w:after="0" w:line="240" w:lineRule="auto"/>
        <w:jc w:val="center"/>
        <w:rPr>
          <w:rFonts w:cs="Times New Roman"/>
          <w:b/>
        </w:rPr>
      </w:pPr>
    </w:p>
    <w:p w14:paraId="1C122B65" w14:textId="77777777" w:rsidR="001A2036" w:rsidRPr="00E07B95" w:rsidRDefault="001A2036" w:rsidP="00AF2199">
      <w:pPr>
        <w:spacing w:after="0" w:line="240" w:lineRule="auto"/>
        <w:jc w:val="center"/>
        <w:rPr>
          <w:rFonts w:cs="Times New Roman"/>
          <w:b/>
        </w:rPr>
      </w:pPr>
    </w:p>
    <w:p w14:paraId="001770AD" w14:textId="77777777" w:rsidR="001A2036" w:rsidRPr="00E07B95" w:rsidRDefault="001A2036" w:rsidP="00AF2199">
      <w:pPr>
        <w:spacing w:after="0" w:line="240" w:lineRule="auto"/>
        <w:jc w:val="center"/>
        <w:rPr>
          <w:rFonts w:cs="Times New Roman"/>
          <w:b/>
        </w:rPr>
      </w:pPr>
    </w:p>
    <w:p w14:paraId="1E4A4C0E" w14:textId="77777777" w:rsidR="001A2036" w:rsidRPr="00E07B95" w:rsidRDefault="001A2036" w:rsidP="00AF2199">
      <w:pPr>
        <w:spacing w:after="0" w:line="240" w:lineRule="auto"/>
        <w:jc w:val="center"/>
        <w:rPr>
          <w:rFonts w:cs="Times New Roman"/>
          <w:b/>
        </w:rPr>
      </w:pPr>
    </w:p>
    <w:p w14:paraId="20482F36" w14:textId="0AA3CF68" w:rsidR="00FF516F" w:rsidRPr="00ED2AB0" w:rsidRDefault="00ED2AB0" w:rsidP="00ED2AB0">
      <w:pPr>
        <w:spacing w:after="0" w:line="240" w:lineRule="auto"/>
        <w:jc w:val="center"/>
        <w:rPr>
          <w:rFonts w:cs="Times New Roman"/>
          <w:b/>
        </w:rPr>
      </w:pPr>
      <w:r w:rsidRPr="00ED2AB0">
        <w:rPr>
          <w:rFonts w:cs="Times New Roman"/>
          <w:b/>
        </w:rPr>
        <w:t xml:space="preserve">L’économie norvégienne </w:t>
      </w:r>
      <w:r w:rsidR="00732A12">
        <w:rPr>
          <w:rFonts w:cs="Times New Roman"/>
          <w:b/>
        </w:rPr>
        <w:t>redresse</w:t>
      </w:r>
      <w:r w:rsidR="005A108D">
        <w:rPr>
          <w:rFonts w:cs="Times New Roman"/>
          <w:b/>
        </w:rPr>
        <w:t xml:space="preserve"> la tête en 2017</w:t>
      </w:r>
    </w:p>
    <w:p w14:paraId="1E19F601" w14:textId="77777777" w:rsidR="00ED2AB0" w:rsidRDefault="00ED2AB0" w:rsidP="00AF2199">
      <w:pPr>
        <w:spacing w:after="0" w:line="240" w:lineRule="auto"/>
        <w:jc w:val="both"/>
        <w:rPr>
          <w:rFonts w:cs="Times New Roman"/>
        </w:rPr>
      </w:pPr>
    </w:p>
    <w:p w14:paraId="64FF4C84" w14:textId="77777777" w:rsidR="00ED2AB0" w:rsidRPr="00E07B95" w:rsidRDefault="00ED2AB0" w:rsidP="00AF2199">
      <w:pPr>
        <w:spacing w:after="0" w:line="240" w:lineRule="auto"/>
        <w:jc w:val="both"/>
        <w:rPr>
          <w:rFonts w:cs="Times New Roman"/>
        </w:rPr>
      </w:pPr>
    </w:p>
    <w:p w14:paraId="600E44F3" w14:textId="39DAD58E" w:rsidR="001A2036" w:rsidRPr="00E07B95" w:rsidRDefault="00732A12" w:rsidP="001A2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Sévèrement touchée par la chute du prix du baril en 2014, l’</w:t>
      </w:r>
      <w:r w:rsidR="000B6FB5">
        <w:rPr>
          <w:rFonts w:cs="Times New Roman"/>
        </w:rPr>
        <w:t>économie</w:t>
      </w:r>
      <w:r>
        <w:rPr>
          <w:rFonts w:cs="Times New Roman"/>
        </w:rPr>
        <w:t xml:space="preserve"> norvégienne </w:t>
      </w:r>
      <w:r w:rsidR="00AE24EB">
        <w:rPr>
          <w:rFonts w:cs="Times New Roman"/>
        </w:rPr>
        <w:t>redresse</w:t>
      </w:r>
      <w:r>
        <w:rPr>
          <w:rFonts w:cs="Times New Roman"/>
        </w:rPr>
        <w:t xml:space="preserve"> la tête</w:t>
      </w:r>
      <w:r w:rsidR="000B6FB5">
        <w:rPr>
          <w:rFonts w:cs="Times New Roman"/>
        </w:rPr>
        <w:t>, timidement au début de l’année et de manière plus marqué</w:t>
      </w:r>
      <w:r w:rsidR="000067ED">
        <w:rPr>
          <w:rFonts w:cs="Times New Roman"/>
        </w:rPr>
        <w:t>e</w:t>
      </w:r>
      <w:bookmarkStart w:id="1" w:name="_GoBack"/>
      <w:bookmarkEnd w:id="1"/>
      <w:r w:rsidR="000B6FB5">
        <w:rPr>
          <w:rFonts w:cs="Times New Roman"/>
        </w:rPr>
        <w:t xml:space="preserve"> depuis la fin du premier semestre 2017. Les indicateurs repassent au vert, l’inflation ayant fortement décru, et le taux de chômage commençant à refluer</w:t>
      </w:r>
      <w:r w:rsidR="009A5C6A">
        <w:t>.</w:t>
      </w:r>
      <w:r w:rsidR="000B6FB5">
        <w:t xml:space="preserve"> Les décisions du Gouvernement Solberg de puiser fortement dans le fonds souverain pour alimenter ses budgets 20016 et 2017</w:t>
      </w:r>
      <w:r w:rsidR="008227E0">
        <w:t xml:space="preserve">, </w:t>
      </w:r>
      <w:r w:rsidR="005A108D">
        <w:t>afin de réduire</w:t>
      </w:r>
      <w:r w:rsidR="008227E0">
        <w:t xml:space="preserve"> les taxes et </w:t>
      </w:r>
      <w:r w:rsidR="005A108D">
        <w:t>de soutenir</w:t>
      </w:r>
      <w:r w:rsidR="008227E0">
        <w:t xml:space="preserve"> le marché du travail (embauche de fonctionnaires, aides à l’emploi)</w:t>
      </w:r>
      <w:r w:rsidR="005234FE">
        <w:t>, alliées à</w:t>
      </w:r>
      <w:r w:rsidR="00BD5EB1">
        <w:t xml:space="preserve"> la </w:t>
      </w:r>
      <w:r w:rsidR="000E079B">
        <w:t xml:space="preserve">politique accommodante de la </w:t>
      </w:r>
      <w:r w:rsidR="00BD5EB1">
        <w:t xml:space="preserve">Banque centrale </w:t>
      </w:r>
      <w:r w:rsidR="000E079B">
        <w:t>(maintien du</w:t>
      </w:r>
      <w:r w:rsidR="00BD5EB1">
        <w:t xml:space="preserve"> taux directeur à 0,5</w:t>
      </w:r>
      <w:r w:rsidR="005234FE">
        <w:t>%</w:t>
      </w:r>
      <w:r w:rsidR="000E079B">
        <w:t>, fa</w:t>
      </w:r>
      <w:r w:rsidR="005234FE">
        <w:t>i</w:t>
      </w:r>
      <w:r w:rsidR="000E079B">
        <w:t>ble</w:t>
      </w:r>
      <w:r w:rsidR="005234FE">
        <w:t xml:space="preserve"> taux de change</w:t>
      </w:r>
      <w:r w:rsidR="000E079B">
        <w:t xml:space="preserve"> de</w:t>
      </w:r>
      <w:r w:rsidR="00BD5EB1">
        <w:t xml:space="preserve"> la couronne norvégienne</w:t>
      </w:r>
      <w:r w:rsidR="005C7B7F">
        <w:t xml:space="preserve">, </w:t>
      </w:r>
      <w:r w:rsidR="005234FE">
        <w:t>ayant pour effet de soutenir</w:t>
      </w:r>
      <w:r w:rsidR="005C7B7F">
        <w:t xml:space="preserve"> les exportations</w:t>
      </w:r>
      <w:r w:rsidR="000E079B">
        <w:t>)</w:t>
      </w:r>
      <w:r w:rsidR="005C7B7F">
        <w:t>,</w:t>
      </w:r>
      <w:r w:rsidR="000B6FB5">
        <w:t xml:space="preserve"> ont</w:t>
      </w:r>
      <w:r w:rsidR="009A5C6A">
        <w:t xml:space="preserve"> </w:t>
      </w:r>
      <w:r w:rsidR="000B6FB5">
        <w:t xml:space="preserve">sans aucun doute joué </w:t>
      </w:r>
      <w:r w:rsidR="005234FE">
        <w:t xml:space="preserve">un rôle majeur </w:t>
      </w:r>
      <w:r w:rsidR="000B6FB5">
        <w:t>dan</w:t>
      </w:r>
      <w:r w:rsidR="005A108D">
        <w:t>s ce redressement de l’économie. Cette dernière demeure, malgré des efforts de diversification,</w:t>
      </w:r>
      <w:r w:rsidR="005234FE">
        <w:t xml:space="preserve"> </w:t>
      </w:r>
      <w:r w:rsidR="005A108D">
        <w:t xml:space="preserve">encore </w:t>
      </w:r>
      <w:r w:rsidR="005234FE">
        <w:t>très dépendante du secteur des hydrocarbures</w:t>
      </w:r>
      <w:r w:rsidR="00C52264">
        <w:t>.</w:t>
      </w:r>
    </w:p>
    <w:p w14:paraId="0FDC2862" w14:textId="77777777" w:rsidR="00FF516F" w:rsidRPr="00E07B95" w:rsidRDefault="00FF516F" w:rsidP="00AF2199">
      <w:pPr>
        <w:spacing w:after="0" w:line="240" w:lineRule="auto"/>
        <w:jc w:val="both"/>
        <w:rPr>
          <w:rFonts w:cs="Times New Roman"/>
        </w:rPr>
      </w:pPr>
    </w:p>
    <w:p w14:paraId="469E80E8" w14:textId="77777777" w:rsidR="009F4A67" w:rsidRPr="00E07B95" w:rsidRDefault="009F4A67" w:rsidP="00AF2199">
      <w:pPr>
        <w:spacing w:after="0" w:line="240" w:lineRule="auto"/>
        <w:ind w:hanging="426"/>
        <w:jc w:val="both"/>
        <w:rPr>
          <w:rFonts w:cs="Times New Roman"/>
          <w:b/>
        </w:rPr>
      </w:pPr>
    </w:p>
    <w:p w14:paraId="682F7A12" w14:textId="62254F9F" w:rsidR="00D230ED" w:rsidRPr="007E1E75" w:rsidRDefault="009F4A67" w:rsidP="009F4A67">
      <w:pPr>
        <w:pStyle w:val="Paragraphedeliste"/>
        <w:numPr>
          <w:ilvl w:val="0"/>
          <w:numId w:val="15"/>
        </w:numPr>
        <w:rPr>
          <w:b/>
          <w:bCs/>
          <w:u w:val="single"/>
        </w:rPr>
      </w:pPr>
      <w:r w:rsidRPr="007E1E75">
        <w:rPr>
          <w:b/>
          <w:bCs/>
          <w:u w:val="single"/>
        </w:rPr>
        <w:t xml:space="preserve">La croissance </w:t>
      </w:r>
      <w:r w:rsidR="000B6FB5" w:rsidRPr="007E1E75">
        <w:rPr>
          <w:b/>
          <w:bCs/>
          <w:u w:val="single"/>
        </w:rPr>
        <w:t>est de retour</w:t>
      </w:r>
    </w:p>
    <w:p w14:paraId="0D33EC8A" w14:textId="63B8AA38" w:rsidR="00EE2000" w:rsidRPr="00BB3A91" w:rsidRDefault="00D17C43" w:rsidP="00D17C43">
      <w:pPr>
        <w:jc w:val="both"/>
      </w:pPr>
      <w:r>
        <w:t xml:space="preserve">Alors que la croissance de l’économie norvégienne a connu un taux historiquement bas de 1,1% en 2016, les prévisions de croissance pour 2017 s’établissent à </w:t>
      </w:r>
      <w:r w:rsidRPr="00BB3A91">
        <w:rPr>
          <w:b/>
        </w:rPr>
        <w:t>1,7%</w:t>
      </w:r>
      <w:r>
        <w:t xml:space="preserve"> selon la Banque centrale norvégienne</w:t>
      </w:r>
      <w:r w:rsidRPr="00BB3A91">
        <w:t xml:space="preserve">, qui anticipe également une croissance de de </w:t>
      </w:r>
      <w:r w:rsidRPr="00BB3A91">
        <w:rPr>
          <w:b/>
        </w:rPr>
        <w:t>2%</w:t>
      </w:r>
      <w:r w:rsidRPr="00BB3A91">
        <w:t xml:space="preserve"> pour 2018. </w:t>
      </w:r>
    </w:p>
    <w:p w14:paraId="42E16CBB" w14:textId="49BFDE61" w:rsidR="00EE2000" w:rsidRPr="00E07B95" w:rsidRDefault="00EE2000" w:rsidP="00D17C43">
      <w:pPr>
        <w:jc w:val="both"/>
      </w:pPr>
      <w:r>
        <w:t>Selon l'OCDE, la croissance sera de 1,3 % en 2017 et 1,5% en 2018</w:t>
      </w:r>
      <w:r w:rsidR="00B52019">
        <w:t xml:space="preserve"> chiffres pro</w:t>
      </w:r>
      <w:r w:rsidR="00BB3A91">
        <w:t>ches des prévisions de la Commission européenne (1,2% pour 2017 et 1,5% pour 2018).</w:t>
      </w:r>
    </w:p>
    <w:p w14:paraId="2B605BB2" w14:textId="77777777" w:rsidR="00CD00BE" w:rsidRPr="00E07B95" w:rsidRDefault="00CD00BE" w:rsidP="00691270">
      <w:pPr>
        <w:jc w:val="both"/>
      </w:pPr>
    </w:p>
    <w:p w14:paraId="1E775226" w14:textId="08E8525E" w:rsidR="00D950F5" w:rsidRPr="007E1E75" w:rsidRDefault="00C52264" w:rsidP="009A5862">
      <w:pPr>
        <w:pStyle w:val="Paragraphedeliste"/>
        <w:numPr>
          <w:ilvl w:val="0"/>
          <w:numId w:val="15"/>
        </w:numPr>
        <w:jc w:val="both"/>
        <w:rPr>
          <w:rFonts w:cs="Arial"/>
          <w:b/>
          <w:u w:val="single"/>
        </w:rPr>
      </w:pPr>
      <w:r w:rsidRPr="007E1E75">
        <w:rPr>
          <w:b/>
          <w:u w:val="single"/>
        </w:rPr>
        <w:t xml:space="preserve">Après avoir atteint des sommets il y a un an, l’inflation a fortement </w:t>
      </w:r>
      <w:r w:rsidR="004B061F" w:rsidRPr="007E1E75">
        <w:rPr>
          <w:b/>
          <w:u w:val="single"/>
        </w:rPr>
        <w:t>reflué</w:t>
      </w:r>
    </w:p>
    <w:p w14:paraId="17D55409" w14:textId="44062D6C" w:rsidR="00CE756D" w:rsidRPr="00CE756D" w:rsidRDefault="00CE756D" w:rsidP="004B061F">
      <w:pPr>
        <w:pStyle w:val="Listepuces"/>
        <w:numPr>
          <w:ilvl w:val="0"/>
          <w:numId w:val="0"/>
        </w:numPr>
        <w:jc w:val="both"/>
      </w:pPr>
      <w:r>
        <w:t>La hausse des prix s’</w:t>
      </w:r>
      <w:r w:rsidRPr="00CE756D">
        <w:t>était élevée à 3,6%</w:t>
      </w:r>
      <w:r w:rsidRPr="00CE756D">
        <w:rPr>
          <w:bCs/>
        </w:rPr>
        <w:t xml:space="preserve"> </w:t>
      </w:r>
      <w:r>
        <w:rPr>
          <w:bCs/>
        </w:rPr>
        <w:t>en</w:t>
      </w:r>
      <w:r w:rsidRPr="00CE756D">
        <w:rPr>
          <w:bCs/>
        </w:rPr>
        <w:t xml:space="preserve"> 2016, un</w:t>
      </w:r>
      <w:r w:rsidRPr="00CE756D">
        <w:t xml:space="preserve"> record depuis 2009</w:t>
      </w:r>
      <w:r w:rsidR="00D950F5" w:rsidRPr="00CE756D">
        <w:t>, après avoir connu</w:t>
      </w:r>
      <w:r w:rsidR="00CD00BE" w:rsidRPr="00CE756D">
        <w:t xml:space="preserve"> un pic à 4,4% en juillet</w:t>
      </w:r>
      <w:r w:rsidR="00AE24EB" w:rsidRPr="00CE756D">
        <w:t xml:space="preserve"> 2016</w:t>
      </w:r>
      <w:r w:rsidRPr="00CE756D">
        <w:t>. Elle est en net</w:t>
      </w:r>
      <w:r w:rsidR="00AE24EB" w:rsidRPr="00CE756D">
        <w:t xml:space="preserve"> recul</w:t>
      </w:r>
      <w:r w:rsidRPr="00CE756D">
        <w:t xml:space="preserve"> en 2017</w:t>
      </w:r>
      <w:r w:rsidR="00AE24EB" w:rsidRPr="00CE756D">
        <w:t xml:space="preserve">, pour atteindre </w:t>
      </w:r>
      <w:r w:rsidRPr="00CE756D">
        <w:t>1,3% au mois d’aoû</w:t>
      </w:r>
      <w:r w:rsidR="00AE24EB" w:rsidRPr="00CE756D">
        <w:t>t</w:t>
      </w:r>
      <w:r w:rsidR="004B061F" w:rsidRPr="004B061F">
        <w:rPr>
          <w:rFonts w:cs="Arial"/>
        </w:rPr>
        <w:t xml:space="preserve"> </w:t>
      </w:r>
      <w:r w:rsidR="004B061F">
        <w:rPr>
          <w:rFonts w:cs="Arial"/>
        </w:rPr>
        <w:t>(</w:t>
      </w:r>
      <w:r w:rsidR="004B061F" w:rsidRPr="00D04D78">
        <w:rPr>
          <w:rFonts w:cs="Arial"/>
        </w:rPr>
        <w:t xml:space="preserve">inflation annuelle glissante </w:t>
      </w:r>
      <w:r w:rsidR="004B061F">
        <w:rPr>
          <w:rFonts w:cs="Arial"/>
        </w:rPr>
        <w:t>d’août</w:t>
      </w:r>
      <w:r w:rsidR="004B061F" w:rsidRPr="00D04D78">
        <w:rPr>
          <w:rFonts w:cs="Arial"/>
        </w:rPr>
        <w:t xml:space="preserve"> 2016 à </w:t>
      </w:r>
      <w:r w:rsidR="004B061F">
        <w:rPr>
          <w:rFonts w:cs="Arial"/>
        </w:rPr>
        <w:t>août</w:t>
      </w:r>
      <w:r w:rsidR="004B061F" w:rsidRPr="00D04D78">
        <w:rPr>
          <w:rFonts w:cs="Arial"/>
        </w:rPr>
        <w:t xml:space="preserve"> 2017</w:t>
      </w:r>
      <w:r w:rsidR="004B061F">
        <w:rPr>
          <w:rFonts w:cs="Arial"/>
        </w:rPr>
        <w:t>)</w:t>
      </w:r>
      <w:r w:rsidR="00AE24EB" w:rsidRPr="00CE756D">
        <w:t xml:space="preserve">, selon </w:t>
      </w:r>
      <w:r w:rsidRPr="00CE756D">
        <w:t>l’institut de statistiques SSB.</w:t>
      </w:r>
      <w:r w:rsidR="00EE2000">
        <w:t xml:space="preserve"> C’est le 8</w:t>
      </w:r>
      <w:r w:rsidR="00EE2000" w:rsidRPr="00EE2000">
        <w:rPr>
          <w:vertAlign w:val="superscript"/>
        </w:rPr>
        <w:t>e</w:t>
      </w:r>
      <w:r w:rsidR="00EE2000">
        <w:t xml:space="preserve"> mois de baisse consécutif.</w:t>
      </w:r>
    </w:p>
    <w:p w14:paraId="57E01C9A" w14:textId="77777777" w:rsidR="00CE756D" w:rsidRDefault="00AE24EB" w:rsidP="004B061F">
      <w:pPr>
        <w:jc w:val="both"/>
        <w:rPr>
          <w:rFonts w:cs="Arial"/>
        </w:rPr>
      </w:pPr>
      <w:r w:rsidRPr="00D950F5">
        <w:rPr>
          <w:rFonts w:cs="Arial"/>
        </w:rPr>
        <w:t>Si l’on reprend l’indicateur retenu par la Banque centrale, à savoir l’inflation sous-jacente (qui exclut l’énergie et les variations fiscales, ce taux baisse à 0,9%.</w:t>
      </w:r>
    </w:p>
    <w:p w14:paraId="634EEF0A" w14:textId="3665D6AD" w:rsidR="00D04D78" w:rsidRDefault="004B061F" w:rsidP="00E07B95">
      <w:pPr>
        <w:pStyle w:val="Titre"/>
        <w:jc w:val="both"/>
        <w:rPr>
          <w:rFonts w:asciiTheme="minorHAnsi" w:hAnsiTheme="minorHAnsi" w:cs="Arial"/>
          <w:b w:val="0"/>
          <w:bCs w:val="0"/>
          <w:sz w:val="22"/>
          <w:szCs w:val="22"/>
        </w:rPr>
      </w:pPr>
      <w:r>
        <w:rPr>
          <w:rFonts w:asciiTheme="minorHAnsi" w:hAnsiTheme="minorHAnsi" w:cs="Arial"/>
          <w:b w:val="0"/>
          <w:bCs w:val="0"/>
          <w:sz w:val="22"/>
          <w:szCs w:val="22"/>
        </w:rPr>
        <w:t>La Banque centrale prévoit une inflation de 1,7% pour 2017 et 1,4% pour 2018.</w:t>
      </w:r>
    </w:p>
    <w:p w14:paraId="3BBF6970" w14:textId="60B324D0" w:rsidR="009C2DBE" w:rsidRDefault="009C2DBE" w:rsidP="00E07B95">
      <w:pPr>
        <w:pStyle w:val="Titre"/>
        <w:jc w:val="both"/>
        <w:rPr>
          <w:rFonts w:asciiTheme="minorHAnsi" w:hAnsiTheme="minorHAnsi" w:cs="Arial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 w:cs="Arial"/>
          <w:b w:val="0"/>
          <w:bCs w:val="0"/>
          <w:sz w:val="22"/>
          <w:szCs w:val="22"/>
        </w:rPr>
        <w:br/>
      </w:r>
      <w:r w:rsidRPr="009C2DBE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Cette baisse de l’inflation est en partie due à la nette appréciation de la couronne norvégienne</w:t>
      </w:r>
      <w:r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, mais également au </w:t>
      </w:r>
      <w:r w:rsidRPr="009C2DBE">
        <w:rPr>
          <w:rFonts w:asciiTheme="minorHAnsi" w:hAnsiTheme="minorHAnsi" w:cs="Arial"/>
          <w:b w:val="0"/>
          <w:bCs w:val="0"/>
          <w:sz w:val="22"/>
          <w:szCs w:val="22"/>
        </w:rPr>
        <w:t>maintien par la Banque centrale d’un taux directeur à 0,5%</w:t>
      </w:r>
      <w:r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, résistant aux pressions qui lui demandaient de baisser ce taux, à l’instar des autres banques centrales. Ce taux devrait toutefois rester inchangé dans les prochains mois.</w:t>
      </w:r>
    </w:p>
    <w:p w14:paraId="26CEA596" w14:textId="77777777" w:rsidR="009C2DBE" w:rsidRDefault="009C2DBE" w:rsidP="00E07B95">
      <w:pPr>
        <w:pStyle w:val="Titre"/>
        <w:jc w:val="both"/>
        <w:rPr>
          <w:rFonts w:asciiTheme="minorHAnsi" w:hAnsiTheme="minorHAnsi" w:cs="Arial"/>
          <w:b w:val="0"/>
          <w:bCs w:val="0"/>
          <w:sz w:val="22"/>
          <w:szCs w:val="22"/>
          <w:u w:val="none"/>
        </w:rPr>
      </w:pPr>
    </w:p>
    <w:p w14:paraId="5DA51A83" w14:textId="222EE341" w:rsidR="009C2DBE" w:rsidRPr="007E1E75" w:rsidRDefault="009C2DBE" w:rsidP="009C2DBE">
      <w:pPr>
        <w:pStyle w:val="Titre"/>
        <w:numPr>
          <w:ilvl w:val="0"/>
          <w:numId w:val="15"/>
        </w:numPr>
        <w:jc w:val="both"/>
        <w:rPr>
          <w:rFonts w:asciiTheme="minorHAnsi" w:hAnsiTheme="minorHAnsi" w:cs="Arial"/>
          <w:bCs w:val="0"/>
          <w:sz w:val="22"/>
          <w:szCs w:val="22"/>
        </w:rPr>
      </w:pPr>
      <w:r w:rsidRPr="007E1E75">
        <w:rPr>
          <w:rFonts w:asciiTheme="minorHAnsi" w:hAnsiTheme="minorHAnsi" w:cs="Arial"/>
          <w:bCs w:val="0"/>
          <w:sz w:val="22"/>
          <w:szCs w:val="22"/>
        </w:rPr>
        <w:lastRenderedPageBreak/>
        <w:t>Le chômage commence également à reculer</w:t>
      </w:r>
    </w:p>
    <w:p w14:paraId="3B21FE8B" w14:textId="317C06C0" w:rsidR="009C2DBE" w:rsidRDefault="007E1E75" w:rsidP="009C2DBE">
      <w:pPr>
        <w:pStyle w:val="Titre"/>
        <w:jc w:val="both"/>
        <w:rPr>
          <w:rFonts w:asciiTheme="minorHAnsi" w:hAnsiTheme="minorHAnsi" w:cs="Arial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Après le pic de 2016 à 4,8%, chiffre inédit pour la Norvège, le taux de chômage a commencé à</w:t>
      </w:r>
      <w:r w:rsidR="0010157E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 reculer, se situant en juin </w:t>
      </w:r>
      <w:r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2017 à 4,3%, selon l’institut de statistique SSB.</w:t>
      </w:r>
    </w:p>
    <w:p w14:paraId="7237D28C" w14:textId="77777777" w:rsidR="0010157E" w:rsidRDefault="0010157E" w:rsidP="009C2DBE">
      <w:pPr>
        <w:pStyle w:val="Titre"/>
        <w:jc w:val="both"/>
        <w:rPr>
          <w:rFonts w:asciiTheme="minorHAnsi" w:hAnsiTheme="minorHAnsi" w:cs="Arial"/>
          <w:b w:val="0"/>
          <w:bCs w:val="0"/>
          <w:sz w:val="22"/>
          <w:szCs w:val="22"/>
          <w:u w:val="none"/>
        </w:rPr>
      </w:pPr>
    </w:p>
    <w:p w14:paraId="0F03561A" w14:textId="47DFF542" w:rsidR="0010157E" w:rsidRPr="009C2DBE" w:rsidRDefault="0010157E" w:rsidP="009C2DBE">
      <w:pPr>
        <w:pStyle w:val="Titre"/>
        <w:jc w:val="both"/>
        <w:rPr>
          <w:rFonts w:asciiTheme="minorHAnsi" w:hAnsiTheme="minorHAnsi" w:cs="Arial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Les prévisions de l’OCDE sont de 4,4% de chômage en 2017, et 4,2% en 2018, là encore proches de ceux de la Commission (4,5% pour 2017 et 4,2% pour 2018)</w:t>
      </w:r>
    </w:p>
    <w:p w14:paraId="26E3EB35" w14:textId="6A65E22B" w:rsidR="00CD00BE" w:rsidRPr="00E07B95" w:rsidRDefault="00CD00BE" w:rsidP="00E07B95">
      <w:pPr>
        <w:pStyle w:val="Titre"/>
        <w:jc w:val="both"/>
        <w:rPr>
          <w:rFonts w:asciiTheme="minorHAnsi" w:hAnsiTheme="minorHAnsi" w:cs="Arial"/>
          <w:b w:val="0"/>
          <w:bCs w:val="0"/>
          <w:sz w:val="22"/>
          <w:szCs w:val="22"/>
          <w:u w:val="none"/>
        </w:rPr>
      </w:pPr>
    </w:p>
    <w:p w14:paraId="4CFC98E5" w14:textId="32C51EE4" w:rsidR="00E07B95" w:rsidRPr="00EA25BF" w:rsidRDefault="00EA25BF" w:rsidP="00E07B95">
      <w:pPr>
        <w:pStyle w:val="Titre"/>
        <w:numPr>
          <w:ilvl w:val="0"/>
          <w:numId w:val="15"/>
        </w:numPr>
        <w:jc w:val="both"/>
        <w:rPr>
          <w:rFonts w:asciiTheme="minorHAnsi" w:hAnsiTheme="minorHAnsi" w:cs="Arial"/>
          <w:bCs w:val="0"/>
          <w:sz w:val="22"/>
          <w:szCs w:val="22"/>
        </w:rPr>
      </w:pPr>
      <w:r w:rsidRPr="00EA25BF">
        <w:rPr>
          <w:rFonts w:asciiTheme="minorHAnsi" w:hAnsiTheme="minorHAnsi" w:cs="Arial"/>
          <w:bCs w:val="0"/>
          <w:sz w:val="22"/>
          <w:szCs w:val="22"/>
        </w:rPr>
        <w:t>Les salaires, en hausse de manière très contenue en 2016, risquent de repartir à la hausse.</w:t>
      </w:r>
    </w:p>
    <w:p w14:paraId="1910A447" w14:textId="77777777" w:rsidR="00E07B95" w:rsidRPr="00E07B95" w:rsidRDefault="00E07B95" w:rsidP="00E07B95">
      <w:pPr>
        <w:pStyle w:val="Titre"/>
        <w:jc w:val="both"/>
        <w:rPr>
          <w:rFonts w:asciiTheme="minorHAnsi" w:hAnsiTheme="minorHAnsi" w:cs="Arial"/>
          <w:b w:val="0"/>
          <w:bCs w:val="0"/>
          <w:sz w:val="22"/>
          <w:szCs w:val="22"/>
        </w:rPr>
      </w:pPr>
    </w:p>
    <w:p w14:paraId="53D3A267" w14:textId="7BC2FFD3" w:rsidR="009F4A67" w:rsidRDefault="00370898" w:rsidP="009F4A67">
      <w:pPr>
        <w:pStyle w:val="Titre"/>
        <w:jc w:val="both"/>
        <w:rPr>
          <w:rFonts w:asciiTheme="minorHAnsi" w:hAnsiTheme="minorHAnsi" w:cs="Arial"/>
          <w:b w:val="0"/>
          <w:bCs w:val="0"/>
          <w:sz w:val="22"/>
          <w:szCs w:val="22"/>
          <w:u w:val="none"/>
        </w:rPr>
      </w:pPr>
      <w:r w:rsidRPr="00E07B95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Les</w:t>
      </w:r>
      <w:r w:rsidR="00EA25BF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 salaires ont cru en 2016,</w:t>
      </w:r>
      <w:r w:rsidRPr="00E07B95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 le salaire moyen annuel </w:t>
      </w:r>
      <w:r w:rsidR="00EA25BF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étant</w:t>
      </w:r>
      <w:r w:rsidRPr="00E07B95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 passé de </w:t>
      </w:r>
      <w:r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522819</w:t>
      </w:r>
      <w:r w:rsidRPr="00E07B95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 NOK en 201</w:t>
      </w:r>
      <w:r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5</w:t>
      </w:r>
      <w:r w:rsidRPr="00E07B95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 à 5</w:t>
      </w:r>
      <w:r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30075</w:t>
      </w:r>
      <w:r w:rsidR="00EA25BF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 NOK en 2016</w:t>
      </w:r>
      <w:r w:rsidRPr="00E07B95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 (source OCDE)</w:t>
      </w:r>
      <w:r w:rsidR="00EA25BF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, soit une augmentation de 1,4%, taux le plus faible enregistré depuis longtemps en Norvège</w:t>
      </w:r>
      <w:r w:rsidRPr="00E07B95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.</w:t>
      </w:r>
      <w:r w:rsidR="00EA25BF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 Cette modération salariale, négociée entre les partenaires sociaux, commence à être remise en cause</w:t>
      </w:r>
      <w:r w:rsidR="00D7352A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 (conflit salarial dans le secteur des hydrocarbures en juin dernier)</w:t>
      </w:r>
      <w:r w:rsidR="00EA25BF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, la croissance amorçant son retour et le chômage </w:t>
      </w:r>
      <w:r w:rsidR="000E079B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sa décrue</w:t>
      </w:r>
      <w:r w:rsidR="00EA25BF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.</w:t>
      </w:r>
    </w:p>
    <w:p w14:paraId="3E5C06B1" w14:textId="77777777" w:rsidR="002F2C86" w:rsidRDefault="002F2C86" w:rsidP="009F4A67">
      <w:pPr>
        <w:pStyle w:val="Titre"/>
        <w:jc w:val="both"/>
        <w:rPr>
          <w:rFonts w:asciiTheme="minorHAnsi" w:hAnsiTheme="minorHAnsi" w:cs="Arial"/>
          <w:b w:val="0"/>
          <w:bCs w:val="0"/>
          <w:sz w:val="22"/>
          <w:szCs w:val="22"/>
          <w:u w:val="none"/>
        </w:rPr>
      </w:pPr>
    </w:p>
    <w:p w14:paraId="3AC5BCB3" w14:textId="77777777" w:rsidR="009E0D27" w:rsidRDefault="009E0D27" w:rsidP="009F4A67">
      <w:pPr>
        <w:pStyle w:val="Titre"/>
        <w:jc w:val="both"/>
        <w:rPr>
          <w:rFonts w:asciiTheme="minorHAnsi" w:hAnsiTheme="minorHAnsi" w:cs="Arial"/>
          <w:b w:val="0"/>
          <w:bCs w:val="0"/>
          <w:sz w:val="22"/>
          <w:szCs w:val="22"/>
          <w:u w:val="none"/>
        </w:rPr>
      </w:pPr>
    </w:p>
    <w:p w14:paraId="0F40E3C8" w14:textId="4C09E16D" w:rsidR="007B2877" w:rsidRPr="000E079B" w:rsidRDefault="007B2877" w:rsidP="007B2877">
      <w:pPr>
        <w:pStyle w:val="Titre"/>
        <w:numPr>
          <w:ilvl w:val="0"/>
          <w:numId w:val="15"/>
        </w:numPr>
        <w:jc w:val="both"/>
        <w:rPr>
          <w:rFonts w:asciiTheme="minorHAnsi" w:hAnsiTheme="minorHAnsi" w:cs="Arial"/>
          <w:bCs w:val="0"/>
          <w:sz w:val="22"/>
          <w:szCs w:val="22"/>
        </w:rPr>
      </w:pPr>
      <w:r w:rsidRPr="000E079B">
        <w:rPr>
          <w:rFonts w:asciiTheme="minorHAnsi" w:hAnsiTheme="minorHAnsi" w:cs="Arial"/>
          <w:bCs w:val="0"/>
          <w:sz w:val="22"/>
          <w:szCs w:val="22"/>
        </w:rPr>
        <w:t>Les prix de l’immobilier commencent à refluer, sous l’effet du durcissement de l’accès aux prêts, voulu par le Gouvernement</w:t>
      </w:r>
      <w:r w:rsidR="00C70718" w:rsidRPr="000E079B">
        <w:rPr>
          <w:rFonts w:asciiTheme="minorHAnsi" w:hAnsiTheme="minorHAnsi" w:cs="Arial"/>
          <w:bCs w:val="0"/>
          <w:sz w:val="22"/>
          <w:szCs w:val="22"/>
        </w:rPr>
        <w:t>, et d’un effort en termes de constructions de logements</w:t>
      </w:r>
    </w:p>
    <w:p w14:paraId="28340759" w14:textId="77777777" w:rsidR="002F2C86" w:rsidRPr="00E07B95" w:rsidRDefault="002F2C86" w:rsidP="002F2C86">
      <w:pPr>
        <w:pStyle w:val="Titre"/>
        <w:jc w:val="both"/>
        <w:rPr>
          <w:rFonts w:asciiTheme="minorHAnsi" w:hAnsiTheme="minorHAnsi" w:cs="Arial"/>
          <w:b w:val="0"/>
          <w:bCs w:val="0"/>
          <w:sz w:val="22"/>
          <w:szCs w:val="22"/>
          <w:u w:val="none"/>
        </w:rPr>
      </w:pPr>
    </w:p>
    <w:p w14:paraId="527B045F" w14:textId="269DE79A" w:rsidR="006C4285" w:rsidRPr="007B2877" w:rsidRDefault="00D7352A" w:rsidP="002F2C86">
      <w:pPr>
        <w:spacing w:after="0" w:line="240" w:lineRule="auto"/>
        <w:jc w:val="both"/>
      </w:pPr>
      <w:r>
        <w:t>Après avoir atteint un niveau record en 2016, le prix de l’immobilier à Oslo (et en Norvège) a connu une baisse importante après l’encadrement de l’accès aux emprunts immobiliers introduit le 1</w:t>
      </w:r>
      <w:r>
        <w:rPr>
          <w:vertAlign w:val="superscript"/>
        </w:rPr>
        <w:t>er</w:t>
      </w:r>
      <w:r w:rsidR="007B2877">
        <w:t xml:space="preserve"> janvier 2017. Ainsi, à Oslo, pour sa résidence principale, tout acheteur devra apporter au minimum 15% de la valeur en fonds propres, et 40% s’il s’agit d’une résidence secondaire. Ces mesures visent clairement à lutter contre l’inflation immobilière, et ont donc porté ses fruits : la baisse des prix a été de 3,6% à Oslo de janvier à juillet 2017 (contre 1,6 dans le reste de la Norvège, où les règles sont moins strictes).</w:t>
      </w:r>
      <w:r w:rsidR="006C4285">
        <w:t xml:space="preserve"> Par ailleurs, l’augmentation du nombre de logements neufs, facilité</w:t>
      </w:r>
      <w:r w:rsidR="00962323">
        <w:t>e</w:t>
      </w:r>
      <w:r w:rsidR="006C4285">
        <w:t xml:space="preserve"> par des mesures </w:t>
      </w:r>
      <w:r w:rsidR="00F54810">
        <w:t>visant à encadrer les délais pour la délivrance des permis de construire</w:t>
      </w:r>
      <w:r w:rsidR="006C4285">
        <w:t>, a également joué un rôle.</w:t>
      </w:r>
    </w:p>
    <w:p w14:paraId="07CA3E6A" w14:textId="77777777" w:rsidR="002F2C86" w:rsidRPr="00E07B95" w:rsidRDefault="002F2C86" w:rsidP="002F2C86">
      <w:pPr>
        <w:spacing w:after="0" w:line="240" w:lineRule="auto"/>
        <w:ind w:hanging="426"/>
        <w:jc w:val="both"/>
        <w:rPr>
          <w:rFonts w:cs="Times New Roman"/>
        </w:rPr>
      </w:pPr>
    </w:p>
    <w:p w14:paraId="69994DB4" w14:textId="7AFB5B4B" w:rsidR="00E42E1F" w:rsidRPr="000E079B" w:rsidRDefault="004C3495" w:rsidP="00E42E1F">
      <w:pPr>
        <w:pStyle w:val="Paragraphedeliste"/>
        <w:numPr>
          <w:ilvl w:val="0"/>
          <w:numId w:val="15"/>
        </w:numPr>
        <w:jc w:val="both"/>
        <w:rPr>
          <w:b/>
          <w:u w:val="single"/>
        </w:rPr>
      </w:pPr>
      <w:r w:rsidRPr="000E079B">
        <w:rPr>
          <w:rFonts w:cs="Arial"/>
          <w:b/>
          <w:bCs/>
          <w:u w:val="single"/>
        </w:rPr>
        <w:t>La couronne norvégi</w:t>
      </w:r>
      <w:r w:rsidR="00A01576" w:rsidRPr="000E079B">
        <w:rPr>
          <w:rFonts w:cs="Arial"/>
          <w:b/>
          <w:bCs/>
          <w:u w:val="single"/>
        </w:rPr>
        <w:t>enne</w:t>
      </w:r>
      <w:r w:rsidR="007123F4" w:rsidRPr="000E079B">
        <w:rPr>
          <w:rFonts w:cs="Arial"/>
          <w:b/>
          <w:bCs/>
          <w:u w:val="single"/>
        </w:rPr>
        <w:t>, malgré un</w:t>
      </w:r>
      <w:r w:rsidR="00F54810" w:rsidRPr="000E079B">
        <w:rPr>
          <w:rFonts w:cs="Arial"/>
          <w:b/>
          <w:bCs/>
          <w:u w:val="single"/>
        </w:rPr>
        <w:t>e</w:t>
      </w:r>
      <w:r w:rsidR="007123F4" w:rsidRPr="000E079B">
        <w:rPr>
          <w:rFonts w:cs="Arial"/>
          <w:b/>
          <w:bCs/>
          <w:u w:val="single"/>
        </w:rPr>
        <w:t xml:space="preserve"> légère appréciation, reste à un niveau faible</w:t>
      </w:r>
      <w:r w:rsidR="00A01576" w:rsidRPr="000E079B">
        <w:rPr>
          <w:rFonts w:cs="Arial"/>
          <w:b/>
          <w:bCs/>
          <w:u w:val="single"/>
        </w:rPr>
        <w:t xml:space="preserve"> </w:t>
      </w:r>
      <w:r w:rsidR="00E42E1F" w:rsidRPr="000E079B">
        <w:rPr>
          <w:rFonts w:cs="Arial"/>
          <w:b/>
          <w:bCs/>
          <w:u w:val="single"/>
        </w:rPr>
        <w:t>face à l’euro.</w:t>
      </w:r>
    </w:p>
    <w:p w14:paraId="195496BE" w14:textId="6D01FD02" w:rsidR="005460C8" w:rsidRPr="00F22DF6" w:rsidRDefault="00A01576" w:rsidP="00E42E1F">
      <w:pPr>
        <w:pStyle w:val="Titre"/>
        <w:jc w:val="both"/>
        <w:rPr>
          <w:rFonts w:asciiTheme="minorHAnsi" w:hAnsiTheme="minorHAnsi" w:cs="Arial"/>
          <w:b w:val="0"/>
          <w:bCs w:val="0"/>
          <w:sz w:val="22"/>
          <w:szCs w:val="22"/>
          <w:u w:val="none"/>
        </w:rPr>
      </w:pPr>
      <w:r w:rsidRPr="00F22DF6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Le</w:t>
      </w:r>
      <w:r w:rsidR="00E42E1F" w:rsidRPr="00F22DF6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 taux de change €/ NOK </w:t>
      </w:r>
      <w:r w:rsidRPr="00F22DF6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était de</w:t>
      </w:r>
      <w:r w:rsidR="00E42E1F" w:rsidRPr="00F22DF6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 9,</w:t>
      </w:r>
      <w:r w:rsidR="005460C8" w:rsidRPr="00F22DF6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27</w:t>
      </w:r>
      <w:r w:rsidR="00E42E1F" w:rsidRPr="00F22DF6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 NOK pour 1€ au </w:t>
      </w:r>
      <w:r w:rsidR="004C3495" w:rsidRPr="00F22DF6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20 se</w:t>
      </w:r>
      <w:r w:rsidR="005460C8" w:rsidRPr="00F22DF6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ptembre 2016, </w:t>
      </w:r>
      <w:r w:rsidR="00081106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de </w:t>
      </w:r>
      <w:r w:rsidR="005460C8" w:rsidRPr="00F22DF6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8,85 NOK pour 1€ </w:t>
      </w:r>
      <w:r w:rsidR="005F458D" w:rsidRPr="00F22DF6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au 19 février, </w:t>
      </w:r>
      <w:r w:rsidR="00081106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de </w:t>
      </w:r>
      <w:r w:rsidR="005460C8" w:rsidRPr="00F22DF6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9,58 NOK pour 1€ </w:t>
      </w:r>
      <w:r w:rsidR="005F458D" w:rsidRPr="00F22DF6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au 29 juin et </w:t>
      </w:r>
      <w:r w:rsidR="00081106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de </w:t>
      </w:r>
      <w:r w:rsidR="005460C8" w:rsidRPr="00F22DF6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9,36 NOK pour 1€ au 20 septembre.</w:t>
      </w:r>
    </w:p>
    <w:p w14:paraId="6BDDEF2D" w14:textId="77777777" w:rsidR="005460C8" w:rsidRPr="00F22DF6" w:rsidRDefault="005460C8" w:rsidP="00E42E1F">
      <w:pPr>
        <w:pStyle w:val="Titre"/>
        <w:jc w:val="both"/>
        <w:rPr>
          <w:rFonts w:asciiTheme="minorHAnsi" w:hAnsiTheme="minorHAnsi" w:cs="Arial"/>
          <w:b w:val="0"/>
          <w:bCs w:val="0"/>
          <w:sz w:val="22"/>
          <w:szCs w:val="22"/>
          <w:u w:val="none"/>
        </w:rPr>
      </w:pPr>
    </w:p>
    <w:p w14:paraId="6EEFE441" w14:textId="097718F0" w:rsidR="00E42E1F" w:rsidRDefault="00F54810" w:rsidP="00E42E1F">
      <w:pPr>
        <w:pStyle w:val="Titre"/>
        <w:jc w:val="both"/>
        <w:rPr>
          <w:rFonts w:asciiTheme="minorHAnsi" w:hAnsiTheme="minorHAnsi" w:cs="Arial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La couronne reste donc globalement à un niveau bas</w:t>
      </w:r>
      <w:r w:rsidR="00E42E1F" w:rsidRPr="00E07B95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, loin de son record de mi-2012 (7 ,3 NOK pour 1 €), mais près de son taux le plus bas de décembre 2009 (9,96 NOK pour 1€)</w:t>
      </w:r>
      <w:r w:rsidR="00153414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.</w:t>
      </w:r>
    </w:p>
    <w:p w14:paraId="5FC350D7" w14:textId="77777777" w:rsidR="008227E0" w:rsidRDefault="008227E0" w:rsidP="00E42E1F">
      <w:pPr>
        <w:pStyle w:val="Titre"/>
        <w:jc w:val="both"/>
        <w:rPr>
          <w:rFonts w:asciiTheme="minorHAnsi" w:hAnsiTheme="minorHAnsi" w:cs="Arial"/>
          <w:b w:val="0"/>
          <w:bCs w:val="0"/>
          <w:sz w:val="22"/>
          <w:szCs w:val="22"/>
          <w:u w:val="none"/>
        </w:rPr>
      </w:pPr>
    </w:p>
    <w:p w14:paraId="1E3537BB" w14:textId="52173B94" w:rsidR="009A7621" w:rsidRDefault="008227E0" w:rsidP="008227E0">
      <w:pPr>
        <w:pStyle w:val="Titre"/>
        <w:numPr>
          <w:ilvl w:val="0"/>
          <w:numId w:val="15"/>
        </w:numPr>
        <w:jc w:val="both"/>
        <w:rPr>
          <w:rFonts w:asciiTheme="minorHAnsi" w:hAnsiTheme="minorHAnsi" w:cs="Arial"/>
          <w:b w:val="0"/>
          <w:bCs w:val="0"/>
          <w:sz w:val="22"/>
          <w:szCs w:val="22"/>
          <w:u w:val="none"/>
        </w:rPr>
      </w:pPr>
      <w:r w:rsidRPr="009A7621">
        <w:rPr>
          <w:rFonts w:asciiTheme="minorHAnsi" w:hAnsiTheme="minorHAnsi" w:cs="Arial"/>
          <w:bCs w:val="0"/>
          <w:sz w:val="22"/>
          <w:szCs w:val="22"/>
        </w:rPr>
        <w:t>Les investissements dan</w:t>
      </w:r>
      <w:r w:rsidR="00962323">
        <w:rPr>
          <w:rFonts w:asciiTheme="minorHAnsi" w:hAnsiTheme="minorHAnsi" w:cs="Arial"/>
          <w:bCs w:val="0"/>
          <w:sz w:val="22"/>
          <w:szCs w:val="22"/>
        </w:rPr>
        <w:t xml:space="preserve">s le secteur des hydrocarbures </w:t>
      </w:r>
      <w:r w:rsidR="00881C4F" w:rsidRPr="009A7621">
        <w:rPr>
          <w:rFonts w:asciiTheme="minorHAnsi" w:hAnsiTheme="minorHAnsi" w:cs="Arial"/>
          <w:bCs w:val="0"/>
          <w:sz w:val="22"/>
          <w:szCs w:val="22"/>
        </w:rPr>
        <w:t>sont encore à la baisse en 2017,</w:t>
      </w:r>
      <w:r w:rsidR="009A7621">
        <w:rPr>
          <w:rFonts w:asciiTheme="minorHAnsi" w:hAnsiTheme="minorHAnsi" w:cs="Arial"/>
          <w:bCs w:val="0"/>
          <w:sz w:val="22"/>
          <w:szCs w:val="22"/>
        </w:rPr>
        <w:t xml:space="preserve"> mais </w:t>
      </w:r>
      <w:r w:rsidR="00881C4F" w:rsidRPr="009A7621">
        <w:rPr>
          <w:rFonts w:asciiTheme="minorHAnsi" w:hAnsiTheme="minorHAnsi" w:cs="Arial"/>
          <w:bCs w:val="0"/>
          <w:sz w:val="22"/>
          <w:szCs w:val="22"/>
        </w:rPr>
        <w:t>les perspectives pour 2018 s’</w:t>
      </w:r>
      <w:r w:rsidR="009A7621" w:rsidRPr="009A7621">
        <w:rPr>
          <w:rFonts w:asciiTheme="minorHAnsi" w:hAnsiTheme="minorHAnsi" w:cs="Arial"/>
          <w:bCs w:val="0"/>
          <w:sz w:val="22"/>
          <w:szCs w:val="22"/>
        </w:rPr>
        <w:t>éclaircissent</w:t>
      </w:r>
    </w:p>
    <w:p w14:paraId="126447EB" w14:textId="77777777" w:rsidR="009A7621" w:rsidRDefault="009A7621" w:rsidP="009A7621">
      <w:pPr>
        <w:pStyle w:val="Titre"/>
        <w:ind w:left="720"/>
        <w:jc w:val="both"/>
        <w:rPr>
          <w:rFonts w:asciiTheme="minorHAnsi" w:hAnsiTheme="minorHAnsi" w:cs="Arial"/>
          <w:b w:val="0"/>
          <w:bCs w:val="0"/>
          <w:sz w:val="22"/>
          <w:szCs w:val="22"/>
          <w:u w:val="none"/>
        </w:rPr>
      </w:pPr>
    </w:p>
    <w:p w14:paraId="56F74175" w14:textId="5C1B5A1B" w:rsidR="008227E0" w:rsidRPr="00B52019" w:rsidRDefault="00881C4F" w:rsidP="008227E0">
      <w:pPr>
        <w:pStyle w:val="Titre"/>
        <w:jc w:val="both"/>
        <w:rPr>
          <w:rFonts w:asciiTheme="minorHAnsi" w:hAnsiTheme="minorHAnsi" w:cs="Arial"/>
          <w:b w:val="0"/>
          <w:bCs w:val="0"/>
          <w:sz w:val="22"/>
          <w:szCs w:val="22"/>
          <w:u w:val="none"/>
        </w:rPr>
      </w:pPr>
      <w:r w:rsidRPr="00881C4F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Selon SSB, les </w:t>
      </w:r>
      <w:r w:rsidR="009A7621" w:rsidRPr="00881C4F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investissements</w:t>
      </w:r>
      <w:r w:rsidRPr="00881C4F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 </w:t>
      </w:r>
      <w:r w:rsidR="009A7621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dans</w:t>
      </w:r>
      <w:r w:rsidRPr="00881C4F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>e secteur des hydrocarbures (extraction et transport) en 2017</w:t>
      </w:r>
      <w:r w:rsidR="009A7621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 sont estimées à 156 millions de NOK (16,7 Meuros)</w:t>
      </w:r>
      <w:r w:rsidR="00B52019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 soit une diminution de 7% par rapport à 2016, eux-mêmes en diminution de près de 19% par rapport aux investissements de 2015. C’est en 2018 que la courbe devrait enfin s’inverser et les investissements repartir à la hausse dans ce secteur. </w:t>
      </w:r>
      <w:r w:rsidR="009A7621">
        <w:rPr>
          <w:rFonts w:asciiTheme="minorHAnsi" w:hAnsiTheme="minorHAnsi" w:cs="Arial"/>
          <w:b w:val="0"/>
          <w:bCs w:val="0"/>
          <w:sz w:val="22"/>
          <w:szCs w:val="22"/>
          <w:u w:val="none"/>
        </w:rPr>
        <w:t xml:space="preserve"> </w:t>
      </w:r>
    </w:p>
    <w:p w14:paraId="0935DB32" w14:textId="77777777" w:rsidR="002E1D96" w:rsidRPr="00B52019" w:rsidRDefault="002E1D96" w:rsidP="00A87D4C">
      <w:pPr>
        <w:spacing w:after="0" w:line="240" w:lineRule="auto"/>
        <w:jc w:val="both"/>
        <w:rPr>
          <w:rFonts w:cs="Times New Roman"/>
          <w:b/>
        </w:rPr>
      </w:pPr>
    </w:p>
    <w:p w14:paraId="359BAB5F" w14:textId="16C47868" w:rsidR="0006757C" w:rsidRPr="00B52019" w:rsidRDefault="0006757C" w:rsidP="00E07B95">
      <w:pPr>
        <w:spacing w:after="0" w:line="240" w:lineRule="auto"/>
        <w:jc w:val="both"/>
        <w:rPr>
          <w:rFonts w:cs="Times New Roman"/>
        </w:rPr>
      </w:pPr>
    </w:p>
    <w:p w14:paraId="0B297068" w14:textId="390472EC" w:rsidR="00D7352A" w:rsidRPr="000E079B" w:rsidRDefault="00F54810" w:rsidP="0006757C">
      <w:pPr>
        <w:spacing w:after="0" w:line="240" w:lineRule="auto"/>
        <w:jc w:val="both"/>
        <w:rPr>
          <w:rFonts w:cs="Times New Roman"/>
          <w:b/>
          <w:u w:val="single"/>
        </w:rPr>
      </w:pPr>
      <w:r w:rsidRPr="000E079B">
        <w:rPr>
          <w:rFonts w:cs="Times New Roman"/>
          <w:b/>
          <w:u w:val="single"/>
        </w:rPr>
        <w:t>COMMENTAIRES</w:t>
      </w:r>
    </w:p>
    <w:p w14:paraId="115A3DAF" w14:textId="77777777" w:rsidR="00A87D4C" w:rsidRDefault="00A87D4C" w:rsidP="00E07B95">
      <w:pPr>
        <w:spacing w:after="0" w:line="240" w:lineRule="auto"/>
        <w:jc w:val="both"/>
        <w:rPr>
          <w:rFonts w:cs="Times New Roman"/>
        </w:rPr>
      </w:pPr>
    </w:p>
    <w:p w14:paraId="596BF7E1" w14:textId="2ACF5A95" w:rsidR="00176072" w:rsidRDefault="00F54810" w:rsidP="00176072">
      <w:pPr>
        <w:spacing w:after="0"/>
        <w:jc w:val="both"/>
        <w:rPr>
          <w:color w:val="000000"/>
        </w:rPr>
      </w:pPr>
      <w:r>
        <w:rPr>
          <w:color w:val="000000"/>
        </w:rPr>
        <w:t xml:space="preserve">L’économie norvégienne connait sans conteste </w:t>
      </w:r>
      <w:r w:rsidR="00B52019">
        <w:rPr>
          <w:color w:val="000000"/>
        </w:rPr>
        <w:t>un redre</w:t>
      </w:r>
      <w:r w:rsidR="00B32B52">
        <w:rPr>
          <w:color w:val="000000"/>
        </w:rPr>
        <w:t>ssement</w:t>
      </w:r>
      <w:r>
        <w:rPr>
          <w:color w:val="000000"/>
        </w:rPr>
        <w:t xml:space="preserve"> (ce qui explique en partie la victoire du </w:t>
      </w:r>
      <w:r w:rsidR="0032656E">
        <w:rPr>
          <w:color w:val="000000"/>
        </w:rPr>
        <w:t xml:space="preserve">Gouvernement </w:t>
      </w:r>
      <w:r>
        <w:rPr>
          <w:color w:val="000000"/>
        </w:rPr>
        <w:t>sortant</w:t>
      </w:r>
      <w:r w:rsidR="0032656E">
        <w:rPr>
          <w:color w:val="000000"/>
        </w:rPr>
        <w:t>, coalition dir</w:t>
      </w:r>
      <w:r w:rsidR="000E079B">
        <w:rPr>
          <w:color w:val="000000"/>
        </w:rPr>
        <w:t>igée</w:t>
      </w:r>
      <w:r w:rsidR="0032656E">
        <w:rPr>
          <w:color w:val="000000"/>
        </w:rPr>
        <w:t xml:space="preserve"> par les Conservateurs,</w:t>
      </w:r>
      <w:r>
        <w:rPr>
          <w:color w:val="000000"/>
        </w:rPr>
        <w:t xml:space="preserve"> aux élections législatives du 11 septembre dernier). </w:t>
      </w:r>
      <w:r w:rsidR="00176072">
        <w:rPr>
          <w:color w:val="000000"/>
        </w:rPr>
        <w:t xml:space="preserve">Le Bureau des statistiques norvégien (SSB) confirme </w:t>
      </w:r>
      <w:r>
        <w:rPr>
          <w:color w:val="000000"/>
        </w:rPr>
        <w:t xml:space="preserve">par ailleurs </w:t>
      </w:r>
      <w:r w:rsidR="00176072">
        <w:rPr>
          <w:color w:val="000000"/>
        </w:rPr>
        <w:t xml:space="preserve">ses prévisions d’embellie économique pour les deux années à venir. </w:t>
      </w:r>
      <w:r w:rsidR="00B32B52">
        <w:rPr>
          <w:color w:val="000000"/>
        </w:rPr>
        <w:t>Celle-ci</w:t>
      </w:r>
      <w:r w:rsidR="0032656E">
        <w:rPr>
          <w:color w:val="000000"/>
        </w:rPr>
        <w:t xml:space="preserve"> est la conjonction de plusieurs facteurs : </w:t>
      </w:r>
      <w:r w:rsidR="00176072">
        <w:rPr>
          <w:color w:val="000000"/>
        </w:rPr>
        <w:t>une monnaie faible, une politique financière et monétaire expansive, une forte croissance dans le domaine de la construction immobilière, et l’arrêt de la chute des investisse</w:t>
      </w:r>
      <w:r w:rsidR="0032656E">
        <w:rPr>
          <w:color w:val="000000"/>
        </w:rPr>
        <w:t>ments dans le secteur pétrolier.</w:t>
      </w:r>
    </w:p>
    <w:p w14:paraId="530FC18B" w14:textId="77777777" w:rsidR="0032656E" w:rsidRDefault="0032656E" w:rsidP="00176072">
      <w:pPr>
        <w:spacing w:after="0"/>
        <w:jc w:val="both"/>
        <w:rPr>
          <w:color w:val="000000"/>
        </w:rPr>
      </w:pPr>
    </w:p>
    <w:p w14:paraId="1E80DCA5" w14:textId="2A4667F3" w:rsidR="0032656E" w:rsidRDefault="0032656E" w:rsidP="00176072">
      <w:pPr>
        <w:spacing w:after="0"/>
        <w:jc w:val="both"/>
        <w:rPr>
          <w:color w:val="000000"/>
        </w:rPr>
      </w:pPr>
      <w:r>
        <w:rPr>
          <w:color w:val="000000"/>
        </w:rPr>
        <w:lastRenderedPageBreak/>
        <w:t xml:space="preserve">La prévisible remontée de la devise norvégienne, </w:t>
      </w:r>
      <w:r w:rsidR="00B32B52">
        <w:rPr>
          <w:color w:val="000000"/>
        </w:rPr>
        <w:t>ainsi que</w:t>
      </w:r>
      <w:r>
        <w:rPr>
          <w:color w:val="000000"/>
        </w:rPr>
        <w:t xml:space="preserve"> la nécess</w:t>
      </w:r>
      <w:r w:rsidR="00780DE7">
        <w:rPr>
          <w:color w:val="000000"/>
        </w:rPr>
        <w:t>a</w:t>
      </w:r>
      <w:r>
        <w:rPr>
          <w:color w:val="000000"/>
        </w:rPr>
        <w:t xml:space="preserve">ire diminution du recours </w:t>
      </w:r>
      <w:r w:rsidR="00780DE7">
        <w:rPr>
          <w:color w:val="000000"/>
        </w:rPr>
        <w:t>au</w:t>
      </w:r>
      <w:r>
        <w:rPr>
          <w:color w:val="000000"/>
        </w:rPr>
        <w:t xml:space="preserve"> fonds pétrolier</w:t>
      </w:r>
      <w:r w:rsidR="00780DE7">
        <w:rPr>
          <w:color w:val="000000"/>
        </w:rPr>
        <w:t xml:space="preserve"> pour équilibrer le budget (la limite de ponction a été abaissé</w:t>
      </w:r>
      <w:r w:rsidR="00881C4F">
        <w:rPr>
          <w:color w:val="000000"/>
        </w:rPr>
        <w:t>e</w:t>
      </w:r>
      <w:r w:rsidR="00780DE7">
        <w:rPr>
          <w:color w:val="000000"/>
        </w:rPr>
        <w:t xml:space="preserve"> de 4 à 3% en mars de</w:t>
      </w:r>
      <w:r w:rsidR="00881C4F">
        <w:rPr>
          <w:color w:val="000000"/>
        </w:rPr>
        <w:t>r</w:t>
      </w:r>
      <w:r w:rsidR="00780DE7">
        <w:rPr>
          <w:color w:val="000000"/>
        </w:rPr>
        <w:t>nier), couplée aux prévisions d’un baril de pétrole qui devrait se maintenir au niveau actuel,</w:t>
      </w:r>
      <w:r>
        <w:rPr>
          <w:color w:val="000000"/>
        </w:rPr>
        <w:t xml:space="preserve"> </w:t>
      </w:r>
      <w:r w:rsidR="00780DE7">
        <w:rPr>
          <w:color w:val="000000"/>
        </w:rPr>
        <w:t xml:space="preserve">ne fait que </w:t>
      </w:r>
      <w:r w:rsidR="00B32B52">
        <w:rPr>
          <w:color w:val="000000"/>
        </w:rPr>
        <w:t>souligner</w:t>
      </w:r>
      <w:r>
        <w:rPr>
          <w:color w:val="000000"/>
        </w:rPr>
        <w:t xml:space="preserve"> l’</w:t>
      </w:r>
      <w:r w:rsidR="00780DE7">
        <w:rPr>
          <w:color w:val="000000"/>
        </w:rPr>
        <w:t>impérieuse</w:t>
      </w:r>
      <w:r>
        <w:rPr>
          <w:color w:val="000000"/>
        </w:rPr>
        <w:t xml:space="preserve"> </w:t>
      </w:r>
      <w:r w:rsidR="00780DE7">
        <w:rPr>
          <w:color w:val="000000"/>
        </w:rPr>
        <w:t>nécessité</w:t>
      </w:r>
      <w:r>
        <w:rPr>
          <w:color w:val="000000"/>
        </w:rPr>
        <w:t xml:space="preserve"> pour l’</w:t>
      </w:r>
      <w:r w:rsidR="00780DE7">
        <w:rPr>
          <w:color w:val="000000"/>
        </w:rPr>
        <w:t>économie norvégienne de re</w:t>
      </w:r>
      <w:r>
        <w:rPr>
          <w:color w:val="000000"/>
        </w:rPr>
        <w:t>nforcer sa marche ve</w:t>
      </w:r>
      <w:r w:rsidR="00881C4F">
        <w:rPr>
          <w:color w:val="000000"/>
        </w:rPr>
        <w:t>rs l</w:t>
      </w:r>
      <w:r>
        <w:rPr>
          <w:color w:val="000000"/>
        </w:rPr>
        <w:t>a diversification de son écono</w:t>
      </w:r>
      <w:r w:rsidR="00780DE7">
        <w:rPr>
          <w:color w:val="000000"/>
        </w:rPr>
        <w:t>m</w:t>
      </w:r>
      <w:r>
        <w:rPr>
          <w:color w:val="000000"/>
        </w:rPr>
        <w:t xml:space="preserve">ie.  </w:t>
      </w:r>
      <w:r w:rsidR="00780DE7">
        <w:rPr>
          <w:color w:val="000000"/>
        </w:rPr>
        <w:t>L’écosystème autour de l’</w:t>
      </w:r>
      <w:r w:rsidR="00E175AD">
        <w:rPr>
          <w:color w:val="000000"/>
        </w:rPr>
        <w:t>aquaculture</w:t>
      </w:r>
      <w:r w:rsidR="00B2737D">
        <w:rPr>
          <w:color w:val="000000"/>
        </w:rPr>
        <w:t xml:space="preserve"> </w:t>
      </w:r>
      <w:r w:rsidR="00780DE7">
        <w:rPr>
          <w:color w:val="000000"/>
        </w:rPr>
        <w:t xml:space="preserve">et de la </w:t>
      </w:r>
      <w:r w:rsidR="00B2737D">
        <w:rPr>
          <w:color w:val="000000"/>
        </w:rPr>
        <w:t>pisciculture</w:t>
      </w:r>
      <w:r w:rsidR="00780DE7">
        <w:rPr>
          <w:color w:val="000000"/>
        </w:rPr>
        <w:t xml:space="preserve"> est un exemp</w:t>
      </w:r>
      <w:r w:rsidR="00B2737D">
        <w:rPr>
          <w:color w:val="000000"/>
        </w:rPr>
        <w:t>le pro</w:t>
      </w:r>
      <w:r w:rsidR="00780DE7">
        <w:rPr>
          <w:color w:val="000000"/>
        </w:rPr>
        <w:t>metteur. Le développement d’</w:t>
      </w:r>
      <w:r w:rsidR="00B2737D">
        <w:rPr>
          <w:color w:val="000000"/>
        </w:rPr>
        <w:t>un savoir-f</w:t>
      </w:r>
      <w:r w:rsidR="00780DE7">
        <w:rPr>
          <w:color w:val="000000"/>
        </w:rPr>
        <w:t xml:space="preserve">aire dans le domaine des transports </w:t>
      </w:r>
      <w:r w:rsidR="00EC17E0">
        <w:rPr>
          <w:color w:val="000000"/>
        </w:rPr>
        <w:t>électriques (</w:t>
      </w:r>
      <w:r w:rsidR="00B2737D">
        <w:rPr>
          <w:color w:val="000000"/>
        </w:rPr>
        <w:t xml:space="preserve">voiture électrique, </w:t>
      </w:r>
      <w:r w:rsidR="00E175AD">
        <w:rPr>
          <w:color w:val="000000"/>
        </w:rPr>
        <w:t>bus et ferries électriques,</w:t>
      </w:r>
      <w:r w:rsidR="00B2737D">
        <w:rPr>
          <w:color w:val="000000"/>
        </w:rPr>
        <w:t xml:space="preserve"> et même bateau de marchandise électrique) en est un autre</w:t>
      </w:r>
      <w:r w:rsidR="00E175AD">
        <w:rPr>
          <w:color w:val="000000"/>
        </w:rPr>
        <w:t xml:space="preserve">. </w:t>
      </w:r>
      <w:r w:rsidR="005454C5">
        <w:rPr>
          <w:color w:val="000000"/>
        </w:rPr>
        <w:t>Chacun de ces modes de transport porte</w:t>
      </w:r>
      <w:r w:rsidR="00E175AD">
        <w:rPr>
          <w:color w:val="000000"/>
        </w:rPr>
        <w:t xml:space="preserve"> en germe </w:t>
      </w:r>
      <w:r w:rsidR="005454C5">
        <w:rPr>
          <w:color w:val="000000"/>
        </w:rPr>
        <w:t>son</w:t>
      </w:r>
      <w:r w:rsidR="00E175AD">
        <w:rPr>
          <w:color w:val="000000"/>
        </w:rPr>
        <w:t xml:space="preserve"> évolution vers une version autonome (sans pilotage humain)</w:t>
      </w:r>
      <w:r w:rsidR="005454C5">
        <w:rPr>
          <w:color w:val="000000"/>
        </w:rPr>
        <w:t xml:space="preserve">, et la </w:t>
      </w:r>
      <w:r w:rsidR="00E175AD">
        <w:rPr>
          <w:color w:val="000000"/>
        </w:rPr>
        <w:t>Norvège veut se positionner co</w:t>
      </w:r>
      <w:r w:rsidR="005454C5">
        <w:rPr>
          <w:color w:val="000000"/>
        </w:rPr>
        <w:t>m</w:t>
      </w:r>
      <w:r w:rsidR="00E175AD">
        <w:rPr>
          <w:color w:val="000000"/>
        </w:rPr>
        <w:t xml:space="preserve">me l’un des leaders de ce secteur </w:t>
      </w:r>
      <w:r w:rsidR="005454C5">
        <w:rPr>
          <w:color w:val="000000"/>
        </w:rPr>
        <w:t>d’avenir</w:t>
      </w:r>
      <w:r w:rsidR="00B2737D">
        <w:rPr>
          <w:color w:val="000000"/>
        </w:rPr>
        <w:t xml:space="preserve">. </w:t>
      </w:r>
      <w:r w:rsidR="00881C4F">
        <w:rPr>
          <w:color w:val="000000"/>
        </w:rPr>
        <w:t>Il en est de même pour</w:t>
      </w:r>
      <w:r w:rsidR="00B2737D">
        <w:rPr>
          <w:color w:val="000000"/>
        </w:rPr>
        <w:t xml:space="preserve"> la progressive </w:t>
      </w:r>
      <w:r w:rsidR="00B32B52">
        <w:rPr>
          <w:color w:val="000000"/>
        </w:rPr>
        <w:t>mutation</w:t>
      </w:r>
      <w:r w:rsidR="00B2737D">
        <w:rPr>
          <w:color w:val="000000"/>
        </w:rPr>
        <w:t xml:space="preserve"> de l’</w:t>
      </w:r>
      <w:r w:rsidR="005454C5">
        <w:rPr>
          <w:color w:val="000000"/>
        </w:rPr>
        <w:t xml:space="preserve">industrie papetière </w:t>
      </w:r>
      <w:r w:rsidR="00B2737D">
        <w:rPr>
          <w:color w:val="000000"/>
        </w:rPr>
        <w:t xml:space="preserve">en une industrie de transformation du bois, aux débouchés </w:t>
      </w:r>
      <w:r w:rsidR="005454C5">
        <w:rPr>
          <w:color w:val="000000"/>
        </w:rPr>
        <w:t>d</w:t>
      </w:r>
      <w:r w:rsidR="00B2737D">
        <w:rPr>
          <w:color w:val="000000"/>
        </w:rPr>
        <w:t>e plus en plus diversifiés</w:t>
      </w:r>
      <w:r w:rsidR="005454C5">
        <w:rPr>
          <w:color w:val="000000"/>
        </w:rPr>
        <w:t xml:space="preserve"> : </w:t>
      </w:r>
      <w:r w:rsidR="00B2737D">
        <w:rPr>
          <w:color w:val="000000"/>
        </w:rPr>
        <w:t>matériaux de construction, produits alimentaires pour animaux (à base de protéines issues de la cellulose)</w:t>
      </w:r>
      <w:r w:rsidR="00ED22CD">
        <w:rPr>
          <w:color w:val="000000"/>
        </w:rPr>
        <w:t>, production de biocarburants</w:t>
      </w:r>
      <w:r>
        <w:rPr>
          <w:color w:val="000000"/>
        </w:rPr>
        <w:t xml:space="preserve"> </w:t>
      </w:r>
      <w:r w:rsidR="005454C5">
        <w:rPr>
          <w:color w:val="000000"/>
        </w:rPr>
        <w:t>…</w:t>
      </w:r>
    </w:p>
    <w:p w14:paraId="373C99C9" w14:textId="77777777" w:rsidR="005454C5" w:rsidRDefault="005454C5" w:rsidP="00176072">
      <w:pPr>
        <w:spacing w:after="0"/>
        <w:jc w:val="both"/>
        <w:rPr>
          <w:color w:val="000000"/>
        </w:rPr>
      </w:pPr>
    </w:p>
    <w:p w14:paraId="5D1DDEC5" w14:textId="7F5329C8" w:rsidR="002F2C86" w:rsidRPr="00B32B52" w:rsidRDefault="005454C5" w:rsidP="000E079B">
      <w:pPr>
        <w:spacing w:after="0"/>
        <w:jc w:val="both"/>
        <w:rPr>
          <w:color w:val="000000"/>
        </w:rPr>
      </w:pPr>
      <w:r>
        <w:rPr>
          <w:color w:val="000000"/>
        </w:rPr>
        <w:t>Si aucun de ces secteurs n’est en mesure de rivaliser</w:t>
      </w:r>
      <w:r w:rsidR="00B32B52">
        <w:rPr>
          <w:color w:val="000000"/>
        </w:rPr>
        <w:t>,</w:t>
      </w:r>
      <w:r>
        <w:rPr>
          <w:color w:val="000000"/>
        </w:rPr>
        <w:t xml:space="preserve"> par </w:t>
      </w:r>
      <w:r w:rsidR="00EC17E0">
        <w:rPr>
          <w:color w:val="000000"/>
        </w:rPr>
        <w:t>son</w:t>
      </w:r>
      <w:r>
        <w:rPr>
          <w:color w:val="000000"/>
        </w:rPr>
        <w:t xml:space="preserve"> poids</w:t>
      </w:r>
      <w:r w:rsidR="00B32B52">
        <w:rPr>
          <w:color w:val="000000"/>
        </w:rPr>
        <w:t>,</w:t>
      </w:r>
      <w:r>
        <w:rPr>
          <w:color w:val="000000"/>
        </w:rPr>
        <w:t xml:space="preserve"> avec celui de la production d’hydrocarbures, leur croissance, qui se nourrit d’ailleurs parfois de transferts de technologies venant du monde de «  l’O</w:t>
      </w:r>
      <w:r w:rsidR="00B32B52">
        <w:rPr>
          <w:color w:val="000000"/>
        </w:rPr>
        <w:t>il &amp; G</w:t>
      </w:r>
      <w:r>
        <w:rPr>
          <w:color w:val="000000"/>
        </w:rPr>
        <w:t>as »</w:t>
      </w:r>
      <w:r w:rsidR="00B32B52">
        <w:rPr>
          <w:color w:val="000000"/>
        </w:rPr>
        <w:t>,</w:t>
      </w:r>
      <w:r w:rsidR="00EC17E0">
        <w:rPr>
          <w:color w:val="000000"/>
        </w:rPr>
        <w:t xml:space="preserve"> est la carte que la Gouvernement norvégien entend bien jouer dans les prochaines années. Et qu’il place délibérément sous le signe de la croissance verte, rappelant à l’envi son objectif affiché lors de l’Accord de </w:t>
      </w:r>
      <w:r w:rsidR="00F47A65">
        <w:rPr>
          <w:color w:val="000000"/>
        </w:rPr>
        <w:t>Paris</w:t>
      </w:r>
      <w:r w:rsidR="00EC17E0">
        <w:rPr>
          <w:color w:val="000000"/>
        </w:rPr>
        <w:t xml:space="preserve"> de réduction</w:t>
      </w:r>
      <w:r w:rsidR="00F47A65">
        <w:rPr>
          <w:color w:val="000000"/>
        </w:rPr>
        <w:t xml:space="preserve"> </w:t>
      </w:r>
      <w:r w:rsidR="00EC17E0">
        <w:rPr>
          <w:color w:val="000000"/>
        </w:rPr>
        <w:t>de ses émissio</w:t>
      </w:r>
      <w:r w:rsidR="00F47A65">
        <w:rPr>
          <w:color w:val="000000"/>
        </w:rPr>
        <w:t>ns d</w:t>
      </w:r>
      <w:r w:rsidR="005253D3">
        <w:rPr>
          <w:color w:val="000000"/>
        </w:rPr>
        <w:t>e</w:t>
      </w:r>
      <w:r w:rsidR="00F47A65">
        <w:rPr>
          <w:color w:val="000000"/>
        </w:rPr>
        <w:t xml:space="preserve">s gaz à effet de serre de 40%¨d’ici 2030 et d’un bilan carbone neutre de son </w:t>
      </w:r>
      <w:r w:rsidR="005253D3">
        <w:rPr>
          <w:color w:val="000000"/>
        </w:rPr>
        <w:t>économie</w:t>
      </w:r>
      <w:r w:rsidR="00F47A65">
        <w:rPr>
          <w:color w:val="000000"/>
        </w:rPr>
        <w:t xml:space="preserve"> à l’</w:t>
      </w:r>
      <w:r w:rsidR="005253D3">
        <w:rPr>
          <w:color w:val="000000"/>
        </w:rPr>
        <w:t>ho</w:t>
      </w:r>
      <w:r w:rsidR="00F47A65">
        <w:rPr>
          <w:color w:val="000000"/>
        </w:rPr>
        <w:t>rizon 2050</w:t>
      </w:r>
      <w:r w:rsidR="005253D3">
        <w:rPr>
          <w:color w:val="000000"/>
        </w:rPr>
        <w:t>.</w:t>
      </w:r>
      <w:r w:rsidR="00EC17E0">
        <w:rPr>
          <w:color w:val="000000"/>
        </w:rPr>
        <w:t xml:space="preserve"> </w:t>
      </w:r>
      <w:r w:rsidR="005253D3">
        <w:rPr>
          <w:color w:val="000000"/>
        </w:rPr>
        <w:t>Tout en assumant pleinement sa place de premier producteur européen d’hydrocarbures</w:t>
      </w:r>
      <w:r w:rsidR="000E079B">
        <w:rPr>
          <w:color w:val="000000"/>
        </w:rPr>
        <w:t>.</w:t>
      </w:r>
      <w:r w:rsidR="000E079B">
        <w:rPr>
          <w:rFonts w:cs="Times New Roman"/>
        </w:rPr>
        <w:t xml:space="preserve"> </w:t>
      </w:r>
    </w:p>
    <w:p w14:paraId="35BCE92E" w14:textId="77777777" w:rsidR="00E07B95" w:rsidRDefault="00E07B95" w:rsidP="002E1D96">
      <w:pPr>
        <w:spacing w:after="0" w:line="240" w:lineRule="auto"/>
        <w:ind w:hanging="426"/>
        <w:jc w:val="both"/>
        <w:rPr>
          <w:rFonts w:cs="Times New Roman"/>
        </w:rPr>
      </w:pPr>
    </w:p>
    <w:p w14:paraId="45914ACB" w14:textId="77777777" w:rsidR="00E07B95" w:rsidRPr="00E07B95" w:rsidRDefault="00E07B95" w:rsidP="00E07B95">
      <w:pPr>
        <w:spacing w:after="0" w:line="240" w:lineRule="auto"/>
        <w:ind w:hanging="426"/>
        <w:jc w:val="both"/>
        <w:rPr>
          <w:rFonts w:cs="Times New Roman"/>
          <w:b/>
        </w:rPr>
      </w:pPr>
    </w:p>
    <w:p w14:paraId="2B4A59BC" w14:textId="77777777" w:rsidR="00E07B95" w:rsidRPr="00E07B95" w:rsidRDefault="00E07B95" w:rsidP="002E1D96">
      <w:pPr>
        <w:spacing w:after="0" w:line="240" w:lineRule="auto"/>
        <w:ind w:hanging="426"/>
        <w:jc w:val="both"/>
        <w:rPr>
          <w:rFonts w:cs="Times New Roman"/>
        </w:rPr>
      </w:pPr>
    </w:p>
    <w:p w14:paraId="2F4FCA35" w14:textId="77777777" w:rsidR="00D230ED" w:rsidRPr="00E07B95" w:rsidRDefault="00D230ED" w:rsidP="00AF2199">
      <w:pPr>
        <w:spacing w:after="0" w:line="240" w:lineRule="auto"/>
        <w:ind w:hanging="426"/>
        <w:jc w:val="both"/>
        <w:rPr>
          <w:rFonts w:cs="Times New Roman"/>
          <w:b/>
        </w:rPr>
      </w:pPr>
    </w:p>
    <w:p w14:paraId="3D3B84EC" w14:textId="4E289BC4" w:rsidR="009878C7" w:rsidRPr="00E07B95" w:rsidRDefault="00F41116" w:rsidP="009C71CB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16995D84" w14:textId="77777777" w:rsidR="000A2504" w:rsidRPr="00E07B95" w:rsidRDefault="000A2504" w:rsidP="009C71CB">
      <w:pPr>
        <w:spacing w:after="0" w:line="240" w:lineRule="auto"/>
        <w:jc w:val="both"/>
        <w:rPr>
          <w:rFonts w:cs="Times New Roman"/>
        </w:rPr>
      </w:pPr>
    </w:p>
    <w:sectPr w:rsidR="000A2504" w:rsidRPr="00E07B95" w:rsidSect="001B4B45">
      <w:pgSz w:w="11906" w:h="16838"/>
      <w:pgMar w:top="851" w:right="991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0676C" w14:textId="77777777" w:rsidR="00AF7CFB" w:rsidRDefault="00AF7CFB" w:rsidP="009878C7">
      <w:pPr>
        <w:spacing w:after="0" w:line="240" w:lineRule="auto"/>
      </w:pPr>
      <w:r>
        <w:separator/>
      </w:r>
    </w:p>
  </w:endnote>
  <w:endnote w:type="continuationSeparator" w:id="0">
    <w:p w14:paraId="57E5248F" w14:textId="77777777" w:rsidR="00AF7CFB" w:rsidRDefault="00AF7CFB" w:rsidP="0098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A7CD9" w14:textId="77777777" w:rsidR="00AF7CFB" w:rsidRDefault="00AF7CFB" w:rsidP="009878C7">
      <w:pPr>
        <w:spacing w:after="0" w:line="240" w:lineRule="auto"/>
      </w:pPr>
      <w:r>
        <w:separator/>
      </w:r>
    </w:p>
  </w:footnote>
  <w:footnote w:type="continuationSeparator" w:id="0">
    <w:p w14:paraId="51CA23A8" w14:textId="77777777" w:rsidR="00AF7CFB" w:rsidRDefault="00AF7CFB" w:rsidP="00987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B22C2E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971FF"/>
    <w:multiLevelType w:val="hybridMultilevel"/>
    <w:tmpl w:val="AF3AE3B8"/>
    <w:lvl w:ilvl="0" w:tplc="A01024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04824"/>
    <w:multiLevelType w:val="hybridMultilevel"/>
    <w:tmpl w:val="18D6118C"/>
    <w:lvl w:ilvl="0" w:tplc="C8FAD8F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10775"/>
    <w:multiLevelType w:val="hybridMultilevel"/>
    <w:tmpl w:val="9D22CF6E"/>
    <w:lvl w:ilvl="0" w:tplc="7CC86A3E">
      <w:start w:val="2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6C6235"/>
    <w:multiLevelType w:val="hybridMultilevel"/>
    <w:tmpl w:val="DB5CFE04"/>
    <w:lvl w:ilvl="0" w:tplc="BF1AEF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570B8"/>
    <w:multiLevelType w:val="hybridMultilevel"/>
    <w:tmpl w:val="6D1A0B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32EBD"/>
    <w:multiLevelType w:val="hybridMultilevel"/>
    <w:tmpl w:val="0C52F83E"/>
    <w:lvl w:ilvl="0" w:tplc="7CC86A3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043AE"/>
    <w:multiLevelType w:val="hybridMultilevel"/>
    <w:tmpl w:val="8340AF1A"/>
    <w:lvl w:ilvl="0" w:tplc="95DC80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62AA8"/>
    <w:multiLevelType w:val="hybridMultilevel"/>
    <w:tmpl w:val="8F60CB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60672"/>
    <w:multiLevelType w:val="multilevel"/>
    <w:tmpl w:val="D10099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1162E5C"/>
    <w:multiLevelType w:val="hybridMultilevel"/>
    <w:tmpl w:val="D966DFEE"/>
    <w:lvl w:ilvl="0" w:tplc="0666CC0E">
      <w:start w:val="1"/>
      <w:numFmt w:val="lowerRoman"/>
      <w:lvlText w:val="%1)"/>
      <w:lvlJc w:val="left"/>
      <w:pPr>
        <w:ind w:left="213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4C8D6F80"/>
    <w:multiLevelType w:val="hybridMultilevel"/>
    <w:tmpl w:val="DE200D30"/>
    <w:lvl w:ilvl="0" w:tplc="C8FAD8F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750EB"/>
    <w:multiLevelType w:val="multilevel"/>
    <w:tmpl w:val="2D4E7D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F03059B"/>
    <w:multiLevelType w:val="hybridMultilevel"/>
    <w:tmpl w:val="DAD8266A"/>
    <w:lvl w:ilvl="0" w:tplc="C5FE4796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6F0C794D"/>
    <w:multiLevelType w:val="hybridMultilevel"/>
    <w:tmpl w:val="AF501F4A"/>
    <w:lvl w:ilvl="0" w:tplc="A6AEDD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A0928"/>
    <w:multiLevelType w:val="multilevel"/>
    <w:tmpl w:val="E3D881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D377779"/>
    <w:multiLevelType w:val="hybridMultilevel"/>
    <w:tmpl w:val="4DE005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5"/>
  </w:num>
  <w:num w:numId="6">
    <w:abstractNumId w:val="1"/>
  </w:num>
  <w:num w:numId="7">
    <w:abstractNumId w:val="7"/>
  </w:num>
  <w:num w:numId="8">
    <w:abstractNumId w:val="12"/>
  </w:num>
  <w:num w:numId="9">
    <w:abstractNumId w:val="2"/>
  </w:num>
  <w:num w:numId="10">
    <w:abstractNumId w:val="6"/>
  </w:num>
  <w:num w:numId="11">
    <w:abstractNumId w:val="3"/>
  </w:num>
  <w:num w:numId="12">
    <w:abstractNumId w:val="11"/>
  </w:num>
  <w:num w:numId="13">
    <w:abstractNumId w:val="10"/>
  </w:num>
  <w:num w:numId="14">
    <w:abstractNumId w:val="13"/>
  </w:num>
  <w:num w:numId="15">
    <w:abstractNumId w:val="16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C7"/>
    <w:rsid w:val="000035AB"/>
    <w:rsid w:val="000067ED"/>
    <w:rsid w:val="000202AF"/>
    <w:rsid w:val="0006757C"/>
    <w:rsid w:val="00067C63"/>
    <w:rsid w:val="00081106"/>
    <w:rsid w:val="00093B4E"/>
    <w:rsid w:val="000A2504"/>
    <w:rsid w:val="000B6FB5"/>
    <w:rsid w:val="000D1654"/>
    <w:rsid w:val="000D52E6"/>
    <w:rsid w:val="000E079B"/>
    <w:rsid w:val="000E1C93"/>
    <w:rsid w:val="000F25DD"/>
    <w:rsid w:val="0010157E"/>
    <w:rsid w:val="00116DF7"/>
    <w:rsid w:val="00135173"/>
    <w:rsid w:val="00153414"/>
    <w:rsid w:val="00176072"/>
    <w:rsid w:val="001A2036"/>
    <w:rsid w:val="001B4B45"/>
    <w:rsid w:val="001E1364"/>
    <w:rsid w:val="001F4E8C"/>
    <w:rsid w:val="001F4F03"/>
    <w:rsid w:val="001F568B"/>
    <w:rsid w:val="002032BB"/>
    <w:rsid w:val="002101D2"/>
    <w:rsid w:val="0021567B"/>
    <w:rsid w:val="00276555"/>
    <w:rsid w:val="002920EC"/>
    <w:rsid w:val="002B6649"/>
    <w:rsid w:val="002D05A5"/>
    <w:rsid w:val="002E0D60"/>
    <w:rsid w:val="002E1D96"/>
    <w:rsid w:val="002E4B48"/>
    <w:rsid w:val="002F2C86"/>
    <w:rsid w:val="0032656E"/>
    <w:rsid w:val="00365A98"/>
    <w:rsid w:val="00370898"/>
    <w:rsid w:val="003E3BAE"/>
    <w:rsid w:val="0042422E"/>
    <w:rsid w:val="00454E18"/>
    <w:rsid w:val="00457AAB"/>
    <w:rsid w:val="004A6FE4"/>
    <w:rsid w:val="004B061F"/>
    <w:rsid w:val="004C3495"/>
    <w:rsid w:val="004F0C31"/>
    <w:rsid w:val="00500C55"/>
    <w:rsid w:val="00514EE3"/>
    <w:rsid w:val="005234FE"/>
    <w:rsid w:val="005253D3"/>
    <w:rsid w:val="005454C5"/>
    <w:rsid w:val="005460C8"/>
    <w:rsid w:val="005A108D"/>
    <w:rsid w:val="005C7B7F"/>
    <w:rsid w:val="005F458D"/>
    <w:rsid w:val="00604CE8"/>
    <w:rsid w:val="00626E67"/>
    <w:rsid w:val="00665F4B"/>
    <w:rsid w:val="00691270"/>
    <w:rsid w:val="006C4285"/>
    <w:rsid w:val="006C5C6B"/>
    <w:rsid w:val="006E6310"/>
    <w:rsid w:val="006F2340"/>
    <w:rsid w:val="007123F4"/>
    <w:rsid w:val="00732A12"/>
    <w:rsid w:val="0075123A"/>
    <w:rsid w:val="00780DE7"/>
    <w:rsid w:val="007931C4"/>
    <w:rsid w:val="007B2877"/>
    <w:rsid w:val="007E1E75"/>
    <w:rsid w:val="008227E0"/>
    <w:rsid w:val="008305F4"/>
    <w:rsid w:val="0083411B"/>
    <w:rsid w:val="008516E3"/>
    <w:rsid w:val="008751A4"/>
    <w:rsid w:val="008816EC"/>
    <w:rsid w:val="00881C4F"/>
    <w:rsid w:val="00885FB6"/>
    <w:rsid w:val="0089299E"/>
    <w:rsid w:val="00894EE9"/>
    <w:rsid w:val="008B468F"/>
    <w:rsid w:val="008D230F"/>
    <w:rsid w:val="008E5209"/>
    <w:rsid w:val="009003CB"/>
    <w:rsid w:val="00942C6D"/>
    <w:rsid w:val="00961A14"/>
    <w:rsid w:val="00962323"/>
    <w:rsid w:val="009830C4"/>
    <w:rsid w:val="009878C7"/>
    <w:rsid w:val="009900D4"/>
    <w:rsid w:val="009A5C6A"/>
    <w:rsid w:val="009A7621"/>
    <w:rsid w:val="009C2DBE"/>
    <w:rsid w:val="009C71CB"/>
    <w:rsid w:val="009D094E"/>
    <w:rsid w:val="009E0D27"/>
    <w:rsid w:val="009F4A67"/>
    <w:rsid w:val="00A013AE"/>
    <w:rsid w:val="00A01576"/>
    <w:rsid w:val="00A2185F"/>
    <w:rsid w:val="00A67CC7"/>
    <w:rsid w:val="00A87D4C"/>
    <w:rsid w:val="00A91DDA"/>
    <w:rsid w:val="00AE24EB"/>
    <w:rsid w:val="00AF2199"/>
    <w:rsid w:val="00AF7CFB"/>
    <w:rsid w:val="00B2737D"/>
    <w:rsid w:val="00B30CDA"/>
    <w:rsid w:val="00B32B52"/>
    <w:rsid w:val="00B52019"/>
    <w:rsid w:val="00B86881"/>
    <w:rsid w:val="00B873DC"/>
    <w:rsid w:val="00B97D34"/>
    <w:rsid w:val="00BB3A91"/>
    <w:rsid w:val="00BD5EB1"/>
    <w:rsid w:val="00C078FD"/>
    <w:rsid w:val="00C10612"/>
    <w:rsid w:val="00C20B24"/>
    <w:rsid w:val="00C32D36"/>
    <w:rsid w:val="00C4752A"/>
    <w:rsid w:val="00C52264"/>
    <w:rsid w:val="00C70718"/>
    <w:rsid w:val="00C90765"/>
    <w:rsid w:val="00CD00BE"/>
    <w:rsid w:val="00CD7486"/>
    <w:rsid w:val="00CE3DA7"/>
    <w:rsid w:val="00CE756D"/>
    <w:rsid w:val="00D04D78"/>
    <w:rsid w:val="00D134C2"/>
    <w:rsid w:val="00D17C43"/>
    <w:rsid w:val="00D22BE3"/>
    <w:rsid w:val="00D230ED"/>
    <w:rsid w:val="00D40743"/>
    <w:rsid w:val="00D41805"/>
    <w:rsid w:val="00D458F4"/>
    <w:rsid w:val="00D52C30"/>
    <w:rsid w:val="00D54050"/>
    <w:rsid w:val="00D71BB6"/>
    <w:rsid w:val="00D7352A"/>
    <w:rsid w:val="00D73CF4"/>
    <w:rsid w:val="00D950F5"/>
    <w:rsid w:val="00DE5E14"/>
    <w:rsid w:val="00E07B95"/>
    <w:rsid w:val="00E175AD"/>
    <w:rsid w:val="00E42E1F"/>
    <w:rsid w:val="00E47B97"/>
    <w:rsid w:val="00E52EC1"/>
    <w:rsid w:val="00E5403D"/>
    <w:rsid w:val="00E70DF2"/>
    <w:rsid w:val="00E94881"/>
    <w:rsid w:val="00EA25BF"/>
    <w:rsid w:val="00EB7FB4"/>
    <w:rsid w:val="00EC17E0"/>
    <w:rsid w:val="00ED22CD"/>
    <w:rsid w:val="00ED2AB0"/>
    <w:rsid w:val="00EE2000"/>
    <w:rsid w:val="00EF1FB0"/>
    <w:rsid w:val="00F10D86"/>
    <w:rsid w:val="00F22DF6"/>
    <w:rsid w:val="00F41116"/>
    <w:rsid w:val="00F47A65"/>
    <w:rsid w:val="00F54810"/>
    <w:rsid w:val="00F66AD5"/>
    <w:rsid w:val="00FB3153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B3787"/>
  <w15:docId w15:val="{9948257B-9F29-4091-8E8F-70AB0B14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8C7"/>
  </w:style>
  <w:style w:type="paragraph" w:styleId="Titre3">
    <w:name w:val="heading 3"/>
    <w:basedOn w:val="Normal"/>
    <w:link w:val="Titre3Car"/>
    <w:uiPriority w:val="9"/>
    <w:semiHidden/>
    <w:unhideWhenUsed/>
    <w:qFormat/>
    <w:rsid w:val="00AE24EB"/>
    <w:pPr>
      <w:keepNext/>
      <w:spacing w:before="200" w:after="0" w:line="276" w:lineRule="auto"/>
      <w:outlineLvl w:val="2"/>
    </w:pPr>
    <w:rPr>
      <w:rFonts w:ascii="Calibri" w:hAnsi="Calibri" w:cs="Calibr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78C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878C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78C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878C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878C7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8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1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6DF7"/>
    <w:rPr>
      <w:rFonts w:ascii="Segoe UI" w:hAnsi="Segoe UI" w:cs="Segoe UI"/>
      <w:sz w:val="18"/>
      <w:szCs w:val="18"/>
    </w:rPr>
  </w:style>
  <w:style w:type="character" w:customStyle="1" w:styleId="searched">
    <w:name w:val="searched"/>
    <w:basedOn w:val="Policepardfaut"/>
    <w:rsid w:val="00D230ED"/>
  </w:style>
  <w:style w:type="paragraph" w:styleId="Titre">
    <w:name w:val="Title"/>
    <w:basedOn w:val="Normal"/>
    <w:link w:val="TitreCar"/>
    <w:uiPriority w:val="99"/>
    <w:qFormat/>
    <w:rsid w:val="009F4A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character" w:customStyle="1" w:styleId="TitreCar">
    <w:name w:val="Titre Car"/>
    <w:basedOn w:val="Policepardfaut"/>
    <w:link w:val="Titre"/>
    <w:uiPriority w:val="99"/>
    <w:rsid w:val="009F4A67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character" w:customStyle="1" w:styleId="metadata3">
    <w:name w:val="metadata3"/>
    <w:rsid w:val="009F4A67"/>
    <w:rPr>
      <w:b w:val="0"/>
      <w:bCs w:val="0"/>
      <w:vanish/>
      <w:webHidden w:val="0"/>
      <w:sz w:val="19"/>
      <w:szCs w:val="19"/>
      <w:specVanish w:val="0"/>
    </w:rPr>
  </w:style>
  <w:style w:type="character" w:customStyle="1" w:styleId="Titre3Car">
    <w:name w:val="Titre 3 Car"/>
    <w:basedOn w:val="Policepardfaut"/>
    <w:link w:val="Titre3"/>
    <w:uiPriority w:val="9"/>
    <w:semiHidden/>
    <w:rsid w:val="00AE24EB"/>
    <w:rPr>
      <w:rFonts w:ascii="Calibri" w:hAnsi="Calibri" w:cs="Calibri"/>
      <w:b/>
      <w:bCs/>
    </w:rPr>
  </w:style>
  <w:style w:type="paragraph" w:styleId="Listepuces">
    <w:name w:val="List Bullet"/>
    <w:basedOn w:val="Normal"/>
    <w:uiPriority w:val="99"/>
    <w:unhideWhenUsed/>
    <w:rsid w:val="00CE756D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9253F541C84385BD1D324900BF29" ma:contentTypeVersion="0" ma:contentTypeDescription="Crée un document." ma:contentTypeScope="" ma:versionID="68dc4586c98a4de8c0d6bc1057337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9F749-6A17-4D21-B0D6-24DB54F4F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B567AD-2FDF-4714-B352-2A2CB0AB755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46AD37-CDF2-4372-90B3-B7EE8E458B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184390-6725-437B-B466-D2B4E873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</Pages>
  <Words>1219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 TRESOR</Company>
  <LinksUpToDate>false</LinksUpToDate>
  <CharactersWithSpaces>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FATRAS Christian</dc:creator>
  <cp:keywords/>
  <dc:description/>
  <cp:lastModifiedBy>GABLA Emmanuel</cp:lastModifiedBy>
  <cp:revision>6</cp:revision>
  <cp:lastPrinted>2017-09-22T08:03:00Z</cp:lastPrinted>
  <dcterms:created xsi:type="dcterms:W3CDTF">2017-09-21T16:32:00Z</dcterms:created>
  <dcterms:modified xsi:type="dcterms:W3CDTF">2017-09-29T13:13:00Z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0x010100D9859253F541C84385BD1D324900BF29</vt:lpwstr>
  </property>
</Properties>
</file>