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91C" w:rsidRPr="003220F5" w:rsidRDefault="00CE391C" w:rsidP="00F6667B">
      <w:pPr>
        <w:pStyle w:val="Titre1"/>
        <w:spacing w:before="600" w:after="600"/>
        <w:rPr>
          <w:rFonts w:ascii="Times New Roman" w:hAnsi="Times New Roman" w:cs="Times New Roman"/>
          <w:sz w:val="22"/>
          <w:szCs w:val="22"/>
        </w:rPr>
      </w:pPr>
      <w:r w:rsidRPr="003220F5">
        <w:rPr>
          <w:rFonts w:ascii="Times New Roman" w:hAnsi="Times New Roman" w:cs="Times New Roman"/>
          <w:sz w:val="22"/>
          <w:szCs w:val="22"/>
        </w:rPr>
        <w:t>NOTE</w:t>
      </w:r>
    </w:p>
    <w:p w:rsidR="00CE391C" w:rsidRPr="007809F5" w:rsidRDefault="00CE391C">
      <w:pPr>
        <w:rPr>
          <w:rFonts w:ascii="Times New Roman" w:hAnsi="Times New Roman" w:cs="Times New Roman"/>
          <w:b/>
          <w:sz w:val="24"/>
          <w:szCs w:val="24"/>
        </w:rPr>
      </w:pPr>
      <w:r w:rsidRPr="007809F5">
        <w:rPr>
          <w:rFonts w:ascii="Times New Roman" w:hAnsi="Times New Roman" w:cs="Times New Roman"/>
          <w:b/>
          <w:bCs/>
          <w:sz w:val="24"/>
          <w:szCs w:val="24"/>
        </w:rPr>
        <w:t xml:space="preserve">Objet : </w:t>
      </w:r>
      <w:bookmarkStart w:id="0" w:name="Objet"/>
      <w:bookmarkStart w:id="1" w:name="FaxAgent"/>
      <w:bookmarkEnd w:id="0"/>
      <w:bookmarkEnd w:id="1"/>
      <w:r w:rsidR="00E746BA" w:rsidRPr="007809F5">
        <w:rPr>
          <w:rFonts w:ascii="Times New Roman" w:hAnsi="Times New Roman" w:cs="Times New Roman"/>
          <w:b/>
          <w:bCs/>
          <w:sz w:val="24"/>
          <w:szCs w:val="24"/>
        </w:rPr>
        <w:t xml:space="preserve">La revue budgétaire </w:t>
      </w:r>
      <w:r w:rsidR="008E0153" w:rsidRPr="007809F5">
        <w:rPr>
          <w:rFonts w:ascii="Times New Roman" w:hAnsi="Times New Roman" w:cs="Times New Roman"/>
          <w:b/>
          <w:bCs/>
          <w:sz w:val="24"/>
          <w:szCs w:val="24"/>
        </w:rPr>
        <w:t>de mi-parcours</w:t>
      </w:r>
      <w:r w:rsidR="00E746BA" w:rsidRPr="007809F5">
        <w:rPr>
          <w:rFonts w:ascii="Times New Roman" w:hAnsi="Times New Roman" w:cs="Times New Roman"/>
          <w:b/>
          <w:bCs/>
          <w:sz w:val="24"/>
          <w:szCs w:val="24"/>
        </w:rPr>
        <w:t xml:space="preserve"> </w:t>
      </w:r>
      <w:r w:rsidR="005C0E54" w:rsidRPr="007809F5">
        <w:rPr>
          <w:rFonts w:ascii="Times New Roman" w:hAnsi="Times New Roman" w:cs="Times New Roman"/>
          <w:b/>
          <w:bCs/>
          <w:sz w:val="24"/>
          <w:szCs w:val="24"/>
        </w:rPr>
        <w:t xml:space="preserve">rend compte du maintien de perspectives de croissance solides et du </w:t>
      </w:r>
      <w:r w:rsidR="00E6388A">
        <w:rPr>
          <w:rFonts w:ascii="Times New Roman" w:hAnsi="Times New Roman" w:cs="Times New Roman"/>
          <w:b/>
          <w:bCs/>
          <w:sz w:val="24"/>
          <w:szCs w:val="24"/>
        </w:rPr>
        <w:t>renforcement</w:t>
      </w:r>
      <w:r w:rsidR="005C0E54" w:rsidRPr="007809F5">
        <w:rPr>
          <w:rFonts w:ascii="Times New Roman" w:hAnsi="Times New Roman" w:cs="Times New Roman"/>
          <w:b/>
          <w:bCs/>
          <w:sz w:val="24"/>
          <w:szCs w:val="24"/>
        </w:rPr>
        <w:t xml:space="preserve"> de la trajectoire</w:t>
      </w:r>
      <w:r w:rsidR="005A78A8">
        <w:rPr>
          <w:rFonts w:ascii="Times New Roman" w:hAnsi="Times New Roman" w:cs="Times New Roman"/>
          <w:b/>
          <w:bCs/>
          <w:sz w:val="24"/>
          <w:szCs w:val="24"/>
        </w:rPr>
        <w:t xml:space="preserve"> de redressement budgétaire.</w:t>
      </w:r>
    </w:p>
    <w:p w:rsidR="003A24DB" w:rsidRPr="007809F5" w:rsidRDefault="003A24DB" w:rsidP="007809F5">
      <w:pPr>
        <w:pBdr>
          <w:top w:val="single" w:sz="4" w:space="1" w:color="auto"/>
          <w:left w:val="single" w:sz="4" w:space="1" w:color="auto"/>
          <w:bottom w:val="single" w:sz="4" w:space="1" w:color="auto"/>
          <w:right w:val="single" w:sz="4" w:space="4" w:color="auto"/>
        </w:pBdr>
        <w:spacing w:before="480" w:after="120"/>
        <w:jc w:val="both"/>
        <w:rPr>
          <w:rFonts w:ascii="Times New Roman" w:hAnsi="Times New Roman" w:cs="Times New Roman"/>
          <w:i/>
          <w:sz w:val="24"/>
          <w:szCs w:val="24"/>
        </w:rPr>
      </w:pPr>
      <w:bookmarkStart w:id="2" w:name="EmailAgent"/>
      <w:bookmarkStart w:id="3" w:name="_GoBack"/>
      <w:bookmarkEnd w:id="2"/>
      <w:r w:rsidRPr="007809F5">
        <w:rPr>
          <w:rFonts w:ascii="Times New Roman" w:hAnsi="Times New Roman" w:cs="Times New Roman"/>
          <w:i/>
          <w:sz w:val="24"/>
          <w:szCs w:val="24"/>
        </w:rPr>
        <w:t>Le gouvernement australien a utilisé la traditionnelle revue budgétaire de mi-parcours pour affiner ses prévisions macroéconomiques et budgétaires. La prévision de croissance</w:t>
      </w:r>
      <w:r w:rsidR="00E169D4">
        <w:rPr>
          <w:rFonts w:ascii="Times New Roman" w:hAnsi="Times New Roman" w:cs="Times New Roman"/>
          <w:i/>
          <w:sz w:val="24"/>
          <w:szCs w:val="24"/>
        </w:rPr>
        <w:t xml:space="preserve"> de 2017/18 y est légèrement dégradée à 2,5%, contre une prévision de croissance de +2,75%</w:t>
      </w:r>
      <w:r w:rsidR="00A33D56">
        <w:rPr>
          <w:rFonts w:ascii="Times New Roman" w:hAnsi="Times New Roman" w:cs="Times New Roman"/>
          <w:i/>
          <w:sz w:val="24"/>
          <w:szCs w:val="24"/>
        </w:rPr>
        <w:t xml:space="preserve"> dans le b</w:t>
      </w:r>
      <w:r w:rsidR="00E169D4">
        <w:rPr>
          <w:rFonts w:ascii="Times New Roman" w:hAnsi="Times New Roman" w:cs="Times New Roman"/>
          <w:i/>
          <w:sz w:val="24"/>
          <w:szCs w:val="24"/>
        </w:rPr>
        <w:t xml:space="preserve">udget. A contrario, </w:t>
      </w:r>
      <w:r w:rsidR="00A33D56">
        <w:rPr>
          <w:rFonts w:ascii="Times New Roman" w:hAnsi="Times New Roman" w:cs="Times New Roman"/>
          <w:i/>
          <w:sz w:val="24"/>
          <w:szCs w:val="24"/>
        </w:rPr>
        <w:t xml:space="preserve">la revue budgétaire de mi-parcours rend compte d’une accélération de la baisse du déficit public (-A$5,8 Mds), qui ne devrait plus atteindre que </w:t>
      </w:r>
      <w:r w:rsidR="00A33D56" w:rsidRPr="00A33D56">
        <w:rPr>
          <w:rFonts w:ascii="Times New Roman" w:hAnsi="Times New Roman" w:cs="Times New Roman"/>
          <w:i/>
          <w:sz w:val="24"/>
          <w:szCs w:val="24"/>
        </w:rPr>
        <w:t>-A$23,6 Mds en 2017/18, soit 1,3% du PIB</w:t>
      </w:r>
      <w:r w:rsidR="00A33D56">
        <w:rPr>
          <w:rFonts w:ascii="Times New Roman" w:hAnsi="Times New Roman" w:cs="Times New Roman"/>
          <w:i/>
          <w:sz w:val="24"/>
          <w:szCs w:val="24"/>
        </w:rPr>
        <w:t xml:space="preserve"> (</w:t>
      </w:r>
      <w:r w:rsidR="00A33D56" w:rsidRPr="00A33D56">
        <w:rPr>
          <w:rFonts w:ascii="Times New Roman" w:hAnsi="Times New Roman" w:cs="Times New Roman"/>
          <w:i/>
          <w:sz w:val="24"/>
          <w:szCs w:val="24"/>
        </w:rPr>
        <w:t>contre -A$29,4 Mds, soit 1,6% du PIB</w:t>
      </w:r>
      <w:r w:rsidR="00A33D56">
        <w:rPr>
          <w:rFonts w:ascii="Times New Roman" w:hAnsi="Times New Roman" w:cs="Times New Roman"/>
          <w:i/>
          <w:sz w:val="24"/>
          <w:szCs w:val="24"/>
        </w:rPr>
        <w:t xml:space="preserve"> dans le budget).</w:t>
      </w:r>
      <w:r w:rsidR="00D774C3">
        <w:rPr>
          <w:rFonts w:ascii="Times New Roman" w:hAnsi="Times New Roman" w:cs="Times New Roman"/>
          <w:i/>
          <w:sz w:val="24"/>
          <w:szCs w:val="24"/>
        </w:rPr>
        <w:t xml:space="preserve"> L’</w:t>
      </w:r>
      <w:r w:rsidR="00553264">
        <w:rPr>
          <w:rFonts w:ascii="Times New Roman" w:hAnsi="Times New Roman" w:cs="Times New Roman"/>
          <w:i/>
          <w:sz w:val="24"/>
          <w:szCs w:val="24"/>
        </w:rPr>
        <w:t>accélération de la croissance et son incidence sur les fondamentaux macroéconomiques du pays, couplée</w:t>
      </w:r>
      <w:r w:rsidR="00FF182A">
        <w:rPr>
          <w:rFonts w:ascii="Times New Roman" w:hAnsi="Times New Roman" w:cs="Times New Roman"/>
          <w:i/>
          <w:sz w:val="24"/>
          <w:szCs w:val="24"/>
        </w:rPr>
        <w:t xml:space="preserve"> à l’effort de maîtrise des dépenses, vient renforcer la trajecto</w:t>
      </w:r>
      <w:r w:rsidR="00A106F3">
        <w:rPr>
          <w:rFonts w:ascii="Times New Roman" w:hAnsi="Times New Roman" w:cs="Times New Roman"/>
          <w:i/>
          <w:sz w:val="24"/>
          <w:szCs w:val="24"/>
        </w:rPr>
        <w:t>ire de consolidation budgétaire définie par le gouvernement.</w:t>
      </w:r>
    </w:p>
    <w:bookmarkEnd w:id="3"/>
    <w:p w:rsidR="00AF7922" w:rsidRPr="007809F5" w:rsidRDefault="00AF7922" w:rsidP="00822E88">
      <w:pPr>
        <w:ind w:left="709"/>
        <w:jc w:val="both"/>
        <w:rPr>
          <w:rFonts w:ascii="Times New Roman" w:hAnsi="Times New Roman" w:cs="Times New Roman"/>
          <w:sz w:val="24"/>
          <w:szCs w:val="24"/>
        </w:rPr>
      </w:pPr>
    </w:p>
    <w:p w:rsidR="00823C30" w:rsidRPr="007809F5" w:rsidRDefault="00256217" w:rsidP="00822E88">
      <w:pPr>
        <w:jc w:val="both"/>
        <w:rPr>
          <w:rFonts w:ascii="Times New Roman" w:hAnsi="Times New Roman" w:cs="Times New Roman"/>
          <w:b/>
          <w:sz w:val="24"/>
          <w:szCs w:val="24"/>
        </w:rPr>
      </w:pPr>
      <w:r w:rsidRPr="007809F5">
        <w:rPr>
          <w:rFonts w:ascii="Times New Roman" w:hAnsi="Times New Roman" w:cs="Times New Roman"/>
          <w:b/>
          <w:sz w:val="24"/>
          <w:szCs w:val="24"/>
        </w:rPr>
        <w:t xml:space="preserve">1. </w:t>
      </w:r>
      <w:r w:rsidR="006E7CD6" w:rsidRPr="007809F5">
        <w:rPr>
          <w:rFonts w:ascii="Times New Roman" w:hAnsi="Times New Roman" w:cs="Times New Roman"/>
          <w:b/>
          <w:sz w:val="24"/>
          <w:szCs w:val="24"/>
          <w:u w:val="single"/>
        </w:rPr>
        <w:t>M</w:t>
      </w:r>
      <w:r w:rsidR="001F6EB6" w:rsidRPr="007809F5">
        <w:rPr>
          <w:rFonts w:ascii="Times New Roman" w:hAnsi="Times New Roman" w:cs="Times New Roman"/>
          <w:b/>
          <w:sz w:val="24"/>
          <w:szCs w:val="24"/>
          <w:u w:val="single"/>
        </w:rPr>
        <w:t>aintien de perspectives de croissance solide</w:t>
      </w:r>
      <w:r w:rsidR="000250C6" w:rsidRPr="007809F5">
        <w:rPr>
          <w:rFonts w:ascii="Times New Roman" w:hAnsi="Times New Roman" w:cs="Times New Roman"/>
          <w:b/>
          <w:sz w:val="24"/>
          <w:szCs w:val="24"/>
          <w:u w:val="single"/>
        </w:rPr>
        <w:t>s, tirées par une hausse de l’investissement privé et public, de la consommation des ménages et des exportations</w:t>
      </w:r>
    </w:p>
    <w:p w:rsidR="00823C30" w:rsidRPr="007809F5" w:rsidRDefault="00823C30" w:rsidP="009A209D">
      <w:pPr>
        <w:ind w:left="709"/>
        <w:rPr>
          <w:rFonts w:ascii="Times New Roman" w:hAnsi="Times New Roman" w:cs="Times New Roman"/>
          <w:sz w:val="24"/>
          <w:szCs w:val="24"/>
        </w:rPr>
      </w:pPr>
    </w:p>
    <w:p w:rsidR="009C54AC" w:rsidRPr="007809F5" w:rsidRDefault="003A24DB" w:rsidP="006E7CD6">
      <w:pPr>
        <w:jc w:val="both"/>
        <w:rPr>
          <w:rFonts w:ascii="Times New Roman" w:hAnsi="Times New Roman" w:cs="Times New Roman"/>
          <w:sz w:val="24"/>
          <w:szCs w:val="24"/>
        </w:rPr>
      </w:pPr>
      <w:r w:rsidRPr="007809F5">
        <w:rPr>
          <w:rFonts w:ascii="Times New Roman" w:hAnsi="Times New Roman" w:cs="Times New Roman"/>
          <w:sz w:val="24"/>
          <w:szCs w:val="24"/>
        </w:rPr>
        <w:t>Présentée le 17 décembre 2017, la revue budgé</w:t>
      </w:r>
      <w:r w:rsidR="00D502D7" w:rsidRPr="007809F5">
        <w:rPr>
          <w:rFonts w:ascii="Times New Roman" w:hAnsi="Times New Roman" w:cs="Times New Roman"/>
          <w:sz w:val="24"/>
          <w:szCs w:val="24"/>
        </w:rPr>
        <w:t xml:space="preserve">taire de mi-parcours </w:t>
      </w:r>
      <w:r w:rsidR="006E7CD6" w:rsidRPr="007809F5">
        <w:rPr>
          <w:rFonts w:ascii="Times New Roman" w:hAnsi="Times New Roman" w:cs="Times New Roman"/>
          <w:sz w:val="24"/>
          <w:szCs w:val="24"/>
        </w:rPr>
        <w:t>confirme</w:t>
      </w:r>
      <w:r w:rsidR="00FB4FE4" w:rsidRPr="007809F5">
        <w:rPr>
          <w:rFonts w:ascii="Times New Roman" w:hAnsi="Times New Roman" w:cs="Times New Roman"/>
          <w:sz w:val="24"/>
          <w:szCs w:val="24"/>
        </w:rPr>
        <w:t xml:space="preserve"> le maintien d</w:t>
      </w:r>
      <w:r w:rsidR="005C0E54" w:rsidRPr="007809F5">
        <w:rPr>
          <w:rFonts w:ascii="Times New Roman" w:hAnsi="Times New Roman" w:cs="Times New Roman"/>
          <w:sz w:val="24"/>
          <w:szCs w:val="24"/>
        </w:rPr>
        <w:t>e</w:t>
      </w:r>
      <w:r w:rsidR="00FB4FE4" w:rsidRPr="007809F5">
        <w:rPr>
          <w:rFonts w:ascii="Times New Roman" w:hAnsi="Times New Roman" w:cs="Times New Roman"/>
          <w:sz w:val="24"/>
          <w:szCs w:val="24"/>
        </w:rPr>
        <w:t xml:space="preserve"> perspective</w:t>
      </w:r>
      <w:r w:rsidR="005C0E54" w:rsidRPr="007809F5">
        <w:rPr>
          <w:rFonts w:ascii="Times New Roman" w:hAnsi="Times New Roman" w:cs="Times New Roman"/>
          <w:sz w:val="24"/>
          <w:szCs w:val="24"/>
        </w:rPr>
        <w:t>s</w:t>
      </w:r>
      <w:r w:rsidR="006E7CD6" w:rsidRPr="007809F5">
        <w:rPr>
          <w:rFonts w:ascii="Times New Roman" w:hAnsi="Times New Roman" w:cs="Times New Roman"/>
          <w:sz w:val="24"/>
          <w:szCs w:val="24"/>
        </w:rPr>
        <w:t xml:space="preserve"> de croissance solide</w:t>
      </w:r>
      <w:r w:rsidR="005C0E54" w:rsidRPr="007809F5">
        <w:rPr>
          <w:rFonts w:ascii="Times New Roman" w:hAnsi="Times New Roman" w:cs="Times New Roman"/>
          <w:sz w:val="24"/>
          <w:szCs w:val="24"/>
        </w:rPr>
        <w:t>s</w:t>
      </w:r>
      <w:r w:rsidR="00FB4FE4" w:rsidRPr="007809F5">
        <w:rPr>
          <w:rFonts w:ascii="Times New Roman" w:hAnsi="Times New Roman" w:cs="Times New Roman"/>
          <w:sz w:val="24"/>
          <w:szCs w:val="24"/>
        </w:rPr>
        <w:t>, tirée</w:t>
      </w:r>
      <w:r w:rsidR="005C0E54" w:rsidRPr="007809F5">
        <w:rPr>
          <w:rFonts w:ascii="Times New Roman" w:hAnsi="Times New Roman" w:cs="Times New Roman"/>
          <w:sz w:val="24"/>
          <w:szCs w:val="24"/>
        </w:rPr>
        <w:t>s</w:t>
      </w:r>
      <w:r w:rsidR="00FB4FE4" w:rsidRPr="007809F5">
        <w:rPr>
          <w:rFonts w:ascii="Times New Roman" w:hAnsi="Times New Roman" w:cs="Times New Roman"/>
          <w:sz w:val="24"/>
          <w:szCs w:val="24"/>
        </w:rPr>
        <w:t xml:space="preserve"> </w:t>
      </w:r>
      <w:r w:rsidR="006E7CD6" w:rsidRPr="007809F5">
        <w:rPr>
          <w:rFonts w:ascii="Times New Roman" w:hAnsi="Times New Roman" w:cs="Times New Roman"/>
          <w:sz w:val="24"/>
          <w:szCs w:val="24"/>
        </w:rPr>
        <w:t>par une hausse de l’investissement privé</w:t>
      </w:r>
      <w:r w:rsidR="004E3742" w:rsidRPr="007809F5">
        <w:rPr>
          <w:rFonts w:ascii="Times New Roman" w:hAnsi="Times New Roman" w:cs="Times New Roman"/>
          <w:sz w:val="24"/>
          <w:szCs w:val="24"/>
        </w:rPr>
        <w:t xml:space="preserve"> hors secteur minier</w:t>
      </w:r>
      <w:r w:rsidR="006E7CD6" w:rsidRPr="007809F5">
        <w:rPr>
          <w:rFonts w:ascii="Times New Roman" w:hAnsi="Times New Roman" w:cs="Times New Roman"/>
          <w:sz w:val="24"/>
          <w:szCs w:val="24"/>
        </w:rPr>
        <w:t xml:space="preserve"> et public</w:t>
      </w:r>
      <w:r w:rsidR="004E3742" w:rsidRPr="007809F5">
        <w:rPr>
          <w:rFonts w:ascii="Times New Roman" w:hAnsi="Times New Roman" w:cs="Times New Roman"/>
          <w:sz w:val="24"/>
          <w:szCs w:val="24"/>
        </w:rPr>
        <w:t xml:space="preserve"> (+</w:t>
      </w:r>
      <w:r w:rsidR="00752213" w:rsidRPr="007809F5">
        <w:rPr>
          <w:rFonts w:ascii="Times New Roman" w:hAnsi="Times New Roman" w:cs="Times New Roman"/>
          <w:sz w:val="24"/>
          <w:szCs w:val="24"/>
        </w:rPr>
        <w:t>4% en 2017/18)</w:t>
      </w:r>
      <w:r w:rsidR="006E7CD6" w:rsidRPr="007809F5">
        <w:rPr>
          <w:rFonts w:ascii="Times New Roman" w:hAnsi="Times New Roman" w:cs="Times New Roman"/>
          <w:sz w:val="24"/>
          <w:szCs w:val="24"/>
        </w:rPr>
        <w:t>,</w:t>
      </w:r>
      <w:r w:rsidR="002435A2" w:rsidRPr="007809F5">
        <w:rPr>
          <w:rStyle w:val="Appelnotedebasdep"/>
          <w:rFonts w:ascii="Times New Roman" w:hAnsi="Times New Roman" w:cs="Times New Roman"/>
          <w:sz w:val="24"/>
          <w:szCs w:val="24"/>
        </w:rPr>
        <w:footnoteReference w:id="1"/>
      </w:r>
      <w:r w:rsidR="006E7CD6" w:rsidRPr="007809F5">
        <w:rPr>
          <w:rFonts w:ascii="Times New Roman" w:hAnsi="Times New Roman" w:cs="Times New Roman"/>
          <w:sz w:val="24"/>
          <w:szCs w:val="24"/>
        </w:rPr>
        <w:t xml:space="preserve"> de la consommation des ménages</w:t>
      </w:r>
      <w:r w:rsidR="00752213" w:rsidRPr="007809F5">
        <w:rPr>
          <w:rFonts w:ascii="Times New Roman" w:hAnsi="Times New Roman" w:cs="Times New Roman"/>
          <w:sz w:val="24"/>
          <w:szCs w:val="24"/>
        </w:rPr>
        <w:t xml:space="preserve"> (+2,25% en 2017/18)</w:t>
      </w:r>
      <w:r w:rsidR="006E7CD6" w:rsidRPr="007809F5">
        <w:rPr>
          <w:rFonts w:ascii="Times New Roman" w:hAnsi="Times New Roman" w:cs="Times New Roman"/>
          <w:sz w:val="24"/>
          <w:szCs w:val="24"/>
        </w:rPr>
        <w:t xml:space="preserve"> et des exportations</w:t>
      </w:r>
      <w:r w:rsidR="00752213" w:rsidRPr="007809F5">
        <w:rPr>
          <w:rFonts w:ascii="Times New Roman" w:hAnsi="Times New Roman" w:cs="Times New Roman"/>
          <w:sz w:val="24"/>
          <w:szCs w:val="24"/>
        </w:rPr>
        <w:t xml:space="preserve"> (+3% en 2017/18)</w:t>
      </w:r>
      <w:r w:rsidR="00AA3F39" w:rsidRPr="007809F5">
        <w:rPr>
          <w:rFonts w:ascii="Times New Roman" w:hAnsi="Times New Roman" w:cs="Times New Roman"/>
          <w:sz w:val="24"/>
          <w:szCs w:val="24"/>
        </w:rPr>
        <w:t>.</w:t>
      </w:r>
      <w:r w:rsidR="000D2987" w:rsidRPr="007809F5">
        <w:rPr>
          <w:rStyle w:val="Appelnotedebasdep"/>
          <w:rFonts w:ascii="Times New Roman" w:hAnsi="Times New Roman" w:cs="Times New Roman"/>
          <w:sz w:val="24"/>
          <w:szCs w:val="24"/>
        </w:rPr>
        <w:footnoteReference w:id="2"/>
      </w:r>
      <w:r w:rsidR="00AA3F39" w:rsidRPr="007809F5">
        <w:rPr>
          <w:rFonts w:ascii="Times New Roman" w:hAnsi="Times New Roman" w:cs="Times New Roman"/>
          <w:sz w:val="24"/>
          <w:szCs w:val="24"/>
        </w:rPr>
        <w:t xml:space="preserve"> </w:t>
      </w:r>
      <w:r w:rsidR="005D35F7" w:rsidRPr="007809F5">
        <w:rPr>
          <w:rFonts w:ascii="Times New Roman" w:hAnsi="Times New Roman" w:cs="Times New Roman"/>
          <w:sz w:val="24"/>
          <w:szCs w:val="24"/>
        </w:rPr>
        <w:t>A contrario, l</w:t>
      </w:r>
      <w:r w:rsidR="007C4F9A" w:rsidRPr="007809F5">
        <w:rPr>
          <w:rFonts w:ascii="Times New Roman" w:hAnsi="Times New Roman" w:cs="Times New Roman"/>
          <w:sz w:val="24"/>
          <w:szCs w:val="24"/>
        </w:rPr>
        <w:t>’investissement privé dans le secteur minier devrait poursuivre sa baisse (-60% depuis le pic enregistré au T4 2012), dans un contexte marqué par la finalisation des grands projets miniers, sans pour autant peser autant qu’auparavant sur la croissance.</w:t>
      </w:r>
      <w:r w:rsidR="006B45CC" w:rsidRPr="007809F5">
        <w:rPr>
          <w:rFonts w:ascii="Times New Roman" w:hAnsi="Times New Roman" w:cs="Times New Roman"/>
          <w:sz w:val="24"/>
          <w:szCs w:val="24"/>
        </w:rPr>
        <w:t xml:space="preserve"> </w:t>
      </w:r>
      <w:r w:rsidR="002A6B99" w:rsidRPr="007809F5">
        <w:rPr>
          <w:rFonts w:ascii="Times New Roman" w:hAnsi="Times New Roman" w:cs="Times New Roman"/>
          <w:sz w:val="24"/>
          <w:szCs w:val="24"/>
        </w:rPr>
        <w:t xml:space="preserve">Le PIB réel devrait </w:t>
      </w:r>
      <w:r w:rsidR="0027648D" w:rsidRPr="007809F5">
        <w:rPr>
          <w:rFonts w:ascii="Times New Roman" w:hAnsi="Times New Roman" w:cs="Times New Roman"/>
          <w:sz w:val="24"/>
          <w:szCs w:val="24"/>
        </w:rPr>
        <w:t xml:space="preserve">ainsi </w:t>
      </w:r>
      <w:r w:rsidR="002A6B99" w:rsidRPr="007809F5">
        <w:rPr>
          <w:rFonts w:ascii="Times New Roman" w:hAnsi="Times New Roman" w:cs="Times New Roman"/>
          <w:sz w:val="24"/>
          <w:szCs w:val="24"/>
        </w:rPr>
        <w:t>croître de +2,5% en 2017/18</w:t>
      </w:r>
      <w:r w:rsidR="00624845" w:rsidRPr="007809F5">
        <w:rPr>
          <w:rFonts w:ascii="Times New Roman" w:hAnsi="Times New Roman" w:cs="Times New Roman"/>
          <w:sz w:val="24"/>
          <w:szCs w:val="24"/>
        </w:rPr>
        <w:t xml:space="preserve">, </w:t>
      </w:r>
      <w:r w:rsidR="00785FDF" w:rsidRPr="007809F5">
        <w:rPr>
          <w:rFonts w:ascii="Times New Roman" w:hAnsi="Times New Roman" w:cs="Times New Roman"/>
          <w:sz w:val="24"/>
          <w:szCs w:val="24"/>
        </w:rPr>
        <w:t>soit à</w:t>
      </w:r>
      <w:r w:rsidR="00F40935" w:rsidRPr="007809F5">
        <w:rPr>
          <w:rFonts w:ascii="Times New Roman" w:hAnsi="Times New Roman" w:cs="Times New Roman"/>
          <w:sz w:val="24"/>
          <w:szCs w:val="24"/>
        </w:rPr>
        <w:t xml:space="preserve"> un rythme légèrement inférieur</w:t>
      </w:r>
      <w:r w:rsidR="00624845" w:rsidRPr="007809F5">
        <w:rPr>
          <w:rFonts w:ascii="Times New Roman" w:hAnsi="Times New Roman" w:cs="Times New Roman"/>
          <w:sz w:val="24"/>
          <w:szCs w:val="24"/>
        </w:rPr>
        <w:t xml:space="preserve"> </w:t>
      </w:r>
      <w:r w:rsidR="00F40935" w:rsidRPr="007809F5">
        <w:rPr>
          <w:rFonts w:ascii="Times New Roman" w:hAnsi="Times New Roman" w:cs="Times New Roman"/>
          <w:sz w:val="24"/>
          <w:szCs w:val="24"/>
        </w:rPr>
        <w:t xml:space="preserve">aux </w:t>
      </w:r>
      <w:r w:rsidR="00624845" w:rsidRPr="007809F5">
        <w:rPr>
          <w:rFonts w:ascii="Times New Roman" w:hAnsi="Times New Roman" w:cs="Times New Roman"/>
          <w:sz w:val="24"/>
          <w:szCs w:val="24"/>
        </w:rPr>
        <w:t>prévisions</w:t>
      </w:r>
      <w:r w:rsidR="009B34AB" w:rsidRPr="007809F5">
        <w:rPr>
          <w:rFonts w:ascii="Times New Roman" w:hAnsi="Times New Roman" w:cs="Times New Roman"/>
          <w:sz w:val="24"/>
          <w:szCs w:val="24"/>
        </w:rPr>
        <w:t xml:space="preserve"> </w:t>
      </w:r>
      <w:r w:rsidR="00E6388A">
        <w:rPr>
          <w:rFonts w:ascii="Times New Roman" w:hAnsi="Times New Roman" w:cs="Times New Roman"/>
          <w:sz w:val="24"/>
          <w:szCs w:val="24"/>
        </w:rPr>
        <w:t>de</w:t>
      </w:r>
      <w:r w:rsidR="00785FDF" w:rsidRPr="007809F5">
        <w:rPr>
          <w:rFonts w:ascii="Times New Roman" w:hAnsi="Times New Roman" w:cs="Times New Roman"/>
          <w:sz w:val="24"/>
          <w:szCs w:val="24"/>
        </w:rPr>
        <w:t xml:space="preserve"> mai, tablant sur</w:t>
      </w:r>
      <w:r w:rsidR="0027648D" w:rsidRPr="007809F5">
        <w:rPr>
          <w:rFonts w:ascii="Times New Roman" w:hAnsi="Times New Roman" w:cs="Times New Roman"/>
          <w:sz w:val="24"/>
          <w:szCs w:val="24"/>
        </w:rPr>
        <w:t xml:space="preserve"> une</w:t>
      </w:r>
      <w:r w:rsidR="009B34AB" w:rsidRPr="007809F5">
        <w:rPr>
          <w:rFonts w:ascii="Times New Roman" w:hAnsi="Times New Roman" w:cs="Times New Roman"/>
          <w:sz w:val="24"/>
          <w:szCs w:val="24"/>
        </w:rPr>
        <w:t xml:space="preserve"> croissance</w:t>
      </w:r>
      <w:r w:rsidR="00E169D4">
        <w:rPr>
          <w:rFonts w:ascii="Times New Roman" w:hAnsi="Times New Roman" w:cs="Times New Roman"/>
          <w:sz w:val="24"/>
          <w:szCs w:val="24"/>
        </w:rPr>
        <w:t xml:space="preserve"> de 2,7</w:t>
      </w:r>
      <w:r w:rsidR="00624845" w:rsidRPr="007809F5">
        <w:rPr>
          <w:rFonts w:ascii="Times New Roman" w:hAnsi="Times New Roman" w:cs="Times New Roman"/>
          <w:sz w:val="24"/>
          <w:szCs w:val="24"/>
        </w:rPr>
        <w:t>5%</w:t>
      </w:r>
      <w:r w:rsidR="008E0153" w:rsidRPr="007809F5">
        <w:rPr>
          <w:rFonts w:ascii="Times New Roman" w:hAnsi="Times New Roman" w:cs="Times New Roman"/>
          <w:sz w:val="24"/>
          <w:szCs w:val="24"/>
        </w:rPr>
        <w:t xml:space="preserve"> en 2017</w:t>
      </w:r>
      <w:r w:rsidR="00624845" w:rsidRPr="007809F5">
        <w:rPr>
          <w:rFonts w:ascii="Times New Roman" w:hAnsi="Times New Roman" w:cs="Times New Roman"/>
          <w:sz w:val="24"/>
          <w:szCs w:val="24"/>
        </w:rPr>
        <w:t>/18 et</w:t>
      </w:r>
      <w:r w:rsidR="002A6B99" w:rsidRPr="007809F5">
        <w:rPr>
          <w:rFonts w:ascii="Times New Roman" w:hAnsi="Times New Roman" w:cs="Times New Roman"/>
          <w:sz w:val="24"/>
          <w:szCs w:val="24"/>
        </w:rPr>
        <w:t xml:space="preserve"> </w:t>
      </w:r>
      <w:r w:rsidR="00785FDF" w:rsidRPr="007809F5">
        <w:rPr>
          <w:rFonts w:ascii="Times New Roman" w:hAnsi="Times New Roman" w:cs="Times New Roman"/>
          <w:sz w:val="24"/>
          <w:szCs w:val="24"/>
        </w:rPr>
        <w:t>de +3% en 2018/19.</w:t>
      </w:r>
      <w:r w:rsidR="009B34AB" w:rsidRPr="007809F5">
        <w:rPr>
          <w:rFonts w:ascii="Times New Roman" w:hAnsi="Times New Roman" w:cs="Times New Roman"/>
          <w:sz w:val="24"/>
          <w:szCs w:val="24"/>
        </w:rPr>
        <w:t xml:space="preserve"> </w:t>
      </w:r>
      <w:r w:rsidR="00785FDF" w:rsidRPr="007809F5">
        <w:rPr>
          <w:rFonts w:ascii="Times New Roman" w:hAnsi="Times New Roman" w:cs="Times New Roman"/>
          <w:sz w:val="24"/>
          <w:szCs w:val="24"/>
        </w:rPr>
        <w:t>La légère révision à la baisse de la perspective de</w:t>
      </w:r>
      <w:r w:rsidR="00E6388A">
        <w:rPr>
          <w:rFonts w:ascii="Times New Roman" w:hAnsi="Times New Roman" w:cs="Times New Roman"/>
          <w:sz w:val="24"/>
          <w:szCs w:val="24"/>
        </w:rPr>
        <w:t xml:space="preserve"> croissance pour l’année 2017/1</w:t>
      </w:r>
      <w:r w:rsidR="00785FDF" w:rsidRPr="007809F5">
        <w:rPr>
          <w:rFonts w:ascii="Times New Roman" w:hAnsi="Times New Roman" w:cs="Times New Roman"/>
          <w:sz w:val="24"/>
          <w:szCs w:val="24"/>
        </w:rPr>
        <w:t xml:space="preserve">8 </w:t>
      </w:r>
      <w:r w:rsidR="009B34AB" w:rsidRPr="007809F5">
        <w:rPr>
          <w:rFonts w:ascii="Times New Roman" w:hAnsi="Times New Roman" w:cs="Times New Roman"/>
          <w:sz w:val="24"/>
          <w:szCs w:val="24"/>
        </w:rPr>
        <w:t>refl</w:t>
      </w:r>
      <w:r w:rsidR="00785FDF" w:rsidRPr="007809F5">
        <w:rPr>
          <w:rFonts w:ascii="Times New Roman" w:hAnsi="Times New Roman" w:cs="Times New Roman"/>
          <w:sz w:val="24"/>
          <w:szCs w:val="24"/>
        </w:rPr>
        <w:t>ète</w:t>
      </w:r>
      <w:r w:rsidR="009B34AB" w:rsidRPr="007809F5">
        <w:rPr>
          <w:rFonts w:ascii="Times New Roman" w:hAnsi="Times New Roman" w:cs="Times New Roman"/>
          <w:sz w:val="24"/>
          <w:szCs w:val="24"/>
        </w:rPr>
        <w:t xml:space="preserve"> une croissance moindre de la consommation des ménages</w:t>
      </w:r>
      <w:r w:rsidR="00BC0801" w:rsidRPr="007809F5">
        <w:rPr>
          <w:rFonts w:ascii="Times New Roman" w:hAnsi="Times New Roman" w:cs="Times New Roman"/>
          <w:sz w:val="24"/>
          <w:szCs w:val="24"/>
        </w:rPr>
        <w:t xml:space="preserve"> à +2,25% </w:t>
      </w:r>
      <w:r w:rsidR="00BC0801" w:rsidRPr="007809F5">
        <w:rPr>
          <w:rFonts w:ascii="Times New Roman" w:hAnsi="Times New Roman" w:cs="Times New Roman"/>
          <w:sz w:val="24"/>
          <w:szCs w:val="24"/>
        </w:rPr>
        <w:lastRenderedPageBreak/>
        <w:t>(contre +2,75% dans le Budget)</w:t>
      </w:r>
      <w:r w:rsidR="00785FDF" w:rsidRPr="007809F5">
        <w:rPr>
          <w:rFonts w:ascii="Times New Roman" w:hAnsi="Times New Roman" w:cs="Times New Roman"/>
          <w:sz w:val="24"/>
          <w:szCs w:val="24"/>
        </w:rPr>
        <w:t xml:space="preserve">, </w:t>
      </w:r>
      <w:r w:rsidR="00BC0801" w:rsidRPr="007809F5">
        <w:rPr>
          <w:rFonts w:ascii="Times New Roman" w:hAnsi="Times New Roman" w:cs="Times New Roman"/>
          <w:sz w:val="24"/>
          <w:szCs w:val="24"/>
        </w:rPr>
        <w:t>en partie compensée par une accélération de la croissance de l’investissement privé hors secteur minier à +5% (contre +</w:t>
      </w:r>
      <w:r w:rsidR="006A0F88" w:rsidRPr="007809F5">
        <w:rPr>
          <w:rFonts w:ascii="Times New Roman" w:hAnsi="Times New Roman" w:cs="Times New Roman"/>
          <w:sz w:val="24"/>
          <w:szCs w:val="24"/>
        </w:rPr>
        <w:t>4,5</w:t>
      </w:r>
      <w:r w:rsidR="00BC0801" w:rsidRPr="007809F5">
        <w:rPr>
          <w:rFonts w:ascii="Times New Roman" w:hAnsi="Times New Roman" w:cs="Times New Roman"/>
          <w:sz w:val="24"/>
          <w:szCs w:val="24"/>
        </w:rPr>
        <w:t>% dans le Budget)</w:t>
      </w:r>
      <w:r w:rsidR="00201F13" w:rsidRPr="007809F5">
        <w:rPr>
          <w:rFonts w:ascii="Times New Roman" w:hAnsi="Times New Roman" w:cs="Times New Roman"/>
          <w:sz w:val="24"/>
          <w:szCs w:val="24"/>
        </w:rPr>
        <w:t xml:space="preserve">. </w:t>
      </w:r>
    </w:p>
    <w:p w:rsidR="009C54AC" w:rsidRPr="007809F5" w:rsidRDefault="009C54AC" w:rsidP="006E7CD6">
      <w:pPr>
        <w:jc w:val="both"/>
        <w:rPr>
          <w:rFonts w:ascii="Times New Roman" w:hAnsi="Times New Roman" w:cs="Times New Roman"/>
          <w:sz w:val="24"/>
          <w:szCs w:val="24"/>
        </w:rPr>
      </w:pPr>
    </w:p>
    <w:p w:rsidR="00D1633E" w:rsidRPr="007809F5" w:rsidRDefault="00201F13" w:rsidP="00964A83">
      <w:pPr>
        <w:jc w:val="both"/>
        <w:rPr>
          <w:rFonts w:ascii="Times New Roman" w:hAnsi="Times New Roman" w:cs="Times New Roman"/>
          <w:sz w:val="24"/>
          <w:szCs w:val="24"/>
        </w:rPr>
      </w:pPr>
      <w:r w:rsidRPr="007809F5">
        <w:rPr>
          <w:rFonts w:ascii="Times New Roman" w:hAnsi="Times New Roman" w:cs="Times New Roman"/>
          <w:sz w:val="24"/>
          <w:szCs w:val="24"/>
        </w:rPr>
        <w:t xml:space="preserve">Le PIB nominal devrait quant à lui croître de +3,5% en 2017/18 et de +4% en 2018/19, soit également à un rythme légèrement inférieur aux prévisions du Budget, qui reflète </w:t>
      </w:r>
      <w:r w:rsidR="00921A48" w:rsidRPr="007809F5">
        <w:rPr>
          <w:rFonts w:ascii="Times New Roman" w:hAnsi="Times New Roman" w:cs="Times New Roman"/>
          <w:sz w:val="24"/>
          <w:szCs w:val="24"/>
        </w:rPr>
        <w:t xml:space="preserve">la faible dynamique de croissance des salaires et des prix sur le marché intérieur. </w:t>
      </w:r>
      <w:r w:rsidR="00B23A5B" w:rsidRPr="007809F5">
        <w:rPr>
          <w:rFonts w:ascii="Times New Roman" w:hAnsi="Times New Roman" w:cs="Times New Roman"/>
          <w:sz w:val="24"/>
          <w:szCs w:val="24"/>
        </w:rPr>
        <w:t xml:space="preserve">Les salaires </w:t>
      </w:r>
      <w:r w:rsidR="00334A08" w:rsidRPr="007809F5">
        <w:rPr>
          <w:rFonts w:ascii="Times New Roman" w:hAnsi="Times New Roman" w:cs="Times New Roman"/>
          <w:sz w:val="24"/>
          <w:szCs w:val="24"/>
        </w:rPr>
        <w:t xml:space="preserve">ne </w:t>
      </w:r>
      <w:r w:rsidR="00B23A5B" w:rsidRPr="007809F5">
        <w:rPr>
          <w:rFonts w:ascii="Times New Roman" w:hAnsi="Times New Roman" w:cs="Times New Roman"/>
          <w:sz w:val="24"/>
          <w:szCs w:val="24"/>
        </w:rPr>
        <w:t xml:space="preserve">devraient </w:t>
      </w:r>
      <w:r w:rsidR="00334A08" w:rsidRPr="007809F5">
        <w:rPr>
          <w:rFonts w:ascii="Times New Roman" w:hAnsi="Times New Roman" w:cs="Times New Roman"/>
          <w:sz w:val="24"/>
          <w:szCs w:val="24"/>
        </w:rPr>
        <w:t xml:space="preserve">plus </w:t>
      </w:r>
      <w:r w:rsidR="00B23A5B" w:rsidRPr="007809F5">
        <w:rPr>
          <w:rFonts w:ascii="Times New Roman" w:hAnsi="Times New Roman" w:cs="Times New Roman"/>
          <w:sz w:val="24"/>
          <w:szCs w:val="24"/>
        </w:rPr>
        <w:t xml:space="preserve">croître </w:t>
      </w:r>
      <w:r w:rsidR="00334A08" w:rsidRPr="007809F5">
        <w:rPr>
          <w:rFonts w:ascii="Times New Roman" w:hAnsi="Times New Roman" w:cs="Times New Roman"/>
          <w:sz w:val="24"/>
          <w:szCs w:val="24"/>
        </w:rPr>
        <w:t xml:space="preserve">que </w:t>
      </w:r>
      <w:r w:rsidR="00B23A5B" w:rsidRPr="007809F5">
        <w:rPr>
          <w:rFonts w:ascii="Times New Roman" w:hAnsi="Times New Roman" w:cs="Times New Roman"/>
          <w:sz w:val="24"/>
          <w:szCs w:val="24"/>
        </w:rPr>
        <w:t>de +2,25% en 2017/18</w:t>
      </w:r>
      <w:r w:rsidR="00E6388A">
        <w:rPr>
          <w:rFonts w:ascii="Times New Roman" w:hAnsi="Times New Roman" w:cs="Times New Roman"/>
          <w:sz w:val="24"/>
          <w:szCs w:val="24"/>
        </w:rPr>
        <w:t xml:space="preserve"> (contre une prévision de +2,</w:t>
      </w:r>
      <w:r w:rsidR="00B152E9" w:rsidRPr="007809F5">
        <w:rPr>
          <w:rFonts w:ascii="Times New Roman" w:hAnsi="Times New Roman" w:cs="Times New Roman"/>
          <w:sz w:val="24"/>
          <w:szCs w:val="24"/>
        </w:rPr>
        <w:t>5% dans le Budget)</w:t>
      </w:r>
      <w:r w:rsidR="00B23A5B" w:rsidRPr="007809F5">
        <w:rPr>
          <w:rFonts w:ascii="Times New Roman" w:hAnsi="Times New Roman" w:cs="Times New Roman"/>
          <w:sz w:val="24"/>
          <w:szCs w:val="24"/>
        </w:rPr>
        <w:t xml:space="preserve"> et de +2,75% en 2018/19</w:t>
      </w:r>
      <w:r w:rsidR="00B152E9" w:rsidRPr="007809F5">
        <w:rPr>
          <w:rFonts w:ascii="Times New Roman" w:hAnsi="Times New Roman" w:cs="Times New Roman"/>
          <w:sz w:val="24"/>
          <w:szCs w:val="24"/>
        </w:rPr>
        <w:t xml:space="preserve"> (contre une prévision de +3% dans le Budget)</w:t>
      </w:r>
      <w:r w:rsidR="00E6388A">
        <w:rPr>
          <w:rFonts w:ascii="Times New Roman" w:hAnsi="Times New Roman" w:cs="Times New Roman"/>
          <w:sz w:val="24"/>
          <w:szCs w:val="24"/>
        </w:rPr>
        <w:t>. La hausse</w:t>
      </w:r>
      <w:r w:rsidR="005D13E0" w:rsidRPr="007809F5">
        <w:rPr>
          <w:rFonts w:ascii="Times New Roman" w:hAnsi="Times New Roman" w:cs="Times New Roman"/>
          <w:sz w:val="24"/>
          <w:szCs w:val="24"/>
        </w:rPr>
        <w:t xml:space="preserve"> se maint</w:t>
      </w:r>
      <w:r w:rsidR="00E6388A">
        <w:rPr>
          <w:rFonts w:ascii="Times New Roman" w:hAnsi="Times New Roman" w:cs="Times New Roman"/>
          <w:sz w:val="24"/>
          <w:szCs w:val="24"/>
        </w:rPr>
        <w:t xml:space="preserve">ient </w:t>
      </w:r>
      <w:r w:rsidR="005D13E0" w:rsidRPr="007809F5">
        <w:rPr>
          <w:rFonts w:ascii="Times New Roman" w:hAnsi="Times New Roman" w:cs="Times New Roman"/>
          <w:sz w:val="24"/>
          <w:szCs w:val="24"/>
        </w:rPr>
        <w:t>à un niveau historiquement bas, m</w:t>
      </w:r>
      <w:r w:rsidR="00E6388A">
        <w:rPr>
          <w:rFonts w:ascii="Times New Roman" w:hAnsi="Times New Roman" w:cs="Times New Roman"/>
          <w:sz w:val="24"/>
          <w:szCs w:val="24"/>
        </w:rPr>
        <w:t>ais dont il reste attendu qu’elle augmente</w:t>
      </w:r>
      <w:r w:rsidR="005D13E0" w:rsidRPr="007809F5">
        <w:rPr>
          <w:rFonts w:ascii="Times New Roman" w:hAnsi="Times New Roman" w:cs="Times New Roman"/>
          <w:sz w:val="24"/>
          <w:szCs w:val="24"/>
        </w:rPr>
        <w:t xml:space="preserve"> avec le renforcement de la croissance, l’accélération de l’inflation et la réduction </w:t>
      </w:r>
      <w:r w:rsidR="00877713" w:rsidRPr="007809F5">
        <w:rPr>
          <w:rFonts w:ascii="Times New Roman" w:hAnsi="Times New Roman" w:cs="Times New Roman"/>
          <w:sz w:val="24"/>
          <w:szCs w:val="24"/>
        </w:rPr>
        <w:t>de la capacité excéde</w:t>
      </w:r>
      <w:r w:rsidR="009C54AC" w:rsidRPr="007809F5">
        <w:rPr>
          <w:rFonts w:ascii="Times New Roman" w:hAnsi="Times New Roman" w:cs="Times New Roman"/>
          <w:sz w:val="24"/>
          <w:szCs w:val="24"/>
        </w:rPr>
        <w:t>n</w:t>
      </w:r>
      <w:r w:rsidR="006B45CC" w:rsidRPr="007809F5">
        <w:rPr>
          <w:rFonts w:ascii="Times New Roman" w:hAnsi="Times New Roman" w:cs="Times New Roman"/>
          <w:sz w:val="24"/>
          <w:szCs w:val="24"/>
        </w:rPr>
        <w:t>taire sur le marché du travail, avec un retour progressif au plein-emploi. En effet</w:t>
      </w:r>
      <w:r w:rsidR="00B23A5B" w:rsidRPr="007809F5">
        <w:rPr>
          <w:rFonts w:ascii="Times New Roman" w:hAnsi="Times New Roman" w:cs="Times New Roman"/>
          <w:sz w:val="24"/>
          <w:szCs w:val="24"/>
        </w:rPr>
        <w:t>, le taux de chômage</w:t>
      </w:r>
      <w:r w:rsidR="00A4308A" w:rsidRPr="007809F5">
        <w:rPr>
          <w:rFonts w:ascii="Times New Roman" w:hAnsi="Times New Roman" w:cs="Times New Roman"/>
          <w:sz w:val="24"/>
          <w:szCs w:val="24"/>
        </w:rPr>
        <w:t xml:space="preserve"> devrait</w:t>
      </w:r>
      <w:r w:rsidR="00E6388A">
        <w:rPr>
          <w:rFonts w:ascii="Times New Roman" w:hAnsi="Times New Roman" w:cs="Times New Roman"/>
          <w:sz w:val="24"/>
          <w:szCs w:val="24"/>
        </w:rPr>
        <w:t xml:space="preserve"> en revanche être plus favorable que</w:t>
      </w:r>
      <w:r w:rsidR="00134400">
        <w:rPr>
          <w:rFonts w:ascii="Times New Roman" w:hAnsi="Times New Roman" w:cs="Times New Roman"/>
          <w:sz w:val="24"/>
          <w:szCs w:val="24"/>
        </w:rPr>
        <w:t xml:space="preserve"> les prévisions du Budget avec</w:t>
      </w:r>
      <w:r w:rsidR="00A4308A" w:rsidRPr="007809F5">
        <w:rPr>
          <w:rFonts w:ascii="Times New Roman" w:hAnsi="Times New Roman" w:cs="Times New Roman"/>
          <w:sz w:val="24"/>
          <w:szCs w:val="24"/>
        </w:rPr>
        <w:t xml:space="preserve"> 5,5% en 2017/18 (contre 5,75%) et 5,25% en 2018/19</w:t>
      </w:r>
      <w:r w:rsidR="0027648D" w:rsidRPr="007809F5">
        <w:rPr>
          <w:rFonts w:ascii="Times New Roman" w:hAnsi="Times New Roman" w:cs="Times New Roman"/>
          <w:sz w:val="24"/>
          <w:szCs w:val="24"/>
        </w:rPr>
        <w:t xml:space="preserve"> (contre 5,5%), suite aux bonnes performances enregistrées sur le marché de l’emploi</w:t>
      </w:r>
      <w:r w:rsidR="007A7340" w:rsidRPr="007809F5">
        <w:rPr>
          <w:rFonts w:ascii="Times New Roman" w:hAnsi="Times New Roman" w:cs="Times New Roman"/>
          <w:sz w:val="24"/>
          <w:szCs w:val="24"/>
        </w:rPr>
        <w:t xml:space="preserve">, marqué par la création </w:t>
      </w:r>
      <w:r w:rsidR="000A3179" w:rsidRPr="007809F5">
        <w:rPr>
          <w:rFonts w:ascii="Times New Roman" w:hAnsi="Times New Roman" w:cs="Times New Roman"/>
          <w:sz w:val="24"/>
          <w:szCs w:val="24"/>
        </w:rPr>
        <w:t xml:space="preserve">sur les 12 derniers mois </w:t>
      </w:r>
      <w:r w:rsidR="007A7340" w:rsidRPr="007809F5">
        <w:rPr>
          <w:rFonts w:ascii="Times New Roman" w:hAnsi="Times New Roman" w:cs="Times New Roman"/>
          <w:sz w:val="24"/>
          <w:szCs w:val="24"/>
        </w:rPr>
        <w:t>de plus de 380 000 emplois</w:t>
      </w:r>
      <w:r w:rsidR="000A3179" w:rsidRPr="007809F5">
        <w:rPr>
          <w:rFonts w:ascii="Times New Roman" w:hAnsi="Times New Roman" w:cs="Times New Roman"/>
          <w:sz w:val="24"/>
          <w:szCs w:val="24"/>
        </w:rPr>
        <w:t xml:space="preserve">, dont la plupart à temps plein. </w:t>
      </w:r>
    </w:p>
    <w:p w:rsidR="00D1633E" w:rsidRPr="007809F5" w:rsidRDefault="00D1633E" w:rsidP="003A4D52">
      <w:pPr>
        <w:rPr>
          <w:rFonts w:ascii="Times New Roman" w:hAnsi="Times New Roman" w:cs="Times New Roman"/>
          <w:sz w:val="24"/>
          <w:szCs w:val="24"/>
        </w:rPr>
      </w:pPr>
    </w:p>
    <w:p w:rsidR="002435A2" w:rsidRPr="007809F5" w:rsidRDefault="003A4D52" w:rsidP="002435A2">
      <w:pPr>
        <w:jc w:val="both"/>
        <w:rPr>
          <w:rFonts w:ascii="Times New Roman" w:hAnsi="Times New Roman" w:cs="Times New Roman"/>
          <w:b/>
          <w:sz w:val="24"/>
          <w:szCs w:val="24"/>
        </w:rPr>
      </w:pPr>
      <w:r w:rsidRPr="007809F5">
        <w:rPr>
          <w:rFonts w:ascii="Times New Roman" w:hAnsi="Times New Roman" w:cs="Times New Roman"/>
          <w:b/>
          <w:sz w:val="24"/>
          <w:szCs w:val="24"/>
        </w:rPr>
        <w:t xml:space="preserve">2. </w:t>
      </w:r>
      <w:r w:rsidR="00134400">
        <w:rPr>
          <w:rFonts w:ascii="Times New Roman" w:hAnsi="Times New Roman" w:cs="Times New Roman"/>
          <w:b/>
          <w:sz w:val="24"/>
          <w:szCs w:val="24"/>
          <w:u w:val="single"/>
        </w:rPr>
        <w:t>Renforcement</w:t>
      </w:r>
      <w:r w:rsidR="00964A83" w:rsidRPr="007809F5">
        <w:rPr>
          <w:rFonts w:ascii="Times New Roman" w:hAnsi="Times New Roman" w:cs="Times New Roman"/>
          <w:b/>
          <w:sz w:val="24"/>
          <w:szCs w:val="24"/>
          <w:u w:val="single"/>
        </w:rPr>
        <w:t xml:space="preserve"> de la</w:t>
      </w:r>
      <w:r w:rsidR="00134400">
        <w:rPr>
          <w:rFonts w:ascii="Times New Roman" w:hAnsi="Times New Roman" w:cs="Times New Roman"/>
          <w:b/>
          <w:sz w:val="24"/>
          <w:szCs w:val="24"/>
          <w:u w:val="single"/>
        </w:rPr>
        <w:t xml:space="preserve"> crédibilité de la</w:t>
      </w:r>
      <w:r w:rsidR="00964A83" w:rsidRPr="007809F5">
        <w:rPr>
          <w:rFonts w:ascii="Times New Roman" w:hAnsi="Times New Roman" w:cs="Times New Roman"/>
          <w:b/>
          <w:sz w:val="24"/>
          <w:szCs w:val="24"/>
          <w:u w:val="single"/>
        </w:rPr>
        <w:t xml:space="preserve"> trajectoire de redressement budgétaire, confortée par l’a</w:t>
      </w:r>
      <w:r w:rsidR="002435A2" w:rsidRPr="007809F5">
        <w:rPr>
          <w:rFonts w:ascii="Times New Roman" w:hAnsi="Times New Roman" w:cs="Times New Roman"/>
          <w:b/>
          <w:sz w:val="24"/>
          <w:szCs w:val="24"/>
          <w:u w:val="single"/>
        </w:rPr>
        <w:t>mélioration des com</w:t>
      </w:r>
      <w:r w:rsidR="00964A83" w:rsidRPr="007809F5">
        <w:rPr>
          <w:rFonts w:ascii="Times New Roman" w:hAnsi="Times New Roman" w:cs="Times New Roman"/>
          <w:b/>
          <w:sz w:val="24"/>
          <w:szCs w:val="24"/>
          <w:u w:val="single"/>
        </w:rPr>
        <w:t>ptes publics</w:t>
      </w:r>
    </w:p>
    <w:p w:rsidR="002435A2" w:rsidRPr="007809F5" w:rsidRDefault="002435A2" w:rsidP="00AA3F39">
      <w:pPr>
        <w:jc w:val="both"/>
        <w:rPr>
          <w:rFonts w:ascii="Times New Roman" w:hAnsi="Times New Roman" w:cs="Times New Roman"/>
          <w:sz w:val="24"/>
          <w:szCs w:val="24"/>
        </w:rPr>
      </w:pPr>
    </w:p>
    <w:p w:rsidR="003A740D" w:rsidRPr="007809F5" w:rsidRDefault="00895EFD" w:rsidP="00AA3F39">
      <w:pPr>
        <w:jc w:val="both"/>
        <w:rPr>
          <w:rFonts w:ascii="Times New Roman" w:hAnsi="Times New Roman" w:cs="Times New Roman"/>
          <w:sz w:val="24"/>
          <w:szCs w:val="24"/>
        </w:rPr>
      </w:pPr>
      <w:r w:rsidRPr="007809F5">
        <w:rPr>
          <w:rFonts w:ascii="Times New Roman" w:hAnsi="Times New Roman" w:cs="Times New Roman"/>
          <w:sz w:val="24"/>
          <w:szCs w:val="24"/>
        </w:rPr>
        <w:t xml:space="preserve">La revue budgétaire de mi-parcours confirme le maintien de la trajectoire </w:t>
      </w:r>
      <w:r w:rsidR="00D7220E" w:rsidRPr="007809F5">
        <w:rPr>
          <w:rFonts w:ascii="Times New Roman" w:hAnsi="Times New Roman" w:cs="Times New Roman"/>
          <w:sz w:val="24"/>
          <w:szCs w:val="24"/>
        </w:rPr>
        <w:t>fixée par le gouvernement d’un</w:t>
      </w:r>
      <w:r w:rsidRPr="007809F5">
        <w:rPr>
          <w:rFonts w:ascii="Times New Roman" w:hAnsi="Times New Roman" w:cs="Times New Roman"/>
          <w:sz w:val="24"/>
          <w:szCs w:val="24"/>
        </w:rPr>
        <w:t xml:space="preserve"> retour à un</w:t>
      </w:r>
      <w:r w:rsidR="00E71358" w:rsidRPr="007809F5">
        <w:rPr>
          <w:rFonts w:ascii="Times New Roman" w:hAnsi="Times New Roman" w:cs="Times New Roman"/>
          <w:sz w:val="24"/>
          <w:szCs w:val="24"/>
        </w:rPr>
        <w:t xml:space="preserve"> </w:t>
      </w:r>
      <w:r w:rsidRPr="007809F5">
        <w:rPr>
          <w:rFonts w:ascii="Times New Roman" w:hAnsi="Times New Roman" w:cs="Times New Roman"/>
          <w:sz w:val="24"/>
          <w:szCs w:val="24"/>
        </w:rPr>
        <w:t xml:space="preserve">excédent budgétaire </w:t>
      </w:r>
      <w:r w:rsidR="00881350" w:rsidRPr="007809F5">
        <w:rPr>
          <w:rFonts w:ascii="Times New Roman" w:hAnsi="Times New Roman" w:cs="Times New Roman"/>
          <w:sz w:val="24"/>
          <w:szCs w:val="24"/>
        </w:rPr>
        <w:t>en</w:t>
      </w:r>
      <w:r w:rsidRPr="007809F5">
        <w:rPr>
          <w:rFonts w:ascii="Times New Roman" w:hAnsi="Times New Roman" w:cs="Times New Roman"/>
          <w:sz w:val="24"/>
          <w:szCs w:val="24"/>
        </w:rPr>
        <w:t xml:space="preserve"> 2020/21</w:t>
      </w:r>
      <w:r w:rsidR="007A58E0" w:rsidRPr="007809F5">
        <w:rPr>
          <w:rFonts w:ascii="Times New Roman" w:hAnsi="Times New Roman" w:cs="Times New Roman"/>
          <w:sz w:val="24"/>
          <w:szCs w:val="24"/>
        </w:rPr>
        <w:t xml:space="preserve"> (A$10,2 Mds, soit 0,5% du PIB)</w:t>
      </w:r>
      <w:r w:rsidR="00E71358" w:rsidRPr="007809F5">
        <w:rPr>
          <w:rFonts w:ascii="Times New Roman" w:hAnsi="Times New Roman" w:cs="Times New Roman"/>
          <w:sz w:val="24"/>
          <w:szCs w:val="24"/>
        </w:rPr>
        <w:t>, confortée par une amélioration des comptes publics</w:t>
      </w:r>
      <w:r w:rsidR="00D7220E" w:rsidRPr="007809F5">
        <w:rPr>
          <w:rFonts w:ascii="Times New Roman" w:hAnsi="Times New Roman" w:cs="Times New Roman"/>
          <w:sz w:val="24"/>
          <w:szCs w:val="24"/>
        </w:rPr>
        <w:t>.</w:t>
      </w:r>
      <w:r w:rsidR="00E33307" w:rsidRPr="007809F5">
        <w:rPr>
          <w:rFonts w:ascii="Times New Roman" w:hAnsi="Times New Roman" w:cs="Times New Roman"/>
          <w:sz w:val="24"/>
          <w:szCs w:val="24"/>
        </w:rPr>
        <w:t xml:space="preserve"> </w:t>
      </w:r>
      <w:r w:rsidR="00134400">
        <w:rPr>
          <w:rFonts w:ascii="Times New Roman" w:hAnsi="Times New Roman" w:cs="Times New Roman"/>
          <w:sz w:val="24"/>
          <w:szCs w:val="24"/>
        </w:rPr>
        <w:t>Alors même que cette trajectoire était jugé peu crédible par certains observateurs, le</w:t>
      </w:r>
      <w:r w:rsidR="00C60955" w:rsidRPr="007809F5">
        <w:rPr>
          <w:rFonts w:ascii="Times New Roman" w:hAnsi="Times New Roman" w:cs="Times New Roman"/>
          <w:sz w:val="24"/>
          <w:szCs w:val="24"/>
        </w:rPr>
        <w:t xml:space="preserve"> gouvernement</w:t>
      </w:r>
      <w:r w:rsidR="0059005C" w:rsidRPr="007809F5">
        <w:rPr>
          <w:rFonts w:ascii="Times New Roman" w:hAnsi="Times New Roman" w:cs="Times New Roman"/>
          <w:sz w:val="24"/>
          <w:szCs w:val="24"/>
        </w:rPr>
        <w:t xml:space="preserve"> </w:t>
      </w:r>
      <w:r w:rsidR="00E71358" w:rsidRPr="007809F5">
        <w:rPr>
          <w:rFonts w:ascii="Times New Roman" w:hAnsi="Times New Roman" w:cs="Times New Roman"/>
          <w:sz w:val="24"/>
          <w:szCs w:val="24"/>
        </w:rPr>
        <w:t xml:space="preserve">a </w:t>
      </w:r>
      <w:r w:rsidR="0059005C" w:rsidRPr="007809F5">
        <w:rPr>
          <w:rFonts w:ascii="Times New Roman" w:hAnsi="Times New Roman" w:cs="Times New Roman"/>
          <w:sz w:val="24"/>
          <w:szCs w:val="24"/>
        </w:rPr>
        <w:t xml:space="preserve">pu se féliciter </w:t>
      </w:r>
      <w:r w:rsidR="00E71358" w:rsidRPr="007809F5">
        <w:rPr>
          <w:rFonts w:ascii="Times New Roman" w:hAnsi="Times New Roman" w:cs="Times New Roman"/>
          <w:sz w:val="24"/>
          <w:szCs w:val="24"/>
        </w:rPr>
        <w:t>d’une</w:t>
      </w:r>
      <w:r w:rsidR="0059005C" w:rsidRPr="007809F5">
        <w:rPr>
          <w:rFonts w:ascii="Times New Roman" w:hAnsi="Times New Roman" w:cs="Times New Roman"/>
          <w:sz w:val="24"/>
          <w:szCs w:val="24"/>
        </w:rPr>
        <w:t xml:space="preserve"> correction à la baisse de –A$5,8 Mds du déficit budgétaire en 2017/18</w:t>
      </w:r>
      <w:r w:rsidR="00917938" w:rsidRPr="007809F5">
        <w:rPr>
          <w:rFonts w:ascii="Times New Roman" w:hAnsi="Times New Roman" w:cs="Times New Roman"/>
          <w:sz w:val="24"/>
          <w:szCs w:val="24"/>
        </w:rPr>
        <w:t xml:space="preserve"> par rapport à la prévision du Budget</w:t>
      </w:r>
      <w:r w:rsidR="00E71358" w:rsidRPr="007809F5">
        <w:rPr>
          <w:rFonts w:ascii="Times New Roman" w:hAnsi="Times New Roman" w:cs="Times New Roman"/>
          <w:sz w:val="24"/>
          <w:szCs w:val="24"/>
        </w:rPr>
        <w:t xml:space="preserve"> (-A$23,6 Mds</w:t>
      </w:r>
      <w:r w:rsidR="00662E1C" w:rsidRPr="007809F5">
        <w:rPr>
          <w:rFonts w:ascii="Times New Roman" w:hAnsi="Times New Roman" w:cs="Times New Roman"/>
          <w:sz w:val="24"/>
          <w:szCs w:val="24"/>
        </w:rPr>
        <w:t>, soit 1,3% du PIB,</w:t>
      </w:r>
      <w:r w:rsidR="00E71358" w:rsidRPr="007809F5">
        <w:rPr>
          <w:rFonts w:ascii="Times New Roman" w:hAnsi="Times New Roman" w:cs="Times New Roman"/>
          <w:sz w:val="24"/>
          <w:szCs w:val="24"/>
        </w:rPr>
        <w:t xml:space="preserve"> contre -A$29,4 Mds</w:t>
      </w:r>
      <w:r w:rsidR="00662E1C" w:rsidRPr="007809F5">
        <w:rPr>
          <w:rFonts w:ascii="Times New Roman" w:hAnsi="Times New Roman" w:cs="Times New Roman"/>
          <w:sz w:val="24"/>
          <w:szCs w:val="24"/>
        </w:rPr>
        <w:t>, soit 1,6% du PIB</w:t>
      </w:r>
      <w:r w:rsidR="00917938" w:rsidRPr="007809F5">
        <w:rPr>
          <w:rFonts w:ascii="Times New Roman" w:hAnsi="Times New Roman" w:cs="Times New Roman"/>
          <w:sz w:val="24"/>
          <w:szCs w:val="24"/>
        </w:rPr>
        <w:t>)</w:t>
      </w:r>
      <w:r w:rsidR="00C60955" w:rsidRPr="007809F5">
        <w:rPr>
          <w:rFonts w:ascii="Times New Roman" w:hAnsi="Times New Roman" w:cs="Times New Roman"/>
          <w:sz w:val="24"/>
          <w:szCs w:val="24"/>
        </w:rPr>
        <w:t>, qui s’explique</w:t>
      </w:r>
      <w:r w:rsidR="00C011C4" w:rsidRPr="007809F5">
        <w:rPr>
          <w:rFonts w:ascii="Times New Roman" w:hAnsi="Times New Roman" w:cs="Times New Roman"/>
          <w:sz w:val="24"/>
          <w:szCs w:val="24"/>
        </w:rPr>
        <w:t xml:space="preserve"> notamment</w:t>
      </w:r>
      <w:r w:rsidR="00C60955" w:rsidRPr="007809F5">
        <w:rPr>
          <w:rFonts w:ascii="Times New Roman" w:hAnsi="Times New Roman" w:cs="Times New Roman"/>
          <w:sz w:val="24"/>
          <w:szCs w:val="24"/>
        </w:rPr>
        <w:t xml:space="preserve"> par </w:t>
      </w:r>
      <w:r w:rsidR="00C011C4" w:rsidRPr="007809F5">
        <w:rPr>
          <w:rFonts w:ascii="Times New Roman" w:hAnsi="Times New Roman" w:cs="Times New Roman"/>
          <w:sz w:val="24"/>
          <w:szCs w:val="24"/>
        </w:rPr>
        <w:t>une hausse de +A$3,6</w:t>
      </w:r>
      <w:r w:rsidR="009834A8" w:rsidRPr="007809F5">
        <w:rPr>
          <w:rFonts w:ascii="Times New Roman" w:hAnsi="Times New Roman" w:cs="Times New Roman"/>
          <w:sz w:val="24"/>
          <w:szCs w:val="24"/>
        </w:rPr>
        <w:t xml:space="preserve"> Mds des prévisions de recettes</w:t>
      </w:r>
      <w:r w:rsidR="00D704FE" w:rsidRPr="007809F5">
        <w:rPr>
          <w:rFonts w:ascii="Times New Roman" w:hAnsi="Times New Roman" w:cs="Times New Roman"/>
          <w:sz w:val="24"/>
          <w:szCs w:val="24"/>
        </w:rPr>
        <w:t xml:space="preserve"> pour 2017/18 (+A$2,4 Mds d’ici 2020/21)</w:t>
      </w:r>
      <w:r w:rsidR="00FC4CC7" w:rsidRPr="007809F5">
        <w:rPr>
          <w:rFonts w:ascii="Times New Roman" w:hAnsi="Times New Roman" w:cs="Times New Roman"/>
          <w:sz w:val="24"/>
          <w:szCs w:val="24"/>
        </w:rPr>
        <w:t xml:space="preserve">. </w:t>
      </w:r>
    </w:p>
    <w:p w:rsidR="003A740D" w:rsidRPr="007809F5" w:rsidRDefault="003A740D" w:rsidP="00AA3F39">
      <w:pPr>
        <w:jc w:val="both"/>
        <w:rPr>
          <w:rFonts w:ascii="Times New Roman" w:hAnsi="Times New Roman" w:cs="Times New Roman"/>
          <w:sz w:val="24"/>
          <w:szCs w:val="24"/>
        </w:rPr>
      </w:pPr>
    </w:p>
    <w:p w:rsidR="00527444" w:rsidRPr="007809F5" w:rsidRDefault="00FC4CC7" w:rsidP="00AA3F39">
      <w:pPr>
        <w:jc w:val="both"/>
        <w:rPr>
          <w:rFonts w:ascii="Times New Roman" w:hAnsi="Times New Roman" w:cs="Times New Roman"/>
          <w:sz w:val="24"/>
          <w:szCs w:val="24"/>
        </w:rPr>
      </w:pPr>
      <w:r w:rsidRPr="007809F5">
        <w:rPr>
          <w:rFonts w:ascii="Times New Roman" w:hAnsi="Times New Roman" w:cs="Times New Roman"/>
          <w:sz w:val="24"/>
          <w:szCs w:val="24"/>
        </w:rPr>
        <w:t>La révision à la hausse des prévisions de recettes reflète</w:t>
      </w:r>
      <w:r w:rsidR="009C54AC" w:rsidRPr="007809F5">
        <w:rPr>
          <w:rFonts w:ascii="Times New Roman" w:hAnsi="Times New Roman" w:cs="Times New Roman"/>
          <w:sz w:val="24"/>
          <w:szCs w:val="24"/>
        </w:rPr>
        <w:t xml:space="preserve"> notamment</w:t>
      </w:r>
      <w:r w:rsidRPr="007809F5">
        <w:rPr>
          <w:rFonts w:ascii="Times New Roman" w:hAnsi="Times New Roman" w:cs="Times New Roman"/>
          <w:sz w:val="24"/>
          <w:szCs w:val="24"/>
        </w:rPr>
        <w:t xml:space="preserve"> l’incidence de l’examen des reclassifications de</w:t>
      </w:r>
      <w:r w:rsidR="00D704FE" w:rsidRPr="007809F5">
        <w:rPr>
          <w:rFonts w:ascii="Times New Roman" w:hAnsi="Times New Roman" w:cs="Times New Roman"/>
          <w:sz w:val="24"/>
          <w:szCs w:val="24"/>
        </w:rPr>
        <w:t xml:space="preserve"> revenus mené dans le cadre du b</w:t>
      </w:r>
      <w:r w:rsidRPr="007809F5">
        <w:rPr>
          <w:rFonts w:ascii="Times New Roman" w:hAnsi="Times New Roman" w:cs="Times New Roman"/>
          <w:sz w:val="24"/>
          <w:szCs w:val="24"/>
        </w:rPr>
        <w:t xml:space="preserve">udget </w:t>
      </w:r>
      <w:r w:rsidR="009C54AC" w:rsidRPr="007809F5">
        <w:rPr>
          <w:rFonts w:ascii="Times New Roman" w:hAnsi="Times New Roman" w:cs="Times New Roman"/>
          <w:sz w:val="24"/>
          <w:szCs w:val="24"/>
        </w:rPr>
        <w:t>2016/17 final, mais également</w:t>
      </w:r>
      <w:r w:rsidR="00EF1EC5" w:rsidRPr="007809F5">
        <w:rPr>
          <w:rFonts w:ascii="Times New Roman" w:hAnsi="Times New Roman" w:cs="Times New Roman"/>
          <w:sz w:val="24"/>
          <w:szCs w:val="24"/>
        </w:rPr>
        <w:t xml:space="preserve"> des prévisions de recettes liées à l’impôt sur les sociétés (+A$3,2 Mds en 2017/18 et +A$7,4 Mds d’ici 2020/21), reflétant notamment une hausse des bénéfices dans le secteur minier en 2016/17, </w:t>
      </w:r>
      <w:r w:rsidR="005E4FC9" w:rsidRPr="007809F5">
        <w:rPr>
          <w:rFonts w:ascii="Times New Roman" w:hAnsi="Times New Roman" w:cs="Times New Roman"/>
          <w:sz w:val="24"/>
          <w:szCs w:val="24"/>
        </w:rPr>
        <w:t xml:space="preserve">un meilleur taux de recouvrement par l’office de recouvrement </w:t>
      </w:r>
      <w:r w:rsidR="00287003" w:rsidRPr="007809F5">
        <w:rPr>
          <w:rFonts w:ascii="Times New Roman" w:hAnsi="Times New Roman" w:cs="Times New Roman"/>
          <w:sz w:val="24"/>
          <w:szCs w:val="24"/>
        </w:rPr>
        <w:t>des impôts</w:t>
      </w:r>
      <w:r w:rsidR="005E4FC9" w:rsidRPr="007809F5">
        <w:rPr>
          <w:rFonts w:ascii="Times New Roman" w:hAnsi="Times New Roman" w:cs="Times New Roman"/>
          <w:sz w:val="24"/>
          <w:szCs w:val="24"/>
        </w:rPr>
        <w:t xml:space="preserve"> (ATO)</w:t>
      </w:r>
      <w:r w:rsidR="00EF1EC5" w:rsidRPr="007809F5">
        <w:rPr>
          <w:rFonts w:ascii="Times New Roman" w:hAnsi="Times New Roman" w:cs="Times New Roman"/>
          <w:sz w:val="24"/>
          <w:szCs w:val="24"/>
        </w:rPr>
        <w:t xml:space="preserve"> et une hausse des bénéfices des sociétés à partir de 2018/19.</w:t>
      </w:r>
      <w:r w:rsidR="00C9700D" w:rsidRPr="007809F5">
        <w:rPr>
          <w:rFonts w:ascii="Times New Roman" w:hAnsi="Times New Roman" w:cs="Times New Roman"/>
          <w:sz w:val="24"/>
          <w:szCs w:val="24"/>
        </w:rPr>
        <w:t xml:space="preserve"> Elle reflète également une hausse de l’impôt perçu sur les fonds de retraite</w:t>
      </w:r>
      <w:r w:rsidR="001364C3">
        <w:rPr>
          <w:rFonts w:ascii="Times New Roman" w:hAnsi="Times New Roman" w:cs="Times New Roman"/>
          <w:sz w:val="24"/>
          <w:szCs w:val="24"/>
        </w:rPr>
        <w:t xml:space="preserve"> par capitalisation (+A$2,1 Mds en 2017/18 et +A$3,4 Mds d’ici 2020/21), due à une hausse des gains en capital, une hausse des recettes tirées de la GST</w:t>
      </w:r>
      <w:r w:rsidR="00134400">
        <w:rPr>
          <w:rFonts w:ascii="Times New Roman" w:hAnsi="Times New Roman" w:cs="Times New Roman"/>
          <w:sz w:val="24"/>
          <w:szCs w:val="24"/>
        </w:rPr>
        <w:t>, équivalent</w:t>
      </w:r>
      <w:r w:rsidR="0065376F">
        <w:rPr>
          <w:rFonts w:ascii="Times New Roman" w:hAnsi="Times New Roman" w:cs="Times New Roman"/>
          <w:sz w:val="24"/>
          <w:szCs w:val="24"/>
        </w:rPr>
        <w:t xml:space="preserve">(+A$100 M en 2017/18 et +A$1,4 Md d’ici 2020/21), due à une hausse du taux de recouvrement qui vient compenser une plus faible croissance de la consommation, et une hausse des droits de douanes et taxes d’accises (+A$60 M en 2017/18 et+A$1,2 Md d’ici 2020/21). </w:t>
      </w:r>
    </w:p>
    <w:p w:rsidR="00527444" w:rsidRPr="007809F5" w:rsidRDefault="00527444" w:rsidP="00AA3F39">
      <w:pPr>
        <w:jc w:val="both"/>
        <w:rPr>
          <w:rFonts w:ascii="Times New Roman" w:hAnsi="Times New Roman" w:cs="Times New Roman"/>
          <w:sz w:val="24"/>
          <w:szCs w:val="24"/>
        </w:rPr>
      </w:pPr>
    </w:p>
    <w:p w:rsidR="00BE6843" w:rsidRDefault="00E704F2" w:rsidP="00AA3F39">
      <w:pPr>
        <w:jc w:val="both"/>
        <w:rPr>
          <w:rFonts w:ascii="Times New Roman" w:hAnsi="Times New Roman" w:cs="Times New Roman"/>
          <w:sz w:val="24"/>
          <w:szCs w:val="24"/>
        </w:rPr>
      </w:pPr>
      <w:r>
        <w:rPr>
          <w:rFonts w:ascii="Times New Roman" w:hAnsi="Times New Roman" w:cs="Times New Roman"/>
          <w:sz w:val="24"/>
          <w:szCs w:val="24"/>
        </w:rPr>
        <w:t>La baisse du déficit budgétaire</w:t>
      </w:r>
      <w:r w:rsidR="00527444" w:rsidRPr="007809F5">
        <w:rPr>
          <w:rFonts w:ascii="Times New Roman" w:hAnsi="Times New Roman" w:cs="Times New Roman"/>
          <w:sz w:val="24"/>
          <w:szCs w:val="24"/>
        </w:rPr>
        <w:t xml:space="preserve"> s’explique également par </w:t>
      </w:r>
      <w:r w:rsidR="009834A8" w:rsidRPr="007809F5">
        <w:rPr>
          <w:rFonts w:ascii="Times New Roman" w:hAnsi="Times New Roman" w:cs="Times New Roman"/>
          <w:sz w:val="24"/>
          <w:szCs w:val="24"/>
        </w:rPr>
        <w:t>une baisse de –A$</w:t>
      </w:r>
      <w:r w:rsidR="00527444" w:rsidRPr="007809F5">
        <w:rPr>
          <w:rFonts w:ascii="Times New Roman" w:hAnsi="Times New Roman" w:cs="Times New Roman"/>
          <w:sz w:val="24"/>
          <w:szCs w:val="24"/>
        </w:rPr>
        <w:t>2,1</w:t>
      </w:r>
      <w:r w:rsidR="009834A8" w:rsidRPr="007809F5">
        <w:rPr>
          <w:rFonts w:ascii="Times New Roman" w:hAnsi="Times New Roman" w:cs="Times New Roman"/>
          <w:sz w:val="24"/>
          <w:szCs w:val="24"/>
        </w:rPr>
        <w:t>Mds des prévisions de dépenses</w:t>
      </w:r>
      <w:r w:rsidR="00FC4CC7" w:rsidRPr="007809F5">
        <w:rPr>
          <w:rFonts w:ascii="Times New Roman" w:hAnsi="Times New Roman" w:cs="Times New Roman"/>
          <w:sz w:val="24"/>
          <w:szCs w:val="24"/>
        </w:rPr>
        <w:t xml:space="preserve"> pour 2017/18</w:t>
      </w:r>
      <w:r w:rsidR="00527444" w:rsidRPr="007809F5">
        <w:rPr>
          <w:rFonts w:ascii="Times New Roman" w:hAnsi="Times New Roman" w:cs="Times New Roman"/>
          <w:sz w:val="24"/>
          <w:szCs w:val="24"/>
        </w:rPr>
        <w:t>, reposant sur plusieurs mesures d’économies,</w:t>
      </w:r>
      <w:r w:rsidR="00134400">
        <w:rPr>
          <w:rFonts w:ascii="Times New Roman" w:hAnsi="Times New Roman" w:cs="Times New Roman"/>
          <w:sz w:val="24"/>
          <w:szCs w:val="24"/>
        </w:rPr>
        <w:t xml:space="preserve"> </w:t>
      </w:r>
      <w:r w:rsidR="00134400">
        <w:rPr>
          <w:rFonts w:ascii="Times New Roman" w:hAnsi="Times New Roman" w:cs="Times New Roman"/>
          <w:sz w:val="24"/>
          <w:szCs w:val="24"/>
        </w:rPr>
        <w:lastRenderedPageBreak/>
        <w:t xml:space="preserve">portant principalement sur l’éducation supérieure. En particulier est instauré </w:t>
      </w:r>
      <w:r w:rsidR="00AA3F39" w:rsidRPr="007809F5">
        <w:rPr>
          <w:rFonts w:ascii="Times New Roman" w:hAnsi="Times New Roman" w:cs="Times New Roman"/>
          <w:sz w:val="24"/>
          <w:szCs w:val="24"/>
        </w:rPr>
        <w:t xml:space="preserve">un plafonnement des dotations aux universités (A$2,1 Mds), avec la mise en place d’un gel de deux ans des programmes de bourses fédérales attribués aux universités et un plafonnement du financement des places pour les étudiants en université. Le gouvernement propose </w:t>
      </w:r>
      <w:r w:rsidR="009C54AC" w:rsidRPr="007809F5">
        <w:rPr>
          <w:rFonts w:ascii="Times New Roman" w:hAnsi="Times New Roman" w:cs="Times New Roman"/>
          <w:sz w:val="24"/>
          <w:szCs w:val="24"/>
        </w:rPr>
        <w:t>également</w:t>
      </w:r>
      <w:r w:rsidR="00AA3F39" w:rsidRPr="007809F5">
        <w:rPr>
          <w:rFonts w:ascii="Times New Roman" w:hAnsi="Times New Roman" w:cs="Times New Roman"/>
          <w:sz w:val="24"/>
          <w:szCs w:val="24"/>
        </w:rPr>
        <w:t xml:space="preserve"> un abaissement de A$10 000/an des seuils de revenu à partir desquels les étudiants devront commencer à rembourser leurs emprunts (A$45 000) et une limitation du montant des prêts concédés à chaque étudiant, qui serait limité à A$104 000 pour la plupart des étudiants et à A$150 000 pour les étudiants suivant des formations médicale, vétérinaire et dentaire, deux mesures dont la mise en place requerra</w:t>
      </w:r>
      <w:r w:rsidR="00134400">
        <w:rPr>
          <w:rFonts w:ascii="Times New Roman" w:hAnsi="Times New Roman" w:cs="Times New Roman"/>
          <w:sz w:val="24"/>
          <w:szCs w:val="24"/>
        </w:rPr>
        <w:t xml:space="preserve"> néanmoins le soutien du Sénat (où le gouvernement ne détient pas la majorité). Or c’est justement le manque de soutien du Sénat qui a empêché la mise en place de plusieurs plans successifs d’économies présentés depuis 2013.</w:t>
      </w:r>
    </w:p>
    <w:p w:rsidR="00BE6843" w:rsidRDefault="00BE6843" w:rsidP="00AA3F39">
      <w:pPr>
        <w:jc w:val="both"/>
        <w:rPr>
          <w:rFonts w:ascii="Times New Roman" w:hAnsi="Times New Roman" w:cs="Times New Roman"/>
          <w:sz w:val="24"/>
          <w:szCs w:val="24"/>
        </w:rPr>
      </w:pPr>
    </w:p>
    <w:p w:rsidR="00AA3F39" w:rsidRPr="007809F5" w:rsidRDefault="004F27FA" w:rsidP="00AA3F39">
      <w:pPr>
        <w:jc w:val="both"/>
        <w:rPr>
          <w:rFonts w:ascii="Times New Roman" w:hAnsi="Times New Roman" w:cs="Times New Roman"/>
          <w:sz w:val="24"/>
          <w:szCs w:val="24"/>
        </w:rPr>
      </w:pPr>
      <w:r w:rsidRPr="007809F5">
        <w:rPr>
          <w:rFonts w:ascii="Times New Roman" w:hAnsi="Times New Roman" w:cs="Times New Roman"/>
          <w:sz w:val="24"/>
          <w:szCs w:val="24"/>
        </w:rPr>
        <w:t>L’</w:t>
      </w:r>
      <w:r w:rsidR="00AA3F39" w:rsidRPr="007809F5">
        <w:rPr>
          <w:rFonts w:ascii="Times New Roman" w:hAnsi="Times New Roman" w:cs="Times New Roman"/>
          <w:sz w:val="24"/>
          <w:szCs w:val="24"/>
        </w:rPr>
        <w:t>allongement de deux à trois ans du délai d’éligibilité à l’aide sociale des migrants nouvellement arrivés</w:t>
      </w:r>
      <w:r w:rsidRPr="007809F5">
        <w:rPr>
          <w:rFonts w:ascii="Times New Roman" w:hAnsi="Times New Roman" w:cs="Times New Roman"/>
          <w:sz w:val="24"/>
          <w:szCs w:val="24"/>
        </w:rPr>
        <w:t xml:space="preserve"> représente une autre source importante d’économie</w:t>
      </w:r>
      <w:r w:rsidR="00BE6843">
        <w:rPr>
          <w:rFonts w:ascii="Times New Roman" w:hAnsi="Times New Roman" w:cs="Times New Roman"/>
          <w:sz w:val="24"/>
          <w:szCs w:val="24"/>
        </w:rPr>
        <w:t xml:space="preserve"> pour le gouvernement</w:t>
      </w:r>
      <w:r w:rsidR="00AA3F39" w:rsidRPr="007809F5">
        <w:rPr>
          <w:rFonts w:ascii="Times New Roman" w:hAnsi="Times New Roman" w:cs="Times New Roman"/>
          <w:sz w:val="24"/>
          <w:szCs w:val="24"/>
        </w:rPr>
        <w:t xml:space="preserve"> (A$1,2 Md).</w:t>
      </w:r>
      <w:r w:rsidRPr="007809F5">
        <w:rPr>
          <w:rFonts w:ascii="Times New Roman" w:hAnsi="Times New Roman" w:cs="Times New Roman"/>
          <w:sz w:val="24"/>
          <w:szCs w:val="24"/>
        </w:rPr>
        <w:t xml:space="preserve"> Enfin,</w:t>
      </w:r>
      <w:r w:rsidR="00AA3F39" w:rsidRPr="007809F5">
        <w:rPr>
          <w:rFonts w:ascii="Times New Roman" w:hAnsi="Times New Roman" w:cs="Times New Roman"/>
          <w:sz w:val="24"/>
          <w:szCs w:val="24"/>
        </w:rPr>
        <w:t xml:space="preserve"> </w:t>
      </w:r>
      <w:r w:rsidRPr="007809F5">
        <w:rPr>
          <w:rFonts w:ascii="Times New Roman" w:hAnsi="Times New Roman" w:cs="Times New Roman"/>
          <w:sz w:val="24"/>
          <w:szCs w:val="24"/>
        </w:rPr>
        <w:t>la</w:t>
      </w:r>
      <w:r w:rsidR="00AA3F39" w:rsidRPr="007809F5">
        <w:rPr>
          <w:rFonts w:ascii="Times New Roman" w:hAnsi="Times New Roman" w:cs="Times New Roman"/>
          <w:sz w:val="24"/>
          <w:szCs w:val="24"/>
        </w:rPr>
        <w:t xml:space="preserve"> baisse de la prise en charge </w:t>
      </w:r>
      <w:r w:rsidRPr="007809F5">
        <w:rPr>
          <w:rFonts w:ascii="Times New Roman" w:hAnsi="Times New Roman" w:cs="Times New Roman"/>
          <w:sz w:val="24"/>
          <w:szCs w:val="24"/>
        </w:rPr>
        <w:t>des frais de garde familiale</w:t>
      </w:r>
      <w:r w:rsidR="00AA3F39" w:rsidRPr="007809F5">
        <w:rPr>
          <w:rFonts w:ascii="Times New Roman" w:hAnsi="Times New Roman" w:cs="Times New Roman"/>
          <w:sz w:val="24"/>
          <w:szCs w:val="24"/>
        </w:rPr>
        <w:t xml:space="preserve"> devrait permettre une économie additionnelle de A$1 Md. </w:t>
      </w:r>
      <w:r w:rsidR="00FC4CC7" w:rsidRPr="007809F5">
        <w:rPr>
          <w:rFonts w:ascii="Times New Roman" w:hAnsi="Times New Roman" w:cs="Times New Roman"/>
          <w:sz w:val="24"/>
          <w:szCs w:val="24"/>
        </w:rPr>
        <w:t>La revue rend ainsi compte d’une accélération de la dynamique de baisse des dépenses publiques, offrant une nette correction des prévisions de dépenses publiques sur les quatre prochaines années (–A$6,5 Mds)</w:t>
      </w:r>
      <w:r w:rsidR="002F6E8C" w:rsidRPr="007809F5">
        <w:rPr>
          <w:rFonts w:ascii="Times New Roman" w:hAnsi="Times New Roman" w:cs="Times New Roman"/>
          <w:sz w:val="24"/>
          <w:szCs w:val="24"/>
        </w:rPr>
        <w:t>.</w:t>
      </w:r>
    </w:p>
    <w:p w:rsidR="00502DEC" w:rsidRPr="007809F5" w:rsidRDefault="00502DEC" w:rsidP="00AA3F39">
      <w:pPr>
        <w:jc w:val="both"/>
        <w:rPr>
          <w:rFonts w:ascii="Times New Roman" w:hAnsi="Times New Roman" w:cs="Times New Roman"/>
          <w:sz w:val="24"/>
          <w:szCs w:val="24"/>
        </w:rPr>
      </w:pPr>
    </w:p>
    <w:p w:rsidR="00502DEC" w:rsidRDefault="00502DEC" w:rsidP="00502DEC">
      <w:pPr>
        <w:jc w:val="center"/>
        <w:rPr>
          <w:rFonts w:ascii="Times New Roman" w:hAnsi="Times New Roman" w:cs="Times New Roman"/>
          <w:sz w:val="24"/>
          <w:szCs w:val="24"/>
        </w:rPr>
      </w:pPr>
      <w:r w:rsidRPr="007809F5">
        <w:rPr>
          <w:rFonts w:ascii="Times New Roman" w:hAnsi="Times New Roman" w:cs="Times New Roman"/>
          <w:sz w:val="24"/>
          <w:szCs w:val="24"/>
        </w:rPr>
        <w:t>***</w:t>
      </w:r>
    </w:p>
    <w:p w:rsidR="00156486" w:rsidRDefault="00156486" w:rsidP="00E941D4">
      <w:pPr>
        <w:jc w:val="both"/>
        <w:rPr>
          <w:rFonts w:ascii="Times New Roman" w:hAnsi="Times New Roman" w:cs="Times New Roman"/>
          <w:sz w:val="24"/>
          <w:szCs w:val="24"/>
        </w:rPr>
      </w:pPr>
    </w:p>
    <w:p w:rsidR="00D60DAD" w:rsidRDefault="00E941D4" w:rsidP="00E941D4">
      <w:pPr>
        <w:jc w:val="both"/>
        <w:rPr>
          <w:rFonts w:ascii="Times New Roman" w:hAnsi="Times New Roman" w:cs="Times New Roman"/>
          <w:sz w:val="24"/>
          <w:szCs w:val="24"/>
        </w:rPr>
      </w:pPr>
      <w:r>
        <w:rPr>
          <w:rFonts w:ascii="Times New Roman" w:hAnsi="Times New Roman" w:cs="Times New Roman"/>
          <w:sz w:val="24"/>
          <w:szCs w:val="24"/>
        </w:rPr>
        <w:t>Reflétant le renforcement de la dynamique de croissance au niveau mondial et national, l</w:t>
      </w:r>
      <w:r w:rsidR="00E169D4">
        <w:rPr>
          <w:rFonts w:ascii="Times New Roman" w:hAnsi="Times New Roman" w:cs="Times New Roman"/>
          <w:sz w:val="24"/>
          <w:szCs w:val="24"/>
        </w:rPr>
        <w:t>es prévisions macroéconomiques et budgétaires de la revue</w:t>
      </w:r>
      <w:r w:rsidR="00D60DAD">
        <w:rPr>
          <w:rFonts w:ascii="Times New Roman" w:hAnsi="Times New Roman" w:cs="Times New Roman"/>
          <w:sz w:val="24"/>
          <w:szCs w:val="24"/>
        </w:rPr>
        <w:t xml:space="preserve"> budgétaire de</w:t>
      </w:r>
      <w:r>
        <w:rPr>
          <w:rFonts w:ascii="Times New Roman" w:hAnsi="Times New Roman" w:cs="Times New Roman"/>
          <w:sz w:val="24"/>
          <w:szCs w:val="24"/>
        </w:rPr>
        <w:t xml:space="preserve"> mi-parcours </w:t>
      </w:r>
      <w:r w:rsidR="00E96A19">
        <w:rPr>
          <w:rFonts w:ascii="Times New Roman" w:hAnsi="Times New Roman" w:cs="Times New Roman"/>
          <w:sz w:val="24"/>
          <w:szCs w:val="24"/>
        </w:rPr>
        <w:t>n’en sont pas moins sous-tend</w:t>
      </w:r>
      <w:r w:rsidR="00134400">
        <w:rPr>
          <w:rFonts w:ascii="Times New Roman" w:hAnsi="Times New Roman" w:cs="Times New Roman"/>
          <w:sz w:val="24"/>
          <w:szCs w:val="24"/>
        </w:rPr>
        <w:t xml:space="preserve">ues par plusieurs incertitudes. Au </w:t>
      </w:r>
      <w:r w:rsidR="00D60DAD">
        <w:rPr>
          <w:rFonts w:ascii="Times New Roman" w:hAnsi="Times New Roman" w:cs="Times New Roman"/>
          <w:sz w:val="24"/>
          <w:szCs w:val="24"/>
        </w:rPr>
        <w:t>niveau mondial</w:t>
      </w:r>
      <w:r w:rsidR="00134400">
        <w:rPr>
          <w:rFonts w:ascii="Times New Roman" w:hAnsi="Times New Roman" w:cs="Times New Roman"/>
          <w:sz w:val="24"/>
          <w:szCs w:val="24"/>
        </w:rPr>
        <w:t>, le commerce exterieur australien pourrait être vulnérable à l’</w:t>
      </w:r>
      <w:r w:rsidR="00D60DAD">
        <w:rPr>
          <w:rFonts w:ascii="Times New Roman" w:hAnsi="Times New Roman" w:cs="Times New Roman"/>
          <w:sz w:val="24"/>
          <w:szCs w:val="24"/>
        </w:rPr>
        <w:t>incidence des perspectives de reprise de l’inflation sur les conditions de financement d</w:t>
      </w:r>
      <w:r w:rsidR="00134400">
        <w:rPr>
          <w:rFonts w:ascii="Times New Roman" w:hAnsi="Times New Roman" w:cs="Times New Roman"/>
          <w:sz w:val="24"/>
          <w:szCs w:val="24"/>
        </w:rPr>
        <w:t>ans les économies développées, à l’</w:t>
      </w:r>
      <w:r w:rsidR="00D60DAD">
        <w:rPr>
          <w:rFonts w:ascii="Times New Roman" w:hAnsi="Times New Roman" w:cs="Times New Roman"/>
          <w:sz w:val="24"/>
          <w:szCs w:val="24"/>
        </w:rPr>
        <w:t xml:space="preserve">incidence sur la croissance et les échanges des réformes structurelles engagées par la Chine, </w:t>
      </w:r>
      <w:r w:rsidR="00134400">
        <w:rPr>
          <w:rFonts w:ascii="Times New Roman" w:hAnsi="Times New Roman" w:cs="Times New Roman"/>
          <w:sz w:val="24"/>
          <w:szCs w:val="24"/>
        </w:rPr>
        <w:t xml:space="preserve">son </w:t>
      </w:r>
      <w:r w:rsidR="00D60DAD">
        <w:rPr>
          <w:rFonts w:ascii="Times New Roman" w:hAnsi="Times New Roman" w:cs="Times New Roman"/>
          <w:sz w:val="24"/>
          <w:szCs w:val="24"/>
        </w:rPr>
        <w:t>premier partena</w:t>
      </w:r>
      <w:r w:rsidR="00134400">
        <w:rPr>
          <w:rFonts w:ascii="Times New Roman" w:hAnsi="Times New Roman" w:cs="Times New Roman"/>
          <w:sz w:val="24"/>
          <w:szCs w:val="24"/>
        </w:rPr>
        <w:t xml:space="preserve">ire commercial de l’Australie, ou encore aux </w:t>
      </w:r>
      <w:r w:rsidR="00D60DAD">
        <w:rPr>
          <w:rFonts w:ascii="Times New Roman" w:hAnsi="Times New Roman" w:cs="Times New Roman"/>
          <w:sz w:val="24"/>
          <w:szCs w:val="24"/>
        </w:rPr>
        <w:t xml:space="preserve">fluctuations </w:t>
      </w:r>
      <w:r w:rsidR="007B58A1">
        <w:rPr>
          <w:rFonts w:ascii="Times New Roman" w:hAnsi="Times New Roman" w:cs="Times New Roman"/>
          <w:sz w:val="24"/>
          <w:szCs w:val="24"/>
        </w:rPr>
        <w:t xml:space="preserve">des prix des matières premières. Au plan national, ces nouvelles prévisions sont largement sous-tendues par des anticipations de nouvelles dynamiques en termes </w:t>
      </w:r>
      <w:r w:rsidR="00D60DAD">
        <w:rPr>
          <w:rFonts w:ascii="Times New Roman" w:hAnsi="Times New Roman" w:cs="Times New Roman"/>
          <w:sz w:val="24"/>
          <w:szCs w:val="24"/>
        </w:rPr>
        <w:t>d’investissement</w:t>
      </w:r>
      <w:r w:rsidR="007B58A1">
        <w:rPr>
          <w:rFonts w:ascii="Times New Roman" w:hAnsi="Times New Roman" w:cs="Times New Roman"/>
          <w:sz w:val="24"/>
          <w:szCs w:val="24"/>
        </w:rPr>
        <w:t>, de salaires et de consommation des ménages qui restent à confirmer. La stabilisation, voire la baisse, des prix de l’immobilier, pourrait jouer un rôle important à cet égard.</w:t>
      </w:r>
    </w:p>
    <w:p w:rsidR="00992D16" w:rsidRPr="007809F5" w:rsidRDefault="00992D16" w:rsidP="00E941D4">
      <w:pPr>
        <w:jc w:val="both"/>
        <w:rPr>
          <w:rFonts w:ascii="Times New Roman" w:hAnsi="Times New Roman" w:cs="Times New Roman"/>
          <w:sz w:val="24"/>
          <w:szCs w:val="24"/>
        </w:rPr>
      </w:pPr>
    </w:p>
    <w:sectPr w:rsidR="00992D16" w:rsidRPr="007809F5" w:rsidSect="00914077">
      <w:footerReference w:type="even" r:id="rId8"/>
      <w:footerReference w:type="default" r:id="rId9"/>
      <w:headerReference w:type="first" r:id="rId10"/>
      <w:footerReference w:type="first" r:id="rId11"/>
      <w:pgSz w:w="11907" w:h="16840" w:code="9"/>
      <w:pgMar w:top="1418" w:right="1418" w:bottom="1418" w:left="1418" w:header="544"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BA" w:rsidRDefault="00E746BA">
      <w:r>
        <w:separator/>
      </w:r>
    </w:p>
  </w:endnote>
  <w:endnote w:type="continuationSeparator" w:id="0">
    <w:p w:rsidR="00E746BA" w:rsidRDefault="00E7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5">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0F" w:rsidRDefault="0030160F"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0160F" w:rsidRDefault="0030160F" w:rsidP="0030160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0F" w:rsidRDefault="0030160F"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B4953">
      <w:rPr>
        <w:rStyle w:val="Numrodepage"/>
        <w:noProof/>
      </w:rPr>
      <w:t>3</w:t>
    </w:r>
    <w:r>
      <w:rPr>
        <w:rStyle w:val="Numrodepage"/>
      </w:rPr>
      <w:fldChar w:fldCharType="end"/>
    </w:r>
  </w:p>
  <w:p w:rsidR="0030160F" w:rsidRDefault="0030160F" w:rsidP="0030160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9071"/>
    </w:tblGrid>
    <w:tr w:rsidR="002634AC" w:rsidRPr="00990DE9">
      <w:trPr>
        <w:cantSplit/>
      </w:trPr>
      <w:tc>
        <w:tcPr>
          <w:tcW w:w="9287" w:type="dxa"/>
        </w:tcPr>
        <w:p w:rsidR="00914077" w:rsidRPr="00990DE9" w:rsidRDefault="004F155E" w:rsidP="00823C30">
          <w:pPr>
            <w:pStyle w:val="Pieddepage"/>
            <w:tabs>
              <w:tab w:val="clear" w:pos="4536"/>
              <w:tab w:val="left" w:pos="1907"/>
              <w:tab w:val="center" w:pos="4535"/>
              <w:tab w:val="left" w:pos="8106"/>
            </w:tabs>
            <w:spacing w:before="120"/>
            <w:jc w:val="center"/>
            <w:rPr>
              <w:rFonts w:ascii="Univers 55" w:hAnsi="Univers 55"/>
              <w:b w:val="0"/>
              <w:szCs w:val="16"/>
            </w:rPr>
          </w:pPr>
          <w:r>
            <w:rPr>
              <w:rFonts w:ascii="Univers 55" w:hAnsi="Univers 55"/>
              <w:b w:val="0"/>
              <w:szCs w:val="16"/>
            </w:rPr>
            <w:t>6 Perth Avenue, Yarralumla, ACT 2600, Australie</w:t>
          </w:r>
        </w:p>
        <w:p w:rsidR="004F155E" w:rsidRDefault="00FD1364" w:rsidP="004F155E">
          <w:pPr>
            <w:pStyle w:val="Pieddepage"/>
            <w:tabs>
              <w:tab w:val="left" w:pos="1907"/>
              <w:tab w:val="left" w:pos="8106"/>
            </w:tabs>
            <w:jc w:val="center"/>
            <w:rPr>
              <w:rFonts w:ascii="Univers 55" w:hAnsi="Univers 55"/>
              <w:b w:val="0"/>
              <w:szCs w:val="16"/>
            </w:rPr>
          </w:pPr>
          <w:r w:rsidRPr="00990DE9">
            <w:rPr>
              <w:rFonts w:ascii="Univers 55" w:hAnsi="Univers 55"/>
              <w:b w:val="0"/>
              <w:szCs w:val="16"/>
            </w:rPr>
            <w:t xml:space="preserve">Tél. : </w:t>
          </w:r>
          <w:r w:rsidR="004F155E">
            <w:rPr>
              <w:rFonts w:ascii="Univers 55" w:hAnsi="Univers 55"/>
              <w:b w:val="0"/>
              <w:szCs w:val="16"/>
            </w:rPr>
            <w:t xml:space="preserve">+61 (0)2 6216 0116 – </w:t>
          </w:r>
          <w:hyperlink r:id="rId1" w:history="1">
            <w:r w:rsidR="004F155E" w:rsidRPr="00FF069D">
              <w:rPr>
                <w:rStyle w:val="Lienhypertexte"/>
                <w:rFonts w:ascii="Univers 55" w:hAnsi="Univers 55"/>
                <w:b w:val="0"/>
                <w:szCs w:val="16"/>
              </w:rPr>
              <w:t>canberra@dgtresor.gouv.fr</w:t>
            </w:r>
          </w:hyperlink>
        </w:p>
        <w:p w:rsidR="002634AC" w:rsidRPr="004F155E" w:rsidRDefault="00823C30" w:rsidP="004F155E">
          <w:pPr>
            <w:pStyle w:val="Pieddepage"/>
            <w:tabs>
              <w:tab w:val="left" w:pos="1907"/>
              <w:tab w:val="left" w:pos="8106"/>
            </w:tabs>
            <w:jc w:val="center"/>
            <w:rPr>
              <w:rFonts w:ascii="Univers 55" w:hAnsi="Univers 55"/>
              <w:b w:val="0"/>
              <w:szCs w:val="16"/>
            </w:rPr>
          </w:pPr>
          <w:r w:rsidRPr="00990DE9">
            <w:rPr>
              <w:rFonts w:ascii="Univers 55" w:hAnsi="Univers 55"/>
              <w:b w:val="0"/>
              <w:szCs w:val="16"/>
            </w:rPr>
            <w:t>t</w:t>
          </w:r>
          <w:r w:rsidR="008A0148" w:rsidRPr="00990DE9">
            <w:rPr>
              <w:rFonts w:ascii="Univers 55" w:hAnsi="Univers 55"/>
              <w:b w:val="0"/>
              <w:szCs w:val="16"/>
            </w:rPr>
            <w:t>resor.economie.gouv.fr/</w:t>
          </w:r>
          <w:r w:rsidR="004F155E">
            <w:rPr>
              <w:rFonts w:ascii="Univers 55" w:hAnsi="Univers 55"/>
              <w:b w:val="0"/>
              <w:szCs w:val="16"/>
            </w:rPr>
            <w:t>australie</w:t>
          </w:r>
        </w:p>
      </w:tc>
    </w:tr>
  </w:tbl>
  <w:p w:rsidR="002634AC" w:rsidRDefault="002634AC" w:rsidP="00823C30">
    <w:pPr>
      <w:pStyle w:val="Pieddepage"/>
      <w:tabs>
        <w:tab w:val="left" w:pos="810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BA" w:rsidRDefault="00E746BA">
      <w:r>
        <w:separator/>
      </w:r>
    </w:p>
  </w:footnote>
  <w:footnote w:type="continuationSeparator" w:id="0">
    <w:p w:rsidR="00E746BA" w:rsidRDefault="00E746BA">
      <w:r>
        <w:continuationSeparator/>
      </w:r>
    </w:p>
  </w:footnote>
  <w:footnote w:id="1">
    <w:p w:rsidR="002435A2" w:rsidRPr="000D2987" w:rsidRDefault="002435A2" w:rsidP="000D2987">
      <w:pPr>
        <w:pStyle w:val="Notedebasdepage"/>
        <w:jc w:val="both"/>
        <w:rPr>
          <w:rFonts w:ascii="Times New Roman" w:hAnsi="Times New Roman" w:cs="Times New Roman"/>
          <w:sz w:val="18"/>
          <w:szCs w:val="18"/>
        </w:rPr>
      </w:pPr>
      <w:r w:rsidRPr="002435A2">
        <w:rPr>
          <w:rStyle w:val="Appelnotedebasdep"/>
          <w:rFonts w:ascii="Times New Roman" w:hAnsi="Times New Roman" w:cs="Times New Roman"/>
          <w:sz w:val="18"/>
          <w:szCs w:val="18"/>
        </w:rPr>
        <w:footnoteRef/>
      </w:r>
      <w:r w:rsidRPr="002435A2">
        <w:rPr>
          <w:rFonts w:ascii="Times New Roman" w:hAnsi="Times New Roman" w:cs="Times New Roman"/>
          <w:sz w:val="18"/>
          <w:szCs w:val="18"/>
        </w:rPr>
        <w:t xml:space="preserve"> </w:t>
      </w:r>
      <w:r w:rsidR="00D41CCC">
        <w:rPr>
          <w:rFonts w:ascii="Times New Roman" w:hAnsi="Times New Roman" w:cs="Times New Roman"/>
          <w:sz w:val="18"/>
          <w:szCs w:val="18"/>
        </w:rPr>
        <w:t>La h</w:t>
      </w:r>
      <w:r w:rsidRPr="002435A2">
        <w:rPr>
          <w:rFonts w:ascii="Times New Roman" w:hAnsi="Times New Roman" w:cs="Times New Roman"/>
          <w:sz w:val="18"/>
          <w:szCs w:val="18"/>
        </w:rPr>
        <w:t xml:space="preserve">ausse des dépenses </w:t>
      </w:r>
      <w:r w:rsidR="00E6388A">
        <w:rPr>
          <w:rFonts w:ascii="Times New Roman" w:hAnsi="Times New Roman" w:cs="Times New Roman"/>
          <w:sz w:val="18"/>
          <w:szCs w:val="18"/>
        </w:rPr>
        <w:t xml:space="preserve">publiques </w:t>
      </w:r>
      <w:r w:rsidRPr="002435A2">
        <w:rPr>
          <w:rFonts w:ascii="Times New Roman" w:hAnsi="Times New Roman" w:cs="Times New Roman"/>
          <w:sz w:val="18"/>
          <w:szCs w:val="18"/>
        </w:rPr>
        <w:t>d’investissement et de fonctionnement</w:t>
      </w:r>
      <w:r w:rsidR="00D41CCC">
        <w:rPr>
          <w:rFonts w:ascii="Times New Roman" w:hAnsi="Times New Roman" w:cs="Times New Roman"/>
          <w:sz w:val="18"/>
          <w:szCs w:val="18"/>
        </w:rPr>
        <w:t xml:space="preserve"> est </w:t>
      </w:r>
      <w:r w:rsidR="009B627C">
        <w:rPr>
          <w:rFonts w:ascii="Times New Roman" w:hAnsi="Times New Roman" w:cs="Times New Roman"/>
          <w:sz w:val="18"/>
          <w:szCs w:val="18"/>
        </w:rPr>
        <w:t>portée notamment par le financement du déploiement du réseau national d’internet à haut débit (</w:t>
      </w:r>
      <w:r w:rsidR="009B627C" w:rsidRPr="009339D6">
        <w:rPr>
          <w:rFonts w:ascii="Times New Roman" w:hAnsi="Times New Roman" w:cs="Times New Roman"/>
          <w:i/>
          <w:sz w:val="18"/>
          <w:szCs w:val="18"/>
        </w:rPr>
        <w:t>National Broadband Network</w:t>
      </w:r>
      <w:r w:rsidR="00E6388A">
        <w:rPr>
          <w:rFonts w:ascii="Times New Roman" w:hAnsi="Times New Roman" w:cs="Times New Roman"/>
          <w:i/>
          <w:sz w:val="18"/>
          <w:szCs w:val="18"/>
        </w:rPr>
        <w:t xml:space="preserve"> </w:t>
      </w:r>
      <w:r w:rsidR="00E6388A">
        <w:rPr>
          <w:rFonts w:ascii="Times New Roman" w:hAnsi="Times New Roman" w:cs="Times New Roman"/>
          <w:sz w:val="18"/>
          <w:szCs w:val="18"/>
        </w:rPr>
        <w:t xml:space="preserve"> -réalisé par une entreprise publique</w:t>
      </w:r>
      <w:r w:rsidR="009B627C">
        <w:rPr>
          <w:rFonts w:ascii="Times New Roman" w:hAnsi="Times New Roman" w:cs="Times New Roman"/>
          <w:sz w:val="18"/>
          <w:szCs w:val="18"/>
        </w:rPr>
        <w:t xml:space="preserve">) et du programme national de prise en charge du handicap </w:t>
      </w:r>
      <w:r w:rsidR="009B627C" w:rsidRPr="000D2987">
        <w:rPr>
          <w:rFonts w:ascii="Times New Roman" w:hAnsi="Times New Roman" w:cs="Times New Roman"/>
          <w:sz w:val="18"/>
          <w:szCs w:val="18"/>
        </w:rPr>
        <w:t>(</w:t>
      </w:r>
      <w:r w:rsidR="009B627C" w:rsidRPr="000D2987">
        <w:rPr>
          <w:rFonts w:ascii="Times New Roman" w:hAnsi="Times New Roman" w:cs="Times New Roman"/>
          <w:i/>
          <w:sz w:val="18"/>
          <w:szCs w:val="18"/>
        </w:rPr>
        <w:t>National Disability Insurance Scheme</w:t>
      </w:r>
      <w:r w:rsidR="009B627C" w:rsidRPr="000D2987">
        <w:rPr>
          <w:rFonts w:ascii="Times New Roman" w:hAnsi="Times New Roman" w:cs="Times New Roman"/>
          <w:sz w:val="18"/>
          <w:szCs w:val="18"/>
        </w:rPr>
        <w:t>)</w:t>
      </w:r>
      <w:r w:rsidR="0034095D" w:rsidRPr="000D2987">
        <w:rPr>
          <w:rFonts w:ascii="Times New Roman" w:hAnsi="Times New Roman" w:cs="Times New Roman"/>
          <w:sz w:val="18"/>
          <w:szCs w:val="18"/>
        </w:rPr>
        <w:t xml:space="preserve"> ainsi que le fort investissement des Etats et Territoires dans leurs infrastructures.</w:t>
      </w:r>
    </w:p>
  </w:footnote>
  <w:footnote w:id="2">
    <w:p w:rsidR="000D2987" w:rsidRDefault="000D2987" w:rsidP="000D2987">
      <w:pPr>
        <w:pStyle w:val="Notedebasdepage"/>
        <w:jc w:val="both"/>
      </w:pPr>
      <w:r w:rsidRPr="000D2987">
        <w:rPr>
          <w:rStyle w:val="Appelnotedebasdep"/>
          <w:rFonts w:ascii="Times New Roman" w:hAnsi="Times New Roman" w:cs="Times New Roman"/>
          <w:sz w:val="18"/>
          <w:szCs w:val="18"/>
        </w:rPr>
        <w:footnoteRef/>
      </w:r>
      <w:r w:rsidRPr="000D2987">
        <w:rPr>
          <w:rFonts w:ascii="Times New Roman" w:hAnsi="Times New Roman" w:cs="Times New Roman"/>
          <w:sz w:val="18"/>
          <w:szCs w:val="18"/>
        </w:rPr>
        <w:t xml:space="preserve"> La hausse des exportations est alimentée par la hausse continue des exportations de ressources minières et énergétiques</w:t>
      </w:r>
      <w:r w:rsidR="00E35F61">
        <w:rPr>
          <w:rFonts w:ascii="Times New Roman" w:hAnsi="Times New Roman" w:cs="Times New Roman"/>
          <w:sz w:val="18"/>
          <w:szCs w:val="18"/>
        </w:rPr>
        <w:t xml:space="preserve">, qui devraient croître de </w:t>
      </w:r>
      <w:r w:rsidR="00E35F61" w:rsidRPr="00E35F61">
        <w:rPr>
          <w:rFonts w:ascii="Times New Roman" w:hAnsi="Times New Roman" w:cs="Times New Roman"/>
          <w:sz w:val="18"/>
          <w:szCs w:val="18"/>
        </w:rPr>
        <w:t>+4,5% en 2017/18 et</w:t>
      </w:r>
      <w:r w:rsidR="00E6388A">
        <w:rPr>
          <w:rFonts w:ascii="Times New Roman" w:hAnsi="Times New Roman" w:cs="Times New Roman"/>
          <w:sz w:val="18"/>
          <w:szCs w:val="18"/>
        </w:rPr>
        <w:t xml:space="preserve"> de</w:t>
      </w:r>
      <w:r w:rsidR="00E35F61" w:rsidRPr="00E35F61">
        <w:rPr>
          <w:rFonts w:ascii="Times New Roman" w:hAnsi="Times New Roman" w:cs="Times New Roman"/>
          <w:sz w:val="18"/>
          <w:szCs w:val="18"/>
        </w:rPr>
        <w:t xml:space="preserve"> +6% en 2018/19</w:t>
      </w:r>
      <w:r w:rsidR="00E35F61">
        <w:rPr>
          <w:rFonts w:ascii="Times New Roman" w:hAnsi="Times New Roman" w:cs="Times New Roman"/>
          <w:sz w:val="18"/>
          <w:szCs w:val="18"/>
        </w:rPr>
        <w:t>, avec l’entrée en production et l’augmentation de capacité des derniers grands projets d’exploitation de GNL et de minerai de fer</w:t>
      </w:r>
      <w:r w:rsidR="00E6388A">
        <w:rPr>
          <w:rFonts w:ascii="Times New Roman" w:hAnsi="Times New Roman" w:cs="Times New Roman"/>
          <w:sz w:val="18"/>
          <w:szCs w:val="18"/>
        </w:rPr>
        <w:t xml:space="preserve"> (les derniers de la vague de projets lancés pendant le boom minier)</w:t>
      </w:r>
      <w:r w:rsidR="003C60B8">
        <w:rPr>
          <w:rFonts w:ascii="Times New Roman" w:hAnsi="Times New Roman" w:cs="Times New Roman"/>
          <w:sz w:val="18"/>
          <w:szCs w:val="18"/>
        </w:rPr>
        <w:t>, mais également la hausse continue des exportations de services</w:t>
      </w:r>
      <w:r w:rsidR="00B92EF6">
        <w:rPr>
          <w:rFonts w:ascii="Times New Roman" w:hAnsi="Times New Roman" w:cs="Times New Roman"/>
          <w:sz w:val="18"/>
          <w:szCs w:val="18"/>
        </w:rPr>
        <w:t>, qui devraient croître de +5% en 2017/18 et</w:t>
      </w:r>
      <w:r w:rsidR="00E6388A">
        <w:rPr>
          <w:rFonts w:ascii="Times New Roman" w:hAnsi="Times New Roman" w:cs="Times New Roman"/>
          <w:sz w:val="18"/>
          <w:szCs w:val="18"/>
        </w:rPr>
        <w:t xml:space="preserve"> de</w:t>
      </w:r>
      <w:r w:rsidR="00B92EF6">
        <w:rPr>
          <w:rFonts w:ascii="Times New Roman" w:hAnsi="Times New Roman" w:cs="Times New Roman"/>
          <w:sz w:val="18"/>
          <w:szCs w:val="18"/>
        </w:rPr>
        <w:t xml:space="preserve"> +4% en 2018/19</w:t>
      </w:r>
      <w:r w:rsidR="00633BD3">
        <w:rPr>
          <w:rFonts w:ascii="Times New Roman" w:hAnsi="Times New Roman" w:cs="Times New Roman"/>
          <w:sz w:val="18"/>
          <w:szCs w:val="18"/>
        </w:rPr>
        <w:t xml:space="preserve">, portée par le maintien d’une forte demande asiatique dans les secteurs du tourisme et de l’enseignement supérieur. </w:t>
      </w:r>
      <w:r w:rsidR="004A43A8">
        <w:rPr>
          <w:rFonts w:ascii="Times New Roman" w:hAnsi="Times New Roman" w:cs="Times New Roman"/>
          <w:sz w:val="18"/>
          <w:szCs w:val="18"/>
        </w:rPr>
        <w:t>A contrario, les exportations de produits agricoles devraient s’inscrire à la baisse en 2017/18, du fait d’une baisse</w:t>
      </w:r>
      <w:r w:rsidR="00E6388A">
        <w:rPr>
          <w:rFonts w:ascii="Times New Roman" w:hAnsi="Times New Roman" w:cs="Times New Roman"/>
          <w:sz w:val="18"/>
          <w:szCs w:val="18"/>
        </w:rPr>
        <w:t xml:space="preserve"> des volumes d’exportations par rapport au record enregistré en 2016/17.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4AC" w:rsidRDefault="009B34AB">
    <w:pPr>
      <w:pStyle w:val="En-tte"/>
      <w:jc w:val="center"/>
    </w:pPr>
    <w:r>
      <w:rPr>
        <w:noProof/>
      </w:rPr>
      <w:drawing>
        <wp:inline distT="0" distB="0" distL="0" distR="0">
          <wp:extent cx="914400" cy="546100"/>
          <wp:effectExtent l="0" t="0" r="0" b="6350"/>
          <wp:docPr id="1"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6100"/>
                  </a:xfrm>
                  <a:prstGeom prst="rect">
                    <a:avLst/>
                  </a:prstGeom>
                  <a:noFill/>
                  <a:ln>
                    <a:noFill/>
                  </a:ln>
                </pic:spPr>
              </pic:pic>
            </a:graphicData>
          </a:graphic>
        </wp:inline>
      </w:drawing>
    </w:r>
  </w:p>
  <w:p w:rsidR="002634AC" w:rsidRPr="00823C30" w:rsidRDefault="002634AC">
    <w:pPr>
      <w:pStyle w:val="En-tte"/>
      <w:jc w:val="center"/>
      <w:rPr>
        <w:smallCaps/>
        <w:sz w:val="24"/>
        <w:szCs w:val="24"/>
      </w:rPr>
    </w:pPr>
  </w:p>
  <w:p w:rsidR="00914077" w:rsidRPr="003220F5" w:rsidRDefault="003220F5">
    <w:pPr>
      <w:pStyle w:val="En-tte"/>
      <w:jc w:val="center"/>
      <w:rPr>
        <w:rFonts w:ascii="Univers 55" w:hAnsi="Univers 55"/>
        <w:b/>
        <w:smallCaps/>
        <w:sz w:val="24"/>
        <w:szCs w:val="24"/>
      </w:rPr>
    </w:pPr>
    <w:bookmarkStart w:id="4" w:name="Entête"/>
    <w:bookmarkEnd w:id="4"/>
    <w:r w:rsidRPr="00F6667B">
      <w:rPr>
        <w:rFonts w:ascii="Univers 55" w:hAnsi="Univers 55"/>
        <w:b/>
        <w:smallCaps/>
        <w:sz w:val="24"/>
        <w:szCs w:val="24"/>
      </w:rPr>
      <w:t>a</w:t>
    </w:r>
    <w:r w:rsidR="00061E97" w:rsidRPr="00F6667B">
      <w:rPr>
        <w:rFonts w:ascii="Univers 55" w:hAnsi="Univers 55"/>
        <w:b/>
        <w:smallCaps/>
        <w:sz w:val="24"/>
        <w:szCs w:val="24"/>
      </w:rPr>
      <w:t>mbassade</w:t>
    </w:r>
    <w:r w:rsidR="00061E97" w:rsidRPr="003220F5">
      <w:rPr>
        <w:rFonts w:ascii="Univers 55" w:hAnsi="Univers 55"/>
        <w:b/>
        <w:smallCaps/>
        <w:sz w:val="24"/>
        <w:szCs w:val="24"/>
      </w:rPr>
      <w:t xml:space="preserve"> de </w:t>
    </w:r>
    <w:r w:rsidRPr="003220F5">
      <w:rPr>
        <w:rFonts w:ascii="Univers 55" w:hAnsi="Univers 55"/>
        <w:b/>
        <w:smallCaps/>
        <w:sz w:val="24"/>
        <w:szCs w:val="24"/>
      </w:rPr>
      <w:t>f</w:t>
    </w:r>
    <w:r w:rsidR="00A36849" w:rsidRPr="003220F5">
      <w:rPr>
        <w:rFonts w:ascii="Univers 55" w:hAnsi="Univers 55"/>
        <w:b/>
        <w:smallCaps/>
        <w:sz w:val="24"/>
        <w:szCs w:val="24"/>
      </w:rPr>
      <w:t>rance</w:t>
    </w:r>
    <w:r w:rsidR="00914077" w:rsidRPr="003220F5">
      <w:rPr>
        <w:rFonts w:ascii="Univers 55" w:hAnsi="Univers 55"/>
        <w:b/>
        <w:smallCaps/>
        <w:sz w:val="24"/>
        <w:szCs w:val="24"/>
      </w:rPr>
      <w:t xml:space="preserve"> </w:t>
    </w:r>
    <w:r w:rsidR="003A24DB">
      <w:rPr>
        <w:rFonts w:ascii="Univers 55" w:hAnsi="Univers 55"/>
        <w:b/>
        <w:smallCaps/>
        <w:sz w:val="24"/>
        <w:szCs w:val="24"/>
      </w:rPr>
      <w:t>en australie</w:t>
    </w:r>
  </w:p>
  <w:p w:rsidR="002634AC" w:rsidRPr="003220F5" w:rsidRDefault="003220F5">
    <w:pPr>
      <w:pStyle w:val="En-tte"/>
      <w:jc w:val="center"/>
      <w:rPr>
        <w:rFonts w:ascii="Univers 55" w:hAnsi="Univers 55"/>
        <w:b/>
        <w:smallCaps/>
        <w:sz w:val="24"/>
        <w:szCs w:val="24"/>
      </w:rPr>
    </w:pPr>
    <w:r w:rsidRPr="003220F5">
      <w:rPr>
        <w:rFonts w:ascii="Univers 55" w:hAnsi="Univers 55"/>
        <w:b/>
        <w:smallCaps/>
        <w:sz w:val="24"/>
        <w:szCs w:val="24"/>
      </w:rPr>
      <w:t>s</w:t>
    </w:r>
    <w:r w:rsidR="00061E97" w:rsidRPr="003220F5">
      <w:rPr>
        <w:rFonts w:ascii="Univers 55" w:hAnsi="Univers 55"/>
        <w:b/>
        <w:smallCaps/>
        <w:sz w:val="24"/>
        <w:szCs w:val="24"/>
      </w:rPr>
      <w:t xml:space="preserve">ervice </w:t>
    </w:r>
    <w:r w:rsidR="00065059" w:rsidRPr="003220F5">
      <w:rPr>
        <w:rFonts w:ascii="Univers 55" w:hAnsi="Univers 55"/>
        <w:b/>
        <w:smallCaps/>
        <w:sz w:val="24"/>
        <w:szCs w:val="24"/>
      </w:rPr>
      <w:t>économique</w:t>
    </w:r>
    <w:r w:rsidR="001178BA">
      <w:rPr>
        <w:rFonts w:ascii="Univers 55" w:hAnsi="Univers 55"/>
        <w:b/>
        <w:smallCaps/>
        <w:sz w:val="24"/>
        <w:szCs w:val="24"/>
      </w:rPr>
      <w:t xml:space="preserve"> regional</w:t>
    </w:r>
  </w:p>
  <w:tbl>
    <w:tblPr>
      <w:tblW w:w="9568" w:type="dxa"/>
      <w:tblCellMar>
        <w:left w:w="70" w:type="dxa"/>
        <w:right w:w="70" w:type="dxa"/>
      </w:tblCellMar>
      <w:tblLook w:val="0000" w:firstRow="0" w:lastRow="0" w:firstColumn="0" w:lastColumn="0" w:noHBand="0" w:noVBand="0"/>
    </w:tblPr>
    <w:tblGrid>
      <w:gridCol w:w="6166"/>
      <w:gridCol w:w="3402"/>
    </w:tblGrid>
    <w:tr w:rsidR="002634AC" w:rsidRPr="002824A7" w:rsidTr="00F6667B">
      <w:tc>
        <w:tcPr>
          <w:tcW w:w="6166" w:type="dxa"/>
          <w:vAlign w:val="center"/>
        </w:tcPr>
        <w:p w:rsidR="002634AC" w:rsidRPr="002824A7" w:rsidRDefault="007A5D1F" w:rsidP="00E746BA">
          <w:pPr>
            <w:pStyle w:val="En-tte"/>
            <w:spacing w:before="600"/>
            <w:rPr>
              <w:rFonts w:ascii="Univers 55" w:hAnsi="Univers 55"/>
            </w:rPr>
          </w:pPr>
          <w:bookmarkStart w:id="5" w:name="IntituleEntete"/>
          <w:bookmarkEnd w:id="5"/>
          <w:r>
            <w:rPr>
              <w:rFonts w:ascii="Univers 55" w:hAnsi="Univers 55"/>
            </w:rPr>
            <w:t>Le</w:t>
          </w:r>
          <w:r w:rsidR="00204CA8" w:rsidRPr="002824A7">
            <w:rPr>
              <w:rFonts w:ascii="Univers 55" w:hAnsi="Univers 55"/>
            </w:rPr>
            <w:t xml:space="preserve"> </w:t>
          </w:r>
          <w:r w:rsidR="00144FE5" w:rsidRPr="002824A7">
            <w:rPr>
              <w:rFonts w:ascii="Univers 55" w:hAnsi="Univers 55"/>
            </w:rPr>
            <w:t>Chef d</w:t>
          </w:r>
          <w:r w:rsidR="00204CA8" w:rsidRPr="002824A7">
            <w:rPr>
              <w:rFonts w:ascii="Univers 55" w:hAnsi="Univers 55"/>
            </w:rPr>
            <w:t>e</w:t>
          </w:r>
          <w:r w:rsidR="00FE3841">
            <w:rPr>
              <w:rFonts w:ascii="Univers 55" w:hAnsi="Univers 55"/>
            </w:rPr>
            <w:t xml:space="preserve"> s</w:t>
          </w:r>
          <w:r w:rsidR="00144FE5" w:rsidRPr="002824A7">
            <w:rPr>
              <w:rFonts w:ascii="Univers 55" w:hAnsi="Univers 55"/>
            </w:rPr>
            <w:t>ervice</w:t>
          </w:r>
        </w:p>
      </w:tc>
      <w:tc>
        <w:tcPr>
          <w:tcW w:w="3402" w:type="dxa"/>
          <w:vAlign w:val="center"/>
        </w:tcPr>
        <w:p w:rsidR="002634AC" w:rsidRPr="002824A7" w:rsidRDefault="00E746BA" w:rsidP="009A209D">
          <w:pPr>
            <w:pStyle w:val="En-tte"/>
            <w:spacing w:before="600"/>
            <w:ind w:left="-68" w:firstLine="140"/>
            <w:rPr>
              <w:rFonts w:ascii="Univers 55" w:hAnsi="Univers 55"/>
            </w:rPr>
          </w:pPr>
          <w:bookmarkStart w:id="6" w:name="Ville"/>
          <w:bookmarkEnd w:id="6"/>
          <w:r>
            <w:rPr>
              <w:rFonts w:ascii="Univers 55" w:hAnsi="Univers 55"/>
            </w:rPr>
            <w:t>A Canberra</w:t>
          </w:r>
          <w:r w:rsidR="002634AC" w:rsidRPr="002824A7">
            <w:rPr>
              <w:rFonts w:ascii="Univers 55" w:hAnsi="Univers 55"/>
            </w:rPr>
            <w:t xml:space="preserve">, le </w:t>
          </w:r>
          <w:r w:rsidR="00864559">
            <w:rPr>
              <w:rFonts w:ascii="Univers 55" w:hAnsi="Univers 55"/>
            </w:rPr>
            <w:t>5</w:t>
          </w:r>
          <w:r>
            <w:rPr>
              <w:rFonts w:ascii="Univers 55" w:hAnsi="Univers 55"/>
            </w:rPr>
            <w:t xml:space="preserve"> janvier 2018</w:t>
          </w:r>
        </w:p>
      </w:tc>
    </w:tr>
  </w:tbl>
  <w:p w:rsidR="003220F5" w:rsidRPr="002824A7" w:rsidRDefault="003220F5" w:rsidP="003220F5">
    <w:pPr>
      <w:pStyle w:val="Textedebulles"/>
      <w:rPr>
        <w:rFonts w:ascii="Univers 55" w:hAnsi="Univers 55"/>
      </w:rPr>
    </w:pPr>
  </w:p>
  <w:p w:rsidR="00601AAA" w:rsidRPr="00923BE6" w:rsidRDefault="00E746BA" w:rsidP="00601AAA">
    <w:pPr>
      <w:pStyle w:val="Textedebulles"/>
      <w:rPr>
        <w:rFonts w:ascii="Times New Roman" w:hAnsi="Times New Roman" w:cs="Times New Roman"/>
        <w:sz w:val="18"/>
        <w:szCs w:val="18"/>
      </w:rPr>
    </w:pPr>
    <w:r>
      <w:rPr>
        <w:rFonts w:ascii="Times New Roman" w:hAnsi="Times New Roman" w:cs="Times New Roman"/>
        <w:sz w:val="18"/>
        <w:szCs w:val="18"/>
      </w:rPr>
      <w:t>Affaire suivie par : Chloé Gleitz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32C2"/>
    <w:multiLevelType w:val="hybridMultilevel"/>
    <w:tmpl w:val="F00C995C"/>
    <w:lvl w:ilvl="0" w:tplc="040C000B">
      <w:start w:val="1"/>
      <w:numFmt w:val="bullet"/>
      <w:lvlText w:val=""/>
      <w:lvlJc w:val="left"/>
      <w:pPr>
        <w:tabs>
          <w:tab w:val="num" w:pos="1117"/>
        </w:tabs>
        <w:ind w:left="1117" w:hanging="360"/>
      </w:pPr>
      <w:rPr>
        <w:rFonts w:ascii="Wingdings" w:hAnsi="Wingding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3A771A1B"/>
    <w:multiLevelType w:val="hybridMultilevel"/>
    <w:tmpl w:val="89029390"/>
    <w:lvl w:ilvl="0" w:tplc="8E584AD6">
      <w:numFmt w:val="bullet"/>
      <w:lvlText w:val="-"/>
      <w:lvlJc w:val="left"/>
      <w:pPr>
        <w:tabs>
          <w:tab w:val="num" w:pos="720"/>
        </w:tabs>
        <w:ind w:left="72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5B5822"/>
    <w:multiLevelType w:val="hybridMultilevel"/>
    <w:tmpl w:val="A2AE5D62"/>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5021A2"/>
    <w:multiLevelType w:val="hybridMultilevel"/>
    <w:tmpl w:val="E1BC793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70596234"/>
    <w:multiLevelType w:val="hybridMultilevel"/>
    <w:tmpl w:val="5F2C9850"/>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70B10CE8"/>
    <w:multiLevelType w:val="multilevel"/>
    <w:tmpl w:val="ABBE16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11F56"/>
    <w:multiLevelType w:val="hybridMultilevel"/>
    <w:tmpl w:val="9AA66A70"/>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A55929"/>
    <w:multiLevelType w:val="hybridMultilevel"/>
    <w:tmpl w:val="ABBE16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BA"/>
    <w:rsid w:val="00000575"/>
    <w:rsid w:val="00004503"/>
    <w:rsid w:val="000250C6"/>
    <w:rsid w:val="00031509"/>
    <w:rsid w:val="00051499"/>
    <w:rsid w:val="00061E97"/>
    <w:rsid w:val="00065059"/>
    <w:rsid w:val="00066B4B"/>
    <w:rsid w:val="00076994"/>
    <w:rsid w:val="00082685"/>
    <w:rsid w:val="00086CC8"/>
    <w:rsid w:val="000A3179"/>
    <w:rsid w:val="000B08C2"/>
    <w:rsid w:val="000B62E4"/>
    <w:rsid w:val="000C5E2A"/>
    <w:rsid w:val="000D0390"/>
    <w:rsid w:val="000D2987"/>
    <w:rsid w:val="000D5AB7"/>
    <w:rsid w:val="00106607"/>
    <w:rsid w:val="00117131"/>
    <w:rsid w:val="001178BA"/>
    <w:rsid w:val="00134400"/>
    <w:rsid w:val="001364C3"/>
    <w:rsid w:val="00144FE5"/>
    <w:rsid w:val="001457BA"/>
    <w:rsid w:val="00156486"/>
    <w:rsid w:val="00170258"/>
    <w:rsid w:val="00193650"/>
    <w:rsid w:val="001A6CEC"/>
    <w:rsid w:val="001B73E1"/>
    <w:rsid w:val="001D6F44"/>
    <w:rsid w:val="001F09AC"/>
    <w:rsid w:val="001F6EB6"/>
    <w:rsid w:val="00201A00"/>
    <w:rsid w:val="00201F13"/>
    <w:rsid w:val="00204CA8"/>
    <w:rsid w:val="00207324"/>
    <w:rsid w:val="00212AAC"/>
    <w:rsid w:val="00214C35"/>
    <w:rsid w:val="002435A2"/>
    <w:rsid w:val="002477F5"/>
    <w:rsid w:val="00256217"/>
    <w:rsid w:val="00260B44"/>
    <w:rsid w:val="00261439"/>
    <w:rsid w:val="002632D0"/>
    <w:rsid w:val="002634AC"/>
    <w:rsid w:val="00263525"/>
    <w:rsid w:val="0027648D"/>
    <w:rsid w:val="002824A7"/>
    <w:rsid w:val="00287003"/>
    <w:rsid w:val="002A6B99"/>
    <w:rsid w:val="002B569E"/>
    <w:rsid w:val="002D6E60"/>
    <w:rsid w:val="002F6E8C"/>
    <w:rsid w:val="00300325"/>
    <w:rsid w:val="0030160F"/>
    <w:rsid w:val="0030495E"/>
    <w:rsid w:val="00305B62"/>
    <w:rsid w:val="003068C2"/>
    <w:rsid w:val="00314281"/>
    <w:rsid w:val="00315E70"/>
    <w:rsid w:val="003220F5"/>
    <w:rsid w:val="00334A08"/>
    <w:rsid w:val="00336D8A"/>
    <w:rsid w:val="0034095D"/>
    <w:rsid w:val="00340BD4"/>
    <w:rsid w:val="003500EB"/>
    <w:rsid w:val="00372637"/>
    <w:rsid w:val="00372F24"/>
    <w:rsid w:val="00376BC4"/>
    <w:rsid w:val="003A24DB"/>
    <w:rsid w:val="003A4D52"/>
    <w:rsid w:val="003A740D"/>
    <w:rsid w:val="003B07B8"/>
    <w:rsid w:val="003B2F49"/>
    <w:rsid w:val="003B757A"/>
    <w:rsid w:val="003C60B8"/>
    <w:rsid w:val="003D4EFB"/>
    <w:rsid w:val="003F30B2"/>
    <w:rsid w:val="00413774"/>
    <w:rsid w:val="00416311"/>
    <w:rsid w:val="00422094"/>
    <w:rsid w:val="00426A41"/>
    <w:rsid w:val="00433170"/>
    <w:rsid w:val="00436B27"/>
    <w:rsid w:val="004853B8"/>
    <w:rsid w:val="004870BF"/>
    <w:rsid w:val="004A43A8"/>
    <w:rsid w:val="004D110A"/>
    <w:rsid w:val="004E15E3"/>
    <w:rsid w:val="004E3742"/>
    <w:rsid w:val="004F155E"/>
    <w:rsid w:val="004F27FA"/>
    <w:rsid w:val="00502DEC"/>
    <w:rsid w:val="00505243"/>
    <w:rsid w:val="00513A6C"/>
    <w:rsid w:val="00527444"/>
    <w:rsid w:val="00553264"/>
    <w:rsid w:val="0059005C"/>
    <w:rsid w:val="005976C6"/>
    <w:rsid w:val="005A7791"/>
    <w:rsid w:val="005A78A8"/>
    <w:rsid w:val="005C0E54"/>
    <w:rsid w:val="005D0601"/>
    <w:rsid w:val="005D13E0"/>
    <w:rsid w:val="005D35F7"/>
    <w:rsid w:val="005D79FE"/>
    <w:rsid w:val="005E4FC9"/>
    <w:rsid w:val="005E6EAE"/>
    <w:rsid w:val="00601AAA"/>
    <w:rsid w:val="00610DAC"/>
    <w:rsid w:val="00620222"/>
    <w:rsid w:val="00620ABB"/>
    <w:rsid w:val="00622D95"/>
    <w:rsid w:val="00624845"/>
    <w:rsid w:val="00624D63"/>
    <w:rsid w:val="00633BD3"/>
    <w:rsid w:val="00634BDC"/>
    <w:rsid w:val="00636798"/>
    <w:rsid w:val="0065376F"/>
    <w:rsid w:val="00662E1C"/>
    <w:rsid w:val="00677C52"/>
    <w:rsid w:val="00686CD8"/>
    <w:rsid w:val="00691FBC"/>
    <w:rsid w:val="006A0F88"/>
    <w:rsid w:val="006A3913"/>
    <w:rsid w:val="006A4F26"/>
    <w:rsid w:val="006A6907"/>
    <w:rsid w:val="006A75D4"/>
    <w:rsid w:val="006B2517"/>
    <w:rsid w:val="006B45CC"/>
    <w:rsid w:val="006B4945"/>
    <w:rsid w:val="006B72C7"/>
    <w:rsid w:val="006C1355"/>
    <w:rsid w:val="006E7CD6"/>
    <w:rsid w:val="006F4CC5"/>
    <w:rsid w:val="00721921"/>
    <w:rsid w:val="00733C63"/>
    <w:rsid w:val="00737764"/>
    <w:rsid w:val="00737E59"/>
    <w:rsid w:val="00740363"/>
    <w:rsid w:val="00742E73"/>
    <w:rsid w:val="0075031C"/>
    <w:rsid w:val="00752213"/>
    <w:rsid w:val="00770AFB"/>
    <w:rsid w:val="0077410C"/>
    <w:rsid w:val="007809F5"/>
    <w:rsid w:val="00785FDF"/>
    <w:rsid w:val="007A58E0"/>
    <w:rsid w:val="007A5D1F"/>
    <w:rsid w:val="007A6D3A"/>
    <w:rsid w:val="007A7340"/>
    <w:rsid w:val="007B58A1"/>
    <w:rsid w:val="007B7527"/>
    <w:rsid w:val="007C4F9A"/>
    <w:rsid w:val="00803D63"/>
    <w:rsid w:val="00822607"/>
    <w:rsid w:val="00822E88"/>
    <w:rsid w:val="00823C30"/>
    <w:rsid w:val="00837034"/>
    <w:rsid w:val="008376A2"/>
    <w:rsid w:val="00862497"/>
    <w:rsid w:val="00864559"/>
    <w:rsid w:val="00871853"/>
    <w:rsid w:val="00876804"/>
    <w:rsid w:val="00877713"/>
    <w:rsid w:val="00881350"/>
    <w:rsid w:val="00892731"/>
    <w:rsid w:val="00895EFD"/>
    <w:rsid w:val="008A0148"/>
    <w:rsid w:val="008B4953"/>
    <w:rsid w:val="008D346A"/>
    <w:rsid w:val="008E0153"/>
    <w:rsid w:val="00904ADE"/>
    <w:rsid w:val="00912B89"/>
    <w:rsid w:val="00914077"/>
    <w:rsid w:val="00917938"/>
    <w:rsid w:val="00921A48"/>
    <w:rsid w:val="00923BE6"/>
    <w:rsid w:val="009339D6"/>
    <w:rsid w:val="00964A83"/>
    <w:rsid w:val="009809E2"/>
    <w:rsid w:val="009834A8"/>
    <w:rsid w:val="00990DE9"/>
    <w:rsid w:val="00992D16"/>
    <w:rsid w:val="009A0A1D"/>
    <w:rsid w:val="009A209D"/>
    <w:rsid w:val="009A3025"/>
    <w:rsid w:val="009B0E50"/>
    <w:rsid w:val="009B12B8"/>
    <w:rsid w:val="009B34AB"/>
    <w:rsid w:val="009B627C"/>
    <w:rsid w:val="009C54AC"/>
    <w:rsid w:val="009E7F7C"/>
    <w:rsid w:val="009F0460"/>
    <w:rsid w:val="00A106F3"/>
    <w:rsid w:val="00A148C4"/>
    <w:rsid w:val="00A2494F"/>
    <w:rsid w:val="00A33D56"/>
    <w:rsid w:val="00A36849"/>
    <w:rsid w:val="00A4308A"/>
    <w:rsid w:val="00A44156"/>
    <w:rsid w:val="00A5707F"/>
    <w:rsid w:val="00A85565"/>
    <w:rsid w:val="00AA3F39"/>
    <w:rsid w:val="00AB2A71"/>
    <w:rsid w:val="00AD0BA4"/>
    <w:rsid w:val="00AE5534"/>
    <w:rsid w:val="00AE7A20"/>
    <w:rsid w:val="00AF7726"/>
    <w:rsid w:val="00AF7922"/>
    <w:rsid w:val="00B005EA"/>
    <w:rsid w:val="00B152E9"/>
    <w:rsid w:val="00B15F00"/>
    <w:rsid w:val="00B1618B"/>
    <w:rsid w:val="00B16C24"/>
    <w:rsid w:val="00B23A5B"/>
    <w:rsid w:val="00B42AEE"/>
    <w:rsid w:val="00B50F1C"/>
    <w:rsid w:val="00B55F32"/>
    <w:rsid w:val="00B639A9"/>
    <w:rsid w:val="00B8244E"/>
    <w:rsid w:val="00B92EF6"/>
    <w:rsid w:val="00BA1977"/>
    <w:rsid w:val="00BC0801"/>
    <w:rsid w:val="00BC11EF"/>
    <w:rsid w:val="00BD50EA"/>
    <w:rsid w:val="00BE04C4"/>
    <w:rsid w:val="00BE08FE"/>
    <w:rsid w:val="00BE6843"/>
    <w:rsid w:val="00BF4C05"/>
    <w:rsid w:val="00C011C4"/>
    <w:rsid w:val="00C60955"/>
    <w:rsid w:val="00C750FB"/>
    <w:rsid w:val="00C771E8"/>
    <w:rsid w:val="00C91166"/>
    <w:rsid w:val="00C9700D"/>
    <w:rsid w:val="00CB3EE8"/>
    <w:rsid w:val="00CC308A"/>
    <w:rsid w:val="00CC605B"/>
    <w:rsid w:val="00CC698D"/>
    <w:rsid w:val="00CD01D2"/>
    <w:rsid w:val="00CE391C"/>
    <w:rsid w:val="00CF3682"/>
    <w:rsid w:val="00D1633E"/>
    <w:rsid w:val="00D24A83"/>
    <w:rsid w:val="00D33B90"/>
    <w:rsid w:val="00D41CCC"/>
    <w:rsid w:val="00D42D99"/>
    <w:rsid w:val="00D502D7"/>
    <w:rsid w:val="00D509F7"/>
    <w:rsid w:val="00D60DAD"/>
    <w:rsid w:val="00D63677"/>
    <w:rsid w:val="00D704FE"/>
    <w:rsid w:val="00D7220E"/>
    <w:rsid w:val="00D72B34"/>
    <w:rsid w:val="00D74630"/>
    <w:rsid w:val="00D76E4A"/>
    <w:rsid w:val="00D774C3"/>
    <w:rsid w:val="00D77CED"/>
    <w:rsid w:val="00D92F0B"/>
    <w:rsid w:val="00D95D38"/>
    <w:rsid w:val="00D96773"/>
    <w:rsid w:val="00DC2387"/>
    <w:rsid w:val="00DC4E27"/>
    <w:rsid w:val="00DE6EF2"/>
    <w:rsid w:val="00E023C9"/>
    <w:rsid w:val="00E062D7"/>
    <w:rsid w:val="00E10972"/>
    <w:rsid w:val="00E169D4"/>
    <w:rsid w:val="00E21012"/>
    <w:rsid w:val="00E33307"/>
    <w:rsid w:val="00E35F61"/>
    <w:rsid w:val="00E459CB"/>
    <w:rsid w:val="00E6388A"/>
    <w:rsid w:val="00E704F2"/>
    <w:rsid w:val="00E71358"/>
    <w:rsid w:val="00E746BA"/>
    <w:rsid w:val="00E941D4"/>
    <w:rsid w:val="00E96A19"/>
    <w:rsid w:val="00EC4F07"/>
    <w:rsid w:val="00EE0185"/>
    <w:rsid w:val="00EE2E90"/>
    <w:rsid w:val="00EE5F00"/>
    <w:rsid w:val="00EF1EC5"/>
    <w:rsid w:val="00F232F0"/>
    <w:rsid w:val="00F40935"/>
    <w:rsid w:val="00F6667B"/>
    <w:rsid w:val="00F67E15"/>
    <w:rsid w:val="00F74E7E"/>
    <w:rsid w:val="00FA1D24"/>
    <w:rsid w:val="00FB4FE4"/>
    <w:rsid w:val="00FC4CC7"/>
    <w:rsid w:val="00FC66FA"/>
    <w:rsid w:val="00FD1364"/>
    <w:rsid w:val="00FE2FF0"/>
    <w:rsid w:val="00FE3841"/>
    <w:rsid w:val="00FF182A"/>
    <w:rsid w:val="00FF2FB4"/>
    <w:rsid w:val="00FF3C10"/>
    <w:rsid w:val="00FF5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D855E32-C7C6-42B3-A236-0A283CD6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Univers" w:hAnsi="Univers" w:cs="Arial"/>
    </w:rPr>
  </w:style>
  <w:style w:type="paragraph" w:styleId="Titre1">
    <w:name w:val="heading 1"/>
    <w:basedOn w:val="Normal"/>
    <w:next w:val="Normal"/>
    <w:qFormat/>
    <w:pPr>
      <w:keepNext/>
      <w:spacing w:after="240"/>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character" w:styleId="Accentuation">
    <w:name w:val="Emphasis"/>
    <w:basedOn w:val="Policepardfaut"/>
    <w:qFormat/>
    <w:rsid w:val="00E459CB"/>
    <w:rPr>
      <w:b/>
      <w:bCs/>
      <w:i w:val="0"/>
      <w:iCs w:val="0"/>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rsid w:val="0030160F"/>
  </w:style>
  <w:style w:type="paragraph" w:styleId="Notedebasdepage">
    <w:name w:val="footnote text"/>
    <w:basedOn w:val="Normal"/>
    <w:link w:val="NotedebasdepageCar"/>
    <w:uiPriority w:val="99"/>
    <w:semiHidden/>
    <w:unhideWhenUsed/>
    <w:rsid w:val="002435A2"/>
  </w:style>
  <w:style w:type="character" w:customStyle="1" w:styleId="NotedebasdepageCar">
    <w:name w:val="Note de bas de page Car"/>
    <w:basedOn w:val="Policepardfaut"/>
    <w:link w:val="Notedebasdepage"/>
    <w:uiPriority w:val="99"/>
    <w:semiHidden/>
    <w:rsid w:val="002435A2"/>
    <w:rPr>
      <w:rFonts w:ascii="Univers" w:hAnsi="Univers" w:cs="Arial"/>
    </w:rPr>
  </w:style>
  <w:style w:type="character" w:styleId="Appelnotedebasdep">
    <w:name w:val="footnote reference"/>
    <w:basedOn w:val="Policepardfaut"/>
    <w:uiPriority w:val="99"/>
    <w:semiHidden/>
    <w:unhideWhenUsed/>
    <w:rsid w:val="002435A2"/>
    <w:rPr>
      <w:vertAlign w:val="superscript"/>
    </w:rPr>
  </w:style>
  <w:style w:type="character" w:styleId="Lienhypertexte">
    <w:name w:val="Hyperlink"/>
    <w:basedOn w:val="Policepardfaut"/>
    <w:uiPriority w:val="99"/>
    <w:unhideWhenUsed/>
    <w:rsid w:val="004F1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52303">
      <w:bodyDiv w:val="1"/>
      <w:marLeft w:val="0"/>
      <w:marRight w:val="0"/>
      <w:marTop w:val="0"/>
      <w:marBottom w:val="0"/>
      <w:divBdr>
        <w:top w:val="none" w:sz="0" w:space="0" w:color="auto"/>
        <w:left w:val="none" w:sz="0" w:space="0" w:color="auto"/>
        <w:bottom w:val="none" w:sz="0" w:space="0" w:color="auto"/>
        <w:right w:val="none" w:sz="0" w:space="0" w:color="auto"/>
      </w:divBdr>
      <w:divsChild>
        <w:div w:id="37782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canberra@dgtresor.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od&#232;les\Note_S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508C-4517-4F33-86B3-71179121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Note_SER.dotx</Template>
  <TotalTime>0</TotalTime>
  <Pages>3</Pages>
  <Words>1198</Words>
  <Characters>6516</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avis sur le rapport au titre de l'Article IV/FMI sur l'Albanie, Lettre à Hunsinger</vt:lpstr>
    </vt:vector>
  </TitlesOfParts>
  <Company>DG Tresor</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sur le rapport au titre de l'Article IV/FMI sur l'Albanie, Lettre à Hunsinger</dc:title>
  <dc:creator>GLEITZ Chloé</dc:creator>
  <cp:lastModifiedBy>BORIES Christophe</cp:lastModifiedBy>
  <cp:revision>2</cp:revision>
  <cp:lastPrinted>2013-01-10T10:18:00Z</cp:lastPrinted>
  <dcterms:created xsi:type="dcterms:W3CDTF">2018-01-19T05:10:00Z</dcterms:created>
  <dcterms:modified xsi:type="dcterms:W3CDTF">2018-01-19T05:10:00Z</dcterms:modified>
  <cp:category>Régalien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eurs">
    <vt:lpwstr/>
  </property>
  <property fmtid="{D5CDD505-2E9C-101B-9397-08002B2CF9AE}" pid="3" name="IDSecteurs">
    <vt:lpwstr/>
  </property>
  <property fmtid="{D5CDD505-2E9C-101B-9397-08002B2CF9AE}" pid="4" name="Pays">
    <vt:lpwstr>BOSNIE-HERZÉGOVINE; BULGARIE; CROATIE; ROUMANIE; SERBIE; ALBANIE; MACÉDOINE</vt:lpwstr>
  </property>
  <property fmtid="{D5CDD505-2E9C-101B-9397-08002B2CF9AE}" pid="5" name="IDPays">
    <vt:lpwstr>14; 18; 30; 98; 101; 368; 1056</vt:lpwstr>
  </property>
  <property fmtid="{D5CDD505-2E9C-101B-9397-08002B2CF9AE}" pid="6" name="TypeDocument">
    <vt:lpwstr>Lettre</vt:lpwstr>
  </property>
  <property fmtid="{D5CDD505-2E9C-101B-9397-08002B2CF9AE}" pid="7" name="IDTypeDocument">
    <vt:i4>1002</vt:i4>
  </property>
  <property fmtid="{D5CDD505-2E9C-101B-9397-08002B2CF9AE}" pid="8" name="DateFinValidite">
    <vt:filetime>2011-01-18T22:00:00Z</vt:filetime>
  </property>
  <property fmtid="{D5CDD505-2E9C-101B-9397-08002B2CF9AE}" pid="9" name="Destinataire">
    <vt:lpwstr>Hunsinger</vt:lpwstr>
  </property>
  <property fmtid="{D5CDD505-2E9C-101B-9397-08002B2CF9AE}" pid="10" name="SociétéDestinat">
    <vt:lpwstr>DGTPE</vt:lpwstr>
  </property>
</Properties>
</file>