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79" w:rsidRPr="00942E79" w:rsidRDefault="00942E79" w:rsidP="000E6C76">
      <w:pPr>
        <w:pStyle w:val="Default"/>
        <w:jc w:val="center"/>
        <w:rPr>
          <w:rFonts w:ascii="Times New Roman" w:hAnsi="Times New Roman" w:cs="Times New Roman"/>
          <w:sz w:val="18"/>
        </w:rPr>
      </w:pPr>
      <w:bookmarkStart w:id="0" w:name="_GoBack"/>
      <w:bookmarkEnd w:id="0"/>
    </w:p>
    <w:p w:rsidR="00573595" w:rsidRPr="000E6C76" w:rsidRDefault="00A0376A" w:rsidP="000E6C76">
      <w:pPr>
        <w:pStyle w:val="Default"/>
        <w:jc w:val="center"/>
        <w:rPr>
          <w:rFonts w:ascii="Times New Roman" w:hAnsi="Times New Roman" w:cs="Times New Roman"/>
          <w:b/>
        </w:rPr>
      </w:pPr>
      <w:r>
        <w:rPr>
          <w:rFonts w:ascii="Times New Roman" w:hAnsi="Times New Roman" w:cs="Times New Roman"/>
          <w:b/>
        </w:rPr>
        <w:t>Le financement de l’économie en M</w:t>
      </w:r>
      <w:r w:rsidR="004E104F">
        <w:rPr>
          <w:rFonts w:ascii="Times New Roman" w:hAnsi="Times New Roman" w:cs="Times New Roman"/>
          <w:b/>
        </w:rPr>
        <w:t>alaisie</w:t>
      </w:r>
    </w:p>
    <w:p w:rsidR="00573595" w:rsidRPr="000E6C76" w:rsidRDefault="000E6C76" w:rsidP="000E6C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p w:rsidR="000E6C76" w:rsidRPr="00A336FE" w:rsidRDefault="000E6C76" w:rsidP="000E6C76">
      <w:pPr>
        <w:autoSpaceDE w:val="0"/>
        <w:autoSpaceDN w:val="0"/>
        <w:adjustRightInd w:val="0"/>
        <w:spacing w:after="0" w:line="240" w:lineRule="auto"/>
        <w:jc w:val="both"/>
        <w:rPr>
          <w:rFonts w:ascii="Times New Roman" w:hAnsi="Times New Roman" w:cs="Times New Roman"/>
          <w:color w:val="000000"/>
          <w:sz w:val="10"/>
          <w:szCs w:val="24"/>
        </w:rPr>
      </w:pPr>
    </w:p>
    <w:p w:rsidR="00573595" w:rsidRPr="000E6C76" w:rsidRDefault="00F44DCB" w:rsidP="000E6C76">
      <w:pPr>
        <w:pStyle w:val="Paragraphedeliste"/>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0E6C76">
        <w:rPr>
          <w:rFonts w:ascii="Times New Roman" w:hAnsi="Times New Roman" w:cs="Times New Roman"/>
          <w:b/>
          <w:bCs/>
          <w:color w:val="000000"/>
          <w:sz w:val="24"/>
          <w:szCs w:val="24"/>
        </w:rPr>
        <w:t xml:space="preserve">Un </w:t>
      </w:r>
      <w:r w:rsidR="003A1E82">
        <w:rPr>
          <w:rFonts w:ascii="Times New Roman" w:hAnsi="Times New Roman" w:cs="Times New Roman"/>
          <w:b/>
          <w:bCs/>
          <w:color w:val="000000"/>
          <w:sz w:val="24"/>
          <w:szCs w:val="24"/>
        </w:rPr>
        <w:t>secteur bancaire très développé et robuste</w:t>
      </w:r>
    </w:p>
    <w:p w:rsidR="009F79E4" w:rsidRPr="00A336FE" w:rsidRDefault="009F79E4" w:rsidP="000E6C76">
      <w:pPr>
        <w:spacing w:after="0" w:line="240" w:lineRule="auto"/>
        <w:jc w:val="both"/>
        <w:rPr>
          <w:rFonts w:ascii="Times New Roman" w:hAnsi="Times New Roman" w:cs="Times New Roman"/>
          <w:color w:val="000000"/>
          <w:sz w:val="10"/>
          <w:szCs w:val="24"/>
        </w:rPr>
      </w:pPr>
    </w:p>
    <w:p w:rsidR="00573595" w:rsidRPr="000E6C76" w:rsidRDefault="00A0376A" w:rsidP="000E6C76">
      <w:pPr>
        <w:spacing w:after="0" w:line="240" w:lineRule="auto"/>
        <w:jc w:val="both"/>
        <w:rPr>
          <w:rFonts w:ascii="Times New Roman" w:hAnsi="Times New Roman" w:cs="Times New Roman"/>
          <w:color w:val="000000"/>
          <w:sz w:val="24"/>
          <w:szCs w:val="24"/>
        </w:rPr>
      </w:pPr>
      <w:r w:rsidRPr="00A0376A">
        <w:rPr>
          <w:rFonts w:ascii="Times New Roman" w:hAnsi="Times New Roman" w:cs="Times New Roman"/>
          <w:color w:val="000000"/>
          <w:sz w:val="24"/>
          <w:szCs w:val="24"/>
        </w:rPr>
        <w:t>Le secteur bancaire malaisien est très développé, avec 59 établissements bancaires autorisés, dont 28</w:t>
      </w:r>
      <w:r w:rsidR="003A1E82">
        <w:rPr>
          <w:rFonts w:ascii="Times New Roman" w:hAnsi="Times New Roman" w:cs="Times New Roman"/>
          <w:color w:val="000000"/>
          <w:sz w:val="24"/>
          <w:szCs w:val="24"/>
        </w:rPr>
        <w:t> </w:t>
      </w:r>
      <w:r w:rsidRPr="00A0376A">
        <w:rPr>
          <w:rFonts w:ascii="Times New Roman" w:hAnsi="Times New Roman" w:cs="Times New Roman"/>
          <w:color w:val="000000"/>
          <w:sz w:val="24"/>
          <w:szCs w:val="24"/>
        </w:rPr>
        <w:t xml:space="preserve">établissements étrangers, incluant des banques commerciales (28), des banques d’investissement (11) et des banques islamiques (16). </w:t>
      </w:r>
      <w:r w:rsidR="004A0347">
        <w:rPr>
          <w:rFonts w:ascii="Times New Roman" w:hAnsi="Times New Roman" w:cs="Times New Roman"/>
          <w:color w:val="000000"/>
          <w:sz w:val="24"/>
          <w:szCs w:val="24"/>
        </w:rPr>
        <w:t>L</w:t>
      </w:r>
      <w:r w:rsidRPr="00A0376A">
        <w:rPr>
          <w:rFonts w:ascii="Times New Roman" w:hAnsi="Times New Roman" w:cs="Times New Roman"/>
          <w:color w:val="000000"/>
          <w:sz w:val="24"/>
          <w:szCs w:val="24"/>
        </w:rPr>
        <w:t xml:space="preserve">es établissements bancaires étrangers représentent </w:t>
      </w:r>
      <w:r w:rsidR="004A0347">
        <w:rPr>
          <w:rFonts w:ascii="Times New Roman" w:hAnsi="Times New Roman" w:cs="Times New Roman"/>
          <w:color w:val="000000"/>
          <w:sz w:val="24"/>
          <w:szCs w:val="24"/>
        </w:rPr>
        <w:t xml:space="preserve">plus de 21% </w:t>
      </w:r>
      <w:r w:rsidRPr="00A0376A">
        <w:rPr>
          <w:rFonts w:ascii="Times New Roman" w:hAnsi="Times New Roman" w:cs="Times New Roman"/>
          <w:color w:val="000000"/>
          <w:sz w:val="24"/>
          <w:szCs w:val="24"/>
        </w:rPr>
        <w:t xml:space="preserve">des actifs du secteur bancaire. </w:t>
      </w:r>
      <w:r w:rsidR="003A1E82">
        <w:rPr>
          <w:rFonts w:ascii="Times New Roman" w:hAnsi="Times New Roman" w:cs="Times New Roman"/>
          <w:color w:val="000000"/>
          <w:sz w:val="24"/>
          <w:szCs w:val="24"/>
        </w:rPr>
        <w:t>L</w:t>
      </w:r>
      <w:r w:rsidRPr="00A0376A">
        <w:rPr>
          <w:rFonts w:ascii="Times New Roman" w:hAnsi="Times New Roman" w:cs="Times New Roman"/>
          <w:color w:val="000000"/>
          <w:sz w:val="24"/>
          <w:szCs w:val="24"/>
        </w:rPr>
        <w:t xml:space="preserve">e système bancaire malaisien est robuste avec un ratio de capital </w:t>
      </w:r>
      <w:r w:rsidRPr="00986963">
        <w:rPr>
          <w:rFonts w:ascii="Times New Roman" w:hAnsi="Times New Roman" w:cs="Times New Roman"/>
          <w:i/>
          <w:color w:val="000000"/>
          <w:sz w:val="24"/>
          <w:szCs w:val="24"/>
        </w:rPr>
        <w:t>Tier</w:t>
      </w:r>
      <w:r w:rsidR="00986963" w:rsidRPr="00986963">
        <w:rPr>
          <w:rFonts w:ascii="Times New Roman" w:hAnsi="Times New Roman" w:cs="Times New Roman"/>
          <w:i/>
          <w:color w:val="000000"/>
          <w:sz w:val="24"/>
          <w:szCs w:val="24"/>
        </w:rPr>
        <w:t> </w:t>
      </w:r>
      <w:r w:rsidRPr="00986963">
        <w:rPr>
          <w:rFonts w:ascii="Times New Roman" w:hAnsi="Times New Roman" w:cs="Times New Roman"/>
          <w:i/>
          <w:color w:val="000000"/>
          <w:sz w:val="24"/>
          <w:szCs w:val="24"/>
        </w:rPr>
        <w:t>1</w:t>
      </w:r>
      <w:r w:rsidRPr="00A0376A">
        <w:rPr>
          <w:rFonts w:ascii="Times New Roman" w:hAnsi="Times New Roman" w:cs="Times New Roman"/>
          <w:color w:val="000000"/>
          <w:sz w:val="24"/>
          <w:szCs w:val="24"/>
        </w:rPr>
        <w:t xml:space="preserve"> de 14,0% fin 201</w:t>
      </w:r>
      <w:r w:rsidR="00DA3122">
        <w:rPr>
          <w:rFonts w:ascii="Times New Roman" w:hAnsi="Times New Roman" w:cs="Times New Roman"/>
          <w:color w:val="000000"/>
          <w:sz w:val="24"/>
          <w:szCs w:val="24"/>
        </w:rPr>
        <w:t>7</w:t>
      </w:r>
      <w:r w:rsidRPr="00A0376A">
        <w:rPr>
          <w:rFonts w:ascii="Times New Roman" w:hAnsi="Times New Roman" w:cs="Times New Roman"/>
          <w:color w:val="000000"/>
          <w:sz w:val="24"/>
          <w:szCs w:val="24"/>
        </w:rPr>
        <w:t xml:space="preserve"> (norme à 6%). </w:t>
      </w:r>
      <w:r w:rsidR="004A0347">
        <w:rPr>
          <w:rFonts w:ascii="Times New Roman" w:hAnsi="Times New Roman" w:cs="Times New Roman"/>
          <w:color w:val="000000"/>
          <w:sz w:val="24"/>
          <w:szCs w:val="24"/>
        </w:rPr>
        <w:t xml:space="preserve">Plus de </w:t>
      </w:r>
      <w:r w:rsidR="00ED3D4E">
        <w:rPr>
          <w:rFonts w:ascii="Times New Roman" w:hAnsi="Times New Roman" w:cs="Times New Roman"/>
          <w:color w:val="000000"/>
          <w:sz w:val="24"/>
          <w:szCs w:val="24"/>
        </w:rPr>
        <w:t>7</w:t>
      </w:r>
      <w:r w:rsidRPr="00A0376A">
        <w:rPr>
          <w:rFonts w:ascii="Times New Roman" w:hAnsi="Times New Roman" w:cs="Times New Roman"/>
          <w:color w:val="000000"/>
          <w:sz w:val="24"/>
          <w:szCs w:val="24"/>
        </w:rPr>
        <w:t>5% de la totalité du capital des banques est considéré de haute qualité sous la forme de bénéfices non distribués, capital libéré et réserves. Le FMI estime que les banques malaisiennes sont en capacité de remplir les critères de Bâle III en matière de capitalisation et de liquidité. Le ratio de liquidité à court terme (</w:t>
      </w:r>
      <w:r w:rsidRPr="00EB3D02">
        <w:rPr>
          <w:rFonts w:ascii="Times New Roman" w:hAnsi="Times New Roman" w:cs="Times New Roman"/>
          <w:i/>
          <w:color w:val="000000"/>
          <w:sz w:val="24"/>
          <w:szCs w:val="24"/>
        </w:rPr>
        <w:t>Liquidity Coverage Ratio</w:t>
      </w:r>
      <w:r w:rsidRPr="00A0376A">
        <w:rPr>
          <w:rFonts w:ascii="Times New Roman" w:hAnsi="Times New Roman" w:cs="Times New Roman"/>
          <w:color w:val="000000"/>
          <w:sz w:val="24"/>
          <w:szCs w:val="24"/>
        </w:rPr>
        <w:t>) s’établit à 1</w:t>
      </w:r>
      <w:r w:rsidR="00281497">
        <w:rPr>
          <w:rFonts w:ascii="Times New Roman" w:hAnsi="Times New Roman" w:cs="Times New Roman"/>
          <w:color w:val="000000"/>
          <w:sz w:val="24"/>
          <w:szCs w:val="24"/>
        </w:rPr>
        <w:t>3</w:t>
      </w:r>
      <w:r w:rsidRPr="00A0376A">
        <w:rPr>
          <w:rFonts w:ascii="Times New Roman" w:hAnsi="Times New Roman" w:cs="Times New Roman"/>
          <w:color w:val="000000"/>
          <w:sz w:val="24"/>
          <w:szCs w:val="24"/>
        </w:rPr>
        <w:t xml:space="preserve">0% </w:t>
      </w:r>
      <w:r w:rsidR="00281497">
        <w:rPr>
          <w:rFonts w:ascii="Times New Roman" w:hAnsi="Times New Roman" w:cs="Times New Roman"/>
          <w:color w:val="000000"/>
          <w:sz w:val="24"/>
          <w:szCs w:val="24"/>
        </w:rPr>
        <w:t>début</w:t>
      </w:r>
      <w:r w:rsidRPr="00A0376A">
        <w:rPr>
          <w:rFonts w:ascii="Times New Roman" w:hAnsi="Times New Roman" w:cs="Times New Roman"/>
          <w:color w:val="000000"/>
          <w:sz w:val="24"/>
          <w:szCs w:val="24"/>
        </w:rPr>
        <w:t xml:space="preserve"> 201</w:t>
      </w:r>
      <w:r w:rsidR="00281497">
        <w:rPr>
          <w:rFonts w:ascii="Times New Roman" w:hAnsi="Times New Roman" w:cs="Times New Roman"/>
          <w:color w:val="000000"/>
          <w:sz w:val="24"/>
          <w:szCs w:val="24"/>
        </w:rPr>
        <w:t>8</w:t>
      </w:r>
      <w:r w:rsidRPr="00A0376A">
        <w:rPr>
          <w:rFonts w:ascii="Times New Roman" w:hAnsi="Times New Roman" w:cs="Times New Roman"/>
          <w:color w:val="000000"/>
          <w:sz w:val="24"/>
          <w:szCs w:val="24"/>
        </w:rPr>
        <w:t>, très supérieur à la norme de 80%. Si l’endettement des acteurs privés est très élevé, en particulier celui des ménages (</w:t>
      </w:r>
      <w:r w:rsidR="00DA3122">
        <w:rPr>
          <w:rFonts w:ascii="Times New Roman" w:hAnsi="Times New Roman" w:cs="Times New Roman"/>
          <w:color w:val="000000"/>
          <w:sz w:val="24"/>
          <w:szCs w:val="24"/>
        </w:rPr>
        <w:t xml:space="preserve">montant de </w:t>
      </w:r>
      <w:r w:rsidRPr="00A0376A">
        <w:rPr>
          <w:rFonts w:ascii="Times New Roman" w:hAnsi="Times New Roman" w:cs="Times New Roman"/>
          <w:color w:val="000000"/>
          <w:sz w:val="24"/>
          <w:szCs w:val="24"/>
        </w:rPr>
        <w:t>dette cumulée à 8</w:t>
      </w:r>
      <w:r w:rsidR="00DA3122">
        <w:rPr>
          <w:rFonts w:ascii="Times New Roman" w:hAnsi="Times New Roman" w:cs="Times New Roman"/>
          <w:color w:val="000000"/>
          <w:sz w:val="24"/>
          <w:szCs w:val="24"/>
        </w:rPr>
        <w:t>5</w:t>
      </w:r>
      <w:r w:rsidRPr="00A0376A">
        <w:rPr>
          <w:rFonts w:ascii="Times New Roman" w:hAnsi="Times New Roman" w:cs="Times New Roman"/>
          <w:color w:val="000000"/>
          <w:sz w:val="24"/>
          <w:szCs w:val="24"/>
        </w:rPr>
        <w:t xml:space="preserve">% du PIB </w:t>
      </w:r>
      <w:r w:rsidR="00DA3122">
        <w:rPr>
          <w:rFonts w:ascii="Times New Roman" w:hAnsi="Times New Roman" w:cs="Times New Roman"/>
          <w:color w:val="000000"/>
          <w:sz w:val="24"/>
          <w:szCs w:val="24"/>
        </w:rPr>
        <w:t>fin 2017, équivalent au niveau d’endettement des ménages en Corée du Sud ou au Royaume-Uni</w:t>
      </w:r>
      <w:r w:rsidRPr="00A0376A">
        <w:rPr>
          <w:rFonts w:ascii="Times New Roman" w:hAnsi="Times New Roman" w:cs="Times New Roman"/>
          <w:color w:val="000000"/>
          <w:sz w:val="24"/>
          <w:szCs w:val="24"/>
        </w:rPr>
        <w:t xml:space="preserve">), la qualité des actifs en collatéral et la soutenabilité des charges financières pour les débiteurs contiennent son impact négatif. Le taux des crédits à risque </w:t>
      </w:r>
      <w:r w:rsidR="003A1E82">
        <w:rPr>
          <w:rFonts w:ascii="Times New Roman" w:hAnsi="Times New Roman" w:cs="Times New Roman"/>
          <w:color w:val="000000"/>
          <w:sz w:val="24"/>
          <w:szCs w:val="24"/>
        </w:rPr>
        <w:t>est faible pour les entreprises (2%) comme pour les ménages (1%)</w:t>
      </w:r>
      <w:r w:rsidR="004B2D8F" w:rsidRPr="000E6C76">
        <w:rPr>
          <w:rFonts w:ascii="Times New Roman" w:hAnsi="Times New Roman" w:cs="Times New Roman"/>
          <w:color w:val="000000"/>
          <w:sz w:val="24"/>
          <w:szCs w:val="24"/>
        </w:rPr>
        <w:t>.</w:t>
      </w:r>
    </w:p>
    <w:p w:rsidR="00573595" w:rsidRDefault="00573595" w:rsidP="000E6C76">
      <w:pPr>
        <w:spacing w:after="0" w:line="240" w:lineRule="auto"/>
        <w:jc w:val="both"/>
        <w:rPr>
          <w:rFonts w:ascii="Times New Roman" w:hAnsi="Times New Roman" w:cs="Times New Roman"/>
          <w:color w:val="000000"/>
          <w:sz w:val="24"/>
          <w:szCs w:val="24"/>
        </w:rPr>
      </w:pPr>
    </w:p>
    <w:p w:rsidR="00451995" w:rsidRDefault="00ED3D4E" w:rsidP="000E6C7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Début 2018, le montant de l’ensemble des crédits bancaires et des établissements financiers de développement (ex : SME Bank) s’établissait à un plus de 1 730 Md de ringgits (environ 360 Md€), sur un montant net total de financements à l’économie </w:t>
      </w:r>
      <w:r w:rsidR="00973508">
        <w:rPr>
          <w:rFonts w:ascii="Times New Roman" w:hAnsi="Times New Roman" w:cs="Times New Roman"/>
          <w:color w:val="000000"/>
          <w:sz w:val="24"/>
          <w:szCs w:val="24"/>
        </w:rPr>
        <w:t xml:space="preserve">(hors secteur public) </w:t>
      </w:r>
      <w:r>
        <w:rPr>
          <w:rFonts w:ascii="Times New Roman" w:hAnsi="Times New Roman" w:cs="Times New Roman"/>
          <w:color w:val="000000"/>
          <w:sz w:val="24"/>
          <w:szCs w:val="24"/>
        </w:rPr>
        <w:t>de 2 200 Md RM (</w:t>
      </w:r>
      <w:r w:rsidR="007C370F">
        <w:rPr>
          <w:rFonts w:ascii="Times New Roman" w:hAnsi="Times New Roman" w:cs="Times New Roman"/>
          <w:color w:val="000000"/>
          <w:sz w:val="24"/>
          <w:szCs w:val="24"/>
        </w:rPr>
        <w:t>plus de 475 Md€), le</w:t>
      </w:r>
      <w:r w:rsidR="00451995">
        <w:rPr>
          <w:rFonts w:ascii="Times New Roman" w:hAnsi="Times New Roman" w:cs="Times New Roman"/>
          <w:color w:val="000000"/>
          <w:sz w:val="24"/>
          <w:szCs w:val="24"/>
        </w:rPr>
        <w:t>s</w:t>
      </w:r>
      <w:r w:rsidR="007C370F">
        <w:rPr>
          <w:rFonts w:ascii="Times New Roman" w:hAnsi="Times New Roman" w:cs="Times New Roman"/>
          <w:color w:val="000000"/>
          <w:sz w:val="24"/>
          <w:szCs w:val="24"/>
        </w:rPr>
        <w:t>quels incluent la dette obligataire des entreprises.</w:t>
      </w:r>
      <w:r w:rsidR="000963B0">
        <w:rPr>
          <w:rFonts w:ascii="Times New Roman" w:hAnsi="Times New Roman" w:cs="Times New Roman"/>
          <w:color w:val="000000"/>
          <w:sz w:val="24"/>
          <w:szCs w:val="24"/>
        </w:rPr>
        <w:t xml:space="preserve"> La part des crédits bancaires aux entreprises s’établit à environ 20%, à moitié entre grandes entreprises et PME.</w:t>
      </w:r>
    </w:p>
    <w:p w:rsidR="00451995" w:rsidRDefault="00451995" w:rsidP="000E6C76">
      <w:pPr>
        <w:spacing w:after="0" w:line="240" w:lineRule="auto"/>
        <w:jc w:val="both"/>
        <w:rPr>
          <w:rFonts w:ascii="Times New Roman" w:hAnsi="Times New Roman" w:cs="Times New Roman"/>
          <w:color w:val="000000"/>
          <w:sz w:val="24"/>
          <w:szCs w:val="24"/>
        </w:rPr>
      </w:pPr>
    </w:p>
    <w:p w:rsidR="004A0347" w:rsidRDefault="000963B0" w:rsidP="000E6C7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Pour les PME</w:t>
      </w:r>
      <w:r w:rsidR="00C118F1">
        <w:rPr>
          <w:rFonts w:ascii="Times New Roman" w:hAnsi="Times New Roman" w:cs="Times New Roman"/>
          <w:color w:val="000000"/>
          <w:sz w:val="24"/>
          <w:szCs w:val="24"/>
        </w:rPr>
        <w:t xml:space="preserve"> malaisiennes</w:t>
      </w:r>
      <w:r>
        <w:rPr>
          <w:rFonts w:ascii="Times New Roman" w:hAnsi="Times New Roman" w:cs="Times New Roman"/>
          <w:color w:val="000000"/>
          <w:sz w:val="24"/>
          <w:szCs w:val="24"/>
        </w:rPr>
        <w:t xml:space="preserve">, les crédits bancaires sont concentrés sur les secteurs suivants : finance, assurance et activités commerciales (30%), commerce de gros et de détail (25%) et fabrication (15%). S’agissant des PME françaises </w:t>
      </w:r>
      <w:r w:rsidR="00451995">
        <w:rPr>
          <w:rFonts w:ascii="Times New Roman" w:hAnsi="Times New Roman" w:cs="Times New Roman"/>
          <w:color w:val="000000"/>
          <w:sz w:val="24"/>
          <w:szCs w:val="24"/>
        </w:rPr>
        <w:t xml:space="preserve">implantées en Malaisie </w:t>
      </w:r>
      <w:r>
        <w:rPr>
          <w:rFonts w:ascii="Times New Roman" w:hAnsi="Times New Roman" w:cs="Times New Roman"/>
          <w:color w:val="000000"/>
          <w:sz w:val="24"/>
          <w:szCs w:val="24"/>
        </w:rPr>
        <w:t xml:space="preserve">(filiales de PME </w:t>
      </w:r>
      <w:r w:rsidR="00451995">
        <w:rPr>
          <w:rFonts w:ascii="Times New Roman" w:hAnsi="Times New Roman" w:cs="Times New Roman"/>
          <w:color w:val="000000"/>
          <w:sz w:val="24"/>
          <w:szCs w:val="24"/>
        </w:rPr>
        <w:t xml:space="preserve">ayant leur siège </w:t>
      </w:r>
      <w:r>
        <w:rPr>
          <w:rFonts w:ascii="Times New Roman" w:hAnsi="Times New Roman" w:cs="Times New Roman"/>
          <w:color w:val="000000"/>
          <w:sz w:val="24"/>
          <w:szCs w:val="24"/>
        </w:rPr>
        <w:t xml:space="preserve">en France), une enquête conduite fin 2017 par Business France et le Service économique </w:t>
      </w:r>
      <w:r w:rsidR="00C95A75">
        <w:rPr>
          <w:rFonts w:ascii="Times New Roman" w:hAnsi="Times New Roman" w:cs="Times New Roman"/>
          <w:color w:val="000000"/>
          <w:sz w:val="24"/>
          <w:szCs w:val="24"/>
        </w:rPr>
        <w:t xml:space="preserve">auprès d’un échantillon représentatif </w:t>
      </w:r>
      <w:r>
        <w:rPr>
          <w:rFonts w:ascii="Times New Roman" w:hAnsi="Times New Roman" w:cs="Times New Roman"/>
          <w:color w:val="000000"/>
          <w:sz w:val="24"/>
          <w:szCs w:val="24"/>
        </w:rPr>
        <w:t xml:space="preserve">a </w:t>
      </w:r>
      <w:r w:rsidR="002A1514">
        <w:rPr>
          <w:rFonts w:ascii="Times New Roman" w:hAnsi="Times New Roman" w:cs="Times New Roman"/>
          <w:color w:val="000000"/>
          <w:sz w:val="24"/>
          <w:szCs w:val="24"/>
        </w:rPr>
        <w:t xml:space="preserve">montré que </w:t>
      </w:r>
      <w:r w:rsidR="00C95A75">
        <w:rPr>
          <w:rFonts w:ascii="Times New Roman" w:hAnsi="Times New Roman" w:cs="Times New Roman"/>
          <w:color w:val="000000"/>
          <w:sz w:val="24"/>
          <w:szCs w:val="24"/>
        </w:rPr>
        <w:t xml:space="preserve">les PME françaises </w:t>
      </w:r>
      <w:r w:rsidR="00451995">
        <w:rPr>
          <w:rFonts w:ascii="Times New Roman" w:hAnsi="Times New Roman" w:cs="Times New Roman"/>
          <w:color w:val="000000"/>
          <w:sz w:val="24"/>
          <w:szCs w:val="24"/>
        </w:rPr>
        <w:t xml:space="preserve">en Malaisie </w:t>
      </w:r>
      <w:r w:rsidR="00C95A75">
        <w:rPr>
          <w:rFonts w:ascii="Times New Roman" w:hAnsi="Times New Roman" w:cs="Times New Roman"/>
          <w:color w:val="000000"/>
          <w:sz w:val="24"/>
          <w:szCs w:val="24"/>
        </w:rPr>
        <w:t xml:space="preserve">se finançaient principalement via deux canaux : </w:t>
      </w:r>
      <w:r w:rsidR="00451995">
        <w:rPr>
          <w:rFonts w:ascii="Times New Roman" w:hAnsi="Times New Roman" w:cs="Times New Roman"/>
          <w:color w:val="000000"/>
          <w:sz w:val="24"/>
          <w:szCs w:val="24"/>
        </w:rPr>
        <w:t xml:space="preserve">les </w:t>
      </w:r>
      <w:r w:rsidR="00C95A75">
        <w:rPr>
          <w:rFonts w:ascii="Times New Roman" w:hAnsi="Times New Roman" w:cs="Times New Roman"/>
          <w:color w:val="000000"/>
          <w:sz w:val="24"/>
          <w:szCs w:val="24"/>
        </w:rPr>
        <w:t xml:space="preserve">fonds propres de la maison-mère ou </w:t>
      </w:r>
      <w:r w:rsidR="00451995">
        <w:rPr>
          <w:rFonts w:ascii="Times New Roman" w:hAnsi="Times New Roman" w:cs="Times New Roman"/>
          <w:color w:val="000000"/>
          <w:sz w:val="24"/>
          <w:szCs w:val="24"/>
        </w:rPr>
        <w:t xml:space="preserve">le </w:t>
      </w:r>
      <w:r w:rsidR="00C95A75">
        <w:rPr>
          <w:rFonts w:ascii="Times New Roman" w:hAnsi="Times New Roman" w:cs="Times New Roman"/>
          <w:color w:val="000000"/>
          <w:sz w:val="24"/>
          <w:szCs w:val="24"/>
        </w:rPr>
        <w:t xml:space="preserve">financement bancaire </w:t>
      </w:r>
      <w:r w:rsidR="00451995">
        <w:rPr>
          <w:rFonts w:ascii="Times New Roman" w:hAnsi="Times New Roman" w:cs="Times New Roman"/>
          <w:color w:val="000000"/>
          <w:sz w:val="24"/>
          <w:szCs w:val="24"/>
        </w:rPr>
        <w:t xml:space="preserve">négocié </w:t>
      </w:r>
      <w:r w:rsidR="00C95A75">
        <w:rPr>
          <w:rFonts w:ascii="Times New Roman" w:hAnsi="Times New Roman" w:cs="Times New Roman"/>
          <w:color w:val="000000"/>
          <w:sz w:val="24"/>
          <w:szCs w:val="24"/>
        </w:rPr>
        <w:t>dans le cadre d’</w:t>
      </w:r>
      <w:r w:rsidR="00D93213">
        <w:rPr>
          <w:rFonts w:ascii="Times New Roman" w:hAnsi="Times New Roman" w:cs="Times New Roman"/>
          <w:color w:val="000000"/>
          <w:sz w:val="24"/>
          <w:szCs w:val="24"/>
        </w:rPr>
        <w:t xml:space="preserve">un </w:t>
      </w:r>
      <w:r w:rsidR="00C95A75">
        <w:rPr>
          <w:rFonts w:ascii="Times New Roman" w:hAnsi="Times New Roman" w:cs="Times New Roman"/>
          <w:color w:val="000000"/>
          <w:sz w:val="24"/>
          <w:szCs w:val="24"/>
        </w:rPr>
        <w:t xml:space="preserve">accord de groupe (maison-mère </w:t>
      </w:r>
      <w:r w:rsidR="00451995">
        <w:rPr>
          <w:rFonts w:ascii="Times New Roman" w:hAnsi="Times New Roman" w:cs="Times New Roman"/>
          <w:color w:val="000000"/>
          <w:sz w:val="24"/>
          <w:szCs w:val="24"/>
        </w:rPr>
        <w:t xml:space="preserve">en France </w:t>
      </w:r>
      <w:r w:rsidR="00C95A75">
        <w:rPr>
          <w:rFonts w:ascii="Times New Roman" w:hAnsi="Times New Roman" w:cs="Times New Roman"/>
          <w:color w:val="000000"/>
          <w:sz w:val="24"/>
          <w:szCs w:val="24"/>
        </w:rPr>
        <w:t>et établissement bancaire français ou étranger</w:t>
      </w:r>
      <w:r w:rsidR="00E461A0">
        <w:rPr>
          <w:rFonts w:ascii="Times New Roman" w:hAnsi="Times New Roman" w:cs="Times New Roman"/>
          <w:color w:val="000000"/>
          <w:sz w:val="24"/>
          <w:szCs w:val="24"/>
        </w:rPr>
        <w:t>, ayant une implantation en Malaisie</w:t>
      </w:r>
      <w:r w:rsidR="00C95A75">
        <w:rPr>
          <w:rFonts w:ascii="Times New Roman" w:hAnsi="Times New Roman" w:cs="Times New Roman"/>
          <w:color w:val="000000"/>
          <w:sz w:val="24"/>
          <w:szCs w:val="24"/>
        </w:rPr>
        <w:t>).</w:t>
      </w:r>
    </w:p>
    <w:p w:rsidR="00942E79" w:rsidRPr="00942E79" w:rsidRDefault="00942E79" w:rsidP="00942E79">
      <w:pPr>
        <w:autoSpaceDE w:val="0"/>
        <w:autoSpaceDN w:val="0"/>
        <w:adjustRightInd w:val="0"/>
        <w:spacing w:after="0" w:line="240" w:lineRule="auto"/>
        <w:jc w:val="both"/>
        <w:rPr>
          <w:rFonts w:ascii="Times New Roman" w:hAnsi="Times New Roman" w:cs="Times New Roman"/>
          <w:color w:val="000000"/>
          <w:sz w:val="10"/>
          <w:szCs w:val="24"/>
        </w:rPr>
      </w:pPr>
    </w:p>
    <w:p w:rsidR="00573595" w:rsidRPr="000E6C76" w:rsidRDefault="000963B0" w:rsidP="000E6C76">
      <w:pPr>
        <w:pStyle w:val="Paragraphedeliste"/>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Le coût de l’argent en Malaisie</w:t>
      </w:r>
    </w:p>
    <w:p w:rsidR="005E6A2A" w:rsidRPr="00A336FE" w:rsidRDefault="005E6A2A" w:rsidP="00942E79">
      <w:pPr>
        <w:autoSpaceDE w:val="0"/>
        <w:autoSpaceDN w:val="0"/>
        <w:adjustRightInd w:val="0"/>
        <w:spacing w:after="0" w:line="240" w:lineRule="auto"/>
        <w:jc w:val="center"/>
        <w:rPr>
          <w:rFonts w:ascii="Times New Roman" w:hAnsi="Times New Roman" w:cs="Times New Roman"/>
          <w:color w:val="000000"/>
          <w:sz w:val="10"/>
          <w:szCs w:val="24"/>
        </w:rPr>
      </w:pPr>
    </w:p>
    <w:p w:rsidR="00EB3D02" w:rsidRDefault="009D5C21" w:rsidP="00786A6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Indépendamment des règles particulières de la finance islamique, le financement bancaire en Malaisie est généralement fondé sur des taux variables, qui</w:t>
      </w:r>
      <w:r w:rsidR="0010588C">
        <w:rPr>
          <w:rFonts w:ascii="Times New Roman" w:hAnsi="Times New Roman" w:cs="Times New Roman"/>
          <w:color w:val="000000"/>
          <w:sz w:val="24"/>
          <w:szCs w:val="24"/>
        </w:rPr>
        <w:t xml:space="preserve"> évoluent en fonction des principaux taux directeurs</w:t>
      </w:r>
      <w:r w:rsidR="00451995">
        <w:rPr>
          <w:rFonts w:ascii="Times New Roman" w:hAnsi="Times New Roman" w:cs="Times New Roman"/>
          <w:color w:val="000000"/>
          <w:sz w:val="24"/>
          <w:szCs w:val="24"/>
        </w:rPr>
        <w:t>, comme illustré par le graphique ci-après.</w:t>
      </w:r>
    </w:p>
    <w:p w:rsidR="009D5C21" w:rsidRPr="00942E79" w:rsidRDefault="009D5C21" w:rsidP="00786A62">
      <w:pPr>
        <w:spacing w:after="0" w:line="240" w:lineRule="auto"/>
        <w:jc w:val="both"/>
        <w:rPr>
          <w:rFonts w:ascii="Times New Roman" w:hAnsi="Times New Roman" w:cs="Times New Roman"/>
          <w:color w:val="000000"/>
          <w:sz w:val="12"/>
          <w:szCs w:val="24"/>
        </w:rPr>
      </w:pPr>
    </w:p>
    <w:p w:rsidR="00EB3D02" w:rsidRDefault="00942E79" w:rsidP="00942E79">
      <w:pPr>
        <w:spacing w:after="0" w:line="240" w:lineRule="auto"/>
        <w:jc w:val="center"/>
        <w:rPr>
          <w:rFonts w:ascii="Times New Roman" w:hAnsi="Times New Roman" w:cs="Times New Roman"/>
          <w:color w:val="000000"/>
          <w:sz w:val="24"/>
          <w:szCs w:val="24"/>
        </w:rPr>
      </w:pPr>
      <w:r w:rsidRPr="00942E79">
        <w:rPr>
          <w:noProof/>
          <w:lang w:eastAsia="fr-FR"/>
        </w:rPr>
        <w:drawing>
          <wp:inline distT="0" distB="0" distL="0" distR="0" wp14:anchorId="50BF6E4F" wp14:editId="46C142B6">
            <wp:extent cx="5084031" cy="2854325"/>
            <wp:effectExtent l="0" t="0" r="254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6637" cy="2878245"/>
                    </a:xfrm>
                    <a:prstGeom prst="rect">
                      <a:avLst/>
                    </a:prstGeom>
                  </pic:spPr>
                </pic:pic>
              </a:graphicData>
            </a:graphic>
          </wp:inline>
        </w:drawing>
      </w:r>
    </w:p>
    <w:sectPr w:rsidR="00EB3D02" w:rsidSect="00942E79">
      <w:head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BD0" w:rsidRDefault="00F53BD0" w:rsidP="00276BAE">
      <w:pPr>
        <w:spacing w:after="0" w:line="240" w:lineRule="auto"/>
      </w:pPr>
      <w:r>
        <w:separator/>
      </w:r>
    </w:p>
  </w:endnote>
  <w:endnote w:type="continuationSeparator" w:id="0">
    <w:p w:rsidR="00F53BD0" w:rsidRDefault="00F53BD0" w:rsidP="0027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BD0" w:rsidRDefault="00F53BD0" w:rsidP="00276BAE">
      <w:pPr>
        <w:spacing w:after="0" w:line="240" w:lineRule="auto"/>
      </w:pPr>
      <w:r>
        <w:separator/>
      </w:r>
    </w:p>
  </w:footnote>
  <w:footnote w:type="continuationSeparator" w:id="0">
    <w:p w:rsidR="00F53BD0" w:rsidRDefault="00F53BD0" w:rsidP="00276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4F" w:rsidRPr="00942E79" w:rsidRDefault="004E104F" w:rsidP="00942E79">
    <w:pPr>
      <w:pStyle w:val="En-tte"/>
      <w:shd w:val="clear" w:color="auto" w:fill="D9D9D9" w:themeFill="background1" w:themeFillShade="D9"/>
      <w:rPr>
        <w:rFonts w:ascii="Times New Roman" w:hAnsi="Times New Roman" w:cs="Times New Roman"/>
        <w:b/>
        <w:sz w:val="20"/>
      </w:rPr>
    </w:pPr>
    <w:r w:rsidRPr="00EF5734">
      <w:rPr>
        <w:rFonts w:ascii="Times New Roman" w:hAnsi="Times New Roman" w:cs="Times New Roman"/>
        <w:b/>
        <w:sz w:val="20"/>
      </w:rPr>
      <w:t>Service économique de Kuala Lumpur</w:t>
    </w:r>
    <w:r w:rsidRPr="00EF5734">
      <w:rPr>
        <w:rFonts w:ascii="Times New Roman" w:hAnsi="Times New Roman" w:cs="Times New Roman"/>
        <w:b/>
        <w:sz w:val="20"/>
      </w:rPr>
      <w:tab/>
    </w:r>
    <w:r w:rsidRPr="00EF5734">
      <w:rPr>
        <w:rFonts w:ascii="Times New Roman" w:hAnsi="Times New Roman" w:cs="Times New Roman"/>
        <w:b/>
        <w:sz w:val="20"/>
      </w:rPr>
      <w:tab/>
    </w:r>
    <w:r w:rsidR="00A0376A">
      <w:rPr>
        <w:rFonts w:ascii="Times New Roman" w:hAnsi="Times New Roman" w:cs="Times New Roman"/>
        <w:b/>
        <w:sz w:val="20"/>
      </w:rPr>
      <w:t>mars</w:t>
    </w:r>
    <w:r w:rsidRPr="00EF5734">
      <w:rPr>
        <w:rFonts w:ascii="Times New Roman" w:hAnsi="Times New Roman" w:cs="Times New Roman"/>
        <w:b/>
        <w:sz w:val="20"/>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C5C87"/>
    <w:multiLevelType w:val="hybridMultilevel"/>
    <w:tmpl w:val="BE2C16B2"/>
    <w:lvl w:ilvl="0" w:tplc="C860A9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022143"/>
    <w:multiLevelType w:val="hybridMultilevel"/>
    <w:tmpl w:val="BE2C16B2"/>
    <w:lvl w:ilvl="0" w:tplc="C860A9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FB"/>
    <w:rsid w:val="00075B6E"/>
    <w:rsid w:val="000963B0"/>
    <w:rsid w:val="000E6C76"/>
    <w:rsid w:val="000F5F85"/>
    <w:rsid w:val="00105472"/>
    <w:rsid w:val="0010588C"/>
    <w:rsid w:val="00110DB6"/>
    <w:rsid w:val="00132315"/>
    <w:rsid w:val="001432D7"/>
    <w:rsid w:val="0017255F"/>
    <w:rsid w:val="00181E07"/>
    <w:rsid w:val="001D6F9D"/>
    <w:rsid w:val="001E3228"/>
    <w:rsid w:val="001E6542"/>
    <w:rsid w:val="00223B6D"/>
    <w:rsid w:val="00276BAE"/>
    <w:rsid w:val="00281497"/>
    <w:rsid w:val="00285234"/>
    <w:rsid w:val="002A1514"/>
    <w:rsid w:val="00303EE2"/>
    <w:rsid w:val="00355A20"/>
    <w:rsid w:val="003A1E82"/>
    <w:rsid w:val="003E2622"/>
    <w:rsid w:val="00404B38"/>
    <w:rsid w:val="00405122"/>
    <w:rsid w:val="00416650"/>
    <w:rsid w:val="00451995"/>
    <w:rsid w:val="00453E5F"/>
    <w:rsid w:val="00457C7C"/>
    <w:rsid w:val="00482743"/>
    <w:rsid w:val="004A0347"/>
    <w:rsid w:val="004B2D8F"/>
    <w:rsid w:val="004E104F"/>
    <w:rsid w:val="0056691C"/>
    <w:rsid w:val="0057188B"/>
    <w:rsid w:val="00573595"/>
    <w:rsid w:val="005C3CD8"/>
    <w:rsid w:val="005E6A2A"/>
    <w:rsid w:val="00655CBE"/>
    <w:rsid w:val="00672B46"/>
    <w:rsid w:val="006D14DB"/>
    <w:rsid w:val="00710407"/>
    <w:rsid w:val="00757055"/>
    <w:rsid w:val="00786A62"/>
    <w:rsid w:val="007C370F"/>
    <w:rsid w:val="007F1DD7"/>
    <w:rsid w:val="00915D67"/>
    <w:rsid w:val="009219EE"/>
    <w:rsid w:val="00942E79"/>
    <w:rsid w:val="00944DFB"/>
    <w:rsid w:val="00973508"/>
    <w:rsid w:val="00985820"/>
    <w:rsid w:val="00986963"/>
    <w:rsid w:val="009B4EF6"/>
    <w:rsid w:val="009D5C21"/>
    <w:rsid w:val="009F79E4"/>
    <w:rsid w:val="00A0376A"/>
    <w:rsid w:val="00A23F6A"/>
    <w:rsid w:val="00A262D3"/>
    <w:rsid w:val="00A336FE"/>
    <w:rsid w:val="00AA411C"/>
    <w:rsid w:val="00AF2A5A"/>
    <w:rsid w:val="00B33F69"/>
    <w:rsid w:val="00B81E18"/>
    <w:rsid w:val="00BC65B0"/>
    <w:rsid w:val="00BF5A52"/>
    <w:rsid w:val="00C118F1"/>
    <w:rsid w:val="00C93501"/>
    <w:rsid w:val="00C95A75"/>
    <w:rsid w:val="00CA6B4B"/>
    <w:rsid w:val="00CE6937"/>
    <w:rsid w:val="00CE75D9"/>
    <w:rsid w:val="00D52D55"/>
    <w:rsid w:val="00D63359"/>
    <w:rsid w:val="00D811B7"/>
    <w:rsid w:val="00D93213"/>
    <w:rsid w:val="00DA3122"/>
    <w:rsid w:val="00DB2B93"/>
    <w:rsid w:val="00DB45DE"/>
    <w:rsid w:val="00DE52D2"/>
    <w:rsid w:val="00E235C1"/>
    <w:rsid w:val="00E37A14"/>
    <w:rsid w:val="00E43D52"/>
    <w:rsid w:val="00E461A0"/>
    <w:rsid w:val="00EB3D02"/>
    <w:rsid w:val="00ED3D4E"/>
    <w:rsid w:val="00F13263"/>
    <w:rsid w:val="00F13B5A"/>
    <w:rsid w:val="00F2004B"/>
    <w:rsid w:val="00F44DCB"/>
    <w:rsid w:val="00F45C6D"/>
    <w:rsid w:val="00F53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47011-05E0-4291-94D8-7EFB4E2D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73595"/>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573595"/>
    <w:pPr>
      <w:ind w:left="720"/>
      <w:contextualSpacing/>
    </w:pPr>
  </w:style>
  <w:style w:type="paragraph" w:styleId="Notedebasdepage">
    <w:name w:val="footnote text"/>
    <w:basedOn w:val="Normal"/>
    <w:link w:val="NotedebasdepageCar"/>
    <w:uiPriority w:val="99"/>
    <w:semiHidden/>
    <w:unhideWhenUsed/>
    <w:rsid w:val="00276B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76BAE"/>
    <w:rPr>
      <w:sz w:val="20"/>
      <w:szCs w:val="20"/>
    </w:rPr>
  </w:style>
  <w:style w:type="character" w:styleId="Appelnotedebasdep">
    <w:name w:val="footnote reference"/>
    <w:basedOn w:val="Policepardfaut"/>
    <w:uiPriority w:val="99"/>
    <w:semiHidden/>
    <w:unhideWhenUsed/>
    <w:rsid w:val="00276BAE"/>
    <w:rPr>
      <w:vertAlign w:val="superscript"/>
    </w:rPr>
  </w:style>
  <w:style w:type="paragraph" w:styleId="Textedebulles">
    <w:name w:val="Balloon Text"/>
    <w:basedOn w:val="Normal"/>
    <w:link w:val="TextedebullesCar"/>
    <w:uiPriority w:val="99"/>
    <w:semiHidden/>
    <w:unhideWhenUsed/>
    <w:rsid w:val="00276B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6BAE"/>
    <w:rPr>
      <w:rFonts w:ascii="Segoe UI" w:hAnsi="Segoe UI" w:cs="Segoe UI"/>
      <w:sz w:val="18"/>
      <w:szCs w:val="18"/>
    </w:rPr>
  </w:style>
  <w:style w:type="character" w:styleId="Lienhypertexte">
    <w:name w:val="Hyperlink"/>
    <w:basedOn w:val="Policepardfaut"/>
    <w:uiPriority w:val="99"/>
    <w:unhideWhenUsed/>
    <w:rsid w:val="001E3228"/>
    <w:rPr>
      <w:color w:val="0000FF" w:themeColor="hyperlink"/>
      <w:u w:val="single"/>
    </w:rPr>
  </w:style>
  <w:style w:type="paragraph" w:styleId="En-tte">
    <w:name w:val="header"/>
    <w:basedOn w:val="Normal"/>
    <w:link w:val="En-tteCar"/>
    <w:uiPriority w:val="99"/>
    <w:unhideWhenUsed/>
    <w:rsid w:val="004E104F"/>
    <w:pPr>
      <w:tabs>
        <w:tab w:val="center" w:pos="4536"/>
        <w:tab w:val="right" w:pos="9072"/>
      </w:tabs>
      <w:spacing w:after="0" w:line="240" w:lineRule="auto"/>
    </w:pPr>
  </w:style>
  <w:style w:type="character" w:customStyle="1" w:styleId="En-tteCar">
    <w:name w:val="En-tête Car"/>
    <w:basedOn w:val="Policepardfaut"/>
    <w:link w:val="En-tte"/>
    <w:uiPriority w:val="99"/>
    <w:rsid w:val="004E104F"/>
  </w:style>
  <w:style w:type="paragraph" w:styleId="Pieddepage">
    <w:name w:val="footer"/>
    <w:basedOn w:val="Normal"/>
    <w:link w:val="PieddepageCar"/>
    <w:uiPriority w:val="99"/>
    <w:unhideWhenUsed/>
    <w:rsid w:val="004E1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27C5-E176-48A9-90D1-2341ED14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2431</Characters>
  <Application>Microsoft Office Word</Application>
  <DocSecurity>4</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M.A.E.E</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POMMIER Adelie</dc:creator>
  <cp:lastModifiedBy>PECRIAUX William</cp:lastModifiedBy>
  <cp:revision>2</cp:revision>
  <dcterms:created xsi:type="dcterms:W3CDTF">2018-03-07T10:43:00Z</dcterms:created>
  <dcterms:modified xsi:type="dcterms:W3CDTF">2018-03-07T10:43:00Z</dcterms:modified>
</cp:coreProperties>
</file>