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8DB92" w14:textId="7F4E4C70" w:rsidR="000F6AAB" w:rsidRPr="00DB53B5" w:rsidRDefault="003A6B47">
      <w:pPr>
        <w:rPr>
          <w:rFonts w:ascii="Times New Roman" w:hAnsi="Times New Roman" w:cs="Times New Roman"/>
          <w:sz w:val="22"/>
          <w:szCs w:val="22"/>
        </w:rPr>
      </w:pPr>
      <w:r>
        <w:rPr>
          <w:rFonts w:ascii="Times New Roman" w:hAnsi="Times New Roman" w:cs="Times New Roman"/>
          <w:sz w:val="22"/>
          <w:szCs w:val="22"/>
        </w:rPr>
        <w:t>Rédactrice : Emilie Griffiths</w:t>
      </w:r>
    </w:p>
    <w:p w14:paraId="1D3E68AA" w14:textId="2B9099C0" w:rsidR="00D03A00" w:rsidRPr="00DB53B5" w:rsidRDefault="00D03A00" w:rsidP="00D03A00">
      <w:pPr>
        <w:jc w:val="right"/>
        <w:rPr>
          <w:rFonts w:ascii="Times New Roman" w:hAnsi="Times New Roman" w:cs="Times New Roman"/>
          <w:sz w:val="22"/>
          <w:szCs w:val="22"/>
        </w:rPr>
      </w:pPr>
      <w:r w:rsidRPr="00DB53B5">
        <w:rPr>
          <w:rFonts w:ascii="Times New Roman" w:hAnsi="Times New Roman" w:cs="Times New Roman"/>
          <w:sz w:val="22"/>
          <w:szCs w:val="22"/>
        </w:rPr>
        <w:t xml:space="preserve">Manille, </w:t>
      </w:r>
      <w:r w:rsidR="00140EE0">
        <w:rPr>
          <w:rFonts w:ascii="Times New Roman" w:hAnsi="Times New Roman" w:cs="Times New Roman"/>
          <w:sz w:val="22"/>
          <w:szCs w:val="22"/>
        </w:rPr>
        <w:t>20 septembre</w:t>
      </w:r>
      <w:r w:rsidR="002912A2">
        <w:rPr>
          <w:rFonts w:ascii="Times New Roman" w:hAnsi="Times New Roman" w:cs="Times New Roman"/>
          <w:sz w:val="22"/>
          <w:szCs w:val="22"/>
        </w:rPr>
        <w:t xml:space="preserve"> 2017</w:t>
      </w:r>
    </w:p>
    <w:p w14:paraId="7E41FAED" w14:textId="77777777" w:rsidR="00D03A00" w:rsidRPr="00DB53B5" w:rsidRDefault="00D03A00">
      <w:pPr>
        <w:rPr>
          <w:rFonts w:ascii="Times New Roman" w:hAnsi="Times New Roman" w:cs="Times New Roman"/>
          <w:sz w:val="22"/>
          <w:szCs w:val="22"/>
        </w:rPr>
      </w:pPr>
    </w:p>
    <w:p w14:paraId="444446A4" w14:textId="355FC278" w:rsidR="00D90B7A" w:rsidRPr="0068076D" w:rsidRDefault="0068076D" w:rsidP="0068076D">
      <w:pPr>
        <w:jc w:val="center"/>
        <w:rPr>
          <w:rFonts w:ascii="Times New Roman" w:hAnsi="Times New Roman" w:cs="Times New Roman"/>
          <w:b/>
          <w:sz w:val="22"/>
          <w:szCs w:val="22"/>
        </w:rPr>
      </w:pPr>
      <w:r w:rsidRPr="0068076D">
        <w:rPr>
          <w:rFonts w:ascii="Times New Roman" w:hAnsi="Times New Roman" w:cs="Times New Roman"/>
          <w:b/>
          <w:sz w:val="22"/>
          <w:szCs w:val="22"/>
        </w:rPr>
        <w:t>NOTE</w:t>
      </w:r>
    </w:p>
    <w:p w14:paraId="183E9ED3" w14:textId="77777777" w:rsidR="0068076D" w:rsidRPr="00DB53B5" w:rsidRDefault="0068076D">
      <w:pPr>
        <w:rPr>
          <w:rFonts w:ascii="Times New Roman" w:hAnsi="Times New Roman" w:cs="Times New Roman"/>
          <w:sz w:val="22"/>
          <w:szCs w:val="22"/>
        </w:rPr>
      </w:pPr>
    </w:p>
    <w:p w14:paraId="6D8DCAA6" w14:textId="32880201" w:rsidR="000F6AAB" w:rsidRDefault="0068076D" w:rsidP="0052687D">
      <w:pPr>
        <w:ind w:left="794" w:hanging="794"/>
        <w:jc w:val="both"/>
        <w:rPr>
          <w:rFonts w:ascii="Times New Roman Gras" w:hAnsi="Times New Roman Gras" w:cs="Times New Roman"/>
          <w:b/>
          <w:bCs/>
          <w:sz w:val="24"/>
          <w:szCs w:val="24"/>
        </w:rPr>
      </w:pPr>
      <w:r w:rsidRPr="0068076D">
        <w:rPr>
          <w:rFonts w:ascii="Times New Roman Gras" w:hAnsi="Times New Roman Gras" w:cs="Times New Roman"/>
          <w:b/>
          <w:bCs/>
          <w:sz w:val="24"/>
          <w:szCs w:val="24"/>
        </w:rPr>
        <w:t>Objet</w:t>
      </w:r>
      <w:r>
        <w:rPr>
          <w:rFonts w:ascii="Times New Roman Gras" w:hAnsi="Times New Roman Gras" w:cs="Times New Roman"/>
          <w:b/>
          <w:bCs/>
          <w:sz w:val="24"/>
          <w:szCs w:val="24"/>
        </w:rPr>
        <w:t> : L</w:t>
      </w:r>
      <w:r w:rsidR="000C3299">
        <w:rPr>
          <w:rFonts w:ascii="Times New Roman Gras" w:hAnsi="Times New Roman Gras" w:cs="Times New Roman"/>
          <w:b/>
          <w:bCs/>
          <w:sz w:val="24"/>
          <w:szCs w:val="24"/>
        </w:rPr>
        <w:t>a situation économique et financière des Philipp</w:t>
      </w:r>
      <w:r w:rsidR="0085624A" w:rsidRPr="0068076D">
        <w:rPr>
          <w:rFonts w:ascii="Times New Roman Gras" w:hAnsi="Times New Roman Gras" w:cs="Times New Roman"/>
          <w:b/>
          <w:bCs/>
          <w:sz w:val="24"/>
          <w:szCs w:val="24"/>
        </w:rPr>
        <w:t>ines</w:t>
      </w:r>
    </w:p>
    <w:p w14:paraId="3529E79E" w14:textId="77777777" w:rsidR="00564B87" w:rsidRPr="00564B87" w:rsidRDefault="00564B87" w:rsidP="00D03A00">
      <w:pPr>
        <w:shd w:val="clear" w:color="auto" w:fill="FFFFFF"/>
        <w:overflowPunct/>
        <w:autoSpaceDE/>
        <w:adjustRightInd/>
        <w:jc w:val="both"/>
        <w:rPr>
          <w:rFonts w:ascii="Times New Roman" w:hAnsi="Times New Roman" w:cs="Times New Roman"/>
          <w:sz w:val="22"/>
          <w:szCs w:val="22"/>
        </w:rPr>
      </w:pPr>
    </w:p>
    <w:tbl>
      <w:tblPr>
        <w:tblW w:w="9065" w:type="dxa"/>
        <w:tblCellMar>
          <w:left w:w="0" w:type="dxa"/>
          <w:right w:w="0" w:type="dxa"/>
        </w:tblCellMar>
        <w:tblLook w:val="04A0" w:firstRow="1" w:lastRow="0" w:firstColumn="1" w:lastColumn="0" w:noHBand="0" w:noVBand="1"/>
      </w:tblPr>
      <w:tblGrid>
        <w:gridCol w:w="3874"/>
        <w:gridCol w:w="1355"/>
        <w:gridCol w:w="1355"/>
        <w:gridCol w:w="1356"/>
        <w:gridCol w:w="1125"/>
      </w:tblGrid>
      <w:tr w:rsidR="002912A2" w:rsidRPr="007A06B2" w14:paraId="5549939D" w14:textId="70298B9A" w:rsidTr="00654FEB">
        <w:trPr>
          <w:trHeight w:val="340"/>
        </w:trPr>
        <w:tc>
          <w:tcPr>
            <w:tcW w:w="906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D7987" w14:textId="3B3CEC2A" w:rsidR="002912A2" w:rsidRPr="007A06B2" w:rsidRDefault="002912A2">
            <w:pPr>
              <w:jc w:val="center"/>
              <w:rPr>
                <w:rFonts w:ascii="Times New Roman" w:eastAsia="Calibri" w:hAnsi="Times New Roman" w:cs="Times New Roman"/>
                <w:b/>
                <w:bCs/>
                <w:color w:val="2E74B5" w:themeColor="accent1" w:themeShade="BF"/>
              </w:rPr>
            </w:pPr>
            <w:r w:rsidRPr="007A06B2">
              <w:rPr>
                <w:rFonts w:ascii="Times New Roman" w:eastAsia="Calibri" w:hAnsi="Times New Roman" w:cs="Times New Roman"/>
                <w:b/>
                <w:bCs/>
                <w:color w:val="2E74B5" w:themeColor="accent1" w:themeShade="BF"/>
              </w:rPr>
              <w:t>PRINCIPAUX INDICATEURS MACROECONOMIQUES</w:t>
            </w:r>
          </w:p>
        </w:tc>
      </w:tr>
      <w:tr w:rsidR="002912A2" w:rsidRPr="007A06B2" w14:paraId="1D6F057C" w14:textId="3F8BEDB6"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B0D704" w14:textId="77777777" w:rsidR="002912A2" w:rsidRPr="007A06B2" w:rsidRDefault="002912A2">
            <w:pPr>
              <w:jc w:val="both"/>
              <w:rPr>
                <w:rFonts w:ascii="Times New Roman" w:eastAsia="Calibri" w:hAnsi="Times New Roman" w:cs="Times New Roman"/>
              </w:rPr>
            </w:pP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553EC" w14:textId="77777777" w:rsidR="002912A2" w:rsidRPr="007A06B2" w:rsidRDefault="002912A2">
            <w:pPr>
              <w:jc w:val="center"/>
              <w:rPr>
                <w:rFonts w:ascii="Times New Roman" w:eastAsia="Calibri" w:hAnsi="Times New Roman" w:cs="Times New Roman"/>
                <w:b/>
                <w:bCs/>
              </w:rPr>
            </w:pPr>
            <w:r w:rsidRPr="007A06B2">
              <w:rPr>
                <w:rFonts w:ascii="Times New Roman" w:eastAsia="Calibri" w:hAnsi="Times New Roman" w:cs="Times New Roman"/>
                <w:b/>
                <w:bCs/>
              </w:rPr>
              <w:t>2014</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169A9" w14:textId="77777777" w:rsidR="002912A2" w:rsidRPr="007A06B2" w:rsidRDefault="002912A2">
            <w:pPr>
              <w:jc w:val="center"/>
              <w:rPr>
                <w:rFonts w:ascii="Times New Roman" w:eastAsia="Calibri" w:hAnsi="Times New Roman" w:cs="Times New Roman"/>
                <w:b/>
                <w:bCs/>
              </w:rPr>
            </w:pPr>
            <w:r w:rsidRPr="007A06B2">
              <w:rPr>
                <w:rFonts w:ascii="Times New Roman" w:eastAsia="Calibri" w:hAnsi="Times New Roman" w:cs="Times New Roman"/>
                <w:b/>
                <w:bCs/>
              </w:rPr>
              <w:t>2015</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F82F0" w14:textId="6C8F640F" w:rsidR="002912A2" w:rsidRPr="007A06B2" w:rsidRDefault="002912A2">
            <w:pPr>
              <w:jc w:val="center"/>
              <w:rPr>
                <w:rFonts w:ascii="Times New Roman" w:eastAsia="Calibri" w:hAnsi="Times New Roman" w:cs="Times New Roman"/>
                <w:b/>
                <w:bCs/>
              </w:rPr>
            </w:pPr>
            <w:r>
              <w:rPr>
                <w:rFonts w:ascii="Times New Roman" w:eastAsia="Calibri" w:hAnsi="Times New Roman" w:cs="Times New Roman"/>
                <w:b/>
                <w:bCs/>
              </w:rPr>
              <w:t>2016</w:t>
            </w:r>
          </w:p>
        </w:tc>
        <w:tc>
          <w:tcPr>
            <w:tcW w:w="1125" w:type="dxa"/>
            <w:tcBorders>
              <w:top w:val="nil"/>
              <w:left w:val="nil"/>
              <w:bottom w:val="single" w:sz="8" w:space="0" w:color="auto"/>
              <w:right w:val="single" w:sz="8" w:space="0" w:color="auto"/>
            </w:tcBorders>
          </w:tcPr>
          <w:p w14:paraId="762B2566" w14:textId="2B3CEC30" w:rsidR="002912A2" w:rsidRDefault="002912A2">
            <w:pPr>
              <w:jc w:val="center"/>
              <w:rPr>
                <w:rFonts w:ascii="Times New Roman" w:eastAsia="Calibri" w:hAnsi="Times New Roman" w:cs="Times New Roman"/>
                <w:b/>
                <w:bCs/>
              </w:rPr>
            </w:pPr>
            <w:r>
              <w:rPr>
                <w:rFonts w:ascii="Times New Roman" w:eastAsia="Calibri" w:hAnsi="Times New Roman" w:cs="Times New Roman"/>
                <w:b/>
                <w:bCs/>
              </w:rPr>
              <w:t>2017 p</w:t>
            </w:r>
          </w:p>
        </w:tc>
      </w:tr>
      <w:tr w:rsidR="002912A2" w:rsidRPr="007A06B2" w14:paraId="0174F76A" w14:textId="7046A26D"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226C9" w14:textId="73AA4C45"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rPr>
              <w:t>PIB (Mds US$)</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6C475" w14:textId="78EA5153" w:rsidR="002912A2" w:rsidRPr="007A06B2" w:rsidRDefault="002912A2" w:rsidP="007A06B2">
            <w:pPr>
              <w:ind w:right="340"/>
              <w:jc w:val="right"/>
              <w:rPr>
                <w:rFonts w:ascii="Times New Roman" w:eastAsia="Calibri" w:hAnsi="Times New Roman" w:cs="Times New Roman"/>
              </w:rPr>
            </w:pPr>
            <w:r w:rsidRPr="007A06B2">
              <w:rPr>
                <w:rFonts w:ascii="Times New Roman" w:eastAsia="Calibri" w:hAnsi="Times New Roman" w:cs="Times New Roman"/>
              </w:rPr>
              <w:t>28</w:t>
            </w:r>
            <w:r>
              <w:rPr>
                <w:rFonts w:ascii="Times New Roman" w:eastAsia="Calibri" w:hAnsi="Times New Roman" w:cs="Times New Roman"/>
              </w:rPr>
              <w:t>9</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BBBBC" w14:textId="147A17EF" w:rsidR="002912A2" w:rsidRPr="007A06B2" w:rsidRDefault="002912A2" w:rsidP="007A06B2">
            <w:pPr>
              <w:ind w:right="340"/>
              <w:jc w:val="right"/>
              <w:rPr>
                <w:rFonts w:ascii="Times New Roman" w:eastAsia="Calibri" w:hAnsi="Times New Roman" w:cs="Times New Roman"/>
              </w:rPr>
            </w:pPr>
            <w:r w:rsidRPr="007A06B2">
              <w:rPr>
                <w:rFonts w:ascii="Times New Roman" w:eastAsia="Calibri" w:hAnsi="Times New Roman" w:cs="Times New Roman"/>
              </w:rPr>
              <w:t>292</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4DDF1B" w14:textId="21F55414" w:rsidR="002912A2" w:rsidRPr="007A06B2" w:rsidRDefault="002912A2" w:rsidP="007A06B2">
            <w:pPr>
              <w:ind w:right="340"/>
              <w:jc w:val="right"/>
              <w:rPr>
                <w:rFonts w:ascii="Times New Roman" w:eastAsia="Calibri" w:hAnsi="Times New Roman" w:cs="Times New Roman"/>
              </w:rPr>
            </w:pPr>
            <w:r>
              <w:rPr>
                <w:rFonts w:ascii="Times New Roman" w:eastAsia="Calibri" w:hAnsi="Times New Roman" w:cs="Times New Roman"/>
              </w:rPr>
              <w:t>305</w:t>
            </w:r>
          </w:p>
        </w:tc>
        <w:tc>
          <w:tcPr>
            <w:tcW w:w="1125" w:type="dxa"/>
            <w:tcBorders>
              <w:top w:val="nil"/>
              <w:left w:val="nil"/>
              <w:bottom w:val="single" w:sz="8" w:space="0" w:color="auto"/>
              <w:right w:val="single" w:sz="8" w:space="0" w:color="auto"/>
            </w:tcBorders>
          </w:tcPr>
          <w:p w14:paraId="60D230D9" w14:textId="4D1B40F9" w:rsidR="002912A2" w:rsidRPr="007A06B2" w:rsidRDefault="009D764C" w:rsidP="007A06B2">
            <w:pPr>
              <w:ind w:right="340"/>
              <w:jc w:val="right"/>
              <w:rPr>
                <w:rFonts w:ascii="Times New Roman" w:eastAsia="Calibri" w:hAnsi="Times New Roman" w:cs="Times New Roman"/>
              </w:rPr>
            </w:pPr>
            <w:r>
              <w:rPr>
                <w:rFonts w:ascii="Times New Roman" w:eastAsia="Calibri" w:hAnsi="Times New Roman" w:cs="Times New Roman"/>
              </w:rPr>
              <w:t>330</w:t>
            </w:r>
          </w:p>
        </w:tc>
      </w:tr>
      <w:tr w:rsidR="002912A2" w:rsidRPr="007A06B2" w14:paraId="65554E49" w14:textId="7AA8DB68"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4407F" w14:textId="673CDCF0"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rPr>
              <w:t>PIB/Habitant (US$)</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6B41AB" w14:textId="569DB88F" w:rsidR="002912A2" w:rsidRPr="007A06B2" w:rsidRDefault="002912A2" w:rsidP="007A06B2">
            <w:pPr>
              <w:ind w:right="340"/>
              <w:jc w:val="right"/>
              <w:rPr>
                <w:rFonts w:ascii="Times New Roman" w:eastAsia="Calibri" w:hAnsi="Times New Roman" w:cs="Times New Roman"/>
              </w:rPr>
            </w:pPr>
            <w:r w:rsidRPr="007A06B2">
              <w:rPr>
                <w:rFonts w:ascii="Times New Roman" w:eastAsia="Calibri" w:hAnsi="Times New Roman" w:cs="Times New Roman"/>
              </w:rPr>
              <w:t>2 844</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33A54" w14:textId="60D0714A" w:rsidR="002912A2" w:rsidRPr="007A06B2" w:rsidRDefault="002912A2" w:rsidP="007A06B2">
            <w:pPr>
              <w:ind w:right="340"/>
              <w:jc w:val="right"/>
              <w:rPr>
                <w:rFonts w:ascii="Times New Roman" w:eastAsia="Calibri" w:hAnsi="Times New Roman" w:cs="Times New Roman"/>
              </w:rPr>
            </w:pPr>
            <w:r w:rsidRPr="007A06B2">
              <w:rPr>
                <w:rFonts w:ascii="Times New Roman" w:eastAsia="Calibri" w:hAnsi="Times New Roman" w:cs="Times New Roman"/>
              </w:rPr>
              <w:t>2 86</w:t>
            </w:r>
            <w:r>
              <w:rPr>
                <w:rFonts w:ascii="Times New Roman" w:eastAsia="Calibri" w:hAnsi="Times New Roman" w:cs="Times New Roman"/>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17012" w14:textId="2E62AA52" w:rsidR="002912A2" w:rsidRPr="002912A2" w:rsidRDefault="002912A2" w:rsidP="007A06B2">
            <w:pPr>
              <w:ind w:right="340"/>
              <w:jc w:val="right"/>
              <w:rPr>
                <w:rFonts w:ascii="Times New Roman" w:eastAsia="Calibri" w:hAnsi="Times New Roman" w:cs="Times New Roman"/>
                <w:color w:val="FF0000"/>
              </w:rPr>
            </w:pPr>
            <w:r w:rsidRPr="002912A2">
              <w:rPr>
                <w:rFonts w:ascii="Times New Roman" w:eastAsia="Calibri" w:hAnsi="Times New Roman" w:cs="Times New Roman"/>
              </w:rPr>
              <w:t>2 924</w:t>
            </w:r>
          </w:p>
        </w:tc>
        <w:tc>
          <w:tcPr>
            <w:tcW w:w="1125" w:type="dxa"/>
            <w:tcBorders>
              <w:top w:val="nil"/>
              <w:left w:val="nil"/>
              <w:bottom w:val="single" w:sz="8" w:space="0" w:color="auto"/>
              <w:right w:val="single" w:sz="8" w:space="0" w:color="auto"/>
            </w:tcBorders>
          </w:tcPr>
          <w:p w14:paraId="3AF6182C" w14:textId="5B7EC6A2" w:rsidR="002912A2" w:rsidRPr="007A06B2" w:rsidRDefault="00580DA3" w:rsidP="007A06B2">
            <w:pPr>
              <w:ind w:right="340"/>
              <w:jc w:val="right"/>
              <w:rPr>
                <w:rFonts w:ascii="Times New Roman" w:eastAsia="Calibri" w:hAnsi="Times New Roman" w:cs="Times New Roman"/>
              </w:rPr>
            </w:pPr>
            <w:r>
              <w:rPr>
                <w:rFonts w:ascii="Times New Roman" w:eastAsia="Calibri" w:hAnsi="Times New Roman" w:cs="Times New Roman"/>
              </w:rPr>
              <w:t>3 102</w:t>
            </w:r>
          </w:p>
        </w:tc>
      </w:tr>
      <w:tr w:rsidR="002912A2" w:rsidRPr="007A06B2" w14:paraId="15443C30" w14:textId="0E0A1F56"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A92827" w14:textId="77777777" w:rsidR="002912A2" w:rsidRPr="007A06B2" w:rsidRDefault="002912A2">
            <w:pPr>
              <w:jc w:val="both"/>
              <w:rPr>
                <w:rFonts w:ascii="Times New Roman" w:eastAsia="Calibri" w:hAnsi="Times New Roman" w:cs="Times New Roman"/>
                <w:color w:val="000000"/>
              </w:rPr>
            </w:pPr>
            <w:r w:rsidRPr="007A06B2">
              <w:rPr>
                <w:rFonts w:ascii="Times New Roman" w:eastAsia="Calibri" w:hAnsi="Times New Roman" w:cs="Times New Roman"/>
                <w:color w:val="000000"/>
              </w:rPr>
              <w:t>Croissance économique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62DA5"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6,2</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1E5BD"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5,9</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7527C" w14:textId="579B5E6C" w:rsidR="002912A2" w:rsidRPr="002912A2" w:rsidRDefault="002912A2" w:rsidP="007A06B2">
            <w:pPr>
              <w:ind w:right="340"/>
              <w:jc w:val="right"/>
              <w:rPr>
                <w:rFonts w:ascii="Times New Roman" w:eastAsia="Calibri" w:hAnsi="Times New Roman" w:cs="Times New Roman"/>
                <w:color w:val="FF0000"/>
              </w:rPr>
            </w:pPr>
            <w:r w:rsidRPr="002912A2">
              <w:rPr>
                <w:rFonts w:ascii="Times New Roman" w:eastAsia="Calibri" w:hAnsi="Times New Roman" w:cs="Times New Roman"/>
              </w:rPr>
              <w:t>6,</w:t>
            </w:r>
            <w:r>
              <w:rPr>
                <w:rFonts w:ascii="Times New Roman" w:eastAsia="Calibri" w:hAnsi="Times New Roman" w:cs="Times New Roman"/>
              </w:rPr>
              <w:t>8</w:t>
            </w:r>
          </w:p>
        </w:tc>
        <w:tc>
          <w:tcPr>
            <w:tcW w:w="1125" w:type="dxa"/>
            <w:tcBorders>
              <w:top w:val="nil"/>
              <w:left w:val="nil"/>
              <w:bottom w:val="single" w:sz="8" w:space="0" w:color="auto"/>
              <w:right w:val="single" w:sz="8" w:space="0" w:color="auto"/>
            </w:tcBorders>
          </w:tcPr>
          <w:p w14:paraId="3560E76E" w14:textId="6A92A00C" w:rsidR="002912A2" w:rsidRPr="007A06B2" w:rsidRDefault="00341118" w:rsidP="007A06B2">
            <w:pPr>
              <w:ind w:right="340"/>
              <w:jc w:val="right"/>
              <w:rPr>
                <w:rFonts w:ascii="Times New Roman" w:eastAsia="Calibri" w:hAnsi="Times New Roman" w:cs="Times New Roman"/>
                <w:color w:val="000000"/>
              </w:rPr>
            </w:pPr>
            <w:r>
              <w:rPr>
                <w:rFonts w:ascii="Times New Roman" w:eastAsia="Calibri" w:hAnsi="Times New Roman" w:cs="Times New Roman"/>
                <w:color w:val="000000"/>
              </w:rPr>
              <w:t>6,8</w:t>
            </w:r>
          </w:p>
        </w:tc>
      </w:tr>
      <w:tr w:rsidR="002912A2" w:rsidRPr="007A06B2" w14:paraId="546F3CEE" w14:textId="619B41D9"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5A872" w14:textId="77777777" w:rsidR="002912A2" w:rsidRPr="007A06B2" w:rsidRDefault="002912A2">
            <w:pPr>
              <w:jc w:val="both"/>
              <w:rPr>
                <w:rFonts w:ascii="Times New Roman" w:eastAsia="Calibri" w:hAnsi="Times New Roman" w:cs="Times New Roman"/>
                <w:color w:val="000000"/>
              </w:rPr>
            </w:pPr>
            <w:r w:rsidRPr="007A06B2">
              <w:rPr>
                <w:rFonts w:ascii="Times New Roman" w:eastAsia="Calibri" w:hAnsi="Times New Roman" w:cs="Times New Roman"/>
                <w:color w:val="000000"/>
              </w:rPr>
              <w:t>Inflation (moyenne annuelle en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C014B"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4,2</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A7908"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1,4</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1F920" w14:textId="2CEFB5F5" w:rsidR="002912A2" w:rsidRPr="002912A2" w:rsidRDefault="002912A2" w:rsidP="007A06B2">
            <w:pPr>
              <w:ind w:right="340"/>
              <w:jc w:val="right"/>
              <w:rPr>
                <w:rFonts w:ascii="Times New Roman" w:eastAsia="Calibri" w:hAnsi="Times New Roman" w:cs="Times New Roman"/>
                <w:color w:val="FF0000"/>
              </w:rPr>
            </w:pPr>
            <w:r w:rsidRPr="002912A2">
              <w:rPr>
                <w:rFonts w:ascii="Times New Roman" w:eastAsia="Calibri" w:hAnsi="Times New Roman" w:cs="Times New Roman"/>
              </w:rPr>
              <w:t>1,8</w:t>
            </w:r>
          </w:p>
        </w:tc>
        <w:tc>
          <w:tcPr>
            <w:tcW w:w="1125" w:type="dxa"/>
            <w:tcBorders>
              <w:top w:val="nil"/>
              <w:left w:val="nil"/>
              <w:bottom w:val="single" w:sz="8" w:space="0" w:color="auto"/>
              <w:right w:val="single" w:sz="8" w:space="0" w:color="auto"/>
            </w:tcBorders>
          </w:tcPr>
          <w:p w14:paraId="1C3A0856" w14:textId="299710F1" w:rsidR="002912A2" w:rsidRPr="007A06B2" w:rsidRDefault="00580DA3" w:rsidP="007A06B2">
            <w:pPr>
              <w:ind w:right="340"/>
              <w:jc w:val="right"/>
              <w:rPr>
                <w:rFonts w:ascii="Times New Roman" w:eastAsia="Calibri" w:hAnsi="Times New Roman" w:cs="Times New Roman"/>
                <w:color w:val="000000"/>
              </w:rPr>
            </w:pPr>
            <w:r>
              <w:rPr>
                <w:rFonts w:ascii="Times New Roman" w:eastAsia="Calibri" w:hAnsi="Times New Roman" w:cs="Times New Roman"/>
                <w:color w:val="000000"/>
              </w:rPr>
              <w:t>3,6</w:t>
            </w:r>
          </w:p>
        </w:tc>
      </w:tr>
      <w:tr w:rsidR="002912A2" w:rsidRPr="007A06B2" w14:paraId="6B491222" w14:textId="795E914C"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5D69" w14:textId="77777777"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color w:val="000000"/>
              </w:rPr>
              <w:t>Solde public/PIB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97503"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0,9</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AD533"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0,2</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1C896" w14:textId="49794A11" w:rsidR="002912A2" w:rsidRPr="002912A2" w:rsidRDefault="009D764C" w:rsidP="007A06B2">
            <w:pPr>
              <w:ind w:right="340"/>
              <w:jc w:val="right"/>
              <w:rPr>
                <w:rFonts w:ascii="Times New Roman" w:eastAsia="Calibri" w:hAnsi="Times New Roman" w:cs="Times New Roman"/>
                <w:color w:val="FF0000"/>
              </w:rPr>
            </w:pPr>
            <w:r>
              <w:rPr>
                <w:rFonts w:ascii="Times New Roman" w:eastAsia="Calibri" w:hAnsi="Times New Roman" w:cs="Times New Roman"/>
              </w:rPr>
              <w:t>-0,4</w:t>
            </w:r>
          </w:p>
        </w:tc>
        <w:tc>
          <w:tcPr>
            <w:tcW w:w="1125" w:type="dxa"/>
            <w:tcBorders>
              <w:top w:val="nil"/>
              <w:left w:val="nil"/>
              <w:bottom w:val="single" w:sz="8" w:space="0" w:color="auto"/>
              <w:right w:val="single" w:sz="8" w:space="0" w:color="auto"/>
            </w:tcBorders>
          </w:tcPr>
          <w:p w14:paraId="3BF90A72" w14:textId="2371AA18" w:rsidR="002912A2" w:rsidRPr="007A06B2" w:rsidRDefault="00580DA3" w:rsidP="007A06B2">
            <w:pPr>
              <w:ind w:right="340"/>
              <w:jc w:val="right"/>
              <w:rPr>
                <w:rFonts w:ascii="Times New Roman" w:eastAsia="Calibri" w:hAnsi="Times New Roman" w:cs="Times New Roman"/>
                <w:color w:val="000000"/>
              </w:rPr>
            </w:pPr>
            <w:r>
              <w:rPr>
                <w:rFonts w:ascii="Times New Roman" w:eastAsia="Calibri" w:hAnsi="Times New Roman" w:cs="Times New Roman"/>
                <w:color w:val="000000"/>
              </w:rPr>
              <w:t>-1</w:t>
            </w:r>
          </w:p>
        </w:tc>
      </w:tr>
      <w:tr w:rsidR="002912A2" w:rsidRPr="007A06B2" w14:paraId="2D5A3849" w14:textId="5C127860"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A55111" w14:textId="77777777"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rPr>
              <w:t>Dette publique / PIB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3C648"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36,4</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A681C"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34,8</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8DD99" w14:textId="167AF941" w:rsidR="002912A2" w:rsidRPr="002912A2" w:rsidRDefault="002912A2" w:rsidP="007A06B2">
            <w:pPr>
              <w:ind w:right="340"/>
              <w:jc w:val="right"/>
              <w:rPr>
                <w:rFonts w:ascii="Times New Roman" w:eastAsia="Calibri" w:hAnsi="Times New Roman" w:cs="Times New Roman"/>
                <w:color w:val="FF0000"/>
              </w:rPr>
            </w:pPr>
            <w:r w:rsidRPr="00823888">
              <w:rPr>
                <w:rFonts w:ascii="Times New Roman" w:eastAsia="Calibri" w:hAnsi="Times New Roman" w:cs="Times New Roman"/>
              </w:rPr>
              <w:t>33,</w:t>
            </w:r>
            <w:r w:rsidR="00823888" w:rsidRPr="00823888">
              <w:rPr>
                <w:rFonts w:ascii="Times New Roman" w:eastAsia="Calibri" w:hAnsi="Times New Roman" w:cs="Times New Roman"/>
              </w:rPr>
              <w:t>7</w:t>
            </w:r>
          </w:p>
        </w:tc>
        <w:tc>
          <w:tcPr>
            <w:tcW w:w="1125" w:type="dxa"/>
            <w:tcBorders>
              <w:top w:val="nil"/>
              <w:left w:val="nil"/>
              <w:bottom w:val="single" w:sz="8" w:space="0" w:color="auto"/>
              <w:right w:val="single" w:sz="8" w:space="0" w:color="auto"/>
            </w:tcBorders>
          </w:tcPr>
          <w:p w14:paraId="4BA0E739" w14:textId="5A972B91" w:rsidR="002912A2" w:rsidRPr="007A06B2" w:rsidRDefault="00580DA3" w:rsidP="007A06B2">
            <w:pPr>
              <w:ind w:right="340"/>
              <w:jc w:val="right"/>
              <w:rPr>
                <w:rFonts w:ascii="Times New Roman" w:eastAsia="Calibri" w:hAnsi="Times New Roman" w:cs="Times New Roman"/>
                <w:color w:val="000000"/>
              </w:rPr>
            </w:pPr>
            <w:r>
              <w:rPr>
                <w:rFonts w:ascii="Times New Roman" w:eastAsia="Calibri" w:hAnsi="Times New Roman" w:cs="Times New Roman"/>
                <w:color w:val="000000"/>
              </w:rPr>
              <w:t>32,6</w:t>
            </w:r>
          </w:p>
        </w:tc>
      </w:tr>
      <w:tr w:rsidR="002912A2" w:rsidRPr="007A06B2" w14:paraId="6AE80E4F" w14:textId="76D34235"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E0C2D" w14:textId="77777777"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rPr>
              <w:t>Dette extérieure totale (Mds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61B5F"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77,7</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039E"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77,5</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88CB33" w14:textId="36486223" w:rsidR="002912A2" w:rsidRPr="00341118" w:rsidRDefault="00580DA3" w:rsidP="007A06B2">
            <w:pPr>
              <w:ind w:right="340"/>
              <w:jc w:val="right"/>
              <w:rPr>
                <w:rFonts w:ascii="Times New Roman" w:eastAsia="Calibri" w:hAnsi="Times New Roman" w:cs="Times New Roman"/>
              </w:rPr>
            </w:pPr>
            <w:r w:rsidRPr="00341118">
              <w:rPr>
                <w:rFonts w:ascii="Times New Roman" w:eastAsia="Calibri" w:hAnsi="Times New Roman" w:cs="Times New Roman"/>
              </w:rPr>
              <w:t>74,8</w:t>
            </w:r>
          </w:p>
        </w:tc>
        <w:tc>
          <w:tcPr>
            <w:tcW w:w="1125" w:type="dxa"/>
            <w:tcBorders>
              <w:top w:val="nil"/>
              <w:left w:val="nil"/>
              <w:bottom w:val="single" w:sz="8" w:space="0" w:color="auto"/>
              <w:right w:val="single" w:sz="8" w:space="0" w:color="auto"/>
            </w:tcBorders>
          </w:tcPr>
          <w:p w14:paraId="219FD68E" w14:textId="6A5B864C" w:rsidR="002912A2" w:rsidRPr="007A06B2" w:rsidRDefault="00341118" w:rsidP="00341118">
            <w:pPr>
              <w:ind w:right="340"/>
              <w:jc w:val="center"/>
              <w:rPr>
                <w:rFonts w:ascii="Times New Roman" w:eastAsia="Calibri" w:hAnsi="Times New Roman" w:cs="Times New Roman"/>
                <w:color w:val="000000"/>
              </w:rPr>
            </w:pPr>
            <w:r>
              <w:rPr>
                <w:rFonts w:ascii="Times New Roman" w:eastAsia="Calibri" w:hAnsi="Times New Roman" w:cs="Times New Roman"/>
                <w:color w:val="000000"/>
              </w:rPr>
              <w:t xml:space="preserve">      /</w:t>
            </w:r>
          </w:p>
        </w:tc>
      </w:tr>
      <w:tr w:rsidR="002912A2" w:rsidRPr="007A06B2" w14:paraId="630E4C30" w14:textId="0BF6BD43" w:rsidTr="002912A2">
        <w:trPr>
          <w:trHeight w:val="284"/>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9E209" w14:textId="77777777" w:rsidR="002912A2" w:rsidRPr="007A06B2" w:rsidRDefault="002912A2">
            <w:pPr>
              <w:jc w:val="both"/>
              <w:rPr>
                <w:rFonts w:ascii="Times New Roman" w:eastAsia="Calibri" w:hAnsi="Times New Roman" w:cs="Times New Roman"/>
              </w:rPr>
            </w:pPr>
            <w:r w:rsidRPr="007A06B2">
              <w:rPr>
                <w:rFonts w:ascii="Times New Roman" w:eastAsia="Calibri" w:hAnsi="Times New Roman" w:cs="Times New Roman"/>
              </w:rPr>
              <w:t>Dette extérieure totale / PIB (%)</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15E7E"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27,3</w:t>
            </w:r>
          </w:p>
        </w:tc>
        <w:tc>
          <w:tcPr>
            <w:tcW w:w="1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DED7" w14:textId="77777777" w:rsidR="002912A2" w:rsidRPr="007A06B2" w:rsidRDefault="002912A2" w:rsidP="007A06B2">
            <w:pPr>
              <w:ind w:right="340"/>
              <w:jc w:val="right"/>
              <w:rPr>
                <w:rFonts w:ascii="Times New Roman" w:eastAsia="Calibri" w:hAnsi="Times New Roman" w:cs="Times New Roman"/>
                <w:color w:val="000000"/>
              </w:rPr>
            </w:pPr>
            <w:r w:rsidRPr="007A06B2">
              <w:rPr>
                <w:rFonts w:ascii="Times New Roman" w:eastAsia="Calibri" w:hAnsi="Times New Roman" w:cs="Times New Roman"/>
                <w:color w:val="000000"/>
              </w:rPr>
              <w:t>26,5</w:t>
            </w:r>
          </w:p>
        </w:tc>
        <w:tc>
          <w:tcPr>
            <w:tcW w:w="13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BBA7F" w14:textId="0023702A" w:rsidR="002912A2" w:rsidRPr="00341118" w:rsidRDefault="00341118" w:rsidP="007A06B2">
            <w:pPr>
              <w:ind w:right="340"/>
              <w:jc w:val="right"/>
              <w:rPr>
                <w:rFonts w:ascii="Times New Roman" w:eastAsia="Calibri" w:hAnsi="Times New Roman" w:cs="Times New Roman"/>
              </w:rPr>
            </w:pPr>
            <w:r w:rsidRPr="00341118">
              <w:rPr>
                <w:rFonts w:ascii="Times New Roman" w:eastAsia="Calibri" w:hAnsi="Times New Roman" w:cs="Times New Roman"/>
              </w:rPr>
              <w:t>24</w:t>
            </w:r>
            <w:r w:rsidR="002912A2" w:rsidRPr="00341118">
              <w:rPr>
                <w:rFonts w:ascii="Times New Roman" w:eastAsia="Calibri" w:hAnsi="Times New Roman" w:cs="Times New Roman"/>
              </w:rPr>
              <w:t>,</w:t>
            </w:r>
            <w:r w:rsidRPr="00341118">
              <w:rPr>
                <w:rFonts w:ascii="Times New Roman" w:eastAsia="Calibri" w:hAnsi="Times New Roman" w:cs="Times New Roman"/>
              </w:rPr>
              <w:t>5</w:t>
            </w:r>
          </w:p>
        </w:tc>
        <w:tc>
          <w:tcPr>
            <w:tcW w:w="1125" w:type="dxa"/>
            <w:tcBorders>
              <w:top w:val="nil"/>
              <w:left w:val="nil"/>
              <w:bottom w:val="single" w:sz="8" w:space="0" w:color="auto"/>
              <w:right w:val="single" w:sz="8" w:space="0" w:color="auto"/>
            </w:tcBorders>
          </w:tcPr>
          <w:p w14:paraId="13C7653F" w14:textId="1D8D20DE" w:rsidR="002912A2" w:rsidRPr="007A06B2" w:rsidRDefault="00341118" w:rsidP="00341118">
            <w:pPr>
              <w:ind w:right="340"/>
              <w:jc w:val="center"/>
              <w:rPr>
                <w:rFonts w:ascii="Times New Roman" w:eastAsia="Calibri" w:hAnsi="Times New Roman" w:cs="Times New Roman"/>
                <w:color w:val="000000"/>
              </w:rPr>
            </w:pPr>
            <w:r>
              <w:rPr>
                <w:rFonts w:ascii="Times New Roman" w:eastAsia="Calibri" w:hAnsi="Times New Roman" w:cs="Times New Roman"/>
                <w:color w:val="000000"/>
              </w:rPr>
              <w:t xml:space="preserve">     /</w:t>
            </w:r>
          </w:p>
        </w:tc>
      </w:tr>
    </w:tbl>
    <w:p w14:paraId="77BF5B79" w14:textId="03DA1612" w:rsidR="00564B87" w:rsidRPr="003A6B47" w:rsidRDefault="003A6B47" w:rsidP="003A6B47">
      <w:pPr>
        <w:shd w:val="clear" w:color="auto" w:fill="FFFFFF"/>
        <w:overflowPunct/>
        <w:autoSpaceDE/>
        <w:adjustRightInd/>
        <w:spacing w:before="60" w:after="120"/>
        <w:jc w:val="both"/>
        <w:rPr>
          <w:rFonts w:ascii="Times New Roman" w:hAnsi="Times New Roman" w:cs="Times New Roman"/>
          <w:i/>
          <w:sz w:val="18"/>
          <w:szCs w:val="18"/>
        </w:rPr>
      </w:pPr>
      <w:r w:rsidRPr="003A6B47">
        <w:rPr>
          <w:rFonts w:ascii="Times New Roman" w:hAnsi="Times New Roman" w:cs="Times New Roman"/>
          <w:i/>
          <w:sz w:val="18"/>
          <w:szCs w:val="18"/>
        </w:rPr>
        <w:t>Source : FMI</w:t>
      </w:r>
    </w:p>
    <w:p w14:paraId="79AB3740" w14:textId="55C10B8C" w:rsidR="00564B87" w:rsidRPr="007A06B2" w:rsidRDefault="00A10FB7" w:rsidP="00C77390">
      <w:pPr>
        <w:pStyle w:val="Paragraphedeliste"/>
        <w:numPr>
          <w:ilvl w:val="0"/>
          <w:numId w:val="7"/>
        </w:numPr>
        <w:shd w:val="clear" w:color="auto" w:fill="FFFFFF"/>
        <w:overflowPunct/>
        <w:autoSpaceDE/>
        <w:adjustRightInd/>
        <w:spacing w:after="120"/>
        <w:ind w:left="714" w:hanging="357"/>
        <w:contextualSpacing w:val="0"/>
        <w:jc w:val="both"/>
        <w:rPr>
          <w:rFonts w:ascii="Times New Roman" w:hAnsi="Times New Roman" w:cs="Times New Roman"/>
          <w:b/>
          <w:sz w:val="22"/>
          <w:szCs w:val="22"/>
        </w:rPr>
      </w:pPr>
      <w:r>
        <w:rPr>
          <w:rFonts w:ascii="Times New Roman" w:hAnsi="Times New Roman" w:cs="Times New Roman"/>
          <w:b/>
          <w:sz w:val="22"/>
          <w:szCs w:val="22"/>
        </w:rPr>
        <w:t>La</w:t>
      </w:r>
      <w:r w:rsidR="000C3299" w:rsidRPr="007A06B2">
        <w:rPr>
          <w:rFonts w:ascii="Times New Roman" w:hAnsi="Times New Roman" w:cs="Times New Roman"/>
          <w:b/>
          <w:sz w:val="22"/>
          <w:szCs w:val="22"/>
        </w:rPr>
        <w:t xml:space="preserve"> croissance très dynamique </w:t>
      </w:r>
      <w:r w:rsidR="007A06B2">
        <w:rPr>
          <w:rFonts w:ascii="Times New Roman" w:hAnsi="Times New Roman" w:cs="Times New Roman"/>
          <w:b/>
          <w:sz w:val="22"/>
          <w:szCs w:val="22"/>
        </w:rPr>
        <w:t>repos</w:t>
      </w:r>
      <w:r>
        <w:rPr>
          <w:rFonts w:ascii="Times New Roman" w:hAnsi="Times New Roman" w:cs="Times New Roman"/>
          <w:b/>
          <w:sz w:val="22"/>
          <w:szCs w:val="22"/>
        </w:rPr>
        <w:t>e</w:t>
      </w:r>
      <w:r w:rsidR="007A06B2">
        <w:rPr>
          <w:rFonts w:ascii="Times New Roman" w:hAnsi="Times New Roman" w:cs="Times New Roman"/>
          <w:b/>
          <w:sz w:val="22"/>
          <w:szCs w:val="22"/>
        </w:rPr>
        <w:t xml:space="preserve"> sur des</w:t>
      </w:r>
      <w:r w:rsidR="007A06B2" w:rsidRPr="007A06B2">
        <w:rPr>
          <w:rFonts w:ascii="Times New Roman" w:hAnsi="Times New Roman" w:cs="Times New Roman"/>
          <w:b/>
          <w:sz w:val="22"/>
          <w:szCs w:val="22"/>
        </w:rPr>
        <w:t xml:space="preserve"> fondamentaux </w:t>
      </w:r>
      <w:r>
        <w:rPr>
          <w:rFonts w:ascii="Times New Roman" w:hAnsi="Times New Roman" w:cs="Times New Roman"/>
          <w:b/>
          <w:sz w:val="22"/>
          <w:szCs w:val="22"/>
        </w:rPr>
        <w:t xml:space="preserve">macroéconomiques </w:t>
      </w:r>
      <w:r w:rsidR="007A06B2" w:rsidRPr="007A06B2">
        <w:rPr>
          <w:rFonts w:ascii="Times New Roman" w:hAnsi="Times New Roman" w:cs="Times New Roman"/>
          <w:b/>
          <w:sz w:val="22"/>
          <w:szCs w:val="22"/>
        </w:rPr>
        <w:t>solides</w:t>
      </w:r>
    </w:p>
    <w:p w14:paraId="4D4F2F0F" w14:textId="77777777" w:rsidR="00BE1EBA" w:rsidRDefault="00564B87" w:rsidP="00C77390">
      <w:pPr>
        <w:shd w:val="clear" w:color="auto" w:fill="FFFFFF"/>
        <w:overflowPunct/>
        <w:autoSpaceDE/>
        <w:adjustRightInd/>
        <w:spacing w:after="120"/>
        <w:jc w:val="both"/>
        <w:rPr>
          <w:rFonts w:ascii="Times New Roman" w:hAnsi="Times New Roman" w:cs="Times New Roman"/>
          <w:b/>
          <w:sz w:val="22"/>
          <w:szCs w:val="22"/>
        </w:rPr>
      </w:pPr>
      <w:r w:rsidRPr="00564B87">
        <w:rPr>
          <w:rFonts w:ascii="Times New Roman" w:hAnsi="Times New Roman" w:cs="Times New Roman"/>
          <w:sz w:val="22"/>
          <w:szCs w:val="22"/>
        </w:rPr>
        <w:t>Après avoir enregist</w:t>
      </w:r>
      <w:r w:rsidR="00A766B4">
        <w:rPr>
          <w:rFonts w:ascii="Times New Roman" w:hAnsi="Times New Roman" w:cs="Times New Roman"/>
          <w:sz w:val="22"/>
          <w:szCs w:val="22"/>
        </w:rPr>
        <w:t>ré un rythme annuel moyen de 6</w:t>
      </w:r>
      <w:r w:rsidRPr="00564B87">
        <w:rPr>
          <w:rFonts w:ascii="Times New Roman" w:hAnsi="Times New Roman" w:cs="Times New Roman"/>
          <w:sz w:val="22"/>
          <w:szCs w:val="22"/>
        </w:rPr>
        <w:t xml:space="preserve">% </w:t>
      </w:r>
      <w:r w:rsidR="00A766B4">
        <w:rPr>
          <w:rFonts w:ascii="Times New Roman" w:hAnsi="Times New Roman" w:cs="Times New Roman"/>
          <w:sz w:val="22"/>
          <w:szCs w:val="22"/>
        </w:rPr>
        <w:t>entre 2014 et 2015 (6,2% et 5,9% respectivement)</w:t>
      </w:r>
      <w:r w:rsidRPr="00564B87">
        <w:rPr>
          <w:rFonts w:ascii="Times New Roman" w:hAnsi="Times New Roman" w:cs="Times New Roman"/>
          <w:sz w:val="22"/>
          <w:szCs w:val="22"/>
        </w:rPr>
        <w:t xml:space="preserve">, </w:t>
      </w:r>
      <w:r w:rsidRPr="00320C9F">
        <w:rPr>
          <w:rFonts w:ascii="Times New Roman" w:hAnsi="Times New Roman" w:cs="Times New Roman"/>
          <w:b/>
          <w:sz w:val="22"/>
          <w:szCs w:val="22"/>
        </w:rPr>
        <w:t xml:space="preserve">la croissance de l’économie philippine </w:t>
      </w:r>
      <w:r w:rsidR="00534F6F">
        <w:rPr>
          <w:rFonts w:ascii="Times New Roman" w:hAnsi="Times New Roman" w:cs="Times New Roman"/>
          <w:b/>
          <w:sz w:val="22"/>
          <w:szCs w:val="22"/>
        </w:rPr>
        <w:t xml:space="preserve">a atteint 6,8% en 2016. </w:t>
      </w:r>
    </w:p>
    <w:p w14:paraId="0FEF075D" w14:textId="4C2E48A4" w:rsidR="005009B3" w:rsidRPr="00534F6F" w:rsidRDefault="00534F6F" w:rsidP="00C77390">
      <w:pPr>
        <w:shd w:val="clear" w:color="auto" w:fill="FFFFFF"/>
        <w:overflowPunct/>
        <w:autoSpaceDE/>
        <w:adjustRightInd/>
        <w:spacing w:after="120"/>
        <w:jc w:val="both"/>
        <w:rPr>
          <w:rFonts w:ascii="Times New Roman" w:hAnsi="Times New Roman" w:cs="Times New Roman"/>
          <w:b/>
          <w:sz w:val="22"/>
          <w:szCs w:val="22"/>
        </w:rPr>
      </w:pPr>
      <w:r w:rsidRPr="00BA4471">
        <w:rPr>
          <w:rFonts w:ascii="Times New Roman" w:hAnsi="Times New Roman" w:cs="Times New Roman"/>
          <w:b/>
          <w:sz w:val="22"/>
          <w:szCs w:val="22"/>
        </w:rPr>
        <w:t xml:space="preserve">Sur les six premiers mois de 2017, la croissance économique a légèrement ralenti </w:t>
      </w:r>
      <w:r>
        <w:rPr>
          <w:rFonts w:ascii="Times New Roman" w:hAnsi="Times New Roman" w:cs="Times New Roman"/>
          <w:sz w:val="22"/>
          <w:szCs w:val="22"/>
        </w:rPr>
        <w:t xml:space="preserve">par rapport à la même période en 2016 avec une croissance au S1 2017 de 6,4% par rapport à une croissance de 7% au S1 2016. Cette performance est notamment liée à la chute de la consommation privée </w:t>
      </w:r>
      <w:r w:rsidR="00BE1EBA">
        <w:rPr>
          <w:rFonts w:ascii="Times New Roman" w:hAnsi="Times New Roman" w:cs="Times New Roman"/>
          <w:sz w:val="22"/>
          <w:szCs w:val="22"/>
        </w:rPr>
        <w:t>au premier semestre 2017 (</w:t>
      </w:r>
      <w:r>
        <w:rPr>
          <w:rFonts w:ascii="Times New Roman" w:hAnsi="Times New Roman" w:cs="Times New Roman"/>
          <w:sz w:val="22"/>
          <w:szCs w:val="22"/>
        </w:rPr>
        <w:t>+5,8% par rapport à +7,3% au S1 2016</w:t>
      </w:r>
      <w:r w:rsidR="00BE1EBA">
        <w:rPr>
          <w:rFonts w:ascii="Times New Roman" w:hAnsi="Times New Roman" w:cs="Times New Roman"/>
          <w:sz w:val="22"/>
          <w:szCs w:val="22"/>
        </w:rPr>
        <w:t>)</w:t>
      </w:r>
      <w:r>
        <w:rPr>
          <w:rFonts w:ascii="Times New Roman" w:hAnsi="Times New Roman" w:cs="Times New Roman"/>
          <w:sz w:val="22"/>
          <w:szCs w:val="22"/>
        </w:rPr>
        <w:t xml:space="preserve">. Suite à ce ralentissement, le FMI a revu à la baisse ses prévisions de croissance économique pour les Philippines pour </w:t>
      </w:r>
      <w:r w:rsidR="00BE1EBA">
        <w:rPr>
          <w:rFonts w:ascii="Times New Roman" w:hAnsi="Times New Roman" w:cs="Times New Roman"/>
          <w:sz w:val="22"/>
          <w:szCs w:val="22"/>
        </w:rPr>
        <w:t>les deux années à venir</w:t>
      </w:r>
      <w:r>
        <w:rPr>
          <w:rFonts w:ascii="Times New Roman" w:hAnsi="Times New Roman" w:cs="Times New Roman"/>
          <w:sz w:val="22"/>
          <w:szCs w:val="22"/>
        </w:rPr>
        <w:t xml:space="preserve"> avec 6,6% (contre 6,8% initialement) pour 2017 et 6,8% (contre 6,9%) pour 2018. </w:t>
      </w:r>
      <w:r w:rsidR="00EA7445" w:rsidRPr="009A18D6">
        <w:rPr>
          <w:rFonts w:ascii="Times New Roman" w:hAnsi="Times New Roman" w:cs="Times New Roman"/>
          <w:sz w:val="22"/>
          <w:szCs w:val="22"/>
        </w:rPr>
        <w:t>Les principaux facteurs de croissance sont la forte demande intérieure, l'au</w:t>
      </w:r>
      <w:r w:rsidR="003C373A">
        <w:rPr>
          <w:rFonts w:ascii="Times New Roman" w:hAnsi="Times New Roman" w:cs="Times New Roman"/>
          <w:sz w:val="22"/>
          <w:szCs w:val="22"/>
        </w:rPr>
        <w:t xml:space="preserve">gmentation des investissements </w:t>
      </w:r>
      <w:r w:rsidR="00EA7445" w:rsidRPr="009A18D6">
        <w:rPr>
          <w:rFonts w:ascii="Times New Roman" w:hAnsi="Times New Roman" w:cs="Times New Roman"/>
          <w:sz w:val="22"/>
          <w:szCs w:val="22"/>
        </w:rPr>
        <w:t xml:space="preserve">et la stabilité de la croissance du secteur des services. </w:t>
      </w:r>
      <w:r w:rsidR="005009B3">
        <w:rPr>
          <w:rFonts w:ascii="Times New Roman" w:hAnsi="Times New Roman" w:cs="Times New Roman"/>
          <w:sz w:val="22"/>
          <w:szCs w:val="22"/>
        </w:rPr>
        <w:t xml:space="preserve">Ces performances positionnent </w:t>
      </w:r>
      <w:r w:rsidR="00564B87" w:rsidRPr="00564B87">
        <w:rPr>
          <w:rFonts w:ascii="Times New Roman" w:hAnsi="Times New Roman" w:cs="Times New Roman"/>
          <w:sz w:val="22"/>
          <w:szCs w:val="22"/>
        </w:rPr>
        <w:t>les Philippines au p</w:t>
      </w:r>
      <w:r w:rsidR="00CF5859">
        <w:rPr>
          <w:rFonts w:ascii="Times New Roman" w:hAnsi="Times New Roman" w:cs="Times New Roman"/>
          <w:sz w:val="22"/>
          <w:szCs w:val="22"/>
        </w:rPr>
        <w:t>remier rang des pays de l’ASEAN en termes de croissance économique.</w:t>
      </w:r>
    </w:p>
    <w:p w14:paraId="50C0FE49" w14:textId="77777777" w:rsidR="00534F6F" w:rsidRDefault="00534F6F" w:rsidP="00C77390">
      <w:pPr>
        <w:shd w:val="clear" w:color="auto" w:fill="FFFFFF"/>
        <w:overflowPunct/>
        <w:autoSpaceDE/>
        <w:adjustRightInd/>
        <w:spacing w:after="120"/>
        <w:contextualSpacing/>
        <w:jc w:val="both"/>
        <w:rPr>
          <w:rFonts w:ascii="Times New Roman" w:hAnsi="Times New Roman" w:cs="Times New Roman"/>
          <w:sz w:val="22"/>
          <w:szCs w:val="22"/>
        </w:rPr>
      </w:pPr>
    </w:p>
    <w:p w14:paraId="09A8DDFE" w14:textId="246434CC" w:rsidR="00A80B4A" w:rsidRPr="00564B87" w:rsidRDefault="00993DA3" w:rsidP="00C77390">
      <w:pPr>
        <w:shd w:val="clear" w:color="auto" w:fill="FFFFFF"/>
        <w:overflowPunct/>
        <w:autoSpaceDE/>
        <w:adjustRightInd/>
        <w:spacing w:after="120"/>
        <w:jc w:val="both"/>
        <w:rPr>
          <w:rFonts w:ascii="Times New Roman" w:hAnsi="Times New Roman" w:cs="Times New Roman"/>
          <w:sz w:val="22"/>
          <w:szCs w:val="22"/>
        </w:rPr>
      </w:pPr>
      <w:r>
        <w:rPr>
          <w:rFonts w:ascii="Times New Roman" w:hAnsi="Times New Roman" w:cs="Times New Roman"/>
          <w:b/>
          <w:sz w:val="22"/>
          <w:szCs w:val="22"/>
        </w:rPr>
        <w:t>La</w:t>
      </w:r>
      <w:r w:rsidR="00564B87" w:rsidRPr="00320C9F">
        <w:rPr>
          <w:rFonts w:ascii="Times New Roman" w:hAnsi="Times New Roman" w:cs="Times New Roman"/>
          <w:b/>
          <w:sz w:val="22"/>
          <w:szCs w:val="22"/>
        </w:rPr>
        <w:t xml:space="preserve"> consommation privée</w:t>
      </w:r>
      <w:r>
        <w:rPr>
          <w:rFonts w:ascii="Times New Roman" w:hAnsi="Times New Roman" w:cs="Times New Roman"/>
          <w:b/>
          <w:sz w:val="22"/>
          <w:szCs w:val="22"/>
        </w:rPr>
        <w:t>, en progression de 6,9% en 2016 (soit la croissance annuelle la plus rapide depuis 2000),</w:t>
      </w:r>
      <w:r w:rsidR="00564B87" w:rsidRPr="00320C9F">
        <w:rPr>
          <w:rFonts w:ascii="Times New Roman" w:hAnsi="Times New Roman" w:cs="Times New Roman"/>
          <w:b/>
          <w:sz w:val="22"/>
          <w:szCs w:val="22"/>
        </w:rPr>
        <w:t xml:space="preserve"> </w:t>
      </w:r>
      <w:r>
        <w:rPr>
          <w:rFonts w:ascii="Times New Roman" w:hAnsi="Times New Roman" w:cs="Times New Roman"/>
          <w:b/>
          <w:sz w:val="22"/>
          <w:szCs w:val="22"/>
        </w:rPr>
        <w:t>a représenté</w:t>
      </w:r>
      <w:r w:rsidR="00564B87" w:rsidRPr="00320C9F">
        <w:rPr>
          <w:rFonts w:ascii="Times New Roman" w:hAnsi="Times New Roman" w:cs="Times New Roman"/>
          <w:b/>
          <w:sz w:val="22"/>
          <w:szCs w:val="22"/>
        </w:rPr>
        <w:t xml:space="preserve"> </w:t>
      </w:r>
      <w:r>
        <w:rPr>
          <w:rFonts w:ascii="Times New Roman" w:hAnsi="Times New Roman" w:cs="Times New Roman"/>
          <w:b/>
          <w:sz w:val="22"/>
          <w:szCs w:val="22"/>
        </w:rPr>
        <w:t xml:space="preserve">près de </w:t>
      </w:r>
      <w:r w:rsidR="00E227FF">
        <w:rPr>
          <w:rFonts w:ascii="Times New Roman" w:hAnsi="Times New Roman" w:cs="Times New Roman"/>
          <w:b/>
          <w:sz w:val="22"/>
          <w:szCs w:val="22"/>
        </w:rPr>
        <w:t>68</w:t>
      </w:r>
      <w:r w:rsidR="00564B87" w:rsidRPr="00320C9F">
        <w:rPr>
          <w:rFonts w:ascii="Times New Roman" w:hAnsi="Times New Roman" w:cs="Times New Roman"/>
          <w:b/>
          <w:sz w:val="22"/>
          <w:szCs w:val="22"/>
        </w:rPr>
        <w:t xml:space="preserve"> % du PIB</w:t>
      </w:r>
      <w:r>
        <w:rPr>
          <w:rFonts w:ascii="Times New Roman" w:hAnsi="Times New Roman" w:cs="Times New Roman"/>
          <w:sz w:val="22"/>
          <w:szCs w:val="22"/>
        </w:rPr>
        <w:t xml:space="preserve"> </w:t>
      </w:r>
      <w:r w:rsidR="00564B87" w:rsidRPr="00564B87">
        <w:rPr>
          <w:rFonts w:ascii="Times New Roman" w:hAnsi="Times New Roman" w:cs="Times New Roman"/>
          <w:sz w:val="22"/>
          <w:szCs w:val="22"/>
        </w:rPr>
        <w:t xml:space="preserve">et a contribué à 4,8 </w:t>
      </w:r>
      <w:proofErr w:type="spellStart"/>
      <w:r w:rsidR="00564B87" w:rsidRPr="00564B87">
        <w:rPr>
          <w:rFonts w:ascii="Times New Roman" w:hAnsi="Times New Roman" w:cs="Times New Roman"/>
          <w:sz w:val="22"/>
          <w:szCs w:val="22"/>
        </w:rPr>
        <w:t>pdp</w:t>
      </w:r>
      <w:proofErr w:type="spellEnd"/>
      <w:r w:rsidR="00564B87" w:rsidRPr="00564B87">
        <w:rPr>
          <w:rFonts w:ascii="Times New Roman" w:hAnsi="Times New Roman" w:cs="Times New Roman"/>
          <w:sz w:val="22"/>
          <w:szCs w:val="22"/>
        </w:rPr>
        <w:t xml:space="preserve"> à la croissance. Cette consommation est largement alimentée par les transferts financiers des Philippins expat</w:t>
      </w:r>
      <w:r w:rsidR="003D5B6A">
        <w:rPr>
          <w:rFonts w:ascii="Times New Roman" w:hAnsi="Times New Roman" w:cs="Times New Roman"/>
          <w:sz w:val="22"/>
          <w:szCs w:val="22"/>
        </w:rPr>
        <w:t>riés qui ont représenté</w:t>
      </w:r>
      <w:r w:rsidR="00A7403E">
        <w:rPr>
          <w:rFonts w:ascii="Times New Roman" w:hAnsi="Times New Roman" w:cs="Times New Roman"/>
          <w:sz w:val="22"/>
          <w:szCs w:val="22"/>
        </w:rPr>
        <w:t xml:space="preserve"> plus de 9,5</w:t>
      </w:r>
      <w:r w:rsidR="00564B87" w:rsidRPr="00564B87">
        <w:rPr>
          <w:rFonts w:ascii="Times New Roman" w:hAnsi="Times New Roman" w:cs="Times New Roman"/>
          <w:sz w:val="22"/>
          <w:szCs w:val="22"/>
        </w:rPr>
        <w:t xml:space="preserve">% du PIB national </w:t>
      </w:r>
      <w:r w:rsidR="003D5B6A">
        <w:rPr>
          <w:rFonts w:ascii="Times New Roman" w:hAnsi="Times New Roman" w:cs="Times New Roman"/>
          <w:sz w:val="22"/>
          <w:szCs w:val="22"/>
        </w:rPr>
        <w:t xml:space="preserve">en 2016 </w:t>
      </w:r>
      <w:r w:rsidR="00564B87" w:rsidRPr="00564B87">
        <w:rPr>
          <w:rFonts w:ascii="Times New Roman" w:hAnsi="Times New Roman" w:cs="Times New Roman"/>
          <w:sz w:val="22"/>
          <w:szCs w:val="22"/>
        </w:rPr>
        <w:t>(29</w:t>
      </w:r>
      <w:r w:rsidR="00A7403E">
        <w:rPr>
          <w:rFonts w:ascii="Times New Roman" w:hAnsi="Times New Roman" w:cs="Times New Roman"/>
          <w:sz w:val="22"/>
          <w:szCs w:val="22"/>
        </w:rPr>
        <w:t>,7</w:t>
      </w:r>
      <w:r w:rsidR="007A63D2">
        <w:rPr>
          <w:rFonts w:ascii="Times New Roman" w:hAnsi="Times New Roman" w:cs="Times New Roman"/>
          <w:sz w:val="22"/>
          <w:szCs w:val="22"/>
        </w:rPr>
        <w:t> </w:t>
      </w:r>
      <w:r w:rsidR="00A7403E">
        <w:rPr>
          <w:rFonts w:ascii="Times New Roman" w:hAnsi="Times New Roman" w:cs="Times New Roman"/>
          <w:sz w:val="22"/>
          <w:szCs w:val="22"/>
        </w:rPr>
        <w:t xml:space="preserve"> Mds USD</w:t>
      </w:r>
      <w:r w:rsidR="00564B87" w:rsidRPr="00564B87">
        <w:rPr>
          <w:rFonts w:ascii="Times New Roman" w:hAnsi="Times New Roman" w:cs="Times New Roman"/>
          <w:sz w:val="22"/>
          <w:szCs w:val="22"/>
        </w:rPr>
        <w:t>).</w:t>
      </w:r>
      <w:r w:rsidR="006208BD">
        <w:rPr>
          <w:rFonts w:ascii="Times New Roman" w:hAnsi="Times New Roman" w:cs="Times New Roman"/>
          <w:sz w:val="22"/>
          <w:szCs w:val="22"/>
        </w:rPr>
        <w:t xml:space="preserve"> </w:t>
      </w:r>
      <w:r w:rsidR="003D5B6A">
        <w:rPr>
          <w:rFonts w:ascii="Times New Roman" w:hAnsi="Times New Roman" w:cs="Times New Roman"/>
          <w:sz w:val="22"/>
          <w:szCs w:val="22"/>
        </w:rPr>
        <w:t>La</w:t>
      </w:r>
      <w:r w:rsidR="003D5B6A" w:rsidRPr="00564B87">
        <w:rPr>
          <w:rFonts w:ascii="Times New Roman" w:hAnsi="Times New Roman" w:cs="Times New Roman"/>
          <w:sz w:val="22"/>
          <w:szCs w:val="22"/>
        </w:rPr>
        <w:t xml:space="preserve"> croissance annuelle moyenne </w:t>
      </w:r>
      <w:r w:rsidR="003D5B6A">
        <w:rPr>
          <w:rFonts w:ascii="Times New Roman" w:hAnsi="Times New Roman" w:cs="Times New Roman"/>
          <w:sz w:val="22"/>
          <w:szCs w:val="22"/>
        </w:rPr>
        <w:t>des t</w:t>
      </w:r>
      <w:r w:rsidR="00C0421B">
        <w:rPr>
          <w:rFonts w:ascii="Times New Roman" w:hAnsi="Times New Roman" w:cs="Times New Roman"/>
          <w:sz w:val="22"/>
          <w:szCs w:val="22"/>
        </w:rPr>
        <w:t xml:space="preserve">ransferts des migrants </w:t>
      </w:r>
      <w:r w:rsidR="003A6B47">
        <w:rPr>
          <w:rFonts w:ascii="Times New Roman" w:hAnsi="Times New Roman" w:cs="Times New Roman"/>
          <w:sz w:val="22"/>
          <w:szCs w:val="22"/>
        </w:rPr>
        <w:t xml:space="preserve">a atteint </w:t>
      </w:r>
      <w:r w:rsidR="003D5B6A" w:rsidRPr="00564B87">
        <w:rPr>
          <w:rFonts w:ascii="Times New Roman" w:hAnsi="Times New Roman" w:cs="Times New Roman"/>
          <w:sz w:val="22"/>
          <w:szCs w:val="22"/>
        </w:rPr>
        <w:t>7% sur la p</w:t>
      </w:r>
      <w:r w:rsidR="00160B42">
        <w:rPr>
          <w:rFonts w:ascii="Times New Roman" w:hAnsi="Times New Roman" w:cs="Times New Roman"/>
          <w:sz w:val="22"/>
          <w:szCs w:val="22"/>
        </w:rPr>
        <w:t xml:space="preserve">ériode 2011-2015 avec une part </w:t>
      </w:r>
      <w:r w:rsidR="003D5B6A" w:rsidRPr="00564B87">
        <w:rPr>
          <w:rFonts w:ascii="Times New Roman" w:hAnsi="Times New Roman" w:cs="Times New Roman"/>
          <w:sz w:val="22"/>
          <w:szCs w:val="22"/>
        </w:rPr>
        <w:t>dans la richesse nationale</w:t>
      </w:r>
      <w:r w:rsidR="003A6B47">
        <w:rPr>
          <w:rFonts w:ascii="Times New Roman" w:hAnsi="Times New Roman" w:cs="Times New Roman"/>
          <w:sz w:val="22"/>
          <w:szCs w:val="22"/>
        </w:rPr>
        <w:t xml:space="preserve"> </w:t>
      </w:r>
      <w:r w:rsidR="00160B42">
        <w:rPr>
          <w:rFonts w:ascii="Times New Roman" w:hAnsi="Times New Roman" w:cs="Times New Roman"/>
          <w:sz w:val="22"/>
          <w:szCs w:val="22"/>
        </w:rPr>
        <w:t xml:space="preserve">stable autour de </w:t>
      </w:r>
      <w:r w:rsidR="003D5B6A" w:rsidRPr="00564B87">
        <w:rPr>
          <w:rFonts w:ascii="Times New Roman" w:hAnsi="Times New Roman" w:cs="Times New Roman"/>
          <w:sz w:val="22"/>
          <w:szCs w:val="22"/>
        </w:rPr>
        <w:t>10</w:t>
      </w:r>
      <w:r w:rsidR="003D5B6A">
        <w:rPr>
          <w:rFonts w:ascii="Times New Roman" w:hAnsi="Times New Roman" w:cs="Times New Roman"/>
          <w:sz w:val="22"/>
          <w:szCs w:val="22"/>
        </w:rPr>
        <w:t>%.</w:t>
      </w:r>
      <w:r w:rsidR="006D6145">
        <w:rPr>
          <w:rFonts w:ascii="Times New Roman" w:hAnsi="Times New Roman" w:cs="Times New Roman"/>
          <w:sz w:val="22"/>
          <w:szCs w:val="22"/>
        </w:rPr>
        <w:t xml:space="preserve"> </w:t>
      </w:r>
      <w:r w:rsidR="00A80B4A" w:rsidRPr="00564B87">
        <w:rPr>
          <w:rFonts w:ascii="Times New Roman" w:hAnsi="Times New Roman" w:cs="Times New Roman"/>
          <w:sz w:val="22"/>
          <w:szCs w:val="22"/>
        </w:rPr>
        <w:t xml:space="preserve">Ces transferts se sont avérés résilients à la conjoncture </w:t>
      </w:r>
      <w:r w:rsidR="00160B42">
        <w:rPr>
          <w:rFonts w:ascii="Times New Roman" w:hAnsi="Times New Roman" w:cs="Times New Roman"/>
          <w:sz w:val="22"/>
          <w:szCs w:val="22"/>
        </w:rPr>
        <w:t xml:space="preserve">internationale </w:t>
      </w:r>
      <w:r w:rsidR="00A80B4A" w:rsidRPr="00564B87">
        <w:rPr>
          <w:rFonts w:ascii="Times New Roman" w:hAnsi="Times New Roman" w:cs="Times New Roman"/>
          <w:sz w:val="22"/>
          <w:szCs w:val="22"/>
        </w:rPr>
        <w:t xml:space="preserve">en raison de leur origine géographique </w:t>
      </w:r>
      <w:r w:rsidR="00B6564A">
        <w:rPr>
          <w:rFonts w:ascii="Times New Roman" w:hAnsi="Times New Roman" w:cs="Times New Roman"/>
          <w:sz w:val="22"/>
          <w:szCs w:val="22"/>
        </w:rPr>
        <w:t xml:space="preserve">diversifiée et des </w:t>
      </w:r>
      <w:r w:rsidR="00160B42">
        <w:rPr>
          <w:rFonts w:ascii="Times New Roman" w:hAnsi="Times New Roman" w:cs="Times New Roman"/>
          <w:sz w:val="22"/>
          <w:szCs w:val="22"/>
        </w:rPr>
        <w:t>emplois occupés par les Philippins dans des secteurs d’activités très variés</w:t>
      </w:r>
      <w:r w:rsidR="00A80B4A" w:rsidRPr="00564B87">
        <w:rPr>
          <w:rFonts w:ascii="Times New Roman" w:hAnsi="Times New Roman" w:cs="Times New Roman"/>
          <w:sz w:val="22"/>
          <w:szCs w:val="22"/>
        </w:rPr>
        <w:t>. En 2</w:t>
      </w:r>
      <w:r w:rsidR="00A80B4A">
        <w:rPr>
          <w:rFonts w:ascii="Times New Roman" w:hAnsi="Times New Roman" w:cs="Times New Roman"/>
          <w:sz w:val="22"/>
          <w:szCs w:val="22"/>
        </w:rPr>
        <w:t>016</w:t>
      </w:r>
      <w:r w:rsidR="00A80B4A" w:rsidRPr="00564B87">
        <w:rPr>
          <w:rFonts w:ascii="Times New Roman" w:hAnsi="Times New Roman" w:cs="Times New Roman"/>
          <w:sz w:val="22"/>
          <w:szCs w:val="22"/>
        </w:rPr>
        <w:t xml:space="preserve">, la répartition des transferts par origine géographique était la suivante </w:t>
      </w:r>
      <w:r w:rsidR="00160B42">
        <w:rPr>
          <w:rFonts w:ascii="Times New Roman" w:hAnsi="Times New Roman" w:cs="Times New Roman"/>
          <w:sz w:val="22"/>
          <w:szCs w:val="22"/>
        </w:rPr>
        <w:t>selon l</w:t>
      </w:r>
      <w:r w:rsidR="00A80B4A" w:rsidRPr="00564B87">
        <w:rPr>
          <w:rFonts w:ascii="Times New Roman" w:hAnsi="Times New Roman" w:cs="Times New Roman"/>
          <w:sz w:val="22"/>
          <w:szCs w:val="22"/>
        </w:rPr>
        <w:t xml:space="preserve">a Banque </w:t>
      </w:r>
      <w:r w:rsidR="003A6B47">
        <w:rPr>
          <w:rFonts w:ascii="Times New Roman" w:hAnsi="Times New Roman" w:cs="Times New Roman"/>
          <w:sz w:val="22"/>
          <w:szCs w:val="22"/>
        </w:rPr>
        <w:t>c</w:t>
      </w:r>
      <w:r w:rsidR="00A80B4A">
        <w:rPr>
          <w:rFonts w:ascii="Times New Roman" w:hAnsi="Times New Roman" w:cs="Times New Roman"/>
          <w:sz w:val="22"/>
          <w:szCs w:val="22"/>
        </w:rPr>
        <w:t xml:space="preserve">entrale </w:t>
      </w:r>
      <w:r w:rsidR="003A6B47">
        <w:rPr>
          <w:rFonts w:ascii="Times New Roman" w:hAnsi="Times New Roman" w:cs="Times New Roman"/>
          <w:sz w:val="22"/>
          <w:szCs w:val="22"/>
        </w:rPr>
        <w:t>des P</w:t>
      </w:r>
      <w:r w:rsidR="00A80B4A">
        <w:rPr>
          <w:rFonts w:ascii="Times New Roman" w:hAnsi="Times New Roman" w:cs="Times New Roman"/>
          <w:sz w:val="22"/>
          <w:szCs w:val="22"/>
        </w:rPr>
        <w:t>hilippines : Etats-Unis 33%, pays du Golfe 27</w:t>
      </w:r>
      <w:r w:rsidR="00A80B4A" w:rsidRPr="00564B87">
        <w:rPr>
          <w:rFonts w:ascii="Times New Roman" w:hAnsi="Times New Roman" w:cs="Times New Roman"/>
          <w:sz w:val="22"/>
          <w:szCs w:val="22"/>
        </w:rPr>
        <w:t>%, Asie-Pacifique 1</w:t>
      </w:r>
      <w:r w:rsidR="00A80B4A">
        <w:rPr>
          <w:rFonts w:ascii="Times New Roman" w:hAnsi="Times New Roman" w:cs="Times New Roman"/>
          <w:sz w:val="22"/>
          <w:szCs w:val="22"/>
        </w:rPr>
        <w:t>8%, Union européenne 14</w:t>
      </w:r>
      <w:r w:rsidR="00A80B4A" w:rsidRPr="00564B87">
        <w:rPr>
          <w:rFonts w:ascii="Times New Roman" w:hAnsi="Times New Roman" w:cs="Times New Roman"/>
          <w:sz w:val="22"/>
          <w:szCs w:val="22"/>
        </w:rPr>
        <w:t>% et autres 8 %.</w:t>
      </w:r>
    </w:p>
    <w:p w14:paraId="56C6285A" w14:textId="2A0787A3" w:rsidR="003D0165" w:rsidRDefault="00E227FF" w:rsidP="00C77390">
      <w:pPr>
        <w:shd w:val="clear" w:color="auto" w:fill="FFFFFF"/>
        <w:overflowPunct/>
        <w:autoSpaceDE/>
        <w:adjustRightInd/>
        <w:spacing w:after="120"/>
        <w:jc w:val="both"/>
        <w:rPr>
          <w:rFonts w:ascii="Times New Roman" w:hAnsi="Times New Roman" w:cs="Times New Roman"/>
          <w:sz w:val="22"/>
          <w:szCs w:val="22"/>
        </w:rPr>
      </w:pPr>
      <w:r w:rsidRPr="003C373A">
        <w:rPr>
          <w:rFonts w:ascii="Times New Roman" w:hAnsi="Times New Roman" w:cs="Times New Roman"/>
          <w:b/>
          <w:sz w:val="22"/>
          <w:szCs w:val="22"/>
        </w:rPr>
        <w:t xml:space="preserve">Le taux d’investissement </w:t>
      </w:r>
      <w:r w:rsidR="003A6B47">
        <w:rPr>
          <w:rFonts w:ascii="Times New Roman" w:hAnsi="Times New Roman" w:cs="Times New Roman"/>
          <w:b/>
          <w:sz w:val="22"/>
          <w:szCs w:val="22"/>
        </w:rPr>
        <w:t xml:space="preserve">traditionnellement </w:t>
      </w:r>
      <w:r w:rsidRPr="003C373A">
        <w:rPr>
          <w:rFonts w:ascii="Times New Roman" w:hAnsi="Times New Roman" w:cs="Times New Roman"/>
          <w:b/>
          <w:sz w:val="22"/>
          <w:szCs w:val="22"/>
        </w:rPr>
        <w:t xml:space="preserve">faible est en forte hausse, avec </w:t>
      </w:r>
      <w:r w:rsidR="000A1C7B" w:rsidRPr="003C373A">
        <w:rPr>
          <w:rFonts w:ascii="Times New Roman" w:hAnsi="Times New Roman" w:cs="Times New Roman"/>
          <w:b/>
          <w:sz w:val="22"/>
          <w:szCs w:val="22"/>
        </w:rPr>
        <w:t>une augmentation de 21% de l</w:t>
      </w:r>
      <w:r w:rsidR="006208BD" w:rsidRPr="003C373A">
        <w:rPr>
          <w:rFonts w:ascii="Times New Roman" w:hAnsi="Times New Roman" w:cs="Times New Roman"/>
          <w:b/>
          <w:sz w:val="22"/>
          <w:szCs w:val="22"/>
        </w:rPr>
        <w:t>a formation brute de capitale fixe</w:t>
      </w:r>
      <w:r w:rsidR="00C80A76" w:rsidRPr="003C373A">
        <w:rPr>
          <w:rFonts w:ascii="Times New Roman" w:hAnsi="Times New Roman" w:cs="Times New Roman"/>
          <w:b/>
          <w:sz w:val="22"/>
          <w:szCs w:val="22"/>
        </w:rPr>
        <w:t xml:space="preserve"> </w:t>
      </w:r>
      <w:r w:rsidR="000A1C7B" w:rsidRPr="003C373A">
        <w:rPr>
          <w:rFonts w:ascii="Times New Roman" w:hAnsi="Times New Roman" w:cs="Times New Roman"/>
          <w:b/>
          <w:sz w:val="22"/>
          <w:szCs w:val="22"/>
        </w:rPr>
        <w:t>en 2016</w:t>
      </w:r>
      <w:r w:rsidR="000A1C7B">
        <w:rPr>
          <w:rFonts w:ascii="Times New Roman" w:hAnsi="Times New Roman" w:cs="Times New Roman"/>
          <w:sz w:val="22"/>
          <w:szCs w:val="22"/>
        </w:rPr>
        <w:t>, contribuant</w:t>
      </w:r>
      <w:r w:rsidR="00C80A76">
        <w:rPr>
          <w:rFonts w:ascii="Times New Roman" w:hAnsi="Times New Roman" w:cs="Times New Roman"/>
          <w:sz w:val="22"/>
          <w:szCs w:val="22"/>
        </w:rPr>
        <w:t xml:space="preserve"> à 4,</w:t>
      </w:r>
      <w:r w:rsidR="00381B02">
        <w:rPr>
          <w:rFonts w:ascii="Times New Roman" w:hAnsi="Times New Roman" w:cs="Times New Roman"/>
          <w:sz w:val="22"/>
          <w:szCs w:val="22"/>
        </w:rPr>
        <w:t>95pdp à la croissance annuelle</w:t>
      </w:r>
      <w:r w:rsidR="00160B42">
        <w:rPr>
          <w:rFonts w:ascii="Times New Roman" w:hAnsi="Times New Roman" w:cs="Times New Roman"/>
          <w:sz w:val="22"/>
          <w:szCs w:val="22"/>
        </w:rPr>
        <w:t xml:space="preserve">, </w:t>
      </w:r>
      <w:r w:rsidR="00C80A76">
        <w:rPr>
          <w:rFonts w:ascii="Times New Roman" w:hAnsi="Times New Roman" w:cs="Times New Roman"/>
          <w:sz w:val="22"/>
          <w:szCs w:val="22"/>
        </w:rPr>
        <w:t xml:space="preserve">soit un taux </w:t>
      </w:r>
      <w:r w:rsidR="00160B42">
        <w:rPr>
          <w:rFonts w:ascii="Times New Roman" w:hAnsi="Times New Roman" w:cs="Times New Roman"/>
          <w:sz w:val="22"/>
          <w:szCs w:val="22"/>
        </w:rPr>
        <w:t xml:space="preserve">supérieur à celui de </w:t>
      </w:r>
      <w:r w:rsidR="000A1C7B">
        <w:rPr>
          <w:rFonts w:ascii="Times New Roman" w:hAnsi="Times New Roman" w:cs="Times New Roman"/>
          <w:sz w:val="22"/>
          <w:szCs w:val="22"/>
        </w:rPr>
        <w:t xml:space="preserve">la consommation privée. </w:t>
      </w:r>
      <w:r w:rsidR="00B40E07" w:rsidRPr="003D0165">
        <w:rPr>
          <w:rFonts w:ascii="Times New Roman" w:hAnsi="Times New Roman" w:cs="Times New Roman"/>
          <w:sz w:val="22"/>
          <w:szCs w:val="22"/>
        </w:rPr>
        <w:t xml:space="preserve">Le ratio </w:t>
      </w:r>
      <w:r w:rsidR="00DF30E3">
        <w:rPr>
          <w:rFonts w:ascii="Times New Roman" w:hAnsi="Times New Roman" w:cs="Times New Roman"/>
          <w:sz w:val="22"/>
          <w:szCs w:val="22"/>
        </w:rPr>
        <w:t xml:space="preserve">investissements dans les </w:t>
      </w:r>
      <w:r w:rsidR="00B40E07" w:rsidRPr="003D0165">
        <w:rPr>
          <w:rFonts w:ascii="Times New Roman" w:hAnsi="Times New Roman" w:cs="Times New Roman"/>
          <w:sz w:val="22"/>
          <w:szCs w:val="22"/>
        </w:rPr>
        <w:t>infrastructure</w:t>
      </w:r>
      <w:r w:rsidR="00DF30E3">
        <w:rPr>
          <w:rFonts w:ascii="Times New Roman" w:hAnsi="Times New Roman" w:cs="Times New Roman"/>
          <w:sz w:val="22"/>
          <w:szCs w:val="22"/>
        </w:rPr>
        <w:t>s</w:t>
      </w:r>
      <w:r w:rsidR="00B40E07" w:rsidRPr="003D0165">
        <w:rPr>
          <w:rFonts w:ascii="Times New Roman" w:hAnsi="Times New Roman" w:cs="Times New Roman"/>
          <w:sz w:val="22"/>
          <w:szCs w:val="22"/>
        </w:rPr>
        <w:t xml:space="preserve">/PIB a augmenté </w:t>
      </w:r>
      <w:r w:rsidR="00DF30E3">
        <w:rPr>
          <w:rFonts w:ascii="Times New Roman" w:hAnsi="Times New Roman" w:cs="Times New Roman"/>
          <w:sz w:val="22"/>
          <w:szCs w:val="22"/>
        </w:rPr>
        <w:t xml:space="preserve">de façon continue </w:t>
      </w:r>
      <w:r w:rsidR="00B40E07" w:rsidRPr="003D0165">
        <w:rPr>
          <w:rFonts w:ascii="Times New Roman" w:hAnsi="Times New Roman" w:cs="Times New Roman"/>
          <w:sz w:val="22"/>
          <w:szCs w:val="22"/>
        </w:rPr>
        <w:t>de 1,8% en 2011</w:t>
      </w:r>
      <w:r w:rsidR="00666164">
        <w:rPr>
          <w:rFonts w:ascii="Times New Roman" w:hAnsi="Times New Roman" w:cs="Times New Roman"/>
          <w:sz w:val="22"/>
          <w:szCs w:val="22"/>
        </w:rPr>
        <w:t xml:space="preserve"> </w:t>
      </w:r>
      <w:r w:rsidR="00B40E07" w:rsidRPr="003D0165">
        <w:rPr>
          <w:rFonts w:ascii="Times New Roman" w:hAnsi="Times New Roman" w:cs="Times New Roman"/>
          <w:sz w:val="22"/>
          <w:szCs w:val="22"/>
        </w:rPr>
        <w:t xml:space="preserve">à 5,1% en 2016. L'augmentation du </w:t>
      </w:r>
      <w:r w:rsidR="00B40E07" w:rsidRPr="003D0165">
        <w:rPr>
          <w:rFonts w:ascii="Times New Roman" w:hAnsi="Times New Roman" w:cs="Times New Roman"/>
          <w:sz w:val="22"/>
          <w:szCs w:val="22"/>
        </w:rPr>
        <w:lastRenderedPageBreak/>
        <w:t>ratio in</w:t>
      </w:r>
      <w:r w:rsidR="00DF30E3">
        <w:rPr>
          <w:rFonts w:ascii="Times New Roman" w:hAnsi="Times New Roman" w:cs="Times New Roman"/>
          <w:sz w:val="22"/>
          <w:szCs w:val="22"/>
        </w:rPr>
        <w:t>vestissements publics</w:t>
      </w:r>
      <w:r w:rsidR="00B40E07" w:rsidRPr="003D0165">
        <w:rPr>
          <w:rFonts w:ascii="Times New Roman" w:hAnsi="Times New Roman" w:cs="Times New Roman"/>
          <w:sz w:val="22"/>
          <w:szCs w:val="22"/>
        </w:rPr>
        <w:t xml:space="preserve">/PIB </w:t>
      </w:r>
      <w:r w:rsidR="00DF30E3">
        <w:rPr>
          <w:rFonts w:ascii="Times New Roman" w:hAnsi="Times New Roman" w:cs="Times New Roman"/>
          <w:sz w:val="22"/>
          <w:szCs w:val="22"/>
        </w:rPr>
        <w:t xml:space="preserve">reste </w:t>
      </w:r>
      <w:r w:rsidR="00B40E07" w:rsidRPr="003D0165">
        <w:rPr>
          <w:rFonts w:ascii="Times New Roman" w:hAnsi="Times New Roman" w:cs="Times New Roman"/>
          <w:sz w:val="22"/>
          <w:szCs w:val="22"/>
        </w:rPr>
        <w:t>un défi majeur et constitue l'une de ses principales contraintes de développement</w:t>
      </w:r>
      <w:r w:rsidR="003D0165">
        <w:rPr>
          <w:rFonts w:ascii="Times New Roman" w:hAnsi="Times New Roman" w:cs="Times New Roman"/>
          <w:sz w:val="22"/>
          <w:szCs w:val="22"/>
        </w:rPr>
        <w:t>.</w:t>
      </w:r>
    </w:p>
    <w:p w14:paraId="1A27C7D6" w14:textId="6FDCBDB6" w:rsidR="000A1C7B" w:rsidRDefault="003D0165" w:rsidP="00C77390">
      <w:pPr>
        <w:shd w:val="clear" w:color="auto" w:fill="FFFFFF"/>
        <w:overflowPunct/>
        <w:autoSpaceDE/>
        <w:adjustRightInd/>
        <w:spacing w:after="120"/>
        <w:jc w:val="both"/>
        <w:rPr>
          <w:rFonts w:ascii="Times New Roman" w:hAnsi="Times New Roman" w:cs="Times New Roman"/>
          <w:sz w:val="22"/>
          <w:szCs w:val="22"/>
        </w:rPr>
      </w:pPr>
      <w:r w:rsidRPr="00320C9F">
        <w:rPr>
          <w:rFonts w:ascii="Times New Roman" w:hAnsi="Times New Roman" w:cs="Times New Roman"/>
          <w:b/>
          <w:sz w:val="22"/>
          <w:szCs w:val="22"/>
        </w:rPr>
        <w:t>L</w:t>
      </w:r>
      <w:r w:rsidR="00B6564A">
        <w:rPr>
          <w:rFonts w:ascii="Times New Roman" w:hAnsi="Times New Roman" w:cs="Times New Roman"/>
          <w:b/>
          <w:sz w:val="22"/>
          <w:szCs w:val="22"/>
        </w:rPr>
        <w:t xml:space="preserve">’objectif </w:t>
      </w:r>
      <w:r w:rsidRPr="00320C9F">
        <w:rPr>
          <w:rFonts w:ascii="Times New Roman" w:hAnsi="Times New Roman" w:cs="Times New Roman"/>
          <w:b/>
          <w:sz w:val="22"/>
          <w:szCs w:val="22"/>
        </w:rPr>
        <w:t xml:space="preserve">du </w:t>
      </w:r>
      <w:r w:rsidR="00B6564A">
        <w:rPr>
          <w:rFonts w:ascii="Times New Roman" w:hAnsi="Times New Roman" w:cs="Times New Roman"/>
          <w:b/>
          <w:sz w:val="22"/>
          <w:szCs w:val="22"/>
        </w:rPr>
        <w:t>p</w:t>
      </w:r>
      <w:r w:rsidRPr="00320C9F">
        <w:rPr>
          <w:rFonts w:ascii="Times New Roman" w:hAnsi="Times New Roman" w:cs="Times New Roman"/>
          <w:b/>
          <w:sz w:val="22"/>
          <w:szCs w:val="22"/>
        </w:rPr>
        <w:t>rés</w:t>
      </w:r>
      <w:r>
        <w:rPr>
          <w:rFonts w:ascii="Times New Roman" w:hAnsi="Times New Roman" w:cs="Times New Roman"/>
          <w:b/>
          <w:sz w:val="22"/>
          <w:szCs w:val="22"/>
        </w:rPr>
        <w:t>ident R</w:t>
      </w:r>
      <w:r w:rsidR="00B6564A">
        <w:rPr>
          <w:rFonts w:ascii="Times New Roman" w:hAnsi="Times New Roman" w:cs="Times New Roman"/>
          <w:b/>
          <w:sz w:val="22"/>
          <w:szCs w:val="22"/>
        </w:rPr>
        <w:t>.</w:t>
      </w:r>
      <w:r>
        <w:rPr>
          <w:rFonts w:ascii="Times New Roman" w:hAnsi="Times New Roman" w:cs="Times New Roman"/>
          <w:b/>
          <w:sz w:val="22"/>
          <w:szCs w:val="22"/>
        </w:rPr>
        <w:t xml:space="preserve"> </w:t>
      </w:r>
      <w:proofErr w:type="spellStart"/>
      <w:r>
        <w:rPr>
          <w:rFonts w:ascii="Times New Roman" w:hAnsi="Times New Roman" w:cs="Times New Roman"/>
          <w:b/>
          <w:sz w:val="22"/>
          <w:szCs w:val="22"/>
        </w:rPr>
        <w:t>Duterte</w:t>
      </w:r>
      <w:proofErr w:type="spellEnd"/>
      <w:r>
        <w:rPr>
          <w:rFonts w:ascii="Times New Roman" w:hAnsi="Times New Roman" w:cs="Times New Roman"/>
          <w:b/>
          <w:sz w:val="22"/>
          <w:szCs w:val="22"/>
        </w:rPr>
        <w:t xml:space="preserve"> </w:t>
      </w:r>
      <w:r w:rsidR="00B6564A">
        <w:rPr>
          <w:rFonts w:ascii="Times New Roman" w:hAnsi="Times New Roman" w:cs="Times New Roman"/>
          <w:b/>
          <w:sz w:val="22"/>
          <w:szCs w:val="22"/>
        </w:rPr>
        <w:t>est d’augmenter l</w:t>
      </w:r>
      <w:r w:rsidRPr="00320C9F">
        <w:rPr>
          <w:rFonts w:ascii="Times New Roman" w:hAnsi="Times New Roman" w:cs="Times New Roman"/>
          <w:b/>
          <w:sz w:val="22"/>
          <w:szCs w:val="22"/>
        </w:rPr>
        <w:t>a part de l’in</w:t>
      </w:r>
      <w:r w:rsidR="00666164">
        <w:rPr>
          <w:rFonts w:ascii="Times New Roman" w:hAnsi="Times New Roman" w:cs="Times New Roman"/>
          <w:b/>
          <w:sz w:val="22"/>
          <w:szCs w:val="22"/>
        </w:rPr>
        <w:t>vestissement public de 5,3</w:t>
      </w:r>
      <w:r>
        <w:rPr>
          <w:rFonts w:ascii="Times New Roman" w:hAnsi="Times New Roman" w:cs="Times New Roman"/>
          <w:b/>
          <w:sz w:val="22"/>
          <w:szCs w:val="22"/>
        </w:rPr>
        <w:t>%</w:t>
      </w:r>
      <w:r w:rsidR="00666164">
        <w:rPr>
          <w:rFonts w:ascii="Times New Roman" w:hAnsi="Times New Roman" w:cs="Times New Roman"/>
          <w:b/>
          <w:sz w:val="22"/>
          <w:szCs w:val="22"/>
        </w:rPr>
        <w:t xml:space="preserve"> en 2017</w:t>
      </w:r>
      <w:r>
        <w:rPr>
          <w:rFonts w:ascii="Times New Roman" w:hAnsi="Times New Roman" w:cs="Times New Roman"/>
          <w:b/>
          <w:sz w:val="22"/>
          <w:szCs w:val="22"/>
        </w:rPr>
        <w:t xml:space="preserve"> à 7,4</w:t>
      </w:r>
      <w:r w:rsidRPr="00320C9F">
        <w:rPr>
          <w:rFonts w:ascii="Times New Roman" w:hAnsi="Times New Roman" w:cs="Times New Roman"/>
          <w:b/>
          <w:sz w:val="22"/>
          <w:szCs w:val="22"/>
        </w:rPr>
        <w:t xml:space="preserve">% du PIB </w:t>
      </w:r>
      <w:r w:rsidR="00B6564A">
        <w:rPr>
          <w:rFonts w:ascii="Times New Roman" w:hAnsi="Times New Roman" w:cs="Times New Roman"/>
          <w:b/>
          <w:sz w:val="22"/>
          <w:szCs w:val="22"/>
        </w:rPr>
        <w:t xml:space="preserve">à horizon 2022. </w:t>
      </w:r>
      <w:r>
        <w:rPr>
          <w:rFonts w:ascii="Times New Roman" w:hAnsi="Times New Roman" w:cs="Times New Roman"/>
          <w:b/>
          <w:sz w:val="22"/>
          <w:szCs w:val="22"/>
        </w:rPr>
        <w:t>55 projets p</w:t>
      </w:r>
      <w:r w:rsidR="00B6564A">
        <w:rPr>
          <w:rFonts w:ascii="Times New Roman" w:hAnsi="Times New Roman" w:cs="Times New Roman"/>
          <w:b/>
          <w:sz w:val="22"/>
          <w:szCs w:val="22"/>
        </w:rPr>
        <w:t>rioritaires</w:t>
      </w:r>
      <w:r>
        <w:rPr>
          <w:rFonts w:ascii="Times New Roman" w:hAnsi="Times New Roman" w:cs="Times New Roman"/>
          <w:b/>
          <w:sz w:val="22"/>
          <w:szCs w:val="22"/>
        </w:rPr>
        <w:t xml:space="preserve"> </w:t>
      </w:r>
      <w:r w:rsidR="00B6564A">
        <w:rPr>
          <w:rFonts w:ascii="Times New Roman" w:hAnsi="Times New Roman" w:cs="Times New Roman"/>
          <w:b/>
          <w:sz w:val="22"/>
          <w:szCs w:val="22"/>
        </w:rPr>
        <w:t xml:space="preserve">représentant un montant d’investissements de </w:t>
      </w:r>
      <w:r w:rsidR="0091631D">
        <w:rPr>
          <w:rFonts w:ascii="Times New Roman" w:hAnsi="Times New Roman" w:cs="Times New Roman"/>
          <w:b/>
          <w:sz w:val="22"/>
          <w:szCs w:val="22"/>
        </w:rPr>
        <w:t>16</w:t>
      </w:r>
      <w:r>
        <w:rPr>
          <w:rFonts w:ascii="Times New Roman" w:hAnsi="Times New Roman" w:cs="Times New Roman"/>
          <w:b/>
          <w:sz w:val="22"/>
          <w:szCs w:val="22"/>
        </w:rPr>
        <w:t>0 Mds USD</w:t>
      </w:r>
      <w:r w:rsidR="00B6564A">
        <w:rPr>
          <w:rFonts w:ascii="Times New Roman" w:hAnsi="Times New Roman" w:cs="Times New Roman"/>
          <w:b/>
          <w:sz w:val="22"/>
          <w:szCs w:val="22"/>
        </w:rPr>
        <w:t xml:space="preserve"> sur la période </w:t>
      </w:r>
      <w:r w:rsidRPr="00320C9F">
        <w:rPr>
          <w:rFonts w:ascii="Times New Roman" w:hAnsi="Times New Roman" w:cs="Times New Roman"/>
          <w:b/>
          <w:sz w:val="22"/>
          <w:szCs w:val="22"/>
        </w:rPr>
        <w:t xml:space="preserve">ont </w:t>
      </w:r>
      <w:r w:rsidR="00B6564A">
        <w:rPr>
          <w:rFonts w:ascii="Times New Roman" w:hAnsi="Times New Roman" w:cs="Times New Roman"/>
          <w:b/>
          <w:sz w:val="22"/>
          <w:szCs w:val="22"/>
        </w:rPr>
        <w:t>été sélectionnés</w:t>
      </w:r>
      <w:r w:rsidRPr="00564B87">
        <w:rPr>
          <w:rFonts w:ascii="Times New Roman" w:hAnsi="Times New Roman" w:cs="Times New Roman"/>
          <w:sz w:val="22"/>
          <w:szCs w:val="22"/>
        </w:rPr>
        <w:t>.</w:t>
      </w:r>
      <w:r>
        <w:rPr>
          <w:rFonts w:ascii="Times New Roman" w:hAnsi="Times New Roman" w:cs="Times New Roman"/>
          <w:sz w:val="22"/>
          <w:szCs w:val="22"/>
        </w:rPr>
        <w:t xml:space="preserve"> </w:t>
      </w:r>
      <w:r w:rsidR="000A1C7B" w:rsidRPr="000A1C7B">
        <w:rPr>
          <w:rFonts w:ascii="Times New Roman" w:hAnsi="Times New Roman" w:cs="Times New Roman"/>
          <w:sz w:val="22"/>
          <w:szCs w:val="22"/>
        </w:rPr>
        <w:t>Jusqu’à lors, l’insuffisance des investissements publics dans les infrastructures, en particulier dans le domaine des transports, résultait pour partie de</w:t>
      </w:r>
      <w:r w:rsidR="00160B42">
        <w:rPr>
          <w:rFonts w:ascii="Times New Roman" w:hAnsi="Times New Roman" w:cs="Times New Roman"/>
          <w:sz w:val="22"/>
          <w:szCs w:val="22"/>
        </w:rPr>
        <w:t xml:space="preserve">s faibles capacités de l’administration à </w:t>
      </w:r>
      <w:r w:rsidR="000A1C7B" w:rsidRPr="000A1C7B">
        <w:rPr>
          <w:rFonts w:ascii="Times New Roman" w:hAnsi="Times New Roman" w:cs="Times New Roman"/>
          <w:sz w:val="22"/>
          <w:szCs w:val="22"/>
        </w:rPr>
        <w:t>exécut</w:t>
      </w:r>
      <w:r w:rsidR="00160B42">
        <w:rPr>
          <w:rFonts w:ascii="Times New Roman" w:hAnsi="Times New Roman" w:cs="Times New Roman"/>
          <w:sz w:val="22"/>
          <w:szCs w:val="22"/>
        </w:rPr>
        <w:t xml:space="preserve">er </w:t>
      </w:r>
      <w:r w:rsidR="000A1C7B" w:rsidRPr="000A1C7B">
        <w:rPr>
          <w:rFonts w:ascii="Times New Roman" w:hAnsi="Times New Roman" w:cs="Times New Roman"/>
          <w:sz w:val="22"/>
          <w:szCs w:val="22"/>
        </w:rPr>
        <w:t>la dépense.</w:t>
      </w:r>
    </w:p>
    <w:p w14:paraId="7E7F65BC" w14:textId="4BB103D9" w:rsidR="00564B87" w:rsidRDefault="00564B87" w:rsidP="00C77390">
      <w:pPr>
        <w:shd w:val="clear" w:color="auto" w:fill="FFFFFF"/>
        <w:overflowPunct/>
        <w:autoSpaceDE/>
        <w:adjustRightInd/>
        <w:jc w:val="both"/>
        <w:rPr>
          <w:rFonts w:ascii="Times New Roman" w:hAnsi="Times New Roman" w:cs="Times New Roman"/>
          <w:sz w:val="22"/>
          <w:szCs w:val="22"/>
        </w:rPr>
      </w:pPr>
      <w:r w:rsidRPr="00564B87">
        <w:rPr>
          <w:rFonts w:ascii="Times New Roman" w:hAnsi="Times New Roman" w:cs="Times New Roman"/>
          <w:sz w:val="22"/>
          <w:szCs w:val="22"/>
        </w:rPr>
        <w:t xml:space="preserve">La diversification en cours de l’économie philippine tirée par l’essor des activités de sous-traitance de services (Business </w:t>
      </w:r>
      <w:proofErr w:type="spellStart"/>
      <w:r w:rsidRPr="00564B87">
        <w:rPr>
          <w:rFonts w:ascii="Times New Roman" w:hAnsi="Times New Roman" w:cs="Times New Roman"/>
          <w:sz w:val="22"/>
          <w:szCs w:val="22"/>
        </w:rPr>
        <w:t>Process</w:t>
      </w:r>
      <w:proofErr w:type="spellEnd"/>
      <w:r w:rsidRPr="00564B87">
        <w:rPr>
          <w:rFonts w:ascii="Times New Roman" w:hAnsi="Times New Roman" w:cs="Times New Roman"/>
          <w:sz w:val="22"/>
          <w:szCs w:val="22"/>
        </w:rPr>
        <w:t xml:space="preserve"> Outsourcing, BPO) constitue un relais de croissance de long terme qui </w:t>
      </w:r>
      <w:r w:rsidR="006027F1">
        <w:rPr>
          <w:rFonts w:ascii="Times New Roman" w:hAnsi="Times New Roman" w:cs="Times New Roman"/>
          <w:sz w:val="22"/>
          <w:szCs w:val="22"/>
        </w:rPr>
        <w:t>devra se</w:t>
      </w:r>
      <w:r w:rsidRPr="00564B87">
        <w:rPr>
          <w:rFonts w:ascii="Times New Roman" w:hAnsi="Times New Roman" w:cs="Times New Roman"/>
          <w:sz w:val="22"/>
          <w:szCs w:val="22"/>
        </w:rPr>
        <w:t xml:space="preserve"> consolider par une montée en gamme des services (financiers), ce qui nécessite des investissements importants dans la formation de la main d’œuvre.</w:t>
      </w:r>
    </w:p>
    <w:p w14:paraId="52F5D811" w14:textId="77777777" w:rsidR="00B40E07" w:rsidRPr="00564B87" w:rsidRDefault="00B40E07" w:rsidP="00564B87">
      <w:pPr>
        <w:shd w:val="clear" w:color="auto" w:fill="FFFFFF"/>
        <w:overflowPunct/>
        <w:autoSpaceDE/>
        <w:adjustRightInd/>
        <w:jc w:val="both"/>
        <w:rPr>
          <w:rFonts w:ascii="Times New Roman" w:hAnsi="Times New Roman" w:cs="Times New Roman"/>
          <w:sz w:val="22"/>
          <w:szCs w:val="22"/>
        </w:rPr>
      </w:pPr>
    </w:p>
    <w:p w14:paraId="4F234C89" w14:textId="4B6E8688" w:rsidR="00564B87" w:rsidRPr="007A63D2" w:rsidRDefault="00C77390" w:rsidP="00C77390">
      <w:pPr>
        <w:pStyle w:val="Paragraphedeliste"/>
        <w:numPr>
          <w:ilvl w:val="0"/>
          <w:numId w:val="7"/>
        </w:numPr>
        <w:shd w:val="clear" w:color="auto" w:fill="FFFFFF"/>
        <w:overflowPunct/>
        <w:autoSpaceDE/>
        <w:adjustRightInd/>
        <w:spacing w:after="120"/>
        <w:contextualSpacing w:val="0"/>
        <w:jc w:val="both"/>
        <w:rPr>
          <w:rFonts w:ascii="Times New Roman" w:hAnsi="Times New Roman" w:cs="Times New Roman"/>
          <w:b/>
          <w:sz w:val="22"/>
          <w:szCs w:val="22"/>
        </w:rPr>
      </w:pPr>
      <w:r>
        <w:rPr>
          <w:rFonts w:ascii="Times New Roman" w:hAnsi="Times New Roman" w:cs="Times New Roman"/>
          <w:b/>
          <w:sz w:val="22"/>
          <w:szCs w:val="22"/>
        </w:rPr>
        <w:t>Faiblement endetté, l</w:t>
      </w:r>
      <w:r w:rsidR="007A63D2" w:rsidRPr="007A63D2">
        <w:rPr>
          <w:rFonts w:ascii="Times New Roman" w:hAnsi="Times New Roman" w:cs="Times New Roman"/>
          <w:b/>
          <w:sz w:val="22"/>
          <w:szCs w:val="22"/>
        </w:rPr>
        <w:t>e pays</w:t>
      </w:r>
      <w:r w:rsidR="007A63D2">
        <w:rPr>
          <w:rFonts w:ascii="Times New Roman" w:hAnsi="Times New Roman" w:cs="Times New Roman"/>
          <w:b/>
          <w:sz w:val="22"/>
          <w:szCs w:val="22"/>
        </w:rPr>
        <w:t xml:space="preserve"> </w:t>
      </w:r>
      <w:r w:rsidR="007A63D2" w:rsidRPr="007A63D2">
        <w:rPr>
          <w:rFonts w:ascii="Times New Roman" w:hAnsi="Times New Roman" w:cs="Times New Roman"/>
          <w:b/>
          <w:sz w:val="22"/>
          <w:szCs w:val="22"/>
        </w:rPr>
        <w:t>dispose de marges de manœuvres en matière de relance budgétaire</w:t>
      </w:r>
    </w:p>
    <w:p w14:paraId="514C1208" w14:textId="5810671A" w:rsidR="00564B87" w:rsidRPr="00564B87" w:rsidRDefault="00564B87" w:rsidP="00C77390">
      <w:pPr>
        <w:shd w:val="clear" w:color="auto" w:fill="FFFFFF"/>
        <w:overflowPunct/>
        <w:autoSpaceDE/>
        <w:adjustRightInd/>
        <w:spacing w:after="120"/>
        <w:jc w:val="both"/>
        <w:rPr>
          <w:rFonts w:ascii="Times New Roman" w:hAnsi="Times New Roman" w:cs="Times New Roman"/>
          <w:sz w:val="22"/>
          <w:szCs w:val="22"/>
        </w:rPr>
      </w:pPr>
      <w:r w:rsidRPr="00320C9F">
        <w:rPr>
          <w:rFonts w:ascii="Times New Roman" w:hAnsi="Times New Roman" w:cs="Times New Roman"/>
          <w:b/>
          <w:sz w:val="22"/>
          <w:szCs w:val="22"/>
        </w:rPr>
        <w:t xml:space="preserve">Le gouvernement </w:t>
      </w:r>
      <w:r w:rsidR="00C77390">
        <w:rPr>
          <w:rFonts w:ascii="Times New Roman" w:hAnsi="Times New Roman" w:cs="Times New Roman"/>
          <w:b/>
          <w:sz w:val="22"/>
          <w:szCs w:val="22"/>
        </w:rPr>
        <w:t>a retenu un objectif d’aug</w:t>
      </w:r>
      <w:r w:rsidRPr="00320C9F">
        <w:rPr>
          <w:rFonts w:ascii="Times New Roman" w:hAnsi="Times New Roman" w:cs="Times New Roman"/>
          <w:b/>
          <w:sz w:val="22"/>
          <w:szCs w:val="22"/>
        </w:rPr>
        <w:t>mentation du déficit budgétaire à 3 % du PIB</w:t>
      </w:r>
      <w:r w:rsidRPr="00564B87">
        <w:rPr>
          <w:rFonts w:ascii="Times New Roman" w:hAnsi="Times New Roman" w:cs="Times New Roman"/>
          <w:sz w:val="22"/>
          <w:szCs w:val="22"/>
        </w:rPr>
        <w:t xml:space="preserve"> (contre moins de 2% sous la précédente administration en raison de la faible exécution budgétaire), par un accroissement indispensable des dépenses publiques, essentiellement dans les infrastructures et les services sociaux (</w:t>
      </w:r>
      <w:r w:rsidR="00C77390" w:rsidRPr="00C77390">
        <w:rPr>
          <w:rFonts w:ascii="Times New Roman" w:hAnsi="Times New Roman" w:cs="Times New Roman"/>
          <w:sz w:val="22"/>
          <w:szCs w:val="22"/>
        </w:rPr>
        <w:t>lutte contre la pauvreté</w:t>
      </w:r>
      <w:r w:rsidR="00C77390">
        <w:rPr>
          <w:rFonts w:ascii="Times New Roman" w:hAnsi="Times New Roman" w:cs="Times New Roman"/>
          <w:sz w:val="22"/>
          <w:szCs w:val="22"/>
        </w:rPr>
        <w:t>,</w:t>
      </w:r>
      <w:r w:rsidR="00C77390" w:rsidRPr="00C77390">
        <w:rPr>
          <w:rFonts w:ascii="Times New Roman" w:hAnsi="Times New Roman" w:cs="Times New Roman"/>
          <w:sz w:val="22"/>
          <w:szCs w:val="22"/>
        </w:rPr>
        <w:t xml:space="preserve"> </w:t>
      </w:r>
      <w:r w:rsidRPr="00564B87">
        <w:rPr>
          <w:rFonts w:ascii="Times New Roman" w:hAnsi="Times New Roman" w:cs="Times New Roman"/>
          <w:sz w:val="22"/>
          <w:szCs w:val="22"/>
        </w:rPr>
        <w:t xml:space="preserve">éducation primaire, </w:t>
      </w:r>
      <w:r w:rsidR="00C77390">
        <w:rPr>
          <w:rFonts w:ascii="Times New Roman" w:hAnsi="Times New Roman" w:cs="Times New Roman"/>
          <w:sz w:val="22"/>
          <w:szCs w:val="22"/>
        </w:rPr>
        <w:t>santé</w:t>
      </w:r>
      <w:r w:rsidRPr="00564B87">
        <w:rPr>
          <w:rFonts w:ascii="Times New Roman" w:hAnsi="Times New Roman" w:cs="Times New Roman"/>
          <w:sz w:val="22"/>
          <w:szCs w:val="22"/>
        </w:rPr>
        <w:t xml:space="preserve">). La réforme fiscale </w:t>
      </w:r>
      <w:r w:rsidR="00C77390">
        <w:rPr>
          <w:rFonts w:ascii="Times New Roman" w:hAnsi="Times New Roman" w:cs="Times New Roman"/>
          <w:sz w:val="22"/>
          <w:szCs w:val="22"/>
        </w:rPr>
        <w:t>actuellement en discussion au Congrès</w:t>
      </w:r>
      <w:r w:rsidRPr="00564B87">
        <w:rPr>
          <w:rFonts w:ascii="Times New Roman" w:hAnsi="Times New Roman" w:cs="Times New Roman"/>
          <w:sz w:val="22"/>
          <w:szCs w:val="22"/>
        </w:rPr>
        <w:t xml:space="preserve"> devrait entrer en vigueur sous la loi de finance 2018</w:t>
      </w:r>
      <w:r w:rsidR="00C77390">
        <w:rPr>
          <w:rFonts w:ascii="Times New Roman" w:hAnsi="Times New Roman" w:cs="Times New Roman"/>
          <w:sz w:val="22"/>
          <w:szCs w:val="22"/>
        </w:rPr>
        <w:t xml:space="preserve">. Elle </w:t>
      </w:r>
      <w:r w:rsidRPr="00564B87">
        <w:rPr>
          <w:rFonts w:ascii="Times New Roman" w:hAnsi="Times New Roman" w:cs="Times New Roman"/>
          <w:sz w:val="22"/>
          <w:szCs w:val="22"/>
        </w:rPr>
        <w:t xml:space="preserve">vise à améliorer la collecte de l’impôt par la rationalisation des nombreux dispositifs d’exonération (TVA) et par la simplification de la structure de l’impôt sur le revenu. Cette réforme devrait permettre </w:t>
      </w:r>
      <w:r w:rsidR="00BE705C">
        <w:rPr>
          <w:rFonts w:ascii="Times New Roman" w:hAnsi="Times New Roman" w:cs="Times New Roman"/>
          <w:sz w:val="22"/>
          <w:szCs w:val="22"/>
        </w:rPr>
        <w:t xml:space="preserve">d’augmenter les </w:t>
      </w:r>
      <w:r w:rsidRPr="00564B87">
        <w:rPr>
          <w:rFonts w:ascii="Times New Roman" w:hAnsi="Times New Roman" w:cs="Times New Roman"/>
          <w:sz w:val="22"/>
          <w:szCs w:val="22"/>
        </w:rPr>
        <w:t xml:space="preserve">recettes fiscales </w:t>
      </w:r>
      <w:r w:rsidR="00BE705C">
        <w:rPr>
          <w:rFonts w:ascii="Times New Roman" w:hAnsi="Times New Roman" w:cs="Times New Roman"/>
          <w:sz w:val="22"/>
          <w:szCs w:val="22"/>
        </w:rPr>
        <w:t xml:space="preserve">de </w:t>
      </w:r>
      <w:r w:rsidR="00497F29">
        <w:rPr>
          <w:rFonts w:ascii="Times New Roman" w:hAnsi="Times New Roman" w:cs="Times New Roman"/>
          <w:sz w:val="22"/>
          <w:szCs w:val="22"/>
        </w:rPr>
        <w:t xml:space="preserve">15,2% </w:t>
      </w:r>
      <w:r w:rsidR="00BE705C">
        <w:rPr>
          <w:rFonts w:ascii="Times New Roman" w:hAnsi="Times New Roman" w:cs="Times New Roman"/>
          <w:sz w:val="22"/>
          <w:szCs w:val="22"/>
        </w:rPr>
        <w:t xml:space="preserve">du PIB </w:t>
      </w:r>
      <w:r w:rsidR="00497F29">
        <w:rPr>
          <w:rFonts w:ascii="Times New Roman" w:hAnsi="Times New Roman" w:cs="Times New Roman"/>
          <w:sz w:val="22"/>
          <w:szCs w:val="22"/>
        </w:rPr>
        <w:t xml:space="preserve">en 2017 à 17,7% </w:t>
      </w:r>
      <w:r w:rsidR="00BE705C">
        <w:rPr>
          <w:rFonts w:ascii="Times New Roman" w:hAnsi="Times New Roman" w:cs="Times New Roman"/>
          <w:sz w:val="22"/>
          <w:szCs w:val="22"/>
        </w:rPr>
        <w:t xml:space="preserve">du PIB </w:t>
      </w:r>
      <w:r w:rsidR="00497F29">
        <w:rPr>
          <w:rFonts w:ascii="Times New Roman" w:hAnsi="Times New Roman" w:cs="Times New Roman"/>
          <w:sz w:val="22"/>
          <w:szCs w:val="22"/>
        </w:rPr>
        <w:t>en 2022.</w:t>
      </w:r>
    </w:p>
    <w:p w14:paraId="72859E3E" w14:textId="12403325" w:rsidR="00564B87" w:rsidRPr="00564B87" w:rsidRDefault="00564B87" w:rsidP="00C77390">
      <w:pPr>
        <w:shd w:val="clear" w:color="auto" w:fill="FFFFFF"/>
        <w:overflowPunct/>
        <w:autoSpaceDE/>
        <w:adjustRightInd/>
        <w:jc w:val="both"/>
        <w:rPr>
          <w:rFonts w:ascii="Times New Roman" w:hAnsi="Times New Roman" w:cs="Times New Roman"/>
          <w:sz w:val="22"/>
          <w:szCs w:val="22"/>
        </w:rPr>
      </w:pPr>
      <w:r w:rsidRPr="00320C9F">
        <w:rPr>
          <w:rFonts w:ascii="Times New Roman" w:hAnsi="Times New Roman" w:cs="Times New Roman"/>
          <w:b/>
          <w:sz w:val="22"/>
          <w:szCs w:val="22"/>
        </w:rPr>
        <w:t>Selon les prévisions du FMI (analyse de soutenabilité de la dette d’août 2016), le maintien d’un solde primaire (hors intérêts de la dette) excédentaire sur la période 2016-2021 devrait permettre la poursuite de la trajectoire à la baisse de la dette souveraine</w:t>
      </w:r>
      <w:r w:rsidRPr="00564B87">
        <w:rPr>
          <w:rFonts w:ascii="Times New Roman" w:hAnsi="Times New Roman" w:cs="Times New Roman"/>
          <w:sz w:val="22"/>
          <w:szCs w:val="22"/>
        </w:rPr>
        <w:t>. Selon le scénario de base retenu par le Fonds (accélération de la croissance annuelle à 7% en fin de période, supérieure au taux d’intérêt réel), le ratio dette publique/PIB devrait diminuer de 35% en 2015 à moins de 30% en 2021. Le risque souverain est atténué par la composition très majoritaire de la dette publiqu</w:t>
      </w:r>
      <w:r w:rsidR="0008596D">
        <w:rPr>
          <w:rFonts w:ascii="Times New Roman" w:hAnsi="Times New Roman" w:cs="Times New Roman"/>
          <w:sz w:val="22"/>
          <w:szCs w:val="22"/>
        </w:rPr>
        <w:t>e en devise nationale (</w:t>
      </w:r>
      <w:r w:rsidR="00DF32EF">
        <w:rPr>
          <w:rFonts w:ascii="Times New Roman" w:hAnsi="Times New Roman" w:cs="Times New Roman"/>
          <w:sz w:val="22"/>
          <w:szCs w:val="22"/>
        </w:rPr>
        <w:t xml:space="preserve">à peu près </w:t>
      </w:r>
      <w:r w:rsidR="0008596D">
        <w:rPr>
          <w:rFonts w:ascii="Times New Roman" w:hAnsi="Times New Roman" w:cs="Times New Roman"/>
          <w:sz w:val="22"/>
          <w:szCs w:val="22"/>
        </w:rPr>
        <w:t>8</w:t>
      </w:r>
      <w:r w:rsidRPr="00564B87">
        <w:rPr>
          <w:rFonts w:ascii="Times New Roman" w:hAnsi="Times New Roman" w:cs="Times New Roman"/>
          <w:sz w:val="22"/>
          <w:szCs w:val="22"/>
        </w:rPr>
        <w:t>0%) et par le profil d</w:t>
      </w:r>
      <w:r w:rsidR="00F74194">
        <w:rPr>
          <w:rFonts w:ascii="Times New Roman" w:hAnsi="Times New Roman" w:cs="Times New Roman"/>
          <w:sz w:val="22"/>
          <w:szCs w:val="22"/>
        </w:rPr>
        <w:t>e son échéancier (80</w:t>
      </w:r>
      <w:r w:rsidRPr="00564B87">
        <w:rPr>
          <w:rFonts w:ascii="Times New Roman" w:hAnsi="Times New Roman" w:cs="Times New Roman"/>
          <w:sz w:val="22"/>
          <w:szCs w:val="22"/>
        </w:rPr>
        <w:t>% de dette de mat</w:t>
      </w:r>
      <w:r w:rsidR="00C77390">
        <w:rPr>
          <w:rFonts w:ascii="Times New Roman" w:hAnsi="Times New Roman" w:cs="Times New Roman"/>
          <w:sz w:val="22"/>
          <w:szCs w:val="22"/>
        </w:rPr>
        <w:t>urité de moyen et long termes).</w:t>
      </w:r>
    </w:p>
    <w:p w14:paraId="0B14B1A1" w14:textId="77777777" w:rsidR="00564B87" w:rsidRPr="00564B87" w:rsidRDefault="00564B87" w:rsidP="00BE705C">
      <w:pPr>
        <w:shd w:val="clear" w:color="auto" w:fill="FFFFFF"/>
        <w:overflowPunct/>
        <w:autoSpaceDE/>
        <w:adjustRightInd/>
        <w:jc w:val="both"/>
        <w:rPr>
          <w:rFonts w:ascii="Times New Roman" w:hAnsi="Times New Roman" w:cs="Times New Roman"/>
          <w:sz w:val="22"/>
          <w:szCs w:val="22"/>
        </w:rPr>
      </w:pPr>
    </w:p>
    <w:p w14:paraId="33EF1FC4" w14:textId="03B261D3" w:rsidR="00564B87" w:rsidRPr="007A63D2" w:rsidRDefault="00BE705C" w:rsidP="00BE705C">
      <w:pPr>
        <w:pStyle w:val="Paragraphedeliste"/>
        <w:numPr>
          <w:ilvl w:val="0"/>
          <w:numId w:val="7"/>
        </w:numPr>
        <w:shd w:val="clear" w:color="auto" w:fill="FFFFFF"/>
        <w:overflowPunct/>
        <w:autoSpaceDE/>
        <w:adjustRightInd/>
        <w:spacing w:after="120"/>
        <w:contextualSpacing w:val="0"/>
        <w:jc w:val="both"/>
        <w:rPr>
          <w:rFonts w:ascii="Times New Roman" w:hAnsi="Times New Roman" w:cs="Times New Roman"/>
          <w:b/>
          <w:sz w:val="22"/>
          <w:szCs w:val="22"/>
        </w:rPr>
      </w:pPr>
      <w:r>
        <w:rPr>
          <w:rFonts w:ascii="Times New Roman" w:hAnsi="Times New Roman" w:cs="Times New Roman"/>
          <w:b/>
          <w:sz w:val="22"/>
          <w:szCs w:val="22"/>
        </w:rPr>
        <w:t xml:space="preserve">Les </w:t>
      </w:r>
      <w:r w:rsidR="00A10FB7">
        <w:rPr>
          <w:rFonts w:ascii="Times New Roman" w:hAnsi="Times New Roman" w:cs="Times New Roman"/>
          <w:b/>
          <w:sz w:val="22"/>
          <w:szCs w:val="22"/>
        </w:rPr>
        <w:t xml:space="preserve">comptes </w:t>
      </w:r>
      <w:r w:rsidR="007A63D2" w:rsidRPr="007A63D2">
        <w:rPr>
          <w:rFonts w:ascii="Times New Roman" w:hAnsi="Times New Roman" w:cs="Times New Roman"/>
          <w:b/>
          <w:sz w:val="22"/>
          <w:szCs w:val="22"/>
        </w:rPr>
        <w:t>extérieur</w:t>
      </w:r>
      <w:r w:rsidR="00A10FB7">
        <w:rPr>
          <w:rFonts w:ascii="Times New Roman" w:hAnsi="Times New Roman" w:cs="Times New Roman"/>
          <w:b/>
          <w:sz w:val="22"/>
          <w:szCs w:val="22"/>
        </w:rPr>
        <w:t>s</w:t>
      </w:r>
      <w:r w:rsidR="007A63D2" w:rsidRPr="007A63D2">
        <w:rPr>
          <w:rFonts w:ascii="Times New Roman" w:hAnsi="Times New Roman" w:cs="Times New Roman"/>
          <w:b/>
          <w:sz w:val="22"/>
          <w:szCs w:val="22"/>
        </w:rPr>
        <w:t xml:space="preserve"> </w:t>
      </w:r>
      <w:r>
        <w:rPr>
          <w:rFonts w:ascii="Times New Roman" w:hAnsi="Times New Roman" w:cs="Times New Roman"/>
          <w:b/>
          <w:sz w:val="22"/>
          <w:szCs w:val="22"/>
        </w:rPr>
        <w:t>sont pratiquement à l’</w:t>
      </w:r>
      <w:r w:rsidR="007A63D2" w:rsidRPr="007A63D2">
        <w:rPr>
          <w:rFonts w:ascii="Times New Roman" w:hAnsi="Times New Roman" w:cs="Times New Roman"/>
          <w:b/>
          <w:sz w:val="22"/>
          <w:szCs w:val="22"/>
        </w:rPr>
        <w:t>équilibre</w:t>
      </w:r>
      <w:r w:rsidR="00A10FB7">
        <w:rPr>
          <w:rFonts w:ascii="Times New Roman" w:hAnsi="Times New Roman" w:cs="Times New Roman"/>
          <w:b/>
          <w:sz w:val="22"/>
          <w:szCs w:val="22"/>
        </w:rPr>
        <w:t xml:space="preserve"> </w:t>
      </w:r>
      <w:r>
        <w:rPr>
          <w:rFonts w:ascii="Times New Roman" w:hAnsi="Times New Roman" w:cs="Times New Roman"/>
          <w:b/>
          <w:sz w:val="22"/>
          <w:szCs w:val="22"/>
        </w:rPr>
        <w:t xml:space="preserve">et </w:t>
      </w:r>
      <w:r w:rsidR="00A10FB7">
        <w:rPr>
          <w:rFonts w:ascii="Times New Roman" w:hAnsi="Times New Roman" w:cs="Times New Roman"/>
          <w:b/>
          <w:sz w:val="22"/>
          <w:szCs w:val="22"/>
        </w:rPr>
        <w:t xml:space="preserve">le risque de </w:t>
      </w:r>
      <w:r w:rsidR="007A63D2" w:rsidRPr="007A63D2">
        <w:rPr>
          <w:rFonts w:ascii="Times New Roman" w:hAnsi="Times New Roman" w:cs="Times New Roman"/>
          <w:b/>
          <w:sz w:val="22"/>
          <w:szCs w:val="22"/>
        </w:rPr>
        <w:t>surendettement</w:t>
      </w:r>
      <w:r w:rsidR="00A10FB7">
        <w:rPr>
          <w:rFonts w:ascii="Times New Roman" w:hAnsi="Times New Roman" w:cs="Times New Roman"/>
          <w:b/>
          <w:sz w:val="22"/>
          <w:szCs w:val="22"/>
        </w:rPr>
        <w:t xml:space="preserve"> est </w:t>
      </w:r>
      <w:r>
        <w:rPr>
          <w:rFonts w:ascii="Times New Roman" w:hAnsi="Times New Roman" w:cs="Times New Roman"/>
          <w:b/>
          <w:sz w:val="22"/>
          <w:szCs w:val="22"/>
        </w:rPr>
        <w:t>considéré comme</w:t>
      </w:r>
      <w:r w:rsidR="00A10FB7">
        <w:rPr>
          <w:rFonts w:ascii="Times New Roman" w:hAnsi="Times New Roman" w:cs="Times New Roman"/>
          <w:b/>
          <w:sz w:val="22"/>
          <w:szCs w:val="22"/>
        </w:rPr>
        <w:t xml:space="preserve"> faible</w:t>
      </w:r>
    </w:p>
    <w:p w14:paraId="2ECE2B8F" w14:textId="174DA647" w:rsidR="00564B87" w:rsidRPr="00564B87" w:rsidRDefault="00CA6E71" w:rsidP="00BE705C">
      <w:pPr>
        <w:shd w:val="clear" w:color="auto" w:fill="FFFFFF"/>
        <w:overflowPunct/>
        <w:autoSpaceDE/>
        <w:adjustRightInd/>
        <w:spacing w:after="120"/>
        <w:jc w:val="both"/>
        <w:rPr>
          <w:rFonts w:ascii="Times New Roman" w:hAnsi="Times New Roman" w:cs="Times New Roman"/>
          <w:sz w:val="22"/>
          <w:szCs w:val="22"/>
        </w:rPr>
      </w:pPr>
      <w:r>
        <w:rPr>
          <w:rFonts w:ascii="Times New Roman" w:hAnsi="Times New Roman" w:cs="Times New Roman"/>
          <w:b/>
          <w:sz w:val="22"/>
          <w:szCs w:val="22"/>
        </w:rPr>
        <w:t>En 2016</w:t>
      </w:r>
      <w:r w:rsidR="00564B87" w:rsidRPr="00320C9F">
        <w:rPr>
          <w:rFonts w:ascii="Times New Roman" w:hAnsi="Times New Roman" w:cs="Times New Roman"/>
          <w:b/>
          <w:sz w:val="22"/>
          <w:szCs w:val="22"/>
        </w:rPr>
        <w:t>, la balance courante</w:t>
      </w:r>
      <w:r>
        <w:rPr>
          <w:rFonts w:ascii="Times New Roman" w:hAnsi="Times New Roman" w:cs="Times New Roman"/>
          <w:b/>
          <w:sz w:val="22"/>
          <w:szCs w:val="22"/>
        </w:rPr>
        <w:t xml:space="preserve"> a enregistré un excédent de 0,9</w:t>
      </w:r>
      <w:r w:rsidR="00564B87" w:rsidRPr="00320C9F">
        <w:rPr>
          <w:rFonts w:ascii="Times New Roman" w:hAnsi="Times New Roman" w:cs="Times New Roman"/>
          <w:b/>
          <w:sz w:val="22"/>
          <w:szCs w:val="22"/>
        </w:rPr>
        <w:t xml:space="preserve"> % du PIB</w:t>
      </w:r>
      <w:r w:rsidR="00564B87" w:rsidRPr="00564B87">
        <w:rPr>
          <w:rFonts w:ascii="Times New Roman" w:hAnsi="Times New Roman" w:cs="Times New Roman"/>
          <w:sz w:val="22"/>
          <w:szCs w:val="22"/>
        </w:rPr>
        <w:t xml:space="preserve">, en diminution par rapport </w:t>
      </w:r>
      <w:r>
        <w:rPr>
          <w:rFonts w:ascii="Times New Roman" w:hAnsi="Times New Roman" w:cs="Times New Roman"/>
          <w:sz w:val="22"/>
          <w:szCs w:val="22"/>
        </w:rPr>
        <w:t>aux deux années antérieures (3,8% en 2014 et 2,5 % en 2015</w:t>
      </w:r>
      <w:r w:rsidR="00564B87" w:rsidRPr="00564B87">
        <w:rPr>
          <w:rFonts w:ascii="Times New Roman" w:hAnsi="Times New Roman" w:cs="Times New Roman"/>
          <w:sz w:val="22"/>
          <w:szCs w:val="22"/>
        </w:rPr>
        <w:t>). Pou</w:t>
      </w:r>
      <w:r>
        <w:rPr>
          <w:rFonts w:ascii="Times New Roman" w:hAnsi="Times New Roman" w:cs="Times New Roman"/>
          <w:sz w:val="22"/>
          <w:szCs w:val="22"/>
        </w:rPr>
        <w:t>r 2017 et 2018</w:t>
      </w:r>
      <w:r w:rsidR="00564B87" w:rsidRPr="00564B87">
        <w:rPr>
          <w:rFonts w:ascii="Times New Roman" w:hAnsi="Times New Roman" w:cs="Times New Roman"/>
          <w:sz w:val="22"/>
          <w:szCs w:val="22"/>
        </w:rPr>
        <w:t xml:space="preserve">, </w:t>
      </w:r>
      <w:r>
        <w:rPr>
          <w:rFonts w:ascii="Times New Roman" w:hAnsi="Times New Roman" w:cs="Times New Roman"/>
          <w:sz w:val="22"/>
          <w:szCs w:val="22"/>
        </w:rPr>
        <w:t>la balance courante devrait enregistrer un déficit -0,1% et -0,3%</w:t>
      </w:r>
      <w:r w:rsidR="00564B87" w:rsidRPr="00564B87">
        <w:rPr>
          <w:rFonts w:ascii="Times New Roman" w:hAnsi="Times New Roman" w:cs="Times New Roman"/>
          <w:sz w:val="22"/>
          <w:szCs w:val="22"/>
        </w:rPr>
        <w:t xml:space="preserve"> du PIB</w:t>
      </w:r>
      <w:r>
        <w:rPr>
          <w:rFonts w:ascii="Times New Roman" w:hAnsi="Times New Roman" w:cs="Times New Roman"/>
          <w:sz w:val="22"/>
          <w:szCs w:val="22"/>
        </w:rPr>
        <w:t xml:space="preserve"> respectivement</w:t>
      </w:r>
      <w:r w:rsidR="00BE705C">
        <w:rPr>
          <w:rFonts w:ascii="Times New Roman" w:hAnsi="Times New Roman" w:cs="Times New Roman"/>
          <w:sz w:val="22"/>
          <w:szCs w:val="22"/>
        </w:rPr>
        <w:t>.</w:t>
      </w:r>
    </w:p>
    <w:p w14:paraId="03591E9C" w14:textId="28ECDDB9" w:rsidR="00BC2086" w:rsidRDefault="00A80B4A" w:rsidP="00BE705C">
      <w:pPr>
        <w:shd w:val="clear" w:color="auto" w:fill="FFFFFF"/>
        <w:overflowPunct/>
        <w:autoSpaceDE/>
        <w:adjustRightInd/>
        <w:spacing w:after="120"/>
        <w:jc w:val="both"/>
        <w:rPr>
          <w:rFonts w:ascii="Times New Roman" w:hAnsi="Times New Roman" w:cs="Times New Roman"/>
          <w:sz w:val="22"/>
          <w:szCs w:val="22"/>
        </w:rPr>
      </w:pPr>
      <w:r w:rsidRPr="00320C9F">
        <w:rPr>
          <w:rFonts w:ascii="Times New Roman" w:hAnsi="Times New Roman" w:cs="Times New Roman"/>
          <w:b/>
          <w:sz w:val="22"/>
          <w:szCs w:val="22"/>
        </w:rPr>
        <w:t>L</w:t>
      </w:r>
      <w:r>
        <w:rPr>
          <w:rFonts w:ascii="Times New Roman" w:hAnsi="Times New Roman" w:cs="Times New Roman"/>
          <w:b/>
          <w:sz w:val="22"/>
          <w:szCs w:val="22"/>
        </w:rPr>
        <w:t>a chute de l</w:t>
      </w:r>
      <w:r w:rsidRPr="00320C9F">
        <w:rPr>
          <w:rFonts w:ascii="Times New Roman" w:hAnsi="Times New Roman" w:cs="Times New Roman"/>
          <w:b/>
          <w:sz w:val="22"/>
          <w:szCs w:val="22"/>
        </w:rPr>
        <w:t xml:space="preserve">’excédent courant </w:t>
      </w:r>
      <w:r w:rsidR="008C37BA">
        <w:rPr>
          <w:rFonts w:ascii="Times New Roman" w:hAnsi="Times New Roman" w:cs="Times New Roman"/>
          <w:b/>
          <w:sz w:val="22"/>
          <w:szCs w:val="22"/>
        </w:rPr>
        <w:t xml:space="preserve">en 2016 </w:t>
      </w:r>
      <w:r w:rsidR="009B4698">
        <w:rPr>
          <w:rFonts w:ascii="Times New Roman" w:hAnsi="Times New Roman" w:cs="Times New Roman"/>
          <w:b/>
          <w:sz w:val="22"/>
          <w:szCs w:val="22"/>
        </w:rPr>
        <w:t xml:space="preserve">résulte de </w:t>
      </w:r>
      <w:r>
        <w:rPr>
          <w:rFonts w:ascii="Times New Roman" w:hAnsi="Times New Roman" w:cs="Times New Roman"/>
          <w:b/>
          <w:sz w:val="22"/>
          <w:szCs w:val="22"/>
        </w:rPr>
        <w:t>la forte hausse des importations</w:t>
      </w:r>
      <w:r w:rsidR="008C37BA">
        <w:rPr>
          <w:rFonts w:ascii="Times New Roman" w:hAnsi="Times New Roman" w:cs="Times New Roman"/>
          <w:b/>
          <w:sz w:val="22"/>
          <w:szCs w:val="22"/>
        </w:rPr>
        <w:t xml:space="preserve"> (+14,2%)</w:t>
      </w:r>
      <w:r>
        <w:rPr>
          <w:rFonts w:ascii="Times New Roman" w:hAnsi="Times New Roman" w:cs="Times New Roman"/>
          <w:b/>
          <w:sz w:val="22"/>
          <w:szCs w:val="22"/>
        </w:rPr>
        <w:t xml:space="preserve">, </w:t>
      </w:r>
      <w:r w:rsidRPr="00A80B4A">
        <w:rPr>
          <w:rFonts w:ascii="Times New Roman" w:hAnsi="Times New Roman" w:cs="Times New Roman"/>
          <w:sz w:val="22"/>
          <w:szCs w:val="22"/>
        </w:rPr>
        <w:t xml:space="preserve">particulièrement de biens d’équipement et de matières premières, </w:t>
      </w:r>
      <w:r w:rsidR="009B4698">
        <w:rPr>
          <w:rFonts w:ascii="Times New Roman" w:hAnsi="Times New Roman" w:cs="Times New Roman"/>
          <w:sz w:val="22"/>
          <w:szCs w:val="22"/>
        </w:rPr>
        <w:t xml:space="preserve">ce qui </w:t>
      </w:r>
      <w:r>
        <w:rPr>
          <w:rFonts w:ascii="Times New Roman" w:hAnsi="Times New Roman" w:cs="Times New Roman"/>
          <w:sz w:val="22"/>
          <w:szCs w:val="22"/>
        </w:rPr>
        <w:t>témoign</w:t>
      </w:r>
      <w:r w:rsidR="009B4698">
        <w:rPr>
          <w:rFonts w:ascii="Times New Roman" w:hAnsi="Times New Roman" w:cs="Times New Roman"/>
          <w:sz w:val="22"/>
          <w:szCs w:val="22"/>
        </w:rPr>
        <w:t>e</w:t>
      </w:r>
      <w:r w:rsidRPr="00A80B4A">
        <w:rPr>
          <w:rFonts w:ascii="Times New Roman" w:hAnsi="Times New Roman" w:cs="Times New Roman"/>
          <w:sz w:val="22"/>
          <w:szCs w:val="22"/>
        </w:rPr>
        <w:t xml:space="preserve"> du dynamisme de l’investissement. </w:t>
      </w:r>
      <w:r w:rsidR="009B4698">
        <w:rPr>
          <w:rFonts w:ascii="Times New Roman" w:hAnsi="Times New Roman" w:cs="Times New Roman"/>
          <w:sz w:val="22"/>
          <w:szCs w:val="22"/>
        </w:rPr>
        <w:t xml:space="preserve">Cette augmentation conjuguée à </w:t>
      </w:r>
      <w:r w:rsidR="008C37BA">
        <w:rPr>
          <w:rFonts w:ascii="Times New Roman" w:hAnsi="Times New Roman" w:cs="Times New Roman"/>
          <w:sz w:val="22"/>
          <w:szCs w:val="22"/>
        </w:rPr>
        <w:t>la contraction des exportations (-4,4%)</w:t>
      </w:r>
      <w:r w:rsidR="009B4698">
        <w:rPr>
          <w:rFonts w:ascii="Times New Roman" w:hAnsi="Times New Roman" w:cs="Times New Roman"/>
          <w:sz w:val="22"/>
          <w:szCs w:val="22"/>
        </w:rPr>
        <w:t xml:space="preserve"> a provoqué un </w:t>
      </w:r>
      <w:r w:rsidR="009B4698" w:rsidRPr="009B4698">
        <w:rPr>
          <w:rFonts w:ascii="Times New Roman" w:hAnsi="Times New Roman" w:cs="Times New Roman"/>
          <w:b/>
          <w:sz w:val="22"/>
          <w:szCs w:val="22"/>
        </w:rPr>
        <w:t xml:space="preserve">doublement du </w:t>
      </w:r>
      <w:r w:rsidR="008C37BA" w:rsidRPr="009B4698">
        <w:rPr>
          <w:rFonts w:ascii="Times New Roman" w:hAnsi="Times New Roman" w:cs="Times New Roman"/>
          <w:b/>
          <w:sz w:val="22"/>
          <w:szCs w:val="22"/>
        </w:rPr>
        <w:t>déficit</w:t>
      </w:r>
      <w:r w:rsidR="008C37BA" w:rsidRPr="00320C9F">
        <w:rPr>
          <w:rFonts w:ascii="Times New Roman" w:hAnsi="Times New Roman" w:cs="Times New Roman"/>
          <w:b/>
          <w:sz w:val="22"/>
          <w:szCs w:val="22"/>
        </w:rPr>
        <w:t xml:space="preserve"> commercial</w:t>
      </w:r>
      <w:r w:rsidR="008C37BA">
        <w:rPr>
          <w:rFonts w:ascii="Times New Roman" w:hAnsi="Times New Roman" w:cs="Times New Roman"/>
          <w:b/>
          <w:sz w:val="22"/>
          <w:szCs w:val="22"/>
        </w:rPr>
        <w:t xml:space="preserve"> par rapport à 2015, </w:t>
      </w:r>
      <w:r w:rsidR="009B4698">
        <w:rPr>
          <w:rFonts w:ascii="Times New Roman" w:hAnsi="Times New Roman" w:cs="Times New Roman"/>
          <w:b/>
          <w:sz w:val="22"/>
          <w:szCs w:val="22"/>
        </w:rPr>
        <w:t xml:space="preserve">qui a </w:t>
      </w:r>
      <w:r w:rsidR="008C37BA">
        <w:rPr>
          <w:rFonts w:ascii="Times New Roman" w:hAnsi="Times New Roman" w:cs="Times New Roman"/>
          <w:b/>
          <w:sz w:val="22"/>
          <w:szCs w:val="22"/>
        </w:rPr>
        <w:t>atteint près de 25 Mds USD</w:t>
      </w:r>
      <w:r w:rsidR="009B4698">
        <w:rPr>
          <w:rFonts w:ascii="Times New Roman" w:hAnsi="Times New Roman" w:cs="Times New Roman"/>
          <w:b/>
          <w:sz w:val="22"/>
          <w:szCs w:val="22"/>
        </w:rPr>
        <w:t xml:space="preserve">, </w:t>
      </w:r>
      <w:r w:rsidR="008C37BA">
        <w:rPr>
          <w:rFonts w:ascii="Times New Roman" w:hAnsi="Times New Roman" w:cs="Times New Roman"/>
          <w:b/>
          <w:sz w:val="22"/>
          <w:szCs w:val="22"/>
        </w:rPr>
        <w:t>soit plus de 8% du PIB.</w:t>
      </w:r>
      <w:r w:rsidR="003D5B6A">
        <w:rPr>
          <w:rFonts w:ascii="Times New Roman" w:hAnsi="Times New Roman" w:cs="Times New Roman"/>
          <w:b/>
          <w:sz w:val="22"/>
          <w:szCs w:val="22"/>
        </w:rPr>
        <w:t xml:space="preserve"> </w:t>
      </w:r>
      <w:r w:rsidR="008C37BA" w:rsidRPr="003D5B6A">
        <w:rPr>
          <w:rFonts w:ascii="Times New Roman" w:hAnsi="Times New Roman" w:cs="Times New Roman"/>
          <w:sz w:val="22"/>
          <w:szCs w:val="22"/>
        </w:rPr>
        <w:t xml:space="preserve">Cette évolution </w:t>
      </w:r>
      <w:r w:rsidR="00BC2086" w:rsidRPr="003D5B6A">
        <w:rPr>
          <w:rFonts w:ascii="Times New Roman" w:hAnsi="Times New Roman" w:cs="Times New Roman"/>
          <w:sz w:val="22"/>
          <w:szCs w:val="22"/>
        </w:rPr>
        <w:t xml:space="preserve">traduit </w:t>
      </w:r>
      <w:r w:rsidR="00BC2086" w:rsidRPr="00564B87">
        <w:rPr>
          <w:rFonts w:ascii="Times New Roman" w:hAnsi="Times New Roman" w:cs="Times New Roman"/>
          <w:sz w:val="22"/>
          <w:szCs w:val="22"/>
        </w:rPr>
        <w:t xml:space="preserve">la </w:t>
      </w:r>
      <w:r w:rsidR="00BC2086" w:rsidRPr="003D5B6A">
        <w:rPr>
          <w:rFonts w:ascii="Times New Roman" w:hAnsi="Times New Roman" w:cs="Times New Roman"/>
          <w:sz w:val="22"/>
          <w:szCs w:val="22"/>
        </w:rPr>
        <w:t xml:space="preserve">baisse de la demande asiatique, </w:t>
      </w:r>
      <w:r w:rsidR="008C37BA" w:rsidRPr="003D5B6A">
        <w:rPr>
          <w:rFonts w:ascii="Times New Roman" w:hAnsi="Times New Roman" w:cs="Times New Roman"/>
          <w:sz w:val="22"/>
          <w:szCs w:val="22"/>
        </w:rPr>
        <w:t>celle-ci</w:t>
      </w:r>
      <w:r w:rsidR="00BC2086" w:rsidRPr="003D5B6A">
        <w:rPr>
          <w:rFonts w:ascii="Times New Roman" w:hAnsi="Times New Roman" w:cs="Times New Roman"/>
          <w:sz w:val="22"/>
          <w:szCs w:val="22"/>
        </w:rPr>
        <w:t xml:space="preserve"> représenta</w:t>
      </w:r>
      <w:r w:rsidR="00BC2086" w:rsidRPr="00564B87">
        <w:rPr>
          <w:rFonts w:ascii="Times New Roman" w:hAnsi="Times New Roman" w:cs="Times New Roman"/>
          <w:sz w:val="22"/>
          <w:szCs w:val="22"/>
        </w:rPr>
        <w:t xml:space="preserve">nt plus des deux-tiers </w:t>
      </w:r>
      <w:r w:rsidR="00BC2086" w:rsidRPr="003D5B6A">
        <w:rPr>
          <w:rFonts w:ascii="Times New Roman" w:hAnsi="Times New Roman" w:cs="Times New Roman"/>
          <w:sz w:val="22"/>
          <w:szCs w:val="22"/>
        </w:rPr>
        <w:t>du commerce extérieur philippin</w:t>
      </w:r>
      <w:r w:rsidR="00BC2086" w:rsidRPr="00564B87">
        <w:rPr>
          <w:rFonts w:ascii="Times New Roman" w:hAnsi="Times New Roman" w:cs="Times New Roman"/>
          <w:sz w:val="22"/>
          <w:szCs w:val="22"/>
        </w:rPr>
        <w:t xml:space="preserve">. </w:t>
      </w:r>
      <w:r w:rsidR="00BC2086" w:rsidRPr="003D5B6A">
        <w:rPr>
          <w:rFonts w:ascii="Times New Roman" w:hAnsi="Times New Roman" w:cs="Times New Roman"/>
          <w:sz w:val="22"/>
          <w:szCs w:val="22"/>
        </w:rPr>
        <w:t>La Chine a renforcé</w:t>
      </w:r>
      <w:r w:rsidR="008C37BA" w:rsidRPr="003D5B6A">
        <w:rPr>
          <w:rFonts w:ascii="Times New Roman" w:hAnsi="Times New Roman" w:cs="Times New Roman"/>
          <w:sz w:val="22"/>
          <w:szCs w:val="22"/>
        </w:rPr>
        <w:t xml:space="preserve"> en 2016</w:t>
      </w:r>
      <w:r w:rsidR="00BC2086" w:rsidRPr="003D5B6A">
        <w:rPr>
          <w:rFonts w:ascii="Times New Roman" w:hAnsi="Times New Roman" w:cs="Times New Roman"/>
          <w:sz w:val="22"/>
          <w:szCs w:val="22"/>
        </w:rPr>
        <w:t xml:space="preserve"> sa position de premier partenaire commercial, premier client et premier fournisseur. C’est également pour les Philippines son premier déficit bilatéral.</w:t>
      </w:r>
    </w:p>
    <w:p w14:paraId="4C965B03" w14:textId="675B4BF0" w:rsidR="00534F6F" w:rsidRPr="00BE1EBA" w:rsidRDefault="00534F6F" w:rsidP="00BE705C">
      <w:pPr>
        <w:shd w:val="clear" w:color="auto" w:fill="FFFFFF"/>
        <w:overflowPunct/>
        <w:autoSpaceDE/>
        <w:adjustRightInd/>
        <w:spacing w:after="120"/>
        <w:contextualSpacing/>
        <w:jc w:val="both"/>
        <w:rPr>
          <w:rFonts w:ascii="Times New Roman" w:hAnsi="Times New Roman" w:cs="Times New Roman"/>
          <w:sz w:val="22"/>
          <w:szCs w:val="22"/>
        </w:rPr>
      </w:pPr>
      <w:r>
        <w:rPr>
          <w:rFonts w:ascii="Times New Roman" w:hAnsi="Times New Roman" w:cs="Times New Roman"/>
          <w:b/>
          <w:sz w:val="22"/>
          <w:szCs w:val="22"/>
        </w:rPr>
        <w:t xml:space="preserve">Sur les six premiers mois 2017, </w:t>
      </w:r>
      <w:r w:rsidRPr="00BA4471">
        <w:rPr>
          <w:rFonts w:ascii="Times New Roman" w:hAnsi="Times New Roman" w:cs="Times New Roman"/>
          <w:b/>
          <w:sz w:val="22"/>
          <w:szCs w:val="22"/>
        </w:rPr>
        <w:t>l</w:t>
      </w:r>
      <w:r w:rsidR="00BE1EBA">
        <w:rPr>
          <w:rFonts w:ascii="Times New Roman" w:hAnsi="Times New Roman" w:cs="Times New Roman"/>
          <w:b/>
          <w:sz w:val="22"/>
          <w:szCs w:val="22"/>
        </w:rPr>
        <w:t>a tendance de 2016 s’est inversée puisque l</w:t>
      </w:r>
      <w:r w:rsidRPr="00BA4471">
        <w:rPr>
          <w:rFonts w:ascii="Times New Roman" w:hAnsi="Times New Roman" w:cs="Times New Roman"/>
          <w:b/>
          <w:sz w:val="22"/>
          <w:szCs w:val="22"/>
        </w:rPr>
        <w:t xml:space="preserve">es exportations philippines ont augmenté plus rapidement que les importations </w:t>
      </w:r>
      <w:r>
        <w:rPr>
          <w:rFonts w:ascii="Times New Roman" w:hAnsi="Times New Roman" w:cs="Times New Roman"/>
          <w:sz w:val="22"/>
          <w:szCs w:val="22"/>
        </w:rPr>
        <w:t xml:space="preserve">avec une augmentation des ventes de près de 14,5% au premier semestre 2017 (contre -5,75% à la même période en 2016) et des importations de 10% (contre +22,75% au T1 2016). Le déficit commercial reste relativement stable par rapport à la même période en 2016 (environ 13 Mds USD). </w:t>
      </w:r>
      <w:r w:rsidRPr="00803DA8">
        <w:rPr>
          <w:rFonts w:ascii="Times New Roman" w:hAnsi="Times New Roman"/>
          <w:sz w:val="23"/>
          <w:szCs w:val="23"/>
        </w:rPr>
        <w:t>Ce solde commercial négatif est en partie compensé par les comptes des transferts et des services</w:t>
      </w:r>
      <w:r>
        <w:rPr>
          <w:rFonts w:ascii="Times New Roman" w:hAnsi="Times New Roman"/>
          <w:sz w:val="23"/>
          <w:szCs w:val="23"/>
        </w:rPr>
        <w:t xml:space="preserve">. </w:t>
      </w:r>
    </w:p>
    <w:p w14:paraId="7AE112B8" w14:textId="452E91BE" w:rsidR="0053094D" w:rsidRDefault="00BC2086" w:rsidP="00BE705C">
      <w:pPr>
        <w:pStyle w:val="Default"/>
        <w:spacing w:after="120"/>
        <w:jc w:val="both"/>
      </w:pPr>
      <w:r w:rsidRPr="006027F1">
        <w:rPr>
          <w:b/>
          <w:sz w:val="22"/>
          <w:szCs w:val="22"/>
        </w:rPr>
        <w:t>La très forte spécialisation sectorielle du commerce extérieur sur les produits de l’électronique constitue une vulnérabilité</w:t>
      </w:r>
      <w:r w:rsidRPr="00564B87">
        <w:rPr>
          <w:sz w:val="22"/>
          <w:szCs w:val="22"/>
        </w:rPr>
        <w:t xml:space="preserve"> qui s’ajoute à la dépendance commerciale régionale.</w:t>
      </w:r>
      <w:r>
        <w:rPr>
          <w:sz w:val="22"/>
          <w:szCs w:val="22"/>
        </w:rPr>
        <w:t xml:space="preserve"> </w:t>
      </w:r>
      <w:r w:rsidR="006027F1">
        <w:rPr>
          <w:sz w:val="22"/>
          <w:szCs w:val="22"/>
        </w:rPr>
        <w:t>En 2016, les</w:t>
      </w:r>
      <w:r w:rsidRPr="0053094D">
        <w:rPr>
          <w:iCs/>
          <w:sz w:val="22"/>
          <w:szCs w:val="22"/>
        </w:rPr>
        <w:t xml:space="preserve"> ventes de produits et composants électroniques ont représenté 51% du total des exportations à 28,9 Mds USD</w:t>
      </w:r>
      <w:r w:rsidR="006027F1">
        <w:rPr>
          <w:iCs/>
          <w:sz w:val="22"/>
          <w:szCs w:val="22"/>
        </w:rPr>
        <w:t xml:space="preserve"> </w:t>
      </w:r>
      <w:r w:rsidR="006027F1">
        <w:rPr>
          <w:iCs/>
          <w:sz w:val="22"/>
          <w:szCs w:val="22"/>
        </w:rPr>
        <w:lastRenderedPageBreak/>
        <w:t xml:space="preserve">et </w:t>
      </w:r>
      <w:r>
        <w:rPr>
          <w:iCs/>
          <w:sz w:val="22"/>
          <w:szCs w:val="22"/>
        </w:rPr>
        <w:t>l</w:t>
      </w:r>
      <w:r w:rsidRPr="0053094D">
        <w:rPr>
          <w:iCs/>
          <w:sz w:val="22"/>
          <w:szCs w:val="22"/>
        </w:rPr>
        <w:t>es importations de produits électroniques ont représenté 27% du total des achats, atteignant 21,9</w:t>
      </w:r>
      <w:r w:rsidR="005C2377">
        <w:rPr>
          <w:iCs/>
          <w:sz w:val="22"/>
          <w:szCs w:val="22"/>
        </w:rPr>
        <w:t> </w:t>
      </w:r>
      <w:r w:rsidRPr="0053094D">
        <w:rPr>
          <w:iCs/>
          <w:sz w:val="22"/>
          <w:szCs w:val="22"/>
        </w:rPr>
        <w:t xml:space="preserve"> Mds</w:t>
      </w:r>
      <w:r w:rsidR="005C2377">
        <w:rPr>
          <w:iCs/>
          <w:sz w:val="22"/>
          <w:szCs w:val="22"/>
        </w:rPr>
        <w:t> </w:t>
      </w:r>
      <w:r w:rsidRPr="0053094D">
        <w:rPr>
          <w:iCs/>
          <w:sz w:val="22"/>
          <w:szCs w:val="22"/>
        </w:rPr>
        <w:t xml:space="preserve"> USD.</w:t>
      </w:r>
    </w:p>
    <w:p w14:paraId="14B71910" w14:textId="2F54861B" w:rsidR="00564B87" w:rsidRPr="00683579" w:rsidRDefault="00564B87" w:rsidP="00BE705C">
      <w:pPr>
        <w:shd w:val="clear" w:color="auto" w:fill="FFFFFF"/>
        <w:overflowPunct/>
        <w:autoSpaceDE/>
        <w:adjustRightInd/>
        <w:spacing w:after="120"/>
        <w:jc w:val="both"/>
        <w:rPr>
          <w:rFonts w:ascii="Times New Roman" w:hAnsi="Times New Roman" w:cs="Times New Roman"/>
          <w:sz w:val="22"/>
          <w:szCs w:val="22"/>
        </w:rPr>
      </w:pPr>
      <w:r w:rsidRPr="003D5B6A">
        <w:rPr>
          <w:rFonts w:ascii="Times New Roman" w:hAnsi="Times New Roman" w:cs="Times New Roman"/>
          <w:b/>
          <w:sz w:val="22"/>
          <w:szCs w:val="22"/>
        </w:rPr>
        <w:t>L’excédent des activités de services (4,2 Mds USD en 2015, soit 1,4 % du PIB)</w:t>
      </w:r>
      <w:r w:rsidRPr="003D5B6A">
        <w:rPr>
          <w:rFonts w:ascii="Times New Roman" w:hAnsi="Times New Roman" w:cs="Times New Roman"/>
          <w:sz w:val="22"/>
          <w:szCs w:val="22"/>
        </w:rPr>
        <w:t xml:space="preserve"> ne compense pas le déficit des échanges de biens, mais les exportations de sous-traitance sont en forte progression : 28,2</w:t>
      </w:r>
      <w:r w:rsidR="00320C9F" w:rsidRPr="003D5B6A">
        <w:rPr>
          <w:rFonts w:ascii="Times New Roman" w:hAnsi="Times New Roman" w:cs="Times New Roman"/>
          <w:sz w:val="22"/>
          <w:szCs w:val="22"/>
        </w:rPr>
        <w:t> </w:t>
      </w:r>
      <w:r w:rsidRPr="003D5B6A">
        <w:rPr>
          <w:rFonts w:ascii="Times New Roman" w:hAnsi="Times New Roman" w:cs="Times New Roman"/>
          <w:sz w:val="22"/>
          <w:szCs w:val="22"/>
        </w:rPr>
        <w:t xml:space="preserve"> Mds USD en 2015 contre 18,9 Mds USD en 2011, soit une croissance annuelle moyenne de 12 %. Selon les prévisions de la profession des centres d’appels, cette activité devrait poursuivre sa croissance à deux chiffres dans les cinq prochaines années. L’enjeu pour les Philippines est désormais de conserver son avantage comparatif par une montée en gamme des services en développant les qualifications de sa main d’œuvre.</w:t>
      </w:r>
    </w:p>
    <w:p w14:paraId="603C5036" w14:textId="592BA234" w:rsidR="00BE1EBA" w:rsidRDefault="00564B87" w:rsidP="00BE1EBA">
      <w:pPr>
        <w:shd w:val="clear" w:color="auto" w:fill="FFFFFF"/>
        <w:overflowPunct/>
        <w:autoSpaceDE/>
        <w:adjustRightInd/>
        <w:spacing w:after="120"/>
        <w:contextualSpacing/>
        <w:jc w:val="both"/>
        <w:rPr>
          <w:rFonts w:ascii="Times New Roman" w:hAnsi="Times New Roman" w:cs="Times New Roman"/>
          <w:sz w:val="22"/>
          <w:szCs w:val="22"/>
        </w:rPr>
      </w:pPr>
      <w:r w:rsidRPr="006027F1">
        <w:rPr>
          <w:rFonts w:ascii="Times New Roman" w:hAnsi="Times New Roman" w:cs="Times New Roman"/>
          <w:sz w:val="22"/>
          <w:szCs w:val="22"/>
        </w:rPr>
        <w:t xml:space="preserve">S’agissant du compte financier, </w:t>
      </w:r>
      <w:r w:rsidRPr="006027F1">
        <w:rPr>
          <w:rFonts w:ascii="Times New Roman" w:hAnsi="Times New Roman" w:cs="Times New Roman"/>
          <w:b/>
          <w:sz w:val="22"/>
          <w:szCs w:val="22"/>
        </w:rPr>
        <w:t xml:space="preserve">les flux d’IDE </w:t>
      </w:r>
      <w:r w:rsidR="00320C9F" w:rsidRPr="006027F1">
        <w:rPr>
          <w:rFonts w:ascii="Times New Roman" w:hAnsi="Times New Roman" w:cs="Times New Roman"/>
          <w:b/>
          <w:sz w:val="22"/>
          <w:szCs w:val="22"/>
        </w:rPr>
        <w:t xml:space="preserve">entrants </w:t>
      </w:r>
      <w:r w:rsidR="006D6145" w:rsidRPr="006027F1">
        <w:rPr>
          <w:rFonts w:ascii="Times New Roman" w:hAnsi="Times New Roman" w:cs="Times New Roman"/>
          <w:b/>
          <w:sz w:val="22"/>
          <w:szCs w:val="22"/>
        </w:rPr>
        <w:t>restent peu importants</w:t>
      </w:r>
      <w:r w:rsidR="006D6145" w:rsidRPr="006027F1">
        <w:rPr>
          <w:rFonts w:ascii="Times New Roman" w:hAnsi="Times New Roman" w:cs="Times New Roman"/>
          <w:sz w:val="22"/>
          <w:szCs w:val="22"/>
        </w:rPr>
        <w:t xml:space="preserve">, malgré une forte hausse en 2016 de +40,7% avec un montant cumulé de 7,9 Mds USD, soit </w:t>
      </w:r>
      <w:r w:rsidR="006D6145" w:rsidRPr="007D6E20">
        <w:rPr>
          <w:rFonts w:ascii="Times New Roman" w:hAnsi="Times New Roman" w:cs="Times New Roman"/>
          <w:b/>
          <w:sz w:val="22"/>
          <w:szCs w:val="22"/>
        </w:rPr>
        <w:t>2,5</w:t>
      </w:r>
      <w:r w:rsidRPr="007D6E20">
        <w:rPr>
          <w:rFonts w:ascii="Times New Roman" w:hAnsi="Times New Roman" w:cs="Times New Roman"/>
          <w:b/>
          <w:sz w:val="22"/>
          <w:szCs w:val="22"/>
        </w:rPr>
        <w:t xml:space="preserve"> % du PIB</w:t>
      </w:r>
      <w:r w:rsidRPr="006027F1">
        <w:rPr>
          <w:rFonts w:ascii="Times New Roman" w:hAnsi="Times New Roman" w:cs="Times New Roman"/>
          <w:sz w:val="22"/>
          <w:szCs w:val="22"/>
        </w:rPr>
        <w:t>.</w:t>
      </w:r>
      <w:r w:rsidR="0052687D" w:rsidRPr="006027F1">
        <w:rPr>
          <w:rFonts w:ascii="Times New Roman" w:hAnsi="Times New Roman" w:cs="Times New Roman"/>
          <w:sz w:val="22"/>
          <w:szCs w:val="22"/>
        </w:rPr>
        <w:t xml:space="preserve"> </w:t>
      </w:r>
      <w:r w:rsidR="00BE1EBA">
        <w:rPr>
          <w:rFonts w:ascii="Times New Roman" w:hAnsi="Times New Roman" w:cs="Times New Roman"/>
          <w:sz w:val="22"/>
          <w:szCs w:val="22"/>
        </w:rPr>
        <w:t>Malgré une</w:t>
      </w:r>
      <w:r w:rsidR="00BE1EBA" w:rsidRPr="005E6227">
        <w:rPr>
          <w:rFonts w:ascii="Times New Roman" w:hAnsi="Times New Roman" w:cs="Times New Roman"/>
          <w:sz w:val="22"/>
          <w:szCs w:val="22"/>
        </w:rPr>
        <w:t xml:space="preserve"> bonne performance au premier trimestre</w:t>
      </w:r>
      <w:r w:rsidR="00BE1EBA">
        <w:rPr>
          <w:rFonts w:ascii="Times New Roman" w:hAnsi="Times New Roman" w:cs="Times New Roman"/>
          <w:sz w:val="22"/>
          <w:szCs w:val="22"/>
        </w:rPr>
        <w:t xml:space="preserve"> 2017 (1,6 Mds ; +16,6% en </w:t>
      </w:r>
      <w:proofErr w:type="spellStart"/>
      <w:r w:rsidR="00BE1EBA">
        <w:rPr>
          <w:rFonts w:ascii="Times New Roman" w:hAnsi="Times New Roman" w:cs="Times New Roman"/>
          <w:sz w:val="22"/>
          <w:szCs w:val="22"/>
        </w:rPr>
        <w:t>ga</w:t>
      </w:r>
      <w:proofErr w:type="spellEnd"/>
      <w:r w:rsidR="00BE1EBA">
        <w:rPr>
          <w:rFonts w:ascii="Times New Roman" w:hAnsi="Times New Roman" w:cs="Times New Roman"/>
          <w:sz w:val="22"/>
          <w:szCs w:val="22"/>
        </w:rPr>
        <w:t>)</w:t>
      </w:r>
      <w:r w:rsidR="00BE1EBA" w:rsidRPr="005E6227">
        <w:rPr>
          <w:rFonts w:ascii="Times New Roman" w:hAnsi="Times New Roman" w:cs="Times New Roman"/>
          <w:sz w:val="22"/>
          <w:szCs w:val="22"/>
        </w:rPr>
        <w:t xml:space="preserve">, </w:t>
      </w:r>
      <w:r w:rsidR="00BE1EBA" w:rsidRPr="00BA4471">
        <w:rPr>
          <w:rFonts w:ascii="Times New Roman" w:hAnsi="Times New Roman" w:cs="Times New Roman"/>
          <w:b/>
          <w:sz w:val="22"/>
          <w:szCs w:val="22"/>
        </w:rPr>
        <w:t>les flux d'IDE entrants ont atteint 3,6 Mds USD au S1 2017</w:t>
      </w:r>
      <w:r w:rsidR="00BE1EBA" w:rsidRPr="005E6227">
        <w:rPr>
          <w:rFonts w:ascii="Times New Roman" w:hAnsi="Times New Roman" w:cs="Times New Roman"/>
          <w:sz w:val="22"/>
          <w:szCs w:val="22"/>
        </w:rPr>
        <w:t>, soit une chute de 14% par rapport au S1 2016 (4,2 Mds USD).</w:t>
      </w:r>
      <w:r w:rsidR="00BE1EBA">
        <w:rPr>
          <w:rFonts w:ascii="Times New Roman" w:hAnsi="Times New Roman" w:cs="Times New Roman"/>
          <w:sz w:val="22"/>
          <w:szCs w:val="22"/>
        </w:rPr>
        <w:t xml:space="preserve"> </w:t>
      </w:r>
    </w:p>
    <w:p w14:paraId="65A90DD4" w14:textId="5FC69483" w:rsidR="00564B87" w:rsidRPr="006027F1" w:rsidRDefault="00564B87" w:rsidP="006027F1">
      <w:pPr>
        <w:shd w:val="clear" w:color="auto" w:fill="FFFFFF"/>
        <w:overflowPunct/>
        <w:autoSpaceDE/>
        <w:adjustRightInd/>
        <w:spacing w:after="120"/>
        <w:jc w:val="both"/>
        <w:rPr>
          <w:rFonts w:ascii="Times New Roman" w:hAnsi="Times New Roman" w:cs="Times New Roman"/>
          <w:sz w:val="22"/>
          <w:szCs w:val="22"/>
        </w:rPr>
      </w:pPr>
    </w:p>
    <w:p w14:paraId="6EB22CA4" w14:textId="6D0A3C57" w:rsidR="00564B87" w:rsidRPr="00564B87" w:rsidRDefault="00564B87" w:rsidP="007D6E20">
      <w:pPr>
        <w:overflowPunct/>
        <w:autoSpaceDE/>
        <w:adjustRightInd/>
        <w:jc w:val="both"/>
        <w:rPr>
          <w:rFonts w:ascii="Times New Roman" w:hAnsi="Times New Roman" w:cs="Times New Roman"/>
          <w:sz w:val="22"/>
          <w:szCs w:val="22"/>
        </w:rPr>
      </w:pPr>
      <w:r w:rsidRPr="002C17D9">
        <w:rPr>
          <w:rFonts w:ascii="Times New Roman" w:hAnsi="Times New Roman" w:cs="Times New Roman"/>
          <w:b/>
          <w:sz w:val="22"/>
          <w:szCs w:val="22"/>
          <w:shd w:val="clear" w:color="auto" w:fill="FFFFFF" w:themeFill="background1"/>
        </w:rPr>
        <w:t>L’endettement extérieur est peu élevé</w:t>
      </w:r>
      <w:r w:rsidR="006E6F8A" w:rsidRPr="002C17D9">
        <w:rPr>
          <w:rFonts w:ascii="Times New Roman" w:hAnsi="Times New Roman" w:cs="Times New Roman"/>
          <w:b/>
          <w:sz w:val="22"/>
          <w:szCs w:val="22"/>
          <w:shd w:val="clear" w:color="auto" w:fill="FFFFFF" w:themeFill="background1"/>
        </w:rPr>
        <w:t xml:space="preserve"> et devrait poursuivre </w:t>
      </w:r>
      <w:r w:rsidR="006C4005" w:rsidRPr="002C17D9">
        <w:rPr>
          <w:rFonts w:ascii="Times New Roman" w:hAnsi="Times New Roman" w:cs="Times New Roman"/>
          <w:b/>
          <w:sz w:val="22"/>
          <w:szCs w:val="22"/>
          <w:shd w:val="clear" w:color="auto" w:fill="FFFFFF" w:themeFill="background1"/>
        </w:rPr>
        <w:t>s</w:t>
      </w:r>
      <w:r w:rsidRPr="002C17D9">
        <w:rPr>
          <w:rFonts w:ascii="Times New Roman" w:hAnsi="Times New Roman" w:cs="Times New Roman"/>
          <w:b/>
          <w:sz w:val="22"/>
          <w:szCs w:val="22"/>
          <w:shd w:val="clear" w:color="auto" w:fill="FFFFFF" w:themeFill="background1"/>
        </w:rPr>
        <w:t>a baisse</w:t>
      </w:r>
      <w:r w:rsidR="006C4005" w:rsidRPr="002C17D9">
        <w:rPr>
          <w:rFonts w:ascii="Times New Roman" w:hAnsi="Times New Roman" w:cs="Times New Roman"/>
          <w:b/>
          <w:sz w:val="22"/>
          <w:szCs w:val="22"/>
          <w:shd w:val="clear" w:color="auto" w:fill="FFFFFF" w:themeFill="background1"/>
        </w:rPr>
        <w:t xml:space="preserve"> : le ratio dette extérieure/PIB était de 24,5% en </w:t>
      </w:r>
      <w:r w:rsidR="006E6F8A" w:rsidRPr="002C17D9">
        <w:rPr>
          <w:rFonts w:ascii="Times New Roman" w:hAnsi="Times New Roman" w:cs="Times New Roman"/>
          <w:b/>
          <w:sz w:val="22"/>
          <w:szCs w:val="22"/>
          <w:shd w:val="clear" w:color="auto" w:fill="FFFFFF" w:themeFill="background1"/>
        </w:rPr>
        <w:t xml:space="preserve">2016 </w:t>
      </w:r>
      <w:r w:rsidR="006C4005" w:rsidRPr="002C17D9">
        <w:rPr>
          <w:rFonts w:ascii="Times New Roman" w:hAnsi="Times New Roman" w:cs="Times New Roman"/>
          <w:b/>
          <w:sz w:val="22"/>
          <w:szCs w:val="22"/>
          <w:shd w:val="clear" w:color="auto" w:fill="FFFFFF" w:themeFill="background1"/>
        </w:rPr>
        <w:t xml:space="preserve">contre 26,5% en 2015 et pourrait </w:t>
      </w:r>
      <w:r w:rsidR="002C17D9" w:rsidRPr="002C17D9">
        <w:rPr>
          <w:rFonts w:ascii="Times New Roman" w:hAnsi="Times New Roman" w:cs="Times New Roman"/>
          <w:b/>
          <w:sz w:val="22"/>
          <w:szCs w:val="22"/>
          <w:shd w:val="clear" w:color="auto" w:fill="FFFFFF" w:themeFill="background1"/>
        </w:rPr>
        <w:t xml:space="preserve">diminuer à </w:t>
      </w:r>
      <w:r w:rsidRPr="002C17D9">
        <w:rPr>
          <w:rFonts w:ascii="Times New Roman" w:hAnsi="Times New Roman" w:cs="Times New Roman"/>
          <w:b/>
          <w:sz w:val="22"/>
          <w:szCs w:val="22"/>
          <w:shd w:val="clear" w:color="auto" w:fill="FFFFFF" w:themeFill="background1"/>
        </w:rPr>
        <w:t>22,7%</w:t>
      </w:r>
      <w:r w:rsidR="002C17D9" w:rsidRPr="002C17D9">
        <w:rPr>
          <w:rFonts w:ascii="Times New Roman" w:hAnsi="Times New Roman" w:cs="Times New Roman"/>
          <w:b/>
          <w:sz w:val="22"/>
          <w:szCs w:val="22"/>
          <w:shd w:val="clear" w:color="auto" w:fill="FFFFFF" w:themeFill="background1"/>
        </w:rPr>
        <w:t xml:space="preserve"> à fin 2017</w:t>
      </w:r>
      <w:r w:rsidRPr="002C17D9">
        <w:rPr>
          <w:rFonts w:ascii="Times New Roman" w:hAnsi="Times New Roman" w:cs="Times New Roman"/>
          <w:sz w:val="22"/>
          <w:szCs w:val="22"/>
          <w:shd w:val="clear" w:color="auto" w:fill="FFFFFF" w:themeFill="background1"/>
        </w:rPr>
        <w:t>. Sur la période de 2001 à 2015, ce ratio a très fortement diminué, passant de 80 % à 26,5 % en raison du maintien d’une balance courante largement excédentaire, d’une croissance forte et de l’appréciation du peso.</w:t>
      </w:r>
      <w:r w:rsidRPr="002C17D9">
        <w:rPr>
          <w:rFonts w:ascii="Times New Roman" w:hAnsi="Times New Roman" w:cs="Times New Roman"/>
          <w:sz w:val="22"/>
          <w:szCs w:val="22"/>
        </w:rPr>
        <w:t xml:space="preserve"> Selon la Banque centrale des Philippines (BSP), </w:t>
      </w:r>
      <w:r w:rsidR="00D04F61">
        <w:rPr>
          <w:rFonts w:ascii="Times New Roman" w:hAnsi="Times New Roman" w:cs="Times New Roman"/>
          <w:sz w:val="22"/>
          <w:szCs w:val="22"/>
        </w:rPr>
        <w:t xml:space="preserve">à fin mars 2017, </w:t>
      </w:r>
      <w:r w:rsidRPr="002C17D9">
        <w:rPr>
          <w:rFonts w:ascii="Times New Roman" w:hAnsi="Times New Roman" w:cs="Times New Roman"/>
          <w:sz w:val="22"/>
          <w:szCs w:val="22"/>
        </w:rPr>
        <w:t xml:space="preserve">la dette extérieure </w:t>
      </w:r>
      <w:r w:rsidR="006C5E2E">
        <w:rPr>
          <w:rFonts w:ascii="Times New Roman" w:hAnsi="Times New Roman" w:cs="Times New Roman"/>
          <w:sz w:val="22"/>
          <w:szCs w:val="22"/>
        </w:rPr>
        <w:t xml:space="preserve">était </w:t>
      </w:r>
      <w:r w:rsidRPr="002C17D9">
        <w:rPr>
          <w:rFonts w:ascii="Times New Roman" w:hAnsi="Times New Roman" w:cs="Times New Roman"/>
          <w:sz w:val="22"/>
          <w:szCs w:val="22"/>
        </w:rPr>
        <w:t xml:space="preserve">libellée </w:t>
      </w:r>
      <w:r w:rsidR="006C5E2E">
        <w:rPr>
          <w:rFonts w:ascii="Times New Roman" w:hAnsi="Times New Roman" w:cs="Times New Roman"/>
          <w:sz w:val="22"/>
          <w:szCs w:val="22"/>
        </w:rPr>
        <w:t xml:space="preserve">pour près des deux-tiers </w:t>
      </w:r>
      <w:r w:rsidRPr="002C17D9">
        <w:rPr>
          <w:rFonts w:ascii="Times New Roman" w:hAnsi="Times New Roman" w:cs="Times New Roman"/>
          <w:sz w:val="22"/>
          <w:szCs w:val="22"/>
        </w:rPr>
        <w:t>en dollar américain (63%</w:t>
      </w:r>
      <w:r w:rsidR="006C5E2E">
        <w:rPr>
          <w:rFonts w:ascii="Times New Roman" w:hAnsi="Times New Roman" w:cs="Times New Roman"/>
          <w:sz w:val="22"/>
          <w:szCs w:val="22"/>
        </w:rPr>
        <w:t>)</w:t>
      </w:r>
      <w:r w:rsidRPr="002C17D9">
        <w:rPr>
          <w:rFonts w:ascii="Times New Roman" w:hAnsi="Times New Roman" w:cs="Times New Roman"/>
          <w:sz w:val="22"/>
          <w:szCs w:val="22"/>
        </w:rPr>
        <w:t>, en yen (1</w:t>
      </w:r>
      <w:r w:rsidR="00D04F61">
        <w:rPr>
          <w:rFonts w:ascii="Times New Roman" w:hAnsi="Times New Roman" w:cs="Times New Roman"/>
          <w:sz w:val="22"/>
          <w:szCs w:val="22"/>
        </w:rPr>
        <w:t>3</w:t>
      </w:r>
      <w:r w:rsidRPr="002C17D9">
        <w:rPr>
          <w:rFonts w:ascii="Times New Roman" w:hAnsi="Times New Roman" w:cs="Times New Roman"/>
          <w:sz w:val="22"/>
          <w:szCs w:val="22"/>
        </w:rPr>
        <w:t xml:space="preserve"> %)</w:t>
      </w:r>
      <w:r w:rsidR="00D04F61">
        <w:rPr>
          <w:rFonts w:ascii="Times New Roman" w:hAnsi="Times New Roman" w:cs="Times New Roman"/>
          <w:sz w:val="22"/>
          <w:szCs w:val="22"/>
        </w:rPr>
        <w:t>, en prêts multi devises de la Banque mondiale et de la Banque asiatique de développement (13%)</w:t>
      </w:r>
      <w:r w:rsidR="006C5E2E">
        <w:rPr>
          <w:rFonts w:ascii="Times New Roman" w:hAnsi="Times New Roman" w:cs="Times New Roman"/>
          <w:sz w:val="22"/>
          <w:szCs w:val="22"/>
        </w:rPr>
        <w:t>,</w:t>
      </w:r>
      <w:r w:rsidR="00D04F61">
        <w:rPr>
          <w:rFonts w:ascii="Times New Roman" w:hAnsi="Times New Roman" w:cs="Times New Roman"/>
          <w:sz w:val="22"/>
          <w:szCs w:val="22"/>
        </w:rPr>
        <w:t xml:space="preserve"> </w:t>
      </w:r>
      <w:r w:rsidR="006C5E2E" w:rsidRPr="006C5E2E">
        <w:rPr>
          <w:rFonts w:ascii="Times New Roman" w:hAnsi="Times New Roman" w:cs="Times New Roman"/>
          <w:sz w:val="22"/>
          <w:szCs w:val="22"/>
        </w:rPr>
        <w:t xml:space="preserve">en peso philippin (6%), </w:t>
      </w:r>
      <w:r w:rsidR="006C5E2E">
        <w:rPr>
          <w:rFonts w:ascii="Times New Roman" w:hAnsi="Times New Roman" w:cs="Times New Roman"/>
          <w:sz w:val="22"/>
          <w:szCs w:val="22"/>
        </w:rPr>
        <w:t xml:space="preserve">en euros (1%) et en autres devises. </w:t>
      </w:r>
      <w:r w:rsidRPr="002C17D9">
        <w:rPr>
          <w:rFonts w:ascii="Times New Roman" w:hAnsi="Times New Roman" w:cs="Times New Roman"/>
          <w:sz w:val="22"/>
          <w:szCs w:val="22"/>
        </w:rPr>
        <w:t>Au niveau des créanciers, la dette extérieure était détenue à hauteur de 3</w:t>
      </w:r>
      <w:r w:rsidR="006C5E2E">
        <w:rPr>
          <w:rFonts w:ascii="Times New Roman" w:hAnsi="Times New Roman" w:cs="Times New Roman"/>
          <w:sz w:val="22"/>
          <w:szCs w:val="22"/>
        </w:rPr>
        <w:t>4</w:t>
      </w:r>
      <w:r w:rsidRPr="002C17D9">
        <w:rPr>
          <w:rFonts w:ascii="Times New Roman" w:hAnsi="Times New Roman" w:cs="Times New Roman"/>
          <w:sz w:val="22"/>
          <w:szCs w:val="22"/>
        </w:rPr>
        <w:t xml:space="preserve">% par les </w:t>
      </w:r>
      <w:r w:rsidR="006C5E2E">
        <w:rPr>
          <w:rFonts w:ascii="Times New Roman" w:hAnsi="Times New Roman" w:cs="Times New Roman"/>
          <w:sz w:val="22"/>
          <w:szCs w:val="22"/>
        </w:rPr>
        <w:t xml:space="preserve">banques internationales et par les bailleurs multi et bilatéraux pour </w:t>
      </w:r>
      <w:r w:rsidRPr="002C17D9">
        <w:rPr>
          <w:rFonts w:ascii="Times New Roman" w:hAnsi="Times New Roman" w:cs="Times New Roman"/>
          <w:sz w:val="22"/>
          <w:szCs w:val="22"/>
        </w:rPr>
        <w:t>32%</w:t>
      </w:r>
      <w:r w:rsidR="006C5E2E">
        <w:rPr>
          <w:rFonts w:ascii="Times New Roman" w:hAnsi="Times New Roman" w:cs="Times New Roman"/>
          <w:sz w:val="22"/>
          <w:szCs w:val="22"/>
        </w:rPr>
        <w:t>.</w:t>
      </w:r>
      <w:r w:rsidRPr="002C17D9">
        <w:rPr>
          <w:rFonts w:ascii="Times New Roman" w:hAnsi="Times New Roman" w:cs="Times New Roman"/>
          <w:sz w:val="22"/>
          <w:szCs w:val="22"/>
        </w:rPr>
        <w:t xml:space="preserve"> </w:t>
      </w:r>
      <w:r w:rsidR="004074A1">
        <w:rPr>
          <w:rFonts w:ascii="Times New Roman" w:hAnsi="Times New Roman" w:cs="Times New Roman"/>
          <w:sz w:val="22"/>
          <w:szCs w:val="22"/>
        </w:rPr>
        <w:t xml:space="preserve">Le </w:t>
      </w:r>
      <w:r w:rsidRPr="002C17D9">
        <w:rPr>
          <w:rFonts w:ascii="Times New Roman" w:hAnsi="Times New Roman" w:cs="Times New Roman"/>
          <w:sz w:val="22"/>
          <w:szCs w:val="22"/>
        </w:rPr>
        <w:t>secteur p</w:t>
      </w:r>
      <w:r w:rsidR="004074A1">
        <w:rPr>
          <w:rFonts w:ascii="Times New Roman" w:hAnsi="Times New Roman" w:cs="Times New Roman"/>
          <w:sz w:val="22"/>
          <w:szCs w:val="22"/>
        </w:rPr>
        <w:t>ublic r</w:t>
      </w:r>
      <w:r w:rsidRPr="002C17D9">
        <w:rPr>
          <w:rFonts w:ascii="Times New Roman" w:hAnsi="Times New Roman" w:cs="Times New Roman"/>
          <w:sz w:val="22"/>
          <w:szCs w:val="22"/>
        </w:rPr>
        <w:t xml:space="preserve">eprésentait </w:t>
      </w:r>
      <w:r w:rsidR="004074A1">
        <w:rPr>
          <w:rFonts w:ascii="Times New Roman" w:hAnsi="Times New Roman" w:cs="Times New Roman"/>
          <w:sz w:val="22"/>
          <w:szCs w:val="22"/>
        </w:rPr>
        <w:t>51</w:t>
      </w:r>
      <w:r w:rsidRPr="002C17D9">
        <w:rPr>
          <w:rFonts w:ascii="Times New Roman" w:hAnsi="Times New Roman" w:cs="Times New Roman"/>
          <w:sz w:val="22"/>
          <w:szCs w:val="22"/>
        </w:rPr>
        <w:t>% de la dette ext</w:t>
      </w:r>
      <w:r w:rsidR="004074A1">
        <w:rPr>
          <w:rFonts w:ascii="Times New Roman" w:hAnsi="Times New Roman" w:cs="Times New Roman"/>
          <w:sz w:val="22"/>
          <w:szCs w:val="22"/>
        </w:rPr>
        <w:t>érieure.</w:t>
      </w:r>
    </w:p>
    <w:p w14:paraId="5071A687" w14:textId="77777777" w:rsidR="00564B87" w:rsidRPr="00564B87" w:rsidRDefault="00564B87" w:rsidP="00564B87">
      <w:pPr>
        <w:shd w:val="clear" w:color="auto" w:fill="FFFFFF"/>
        <w:overflowPunct/>
        <w:autoSpaceDE/>
        <w:adjustRightInd/>
        <w:jc w:val="both"/>
        <w:rPr>
          <w:rFonts w:ascii="Times New Roman" w:hAnsi="Times New Roman" w:cs="Times New Roman"/>
          <w:sz w:val="22"/>
          <w:szCs w:val="22"/>
        </w:rPr>
      </w:pPr>
    </w:p>
    <w:p w14:paraId="330E6F8C" w14:textId="7646704D" w:rsidR="00564B87" w:rsidRPr="00A10FB7" w:rsidRDefault="00021D02" w:rsidP="0059766B">
      <w:pPr>
        <w:pStyle w:val="Paragraphedeliste"/>
        <w:numPr>
          <w:ilvl w:val="0"/>
          <w:numId w:val="7"/>
        </w:numPr>
        <w:shd w:val="clear" w:color="auto" w:fill="FFFFFF"/>
        <w:overflowPunct/>
        <w:autoSpaceDE/>
        <w:adjustRightInd/>
        <w:spacing w:after="120"/>
        <w:jc w:val="both"/>
        <w:rPr>
          <w:rFonts w:ascii="Times New Roman" w:hAnsi="Times New Roman" w:cs="Times New Roman"/>
          <w:b/>
          <w:sz w:val="22"/>
          <w:szCs w:val="22"/>
        </w:rPr>
      </w:pPr>
      <w:r>
        <w:rPr>
          <w:rFonts w:ascii="Times New Roman" w:hAnsi="Times New Roman" w:cs="Times New Roman"/>
          <w:b/>
          <w:sz w:val="22"/>
          <w:szCs w:val="22"/>
        </w:rPr>
        <w:t xml:space="preserve">Après une </w:t>
      </w:r>
      <w:r w:rsidR="00A10FB7" w:rsidRPr="00A10FB7">
        <w:rPr>
          <w:rFonts w:ascii="Times New Roman" w:hAnsi="Times New Roman" w:cs="Times New Roman"/>
          <w:b/>
          <w:sz w:val="22"/>
          <w:szCs w:val="22"/>
        </w:rPr>
        <w:t xml:space="preserve">dépréciation </w:t>
      </w:r>
      <w:r>
        <w:rPr>
          <w:rFonts w:ascii="Times New Roman" w:hAnsi="Times New Roman" w:cs="Times New Roman"/>
          <w:b/>
          <w:sz w:val="22"/>
          <w:szCs w:val="22"/>
        </w:rPr>
        <w:t xml:space="preserve">de 5% par rapport au dollar américain en 2016, le </w:t>
      </w:r>
      <w:r w:rsidR="00A10FB7" w:rsidRPr="00A10FB7">
        <w:rPr>
          <w:rFonts w:ascii="Times New Roman" w:hAnsi="Times New Roman" w:cs="Times New Roman"/>
          <w:b/>
          <w:sz w:val="22"/>
          <w:szCs w:val="22"/>
        </w:rPr>
        <w:t xml:space="preserve">peso philippin </w:t>
      </w:r>
      <w:r w:rsidR="006B027F">
        <w:rPr>
          <w:rFonts w:ascii="Times New Roman" w:hAnsi="Times New Roman" w:cs="Times New Roman"/>
          <w:b/>
          <w:sz w:val="22"/>
          <w:szCs w:val="22"/>
        </w:rPr>
        <w:t xml:space="preserve">a poursuivi sa dépréciation </w:t>
      </w:r>
      <w:bookmarkStart w:id="0" w:name="_GoBack"/>
      <w:bookmarkEnd w:id="0"/>
      <w:r w:rsidR="00BC75AC">
        <w:rPr>
          <w:rFonts w:ascii="Times New Roman" w:hAnsi="Times New Roman" w:cs="Times New Roman"/>
          <w:b/>
          <w:sz w:val="22"/>
          <w:szCs w:val="22"/>
        </w:rPr>
        <w:t xml:space="preserve">en </w:t>
      </w:r>
      <w:r>
        <w:rPr>
          <w:rFonts w:ascii="Times New Roman" w:hAnsi="Times New Roman" w:cs="Times New Roman"/>
          <w:b/>
          <w:sz w:val="22"/>
          <w:szCs w:val="22"/>
        </w:rPr>
        <w:t>2017</w:t>
      </w:r>
    </w:p>
    <w:p w14:paraId="3EA473A4" w14:textId="685F32C5" w:rsidR="00534F6F" w:rsidRPr="00BA4471" w:rsidRDefault="00564B87" w:rsidP="00534F6F">
      <w:pPr>
        <w:shd w:val="clear" w:color="auto" w:fill="FFFFFF"/>
        <w:overflowPunct/>
        <w:autoSpaceDE/>
        <w:adjustRightInd/>
        <w:spacing w:after="120"/>
        <w:contextualSpacing/>
        <w:jc w:val="both"/>
        <w:rPr>
          <w:rFonts w:ascii="Times New Roman" w:hAnsi="Times New Roman" w:cs="Times New Roman"/>
          <w:sz w:val="22"/>
          <w:szCs w:val="22"/>
        </w:rPr>
      </w:pPr>
      <w:r w:rsidRPr="0052687D">
        <w:rPr>
          <w:rFonts w:ascii="Times New Roman" w:hAnsi="Times New Roman" w:cs="Times New Roman"/>
          <w:b/>
          <w:sz w:val="22"/>
          <w:szCs w:val="22"/>
        </w:rPr>
        <w:t>Le peso évolue dans un système de change flottant sans bande de fluctuation</w:t>
      </w:r>
      <w:r w:rsidRPr="00564B87">
        <w:rPr>
          <w:rFonts w:ascii="Times New Roman" w:hAnsi="Times New Roman" w:cs="Times New Roman"/>
          <w:sz w:val="22"/>
          <w:szCs w:val="22"/>
        </w:rPr>
        <w:t xml:space="preserve">. </w:t>
      </w:r>
      <w:r w:rsidR="00534F6F" w:rsidRPr="00534F6F">
        <w:rPr>
          <w:rFonts w:ascii="Times New Roman" w:hAnsi="Times New Roman"/>
          <w:sz w:val="23"/>
          <w:szCs w:val="23"/>
        </w:rPr>
        <w:t xml:space="preserve">Le déficit courant exerce une pression sur le peso philippin qui se déprécie depuis août 2016 </w:t>
      </w:r>
      <w:r w:rsidR="00534F6F" w:rsidRPr="00BA4471">
        <w:rPr>
          <w:rFonts w:ascii="Times New Roman" w:hAnsi="Times New Roman"/>
          <w:sz w:val="22"/>
          <w:szCs w:val="22"/>
        </w:rPr>
        <w:t>(passant de 46 USD/PHP à 50.44 USD/PHP fin juin 2017) malgré les interventions de la Banque Centrale des Philippines (BSP) pour tempérer ces fluctuations.</w:t>
      </w:r>
      <w:r w:rsidR="00534F6F" w:rsidRPr="00BA4471">
        <w:rPr>
          <w:rFonts w:ascii="Times New Roman" w:hAnsi="Times New Roman" w:cs="Times New Roman"/>
          <w:iCs/>
          <w:sz w:val="22"/>
          <w:szCs w:val="22"/>
        </w:rPr>
        <w:t xml:space="preserve"> La BSP a déclaré gérer « activement » les fluctuations du peso, cela ayant notamment pour conséquence une baisse du niveau des réserves internationales à leur plus bas niveau depuis sept mois en juillet</w:t>
      </w:r>
      <w:r w:rsidR="00534F6F">
        <w:rPr>
          <w:rFonts w:ascii="Times New Roman" w:hAnsi="Times New Roman" w:cs="Times New Roman"/>
          <w:iCs/>
          <w:sz w:val="22"/>
          <w:szCs w:val="22"/>
        </w:rPr>
        <w:t xml:space="preserve"> (80.78 Mds USD)</w:t>
      </w:r>
      <w:r w:rsidR="00534F6F" w:rsidRPr="00BA4471">
        <w:rPr>
          <w:rFonts w:ascii="Times New Roman" w:hAnsi="Times New Roman" w:cs="Times New Roman"/>
          <w:iCs/>
          <w:sz w:val="22"/>
          <w:szCs w:val="22"/>
        </w:rPr>
        <w:t>.</w:t>
      </w:r>
      <w:r w:rsidR="00534F6F" w:rsidRPr="00BA4471">
        <w:rPr>
          <w:rFonts w:ascii="Times New Roman" w:hAnsi="Times New Roman" w:cs="Times New Roman"/>
          <w:sz w:val="22"/>
          <w:szCs w:val="22"/>
        </w:rPr>
        <w:t xml:space="preserve"> </w:t>
      </w:r>
      <w:r w:rsidR="00534F6F" w:rsidRPr="00BA4471">
        <w:rPr>
          <w:rFonts w:ascii="Times New Roman" w:hAnsi="Times New Roman" w:cs="Times New Roman"/>
          <w:iCs/>
          <w:sz w:val="22"/>
          <w:szCs w:val="22"/>
        </w:rPr>
        <w:t xml:space="preserve">La BSP a déclaré début août vouloir maintenir ses taux à 3% en dépit de la hausse des taux de la FED. Ce niveau des taux inchangé depuis </w:t>
      </w:r>
      <w:r w:rsidR="00534F6F">
        <w:rPr>
          <w:rFonts w:ascii="Times New Roman" w:hAnsi="Times New Roman" w:cs="Times New Roman"/>
          <w:iCs/>
          <w:sz w:val="22"/>
          <w:szCs w:val="22"/>
        </w:rPr>
        <w:t>fin 2014</w:t>
      </w:r>
      <w:r w:rsidR="00534F6F" w:rsidRPr="00BA4471">
        <w:rPr>
          <w:rFonts w:ascii="Times New Roman" w:hAnsi="Times New Roman" w:cs="Times New Roman"/>
          <w:iCs/>
          <w:sz w:val="22"/>
          <w:szCs w:val="22"/>
        </w:rPr>
        <w:t xml:space="preserve"> rappelle que l’objectif de la banque centrale est de lutter contre l’inflation.</w:t>
      </w:r>
    </w:p>
    <w:p w14:paraId="083AF1D8" w14:textId="01DE0CFA" w:rsidR="00564B87" w:rsidRPr="00564B87" w:rsidRDefault="00564B87" w:rsidP="0059766B">
      <w:pPr>
        <w:shd w:val="clear" w:color="auto" w:fill="FFFFFF"/>
        <w:overflowPunct/>
        <w:autoSpaceDE/>
        <w:adjustRightInd/>
        <w:spacing w:after="120"/>
        <w:jc w:val="both"/>
        <w:rPr>
          <w:rFonts w:ascii="Times New Roman" w:hAnsi="Times New Roman" w:cs="Times New Roman"/>
          <w:sz w:val="22"/>
          <w:szCs w:val="22"/>
        </w:rPr>
      </w:pPr>
    </w:p>
    <w:p w14:paraId="5412F2B8" w14:textId="79FA8B50" w:rsidR="00E80128" w:rsidRDefault="00564B87" w:rsidP="0059766B">
      <w:pPr>
        <w:shd w:val="clear" w:color="auto" w:fill="FFFFFF"/>
        <w:overflowPunct/>
        <w:autoSpaceDE/>
        <w:adjustRightInd/>
        <w:spacing w:after="120"/>
        <w:contextualSpacing/>
        <w:jc w:val="both"/>
        <w:rPr>
          <w:rFonts w:ascii="Times New Roman" w:hAnsi="Times New Roman" w:cs="Times New Roman"/>
          <w:sz w:val="22"/>
          <w:szCs w:val="22"/>
        </w:rPr>
      </w:pPr>
      <w:r w:rsidRPr="0052687D">
        <w:rPr>
          <w:rFonts w:ascii="Times New Roman" w:hAnsi="Times New Roman" w:cs="Times New Roman"/>
          <w:b/>
          <w:sz w:val="22"/>
          <w:szCs w:val="22"/>
        </w:rPr>
        <w:t xml:space="preserve">L’importance de ses réserves permettrait à la BSP de faire face à une crise de change. Les réserves internationales de la BSP </w:t>
      </w:r>
      <w:r w:rsidR="00CD2CD7">
        <w:rPr>
          <w:rFonts w:ascii="Times New Roman" w:hAnsi="Times New Roman" w:cs="Times New Roman"/>
          <w:b/>
          <w:sz w:val="22"/>
          <w:szCs w:val="22"/>
        </w:rPr>
        <w:t>s’</w:t>
      </w:r>
      <w:r w:rsidR="0059766B">
        <w:rPr>
          <w:rFonts w:ascii="Times New Roman" w:hAnsi="Times New Roman" w:cs="Times New Roman"/>
          <w:b/>
          <w:sz w:val="22"/>
          <w:szCs w:val="22"/>
        </w:rPr>
        <w:t>élevaient</w:t>
      </w:r>
      <w:r w:rsidR="00CD2CD7">
        <w:rPr>
          <w:rFonts w:ascii="Times New Roman" w:hAnsi="Times New Roman" w:cs="Times New Roman"/>
          <w:b/>
          <w:sz w:val="22"/>
          <w:szCs w:val="22"/>
        </w:rPr>
        <w:t xml:space="preserve"> à 82 Mds USD fin mai 2017</w:t>
      </w:r>
      <w:r w:rsidR="0059766B">
        <w:rPr>
          <w:rFonts w:ascii="Times New Roman" w:hAnsi="Times New Roman" w:cs="Times New Roman"/>
          <w:b/>
          <w:sz w:val="22"/>
          <w:szCs w:val="22"/>
        </w:rPr>
        <w:t xml:space="preserve">, </w:t>
      </w:r>
      <w:r w:rsidR="00CD2CD7" w:rsidRPr="007722E3">
        <w:rPr>
          <w:rFonts w:ascii="Times New Roman" w:hAnsi="Times New Roman" w:cs="Times New Roman"/>
          <w:sz w:val="22"/>
          <w:szCs w:val="22"/>
        </w:rPr>
        <w:t>soit d</w:t>
      </w:r>
      <w:r w:rsidRPr="007722E3">
        <w:rPr>
          <w:rFonts w:ascii="Times New Roman" w:hAnsi="Times New Roman" w:cs="Times New Roman"/>
          <w:sz w:val="22"/>
          <w:szCs w:val="22"/>
        </w:rPr>
        <w:t>es</w:t>
      </w:r>
      <w:r w:rsidRPr="00564B87">
        <w:rPr>
          <w:rFonts w:ascii="Times New Roman" w:hAnsi="Times New Roman" w:cs="Times New Roman"/>
          <w:sz w:val="22"/>
          <w:szCs w:val="22"/>
        </w:rPr>
        <w:t xml:space="preserve"> réserves en devises suffisantes pour couvrir </w:t>
      </w:r>
      <w:r w:rsidR="002C0973">
        <w:rPr>
          <w:rFonts w:ascii="Times New Roman" w:hAnsi="Times New Roman" w:cs="Times New Roman"/>
          <w:b/>
          <w:sz w:val="22"/>
          <w:szCs w:val="22"/>
        </w:rPr>
        <w:t>9</w:t>
      </w:r>
      <w:r w:rsidRPr="0052687D">
        <w:rPr>
          <w:rFonts w:ascii="Times New Roman" w:hAnsi="Times New Roman" w:cs="Times New Roman"/>
          <w:b/>
          <w:sz w:val="22"/>
          <w:szCs w:val="22"/>
        </w:rPr>
        <w:t xml:space="preserve"> mois d’importations de biens et services</w:t>
      </w:r>
      <w:r w:rsidRPr="00564B87">
        <w:rPr>
          <w:rFonts w:ascii="Times New Roman" w:hAnsi="Times New Roman" w:cs="Times New Roman"/>
          <w:sz w:val="22"/>
          <w:szCs w:val="22"/>
        </w:rPr>
        <w:t xml:space="preserve">. </w:t>
      </w:r>
      <w:r w:rsidR="0059766B">
        <w:rPr>
          <w:rFonts w:ascii="Times New Roman" w:hAnsi="Times New Roman" w:cs="Times New Roman"/>
          <w:sz w:val="22"/>
          <w:szCs w:val="22"/>
        </w:rPr>
        <w:t xml:space="preserve">La </w:t>
      </w:r>
      <w:r w:rsidRPr="00564B87">
        <w:rPr>
          <w:rFonts w:ascii="Times New Roman" w:hAnsi="Times New Roman" w:cs="Times New Roman"/>
          <w:sz w:val="22"/>
          <w:szCs w:val="22"/>
        </w:rPr>
        <w:t>faible p</w:t>
      </w:r>
      <w:r w:rsidR="0059766B">
        <w:rPr>
          <w:rFonts w:ascii="Times New Roman" w:hAnsi="Times New Roman" w:cs="Times New Roman"/>
          <w:sz w:val="22"/>
          <w:szCs w:val="22"/>
        </w:rPr>
        <w:t xml:space="preserve">roportion </w:t>
      </w:r>
      <w:r w:rsidRPr="00564B87">
        <w:rPr>
          <w:rFonts w:ascii="Times New Roman" w:hAnsi="Times New Roman" w:cs="Times New Roman"/>
          <w:sz w:val="22"/>
          <w:szCs w:val="22"/>
        </w:rPr>
        <w:t>de</w:t>
      </w:r>
      <w:r w:rsidR="0059766B">
        <w:rPr>
          <w:rFonts w:ascii="Times New Roman" w:hAnsi="Times New Roman" w:cs="Times New Roman"/>
          <w:sz w:val="22"/>
          <w:szCs w:val="22"/>
        </w:rPr>
        <w:t xml:space="preserve"> la </w:t>
      </w:r>
      <w:r w:rsidRPr="00564B87">
        <w:rPr>
          <w:rFonts w:ascii="Times New Roman" w:hAnsi="Times New Roman" w:cs="Times New Roman"/>
          <w:sz w:val="22"/>
          <w:szCs w:val="22"/>
        </w:rPr>
        <w:t xml:space="preserve">dette </w:t>
      </w:r>
      <w:r w:rsidR="0059766B">
        <w:rPr>
          <w:rFonts w:ascii="Times New Roman" w:hAnsi="Times New Roman" w:cs="Times New Roman"/>
          <w:sz w:val="22"/>
          <w:szCs w:val="22"/>
        </w:rPr>
        <w:t xml:space="preserve">extérieure </w:t>
      </w:r>
      <w:r w:rsidRPr="00564B87">
        <w:rPr>
          <w:rFonts w:ascii="Times New Roman" w:hAnsi="Times New Roman" w:cs="Times New Roman"/>
          <w:sz w:val="22"/>
          <w:szCs w:val="22"/>
        </w:rPr>
        <w:t xml:space="preserve">à court terme </w:t>
      </w:r>
      <w:r w:rsidR="0059766B">
        <w:rPr>
          <w:rFonts w:ascii="Times New Roman" w:hAnsi="Times New Roman" w:cs="Times New Roman"/>
          <w:sz w:val="22"/>
          <w:szCs w:val="22"/>
        </w:rPr>
        <w:t xml:space="preserve">(20% du total de la dette) </w:t>
      </w:r>
      <w:r w:rsidRPr="00564B87">
        <w:rPr>
          <w:rFonts w:ascii="Times New Roman" w:hAnsi="Times New Roman" w:cs="Times New Roman"/>
          <w:sz w:val="22"/>
          <w:szCs w:val="22"/>
        </w:rPr>
        <w:t>préserve les Philippines d’une potentielle crise de change.</w:t>
      </w:r>
    </w:p>
    <w:sectPr w:rsidR="00E80128" w:rsidSect="001D5427">
      <w:footerReference w:type="default" r:id="rId11"/>
      <w:headerReference w:type="first" r:id="rId12"/>
      <w:footerReference w:type="first" r:id="rId13"/>
      <w:pgSz w:w="11909" w:h="16834" w:code="9"/>
      <w:pgMar w:top="815" w:right="1412" w:bottom="1630" w:left="1412" w:header="272"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DF03" w14:textId="77777777" w:rsidR="00287BC3" w:rsidRDefault="00287BC3">
      <w:r>
        <w:separator/>
      </w:r>
    </w:p>
  </w:endnote>
  <w:endnote w:type="continuationSeparator" w:id="0">
    <w:p w14:paraId="221E99ED" w14:textId="77777777" w:rsidR="00287BC3" w:rsidRDefault="0028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panose1 w:val="0202080307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BB5B" w14:textId="5D473768" w:rsidR="00D34486" w:rsidRDefault="001D5427" w:rsidP="007F6043">
    <w:pPr>
      <w:pStyle w:val="Pieddepage"/>
      <w:jc w:val="center"/>
      <w:rPr>
        <w:rFonts w:ascii="Arial" w:hAnsi="Arial"/>
        <w:b w:val="0"/>
      </w:rPr>
    </w:pPr>
    <w:r>
      <w:rPr>
        <w:rFonts w:ascii="Arial" w:hAnsi="Arial"/>
        <w:b w:val="0"/>
      </w:rPr>
      <w:t>Ambassade de Fr</w:t>
    </w:r>
    <w:r w:rsidR="008E288F">
      <w:rPr>
        <w:rFonts w:ascii="Arial" w:hAnsi="Arial"/>
        <w:b w:val="0"/>
      </w:rPr>
      <w:t>ance aux Philippines - Service é</w:t>
    </w:r>
    <w:r>
      <w:rPr>
        <w:rFonts w:ascii="Arial" w:hAnsi="Arial"/>
        <w:b w:val="0"/>
      </w:rPr>
      <w:t>conomique de M</w:t>
    </w:r>
    <w:r w:rsidR="0072274A">
      <w:rPr>
        <w:rFonts w:ascii="Arial" w:hAnsi="Arial"/>
        <w:b w:val="0"/>
      </w:rPr>
      <w:t>anille</w:t>
    </w:r>
  </w:p>
  <w:p w14:paraId="10256BE6" w14:textId="77777777" w:rsidR="0072274A" w:rsidRPr="00C64EF2" w:rsidRDefault="0072274A" w:rsidP="0072274A">
    <w:pPr>
      <w:pStyle w:val="Pieddepage"/>
      <w:rPr>
        <w:rFonts w:ascii="Arial" w:hAnsi="Arial"/>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CAB1E" w14:textId="766C1057" w:rsidR="00D34486" w:rsidRDefault="001D5427" w:rsidP="0072274A">
    <w:pPr>
      <w:pStyle w:val="Pieddepage"/>
      <w:tabs>
        <w:tab w:val="left" w:pos="8106"/>
      </w:tabs>
    </w:pPr>
    <w:r>
      <w:rPr>
        <w:noProof/>
      </w:rPr>
      <mc:AlternateContent>
        <mc:Choice Requires="wps">
          <w:drawing>
            <wp:anchor distT="0" distB="0" distL="114300" distR="114300" simplePos="0" relativeHeight="251658240" behindDoc="1" locked="0" layoutInCell="1" allowOverlap="1" wp14:anchorId="331F9D65" wp14:editId="5EE604BE">
              <wp:simplePos x="0" y="0"/>
              <wp:positionH relativeFrom="margin">
                <wp:align>center</wp:align>
              </wp:positionH>
              <wp:positionV relativeFrom="paragraph">
                <wp:posOffset>-474980</wp:posOffset>
              </wp:positionV>
              <wp:extent cx="4445000" cy="72898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72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2DD30" w14:textId="77777777" w:rsidR="001D5427" w:rsidRPr="001D5427" w:rsidRDefault="001D5427" w:rsidP="00384ECE">
                          <w:pPr>
                            <w:jc w:val="center"/>
                            <w:rPr>
                              <w:rFonts w:ascii="Arial" w:hAnsi="Arial"/>
                              <w:sz w:val="16"/>
                              <w:szCs w:val="16"/>
                              <w:lang w:val="en-US"/>
                            </w:rPr>
                          </w:pPr>
                          <w:bookmarkStart w:id="2" w:name="AdresseEntete"/>
                          <w:bookmarkEnd w:id="2"/>
                          <w:proofErr w:type="spellStart"/>
                          <w:r w:rsidRPr="001D5427">
                            <w:rPr>
                              <w:rFonts w:ascii="Arial" w:hAnsi="Arial"/>
                              <w:sz w:val="16"/>
                              <w:szCs w:val="16"/>
                              <w:lang w:val="en-US"/>
                            </w:rPr>
                            <w:t>Rufino</w:t>
                          </w:r>
                          <w:proofErr w:type="spellEnd"/>
                          <w:r w:rsidRPr="001D5427">
                            <w:rPr>
                              <w:rFonts w:ascii="Arial" w:hAnsi="Arial"/>
                              <w:sz w:val="16"/>
                              <w:szCs w:val="16"/>
                              <w:lang w:val="en-US"/>
                            </w:rPr>
                            <w:t xml:space="preserve"> Pacific Tower - Units 34 A &amp; B, 6784 Ayala Avenue</w:t>
                          </w:r>
                        </w:p>
                        <w:p w14:paraId="730F0EFB" w14:textId="45CDC592" w:rsidR="001D5427" w:rsidRDefault="001D5427" w:rsidP="00384ECE">
                          <w:pPr>
                            <w:jc w:val="center"/>
                            <w:rPr>
                              <w:rFonts w:ascii="Arial" w:hAnsi="Arial"/>
                              <w:sz w:val="16"/>
                              <w:szCs w:val="16"/>
                            </w:rPr>
                          </w:pPr>
                          <w:r>
                            <w:rPr>
                              <w:rFonts w:ascii="Arial" w:hAnsi="Arial"/>
                              <w:sz w:val="16"/>
                              <w:szCs w:val="16"/>
                            </w:rPr>
                            <w:t>Makati City</w:t>
                          </w:r>
                          <w:r w:rsidR="005F1198">
                            <w:rPr>
                              <w:rFonts w:ascii="Arial" w:hAnsi="Arial"/>
                              <w:sz w:val="16"/>
                              <w:szCs w:val="16"/>
                            </w:rPr>
                            <w:t xml:space="preserve"> – </w:t>
                          </w:r>
                          <w:r>
                            <w:rPr>
                              <w:rFonts w:ascii="Arial" w:hAnsi="Arial"/>
                              <w:sz w:val="16"/>
                              <w:szCs w:val="16"/>
                            </w:rPr>
                            <w:t>M</w:t>
                          </w:r>
                          <w:r w:rsidR="0072274A">
                            <w:rPr>
                              <w:rFonts w:ascii="Arial" w:hAnsi="Arial"/>
                              <w:sz w:val="16"/>
                              <w:szCs w:val="16"/>
                            </w:rPr>
                            <w:t>anille</w:t>
                          </w:r>
                          <w:r w:rsidR="005F1198">
                            <w:rPr>
                              <w:rFonts w:ascii="Arial" w:hAnsi="Arial"/>
                              <w:sz w:val="16"/>
                              <w:szCs w:val="16"/>
                            </w:rPr>
                            <w:t xml:space="preserve"> - </w:t>
                          </w:r>
                          <w:r>
                            <w:rPr>
                              <w:rFonts w:ascii="Arial" w:hAnsi="Arial"/>
                              <w:sz w:val="16"/>
                              <w:szCs w:val="16"/>
                            </w:rPr>
                            <w:t>P</w:t>
                          </w:r>
                          <w:r w:rsidR="0072274A">
                            <w:rPr>
                              <w:rFonts w:ascii="Arial" w:hAnsi="Arial"/>
                              <w:sz w:val="16"/>
                              <w:szCs w:val="16"/>
                            </w:rPr>
                            <w:t>hilippines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F9D65" id="_x0000_t202" coordsize="21600,21600" o:spt="202" path="m,l,21600r21600,l21600,xe">
              <v:stroke joinstyle="miter"/>
              <v:path gradientshapeok="t" o:connecttype="rect"/>
            </v:shapetype>
            <v:shape id="Text Box 43" o:spid="_x0000_s1026" type="#_x0000_t202" style="position:absolute;margin-left:0;margin-top:-37.4pt;width:350pt;height:57.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" stroked="f">
              <v:textbox>
                <w:txbxContent>
                  <w:p w14:paraId="7172DD30" w14:textId="77777777" w:rsidR="001D5427" w:rsidRPr="001D5427" w:rsidRDefault="001D5427" w:rsidP="00384ECE">
                    <w:pPr>
                      <w:jc w:val="center"/>
                      <w:rPr>
                        <w:rFonts w:ascii="Arial" w:hAnsi="Arial"/>
                        <w:sz w:val="16"/>
                        <w:szCs w:val="16"/>
                        <w:lang w:val="en-US"/>
                      </w:rPr>
                    </w:pPr>
                    <w:bookmarkStart w:id="3" w:name="AdresseEntete"/>
                    <w:bookmarkEnd w:id="3"/>
                    <w:proofErr w:type="spellStart"/>
                    <w:r w:rsidRPr="001D5427">
                      <w:rPr>
                        <w:rFonts w:ascii="Arial" w:hAnsi="Arial"/>
                        <w:sz w:val="16"/>
                        <w:szCs w:val="16"/>
                        <w:lang w:val="en-US"/>
                      </w:rPr>
                      <w:t>Rufino</w:t>
                    </w:r>
                    <w:proofErr w:type="spellEnd"/>
                    <w:r w:rsidRPr="001D5427">
                      <w:rPr>
                        <w:rFonts w:ascii="Arial" w:hAnsi="Arial"/>
                        <w:sz w:val="16"/>
                        <w:szCs w:val="16"/>
                        <w:lang w:val="en-US"/>
                      </w:rPr>
                      <w:t xml:space="preserve"> Pacific Tower - Units 34 A &amp; B, 6784 Ayala Avenue</w:t>
                    </w:r>
                  </w:p>
                  <w:p w14:paraId="730F0EFB" w14:textId="45CDC592" w:rsidR="001D5427" w:rsidRDefault="001D5427" w:rsidP="00384ECE">
                    <w:pPr>
                      <w:jc w:val="center"/>
                      <w:rPr>
                        <w:rFonts w:ascii="Arial" w:hAnsi="Arial"/>
                        <w:sz w:val="16"/>
                        <w:szCs w:val="16"/>
                      </w:rPr>
                    </w:pPr>
                    <w:r>
                      <w:rPr>
                        <w:rFonts w:ascii="Arial" w:hAnsi="Arial"/>
                        <w:sz w:val="16"/>
                        <w:szCs w:val="16"/>
                      </w:rPr>
                      <w:t>Makati City</w:t>
                    </w:r>
                    <w:r w:rsidR="005F1198">
                      <w:rPr>
                        <w:rFonts w:ascii="Arial" w:hAnsi="Arial"/>
                        <w:sz w:val="16"/>
                        <w:szCs w:val="16"/>
                      </w:rPr>
                      <w:t xml:space="preserve"> – </w:t>
                    </w:r>
                    <w:r>
                      <w:rPr>
                        <w:rFonts w:ascii="Arial" w:hAnsi="Arial"/>
                        <w:sz w:val="16"/>
                        <w:szCs w:val="16"/>
                      </w:rPr>
                      <w:t>M</w:t>
                    </w:r>
                    <w:r w:rsidR="0072274A">
                      <w:rPr>
                        <w:rFonts w:ascii="Arial" w:hAnsi="Arial"/>
                        <w:sz w:val="16"/>
                        <w:szCs w:val="16"/>
                      </w:rPr>
                      <w:t>anille</w:t>
                    </w:r>
                    <w:r w:rsidR="005F1198">
                      <w:rPr>
                        <w:rFonts w:ascii="Arial" w:hAnsi="Arial"/>
                        <w:sz w:val="16"/>
                        <w:szCs w:val="16"/>
                      </w:rPr>
                      <w:t xml:space="preserve"> - </w:t>
                    </w:r>
                    <w:r>
                      <w:rPr>
                        <w:rFonts w:ascii="Arial" w:hAnsi="Arial"/>
                        <w:sz w:val="16"/>
                        <w:szCs w:val="16"/>
                      </w:rPr>
                      <w:t>P</w:t>
                    </w:r>
                    <w:r w:rsidR="0072274A">
                      <w:rPr>
                        <w:rFonts w:ascii="Arial" w:hAnsi="Arial"/>
                        <w:sz w:val="16"/>
                        <w:szCs w:val="16"/>
                      </w:rPr>
                      <w:t>hilippines</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3950D570" wp14:editId="6D18F4C3">
              <wp:simplePos x="0" y="0"/>
              <wp:positionH relativeFrom="column">
                <wp:posOffset>-342900</wp:posOffset>
              </wp:positionH>
              <wp:positionV relativeFrom="paragraph">
                <wp:posOffset>-475615</wp:posOffset>
              </wp:positionV>
              <wp:extent cx="6413500" cy="0"/>
              <wp:effectExtent l="0" t="0" r="0" b="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3C2C9"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7.45pt" to="478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9j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B228" w14:textId="77777777" w:rsidR="00287BC3" w:rsidRDefault="00287BC3">
      <w:r>
        <w:separator/>
      </w:r>
    </w:p>
  </w:footnote>
  <w:footnote w:type="continuationSeparator" w:id="0">
    <w:p w14:paraId="646E5CE0" w14:textId="77777777" w:rsidR="00287BC3" w:rsidRDefault="00287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B20F" w14:textId="77777777" w:rsidR="00D34486" w:rsidRDefault="001D5427">
    <w:pPr>
      <w:pStyle w:val="En-tte"/>
      <w:jc w:val="center"/>
    </w:pPr>
    <w:r>
      <w:rPr>
        <w:noProof/>
      </w:rPr>
      <w:drawing>
        <wp:inline distT="0" distB="0" distL="0" distR="0" wp14:anchorId="00B771B6" wp14:editId="1891F98F">
          <wp:extent cx="914400" cy="542925"/>
          <wp:effectExtent l="0" t="0" r="0" b="9525"/>
          <wp:docPr id="1"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14:paraId="76CFA2C4" w14:textId="77777777" w:rsidR="00D34486" w:rsidRDefault="00D34486">
    <w:pPr>
      <w:pStyle w:val="En-tte"/>
      <w:jc w:val="center"/>
      <w:rPr>
        <w:b/>
        <w:smallCaps/>
        <w:sz w:val="24"/>
        <w:szCs w:val="24"/>
      </w:rPr>
    </w:pPr>
  </w:p>
  <w:p w14:paraId="16A437AF" w14:textId="213480CB" w:rsidR="001D5427" w:rsidRDefault="001D5427" w:rsidP="0068076D">
    <w:pPr>
      <w:pStyle w:val="En-tte"/>
      <w:spacing w:after="60"/>
      <w:jc w:val="center"/>
      <w:rPr>
        <w:rFonts w:ascii="Arial" w:hAnsi="Arial"/>
        <w:b/>
        <w:smallCaps/>
        <w:sz w:val="24"/>
        <w:szCs w:val="24"/>
      </w:rPr>
    </w:pPr>
    <w:bookmarkStart w:id="1" w:name="Entête"/>
    <w:bookmarkEnd w:id="1"/>
    <w:r>
      <w:rPr>
        <w:rFonts w:ascii="Arial" w:hAnsi="Arial"/>
        <w:b/>
        <w:smallCaps/>
        <w:sz w:val="24"/>
        <w:szCs w:val="24"/>
      </w:rPr>
      <w:t>Ambassade de France aux Philippines</w:t>
    </w:r>
  </w:p>
  <w:p w14:paraId="34F8FF6E" w14:textId="6418A9BC" w:rsidR="00D34486" w:rsidRPr="00C64EF2" w:rsidRDefault="001D5427">
    <w:pPr>
      <w:pStyle w:val="En-tte"/>
      <w:jc w:val="center"/>
      <w:rPr>
        <w:rFonts w:ascii="Arial" w:hAnsi="Arial"/>
        <w:b/>
        <w:smallCaps/>
        <w:sz w:val="24"/>
        <w:szCs w:val="24"/>
      </w:rPr>
    </w:pPr>
    <w:r>
      <w:rPr>
        <w:rFonts w:ascii="Arial" w:hAnsi="Arial"/>
        <w:b/>
        <w:smallCaps/>
        <w:sz w:val="24"/>
        <w:szCs w:val="24"/>
      </w:rPr>
      <w:t>Service Économique de M</w:t>
    </w:r>
    <w:r w:rsidR="0068076D">
      <w:rPr>
        <w:rFonts w:ascii="Arial" w:hAnsi="Arial"/>
        <w:b/>
        <w:smallCaps/>
        <w:sz w:val="24"/>
        <w:szCs w:val="24"/>
      </w:rPr>
      <w:t>anille</w:t>
    </w:r>
  </w:p>
  <w:p w14:paraId="4F6BE40B" w14:textId="77777777" w:rsidR="00D34486" w:rsidRDefault="00D344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D1176"/>
    <w:multiLevelType w:val="hybridMultilevel"/>
    <w:tmpl w:val="7A42B958"/>
    <w:lvl w:ilvl="0" w:tplc="28BC240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D29C8"/>
    <w:multiLevelType w:val="hybridMultilevel"/>
    <w:tmpl w:val="646601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58A6689"/>
    <w:multiLevelType w:val="hybridMultilevel"/>
    <w:tmpl w:val="2222DF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817190"/>
    <w:multiLevelType w:val="hybridMultilevel"/>
    <w:tmpl w:val="6874BD36"/>
    <w:lvl w:ilvl="0" w:tplc="D6A8882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7E5652"/>
    <w:multiLevelType w:val="hybridMultilevel"/>
    <w:tmpl w:val="70CEFFE4"/>
    <w:lvl w:ilvl="0" w:tplc="0D6ADE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FE5DC2"/>
    <w:multiLevelType w:val="hybridMultilevel"/>
    <w:tmpl w:val="FBC6792E"/>
    <w:lvl w:ilvl="0" w:tplc="22707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5B915AC"/>
    <w:multiLevelType w:val="hybridMultilevel"/>
    <w:tmpl w:val="A56A50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27"/>
    <w:rsid w:val="0000058B"/>
    <w:rsid w:val="00015299"/>
    <w:rsid w:val="00021D02"/>
    <w:rsid w:val="000223DB"/>
    <w:rsid w:val="000318EA"/>
    <w:rsid w:val="00070A6F"/>
    <w:rsid w:val="000725C7"/>
    <w:rsid w:val="0008228C"/>
    <w:rsid w:val="0008596D"/>
    <w:rsid w:val="00087E42"/>
    <w:rsid w:val="00095B9A"/>
    <w:rsid w:val="00097EDE"/>
    <w:rsid w:val="000A1C7B"/>
    <w:rsid w:val="000A4B79"/>
    <w:rsid w:val="000B0BAE"/>
    <w:rsid w:val="000C1173"/>
    <w:rsid w:val="000C1A01"/>
    <w:rsid w:val="000C3299"/>
    <w:rsid w:val="000D7531"/>
    <w:rsid w:val="000F6AAB"/>
    <w:rsid w:val="001033EC"/>
    <w:rsid w:val="00112214"/>
    <w:rsid w:val="001141EE"/>
    <w:rsid w:val="00127154"/>
    <w:rsid w:val="00140EE0"/>
    <w:rsid w:val="00144676"/>
    <w:rsid w:val="00152E2E"/>
    <w:rsid w:val="00156FA3"/>
    <w:rsid w:val="00160B42"/>
    <w:rsid w:val="00162100"/>
    <w:rsid w:val="00162481"/>
    <w:rsid w:val="00163BC5"/>
    <w:rsid w:val="00190A76"/>
    <w:rsid w:val="001B21DE"/>
    <w:rsid w:val="001C0D64"/>
    <w:rsid w:val="001C3088"/>
    <w:rsid w:val="001D5427"/>
    <w:rsid w:val="001E1FD0"/>
    <w:rsid w:val="001F7595"/>
    <w:rsid w:val="00217DED"/>
    <w:rsid w:val="00240F9A"/>
    <w:rsid w:val="00252F37"/>
    <w:rsid w:val="00261552"/>
    <w:rsid w:val="002641EF"/>
    <w:rsid w:val="00271AA4"/>
    <w:rsid w:val="00282C03"/>
    <w:rsid w:val="00282FB0"/>
    <w:rsid w:val="00287BC3"/>
    <w:rsid w:val="002912A2"/>
    <w:rsid w:val="00291796"/>
    <w:rsid w:val="002B051C"/>
    <w:rsid w:val="002C0973"/>
    <w:rsid w:val="002C17D9"/>
    <w:rsid w:val="002D099D"/>
    <w:rsid w:val="002E541B"/>
    <w:rsid w:val="002F2C0F"/>
    <w:rsid w:val="002F3ADC"/>
    <w:rsid w:val="0031313D"/>
    <w:rsid w:val="00313797"/>
    <w:rsid w:val="00316AE7"/>
    <w:rsid w:val="00320C9F"/>
    <w:rsid w:val="003255DF"/>
    <w:rsid w:val="00330C7A"/>
    <w:rsid w:val="00331AFA"/>
    <w:rsid w:val="00341118"/>
    <w:rsid w:val="00347305"/>
    <w:rsid w:val="00361AC1"/>
    <w:rsid w:val="00381B02"/>
    <w:rsid w:val="00384ECE"/>
    <w:rsid w:val="003861ED"/>
    <w:rsid w:val="00386F94"/>
    <w:rsid w:val="00395A41"/>
    <w:rsid w:val="003A4CF7"/>
    <w:rsid w:val="003A507F"/>
    <w:rsid w:val="003A6330"/>
    <w:rsid w:val="003A6B47"/>
    <w:rsid w:val="003B742C"/>
    <w:rsid w:val="003C373A"/>
    <w:rsid w:val="003D0165"/>
    <w:rsid w:val="003D41DE"/>
    <w:rsid w:val="003D5B6A"/>
    <w:rsid w:val="003D68C9"/>
    <w:rsid w:val="003E49BD"/>
    <w:rsid w:val="003E49D5"/>
    <w:rsid w:val="004015B3"/>
    <w:rsid w:val="004074A1"/>
    <w:rsid w:val="00413F1F"/>
    <w:rsid w:val="00414B96"/>
    <w:rsid w:val="00421350"/>
    <w:rsid w:val="00421D7A"/>
    <w:rsid w:val="0042486A"/>
    <w:rsid w:val="00437919"/>
    <w:rsid w:val="0044381F"/>
    <w:rsid w:val="00443B95"/>
    <w:rsid w:val="0045535B"/>
    <w:rsid w:val="00464AA4"/>
    <w:rsid w:val="00464C57"/>
    <w:rsid w:val="0049131D"/>
    <w:rsid w:val="00493402"/>
    <w:rsid w:val="00497F29"/>
    <w:rsid w:val="004D2AE4"/>
    <w:rsid w:val="004F34D2"/>
    <w:rsid w:val="004F79FD"/>
    <w:rsid w:val="005009B3"/>
    <w:rsid w:val="00513A4E"/>
    <w:rsid w:val="005230AD"/>
    <w:rsid w:val="0052687D"/>
    <w:rsid w:val="00530531"/>
    <w:rsid w:val="0053094D"/>
    <w:rsid w:val="00534F6F"/>
    <w:rsid w:val="00556FCE"/>
    <w:rsid w:val="005603EB"/>
    <w:rsid w:val="00564B87"/>
    <w:rsid w:val="00580DA3"/>
    <w:rsid w:val="0059766B"/>
    <w:rsid w:val="005A0F06"/>
    <w:rsid w:val="005C2377"/>
    <w:rsid w:val="005C5FB8"/>
    <w:rsid w:val="005C614C"/>
    <w:rsid w:val="005C75E1"/>
    <w:rsid w:val="005D650C"/>
    <w:rsid w:val="005E249B"/>
    <w:rsid w:val="005E5A2F"/>
    <w:rsid w:val="005E6227"/>
    <w:rsid w:val="005E6EA8"/>
    <w:rsid w:val="005F1198"/>
    <w:rsid w:val="006027F1"/>
    <w:rsid w:val="0061150A"/>
    <w:rsid w:val="006135FC"/>
    <w:rsid w:val="00615321"/>
    <w:rsid w:val="00615588"/>
    <w:rsid w:val="006208BD"/>
    <w:rsid w:val="00623033"/>
    <w:rsid w:val="00625ACA"/>
    <w:rsid w:val="006359D4"/>
    <w:rsid w:val="006548DA"/>
    <w:rsid w:val="006617C3"/>
    <w:rsid w:val="006654F2"/>
    <w:rsid w:val="00666164"/>
    <w:rsid w:val="00673385"/>
    <w:rsid w:val="0068076D"/>
    <w:rsid w:val="00683579"/>
    <w:rsid w:val="00684DC2"/>
    <w:rsid w:val="00692723"/>
    <w:rsid w:val="006A11AF"/>
    <w:rsid w:val="006A38EB"/>
    <w:rsid w:val="006B027F"/>
    <w:rsid w:val="006B2326"/>
    <w:rsid w:val="006B5636"/>
    <w:rsid w:val="006B56DD"/>
    <w:rsid w:val="006C4005"/>
    <w:rsid w:val="006C5E2E"/>
    <w:rsid w:val="006D53AA"/>
    <w:rsid w:val="006D6145"/>
    <w:rsid w:val="006E6F8A"/>
    <w:rsid w:val="006F2C91"/>
    <w:rsid w:val="006F3093"/>
    <w:rsid w:val="007120D6"/>
    <w:rsid w:val="007139B5"/>
    <w:rsid w:val="0072274A"/>
    <w:rsid w:val="00724E0D"/>
    <w:rsid w:val="00730DF1"/>
    <w:rsid w:val="00747C1E"/>
    <w:rsid w:val="00747C91"/>
    <w:rsid w:val="007722E3"/>
    <w:rsid w:val="00776FE3"/>
    <w:rsid w:val="00781297"/>
    <w:rsid w:val="0079214F"/>
    <w:rsid w:val="00792D6E"/>
    <w:rsid w:val="00793A34"/>
    <w:rsid w:val="007A06B2"/>
    <w:rsid w:val="007A35D5"/>
    <w:rsid w:val="007A63D2"/>
    <w:rsid w:val="007B1917"/>
    <w:rsid w:val="007D47F8"/>
    <w:rsid w:val="007D6E20"/>
    <w:rsid w:val="007E4DAF"/>
    <w:rsid w:val="007E7796"/>
    <w:rsid w:val="007F1D64"/>
    <w:rsid w:val="007F6043"/>
    <w:rsid w:val="00810CA4"/>
    <w:rsid w:val="0081604B"/>
    <w:rsid w:val="0082028A"/>
    <w:rsid w:val="00821943"/>
    <w:rsid w:val="00823888"/>
    <w:rsid w:val="00824FEC"/>
    <w:rsid w:val="00831FE9"/>
    <w:rsid w:val="008417C5"/>
    <w:rsid w:val="008509B5"/>
    <w:rsid w:val="0085624A"/>
    <w:rsid w:val="008754D0"/>
    <w:rsid w:val="008811A6"/>
    <w:rsid w:val="008C37BA"/>
    <w:rsid w:val="008C6997"/>
    <w:rsid w:val="008D0E27"/>
    <w:rsid w:val="008D5A41"/>
    <w:rsid w:val="008D658F"/>
    <w:rsid w:val="008D672E"/>
    <w:rsid w:val="008E288F"/>
    <w:rsid w:val="008E6569"/>
    <w:rsid w:val="008E77DF"/>
    <w:rsid w:val="008F02D1"/>
    <w:rsid w:val="009037BB"/>
    <w:rsid w:val="009050F9"/>
    <w:rsid w:val="009107C9"/>
    <w:rsid w:val="00910DC7"/>
    <w:rsid w:val="0091196B"/>
    <w:rsid w:val="0091631D"/>
    <w:rsid w:val="009172AD"/>
    <w:rsid w:val="00921ED9"/>
    <w:rsid w:val="00937C5E"/>
    <w:rsid w:val="00944D76"/>
    <w:rsid w:val="00984600"/>
    <w:rsid w:val="00993DA3"/>
    <w:rsid w:val="009A18D6"/>
    <w:rsid w:val="009B4698"/>
    <w:rsid w:val="009B70CC"/>
    <w:rsid w:val="009C2246"/>
    <w:rsid w:val="009C5675"/>
    <w:rsid w:val="009D2CE7"/>
    <w:rsid w:val="009D764C"/>
    <w:rsid w:val="009E0F65"/>
    <w:rsid w:val="009F5721"/>
    <w:rsid w:val="00A10FB7"/>
    <w:rsid w:val="00A25FE8"/>
    <w:rsid w:val="00A35033"/>
    <w:rsid w:val="00A54644"/>
    <w:rsid w:val="00A5565A"/>
    <w:rsid w:val="00A57E13"/>
    <w:rsid w:val="00A65B01"/>
    <w:rsid w:val="00A7403E"/>
    <w:rsid w:val="00A766B4"/>
    <w:rsid w:val="00A80662"/>
    <w:rsid w:val="00A80B4A"/>
    <w:rsid w:val="00A916FA"/>
    <w:rsid w:val="00A9217C"/>
    <w:rsid w:val="00A9717F"/>
    <w:rsid w:val="00AA2CAA"/>
    <w:rsid w:val="00AB181D"/>
    <w:rsid w:val="00AB1DF3"/>
    <w:rsid w:val="00AC40D2"/>
    <w:rsid w:val="00AD5C56"/>
    <w:rsid w:val="00AE4B20"/>
    <w:rsid w:val="00AF7532"/>
    <w:rsid w:val="00B0365F"/>
    <w:rsid w:val="00B06301"/>
    <w:rsid w:val="00B1372D"/>
    <w:rsid w:val="00B24F0E"/>
    <w:rsid w:val="00B37036"/>
    <w:rsid w:val="00B40E07"/>
    <w:rsid w:val="00B42765"/>
    <w:rsid w:val="00B466B9"/>
    <w:rsid w:val="00B567F7"/>
    <w:rsid w:val="00B64BDE"/>
    <w:rsid w:val="00B6564A"/>
    <w:rsid w:val="00B77735"/>
    <w:rsid w:val="00B86D77"/>
    <w:rsid w:val="00B97277"/>
    <w:rsid w:val="00BA2C52"/>
    <w:rsid w:val="00BA4471"/>
    <w:rsid w:val="00BB2C84"/>
    <w:rsid w:val="00BB3304"/>
    <w:rsid w:val="00BC2086"/>
    <w:rsid w:val="00BC75AC"/>
    <w:rsid w:val="00BE1EBA"/>
    <w:rsid w:val="00BE6F3B"/>
    <w:rsid w:val="00BE705C"/>
    <w:rsid w:val="00C0421B"/>
    <w:rsid w:val="00C111A9"/>
    <w:rsid w:val="00C30BAA"/>
    <w:rsid w:val="00C62B97"/>
    <w:rsid w:val="00C64842"/>
    <w:rsid w:val="00C64EF2"/>
    <w:rsid w:val="00C71169"/>
    <w:rsid w:val="00C764B8"/>
    <w:rsid w:val="00C77390"/>
    <w:rsid w:val="00C8077E"/>
    <w:rsid w:val="00C80A76"/>
    <w:rsid w:val="00C86B0E"/>
    <w:rsid w:val="00C96764"/>
    <w:rsid w:val="00CA1710"/>
    <w:rsid w:val="00CA68A3"/>
    <w:rsid w:val="00CA69D1"/>
    <w:rsid w:val="00CA6E71"/>
    <w:rsid w:val="00CB7A95"/>
    <w:rsid w:val="00CC4BE8"/>
    <w:rsid w:val="00CD2CD7"/>
    <w:rsid w:val="00CE291F"/>
    <w:rsid w:val="00CF0B6D"/>
    <w:rsid w:val="00CF1464"/>
    <w:rsid w:val="00CF5859"/>
    <w:rsid w:val="00D00003"/>
    <w:rsid w:val="00D03A00"/>
    <w:rsid w:val="00D04AD2"/>
    <w:rsid w:val="00D04F61"/>
    <w:rsid w:val="00D266BA"/>
    <w:rsid w:val="00D26C98"/>
    <w:rsid w:val="00D34486"/>
    <w:rsid w:val="00D614F9"/>
    <w:rsid w:val="00D6331F"/>
    <w:rsid w:val="00D757A2"/>
    <w:rsid w:val="00D80307"/>
    <w:rsid w:val="00D86163"/>
    <w:rsid w:val="00D90B7A"/>
    <w:rsid w:val="00DA38CC"/>
    <w:rsid w:val="00DA5766"/>
    <w:rsid w:val="00DB19CA"/>
    <w:rsid w:val="00DB53B5"/>
    <w:rsid w:val="00DB6278"/>
    <w:rsid w:val="00DC1B0F"/>
    <w:rsid w:val="00DC1DEB"/>
    <w:rsid w:val="00DC7954"/>
    <w:rsid w:val="00DF30E3"/>
    <w:rsid w:val="00DF32EF"/>
    <w:rsid w:val="00E227FF"/>
    <w:rsid w:val="00E3001D"/>
    <w:rsid w:val="00E4372D"/>
    <w:rsid w:val="00E51F8F"/>
    <w:rsid w:val="00E63E80"/>
    <w:rsid w:val="00E72E8E"/>
    <w:rsid w:val="00E80128"/>
    <w:rsid w:val="00E83E34"/>
    <w:rsid w:val="00E84C30"/>
    <w:rsid w:val="00E91E00"/>
    <w:rsid w:val="00EA6A71"/>
    <w:rsid w:val="00EA7445"/>
    <w:rsid w:val="00EC784E"/>
    <w:rsid w:val="00EE3B7C"/>
    <w:rsid w:val="00F10814"/>
    <w:rsid w:val="00F118F0"/>
    <w:rsid w:val="00F1620C"/>
    <w:rsid w:val="00F20668"/>
    <w:rsid w:val="00F42D3F"/>
    <w:rsid w:val="00F43601"/>
    <w:rsid w:val="00F438A3"/>
    <w:rsid w:val="00F53D73"/>
    <w:rsid w:val="00F6382E"/>
    <w:rsid w:val="00F67E9F"/>
    <w:rsid w:val="00F72F0F"/>
    <w:rsid w:val="00F74194"/>
    <w:rsid w:val="00F810C5"/>
    <w:rsid w:val="00F814DA"/>
    <w:rsid w:val="00F8284B"/>
    <w:rsid w:val="00F82863"/>
    <w:rsid w:val="00F905FC"/>
    <w:rsid w:val="00F957E5"/>
    <w:rsid w:val="00F9703C"/>
    <w:rsid w:val="00FB5FB8"/>
    <w:rsid w:val="00FE426A"/>
    <w:rsid w:val="00FE6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9C6994B"/>
  <w15:chartTrackingRefBased/>
  <w15:docId w15:val="{138EA47A-79AA-45CD-ABCE-7EBBEF02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7C"/>
    <w:pPr>
      <w:overflowPunct w:val="0"/>
      <w:autoSpaceDE w:val="0"/>
      <w:autoSpaceDN w:val="0"/>
      <w:adjustRightInd w:val="0"/>
    </w:pPr>
    <w:rPr>
      <w:rFonts w:ascii="Univers" w:hAnsi="Univer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rPr>
      <w:b/>
      <w:sz w:val="16"/>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paragraph" w:styleId="Paragraphedeliste">
    <w:name w:val="List Paragraph"/>
    <w:basedOn w:val="Normal"/>
    <w:uiPriority w:val="34"/>
    <w:qFormat/>
    <w:rsid w:val="00F957E5"/>
    <w:pPr>
      <w:ind w:left="720"/>
      <w:contextualSpacing/>
    </w:pPr>
  </w:style>
  <w:style w:type="character" w:customStyle="1" w:styleId="PieddepageCar">
    <w:name w:val="Pied de page Car"/>
    <w:basedOn w:val="Policepardfaut"/>
    <w:link w:val="Pieddepage"/>
    <w:uiPriority w:val="99"/>
    <w:rsid w:val="00A35033"/>
    <w:rPr>
      <w:rFonts w:ascii="Univers" w:hAnsi="Univers" w:cs="Arial"/>
      <w:b/>
      <w:sz w:val="16"/>
    </w:rPr>
  </w:style>
  <w:style w:type="table" w:styleId="Grilledutableau">
    <w:name w:val="Table Grid"/>
    <w:basedOn w:val="TableauNormal"/>
    <w:rsid w:val="00EE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Policepardfaut"/>
    <w:rsid w:val="00B37036"/>
  </w:style>
  <w:style w:type="paragraph" w:customStyle="1" w:styleId="Default">
    <w:name w:val="Default"/>
    <w:rsid w:val="005309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317558">
      <w:bodyDiv w:val="1"/>
      <w:marLeft w:val="0"/>
      <w:marRight w:val="0"/>
      <w:marTop w:val="0"/>
      <w:marBottom w:val="0"/>
      <w:divBdr>
        <w:top w:val="none" w:sz="0" w:space="0" w:color="auto"/>
        <w:left w:val="none" w:sz="0" w:space="0" w:color="auto"/>
        <w:bottom w:val="none" w:sz="0" w:space="0" w:color="auto"/>
        <w:right w:val="none" w:sz="0" w:space="0" w:color="auto"/>
      </w:divBdr>
    </w:div>
    <w:div w:id="207142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3F43041089B45B5123037907E50D9" ma:contentTypeVersion="0" ma:contentTypeDescription="Crée un document." ma:contentTypeScope="" ma:versionID="4455b11a15d7242a955df532862e498b">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2C16-CDE0-4541-95C5-5AA933C83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B11C42-9867-4DEA-8E4B-70329C78D75A}">
  <ds:schemaRefs>
    <ds:schemaRef ds:uri="http://schemas.microsoft.com/sharepoint/v3/contenttype/forms"/>
  </ds:schemaRefs>
</ds:datastoreItem>
</file>

<file path=customXml/itemProps3.xml><?xml version="1.0" encoding="utf-8"?>
<ds:datastoreItem xmlns:ds="http://schemas.openxmlformats.org/officeDocument/2006/customXml" ds:itemID="{08E5CF0B-A240-4801-A417-E8DB9EA4C31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6F8FECF-7744-4462-9AD0-8F015EB1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A42B1BE4.dotm</Template>
  <TotalTime>3</TotalTime>
  <Pages>3</Pages>
  <Words>1754</Words>
  <Characters>9065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Modèle d'en-tête - Français</vt:lpstr>
    </vt:vector>
  </TitlesOfParts>
  <Manager> </Manager>
  <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d'en-tête - Français</dc:title>
  <dc:subject>Modèles de Missions Economiques</dc:subject>
  <dc:creator>Laurent.ESTRADE@dgtresor.gouv.fr</dc:creator>
  <cp:keywords/>
  <dc:description/>
  <cp:lastModifiedBy>ESTRADE Laurent</cp:lastModifiedBy>
  <cp:revision>5</cp:revision>
  <cp:lastPrinted>2015-05-11T10:07:00Z</cp:lastPrinted>
  <dcterms:created xsi:type="dcterms:W3CDTF">2017-09-20T07:08:00Z</dcterms:created>
  <dcterms:modified xsi:type="dcterms:W3CDTF">2017-09-26T02:19:00Z</dcterms:modified>
  <cp:category>Modèles de bureautique - Octobre 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0x010100F983F43041089B45B5123037907E50D9</vt:lpwstr>
  </property>
  <property fmtid="{D5CDD505-2E9C-101B-9397-08002B2CF9AE}" pid="3" name="_DocHome">
    <vt:i4>-426091818</vt:i4>
  </property>
</Properties>
</file>