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7661C" w14:textId="77777777" w:rsidR="000F3E94" w:rsidRDefault="000F3E94" w:rsidP="000F3E94">
      <w:pPr>
        <w:pStyle w:val="En-tte"/>
      </w:pPr>
      <w:r>
        <w:rPr>
          <w:rFonts w:ascii="Segoe UI" w:hAnsi="Segoe UI" w:cs="Segoe UI"/>
          <w:noProof/>
          <w:sz w:val="22"/>
          <w:szCs w:val="22"/>
          <w:lang w:eastAsia="fr-FR"/>
        </w:rPr>
        <mc:AlternateContent>
          <mc:Choice Requires="wps">
            <w:drawing>
              <wp:anchor distT="0" distB="0" distL="114300" distR="114300" simplePos="0" relativeHeight="251661312" behindDoc="0" locked="0" layoutInCell="1" allowOverlap="1" wp14:anchorId="54250CD3" wp14:editId="2C69CD86">
                <wp:simplePos x="0" y="0"/>
                <wp:positionH relativeFrom="column">
                  <wp:posOffset>1243330</wp:posOffset>
                </wp:positionH>
                <wp:positionV relativeFrom="paragraph">
                  <wp:posOffset>55245</wp:posOffset>
                </wp:positionV>
                <wp:extent cx="3532505" cy="74295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3532505" cy="742950"/>
                        </a:xfrm>
                        <a:prstGeom prst="rect">
                          <a:avLst/>
                        </a:prstGeom>
                        <a:noFill/>
                        <a:ln w="6350">
                          <a:noFill/>
                        </a:ln>
                      </wps:spPr>
                      <wps:txbx>
                        <w:txbxContent>
                          <w:p w14:paraId="2D822C16" w14:textId="48748B4C" w:rsidR="000F3E94" w:rsidRPr="000F3E94" w:rsidRDefault="000F3E94" w:rsidP="000F3E94">
                            <w:pPr>
                              <w:jc w:val="center"/>
                              <w:rPr>
                                <w:sz w:val="33"/>
                                <w:szCs w:val="33"/>
                              </w:rPr>
                            </w:pPr>
                            <w:r w:rsidRPr="000F3E94">
                              <w:rPr>
                                <w:rFonts w:ascii="Segoe UI" w:hAnsi="Segoe UI" w:cs="Segoe UI"/>
                                <w:b/>
                                <w:bCs/>
                                <w:color w:val="FFFFFF" w:themeColor="background1"/>
                                <w:sz w:val="33"/>
                                <w:szCs w:val="33"/>
                              </w:rPr>
                              <w:t xml:space="preserve">Le paysage </w:t>
                            </w:r>
                            <w:r w:rsidR="00312982">
                              <w:rPr>
                                <w:rFonts w:ascii="Segoe UI" w:hAnsi="Segoe UI" w:cs="Segoe UI"/>
                                <w:b/>
                                <w:bCs/>
                                <w:color w:val="FFFFFF" w:themeColor="background1"/>
                                <w:sz w:val="33"/>
                                <w:szCs w:val="33"/>
                              </w:rPr>
                              <w:t>du secteur high tech</w:t>
                            </w:r>
                            <w:r w:rsidRPr="000F3E94">
                              <w:rPr>
                                <w:rFonts w:ascii="Segoe UI" w:hAnsi="Segoe UI" w:cs="Segoe UI"/>
                                <w:b/>
                                <w:bCs/>
                                <w:color w:val="FFFFFF" w:themeColor="background1"/>
                                <w:sz w:val="33"/>
                                <w:szCs w:val="33"/>
                              </w:rPr>
                              <w:t xml:space="preserve"> d’Israël en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250CD3" id="_x0000_t202" coordsize="21600,21600" o:spt="202" path="m,l,21600r21600,l21600,xe">
                <v:stroke joinstyle="miter"/>
                <v:path gradientshapeok="t" o:connecttype="rect"/>
              </v:shapetype>
              <v:shape id="Zone de texte 22" o:spid="_x0000_s1026" type="#_x0000_t202" style="position:absolute;margin-left:97.9pt;margin-top:4.35pt;width:278.15pt;height: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" filled="f" stroked="f" strokeweight=".5pt">
                <v:textbox>
                  <w:txbxContent>
                    <w:p w14:paraId="2D822C16" w14:textId="48748B4C" w:rsidR="000F3E94" w:rsidRPr="000F3E94" w:rsidRDefault="000F3E94" w:rsidP="000F3E94">
                      <w:pPr>
                        <w:jc w:val="center"/>
                        <w:rPr>
                          <w:sz w:val="33"/>
                          <w:szCs w:val="33"/>
                        </w:rPr>
                      </w:pPr>
                      <w:r w:rsidRPr="000F3E94">
                        <w:rPr>
                          <w:rFonts w:ascii="Segoe UI" w:hAnsi="Segoe UI" w:cs="Segoe UI"/>
                          <w:b/>
                          <w:bCs/>
                          <w:color w:val="FFFFFF" w:themeColor="background1"/>
                          <w:sz w:val="33"/>
                          <w:szCs w:val="33"/>
                        </w:rPr>
                        <w:t xml:space="preserve">Le paysage </w:t>
                      </w:r>
                      <w:r w:rsidR="00312982">
                        <w:rPr>
                          <w:rFonts w:ascii="Segoe UI" w:hAnsi="Segoe UI" w:cs="Segoe UI"/>
                          <w:b/>
                          <w:bCs/>
                          <w:color w:val="FFFFFF" w:themeColor="background1"/>
                          <w:sz w:val="33"/>
                          <w:szCs w:val="33"/>
                        </w:rPr>
                        <w:t>du secteur high tech</w:t>
                      </w:r>
                      <w:r w:rsidRPr="000F3E94">
                        <w:rPr>
                          <w:rFonts w:ascii="Segoe UI" w:hAnsi="Segoe UI" w:cs="Segoe UI"/>
                          <w:b/>
                          <w:bCs/>
                          <w:color w:val="FFFFFF" w:themeColor="background1"/>
                          <w:sz w:val="33"/>
                          <w:szCs w:val="33"/>
                        </w:rPr>
                        <w:t xml:space="preserve"> d’Israël en 2021</w:t>
                      </w:r>
                    </w:p>
                  </w:txbxContent>
                </v:textbox>
              </v:shape>
            </w:pict>
          </mc:Fallback>
        </mc:AlternateContent>
      </w:r>
      <w:r>
        <w:rPr>
          <w:rFonts w:ascii="Segoe UI" w:hAnsi="Segoe UI" w:cs="Segoe UI"/>
          <w:noProof/>
          <w:sz w:val="22"/>
          <w:szCs w:val="22"/>
          <w:lang w:eastAsia="fr-FR"/>
        </w:rPr>
        <mc:AlternateContent>
          <mc:Choice Requires="wps">
            <w:drawing>
              <wp:anchor distT="0" distB="0" distL="114300" distR="114300" simplePos="0" relativeHeight="251660288" behindDoc="0" locked="0" layoutInCell="1" allowOverlap="1" wp14:anchorId="71FE6378" wp14:editId="473AF1F9">
                <wp:simplePos x="0" y="0"/>
                <wp:positionH relativeFrom="column">
                  <wp:posOffset>4686690</wp:posOffset>
                </wp:positionH>
                <wp:positionV relativeFrom="paragraph">
                  <wp:posOffset>11234</wp:posOffset>
                </wp:positionV>
                <wp:extent cx="1068404" cy="699235"/>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1068404" cy="699235"/>
                        </a:xfrm>
                        <a:prstGeom prst="rect">
                          <a:avLst/>
                        </a:prstGeom>
                        <a:noFill/>
                        <a:ln w="6350">
                          <a:noFill/>
                        </a:ln>
                      </wps:spPr>
                      <wps:txbx>
                        <w:txbxContent>
                          <w:p w14:paraId="7CE2D4F2" w14:textId="77777777" w:rsidR="000F3E94" w:rsidRDefault="000F3E94" w:rsidP="000F3E94">
                            <w:r>
                              <w:rPr>
                                <w:noProof/>
                                <w:lang w:eastAsia="fr-FR"/>
                              </w:rPr>
                              <w:drawing>
                                <wp:inline distT="0" distB="0" distL="0" distR="0" wp14:anchorId="7E99E266" wp14:editId="708F577E">
                                  <wp:extent cx="890815" cy="506251"/>
                                  <wp:effectExtent l="0" t="0" r="0" b="1905"/>
                                  <wp:docPr id="26" name="Image 26" descr="https://monintranet.dgtresor.gouv.fr/PublishingImages/Pages/Les-chartes,-logos-et-modèles/comgouv%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nintranet.dgtresor.gouv.fr/PublishingImages/Pages/Les-chartes,-logos-et-modèles/comgouv%203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185" cy="5388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E6378" id="Zone de texte 21" o:spid="_x0000_s1027" type="#_x0000_t202" style="position:absolute;margin-left:369.05pt;margin-top:.9pt;width:84.15pt;height:5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" filled="f" stroked="f" strokeweight=".5pt">
                <v:textbox>
                  <w:txbxContent>
                    <w:p w14:paraId="7CE2D4F2" w14:textId="77777777" w:rsidR="000F3E94" w:rsidRDefault="000F3E94" w:rsidP="000F3E94">
                      <w:r>
                        <w:rPr>
                          <w:noProof/>
                          <w:lang w:eastAsia="fr-FR"/>
                        </w:rPr>
                        <w:drawing>
                          <wp:inline distT="0" distB="0" distL="0" distR="0" wp14:anchorId="7E99E266" wp14:editId="708F577E">
                            <wp:extent cx="890815" cy="506251"/>
                            <wp:effectExtent l="0" t="0" r="0" b="1905"/>
                            <wp:docPr id="26" name="Image 26" descr="https://monintranet.dgtresor.gouv.fr/PublishingImages/Pages/Les-chartes,-logos-et-modèles/comgouv%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nintranet.dgtresor.gouv.fr/PublishingImages/Pages/Les-chartes,-logos-et-modèles/comgouv%203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185" cy="538854"/>
                                    </a:xfrm>
                                    <a:prstGeom prst="rect">
                                      <a:avLst/>
                                    </a:prstGeom>
                                    <a:noFill/>
                                    <a:ln>
                                      <a:noFill/>
                                    </a:ln>
                                  </pic:spPr>
                                </pic:pic>
                              </a:graphicData>
                            </a:graphic>
                          </wp:inline>
                        </w:drawing>
                      </w:r>
                    </w:p>
                  </w:txbxContent>
                </v:textbox>
              </v:shape>
            </w:pict>
          </mc:Fallback>
        </mc:AlternateContent>
      </w:r>
      <w:r>
        <w:rPr>
          <w:rFonts w:ascii="Segoe UI" w:hAnsi="Segoe UI" w:cs="Segoe UI"/>
          <w:noProof/>
          <w:sz w:val="22"/>
          <w:szCs w:val="22"/>
          <w:lang w:eastAsia="fr-FR"/>
        </w:rPr>
        <mc:AlternateContent>
          <mc:Choice Requires="wps">
            <w:drawing>
              <wp:anchor distT="0" distB="0" distL="114300" distR="114300" simplePos="0" relativeHeight="251659264" behindDoc="0" locked="0" layoutInCell="1" allowOverlap="1" wp14:anchorId="3B61AF34" wp14:editId="2D8B3E40">
                <wp:simplePos x="0" y="0"/>
                <wp:positionH relativeFrom="column">
                  <wp:posOffset>5813</wp:posOffset>
                </wp:positionH>
                <wp:positionV relativeFrom="paragraph">
                  <wp:posOffset>60374</wp:posOffset>
                </wp:positionV>
                <wp:extent cx="1310054" cy="641838"/>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1310054" cy="641838"/>
                        </a:xfrm>
                        <a:prstGeom prst="rect">
                          <a:avLst/>
                        </a:prstGeom>
                        <a:noFill/>
                        <a:ln w="6350">
                          <a:noFill/>
                        </a:ln>
                      </wps:spPr>
                      <wps:txbx>
                        <w:txbxContent>
                          <w:p w14:paraId="461C611A" w14:textId="77777777" w:rsidR="000F3E94" w:rsidRDefault="000F3E94" w:rsidP="000F3E94">
                            <w:pPr>
                              <w:jc w:val="center"/>
                            </w:pPr>
                            <w:r>
                              <w:rPr>
                                <w:rFonts w:ascii="Segoe UI" w:hAnsi="Segoe UI" w:cs="Segoe UI"/>
                                <w:b/>
                                <w:noProof/>
                                <w:lang w:eastAsia="fr-FR"/>
                              </w:rPr>
                              <w:drawing>
                                <wp:inline distT="0" distB="0" distL="0" distR="0" wp14:anchorId="4CAE3FB5" wp14:editId="53CEDAF2">
                                  <wp:extent cx="1116623" cy="487657"/>
                                  <wp:effectExtent l="0" t="0" r="127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1070" cy="498333"/>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1AF34" id="Zone de texte 23" o:spid="_x0000_s1028" type="#_x0000_t202" style="position:absolute;margin-left:.45pt;margin-top:4.75pt;width:103.15pt;height:5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" filled="f" stroked="f" strokeweight=".5pt">
                <v:textbox>
                  <w:txbxContent>
                    <w:p w14:paraId="461C611A" w14:textId="77777777" w:rsidR="000F3E94" w:rsidRDefault="000F3E94" w:rsidP="000F3E94">
                      <w:pPr>
                        <w:jc w:val="center"/>
                      </w:pPr>
                      <w:r>
                        <w:rPr>
                          <w:rFonts w:ascii="Segoe UI" w:hAnsi="Segoe UI" w:cs="Segoe UI"/>
                          <w:b/>
                          <w:noProof/>
                          <w:lang w:eastAsia="fr-FR"/>
                        </w:rPr>
                        <w:drawing>
                          <wp:inline distT="0" distB="0" distL="0" distR="0" wp14:anchorId="4CAE3FB5" wp14:editId="53CEDAF2">
                            <wp:extent cx="1116623" cy="487657"/>
                            <wp:effectExtent l="0" t="0" r="127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1070" cy="498333"/>
                                    </a:xfrm>
                                    <a:prstGeom prst="rect">
                                      <a:avLst/>
                                    </a:prstGeom>
                                    <a:noFill/>
                                  </pic:spPr>
                                </pic:pic>
                              </a:graphicData>
                            </a:graphic>
                          </wp:inline>
                        </w:drawing>
                      </w:r>
                    </w:p>
                  </w:txbxContent>
                </v:textbox>
              </v:shape>
            </w:pict>
          </mc:Fallback>
        </mc:AlternateContent>
      </w:r>
      <w:r w:rsidRPr="004638BD">
        <w:rPr>
          <w:rFonts w:ascii="Segoe UI" w:hAnsi="Segoe UI" w:cs="Segoe UI"/>
          <w:noProof/>
          <w:sz w:val="22"/>
          <w:szCs w:val="22"/>
          <w:lang w:eastAsia="fr-FR"/>
        </w:rPr>
        <mc:AlternateContent>
          <mc:Choice Requires="wps">
            <w:drawing>
              <wp:inline distT="0" distB="0" distL="0" distR="0" wp14:anchorId="51DFE75A" wp14:editId="2B12B831">
                <wp:extent cx="5758962" cy="667910"/>
                <wp:effectExtent l="0" t="0" r="0" b="0"/>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962" cy="667910"/>
                        </a:xfrm>
                        <a:prstGeom prst="rect">
                          <a:avLst/>
                        </a:prstGeom>
                        <a:solidFill>
                          <a:srgbClr val="006CE5"/>
                        </a:solidFill>
                        <a:ln w="9525">
                          <a:noFill/>
                          <a:miter lim="800000"/>
                          <a:headEnd/>
                          <a:tailEnd/>
                        </a:ln>
                      </wps:spPr>
                      <wps:txbx>
                        <w:txbxContent>
                          <w:p w14:paraId="41B247BC" w14:textId="77777777" w:rsidR="000F3E94" w:rsidRPr="0002725B" w:rsidRDefault="000F3E94" w:rsidP="000F3E94">
                            <w:pPr>
                              <w:jc w:val="center"/>
                              <w:rPr>
                                <w:rFonts w:ascii="Segoe UI" w:hAnsi="Segoe UI" w:cs="Segoe UI"/>
                                <w:b/>
                                <w:bCs/>
                                <w:color w:val="FFFFFF" w:themeColor="background1"/>
                                <w:sz w:val="22"/>
                                <w:szCs w:val="22"/>
                              </w:rPr>
                            </w:pPr>
                          </w:p>
                        </w:txbxContent>
                      </wps:txbx>
                      <wps:bodyPr rot="0" vert="horz" wrap="square" lIns="91440" tIns="45720" rIns="91440" bIns="45720" anchor="ctr" anchorCtr="0">
                        <a:noAutofit/>
                      </wps:bodyPr>
                    </wps:wsp>
                  </a:graphicData>
                </a:graphic>
              </wp:inline>
            </w:drawing>
          </mc:Choice>
          <mc:Fallback>
            <w:pict>
              <v:shape w14:anchorId="51DFE75A" id="Zone de texte 25" o:spid="_x0000_s1029" type="#_x0000_t202" style="width:453.45pt;height:5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" fillcolor="#006ce5" stroked="f">
                <v:textbox>
                  <w:txbxContent>
                    <w:p w14:paraId="41B247BC" w14:textId="77777777" w:rsidR="000F3E94" w:rsidRPr="0002725B" w:rsidRDefault="000F3E94" w:rsidP="000F3E94">
                      <w:pPr>
                        <w:jc w:val="center"/>
                        <w:rPr>
                          <w:rFonts w:ascii="Segoe UI" w:hAnsi="Segoe UI" w:cs="Segoe UI"/>
                          <w:b/>
                          <w:bCs/>
                          <w:color w:val="FFFFFF" w:themeColor="background1"/>
                          <w:sz w:val="22"/>
                          <w:szCs w:val="22"/>
                        </w:rPr>
                      </w:pPr>
                    </w:p>
                  </w:txbxContent>
                </v:textbox>
                <w10:anchorlock/>
              </v:shape>
            </w:pict>
          </mc:Fallback>
        </mc:AlternateContent>
      </w:r>
    </w:p>
    <w:p w14:paraId="1BF2F7B1" w14:textId="17CCF037" w:rsidR="00A03C3F" w:rsidRPr="00D3573C" w:rsidRDefault="00A03C3F" w:rsidP="00315052">
      <w:pPr>
        <w:pStyle w:val="NormalWeb"/>
        <w:spacing w:line="120" w:lineRule="auto"/>
        <w:ind w:left="2832" w:firstLine="708"/>
        <w:rPr>
          <w:sz w:val="22"/>
          <w:szCs w:val="22"/>
        </w:rPr>
      </w:pPr>
      <w:r w:rsidRPr="00D3573C">
        <w:rPr>
          <w:sz w:val="22"/>
          <w:szCs w:val="22"/>
        </w:rPr>
        <w:t xml:space="preserve">                                              </w:t>
      </w:r>
      <w:r w:rsidR="00583705" w:rsidRPr="00D3573C">
        <w:rPr>
          <w:sz w:val="22"/>
          <w:szCs w:val="22"/>
        </w:rPr>
        <w:t xml:space="preserve">            </w:t>
      </w:r>
      <w:r w:rsidRPr="00D3573C">
        <w:rPr>
          <w:sz w:val="22"/>
          <w:szCs w:val="22"/>
        </w:rPr>
        <w:t xml:space="preserve">   Tel Aviv, </w:t>
      </w:r>
      <w:r w:rsidR="00583705" w:rsidRPr="00D3573C">
        <w:rPr>
          <w:sz w:val="22"/>
          <w:szCs w:val="22"/>
        </w:rPr>
        <w:t>mai</w:t>
      </w:r>
      <w:r w:rsidRPr="00D3573C">
        <w:rPr>
          <w:sz w:val="22"/>
          <w:szCs w:val="22"/>
        </w:rPr>
        <w:t xml:space="preserve"> 20</w:t>
      </w:r>
      <w:r w:rsidR="00583705" w:rsidRPr="00D3573C">
        <w:rPr>
          <w:sz w:val="22"/>
          <w:szCs w:val="22"/>
        </w:rPr>
        <w:t>22</w:t>
      </w:r>
      <w:r w:rsidRPr="00D3573C">
        <w:rPr>
          <w:sz w:val="22"/>
          <w:szCs w:val="22"/>
        </w:rPr>
        <w:t xml:space="preserve">  </w:t>
      </w:r>
    </w:p>
    <w:p w14:paraId="35E38F88" w14:textId="467CF1F5" w:rsidR="00C33DDF" w:rsidRPr="00B62C50" w:rsidRDefault="00122309" w:rsidP="00935FA0">
      <w:pPr>
        <w:spacing w:before="240"/>
        <w:jc w:val="both"/>
        <w:rPr>
          <w:rFonts w:cstheme="minorHAnsi"/>
          <w:i/>
          <w:color w:val="000000" w:themeColor="text1"/>
          <w:sz w:val="22"/>
          <w:szCs w:val="22"/>
        </w:rPr>
      </w:pPr>
      <w:r w:rsidRPr="000549AE">
        <w:rPr>
          <w:rFonts w:cstheme="minorHAnsi"/>
          <w:i/>
          <w:color w:val="000000" w:themeColor="text1"/>
          <w:sz w:val="22"/>
          <w:szCs w:val="22"/>
        </w:rPr>
        <w:t xml:space="preserve">Le domaine des hautes technologies est </w:t>
      </w:r>
      <w:r w:rsidR="004512F8" w:rsidRPr="000549AE">
        <w:rPr>
          <w:rFonts w:cstheme="minorHAnsi"/>
          <w:i/>
          <w:color w:val="000000" w:themeColor="text1"/>
          <w:sz w:val="22"/>
          <w:szCs w:val="22"/>
        </w:rPr>
        <w:t>le</w:t>
      </w:r>
      <w:r w:rsidRPr="000549AE">
        <w:rPr>
          <w:rFonts w:cstheme="minorHAnsi"/>
          <w:i/>
          <w:color w:val="000000" w:themeColor="text1"/>
          <w:sz w:val="22"/>
          <w:szCs w:val="22"/>
        </w:rPr>
        <w:t xml:space="preserve"> secteur le plus dynamique</w:t>
      </w:r>
      <w:r w:rsidR="004512F8" w:rsidRPr="000549AE">
        <w:rPr>
          <w:rFonts w:cstheme="minorHAnsi"/>
          <w:i/>
          <w:color w:val="000000" w:themeColor="text1"/>
          <w:sz w:val="22"/>
          <w:szCs w:val="22"/>
        </w:rPr>
        <w:t xml:space="preserve"> de l’économie</w:t>
      </w:r>
      <w:r w:rsidRPr="000549AE">
        <w:rPr>
          <w:rFonts w:cstheme="minorHAnsi"/>
          <w:i/>
          <w:color w:val="000000" w:themeColor="text1"/>
          <w:sz w:val="22"/>
          <w:szCs w:val="22"/>
        </w:rPr>
        <w:t xml:space="preserve"> d’Israël</w:t>
      </w:r>
      <w:r w:rsidR="004512F8" w:rsidRPr="000549AE">
        <w:rPr>
          <w:rFonts w:cstheme="minorHAnsi"/>
          <w:i/>
          <w:color w:val="000000" w:themeColor="text1"/>
          <w:sz w:val="22"/>
          <w:szCs w:val="22"/>
        </w:rPr>
        <w:t>. Il englobe</w:t>
      </w:r>
      <w:r w:rsidRPr="000549AE">
        <w:rPr>
          <w:rFonts w:cstheme="minorHAnsi"/>
          <w:i/>
          <w:color w:val="000000" w:themeColor="text1"/>
          <w:sz w:val="22"/>
          <w:szCs w:val="22"/>
        </w:rPr>
        <w:t xml:space="preserve"> plus de 9</w:t>
      </w:r>
      <w:r w:rsidR="00654CB4" w:rsidRPr="000549AE">
        <w:rPr>
          <w:rFonts w:cstheme="minorHAnsi"/>
          <w:i/>
          <w:color w:val="000000" w:themeColor="text1"/>
          <w:sz w:val="22"/>
          <w:szCs w:val="22"/>
        </w:rPr>
        <w:t xml:space="preserve"> </w:t>
      </w:r>
      <w:r w:rsidRPr="000549AE">
        <w:rPr>
          <w:rFonts w:cstheme="minorHAnsi"/>
          <w:i/>
          <w:color w:val="000000" w:themeColor="text1"/>
          <w:sz w:val="22"/>
          <w:szCs w:val="22"/>
        </w:rPr>
        <w:t>300 start-u</w:t>
      </w:r>
      <w:r w:rsidR="007D3A41">
        <w:rPr>
          <w:rFonts w:cstheme="minorHAnsi"/>
          <w:i/>
          <w:color w:val="000000" w:themeColor="text1"/>
          <w:sz w:val="22"/>
          <w:szCs w:val="22"/>
        </w:rPr>
        <w:t>ps</w:t>
      </w:r>
      <w:r w:rsidRPr="000549AE">
        <w:rPr>
          <w:rFonts w:cstheme="minorHAnsi"/>
          <w:i/>
          <w:color w:val="000000" w:themeColor="text1"/>
          <w:sz w:val="22"/>
          <w:szCs w:val="22"/>
        </w:rPr>
        <w:t xml:space="preserve"> </w:t>
      </w:r>
      <w:r w:rsidR="00865243">
        <w:rPr>
          <w:rFonts w:cstheme="minorHAnsi"/>
          <w:i/>
          <w:color w:val="000000" w:themeColor="text1"/>
          <w:sz w:val="22"/>
          <w:szCs w:val="22"/>
        </w:rPr>
        <w:t>avec</w:t>
      </w:r>
      <w:r w:rsidR="004512F8" w:rsidRPr="00B62C50">
        <w:rPr>
          <w:rFonts w:cstheme="minorHAnsi"/>
          <w:i/>
          <w:color w:val="000000" w:themeColor="text1"/>
          <w:sz w:val="22"/>
          <w:szCs w:val="22"/>
        </w:rPr>
        <w:t xml:space="preserve"> un poids économique équivalent à </w:t>
      </w:r>
      <w:r w:rsidRPr="00B62C50">
        <w:rPr>
          <w:rFonts w:cstheme="minorHAnsi"/>
          <w:i/>
          <w:color w:val="000000" w:themeColor="text1"/>
          <w:sz w:val="22"/>
          <w:szCs w:val="22"/>
        </w:rPr>
        <w:t xml:space="preserve">15% du PIB. </w:t>
      </w:r>
      <w:r w:rsidR="00865243">
        <w:rPr>
          <w:rFonts w:cstheme="minorHAnsi"/>
          <w:i/>
          <w:color w:val="000000" w:themeColor="text1"/>
          <w:sz w:val="22"/>
          <w:szCs w:val="22"/>
        </w:rPr>
        <w:t>L</w:t>
      </w:r>
      <w:r w:rsidR="00865243" w:rsidRPr="00B62C50">
        <w:rPr>
          <w:rFonts w:cstheme="minorHAnsi"/>
          <w:i/>
          <w:color w:val="000000" w:themeColor="text1"/>
          <w:sz w:val="22"/>
          <w:szCs w:val="22"/>
        </w:rPr>
        <w:t xml:space="preserve">es levées de fonds </w:t>
      </w:r>
      <w:r w:rsidR="00865243">
        <w:rPr>
          <w:rFonts w:cstheme="minorHAnsi"/>
          <w:i/>
          <w:color w:val="000000" w:themeColor="text1"/>
          <w:sz w:val="22"/>
          <w:szCs w:val="22"/>
        </w:rPr>
        <w:t>atteignent des</w:t>
      </w:r>
      <w:r w:rsidR="00865243" w:rsidRPr="00B62C50">
        <w:rPr>
          <w:rFonts w:cstheme="minorHAnsi"/>
          <w:i/>
          <w:color w:val="000000" w:themeColor="text1"/>
          <w:sz w:val="22"/>
          <w:szCs w:val="22"/>
        </w:rPr>
        <w:t xml:space="preserve"> records </w:t>
      </w:r>
      <w:r w:rsidR="00865243">
        <w:rPr>
          <w:rFonts w:cstheme="minorHAnsi"/>
          <w:i/>
          <w:color w:val="000000" w:themeColor="text1"/>
          <w:sz w:val="22"/>
          <w:szCs w:val="22"/>
        </w:rPr>
        <w:t>c</w:t>
      </w:r>
      <w:r w:rsidR="001E6068" w:rsidRPr="00B62C50">
        <w:rPr>
          <w:rFonts w:cstheme="minorHAnsi"/>
          <w:i/>
          <w:color w:val="000000" w:themeColor="text1"/>
          <w:sz w:val="22"/>
          <w:szCs w:val="22"/>
        </w:rPr>
        <w:t>es dernières années (</w:t>
      </w:r>
      <w:r w:rsidR="0070123A" w:rsidRPr="00B62C50">
        <w:rPr>
          <w:rFonts w:cstheme="minorHAnsi"/>
          <w:i/>
          <w:color w:val="000000" w:themeColor="text1"/>
          <w:sz w:val="22"/>
          <w:szCs w:val="22"/>
        </w:rPr>
        <w:t xml:space="preserve">en 2021, </w:t>
      </w:r>
      <w:r w:rsidR="00B62C50" w:rsidRPr="00B62C50">
        <w:rPr>
          <w:rFonts w:cstheme="minorHAnsi"/>
          <w:i/>
          <w:color w:val="000000" w:themeColor="text1"/>
          <w:sz w:val="22"/>
          <w:szCs w:val="22"/>
        </w:rPr>
        <w:t>773</w:t>
      </w:r>
      <w:r w:rsidR="001E6068" w:rsidRPr="00B62C50">
        <w:rPr>
          <w:rFonts w:cstheme="minorHAnsi"/>
          <w:i/>
          <w:color w:val="000000" w:themeColor="text1"/>
          <w:sz w:val="22"/>
          <w:szCs w:val="22"/>
        </w:rPr>
        <w:t xml:space="preserve"> </w:t>
      </w:r>
      <w:r w:rsidR="004512F8" w:rsidRPr="00B62C50">
        <w:rPr>
          <w:rFonts w:cstheme="minorHAnsi"/>
          <w:i/>
          <w:color w:val="000000" w:themeColor="text1"/>
          <w:sz w:val="22"/>
          <w:szCs w:val="22"/>
        </w:rPr>
        <w:t>opérations</w:t>
      </w:r>
      <w:r w:rsidR="001E6068" w:rsidRPr="00B62C50">
        <w:rPr>
          <w:rFonts w:cstheme="minorHAnsi"/>
          <w:i/>
          <w:color w:val="000000" w:themeColor="text1"/>
          <w:sz w:val="22"/>
          <w:szCs w:val="22"/>
        </w:rPr>
        <w:t xml:space="preserve"> pour 25,</w:t>
      </w:r>
      <w:r w:rsidR="0070123A" w:rsidRPr="00B62C50">
        <w:rPr>
          <w:rFonts w:cstheme="minorHAnsi"/>
          <w:i/>
          <w:color w:val="000000" w:themeColor="text1"/>
          <w:sz w:val="22"/>
          <w:szCs w:val="22"/>
        </w:rPr>
        <w:t>6</w:t>
      </w:r>
      <w:r w:rsidR="001E6068" w:rsidRPr="00B62C50">
        <w:rPr>
          <w:rFonts w:cstheme="minorHAnsi"/>
          <w:i/>
          <w:color w:val="000000" w:themeColor="text1"/>
          <w:sz w:val="22"/>
          <w:szCs w:val="22"/>
        </w:rPr>
        <w:t xml:space="preserve"> Mds USD et </w:t>
      </w:r>
      <w:r w:rsidR="00B62C50" w:rsidRPr="00B62C50">
        <w:rPr>
          <w:rFonts w:cstheme="minorHAnsi"/>
          <w:i/>
          <w:color w:val="000000" w:themeColor="text1"/>
          <w:sz w:val="22"/>
          <w:szCs w:val="22"/>
        </w:rPr>
        <w:t>238</w:t>
      </w:r>
      <w:r w:rsidR="001E6068" w:rsidRPr="00B62C50">
        <w:rPr>
          <w:rFonts w:cstheme="minorHAnsi"/>
          <w:i/>
          <w:color w:val="000000" w:themeColor="text1"/>
          <w:sz w:val="22"/>
          <w:szCs w:val="22"/>
        </w:rPr>
        <w:t xml:space="preserve"> </w:t>
      </w:r>
      <w:r w:rsidR="004512F8" w:rsidRPr="00B62C50">
        <w:rPr>
          <w:rFonts w:cstheme="minorHAnsi"/>
          <w:i/>
          <w:color w:val="000000" w:themeColor="text1"/>
          <w:sz w:val="22"/>
          <w:szCs w:val="22"/>
        </w:rPr>
        <w:t>« </w:t>
      </w:r>
      <w:r w:rsidR="001E6068" w:rsidRPr="00B62C50">
        <w:rPr>
          <w:rFonts w:cstheme="minorHAnsi"/>
          <w:i/>
          <w:color w:val="000000" w:themeColor="text1"/>
          <w:sz w:val="22"/>
          <w:szCs w:val="22"/>
        </w:rPr>
        <w:t>exits</w:t>
      </w:r>
      <w:r w:rsidR="004512F8" w:rsidRPr="00B62C50">
        <w:rPr>
          <w:rFonts w:cstheme="minorHAnsi"/>
          <w:i/>
          <w:color w:val="000000" w:themeColor="text1"/>
          <w:sz w:val="22"/>
          <w:szCs w:val="22"/>
        </w:rPr>
        <w:t> »</w:t>
      </w:r>
      <w:r w:rsidR="001E6068" w:rsidRPr="00B62C50">
        <w:rPr>
          <w:rFonts w:cstheme="minorHAnsi"/>
          <w:i/>
          <w:color w:val="000000" w:themeColor="text1"/>
          <w:sz w:val="22"/>
          <w:szCs w:val="22"/>
        </w:rPr>
        <w:t xml:space="preserve"> </w:t>
      </w:r>
      <w:r w:rsidR="004512F8" w:rsidRPr="00B62C50">
        <w:rPr>
          <w:rFonts w:cstheme="minorHAnsi"/>
          <w:i/>
          <w:color w:val="000000" w:themeColor="text1"/>
          <w:sz w:val="22"/>
          <w:szCs w:val="22"/>
        </w:rPr>
        <w:t>totalisant</w:t>
      </w:r>
      <w:r w:rsidR="001E6068" w:rsidRPr="00B62C50">
        <w:rPr>
          <w:rFonts w:cstheme="minorHAnsi"/>
          <w:i/>
          <w:color w:val="000000" w:themeColor="text1"/>
          <w:sz w:val="22"/>
          <w:szCs w:val="22"/>
        </w:rPr>
        <w:t xml:space="preserve"> 2</w:t>
      </w:r>
      <w:r w:rsidR="00B62C50" w:rsidRPr="00B62C50">
        <w:rPr>
          <w:rFonts w:cstheme="minorHAnsi"/>
          <w:i/>
          <w:color w:val="000000" w:themeColor="text1"/>
          <w:sz w:val="22"/>
          <w:szCs w:val="22"/>
        </w:rPr>
        <w:t>2</w:t>
      </w:r>
      <w:r w:rsidR="001E6068" w:rsidRPr="00B62C50">
        <w:rPr>
          <w:rFonts w:cstheme="minorHAnsi"/>
          <w:i/>
          <w:color w:val="000000" w:themeColor="text1"/>
          <w:sz w:val="22"/>
          <w:szCs w:val="22"/>
        </w:rPr>
        <w:t>,</w:t>
      </w:r>
      <w:r w:rsidR="00B62C50" w:rsidRPr="00B62C50">
        <w:rPr>
          <w:rFonts w:cstheme="minorHAnsi"/>
          <w:i/>
          <w:color w:val="000000" w:themeColor="text1"/>
          <w:sz w:val="22"/>
          <w:szCs w:val="22"/>
        </w:rPr>
        <w:t>2</w:t>
      </w:r>
      <w:r w:rsidR="001E6068" w:rsidRPr="00B62C50">
        <w:rPr>
          <w:rFonts w:cstheme="minorHAnsi"/>
          <w:i/>
          <w:color w:val="000000" w:themeColor="text1"/>
          <w:sz w:val="22"/>
          <w:szCs w:val="22"/>
        </w:rPr>
        <w:t xml:space="preserve"> Mds USD). </w:t>
      </w:r>
      <w:r w:rsidR="00360B58" w:rsidRPr="00B62C50">
        <w:rPr>
          <w:rFonts w:cstheme="minorHAnsi"/>
          <w:i/>
          <w:color w:val="000000" w:themeColor="text1"/>
          <w:sz w:val="22"/>
          <w:szCs w:val="22"/>
        </w:rPr>
        <w:t>On compte désormais plus de 70 licornes dans le pays</w:t>
      </w:r>
      <w:r w:rsidR="00967F7B" w:rsidRPr="00B62C50">
        <w:rPr>
          <w:rFonts w:cstheme="minorHAnsi"/>
          <w:i/>
          <w:color w:val="000000" w:themeColor="text1"/>
          <w:sz w:val="22"/>
          <w:szCs w:val="22"/>
        </w:rPr>
        <w:t xml:space="preserve"> dont la majorité </w:t>
      </w:r>
      <w:r w:rsidR="004512F8" w:rsidRPr="00B62C50">
        <w:rPr>
          <w:rFonts w:cstheme="minorHAnsi"/>
          <w:i/>
          <w:color w:val="000000" w:themeColor="text1"/>
          <w:sz w:val="22"/>
          <w:szCs w:val="22"/>
        </w:rPr>
        <w:t xml:space="preserve">sont actives dans </w:t>
      </w:r>
      <w:r w:rsidR="00654CB4" w:rsidRPr="00B62C50">
        <w:rPr>
          <w:rFonts w:cstheme="minorHAnsi"/>
          <w:i/>
          <w:color w:val="000000" w:themeColor="text1"/>
          <w:sz w:val="22"/>
          <w:szCs w:val="22"/>
        </w:rPr>
        <w:t xml:space="preserve">la sécurité et </w:t>
      </w:r>
      <w:r w:rsidR="004512F8" w:rsidRPr="00B62C50">
        <w:rPr>
          <w:rFonts w:cstheme="minorHAnsi"/>
          <w:i/>
          <w:color w:val="000000" w:themeColor="text1"/>
          <w:sz w:val="22"/>
          <w:szCs w:val="22"/>
        </w:rPr>
        <w:t>l</w:t>
      </w:r>
      <w:r w:rsidR="00654CB4" w:rsidRPr="00B62C50">
        <w:rPr>
          <w:rFonts w:cstheme="minorHAnsi"/>
          <w:i/>
          <w:color w:val="000000" w:themeColor="text1"/>
          <w:sz w:val="22"/>
          <w:szCs w:val="22"/>
        </w:rPr>
        <w:t>es fintechs.</w:t>
      </w:r>
    </w:p>
    <w:p w14:paraId="14362867" w14:textId="4FB828F9" w:rsidR="009A70CE" w:rsidRPr="00B62C50" w:rsidRDefault="00865243" w:rsidP="00935FA0">
      <w:pPr>
        <w:spacing w:before="240"/>
        <w:jc w:val="both"/>
        <w:rPr>
          <w:rFonts w:cstheme="minorHAnsi"/>
          <w:i/>
          <w:color w:val="000000" w:themeColor="text1"/>
          <w:sz w:val="22"/>
          <w:szCs w:val="22"/>
        </w:rPr>
      </w:pPr>
      <w:r>
        <w:rPr>
          <w:rFonts w:cstheme="minorHAnsi"/>
          <w:i/>
          <w:color w:val="000000" w:themeColor="text1"/>
          <w:sz w:val="22"/>
          <w:szCs w:val="22"/>
        </w:rPr>
        <w:t>Même si le</w:t>
      </w:r>
      <w:r w:rsidR="00360B58" w:rsidRPr="00B62C50">
        <w:rPr>
          <w:rFonts w:cstheme="minorHAnsi"/>
          <w:i/>
          <w:color w:val="000000" w:themeColor="text1"/>
          <w:sz w:val="22"/>
          <w:szCs w:val="22"/>
        </w:rPr>
        <w:t xml:space="preserve"> pays </w:t>
      </w:r>
      <w:r w:rsidR="005F0F81">
        <w:rPr>
          <w:rFonts w:cstheme="minorHAnsi"/>
          <w:i/>
          <w:color w:val="000000" w:themeColor="text1"/>
          <w:sz w:val="22"/>
          <w:szCs w:val="22"/>
        </w:rPr>
        <w:t xml:space="preserve">garde </w:t>
      </w:r>
      <w:r>
        <w:rPr>
          <w:rFonts w:cstheme="minorHAnsi"/>
          <w:i/>
          <w:color w:val="000000" w:themeColor="text1"/>
          <w:sz w:val="22"/>
          <w:szCs w:val="22"/>
        </w:rPr>
        <w:t xml:space="preserve">un environnement propice à </w:t>
      </w:r>
      <w:r w:rsidR="00360B58" w:rsidRPr="00B62C50">
        <w:rPr>
          <w:rFonts w:cstheme="minorHAnsi"/>
          <w:i/>
          <w:color w:val="000000" w:themeColor="text1"/>
          <w:sz w:val="22"/>
          <w:szCs w:val="22"/>
        </w:rPr>
        <w:t>l’émergence de nouvelles start-ups</w:t>
      </w:r>
      <w:r w:rsidR="005F0F81">
        <w:rPr>
          <w:rFonts w:cstheme="minorHAnsi"/>
          <w:i/>
          <w:color w:val="000000" w:themeColor="text1"/>
          <w:sz w:val="22"/>
          <w:szCs w:val="22"/>
        </w:rPr>
        <w:t>,</w:t>
      </w:r>
      <w:r w:rsidR="000549AE" w:rsidRPr="00B62C50">
        <w:rPr>
          <w:rFonts w:cstheme="minorHAnsi"/>
          <w:i/>
          <w:color w:val="000000" w:themeColor="text1"/>
          <w:sz w:val="22"/>
          <w:szCs w:val="22"/>
        </w:rPr>
        <w:t xml:space="preserve"> </w:t>
      </w:r>
      <w:r w:rsidR="00360B58" w:rsidRPr="00B62C50">
        <w:rPr>
          <w:rFonts w:cstheme="minorHAnsi"/>
          <w:i/>
          <w:color w:val="000000" w:themeColor="text1"/>
          <w:sz w:val="22"/>
          <w:szCs w:val="22"/>
        </w:rPr>
        <w:t>le</w:t>
      </w:r>
      <w:r w:rsidR="004512F8" w:rsidRPr="00B62C50">
        <w:rPr>
          <w:rFonts w:cstheme="minorHAnsi"/>
          <w:i/>
          <w:color w:val="000000" w:themeColor="text1"/>
          <w:sz w:val="22"/>
          <w:szCs w:val="22"/>
        </w:rPr>
        <w:t>ur</w:t>
      </w:r>
      <w:r w:rsidR="00360B58" w:rsidRPr="00B62C50">
        <w:rPr>
          <w:rFonts w:cstheme="minorHAnsi"/>
          <w:i/>
          <w:color w:val="000000" w:themeColor="text1"/>
          <w:sz w:val="22"/>
          <w:szCs w:val="22"/>
        </w:rPr>
        <w:t xml:space="preserve"> nombre diminue depuis quelques années</w:t>
      </w:r>
      <w:r w:rsidR="00A1741B">
        <w:rPr>
          <w:rFonts w:cstheme="minorHAnsi"/>
          <w:i/>
          <w:color w:val="000000" w:themeColor="text1"/>
          <w:sz w:val="22"/>
          <w:szCs w:val="22"/>
        </w:rPr>
        <w:t>, certaines sont vendues, d’autres grandissent</w:t>
      </w:r>
      <w:r w:rsidR="00360B58" w:rsidRPr="00B62C50">
        <w:rPr>
          <w:rFonts w:cstheme="minorHAnsi"/>
          <w:i/>
          <w:color w:val="000000" w:themeColor="text1"/>
          <w:sz w:val="22"/>
          <w:szCs w:val="22"/>
        </w:rPr>
        <w:t>.</w:t>
      </w:r>
      <w:r w:rsidR="00967F7B" w:rsidRPr="00B62C50">
        <w:rPr>
          <w:rFonts w:cstheme="minorHAnsi"/>
          <w:i/>
          <w:color w:val="000000" w:themeColor="text1"/>
          <w:sz w:val="22"/>
          <w:szCs w:val="22"/>
        </w:rPr>
        <w:t xml:space="preserve"> Le secteur </w:t>
      </w:r>
      <w:r w:rsidR="004512F8" w:rsidRPr="00B62C50">
        <w:rPr>
          <w:rFonts w:cstheme="minorHAnsi"/>
          <w:i/>
          <w:color w:val="000000" w:themeColor="text1"/>
          <w:sz w:val="22"/>
          <w:szCs w:val="22"/>
        </w:rPr>
        <w:t>« </w:t>
      </w:r>
      <w:r w:rsidR="00967F7B" w:rsidRPr="00B62C50">
        <w:rPr>
          <w:rFonts w:cstheme="minorHAnsi"/>
          <w:i/>
          <w:color w:val="000000" w:themeColor="text1"/>
          <w:sz w:val="22"/>
          <w:szCs w:val="22"/>
        </w:rPr>
        <w:t>high tech</w:t>
      </w:r>
      <w:r w:rsidR="004512F8" w:rsidRPr="00B62C50">
        <w:rPr>
          <w:rFonts w:cstheme="minorHAnsi"/>
          <w:i/>
          <w:color w:val="000000" w:themeColor="text1"/>
          <w:sz w:val="22"/>
          <w:szCs w:val="22"/>
        </w:rPr>
        <w:t> »</w:t>
      </w:r>
      <w:r w:rsidR="00967F7B" w:rsidRPr="00B62C50">
        <w:rPr>
          <w:rFonts w:cstheme="minorHAnsi"/>
          <w:i/>
          <w:color w:val="000000" w:themeColor="text1"/>
          <w:sz w:val="22"/>
          <w:szCs w:val="22"/>
        </w:rPr>
        <w:t xml:space="preserve"> est </w:t>
      </w:r>
      <w:r w:rsidR="005F0F81">
        <w:rPr>
          <w:rFonts w:cstheme="minorHAnsi"/>
          <w:i/>
          <w:color w:val="000000" w:themeColor="text1"/>
          <w:sz w:val="22"/>
          <w:szCs w:val="22"/>
        </w:rPr>
        <w:t>par ailleurs</w:t>
      </w:r>
      <w:r w:rsidR="00967F7B" w:rsidRPr="00B62C50">
        <w:rPr>
          <w:rFonts w:cstheme="minorHAnsi"/>
          <w:i/>
          <w:color w:val="000000" w:themeColor="text1"/>
          <w:sz w:val="22"/>
          <w:szCs w:val="22"/>
        </w:rPr>
        <w:t xml:space="preserve"> confronté à de</w:t>
      </w:r>
      <w:r w:rsidR="005F0F81">
        <w:rPr>
          <w:rFonts w:cstheme="minorHAnsi"/>
          <w:i/>
          <w:color w:val="000000" w:themeColor="text1"/>
          <w:sz w:val="22"/>
          <w:szCs w:val="22"/>
        </w:rPr>
        <w:t>s</w:t>
      </w:r>
      <w:r w:rsidR="00967F7B" w:rsidRPr="00B62C50">
        <w:rPr>
          <w:rFonts w:cstheme="minorHAnsi"/>
          <w:i/>
          <w:color w:val="000000" w:themeColor="text1"/>
          <w:sz w:val="22"/>
          <w:szCs w:val="22"/>
        </w:rPr>
        <w:t xml:space="preserve"> problématiques salariales</w:t>
      </w:r>
      <w:r w:rsidR="004512F8" w:rsidRPr="00B62C50">
        <w:rPr>
          <w:rFonts w:cstheme="minorHAnsi"/>
          <w:i/>
          <w:color w:val="000000" w:themeColor="text1"/>
          <w:sz w:val="22"/>
          <w:szCs w:val="22"/>
        </w:rPr>
        <w:t xml:space="preserve"> et au </w:t>
      </w:r>
      <w:r w:rsidR="00654CB4" w:rsidRPr="00B62C50">
        <w:rPr>
          <w:rFonts w:cstheme="minorHAnsi"/>
          <w:i/>
          <w:color w:val="000000" w:themeColor="text1"/>
          <w:sz w:val="22"/>
          <w:szCs w:val="22"/>
        </w:rPr>
        <w:t>manque de profils qualifiés. Enfin, l</w:t>
      </w:r>
      <w:r w:rsidR="00967F7B" w:rsidRPr="00B62C50">
        <w:rPr>
          <w:rFonts w:cstheme="minorHAnsi"/>
          <w:i/>
          <w:color w:val="000000" w:themeColor="text1"/>
          <w:sz w:val="22"/>
          <w:szCs w:val="22"/>
        </w:rPr>
        <w:t>a féminisation reste assez basse, tout comme la présence d</w:t>
      </w:r>
      <w:r w:rsidR="004512F8" w:rsidRPr="00B62C50">
        <w:rPr>
          <w:rFonts w:cstheme="minorHAnsi"/>
          <w:i/>
          <w:color w:val="000000" w:themeColor="text1"/>
          <w:sz w:val="22"/>
          <w:szCs w:val="22"/>
        </w:rPr>
        <w:t xml:space="preserve">e travailleurs </w:t>
      </w:r>
      <w:r w:rsidR="007C002D" w:rsidRPr="00B62C50">
        <w:rPr>
          <w:rFonts w:cstheme="minorHAnsi"/>
          <w:i/>
          <w:color w:val="000000" w:themeColor="text1"/>
          <w:sz w:val="22"/>
          <w:szCs w:val="22"/>
        </w:rPr>
        <w:t>issus des deux principaux groupes minoritaires</w:t>
      </w:r>
      <w:r w:rsidR="00967F7B" w:rsidRPr="00B62C50">
        <w:rPr>
          <w:rFonts w:cstheme="minorHAnsi"/>
          <w:i/>
          <w:color w:val="000000" w:themeColor="text1"/>
          <w:sz w:val="22"/>
          <w:szCs w:val="22"/>
        </w:rPr>
        <w:t>.</w:t>
      </w:r>
    </w:p>
    <w:p w14:paraId="255F91B9" w14:textId="77777777" w:rsidR="006B3E51" w:rsidRPr="00B62C50" w:rsidRDefault="006B3E51" w:rsidP="006B3E51">
      <w:pPr>
        <w:jc w:val="both"/>
        <w:rPr>
          <w:rFonts w:ascii="Segoe UI" w:hAnsi="Segoe UI" w:cs="Segoe UI"/>
          <w:i/>
          <w:color w:val="000000" w:themeColor="text1"/>
          <w:sz w:val="22"/>
          <w:szCs w:val="22"/>
        </w:rPr>
      </w:pPr>
      <w:r w:rsidRPr="00B62C50">
        <w:rPr>
          <w:rFonts w:ascii="Segoe UI" w:hAnsi="Segoe UI" w:cs="Segoe UI"/>
          <w:i/>
          <w:color w:val="000000" w:themeColor="text1"/>
          <w:sz w:val="22"/>
          <w:szCs w:val="22"/>
        </w:rPr>
        <w:t xml:space="preserve"> </w:t>
      </w:r>
    </w:p>
    <w:p w14:paraId="5E6625F8" w14:textId="77777777" w:rsidR="006B3E51" w:rsidRPr="00B62C50" w:rsidRDefault="006B3E51" w:rsidP="006B3E51">
      <w:pPr>
        <w:jc w:val="both"/>
        <w:rPr>
          <w:rFonts w:ascii="Arial" w:hAnsi="Arial" w:cs="Arial"/>
          <w:sz w:val="22"/>
          <w:szCs w:val="22"/>
        </w:rPr>
      </w:pPr>
      <w:r w:rsidRPr="00B62C50">
        <w:rPr>
          <w:rFonts w:ascii="Segoe UI" w:hAnsi="Segoe UI" w:cs="Segoe UI"/>
          <w:noProof/>
          <w:sz w:val="22"/>
          <w:szCs w:val="22"/>
          <w:lang w:eastAsia="fr-FR"/>
        </w:rPr>
        <mc:AlternateContent>
          <mc:Choice Requires="wps">
            <w:drawing>
              <wp:inline distT="0" distB="0" distL="0" distR="0" wp14:anchorId="39B98A95" wp14:editId="3BEB34DB">
                <wp:extent cx="5756910" cy="381662"/>
                <wp:effectExtent l="0" t="0" r="0" b="0"/>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381662"/>
                        </a:xfrm>
                        <a:prstGeom prst="rect">
                          <a:avLst/>
                        </a:prstGeom>
                        <a:solidFill>
                          <a:srgbClr val="006CE5"/>
                        </a:solidFill>
                        <a:ln w="9525">
                          <a:noFill/>
                          <a:miter lim="800000"/>
                          <a:headEnd/>
                          <a:tailEnd/>
                        </a:ln>
                      </wps:spPr>
                      <wps:txbx>
                        <w:txbxContent>
                          <w:p w14:paraId="34913571" w14:textId="7ED5C5D9" w:rsidR="006B3E51" w:rsidRPr="004F3FAB" w:rsidRDefault="006B3E51" w:rsidP="006B3E51">
                            <w:pPr>
                              <w:jc w:val="both"/>
                              <w:rPr>
                                <w:rFonts w:ascii="Segoe UI" w:hAnsi="Segoe UI" w:cs="Segoe UI"/>
                                <w:b/>
                                <w:bCs/>
                                <w:color w:val="FFFFFF" w:themeColor="background1"/>
                              </w:rPr>
                            </w:pPr>
                            <w:r w:rsidRPr="004F3FAB">
                              <w:rPr>
                                <w:rFonts w:ascii="Segoe UI" w:hAnsi="Segoe UI" w:cs="Segoe UI"/>
                                <w:b/>
                                <w:bCs/>
                                <w:color w:val="FFFFFF" w:themeColor="background1"/>
                              </w:rPr>
                              <w:t xml:space="preserve">1. </w:t>
                            </w:r>
                            <w:r w:rsidR="00A95977">
                              <w:rPr>
                                <w:rFonts w:ascii="Segoe UI" w:hAnsi="Segoe UI" w:cs="Segoe UI"/>
                                <w:b/>
                                <w:bCs/>
                                <w:color w:val="FFFFFF" w:themeColor="background1"/>
                              </w:rPr>
                              <w:t>Investissements</w:t>
                            </w:r>
                            <w:r w:rsidR="007C002D">
                              <w:rPr>
                                <w:rFonts w:ascii="Segoe UI" w:hAnsi="Segoe UI" w:cs="Segoe UI"/>
                                <w:b/>
                                <w:bCs/>
                                <w:color w:val="FFFFFF" w:themeColor="background1"/>
                              </w:rPr>
                              <w:t> : beaucoup de « </w:t>
                            </w:r>
                            <w:proofErr w:type="spellStart"/>
                            <w:r w:rsidR="007C002D">
                              <w:rPr>
                                <w:rFonts w:ascii="Segoe UI" w:hAnsi="Segoe UI" w:cs="Segoe UI"/>
                                <w:b/>
                                <w:bCs/>
                                <w:color w:val="FFFFFF" w:themeColor="background1"/>
                              </w:rPr>
                              <w:t>m</w:t>
                            </w:r>
                            <w:r w:rsidR="002F78EE">
                              <w:rPr>
                                <w:rFonts w:ascii="Segoe UI" w:hAnsi="Segoe UI" w:cs="Segoe UI"/>
                                <w:b/>
                                <w:bCs/>
                                <w:color w:val="FFFFFF" w:themeColor="background1"/>
                              </w:rPr>
                              <w:t>e</w:t>
                            </w:r>
                            <w:r w:rsidR="007C002D">
                              <w:rPr>
                                <w:rFonts w:ascii="Segoe UI" w:hAnsi="Segoe UI" w:cs="Segoe UI"/>
                                <w:b/>
                                <w:bCs/>
                                <w:color w:val="FFFFFF" w:themeColor="background1"/>
                              </w:rPr>
                              <w:t>ga</w:t>
                            </w:r>
                            <w:proofErr w:type="spellEnd"/>
                            <w:r w:rsidR="007C002D">
                              <w:rPr>
                                <w:rFonts w:ascii="Segoe UI" w:hAnsi="Segoe UI" w:cs="Segoe UI"/>
                                <w:b/>
                                <w:bCs/>
                                <w:color w:val="FFFFFF" w:themeColor="background1"/>
                              </w:rPr>
                              <w:t xml:space="preserve"> deals »</w:t>
                            </w:r>
                            <w:r w:rsidR="0017786A">
                              <w:rPr>
                                <w:rFonts w:ascii="Segoe UI" w:hAnsi="Segoe UI" w:cs="Segoe UI"/>
                                <w:b/>
                                <w:bCs/>
                                <w:color w:val="FFFFFF" w:themeColor="background1"/>
                              </w:rPr>
                              <w:t xml:space="preserve"> sur des entreprises établies</w:t>
                            </w:r>
                          </w:p>
                        </w:txbxContent>
                      </wps:txbx>
                      <wps:bodyPr rot="0" vert="horz" wrap="square" lIns="91440" tIns="45720" rIns="91440" bIns="45720" anchor="ctr" anchorCtr="0">
                        <a:noAutofit/>
                      </wps:bodyPr>
                    </wps:wsp>
                  </a:graphicData>
                </a:graphic>
              </wp:inline>
            </w:drawing>
          </mc:Choice>
          <mc:Fallback>
            <w:pict>
              <v:shape w14:anchorId="39B98A95" id="Zone de texte 20" o:spid="_x0000_s1030" type="#_x0000_t202" style="width:453.3pt;height:3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" fillcolor="#006ce5" stroked="f">
                <v:textbox>
                  <w:txbxContent>
                    <w:p w14:paraId="34913571" w14:textId="7ED5C5D9" w:rsidR="006B3E51" w:rsidRPr="004F3FAB" w:rsidRDefault="006B3E51" w:rsidP="006B3E51">
                      <w:pPr>
                        <w:jc w:val="both"/>
                        <w:rPr>
                          <w:rFonts w:ascii="Segoe UI" w:hAnsi="Segoe UI" w:cs="Segoe UI"/>
                          <w:b/>
                          <w:bCs/>
                          <w:color w:val="FFFFFF" w:themeColor="background1"/>
                        </w:rPr>
                      </w:pPr>
                      <w:r w:rsidRPr="004F3FAB">
                        <w:rPr>
                          <w:rFonts w:ascii="Segoe UI" w:hAnsi="Segoe UI" w:cs="Segoe UI"/>
                          <w:b/>
                          <w:bCs/>
                          <w:color w:val="FFFFFF" w:themeColor="background1"/>
                        </w:rPr>
                        <w:t xml:space="preserve">1. </w:t>
                      </w:r>
                      <w:r w:rsidR="00A95977">
                        <w:rPr>
                          <w:rFonts w:ascii="Segoe UI" w:hAnsi="Segoe UI" w:cs="Segoe UI"/>
                          <w:b/>
                          <w:bCs/>
                          <w:color w:val="FFFFFF" w:themeColor="background1"/>
                        </w:rPr>
                        <w:t>Investissements</w:t>
                      </w:r>
                      <w:r w:rsidR="007C002D">
                        <w:rPr>
                          <w:rFonts w:ascii="Segoe UI" w:hAnsi="Segoe UI" w:cs="Segoe UI"/>
                          <w:b/>
                          <w:bCs/>
                          <w:color w:val="FFFFFF" w:themeColor="background1"/>
                        </w:rPr>
                        <w:t> : beaucoup de « </w:t>
                      </w:r>
                      <w:proofErr w:type="spellStart"/>
                      <w:r w:rsidR="007C002D">
                        <w:rPr>
                          <w:rFonts w:ascii="Segoe UI" w:hAnsi="Segoe UI" w:cs="Segoe UI"/>
                          <w:b/>
                          <w:bCs/>
                          <w:color w:val="FFFFFF" w:themeColor="background1"/>
                        </w:rPr>
                        <w:t>m</w:t>
                      </w:r>
                      <w:r w:rsidR="002F78EE">
                        <w:rPr>
                          <w:rFonts w:ascii="Segoe UI" w:hAnsi="Segoe UI" w:cs="Segoe UI"/>
                          <w:b/>
                          <w:bCs/>
                          <w:color w:val="FFFFFF" w:themeColor="background1"/>
                        </w:rPr>
                        <w:t>e</w:t>
                      </w:r>
                      <w:r w:rsidR="007C002D">
                        <w:rPr>
                          <w:rFonts w:ascii="Segoe UI" w:hAnsi="Segoe UI" w:cs="Segoe UI"/>
                          <w:b/>
                          <w:bCs/>
                          <w:color w:val="FFFFFF" w:themeColor="background1"/>
                        </w:rPr>
                        <w:t>ga</w:t>
                      </w:r>
                      <w:proofErr w:type="spellEnd"/>
                      <w:r w:rsidR="007C002D">
                        <w:rPr>
                          <w:rFonts w:ascii="Segoe UI" w:hAnsi="Segoe UI" w:cs="Segoe UI"/>
                          <w:b/>
                          <w:bCs/>
                          <w:color w:val="FFFFFF" w:themeColor="background1"/>
                        </w:rPr>
                        <w:t xml:space="preserve"> deals »</w:t>
                      </w:r>
                      <w:r w:rsidR="0017786A">
                        <w:rPr>
                          <w:rFonts w:ascii="Segoe UI" w:hAnsi="Segoe UI" w:cs="Segoe UI"/>
                          <w:b/>
                          <w:bCs/>
                          <w:color w:val="FFFFFF" w:themeColor="background1"/>
                        </w:rPr>
                        <w:t xml:space="preserve"> sur des entreprises établies</w:t>
                      </w:r>
                    </w:p>
                  </w:txbxContent>
                </v:textbox>
                <w10:anchorlock/>
              </v:shape>
            </w:pict>
          </mc:Fallback>
        </mc:AlternateContent>
      </w:r>
    </w:p>
    <w:p w14:paraId="439A7E14" w14:textId="10DF531E" w:rsidR="006753BF" w:rsidRPr="00B62C50" w:rsidRDefault="0099700D" w:rsidP="00935FA0">
      <w:pPr>
        <w:spacing w:before="240"/>
        <w:jc w:val="both"/>
        <w:rPr>
          <w:sz w:val="22"/>
          <w:szCs w:val="22"/>
          <w:lang w:bidi="he-IL"/>
        </w:rPr>
      </w:pPr>
      <w:r w:rsidRPr="00B62C50">
        <w:rPr>
          <w:b/>
          <w:bCs/>
          <w:sz w:val="22"/>
          <w:szCs w:val="22"/>
          <w:lang w:bidi="he-IL"/>
        </w:rPr>
        <w:t xml:space="preserve">Les levées de capitaux ont atteint un </w:t>
      </w:r>
      <w:r w:rsidR="007C002D" w:rsidRPr="00B62C50">
        <w:rPr>
          <w:b/>
          <w:bCs/>
          <w:sz w:val="22"/>
          <w:szCs w:val="22"/>
          <w:lang w:bidi="he-IL"/>
        </w:rPr>
        <w:t>montant</w:t>
      </w:r>
      <w:r w:rsidRPr="00B62C50">
        <w:rPr>
          <w:b/>
          <w:bCs/>
          <w:sz w:val="22"/>
          <w:szCs w:val="22"/>
          <w:lang w:bidi="he-IL"/>
        </w:rPr>
        <w:t xml:space="preserve"> record en 2021 avec 25,6 Mds USD </w:t>
      </w:r>
      <w:r w:rsidR="007C002D" w:rsidRPr="00B62C50">
        <w:rPr>
          <w:b/>
          <w:bCs/>
          <w:sz w:val="22"/>
          <w:szCs w:val="22"/>
          <w:lang w:bidi="he-IL"/>
        </w:rPr>
        <w:t xml:space="preserve">(+146% en un an) </w:t>
      </w:r>
      <w:r w:rsidR="002F78EE">
        <w:rPr>
          <w:b/>
          <w:bCs/>
          <w:sz w:val="22"/>
          <w:szCs w:val="22"/>
          <w:lang w:bidi="he-IL"/>
        </w:rPr>
        <w:t>pou</w:t>
      </w:r>
      <w:r w:rsidR="007C002D" w:rsidRPr="00B62C50">
        <w:rPr>
          <w:b/>
          <w:bCs/>
          <w:sz w:val="22"/>
          <w:szCs w:val="22"/>
          <w:lang w:bidi="he-IL"/>
        </w:rPr>
        <w:t>r</w:t>
      </w:r>
      <w:r w:rsidR="00B32FEA" w:rsidRPr="00B62C50">
        <w:rPr>
          <w:b/>
          <w:bCs/>
          <w:sz w:val="22"/>
          <w:szCs w:val="22"/>
          <w:lang w:bidi="he-IL"/>
        </w:rPr>
        <w:t xml:space="preserve"> 773 </w:t>
      </w:r>
      <w:r w:rsidR="007C002D" w:rsidRPr="00B62C50">
        <w:rPr>
          <w:b/>
          <w:bCs/>
          <w:sz w:val="22"/>
          <w:szCs w:val="22"/>
          <w:lang w:bidi="he-IL"/>
        </w:rPr>
        <w:t>opérations (+28%)</w:t>
      </w:r>
      <w:r w:rsidR="00F80F8F" w:rsidRPr="00B62C50">
        <w:rPr>
          <w:b/>
          <w:bCs/>
          <w:sz w:val="22"/>
          <w:szCs w:val="22"/>
          <w:lang w:bidi="he-IL"/>
        </w:rPr>
        <w:t xml:space="preserve"> [Graphique 1]</w:t>
      </w:r>
      <w:r w:rsidR="00B32FEA" w:rsidRPr="00B62C50">
        <w:rPr>
          <w:sz w:val="22"/>
          <w:szCs w:val="22"/>
          <w:lang w:bidi="he-IL"/>
        </w:rPr>
        <w:t xml:space="preserve">. L’investissement moyen par </w:t>
      </w:r>
      <w:r w:rsidR="007C002D" w:rsidRPr="00B62C50">
        <w:rPr>
          <w:sz w:val="22"/>
          <w:szCs w:val="22"/>
          <w:lang w:bidi="he-IL"/>
        </w:rPr>
        <w:t>opération</w:t>
      </w:r>
      <w:r w:rsidR="00B32FEA" w:rsidRPr="00B62C50">
        <w:rPr>
          <w:sz w:val="22"/>
          <w:szCs w:val="22"/>
          <w:lang w:bidi="he-IL"/>
        </w:rPr>
        <w:t xml:space="preserve"> </w:t>
      </w:r>
      <w:r w:rsidR="007C002D" w:rsidRPr="00B62C50">
        <w:rPr>
          <w:sz w:val="22"/>
          <w:szCs w:val="22"/>
          <w:lang w:bidi="he-IL"/>
        </w:rPr>
        <w:t>s’établit à</w:t>
      </w:r>
      <w:r w:rsidR="00B32FEA" w:rsidRPr="00B62C50">
        <w:rPr>
          <w:sz w:val="22"/>
          <w:szCs w:val="22"/>
          <w:lang w:bidi="he-IL"/>
        </w:rPr>
        <w:t xml:space="preserve"> 33,1 M</w:t>
      </w:r>
      <w:r w:rsidR="002F78EE">
        <w:rPr>
          <w:sz w:val="22"/>
          <w:szCs w:val="22"/>
          <w:lang w:bidi="he-IL"/>
        </w:rPr>
        <w:t> </w:t>
      </w:r>
      <w:r w:rsidR="00B32FEA" w:rsidRPr="00B62C50">
        <w:rPr>
          <w:sz w:val="22"/>
          <w:szCs w:val="22"/>
          <w:lang w:bidi="he-IL"/>
        </w:rPr>
        <w:t xml:space="preserve">USD et l’investissement médian </w:t>
      </w:r>
      <w:r w:rsidR="007C002D" w:rsidRPr="00B62C50">
        <w:rPr>
          <w:sz w:val="22"/>
          <w:szCs w:val="22"/>
          <w:lang w:bidi="he-IL"/>
        </w:rPr>
        <w:t xml:space="preserve">à </w:t>
      </w:r>
      <w:r w:rsidR="00B32FEA" w:rsidRPr="00B62C50">
        <w:rPr>
          <w:sz w:val="22"/>
          <w:szCs w:val="22"/>
          <w:lang w:bidi="he-IL"/>
        </w:rPr>
        <w:t>10,7 M USD</w:t>
      </w:r>
      <w:r w:rsidR="00F80F8F" w:rsidRPr="00B62C50">
        <w:rPr>
          <w:sz w:val="22"/>
          <w:szCs w:val="22"/>
          <w:lang w:bidi="he-IL"/>
        </w:rPr>
        <w:t xml:space="preserve"> [Graphique 2]</w:t>
      </w:r>
      <w:r w:rsidR="00B32FEA" w:rsidRPr="00B62C50">
        <w:rPr>
          <w:sz w:val="22"/>
          <w:szCs w:val="22"/>
          <w:lang w:bidi="he-IL"/>
        </w:rPr>
        <w:t>, ce</w:t>
      </w:r>
      <w:r w:rsidR="00E62E8A">
        <w:rPr>
          <w:sz w:val="22"/>
          <w:szCs w:val="22"/>
          <w:lang w:bidi="he-IL"/>
        </w:rPr>
        <w:t xml:space="preserve"> qui permet de conclure que </w:t>
      </w:r>
      <w:r w:rsidR="00E62E8A" w:rsidRPr="00B62C50">
        <w:rPr>
          <w:sz w:val="22"/>
          <w:szCs w:val="22"/>
          <w:lang w:bidi="he-IL"/>
        </w:rPr>
        <w:t>la majeure partie des investissements dans la tech israélienne</w:t>
      </w:r>
      <w:r w:rsidR="00E62E8A">
        <w:rPr>
          <w:sz w:val="22"/>
          <w:szCs w:val="22"/>
          <w:lang w:bidi="he-IL"/>
        </w:rPr>
        <w:t xml:space="preserve"> est constituée</w:t>
      </w:r>
      <w:r w:rsidR="00B32FEA" w:rsidRPr="00B62C50">
        <w:rPr>
          <w:sz w:val="22"/>
          <w:szCs w:val="22"/>
          <w:lang w:bidi="he-IL"/>
        </w:rPr>
        <w:t xml:space="preserve"> de </w:t>
      </w:r>
      <w:r w:rsidR="007C002D" w:rsidRPr="00B62C50">
        <w:rPr>
          <w:sz w:val="22"/>
          <w:szCs w:val="22"/>
          <w:lang w:bidi="he-IL"/>
        </w:rPr>
        <w:t>« </w:t>
      </w:r>
      <w:proofErr w:type="spellStart"/>
      <w:r w:rsidR="00B32FEA" w:rsidRPr="00B62C50">
        <w:rPr>
          <w:i/>
          <w:iCs/>
          <w:sz w:val="22"/>
          <w:szCs w:val="22"/>
          <w:lang w:bidi="he-IL"/>
        </w:rPr>
        <w:t>mega</w:t>
      </w:r>
      <w:proofErr w:type="spellEnd"/>
      <w:r w:rsidR="00B32FEA" w:rsidRPr="00B62C50">
        <w:rPr>
          <w:i/>
          <w:iCs/>
          <w:sz w:val="22"/>
          <w:szCs w:val="22"/>
          <w:lang w:bidi="he-IL"/>
        </w:rPr>
        <w:t xml:space="preserve"> deals</w:t>
      </w:r>
      <w:r w:rsidR="007C002D" w:rsidRPr="00B62C50">
        <w:rPr>
          <w:i/>
          <w:iCs/>
          <w:sz w:val="22"/>
          <w:szCs w:val="22"/>
          <w:lang w:bidi="he-IL"/>
        </w:rPr>
        <w:t> »</w:t>
      </w:r>
      <w:r w:rsidR="00B32FEA" w:rsidRPr="00B62C50">
        <w:rPr>
          <w:sz w:val="22"/>
          <w:szCs w:val="22"/>
          <w:lang w:bidi="he-IL"/>
        </w:rPr>
        <w:t>.</w:t>
      </w:r>
      <w:r w:rsidR="00574C90" w:rsidRPr="00B62C50">
        <w:rPr>
          <w:sz w:val="22"/>
          <w:szCs w:val="22"/>
          <w:lang w:bidi="he-IL"/>
        </w:rPr>
        <w:t xml:space="preserve"> </w:t>
      </w:r>
    </w:p>
    <w:p w14:paraId="4C915E59" w14:textId="4C5393DA" w:rsidR="008F3E6C" w:rsidRPr="00B62C50" w:rsidRDefault="003F655E" w:rsidP="00935FA0">
      <w:pPr>
        <w:spacing w:before="240"/>
        <w:jc w:val="both"/>
        <w:rPr>
          <w:sz w:val="22"/>
          <w:szCs w:val="22"/>
          <w:lang w:bidi="he-IL"/>
        </w:rPr>
      </w:pPr>
      <w:r w:rsidRPr="00B62C50">
        <w:rPr>
          <w:sz w:val="22"/>
          <w:szCs w:val="22"/>
          <w:lang w:bidi="he-IL"/>
        </w:rPr>
        <w:t>L</w:t>
      </w:r>
      <w:r w:rsidR="00497C95" w:rsidRPr="00B62C50">
        <w:rPr>
          <w:sz w:val="22"/>
          <w:szCs w:val="22"/>
          <w:lang w:bidi="he-IL"/>
        </w:rPr>
        <w:t xml:space="preserve">’origine des fonds </w:t>
      </w:r>
      <w:r w:rsidR="003E0F20" w:rsidRPr="00B62C50">
        <w:rPr>
          <w:sz w:val="22"/>
          <w:szCs w:val="22"/>
          <w:lang w:bidi="he-IL"/>
        </w:rPr>
        <w:t>est représentative de l’ouverture du secteur</w:t>
      </w:r>
      <w:r w:rsidR="001023D8" w:rsidRPr="00B62C50">
        <w:rPr>
          <w:sz w:val="22"/>
          <w:szCs w:val="22"/>
          <w:lang w:bidi="he-IL"/>
        </w:rPr>
        <w:t> :</w:t>
      </w:r>
      <w:r w:rsidR="003E0F20" w:rsidRPr="00B62C50">
        <w:rPr>
          <w:sz w:val="22"/>
          <w:szCs w:val="22"/>
          <w:lang w:bidi="he-IL"/>
        </w:rPr>
        <w:t xml:space="preserve"> </w:t>
      </w:r>
      <w:r w:rsidR="003E0F20" w:rsidRPr="00B62C50">
        <w:rPr>
          <w:b/>
          <w:bCs/>
          <w:sz w:val="22"/>
          <w:szCs w:val="22"/>
          <w:lang w:bidi="he-IL"/>
        </w:rPr>
        <w:t>l</w:t>
      </w:r>
      <w:r w:rsidRPr="00B62C50">
        <w:rPr>
          <w:b/>
          <w:bCs/>
          <w:sz w:val="22"/>
          <w:szCs w:val="22"/>
          <w:lang w:bidi="he-IL"/>
        </w:rPr>
        <w:t xml:space="preserve">es investissements étrangers représentent </w:t>
      </w:r>
      <w:r w:rsidR="00FF3772" w:rsidRPr="00B62C50">
        <w:rPr>
          <w:b/>
          <w:bCs/>
          <w:sz w:val="22"/>
          <w:szCs w:val="22"/>
          <w:lang w:bidi="he-IL"/>
        </w:rPr>
        <w:t>7</w:t>
      </w:r>
      <w:r w:rsidRPr="00B62C50">
        <w:rPr>
          <w:b/>
          <w:bCs/>
          <w:sz w:val="22"/>
          <w:szCs w:val="22"/>
          <w:lang w:bidi="he-IL"/>
        </w:rPr>
        <w:t xml:space="preserve">3% des capitaux </w:t>
      </w:r>
      <w:r w:rsidR="003E0F20" w:rsidRPr="00B62C50">
        <w:rPr>
          <w:b/>
          <w:bCs/>
          <w:sz w:val="22"/>
          <w:szCs w:val="22"/>
          <w:lang w:bidi="he-IL"/>
        </w:rPr>
        <w:t xml:space="preserve">investis en 2021 </w:t>
      </w:r>
      <w:r w:rsidRPr="00B62C50">
        <w:rPr>
          <w:b/>
          <w:bCs/>
          <w:sz w:val="22"/>
          <w:szCs w:val="22"/>
          <w:lang w:bidi="he-IL"/>
        </w:rPr>
        <w:t>(18,64 Mds USD).</w:t>
      </w:r>
      <w:r w:rsidRPr="00B62C50">
        <w:rPr>
          <w:sz w:val="22"/>
          <w:szCs w:val="22"/>
          <w:lang w:bidi="he-IL"/>
        </w:rPr>
        <w:t xml:space="preserve"> </w:t>
      </w:r>
      <w:r w:rsidR="003E0F20" w:rsidRPr="00B62C50">
        <w:rPr>
          <w:sz w:val="22"/>
          <w:szCs w:val="22"/>
          <w:lang w:bidi="he-IL"/>
        </w:rPr>
        <w:t>C</w:t>
      </w:r>
      <w:r w:rsidRPr="00B62C50">
        <w:rPr>
          <w:sz w:val="22"/>
          <w:szCs w:val="22"/>
          <w:lang w:bidi="he-IL"/>
        </w:rPr>
        <w:t xml:space="preserve">es investissements étrangers se </w:t>
      </w:r>
      <w:r w:rsidR="003E0F20" w:rsidRPr="00B62C50">
        <w:rPr>
          <w:sz w:val="22"/>
          <w:szCs w:val="22"/>
          <w:lang w:bidi="he-IL"/>
        </w:rPr>
        <w:t>porte</w:t>
      </w:r>
      <w:r w:rsidRPr="00B62C50">
        <w:rPr>
          <w:sz w:val="22"/>
          <w:szCs w:val="22"/>
          <w:lang w:bidi="he-IL"/>
        </w:rPr>
        <w:t>nt</w:t>
      </w:r>
      <w:r w:rsidR="003E0F20" w:rsidRPr="00B62C50">
        <w:rPr>
          <w:sz w:val="22"/>
          <w:szCs w:val="22"/>
          <w:lang w:bidi="he-IL"/>
        </w:rPr>
        <w:t>, sans surprise</w:t>
      </w:r>
      <w:r w:rsidR="001D1A6E">
        <w:rPr>
          <w:sz w:val="22"/>
          <w:szCs w:val="22"/>
          <w:lang w:bidi="he-IL"/>
        </w:rPr>
        <w:t>,</w:t>
      </w:r>
      <w:r w:rsidR="003E0F20" w:rsidRPr="00B62C50">
        <w:rPr>
          <w:sz w:val="22"/>
          <w:szCs w:val="22"/>
          <w:lang w:bidi="he-IL"/>
        </w:rPr>
        <w:t xml:space="preserve"> vers les risques jugés les plus faibles</w:t>
      </w:r>
      <w:r w:rsidR="0070123A" w:rsidRPr="00B62C50">
        <w:rPr>
          <w:sz w:val="22"/>
          <w:szCs w:val="22"/>
          <w:lang w:bidi="he-IL"/>
        </w:rPr>
        <w:t>,</w:t>
      </w:r>
      <w:r w:rsidR="003E0F20" w:rsidRPr="00B62C50">
        <w:rPr>
          <w:sz w:val="22"/>
          <w:szCs w:val="22"/>
          <w:lang w:bidi="he-IL"/>
        </w:rPr>
        <w:t xml:space="preserve"> donc</w:t>
      </w:r>
      <w:r w:rsidRPr="00B62C50">
        <w:rPr>
          <w:sz w:val="22"/>
          <w:szCs w:val="22"/>
          <w:lang w:bidi="he-IL"/>
        </w:rPr>
        <w:t xml:space="preserve"> vers les </w:t>
      </w:r>
      <w:r w:rsidR="003E0F20" w:rsidRPr="00B62C50">
        <w:rPr>
          <w:sz w:val="22"/>
          <w:szCs w:val="22"/>
          <w:lang w:bidi="he-IL"/>
        </w:rPr>
        <w:t>entreprises les</w:t>
      </w:r>
      <w:r w:rsidRPr="00B62C50">
        <w:rPr>
          <w:sz w:val="22"/>
          <w:szCs w:val="22"/>
          <w:lang w:bidi="he-IL"/>
        </w:rPr>
        <w:t xml:space="preserve"> plus </w:t>
      </w:r>
      <w:r w:rsidR="003E0F20" w:rsidRPr="00B62C50">
        <w:rPr>
          <w:sz w:val="22"/>
          <w:szCs w:val="22"/>
          <w:lang w:bidi="he-IL"/>
        </w:rPr>
        <w:t>établies. Inversement,</w:t>
      </w:r>
      <w:r w:rsidRPr="00B62C50">
        <w:rPr>
          <w:sz w:val="22"/>
          <w:szCs w:val="22"/>
          <w:lang w:bidi="he-IL"/>
        </w:rPr>
        <w:t xml:space="preserve"> l</w:t>
      </w:r>
      <w:r w:rsidR="00FF3772" w:rsidRPr="00B62C50">
        <w:rPr>
          <w:sz w:val="22"/>
          <w:szCs w:val="22"/>
          <w:lang w:bidi="he-IL"/>
        </w:rPr>
        <w:t>e financement des entreprises en phase d’amorçage est assuré aux deux tiers par des capitaux israéliens</w:t>
      </w:r>
      <w:r w:rsidR="008F3E6C" w:rsidRPr="00B62C50">
        <w:rPr>
          <w:sz w:val="22"/>
          <w:szCs w:val="22"/>
          <w:lang w:bidi="he-IL"/>
        </w:rPr>
        <w:t xml:space="preserve"> [</w:t>
      </w:r>
      <w:r w:rsidR="00FE0935" w:rsidRPr="00B62C50">
        <w:rPr>
          <w:sz w:val="22"/>
          <w:szCs w:val="22"/>
          <w:lang w:bidi="he-IL"/>
        </w:rPr>
        <w:t>Graphique 2</w:t>
      </w:r>
      <w:r w:rsidR="008F3E6C" w:rsidRPr="00B62C50">
        <w:rPr>
          <w:sz w:val="22"/>
          <w:szCs w:val="22"/>
          <w:lang w:bidi="he-IL"/>
        </w:rPr>
        <w:t>]</w:t>
      </w:r>
      <w:r w:rsidR="00FE0935" w:rsidRPr="00B62C50">
        <w:rPr>
          <w:sz w:val="22"/>
          <w:szCs w:val="22"/>
          <w:lang w:bidi="he-IL"/>
        </w:rPr>
        <w:t>.</w:t>
      </w:r>
    </w:p>
    <w:p w14:paraId="05151441" w14:textId="63962309" w:rsidR="00A95977" w:rsidRPr="00B62C50" w:rsidRDefault="001023D8" w:rsidP="00935FA0">
      <w:pPr>
        <w:spacing w:before="240"/>
        <w:jc w:val="both"/>
        <w:rPr>
          <w:sz w:val="22"/>
          <w:szCs w:val="22"/>
          <w:lang w:bidi="he-IL"/>
        </w:rPr>
      </w:pPr>
      <w:r w:rsidRPr="00B62C50">
        <w:rPr>
          <w:sz w:val="22"/>
          <w:szCs w:val="22"/>
          <w:lang w:bidi="he-IL"/>
        </w:rPr>
        <w:t>Du point de vue sectoriel, e</w:t>
      </w:r>
      <w:r w:rsidR="0074515E" w:rsidRPr="00B62C50">
        <w:rPr>
          <w:sz w:val="22"/>
          <w:szCs w:val="22"/>
          <w:lang w:bidi="he-IL"/>
        </w:rPr>
        <w:t xml:space="preserve">n 2021, </w:t>
      </w:r>
      <w:r w:rsidR="0074515E" w:rsidRPr="00B62C50">
        <w:rPr>
          <w:b/>
          <w:bCs/>
          <w:sz w:val="22"/>
          <w:szCs w:val="22"/>
          <w:lang w:bidi="he-IL"/>
        </w:rPr>
        <w:t>la cybersécurité</w:t>
      </w:r>
      <w:r w:rsidR="00A95977" w:rsidRPr="00B62C50">
        <w:rPr>
          <w:sz w:val="22"/>
          <w:szCs w:val="22"/>
          <w:lang w:bidi="he-IL"/>
        </w:rPr>
        <w:t xml:space="preserve"> (26% des levées de fonds)</w:t>
      </w:r>
      <w:r w:rsidR="0074515E" w:rsidRPr="00B62C50">
        <w:rPr>
          <w:sz w:val="22"/>
          <w:szCs w:val="22"/>
          <w:lang w:bidi="he-IL"/>
        </w:rPr>
        <w:t xml:space="preserve"> et </w:t>
      </w:r>
      <w:r w:rsidRPr="00B62C50">
        <w:rPr>
          <w:sz w:val="22"/>
          <w:szCs w:val="22"/>
          <w:lang w:bidi="he-IL"/>
        </w:rPr>
        <w:t>l</w:t>
      </w:r>
      <w:r w:rsidR="0074515E" w:rsidRPr="00B62C50">
        <w:rPr>
          <w:sz w:val="22"/>
          <w:szCs w:val="22"/>
          <w:lang w:bidi="he-IL"/>
        </w:rPr>
        <w:t xml:space="preserve">es </w:t>
      </w:r>
      <w:r w:rsidR="0074515E" w:rsidRPr="00B62C50">
        <w:rPr>
          <w:b/>
          <w:bCs/>
          <w:sz w:val="22"/>
          <w:szCs w:val="22"/>
          <w:lang w:bidi="he-IL"/>
        </w:rPr>
        <w:t>technologies financières</w:t>
      </w:r>
      <w:r w:rsidR="00A95977" w:rsidRPr="00B62C50">
        <w:rPr>
          <w:sz w:val="22"/>
          <w:szCs w:val="22"/>
          <w:lang w:bidi="he-IL"/>
        </w:rPr>
        <w:t xml:space="preserve"> (26%</w:t>
      </w:r>
      <w:r w:rsidR="00E62E8A">
        <w:rPr>
          <w:sz w:val="22"/>
          <w:szCs w:val="22"/>
          <w:lang w:bidi="he-IL"/>
        </w:rPr>
        <w:t xml:space="preserve"> aussi</w:t>
      </w:r>
      <w:r w:rsidR="00A95977" w:rsidRPr="00B62C50">
        <w:rPr>
          <w:sz w:val="22"/>
          <w:szCs w:val="22"/>
          <w:lang w:bidi="he-IL"/>
        </w:rPr>
        <w:t>)</w:t>
      </w:r>
      <w:r w:rsidR="0074515E" w:rsidRPr="00B62C50">
        <w:rPr>
          <w:sz w:val="22"/>
          <w:szCs w:val="22"/>
          <w:lang w:bidi="he-IL"/>
        </w:rPr>
        <w:t xml:space="preserve"> dominent la tech israélienne</w:t>
      </w:r>
      <w:r w:rsidR="00A62A85" w:rsidRPr="00B62C50">
        <w:rPr>
          <w:sz w:val="22"/>
          <w:szCs w:val="22"/>
          <w:lang w:bidi="he-IL"/>
        </w:rPr>
        <w:t xml:space="preserve"> [Graphique </w:t>
      </w:r>
      <w:r w:rsidR="00FE0935" w:rsidRPr="00B62C50">
        <w:rPr>
          <w:sz w:val="22"/>
          <w:szCs w:val="22"/>
          <w:lang w:bidi="he-IL"/>
        </w:rPr>
        <w:t>3</w:t>
      </w:r>
      <w:r w:rsidR="00A62A85" w:rsidRPr="00B62C50">
        <w:rPr>
          <w:sz w:val="22"/>
          <w:szCs w:val="22"/>
          <w:lang w:bidi="he-IL"/>
        </w:rPr>
        <w:t>]</w:t>
      </w:r>
      <w:r w:rsidR="0074515E" w:rsidRPr="00B62C50">
        <w:rPr>
          <w:sz w:val="22"/>
          <w:szCs w:val="22"/>
          <w:lang w:bidi="he-IL"/>
        </w:rPr>
        <w:t xml:space="preserve">. 23 financements </w:t>
      </w:r>
      <w:r w:rsidRPr="00B62C50">
        <w:rPr>
          <w:sz w:val="22"/>
          <w:szCs w:val="22"/>
          <w:lang w:bidi="he-IL"/>
        </w:rPr>
        <w:t xml:space="preserve">dans la </w:t>
      </w:r>
      <w:r w:rsidR="0074515E" w:rsidRPr="00B62C50">
        <w:rPr>
          <w:sz w:val="22"/>
          <w:szCs w:val="22"/>
          <w:lang w:bidi="he-IL"/>
        </w:rPr>
        <w:t xml:space="preserve">cybersécurité et 21 opérations </w:t>
      </w:r>
      <w:r w:rsidRPr="00B62C50">
        <w:rPr>
          <w:sz w:val="22"/>
          <w:szCs w:val="22"/>
          <w:lang w:bidi="he-IL"/>
        </w:rPr>
        <w:t>dans les « </w:t>
      </w:r>
      <w:r w:rsidR="0074515E" w:rsidRPr="00B62C50">
        <w:rPr>
          <w:sz w:val="22"/>
          <w:szCs w:val="22"/>
          <w:lang w:bidi="he-IL"/>
        </w:rPr>
        <w:t>fintech</w:t>
      </w:r>
      <w:r w:rsidRPr="00B62C50">
        <w:rPr>
          <w:sz w:val="22"/>
          <w:szCs w:val="22"/>
          <w:lang w:bidi="he-IL"/>
        </w:rPr>
        <w:t> »</w:t>
      </w:r>
      <w:r w:rsidR="0074515E" w:rsidRPr="00B62C50">
        <w:rPr>
          <w:sz w:val="22"/>
          <w:szCs w:val="22"/>
          <w:lang w:bidi="he-IL"/>
        </w:rPr>
        <w:t xml:space="preserve"> ont attiré plus de 100 </w:t>
      </w:r>
      <w:r w:rsidR="00923139" w:rsidRPr="00B62C50">
        <w:rPr>
          <w:sz w:val="22"/>
          <w:szCs w:val="22"/>
          <w:lang w:bidi="he-IL"/>
        </w:rPr>
        <w:t>M USD</w:t>
      </w:r>
      <w:r w:rsidR="0074515E" w:rsidRPr="00B62C50">
        <w:rPr>
          <w:sz w:val="22"/>
          <w:szCs w:val="22"/>
          <w:lang w:bidi="he-IL"/>
        </w:rPr>
        <w:t xml:space="preserve"> chacun</w:t>
      </w:r>
      <w:r w:rsidRPr="00B62C50">
        <w:rPr>
          <w:sz w:val="22"/>
          <w:szCs w:val="22"/>
          <w:lang w:bidi="he-IL"/>
        </w:rPr>
        <w:t xml:space="preserve"> ; ces « méga deals » </w:t>
      </w:r>
      <w:r w:rsidR="00E62E8A">
        <w:rPr>
          <w:sz w:val="22"/>
          <w:szCs w:val="22"/>
          <w:lang w:bidi="he-IL"/>
        </w:rPr>
        <w:t>représentent</w:t>
      </w:r>
      <w:r w:rsidRPr="00B62C50">
        <w:rPr>
          <w:sz w:val="22"/>
          <w:szCs w:val="22"/>
          <w:lang w:bidi="he-IL"/>
        </w:rPr>
        <w:t xml:space="preserve"> </w:t>
      </w:r>
      <w:r w:rsidR="00502D0D" w:rsidRPr="00B62C50">
        <w:rPr>
          <w:sz w:val="22"/>
          <w:szCs w:val="22"/>
          <w:lang w:bidi="he-IL"/>
        </w:rPr>
        <w:t>ensemble</w:t>
      </w:r>
      <w:r w:rsidRPr="00B62C50">
        <w:rPr>
          <w:sz w:val="22"/>
          <w:szCs w:val="22"/>
          <w:lang w:bidi="he-IL"/>
        </w:rPr>
        <w:t xml:space="preserve"> environ les deux tiers des investissements</w:t>
      </w:r>
      <w:r w:rsidR="00923139" w:rsidRPr="00B62C50">
        <w:rPr>
          <w:sz w:val="22"/>
          <w:szCs w:val="22"/>
          <w:lang w:bidi="he-IL"/>
        </w:rPr>
        <w:t>.</w:t>
      </w:r>
      <w:r w:rsidR="00C87448" w:rsidRPr="00B62C50">
        <w:rPr>
          <w:sz w:val="22"/>
          <w:szCs w:val="22"/>
          <w:lang w:bidi="he-IL"/>
        </w:rPr>
        <w:t xml:space="preserve"> Les secteurs de l’</w:t>
      </w:r>
      <w:r w:rsidR="00C87448" w:rsidRPr="00B62C50">
        <w:rPr>
          <w:b/>
          <w:bCs/>
          <w:sz w:val="22"/>
          <w:szCs w:val="22"/>
          <w:lang w:bidi="he-IL"/>
        </w:rPr>
        <w:t>IoT</w:t>
      </w:r>
      <w:r w:rsidR="00C87448" w:rsidRPr="00B62C50">
        <w:rPr>
          <w:sz w:val="22"/>
          <w:szCs w:val="22"/>
          <w:lang w:bidi="he-IL"/>
        </w:rPr>
        <w:t xml:space="preserve"> et la </w:t>
      </w:r>
      <w:proofErr w:type="spellStart"/>
      <w:r w:rsidR="00502D0D" w:rsidRPr="00B62C50">
        <w:rPr>
          <w:b/>
          <w:bCs/>
          <w:sz w:val="22"/>
          <w:szCs w:val="22"/>
          <w:lang w:bidi="he-IL"/>
        </w:rPr>
        <w:t>F</w:t>
      </w:r>
      <w:r w:rsidR="00C87448" w:rsidRPr="00B62C50">
        <w:rPr>
          <w:b/>
          <w:bCs/>
          <w:sz w:val="22"/>
          <w:szCs w:val="22"/>
          <w:lang w:bidi="he-IL"/>
        </w:rPr>
        <w:t>ood</w:t>
      </w:r>
      <w:r w:rsidR="00502D0D" w:rsidRPr="00B62C50">
        <w:rPr>
          <w:b/>
          <w:bCs/>
          <w:sz w:val="22"/>
          <w:szCs w:val="22"/>
          <w:lang w:bidi="he-IL"/>
        </w:rPr>
        <w:t>T</w:t>
      </w:r>
      <w:r w:rsidR="00C87448" w:rsidRPr="00B62C50">
        <w:rPr>
          <w:b/>
          <w:bCs/>
          <w:sz w:val="22"/>
          <w:szCs w:val="22"/>
          <w:lang w:bidi="he-IL"/>
        </w:rPr>
        <w:t>ech</w:t>
      </w:r>
      <w:proofErr w:type="spellEnd"/>
      <w:r w:rsidR="00E62E8A">
        <w:rPr>
          <w:sz w:val="22"/>
          <w:szCs w:val="22"/>
          <w:lang w:bidi="he-IL"/>
        </w:rPr>
        <w:t xml:space="preserve">, </w:t>
      </w:r>
      <w:r w:rsidR="00E62E8A" w:rsidRPr="00B62C50">
        <w:rPr>
          <w:sz w:val="22"/>
          <w:szCs w:val="22"/>
          <w:lang w:bidi="he-IL"/>
        </w:rPr>
        <w:t>en pleine croissance</w:t>
      </w:r>
      <w:r w:rsidR="00E62E8A">
        <w:rPr>
          <w:sz w:val="22"/>
          <w:szCs w:val="22"/>
          <w:lang w:bidi="he-IL"/>
        </w:rPr>
        <w:t>,</w:t>
      </w:r>
      <w:r w:rsidR="00E62E8A" w:rsidRPr="00B62C50">
        <w:rPr>
          <w:sz w:val="22"/>
          <w:szCs w:val="22"/>
          <w:lang w:bidi="he-IL"/>
        </w:rPr>
        <w:t xml:space="preserve"> </w:t>
      </w:r>
      <w:r w:rsidR="00C87448" w:rsidRPr="00B62C50">
        <w:rPr>
          <w:sz w:val="22"/>
          <w:szCs w:val="22"/>
          <w:lang w:bidi="he-IL"/>
        </w:rPr>
        <w:t xml:space="preserve">sont également très </w:t>
      </w:r>
      <w:r w:rsidR="00502D0D" w:rsidRPr="00B62C50">
        <w:rPr>
          <w:sz w:val="22"/>
          <w:szCs w:val="22"/>
          <w:lang w:bidi="he-IL"/>
        </w:rPr>
        <w:t>présents</w:t>
      </w:r>
      <w:r w:rsidR="00C87448" w:rsidRPr="00B62C50">
        <w:rPr>
          <w:sz w:val="22"/>
          <w:szCs w:val="22"/>
          <w:lang w:bidi="he-IL"/>
        </w:rPr>
        <w:t xml:space="preserve"> dans les investissements</w:t>
      </w:r>
      <w:r w:rsidR="00FE0935" w:rsidRPr="00B62C50">
        <w:rPr>
          <w:sz w:val="22"/>
          <w:szCs w:val="22"/>
          <w:lang w:bidi="he-IL"/>
        </w:rPr>
        <w:t>.</w:t>
      </w:r>
    </w:p>
    <w:p w14:paraId="69F466CF" w14:textId="77777777" w:rsidR="00C33DDF" w:rsidRPr="00B62C50" w:rsidRDefault="00C33DDF" w:rsidP="00C33DDF">
      <w:pPr>
        <w:jc w:val="both"/>
        <w:rPr>
          <w:sz w:val="22"/>
          <w:szCs w:val="22"/>
          <w:lang w:bidi="he-IL"/>
        </w:rPr>
      </w:pPr>
    </w:p>
    <w:p w14:paraId="31E9E699" w14:textId="31C1427D" w:rsidR="006B3E51" w:rsidRDefault="00312982" w:rsidP="006B3E51">
      <w:pPr>
        <w:rPr>
          <w:sz w:val="22"/>
          <w:szCs w:val="22"/>
          <w:lang w:bidi="he-IL"/>
        </w:rPr>
      </w:pPr>
      <w:r w:rsidRPr="00B62C50">
        <w:rPr>
          <w:rFonts w:ascii="Segoe UI" w:hAnsi="Segoe UI" w:cs="Segoe UI"/>
          <w:noProof/>
          <w:sz w:val="22"/>
          <w:szCs w:val="22"/>
          <w:lang w:eastAsia="fr-FR"/>
        </w:rPr>
        <mc:AlternateContent>
          <mc:Choice Requires="wps">
            <w:drawing>
              <wp:inline distT="0" distB="0" distL="0" distR="0" wp14:anchorId="3D4A5026" wp14:editId="6FD5853D">
                <wp:extent cx="5756910" cy="533400"/>
                <wp:effectExtent l="0" t="0" r="0" b="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533400"/>
                        </a:xfrm>
                        <a:prstGeom prst="rect">
                          <a:avLst/>
                        </a:prstGeom>
                        <a:solidFill>
                          <a:srgbClr val="006CE5"/>
                        </a:solidFill>
                        <a:ln w="9525">
                          <a:noFill/>
                          <a:miter lim="800000"/>
                          <a:headEnd/>
                          <a:tailEnd/>
                        </a:ln>
                      </wps:spPr>
                      <wps:txbx>
                        <w:txbxContent>
                          <w:p w14:paraId="561043ED" w14:textId="1F129A13" w:rsidR="00312982" w:rsidRPr="004F3FAB" w:rsidRDefault="00312982" w:rsidP="00312982">
                            <w:pPr>
                              <w:jc w:val="both"/>
                              <w:rPr>
                                <w:rFonts w:ascii="Segoe UI" w:hAnsi="Segoe UI" w:cs="Segoe UI"/>
                                <w:b/>
                                <w:bCs/>
                                <w:color w:val="FFFFFF" w:themeColor="background1"/>
                              </w:rPr>
                            </w:pPr>
                            <w:r>
                              <w:rPr>
                                <w:rFonts w:ascii="Segoe UI" w:hAnsi="Segoe UI" w:cs="Segoe UI"/>
                                <w:b/>
                                <w:bCs/>
                                <w:color w:val="FFFFFF" w:themeColor="background1"/>
                              </w:rPr>
                              <w:t xml:space="preserve">2. </w:t>
                            </w:r>
                            <w:r w:rsidR="00A95977" w:rsidRPr="00F14997">
                              <w:rPr>
                                <w:rFonts w:ascii="Segoe UI" w:hAnsi="Segoe UI" w:cs="Segoe UI"/>
                                <w:b/>
                                <w:bCs/>
                                <w:i/>
                                <w:iCs/>
                                <w:color w:val="FFFFFF" w:themeColor="background1"/>
                              </w:rPr>
                              <w:t>Exits</w:t>
                            </w:r>
                            <w:r w:rsidR="00442B24">
                              <w:rPr>
                                <w:rFonts w:ascii="Segoe UI" w:hAnsi="Segoe UI" w:cs="Segoe UI"/>
                                <w:b/>
                                <w:bCs/>
                                <w:color w:val="FFFFFF" w:themeColor="background1"/>
                              </w:rPr>
                              <w:t xml:space="preserve"> : </w:t>
                            </w:r>
                            <w:r w:rsidR="00A361CB">
                              <w:rPr>
                                <w:rFonts w:ascii="Segoe UI" w:hAnsi="Segoe UI" w:cs="Segoe UI"/>
                                <w:b/>
                                <w:bCs/>
                                <w:color w:val="FFFFFF" w:themeColor="background1"/>
                              </w:rPr>
                              <w:t>augmentation du nombre d’</w:t>
                            </w:r>
                            <w:r w:rsidR="0017786A">
                              <w:rPr>
                                <w:rFonts w:ascii="Segoe UI" w:hAnsi="Segoe UI" w:cs="Segoe UI"/>
                                <w:b/>
                                <w:bCs/>
                                <w:color w:val="FFFFFF" w:themeColor="background1"/>
                              </w:rPr>
                              <w:t>introductions en bourse</w:t>
                            </w:r>
                            <w:r w:rsidR="00A361CB">
                              <w:rPr>
                                <w:rFonts w:ascii="Segoe UI" w:hAnsi="Segoe UI" w:cs="Segoe UI"/>
                                <w:b/>
                                <w:bCs/>
                                <w:color w:val="FFFFFF" w:themeColor="background1"/>
                              </w:rPr>
                              <w:t xml:space="preserve"> comparé au nombre de </w:t>
                            </w:r>
                            <w:r w:rsidR="0017786A">
                              <w:rPr>
                                <w:rFonts w:ascii="Segoe UI" w:hAnsi="Segoe UI" w:cs="Segoe UI"/>
                                <w:b/>
                                <w:bCs/>
                                <w:color w:val="FFFFFF" w:themeColor="background1"/>
                              </w:rPr>
                              <w:t>fusions et acquisitions</w:t>
                            </w:r>
                          </w:p>
                        </w:txbxContent>
                      </wps:txbx>
                      <wps:bodyPr rot="0" vert="horz" wrap="square" lIns="91440" tIns="45720" rIns="91440" bIns="45720" anchor="ctr" anchorCtr="0">
                        <a:noAutofit/>
                      </wps:bodyPr>
                    </wps:wsp>
                  </a:graphicData>
                </a:graphic>
              </wp:inline>
            </w:drawing>
          </mc:Choice>
          <mc:Fallback>
            <w:pict>
              <v:shape w14:anchorId="3D4A5026" id="Zone de texte 2" o:spid="_x0000_s1031" type="#_x0000_t202" style="width:453.3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" fillcolor="#006ce5" stroked="f">
                <v:textbox>
                  <w:txbxContent>
                    <w:p w14:paraId="561043ED" w14:textId="1F129A13" w:rsidR="00312982" w:rsidRPr="004F3FAB" w:rsidRDefault="00312982" w:rsidP="00312982">
                      <w:pPr>
                        <w:jc w:val="both"/>
                        <w:rPr>
                          <w:rFonts w:ascii="Segoe UI" w:hAnsi="Segoe UI" w:cs="Segoe UI"/>
                          <w:b/>
                          <w:bCs/>
                          <w:color w:val="FFFFFF" w:themeColor="background1"/>
                        </w:rPr>
                      </w:pPr>
                      <w:r>
                        <w:rPr>
                          <w:rFonts w:ascii="Segoe UI" w:hAnsi="Segoe UI" w:cs="Segoe UI"/>
                          <w:b/>
                          <w:bCs/>
                          <w:color w:val="FFFFFF" w:themeColor="background1"/>
                        </w:rPr>
                        <w:t xml:space="preserve">2. </w:t>
                      </w:r>
                      <w:r w:rsidR="00A95977" w:rsidRPr="00F14997">
                        <w:rPr>
                          <w:rFonts w:ascii="Segoe UI" w:hAnsi="Segoe UI" w:cs="Segoe UI"/>
                          <w:b/>
                          <w:bCs/>
                          <w:i/>
                          <w:iCs/>
                          <w:color w:val="FFFFFF" w:themeColor="background1"/>
                        </w:rPr>
                        <w:t>Exits</w:t>
                      </w:r>
                      <w:r w:rsidR="00442B24">
                        <w:rPr>
                          <w:rFonts w:ascii="Segoe UI" w:hAnsi="Segoe UI" w:cs="Segoe UI"/>
                          <w:b/>
                          <w:bCs/>
                          <w:color w:val="FFFFFF" w:themeColor="background1"/>
                        </w:rPr>
                        <w:t xml:space="preserve"> : </w:t>
                      </w:r>
                      <w:r w:rsidR="00A361CB">
                        <w:rPr>
                          <w:rFonts w:ascii="Segoe UI" w:hAnsi="Segoe UI" w:cs="Segoe UI"/>
                          <w:b/>
                          <w:bCs/>
                          <w:color w:val="FFFFFF" w:themeColor="background1"/>
                        </w:rPr>
                        <w:t>augmentation du nombre d’</w:t>
                      </w:r>
                      <w:r w:rsidR="0017786A">
                        <w:rPr>
                          <w:rFonts w:ascii="Segoe UI" w:hAnsi="Segoe UI" w:cs="Segoe UI"/>
                          <w:b/>
                          <w:bCs/>
                          <w:color w:val="FFFFFF" w:themeColor="background1"/>
                        </w:rPr>
                        <w:t>introductions en bourse</w:t>
                      </w:r>
                      <w:r w:rsidR="00A361CB">
                        <w:rPr>
                          <w:rFonts w:ascii="Segoe UI" w:hAnsi="Segoe UI" w:cs="Segoe UI"/>
                          <w:b/>
                          <w:bCs/>
                          <w:color w:val="FFFFFF" w:themeColor="background1"/>
                        </w:rPr>
                        <w:t xml:space="preserve"> comparé au nombre de </w:t>
                      </w:r>
                      <w:r w:rsidR="0017786A">
                        <w:rPr>
                          <w:rFonts w:ascii="Segoe UI" w:hAnsi="Segoe UI" w:cs="Segoe UI"/>
                          <w:b/>
                          <w:bCs/>
                          <w:color w:val="FFFFFF" w:themeColor="background1"/>
                        </w:rPr>
                        <w:t>fusions et acquisitions</w:t>
                      </w:r>
                    </w:p>
                  </w:txbxContent>
                </v:textbox>
                <w10:anchorlock/>
              </v:shape>
            </w:pict>
          </mc:Fallback>
        </mc:AlternateContent>
      </w:r>
    </w:p>
    <w:p w14:paraId="5E208309" w14:textId="77777777" w:rsidR="00B62C50" w:rsidRPr="00B62C50" w:rsidRDefault="00B62C50" w:rsidP="006B3E51">
      <w:pPr>
        <w:rPr>
          <w:sz w:val="16"/>
          <w:szCs w:val="16"/>
          <w:lang w:bidi="he-IL"/>
        </w:rPr>
      </w:pPr>
    </w:p>
    <w:p w14:paraId="04760BC3" w14:textId="0A278AB2" w:rsidR="00714DA3" w:rsidRPr="00D3573C" w:rsidRDefault="007301E7" w:rsidP="00935FA0">
      <w:pPr>
        <w:spacing w:after="240"/>
        <w:jc w:val="both"/>
        <w:rPr>
          <w:sz w:val="22"/>
          <w:szCs w:val="22"/>
          <w:lang w:bidi="he-IL"/>
        </w:rPr>
      </w:pPr>
      <w:r>
        <w:rPr>
          <w:b/>
          <w:bCs/>
          <w:sz w:val="22"/>
          <w:szCs w:val="22"/>
          <w:lang w:bidi="he-IL"/>
        </w:rPr>
        <w:t xml:space="preserve">Durant </w:t>
      </w:r>
      <w:r w:rsidR="0069345D" w:rsidRPr="00B62C50">
        <w:rPr>
          <w:b/>
          <w:bCs/>
          <w:sz w:val="22"/>
          <w:szCs w:val="22"/>
          <w:lang w:bidi="he-IL"/>
        </w:rPr>
        <w:t>l’année 2021, l</w:t>
      </w:r>
      <w:r w:rsidR="00A95977" w:rsidRPr="00B62C50">
        <w:rPr>
          <w:b/>
          <w:bCs/>
          <w:sz w:val="22"/>
          <w:szCs w:val="22"/>
          <w:lang w:bidi="he-IL"/>
        </w:rPr>
        <w:t xml:space="preserve">es </w:t>
      </w:r>
      <w:r w:rsidR="006A38A3" w:rsidRPr="00B62C50">
        <w:rPr>
          <w:b/>
          <w:bCs/>
          <w:sz w:val="22"/>
          <w:szCs w:val="22"/>
          <w:lang w:bidi="he-IL"/>
        </w:rPr>
        <w:t>« </w:t>
      </w:r>
      <w:r w:rsidR="00A95977" w:rsidRPr="00F14997">
        <w:rPr>
          <w:b/>
          <w:bCs/>
          <w:i/>
          <w:iCs/>
          <w:sz w:val="22"/>
          <w:szCs w:val="22"/>
          <w:lang w:bidi="he-IL"/>
        </w:rPr>
        <w:t>exits</w:t>
      </w:r>
      <w:r w:rsidR="006A38A3" w:rsidRPr="00B62C50">
        <w:rPr>
          <w:b/>
          <w:bCs/>
          <w:sz w:val="22"/>
          <w:szCs w:val="22"/>
          <w:lang w:bidi="he-IL"/>
        </w:rPr>
        <w:t xml:space="preserve"> », c’est-à-dire les </w:t>
      </w:r>
      <w:r w:rsidR="00390CB9" w:rsidRPr="00B62C50">
        <w:rPr>
          <w:b/>
          <w:bCs/>
          <w:sz w:val="22"/>
          <w:szCs w:val="22"/>
          <w:lang w:bidi="he-IL"/>
        </w:rPr>
        <w:t>cession</w:t>
      </w:r>
      <w:r w:rsidR="006A38A3" w:rsidRPr="00B62C50">
        <w:rPr>
          <w:b/>
          <w:bCs/>
          <w:sz w:val="22"/>
          <w:szCs w:val="22"/>
          <w:lang w:bidi="he-IL"/>
        </w:rPr>
        <w:t>s d’entreprises par leurs fondateurs,</w:t>
      </w:r>
      <w:r w:rsidR="00A95977" w:rsidRPr="00B62C50">
        <w:rPr>
          <w:b/>
          <w:bCs/>
          <w:sz w:val="22"/>
          <w:szCs w:val="22"/>
          <w:lang w:bidi="he-IL"/>
        </w:rPr>
        <w:t xml:space="preserve"> </w:t>
      </w:r>
      <w:r w:rsidR="0069345D" w:rsidRPr="00B62C50">
        <w:rPr>
          <w:b/>
          <w:bCs/>
          <w:sz w:val="22"/>
          <w:szCs w:val="22"/>
          <w:lang w:bidi="he-IL"/>
        </w:rPr>
        <w:t>ont porté sur</w:t>
      </w:r>
      <w:r w:rsidR="00390CB9" w:rsidRPr="00B62C50">
        <w:rPr>
          <w:b/>
          <w:bCs/>
          <w:sz w:val="22"/>
          <w:szCs w:val="22"/>
          <w:lang w:bidi="he-IL"/>
        </w:rPr>
        <w:t xml:space="preserve"> 238 opérations </w:t>
      </w:r>
      <w:r>
        <w:rPr>
          <w:b/>
          <w:bCs/>
          <w:sz w:val="22"/>
          <w:szCs w:val="22"/>
          <w:lang w:bidi="he-IL"/>
        </w:rPr>
        <w:t xml:space="preserve">totalisant </w:t>
      </w:r>
      <w:r w:rsidR="00390CB9" w:rsidRPr="00B62C50">
        <w:rPr>
          <w:b/>
          <w:bCs/>
          <w:sz w:val="22"/>
          <w:szCs w:val="22"/>
          <w:lang w:bidi="he-IL"/>
        </w:rPr>
        <w:t>22,2 milliards USD</w:t>
      </w:r>
      <w:r w:rsidR="0069345D" w:rsidRPr="00B62C50">
        <w:rPr>
          <w:sz w:val="22"/>
          <w:szCs w:val="22"/>
          <w:lang w:bidi="he-IL"/>
        </w:rPr>
        <w:t>. C’est une augmentation de</w:t>
      </w:r>
      <w:r w:rsidR="00A95977" w:rsidRPr="00B62C50">
        <w:rPr>
          <w:sz w:val="22"/>
          <w:szCs w:val="22"/>
          <w:lang w:bidi="he-IL"/>
        </w:rPr>
        <w:t xml:space="preserve"> 225% </w:t>
      </w:r>
      <w:r w:rsidR="006A38A3" w:rsidRPr="00B62C50">
        <w:rPr>
          <w:sz w:val="22"/>
          <w:szCs w:val="22"/>
          <w:lang w:bidi="he-IL"/>
        </w:rPr>
        <w:t xml:space="preserve">par rapport </w:t>
      </w:r>
      <w:r w:rsidR="00F14997">
        <w:rPr>
          <w:sz w:val="22"/>
          <w:szCs w:val="22"/>
          <w:lang w:bidi="he-IL"/>
        </w:rPr>
        <w:t xml:space="preserve">à </w:t>
      </w:r>
      <w:r w:rsidR="00A95977" w:rsidRPr="00B62C50">
        <w:rPr>
          <w:sz w:val="22"/>
          <w:szCs w:val="22"/>
          <w:lang w:bidi="he-IL"/>
        </w:rPr>
        <w:t>2020</w:t>
      </w:r>
      <w:r w:rsidR="00543060" w:rsidRPr="00B62C50">
        <w:rPr>
          <w:sz w:val="22"/>
          <w:szCs w:val="22"/>
          <w:lang w:bidi="he-IL"/>
        </w:rPr>
        <w:t xml:space="preserve"> [Graphique </w:t>
      </w:r>
      <w:r w:rsidR="00FE0935" w:rsidRPr="00B62C50">
        <w:rPr>
          <w:sz w:val="22"/>
          <w:szCs w:val="22"/>
          <w:lang w:bidi="he-IL"/>
        </w:rPr>
        <w:t>4</w:t>
      </w:r>
      <w:r w:rsidR="00543060" w:rsidRPr="00B62C50">
        <w:rPr>
          <w:sz w:val="22"/>
          <w:szCs w:val="22"/>
          <w:lang w:bidi="he-IL"/>
        </w:rPr>
        <w:t>]</w:t>
      </w:r>
      <w:r w:rsidR="00A95977" w:rsidRPr="00B62C50">
        <w:rPr>
          <w:sz w:val="22"/>
          <w:szCs w:val="22"/>
          <w:lang w:bidi="he-IL"/>
        </w:rPr>
        <w:t>.</w:t>
      </w:r>
      <w:r w:rsidR="00CC54A4" w:rsidRPr="00B62C50">
        <w:rPr>
          <w:sz w:val="22"/>
          <w:szCs w:val="22"/>
          <w:lang w:bidi="he-IL"/>
        </w:rPr>
        <w:t xml:space="preserve"> </w:t>
      </w:r>
      <w:r w:rsidR="0069345D" w:rsidRPr="00B62C50">
        <w:rPr>
          <w:b/>
          <w:bCs/>
          <w:sz w:val="22"/>
          <w:szCs w:val="22"/>
          <w:lang w:bidi="he-IL"/>
        </w:rPr>
        <w:t>C</w:t>
      </w:r>
      <w:r w:rsidR="001E7612" w:rsidRPr="00B62C50">
        <w:rPr>
          <w:b/>
          <w:bCs/>
          <w:sz w:val="22"/>
          <w:szCs w:val="22"/>
          <w:lang w:bidi="he-IL"/>
        </w:rPr>
        <w:t xml:space="preserve">es </w:t>
      </w:r>
      <w:r w:rsidR="00390CB9" w:rsidRPr="00F14997">
        <w:rPr>
          <w:b/>
          <w:bCs/>
          <w:i/>
          <w:iCs/>
          <w:sz w:val="22"/>
          <w:szCs w:val="22"/>
          <w:lang w:bidi="he-IL"/>
        </w:rPr>
        <w:t xml:space="preserve">exits </w:t>
      </w:r>
      <w:r w:rsidR="00390CB9" w:rsidRPr="00B62C50">
        <w:rPr>
          <w:b/>
          <w:bCs/>
          <w:sz w:val="22"/>
          <w:szCs w:val="22"/>
          <w:lang w:bidi="he-IL"/>
        </w:rPr>
        <w:t xml:space="preserve">se font presque pour moitié par des </w:t>
      </w:r>
      <w:r w:rsidR="001E7612" w:rsidRPr="00B62C50">
        <w:rPr>
          <w:b/>
          <w:bCs/>
          <w:sz w:val="22"/>
          <w:szCs w:val="22"/>
          <w:lang w:bidi="he-IL"/>
        </w:rPr>
        <w:t>introductions en bourse (IPO)</w:t>
      </w:r>
      <w:r w:rsidR="0069345D" w:rsidRPr="00B62C50">
        <w:rPr>
          <w:sz w:val="22"/>
          <w:szCs w:val="22"/>
          <w:lang w:bidi="he-IL"/>
        </w:rPr>
        <w:t>,</w:t>
      </w:r>
      <w:r w:rsidR="00390CB9" w:rsidRPr="00B62C50">
        <w:rPr>
          <w:sz w:val="22"/>
          <w:szCs w:val="22"/>
          <w:lang w:bidi="he-IL"/>
        </w:rPr>
        <w:t xml:space="preserve"> </w:t>
      </w:r>
      <w:r w:rsidR="001E7612" w:rsidRPr="00B62C50">
        <w:rPr>
          <w:sz w:val="22"/>
          <w:szCs w:val="22"/>
          <w:lang w:bidi="he-IL"/>
        </w:rPr>
        <w:t xml:space="preserve">10 Mds USD </w:t>
      </w:r>
      <w:r w:rsidR="00390CB9" w:rsidRPr="00B62C50">
        <w:rPr>
          <w:sz w:val="22"/>
          <w:szCs w:val="22"/>
          <w:lang w:bidi="he-IL"/>
        </w:rPr>
        <w:t xml:space="preserve">et </w:t>
      </w:r>
      <w:r w:rsidR="001E7612" w:rsidRPr="00B62C50">
        <w:rPr>
          <w:sz w:val="22"/>
          <w:szCs w:val="22"/>
          <w:lang w:bidi="he-IL"/>
        </w:rPr>
        <w:t xml:space="preserve">75 </w:t>
      </w:r>
      <w:r w:rsidR="00390CB9" w:rsidRPr="00B62C50">
        <w:rPr>
          <w:sz w:val="22"/>
          <w:szCs w:val="22"/>
          <w:lang w:bidi="he-IL"/>
        </w:rPr>
        <w:t>opérations. L</w:t>
      </w:r>
      <w:r w:rsidR="001E7612" w:rsidRPr="00B62C50">
        <w:rPr>
          <w:sz w:val="22"/>
          <w:szCs w:val="22"/>
          <w:lang w:bidi="he-IL"/>
        </w:rPr>
        <w:t>es</w:t>
      </w:r>
      <w:r w:rsidR="00390CB9" w:rsidRPr="00B62C50">
        <w:rPr>
          <w:sz w:val="22"/>
          <w:szCs w:val="22"/>
          <w:lang w:bidi="he-IL"/>
        </w:rPr>
        <w:t xml:space="preserve"> 155</w:t>
      </w:r>
      <w:r w:rsidR="001E7612" w:rsidRPr="00B62C50">
        <w:rPr>
          <w:sz w:val="22"/>
          <w:szCs w:val="22"/>
          <w:lang w:bidi="he-IL"/>
        </w:rPr>
        <w:t xml:space="preserve"> </w:t>
      </w:r>
      <w:r w:rsidR="00390CB9" w:rsidRPr="00B62C50">
        <w:rPr>
          <w:sz w:val="22"/>
          <w:szCs w:val="22"/>
          <w:lang w:bidi="he-IL"/>
        </w:rPr>
        <w:t>fusions et acquisitions</w:t>
      </w:r>
      <w:r w:rsidR="00390CB9" w:rsidRPr="00D3573C">
        <w:rPr>
          <w:sz w:val="22"/>
          <w:szCs w:val="22"/>
          <w:lang w:bidi="he-IL"/>
        </w:rPr>
        <w:t xml:space="preserve"> (</w:t>
      </w:r>
      <w:r w:rsidR="001E7612" w:rsidRPr="0017786A">
        <w:rPr>
          <w:b/>
          <w:bCs/>
          <w:sz w:val="22"/>
          <w:szCs w:val="22"/>
          <w:lang w:bidi="he-IL"/>
        </w:rPr>
        <w:t>M&amp;A</w:t>
      </w:r>
      <w:r w:rsidR="00F14997">
        <w:rPr>
          <w:b/>
          <w:bCs/>
          <w:sz w:val="22"/>
          <w:szCs w:val="22"/>
          <w:lang w:bidi="he-IL"/>
        </w:rPr>
        <w:t>)</w:t>
      </w:r>
      <w:r w:rsidR="00F14997" w:rsidRPr="00F14997">
        <w:rPr>
          <w:sz w:val="22"/>
          <w:szCs w:val="22"/>
          <w:lang w:bidi="he-IL"/>
        </w:rPr>
        <w:t xml:space="preserve"> </w:t>
      </w:r>
      <w:r w:rsidR="00F14997" w:rsidRPr="00D3573C">
        <w:rPr>
          <w:sz w:val="22"/>
          <w:szCs w:val="22"/>
          <w:lang w:bidi="he-IL"/>
        </w:rPr>
        <w:t xml:space="preserve">représentaient </w:t>
      </w:r>
      <w:r w:rsidR="00F14997">
        <w:rPr>
          <w:sz w:val="22"/>
          <w:szCs w:val="22"/>
          <w:lang w:bidi="he-IL"/>
        </w:rPr>
        <w:t>quant à elles</w:t>
      </w:r>
      <w:r w:rsidR="001D1A6E">
        <w:rPr>
          <w:sz w:val="22"/>
          <w:szCs w:val="22"/>
          <w:lang w:bidi="he-IL"/>
        </w:rPr>
        <w:t>,</w:t>
      </w:r>
      <w:r w:rsidR="00F14997">
        <w:rPr>
          <w:sz w:val="22"/>
          <w:szCs w:val="22"/>
          <w:lang w:bidi="he-IL"/>
        </w:rPr>
        <w:t xml:space="preserve"> en gros</w:t>
      </w:r>
      <w:r w:rsidR="001D1A6E">
        <w:rPr>
          <w:sz w:val="22"/>
          <w:szCs w:val="22"/>
          <w:lang w:bidi="he-IL"/>
        </w:rPr>
        <w:t>,</w:t>
      </w:r>
      <w:r w:rsidR="00F14997" w:rsidRPr="00D3573C">
        <w:rPr>
          <w:sz w:val="22"/>
          <w:szCs w:val="22"/>
          <w:lang w:bidi="he-IL"/>
        </w:rPr>
        <w:t xml:space="preserve"> l’autre moitié</w:t>
      </w:r>
      <w:r w:rsidR="00390CB9" w:rsidRPr="00D3573C">
        <w:rPr>
          <w:sz w:val="22"/>
          <w:szCs w:val="22"/>
          <w:lang w:bidi="he-IL"/>
        </w:rPr>
        <w:t>, soit</w:t>
      </w:r>
      <w:r w:rsidR="001E7612" w:rsidRPr="00D3573C">
        <w:rPr>
          <w:sz w:val="22"/>
          <w:szCs w:val="22"/>
          <w:lang w:bidi="he-IL"/>
        </w:rPr>
        <w:t xml:space="preserve"> 10 Mds USD</w:t>
      </w:r>
      <w:r w:rsidR="00F14997">
        <w:rPr>
          <w:sz w:val="22"/>
          <w:szCs w:val="22"/>
          <w:lang w:bidi="he-IL"/>
        </w:rPr>
        <w:t>.</w:t>
      </w:r>
    </w:p>
    <w:p w14:paraId="49E50BD6" w14:textId="2A00861D" w:rsidR="00714DA3" w:rsidRPr="00D3573C" w:rsidRDefault="00784C16" w:rsidP="00935FA0">
      <w:pPr>
        <w:spacing w:after="240"/>
        <w:jc w:val="both"/>
        <w:rPr>
          <w:sz w:val="22"/>
          <w:szCs w:val="22"/>
          <w:lang w:bidi="he-IL"/>
        </w:rPr>
      </w:pPr>
      <w:r w:rsidRPr="00D3573C">
        <w:rPr>
          <w:b/>
          <w:bCs/>
          <w:sz w:val="22"/>
          <w:szCs w:val="22"/>
          <w:lang w:bidi="he-IL"/>
        </w:rPr>
        <w:t xml:space="preserve">Les entreprises basées aux Etats Unis sont </w:t>
      </w:r>
      <w:r w:rsidR="00956630">
        <w:rPr>
          <w:b/>
          <w:bCs/>
          <w:sz w:val="22"/>
          <w:szCs w:val="22"/>
          <w:lang w:bidi="he-IL"/>
        </w:rPr>
        <w:t xml:space="preserve">à l’origine </w:t>
      </w:r>
      <w:r w:rsidRPr="00D3573C">
        <w:rPr>
          <w:b/>
          <w:bCs/>
          <w:sz w:val="22"/>
          <w:szCs w:val="22"/>
          <w:lang w:bidi="he-IL"/>
        </w:rPr>
        <w:t xml:space="preserve">de 59% des </w:t>
      </w:r>
      <w:r w:rsidR="00F13598" w:rsidRPr="00D3573C">
        <w:rPr>
          <w:b/>
          <w:bCs/>
          <w:sz w:val="22"/>
          <w:szCs w:val="22"/>
          <w:lang w:bidi="he-IL"/>
        </w:rPr>
        <w:t xml:space="preserve">capitaux investis </w:t>
      </w:r>
      <w:r w:rsidR="00956630">
        <w:rPr>
          <w:b/>
          <w:bCs/>
          <w:sz w:val="22"/>
          <w:szCs w:val="22"/>
          <w:lang w:bidi="he-IL"/>
        </w:rPr>
        <w:t xml:space="preserve">en </w:t>
      </w:r>
      <w:r w:rsidR="00F13598" w:rsidRPr="00D3573C">
        <w:rPr>
          <w:b/>
          <w:bCs/>
          <w:sz w:val="22"/>
          <w:szCs w:val="22"/>
          <w:lang w:bidi="he-IL"/>
        </w:rPr>
        <w:t>fusions</w:t>
      </w:r>
      <w:r w:rsidR="00956630">
        <w:rPr>
          <w:b/>
          <w:bCs/>
          <w:sz w:val="22"/>
          <w:szCs w:val="22"/>
          <w:lang w:bidi="he-IL"/>
        </w:rPr>
        <w:t xml:space="preserve"> &amp;</w:t>
      </w:r>
      <w:r w:rsidR="00F13598" w:rsidRPr="00D3573C">
        <w:rPr>
          <w:b/>
          <w:bCs/>
          <w:sz w:val="22"/>
          <w:szCs w:val="22"/>
          <w:lang w:bidi="he-IL"/>
        </w:rPr>
        <w:t xml:space="preserve"> acquisitions et sont en particulier </w:t>
      </w:r>
      <w:r w:rsidR="00F14997">
        <w:rPr>
          <w:b/>
          <w:bCs/>
          <w:sz w:val="22"/>
          <w:szCs w:val="22"/>
          <w:lang w:bidi="he-IL"/>
        </w:rPr>
        <w:t xml:space="preserve">concentrées </w:t>
      </w:r>
      <w:r w:rsidR="00F13598" w:rsidRPr="00D3573C">
        <w:rPr>
          <w:b/>
          <w:bCs/>
          <w:sz w:val="22"/>
          <w:szCs w:val="22"/>
          <w:lang w:bidi="he-IL"/>
        </w:rPr>
        <w:t>sur les grosses opérations</w:t>
      </w:r>
      <w:r w:rsidR="00543060" w:rsidRPr="00D3573C">
        <w:rPr>
          <w:sz w:val="22"/>
          <w:szCs w:val="22"/>
          <w:lang w:bidi="he-IL"/>
        </w:rPr>
        <w:t xml:space="preserve"> [Graphique </w:t>
      </w:r>
      <w:r w:rsidR="00FE0935">
        <w:rPr>
          <w:sz w:val="22"/>
          <w:szCs w:val="22"/>
          <w:lang w:bidi="he-IL"/>
        </w:rPr>
        <w:t>5</w:t>
      </w:r>
      <w:r w:rsidR="00543060" w:rsidRPr="00D3573C">
        <w:rPr>
          <w:sz w:val="22"/>
          <w:szCs w:val="22"/>
          <w:lang w:bidi="he-IL"/>
        </w:rPr>
        <w:t>]</w:t>
      </w:r>
      <w:r w:rsidR="00F13598" w:rsidRPr="00D3573C">
        <w:rPr>
          <w:sz w:val="22"/>
          <w:szCs w:val="22"/>
          <w:lang w:bidi="he-IL"/>
        </w:rPr>
        <w:t xml:space="preserve">. </w:t>
      </w:r>
      <w:r w:rsidR="0015052B" w:rsidRPr="00D3573C">
        <w:rPr>
          <w:sz w:val="22"/>
          <w:szCs w:val="22"/>
          <w:lang w:bidi="he-IL"/>
        </w:rPr>
        <w:t xml:space="preserve">A contrario, </w:t>
      </w:r>
      <w:r w:rsidR="0015052B" w:rsidRPr="00D3573C">
        <w:rPr>
          <w:sz w:val="22"/>
          <w:szCs w:val="22"/>
          <w:lang w:bidi="he-IL"/>
        </w:rPr>
        <w:lastRenderedPageBreak/>
        <w:t>l</w:t>
      </w:r>
      <w:r w:rsidR="00F13598" w:rsidRPr="00D3573C">
        <w:rPr>
          <w:sz w:val="22"/>
          <w:szCs w:val="22"/>
          <w:lang w:bidi="he-IL"/>
        </w:rPr>
        <w:t xml:space="preserve">es </w:t>
      </w:r>
      <w:r w:rsidR="0015052B" w:rsidRPr="00D3573C">
        <w:rPr>
          <w:sz w:val="22"/>
          <w:szCs w:val="22"/>
          <w:lang w:bidi="he-IL"/>
        </w:rPr>
        <w:t xml:space="preserve">entreprises israéliennes sont </w:t>
      </w:r>
      <w:r w:rsidR="00F112CE">
        <w:rPr>
          <w:sz w:val="22"/>
          <w:szCs w:val="22"/>
          <w:lang w:bidi="he-IL"/>
        </w:rPr>
        <w:t>actives dans d</w:t>
      </w:r>
      <w:r w:rsidR="0015052B" w:rsidRPr="00D3573C">
        <w:rPr>
          <w:sz w:val="22"/>
          <w:szCs w:val="22"/>
          <w:lang w:bidi="he-IL"/>
        </w:rPr>
        <w:t xml:space="preserve">es opérations </w:t>
      </w:r>
      <w:r w:rsidR="00956630">
        <w:rPr>
          <w:sz w:val="22"/>
          <w:szCs w:val="22"/>
          <w:lang w:bidi="he-IL"/>
        </w:rPr>
        <w:t xml:space="preserve">plus modestes </w:t>
      </w:r>
      <w:r w:rsidR="005D2D4A" w:rsidRPr="00D3573C">
        <w:rPr>
          <w:sz w:val="22"/>
          <w:szCs w:val="22"/>
          <w:lang w:bidi="he-IL"/>
        </w:rPr>
        <w:t>pour un capital global qui ne représente que 13% du total</w:t>
      </w:r>
      <w:r w:rsidR="0015052B" w:rsidRPr="00D3573C">
        <w:rPr>
          <w:sz w:val="22"/>
          <w:szCs w:val="22"/>
          <w:lang w:bidi="he-IL"/>
        </w:rPr>
        <w:t>.</w:t>
      </w:r>
    </w:p>
    <w:p w14:paraId="08662CA6" w14:textId="12E7830A" w:rsidR="00935FA0" w:rsidRDefault="00C20E78" w:rsidP="00935FA0">
      <w:pPr>
        <w:spacing w:after="240"/>
        <w:jc w:val="both"/>
        <w:rPr>
          <w:sz w:val="22"/>
          <w:szCs w:val="22"/>
          <w:lang w:bidi="he-IL"/>
        </w:rPr>
      </w:pPr>
      <w:r w:rsidRPr="00D3573C">
        <w:rPr>
          <w:sz w:val="22"/>
          <w:szCs w:val="22"/>
          <w:lang w:bidi="he-IL"/>
        </w:rPr>
        <w:t xml:space="preserve">Le nombre </w:t>
      </w:r>
      <w:r w:rsidRPr="00956630">
        <w:rPr>
          <w:b/>
          <w:bCs/>
          <w:sz w:val="22"/>
          <w:szCs w:val="22"/>
          <w:lang w:bidi="he-IL"/>
        </w:rPr>
        <w:t>d’introduction</w:t>
      </w:r>
      <w:r w:rsidR="001D1A6E">
        <w:rPr>
          <w:b/>
          <w:bCs/>
          <w:sz w:val="22"/>
          <w:szCs w:val="22"/>
          <w:lang w:bidi="he-IL"/>
        </w:rPr>
        <w:t>s</w:t>
      </w:r>
      <w:r w:rsidRPr="00956630">
        <w:rPr>
          <w:b/>
          <w:bCs/>
          <w:sz w:val="22"/>
          <w:szCs w:val="22"/>
          <w:lang w:bidi="he-IL"/>
        </w:rPr>
        <w:t xml:space="preserve"> en bourse</w:t>
      </w:r>
      <w:r w:rsidRPr="00D3573C">
        <w:rPr>
          <w:sz w:val="22"/>
          <w:szCs w:val="22"/>
          <w:lang w:bidi="he-IL"/>
        </w:rPr>
        <w:t xml:space="preserve"> en 2021 a été multiplié par 4</w:t>
      </w:r>
      <w:r w:rsidR="00150FC7">
        <w:rPr>
          <w:sz w:val="22"/>
          <w:szCs w:val="22"/>
          <w:lang w:bidi="he-IL"/>
        </w:rPr>
        <w:t xml:space="preserve"> en un an</w:t>
      </w:r>
      <w:r w:rsidRPr="00D3573C">
        <w:rPr>
          <w:sz w:val="22"/>
          <w:szCs w:val="22"/>
          <w:lang w:bidi="he-IL"/>
        </w:rPr>
        <w:t xml:space="preserve"> et par 8 environ </w:t>
      </w:r>
      <w:r w:rsidR="001D1A6E">
        <w:rPr>
          <w:sz w:val="22"/>
          <w:szCs w:val="22"/>
          <w:lang w:bidi="he-IL"/>
        </w:rPr>
        <w:t>vis-à-vis des</w:t>
      </w:r>
      <w:r w:rsidRPr="00D3573C">
        <w:rPr>
          <w:sz w:val="22"/>
          <w:szCs w:val="22"/>
          <w:lang w:bidi="he-IL"/>
        </w:rPr>
        <w:t xml:space="preserve"> années précédentes. </w:t>
      </w:r>
      <w:r w:rsidR="005957D6" w:rsidRPr="00D3573C">
        <w:rPr>
          <w:sz w:val="22"/>
          <w:szCs w:val="22"/>
          <w:lang w:bidi="he-IL"/>
        </w:rPr>
        <w:t xml:space="preserve">Cette évolution fait suite à </w:t>
      </w:r>
      <w:r w:rsidR="005957D6" w:rsidRPr="00A808F4">
        <w:rPr>
          <w:b/>
          <w:bCs/>
          <w:sz w:val="22"/>
          <w:szCs w:val="22"/>
          <w:lang w:bidi="he-IL"/>
        </w:rPr>
        <w:t xml:space="preserve">une politique gouvernementale </w:t>
      </w:r>
      <w:r w:rsidR="00A808F4" w:rsidRPr="00A808F4">
        <w:rPr>
          <w:b/>
          <w:bCs/>
          <w:sz w:val="22"/>
          <w:szCs w:val="22"/>
          <w:lang w:bidi="he-IL"/>
        </w:rPr>
        <w:t>favori</w:t>
      </w:r>
      <w:r w:rsidR="006278E3" w:rsidRPr="00A808F4">
        <w:rPr>
          <w:b/>
          <w:bCs/>
          <w:sz w:val="22"/>
          <w:szCs w:val="22"/>
          <w:lang w:bidi="he-IL"/>
        </w:rPr>
        <w:t xml:space="preserve">sant </w:t>
      </w:r>
      <w:r w:rsidR="00A808F4" w:rsidRPr="00A808F4">
        <w:rPr>
          <w:b/>
          <w:bCs/>
          <w:sz w:val="22"/>
          <w:szCs w:val="22"/>
          <w:lang w:bidi="he-IL"/>
        </w:rPr>
        <w:t>les</w:t>
      </w:r>
      <w:r w:rsidR="006278E3" w:rsidRPr="00A808F4">
        <w:rPr>
          <w:b/>
          <w:bCs/>
          <w:sz w:val="22"/>
          <w:szCs w:val="22"/>
          <w:lang w:bidi="he-IL"/>
        </w:rPr>
        <w:t xml:space="preserve"> </w:t>
      </w:r>
      <w:proofErr w:type="spellStart"/>
      <w:r w:rsidR="006278E3" w:rsidRPr="00A808F4">
        <w:rPr>
          <w:b/>
          <w:bCs/>
          <w:sz w:val="22"/>
          <w:szCs w:val="22"/>
          <w:lang w:bidi="he-IL"/>
        </w:rPr>
        <w:t>IPOs</w:t>
      </w:r>
      <w:proofErr w:type="spellEnd"/>
      <w:r w:rsidR="006278E3" w:rsidRPr="00A808F4">
        <w:rPr>
          <w:b/>
          <w:bCs/>
          <w:sz w:val="22"/>
          <w:szCs w:val="22"/>
          <w:lang w:bidi="he-IL"/>
        </w:rPr>
        <w:t xml:space="preserve"> plutôt qu</w:t>
      </w:r>
      <w:r w:rsidR="00A808F4" w:rsidRPr="00A808F4">
        <w:rPr>
          <w:b/>
          <w:bCs/>
          <w:sz w:val="22"/>
          <w:szCs w:val="22"/>
          <w:lang w:bidi="he-IL"/>
        </w:rPr>
        <w:t>e les</w:t>
      </w:r>
      <w:r w:rsidR="006278E3" w:rsidRPr="00A808F4">
        <w:rPr>
          <w:b/>
          <w:bCs/>
          <w:sz w:val="22"/>
          <w:szCs w:val="22"/>
          <w:lang w:bidi="he-IL"/>
        </w:rPr>
        <w:t xml:space="preserve"> M&amp;A</w:t>
      </w:r>
      <w:r w:rsidR="006278E3" w:rsidRPr="00D3573C">
        <w:rPr>
          <w:sz w:val="22"/>
          <w:szCs w:val="22"/>
          <w:lang w:bidi="he-IL"/>
        </w:rPr>
        <w:t xml:space="preserve">. </w:t>
      </w:r>
    </w:p>
    <w:p w14:paraId="7E2D6D36" w14:textId="66488D6B" w:rsidR="006B3E51" w:rsidRPr="00D3573C" w:rsidRDefault="00312982" w:rsidP="00935FA0">
      <w:pPr>
        <w:spacing w:after="240"/>
        <w:jc w:val="both"/>
        <w:rPr>
          <w:sz w:val="22"/>
          <w:szCs w:val="22"/>
          <w:lang w:bidi="he-IL"/>
        </w:rPr>
      </w:pPr>
      <w:r w:rsidRPr="00D3573C">
        <w:rPr>
          <w:rFonts w:ascii="Segoe UI" w:hAnsi="Segoe UI" w:cs="Segoe UI"/>
          <w:noProof/>
          <w:sz w:val="22"/>
          <w:szCs w:val="22"/>
          <w:lang w:eastAsia="fr-FR"/>
        </w:rPr>
        <mc:AlternateContent>
          <mc:Choice Requires="wps">
            <w:drawing>
              <wp:inline distT="0" distB="0" distL="0" distR="0" wp14:anchorId="2BC82E9F" wp14:editId="69B3561A">
                <wp:extent cx="5756910" cy="361950"/>
                <wp:effectExtent l="0" t="0" r="0" b="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361950"/>
                        </a:xfrm>
                        <a:prstGeom prst="rect">
                          <a:avLst/>
                        </a:prstGeom>
                        <a:solidFill>
                          <a:srgbClr val="006CE5"/>
                        </a:solidFill>
                        <a:ln w="9525">
                          <a:noFill/>
                          <a:miter lim="800000"/>
                          <a:headEnd/>
                          <a:tailEnd/>
                        </a:ln>
                      </wps:spPr>
                      <wps:txbx>
                        <w:txbxContent>
                          <w:p w14:paraId="36B83F26" w14:textId="5AA4C05D" w:rsidR="00312982" w:rsidRPr="004F3FAB" w:rsidRDefault="00312982" w:rsidP="00312982">
                            <w:pPr>
                              <w:jc w:val="both"/>
                              <w:rPr>
                                <w:rFonts w:ascii="Segoe UI" w:hAnsi="Segoe UI" w:cs="Segoe UI"/>
                                <w:b/>
                                <w:bCs/>
                                <w:color w:val="FFFFFF" w:themeColor="background1"/>
                              </w:rPr>
                            </w:pPr>
                            <w:r>
                              <w:rPr>
                                <w:rFonts w:ascii="Segoe UI" w:hAnsi="Segoe UI" w:cs="Segoe UI"/>
                                <w:b/>
                                <w:bCs/>
                                <w:color w:val="FFFFFF" w:themeColor="background1"/>
                              </w:rPr>
                              <w:t xml:space="preserve">3. </w:t>
                            </w:r>
                            <w:r w:rsidR="008905CA">
                              <w:rPr>
                                <w:rFonts w:ascii="Segoe UI" w:hAnsi="Segoe UI" w:cs="Segoe UI"/>
                                <w:b/>
                                <w:bCs/>
                                <w:color w:val="FFFFFF" w:themeColor="background1"/>
                              </w:rPr>
                              <w:t xml:space="preserve">De la </w:t>
                            </w:r>
                            <w:r w:rsidR="004C4390">
                              <w:rPr>
                                <w:rFonts w:ascii="Segoe UI" w:hAnsi="Segoe UI" w:cs="Segoe UI"/>
                                <w:b/>
                                <w:bCs/>
                                <w:color w:val="FFFFFF" w:themeColor="background1"/>
                              </w:rPr>
                              <w:t>« </w:t>
                            </w:r>
                            <w:r w:rsidR="008905CA">
                              <w:rPr>
                                <w:rFonts w:ascii="Segoe UI" w:hAnsi="Segoe UI" w:cs="Segoe UI"/>
                                <w:b/>
                                <w:bCs/>
                                <w:color w:val="FFFFFF" w:themeColor="background1"/>
                              </w:rPr>
                              <w:t>start up nation</w:t>
                            </w:r>
                            <w:r w:rsidR="004C4390">
                              <w:rPr>
                                <w:rFonts w:ascii="Segoe UI" w:hAnsi="Segoe UI" w:cs="Segoe UI"/>
                                <w:b/>
                                <w:bCs/>
                                <w:color w:val="FFFFFF" w:themeColor="background1"/>
                              </w:rPr>
                              <w:t> »</w:t>
                            </w:r>
                            <w:r w:rsidR="008905CA">
                              <w:rPr>
                                <w:rFonts w:ascii="Segoe UI" w:hAnsi="Segoe UI" w:cs="Segoe UI"/>
                                <w:b/>
                                <w:bCs/>
                                <w:color w:val="FFFFFF" w:themeColor="background1"/>
                              </w:rPr>
                              <w:t xml:space="preserve"> vers la </w:t>
                            </w:r>
                            <w:r w:rsidR="004C4390">
                              <w:rPr>
                                <w:rFonts w:ascii="Segoe UI" w:hAnsi="Segoe UI" w:cs="Segoe UI"/>
                                <w:b/>
                                <w:bCs/>
                                <w:color w:val="FFFFFF" w:themeColor="background1"/>
                              </w:rPr>
                              <w:t>« </w:t>
                            </w:r>
                            <w:proofErr w:type="spellStart"/>
                            <w:r w:rsidR="008905CA">
                              <w:rPr>
                                <w:rFonts w:ascii="Segoe UI" w:hAnsi="Segoe UI" w:cs="Segoe UI"/>
                                <w:b/>
                                <w:bCs/>
                                <w:color w:val="FFFFFF" w:themeColor="background1"/>
                              </w:rPr>
                              <w:t>scale</w:t>
                            </w:r>
                            <w:proofErr w:type="spellEnd"/>
                            <w:r w:rsidR="008905CA">
                              <w:rPr>
                                <w:rFonts w:ascii="Segoe UI" w:hAnsi="Segoe UI" w:cs="Segoe UI"/>
                                <w:b/>
                                <w:bCs/>
                                <w:color w:val="FFFFFF" w:themeColor="background1"/>
                              </w:rPr>
                              <w:t xml:space="preserve"> up nation</w:t>
                            </w:r>
                            <w:r w:rsidR="004C4390">
                              <w:rPr>
                                <w:rFonts w:ascii="Segoe UI" w:hAnsi="Segoe UI" w:cs="Segoe UI"/>
                                <w:b/>
                                <w:bCs/>
                                <w:color w:val="FFFFFF" w:themeColor="background1"/>
                              </w:rPr>
                              <w:t> »</w:t>
                            </w:r>
                            <w:r w:rsidR="00BA778B">
                              <w:rPr>
                                <w:rFonts w:ascii="Segoe UI" w:hAnsi="Segoe UI" w:cs="Segoe UI"/>
                                <w:b/>
                                <w:bCs/>
                                <w:color w:val="FFFFFF" w:themeColor="background1"/>
                              </w:rPr>
                              <w:t> : un virage risqué</w:t>
                            </w:r>
                          </w:p>
                        </w:txbxContent>
                      </wps:txbx>
                      <wps:bodyPr rot="0" vert="horz" wrap="square" lIns="91440" tIns="45720" rIns="91440" bIns="45720" anchor="ctr" anchorCtr="0">
                        <a:noAutofit/>
                      </wps:bodyPr>
                    </wps:wsp>
                  </a:graphicData>
                </a:graphic>
              </wp:inline>
            </w:drawing>
          </mc:Choice>
          <mc:Fallback>
            <w:pict>
              <v:shape w14:anchorId="2BC82E9F" id="Zone de texte 6" o:spid="_x0000_s1032" type="#_x0000_t202" style="width:453.3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" fillcolor="#006ce5" stroked="f">
                <v:textbox>
                  <w:txbxContent>
                    <w:p w14:paraId="36B83F26" w14:textId="5AA4C05D" w:rsidR="00312982" w:rsidRPr="004F3FAB" w:rsidRDefault="00312982" w:rsidP="00312982">
                      <w:pPr>
                        <w:jc w:val="both"/>
                        <w:rPr>
                          <w:rFonts w:ascii="Segoe UI" w:hAnsi="Segoe UI" w:cs="Segoe UI"/>
                          <w:b/>
                          <w:bCs/>
                          <w:color w:val="FFFFFF" w:themeColor="background1"/>
                        </w:rPr>
                      </w:pPr>
                      <w:r>
                        <w:rPr>
                          <w:rFonts w:ascii="Segoe UI" w:hAnsi="Segoe UI" w:cs="Segoe UI"/>
                          <w:b/>
                          <w:bCs/>
                          <w:color w:val="FFFFFF" w:themeColor="background1"/>
                        </w:rPr>
                        <w:t xml:space="preserve">3. </w:t>
                      </w:r>
                      <w:r w:rsidR="008905CA">
                        <w:rPr>
                          <w:rFonts w:ascii="Segoe UI" w:hAnsi="Segoe UI" w:cs="Segoe UI"/>
                          <w:b/>
                          <w:bCs/>
                          <w:color w:val="FFFFFF" w:themeColor="background1"/>
                        </w:rPr>
                        <w:t xml:space="preserve">De la </w:t>
                      </w:r>
                      <w:r w:rsidR="004C4390">
                        <w:rPr>
                          <w:rFonts w:ascii="Segoe UI" w:hAnsi="Segoe UI" w:cs="Segoe UI"/>
                          <w:b/>
                          <w:bCs/>
                          <w:color w:val="FFFFFF" w:themeColor="background1"/>
                        </w:rPr>
                        <w:t>« </w:t>
                      </w:r>
                      <w:r w:rsidR="008905CA">
                        <w:rPr>
                          <w:rFonts w:ascii="Segoe UI" w:hAnsi="Segoe UI" w:cs="Segoe UI"/>
                          <w:b/>
                          <w:bCs/>
                          <w:color w:val="FFFFFF" w:themeColor="background1"/>
                        </w:rPr>
                        <w:t>start up nation</w:t>
                      </w:r>
                      <w:r w:rsidR="004C4390">
                        <w:rPr>
                          <w:rFonts w:ascii="Segoe UI" w:hAnsi="Segoe UI" w:cs="Segoe UI"/>
                          <w:b/>
                          <w:bCs/>
                          <w:color w:val="FFFFFF" w:themeColor="background1"/>
                        </w:rPr>
                        <w:t> »</w:t>
                      </w:r>
                      <w:r w:rsidR="008905CA">
                        <w:rPr>
                          <w:rFonts w:ascii="Segoe UI" w:hAnsi="Segoe UI" w:cs="Segoe UI"/>
                          <w:b/>
                          <w:bCs/>
                          <w:color w:val="FFFFFF" w:themeColor="background1"/>
                        </w:rPr>
                        <w:t xml:space="preserve"> vers la </w:t>
                      </w:r>
                      <w:r w:rsidR="004C4390">
                        <w:rPr>
                          <w:rFonts w:ascii="Segoe UI" w:hAnsi="Segoe UI" w:cs="Segoe UI"/>
                          <w:b/>
                          <w:bCs/>
                          <w:color w:val="FFFFFF" w:themeColor="background1"/>
                        </w:rPr>
                        <w:t>« </w:t>
                      </w:r>
                      <w:proofErr w:type="spellStart"/>
                      <w:r w:rsidR="008905CA">
                        <w:rPr>
                          <w:rFonts w:ascii="Segoe UI" w:hAnsi="Segoe UI" w:cs="Segoe UI"/>
                          <w:b/>
                          <w:bCs/>
                          <w:color w:val="FFFFFF" w:themeColor="background1"/>
                        </w:rPr>
                        <w:t>scale</w:t>
                      </w:r>
                      <w:proofErr w:type="spellEnd"/>
                      <w:r w:rsidR="008905CA">
                        <w:rPr>
                          <w:rFonts w:ascii="Segoe UI" w:hAnsi="Segoe UI" w:cs="Segoe UI"/>
                          <w:b/>
                          <w:bCs/>
                          <w:color w:val="FFFFFF" w:themeColor="background1"/>
                        </w:rPr>
                        <w:t xml:space="preserve"> up nation</w:t>
                      </w:r>
                      <w:r w:rsidR="004C4390">
                        <w:rPr>
                          <w:rFonts w:ascii="Segoe UI" w:hAnsi="Segoe UI" w:cs="Segoe UI"/>
                          <w:b/>
                          <w:bCs/>
                          <w:color w:val="FFFFFF" w:themeColor="background1"/>
                        </w:rPr>
                        <w:t> »</w:t>
                      </w:r>
                      <w:r w:rsidR="00BA778B">
                        <w:rPr>
                          <w:rFonts w:ascii="Segoe UI" w:hAnsi="Segoe UI" w:cs="Segoe UI"/>
                          <w:b/>
                          <w:bCs/>
                          <w:color w:val="FFFFFF" w:themeColor="background1"/>
                        </w:rPr>
                        <w:t> : un virage risqué</w:t>
                      </w:r>
                    </w:p>
                  </w:txbxContent>
                </v:textbox>
                <w10:anchorlock/>
              </v:shape>
            </w:pict>
          </mc:Fallback>
        </mc:AlternateContent>
      </w:r>
    </w:p>
    <w:p w14:paraId="39142809" w14:textId="0F3C3853" w:rsidR="005D308D" w:rsidRPr="00D3573C" w:rsidRDefault="00EA3C6B" w:rsidP="00C55F54">
      <w:pPr>
        <w:spacing w:after="160" w:line="259" w:lineRule="auto"/>
        <w:jc w:val="both"/>
        <w:rPr>
          <w:sz w:val="22"/>
          <w:szCs w:val="22"/>
          <w:lang w:bidi="he-IL"/>
        </w:rPr>
      </w:pPr>
      <w:r w:rsidRPr="00D3573C">
        <w:rPr>
          <w:b/>
          <w:bCs/>
          <w:sz w:val="22"/>
          <w:szCs w:val="22"/>
          <w:lang w:bidi="he-IL"/>
        </w:rPr>
        <w:t xml:space="preserve">Un essoufflement dans la dynamique de création de nouvelles start-ups se ressent depuis quelques </w:t>
      </w:r>
      <w:r w:rsidR="00FE0935" w:rsidRPr="00D3573C">
        <w:rPr>
          <w:b/>
          <w:bCs/>
          <w:sz w:val="22"/>
          <w:szCs w:val="22"/>
          <w:lang w:bidi="he-IL"/>
        </w:rPr>
        <w:t>années.</w:t>
      </w:r>
      <w:r w:rsidRPr="00D3573C">
        <w:rPr>
          <w:sz w:val="22"/>
          <w:szCs w:val="22"/>
          <w:lang w:bidi="he-IL"/>
        </w:rPr>
        <w:t xml:space="preserve"> </w:t>
      </w:r>
      <w:r w:rsidRPr="00BA778B">
        <w:rPr>
          <w:sz w:val="22"/>
          <w:szCs w:val="22"/>
          <w:lang w:bidi="he-IL"/>
        </w:rPr>
        <w:t>Ce phénomène s’accompagne d’une préférence pour les investissements dans les entreprises m</w:t>
      </w:r>
      <w:r w:rsidR="001D1A6E">
        <w:rPr>
          <w:sz w:val="22"/>
          <w:szCs w:val="22"/>
          <w:lang w:bidi="he-IL"/>
        </w:rPr>
        <w:t>û</w:t>
      </w:r>
      <w:r w:rsidRPr="00BA778B">
        <w:rPr>
          <w:sz w:val="22"/>
          <w:szCs w:val="22"/>
          <w:lang w:bidi="he-IL"/>
        </w:rPr>
        <w:t>res.</w:t>
      </w:r>
      <w:r w:rsidR="005A45E8" w:rsidRPr="00D3573C">
        <w:rPr>
          <w:sz w:val="22"/>
          <w:szCs w:val="22"/>
          <w:lang w:bidi="he-IL"/>
        </w:rPr>
        <w:t xml:space="preserve"> Les capitaux </w:t>
      </w:r>
      <w:r w:rsidR="006B0918" w:rsidRPr="00D3573C">
        <w:rPr>
          <w:sz w:val="22"/>
          <w:szCs w:val="22"/>
          <w:lang w:bidi="he-IL"/>
        </w:rPr>
        <w:t>investis</w:t>
      </w:r>
      <w:r w:rsidR="005A45E8" w:rsidRPr="00D3573C">
        <w:rPr>
          <w:sz w:val="22"/>
          <w:szCs w:val="22"/>
          <w:lang w:bidi="he-IL"/>
        </w:rPr>
        <w:t xml:space="preserve"> dans les </w:t>
      </w:r>
      <w:r w:rsidRPr="00D3573C">
        <w:rPr>
          <w:sz w:val="22"/>
          <w:szCs w:val="22"/>
          <w:lang w:bidi="he-IL"/>
        </w:rPr>
        <w:t>investissements en phase d’amorçage</w:t>
      </w:r>
      <w:r w:rsidR="005A45E8" w:rsidRPr="00D3573C">
        <w:rPr>
          <w:sz w:val="22"/>
          <w:szCs w:val="22"/>
          <w:lang w:bidi="he-IL"/>
        </w:rPr>
        <w:t xml:space="preserve"> sont </w:t>
      </w:r>
      <w:r w:rsidRPr="00D3573C">
        <w:rPr>
          <w:sz w:val="22"/>
          <w:szCs w:val="22"/>
          <w:lang w:bidi="he-IL"/>
        </w:rPr>
        <w:t>constants</w:t>
      </w:r>
      <w:r w:rsidR="006B0918" w:rsidRPr="00D3573C">
        <w:rPr>
          <w:sz w:val="22"/>
          <w:szCs w:val="22"/>
          <w:lang w:bidi="he-IL"/>
        </w:rPr>
        <w:t xml:space="preserve"> depuis 2015 alors que ceux investis dans les </w:t>
      </w:r>
      <w:r w:rsidR="006C290D">
        <w:rPr>
          <w:sz w:val="22"/>
          <w:szCs w:val="22"/>
          <w:lang w:bidi="he-IL"/>
        </w:rPr>
        <w:t>entreprises de « </w:t>
      </w:r>
      <w:r w:rsidRPr="00D3573C">
        <w:rPr>
          <w:sz w:val="22"/>
          <w:szCs w:val="22"/>
          <w:lang w:bidi="he-IL"/>
        </w:rPr>
        <w:t>série D</w:t>
      </w:r>
      <w:r w:rsidR="006C290D">
        <w:rPr>
          <w:sz w:val="22"/>
          <w:szCs w:val="22"/>
          <w:lang w:bidi="he-IL"/>
        </w:rPr>
        <w:t> »</w:t>
      </w:r>
      <w:r w:rsidR="006B0918" w:rsidRPr="00D3573C">
        <w:rPr>
          <w:sz w:val="22"/>
          <w:szCs w:val="22"/>
          <w:lang w:bidi="he-IL"/>
        </w:rPr>
        <w:t xml:space="preserve"> </w:t>
      </w:r>
      <w:r w:rsidR="006C290D">
        <w:rPr>
          <w:sz w:val="22"/>
          <w:szCs w:val="22"/>
          <w:lang w:bidi="he-IL"/>
        </w:rPr>
        <w:t xml:space="preserve">(entreprises établies) </w:t>
      </w:r>
      <w:r w:rsidR="006B0918" w:rsidRPr="00D3573C">
        <w:rPr>
          <w:sz w:val="22"/>
          <w:szCs w:val="22"/>
          <w:lang w:bidi="he-IL"/>
        </w:rPr>
        <w:t xml:space="preserve">a été multiplié par 4. </w:t>
      </w:r>
      <w:r w:rsidR="006C290D" w:rsidRPr="00BA778B">
        <w:rPr>
          <w:b/>
          <w:bCs/>
          <w:sz w:val="22"/>
          <w:szCs w:val="22"/>
          <w:lang w:bidi="he-IL"/>
        </w:rPr>
        <w:t>L</w:t>
      </w:r>
      <w:r w:rsidR="005A45E8" w:rsidRPr="00BA778B">
        <w:rPr>
          <w:b/>
          <w:bCs/>
          <w:sz w:val="22"/>
          <w:szCs w:val="22"/>
          <w:lang w:bidi="he-IL"/>
        </w:rPr>
        <w:t xml:space="preserve">a </w:t>
      </w:r>
      <w:r w:rsidR="005A45E8" w:rsidRPr="00BA778B">
        <w:rPr>
          <w:b/>
          <w:bCs/>
          <w:i/>
          <w:iCs/>
          <w:sz w:val="22"/>
          <w:szCs w:val="22"/>
          <w:lang w:bidi="he-IL"/>
        </w:rPr>
        <w:t>start-ups nation</w:t>
      </w:r>
      <w:r w:rsidR="005A45E8" w:rsidRPr="00BA778B">
        <w:rPr>
          <w:b/>
          <w:bCs/>
          <w:sz w:val="22"/>
          <w:szCs w:val="22"/>
          <w:lang w:bidi="he-IL"/>
        </w:rPr>
        <w:t xml:space="preserve"> évolue vers la </w:t>
      </w:r>
      <w:r w:rsidR="005A45E8" w:rsidRPr="00BA778B">
        <w:rPr>
          <w:b/>
          <w:bCs/>
          <w:i/>
          <w:iCs/>
          <w:sz w:val="22"/>
          <w:szCs w:val="22"/>
          <w:lang w:bidi="he-IL"/>
        </w:rPr>
        <w:t>scale</w:t>
      </w:r>
      <w:r w:rsidRPr="00BA778B">
        <w:rPr>
          <w:b/>
          <w:bCs/>
          <w:i/>
          <w:iCs/>
          <w:sz w:val="22"/>
          <w:szCs w:val="22"/>
          <w:lang w:bidi="he-IL"/>
        </w:rPr>
        <w:t>-</w:t>
      </w:r>
      <w:r w:rsidR="005A45E8" w:rsidRPr="00BA778B">
        <w:rPr>
          <w:b/>
          <w:bCs/>
          <w:i/>
          <w:iCs/>
          <w:sz w:val="22"/>
          <w:szCs w:val="22"/>
          <w:lang w:bidi="he-IL"/>
        </w:rPr>
        <w:t>up nation</w:t>
      </w:r>
      <w:r w:rsidRPr="00D3573C">
        <w:rPr>
          <w:sz w:val="22"/>
          <w:szCs w:val="22"/>
          <w:lang w:bidi="he-IL"/>
        </w:rPr>
        <w:t>.</w:t>
      </w:r>
    </w:p>
    <w:p w14:paraId="4B1A28DE" w14:textId="77121533" w:rsidR="00305CB3" w:rsidRDefault="00BA778B" w:rsidP="000549AE">
      <w:pPr>
        <w:spacing w:after="160" w:line="259" w:lineRule="auto"/>
        <w:jc w:val="both"/>
        <w:rPr>
          <w:sz w:val="22"/>
          <w:szCs w:val="22"/>
          <w:lang w:bidi="he-IL"/>
        </w:rPr>
      </w:pPr>
      <w:r>
        <w:rPr>
          <w:sz w:val="22"/>
          <w:szCs w:val="22"/>
          <w:lang w:bidi="he-IL"/>
        </w:rPr>
        <w:t>L</w:t>
      </w:r>
      <w:r w:rsidR="00CE541F" w:rsidRPr="00D3573C">
        <w:rPr>
          <w:sz w:val="22"/>
          <w:szCs w:val="22"/>
          <w:lang w:bidi="he-IL"/>
        </w:rPr>
        <w:t xml:space="preserve">es opérations </w:t>
      </w:r>
      <w:r w:rsidR="00EA3C6B" w:rsidRPr="00D3573C">
        <w:rPr>
          <w:sz w:val="22"/>
          <w:szCs w:val="22"/>
          <w:lang w:bidi="he-IL"/>
        </w:rPr>
        <w:t xml:space="preserve">de </w:t>
      </w:r>
      <w:r w:rsidR="00935FA0">
        <w:rPr>
          <w:sz w:val="22"/>
          <w:szCs w:val="22"/>
          <w:lang w:bidi="he-IL"/>
        </w:rPr>
        <w:t>M&amp;A</w:t>
      </w:r>
      <w:r w:rsidR="00CE541F" w:rsidRPr="00D3573C">
        <w:rPr>
          <w:sz w:val="22"/>
          <w:szCs w:val="22"/>
          <w:lang w:bidi="he-IL"/>
        </w:rPr>
        <w:t xml:space="preserve"> </w:t>
      </w:r>
      <w:r w:rsidR="006C290D">
        <w:rPr>
          <w:sz w:val="22"/>
          <w:szCs w:val="22"/>
          <w:lang w:bidi="he-IL"/>
        </w:rPr>
        <w:t xml:space="preserve">au profit </w:t>
      </w:r>
      <w:r w:rsidR="00CE541F" w:rsidRPr="00D3573C">
        <w:rPr>
          <w:sz w:val="22"/>
          <w:szCs w:val="22"/>
          <w:lang w:bidi="he-IL"/>
        </w:rPr>
        <w:t>des firmes multinationales contribu</w:t>
      </w:r>
      <w:r w:rsidR="001B2135">
        <w:rPr>
          <w:sz w:val="22"/>
          <w:szCs w:val="22"/>
          <w:lang w:bidi="he-IL"/>
        </w:rPr>
        <w:t>erai</w:t>
      </w:r>
      <w:r w:rsidR="00CE541F" w:rsidRPr="00D3573C">
        <w:rPr>
          <w:sz w:val="22"/>
          <w:szCs w:val="22"/>
          <w:lang w:bidi="he-IL"/>
        </w:rPr>
        <w:t xml:space="preserve">ent à </w:t>
      </w:r>
      <w:r w:rsidR="001B2135">
        <w:rPr>
          <w:sz w:val="22"/>
          <w:szCs w:val="22"/>
          <w:lang w:bidi="he-IL"/>
        </w:rPr>
        <w:t>une</w:t>
      </w:r>
      <w:r w:rsidR="00CE541F" w:rsidRPr="00D3573C">
        <w:rPr>
          <w:sz w:val="22"/>
          <w:szCs w:val="22"/>
          <w:lang w:bidi="he-IL"/>
        </w:rPr>
        <w:t xml:space="preserve"> diminution de </w:t>
      </w:r>
      <w:r w:rsidR="006C290D">
        <w:rPr>
          <w:sz w:val="22"/>
          <w:szCs w:val="22"/>
          <w:lang w:bidi="he-IL"/>
        </w:rPr>
        <w:t>l’</w:t>
      </w:r>
      <w:r w:rsidR="00CE541F" w:rsidRPr="00D3573C">
        <w:rPr>
          <w:sz w:val="22"/>
          <w:szCs w:val="22"/>
          <w:lang w:bidi="he-IL"/>
        </w:rPr>
        <w:t xml:space="preserve">entreprenariat. </w:t>
      </w:r>
      <w:r w:rsidR="001B2135">
        <w:rPr>
          <w:sz w:val="22"/>
          <w:szCs w:val="22"/>
          <w:lang w:bidi="he-IL"/>
        </w:rPr>
        <w:t>L</w:t>
      </w:r>
      <w:r w:rsidR="00CD567C" w:rsidRPr="00D3573C">
        <w:rPr>
          <w:b/>
          <w:bCs/>
          <w:sz w:val="22"/>
          <w:szCs w:val="22"/>
          <w:lang w:bidi="he-IL"/>
        </w:rPr>
        <w:t>es</w:t>
      </w:r>
      <w:r w:rsidR="00377A76" w:rsidRPr="00D3573C">
        <w:rPr>
          <w:b/>
          <w:bCs/>
          <w:sz w:val="22"/>
          <w:szCs w:val="22"/>
          <w:lang w:bidi="he-IL"/>
        </w:rPr>
        <w:t xml:space="preserve"> firme</w:t>
      </w:r>
      <w:r w:rsidR="00CD567C" w:rsidRPr="00D3573C">
        <w:rPr>
          <w:b/>
          <w:bCs/>
          <w:sz w:val="22"/>
          <w:szCs w:val="22"/>
          <w:lang w:bidi="he-IL"/>
        </w:rPr>
        <w:t>s</w:t>
      </w:r>
      <w:r w:rsidR="00377A76" w:rsidRPr="00D3573C">
        <w:rPr>
          <w:b/>
          <w:bCs/>
          <w:sz w:val="22"/>
          <w:szCs w:val="22"/>
          <w:lang w:bidi="he-IL"/>
        </w:rPr>
        <w:t xml:space="preserve"> multinationales transforme</w:t>
      </w:r>
      <w:r w:rsidR="00EA3C6B" w:rsidRPr="00D3573C">
        <w:rPr>
          <w:b/>
          <w:bCs/>
          <w:sz w:val="22"/>
          <w:szCs w:val="22"/>
          <w:lang w:bidi="he-IL"/>
        </w:rPr>
        <w:t>nt</w:t>
      </w:r>
      <w:r w:rsidR="00377A76" w:rsidRPr="00D3573C">
        <w:rPr>
          <w:b/>
          <w:bCs/>
          <w:sz w:val="22"/>
          <w:szCs w:val="22"/>
          <w:lang w:bidi="he-IL"/>
        </w:rPr>
        <w:t xml:space="preserve"> les start-ups en centre de R&amp;D</w:t>
      </w:r>
      <w:r w:rsidR="00377A76" w:rsidRPr="00D3573C">
        <w:rPr>
          <w:sz w:val="22"/>
          <w:szCs w:val="22"/>
          <w:lang w:bidi="he-IL"/>
        </w:rPr>
        <w:t>. Ce</w:t>
      </w:r>
      <w:r w:rsidR="001B2135">
        <w:rPr>
          <w:sz w:val="22"/>
          <w:szCs w:val="22"/>
          <w:lang w:bidi="he-IL"/>
        </w:rPr>
        <w:t xml:space="preserve">la oriente les financements et les profils </w:t>
      </w:r>
      <w:r w:rsidR="00036173" w:rsidRPr="00D3573C">
        <w:rPr>
          <w:sz w:val="22"/>
          <w:szCs w:val="22"/>
          <w:lang w:bidi="he-IL"/>
        </w:rPr>
        <w:t xml:space="preserve">qualifiés </w:t>
      </w:r>
      <w:r w:rsidR="001B2135">
        <w:rPr>
          <w:sz w:val="22"/>
          <w:szCs w:val="22"/>
          <w:lang w:bidi="he-IL"/>
        </w:rPr>
        <w:t xml:space="preserve">vers un nombre restreint </w:t>
      </w:r>
      <w:r w:rsidR="00036173" w:rsidRPr="00D3573C">
        <w:rPr>
          <w:sz w:val="22"/>
          <w:szCs w:val="22"/>
          <w:lang w:bidi="he-IL"/>
        </w:rPr>
        <w:t xml:space="preserve">de </w:t>
      </w:r>
      <w:r w:rsidR="00A16DF7">
        <w:rPr>
          <w:sz w:val="22"/>
          <w:szCs w:val="22"/>
          <w:lang w:bidi="he-IL"/>
        </w:rPr>
        <w:t xml:space="preserve">grandes </w:t>
      </w:r>
      <w:r w:rsidR="00036173" w:rsidRPr="00D3573C">
        <w:rPr>
          <w:sz w:val="22"/>
          <w:szCs w:val="22"/>
          <w:lang w:bidi="he-IL"/>
        </w:rPr>
        <w:t xml:space="preserve">sociétés </w:t>
      </w:r>
      <w:r w:rsidR="001B2135">
        <w:rPr>
          <w:sz w:val="22"/>
          <w:szCs w:val="22"/>
          <w:lang w:bidi="he-IL"/>
        </w:rPr>
        <w:t xml:space="preserve">étrangères qui contrôlent ainsi la propriété </w:t>
      </w:r>
      <w:r w:rsidR="00036173" w:rsidRPr="00D3573C">
        <w:rPr>
          <w:sz w:val="22"/>
          <w:szCs w:val="22"/>
          <w:lang w:bidi="he-IL"/>
        </w:rPr>
        <w:t>intellectuelle.</w:t>
      </w:r>
      <w:r w:rsidR="000549AE">
        <w:rPr>
          <w:sz w:val="22"/>
          <w:szCs w:val="22"/>
          <w:lang w:bidi="he-IL"/>
        </w:rPr>
        <w:t xml:space="preserve"> L’externalisation des services vers les pays des maisons mères réduit également la création d’emplois </w:t>
      </w:r>
      <w:r w:rsidR="001D1A6E">
        <w:rPr>
          <w:sz w:val="22"/>
          <w:szCs w:val="22"/>
          <w:lang w:bidi="he-IL"/>
        </w:rPr>
        <w:t>induits</w:t>
      </w:r>
      <w:r w:rsidR="000549AE">
        <w:rPr>
          <w:sz w:val="22"/>
          <w:szCs w:val="22"/>
          <w:lang w:bidi="he-IL"/>
        </w:rPr>
        <w:t xml:space="preserve"> (avocats, comptables, etc</w:t>
      </w:r>
      <w:r w:rsidR="00BF13B0">
        <w:rPr>
          <w:sz w:val="22"/>
          <w:szCs w:val="22"/>
          <w:lang w:bidi="he-IL"/>
        </w:rPr>
        <w:t>.</w:t>
      </w:r>
      <w:r w:rsidR="000549AE">
        <w:rPr>
          <w:sz w:val="22"/>
          <w:szCs w:val="22"/>
          <w:lang w:bidi="he-IL"/>
        </w:rPr>
        <w:t>).</w:t>
      </w:r>
      <w:r w:rsidR="007D3A41">
        <w:rPr>
          <w:sz w:val="22"/>
          <w:szCs w:val="22"/>
          <w:lang w:bidi="he-IL"/>
        </w:rPr>
        <w:t xml:space="preserve"> </w:t>
      </w:r>
      <w:r w:rsidR="007D3A41" w:rsidRPr="00D3573C">
        <w:rPr>
          <w:sz w:val="22"/>
          <w:szCs w:val="22"/>
          <w:lang w:bidi="he-IL"/>
        </w:rPr>
        <w:t xml:space="preserve">Enfin, une fois </w:t>
      </w:r>
      <w:r>
        <w:rPr>
          <w:sz w:val="22"/>
          <w:szCs w:val="22"/>
          <w:lang w:bidi="he-IL"/>
        </w:rPr>
        <w:t xml:space="preserve">que </w:t>
      </w:r>
      <w:r w:rsidR="007D3A41" w:rsidRPr="00D3573C">
        <w:rPr>
          <w:sz w:val="22"/>
          <w:szCs w:val="22"/>
          <w:lang w:bidi="he-IL"/>
        </w:rPr>
        <w:t xml:space="preserve">la technologie, l’information et le savoir-faire d’une start-up sont rachetés par une multinationale, cela </w:t>
      </w:r>
      <w:r w:rsidR="007D3A41">
        <w:rPr>
          <w:sz w:val="22"/>
          <w:szCs w:val="22"/>
          <w:lang w:bidi="he-IL"/>
        </w:rPr>
        <w:t>ouvre la voie à une</w:t>
      </w:r>
      <w:r w:rsidR="007D3A41" w:rsidRPr="00D3573C">
        <w:rPr>
          <w:sz w:val="22"/>
          <w:szCs w:val="22"/>
          <w:lang w:bidi="he-IL"/>
        </w:rPr>
        <w:t xml:space="preserve"> relocalisation vers des pays où la main d’œuvre est moins onéreuse.</w:t>
      </w:r>
    </w:p>
    <w:p w14:paraId="25FB561F" w14:textId="76E85CA5" w:rsidR="00CA70F4" w:rsidRPr="00D3573C" w:rsidRDefault="00CA70F4" w:rsidP="000549AE">
      <w:pPr>
        <w:spacing w:after="160" w:line="259" w:lineRule="auto"/>
        <w:jc w:val="both"/>
        <w:rPr>
          <w:sz w:val="22"/>
          <w:szCs w:val="22"/>
          <w:lang w:bidi="he-IL"/>
        </w:rPr>
      </w:pPr>
      <w:r>
        <w:rPr>
          <w:sz w:val="22"/>
          <w:szCs w:val="22"/>
          <w:lang w:bidi="he-IL"/>
        </w:rPr>
        <w:t>Plusieurs mesures fiscales ont été mises en œuvre pour faciliter le financement autonome des entreprises israéliennes et permettre in fine de maintenir le contrôle de la technologie dans des mains israéliennes.</w:t>
      </w:r>
    </w:p>
    <w:p w14:paraId="2780E3BD" w14:textId="5D14A4B9" w:rsidR="00305CB3" w:rsidRPr="00D3573C" w:rsidRDefault="00305CB3">
      <w:pPr>
        <w:spacing w:after="160" w:line="259" w:lineRule="auto"/>
        <w:rPr>
          <w:sz w:val="22"/>
          <w:szCs w:val="22"/>
          <w:lang w:bidi="he-IL"/>
        </w:rPr>
      </w:pPr>
      <w:r w:rsidRPr="00D3573C">
        <w:rPr>
          <w:rFonts w:ascii="Segoe UI" w:hAnsi="Segoe UI" w:cs="Segoe UI"/>
          <w:noProof/>
          <w:sz w:val="22"/>
          <w:szCs w:val="22"/>
          <w:lang w:eastAsia="fr-FR"/>
        </w:rPr>
        <mc:AlternateContent>
          <mc:Choice Requires="wps">
            <w:drawing>
              <wp:inline distT="0" distB="0" distL="0" distR="0" wp14:anchorId="7C004264" wp14:editId="30FFF9D4">
                <wp:extent cx="5756910" cy="381662"/>
                <wp:effectExtent l="0" t="0" r="0" b="0"/>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381662"/>
                        </a:xfrm>
                        <a:prstGeom prst="rect">
                          <a:avLst/>
                        </a:prstGeom>
                        <a:solidFill>
                          <a:srgbClr val="006CE5"/>
                        </a:solidFill>
                        <a:ln w="9525">
                          <a:noFill/>
                          <a:miter lim="800000"/>
                          <a:headEnd/>
                          <a:tailEnd/>
                        </a:ln>
                      </wps:spPr>
                      <wps:txbx>
                        <w:txbxContent>
                          <w:p w14:paraId="2888A9BC" w14:textId="48B015D5" w:rsidR="00305CB3" w:rsidRPr="004F3FAB" w:rsidRDefault="002F6FAB" w:rsidP="00305CB3">
                            <w:pPr>
                              <w:jc w:val="both"/>
                              <w:rPr>
                                <w:rFonts w:ascii="Segoe UI" w:hAnsi="Segoe UI" w:cs="Segoe UI"/>
                                <w:b/>
                                <w:bCs/>
                                <w:color w:val="FFFFFF" w:themeColor="background1"/>
                              </w:rPr>
                            </w:pPr>
                            <w:r>
                              <w:rPr>
                                <w:rFonts w:ascii="Segoe UI" w:hAnsi="Segoe UI" w:cs="Segoe UI"/>
                                <w:b/>
                                <w:bCs/>
                                <w:color w:val="FFFFFF" w:themeColor="background1"/>
                              </w:rPr>
                              <w:t>4</w:t>
                            </w:r>
                            <w:r w:rsidR="00305CB3">
                              <w:rPr>
                                <w:rFonts w:ascii="Segoe UI" w:hAnsi="Segoe UI" w:cs="Segoe UI"/>
                                <w:b/>
                                <w:bCs/>
                                <w:color w:val="FFFFFF" w:themeColor="background1"/>
                              </w:rPr>
                              <w:t xml:space="preserve">. </w:t>
                            </w:r>
                            <w:r w:rsidR="00442B24">
                              <w:rPr>
                                <w:rFonts w:ascii="Segoe UI" w:hAnsi="Segoe UI" w:cs="Segoe UI"/>
                                <w:b/>
                                <w:bCs/>
                                <w:color w:val="FFFFFF" w:themeColor="background1"/>
                              </w:rPr>
                              <w:t xml:space="preserve">Ressources humaines : une </w:t>
                            </w:r>
                            <w:r w:rsidR="00795258">
                              <w:rPr>
                                <w:rFonts w:ascii="Segoe UI" w:hAnsi="Segoe UI" w:cs="Segoe UI"/>
                                <w:b/>
                                <w:bCs/>
                                <w:color w:val="FFFFFF" w:themeColor="background1"/>
                              </w:rPr>
                              <w:t>contrainte grandissante</w:t>
                            </w:r>
                            <w:r w:rsidR="008905CA">
                              <w:rPr>
                                <w:rFonts w:ascii="Segoe UI" w:hAnsi="Segoe UI" w:cs="Segoe UI"/>
                                <w:b/>
                                <w:bCs/>
                                <w:color w:val="FFFFFF" w:themeColor="background1"/>
                              </w:rPr>
                              <w:t xml:space="preserve"> </w:t>
                            </w:r>
                          </w:p>
                        </w:txbxContent>
                      </wps:txbx>
                      <wps:bodyPr rot="0" vert="horz" wrap="square" lIns="91440" tIns="45720" rIns="91440" bIns="45720" anchor="ctr" anchorCtr="0">
                        <a:noAutofit/>
                      </wps:bodyPr>
                    </wps:wsp>
                  </a:graphicData>
                </a:graphic>
              </wp:inline>
            </w:drawing>
          </mc:Choice>
          <mc:Fallback>
            <w:pict>
              <v:shape w14:anchorId="7C004264" id="Zone de texte 1" o:spid="_x0000_s1033" type="#_x0000_t202" style="width:453.3pt;height:3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" fillcolor="#006ce5" stroked="f">
                <v:textbox>
                  <w:txbxContent>
                    <w:p w14:paraId="2888A9BC" w14:textId="48B015D5" w:rsidR="00305CB3" w:rsidRPr="004F3FAB" w:rsidRDefault="002F6FAB" w:rsidP="00305CB3">
                      <w:pPr>
                        <w:jc w:val="both"/>
                        <w:rPr>
                          <w:rFonts w:ascii="Segoe UI" w:hAnsi="Segoe UI" w:cs="Segoe UI"/>
                          <w:b/>
                          <w:bCs/>
                          <w:color w:val="FFFFFF" w:themeColor="background1"/>
                        </w:rPr>
                      </w:pPr>
                      <w:r>
                        <w:rPr>
                          <w:rFonts w:ascii="Segoe UI" w:hAnsi="Segoe UI" w:cs="Segoe UI"/>
                          <w:b/>
                          <w:bCs/>
                          <w:color w:val="FFFFFF" w:themeColor="background1"/>
                        </w:rPr>
                        <w:t>4</w:t>
                      </w:r>
                      <w:r w:rsidR="00305CB3">
                        <w:rPr>
                          <w:rFonts w:ascii="Segoe UI" w:hAnsi="Segoe UI" w:cs="Segoe UI"/>
                          <w:b/>
                          <w:bCs/>
                          <w:color w:val="FFFFFF" w:themeColor="background1"/>
                        </w:rPr>
                        <w:t xml:space="preserve">. </w:t>
                      </w:r>
                      <w:r w:rsidR="00442B24">
                        <w:rPr>
                          <w:rFonts w:ascii="Segoe UI" w:hAnsi="Segoe UI" w:cs="Segoe UI"/>
                          <w:b/>
                          <w:bCs/>
                          <w:color w:val="FFFFFF" w:themeColor="background1"/>
                        </w:rPr>
                        <w:t xml:space="preserve">Ressources humaines : une </w:t>
                      </w:r>
                      <w:r w:rsidR="00795258">
                        <w:rPr>
                          <w:rFonts w:ascii="Segoe UI" w:hAnsi="Segoe UI" w:cs="Segoe UI"/>
                          <w:b/>
                          <w:bCs/>
                          <w:color w:val="FFFFFF" w:themeColor="background1"/>
                        </w:rPr>
                        <w:t>contrainte grandissante</w:t>
                      </w:r>
                      <w:r w:rsidR="008905CA">
                        <w:rPr>
                          <w:rFonts w:ascii="Segoe UI" w:hAnsi="Segoe UI" w:cs="Segoe UI"/>
                          <w:b/>
                          <w:bCs/>
                          <w:color w:val="FFFFFF" w:themeColor="background1"/>
                        </w:rPr>
                        <w:t xml:space="preserve"> </w:t>
                      </w:r>
                    </w:p>
                  </w:txbxContent>
                </v:textbox>
                <w10:anchorlock/>
              </v:shape>
            </w:pict>
          </mc:Fallback>
        </mc:AlternateContent>
      </w:r>
    </w:p>
    <w:p w14:paraId="71C8746F" w14:textId="08AC865F" w:rsidR="00853B0B" w:rsidRPr="00D3573C" w:rsidRDefault="00795258" w:rsidP="00676E2F">
      <w:pPr>
        <w:spacing w:after="160" w:line="259" w:lineRule="auto"/>
        <w:jc w:val="both"/>
        <w:rPr>
          <w:sz w:val="22"/>
          <w:szCs w:val="22"/>
          <w:lang w:bidi="he-IL"/>
        </w:rPr>
      </w:pPr>
      <w:r>
        <w:rPr>
          <w:sz w:val="22"/>
          <w:szCs w:val="22"/>
          <w:lang w:bidi="he-IL"/>
        </w:rPr>
        <w:t>L</w:t>
      </w:r>
      <w:r w:rsidR="00853B0B" w:rsidRPr="00D3573C">
        <w:rPr>
          <w:sz w:val="22"/>
          <w:szCs w:val="22"/>
          <w:lang w:bidi="he-IL"/>
        </w:rPr>
        <w:t xml:space="preserve">e panorama des employés </w:t>
      </w:r>
      <w:r w:rsidR="00676E2F" w:rsidRPr="00D3573C">
        <w:rPr>
          <w:sz w:val="22"/>
          <w:szCs w:val="22"/>
          <w:lang w:bidi="he-IL"/>
        </w:rPr>
        <w:t xml:space="preserve">du secteur </w:t>
      </w:r>
      <w:r>
        <w:rPr>
          <w:sz w:val="22"/>
          <w:szCs w:val="22"/>
          <w:lang w:bidi="he-IL"/>
        </w:rPr>
        <w:t xml:space="preserve">haute technologie </w:t>
      </w:r>
      <w:r w:rsidR="00853B0B" w:rsidRPr="00D3573C">
        <w:rPr>
          <w:sz w:val="22"/>
          <w:szCs w:val="22"/>
          <w:lang w:bidi="he-IL"/>
        </w:rPr>
        <w:t xml:space="preserve">ne reflète </w:t>
      </w:r>
      <w:r w:rsidR="00676E2F" w:rsidRPr="00D3573C">
        <w:rPr>
          <w:sz w:val="22"/>
          <w:szCs w:val="22"/>
          <w:lang w:bidi="he-IL"/>
        </w:rPr>
        <w:t xml:space="preserve">ni </w:t>
      </w:r>
      <w:r w:rsidR="00853B0B" w:rsidRPr="00D3573C">
        <w:rPr>
          <w:sz w:val="22"/>
          <w:szCs w:val="22"/>
          <w:lang w:bidi="he-IL"/>
        </w:rPr>
        <w:t xml:space="preserve">la </w:t>
      </w:r>
      <w:r w:rsidR="00676E2F" w:rsidRPr="00D3573C">
        <w:rPr>
          <w:sz w:val="22"/>
          <w:szCs w:val="22"/>
          <w:lang w:bidi="he-IL"/>
        </w:rPr>
        <w:t xml:space="preserve">structure sociale </w:t>
      </w:r>
      <w:r w:rsidR="00853B0B" w:rsidRPr="00D3573C">
        <w:rPr>
          <w:sz w:val="22"/>
          <w:szCs w:val="22"/>
          <w:lang w:bidi="he-IL"/>
        </w:rPr>
        <w:t>israélienne</w:t>
      </w:r>
      <w:r w:rsidR="00997893" w:rsidRPr="00D3573C">
        <w:rPr>
          <w:sz w:val="22"/>
          <w:szCs w:val="22"/>
          <w:lang w:bidi="he-IL"/>
        </w:rPr>
        <w:t xml:space="preserve"> ni le taux de féminisation</w:t>
      </w:r>
      <w:r w:rsidR="00676E2F" w:rsidRPr="00D3573C">
        <w:rPr>
          <w:sz w:val="22"/>
          <w:szCs w:val="22"/>
          <w:lang w:bidi="he-IL"/>
        </w:rPr>
        <w:t xml:space="preserve"> de l’économie </w:t>
      </w:r>
      <w:r>
        <w:rPr>
          <w:sz w:val="22"/>
          <w:szCs w:val="22"/>
          <w:lang w:bidi="he-IL"/>
        </w:rPr>
        <w:t xml:space="preserve">du pays </w:t>
      </w:r>
      <w:r w:rsidR="00676E2F" w:rsidRPr="00D3573C">
        <w:rPr>
          <w:sz w:val="22"/>
          <w:szCs w:val="22"/>
          <w:lang w:bidi="he-IL"/>
        </w:rPr>
        <w:t>au sens large</w:t>
      </w:r>
      <w:r w:rsidR="00853B0B" w:rsidRPr="00D3573C">
        <w:rPr>
          <w:sz w:val="22"/>
          <w:szCs w:val="22"/>
          <w:lang w:bidi="he-IL"/>
        </w:rPr>
        <w:t>.</w:t>
      </w:r>
    </w:p>
    <w:p w14:paraId="6E6D45AA" w14:textId="5B1EEC86" w:rsidR="00260293" w:rsidRPr="00D3573C" w:rsidRDefault="00795258" w:rsidP="00676E2F">
      <w:pPr>
        <w:spacing w:after="160" w:line="259" w:lineRule="auto"/>
        <w:jc w:val="both"/>
        <w:rPr>
          <w:sz w:val="22"/>
          <w:szCs w:val="22"/>
          <w:lang w:bidi="he-IL"/>
        </w:rPr>
      </w:pPr>
      <w:r>
        <w:rPr>
          <w:sz w:val="22"/>
          <w:szCs w:val="22"/>
          <w:lang w:bidi="he-IL"/>
        </w:rPr>
        <w:t>S</w:t>
      </w:r>
      <w:r w:rsidR="00EB6382" w:rsidRPr="00D3573C">
        <w:rPr>
          <w:sz w:val="22"/>
          <w:szCs w:val="22"/>
          <w:lang w:bidi="he-IL"/>
        </w:rPr>
        <w:t>eul</w:t>
      </w:r>
      <w:r>
        <w:rPr>
          <w:sz w:val="22"/>
          <w:szCs w:val="22"/>
          <w:lang w:bidi="he-IL"/>
        </w:rPr>
        <w:t>s</w:t>
      </w:r>
      <w:r w:rsidR="00EB6382" w:rsidRPr="00D3573C">
        <w:rPr>
          <w:sz w:val="22"/>
          <w:szCs w:val="22"/>
          <w:lang w:bidi="he-IL"/>
        </w:rPr>
        <w:t xml:space="preserve"> 13% des postes stratégiques sont détenus par des femmes. </w:t>
      </w:r>
      <w:r w:rsidR="00EB6382" w:rsidRPr="00D3573C">
        <w:rPr>
          <w:b/>
          <w:bCs/>
          <w:sz w:val="22"/>
          <w:szCs w:val="22"/>
          <w:lang w:bidi="he-IL"/>
        </w:rPr>
        <w:t>Depuis 2018, 14,7% des start-ups israéliennes ont été créées par des femmes</w:t>
      </w:r>
      <w:r w:rsidR="00774A9C" w:rsidRPr="00D3573C">
        <w:rPr>
          <w:b/>
          <w:bCs/>
          <w:sz w:val="22"/>
          <w:szCs w:val="22"/>
          <w:lang w:bidi="he-IL"/>
        </w:rPr>
        <w:t xml:space="preserve"> exclusivement</w:t>
      </w:r>
      <w:r w:rsidR="00EB6382" w:rsidRPr="00D3573C">
        <w:rPr>
          <w:b/>
          <w:bCs/>
          <w:sz w:val="22"/>
          <w:szCs w:val="22"/>
          <w:lang w:bidi="he-IL"/>
        </w:rPr>
        <w:t xml:space="preserve"> et 6,7% </w:t>
      </w:r>
      <w:r w:rsidR="00080166">
        <w:rPr>
          <w:b/>
          <w:bCs/>
          <w:sz w:val="22"/>
          <w:szCs w:val="22"/>
          <w:lang w:bidi="he-IL"/>
        </w:rPr>
        <w:t>l’ont été en partenariat</w:t>
      </w:r>
      <w:r w:rsidR="00EB6382" w:rsidRPr="00D3573C">
        <w:rPr>
          <w:b/>
          <w:bCs/>
          <w:sz w:val="22"/>
          <w:szCs w:val="22"/>
          <w:lang w:bidi="he-IL"/>
        </w:rPr>
        <w:t xml:space="preserve"> avec des hommes. Ces start-ups </w:t>
      </w:r>
      <w:r>
        <w:rPr>
          <w:b/>
          <w:bCs/>
          <w:sz w:val="22"/>
          <w:szCs w:val="22"/>
          <w:lang w:bidi="he-IL"/>
        </w:rPr>
        <w:t>« féminisées » bénéficient de</w:t>
      </w:r>
      <w:r w:rsidR="00EB6382" w:rsidRPr="00D3573C">
        <w:rPr>
          <w:b/>
          <w:bCs/>
          <w:sz w:val="22"/>
          <w:szCs w:val="22"/>
          <w:lang w:bidi="he-IL"/>
        </w:rPr>
        <w:t xml:space="preserve"> levées de fond</w:t>
      </w:r>
      <w:r>
        <w:rPr>
          <w:b/>
          <w:bCs/>
          <w:sz w:val="22"/>
          <w:szCs w:val="22"/>
          <w:lang w:bidi="he-IL"/>
        </w:rPr>
        <w:t>s</w:t>
      </w:r>
      <w:r w:rsidR="00EB6382" w:rsidRPr="00D3573C">
        <w:rPr>
          <w:b/>
          <w:bCs/>
          <w:sz w:val="22"/>
          <w:szCs w:val="22"/>
          <w:lang w:bidi="he-IL"/>
        </w:rPr>
        <w:t xml:space="preserve"> </w:t>
      </w:r>
      <w:r w:rsidR="00676E2F" w:rsidRPr="00D3573C">
        <w:rPr>
          <w:b/>
          <w:bCs/>
          <w:sz w:val="22"/>
          <w:szCs w:val="22"/>
          <w:lang w:bidi="he-IL"/>
        </w:rPr>
        <w:t xml:space="preserve">moins importantes </w:t>
      </w:r>
      <w:r w:rsidR="00EB6382" w:rsidRPr="00D3573C">
        <w:rPr>
          <w:b/>
          <w:bCs/>
          <w:sz w:val="22"/>
          <w:szCs w:val="22"/>
          <w:lang w:bidi="he-IL"/>
        </w:rPr>
        <w:t xml:space="preserve">et </w:t>
      </w:r>
      <w:r>
        <w:rPr>
          <w:b/>
          <w:bCs/>
          <w:sz w:val="22"/>
          <w:szCs w:val="22"/>
          <w:lang w:bidi="he-IL"/>
        </w:rPr>
        <w:t xml:space="preserve">se situent à </w:t>
      </w:r>
      <w:r w:rsidR="00EB6382" w:rsidRPr="00D3573C">
        <w:rPr>
          <w:b/>
          <w:bCs/>
          <w:sz w:val="22"/>
          <w:szCs w:val="22"/>
          <w:lang w:bidi="he-IL"/>
        </w:rPr>
        <w:t xml:space="preserve">des stades </w:t>
      </w:r>
      <w:r>
        <w:rPr>
          <w:b/>
          <w:bCs/>
          <w:sz w:val="22"/>
          <w:szCs w:val="22"/>
          <w:lang w:bidi="he-IL"/>
        </w:rPr>
        <w:t>moins</w:t>
      </w:r>
      <w:r w:rsidR="00676E2F" w:rsidRPr="00D3573C">
        <w:rPr>
          <w:b/>
          <w:bCs/>
          <w:sz w:val="22"/>
          <w:szCs w:val="22"/>
          <w:lang w:bidi="he-IL"/>
        </w:rPr>
        <w:t xml:space="preserve"> avancés</w:t>
      </w:r>
      <w:r w:rsidR="00EB6382" w:rsidRPr="00D3573C">
        <w:rPr>
          <w:b/>
          <w:bCs/>
          <w:sz w:val="22"/>
          <w:szCs w:val="22"/>
          <w:lang w:bidi="he-IL"/>
        </w:rPr>
        <w:t xml:space="preserve"> que celles dirigées </w:t>
      </w:r>
      <w:r w:rsidR="00676E2F" w:rsidRPr="00D3573C">
        <w:rPr>
          <w:b/>
          <w:bCs/>
          <w:sz w:val="22"/>
          <w:szCs w:val="22"/>
          <w:lang w:bidi="he-IL"/>
        </w:rPr>
        <w:t xml:space="preserve">exclusivement </w:t>
      </w:r>
      <w:r w:rsidR="00EB6382" w:rsidRPr="00D3573C">
        <w:rPr>
          <w:b/>
          <w:bCs/>
          <w:sz w:val="22"/>
          <w:szCs w:val="22"/>
          <w:lang w:bidi="he-IL"/>
        </w:rPr>
        <w:t>par des hommes</w:t>
      </w:r>
      <w:r w:rsidR="00EB6382" w:rsidRPr="00D3573C">
        <w:rPr>
          <w:sz w:val="22"/>
          <w:szCs w:val="22"/>
          <w:lang w:bidi="he-IL"/>
        </w:rPr>
        <w:t xml:space="preserve">. </w:t>
      </w:r>
    </w:p>
    <w:p w14:paraId="1A7668B9" w14:textId="7B9B855B" w:rsidR="004C4390" w:rsidRDefault="00835927" w:rsidP="0000175D">
      <w:pPr>
        <w:spacing w:after="160" w:line="259" w:lineRule="auto"/>
        <w:jc w:val="both"/>
        <w:rPr>
          <w:sz w:val="22"/>
          <w:szCs w:val="22"/>
          <w:lang w:bidi="he-IL"/>
        </w:rPr>
      </w:pPr>
      <w:r w:rsidRPr="00D3573C">
        <w:rPr>
          <w:sz w:val="22"/>
          <w:szCs w:val="22"/>
          <w:lang w:bidi="he-IL"/>
        </w:rPr>
        <w:t>L</w:t>
      </w:r>
      <w:r w:rsidR="00260293" w:rsidRPr="00D3573C">
        <w:rPr>
          <w:sz w:val="22"/>
          <w:szCs w:val="22"/>
          <w:lang w:bidi="he-IL"/>
        </w:rPr>
        <w:t>’intégration de</w:t>
      </w:r>
      <w:r w:rsidR="003E2C2F">
        <w:rPr>
          <w:sz w:val="22"/>
          <w:szCs w:val="22"/>
          <w:lang w:bidi="he-IL"/>
        </w:rPr>
        <w:t xml:space="preserve"> certains </w:t>
      </w:r>
      <w:r w:rsidR="00260293" w:rsidRPr="00D3573C">
        <w:rPr>
          <w:sz w:val="22"/>
          <w:szCs w:val="22"/>
          <w:lang w:bidi="he-IL"/>
        </w:rPr>
        <w:t>groupes culturel</w:t>
      </w:r>
      <w:r w:rsidRPr="00D3573C">
        <w:rPr>
          <w:sz w:val="22"/>
          <w:szCs w:val="22"/>
          <w:lang w:bidi="he-IL"/>
        </w:rPr>
        <w:t>s</w:t>
      </w:r>
      <w:r w:rsidR="00260293" w:rsidRPr="00D3573C">
        <w:rPr>
          <w:sz w:val="22"/>
          <w:szCs w:val="22"/>
          <w:lang w:bidi="he-IL"/>
        </w:rPr>
        <w:t xml:space="preserve"> et religieux pose </w:t>
      </w:r>
      <w:r w:rsidRPr="00D3573C">
        <w:rPr>
          <w:sz w:val="22"/>
          <w:szCs w:val="22"/>
          <w:lang w:bidi="he-IL"/>
        </w:rPr>
        <w:t xml:space="preserve">aussi </w:t>
      </w:r>
      <w:r w:rsidR="00260293" w:rsidRPr="00D3573C">
        <w:rPr>
          <w:sz w:val="22"/>
          <w:szCs w:val="22"/>
          <w:lang w:bidi="he-IL"/>
        </w:rPr>
        <w:t xml:space="preserve">problème. </w:t>
      </w:r>
      <w:r w:rsidRPr="00D3573C">
        <w:rPr>
          <w:sz w:val="22"/>
          <w:szCs w:val="22"/>
          <w:lang w:bidi="he-IL"/>
        </w:rPr>
        <w:t xml:space="preserve">La communauté arabe </w:t>
      </w:r>
      <w:r w:rsidR="00260293" w:rsidRPr="00D3573C">
        <w:rPr>
          <w:sz w:val="22"/>
          <w:szCs w:val="22"/>
          <w:lang w:bidi="he-IL"/>
        </w:rPr>
        <w:t xml:space="preserve">représente 20% de la population </w:t>
      </w:r>
      <w:r w:rsidRPr="00D3573C">
        <w:rPr>
          <w:sz w:val="22"/>
          <w:szCs w:val="22"/>
          <w:lang w:bidi="he-IL"/>
        </w:rPr>
        <w:t>d’Israël mais</w:t>
      </w:r>
      <w:r w:rsidR="00260293" w:rsidRPr="00D3573C">
        <w:rPr>
          <w:sz w:val="22"/>
          <w:szCs w:val="22"/>
          <w:lang w:bidi="he-IL"/>
        </w:rPr>
        <w:t xml:space="preserve"> 2% des employés d</w:t>
      </w:r>
      <w:r w:rsidRPr="00D3573C">
        <w:rPr>
          <w:sz w:val="22"/>
          <w:szCs w:val="22"/>
          <w:lang w:bidi="he-IL"/>
        </w:rPr>
        <w:t>e</w:t>
      </w:r>
      <w:r w:rsidR="00260293" w:rsidRPr="00D3573C">
        <w:rPr>
          <w:sz w:val="22"/>
          <w:szCs w:val="22"/>
          <w:lang w:bidi="he-IL"/>
        </w:rPr>
        <w:t xml:space="preserve"> la tech</w:t>
      </w:r>
      <w:r w:rsidR="00EC25E2" w:rsidRPr="00D3573C">
        <w:rPr>
          <w:sz w:val="22"/>
          <w:szCs w:val="22"/>
          <w:lang w:bidi="he-IL"/>
        </w:rPr>
        <w:t>.</w:t>
      </w:r>
      <w:r w:rsidR="00595079" w:rsidRPr="00D3573C">
        <w:rPr>
          <w:sz w:val="22"/>
          <w:szCs w:val="22"/>
          <w:lang w:bidi="he-IL"/>
        </w:rPr>
        <w:t xml:space="preserve"> </w:t>
      </w:r>
      <w:r w:rsidR="00080166">
        <w:rPr>
          <w:sz w:val="22"/>
          <w:szCs w:val="22"/>
          <w:lang w:bidi="he-IL"/>
        </w:rPr>
        <w:t>L</w:t>
      </w:r>
      <w:r w:rsidR="00595079" w:rsidRPr="00D3573C">
        <w:rPr>
          <w:sz w:val="22"/>
          <w:szCs w:val="22"/>
          <w:lang w:bidi="he-IL"/>
        </w:rPr>
        <w:t xml:space="preserve">a population </w:t>
      </w:r>
      <w:r w:rsidR="007D3A41">
        <w:rPr>
          <w:sz w:val="22"/>
          <w:szCs w:val="22"/>
          <w:lang w:bidi="he-IL"/>
        </w:rPr>
        <w:t>ultra-orthodoxe</w:t>
      </w:r>
      <w:r w:rsidR="00595079" w:rsidRPr="00D3573C">
        <w:rPr>
          <w:sz w:val="22"/>
          <w:szCs w:val="22"/>
          <w:lang w:bidi="he-IL"/>
        </w:rPr>
        <w:t xml:space="preserve"> représente 1</w:t>
      </w:r>
      <w:r w:rsidR="00BA778B">
        <w:rPr>
          <w:sz w:val="22"/>
          <w:szCs w:val="22"/>
          <w:lang w:bidi="he-IL"/>
        </w:rPr>
        <w:t>3</w:t>
      </w:r>
      <w:r w:rsidR="00595079" w:rsidRPr="00D3573C">
        <w:rPr>
          <w:sz w:val="22"/>
          <w:szCs w:val="22"/>
          <w:lang w:bidi="he-IL"/>
        </w:rPr>
        <w:t>% de la population mais 3,3% de la main d’œuvre dans la tech.</w:t>
      </w:r>
      <w:r w:rsidR="00935FA0">
        <w:rPr>
          <w:sz w:val="22"/>
          <w:szCs w:val="22"/>
          <w:lang w:bidi="he-IL"/>
        </w:rPr>
        <w:t xml:space="preserve"> </w:t>
      </w:r>
      <w:r w:rsidR="003E2C2F">
        <w:rPr>
          <w:sz w:val="22"/>
          <w:szCs w:val="22"/>
          <w:lang w:bidi="he-IL"/>
        </w:rPr>
        <w:t xml:space="preserve">La </w:t>
      </w:r>
      <w:r w:rsidR="00670A46" w:rsidRPr="00D3573C">
        <w:rPr>
          <w:sz w:val="22"/>
          <w:szCs w:val="22"/>
          <w:lang w:bidi="he-IL"/>
        </w:rPr>
        <w:t xml:space="preserve">volonté </w:t>
      </w:r>
      <w:r w:rsidR="003E2C2F">
        <w:rPr>
          <w:sz w:val="22"/>
          <w:szCs w:val="22"/>
          <w:lang w:bidi="he-IL"/>
        </w:rPr>
        <w:t xml:space="preserve">politique </w:t>
      </w:r>
      <w:r w:rsidR="00670A46" w:rsidRPr="00D3573C">
        <w:rPr>
          <w:sz w:val="22"/>
          <w:szCs w:val="22"/>
          <w:lang w:bidi="he-IL"/>
        </w:rPr>
        <w:t xml:space="preserve">de diversifier les </w:t>
      </w:r>
      <w:r w:rsidR="00D15E7E">
        <w:rPr>
          <w:sz w:val="22"/>
          <w:szCs w:val="22"/>
          <w:lang w:bidi="he-IL"/>
        </w:rPr>
        <w:t xml:space="preserve">origines des travailleurs </w:t>
      </w:r>
      <w:r w:rsidR="003E2C2F">
        <w:rPr>
          <w:sz w:val="22"/>
          <w:szCs w:val="22"/>
          <w:lang w:bidi="he-IL"/>
        </w:rPr>
        <w:t xml:space="preserve">dans ce secteur </w:t>
      </w:r>
      <w:r w:rsidR="00670A46" w:rsidRPr="00D3573C">
        <w:rPr>
          <w:sz w:val="22"/>
          <w:szCs w:val="22"/>
          <w:lang w:bidi="he-IL"/>
        </w:rPr>
        <w:t>vise à pa</w:t>
      </w:r>
      <w:r w:rsidR="00D15E7E">
        <w:rPr>
          <w:sz w:val="22"/>
          <w:szCs w:val="22"/>
          <w:lang w:bidi="he-IL"/>
        </w:rPr>
        <w:t>l</w:t>
      </w:r>
      <w:r w:rsidR="00670A46" w:rsidRPr="00D3573C">
        <w:rPr>
          <w:sz w:val="22"/>
          <w:szCs w:val="22"/>
          <w:lang w:bidi="he-IL"/>
        </w:rPr>
        <w:t>lier le manque de profils qualifié</w:t>
      </w:r>
      <w:r w:rsidR="00AC3DD2" w:rsidRPr="00D3573C">
        <w:rPr>
          <w:sz w:val="22"/>
          <w:szCs w:val="22"/>
          <w:lang w:bidi="he-IL"/>
        </w:rPr>
        <w:t>s</w:t>
      </w:r>
      <w:r w:rsidR="00670A46" w:rsidRPr="00D3573C">
        <w:rPr>
          <w:sz w:val="22"/>
          <w:szCs w:val="22"/>
          <w:lang w:bidi="he-IL"/>
        </w:rPr>
        <w:t xml:space="preserve">. </w:t>
      </w:r>
      <w:r w:rsidR="00D15E7E">
        <w:rPr>
          <w:b/>
          <w:bCs/>
          <w:sz w:val="22"/>
          <w:szCs w:val="22"/>
          <w:lang w:bidi="he-IL"/>
        </w:rPr>
        <w:t>P</w:t>
      </w:r>
      <w:r w:rsidR="00670A46" w:rsidRPr="00D3573C">
        <w:rPr>
          <w:b/>
          <w:bCs/>
          <w:sz w:val="22"/>
          <w:szCs w:val="22"/>
          <w:lang w:bidi="he-IL"/>
        </w:rPr>
        <w:t>lus de 13</w:t>
      </w:r>
      <w:r w:rsidR="004C4390">
        <w:rPr>
          <w:b/>
          <w:bCs/>
          <w:sz w:val="22"/>
          <w:szCs w:val="22"/>
          <w:lang w:bidi="he-IL"/>
        </w:rPr>
        <w:t xml:space="preserve"> </w:t>
      </w:r>
      <w:r w:rsidR="00670A46" w:rsidRPr="00D3573C">
        <w:rPr>
          <w:b/>
          <w:bCs/>
          <w:sz w:val="22"/>
          <w:szCs w:val="22"/>
          <w:lang w:bidi="he-IL"/>
        </w:rPr>
        <w:t xml:space="preserve">000 postes seraient à pourvoir </w:t>
      </w:r>
      <w:r w:rsidR="00791104">
        <w:rPr>
          <w:b/>
          <w:bCs/>
          <w:sz w:val="22"/>
          <w:szCs w:val="22"/>
          <w:lang w:bidi="he-IL"/>
        </w:rPr>
        <w:t xml:space="preserve">en permanence </w:t>
      </w:r>
      <w:r w:rsidR="00D15E7E">
        <w:rPr>
          <w:b/>
          <w:bCs/>
          <w:sz w:val="22"/>
          <w:szCs w:val="22"/>
          <w:lang w:bidi="he-IL"/>
        </w:rPr>
        <w:t xml:space="preserve">sur </w:t>
      </w:r>
      <w:r w:rsidR="006C0A58" w:rsidRPr="00D3573C">
        <w:rPr>
          <w:b/>
          <w:bCs/>
          <w:sz w:val="22"/>
          <w:szCs w:val="22"/>
          <w:lang w:bidi="he-IL"/>
        </w:rPr>
        <w:t>38</w:t>
      </w:r>
      <w:r w:rsidR="00791104">
        <w:rPr>
          <w:b/>
          <w:bCs/>
          <w:sz w:val="22"/>
          <w:szCs w:val="22"/>
          <w:lang w:bidi="he-IL"/>
        </w:rPr>
        <w:t>4</w:t>
      </w:r>
      <w:r w:rsidR="00D15E7E">
        <w:rPr>
          <w:b/>
          <w:bCs/>
          <w:sz w:val="22"/>
          <w:szCs w:val="22"/>
          <w:lang w:bidi="he-IL"/>
        </w:rPr>
        <w:t xml:space="preserve"> 0</w:t>
      </w:r>
      <w:r w:rsidR="006C0A58" w:rsidRPr="00D3573C">
        <w:rPr>
          <w:b/>
          <w:bCs/>
          <w:sz w:val="22"/>
          <w:szCs w:val="22"/>
          <w:lang w:bidi="he-IL"/>
        </w:rPr>
        <w:t>00 employés d</w:t>
      </w:r>
      <w:r w:rsidR="00D15E7E">
        <w:rPr>
          <w:b/>
          <w:bCs/>
          <w:sz w:val="22"/>
          <w:szCs w:val="22"/>
          <w:lang w:bidi="he-IL"/>
        </w:rPr>
        <w:t>u secteur</w:t>
      </w:r>
      <w:r w:rsidR="006C0A58" w:rsidRPr="00D3573C">
        <w:rPr>
          <w:sz w:val="22"/>
          <w:szCs w:val="22"/>
          <w:lang w:bidi="he-IL"/>
        </w:rPr>
        <w:t xml:space="preserve">. </w:t>
      </w:r>
      <w:r w:rsidR="00D15E7E">
        <w:rPr>
          <w:sz w:val="22"/>
          <w:szCs w:val="22"/>
          <w:lang w:bidi="he-IL"/>
        </w:rPr>
        <w:t>La pénurie de</w:t>
      </w:r>
      <w:r w:rsidR="006C0A58" w:rsidRPr="00D3573C">
        <w:rPr>
          <w:sz w:val="22"/>
          <w:szCs w:val="22"/>
          <w:lang w:bidi="he-IL"/>
        </w:rPr>
        <w:t xml:space="preserve"> main d’œuvre </w:t>
      </w:r>
      <w:r w:rsidR="00D15E7E">
        <w:rPr>
          <w:sz w:val="22"/>
          <w:szCs w:val="22"/>
          <w:lang w:bidi="he-IL"/>
        </w:rPr>
        <w:t xml:space="preserve">pousse </w:t>
      </w:r>
      <w:r w:rsidR="006C0A58" w:rsidRPr="00D3573C">
        <w:rPr>
          <w:sz w:val="22"/>
          <w:szCs w:val="22"/>
          <w:lang w:bidi="he-IL"/>
        </w:rPr>
        <w:t>les salaires</w:t>
      </w:r>
      <w:r w:rsidR="00D15E7E">
        <w:rPr>
          <w:sz w:val="22"/>
          <w:szCs w:val="22"/>
          <w:lang w:bidi="he-IL"/>
        </w:rPr>
        <w:t xml:space="preserve"> à la hausse</w:t>
      </w:r>
      <w:r w:rsidR="0044176A">
        <w:rPr>
          <w:sz w:val="22"/>
          <w:szCs w:val="22"/>
          <w:lang w:bidi="he-IL"/>
        </w:rPr>
        <w:t>. L</w:t>
      </w:r>
      <w:r w:rsidR="006C0A58" w:rsidRPr="00D3573C">
        <w:rPr>
          <w:sz w:val="22"/>
          <w:szCs w:val="22"/>
          <w:lang w:bidi="he-IL"/>
        </w:rPr>
        <w:t>e salaire mensuel moyen d</w:t>
      </w:r>
      <w:r w:rsidR="0044176A">
        <w:rPr>
          <w:sz w:val="22"/>
          <w:szCs w:val="22"/>
          <w:lang w:bidi="he-IL"/>
        </w:rPr>
        <w:t>ans</w:t>
      </w:r>
      <w:r w:rsidR="006C0A58" w:rsidRPr="00D3573C">
        <w:rPr>
          <w:sz w:val="22"/>
          <w:szCs w:val="22"/>
          <w:lang w:bidi="he-IL"/>
        </w:rPr>
        <w:t xml:space="preserve"> la tech en 2022 est de 30</w:t>
      </w:r>
      <w:r w:rsidR="00D15E7E">
        <w:rPr>
          <w:sz w:val="22"/>
          <w:szCs w:val="22"/>
          <w:lang w:bidi="he-IL"/>
        </w:rPr>
        <w:t xml:space="preserve"> </w:t>
      </w:r>
      <w:r w:rsidR="006C0A58" w:rsidRPr="00D3573C">
        <w:rPr>
          <w:sz w:val="22"/>
          <w:szCs w:val="22"/>
          <w:lang w:bidi="he-IL"/>
        </w:rPr>
        <w:t>049 ILS (8</w:t>
      </w:r>
      <w:r w:rsidR="00791104">
        <w:rPr>
          <w:sz w:val="22"/>
          <w:szCs w:val="22"/>
          <w:lang w:bidi="he-IL"/>
        </w:rPr>
        <w:t xml:space="preserve"> </w:t>
      </w:r>
      <w:r w:rsidR="006C0A58" w:rsidRPr="00D3573C">
        <w:rPr>
          <w:sz w:val="22"/>
          <w:szCs w:val="22"/>
          <w:lang w:bidi="he-IL"/>
        </w:rPr>
        <w:t>500 EUR), environ 3 fois le salaire mensuel moyen du pays (12</w:t>
      </w:r>
      <w:r w:rsidR="00D15E7E">
        <w:rPr>
          <w:sz w:val="22"/>
          <w:szCs w:val="22"/>
          <w:lang w:bidi="he-IL"/>
        </w:rPr>
        <w:t xml:space="preserve"> </w:t>
      </w:r>
      <w:r w:rsidR="006C0A58" w:rsidRPr="00D3573C">
        <w:rPr>
          <w:sz w:val="22"/>
          <w:szCs w:val="22"/>
          <w:lang w:bidi="he-IL"/>
        </w:rPr>
        <w:t xml:space="preserve">052 ILS). </w:t>
      </w:r>
    </w:p>
    <w:p w14:paraId="0529A620" w14:textId="148A15F9" w:rsidR="00E440A6" w:rsidRDefault="004C4390" w:rsidP="00916489">
      <w:pPr>
        <w:spacing w:after="160" w:line="259" w:lineRule="auto"/>
        <w:jc w:val="both"/>
        <w:rPr>
          <w:sz w:val="22"/>
          <w:szCs w:val="22"/>
          <w:lang w:bidi="he-IL"/>
        </w:rPr>
      </w:pPr>
      <w:r>
        <w:rPr>
          <w:sz w:val="22"/>
          <w:szCs w:val="22"/>
          <w:lang w:bidi="he-IL"/>
        </w:rPr>
        <w:t>Sous la contrainte du marché et compte tenu de l</w:t>
      </w:r>
      <w:r w:rsidR="00791104">
        <w:rPr>
          <w:sz w:val="22"/>
          <w:szCs w:val="22"/>
          <w:lang w:bidi="he-IL"/>
        </w:rPr>
        <w:t>a difficulté à</w:t>
      </w:r>
      <w:r>
        <w:rPr>
          <w:sz w:val="22"/>
          <w:szCs w:val="22"/>
          <w:lang w:bidi="he-IL"/>
        </w:rPr>
        <w:t xml:space="preserve"> faire venir des </w:t>
      </w:r>
      <w:r w:rsidR="003E2C2F">
        <w:rPr>
          <w:sz w:val="22"/>
          <w:szCs w:val="22"/>
          <w:lang w:bidi="he-IL"/>
        </w:rPr>
        <w:t xml:space="preserve">expatriés ou travailleurs temporaires </w:t>
      </w:r>
      <w:r>
        <w:rPr>
          <w:sz w:val="22"/>
          <w:szCs w:val="22"/>
          <w:lang w:bidi="he-IL"/>
        </w:rPr>
        <w:t xml:space="preserve">en Israël, plusieurs sociétés ont employé des programmeurs ou codeurs </w:t>
      </w:r>
      <w:r w:rsidR="003E2C2F">
        <w:rPr>
          <w:sz w:val="22"/>
          <w:szCs w:val="22"/>
          <w:lang w:bidi="he-IL"/>
        </w:rPr>
        <w:t>« </w:t>
      </w:r>
      <w:r>
        <w:rPr>
          <w:sz w:val="22"/>
          <w:szCs w:val="22"/>
          <w:lang w:bidi="he-IL"/>
        </w:rPr>
        <w:t>délocalisés</w:t>
      </w:r>
      <w:r w:rsidR="003E2C2F">
        <w:rPr>
          <w:sz w:val="22"/>
          <w:szCs w:val="22"/>
          <w:lang w:bidi="he-IL"/>
        </w:rPr>
        <w:t> »</w:t>
      </w:r>
      <w:r>
        <w:rPr>
          <w:sz w:val="22"/>
          <w:szCs w:val="22"/>
          <w:lang w:bidi="he-IL"/>
        </w:rPr>
        <w:t xml:space="preserve">. L’invasion de l’Ukraine par la Russie et les sanctions bancaires qui s’en sont suivies ont mis en évidence l’existence de quelques 30 000 </w:t>
      </w:r>
      <w:r w:rsidR="00F53D1C">
        <w:rPr>
          <w:sz w:val="22"/>
          <w:szCs w:val="22"/>
          <w:lang w:bidi="he-IL"/>
        </w:rPr>
        <w:t xml:space="preserve">personnes travaillant en sous-traitance dans ces </w:t>
      </w:r>
      <w:r w:rsidR="003E2C2F">
        <w:rPr>
          <w:sz w:val="22"/>
          <w:szCs w:val="22"/>
          <w:lang w:bidi="he-IL"/>
        </w:rPr>
        <w:t xml:space="preserve">deux </w:t>
      </w:r>
      <w:r w:rsidR="00F53D1C">
        <w:rPr>
          <w:sz w:val="22"/>
          <w:szCs w:val="22"/>
          <w:lang w:bidi="he-IL"/>
        </w:rPr>
        <w:t>pays.</w:t>
      </w:r>
      <w:r>
        <w:rPr>
          <w:sz w:val="22"/>
          <w:szCs w:val="22"/>
          <w:lang w:bidi="he-IL"/>
        </w:rPr>
        <w:t xml:space="preserve"> </w:t>
      </w:r>
    </w:p>
    <w:p w14:paraId="39E88D42" w14:textId="77777777" w:rsidR="00FE0935" w:rsidRPr="00916489" w:rsidRDefault="00FE0935" w:rsidP="00916489">
      <w:pPr>
        <w:spacing w:after="160" w:line="259" w:lineRule="auto"/>
        <w:jc w:val="both"/>
        <w:rPr>
          <w:sz w:val="22"/>
          <w:szCs w:val="22"/>
          <w:lang w:bidi="he-IL"/>
        </w:rPr>
      </w:pPr>
    </w:p>
    <w:p w14:paraId="2155DEC3" w14:textId="73EAF959" w:rsidR="006B3E51" w:rsidRPr="006B3E51" w:rsidRDefault="006B3E51" w:rsidP="006B3E51">
      <w:pPr>
        <w:tabs>
          <w:tab w:val="left" w:pos="2265"/>
        </w:tabs>
        <w:jc w:val="center"/>
        <w:rPr>
          <w:b/>
          <w:bCs/>
          <w:sz w:val="32"/>
          <w:szCs w:val="32"/>
          <w:lang w:bidi="he-IL"/>
        </w:rPr>
      </w:pPr>
      <w:r w:rsidRPr="006B3E51">
        <w:rPr>
          <w:b/>
          <w:bCs/>
          <w:sz w:val="32"/>
          <w:szCs w:val="32"/>
          <w:lang w:bidi="he-IL"/>
        </w:rPr>
        <w:t>Annexe</w:t>
      </w:r>
      <w:r w:rsidR="00D433D1">
        <w:rPr>
          <w:b/>
          <w:bCs/>
          <w:sz w:val="32"/>
          <w:szCs w:val="32"/>
          <w:lang w:bidi="he-IL"/>
        </w:rPr>
        <w:t xml:space="preserve"> 1 : Graphiques</w:t>
      </w:r>
    </w:p>
    <w:p w14:paraId="0EA19603" w14:textId="62C5831C" w:rsidR="006B3E51" w:rsidRDefault="006B3E51" w:rsidP="00391F4D">
      <w:pPr>
        <w:rPr>
          <w:rFonts w:ascii="Arial" w:hAnsi="Arial" w:cs="Arial"/>
          <w:b/>
          <w:bCs/>
          <w:sz w:val="22"/>
          <w:szCs w:val="22"/>
        </w:rPr>
      </w:pPr>
    </w:p>
    <w:p w14:paraId="02243EF7" w14:textId="39813B0D" w:rsidR="002A70DF" w:rsidRDefault="0027312E" w:rsidP="0027312E">
      <w:pPr>
        <w:jc w:val="center"/>
        <w:rPr>
          <w:rFonts w:ascii="Arial" w:hAnsi="Arial" w:cs="Arial"/>
          <w:b/>
          <w:bCs/>
          <w:sz w:val="22"/>
          <w:szCs w:val="22"/>
        </w:rPr>
      </w:pPr>
      <w:r>
        <w:rPr>
          <w:noProof/>
        </w:rPr>
        <w:drawing>
          <wp:anchor distT="0" distB="0" distL="114300" distR="114300" simplePos="0" relativeHeight="251668480" behindDoc="0" locked="0" layoutInCell="1" allowOverlap="1" wp14:anchorId="325C374D" wp14:editId="067D1076">
            <wp:simplePos x="0" y="0"/>
            <wp:positionH relativeFrom="margin">
              <wp:align>right</wp:align>
            </wp:positionH>
            <wp:positionV relativeFrom="paragraph">
              <wp:posOffset>216535</wp:posOffset>
            </wp:positionV>
            <wp:extent cx="5772150" cy="2076450"/>
            <wp:effectExtent l="0" t="0" r="0" b="0"/>
            <wp:wrapTopAndBottom/>
            <wp:docPr id="32" name="Graphique 32">
              <a:extLst xmlns:a="http://schemas.openxmlformats.org/drawingml/2006/main">
                <a:ext uri="{FF2B5EF4-FFF2-40B4-BE49-F238E27FC236}">
                  <a16:creationId xmlns:a16="http://schemas.microsoft.com/office/drawing/2014/main" id="{51AF0984-AF89-4C64-BE59-47FA268B7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6B3E51">
        <w:rPr>
          <w:rFonts w:ascii="Arial" w:hAnsi="Arial" w:cs="Arial"/>
          <w:b/>
          <w:bCs/>
          <w:sz w:val="22"/>
          <w:szCs w:val="22"/>
        </w:rPr>
        <w:t xml:space="preserve">Graphique 1 : </w:t>
      </w:r>
      <w:r w:rsidR="002A70DF">
        <w:rPr>
          <w:rFonts w:ascii="Arial" w:hAnsi="Arial" w:cs="Arial"/>
          <w:b/>
          <w:bCs/>
          <w:sz w:val="22"/>
          <w:szCs w:val="22"/>
        </w:rPr>
        <w:t>Les investissements dans la tech israélienne 2015-2021</w:t>
      </w:r>
    </w:p>
    <w:p w14:paraId="384045DC" w14:textId="6747DEEA" w:rsidR="002A70DF" w:rsidRDefault="002A70DF" w:rsidP="00287B7E">
      <w:pPr>
        <w:rPr>
          <w:rFonts w:ascii="Arial" w:hAnsi="Arial" w:cs="Arial"/>
          <w:b/>
          <w:bCs/>
          <w:sz w:val="22"/>
          <w:szCs w:val="22"/>
        </w:rPr>
      </w:pPr>
    </w:p>
    <w:p w14:paraId="28207A40" w14:textId="390DB606" w:rsidR="006A6001" w:rsidRDefault="008F3E6C" w:rsidP="00470BD4">
      <w:pPr>
        <w:jc w:val="center"/>
        <w:rPr>
          <w:rFonts w:ascii="Arial" w:hAnsi="Arial" w:cs="Arial"/>
          <w:b/>
          <w:bCs/>
          <w:sz w:val="22"/>
          <w:szCs w:val="22"/>
        </w:rPr>
      </w:pPr>
      <w:r>
        <w:rPr>
          <w:noProof/>
        </w:rPr>
        <w:drawing>
          <wp:anchor distT="0" distB="0" distL="114300" distR="114300" simplePos="0" relativeHeight="251689984" behindDoc="0" locked="0" layoutInCell="1" allowOverlap="1" wp14:anchorId="527FF48D" wp14:editId="2870E9E5">
            <wp:simplePos x="0" y="0"/>
            <wp:positionH relativeFrom="margin">
              <wp:align>right</wp:align>
            </wp:positionH>
            <wp:positionV relativeFrom="paragraph">
              <wp:posOffset>345440</wp:posOffset>
            </wp:positionV>
            <wp:extent cx="5772150" cy="2381250"/>
            <wp:effectExtent l="0" t="0" r="0" b="0"/>
            <wp:wrapTopAndBottom/>
            <wp:docPr id="40" name="Graphique 40">
              <a:extLst xmlns:a="http://schemas.openxmlformats.org/drawingml/2006/main">
                <a:ext uri="{FF2B5EF4-FFF2-40B4-BE49-F238E27FC236}">
                  <a16:creationId xmlns:a16="http://schemas.microsoft.com/office/drawing/2014/main" id="{A539D4E3-0767-4AA8-A8AB-9C7D1856B6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rFonts w:ascii="Arial" w:hAnsi="Arial" w:cs="Arial"/>
          <w:b/>
          <w:bCs/>
          <w:sz w:val="22"/>
          <w:szCs w:val="22"/>
        </w:rPr>
        <w:t xml:space="preserve">Graphique </w:t>
      </w:r>
      <w:r w:rsidR="00391F4D">
        <w:rPr>
          <w:rFonts w:ascii="Arial" w:hAnsi="Arial" w:cs="Arial"/>
          <w:b/>
          <w:bCs/>
          <w:sz w:val="22"/>
          <w:szCs w:val="22"/>
        </w:rPr>
        <w:t>2</w:t>
      </w:r>
      <w:r>
        <w:rPr>
          <w:rFonts w:ascii="Arial" w:hAnsi="Arial" w:cs="Arial"/>
          <w:b/>
          <w:bCs/>
          <w:sz w:val="22"/>
          <w:szCs w:val="22"/>
        </w:rPr>
        <w:t> : Montant des investissements dans la tech israélienne par provenance 2015-2021</w:t>
      </w:r>
    </w:p>
    <w:p w14:paraId="1A0D21C1" w14:textId="77777777" w:rsidR="006A6001" w:rsidRDefault="006A6001" w:rsidP="006A6001">
      <w:pPr>
        <w:rPr>
          <w:rFonts w:ascii="Arial" w:hAnsi="Arial" w:cs="Arial"/>
          <w:b/>
          <w:bCs/>
          <w:sz w:val="22"/>
          <w:szCs w:val="22"/>
        </w:rPr>
      </w:pPr>
    </w:p>
    <w:p w14:paraId="2BE7A0FD" w14:textId="5E0CDBC5" w:rsidR="006A6001" w:rsidRDefault="006A6001" w:rsidP="00470BD4">
      <w:pPr>
        <w:jc w:val="center"/>
        <w:rPr>
          <w:rFonts w:ascii="Arial" w:hAnsi="Arial" w:cs="Arial"/>
          <w:b/>
          <w:bCs/>
          <w:sz w:val="22"/>
          <w:szCs w:val="22"/>
        </w:rPr>
      </w:pPr>
      <w:r>
        <w:rPr>
          <w:noProof/>
        </w:rPr>
        <w:lastRenderedPageBreak/>
        <w:drawing>
          <wp:anchor distT="0" distB="0" distL="114300" distR="114300" simplePos="0" relativeHeight="251694080" behindDoc="1" locked="0" layoutInCell="1" allowOverlap="1" wp14:anchorId="76E4A32F" wp14:editId="25274B45">
            <wp:simplePos x="0" y="0"/>
            <wp:positionH relativeFrom="margin">
              <wp:align>right</wp:align>
            </wp:positionH>
            <wp:positionV relativeFrom="paragraph">
              <wp:posOffset>367665</wp:posOffset>
            </wp:positionV>
            <wp:extent cx="5760720" cy="2590800"/>
            <wp:effectExtent l="0" t="0" r="11430" b="0"/>
            <wp:wrapSquare wrapText="bothSides"/>
            <wp:docPr id="37" name="Graphique 37">
              <a:extLst xmlns:a="http://schemas.openxmlformats.org/drawingml/2006/main">
                <a:ext uri="{FF2B5EF4-FFF2-40B4-BE49-F238E27FC236}">
                  <a16:creationId xmlns:a16="http://schemas.microsoft.com/office/drawing/2014/main" id="{1CE99BA3-4D17-43FD-98DE-21ED53C265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Pr>
          <w:rFonts w:ascii="Arial" w:hAnsi="Arial" w:cs="Arial"/>
          <w:b/>
          <w:bCs/>
          <w:sz w:val="22"/>
          <w:szCs w:val="22"/>
        </w:rPr>
        <w:t>Graphique 3 : Les investissements dans les différents domaines de la tech israélienne 2015-2021 (M USD)</w:t>
      </w:r>
    </w:p>
    <w:p w14:paraId="44FA75A5" w14:textId="152805D0" w:rsidR="00CA0958" w:rsidRPr="00470BD4" w:rsidRDefault="00C315E4" w:rsidP="006A6001">
      <w:pPr>
        <w:jc w:val="center"/>
        <w:rPr>
          <w:rFonts w:ascii="Arial" w:hAnsi="Arial" w:cs="Arial"/>
          <w:b/>
          <w:bCs/>
          <w:sz w:val="22"/>
          <w:szCs w:val="22"/>
        </w:rPr>
      </w:pPr>
      <w:r>
        <w:rPr>
          <w:noProof/>
        </w:rPr>
        <w:drawing>
          <wp:anchor distT="0" distB="0" distL="114300" distR="114300" simplePos="0" relativeHeight="251693056" behindDoc="0" locked="0" layoutInCell="1" allowOverlap="1" wp14:anchorId="79296F17" wp14:editId="5906803A">
            <wp:simplePos x="0" y="0"/>
            <wp:positionH relativeFrom="margin">
              <wp:align>right</wp:align>
            </wp:positionH>
            <wp:positionV relativeFrom="paragraph">
              <wp:posOffset>394970</wp:posOffset>
            </wp:positionV>
            <wp:extent cx="5741035" cy="4086225"/>
            <wp:effectExtent l="0" t="0" r="12065" b="9525"/>
            <wp:wrapTopAndBottom/>
            <wp:docPr id="5" name="Graphique 5">
              <a:extLst xmlns:a="http://schemas.openxmlformats.org/drawingml/2006/main">
                <a:ext uri="{FF2B5EF4-FFF2-40B4-BE49-F238E27FC236}">
                  <a16:creationId xmlns:a16="http://schemas.microsoft.com/office/drawing/2014/main" id="{136FFB2A-EADA-4197-9421-86E668AD8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CA0958">
        <w:rPr>
          <w:rFonts w:ascii="Arial" w:hAnsi="Arial" w:cs="Arial"/>
          <w:b/>
          <w:bCs/>
          <w:sz w:val="22"/>
          <w:szCs w:val="22"/>
        </w:rPr>
        <w:t xml:space="preserve">Graphique </w:t>
      </w:r>
      <w:r w:rsidR="006A6001">
        <w:rPr>
          <w:rFonts w:ascii="Arial" w:hAnsi="Arial" w:cs="Arial"/>
          <w:b/>
          <w:bCs/>
          <w:sz w:val="22"/>
          <w:szCs w:val="22"/>
        </w:rPr>
        <w:t>4</w:t>
      </w:r>
      <w:r w:rsidR="00CA0958">
        <w:rPr>
          <w:rFonts w:ascii="Arial" w:hAnsi="Arial" w:cs="Arial"/>
          <w:b/>
          <w:bCs/>
          <w:sz w:val="22"/>
          <w:szCs w:val="22"/>
        </w:rPr>
        <w:t xml:space="preserve"> : </w:t>
      </w:r>
      <w:r w:rsidR="00CA0958" w:rsidRPr="00CA0958">
        <w:rPr>
          <w:rFonts w:ascii="Arial" w:hAnsi="Arial" w:cs="Arial"/>
          <w:b/>
          <w:bCs/>
          <w:sz w:val="22"/>
          <w:szCs w:val="22"/>
        </w:rPr>
        <w:t>Montant des exits de start-ups israéliennes par catégories 2015-2021</w:t>
      </w:r>
      <w:r>
        <w:rPr>
          <w:rFonts w:ascii="Arial" w:hAnsi="Arial" w:cs="Arial"/>
          <w:b/>
          <w:bCs/>
          <w:sz w:val="22"/>
          <w:szCs w:val="22"/>
        </w:rPr>
        <w:t xml:space="preserve"> (M USD)</w:t>
      </w:r>
    </w:p>
    <w:p w14:paraId="78FF9E32" w14:textId="29DFB2B6" w:rsidR="00110FB0" w:rsidRPr="00CA0958" w:rsidRDefault="00110FB0" w:rsidP="00391F4D">
      <w:pPr>
        <w:rPr>
          <w:rFonts w:ascii="Arial" w:hAnsi="Arial" w:cs="Arial"/>
          <w:b/>
          <w:bCs/>
          <w:sz w:val="22"/>
          <w:szCs w:val="22"/>
        </w:rPr>
      </w:pPr>
    </w:p>
    <w:p w14:paraId="77E79F09" w14:textId="31AB928C" w:rsidR="00110FB0" w:rsidRDefault="00110FB0" w:rsidP="00110FB0">
      <w:pPr>
        <w:jc w:val="center"/>
        <w:rPr>
          <w:rFonts w:ascii="Arial" w:hAnsi="Arial" w:cs="Arial"/>
          <w:b/>
          <w:bCs/>
          <w:sz w:val="22"/>
          <w:szCs w:val="22"/>
        </w:rPr>
      </w:pPr>
      <w:r>
        <w:rPr>
          <w:rFonts w:ascii="Arial" w:hAnsi="Arial" w:cs="Arial"/>
          <w:b/>
          <w:bCs/>
          <w:sz w:val="22"/>
          <w:szCs w:val="22"/>
        </w:rPr>
        <w:t xml:space="preserve">Graphique </w:t>
      </w:r>
      <w:r w:rsidR="006A6001">
        <w:rPr>
          <w:rFonts w:ascii="Arial" w:hAnsi="Arial" w:cs="Arial"/>
          <w:b/>
          <w:bCs/>
          <w:sz w:val="22"/>
          <w:szCs w:val="22"/>
        </w:rPr>
        <w:t>5</w:t>
      </w:r>
      <w:r>
        <w:rPr>
          <w:rFonts w:ascii="Arial" w:hAnsi="Arial" w:cs="Arial"/>
          <w:b/>
          <w:bCs/>
          <w:sz w:val="22"/>
          <w:szCs w:val="22"/>
        </w:rPr>
        <w:t xml:space="preserve"> : </w:t>
      </w:r>
      <w:r w:rsidRPr="00110FB0">
        <w:rPr>
          <w:rFonts w:ascii="Arial" w:hAnsi="Arial" w:cs="Arial"/>
          <w:b/>
          <w:bCs/>
          <w:sz w:val="22"/>
          <w:szCs w:val="22"/>
        </w:rPr>
        <w:t xml:space="preserve">Montant des M&amp;A de l'high tech israélien par acquéreur 2015-2021 </w:t>
      </w:r>
    </w:p>
    <w:p w14:paraId="5B214492" w14:textId="59128342" w:rsidR="00D433D1" w:rsidRPr="006A6001" w:rsidRDefault="004600B4" w:rsidP="006A6001">
      <w:pPr>
        <w:jc w:val="center"/>
        <w:rPr>
          <w:rFonts w:ascii="Arial" w:hAnsi="Arial" w:cs="Arial"/>
          <w:b/>
          <w:bCs/>
          <w:sz w:val="22"/>
          <w:szCs w:val="22"/>
        </w:rPr>
      </w:pPr>
      <w:r>
        <w:rPr>
          <w:noProof/>
        </w:rPr>
        <w:lastRenderedPageBreak/>
        <w:drawing>
          <wp:anchor distT="0" distB="0" distL="114300" distR="114300" simplePos="0" relativeHeight="251678720" behindDoc="0" locked="0" layoutInCell="1" allowOverlap="1" wp14:anchorId="00D7E802" wp14:editId="22378066">
            <wp:simplePos x="0" y="0"/>
            <wp:positionH relativeFrom="margin">
              <wp:align>right</wp:align>
            </wp:positionH>
            <wp:positionV relativeFrom="paragraph">
              <wp:posOffset>257175</wp:posOffset>
            </wp:positionV>
            <wp:extent cx="5753100" cy="3609975"/>
            <wp:effectExtent l="0" t="0" r="0" b="9525"/>
            <wp:wrapTopAndBottom/>
            <wp:docPr id="43" name="Graphique 43">
              <a:extLst xmlns:a="http://schemas.openxmlformats.org/drawingml/2006/main">
                <a:ext uri="{FF2B5EF4-FFF2-40B4-BE49-F238E27FC236}">
                  <a16:creationId xmlns:a16="http://schemas.microsoft.com/office/drawing/2014/main" id="{D7AE64F9-1A63-456B-AE66-2DEE91D804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10FB0" w:rsidRPr="00110FB0">
        <w:rPr>
          <w:rFonts w:ascii="Arial" w:hAnsi="Arial" w:cs="Arial"/>
          <w:b/>
          <w:bCs/>
          <w:sz w:val="22"/>
          <w:szCs w:val="22"/>
        </w:rPr>
        <w:t>(M USD</w:t>
      </w:r>
      <w:r w:rsidR="00110FB0">
        <w:rPr>
          <w:rFonts w:ascii="Arial" w:hAnsi="Arial" w:cs="Arial"/>
          <w:b/>
          <w:bCs/>
          <w:sz w:val="22"/>
          <w:szCs w:val="22"/>
        </w:rPr>
        <w:t>)</w:t>
      </w:r>
    </w:p>
    <w:sectPr w:rsidR="00D433D1" w:rsidRPr="006A6001">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83D4" w14:textId="77777777" w:rsidR="00BC3E96" w:rsidRDefault="00BC3E96" w:rsidP="006B3E51">
      <w:r>
        <w:separator/>
      </w:r>
    </w:p>
  </w:endnote>
  <w:endnote w:type="continuationSeparator" w:id="0">
    <w:p w14:paraId="6524395E" w14:textId="77777777" w:rsidR="00BC3E96" w:rsidRDefault="00BC3E96" w:rsidP="006B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91B2" w14:textId="723E2C7D" w:rsidR="00A03C3F" w:rsidRDefault="00A03C3F" w:rsidP="00A03C3F">
    <w:pPr>
      <w:pStyle w:val="Pieddepage"/>
      <w:jc w:val="center"/>
    </w:pPr>
    <w:r>
      <w:rPr>
        <w:rFonts w:ascii="Segoe UI" w:hAnsi="Segoe UI" w:cs="Segoe UI"/>
        <w:noProof/>
        <w:color w:val="006CE5"/>
        <w:u w:val="single"/>
        <w:lang w:eastAsia="fr-FR"/>
      </w:rPr>
      <w:drawing>
        <wp:anchor distT="0" distB="0" distL="114300" distR="114300" simplePos="0" relativeHeight="251660288" behindDoc="0" locked="0" layoutInCell="1" allowOverlap="1" wp14:anchorId="198BA340" wp14:editId="1D027C7C">
          <wp:simplePos x="0" y="0"/>
          <wp:positionH relativeFrom="column">
            <wp:posOffset>-658826</wp:posOffset>
          </wp:positionH>
          <wp:positionV relativeFrom="paragraph">
            <wp:posOffset>-23495</wp:posOffset>
          </wp:positionV>
          <wp:extent cx="809625" cy="409575"/>
          <wp:effectExtent l="0" t="0" r="9525" b="9525"/>
          <wp:wrapNone/>
          <wp:docPr id="9" name="Imag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t="24706" b="24706"/>
                  <a:stretch>
                    <a:fillRect/>
                  </a:stretch>
                </pic:blipFill>
                <pic:spPr bwMode="auto">
                  <a:xfrm>
                    <a:off x="0" y="0"/>
                    <a:ext cx="8096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noProof/>
        <w:color w:val="006CE5"/>
        <w:sz w:val="44"/>
        <w:szCs w:val="44"/>
        <w:lang w:eastAsia="fr-FR"/>
      </w:rPr>
      <mc:AlternateContent>
        <mc:Choice Requires="wps">
          <w:drawing>
            <wp:anchor distT="0" distB="0" distL="114300" distR="114300" simplePos="0" relativeHeight="251661312" behindDoc="0" locked="0" layoutInCell="1" allowOverlap="1" wp14:anchorId="036E574D" wp14:editId="3B17C591">
              <wp:simplePos x="0" y="0"/>
              <wp:positionH relativeFrom="column">
                <wp:posOffset>333375</wp:posOffset>
              </wp:positionH>
              <wp:positionV relativeFrom="paragraph">
                <wp:posOffset>38431</wp:posOffset>
              </wp:positionV>
              <wp:extent cx="0" cy="436245"/>
              <wp:effectExtent l="0" t="0" r="19050" b="20955"/>
              <wp:wrapNone/>
              <wp:docPr id="10" name="Connecteur droit 10"/>
              <wp:cNvGraphicFramePr/>
              <a:graphic xmlns:a="http://schemas.openxmlformats.org/drawingml/2006/main">
                <a:graphicData uri="http://schemas.microsoft.com/office/word/2010/wordprocessingShape">
                  <wps:wsp>
                    <wps:cNvCnPr/>
                    <wps:spPr>
                      <a:xfrm>
                        <a:off x="0" y="0"/>
                        <a:ext cx="0" cy="436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ED9E7" id="Connecteur droit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25pt,3.05pt" to="26.2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" strokecolor="#4472c4 [3204]" strokeweight=".5pt">
              <v:stroke joinstyle="miter"/>
            </v:line>
          </w:pict>
        </mc:Fallback>
      </mc:AlternateContent>
    </w:r>
    <w:r>
      <w:rPr>
        <w:rFonts w:ascii="Segoe UI" w:hAnsi="Segoe UI" w:cs="Segoe UI"/>
        <w:b/>
        <w:noProof/>
        <w:color w:val="006CE5"/>
        <w:sz w:val="44"/>
        <w:szCs w:val="44"/>
        <w:lang w:eastAsia="fr-FR"/>
      </w:rPr>
      <mc:AlternateContent>
        <mc:Choice Requires="wps">
          <w:drawing>
            <wp:anchor distT="0" distB="0" distL="114300" distR="114300" simplePos="0" relativeHeight="251659264" behindDoc="0" locked="0" layoutInCell="1" allowOverlap="1" wp14:anchorId="1A03260B" wp14:editId="05D729B9">
              <wp:simplePos x="0" y="0"/>
              <wp:positionH relativeFrom="page">
                <wp:align>left</wp:align>
              </wp:positionH>
              <wp:positionV relativeFrom="page">
                <wp:align>bottom</wp:align>
              </wp:positionV>
              <wp:extent cx="7779224" cy="122830"/>
              <wp:effectExtent l="0" t="0" r="0" b="0"/>
              <wp:wrapSquare wrapText="bothSides"/>
              <wp:docPr id="7" name="Rectangle 7"/>
              <wp:cNvGraphicFramePr/>
              <a:graphic xmlns:a="http://schemas.openxmlformats.org/drawingml/2006/main">
                <a:graphicData uri="http://schemas.microsoft.com/office/word/2010/wordprocessingShape">
                  <wps:wsp>
                    <wps:cNvSpPr/>
                    <wps:spPr>
                      <a:xfrm>
                        <a:off x="0" y="0"/>
                        <a:ext cx="7779224" cy="122830"/>
                      </a:xfrm>
                      <a:prstGeom prst="rect">
                        <a:avLst/>
                      </a:prstGeom>
                      <a:solidFill>
                        <a:srgbClr val="006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A26AB" id="Rectangle 7" o:spid="_x0000_s1026" style="position:absolute;margin-left:0;margin-top:0;width:612.55pt;height:9.6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" fillcolor="#006ce5" stroked="f" strokeweight="1pt">
              <w10:wrap type="square" anchorx="page" anchory="page"/>
            </v:rect>
          </w:pict>
        </mc:Fallback>
      </mc:AlternateContent>
    </w:r>
    <w:r>
      <w:t>Ambassade de France en Israël – S</w:t>
    </w:r>
    <w:r w:rsidR="000B73DC">
      <w:t xml:space="preserve">ervice </w:t>
    </w:r>
    <w:r>
      <w:t>E</w:t>
    </w:r>
    <w:r w:rsidR="000B73DC">
      <w:t>conomique</w:t>
    </w:r>
    <w:r>
      <w:t xml:space="preserve"> de Tel Aviv</w:t>
    </w:r>
  </w:p>
  <w:p w14:paraId="57948C01" w14:textId="1EAE4E15" w:rsidR="00A03C3F" w:rsidRDefault="00A03C3F">
    <w:pPr>
      <w:pStyle w:val="Pieddepage"/>
    </w:pPr>
  </w:p>
  <w:p w14:paraId="4D0BAC3B" w14:textId="77777777" w:rsidR="00A03C3F" w:rsidRDefault="00A03C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75CD" w14:textId="77777777" w:rsidR="00BC3E96" w:rsidRDefault="00BC3E96" w:rsidP="006B3E51">
      <w:r>
        <w:separator/>
      </w:r>
    </w:p>
  </w:footnote>
  <w:footnote w:type="continuationSeparator" w:id="0">
    <w:p w14:paraId="10FFC542" w14:textId="77777777" w:rsidR="00BC3E96" w:rsidRDefault="00BC3E96" w:rsidP="006B3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A027A"/>
    <w:multiLevelType w:val="hybridMultilevel"/>
    <w:tmpl w:val="2462389E"/>
    <w:lvl w:ilvl="0" w:tplc="8DDA8D16">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94"/>
    <w:rsid w:val="00000781"/>
    <w:rsid w:val="0000175D"/>
    <w:rsid w:val="00035693"/>
    <w:rsid w:val="00036173"/>
    <w:rsid w:val="00041688"/>
    <w:rsid w:val="000549AE"/>
    <w:rsid w:val="00080166"/>
    <w:rsid w:val="000B0FEE"/>
    <w:rsid w:val="000B73DC"/>
    <w:rsid w:val="000D12FC"/>
    <w:rsid w:val="000D56A9"/>
    <w:rsid w:val="000F3E94"/>
    <w:rsid w:val="000F523A"/>
    <w:rsid w:val="001023D8"/>
    <w:rsid w:val="001044A3"/>
    <w:rsid w:val="001059C4"/>
    <w:rsid w:val="00110FB0"/>
    <w:rsid w:val="00113D63"/>
    <w:rsid w:val="00122309"/>
    <w:rsid w:val="00131CFD"/>
    <w:rsid w:val="0015052B"/>
    <w:rsid w:val="00150FC7"/>
    <w:rsid w:val="001525C2"/>
    <w:rsid w:val="00166CAF"/>
    <w:rsid w:val="0017786A"/>
    <w:rsid w:val="001B2135"/>
    <w:rsid w:val="001B2C3E"/>
    <w:rsid w:val="001D1A6E"/>
    <w:rsid w:val="001E6068"/>
    <w:rsid w:val="001E7612"/>
    <w:rsid w:val="001F5617"/>
    <w:rsid w:val="00243C88"/>
    <w:rsid w:val="00256E54"/>
    <w:rsid w:val="00260293"/>
    <w:rsid w:val="00266D95"/>
    <w:rsid w:val="0027312E"/>
    <w:rsid w:val="00287B7E"/>
    <w:rsid w:val="002A70DF"/>
    <w:rsid w:val="002B030B"/>
    <w:rsid w:val="002B0D3A"/>
    <w:rsid w:val="002E31B3"/>
    <w:rsid w:val="002E5958"/>
    <w:rsid w:val="002E79F8"/>
    <w:rsid w:val="002F6FAB"/>
    <w:rsid w:val="002F78EE"/>
    <w:rsid w:val="00305CB3"/>
    <w:rsid w:val="0030674B"/>
    <w:rsid w:val="003076B4"/>
    <w:rsid w:val="00312982"/>
    <w:rsid w:val="00315052"/>
    <w:rsid w:val="00330D2C"/>
    <w:rsid w:val="00331595"/>
    <w:rsid w:val="00360B58"/>
    <w:rsid w:val="00377A76"/>
    <w:rsid w:val="00390CB9"/>
    <w:rsid w:val="00390CDD"/>
    <w:rsid w:val="00391F4D"/>
    <w:rsid w:val="00394035"/>
    <w:rsid w:val="003A02C6"/>
    <w:rsid w:val="003B075C"/>
    <w:rsid w:val="003C25DA"/>
    <w:rsid w:val="003E0F20"/>
    <w:rsid w:val="003E2C2F"/>
    <w:rsid w:val="003E4E08"/>
    <w:rsid w:val="003F048E"/>
    <w:rsid w:val="003F655E"/>
    <w:rsid w:val="004035D1"/>
    <w:rsid w:val="00413EB5"/>
    <w:rsid w:val="004153F4"/>
    <w:rsid w:val="00422EEF"/>
    <w:rsid w:val="0044176A"/>
    <w:rsid w:val="00442B24"/>
    <w:rsid w:val="004512F8"/>
    <w:rsid w:val="00452256"/>
    <w:rsid w:val="004600B4"/>
    <w:rsid w:val="004637A3"/>
    <w:rsid w:val="00466E86"/>
    <w:rsid w:val="00470BD4"/>
    <w:rsid w:val="00491BA5"/>
    <w:rsid w:val="00497C95"/>
    <w:rsid w:val="004A44B7"/>
    <w:rsid w:val="004B6471"/>
    <w:rsid w:val="004C4390"/>
    <w:rsid w:val="004D55FB"/>
    <w:rsid w:val="004D6C1F"/>
    <w:rsid w:val="00502D0D"/>
    <w:rsid w:val="00531A2E"/>
    <w:rsid w:val="00543060"/>
    <w:rsid w:val="00546D76"/>
    <w:rsid w:val="00552A41"/>
    <w:rsid w:val="00563128"/>
    <w:rsid w:val="0056476E"/>
    <w:rsid w:val="00574C90"/>
    <w:rsid w:val="00583705"/>
    <w:rsid w:val="00593CBD"/>
    <w:rsid w:val="00595079"/>
    <w:rsid w:val="005957D6"/>
    <w:rsid w:val="005A45E8"/>
    <w:rsid w:val="005C4289"/>
    <w:rsid w:val="005D2D4A"/>
    <w:rsid w:val="005D308D"/>
    <w:rsid w:val="005E064D"/>
    <w:rsid w:val="005E6D88"/>
    <w:rsid w:val="005F0F81"/>
    <w:rsid w:val="006029F5"/>
    <w:rsid w:val="006136D9"/>
    <w:rsid w:val="00617B81"/>
    <w:rsid w:val="006278E3"/>
    <w:rsid w:val="006410CD"/>
    <w:rsid w:val="0064348E"/>
    <w:rsid w:val="00654CB4"/>
    <w:rsid w:val="00661CB6"/>
    <w:rsid w:val="00666F0A"/>
    <w:rsid w:val="00670A46"/>
    <w:rsid w:val="006753BF"/>
    <w:rsid w:val="00676E2F"/>
    <w:rsid w:val="0069345D"/>
    <w:rsid w:val="006A38A3"/>
    <w:rsid w:val="006A6001"/>
    <w:rsid w:val="006B0918"/>
    <w:rsid w:val="006B20F1"/>
    <w:rsid w:val="006B3E51"/>
    <w:rsid w:val="006C0A58"/>
    <w:rsid w:val="006C290D"/>
    <w:rsid w:val="006C766C"/>
    <w:rsid w:val="006C76F2"/>
    <w:rsid w:val="006D795F"/>
    <w:rsid w:val="006E19EB"/>
    <w:rsid w:val="006F036F"/>
    <w:rsid w:val="0070123A"/>
    <w:rsid w:val="00714DA3"/>
    <w:rsid w:val="00721454"/>
    <w:rsid w:val="007301E7"/>
    <w:rsid w:val="0074515E"/>
    <w:rsid w:val="007736C6"/>
    <w:rsid w:val="00773E47"/>
    <w:rsid w:val="00774A9C"/>
    <w:rsid w:val="00784C16"/>
    <w:rsid w:val="00791104"/>
    <w:rsid w:val="00795258"/>
    <w:rsid w:val="007B41FF"/>
    <w:rsid w:val="007C002D"/>
    <w:rsid w:val="007D3A41"/>
    <w:rsid w:val="007F3C82"/>
    <w:rsid w:val="0081367B"/>
    <w:rsid w:val="00835927"/>
    <w:rsid w:val="008518D9"/>
    <w:rsid w:val="00853B0B"/>
    <w:rsid w:val="00865243"/>
    <w:rsid w:val="0086605F"/>
    <w:rsid w:val="00866C7E"/>
    <w:rsid w:val="008905CA"/>
    <w:rsid w:val="008B3A45"/>
    <w:rsid w:val="008B3B4E"/>
    <w:rsid w:val="008B4510"/>
    <w:rsid w:val="008F3E6C"/>
    <w:rsid w:val="00901637"/>
    <w:rsid w:val="0091313A"/>
    <w:rsid w:val="00916489"/>
    <w:rsid w:val="00923139"/>
    <w:rsid w:val="00935FA0"/>
    <w:rsid w:val="00936A13"/>
    <w:rsid w:val="00946D69"/>
    <w:rsid w:val="00956630"/>
    <w:rsid w:val="00967F7B"/>
    <w:rsid w:val="009803E0"/>
    <w:rsid w:val="00995069"/>
    <w:rsid w:val="0099700D"/>
    <w:rsid w:val="00997893"/>
    <w:rsid w:val="009A70CE"/>
    <w:rsid w:val="009B41ED"/>
    <w:rsid w:val="009C5892"/>
    <w:rsid w:val="00A03C3F"/>
    <w:rsid w:val="00A04A42"/>
    <w:rsid w:val="00A06629"/>
    <w:rsid w:val="00A06E7E"/>
    <w:rsid w:val="00A1164F"/>
    <w:rsid w:val="00A16DF7"/>
    <w:rsid w:val="00A1741B"/>
    <w:rsid w:val="00A3505B"/>
    <w:rsid w:val="00A361CB"/>
    <w:rsid w:val="00A43651"/>
    <w:rsid w:val="00A53137"/>
    <w:rsid w:val="00A62A85"/>
    <w:rsid w:val="00A655B4"/>
    <w:rsid w:val="00A71F6E"/>
    <w:rsid w:val="00A808F4"/>
    <w:rsid w:val="00A86084"/>
    <w:rsid w:val="00A95977"/>
    <w:rsid w:val="00AA1BB5"/>
    <w:rsid w:val="00AA3C7C"/>
    <w:rsid w:val="00AB0008"/>
    <w:rsid w:val="00AB0A70"/>
    <w:rsid w:val="00AC3DD2"/>
    <w:rsid w:val="00AF7F15"/>
    <w:rsid w:val="00B00409"/>
    <w:rsid w:val="00B24ADB"/>
    <w:rsid w:val="00B32FEA"/>
    <w:rsid w:val="00B61F65"/>
    <w:rsid w:val="00B62C50"/>
    <w:rsid w:val="00B77BAB"/>
    <w:rsid w:val="00B8359F"/>
    <w:rsid w:val="00BA295C"/>
    <w:rsid w:val="00BA778B"/>
    <w:rsid w:val="00BC3E96"/>
    <w:rsid w:val="00BF13B0"/>
    <w:rsid w:val="00C10C05"/>
    <w:rsid w:val="00C20E78"/>
    <w:rsid w:val="00C315E4"/>
    <w:rsid w:val="00C33DDF"/>
    <w:rsid w:val="00C35340"/>
    <w:rsid w:val="00C5109D"/>
    <w:rsid w:val="00C55F54"/>
    <w:rsid w:val="00C72F08"/>
    <w:rsid w:val="00C87448"/>
    <w:rsid w:val="00C944ED"/>
    <w:rsid w:val="00CA0958"/>
    <w:rsid w:val="00CA35C7"/>
    <w:rsid w:val="00CA70F4"/>
    <w:rsid w:val="00CC54A4"/>
    <w:rsid w:val="00CD567C"/>
    <w:rsid w:val="00CE0CAC"/>
    <w:rsid w:val="00CE21F0"/>
    <w:rsid w:val="00CE490F"/>
    <w:rsid w:val="00CE541F"/>
    <w:rsid w:val="00CF3C62"/>
    <w:rsid w:val="00D06D07"/>
    <w:rsid w:val="00D12DFD"/>
    <w:rsid w:val="00D15E7E"/>
    <w:rsid w:val="00D3573C"/>
    <w:rsid w:val="00D433D1"/>
    <w:rsid w:val="00D62E23"/>
    <w:rsid w:val="00D73C31"/>
    <w:rsid w:val="00D86247"/>
    <w:rsid w:val="00D87087"/>
    <w:rsid w:val="00D877FD"/>
    <w:rsid w:val="00D931EC"/>
    <w:rsid w:val="00DC10C0"/>
    <w:rsid w:val="00DE0CBF"/>
    <w:rsid w:val="00DE5CFC"/>
    <w:rsid w:val="00DF01A8"/>
    <w:rsid w:val="00DF41C7"/>
    <w:rsid w:val="00E14C76"/>
    <w:rsid w:val="00E26B3E"/>
    <w:rsid w:val="00E42C97"/>
    <w:rsid w:val="00E43DAB"/>
    <w:rsid w:val="00E440A6"/>
    <w:rsid w:val="00E50845"/>
    <w:rsid w:val="00E536E0"/>
    <w:rsid w:val="00E554D1"/>
    <w:rsid w:val="00E60ECE"/>
    <w:rsid w:val="00E62E8A"/>
    <w:rsid w:val="00EA2CFC"/>
    <w:rsid w:val="00EA3C6B"/>
    <w:rsid w:val="00EB6382"/>
    <w:rsid w:val="00EC25E2"/>
    <w:rsid w:val="00ED50B6"/>
    <w:rsid w:val="00F02FA5"/>
    <w:rsid w:val="00F112CE"/>
    <w:rsid w:val="00F13598"/>
    <w:rsid w:val="00F14997"/>
    <w:rsid w:val="00F30D49"/>
    <w:rsid w:val="00F36EE0"/>
    <w:rsid w:val="00F447F9"/>
    <w:rsid w:val="00F53D1C"/>
    <w:rsid w:val="00F613DB"/>
    <w:rsid w:val="00F65DC0"/>
    <w:rsid w:val="00F73086"/>
    <w:rsid w:val="00F741A0"/>
    <w:rsid w:val="00F753DA"/>
    <w:rsid w:val="00F761EF"/>
    <w:rsid w:val="00F80F8F"/>
    <w:rsid w:val="00F8211E"/>
    <w:rsid w:val="00F95990"/>
    <w:rsid w:val="00FB5DCB"/>
    <w:rsid w:val="00FC2C7F"/>
    <w:rsid w:val="00FD5007"/>
    <w:rsid w:val="00FE0935"/>
    <w:rsid w:val="00FE110B"/>
    <w:rsid w:val="00FF37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0CCD"/>
  <w15:chartTrackingRefBased/>
  <w15:docId w15:val="{48F58EA1-D8FD-41A8-BF40-7787B672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94"/>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3E94"/>
    <w:pPr>
      <w:tabs>
        <w:tab w:val="center" w:pos="4536"/>
        <w:tab w:val="right" w:pos="9072"/>
      </w:tabs>
    </w:pPr>
  </w:style>
  <w:style w:type="character" w:customStyle="1" w:styleId="En-tteCar">
    <w:name w:val="En-tête Car"/>
    <w:basedOn w:val="Policepardfaut"/>
    <w:link w:val="En-tte"/>
    <w:uiPriority w:val="99"/>
    <w:rsid w:val="000F3E94"/>
    <w:rPr>
      <w:sz w:val="24"/>
      <w:szCs w:val="24"/>
    </w:rPr>
  </w:style>
  <w:style w:type="paragraph" w:styleId="Notedebasdepage">
    <w:name w:val="footnote text"/>
    <w:basedOn w:val="Normal"/>
    <w:link w:val="NotedebasdepageCar"/>
    <w:uiPriority w:val="99"/>
    <w:semiHidden/>
    <w:unhideWhenUsed/>
    <w:rsid w:val="006B3E51"/>
    <w:rPr>
      <w:sz w:val="20"/>
      <w:szCs w:val="20"/>
    </w:rPr>
  </w:style>
  <w:style w:type="character" w:customStyle="1" w:styleId="NotedebasdepageCar">
    <w:name w:val="Note de bas de page Car"/>
    <w:basedOn w:val="Policepardfaut"/>
    <w:link w:val="Notedebasdepage"/>
    <w:uiPriority w:val="99"/>
    <w:semiHidden/>
    <w:rsid w:val="006B3E51"/>
    <w:rPr>
      <w:sz w:val="20"/>
      <w:szCs w:val="20"/>
    </w:rPr>
  </w:style>
  <w:style w:type="character" w:styleId="Appelnotedebasdep">
    <w:name w:val="footnote reference"/>
    <w:basedOn w:val="Policepardfaut"/>
    <w:uiPriority w:val="99"/>
    <w:semiHidden/>
    <w:unhideWhenUsed/>
    <w:rsid w:val="006B3E51"/>
    <w:rPr>
      <w:vertAlign w:val="superscript"/>
    </w:rPr>
  </w:style>
  <w:style w:type="character" w:styleId="Lienhypertexte">
    <w:name w:val="Hyperlink"/>
    <w:basedOn w:val="Policepardfaut"/>
    <w:uiPriority w:val="99"/>
    <w:unhideWhenUsed/>
    <w:rsid w:val="006B3E51"/>
    <w:rPr>
      <w:color w:val="0563C1" w:themeColor="hyperlink"/>
      <w:u w:val="single"/>
    </w:rPr>
  </w:style>
  <w:style w:type="character" w:styleId="Mentionnonrsolue">
    <w:name w:val="Unresolved Mention"/>
    <w:basedOn w:val="Policepardfaut"/>
    <w:uiPriority w:val="99"/>
    <w:semiHidden/>
    <w:unhideWhenUsed/>
    <w:rsid w:val="002B0D3A"/>
    <w:rPr>
      <w:color w:val="605E5C"/>
      <w:shd w:val="clear" w:color="auto" w:fill="E1DFDD"/>
    </w:rPr>
  </w:style>
  <w:style w:type="paragraph" w:styleId="PrformatHTML">
    <w:name w:val="HTML Preformatted"/>
    <w:basedOn w:val="Normal"/>
    <w:link w:val="PrformatHTMLCar"/>
    <w:uiPriority w:val="99"/>
    <w:semiHidden/>
    <w:unhideWhenUsed/>
    <w:rsid w:val="002B0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bidi="he-IL"/>
    </w:rPr>
  </w:style>
  <w:style w:type="character" w:customStyle="1" w:styleId="PrformatHTMLCar">
    <w:name w:val="Préformaté HTML Car"/>
    <w:basedOn w:val="Policepardfaut"/>
    <w:link w:val="PrformatHTML"/>
    <w:uiPriority w:val="99"/>
    <w:semiHidden/>
    <w:rsid w:val="002B0D3A"/>
    <w:rPr>
      <w:rFonts w:ascii="Courier New" w:eastAsia="Times New Roman" w:hAnsi="Courier New" w:cs="Courier New"/>
      <w:sz w:val="20"/>
      <w:szCs w:val="20"/>
      <w:lang w:eastAsia="fr-FR" w:bidi="he-IL"/>
    </w:rPr>
  </w:style>
  <w:style w:type="character" w:customStyle="1" w:styleId="y2iqfc">
    <w:name w:val="y2iqfc"/>
    <w:basedOn w:val="Policepardfaut"/>
    <w:rsid w:val="002B0D3A"/>
  </w:style>
  <w:style w:type="paragraph" w:styleId="Pieddepage">
    <w:name w:val="footer"/>
    <w:basedOn w:val="Normal"/>
    <w:link w:val="PieddepageCar"/>
    <w:uiPriority w:val="99"/>
    <w:unhideWhenUsed/>
    <w:rsid w:val="00E536E0"/>
    <w:pPr>
      <w:tabs>
        <w:tab w:val="center" w:pos="4536"/>
        <w:tab w:val="right" w:pos="9072"/>
      </w:tabs>
    </w:pPr>
  </w:style>
  <w:style w:type="character" w:customStyle="1" w:styleId="PieddepageCar">
    <w:name w:val="Pied de page Car"/>
    <w:basedOn w:val="Policepardfaut"/>
    <w:link w:val="Pieddepage"/>
    <w:uiPriority w:val="99"/>
    <w:rsid w:val="00E536E0"/>
    <w:rPr>
      <w:sz w:val="24"/>
      <w:szCs w:val="24"/>
    </w:rPr>
  </w:style>
  <w:style w:type="paragraph" w:styleId="NormalWeb">
    <w:name w:val="Normal (Web)"/>
    <w:basedOn w:val="Normal"/>
    <w:uiPriority w:val="99"/>
    <w:semiHidden/>
    <w:unhideWhenUsed/>
    <w:rsid w:val="00A03C3F"/>
    <w:pPr>
      <w:spacing w:before="100" w:beforeAutospacing="1" w:after="100" w:afterAutospacing="1"/>
    </w:pPr>
    <w:rPr>
      <w:rFonts w:ascii="Times New Roman" w:eastAsia="Times New Roman" w:hAnsi="Times New Roman" w:cs="Times New Roman"/>
      <w:lang w:eastAsia="fr-FR" w:bidi="he-IL"/>
    </w:rPr>
  </w:style>
  <w:style w:type="character" w:styleId="Marquedecommentaire">
    <w:name w:val="annotation reference"/>
    <w:basedOn w:val="Policepardfaut"/>
    <w:uiPriority w:val="99"/>
    <w:semiHidden/>
    <w:unhideWhenUsed/>
    <w:rsid w:val="00266D95"/>
    <w:rPr>
      <w:sz w:val="16"/>
      <w:szCs w:val="16"/>
    </w:rPr>
  </w:style>
  <w:style w:type="paragraph" w:styleId="Commentaire">
    <w:name w:val="annotation text"/>
    <w:basedOn w:val="Normal"/>
    <w:link w:val="CommentaireCar"/>
    <w:uiPriority w:val="99"/>
    <w:semiHidden/>
    <w:unhideWhenUsed/>
    <w:rsid w:val="00266D95"/>
    <w:rPr>
      <w:sz w:val="20"/>
      <w:szCs w:val="20"/>
    </w:rPr>
  </w:style>
  <w:style w:type="character" w:customStyle="1" w:styleId="CommentaireCar">
    <w:name w:val="Commentaire Car"/>
    <w:basedOn w:val="Policepardfaut"/>
    <w:link w:val="Commentaire"/>
    <w:uiPriority w:val="99"/>
    <w:semiHidden/>
    <w:rsid w:val="00266D95"/>
    <w:rPr>
      <w:sz w:val="20"/>
      <w:szCs w:val="20"/>
    </w:rPr>
  </w:style>
  <w:style w:type="paragraph" w:styleId="Objetducommentaire">
    <w:name w:val="annotation subject"/>
    <w:basedOn w:val="Commentaire"/>
    <w:next w:val="Commentaire"/>
    <w:link w:val="ObjetducommentaireCar"/>
    <w:uiPriority w:val="99"/>
    <w:semiHidden/>
    <w:unhideWhenUsed/>
    <w:rsid w:val="00266D95"/>
    <w:rPr>
      <w:b/>
      <w:bCs/>
    </w:rPr>
  </w:style>
  <w:style w:type="character" w:customStyle="1" w:styleId="ObjetducommentaireCar">
    <w:name w:val="Objet du commentaire Car"/>
    <w:basedOn w:val="CommentaireCar"/>
    <w:link w:val="Objetducommentaire"/>
    <w:uiPriority w:val="99"/>
    <w:semiHidden/>
    <w:rsid w:val="00266D95"/>
    <w:rPr>
      <w:b/>
      <w:bCs/>
      <w:sz w:val="20"/>
      <w:szCs w:val="20"/>
    </w:rPr>
  </w:style>
  <w:style w:type="paragraph" w:styleId="Paragraphedeliste">
    <w:name w:val="List Paragraph"/>
    <w:basedOn w:val="Normal"/>
    <w:uiPriority w:val="34"/>
    <w:qFormat/>
    <w:rsid w:val="00EC25E2"/>
    <w:pPr>
      <w:ind w:left="720"/>
      <w:contextualSpacing/>
    </w:pPr>
  </w:style>
  <w:style w:type="paragraph" w:styleId="Notedefin">
    <w:name w:val="endnote text"/>
    <w:basedOn w:val="Normal"/>
    <w:link w:val="NotedefinCar"/>
    <w:uiPriority w:val="99"/>
    <w:semiHidden/>
    <w:unhideWhenUsed/>
    <w:rsid w:val="00EC25E2"/>
    <w:rPr>
      <w:sz w:val="20"/>
      <w:szCs w:val="20"/>
    </w:rPr>
  </w:style>
  <w:style w:type="character" w:customStyle="1" w:styleId="NotedefinCar">
    <w:name w:val="Note de fin Car"/>
    <w:basedOn w:val="Policepardfaut"/>
    <w:link w:val="Notedefin"/>
    <w:uiPriority w:val="99"/>
    <w:semiHidden/>
    <w:rsid w:val="00EC25E2"/>
    <w:rPr>
      <w:sz w:val="20"/>
      <w:szCs w:val="20"/>
    </w:rPr>
  </w:style>
  <w:style w:type="character" w:styleId="Appeldenotedefin">
    <w:name w:val="endnote reference"/>
    <w:basedOn w:val="Policepardfaut"/>
    <w:uiPriority w:val="99"/>
    <w:semiHidden/>
    <w:unhideWhenUsed/>
    <w:rsid w:val="00EC25E2"/>
    <w:rPr>
      <w:vertAlign w:val="superscript"/>
    </w:rPr>
  </w:style>
  <w:style w:type="table" w:styleId="Grilledutableau">
    <w:name w:val="Table Grid"/>
    <w:basedOn w:val="TableauNormal"/>
    <w:uiPriority w:val="39"/>
    <w:rsid w:val="003B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234630">
      <w:bodyDiv w:val="1"/>
      <w:marLeft w:val="0"/>
      <w:marRight w:val="0"/>
      <w:marTop w:val="0"/>
      <w:marBottom w:val="0"/>
      <w:divBdr>
        <w:top w:val="none" w:sz="0" w:space="0" w:color="auto"/>
        <w:left w:val="none" w:sz="0" w:space="0" w:color="auto"/>
        <w:bottom w:val="none" w:sz="0" w:space="0" w:color="auto"/>
        <w:right w:val="none" w:sz="0" w:space="0" w:color="auto"/>
      </w:divBdr>
    </w:div>
    <w:div w:id="912853707">
      <w:bodyDiv w:val="1"/>
      <w:marLeft w:val="0"/>
      <w:marRight w:val="0"/>
      <w:marTop w:val="0"/>
      <w:marBottom w:val="0"/>
      <w:divBdr>
        <w:top w:val="none" w:sz="0" w:space="0" w:color="auto"/>
        <w:left w:val="none" w:sz="0" w:space="0" w:color="auto"/>
        <w:bottom w:val="none" w:sz="0" w:space="0" w:color="auto"/>
        <w:right w:val="none" w:sz="0" w:space="0" w:color="auto"/>
      </w:divBdr>
    </w:div>
    <w:div w:id="1646080826">
      <w:bodyDiv w:val="1"/>
      <w:marLeft w:val="0"/>
      <w:marRight w:val="0"/>
      <w:marTop w:val="0"/>
      <w:marBottom w:val="0"/>
      <w:divBdr>
        <w:top w:val="none" w:sz="0" w:space="0" w:color="auto"/>
        <w:left w:val="none" w:sz="0" w:space="0" w:color="auto"/>
        <w:bottom w:val="none" w:sz="0" w:space="0" w:color="auto"/>
        <w:right w:val="none" w:sz="0" w:space="0" w:color="auto"/>
      </w:divBdr>
    </w:div>
    <w:div w:id="2091925458">
      <w:bodyDiv w:val="1"/>
      <w:marLeft w:val="0"/>
      <w:marRight w:val="0"/>
      <w:marTop w:val="0"/>
      <w:marBottom w:val="0"/>
      <w:divBdr>
        <w:top w:val="none" w:sz="0" w:space="0" w:color="auto"/>
        <w:left w:val="none" w:sz="0" w:space="0" w:color="auto"/>
        <w:bottom w:val="none" w:sz="0" w:space="0" w:color="auto"/>
        <w:right w:val="none" w:sz="0" w:space="0" w:color="auto"/>
      </w:divBdr>
    </w:div>
    <w:div w:id="2112702133">
      <w:bodyDiv w:val="1"/>
      <w:marLeft w:val="0"/>
      <w:marRight w:val="0"/>
      <w:marTop w:val="0"/>
      <w:marBottom w:val="0"/>
      <w:divBdr>
        <w:top w:val="none" w:sz="0" w:space="0" w:color="auto"/>
        <w:left w:val="none" w:sz="0" w:space="0" w:color="auto"/>
        <w:bottom w:val="none" w:sz="0" w:space="0" w:color="auto"/>
        <w:right w:val="none" w:sz="0" w:space="0" w:color="auto"/>
      </w:divBdr>
      <w:divsChild>
        <w:div w:id="541791947">
          <w:marLeft w:val="0"/>
          <w:marRight w:val="0"/>
          <w:marTop w:val="0"/>
          <w:marBottom w:val="0"/>
          <w:divBdr>
            <w:top w:val="none" w:sz="0" w:space="0" w:color="auto"/>
            <w:left w:val="none" w:sz="0" w:space="0" w:color="auto"/>
            <w:bottom w:val="none" w:sz="0" w:space="0" w:color="auto"/>
            <w:right w:val="none" w:sz="0" w:space="0" w:color="auto"/>
          </w:divBdr>
        </w:div>
        <w:div w:id="405149300">
          <w:marLeft w:val="0"/>
          <w:marRight w:val="0"/>
          <w:marTop w:val="0"/>
          <w:marBottom w:val="0"/>
          <w:divBdr>
            <w:top w:val="none" w:sz="0" w:space="0" w:color="auto"/>
            <w:left w:val="none" w:sz="0" w:space="0" w:color="auto"/>
            <w:bottom w:val="none" w:sz="0" w:space="0" w:color="auto"/>
            <w:right w:val="none" w:sz="0" w:space="0" w:color="auto"/>
          </w:divBdr>
          <w:divsChild>
            <w:div w:id="741175121">
              <w:marLeft w:val="0"/>
              <w:marRight w:val="0"/>
              <w:marTop w:val="0"/>
              <w:marBottom w:val="0"/>
              <w:divBdr>
                <w:top w:val="none" w:sz="0" w:space="0" w:color="auto"/>
                <w:left w:val="none" w:sz="0" w:space="0" w:color="auto"/>
                <w:bottom w:val="none" w:sz="0" w:space="0" w:color="auto"/>
                <w:right w:val="none" w:sz="0" w:space="0" w:color="auto"/>
              </w:divBdr>
              <w:divsChild>
                <w:div w:id="530191666">
                  <w:marLeft w:val="0"/>
                  <w:marRight w:val="0"/>
                  <w:marTop w:val="0"/>
                  <w:marBottom w:val="0"/>
                  <w:divBdr>
                    <w:top w:val="none" w:sz="0" w:space="0" w:color="auto"/>
                    <w:left w:val="none" w:sz="0" w:space="0" w:color="auto"/>
                    <w:bottom w:val="none" w:sz="0" w:space="0" w:color="auto"/>
                    <w:right w:val="none" w:sz="0" w:space="0" w:color="auto"/>
                  </w:divBdr>
                  <w:divsChild>
                    <w:div w:id="19836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D:\gguivarch\Desktop\etude%20de%20la%20tech\diagrammeSecteu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gguivarch\Desktop\etude%20de%20la%20tech\diagrammeSecteu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gguivarch\Desktop\etude%20de%20la%20tech\diagrammeSecteu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gguivarch\Desktop\etude%20de%20la%20tech\diagrammeSecteu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gguivarch\Desktop\etude%20de%20la%20tech\diagrammeSecteur.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'p6'!$B$1</c:f>
              <c:strCache>
                <c:ptCount val="1"/>
                <c:pt idx="0">
                  <c:v>montant total (Mds USD)</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'p6'!$A$2:$A$8</c:f>
              <c:numCache>
                <c:formatCode>General</c:formatCode>
                <c:ptCount val="7"/>
                <c:pt idx="0">
                  <c:v>2015</c:v>
                </c:pt>
                <c:pt idx="1">
                  <c:v>2016</c:v>
                </c:pt>
                <c:pt idx="2">
                  <c:v>2017</c:v>
                </c:pt>
                <c:pt idx="3">
                  <c:v>2018</c:v>
                </c:pt>
                <c:pt idx="4">
                  <c:v>2019</c:v>
                </c:pt>
                <c:pt idx="5">
                  <c:v>2020</c:v>
                </c:pt>
                <c:pt idx="6">
                  <c:v>2021</c:v>
                </c:pt>
              </c:numCache>
            </c:numRef>
          </c:cat>
          <c:val>
            <c:numRef>
              <c:f>'p6'!$B$2:$B$8</c:f>
              <c:numCache>
                <c:formatCode>0.000</c:formatCode>
                <c:ptCount val="7"/>
                <c:pt idx="0">
                  <c:v>3.3210000000000002</c:v>
                </c:pt>
                <c:pt idx="1">
                  <c:v>4.3049999999999997</c:v>
                </c:pt>
                <c:pt idx="2">
                  <c:v>4.5049999999999999</c:v>
                </c:pt>
                <c:pt idx="3">
                  <c:v>5.8650000000000002</c:v>
                </c:pt>
                <c:pt idx="4">
                  <c:v>7.859</c:v>
                </c:pt>
                <c:pt idx="5">
                  <c:v>10.397</c:v>
                </c:pt>
                <c:pt idx="6">
                  <c:v>25.600999999999999</c:v>
                </c:pt>
              </c:numCache>
            </c:numRef>
          </c:val>
          <c:extLst>
            <c:ext xmlns:c16="http://schemas.microsoft.com/office/drawing/2014/chart" uri="{C3380CC4-5D6E-409C-BE32-E72D297353CC}">
              <c16:uniqueId val="{00000000-DB87-45F9-80DA-DA2EECE1E3E6}"/>
            </c:ext>
          </c:extLst>
        </c:ser>
        <c:dLbls>
          <c:showLegendKey val="0"/>
          <c:showVal val="1"/>
          <c:showCatName val="0"/>
          <c:showSerName val="0"/>
          <c:showPercent val="0"/>
          <c:showBubbleSize val="0"/>
        </c:dLbls>
        <c:gapWidth val="219"/>
        <c:overlap val="-27"/>
        <c:axId val="1767053263"/>
        <c:axId val="1767037871"/>
      </c:barChart>
      <c:lineChart>
        <c:grouping val="standard"/>
        <c:varyColors val="0"/>
        <c:ser>
          <c:idx val="1"/>
          <c:order val="1"/>
          <c:tx>
            <c:strRef>
              <c:f>'p6'!$C$1</c:f>
              <c:strCache>
                <c:ptCount val="1"/>
                <c:pt idx="0">
                  <c:v>nombre de transactions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'p6'!$A$2:$A$8</c:f>
              <c:numCache>
                <c:formatCode>General</c:formatCode>
                <c:ptCount val="7"/>
                <c:pt idx="0">
                  <c:v>2015</c:v>
                </c:pt>
                <c:pt idx="1">
                  <c:v>2016</c:v>
                </c:pt>
                <c:pt idx="2">
                  <c:v>2017</c:v>
                </c:pt>
                <c:pt idx="3">
                  <c:v>2018</c:v>
                </c:pt>
                <c:pt idx="4">
                  <c:v>2019</c:v>
                </c:pt>
                <c:pt idx="5">
                  <c:v>2020</c:v>
                </c:pt>
                <c:pt idx="6">
                  <c:v>2021</c:v>
                </c:pt>
              </c:numCache>
            </c:numRef>
          </c:cat>
          <c:val>
            <c:numRef>
              <c:f>'p6'!$C$2:$C$8</c:f>
              <c:numCache>
                <c:formatCode>General</c:formatCode>
                <c:ptCount val="7"/>
                <c:pt idx="0">
                  <c:v>405</c:v>
                </c:pt>
                <c:pt idx="1">
                  <c:v>482</c:v>
                </c:pt>
                <c:pt idx="2">
                  <c:v>428</c:v>
                </c:pt>
                <c:pt idx="3">
                  <c:v>509</c:v>
                </c:pt>
                <c:pt idx="4">
                  <c:v>503</c:v>
                </c:pt>
                <c:pt idx="5">
                  <c:v>604</c:v>
                </c:pt>
                <c:pt idx="6">
                  <c:v>773</c:v>
                </c:pt>
              </c:numCache>
            </c:numRef>
          </c:val>
          <c:smooth val="0"/>
          <c:extLst>
            <c:ext xmlns:c16="http://schemas.microsoft.com/office/drawing/2014/chart" uri="{C3380CC4-5D6E-409C-BE32-E72D297353CC}">
              <c16:uniqueId val="{00000001-DB87-45F9-80DA-DA2EECE1E3E6}"/>
            </c:ext>
          </c:extLst>
        </c:ser>
        <c:dLbls>
          <c:showLegendKey val="0"/>
          <c:showVal val="1"/>
          <c:showCatName val="0"/>
          <c:showSerName val="0"/>
          <c:showPercent val="0"/>
          <c:showBubbleSize val="0"/>
        </c:dLbls>
        <c:marker val="1"/>
        <c:smooth val="0"/>
        <c:axId val="1608459471"/>
        <c:axId val="1608461967"/>
      </c:lineChart>
      <c:catAx>
        <c:axId val="176705326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67037871"/>
        <c:crosses val="autoZero"/>
        <c:auto val="1"/>
        <c:lblAlgn val="ctr"/>
        <c:lblOffset val="100"/>
        <c:noMultiLvlLbl val="0"/>
      </c:catAx>
      <c:valAx>
        <c:axId val="1767037871"/>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67053263"/>
        <c:crosses val="autoZero"/>
        <c:crossBetween val="between"/>
      </c:valAx>
      <c:valAx>
        <c:axId val="1608461967"/>
        <c:scaling>
          <c:orientation val="minMax"/>
          <c:max val="12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08459471"/>
        <c:crosses val="max"/>
        <c:crossBetween val="between"/>
      </c:valAx>
      <c:catAx>
        <c:axId val="1608459471"/>
        <c:scaling>
          <c:orientation val="minMax"/>
        </c:scaling>
        <c:delete val="1"/>
        <c:axPos val="b"/>
        <c:numFmt formatCode="General" sourceLinked="1"/>
        <c:majorTickMark val="out"/>
        <c:minorTickMark val="none"/>
        <c:tickLblPos val="nextTo"/>
        <c:crossAx val="16084619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'p16'!$B$1</c:f>
              <c:strCache>
                <c:ptCount val="1"/>
                <c:pt idx="0">
                  <c:v>séries d'amorçages israélien</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'p16'!$A$2:$A$22</c:f>
              <c:numCache>
                <c:formatCode>General</c:formatCode>
                <c:ptCount val="21"/>
                <c:pt idx="0">
                  <c:v>2015</c:v>
                </c:pt>
                <c:pt idx="4">
                  <c:v>2016</c:v>
                </c:pt>
                <c:pt idx="7">
                  <c:v>2017</c:v>
                </c:pt>
                <c:pt idx="10">
                  <c:v>2018</c:v>
                </c:pt>
                <c:pt idx="13">
                  <c:v>2019</c:v>
                </c:pt>
                <c:pt idx="16">
                  <c:v>2020</c:v>
                </c:pt>
                <c:pt idx="19">
                  <c:v>2021</c:v>
                </c:pt>
              </c:numCache>
            </c:numRef>
          </c:cat>
          <c:val>
            <c:numRef>
              <c:f>'p16'!$B$2:$B$22</c:f>
              <c:numCache>
                <c:formatCode>General</c:formatCode>
                <c:ptCount val="21"/>
                <c:pt idx="1">
                  <c:v>269</c:v>
                </c:pt>
                <c:pt idx="4">
                  <c:v>285</c:v>
                </c:pt>
                <c:pt idx="7">
                  <c:v>290</c:v>
                </c:pt>
                <c:pt idx="10">
                  <c:v>327</c:v>
                </c:pt>
                <c:pt idx="13">
                  <c:v>342</c:v>
                </c:pt>
                <c:pt idx="16">
                  <c:v>331</c:v>
                </c:pt>
                <c:pt idx="19">
                  <c:v>427</c:v>
                </c:pt>
              </c:numCache>
            </c:numRef>
          </c:val>
          <c:extLst>
            <c:ext xmlns:c16="http://schemas.microsoft.com/office/drawing/2014/chart" uri="{C3380CC4-5D6E-409C-BE32-E72D297353CC}">
              <c16:uniqueId val="{00000000-9764-491A-BCD4-11E2E8FA6690}"/>
            </c:ext>
          </c:extLst>
        </c:ser>
        <c:ser>
          <c:idx val="1"/>
          <c:order val="1"/>
          <c:tx>
            <c:strRef>
              <c:f>'p16'!$C$1</c:f>
              <c:strCache>
                <c:ptCount val="1"/>
                <c:pt idx="0">
                  <c:v>séries ultérieures israélien</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'p16'!$A$2:$A$22</c:f>
              <c:numCache>
                <c:formatCode>General</c:formatCode>
                <c:ptCount val="21"/>
                <c:pt idx="0">
                  <c:v>2015</c:v>
                </c:pt>
                <c:pt idx="4">
                  <c:v>2016</c:v>
                </c:pt>
                <c:pt idx="7">
                  <c:v>2017</c:v>
                </c:pt>
                <c:pt idx="10">
                  <c:v>2018</c:v>
                </c:pt>
                <c:pt idx="13">
                  <c:v>2019</c:v>
                </c:pt>
                <c:pt idx="16">
                  <c:v>2020</c:v>
                </c:pt>
                <c:pt idx="19">
                  <c:v>2021</c:v>
                </c:pt>
              </c:numCache>
            </c:numRef>
          </c:cat>
          <c:val>
            <c:numRef>
              <c:f>'p16'!$C$2:$C$22</c:f>
              <c:numCache>
                <c:formatCode>General</c:formatCode>
                <c:ptCount val="21"/>
                <c:pt idx="1">
                  <c:v>698</c:v>
                </c:pt>
                <c:pt idx="4">
                  <c:v>732</c:v>
                </c:pt>
                <c:pt idx="7">
                  <c:v>806</c:v>
                </c:pt>
                <c:pt idx="10">
                  <c:v>935</c:v>
                </c:pt>
                <c:pt idx="13">
                  <c:v>953</c:v>
                </c:pt>
                <c:pt idx="16">
                  <c:v>1277</c:v>
                </c:pt>
                <c:pt idx="19">
                  <c:v>1806</c:v>
                </c:pt>
              </c:numCache>
            </c:numRef>
          </c:val>
          <c:extLst>
            <c:ext xmlns:c16="http://schemas.microsoft.com/office/drawing/2014/chart" uri="{C3380CC4-5D6E-409C-BE32-E72D297353CC}">
              <c16:uniqueId val="{00000001-9764-491A-BCD4-11E2E8FA6690}"/>
            </c:ext>
          </c:extLst>
        </c:ser>
        <c:ser>
          <c:idx val="2"/>
          <c:order val="2"/>
          <c:tx>
            <c:strRef>
              <c:f>'p16'!$D$1</c:f>
              <c:strCache>
                <c:ptCount val="1"/>
                <c:pt idx="0">
                  <c:v>séries d'amorçages étranger</c:v>
                </c:pt>
              </c:strCache>
            </c:strRef>
          </c:tx>
          <c:spPr>
            <a:solidFill>
              <a:srgbClr val="6AB1D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'p16'!$A$2:$A$22</c:f>
              <c:numCache>
                <c:formatCode>General</c:formatCode>
                <c:ptCount val="21"/>
                <c:pt idx="0">
                  <c:v>2015</c:v>
                </c:pt>
                <c:pt idx="4">
                  <c:v>2016</c:v>
                </c:pt>
                <c:pt idx="7">
                  <c:v>2017</c:v>
                </c:pt>
                <c:pt idx="10">
                  <c:v>2018</c:v>
                </c:pt>
                <c:pt idx="13">
                  <c:v>2019</c:v>
                </c:pt>
                <c:pt idx="16">
                  <c:v>2020</c:v>
                </c:pt>
                <c:pt idx="19">
                  <c:v>2021</c:v>
                </c:pt>
              </c:numCache>
            </c:numRef>
          </c:cat>
          <c:val>
            <c:numRef>
              <c:f>'p16'!$D$2:$D$22</c:f>
              <c:numCache>
                <c:formatCode>General</c:formatCode>
                <c:ptCount val="21"/>
                <c:pt idx="2">
                  <c:v>120</c:v>
                </c:pt>
                <c:pt idx="5">
                  <c:v>148</c:v>
                </c:pt>
                <c:pt idx="8">
                  <c:v>164</c:v>
                </c:pt>
                <c:pt idx="11">
                  <c:v>190</c:v>
                </c:pt>
                <c:pt idx="14">
                  <c:v>184</c:v>
                </c:pt>
                <c:pt idx="17">
                  <c:v>122</c:v>
                </c:pt>
                <c:pt idx="20">
                  <c:v>248</c:v>
                </c:pt>
              </c:numCache>
            </c:numRef>
          </c:val>
          <c:extLst>
            <c:ext xmlns:c16="http://schemas.microsoft.com/office/drawing/2014/chart" uri="{C3380CC4-5D6E-409C-BE32-E72D297353CC}">
              <c16:uniqueId val="{00000002-9764-491A-BCD4-11E2E8FA6690}"/>
            </c:ext>
          </c:extLst>
        </c:ser>
        <c:ser>
          <c:idx val="3"/>
          <c:order val="3"/>
          <c:tx>
            <c:strRef>
              <c:f>'p16'!$E$1</c:f>
              <c:strCache>
                <c:ptCount val="1"/>
                <c:pt idx="0">
                  <c:v>série ultérieures étranger</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'p16'!$A$2:$A$22</c:f>
              <c:numCache>
                <c:formatCode>General</c:formatCode>
                <c:ptCount val="21"/>
                <c:pt idx="0">
                  <c:v>2015</c:v>
                </c:pt>
                <c:pt idx="4">
                  <c:v>2016</c:v>
                </c:pt>
                <c:pt idx="7">
                  <c:v>2017</c:v>
                </c:pt>
                <c:pt idx="10">
                  <c:v>2018</c:v>
                </c:pt>
                <c:pt idx="13">
                  <c:v>2019</c:v>
                </c:pt>
                <c:pt idx="16">
                  <c:v>2020</c:v>
                </c:pt>
                <c:pt idx="19">
                  <c:v>2021</c:v>
                </c:pt>
              </c:numCache>
            </c:numRef>
          </c:cat>
          <c:val>
            <c:numRef>
              <c:f>'p16'!$E$2:$E$22</c:f>
              <c:numCache>
                <c:formatCode>General</c:formatCode>
                <c:ptCount val="21"/>
                <c:pt idx="2">
                  <c:v>733</c:v>
                </c:pt>
                <c:pt idx="5">
                  <c:v>805</c:v>
                </c:pt>
                <c:pt idx="8">
                  <c:v>874</c:v>
                </c:pt>
                <c:pt idx="11">
                  <c:v>1094</c:v>
                </c:pt>
                <c:pt idx="14">
                  <c:v>1149</c:v>
                </c:pt>
                <c:pt idx="17">
                  <c:v>1578</c:v>
                </c:pt>
                <c:pt idx="20">
                  <c:v>2435</c:v>
                </c:pt>
              </c:numCache>
            </c:numRef>
          </c:val>
          <c:extLst>
            <c:ext xmlns:c16="http://schemas.microsoft.com/office/drawing/2014/chart" uri="{C3380CC4-5D6E-409C-BE32-E72D297353CC}">
              <c16:uniqueId val="{00000003-9764-491A-BCD4-11E2E8FA6690}"/>
            </c:ext>
          </c:extLst>
        </c:ser>
        <c:dLbls>
          <c:dLblPos val="ctr"/>
          <c:showLegendKey val="0"/>
          <c:showVal val="1"/>
          <c:showCatName val="0"/>
          <c:showSerName val="0"/>
          <c:showPercent val="0"/>
          <c:showBubbleSize val="0"/>
        </c:dLbls>
        <c:gapWidth val="0"/>
        <c:overlap val="100"/>
        <c:axId val="1572095983"/>
        <c:axId val="1572102223"/>
      </c:barChart>
      <c:catAx>
        <c:axId val="1572095983"/>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72102223"/>
        <c:crosses val="autoZero"/>
        <c:auto val="1"/>
        <c:lblAlgn val="ctr"/>
        <c:lblOffset val="100"/>
        <c:noMultiLvlLbl val="0"/>
      </c:catAx>
      <c:valAx>
        <c:axId val="1572102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72095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0"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'p15'!$B$18</c:f>
              <c:strCache>
                <c:ptCount val="1"/>
                <c:pt idx="0">
                  <c:v>Cybersécurité</c:v>
                </c:pt>
              </c:strCache>
            </c:strRef>
          </c:tx>
          <c:spPr>
            <a:solidFill>
              <a:schemeClr val="accent5">
                <a:lumMod val="60000"/>
                <a:lumOff val="40000"/>
              </a:schemeClr>
            </a:solidFill>
            <a:ln>
              <a:noFill/>
            </a:ln>
            <a:effectLst/>
          </c:spPr>
          <c:invertIfNegative val="0"/>
          <c:dLbls>
            <c:dLbl>
              <c:idx val="0"/>
              <c:layout>
                <c:manualLayout>
                  <c:x val="-6.613756613756613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E5-4864-B2D0-DA701E9BF8E0}"/>
                </c:ext>
              </c:extLst>
            </c:dLbl>
            <c:dLbl>
              <c:idx val="1"/>
              <c:layout>
                <c:manualLayout>
                  <c:x val="-1.3227513227513227E-2"/>
                  <c:y val="-3.28083989501312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E5-4864-B2D0-DA701E9BF8E0}"/>
                </c:ext>
              </c:extLst>
            </c:dLbl>
            <c:dLbl>
              <c:idx val="4"/>
              <c:layout>
                <c:manualLayout>
                  <c:x val="-1.5432098765432098E-2"/>
                  <c:y val="6.561679790026246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E5-4864-B2D0-DA701E9BF8E0}"/>
                </c:ext>
              </c:extLst>
            </c:dLbl>
            <c:dLbl>
              <c:idx val="6"/>
              <c:layout>
                <c:manualLayout>
                  <c:x val="-1.322751322751339E-2"/>
                  <c:y val="-3.28083989501312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E5-4864-B2D0-DA701E9BF8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'p15'!$A$19:$A$25</c:f>
              <c:numCache>
                <c:formatCode>General</c:formatCode>
                <c:ptCount val="7"/>
                <c:pt idx="0">
                  <c:v>2015</c:v>
                </c:pt>
                <c:pt idx="1">
                  <c:v>2016</c:v>
                </c:pt>
                <c:pt idx="2">
                  <c:v>2017</c:v>
                </c:pt>
                <c:pt idx="3">
                  <c:v>2018</c:v>
                </c:pt>
                <c:pt idx="4">
                  <c:v>2019</c:v>
                </c:pt>
                <c:pt idx="5">
                  <c:v>2020</c:v>
                </c:pt>
                <c:pt idx="6">
                  <c:v>2021</c:v>
                </c:pt>
              </c:numCache>
            </c:numRef>
          </c:cat>
          <c:val>
            <c:numRef>
              <c:f>'p15'!$B$19:$B$25</c:f>
              <c:numCache>
                <c:formatCode>General</c:formatCode>
                <c:ptCount val="7"/>
                <c:pt idx="0">
                  <c:v>358</c:v>
                </c:pt>
                <c:pt idx="1">
                  <c:v>683</c:v>
                </c:pt>
                <c:pt idx="2">
                  <c:v>743</c:v>
                </c:pt>
                <c:pt idx="3">
                  <c:v>1081</c:v>
                </c:pt>
                <c:pt idx="4">
                  <c:v>1748</c:v>
                </c:pt>
                <c:pt idx="5">
                  <c:v>2718</c:v>
                </c:pt>
                <c:pt idx="6">
                  <c:v>6592</c:v>
                </c:pt>
              </c:numCache>
            </c:numRef>
          </c:val>
          <c:extLst>
            <c:ext xmlns:c16="http://schemas.microsoft.com/office/drawing/2014/chart" uri="{C3380CC4-5D6E-409C-BE32-E72D297353CC}">
              <c16:uniqueId val="{00000004-6EE5-4864-B2D0-DA701E9BF8E0}"/>
            </c:ext>
          </c:extLst>
        </c:ser>
        <c:ser>
          <c:idx val="1"/>
          <c:order val="1"/>
          <c:tx>
            <c:strRef>
              <c:f>'p15'!$C$18</c:f>
              <c:strCache>
                <c:ptCount val="1"/>
                <c:pt idx="0">
                  <c:v>FinTech</c:v>
                </c:pt>
              </c:strCache>
            </c:strRef>
          </c:tx>
          <c:spPr>
            <a:solidFill>
              <a:schemeClr val="accent2">
                <a:lumMod val="60000"/>
                <a:lumOff val="40000"/>
              </a:schemeClr>
            </a:solidFill>
            <a:ln>
              <a:noFill/>
            </a:ln>
            <a:effectLst/>
          </c:spPr>
          <c:invertIfNegative val="0"/>
          <c:dLbls>
            <c:dLbl>
              <c:idx val="0"/>
              <c:layout>
                <c:manualLayout>
                  <c:x val="6.613756613756613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E5-4864-B2D0-DA701E9BF8E0}"/>
                </c:ext>
              </c:extLst>
            </c:dLbl>
            <c:dLbl>
              <c:idx val="1"/>
              <c:layout>
                <c:manualLayout>
                  <c:x val="6.613756613756613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E5-4864-B2D0-DA701E9BF8E0}"/>
                </c:ext>
              </c:extLst>
            </c:dLbl>
            <c:dLbl>
              <c:idx val="6"/>
              <c:layout>
                <c:manualLayout>
                  <c:x val="1.63852782291100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E5-4864-B2D0-DA701E9BF8E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'p15'!$A$19:$A$25</c:f>
              <c:numCache>
                <c:formatCode>General</c:formatCode>
                <c:ptCount val="7"/>
                <c:pt idx="0">
                  <c:v>2015</c:v>
                </c:pt>
                <c:pt idx="1">
                  <c:v>2016</c:v>
                </c:pt>
                <c:pt idx="2">
                  <c:v>2017</c:v>
                </c:pt>
                <c:pt idx="3">
                  <c:v>2018</c:v>
                </c:pt>
                <c:pt idx="4">
                  <c:v>2019</c:v>
                </c:pt>
                <c:pt idx="5">
                  <c:v>2020</c:v>
                </c:pt>
                <c:pt idx="6">
                  <c:v>2021</c:v>
                </c:pt>
              </c:numCache>
            </c:numRef>
          </c:cat>
          <c:val>
            <c:numRef>
              <c:f>'p15'!$C$19:$C$25</c:f>
              <c:numCache>
                <c:formatCode>General</c:formatCode>
                <c:ptCount val="7"/>
                <c:pt idx="0">
                  <c:v>387</c:v>
                </c:pt>
                <c:pt idx="1">
                  <c:v>614</c:v>
                </c:pt>
                <c:pt idx="2">
                  <c:v>526</c:v>
                </c:pt>
                <c:pt idx="3">
                  <c:v>827</c:v>
                </c:pt>
                <c:pt idx="4">
                  <c:v>1900</c:v>
                </c:pt>
                <c:pt idx="5">
                  <c:v>1547</c:v>
                </c:pt>
                <c:pt idx="6">
                  <c:v>6618</c:v>
                </c:pt>
              </c:numCache>
            </c:numRef>
          </c:val>
          <c:extLst>
            <c:ext xmlns:c16="http://schemas.microsoft.com/office/drawing/2014/chart" uri="{C3380CC4-5D6E-409C-BE32-E72D297353CC}">
              <c16:uniqueId val="{00000008-6EE5-4864-B2D0-DA701E9BF8E0}"/>
            </c:ext>
          </c:extLst>
        </c:ser>
        <c:ser>
          <c:idx val="2"/>
          <c:order val="2"/>
          <c:tx>
            <c:strRef>
              <c:f>'p15'!$D$18</c:f>
              <c:strCache>
                <c:ptCount val="1"/>
                <c:pt idx="0">
                  <c:v>FoodTech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'p15'!$A$19:$A$25</c:f>
              <c:numCache>
                <c:formatCode>General</c:formatCode>
                <c:ptCount val="7"/>
                <c:pt idx="0">
                  <c:v>2015</c:v>
                </c:pt>
                <c:pt idx="1">
                  <c:v>2016</c:v>
                </c:pt>
                <c:pt idx="2">
                  <c:v>2017</c:v>
                </c:pt>
                <c:pt idx="3">
                  <c:v>2018</c:v>
                </c:pt>
                <c:pt idx="4">
                  <c:v>2019</c:v>
                </c:pt>
                <c:pt idx="5">
                  <c:v>2020</c:v>
                </c:pt>
                <c:pt idx="6">
                  <c:v>2021</c:v>
                </c:pt>
              </c:numCache>
            </c:numRef>
          </c:cat>
          <c:val>
            <c:numRef>
              <c:f>'p15'!$D$19:$D$25</c:f>
              <c:numCache>
                <c:formatCode>General</c:formatCode>
                <c:ptCount val="7"/>
                <c:pt idx="0">
                  <c:v>53</c:v>
                </c:pt>
                <c:pt idx="1">
                  <c:v>30</c:v>
                </c:pt>
                <c:pt idx="2">
                  <c:v>78</c:v>
                </c:pt>
                <c:pt idx="3">
                  <c:v>165</c:v>
                </c:pt>
                <c:pt idx="4">
                  <c:v>218</c:v>
                </c:pt>
                <c:pt idx="5">
                  <c:v>393</c:v>
                </c:pt>
                <c:pt idx="6">
                  <c:v>866</c:v>
                </c:pt>
              </c:numCache>
            </c:numRef>
          </c:val>
          <c:extLst>
            <c:ext xmlns:c16="http://schemas.microsoft.com/office/drawing/2014/chart" uri="{C3380CC4-5D6E-409C-BE32-E72D297353CC}">
              <c16:uniqueId val="{00000009-6EE5-4864-B2D0-DA701E9BF8E0}"/>
            </c:ext>
          </c:extLst>
        </c:ser>
        <c:ser>
          <c:idx val="3"/>
          <c:order val="3"/>
          <c:tx>
            <c:strRef>
              <c:f>'p15'!$E$18</c:f>
              <c:strCache>
                <c:ptCount val="1"/>
                <c:pt idx="0">
                  <c:v>Internet des objets</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'p15'!$A$19:$A$25</c:f>
              <c:numCache>
                <c:formatCode>General</c:formatCode>
                <c:ptCount val="7"/>
                <c:pt idx="0">
                  <c:v>2015</c:v>
                </c:pt>
                <c:pt idx="1">
                  <c:v>2016</c:v>
                </c:pt>
                <c:pt idx="2">
                  <c:v>2017</c:v>
                </c:pt>
                <c:pt idx="3">
                  <c:v>2018</c:v>
                </c:pt>
                <c:pt idx="4">
                  <c:v>2019</c:v>
                </c:pt>
                <c:pt idx="5">
                  <c:v>2020</c:v>
                </c:pt>
                <c:pt idx="6">
                  <c:v>2021</c:v>
                </c:pt>
              </c:numCache>
            </c:numRef>
          </c:cat>
          <c:val>
            <c:numRef>
              <c:f>'p15'!$E$19:$E$25</c:f>
              <c:numCache>
                <c:formatCode>General</c:formatCode>
                <c:ptCount val="7"/>
                <c:pt idx="0">
                  <c:v>332</c:v>
                </c:pt>
                <c:pt idx="1">
                  <c:v>710</c:v>
                </c:pt>
                <c:pt idx="2">
                  <c:v>723</c:v>
                </c:pt>
                <c:pt idx="3">
                  <c:v>925</c:v>
                </c:pt>
                <c:pt idx="4">
                  <c:v>903</c:v>
                </c:pt>
                <c:pt idx="5">
                  <c:v>1458</c:v>
                </c:pt>
                <c:pt idx="6">
                  <c:v>2967</c:v>
                </c:pt>
              </c:numCache>
            </c:numRef>
          </c:val>
          <c:extLst>
            <c:ext xmlns:c16="http://schemas.microsoft.com/office/drawing/2014/chart" uri="{C3380CC4-5D6E-409C-BE32-E72D297353CC}">
              <c16:uniqueId val="{0000000A-6EE5-4864-B2D0-DA701E9BF8E0}"/>
            </c:ext>
          </c:extLst>
        </c:ser>
        <c:dLbls>
          <c:dLblPos val="outEnd"/>
          <c:showLegendKey val="0"/>
          <c:showVal val="1"/>
          <c:showCatName val="0"/>
          <c:showSerName val="0"/>
          <c:showPercent val="0"/>
          <c:showBubbleSize val="0"/>
        </c:dLbls>
        <c:gapWidth val="219"/>
        <c:overlap val="-27"/>
        <c:axId val="1605450207"/>
        <c:axId val="1605459359"/>
      </c:barChart>
      <c:catAx>
        <c:axId val="160545020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05459359"/>
        <c:crosses val="autoZero"/>
        <c:auto val="1"/>
        <c:lblAlgn val="ctr"/>
        <c:lblOffset val="100"/>
        <c:noMultiLvlLbl val="0"/>
      </c:catAx>
      <c:valAx>
        <c:axId val="1605459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05450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'p21'!$B$1</c:f>
              <c:strCache>
                <c:ptCount val="1"/>
                <c:pt idx="0">
                  <c:v>M&amp;A</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'p21'!$A$2:$A$8</c:f>
              <c:numCache>
                <c:formatCode>General</c:formatCode>
                <c:ptCount val="7"/>
                <c:pt idx="0">
                  <c:v>2015</c:v>
                </c:pt>
                <c:pt idx="1">
                  <c:v>2016</c:v>
                </c:pt>
                <c:pt idx="2">
                  <c:v>2017</c:v>
                </c:pt>
                <c:pt idx="3">
                  <c:v>2018</c:v>
                </c:pt>
                <c:pt idx="4">
                  <c:v>2019</c:v>
                </c:pt>
                <c:pt idx="5">
                  <c:v>2020</c:v>
                </c:pt>
                <c:pt idx="6">
                  <c:v>2021</c:v>
                </c:pt>
              </c:numCache>
            </c:numRef>
          </c:cat>
          <c:val>
            <c:numRef>
              <c:f>'p21'!$B$2:$B$8</c:f>
              <c:numCache>
                <c:formatCode>General</c:formatCode>
                <c:ptCount val="7"/>
                <c:pt idx="0">
                  <c:v>6532</c:v>
                </c:pt>
                <c:pt idx="1">
                  <c:v>8848</c:v>
                </c:pt>
                <c:pt idx="2">
                  <c:v>6608</c:v>
                </c:pt>
                <c:pt idx="3">
                  <c:v>8999</c:v>
                </c:pt>
                <c:pt idx="4">
                  <c:v>12294</c:v>
                </c:pt>
                <c:pt idx="5">
                  <c:v>4209</c:v>
                </c:pt>
                <c:pt idx="6">
                  <c:v>10609</c:v>
                </c:pt>
              </c:numCache>
            </c:numRef>
          </c:val>
          <c:extLst>
            <c:ext xmlns:c16="http://schemas.microsoft.com/office/drawing/2014/chart" uri="{C3380CC4-5D6E-409C-BE32-E72D297353CC}">
              <c16:uniqueId val="{00000000-DB76-467B-93F5-8FB29B936DDD}"/>
            </c:ext>
          </c:extLst>
        </c:ser>
        <c:ser>
          <c:idx val="1"/>
          <c:order val="1"/>
          <c:tx>
            <c:strRef>
              <c:f>'p21'!$C$1</c:f>
              <c:strCache>
                <c:ptCount val="1"/>
                <c:pt idx="0">
                  <c:v>Rachat</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'p21'!$A$2:$A$8</c:f>
              <c:numCache>
                <c:formatCode>General</c:formatCode>
                <c:ptCount val="7"/>
                <c:pt idx="0">
                  <c:v>2015</c:v>
                </c:pt>
                <c:pt idx="1">
                  <c:v>2016</c:v>
                </c:pt>
                <c:pt idx="2">
                  <c:v>2017</c:v>
                </c:pt>
                <c:pt idx="3">
                  <c:v>2018</c:v>
                </c:pt>
                <c:pt idx="4">
                  <c:v>2019</c:v>
                </c:pt>
                <c:pt idx="5">
                  <c:v>2020</c:v>
                </c:pt>
                <c:pt idx="6">
                  <c:v>2021</c:v>
                </c:pt>
              </c:numCache>
            </c:numRef>
          </c:cat>
          <c:val>
            <c:numRef>
              <c:f>'p21'!$C$2:$C$8</c:f>
              <c:numCache>
                <c:formatCode>General</c:formatCode>
                <c:ptCount val="7"/>
                <c:pt idx="0">
                  <c:v>1185</c:v>
                </c:pt>
                <c:pt idx="1">
                  <c:v>1132</c:v>
                </c:pt>
                <c:pt idx="2">
                  <c:v>1429</c:v>
                </c:pt>
                <c:pt idx="3">
                  <c:v>3362</c:v>
                </c:pt>
                <c:pt idx="4">
                  <c:v>2014</c:v>
                </c:pt>
                <c:pt idx="5">
                  <c:v>4010</c:v>
                </c:pt>
                <c:pt idx="6">
                  <c:v>1552</c:v>
                </c:pt>
              </c:numCache>
            </c:numRef>
          </c:val>
          <c:extLst>
            <c:ext xmlns:c16="http://schemas.microsoft.com/office/drawing/2014/chart" uri="{C3380CC4-5D6E-409C-BE32-E72D297353CC}">
              <c16:uniqueId val="{00000001-DB76-467B-93F5-8FB29B936DDD}"/>
            </c:ext>
          </c:extLst>
        </c:ser>
        <c:ser>
          <c:idx val="2"/>
          <c:order val="2"/>
          <c:tx>
            <c:strRef>
              <c:f>'p21'!$D$1</c:f>
              <c:strCache>
                <c:ptCount val="1"/>
                <c:pt idx="0">
                  <c:v>IPO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'p21'!$A$2:$A$8</c:f>
              <c:numCache>
                <c:formatCode>General</c:formatCode>
                <c:ptCount val="7"/>
                <c:pt idx="0">
                  <c:v>2015</c:v>
                </c:pt>
                <c:pt idx="1">
                  <c:v>2016</c:v>
                </c:pt>
                <c:pt idx="2">
                  <c:v>2017</c:v>
                </c:pt>
                <c:pt idx="3">
                  <c:v>2018</c:v>
                </c:pt>
                <c:pt idx="4">
                  <c:v>2019</c:v>
                </c:pt>
                <c:pt idx="5">
                  <c:v>2020</c:v>
                </c:pt>
                <c:pt idx="6">
                  <c:v>2021</c:v>
                </c:pt>
              </c:numCache>
            </c:numRef>
          </c:cat>
          <c:val>
            <c:numRef>
              <c:f>'p21'!$D$2:$D$8</c:f>
              <c:numCache>
                <c:formatCode>General</c:formatCode>
                <c:ptCount val="7"/>
                <c:pt idx="0">
                  <c:v>609</c:v>
                </c:pt>
                <c:pt idx="1">
                  <c:v>26</c:v>
                </c:pt>
                <c:pt idx="2">
                  <c:v>44</c:v>
                </c:pt>
                <c:pt idx="3">
                  <c:v>250</c:v>
                </c:pt>
                <c:pt idx="4">
                  <c:v>424</c:v>
                </c:pt>
                <c:pt idx="5">
                  <c:v>1614</c:v>
                </c:pt>
                <c:pt idx="6">
                  <c:v>10004</c:v>
                </c:pt>
              </c:numCache>
            </c:numRef>
          </c:val>
          <c:extLst>
            <c:ext xmlns:c16="http://schemas.microsoft.com/office/drawing/2014/chart" uri="{C3380CC4-5D6E-409C-BE32-E72D297353CC}">
              <c16:uniqueId val="{00000002-DB76-467B-93F5-8FB29B936DDD}"/>
            </c:ext>
          </c:extLst>
        </c:ser>
        <c:dLbls>
          <c:showLegendKey val="0"/>
          <c:showVal val="1"/>
          <c:showCatName val="0"/>
          <c:showSerName val="0"/>
          <c:showPercent val="0"/>
          <c:showBubbleSize val="0"/>
        </c:dLbls>
        <c:gapWidth val="219"/>
        <c:overlap val="100"/>
        <c:axId val="1586347792"/>
        <c:axId val="1586366096"/>
      </c:barChart>
      <c:lineChart>
        <c:grouping val="standard"/>
        <c:varyColors val="0"/>
        <c:ser>
          <c:idx val="3"/>
          <c:order val="3"/>
          <c:tx>
            <c:strRef>
              <c:f>'p21'!$E$1</c:f>
              <c:strCache>
                <c:ptCount val="1"/>
                <c:pt idx="0">
                  <c:v>total</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'p21'!$A$2:$A$8</c:f>
              <c:numCache>
                <c:formatCode>General</c:formatCode>
                <c:ptCount val="7"/>
                <c:pt idx="0">
                  <c:v>2015</c:v>
                </c:pt>
                <c:pt idx="1">
                  <c:v>2016</c:v>
                </c:pt>
                <c:pt idx="2">
                  <c:v>2017</c:v>
                </c:pt>
                <c:pt idx="3">
                  <c:v>2018</c:v>
                </c:pt>
                <c:pt idx="4">
                  <c:v>2019</c:v>
                </c:pt>
                <c:pt idx="5">
                  <c:v>2020</c:v>
                </c:pt>
                <c:pt idx="6">
                  <c:v>2021</c:v>
                </c:pt>
              </c:numCache>
            </c:numRef>
          </c:cat>
          <c:val>
            <c:numRef>
              <c:f>'p21'!$E$2:$E$8</c:f>
              <c:numCache>
                <c:formatCode>General</c:formatCode>
                <c:ptCount val="7"/>
                <c:pt idx="0">
                  <c:v>8326</c:v>
                </c:pt>
                <c:pt idx="1">
                  <c:v>10006</c:v>
                </c:pt>
                <c:pt idx="2">
                  <c:v>8081</c:v>
                </c:pt>
                <c:pt idx="3">
                  <c:v>12611</c:v>
                </c:pt>
                <c:pt idx="4">
                  <c:v>14732</c:v>
                </c:pt>
                <c:pt idx="5">
                  <c:v>9833</c:v>
                </c:pt>
                <c:pt idx="6">
                  <c:v>22165</c:v>
                </c:pt>
              </c:numCache>
            </c:numRef>
          </c:val>
          <c:smooth val="0"/>
          <c:extLst>
            <c:ext xmlns:c16="http://schemas.microsoft.com/office/drawing/2014/chart" uri="{C3380CC4-5D6E-409C-BE32-E72D297353CC}">
              <c16:uniqueId val="{00000003-DB76-467B-93F5-8FB29B936DDD}"/>
            </c:ext>
          </c:extLst>
        </c:ser>
        <c:dLbls>
          <c:showLegendKey val="0"/>
          <c:showVal val="1"/>
          <c:showCatName val="0"/>
          <c:showSerName val="0"/>
          <c:showPercent val="0"/>
          <c:showBubbleSize val="0"/>
        </c:dLbls>
        <c:marker val="1"/>
        <c:smooth val="0"/>
        <c:axId val="1586347792"/>
        <c:axId val="1586366096"/>
      </c:lineChart>
      <c:catAx>
        <c:axId val="15863477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86366096"/>
        <c:crosses val="autoZero"/>
        <c:auto val="1"/>
        <c:lblAlgn val="ctr"/>
        <c:lblOffset val="100"/>
        <c:noMultiLvlLbl val="0"/>
      </c:catAx>
      <c:valAx>
        <c:axId val="158636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8634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'p24'!$B$1</c:f>
              <c:strCache>
                <c:ptCount val="1"/>
                <c:pt idx="0">
                  <c:v>Israël</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'p24'!$A$2:$A$8</c:f>
              <c:numCache>
                <c:formatCode>General</c:formatCode>
                <c:ptCount val="7"/>
                <c:pt idx="0">
                  <c:v>2015</c:v>
                </c:pt>
                <c:pt idx="1">
                  <c:v>2016</c:v>
                </c:pt>
                <c:pt idx="2">
                  <c:v>2017</c:v>
                </c:pt>
                <c:pt idx="3">
                  <c:v>2018</c:v>
                </c:pt>
                <c:pt idx="4">
                  <c:v>2019</c:v>
                </c:pt>
                <c:pt idx="5">
                  <c:v>2020</c:v>
                </c:pt>
                <c:pt idx="6">
                  <c:v>2021</c:v>
                </c:pt>
              </c:numCache>
            </c:numRef>
          </c:cat>
          <c:val>
            <c:numRef>
              <c:f>'p24'!$B$2:$B$8</c:f>
              <c:numCache>
                <c:formatCode>General</c:formatCode>
                <c:ptCount val="7"/>
                <c:pt idx="0">
                  <c:v>595</c:v>
                </c:pt>
                <c:pt idx="1">
                  <c:v>1080</c:v>
                </c:pt>
                <c:pt idx="2">
                  <c:v>1080</c:v>
                </c:pt>
                <c:pt idx="3">
                  <c:v>593</c:v>
                </c:pt>
                <c:pt idx="4">
                  <c:v>772</c:v>
                </c:pt>
                <c:pt idx="5">
                  <c:v>507</c:v>
                </c:pt>
                <c:pt idx="6">
                  <c:v>1608</c:v>
                </c:pt>
              </c:numCache>
            </c:numRef>
          </c:val>
          <c:extLst>
            <c:ext xmlns:c16="http://schemas.microsoft.com/office/drawing/2014/chart" uri="{C3380CC4-5D6E-409C-BE32-E72D297353CC}">
              <c16:uniqueId val="{00000000-7D80-49B3-9CEF-C7E953FB4E1D}"/>
            </c:ext>
          </c:extLst>
        </c:ser>
        <c:ser>
          <c:idx val="1"/>
          <c:order val="1"/>
          <c:tx>
            <c:strRef>
              <c:f>'p24'!$C$1</c:f>
              <c:strCache>
                <c:ptCount val="1"/>
                <c:pt idx="0">
                  <c:v>Etats-Unis</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'p24'!$A$2:$A$8</c:f>
              <c:numCache>
                <c:formatCode>General</c:formatCode>
                <c:ptCount val="7"/>
                <c:pt idx="0">
                  <c:v>2015</c:v>
                </c:pt>
                <c:pt idx="1">
                  <c:v>2016</c:v>
                </c:pt>
                <c:pt idx="2">
                  <c:v>2017</c:v>
                </c:pt>
                <c:pt idx="3">
                  <c:v>2018</c:v>
                </c:pt>
                <c:pt idx="4">
                  <c:v>2019</c:v>
                </c:pt>
                <c:pt idx="5">
                  <c:v>2020</c:v>
                </c:pt>
                <c:pt idx="6">
                  <c:v>2021</c:v>
                </c:pt>
              </c:numCache>
            </c:numRef>
          </c:cat>
          <c:val>
            <c:numRef>
              <c:f>'p24'!$C$2:$C$8</c:f>
              <c:numCache>
                <c:formatCode>General</c:formatCode>
                <c:ptCount val="7"/>
                <c:pt idx="0">
                  <c:v>4132</c:v>
                </c:pt>
                <c:pt idx="1">
                  <c:v>3709</c:v>
                </c:pt>
                <c:pt idx="2">
                  <c:v>3562</c:v>
                </c:pt>
                <c:pt idx="3">
                  <c:v>9631</c:v>
                </c:pt>
                <c:pt idx="4">
                  <c:v>10279</c:v>
                </c:pt>
                <c:pt idx="5">
                  <c:v>8136</c:v>
                </c:pt>
                <c:pt idx="6">
                  <c:v>7186</c:v>
                </c:pt>
              </c:numCache>
            </c:numRef>
          </c:val>
          <c:extLst>
            <c:ext xmlns:c16="http://schemas.microsoft.com/office/drawing/2014/chart" uri="{C3380CC4-5D6E-409C-BE32-E72D297353CC}">
              <c16:uniqueId val="{00000001-7D80-49B3-9CEF-C7E953FB4E1D}"/>
            </c:ext>
          </c:extLst>
        </c:ser>
        <c:ser>
          <c:idx val="2"/>
          <c:order val="2"/>
          <c:tx>
            <c:strRef>
              <c:f>'p24'!$D$1</c:f>
              <c:strCache>
                <c:ptCount val="1"/>
                <c:pt idx="0">
                  <c:v>Autres pays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'p24'!$A$2:$A$8</c:f>
              <c:numCache>
                <c:formatCode>General</c:formatCode>
                <c:ptCount val="7"/>
                <c:pt idx="0">
                  <c:v>2015</c:v>
                </c:pt>
                <c:pt idx="1">
                  <c:v>2016</c:v>
                </c:pt>
                <c:pt idx="2">
                  <c:v>2017</c:v>
                </c:pt>
                <c:pt idx="3">
                  <c:v>2018</c:v>
                </c:pt>
                <c:pt idx="4">
                  <c:v>2019</c:v>
                </c:pt>
                <c:pt idx="5">
                  <c:v>2020</c:v>
                </c:pt>
                <c:pt idx="6">
                  <c:v>2021</c:v>
                </c:pt>
              </c:numCache>
            </c:numRef>
          </c:cat>
          <c:val>
            <c:numRef>
              <c:f>'p24'!$D$2:$D$8</c:f>
              <c:numCache>
                <c:formatCode>General</c:formatCode>
                <c:ptCount val="7"/>
                <c:pt idx="0">
                  <c:v>2991</c:v>
                </c:pt>
                <c:pt idx="1">
                  <c:v>5191</c:v>
                </c:pt>
                <c:pt idx="2">
                  <c:v>4064</c:v>
                </c:pt>
                <c:pt idx="3">
                  <c:v>2133</c:v>
                </c:pt>
                <c:pt idx="4">
                  <c:v>5239</c:v>
                </c:pt>
                <c:pt idx="5">
                  <c:v>690</c:v>
                </c:pt>
                <c:pt idx="6">
                  <c:v>3368</c:v>
                </c:pt>
              </c:numCache>
            </c:numRef>
          </c:val>
          <c:extLst>
            <c:ext xmlns:c16="http://schemas.microsoft.com/office/drawing/2014/chart" uri="{C3380CC4-5D6E-409C-BE32-E72D297353CC}">
              <c16:uniqueId val="{00000002-7D80-49B3-9CEF-C7E953FB4E1D}"/>
            </c:ext>
          </c:extLst>
        </c:ser>
        <c:dLbls>
          <c:dLblPos val="ctr"/>
          <c:showLegendKey val="0"/>
          <c:showVal val="1"/>
          <c:showCatName val="0"/>
          <c:showSerName val="0"/>
          <c:showPercent val="0"/>
          <c:showBubbleSize val="0"/>
        </c:dLbls>
        <c:gapWidth val="150"/>
        <c:overlap val="100"/>
        <c:axId val="501758271"/>
        <c:axId val="501754527"/>
      </c:barChart>
      <c:catAx>
        <c:axId val="5017582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1754527"/>
        <c:crosses val="autoZero"/>
        <c:auto val="1"/>
        <c:lblAlgn val="ctr"/>
        <c:lblOffset val="100"/>
        <c:noMultiLvlLbl val="0"/>
      </c:catAx>
      <c:valAx>
        <c:axId val="501754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1758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367BC-1433-4D1A-9491-67A4A9FB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1037</Words>
  <Characters>5704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AVISSAR Nir</dc:creator>
  <cp:keywords/>
  <dc:description/>
  <cp:lastModifiedBy>SAYETTAT Eric</cp:lastModifiedBy>
  <cp:revision>2</cp:revision>
  <dcterms:created xsi:type="dcterms:W3CDTF">2022-06-15T06:53:00Z</dcterms:created>
  <dcterms:modified xsi:type="dcterms:W3CDTF">2022-06-15T06:53:00Z</dcterms:modified>
</cp:coreProperties>
</file>