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A3E26" w14:textId="77777777" w:rsidR="00AF5A88" w:rsidRDefault="00AF5A88" w:rsidP="007D2933">
      <w:pPr>
        <w:jc w:val="center"/>
        <w:rPr>
          <w:rFonts w:ascii="Times New Roman" w:hAnsi="Times New Roman" w:cs="Times New Roman"/>
        </w:rPr>
      </w:pPr>
    </w:p>
    <w:p w14:paraId="5AF1D308" w14:textId="77777777" w:rsidR="004F69D1" w:rsidRDefault="004F69D1" w:rsidP="007D2933">
      <w:pPr>
        <w:jc w:val="center"/>
        <w:rPr>
          <w:rFonts w:ascii="Times New Roman" w:hAnsi="Times New Roman" w:cs="Times New Roman"/>
        </w:rPr>
      </w:pPr>
    </w:p>
    <w:p w14:paraId="6E7F1A8F" w14:textId="77777777" w:rsidR="00092BF3" w:rsidRPr="00AF5A88" w:rsidRDefault="003C34EE" w:rsidP="007D2933">
      <w:pPr>
        <w:jc w:val="center"/>
        <w:rPr>
          <w:rFonts w:ascii="Century Gothic" w:hAnsi="Century Gothic" w:cs="Times New Roman"/>
          <w:b/>
          <w:sz w:val="28"/>
        </w:rPr>
      </w:pPr>
      <w:r w:rsidRPr="00AF5A88">
        <w:rPr>
          <w:rFonts w:ascii="Century Gothic" w:hAnsi="Century Gothic" w:cs="Times New Roman"/>
          <w:b/>
          <w:sz w:val="28"/>
        </w:rPr>
        <w:t xml:space="preserve">Les </w:t>
      </w:r>
      <w:r w:rsidR="002767BF">
        <w:rPr>
          <w:rFonts w:ascii="Century Gothic" w:hAnsi="Century Gothic" w:cs="Times New Roman"/>
          <w:b/>
          <w:sz w:val="28"/>
        </w:rPr>
        <w:t>investissements directs étrangers</w:t>
      </w:r>
      <w:r w:rsidRPr="00AF5A88">
        <w:rPr>
          <w:rFonts w:ascii="Century Gothic" w:hAnsi="Century Gothic" w:cs="Times New Roman"/>
          <w:b/>
          <w:sz w:val="28"/>
        </w:rPr>
        <w:t xml:space="preserve"> au Cameroun</w:t>
      </w:r>
    </w:p>
    <w:p w14:paraId="1D2AC93A" w14:textId="77777777" w:rsidR="00AF5A88" w:rsidRDefault="00AF5A88" w:rsidP="00377C07">
      <w:pPr>
        <w:jc w:val="both"/>
        <w:rPr>
          <w:rFonts w:ascii="Times New Roman" w:hAnsi="Times New Roman" w:cs="Times New Roman"/>
        </w:rPr>
      </w:pPr>
    </w:p>
    <w:p w14:paraId="0D76717E" w14:textId="77777777" w:rsidR="003C34EE" w:rsidRDefault="003C34EE" w:rsidP="00377C07">
      <w:pPr>
        <w:jc w:val="both"/>
        <w:rPr>
          <w:rFonts w:ascii="Times New Roman" w:hAnsi="Times New Roman" w:cs="Times New Roman"/>
        </w:rPr>
      </w:pPr>
    </w:p>
    <w:p w14:paraId="13ECA3D3" w14:textId="77777777" w:rsidR="00AF5A88" w:rsidRPr="00BE5C0D" w:rsidRDefault="00BE5C0D" w:rsidP="00377C07">
      <w:pPr>
        <w:jc w:val="both"/>
        <w:rPr>
          <w:rFonts w:ascii="Century Gothic" w:hAnsi="Century Gothic" w:cs="Times New Roman"/>
          <w:b/>
          <w:sz w:val="24"/>
        </w:rPr>
      </w:pPr>
      <w:r w:rsidRPr="00BE5C0D">
        <w:rPr>
          <w:rFonts w:ascii="Century Gothic" w:hAnsi="Century Gothic" w:cs="Arial"/>
          <w:b/>
          <w:sz w:val="24"/>
        </w:rPr>
        <w:t>É</w:t>
      </w:r>
      <w:r w:rsidR="00AF5A88" w:rsidRPr="00BE5C0D">
        <w:rPr>
          <w:rFonts w:ascii="Century Gothic" w:hAnsi="Century Gothic" w:cs="Times New Roman"/>
          <w:b/>
          <w:sz w:val="24"/>
        </w:rPr>
        <w:t>volution et poids des IDE au Cameroun</w:t>
      </w:r>
    </w:p>
    <w:p w14:paraId="7855A034" w14:textId="3E000C8F" w:rsidR="00941120" w:rsidRDefault="00941120" w:rsidP="00377C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stock d’IDE au Cameroun était estimé par la Cnuced à 6,9 milliards de dollars en 2016</w:t>
      </w:r>
      <w:r w:rsidR="007C2C78">
        <w:rPr>
          <w:rFonts w:ascii="Times New Roman" w:hAnsi="Times New Roman" w:cs="Times New Roman"/>
        </w:rPr>
        <w:t xml:space="preserve"> (</w:t>
      </w:r>
      <w:r w:rsidR="007C2C78" w:rsidRPr="00BB6A16">
        <w:rPr>
          <w:rFonts w:ascii="Times New Roman" w:hAnsi="Times New Roman" w:cs="Times New Roman"/>
        </w:rPr>
        <w:t>cf</w:t>
      </w:r>
      <w:r w:rsidR="007C2C78">
        <w:rPr>
          <w:rFonts w:ascii="Times New Roman" w:hAnsi="Times New Roman" w:cs="Times New Roman"/>
        </w:rPr>
        <w:t>. graphique 1)</w:t>
      </w:r>
      <w:r>
        <w:rPr>
          <w:rFonts w:ascii="Times New Roman" w:hAnsi="Times New Roman" w:cs="Times New Roman"/>
        </w:rPr>
        <w:t xml:space="preserve">. Les investissements </w:t>
      </w:r>
      <w:r w:rsidR="005214D7">
        <w:rPr>
          <w:rFonts w:ascii="Times New Roman" w:hAnsi="Times New Roman" w:cs="Times New Roman"/>
        </w:rPr>
        <w:t>à destination du</w:t>
      </w:r>
      <w:r>
        <w:rPr>
          <w:rFonts w:ascii="Times New Roman" w:hAnsi="Times New Roman" w:cs="Times New Roman"/>
        </w:rPr>
        <w:t xml:space="preserve"> Cameroun ont connu une accélération à partir de 2010 (taux de croissance annuel moyen </w:t>
      </w:r>
      <w:r w:rsidR="007C3276">
        <w:rPr>
          <w:rFonts w:ascii="Times New Roman" w:hAnsi="Times New Roman" w:cs="Times New Roman"/>
        </w:rPr>
        <w:t>de 1</w:t>
      </w:r>
      <w:r w:rsidR="00B468A6">
        <w:rPr>
          <w:rFonts w:ascii="Times New Roman" w:hAnsi="Times New Roman" w:cs="Times New Roman"/>
        </w:rPr>
        <w:t>2,4</w:t>
      </w:r>
      <w:r w:rsidR="007C3276">
        <w:rPr>
          <w:rFonts w:ascii="Times New Roman" w:hAnsi="Times New Roman" w:cs="Times New Roman"/>
        </w:rPr>
        <w:t> % entre 2010 et 201</w:t>
      </w:r>
      <w:r w:rsidR="00B468A6">
        <w:rPr>
          <w:rFonts w:ascii="Times New Roman" w:hAnsi="Times New Roman" w:cs="Times New Roman"/>
        </w:rPr>
        <w:t>5</w:t>
      </w:r>
      <w:r w:rsidR="007C3276">
        <w:rPr>
          <w:rFonts w:ascii="Times New Roman" w:hAnsi="Times New Roman" w:cs="Times New Roman"/>
        </w:rPr>
        <w:t>), mais l</w:t>
      </w:r>
      <w:r>
        <w:rPr>
          <w:rFonts w:ascii="Times New Roman" w:hAnsi="Times New Roman" w:cs="Times New Roman"/>
        </w:rPr>
        <w:t>es difficultés économiques que connaît le pays depuis 2014, en lien avec la chute des prix des matières premières, a conduit à un net ralentissement des projets d’investissement</w:t>
      </w:r>
      <w:r w:rsidR="00BB6A16">
        <w:rPr>
          <w:rFonts w:ascii="Times New Roman" w:hAnsi="Times New Roman" w:cs="Times New Roman"/>
        </w:rPr>
        <w:t> : l</w:t>
      </w:r>
      <w:r w:rsidR="00032DC0">
        <w:rPr>
          <w:rFonts w:ascii="Times New Roman" w:hAnsi="Times New Roman" w:cs="Times New Roman"/>
        </w:rPr>
        <w:t>e stock d’IDE n’a progressé que de 1,9 % en 2016.</w:t>
      </w:r>
    </w:p>
    <w:p w14:paraId="1FCA6650" w14:textId="77777777" w:rsidR="004F69D1" w:rsidRDefault="004F69D1" w:rsidP="004F69D1">
      <w:pPr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F69D1" w14:paraId="3767FD93" w14:textId="77777777" w:rsidTr="00B44830">
        <w:tc>
          <w:tcPr>
            <w:tcW w:w="4531" w:type="dxa"/>
          </w:tcPr>
          <w:p w14:paraId="32C3C3C9" w14:textId="77777777" w:rsidR="004F69D1" w:rsidRPr="007932F7" w:rsidRDefault="004F69D1" w:rsidP="00B44830">
            <w:pPr>
              <w:spacing w:after="12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7932F7">
              <w:rPr>
                <w:rFonts w:ascii="Century Gothic" w:hAnsi="Century Gothic" w:cs="Times New Roman"/>
                <w:b/>
                <w:sz w:val="20"/>
                <w:szCs w:val="20"/>
              </w:rPr>
              <w:t>Graphique 1.</w:t>
            </w:r>
            <w:r w:rsidRPr="007932F7">
              <w:rPr>
                <w:rFonts w:ascii="Century Gothic" w:hAnsi="Century Gothic" w:cs="Times New Roman"/>
                <w:sz w:val="20"/>
                <w:szCs w:val="20"/>
              </w:rPr>
              <w:t xml:space="preserve"> Evolution du stock d’IDE au Cameroun (M USD)</w:t>
            </w:r>
          </w:p>
        </w:tc>
        <w:tc>
          <w:tcPr>
            <w:tcW w:w="4531" w:type="dxa"/>
          </w:tcPr>
          <w:p w14:paraId="1B3ABCC1" w14:textId="77777777" w:rsidR="004F69D1" w:rsidRPr="007932F7" w:rsidRDefault="004F69D1" w:rsidP="00B44830">
            <w:pPr>
              <w:spacing w:after="12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7932F7">
              <w:rPr>
                <w:rFonts w:ascii="Century Gothic" w:hAnsi="Century Gothic" w:cs="Times New Roman"/>
                <w:b/>
                <w:sz w:val="20"/>
                <w:szCs w:val="20"/>
              </w:rPr>
              <w:t>Graphique 2.</w:t>
            </w:r>
            <w:r w:rsidRPr="007932F7">
              <w:rPr>
                <w:rFonts w:ascii="Century Gothic" w:hAnsi="Century Gothic" w:cs="Times New Roman"/>
                <w:sz w:val="20"/>
                <w:szCs w:val="20"/>
              </w:rPr>
              <w:t xml:space="preserve"> Evolution du stock d’IDE français au Cameroun (M EUR)</w:t>
            </w:r>
          </w:p>
        </w:tc>
      </w:tr>
      <w:tr w:rsidR="004F69D1" w14:paraId="7442FE36" w14:textId="77777777" w:rsidTr="00B44830">
        <w:tc>
          <w:tcPr>
            <w:tcW w:w="4531" w:type="dxa"/>
          </w:tcPr>
          <w:p w14:paraId="2B77B27E" w14:textId="77777777" w:rsidR="004F69D1" w:rsidRDefault="004F69D1" w:rsidP="00B4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101613" wp14:editId="123B14D0">
                  <wp:extent cx="2880000" cy="2160000"/>
                  <wp:effectExtent l="0" t="0" r="15875" b="12065"/>
                  <wp:docPr id="3" name="Graphique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A074731" w14:textId="77777777" w:rsidR="004F69D1" w:rsidRDefault="004F69D1" w:rsidP="00B44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14F528" wp14:editId="6533E091">
                  <wp:extent cx="2880000" cy="2160000"/>
                  <wp:effectExtent l="0" t="0" r="15875" b="12065"/>
                  <wp:docPr id="1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F69D1" w14:paraId="214DBEEF" w14:textId="77777777" w:rsidTr="00B44830">
        <w:trPr>
          <w:trHeight w:val="80"/>
        </w:trPr>
        <w:tc>
          <w:tcPr>
            <w:tcW w:w="4531" w:type="dxa"/>
          </w:tcPr>
          <w:p w14:paraId="491F4E89" w14:textId="77777777" w:rsidR="004F69D1" w:rsidRPr="007932F7" w:rsidRDefault="004F69D1" w:rsidP="00B44830">
            <w:pPr>
              <w:spacing w:before="60"/>
              <w:jc w:val="center"/>
              <w:rPr>
                <w:rFonts w:ascii="Century Gothic" w:hAnsi="Century Gothic" w:cs="Times New Roman"/>
                <w:i/>
                <w:sz w:val="14"/>
                <w:szCs w:val="14"/>
              </w:rPr>
            </w:pPr>
            <w:r w:rsidRPr="007932F7">
              <w:rPr>
                <w:rFonts w:ascii="Century Gothic" w:hAnsi="Century Gothic" w:cs="Times New Roman"/>
                <w:i/>
                <w:sz w:val="14"/>
                <w:szCs w:val="14"/>
              </w:rPr>
              <w:t>Source : Cnuced</w:t>
            </w:r>
          </w:p>
        </w:tc>
        <w:tc>
          <w:tcPr>
            <w:tcW w:w="4531" w:type="dxa"/>
          </w:tcPr>
          <w:p w14:paraId="5114AD6B" w14:textId="77777777" w:rsidR="004F69D1" w:rsidRPr="007932F7" w:rsidRDefault="004F69D1" w:rsidP="00B44830">
            <w:pPr>
              <w:spacing w:before="60"/>
              <w:jc w:val="center"/>
              <w:rPr>
                <w:rFonts w:ascii="Century Gothic" w:hAnsi="Century Gothic" w:cs="Times New Roman"/>
                <w:i/>
                <w:sz w:val="14"/>
                <w:szCs w:val="14"/>
              </w:rPr>
            </w:pPr>
            <w:r w:rsidRPr="007932F7">
              <w:rPr>
                <w:rFonts w:ascii="Century Gothic" w:hAnsi="Century Gothic" w:cs="Times New Roman"/>
                <w:i/>
                <w:sz w:val="14"/>
                <w:szCs w:val="14"/>
              </w:rPr>
              <w:t>Source : Banque de France</w:t>
            </w:r>
          </w:p>
        </w:tc>
      </w:tr>
    </w:tbl>
    <w:p w14:paraId="676B6E61" w14:textId="77777777" w:rsidR="004F69D1" w:rsidRDefault="004F69D1" w:rsidP="00377C07">
      <w:pPr>
        <w:jc w:val="both"/>
        <w:rPr>
          <w:rFonts w:ascii="Times New Roman" w:hAnsi="Times New Roman" w:cs="Times New Roman"/>
        </w:rPr>
      </w:pPr>
    </w:p>
    <w:p w14:paraId="07EFE0D5" w14:textId="46654383" w:rsidR="00F457F9" w:rsidRDefault="00D56D83" w:rsidP="00377C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 que le Cameroun attire des investissements significatifs, son stock d’IDE reste m</w:t>
      </w:r>
      <w:r w:rsidR="00E37AE6">
        <w:rPr>
          <w:rFonts w:ascii="Times New Roman" w:hAnsi="Times New Roman" w:cs="Times New Roman"/>
        </w:rPr>
        <w:t xml:space="preserve">odeste en comparaison </w:t>
      </w:r>
      <w:r>
        <w:rPr>
          <w:rFonts w:ascii="Times New Roman" w:hAnsi="Times New Roman" w:cs="Times New Roman"/>
        </w:rPr>
        <w:t>avec</w:t>
      </w:r>
      <w:r w:rsidR="00E37AE6">
        <w:rPr>
          <w:rFonts w:ascii="Times New Roman" w:hAnsi="Times New Roman" w:cs="Times New Roman"/>
        </w:rPr>
        <w:t xml:space="preserve"> plusieurs autres pays de la zone CEMAC (Congo, </w:t>
      </w:r>
      <w:r w:rsidR="00032DC0">
        <w:rPr>
          <w:rFonts w:ascii="Times New Roman" w:hAnsi="Times New Roman" w:cs="Times New Roman"/>
        </w:rPr>
        <w:t>Guinée équatoriale,</w:t>
      </w:r>
      <w:r w:rsidR="00E37AE6">
        <w:rPr>
          <w:rFonts w:ascii="Times New Roman" w:hAnsi="Times New Roman" w:cs="Times New Roman"/>
        </w:rPr>
        <w:t xml:space="preserve"> Gabon)</w:t>
      </w:r>
      <w:r w:rsidR="00032DC0">
        <w:rPr>
          <w:rFonts w:ascii="Times New Roman" w:hAnsi="Times New Roman" w:cs="Times New Roman"/>
        </w:rPr>
        <w:t>, qui concentrent d’importants investissements dans le secteur pétrolier</w:t>
      </w:r>
      <w:r>
        <w:rPr>
          <w:rFonts w:ascii="Times New Roman" w:hAnsi="Times New Roman" w:cs="Times New Roman"/>
        </w:rPr>
        <w:t xml:space="preserve">. </w:t>
      </w:r>
      <w:r w:rsidR="007B5056">
        <w:rPr>
          <w:rFonts w:ascii="Times New Roman" w:hAnsi="Times New Roman" w:cs="Times New Roman"/>
        </w:rPr>
        <w:t xml:space="preserve">En </w:t>
      </w:r>
      <w:r w:rsidR="00B468A6">
        <w:rPr>
          <w:rFonts w:ascii="Times New Roman" w:hAnsi="Times New Roman" w:cs="Times New Roman"/>
        </w:rPr>
        <w:t>2016, l</w:t>
      </w:r>
      <w:r w:rsidR="00E37AE6">
        <w:rPr>
          <w:rFonts w:ascii="Times New Roman" w:hAnsi="Times New Roman" w:cs="Times New Roman"/>
        </w:rPr>
        <w:t>a part</w:t>
      </w:r>
      <w:r w:rsidR="007B5056">
        <w:rPr>
          <w:rFonts w:ascii="Times New Roman" w:hAnsi="Times New Roman" w:cs="Times New Roman"/>
        </w:rPr>
        <w:t xml:space="preserve"> du stock </w:t>
      </w:r>
      <w:r>
        <w:rPr>
          <w:rFonts w:ascii="Times New Roman" w:hAnsi="Times New Roman" w:cs="Times New Roman"/>
        </w:rPr>
        <w:t>d</w:t>
      </w:r>
      <w:r w:rsidR="00B468A6">
        <w:rPr>
          <w:rFonts w:ascii="Times New Roman" w:hAnsi="Times New Roman" w:cs="Times New Roman"/>
        </w:rPr>
        <w:t>’</w:t>
      </w:r>
      <w:r w:rsidR="00E37AE6">
        <w:rPr>
          <w:rFonts w:ascii="Times New Roman" w:hAnsi="Times New Roman" w:cs="Times New Roman"/>
        </w:rPr>
        <w:t>IDE dans le PIB</w:t>
      </w:r>
      <w:r>
        <w:rPr>
          <w:rFonts w:ascii="Times New Roman" w:hAnsi="Times New Roman" w:cs="Times New Roman"/>
        </w:rPr>
        <w:t xml:space="preserve"> camerounais</w:t>
      </w:r>
      <w:r w:rsidR="00E37AE6">
        <w:rPr>
          <w:rFonts w:ascii="Times New Roman" w:hAnsi="Times New Roman" w:cs="Times New Roman"/>
        </w:rPr>
        <w:t xml:space="preserve"> ne s’</w:t>
      </w:r>
      <w:r w:rsidR="00B468A6">
        <w:rPr>
          <w:rFonts w:ascii="Times New Roman" w:hAnsi="Times New Roman" w:cs="Times New Roman"/>
        </w:rPr>
        <w:t>élevait</w:t>
      </w:r>
      <w:r w:rsidR="00E37AE6">
        <w:rPr>
          <w:rFonts w:ascii="Times New Roman" w:hAnsi="Times New Roman" w:cs="Times New Roman"/>
        </w:rPr>
        <w:t xml:space="preserve"> qu’à </w:t>
      </w:r>
      <w:r>
        <w:rPr>
          <w:rFonts w:ascii="Times New Roman" w:hAnsi="Times New Roman" w:cs="Times New Roman"/>
        </w:rPr>
        <w:t>23,0 </w:t>
      </w:r>
      <w:r w:rsidR="00E37AE6">
        <w:rPr>
          <w:rFonts w:ascii="Times New Roman" w:hAnsi="Times New Roman" w:cs="Times New Roman"/>
        </w:rPr>
        <w:t xml:space="preserve">%, contre </w:t>
      </w:r>
      <w:r>
        <w:rPr>
          <w:rFonts w:ascii="Times New Roman" w:hAnsi="Times New Roman" w:cs="Times New Roman"/>
        </w:rPr>
        <w:t>289,5 </w:t>
      </w:r>
      <w:r w:rsidR="00E37AE6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au Congo, 100,5 % en Guinée équatoriale et 56,0 % au Tchad</w:t>
      </w:r>
      <w:r w:rsidR="00B468A6">
        <w:rPr>
          <w:rFonts w:ascii="Times New Roman" w:hAnsi="Times New Roman" w:cs="Times New Roman"/>
        </w:rPr>
        <w:t xml:space="preserve"> (</w:t>
      </w:r>
      <w:r w:rsidR="00B468A6" w:rsidRPr="00BB6A16">
        <w:rPr>
          <w:rFonts w:ascii="Times New Roman" w:hAnsi="Times New Roman" w:cs="Times New Roman"/>
        </w:rPr>
        <w:t>cf</w:t>
      </w:r>
      <w:r w:rsidR="00B468A6">
        <w:rPr>
          <w:rFonts w:ascii="Times New Roman" w:hAnsi="Times New Roman" w:cs="Times New Roman"/>
        </w:rPr>
        <w:t>. tableau)</w:t>
      </w:r>
      <w:r w:rsidR="00032DC0">
        <w:rPr>
          <w:rFonts w:ascii="Times New Roman" w:hAnsi="Times New Roman" w:cs="Times New Roman"/>
        </w:rPr>
        <w:t xml:space="preserve">. </w:t>
      </w:r>
      <w:r w:rsidR="00FA2934">
        <w:rPr>
          <w:rFonts w:ascii="Times New Roman" w:hAnsi="Times New Roman" w:cs="Times New Roman"/>
        </w:rPr>
        <w:t>C</w:t>
      </w:r>
      <w:r w:rsidR="00B468A6">
        <w:rPr>
          <w:rFonts w:ascii="Times New Roman" w:hAnsi="Times New Roman" w:cs="Times New Roman"/>
        </w:rPr>
        <w:t>es niveaux</w:t>
      </w:r>
      <w:r w:rsidR="00AF5A88">
        <w:rPr>
          <w:rFonts w:ascii="Times New Roman" w:hAnsi="Times New Roman" w:cs="Times New Roman"/>
        </w:rPr>
        <w:t xml:space="preserve"> extrêmement élevés s’explique</w:t>
      </w:r>
      <w:r w:rsidR="007E7C8C">
        <w:rPr>
          <w:rFonts w:ascii="Times New Roman" w:hAnsi="Times New Roman" w:cs="Times New Roman"/>
        </w:rPr>
        <w:t>nt</w:t>
      </w:r>
      <w:r w:rsidR="00AF5A88">
        <w:rPr>
          <w:rFonts w:ascii="Times New Roman" w:hAnsi="Times New Roman" w:cs="Times New Roman"/>
        </w:rPr>
        <w:t xml:space="preserve"> </w:t>
      </w:r>
      <w:r w:rsidR="00FA2934">
        <w:rPr>
          <w:rFonts w:ascii="Times New Roman" w:hAnsi="Times New Roman" w:cs="Times New Roman"/>
        </w:rPr>
        <w:t xml:space="preserve">non seulement par l’importance des investissements dans le secteur pétrolier mais également </w:t>
      </w:r>
      <w:r w:rsidR="00AF5A88">
        <w:rPr>
          <w:rFonts w:ascii="Times New Roman" w:hAnsi="Times New Roman" w:cs="Times New Roman"/>
        </w:rPr>
        <w:t>par la</w:t>
      </w:r>
      <w:r w:rsidR="00032DC0">
        <w:rPr>
          <w:rFonts w:ascii="Times New Roman" w:hAnsi="Times New Roman" w:cs="Times New Roman"/>
        </w:rPr>
        <w:t xml:space="preserve"> grave récession</w:t>
      </w:r>
      <w:r w:rsidR="007E7C8C">
        <w:rPr>
          <w:rFonts w:ascii="Times New Roman" w:hAnsi="Times New Roman" w:cs="Times New Roman"/>
        </w:rPr>
        <w:t xml:space="preserve"> qui</w:t>
      </w:r>
      <w:r w:rsidR="00032DC0">
        <w:rPr>
          <w:rFonts w:ascii="Times New Roman" w:hAnsi="Times New Roman" w:cs="Times New Roman"/>
        </w:rPr>
        <w:t xml:space="preserve"> </w:t>
      </w:r>
      <w:r w:rsidR="00AF5A88">
        <w:rPr>
          <w:rFonts w:ascii="Times New Roman" w:hAnsi="Times New Roman" w:cs="Times New Roman"/>
        </w:rPr>
        <w:t xml:space="preserve">a frappé ces pays au cours des dernières années et </w:t>
      </w:r>
      <w:r w:rsidR="00032DC0">
        <w:rPr>
          <w:rFonts w:ascii="Times New Roman" w:hAnsi="Times New Roman" w:cs="Times New Roman"/>
        </w:rPr>
        <w:t>qui a mécaniquement fait augmenter le ratio IDE/PIB.</w:t>
      </w:r>
    </w:p>
    <w:p w14:paraId="31648B94" w14:textId="77777777" w:rsidR="004F69D1" w:rsidRDefault="004F69D1" w:rsidP="004F69D1">
      <w:pPr>
        <w:jc w:val="both"/>
        <w:rPr>
          <w:rFonts w:ascii="Times New Roman" w:hAnsi="Times New Roman" w:cs="Times New Roman"/>
        </w:rPr>
      </w:pPr>
    </w:p>
    <w:p w14:paraId="3BCA7C72" w14:textId="77777777" w:rsidR="004F69D1" w:rsidRDefault="004F69D1" w:rsidP="004F69D1">
      <w:pPr>
        <w:jc w:val="both"/>
        <w:rPr>
          <w:rFonts w:ascii="Times New Roman" w:hAnsi="Times New Roman" w:cs="Times New Roman"/>
        </w:rPr>
      </w:pPr>
    </w:p>
    <w:p w14:paraId="621501C5" w14:textId="77777777" w:rsidR="004F69D1" w:rsidRDefault="004F69D1" w:rsidP="004F69D1">
      <w:pPr>
        <w:jc w:val="both"/>
        <w:rPr>
          <w:rFonts w:ascii="Times New Roman" w:hAnsi="Times New Roman" w:cs="Times New Roman"/>
        </w:rPr>
      </w:pPr>
    </w:p>
    <w:p w14:paraId="794B8B52" w14:textId="77777777" w:rsidR="004F69D1" w:rsidRPr="006E00B1" w:rsidRDefault="004F69D1" w:rsidP="004F69D1">
      <w:pPr>
        <w:spacing w:after="120"/>
        <w:jc w:val="center"/>
        <w:rPr>
          <w:rFonts w:ascii="Century Gothic" w:hAnsi="Century Gothic"/>
          <w:b/>
          <w:sz w:val="20"/>
        </w:rPr>
      </w:pPr>
      <w:r w:rsidRPr="006E00B1">
        <w:rPr>
          <w:rFonts w:ascii="Century Gothic" w:hAnsi="Century Gothic"/>
          <w:b/>
          <w:sz w:val="20"/>
        </w:rPr>
        <w:lastRenderedPageBreak/>
        <w:t xml:space="preserve">Tableau. </w:t>
      </w:r>
      <w:r w:rsidRPr="005F0C41">
        <w:rPr>
          <w:rFonts w:ascii="Century Gothic" w:hAnsi="Century Gothic"/>
          <w:sz w:val="20"/>
        </w:rPr>
        <w:t>Po</w:t>
      </w:r>
      <w:r>
        <w:rPr>
          <w:rFonts w:ascii="Century Gothic" w:hAnsi="Century Gothic"/>
          <w:sz w:val="20"/>
        </w:rPr>
        <w:t>ids comparé des IDE au Cameroun</w:t>
      </w:r>
      <w:r>
        <w:rPr>
          <w:rFonts w:ascii="Century Gothic" w:hAnsi="Century Gothic"/>
          <w:sz w:val="20"/>
        </w:rPr>
        <w:br/>
      </w:r>
      <w:r w:rsidRPr="005F0C41">
        <w:rPr>
          <w:rFonts w:ascii="Century Gothic" w:hAnsi="Century Gothic"/>
          <w:sz w:val="20"/>
        </w:rPr>
        <w:t>et dans les pays de la CEMAC en 2016</w:t>
      </w:r>
    </w:p>
    <w:tbl>
      <w:tblPr>
        <w:tblW w:w="43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276"/>
      </w:tblGrid>
      <w:tr w:rsidR="004F69D1" w:rsidRPr="00CB7859" w14:paraId="42E0FA61" w14:textId="77777777" w:rsidTr="00B44830">
        <w:trPr>
          <w:trHeight w:val="300"/>
          <w:jc w:val="center"/>
        </w:trPr>
        <w:tc>
          <w:tcPr>
            <w:tcW w:w="1843" w:type="dxa"/>
            <w:shd w:val="clear" w:color="auto" w:fill="5B9BD5" w:themeFill="accent1"/>
            <w:noWrap/>
            <w:vAlign w:val="center"/>
          </w:tcPr>
          <w:p w14:paraId="622CD1D5" w14:textId="77777777" w:rsidR="004F69D1" w:rsidRPr="004F69D1" w:rsidRDefault="004F69D1" w:rsidP="00B44830">
            <w:pPr>
              <w:spacing w:before="60" w:after="60" w:line="240" w:lineRule="auto"/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6"/>
                <w:lang w:eastAsia="fr-FR"/>
              </w:rPr>
            </w:pPr>
            <w:r w:rsidRPr="004F69D1"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6"/>
                <w:lang w:eastAsia="fr-FR"/>
              </w:rPr>
              <w:t>Pays</w:t>
            </w:r>
          </w:p>
        </w:tc>
        <w:tc>
          <w:tcPr>
            <w:tcW w:w="1276" w:type="dxa"/>
            <w:shd w:val="clear" w:color="auto" w:fill="5B9BD5" w:themeFill="accent1"/>
            <w:noWrap/>
            <w:vAlign w:val="center"/>
          </w:tcPr>
          <w:p w14:paraId="6C7ABAC2" w14:textId="77777777" w:rsidR="004F69D1" w:rsidRPr="004F69D1" w:rsidRDefault="004F69D1" w:rsidP="00B44830">
            <w:pPr>
              <w:spacing w:before="60" w:after="60" w:line="240" w:lineRule="auto"/>
              <w:jc w:val="right"/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6"/>
                <w:lang w:eastAsia="fr-FR"/>
              </w:rPr>
            </w:pPr>
            <w:r w:rsidRPr="004F69D1"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6"/>
                <w:lang w:eastAsia="fr-FR"/>
              </w:rPr>
              <w:t xml:space="preserve">Millions </w:t>
            </w:r>
            <w:r w:rsidRPr="004F69D1"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6"/>
                <w:lang w:eastAsia="fr-FR"/>
              </w:rPr>
              <w:br/>
              <w:t>de dollars</w:t>
            </w:r>
          </w:p>
        </w:tc>
        <w:tc>
          <w:tcPr>
            <w:tcW w:w="1276" w:type="dxa"/>
            <w:shd w:val="clear" w:color="auto" w:fill="5B9BD5" w:themeFill="accent1"/>
            <w:noWrap/>
            <w:vAlign w:val="center"/>
          </w:tcPr>
          <w:p w14:paraId="3B5B9146" w14:textId="77777777" w:rsidR="004F69D1" w:rsidRPr="004F69D1" w:rsidRDefault="004F69D1" w:rsidP="00B44830">
            <w:pPr>
              <w:spacing w:before="60" w:after="60" w:line="240" w:lineRule="auto"/>
              <w:jc w:val="right"/>
              <w:rPr>
                <w:rFonts w:ascii="Century Gothic" w:eastAsia="Times New Roman" w:hAnsi="Century Gothic" w:cs="Calibri"/>
                <w:b/>
                <w:color w:val="FFFFFF" w:themeColor="background1"/>
                <w:sz w:val="18"/>
                <w:szCs w:val="16"/>
                <w:lang w:eastAsia="fr-FR"/>
              </w:rPr>
            </w:pPr>
            <w:r w:rsidRPr="004F69D1">
              <w:rPr>
                <w:rFonts w:ascii="Century Gothic" w:eastAsia="Times New Roman" w:hAnsi="Century Gothic" w:cs="Calibri"/>
                <w:b/>
                <w:color w:val="FFFFFF" w:themeColor="background1"/>
                <w:sz w:val="18"/>
                <w:szCs w:val="16"/>
                <w:lang w:eastAsia="fr-FR"/>
              </w:rPr>
              <w:t xml:space="preserve">% du PIB </w:t>
            </w:r>
          </w:p>
        </w:tc>
      </w:tr>
      <w:tr w:rsidR="004F69D1" w:rsidRPr="00CB7859" w14:paraId="7AF18152" w14:textId="77777777" w:rsidTr="00B44830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22DCF" w14:textId="77777777" w:rsidR="004F69D1" w:rsidRPr="005F0C41" w:rsidRDefault="004F69D1" w:rsidP="00B44830">
            <w:pPr>
              <w:spacing w:before="60"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Cameroun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43E7C" w14:textId="77777777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6 927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DDE2E" w14:textId="74D6AF07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23,0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 </w:t>
            </w: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%</w:t>
            </w:r>
          </w:p>
        </w:tc>
      </w:tr>
      <w:tr w:rsidR="004F69D1" w:rsidRPr="00CB7859" w14:paraId="11D1E89A" w14:textId="77777777" w:rsidTr="00B44830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B1550" w14:textId="77777777" w:rsidR="004F69D1" w:rsidRPr="005F0C41" w:rsidRDefault="004F69D1" w:rsidP="00B44830">
            <w:pPr>
              <w:spacing w:before="60"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Centrafrique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D4E8B" w14:textId="77777777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657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AF1FB" w14:textId="6B059D0C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36,5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 </w:t>
            </w: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%</w:t>
            </w:r>
          </w:p>
        </w:tc>
      </w:tr>
      <w:tr w:rsidR="004F69D1" w:rsidRPr="00CB7859" w14:paraId="4634188B" w14:textId="77777777" w:rsidTr="00B44830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51B2F" w14:textId="77777777" w:rsidR="004F69D1" w:rsidRPr="005F0C41" w:rsidRDefault="004F69D1" w:rsidP="00B44830">
            <w:pPr>
              <w:spacing w:before="60"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Congo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0BF9A" w14:textId="77777777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25 882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35582" w14:textId="5166B8CA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289,5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 </w:t>
            </w: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%</w:t>
            </w:r>
          </w:p>
        </w:tc>
      </w:tr>
      <w:tr w:rsidR="004F69D1" w:rsidRPr="00CB7859" w14:paraId="21C9D258" w14:textId="77777777" w:rsidTr="00B44830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9E6ECD" w14:textId="77777777" w:rsidR="004F69D1" w:rsidRPr="005F0C41" w:rsidRDefault="004F69D1" w:rsidP="00B44830">
            <w:pPr>
              <w:spacing w:before="60"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Gabon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D944C" w14:textId="77777777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7 467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F220B" w14:textId="6CCBF8B8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51,7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 </w:t>
            </w: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%</w:t>
            </w:r>
          </w:p>
        </w:tc>
      </w:tr>
      <w:tr w:rsidR="004F69D1" w:rsidRPr="00CB7859" w14:paraId="0BB01F83" w14:textId="77777777" w:rsidTr="004F69D1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974558" w14:textId="77777777" w:rsidR="004F69D1" w:rsidRPr="005F0C41" w:rsidRDefault="004F69D1" w:rsidP="00B44830">
            <w:pPr>
              <w:spacing w:before="60"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Guinée équatoriale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C36D6" w14:textId="77777777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13 411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05880" w14:textId="681194CA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100,5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 </w:t>
            </w: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%</w:t>
            </w:r>
          </w:p>
        </w:tc>
      </w:tr>
      <w:tr w:rsidR="004F69D1" w:rsidRPr="00CB7859" w14:paraId="2237A02C" w14:textId="77777777" w:rsidTr="004F69D1">
        <w:trPr>
          <w:trHeight w:val="300"/>
          <w:jc w:val="center"/>
        </w:trPr>
        <w:tc>
          <w:tcPr>
            <w:tcW w:w="1843" w:type="dxa"/>
            <w:tcBorders>
              <w:bottom w:val="single" w:sz="4" w:space="0" w:color="DEEAF6" w:themeColor="accent1" w:themeTint="33"/>
            </w:tcBorders>
            <w:shd w:val="clear" w:color="auto" w:fill="auto"/>
            <w:noWrap/>
            <w:vAlign w:val="center"/>
            <w:hideMark/>
          </w:tcPr>
          <w:p w14:paraId="7EB5A58D" w14:textId="77777777" w:rsidR="004F69D1" w:rsidRPr="005F0C41" w:rsidRDefault="004F69D1" w:rsidP="00B44830">
            <w:pPr>
              <w:spacing w:before="60"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1276" w:type="dxa"/>
            <w:tcBorders>
              <w:bottom w:val="single" w:sz="4" w:space="0" w:color="DEEAF6" w:themeColor="accent1" w:themeTint="33"/>
            </w:tcBorders>
            <w:shd w:val="clear" w:color="auto" w:fill="auto"/>
            <w:noWrap/>
            <w:vAlign w:val="center"/>
            <w:hideMark/>
          </w:tcPr>
          <w:p w14:paraId="199CFE92" w14:textId="77777777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5 420</w:t>
            </w:r>
          </w:p>
        </w:tc>
        <w:tc>
          <w:tcPr>
            <w:tcW w:w="1276" w:type="dxa"/>
            <w:tcBorders>
              <w:bottom w:val="single" w:sz="4" w:space="0" w:color="DEEAF6" w:themeColor="accent1" w:themeTint="33"/>
            </w:tcBorders>
            <w:shd w:val="clear" w:color="auto" w:fill="auto"/>
            <w:noWrap/>
            <w:vAlign w:val="center"/>
            <w:hideMark/>
          </w:tcPr>
          <w:p w14:paraId="36DEF3B1" w14:textId="05860398" w:rsidR="004F69D1" w:rsidRPr="005F0C41" w:rsidRDefault="004F69D1" w:rsidP="00B44830">
            <w:pPr>
              <w:spacing w:before="60" w:after="0" w:line="240" w:lineRule="auto"/>
              <w:jc w:val="right"/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</w:pP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56,0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 </w:t>
            </w:r>
            <w:r w:rsidRPr="005F0C41">
              <w:rPr>
                <w:rFonts w:ascii="Century Gothic" w:eastAsia="Times New Roman" w:hAnsi="Century Gothic" w:cs="Arial"/>
                <w:sz w:val="16"/>
                <w:szCs w:val="16"/>
                <w:lang w:eastAsia="fr-FR"/>
              </w:rPr>
              <w:t>%</w:t>
            </w:r>
          </w:p>
        </w:tc>
      </w:tr>
    </w:tbl>
    <w:p w14:paraId="4B088DC7" w14:textId="77777777" w:rsidR="004F69D1" w:rsidRPr="00C66F4E" w:rsidRDefault="004F69D1" w:rsidP="004F69D1">
      <w:pPr>
        <w:spacing w:before="60"/>
        <w:jc w:val="center"/>
        <w:rPr>
          <w:rFonts w:ascii="Century Gothic" w:hAnsi="Century Gothic"/>
          <w:i/>
          <w:sz w:val="14"/>
        </w:rPr>
      </w:pPr>
      <w:r w:rsidRPr="00C66F4E">
        <w:rPr>
          <w:rFonts w:ascii="Century Gothic" w:hAnsi="Century Gothic"/>
          <w:i/>
          <w:sz w:val="14"/>
        </w:rPr>
        <w:t>Source : CNUCED</w:t>
      </w:r>
    </w:p>
    <w:p w14:paraId="2233E44F" w14:textId="77777777" w:rsidR="004F69D1" w:rsidRDefault="004F69D1" w:rsidP="004F69D1">
      <w:pPr>
        <w:jc w:val="both"/>
        <w:rPr>
          <w:rFonts w:ascii="Times New Roman" w:hAnsi="Times New Roman" w:cs="Times New Roman"/>
        </w:rPr>
      </w:pPr>
    </w:p>
    <w:p w14:paraId="0D03EF71" w14:textId="77777777" w:rsidR="006D3BF8" w:rsidRDefault="006D3BF8" w:rsidP="006D3BF8">
      <w:pPr>
        <w:jc w:val="both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sz w:val="24"/>
        </w:rPr>
        <w:t>Place de la France dans les IDE au Cameroun</w:t>
      </w:r>
    </w:p>
    <w:p w14:paraId="6B057B12" w14:textId="77777777" w:rsidR="006D3BF8" w:rsidRDefault="00E8712C" w:rsidP="006D3B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stock d’IDE français au Cameroun s’élevait à 796 millions d’euros en 2016 selon les chiffres de la Banque de France</w:t>
      </w:r>
      <w:r w:rsidR="007E7C8C">
        <w:rPr>
          <w:rFonts w:ascii="Times New Roman" w:hAnsi="Times New Roman" w:cs="Times New Roman"/>
        </w:rPr>
        <w:t>, en baisse de 3,5 % sur un an</w:t>
      </w:r>
      <w:r w:rsidR="00B67248">
        <w:rPr>
          <w:rFonts w:ascii="Times New Roman" w:hAnsi="Times New Roman" w:cs="Times New Roman"/>
        </w:rPr>
        <w:t xml:space="preserve"> (</w:t>
      </w:r>
      <w:r w:rsidR="00B67248">
        <w:rPr>
          <w:rFonts w:ascii="Times New Roman" w:hAnsi="Times New Roman" w:cs="Times New Roman"/>
          <w:i/>
        </w:rPr>
        <w:t>cf</w:t>
      </w:r>
      <w:r w:rsidR="00B67248">
        <w:rPr>
          <w:rFonts w:ascii="Times New Roman" w:hAnsi="Times New Roman" w:cs="Times New Roman"/>
        </w:rPr>
        <w:t>. graphique 2)</w:t>
      </w:r>
      <w:r>
        <w:rPr>
          <w:rFonts w:ascii="Times New Roman" w:hAnsi="Times New Roman" w:cs="Times New Roman"/>
        </w:rPr>
        <w:t xml:space="preserve">. La France demeure le principal investisseur étranger du pays mais son poids décline. </w:t>
      </w:r>
      <w:r w:rsidR="007E7B15">
        <w:rPr>
          <w:rFonts w:ascii="Times New Roman" w:hAnsi="Times New Roman" w:cs="Times New Roman"/>
        </w:rPr>
        <w:t xml:space="preserve">Le stock d’IDE français enregistre en effet une baisse continue depuis 2012, alors </w:t>
      </w:r>
      <w:r w:rsidR="00A32CBA">
        <w:rPr>
          <w:rFonts w:ascii="Times New Roman" w:hAnsi="Times New Roman" w:cs="Times New Roman"/>
        </w:rPr>
        <w:t xml:space="preserve">qu’en parallèle </w:t>
      </w:r>
      <w:r w:rsidR="007E7B15">
        <w:rPr>
          <w:rFonts w:ascii="Times New Roman" w:hAnsi="Times New Roman" w:cs="Times New Roman"/>
        </w:rPr>
        <w:t>le stock total d’IDE poursuit sa progression.</w:t>
      </w:r>
    </w:p>
    <w:p w14:paraId="4C4F4425" w14:textId="6C770B63" w:rsidR="00FE3D4E" w:rsidRDefault="00FE3D4E" w:rsidP="006D3B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présence française au Cameroun est le fait d’une centaine de filiales et d’environ 200 </w:t>
      </w:r>
      <w:r w:rsidR="000F42B1">
        <w:rPr>
          <w:rFonts w:ascii="Times New Roman" w:hAnsi="Times New Roman" w:cs="Times New Roman"/>
        </w:rPr>
        <w:t>entreprises</w:t>
      </w:r>
      <w:r>
        <w:rPr>
          <w:rFonts w:ascii="Times New Roman" w:hAnsi="Times New Roman" w:cs="Times New Roman"/>
        </w:rPr>
        <w:t xml:space="preserve"> appartenant à des ressortissants français.</w:t>
      </w:r>
      <w:r w:rsidR="000F42B1">
        <w:rPr>
          <w:rFonts w:ascii="Times New Roman" w:hAnsi="Times New Roman" w:cs="Times New Roman"/>
        </w:rPr>
        <w:t xml:space="preserve"> Les groupes français sont notamment présents dans les secteurs de l’exploitation pétrolière (Perenco exploite les gisements off-shore au large de Kribi</w:t>
      </w:r>
      <w:r w:rsidR="00B468A6">
        <w:rPr>
          <w:rFonts w:ascii="Times New Roman" w:hAnsi="Times New Roman" w:cs="Times New Roman"/>
        </w:rPr>
        <w:t>),</w:t>
      </w:r>
      <w:r w:rsidR="000F42B1">
        <w:rPr>
          <w:rFonts w:ascii="Times New Roman" w:hAnsi="Times New Roman" w:cs="Times New Roman"/>
        </w:rPr>
        <w:t xml:space="preserve"> l’industrie agroalimentaire (Compagnie fruitière, Bolloré, Vilgrain, Castel)</w:t>
      </w:r>
      <w:r w:rsidR="00E02628">
        <w:rPr>
          <w:rFonts w:ascii="Times New Roman" w:hAnsi="Times New Roman" w:cs="Times New Roman"/>
        </w:rPr>
        <w:t xml:space="preserve">, le bois (Rougier et Pasquet), </w:t>
      </w:r>
      <w:r w:rsidR="00D046F1">
        <w:rPr>
          <w:rFonts w:ascii="Times New Roman" w:hAnsi="Times New Roman" w:cs="Times New Roman"/>
        </w:rPr>
        <w:t xml:space="preserve">l’industrie (Lafarge, Air Liquide), </w:t>
      </w:r>
      <w:r w:rsidR="00E02628">
        <w:rPr>
          <w:rFonts w:ascii="Times New Roman" w:hAnsi="Times New Roman" w:cs="Times New Roman"/>
        </w:rPr>
        <w:t>le BTP (Vinci/Sogea-Satom, Fayat/Razel, Bouygues), le transport et la logistique (Bolloré, CMA-CGM), les activités financières (Société générale, BPCE, Axa)</w:t>
      </w:r>
      <w:r w:rsidR="00D046F1">
        <w:rPr>
          <w:rFonts w:ascii="Times New Roman" w:hAnsi="Times New Roman" w:cs="Times New Roman"/>
        </w:rPr>
        <w:t>, les télécommunications (Orange), la distribution (</w:t>
      </w:r>
      <w:r w:rsidR="00B468A6">
        <w:rPr>
          <w:rFonts w:ascii="Times New Roman" w:hAnsi="Times New Roman" w:cs="Times New Roman"/>
        </w:rPr>
        <w:t xml:space="preserve">franchises des enseignes </w:t>
      </w:r>
      <w:r w:rsidR="00D046F1">
        <w:rPr>
          <w:rFonts w:ascii="Times New Roman" w:hAnsi="Times New Roman" w:cs="Times New Roman"/>
        </w:rPr>
        <w:t>Super U</w:t>
      </w:r>
      <w:r w:rsidR="00B468A6">
        <w:rPr>
          <w:rFonts w:ascii="Times New Roman" w:hAnsi="Times New Roman" w:cs="Times New Roman"/>
        </w:rPr>
        <w:t xml:space="preserve"> et</w:t>
      </w:r>
      <w:r w:rsidR="00D046F1">
        <w:rPr>
          <w:rFonts w:ascii="Times New Roman" w:hAnsi="Times New Roman" w:cs="Times New Roman"/>
        </w:rPr>
        <w:t xml:space="preserve"> Casino, Total, CFAO/Laborex, et plus récemment Carrefour), etc.</w:t>
      </w:r>
    </w:p>
    <w:p w14:paraId="17F61AC8" w14:textId="77777777" w:rsidR="00C80664" w:rsidRPr="00C80664" w:rsidRDefault="00C80664" w:rsidP="00C80664">
      <w:pPr>
        <w:jc w:val="both"/>
        <w:rPr>
          <w:rFonts w:ascii="Times New Roman" w:hAnsi="Times New Roman" w:cs="Times New Roman"/>
        </w:rPr>
      </w:pPr>
      <w:r w:rsidRPr="00C80664">
        <w:rPr>
          <w:rFonts w:ascii="Times New Roman" w:hAnsi="Times New Roman" w:cs="Times New Roman"/>
        </w:rPr>
        <w:t xml:space="preserve">Outre les investissements français, les principaux </w:t>
      </w:r>
      <w:r>
        <w:rPr>
          <w:rFonts w:ascii="Times New Roman" w:hAnsi="Times New Roman" w:cs="Times New Roman"/>
        </w:rPr>
        <w:t>investisseurs étrangers présents au Cameroun sont :</w:t>
      </w:r>
    </w:p>
    <w:p w14:paraId="576E2E3E" w14:textId="77777777" w:rsidR="00E5419B" w:rsidRDefault="00C80664" w:rsidP="00274EE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Agro-alimentaire : Guinness (</w:t>
      </w:r>
      <w:r w:rsidR="00E5419B" w:rsidRPr="00E5419B">
        <w:rPr>
          <w:rFonts w:ascii="Times New Roman" w:hAnsi="Times New Roman" w:cs="Times New Roman"/>
        </w:rPr>
        <w:t>Royaume-Uni),</w:t>
      </w:r>
      <w:r w:rsidRPr="00E5419B">
        <w:rPr>
          <w:rFonts w:ascii="Times New Roman" w:hAnsi="Times New Roman" w:cs="Times New Roman"/>
        </w:rPr>
        <w:t xml:space="preserve"> Nestlé (Suisse)</w:t>
      </w:r>
      <w:r w:rsidR="00E5419B" w:rsidRPr="00E5419B">
        <w:rPr>
          <w:rFonts w:ascii="Times New Roman" w:hAnsi="Times New Roman" w:cs="Times New Roman"/>
        </w:rPr>
        <w:t>,</w:t>
      </w:r>
      <w:r w:rsidRPr="00E5419B">
        <w:rPr>
          <w:rFonts w:ascii="Times New Roman" w:hAnsi="Times New Roman" w:cs="Times New Roman"/>
        </w:rPr>
        <w:t xml:space="preserve"> Olam (Singapour)</w:t>
      </w:r>
      <w:r w:rsidR="00E5419B" w:rsidRPr="00E5419B">
        <w:rPr>
          <w:rFonts w:ascii="Times New Roman" w:hAnsi="Times New Roman" w:cs="Times New Roman"/>
        </w:rPr>
        <w:t> ;</w:t>
      </w:r>
    </w:p>
    <w:p w14:paraId="38F0D438" w14:textId="77777777" w:rsidR="00E5419B" w:rsidRDefault="00C80664" w:rsidP="0026479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 xml:space="preserve">Banque : BGFI (Gabon), City Bank </w:t>
      </w:r>
      <w:r w:rsidR="00E5419B" w:rsidRPr="00E5419B">
        <w:rPr>
          <w:rFonts w:ascii="Times New Roman" w:hAnsi="Times New Roman" w:cs="Times New Roman"/>
        </w:rPr>
        <w:t>(États-Unis)</w:t>
      </w:r>
      <w:r w:rsidRPr="00E5419B">
        <w:rPr>
          <w:rFonts w:ascii="Times New Roman" w:hAnsi="Times New Roman" w:cs="Times New Roman"/>
        </w:rPr>
        <w:t>, Standard Chartered (R</w:t>
      </w:r>
      <w:r w:rsidR="00E5419B" w:rsidRPr="00E5419B">
        <w:rPr>
          <w:rFonts w:ascii="Times New Roman" w:hAnsi="Times New Roman" w:cs="Times New Roman"/>
        </w:rPr>
        <w:t>oyaume-Uni</w:t>
      </w:r>
      <w:r w:rsidRPr="00E5419B">
        <w:rPr>
          <w:rFonts w:ascii="Times New Roman" w:hAnsi="Times New Roman" w:cs="Times New Roman"/>
        </w:rPr>
        <w:t>), Ecobank (Afrique du Sud, Nig</w:t>
      </w:r>
      <w:r w:rsidR="00E5419B" w:rsidRPr="00E5419B">
        <w:rPr>
          <w:rFonts w:ascii="Times New Roman" w:hAnsi="Times New Roman" w:cs="Times New Roman"/>
        </w:rPr>
        <w:t>é</w:t>
      </w:r>
      <w:r w:rsidRPr="00E5419B">
        <w:rPr>
          <w:rFonts w:ascii="Times New Roman" w:hAnsi="Times New Roman" w:cs="Times New Roman"/>
        </w:rPr>
        <w:t>ria), UBA (Nigéria)</w:t>
      </w:r>
      <w:r w:rsidR="00E5419B" w:rsidRPr="00E5419B">
        <w:rPr>
          <w:rFonts w:ascii="Times New Roman" w:hAnsi="Times New Roman" w:cs="Times New Roman"/>
        </w:rPr>
        <w:t> ;</w:t>
      </w:r>
    </w:p>
    <w:p w14:paraId="0A0A3E11" w14:textId="77777777" w:rsidR="00E5419B" w:rsidRDefault="00C80664" w:rsidP="00C8066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BTP : Arab Contractors (Egypte), China road and bridge Co., Andrade Gutierrez (Brésil)</w:t>
      </w:r>
      <w:r w:rsidR="00E5419B" w:rsidRPr="00E5419B">
        <w:rPr>
          <w:rFonts w:ascii="Times New Roman" w:hAnsi="Times New Roman" w:cs="Times New Roman"/>
        </w:rPr>
        <w:t> ;</w:t>
      </w:r>
    </w:p>
    <w:p w14:paraId="45FBBDDC" w14:textId="77777777" w:rsidR="00E5419B" w:rsidRDefault="00C80664" w:rsidP="000640A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Chimie, détergents :</w:t>
      </w:r>
      <w:r w:rsidR="00E5419B" w:rsidRPr="00E5419B">
        <w:rPr>
          <w:rFonts w:ascii="Times New Roman" w:hAnsi="Times New Roman" w:cs="Times New Roman"/>
        </w:rPr>
        <w:t xml:space="preserve"> Col</w:t>
      </w:r>
      <w:r w:rsidRPr="00E5419B">
        <w:rPr>
          <w:rFonts w:ascii="Times New Roman" w:hAnsi="Times New Roman" w:cs="Times New Roman"/>
        </w:rPr>
        <w:t>gate Palmolive (</w:t>
      </w:r>
      <w:r w:rsidR="00E5419B" w:rsidRPr="00E5419B">
        <w:rPr>
          <w:rFonts w:ascii="Times New Roman" w:hAnsi="Times New Roman" w:cs="Times New Roman"/>
        </w:rPr>
        <w:t>États-Unis) ;</w:t>
      </w:r>
    </w:p>
    <w:p w14:paraId="65AF76CA" w14:textId="77777777" w:rsidR="00E5419B" w:rsidRDefault="00C80664" w:rsidP="00FF42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Ciment : Cim</w:t>
      </w:r>
      <w:r w:rsidR="00E5419B" w:rsidRPr="00E5419B">
        <w:rPr>
          <w:rFonts w:ascii="Times New Roman" w:hAnsi="Times New Roman" w:cs="Times New Roman"/>
        </w:rPr>
        <w:t>af (Maroc), Dangote (Nigeria),</w:t>
      </w:r>
      <w:r w:rsidRPr="00E5419B">
        <w:rPr>
          <w:rFonts w:ascii="Times New Roman" w:hAnsi="Times New Roman" w:cs="Times New Roman"/>
        </w:rPr>
        <w:t xml:space="preserve"> Medcem (Turquie)</w:t>
      </w:r>
      <w:r w:rsidR="00E5419B" w:rsidRPr="00E5419B">
        <w:rPr>
          <w:rFonts w:ascii="Times New Roman" w:hAnsi="Times New Roman" w:cs="Times New Roman"/>
        </w:rPr>
        <w:t> ;</w:t>
      </w:r>
    </w:p>
    <w:p w14:paraId="176D035E" w14:textId="77777777" w:rsidR="00E5419B" w:rsidRDefault="00E5419B" w:rsidP="00F3314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Distribution de carburant :</w:t>
      </w:r>
      <w:r w:rsidR="00C80664" w:rsidRPr="00E5419B">
        <w:rPr>
          <w:rFonts w:ascii="Times New Roman" w:hAnsi="Times New Roman" w:cs="Times New Roman"/>
        </w:rPr>
        <w:t xml:space="preserve"> Oil Lybia, Texaco (</w:t>
      </w:r>
      <w:r w:rsidRPr="00E5419B">
        <w:rPr>
          <w:rFonts w:ascii="Times New Roman" w:hAnsi="Times New Roman" w:cs="Times New Roman"/>
        </w:rPr>
        <w:t>États-Unis) ;</w:t>
      </w:r>
    </w:p>
    <w:p w14:paraId="4C26FAC6" w14:textId="77777777" w:rsidR="00E5419B" w:rsidRDefault="00E5419B" w:rsidP="003A39D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Énergie :</w:t>
      </w:r>
      <w:r w:rsidR="00C80664" w:rsidRPr="00E5419B">
        <w:rPr>
          <w:rFonts w:ascii="Times New Roman" w:hAnsi="Times New Roman" w:cs="Times New Roman"/>
        </w:rPr>
        <w:t xml:space="preserve"> Actis-Eneo </w:t>
      </w:r>
      <w:r w:rsidRPr="00E5419B">
        <w:rPr>
          <w:rFonts w:ascii="Times New Roman" w:hAnsi="Times New Roman" w:cs="Times New Roman"/>
        </w:rPr>
        <w:t>(Royaume-Uni) ;</w:t>
      </w:r>
    </w:p>
    <w:p w14:paraId="0E6F5EAA" w14:textId="77777777" w:rsidR="00E5419B" w:rsidRDefault="00E5419B" w:rsidP="001E739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Hôtellerie :</w:t>
      </w:r>
      <w:r w:rsidR="00C80664" w:rsidRPr="00E5419B">
        <w:rPr>
          <w:rFonts w:ascii="Times New Roman" w:hAnsi="Times New Roman" w:cs="Times New Roman"/>
        </w:rPr>
        <w:t xml:space="preserve"> Hilton </w:t>
      </w:r>
      <w:r w:rsidRPr="00E5419B">
        <w:rPr>
          <w:rFonts w:ascii="Times New Roman" w:hAnsi="Times New Roman" w:cs="Times New Roman"/>
        </w:rPr>
        <w:t>(États-Unis) ;</w:t>
      </w:r>
    </w:p>
    <w:p w14:paraId="618F6657" w14:textId="72FFE5A2" w:rsidR="00E5419B" w:rsidRDefault="00C80664" w:rsidP="00C8066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Négoce de matières premières, engrais</w:t>
      </w:r>
      <w:r w:rsidR="00E5419B" w:rsidRPr="00E5419B">
        <w:rPr>
          <w:rFonts w:ascii="Times New Roman" w:hAnsi="Times New Roman" w:cs="Times New Roman"/>
        </w:rPr>
        <w:t> :</w:t>
      </w:r>
      <w:r w:rsidRPr="00E5419B">
        <w:rPr>
          <w:rFonts w:ascii="Times New Roman" w:hAnsi="Times New Roman" w:cs="Times New Roman"/>
        </w:rPr>
        <w:t xml:space="preserve"> </w:t>
      </w:r>
      <w:r w:rsidR="00D8137D">
        <w:rPr>
          <w:rFonts w:ascii="Times New Roman" w:hAnsi="Times New Roman" w:cs="Times New Roman"/>
        </w:rPr>
        <w:t>Solevo (ex-Louis Dreyfus Commodities Cameroun</w:t>
      </w:r>
      <w:bookmarkStart w:id="0" w:name="_GoBack"/>
      <w:bookmarkEnd w:id="0"/>
      <w:r w:rsidR="00D8137D">
        <w:rPr>
          <w:rFonts w:ascii="Times New Roman" w:hAnsi="Times New Roman" w:cs="Times New Roman"/>
        </w:rPr>
        <w:t>) (Royaume-Uni</w:t>
      </w:r>
      <w:r w:rsidR="0060320D">
        <w:rPr>
          <w:rFonts w:ascii="Times New Roman" w:hAnsi="Times New Roman" w:cs="Times New Roman"/>
        </w:rPr>
        <w:t>)</w:t>
      </w:r>
      <w:r w:rsidR="00E5419B" w:rsidRPr="00E5419B">
        <w:rPr>
          <w:rFonts w:ascii="Times New Roman" w:hAnsi="Times New Roman" w:cs="Times New Roman"/>
        </w:rPr>
        <w:t> ;</w:t>
      </w:r>
    </w:p>
    <w:p w14:paraId="3465303D" w14:textId="77777777" w:rsidR="00CF3DF9" w:rsidRDefault="00E5419B" w:rsidP="00CF3D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19B">
        <w:rPr>
          <w:rFonts w:ascii="Times New Roman" w:hAnsi="Times New Roman" w:cs="Times New Roman"/>
        </w:rPr>
        <w:t>Pétrole :</w:t>
      </w:r>
      <w:r w:rsidR="00C80664" w:rsidRPr="00E5419B">
        <w:rPr>
          <w:rFonts w:ascii="Times New Roman" w:hAnsi="Times New Roman" w:cs="Times New Roman"/>
        </w:rPr>
        <w:t xml:space="preserve"> Addax (Chine)</w:t>
      </w:r>
      <w:r w:rsidRPr="00E5419B">
        <w:rPr>
          <w:rFonts w:ascii="Times New Roman" w:hAnsi="Times New Roman" w:cs="Times New Roman"/>
        </w:rPr>
        <w:t> ;</w:t>
      </w:r>
    </w:p>
    <w:p w14:paraId="5DB7AD1A" w14:textId="28F85520" w:rsidR="001526A5" w:rsidRPr="00CF3DF9" w:rsidRDefault="00E5419B" w:rsidP="00CF3D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3DF9">
        <w:rPr>
          <w:rFonts w:ascii="Times New Roman" w:hAnsi="Times New Roman" w:cs="Times New Roman"/>
        </w:rPr>
        <w:t>Télécommunications :</w:t>
      </w:r>
      <w:r w:rsidR="00C80664" w:rsidRPr="00CF3DF9">
        <w:rPr>
          <w:rFonts w:ascii="Times New Roman" w:hAnsi="Times New Roman" w:cs="Times New Roman"/>
        </w:rPr>
        <w:t xml:space="preserve"> MTN (Afrique du Sud), Nextel / Viettel (Vietnam)</w:t>
      </w:r>
      <w:r w:rsidRPr="00CF3DF9">
        <w:rPr>
          <w:rFonts w:ascii="Times New Roman" w:hAnsi="Times New Roman" w:cs="Times New Roman"/>
        </w:rPr>
        <w:t>.</w:t>
      </w:r>
    </w:p>
    <w:p w14:paraId="10118B50" w14:textId="77777777" w:rsidR="004F69D1" w:rsidRDefault="004F69D1" w:rsidP="00377C07">
      <w:pPr>
        <w:jc w:val="both"/>
        <w:rPr>
          <w:rFonts w:ascii="Times New Roman" w:hAnsi="Times New Roman" w:cs="Times New Roman"/>
        </w:rPr>
      </w:pPr>
    </w:p>
    <w:p w14:paraId="308AEDC7" w14:textId="77777777" w:rsidR="00976F52" w:rsidRPr="00C80664" w:rsidRDefault="00976F52" w:rsidP="00377C07">
      <w:pPr>
        <w:jc w:val="both"/>
        <w:rPr>
          <w:rFonts w:ascii="Century Gothic" w:hAnsi="Century Gothic" w:cs="Times New Roman"/>
          <w:b/>
          <w:sz w:val="24"/>
        </w:rPr>
      </w:pPr>
      <w:r w:rsidRPr="00C80664">
        <w:rPr>
          <w:rFonts w:ascii="Century Gothic" w:hAnsi="Century Gothic" w:cs="Times New Roman"/>
          <w:b/>
          <w:sz w:val="24"/>
        </w:rPr>
        <w:t>Perspectives</w:t>
      </w:r>
    </w:p>
    <w:p w14:paraId="5CD0B8B1" w14:textId="5B9D39B8" w:rsidR="00976F52" w:rsidRDefault="007679B7" w:rsidP="00377C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dépit d’un climat des affaires difficile – le pays se </w:t>
      </w:r>
      <w:r w:rsidR="008540D8">
        <w:rPr>
          <w:rFonts w:ascii="Times New Roman" w:hAnsi="Times New Roman" w:cs="Times New Roman"/>
        </w:rPr>
        <w:t>place en</w:t>
      </w:r>
      <w:r>
        <w:rPr>
          <w:rFonts w:ascii="Times New Roman" w:hAnsi="Times New Roman" w:cs="Times New Roman"/>
        </w:rPr>
        <w:t xml:space="preserve"> 16</w:t>
      </w:r>
      <w:r w:rsidR="00AB280C">
        <w:rPr>
          <w:rFonts w:ascii="Times New Roman" w:hAnsi="Times New Roman" w:cs="Times New Roman"/>
        </w:rPr>
        <w:t>3</w:t>
      </w:r>
      <w:r w:rsidRPr="0039120F">
        <w:rPr>
          <w:rFonts w:ascii="Times New Roman" w:hAnsi="Times New Roman" w:cs="Times New Roman"/>
          <w:vertAlign w:val="superscript"/>
        </w:rPr>
        <w:t>ème</w:t>
      </w:r>
      <w:r>
        <w:rPr>
          <w:rFonts w:ascii="Times New Roman" w:hAnsi="Times New Roman" w:cs="Times New Roman"/>
        </w:rPr>
        <w:t xml:space="preserve"> </w:t>
      </w:r>
      <w:r w:rsidR="008540D8">
        <w:rPr>
          <w:rFonts w:ascii="Times New Roman" w:hAnsi="Times New Roman" w:cs="Times New Roman"/>
        </w:rPr>
        <w:t xml:space="preserve">position </w:t>
      </w:r>
      <w:r>
        <w:rPr>
          <w:rFonts w:ascii="Times New Roman" w:hAnsi="Times New Roman" w:cs="Times New Roman"/>
        </w:rPr>
        <w:t>sur 190 pays au classement Doing Business</w:t>
      </w:r>
      <w:r w:rsidR="00AB280C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 xml:space="preserve"> de la Banque mondiale –, l</w:t>
      </w:r>
      <w:r w:rsidR="00E5419B">
        <w:rPr>
          <w:rFonts w:ascii="Times New Roman" w:hAnsi="Times New Roman" w:cs="Times New Roman"/>
        </w:rPr>
        <w:t>e Cameroun dispose d’un p</w:t>
      </w:r>
      <w:r w:rsidR="00C80664">
        <w:rPr>
          <w:rFonts w:ascii="Times New Roman" w:hAnsi="Times New Roman" w:cs="Times New Roman"/>
        </w:rPr>
        <w:t xml:space="preserve">otentiel important </w:t>
      </w:r>
      <w:r w:rsidR="00E5419B">
        <w:rPr>
          <w:rFonts w:ascii="Times New Roman" w:hAnsi="Times New Roman" w:cs="Times New Roman"/>
        </w:rPr>
        <w:t>pour attirer des investisseurs étrangers</w:t>
      </w:r>
      <w:r w:rsidR="008540D8">
        <w:rPr>
          <w:rFonts w:ascii="Times New Roman" w:hAnsi="Times New Roman" w:cs="Times New Roman"/>
        </w:rPr>
        <w:t xml:space="preserve"> en raison du poids encore faible des IDE</w:t>
      </w:r>
      <w:r w:rsidR="00E5419B">
        <w:rPr>
          <w:rFonts w:ascii="Times New Roman" w:hAnsi="Times New Roman" w:cs="Times New Roman"/>
        </w:rPr>
        <w:t xml:space="preserve"> </w:t>
      </w:r>
      <w:r w:rsidR="00C80664">
        <w:rPr>
          <w:rFonts w:ascii="Times New Roman" w:hAnsi="Times New Roman" w:cs="Times New Roman"/>
        </w:rPr>
        <w:t xml:space="preserve">au regard </w:t>
      </w:r>
      <w:r w:rsidR="00E5419B">
        <w:rPr>
          <w:rFonts w:ascii="Times New Roman" w:hAnsi="Times New Roman" w:cs="Times New Roman"/>
        </w:rPr>
        <w:t xml:space="preserve">de son </w:t>
      </w:r>
      <w:r w:rsidR="00C80664">
        <w:rPr>
          <w:rFonts w:ascii="Times New Roman" w:hAnsi="Times New Roman" w:cs="Times New Roman"/>
        </w:rPr>
        <w:t xml:space="preserve">économie </w:t>
      </w:r>
      <w:r w:rsidR="00C80664">
        <w:rPr>
          <w:rFonts w:ascii="Times New Roman" w:hAnsi="Times New Roman" w:cs="Times New Roman"/>
        </w:rPr>
        <w:lastRenderedPageBreak/>
        <w:t xml:space="preserve">et de </w:t>
      </w:r>
      <w:r w:rsidR="00E5419B">
        <w:rPr>
          <w:rFonts w:ascii="Times New Roman" w:hAnsi="Times New Roman" w:cs="Times New Roman"/>
        </w:rPr>
        <w:t>ses perspectives</w:t>
      </w:r>
      <w:r w:rsidR="00C80664">
        <w:rPr>
          <w:rFonts w:ascii="Times New Roman" w:hAnsi="Times New Roman" w:cs="Times New Roman"/>
        </w:rPr>
        <w:t xml:space="preserve"> de développement.</w:t>
      </w:r>
      <w:r w:rsidR="00E5419B">
        <w:rPr>
          <w:rFonts w:ascii="Times New Roman" w:hAnsi="Times New Roman" w:cs="Times New Roman"/>
        </w:rPr>
        <w:t xml:space="preserve"> </w:t>
      </w:r>
      <w:r w:rsidR="00DD743D">
        <w:rPr>
          <w:rFonts w:ascii="Times New Roman" w:hAnsi="Times New Roman" w:cs="Times New Roman"/>
        </w:rPr>
        <w:t xml:space="preserve">Les besoins seront importants </w:t>
      </w:r>
      <w:r w:rsidR="00BB6A16">
        <w:rPr>
          <w:rFonts w:ascii="Times New Roman" w:hAnsi="Times New Roman" w:cs="Times New Roman"/>
        </w:rPr>
        <w:t xml:space="preserve">à l’avenir </w:t>
      </w:r>
      <w:r w:rsidR="00DD743D">
        <w:rPr>
          <w:rFonts w:ascii="Times New Roman" w:hAnsi="Times New Roman" w:cs="Times New Roman"/>
        </w:rPr>
        <w:t xml:space="preserve">pour financer </w:t>
      </w:r>
      <w:r w:rsidR="00D14AE7">
        <w:rPr>
          <w:rFonts w:ascii="Times New Roman" w:hAnsi="Times New Roman" w:cs="Times New Roman"/>
        </w:rPr>
        <w:t>d</w:t>
      </w:r>
      <w:r w:rsidR="00DD743D">
        <w:rPr>
          <w:rFonts w:ascii="Times New Roman" w:hAnsi="Times New Roman" w:cs="Times New Roman"/>
        </w:rPr>
        <w:t xml:space="preserve">es projets </w:t>
      </w:r>
      <w:r w:rsidR="00D14AE7">
        <w:rPr>
          <w:rFonts w:ascii="Times New Roman" w:hAnsi="Times New Roman" w:cs="Times New Roman"/>
        </w:rPr>
        <w:t>d’envergure</w:t>
      </w:r>
      <w:r w:rsidR="00BB0289">
        <w:rPr>
          <w:rFonts w:ascii="Times New Roman" w:hAnsi="Times New Roman" w:cs="Times New Roman"/>
        </w:rPr>
        <w:t xml:space="preserve"> en PPP</w:t>
      </w:r>
      <w:r w:rsidR="00D14AE7">
        <w:rPr>
          <w:rFonts w:ascii="Times New Roman" w:hAnsi="Times New Roman" w:cs="Times New Roman"/>
        </w:rPr>
        <w:t xml:space="preserve"> tels que des </w:t>
      </w:r>
      <w:r w:rsidR="00DD743D">
        <w:rPr>
          <w:rFonts w:ascii="Times New Roman" w:hAnsi="Times New Roman" w:cs="Times New Roman"/>
        </w:rPr>
        <w:t xml:space="preserve">infrastructures </w:t>
      </w:r>
      <w:r w:rsidR="00D14AE7">
        <w:rPr>
          <w:rFonts w:ascii="Times New Roman" w:hAnsi="Times New Roman" w:cs="Times New Roman"/>
        </w:rPr>
        <w:t>de transport</w:t>
      </w:r>
      <w:r w:rsidR="00784D2E">
        <w:rPr>
          <w:rFonts w:ascii="Times New Roman" w:hAnsi="Times New Roman" w:cs="Times New Roman"/>
        </w:rPr>
        <w:t xml:space="preserve">, </w:t>
      </w:r>
      <w:r w:rsidR="00D14AE7">
        <w:rPr>
          <w:rFonts w:ascii="Times New Roman" w:hAnsi="Times New Roman" w:cs="Times New Roman"/>
        </w:rPr>
        <w:t>d’énergie</w:t>
      </w:r>
      <w:r w:rsidR="00530791">
        <w:rPr>
          <w:rFonts w:ascii="Times New Roman" w:hAnsi="Times New Roman" w:cs="Times New Roman"/>
        </w:rPr>
        <w:t xml:space="preserve"> (IPP barrages)</w:t>
      </w:r>
      <w:r w:rsidR="00D14AE7">
        <w:rPr>
          <w:rFonts w:ascii="Times New Roman" w:hAnsi="Times New Roman" w:cs="Times New Roman"/>
        </w:rPr>
        <w:t xml:space="preserve"> et pour </w:t>
      </w:r>
      <w:r w:rsidR="00DD743D">
        <w:rPr>
          <w:rFonts w:ascii="Times New Roman" w:hAnsi="Times New Roman" w:cs="Times New Roman"/>
        </w:rPr>
        <w:t xml:space="preserve">l’exploitation </w:t>
      </w:r>
      <w:r w:rsidR="00D14AE7">
        <w:rPr>
          <w:rFonts w:ascii="Times New Roman" w:hAnsi="Times New Roman" w:cs="Times New Roman"/>
        </w:rPr>
        <w:t>de</w:t>
      </w:r>
      <w:r w:rsidR="007E35FF">
        <w:rPr>
          <w:rFonts w:ascii="Times New Roman" w:hAnsi="Times New Roman" w:cs="Times New Roman"/>
        </w:rPr>
        <w:t>s</w:t>
      </w:r>
      <w:r w:rsidR="00D14AE7">
        <w:rPr>
          <w:rFonts w:ascii="Times New Roman" w:hAnsi="Times New Roman" w:cs="Times New Roman"/>
        </w:rPr>
        <w:t xml:space="preserve"> ressources gazières.</w:t>
      </w:r>
    </w:p>
    <w:p w14:paraId="48340B03" w14:textId="1BFF5E49" w:rsidR="003C6985" w:rsidRDefault="00C80664" w:rsidP="00377C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court terme, </w:t>
      </w:r>
      <w:r w:rsidR="00530791">
        <w:rPr>
          <w:rFonts w:ascii="Times New Roman" w:hAnsi="Times New Roman" w:cs="Times New Roman"/>
        </w:rPr>
        <w:t xml:space="preserve">les perspectives sont restreintes </w:t>
      </w:r>
      <w:r>
        <w:rPr>
          <w:rFonts w:ascii="Times New Roman" w:hAnsi="Times New Roman" w:cs="Times New Roman"/>
        </w:rPr>
        <w:t xml:space="preserve">par la crise économique et financière qui touche le pays. </w:t>
      </w:r>
      <w:r w:rsidR="00530791">
        <w:rPr>
          <w:rFonts w:ascii="Times New Roman" w:hAnsi="Times New Roman" w:cs="Times New Roman"/>
        </w:rPr>
        <w:t>Le ralentissement de la croissance vient limiter les débouchés potentiels des investisseurs. Enfin, l</w:t>
      </w:r>
      <w:r>
        <w:rPr>
          <w:rFonts w:ascii="Times New Roman" w:hAnsi="Times New Roman" w:cs="Times New Roman"/>
        </w:rPr>
        <w:t xml:space="preserve">a baisse des recettes publiques et la progression rapide de l’endettement </w:t>
      </w:r>
      <w:r w:rsidR="00E75F09">
        <w:rPr>
          <w:rFonts w:ascii="Times New Roman" w:hAnsi="Times New Roman" w:cs="Times New Roman"/>
        </w:rPr>
        <w:t xml:space="preserve">ont conduit </w:t>
      </w:r>
      <w:r w:rsidR="00462947">
        <w:rPr>
          <w:rFonts w:ascii="Times New Roman" w:hAnsi="Times New Roman" w:cs="Times New Roman"/>
        </w:rPr>
        <w:t>l’État camerounais</w:t>
      </w:r>
      <w:r w:rsidR="00E75F09">
        <w:rPr>
          <w:rFonts w:ascii="Times New Roman" w:hAnsi="Times New Roman" w:cs="Times New Roman"/>
        </w:rPr>
        <w:t xml:space="preserve"> à s’engager </w:t>
      </w:r>
      <w:r w:rsidR="00897F15">
        <w:rPr>
          <w:rFonts w:ascii="Times New Roman" w:hAnsi="Times New Roman" w:cs="Times New Roman"/>
        </w:rPr>
        <w:t>à partir de</w:t>
      </w:r>
      <w:r w:rsidR="008540D8">
        <w:rPr>
          <w:rFonts w:ascii="Times New Roman" w:hAnsi="Times New Roman" w:cs="Times New Roman"/>
        </w:rPr>
        <w:t xml:space="preserve"> juin </w:t>
      </w:r>
      <w:r w:rsidR="00E75F09">
        <w:rPr>
          <w:rFonts w:ascii="Times New Roman" w:hAnsi="Times New Roman" w:cs="Times New Roman"/>
        </w:rPr>
        <w:t>2017</w:t>
      </w:r>
      <w:r w:rsidR="0039120F">
        <w:rPr>
          <w:rFonts w:ascii="Times New Roman" w:hAnsi="Times New Roman" w:cs="Times New Roman"/>
        </w:rPr>
        <w:t xml:space="preserve"> </w:t>
      </w:r>
      <w:r w:rsidR="00E75F09">
        <w:rPr>
          <w:rFonts w:ascii="Times New Roman" w:hAnsi="Times New Roman" w:cs="Times New Roman"/>
        </w:rPr>
        <w:t>dans un</w:t>
      </w:r>
      <w:r>
        <w:rPr>
          <w:rFonts w:ascii="Times New Roman" w:hAnsi="Times New Roman" w:cs="Times New Roman"/>
        </w:rPr>
        <w:t xml:space="preserve"> programme</w:t>
      </w:r>
      <w:r w:rsidR="00302EBA">
        <w:rPr>
          <w:rFonts w:ascii="Times New Roman" w:hAnsi="Times New Roman" w:cs="Times New Roman"/>
        </w:rPr>
        <w:t xml:space="preserve"> triennal</w:t>
      </w:r>
      <w:r>
        <w:rPr>
          <w:rFonts w:ascii="Times New Roman" w:hAnsi="Times New Roman" w:cs="Times New Roman"/>
        </w:rPr>
        <w:t xml:space="preserve"> avec le FMI</w:t>
      </w:r>
      <w:r w:rsidR="00E75F09">
        <w:rPr>
          <w:rFonts w:ascii="Times New Roman" w:hAnsi="Times New Roman" w:cs="Times New Roman"/>
        </w:rPr>
        <w:t xml:space="preserve">. Dans ce cadre, </w:t>
      </w:r>
      <w:r>
        <w:rPr>
          <w:rFonts w:ascii="Times New Roman" w:hAnsi="Times New Roman" w:cs="Times New Roman"/>
        </w:rPr>
        <w:t xml:space="preserve">le Cameroun </w:t>
      </w:r>
      <w:r w:rsidR="00E75F09">
        <w:rPr>
          <w:rFonts w:ascii="Times New Roman" w:hAnsi="Times New Roman" w:cs="Times New Roman"/>
        </w:rPr>
        <w:t>s’</w:t>
      </w:r>
      <w:r>
        <w:rPr>
          <w:rFonts w:ascii="Times New Roman" w:hAnsi="Times New Roman" w:cs="Times New Roman"/>
        </w:rPr>
        <w:t xml:space="preserve">est </w:t>
      </w:r>
      <w:r w:rsidR="00E75F09">
        <w:rPr>
          <w:rFonts w:ascii="Times New Roman" w:hAnsi="Times New Roman" w:cs="Times New Roman"/>
        </w:rPr>
        <w:t>engagé à</w:t>
      </w:r>
      <w:r>
        <w:rPr>
          <w:rFonts w:ascii="Times New Roman" w:hAnsi="Times New Roman" w:cs="Times New Roman"/>
        </w:rPr>
        <w:t xml:space="preserve"> </w:t>
      </w:r>
      <w:r w:rsidR="00530791">
        <w:rPr>
          <w:rFonts w:ascii="Times New Roman" w:hAnsi="Times New Roman" w:cs="Times New Roman"/>
        </w:rPr>
        <w:t>augmenter ses recettes, ce qui génère un accroissement de la pression fiscale dans des conditions peu appréciées des entreprises, et pourrait s</w:t>
      </w:r>
      <w:r w:rsidR="00CF3DF9">
        <w:rPr>
          <w:rFonts w:ascii="Times New Roman" w:hAnsi="Times New Roman" w:cs="Times New Roman"/>
        </w:rPr>
        <w:t>usciter des désinvestissements.</w:t>
      </w:r>
    </w:p>
    <w:sectPr w:rsidR="003C6985" w:rsidSect="00396BE6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A7D86" w14:textId="77777777" w:rsidR="00BE5C0D" w:rsidRDefault="00BE5C0D" w:rsidP="00BE5C0D">
      <w:pPr>
        <w:spacing w:after="0" w:line="240" w:lineRule="auto"/>
      </w:pPr>
      <w:r>
        <w:separator/>
      </w:r>
    </w:p>
  </w:endnote>
  <w:endnote w:type="continuationSeparator" w:id="0">
    <w:p w14:paraId="53129F45" w14:textId="77777777" w:rsidR="00BE5C0D" w:rsidRDefault="00BE5C0D" w:rsidP="00BE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131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1F33112D" w14:textId="76EC3CEE" w:rsidR="00F86B78" w:rsidRPr="00F86B78" w:rsidRDefault="00F86B78" w:rsidP="00F86B78">
        <w:pPr>
          <w:pStyle w:val="Pieddepage"/>
          <w:jc w:val="right"/>
          <w:rPr>
            <w:rFonts w:ascii="Times New Roman" w:hAnsi="Times New Roman" w:cs="Times New Roman"/>
            <w:sz w:val="18"/>
          </w:rPr>
        </w:pPr>
        <w:r w:rsidRPr="00F86B78">
          <w:rPr>
            <w:rFonts w:ascii="Times New Roman" w:hAnsi="Times New Roman" w:cs="Times New Roman"/>
            <w:sz w:val="18"/>
          </w:rPr>
          <w:fldChar w:fldCharType="begin"/>
        </w:r>
        <w:r w:rsidRPr="00F86B78">
          <w:rPr>
            <w:rFonts w:ascii="Times New Roman" w:hAnsi="Times New Roman" w:cs="Times New Roman"/>
            <w:sz w:val="18"/>
          </w:rPr>
          <w:instrText>PAGE   \* MERGEFORMAT</w:instrText>
        </w:r>
        <w:r w:rsidRPr="00F86B78">
          <w:rPr>
            <w:rFonts w:ascii="Times New Roman" w:hAnsi="Times New Roman" w:cs="Times New Roman"/>
            <w:sz w:val="18"/>
          </w:rPr>
          <w:fldChar w:fldCharType="separate"/>
        </w:r>
        <w:r w:rsidR="00D8137D">
          <w:rPr>
            <w:rFonts w:ascii="Times New Roman" w:hAnsi="Times New Roman" w:cs="Times New Roman"/>
            <w:noProof/>
            <w:sz w:val="18"/>
          </w:rPr>
          <w:t>3</w:t>
        </w:r>
        <w:r w:rsidRPr="00F86B78">
          <w:rPr>
            <w:rFonts w:ascii="Times New Roman" w:hAnsi="Times New Roman" w:cs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B007F" w14:textId="77777777" w:rsidR="00BE5C0D" w:rsidRDefault="00BE5C0D" w:rsidP="00BE5C0D">
      <w:pPr>
        <w:spacing w:after="0" w:line="240" w:lineRule="auto"/>
      </w:pPr>
      <w:r>
        <w:separator/>
      </w:r>
    </w:p>
  </w:footnote>
  <w:footnote w:type="continuationSeparator" w:id="0">
    <w:p w14:paraId="4836A930" w14:textId="77777777" w:rsidR="00BE5C0D" w:rsidRDefault="00BE5C0D" w:rsidP="00BE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42DE2" w14:textId="77777777" w:rsidR="00396BE6" w:rsidRDefault="00396BE6" w:rsidP="00396BE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5BEE062" wp14:editId="06B2B239">
          <wp:extent cx="828000" cy="491625"/>
          <wp:effectExtent l="0" t="0" r="0" b="3810"/>
          <wp:docPr id="4" name="Image 4" descr="MariannePanto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ariannePanto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49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0E63B" w14:textId="77777777" w:rsidR="00396BE6" w:rsidRDefault="00396BE6" w:rsidP="00396BE6">
    <w:pPr>
      <w:pStyle w:val="En-tte"/>
      <w:jc w:val="center"/>
      <w:rPr>
        <w:b/>
        <w:smallCaps/>
        <w:sz w:val="24"/>
        <w:szCs w:val="24"/>
      </w:rPr>
    </w:pPr>
  </w:p>
  <w:p w14:paraId="0BBD48F2" w14:textId="77777777" w:rsidR="00396BE6" w:rsidRPr="008B1192" w:rsidRDefault="00396BE6" w:rsidP="00396BE6">
    <w:pPr>
      <w:pStyle w:val="En-tte"/>
      <w:jc w:val="center"/>
      <w:rPr>
        <w:rFonts w:ascii="Times New Roman" w:hAnsi="Times New Roman" w:cs="Times New Roman"/>
        <w:b/>
        <w:smallCaps/>
        <w:sz w:val="20"/>
        <w:szCs w:val="24"/>
      </w:rPr>
    </w:pPr>
    <w:bookmarkStart w:id="1" w:name="Entête"/>
    <w:bookmarkEnd w:id="1"/>
    <w:r w:rsidRPr="008B1192">
      <w:rPr>
        <w:rFonts w:ascii="Times New Roman" w:hAnsi="Times New Roman" w:cs="Times New Roman"/>
        <w:b/>
        <w:smallCaps/>
        <w:sz w:val="20"/>
        <w:szCs w:val="24"/>
      </w:rPr>
      <w:t>Ambassade de France au Cameroun</w:t>
    </w:r>
  </w:p>
  <w:p w14:paraId="77A4186B" w14:textId="77777777" w:rsidR="00396BE6" w:rsidRPr="008B1192" w:rsidRDefault="00396BE6" w:rsidP="00396BE6">
    <w:pPr>
      <w:pStyle w:val="En-tte"/>
      <w:jc w:val="center"/>
      <w:rPr>
        <w:rFonts w:ascii="Times New Roman" w:hAnsi="Times New Roman" w:cs="Times New Roman"/>
        <w:b/>
        <w:smallCaps/>
        <w:sz w:val="20"/>
        <w:szCs w:val="24"/>
      </w:rPr>
    </w:pPr>
    <w:r w:rsidRPr="008B1192">
      <w:rPr>
        <w:rFonts w:ascii="Times New Roman" w:hAnsi="Times New Roman" w:cs="Times New Roman"/>
        <w:b/>
        <w:smallCaps/>
        <w:sz w:val="20"/>
        <w:szCs w:val="24"/>
      </w:rPr>
      <w:t>Service Economique Régional</w:t>
    </w:r>
  </w:p>
  <w:p w14:paraId="6D49BD06" w14:textId="77777777" w:rsidR="00396BE6" w:rsidRDefault="00396BE6" w:rsidP="00396BE6">
    <w:pPr>
      <w:pStyle w:val="En-tte"/>
    </w:pPr>
  </w:p>
  <w:p w14:paraId="40E58EA2" w14:textId="77777777" w:rsidR="00396BE6" w:rsidRPr="00396BE6" w:rsidRDefault="00396BE6">
    <w:pPr>
      <w:pStyle w:val="En-tte"/>
      <w:rPr>
        <w:rFonts w:ascii="Times New Roman" w:hAnsi="Times New Roman" w:cs="Times New Roman"/>
        <w:sz w:val="20"/>
      </w:rPr>
    </w:pPr>
    <w:r>
      <w:tab/>
    </w:r>
    <w:r>
      <w:tab/>
    </w:r>
    <w:r w:rsidRPr="00BE5C0D">
      <w:rPr>
        <w:rFonts w:ascii="Times New Roman" w:hAnsi="Times New Roman" w:cs="Times New Roman"/>
        <w:sz w:val="20"/>
      </w:rPr>
      <w:t>24 novembre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172B4"/>
    <w:multiLevelType w:val="hybridMultilevel"/>
    <w:tmpl w:val="1F7061E0"/>
    <w:lvl w:ilvl="0" w:tplc="EF8A3A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C1"/>
    <w:rsid w:val="00032DC0"/>
    <w:rsid w:val="00045788"/>
    <w:rsid w:val="000605C1"/>
    <w:rsid w:val="000F42B1"/>
    <w:rsid w:val="001526A5"/>
    <w:rsid w:val="001E0FC3"/>
    <w:rsid w:val="002023CA"/>
    <w:rsid w:val="00241DDA"/>
    <w:rsid w:val="002767BF"/>
    <w:rsid w:val="00302EBA"/>
    <w:rsid w:val="00377C07"/>
    <w:rsid w:val="0039120F"/>
    <w:rsid w:val="00396BE6"/>
    <w:rsid w:val="003C34EE"/>
    <w:rsid w:val="003C6985"/>
    <w:rsid w:val="003E111F"/>
    <w:rsid w:val="004126EA"/>
    <w:rsid w:val="00462947"/>
    <w:rsid w:val="004F69D1"/>
    <w:rsid w:val="005214D7"/>
    <w:rsid w:val="00521EA3"/>
    <w:rsid w:val="00530791"/>
    <w:rsid w:val="00550EBD"/>
    <w:rsid w:val="005B15AB"/>
    <w:rsid w:val="005F0C41"/>
    <w:rsid w:val="0060320D"/>
    <w:rsid w:val="006D3BF8"/>
    <w:rsid w:val="00757B2F"/>
    <w:rsid w:val="007679B7"/>
    <w:rsid w:val="00784D2E"/>
    <w:rsid w:val="007932F7"/>
    <w:rsid w:val="007B5056"/>
    <w:rsid w:val="007C2C78"/>
    <w:rsid w:val="007C3276"/>
    <w:rsid w:val="007D2933"/>
    <w:rsid w:val="007E35FF"/>
    <w:rsid w:val="007E7B15"/>
    <w:rsid w:val="007E7C8C"/>
    <w:rsid w:val="008540D8"/>
    <w:rsid w:val="00897F15"/>
    <w:rsid w:val="00941120"/>
    <w:rsid w:val="00964F15"/>
    <w:rsid w:val="00976F52"/>
    <w:rsid w:val="009E25B8"/>
    <w:rsid w:val="00A32CBA"/>
    <w:rsid w:val="00A904FE"/>
    <w:rsid w:val="00AB280C"/>
    <w:rsid w:val="00AF5A88"/>
    <w:rsid w:val="00B468A6"/>
    <w:rsid w:val="00B67248"/>
    <w:rsid w:val="00BB0289"/>
    <w:rsid w:val="00BB535D"/>
    <w:rsid w:val="00BB6A16"/>
    <w:rsid w:val="00BE5B75"/>
    <w:rsid w:val="00BE5C0D"/>
    <w:rsid w:val="00C31CE1"/>
    <w:rsid w:val="00C80664"/>
    <w:rsid w:val="00CB3462"/>
    <w:rsid w:val="00CF3DF9"/>
    <w:rsid w:val="00D046F1"/>
    <w:rsid w:val="00D05102"/>
    <w:rsid w:val="00D14AE7"/>
    <w:rsid w:val="00D56D83"/>
    <w:rsid w:val="00D8137D"/>
    <w:rsid w:val="00DD743D"/>
    <w:rsid w:val="00DF4248"/>
    <w:rsid w:val="00E02628"/>
    <w:rsid w:val="00E37AE6"/>
    <w:rsid w:val="00E5419B"/>
    <w:rsid w:val="00E549FA"/>
    <w:rsid w:val="00E75F09"/>
    <w:rsid w:val="00E8712C"/>
    <w:rsid w:val="00F457F9"/>
    <w:rsid w:val="00F741A5"/>
    <w:rsid w:val="00F86B78"/>
    <w:rsid w:val="00FA2934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129E"/>
  <w15:chartTrackingRefBased/>
  <w15:docId w15:val="{326D30BA-66D3-4F5F-B7F0-4E92F346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19B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BE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C0D"/>
  </w:style>
  <w:style w:type="paragraph" w:styleId="Pieddepage">
    <w:name w:val="footer"/>
    <w:basedOn w:val="Normal"/>
    <w:link w:val="PieddepageCar"/>
    <w:uiPriority w:val="99"/>
    <w:unhideWhenUsed/>
    <w:rsid w:val="00BE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C0D"/>
  </w:style>
  <w:style w:type="character" w:styleId="Marquedecommentaire">
    <w:name w:val="annotation reference"/>
    <w:basedOn w:val="Policepardfaut"/>
    <w:uiPriority w:val="99"/>
    <w:semiHidden/>
    <w:unhideWhenUsed/>
    <w:rsid w:val="00521E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1E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1E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1E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1E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-YAO-185\Utilisateurs$\tbidet\Notes\IDE\Stats\us_fdiflowsstock_70282423861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-YAO-185\Utilisateurs$\tbidet\Notes\IDE\Stats\ide_stock_fr_etr_v201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212923426183892E-17"/>
                  <c:y val="5.88062334607468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0212923426183892E-17"/>
                  <c:y val="-1.078101825789402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1.17612466921493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1.17612466921493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10143329658214E-3"/>
                  <c:y val="5.88062334607468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us_fdiflowsstock_70282423861025!$B$34:$B$45</c:f>
              <c:strCach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strCache>
            </c:strRef>
          </c:cat>
          <c:val>
            <c:numRef>
              <c:f>us_fdiflowsstock_70282423861025!$C$34:$C$45</c:f>
              <c:numCache>
                <c:formatCode>#,##0</c:formatCode>
                <c:ptCount val="12"/>
                <c:pt idx="0">
                  <c:v>2931.5630000000001</c:v>
                </c:pt>
                <c:pt idx="1">
                  <c:v>2947.9470000000001</c:v>
                </c:pt>
                <c:pt idx="2">
                  <c:v>3138.9639999999999</c:v>
                </c:pt>
                <c:pt idx="3">
                  <c:v>3114.7660000000001</c:v>
                </c:pt>
                <c:pt idx="4">
                  <c:v>3783.0949999999998</c:v>
                </c:pt>
                <c:pt idx="5">
                  <c:v>3782.5439999999999</c:v>
                </c:pt>
                <c:pt idx="6">
                  <c:v>4137.9440000000004</c:v>
                </c:pt>
                <c:pt idx="7">
                  <c:v>4877.1210000000001</c:v>
                </c:pt>
                <c:pt idx="8">
                  <c:v>5444.36</c:v>
                </c:pt>
                <c:pt idx="9">
                  <c:v>6170.9080000000004</c:v>
                </c:pt>
                <c:pt idx="10">
                  <c:v>6798.3490000000002</c:v>
                </c:pt>
                <c:pt idx="11">
                  <c:v>6926.5519999999997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3240944"/>
        <c:axId val="363242512"/>
      </c:barChart>
      <c:catAx>
        <c:axId val="36324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fr-FR"/>
          </a:p>
        </c:txPr>
        <c:crossAx val="363242512"/>
        <c:crosses val="autoZero"/>
        <c:auto val="1"/>
        <c:lblAlgn val="ctr"/>
        <c:lblOffset val="100"/>
        <c:noMultiLvlLbl val="0"/>
      </c:catAx>
      <c:valAx>
        <c:axId val="36324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fr-FR"/>
          </a:p>
        </c:txPr>
        <c:crossAx val="36324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>
          <a:latin typeface="Century Gothic" panose="020B0502020202020204" pitchFamily="34" charset="0"/>
        </a:defRPr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GEO!$A$3409:$A$7192</c:f>
              <c:strCach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strCache>
            </c:strRef>
          </c:cat>
          <c:val>
            <c:numRef>
              <c:f>GEO!$H$3409:$H$7192</c:f>
              <c:numCache>
                <c:formatCode>#,##0</c:formatCode>
                <c:ptCount val="6"/>
                <c:pt idx="0">
                  <c:v>906</c:v>
                </c:pt>
                <c:pt idx="1">
                  <c:v>1154</c:v>
                </c:pt>
                <c:pt idx="2">
                  <c:v>1117</c:v>
                </c:pt>
                <c:pt idx="3">
                  <c:v>958</c:v>
                </c:pt>
                <c:pt idx="4">
                  <c:v>825</c:v>
                </c:pt>
                <c:pt idx="5">
                  <c:v>796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3238200"/>
        <c:axId val="363237808"/>
      </c:barChart>
      <c:catAx>
        <c:axId val="363238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fr-FR"/>
          </a:p>
        </c:txPr>
        <c:crossAx val="363237808"/>
        <c:crosses val="autoZero"/>
        <c:auto val="1"/>
        <c:lblAlgn val="ctr"/>
        <c:lblOffset val="100"/>
        <c:noMultiLvlLbl val="0"/>
      </c:catAx>
      <c:valAx>
        <c:axId val="36323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fr-FR"/>
          </a:p>
        </c:txPr>
        <c:crossAx val="363238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>
          <a:latin typeface="Century Gothic" panose="020B0502020202020204" pitchFamily="34" charset="0"/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E5C6-16B6-4E2C-AB12-779EAFD1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C6B227B2.dotm</Template>
  <TotalTime>44</TotalTime>
  <Pages>3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BIDET Thibaut</dc:creator>
  <cp:keywords/>
  <dc:description/>
  <cp:lastModifiedBy>BIDET Thibaut</cp:lastModifiedBy>
  <cp:revision>7</cp:revision>
  <dcterms:created xsi:type="dcterms:W3CDTF">2018-01-04T17:09:00Z</dcterms:created>
  <dcterms:modified xsi:type="dcterms:W3CDTF">2018-01-09T13:19:00Z</dcterms:modified>
</cp:coreProperties>
</file>