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3CDC7" w14:textId="778A125A" w:rsidR="0021111A" w:rsidRPr="00A626A2" w:rsidRDefault="007E0B2E" w:rsidP="00A626A2">
      <w:pPr>
        <w:pStyle w:val="Titre"/>
      </w:pPr>
      <w:r>
        <w:t xml:space="preserve">Situation économique et </w:t>
      </w:r>
      <w:r>
        <w:br/>
        <w:t>financière de l’Italie</w:t>
      </w:r>
    </w:p>
    <w:p w14:paraId="6F53CDC8" w14:textId="77777777" w:rsidR="00BB65E4" w:rsidRPr="00256A40" w:rsidRDefault="00BB65E4" w:rsidP="00BB65E4">
      <w:pPr>
        <w:pStyle w:val="Titre4"/>
        <w:spacing w:after="0"/>
        <w:rPr>
          <w:color w:val="122255"/>
          <w:szCs w:val="20"/>
        </w:rPr>
      </w:pPr>
      <w:bookmarkStart w:id="0" w:name="anActuHead"/>
      <w:bookmarkEnd w:id="0"/>
      <w:r w:rsidRPr="00864336">
        <w:rPr>
          <w:b/>
          <w:color w:val="122255"/>
          <w:sz w:val="32"/>
          <w:szCs w:val="32"/>
        </w:rPr>
        <w:t>Résumé</w:t>
      </w:r>
      <w:r>
        <w:rPr>
          <w:b/>
          <w:color w:val="122255"/>
          <w:szCs w:val="20"/>
        </w:rPr>
        <w:t xml:space="preserve"> </w:t>
      </w:r>
      <w:r w:rsidRPr="00256A40">
        <w:rPr>
          <w:color w:val="122255"/>
          <w:szCs w:val="20"/>
        </w:rPr>
        <w:t>(1</w:t>
      </w:r>
      <w:r w:rsidR="002C1015">
        <w:rPr>
          <w:color w:val="122255"/>
          <w:szCs w:val="20"/>
        </w:rPr>
        <w:t>0</w:t>
      </w:r>
      <w:r w:rsidRPr="00256A40">
        <w:rPr>
          <w:color w:val="122255"/>
          <w:szCs w:val="20"/>
        </w:rPr>
        <w:t xml:space="preserve"> lignes maximum)</w:t>
      </w:r>
    </w:p>
    <w:p w14:paraId="35200E71" w14:textId="500B153B" w:rsidR="007E0B2E" w:rsidRPr="002E0B0D" w:rsidRDefault="002E0B0D" w:rsidP="00BB65E4">
      <w:pPr>
        <w:pStyle w:val="Titre4"/>
        <w:rPr>
          <w:rFonts w:cs="Arial"/>
          <w:szCs w:val="20"/>
        </w:rPr>
      </w:pPr>
      <w:r w:rsidRPr="002E0B0D">
        <w:rPr>
          <w:rFonts w:cs="Arial"/>
          <w:szCs w:val="20"/>
        </w:rPr>
        <w:t>L’économie italienne a connu une nette embellie en 2017, portée par la reprise en Europe, mais la croissance italienne demeure sensiblement moindre que celle de la zone euro (+1,5% contre +2,3%). En dépit des nombreuses réformes structurelles lancées depuis la crise de 2012, le rattrapage économique de l’Italie est contraint par la stagnation de sa productivité, tenant à divers faiblesses structurelles. Le poids de l’endettement public (131% du PIB) limite par ailleurs les marges de la politique budgétaire et le secteur bancaire doit poursuivre sa restructuration et son assainissement</w:t>
      </w:r>
      <w:r>
        <w:rPr>
          <w:rFonts w:cs="Arial"/>
          <w:szCs w:val="20"/>
        </w:rPr>
        <w:t>.</w:t>
      </w:r>
    </w:p>
    <w:p w14:paraId="2361E1D5" w14:textId="77777777" w:rsidR="002E0B0D" w:rsidRPr="00FB054E" w:rsidRDefault="002E0B0D" w:rsidP="002E0B0D">
      <w:pPr>
        <w:pStyle w:val="Titre1"/>
      </w:pPr>
      <w:r w:rsidRPr="00FB054E">
        <w:t xml:space="preserve">1/ </w:t>
      </w:r>
      <w:r>
        <w:t>Encore m</w:t>
      </w:r>
      <w:r w:rsidRPr="00FB054E">
        <w:t xml:space="preserve">arquée par les années de crise, l’économie italienne bénéficie toutefois </w:t>
      </w:r>
      <w:r>
        <w:t>de l</w:t>
      </w:r>
      <w:r w:rsidRPr="00FB054E">
        <w:t>’accélération de la croissance européenne</w:t>
      </w:r>
    </w:p>
    <w:p w14:paraId="2D568203" w14:textId="77777777" w:rsidR="002E0B0D" w:rsidRPr="002E0B0D" w:rsidRDefault="002E0B0D" w:rsidP="002E0B0D">
      <w:pPr>
        <w:autoSpaceDE w:val="0"/>
        <w:autoSpaceDN w:val="0"/>
        <w:spacing w:before="120" w:after="120" w:line="240" w:lineRule="auto"/>
        <w:jc w:val="both"/>
        <w:rPr>
          <w:rFonts w:eastAsia="Calibri" w:cs="Arial"/>
          <w:iCs/>
          <w:szCs w:val="20"/>
        </w:rPr>
      </w:pPr>
      <w:r w:rsidRPr="002E0B0D">
        <w:rPr>
          <w:rFonts w:eastAsia="Calibri" w:cs="Arial"/>
          <w:szCs w:val="20"/>
        </w:rPr>
        <w:t xml:space="preserve">Fortement impactée par la crise financière internationale puis la crise de la zone euro, l’économie italienne a perdu près de 9% de PIB réel entre 2007 et 2014, subissant quatre années </w:t>
      </w:r>
      <w:r w:rsidRPr="002E0B0D">
        <w:rPr>
          <w:rFonts w:eastAsia="Calibri" w:cs="Arial"/>
          <w:iCs/>
          <w:szCs w:val="20"/>
        </w:rPr>
        <w:t xml:space="preserve">de récession au cours de la période (2008-2009 puis 2012-2013). </w:t>
      </w:r>
    </w:p>
    <w:p w14:paraId="6AC67638" w14:textId="77777777" w:rsidR="002E0B0D" w:rsidRPr="002E0B0D" w:rsidRDefault="002E0B0D" w:rsidP="002E0B0D">
      <w:pPr>
        <w:autoSpaceDE w:val="0"/>
        <w:autoSpaceDN w:val="0"/>
        <w:spacing w:before="120" w:after="120" w:line="240" w:lineRule="auto"/>
        <w:jc w:val="both"/>
        <w:rPr>
          <w:rFonts w:eastAsia="Calibri" w:cs="Arial"/>
          <w:iCs/>
          <w:szCs w:val="20"/>
        </w:rPr>
      </w:pPr>
      <w:r w:rsidRPr="002E0B0D">
        <w:rPr>
          <w:rFonts w:eastAsia="Calibri" w:cs="Arial"/>
          <w:iCs/>
          <w:szCs w:val="20"/>
        </w:rPr>
        <w:t xml:space="preserve">L’Italie a </w:t>
      </w:r>
      <w:r w:rsidRPr="002E0B0D">
        <w:rPr>
          <w:rFonts w:eastAsia="Calibri" w:cs="Arial"/>
          <w:b/>
          <w:iCs/>
          <w:szCs w:val="20"/>
        </w:rPr>
        <w:t xml:space="preserve">renoué avec la croissance à partir de 2014 </w:t>
      </w:r>
      <w:r w:rsidRPr="002E0B0D">
        <w:rPr>
          <w:rFonts w:eastAsia="Calibri" w:cs="Arial"/>
          <w:iCs/>
          <w:szCs w:val="20"/>
        </w:rPr>
        <w:t xml:space="preserve">(+0,1% en 2014, +1,0% en 2015, +0,9% en 2016) et </w:t>
      </w:r>
      <w:r w:rsidRPr="002E0B0D">
        <w:rPr>
          <w:rFonts w:eastAsia="Calibri" w:cs="Arial"/>
          <w:b/>
          <w:iCs/>
          <w:szCs w:val="20"/>
        </w:rPr>
        <w:t xml:space="preserve">bénéficie de la conjoncture favorable que connaît la zone euro. La croissance pour 2017 s’est établie </w:t>
      </w:r>
      <w:proofErr w:type="gramStart"/>
      <w:r w:rsidRPr="002E0B0D">
        <w:rPr>
          <w:rFonts w:eastAsia="Calibri" w:cs="Arial"/>
          <w:b/>
          <w:iCs/>
          <w:szCs w:val="20"/>
        </w:rPr>
        <w:t>à</w:t>
      </w:r>
      <w:proofErr w:type="gramEnd"/>
      <w:r w:rsidRPr="002E0B0D">
        <w:rPr>
          <w:rFonts w:eastAsia="Calibri" w:cs="Arial"/>
          <w:b/>
          <w:iCs/>
          <w:szCs w:val="20"/>
        </w:rPr>
        <w:t xml:space="preserve"> +1,5%</w:t>
      </w:r>
      <w:r w:rsidRPr="002E0B0D">
        <w:rPr>
          <w:rFonts w:eastAsia="Calibri" w:cs="Arial"/>
          <w:iCs/>
          <w:szCs w:val="20"/>
        </w:rPr>
        <w:t xml:space="preserve">. </w:t>
      </w:r>
    </w:p>
    <w:p w14:paraId="5AB23279" w14:textId="77777777" w:rsidR="002E0B0D" w:rsidRPr="002E0B0D" w:rsidRDefault="002E0B0D" w:rsidP="002E0B0D">
      <w:pPr>
        <w:autoSpaceDE w:val="0"/>
        <w:autoSpaceDN w:val="0"/>
        <w:spacing w:before="120" w:after="120" w:line="240" w:lineRule="auto"/>
        <w:jc w:val="both"/>
        <w:rPr>
          <w:rFonts w:eastAsia="Calibri" w:cs="Arial"/>
          <w:iCs/>
          <w:szCs w:val="20"/>
        </w:rPr>
      </w:pPr>
      <w:r w:rsidRPr="002E0B0D">
        <w:rPr>
          <w:rFonts w:eastAsia="Calibri" w:cs="Arial"/>
          <w:iCs/>
          <w:szCs w:val="20"/>
        </w:rPr>
        <w:t xml:space="preserve">Toutefois, le </w:t>
      </w:r>
      <w:r w:rsidRPr="002E0B0D">
        <w:rPr>
          <w:rFonts w:eastAsia="Calibri" w:cs="Arial"/>
          <w:b/>
          <w:iCs/>
          <w:szCs w:val="20"/>
        </w:rPr>
        <w:t xml:space="preserve">PIB réel </w:t>
      </w:r>
      <w:r w:rsidRPr="002E0B0D">
        <w:rPr>
          <w:rFonts w:eastAsia="Calibri" w:cs="Arial"/>
          <w:iCs/>
          <w:szCs w:val="20"/>
        </w:rPr>
        <w:t xml:space="preserve">reste encore </w:t>
      </w:r>
      <w:r w:rsidRPr="002E0B0D">
        <w:rPr>
          <w:rFonts w:eastAsia="Calibri" w:cs="Arial"/>
          <w:b/>
          <w:iCs/>
          <w:szCs w:val="20"/>
        </w:rPr>
        <w:t>inférieur de 5,5% de son niveau de 2007</w:t>
      </w:r>
      <w:r w:rsidRPr="002E0B0D">
        <w:rPr>
          <w:rFonts w:eastAsia="Calibri" w:cs="Arial"/>
          <w:iCs/>
          <w:szCs w:val="20"/>
        </w:rPr>
        <w:t xml:space="preserve">, l’Italie marquant ainsi un décrochage relatif par rapport à ses grands partenaires européens et à la moyenne de la zone euro </w:t>
      </w:r>
      <w:proofErr w:type="gramStart"/>
      <w:r w:rsidRPr="002E0B0D">
        <w:rPr>
          <w:rFonts w:eastAsia="Calibri" w:cs="Arial"/>
          <w:iCs/>
          <w:szCs w:val="20"/>
        </w:rPr>
        <w:t>( +</w:t>
      </w:r>
      <w:proofErr w:type="gramEnd"/>
      <w:r w:rsidRPr="002E0B0D">
        <w:rPr>
          <w:rFonts w:eastAsia="Calibri" w:cs="Arial"/>
          <w:iCs/>
          <w:szCs w:val="20"/>
        </w:rPr>
        <w:t xml:space="preserve">6% au-dessus du niveau de 2007). </w:t>
      </w:r>
    </w:p>
    <w:p w14:paraId="01473263" w14:textId="77777777" w:rsidR="002E0B0D" w:rsidRPr="002E0B0D" w:rsidRDefault="002E0B0D" w:rsidP="002E0B0D">
      <w:pPr>
        <w:autoSpaceDE w:val="0"/>
        <w:autoSpaceDN w:val="0"/>
        <w:spacing w:before="120" w:after="120" w:line="240" w:lineRule="auto"/>
        <w:jc w:val="both"/>
        <w:rPr>
          <w:rFonts w:eastAsia="Calibri" w:cs="Arial"/>
          <w:iCs/>
          <w:szCs w:val="20"/>
        </w:rPr>
      </w:pPr>
      <w:r w:rsidRPr="002E0B0D">
        <w:rPr>
          <w:rFonts w:eastAsia="Calibri" w:cs="Arial"/>
          <w:iCs/>
          <w:szCs w:val="20"/>
        </w:rPr>
        <w:t xml:space="preserve">Malgré les réformes structurelles engagées ces dernières années pour améliorer la productivité et la compétitivité et développer l’activité économique, les </w:t>
      </w:r>
      <w:r w:rsidRPr="002E0B0D">
        <w:rPr>
          <w:rFonts w:eastAsia="Calibri" w:cs="Arial"/>
          <w:b/>
          <w:iCs/>
          <w:szCs w:val="20"/>
        </w:rPr>
        <w:t>perspectives de croissance sont</w:t>
      </w:r>
      <w:r w:rsidRPr="002E0B0D">
        <w:rPr>
          <w:rFonts w:eastAsia="Calibri" w:cs="Arial"/>
          <w:iCs/>
          <w:szCs w:val="20"/>
        </w:rPr>
        <w:t xml:space="preserve"> </w:t>
      </w:r>
      <w:r w:rsidRPr="002E0B0D">
        <w:rPr>
          <w:rFonts w:eastAsia="Calibri" w:cs="Arial"/>
          <w:b/>
          <w:iCs/>
          <w:szCs w:val="20"/>
        </w:rPr>
        <w:t xml:space="preserve">modestes en raison d’une croissance potentielle faible </w:t>
      </w:r>
      <w:r w:rsidRPr="002E0B0D">
        <w:rPr>
          <w:rFonts w:eastAsia="Calibri" w:cs="Arial"/>
          <w:iCs/>
          <w:szCs w:val="20"/>
        </w:rPr>
        <w:t>(-0,2% en 2016, +0,3% en 2017 et +2,9% prévu en 2018 selon la Commission européenne).</w:t>
      </w:r>
      <w:r w:rsidRPr="002E0B0D">
        <w:rPr>
          <w:rFonts w:eastAsia="Calibri" w:cs="Arial"/>
          <w:b/>
          <w:iCs/>
          <w:szCs w:val="20"/>
        </w:rPr>
        <w:t xml:space="preserve"> </w:t>
      </w:r>
      <w:r w:rsidRPr="002E0B0D">
        <w:rPr>
          <w:rFonts w:eastAsia="Calibri" w:cs="Arial"/>
          <w:iCs/>
          <w:szCs w:val="20"/>
        </w:rPr>
        <w:t xml:space="preserve">Le PIB réel est encore inférieur à son niveau potentiel mais cet écart de production, ou </w:t>
      </w:r>
      <w:r w:rsidRPr="002E0B0D">
        <w:rPr>
          <w:rFonts w:eastAsia="Calibri" w:cs="Arial"/>
          <w:i/>
          <w:iCs/>
          <w:szCs w:val="20"/>
        </w:rPr>
        <w:t>output gap</w:t>
      </w:r>
      <w:r w:rsidRPr="002E0B0D">
        <w:rPr>
          <w:rFonts w:eastAsia="Calibri" w:cs="Arial"/>
          <w:iCs/>
          <w:szCs w:val="20"/>
        </w:rPr>
        <w:t xml:space="preserve">, se referme progressivement (-2,4% en 2016, −1,2% en </w:t>
      </w:r>
      <w:proofErr w:type="gramStart"/>
      <w:r w:rsidRPr="002E0B0D">
        <w:rPr>
          <w:rFonts w:eastAsia="Calibri" w:cs="Arial"/>
          <w:iCs/>
          <w:szCs w:val="20"/>
        </w:rPr>
        <w:t>2017  et</w:t>
      </w:r>
      <w:proofErr w:type="gramEnd"/>
      <w:r w:rsidRPr="002E0B0D">
        <w:rPr>
          <w:rFonts w:eastAsia="Calibri" w:cs="Arial"/>
          <w:iCs/>
          <w:szCs w:val="20"/>
        </w:rPr>
        <w:t xml:space="preserve"> -0,1% pour 2018 selon la Commission). Corollaire de cette faible croissance, le </w:t>
      </w:r>
      <w:r w:rsidRPr="002E0B0D">
        <w:rPr>
          <w:rFonts w:eastAsia="Calibri" w:cs="Arial"/>
          <w:b/>
          <w:iCs/>
          <w:szCs w:val="20"/>
        </w:rPr>
        <w:t>niveau de chômage se résorbe lentement et reste élevé</w:t>
      </w:r>
      <w:r w:rsidRPr="002E0B0D">
        <w:rPr>
          <w:rFonts w:eastAsia="Calibri" w:cs="Arial"/>
          <w:iCs/>
          <w:szCs w:val="20"/>
        </w:rPr>
        <w:t xml:space="preserve"> (11,2% en avril 2018, le pic ayant été atteint fin 2014 avec 13,0%, en particulier chez les jeunes de moins de 25 ans (33,1%).</w:t>
      </w:r>
    </w:p>
    <w:p w14:paraId="2364BF0E" w14:textId="77777777" w:rsidR="002E0B0D" w:rsidRPr="002E0B0D" w:rsidRDefault="002E0B0D" w:rsidP="002E0B0D">
      <w:pPr>
        <w:tabs>
          <w:tab w:val="left" w:pos="705"/>
        </w:tabs>
        <w:autoSpaceDE w:val="0"/>
        <w:autoSpaceDN w:val="0"/>
        <w:spacing w:before="120" w:after="120" w:line="240" w:lineRule="auto"/>
        <w:jc w:val="both"/>
        <w:rPr>
          <w:rFonts w:eastAsia="Calibri" w:cs="Arial"/>
          <w:iCs/>
          <w:szCs w:val="20"/>
        </w:rPr>
      </w:pPr>
      <w:r w:rsidRPr="002E0B0D">
        <w:rPr>
          <w:rFonts w:eastAsia="Calibri" w:cs="Arial"/>
          <w:iCs/>
          <w:szCs w:val="20"/>
        </w:rPr>
        <w:t xml:space="preserve">La faible croissance potentielle italienne est liée à une </w:t>
      </w:r>
      <w:r w:rsidRPr="002E0B0D">
        <w:rPr>
          <w:rFonts w:eastAsia="Calibri" w:cs="Arial"/>
          <w:b/>
          <w:iCs/>
          <w:szCs w:val="20"/>
        </w:rPr>
        <w:t>stagnation de la productivité du travail</w:t>
      </w:r>
      <w:r w:rsidRPr="002E0B0D">
        <w:rPr>
          <w:rFonts w:eastAsia="Calibri" w:cs="Arial"/>
          <w:iCs/>
          <w:szCs w:val="20"/>
        </w:rPr>
        <w:t xml:space="preserve"> par rapport à la moyenne de la zone euro, observée depuis une vingtaine d’années. Cette atonie découle en partie de certaines spécificités structurelles telles que la structure du tissu d’entreprises (TPE et PME à capital et gouvernance familiales), l’adéquation imparfaite de la formation de la population active aux besoins de l’économie, une allocation sous-optimale de la main d’</w:t>
      </w:r>
      <w:proofErr w:type="spellStart"/>
      <w:r w:rsidRPr="002E0B0D">
        <w:rPr>
          <w:rFonts w:eastAsia="Calibri" w:cs="Arial"/>
          <w:iCs/>
          <w:szCs w:val="20"/>
        </w:rPr>
        <w:t>oeuvre</w:t>
      </w:r>
      <w:proofErr w:type="spellEnd"/>
      <w:r w:rsidRPr="002E0B0D">
        <w:rPr>
          <w:rFonts w:eastAsia="Calibri" w:cs="Arial"/>
          <w:iCs/>
          <w:szCs w:val="20"/>
        </w:rPr>
        <w:t xml:space="preserve"> et la faiblesse des investissements privés et publics (notamment en R&amp;D et technologies innovantes). D’autres facteurs contextuels, influant sur le climat des affaires, contraignent la croissance, comme l’attentisme résultant d’une relative instabilité politique, des mécanismes de décision complexes, une économie souterraine qui perdure, de fortes disparités socio-économiques territoriales entre le Nord et le Sud, ou encore la perfectibilité des services publics et de la justice.</w:t>
      </w:r>
    </w:p>
    <w:p w14:paraId="6B0253AD" w14:textId="77777777" w:rsidR="002E0B0D" w:rsidRPr="002E0B0D" w:rsidRDefault="002E0B0D" w:rsidP="002E0B0D">
      <w:pPr>
        <w:tabs>
          <w:tab w:val="left" w:pos="705"/>
        </w:tabs>
        <w:autoSpaceDE w:val="0"/>
        <w:autoSpaceDN w:val="0"/>
        <w:spacing w:before="120" w:after="120" w:line="240" w:lineRule="auto"/>
        <w:jc w:val="both"/>
        <w:rPr>
          <w:rFonts w:eastAsia="Calibri" w:cs="Arial"/>
          <w:iCs/>
          <w:szCs w:val="20"/>
        </w:rPr>
      </w:pPr>
      <w:r w:rsidRPr="002E0B0D">
        <w:rPr>
          <w:rFonts w:eastAsia="Calibri" w:cs="Arial"/>
          <w:iCs/>
          <w:szCs w:val="20"/>
        </w:rPr>
        <w:t xml:space="preserve">Pour y remédier, </w:t>
      </w:r>
      <w:r w:rsidRPr="002E0B0D">
        <w:rPr>
          <w:rFonts w:eastAsia="Calibri" w:cs="Arial"/>
          <w:b/>
          <w:iCs/>
          <w:szCs w:val="20"/>
        </w:rPr>
        <w:t>les gouvernements successifs ont engagé différentes réformes structurelles, en particulier depuis 2012</w:t>
      </w:r>
      <w:r w:rsidRPr="002E0B0D">
        <w:rPr>
          <w:rFonts w:eastAsia="Calibri" w:cs="Arial"/>
          <w:iCs/>
          <w:szCs w:val="20"/>
        </w:rPr>
        <w:t>, par exemple dans les domaines de la concurrence sectorielle, de la numérisation de l’économie et des entreprises, du marché du travail (</w:t>
      </w:r>
      <w:r w:rsidRPr="002E0B0D">
        <w:rPr>
          <w:rFonts w:eastAsia="Calibri" w:cs="Arial"/>
          <w:i/>
          <w:iCs/>
          <w:szCs w:val="20"/>
        </w:rPr>
        <w:t xml:space="preserve">Jobs </w:t>
      </w:r>
      <w:proofErr w:type="spellStart"/>
      <w:r w:rsidRPr="002E0B0D">
        <w:rPr>
          <w:rFonts w:eastAsia="Calibri" w:cs="Arial"/>
          <w:i/>
          <w:iCs/>
          <w:szCs w:val="20"/>
        </w:rPr>
        <w:t>Act</w:t>
      </w:r>
      <w:proofErr w:type="spellEnd"/>
      <w:r w:rsidRPr="002E0B0D">
        <w:rPr>
          <w:rFonts w:eastAsia="Calibri" w:cs="Arial"/>
          <w:iCs/>
          <w:szCs w:val="20"/>
        </w:rPr>
        <w:t>), des banques, de l’administration publique, de l’organisation fiscale et de la lutte contre la fraude, de l’éducation. Leurs effets restent néanmoins encore peu perceptibles dans les résultats macroéconomiques et devraient se faire sentir à plus long terme.</w:t>
      </w:r>
    </w:p>
    <w:p w14:paraId="53510626" w14:textId="77777777" w:rsidR="002E0B0D" w:rsidRPr="002E0B0D" w:rsidRDefault="002E0B0D" w:rsidP="002E0B0D">
      <w:pPr>
        <w:pStyle w:val="Titre1"/>
        <w:rPr>
          <w:rFonts w:eastAsia="Calibri"/>
          <w:iCs/>
        </w:rPr>
      </w:pPr>
      <w:r w:rsidRPr="002E0B0D">
        <w:rPr>
          <w:rFonts w:eastAsia="Calibri"/>
        </w:rPr>
        <w:lastRenderedPageBreak/>
        <w:t>2/ Le défi du désendettement des finances publiques ne laisse que des marges étroites pour la politique budgétaire</w:t>
      </w:r>
    </w:p>
    <w:p w14:paraId="6665D06B" w14:textId="77777777" w:rsidR="002E0B0D" w:rsidRPr="002E0B0D" w:rsidRDefault="002E0B0D" w:rsidP="002E0B0D">
      <w:pPr>
        <w:autoSpaceDE w:val="0"/>
        <w:autoSpaceDN w:val="0"/>
        <w:spacing w:before="120" w:after="120" w:line="240" w:lineRule="auto"/>
        <w:jc w:val="both"/>
        <w:rPr>
          <w:rFonts w:eastAsia="Calibri" w:cs="Arial"/>
          <w:iCs/>
          <w:szCs w:val="20"/>
        </w:rPr>
      </w:pPr>
      <w:r w:rsidRPr="002E0B0D">
        <w:rPr>
          <w:rFonts w:eastAsia="Calibri" w:cs="Arial"/>
          <w:iCs/>
          <w:szCs w:val="20"/>
        </w:rPr>
        <w:t xml:space="preserve">Les finances publiques sont caractérisées par un </w:t>
      </w:r>
      <w:r w:rsidRPr="002E0B0D">
        <w:rPr>
          <w:rFonts w:eastAsia="Calibri" w:cs="Arial"/>
          <w:b/>
          <w:iCs/>
          <w:szCs w:val="20"/>
        </w:rPr>
        <w:t xml:space="preserve">niveau d’endettement élevé (131,8% du PIB fin 2017) </w:t>
      </w:r>
      <w:r w:rsidRPr="002E0B0D">
        <w:rPr>
          <w:rFonts w:eastAsia="Calibri" w:cs="Arial"/>
          <w:iCs/>
          <w:szCs w:val="20"/>
        </w:rPr>
        <w:t>se traduisant par un poids élevé des intérêts dans le budget (environ 3,5 % du PIB, contre en moyenne 2% dans les pays de l’OCDE). Ceci constitue un facteur de risque à long terme sur la soutenabilité budgétaire en cas de remontée durable des taux d’intérêts. Dans cette situation, les règles européennes imposent une trajectoire d’ajustement structurel exigeante laissant peu de marges à la politique budgétaire du gouvernement (solde primaire positif).</w:t>
      </w:r>
    </w:p>
    <w:p w14:paraId="6AF9994C" w14:textId="77777777" w:rsidR="002E0B0D" w:rsidRPr="002E0B0D" w:rsidRDefault="002E0B0D" w:rsidP="002E0B0D">
      <w:pPr>
        <w:autoSpaceDE w:val="0"/>
        <w:autoSpaceDN w:val="0"/>
        <w:spacing w:before="120" w:after="120" w:line="240" w:lineRule="auto"/>
        <w:jc w:val="both"/>
        <w:rPr>
          <w:rFonts w:eastAsia="Calibri" w:cs="Arial"/>
          <w:bCs/>
          <w:iCs/>
          <w:szCs w:val="20"/>
        </w:rPr>
      </w:pPr>
      <w:r w:rsidRPr="002E0B0D">
        <w:rPr>
          <w:rFonts w:eastAsia="Calibri" w:cs="Arial"/>
          <w:iCs/>
          <w:szCs w:val="20"/>
        </w:rPr>
        <w:t xml:space="preserve">Après -2,3% en 2017, </w:t>
      </w:r>
      <w:r w:rsidRPr="002E0B0D">
        <w:rPr>
          <w:rFonts w:eastAsia="Calibri" w:cs="Arial"/>
          <w:b/>
          <w:iCs/>
          <w:szCs w:val="20"/>
        </w:rPr>
        <w:t xml:space="preserve">le déficit public nominal est prévu </w:t>
      </w:r>
      <w:proofErr w:type="gramStart"/>
      <w:r w:rsidRPr="002E0B0D">
        <w:rPr>
          <w:rFonts w:eastAsia="Calibri" w:cs="Arial"/>
          <w:b/>
          <w:iCs/>
          <w:szCs w:val="20"/>
        </w:rPr>
        <w:t>à</w:t>
      </w:r>
      <w:proofErr w:type="gramEnd"/>
      <w:r w:rsidRPr="002E0B0D">
        <w:rPr>
          <w:rFonts w:eastAsia="Calibri" w:cs="Arial"/>
          <w:b/>
          <w:iCs/>
          <w:szCs w:val="20"/>
        </w:rPr>
        <w:t xml:space="preserve"> -1,7% du PIB en 2018.</w:t>
      </w:r>
      <w:r w:rsidRPr="002E0B0D">
        <w:rPr>
          <w:rFonts w:eastAsia="Calibri" w:cs="Arial"/>
          <w:iCs/>
          <w:szCs w:val="20"/>
        </w:rPr>
        <w:t xml:space="preserve"> Ceci conduirait à un déficit structurel </w:t>
      </w:r>
      <w:proofErr w:type="gramStart"/>
      <w:r w:rsidRPr="002E0B0D">
        <w:rPr>
          <w:rFonts w:eastAsia="Calibri" w:cs="Arial"/>
          <w:iCs/>
          <w:szCs w:val="20"/>
        </w:rPr>
        <w:t>à</w:t>
      </w:r>
      <w:proofErr w:type="gramEnd"/>
      <w:r w:rsidRPr="002E0B0D">
        <w:rPr>
          <w:rFonts w:eastAsia="Calibri" w:cs="Arial"/>
          <w:iCs/>
          <w:szCs w:val="20"/>
        </w:rPr>
        <w:t xml:space="preserve"> -1,7% du PIB et un ajustement structurel nul par rapport à l’année précédente, inférieur à celui envisagé dans la trajectoire convenue avec la Commission européenne (0,3 point) ; l’atteinte de l’équilibre structurel des finances publiques serait donc reporté après 2020. Le ratio dette/PIB devrait toutefois décliner à partir de 2018 (prévisions à 130,7% en 2018 puis 129,7% en 2019).</w:t>
      </w:r>
    </w:p>
    <w:p w14:paraId="047ADF31" w14:textId="77777777" w:rsidR="002E0B0D" w:rsidRPr="002E0B0D" w:rsidRDefault="002E0B0D" w:rsidP="002E0B0D">
      <w:pPr>
        <w:spacing w:before="120" w:after="120" w:line="240" w:lineRule="auto"/>
        <w:jc w:val="both"/>
        <w:rPr>
          <w:rFonts w:eastAsiaTheme="minorEastAsia" w:cs="Arial"/>
          <w:szCs w:val="20"/>
          <w:lang w:eastAsia="fr-FR"/>
        </w:rPr>
      </w:pPr>
      <w:r w:rsidRPr="002E0B0D">
        <w:rPr>
          <w:rFonts w:eastAsiaTheme="minorEastAsia" w:cs="Arial"/>
          <w:szCs w:val="20"/>
          <w:lang w:eastAsia="fr-FR"/>
        </w:rPr>
        <w:t xml:space="preserve">Observant que l’Italie est en risque de non-conformité avec les dispositions du volet préventif du Pacte de stabilité et de croissance (PSC) en 2018 et en 2019, la Commission recommande de réaliser un ajustement structurel d’au moins 0,6 point en 2019 (soit environ 10 Md€ d’effort supplémentaire). La conformité des finances publiques italiennes avec les règles du PSC fera l’objet d’un nouvel examen au printemps 2019. </w:t>
      </w:r>
    </w:p>
    <w:p w14:paraId="78D10189" w14:textId="77777777" w:rsidR="002E0B0D" w:rsidRPr="002E0B0D" w:rsidRDefault="002E0B0D" w:rsidP="002E0B0D">
      <w:pPr>
        <w:pStyle w:val="Titre1"/>
        <w:rPr>
          <w:rFonts w:eastAsia="Calibri"/>
        </w:rPr>
      </w:pPr>
      <w:r w:rsidRPr="002E0B0D">
        <w:rPr>
          <w:rFonts w:eastAsia="Calibri"/>
        </w:rPr>
        <w:t xml:space="preserve">3/ Bien qu’encore handicapé par le poids des créances douteuses, le secteur bancaire voit sa situation s’améliorer progressivement. </w:t>
      </w:r>
    </w:p>
    <w:p w14:paraId="0534E174" w14:textId="77777777" w:rsidR="002E0B0D" w:rsidRPr="002E0B0D" w:rsidRDefault="002E0B0D" w:rsidP="002E0B0D">
      <w:pPr>
        <w:autoSpaceDE w:val="0"/>
        <w:autoSpaceDN w:val="0"/>
        <w:spacing w:before="120" w:after="120" w:line="240" w:lineRule="auto"/>
        <w:jc w:val="both"/>
        <w:rPr>
          <w:rFonts w:eastAsia="Calibri" w:cs="Arial"/>
          <w:szCs w:val="20"/>
        </w:rPr>
      </w:pPr>
      <w:proofErr w:type="gramStart"/>
      <w:r w:rsidRPr="002E0B0D">
        <w:rPr>
          <w:rFonts w:eastAsia="Calibri" w:cs="Arial"/>
          <w:b/>
          <w:szCs w:val="20"/>
        </w:rPr>
        <w:t xml:space="preserve">Afin d’affronter le défi du redressement du secteur bancaire italien, affecté par une détérioration de sa situation financière au cours des années de récession (forte hausse des taux de créances douteuses, détérioration de la solvabilité des banques), de nombreuses mesures ont été adoptées au cours des dernières années, </w:t>
      </w:r>
      <w:r w:rsidRPr="002E0B0D">
        <w:rPr>
          <w:rFonts w:eastAsia="Calibri" w:cs="Arial"/>
          <w:szCs w:val="20"/>
        </w:rPr>
        <w:t xml:space="preserve">qu’il s’agisse de réformes gouvernementales (réforme des banques populaires, réforme des banques de crédit coopératif, mise en place d’une garantie publique sur les créances douteuses </w:t>
      </w:r>
      <w:proofErr w:type="spellStart"/>
      <w:r w:rsidRPr="002E0B0D">
        <w:rPr>
          <w:rFonts w:eastAsia="Calibri" w:cs="Arial"/>
          <w:szCs w:val="20"/>
        </w:rPr>
        <w:t>titrisées</w:t>
      </w:r>
      <w:proofErr w:type="spellEnd"/>
      <w:r w:rsidRPr="002E0B0D">
        <w:rPr>
          <w:rFonts w:eastAsia="Calibri" w:cs="Arial"/>
          <w:szCs w:val="20"/>
        </w:rPr>
        <w:t>, réformes du droit des faillites et des voies d’exécution pour accélérer les recouvrements de créances) ou de mesures mises en place par le secteur lui-même sous l’égide du gouvernement (par exemple la création du fonds Atlante en avril 2016 destiné à soutenir certaines banques en difficulté).</w:t>
      </w:r>
      <w:proofErr w:type="gramEnd"/>
      <w:r w:rsidRPr="002E0B0D">
        <w:rPr>
          <w:rFonts w:eastAsia="Calibri" w:cs="Arial"/>
          <w:szCs w:val="20"/>
        </w:rPr>
        <w:t xml:space="preserve"> Au vu de la situation délicate du secteur bancaire italien et en particulier de la banque </w:t>
      </w:r>
      <w:r w:rsidRPr="002E0B0D">
        <w:rPr>
          <w:rFonts w:eastAsia="Calibri" w:cs="Arial"/>
          <w:i/>
          <w:szCs w:val="20"/>
        </w:rPr>
        <w:t xml:space="preserve">Monte dei </w:t>
      </w:r>
      <w:proofErr w:type="spellStart"/>
      <w:r w:rsidRPr="002E0B0D">
        <w:rPr>
          <w:rFonts w:eastAsia="Calibri" w:cs="Arial"/>
          <w:i/>
          <w:szCs w:val="20"/>
        </w:rPr>
        <w:t>Paschi</w:t>
      </w:r>
      <w:proofErr w:type="spellEnd"/>
      <w:r w:rsidRPr="002E0B0D">
        <w:rPr>
          <w:rFonts w:eastAsia="Calibri" w:cs="Arial"/>
          <w:i/>
          <w:szCs w:val="20"/>
        </w:rPr>
        <w:t xml:space="preserve"> di </w:t>
      </w:r>
      <w:proofErr w:type="spellStart"/>
      <w:r w:rsidRPr="002E0B0D">
        <w:rPr>
          <w:rFonts w:eastAsia="Calibri" w:cs="Arial"/>
          <w:i/>
          <w:szCs w:val="20"/>
        </w:rPr>
        <w:t>Siena</w:t>
      </w:r>
      <w:proofErr w:type="spellEnd"/>
      <w:r w:rsidRPr="002E0B0D">
        <w:rPr>
          <w:rFonts w:eastAsia="Calibri" w:cs="Arial"/>
          <w:szCs w:val="20"/>
        </w:rPr>
        <w:t xml:space="preserve"> (MPS – 4</w:t>
      </w:r>
      <w:r w:rsidRPr="002E0B0D">
        <w:rPr>
          <w:rFonts w:eastAsia="Calibri" w:cs="Arial"/>
          <w:szCs w:val="20"/>
          <w:vertAlign w:val="superscript"/>
        </w:rPr>
        <w:t>ème</w:t>
      </w:r>
      <w:r w:rsidRPr="002E0B0D">
        <w:rPr>
          <w:rFonts w:eastAsia="Calibri" w:cs="Arial"/>
          <w:szCs w:val="20"/>
        </w:rPr>
        <w:t xml:space="preserve"> banque italienne), le gouvernement a adopté le 23 décembre 2016, un cadre juridique</w:t>
      </w:r>
      <w:r w:rsidRPr="002E0B0D">
        <w:rPr>
          <w:rFonts w:eastAsia="Calibri" w:cs="Arial"/>
          <w:szCs w:val="20"/>
          <w:vertAlign w:val="superscript"/>
        </w:rPr>
        <w:footnoteReference w:id="1"/>
      </w:r>
      <w:r w:rsidRPr="002E0B0D">
        <w:rPr>
          <w:rFonts w:eastAsia="Calibri" w:cs="Arial"/>
          <w:szCs w:val="20"/>
        </w:rPr>
        <w:t xml:space="preserve"> permettant l’intervention financière de l’Etat au profit du secteur bancaire, avec la création d’un fonds d’Etat de 20 Md€ destiné à des recapitalisations de précaution d’établissements, et un mécanisme de garantie d’Etat sur les émissions de dette bancaire. Il prévoit en outre, pour protéger les petits épargnants en cas de mesures de </w:t>
      </w:r>
      <w:r w:rsidRPr="002E0B0D">
        <w:rPr>
          <w:rFonts w:eastAsia="Calibri" w:cs="Arial"/>
          <w:i/>
          <w:szCs w:val="20"/>
        </w:rPr>
        <w:t>bail-in</w:t>
      </w:r>
      <w:r w:rsidRPr="002E0B0D">
        <w:rPr>
          <w:rFonts w:eastAsia="Calibri" w:cs="Arial"/>
          <w:szCs w:val="20"/>
        </w:rPr>
        <w:t xml:space="preserve"> et sous certaines conditions, un dispositif de rachat par l’Etat des obligations bancaires subordonnées détenues par les particuliers clients des banques, ainsi qu’une stratégie nationale d’éducation financière des citoyens italiens. </w:t>
      </w:r>
    </w:p>
    <w:p w14:paraId="58B9DC35" w14:textId="77777777" w:rsidR="002E0B0D" w:rsidRPr="002E0B0D" w:rsidRDefault="002E0B0D" w:rsidP="002E0B0D">
      <w:pPr>
        <w:autoSpaceDE w:val="0"/>
        <w:autoSpaceDN w:val="0"/>
        <w:spacing w:before="120" w:after="120" w:line="240" w:lineRule="auto"/>
        <w:jc w:val="both"/>
        <w:rPr>
          <w:rFonts w:eastAsia="Calibri" w:cs="Arial"/>
          <w:b/>
          <w:color w:val="000000" w:themeColor="text1"/>
          <w:szCs w:val="20"/>
        </w:rPr>
      </w:pPr>
      <w:r w:rsidRPr="002E0B0D">
        <w:rPr>
          <w:rFonts w:eastAsia="Calibri" w:cs="Arial"/>
          <w:szCs w:val="20"/>
        </w:rPr>
        <w:t xml:space="preserve">Le fonds de sauvetage bancaire a été utilisé à l’été 2017, à hauteur de 5 Md€ environ, pour une </w:t>
      </w:r>
      <w:r w:rsidRPr="002E0B0D">
        <w:rPr>
          <w:rFonts w:eastAsia="Calibri" w:cs="Arial"/>
          <w:b/>
          <w:szCs w:val="20"/>
        </w:rPr>
        <w:t>recapitalisation de précaution de la banque</w:t>
      </w:r>
      <w:r w:rsidRPr="002E0B0D">
        <w:rPr>
          <w:rFonts w:eastAsia="Calibri" w:cs="Arial"/>
          <w:szCs w:val="20"/>
        </w:rPr>
        <w:t xml:space="preserve"> </w:t>
      </w:r>
      <w:r w:rsidRPr="002E0B0D">
        <w:rPr>
          <w:rFonts w:eastAsia="Calibri" w:cs="Arial"/>
          <w:b/>
          <w:i/>
          <w:szCs w:val="20"/>
        </w:rPr>
        <w:t xml:space="preserve">Monte dei </w:t>
      </w:r>
      <w:proofErr w:type="spellStart"/>
      <w:r w:rsidRPr="002E0B0D">
        <w:rPr>
          <w:rFonts w:eastAsia="Calibri" w:cs="Arial"/>
          <w:b/>
          <w:i/>
          <w:szCs w:val="20"/>
        </w:rPr>
        <w:t>Paschi</w:t>
      </w:r>
      <w:proofErr w:type="spellEnd"/>
      <w:r w:rsidRPr="002E0B0D">
        <w:rPr>
          <w:rFonts w:eastAsia="Calibri" w:cs="Arial"/>
          <w:b/>
          <w:i/>
          <w:szCs w:val="20"/>
        </w:rPr>
        <w:t xml:space="preserve"> di </w:t>
      </w:r>
      <w:proofErr w:type="spellStart"/>
      <w:r w:rsidRPr="002E0B0D">
        <w:rPr>
          <w:rFonts w:eastAsia="Calibri" w:cs="Arial"/>
          <w:b/>
          <w:i/>
          <w:szCs w:val="20"/>
        </w:rPr>
        <w:t>Siena</w:t>
      </w:r>
      <w:proofErr w:type="spellEnd"/>
      <w:r w:rsidRPr="002E0B0D">
        <w:rPr>
          <w:rFonts w:eastAsia="Calibri" w:cs="Arial"/>
          <w:b/>
          <w:szCs w:val="20"/>
        </w:rPr>
        <w:t xml:space="preserve"> (MPS)</w:t>
      </w:r>
      <w:r w:rsidRPr="002E0B0D">
        <w:rPr>
          <w:rFonts w:eastAsia="Calibri" w:cs="Arial"/>
          <w:szCs w:val="20"/>
        </w:rPr>
        <w:t xml:space="preserve">, dont 68% du capital est désormais détenu par l’Etat. La banque poursuit son redressement (cession des créances irrécouvrables, plan de restructuration). </w:t>
      </w:r>
      <w:proofErr w:type="gramStart"/>
      <w:r w:rsidRPr="002E0B0D">
        <w:rPr>
          <w:rFonts w:eastAsia="Calibri" w:cs="Arial"/>
          <w:szCs w:val="20"/>
        </w:rPr>
        <w:t xml:space="preserve">L’année 2017 a également été marquée par la </w:t>
      </w:r>
      <w:r w:rsidRPr="002E0B0D">
        <w:rPr>
          <w:rFonts w:eastAsia="Calibri" w:cs="Arial"/>
          <w:b/>
          <w:szCs w:val="20"/>
        </w:rPr>
        <w:t xml:space="preserve">liquidation des banques vénitiennes </w:t>
      </w:r>
      <w:proofErr w:type="spellStart"/>
      <w:r w:rsidRPr="002E0B0D">
        <w:rPr>
          <w:rFonts w:eastAsia="Calibri" w:cs="Arial"/>
          <w:b/>
          <w:i/>
          <w:szCs w:val="20"/>
        </w:rPr>
        <w:t>Banca</w:t>
      </w:r>
      <w:proofErr w:type="spellEnd"/>
      <w:r w:rsidRPr="002E0B0D">
        <w:rPr>
          <w:rFonts w:eastAsia="Calibri" w:cs="Arial"/>
          <w:b/>
          <w:i/>
          <w:szCs w:val="20"/>
        </w:rPr>
        <w:t xml:space="preserve"> </w:t>
      </w:r>
      <w:proofErr w:type="spellStart"/>
      <w:r w:rsidRPr="002E0B0D">
        <w:rPr>
          <w:rFonts w:eastAsia="Calibri" w:cs="Arial"/>
          <w:b/>
          <w:i/>
          <w:szCs w:val="20"/>
        </w:rPr>
        <w:t>Popolare</w:t>
      </w:r>
      <w:proofErr w:type="spellEnd"/>
      <w:r w:rsidRPr="002E0B0D">
        <w:rPr>
          <w:rFonts w:eastAsia="Calibri" w:cs="Arial"/>
          <w:b/>
          <w:i/>
          <w:szCs w:val="20"/>
        </w:rPr>
        <w:t xml:space="preserve"> di </w:t>
      </w:r>
      <w:proofErr w:type="spellStart"/>
      <w:r w:rsidRPr="002E0B0D">
        <w:rPr>
          <w:rFonts w:eastAsia="Calibri" w:cs="Arial"/>
          <w:b/>
          <w:i/>
          <w:szCs w:val="20"/>
        </w:rPr>
        <w:t>Vicenza</w:t>
      </w:r>
      <w:proofErr w:type="spellEnd"/>
      <w:r w:rsidRPr="002E0B0D">
        <w:rPr>
          <w:rFonts w:eastAsia="Calibri" w:cs="Arial"/>
          <w:b/>
          <w:szCs w:val="20"/>
        </w:rPr>
        <w:t xml:space="preserve"> (</w:t>
      </w:r>
      <w:proofErr w:type="spellStart"/>
      <w:r w:rsidRPr="002E0B0D">
        <w:rPr>
          <w:rFonts w:eastAsia="Calibri" w:cs="Arial"/>
          <w:b/>
          <w:szCs w:val="20"/>
        </w:rPr>
        <w:t>BPVi</w:t>
      </w:r>
      <w:proofErr w:type="spellEnd"/>
      <w:r w:rsidRPr="002E0B0D">
        <w:rPr>
          <w:rFonts w:eastAsia="Calibri" w:cs="Arial"/>
          <w:b/>
          <w:szCs w:val="20"/>
        </w:rPr>
        <w:t xml:space="preserve">) et </w:t>
      </w:r>
      <w:proofErr w:type="spellStart"/>
      <w:r w:rsidRPr="002E0B0D">
        <w:rPr>
          <w:rFonts w:eastAsia="Calibri" w:cs="Arial"/>
          <w:b/>
          <w:i/>
          <w:szCs w:val="20"/>
        </w:rPr>
        <w:t>Veneto</w:t>
      </w:r>
      <w:proofErr w:type="spellEnd"/>
      <w:r w:rsidRPr="002E0B0D">
        <w:rPr>
          <w:rFonts w:eastAsia="Calibri" w:cs="Arial"/>
          <w:b/>
          <w:i/>
          <w:szCs w:val="20"/>
        </w:rPr>
        <w:t xml:space="preserve"> </w:t>
      </w:r>
      <w:proofErr w:type="spellStart"/>
      <w:r w:rsidRPr="002E0B0D">
        <w:rPr>
          <w:rFonts w:eastAsia="Calibri" w:cs="Arial"/>
          <w:b/>
          <w:i/>
          <w:szCs w:val="20"/>
        </w:rPr>
        <w:t>banca</w:t>
      </w:r>
      <w:proofErr w:type="spellEnd"/>
      <w:r w:rsidRPr="002E0B0D">
        <w:rPr>
          <w:rFonts w:eastAsia="Calibri" w:cs="Arial"/>
          <w:i/>
          <w:szCs w:val="20"/>
        </w:rPr>
        <w:t xml:space="preserve"> </w:t>
      </w:r>
      <w:r w:rsidRPr="002E0B0D">
        <w:rPr>
          <w:rFonts w:eastAsia="Calibri" w:cs="Arial"/>
          <w:szCs w:val="20"/>
        </w:rPr>
        <w:t>(qui représentaient environ 2% du total des dépôts italiens)</w:t>
      </w:r>
      <w:r w:rsidRPr="002E0B0D">
        <w:rPr>
          <w:rFonts w:eastAsia="Calibri" w:cs="Arial"/>
          <w:i/>
          <w:szCs w:val="20"/>
        </w:rPr>
        <w:t xml:space="preserve">, </w:t>
      </w:r>
      <w:r w:rsidRPr="002E0B0D">
        <w:rPr>
          <w:rFonts w:eastAsia="Calibri" w:cs="Arial"/>
          <w:szCs w:val="20"/>
        </w:rPr>
        <w:t xml:space="preserve">en raison d’une situation financière trop dégradée et de leur incapacité à renforcer leurs fonds propres, avec la reprise de leurs réseaux par la banque </w:t>
      </w:r>
      <w:proofErr w:type="spellStart"/>
      <w:r w:rsidRPr="002E0B0D">
        <w:rPr>
          <w:rFonts w:eastAsia="Calibri" w:cs="Arial"/>
          <w:szCs w:val="20"/>
        </w:rPr>
        <w:t>Intesa</w:t>
      </w:r>
      <w:proofErr w:type="spellEnd"/>
      <w:r w:rsidRPr="002E0B0D">
        <w:rPr>
          <w:rFonts w:eastAsia="Calibri" w:cs="Arial"/>
          <w:szCs w:val="20"/>
        </w:rPr>
        <w:t xml:space="preserve"> </w:t>
      </w:r>
      <w:proofErr w:type="spellStart"/>
      <w:r w:rsidRPr="002E0B0D">
        <w:rPr>
          <w:rFonts w:eastAsia="Calibri" w:cs="Arial"/>
          <w:szCs w:val="20"/>
        </w:rPr>
        <w:t>Sanpaolo</w:t>
      </w:r>
      <w:proofErr w:type="spellEnd"/>
      <w:r w:rsidRPr="002E0B0D">
        <w:rPr>
          <w:rFonts w:eastAsia="Calibri" w:cs="Arial"/>
          <w:szCs w:val="20"/>
        </w:rPr>
        <w:t xml:space="preserve"> grâce à un soutien financier public de près de 5 Md€ et 12 Md€ de garanties publiques pour couvrir les risques liés à cette reprise.</w:t>
      </w:r>
      <w:proofErr w:type="gramEnd"/>
    </w:p>
    <w:p w14:paraId="6D41B884" w14:textId="77777777" w:rsidR="002E0B0D" w:rsidRPr="002E0B0D" w:rsidRDefault="002E0B0D" w:rsidP="002E0B0D">
      <w:pPr>
        <w:spacing w:before="120" w:after="120" w:line="240" w:lineRule="auto"/>
        <w:jc w:val="both"/>
        <w:rPr>
          <w:rFonts w:eastAsia="Calibri" w:cs="Arial"/>
          <w:color w:val="000000" w:themeColor="text1"/>
          <w:szCs w:val="20"/>
        </w:rPr>
      </w:pPr>
      <w:r w:rsidRPr="002E0B0D">
        <w:rPr>
          <w:rFonts w:eastAsia="Calibri" w:cs="Arial"/>
          <w:b/>
          <w:color w:val="000000" w:themeColor="text1"/>
          <w:szCs w:val="20"/>
        </w:rPr>
        <w:t xml:space="preserve">L’année 2017 a été marquée par une diminution sensible des encours de créances douteuses (ou NPL) dans le secteur bancaire italien. </w:t>
      </w:r>
      <w:r w:rsidRPr="002E0B0D">
        <w:rPr>
          <w:rFonts w:eastAsia="Calibri" w:cs="Arial"/>
          <w:color w:val="000000" w:themeColor="text1"/>
          <w:szCs w:val="20"/>
        </w:rPr>
        <w:t xml:space="preserve">Selon la Banque d’Italie, le stock brut de NPL des banques italiennes s’établirait à </w:t>
      </w:r>
      <w:r w:rsidRPr="002E0B0D">
        <w:rPr>
          <w:rFonts w:eastAsia="Calibri" w:cs="Arial"/>
          <w:b/>
          <w:color w:val="000000" w:themeColor="text1"/>
          <w:szCs w:val="20"/>
        </w:rPr>
        <w:t xml:space="preserve">285 Md€ fin décembre 2017 </w:t>
      </w:r>
      <w:r w:rsidRPr="002E0B0D">
        <w:rPr>
          <w:rFonts w:eastAsia="Calibri" w:cs="Arial"/>
          <w:color w:val="000000" w:themeColor="text1"/>
          <w:szCs w:val="20"/>
        </w:rPr>
        <w:t xml:space="preserve">(soit un ratio de 14,5% de l’encours de crédit) contre 360 Md€ fin 2015. En valeur nette (i.e. après déduction des provisions passées), l’encours de NPL atteignait 135 Md€ fin décembre 2017 (7,5% de l’encours de crédit) soit 16 Md€ de réduction au cours du second semestre 2017. </w:t>
      </w:r>
      <w:r w:rsidRPr="002E0B0D">
        <w:rPr>
          <w:rFonts w:eastAsia="Calibri" w:cs="Arial"/>
          <w:color w:val="000000" w:themeColor="text1"/>
          <w:szCs w:val="20"/>
        </w:rPr>
        <w:lastRenderedPageBreak/>
        <w:t xml:space="preserve">Le taux de couverture des NPL atteint 52,5%. La catégorie des créances irrécouvrables (dites </w:t>
      </w:r>
      <w:proofErr w:type="spellStart"/>
      <w:r w:rsidRPr="002E0B0D">
        <w:rPr>
          <w:rFonts w:eastAsia="Calibri" w:cs="Arial"/>
          <w:i/>
          <w:color w:val="000000" w:themeColor="text1"/>
          <w:szCs w:val="20"/>
        </w:rPr>
        <w:t>sofferenze</w:t>
      </w:r>
      <w:proofErr w:type="spellEnd"/>
      <w:r w:rsidRPr="002E0B0D">
        <w:rPr>
          <w:rFonts w:eastAsia="Calibri" w:cs="Arial"/>
          <w:i/>
          <w:color w:val="000000" w:themeColor="text1"/>
          <w:szCs w:val="20"/>
        </w:rPr>
        <w:t xml:space="preserve"> ou </w:t>
      </w:r>
      <w:proofErr w:type="spellStart"/>
      <w:r w:rsidRPr="002E0B0D">
        <w:rPr>
          <w:rFonts w:eastAsia="Calibri" w:cs="Arial"/>
          <w:i/>
          <w:color w:val="000000" w:themeColor="text1"/>
          <w:szCs w:val="20"/>
        </w:rPr>
        <w:t>bad</w:t>
      </w:r>
      <w:proofErr w:type="spellEnd"/>
      <w:r w:rsidRPr="002E0B0D">
        <w:rPr>
          <w:rFonts w:eastAsia="Calibri" w:cs="Arial"/>
          <w:i/>
          <w:color w:val="000000" w:themeColor="text1"/>
          <w:szCs w:val="20"/>
        </w:rPr>
        <w:t xml:space="preserve"> </w:t>
      </w:r>
      <w:proofErr w:type="spellStart"/>
      <w:r w:rsidRPr="002E0B0D">
        <w:rPr>
          <w:rFonts w:eastAsia="Calibri" w:cs="Arial"/>
          <w:i/>
          <w:color w:val="000000" w:themeColor="text1"/>
          <w:szCs w:val="20"/>
        </w:rPr>
        <w:t>loans</w:t>
      </w:r>
      <w:proofErr w:type="spellEnd"/>
      <w:r w:rsidRPr="002E0B0D">
        <w:rPr>
          <w:rFonts w:eastAsia="Calibri" w:cs="Arial"/>
          <w:color w:val="000000" w:themeColor="text1"/>
          <w:szCs w:val="20"/>
        </w:rPr>
        <w:t xml:space="preserve">) représente un encours brut de 178 Md€ en décembre 2017 et 3,5 % du total de l’encours de crédit en valeur nette. Cette évolution résulte d’une </w:t>
      </w:r>
      <w:r w:rsidRPr="002E0B0D">
        <w:rPr>
          <w:rFonts w:eastAsia="Calibri" w:cs="Arial"/>
          <w:b/>
          <w:bCs/>
          <w:color w:val="000000" w:themeColor="text1"/>
          <w:szCs w:val="20"/>
        </w:rPr>
        <w:t>stratégie proactive des banques pour les réduire</w:t>
      </w:r>
      <w:r w:rsidRPr="002E0B0D">
        <w:rPr>
          <w:rFonts w:eastAsia="Calibri" w:cs="Arial"/>
          <w:color w:val="000000" w:themeColor="text1"/>
          <w:szCs w:val="20"/>
        </w:rPr>
        <w:t xml:space="preserve">, soit par gestion interne (recouvrement, mobilisation des sûretés), soit à travers des cessions de créances sur le marché des </w:t>
      </w:r>
      <w:proofErr w:type="spellStart"/>
      <w:r w:rsidRPr="002E0B0D">
        <w:rPr>
          <w:rFonts w:eastAsia="Calibri" w:cs="Arial"/>
          <w:color w:val="000000" w:themeColor="text1"/>
          <w:szCs w:val="20"/>
        </w:rPr>
        <w:t>cérances</w:t>
      </w:r>
      <w:proofErr w:type="spellEnd"/>
      <w:r w:rsidRPr="002E0B0D">
        <w:rPr>
          <w:rFonts w:eastAsia="Calibri" w:cs="Arial"/>
          <w:color w:val="000000" w:themeColor="text1"/>
          <w:szCs w:val="20"/>
        </w:rPr>
        <w:t xml:space="preserve"> bancaires. De nombreuses cessions sont intervenues en 2017 (40 Md€ brut sur l’année 2017). Le mouvement se poursuit en 2018, avec une estimation de 70 Md€ de NPL bruts à céder, ce qui favorise le développement et la structuration d’un marché plus efficient des créances bancaires.</w:t>
      </w:r>
    </w:p>
    <w:p w14:paraId="0D5082F0" w14:textId="77777777" w:rsidR="002E0B0D" w:rsidRPr="002E0B0D" w:rsidRDefault="002E0B0D" w:rsidP="002E0B0D">
      <w:pPr>
        <w:spacing w:after="60" w:line="240" w:lineRule="auto"/>
        <w:jc w:val="both"/>
        <w:rPr>
          <w:rFonts w:eastAsia="Calibri" w:cs="Arial"/>
          <w:szCs w:val="20"/>
        </w:rPr>
      </w:pPr>
      <w:r w:rsidRPr="002E0B0D">
        <w:rPr>
          <w:rFonts w:eastAsia="Calibri" w:cs="Arial"/>
          <w:b/>
          <w:szCs w:val="20"/>
        </w:rPr>
        <w:t>Dans un contexte global de reprise européenne, le secteur financier italien a affiché des résultats en hausse au premier trimestre 2018.</w:t>
      </w:r>
      <w:r w:rsidRPr="002E0B0D">
        <w:rPr>
          <w:rFonts w:eastAsia="Calibri" w:cs="Arial"/>
          <w:szCs w:val="20"/>
        </w:rPr>
        <w:t xml:space="preserve"> C’est notamment le cas des deux premières banques du pays, UniCredit, avec un résultat net de 1,1 Md€ (contre 0,9 Md€ un an auparavant), et un ratio de solvabilité CET1 à 13,1% fin mars 2018 (contre 12,8% à fin juin 2017), et d’</w:t>
      </w:r>
      <w:proofErr w:type="spellStart"/>
      <w:r w:rsidRPr="002E0B0D">
        <w:rPr>
          <w:rFonts w:eastAsia="Calibri" w:cs="Arial"/>
          <w:szCs w:val="20"/>
        </w:rPr>
        <w:t>Intesa</w:t>
      </w:r>
      <w:proofErr w:type="spellEnd"/>
      <w:r w:rsidRPr="002E0B0D">
        <w:rPr>
          <w:rFonts w:eastAsia="Calibri" w:cs="Arial"/>
          <w:szCs w:val="20"/>
        </w:rPr>
        <w:t xml:space="preserve"> San Paolo qui affiche un résultat net de 1,2 Md€ (contre 0,9 Md€ en mars 2017) et un ratio CET1 de 13,3% (contre 13% en juin 2017). </w:t>
      </w:r>
    </w:p>
    <w:p w14:paraId="64BBE2B7" w14:textId="77777777" w:rsidR="002E0B0D" w:rsidRPr="002E0B0D" w:rsidRDefault="002E0B0D" w:rsidP="002E0B0D">
      <w:pPr>
        <w:spacing w:after="60" w:line="240" w:lineRule="auto"/>
        <w:jc w:val="both"/>
        <w:rPr>
          <w:rFonts w:eastAsia="Calibri" w:cs="Arial"/>
          <w:szCs w:val="20"/>
        </w:rPr>
      </w:pPr>
    </w:p>
    <w:p w14:paraId="6F53CDCB" w14:textId="061590A5" w:rsidR="00CF359C" w:rsidRDefault="00CF359C">
      <w:pPr>
        <w:rPr>
          <w:b/>
          <w:u w:val="single"/>
        </w:rPr>
      </w:pPr>
      <w:r>
        <w:rPr>
          <w:b/>
          <w:u w:val="single"/>
        </w:rPr>
        <w:br w:type="page"/>
      </w:r>
    </w:p>
    <w:p w14:paraId="25EF8CD4" w14:textId="77777777" w:rsidR="00CF359C" w:rsidRPr="00CF359C" w:rsidRDefault="00CF359C" w:rsidP="00CF359C">
      <w:pPr>
        <w:spacing w:after="120" w:line="240" w:lineRule="auto"/>
        <w:jc w:val="center"/>
        <w:rPr>
          <w:rFonts w:ascii="Times New Roman" w:eastAsia="Calibri" w:hAnsi="Times New Roman" w:cs="Times New Roman"/>
          <w:b/>
          <w:sz w:val="22"/>
        </w:rPr>
      </w:pPr>
      <w:r w:rsidRPr="00CF359C">
        <w:rPr>
          <w:rFonts w:ascii="Times New Roman" w:eastAsia="Calibri" w:hAnsi="Times New Roman" w:cs="Times New Roman"/>
          <w:b/>
          <w:sz w:val="22"/>
        </w:rPr>
        <w:lastRenderedPageBreak/>
        <w:t>Evolution du PIB italien et de ses composantes</w:t>
      </w:r>
    </w:p>
    <w:p w14:paraId="71FA6742" w14:textId="77777777" w:rsidR="00CF359C" w:rsidRPr="00CF359C" w:rsidRDefault="00CF359C" w:rsidP="00CF359C">
      <w:pPr>
        <w:spacing w:after="120" w:line="240" w:lineRule="auto"/>
        <w:jc w:val="center"/>
        <w:rPr>
          <w:rFonts w:ascii="Times New Roman" w:eastAsia="Calibri" w:hAnsi="Times New Roman" w:cs="Times New Roman"/>
          <w:b/>
          <w:sz w:val="22"/>
          <w:u w:val="single"/>
        </w:rPr>
      </w:pPr>
      <w:r w:rsidRPr="00CF359C">
        <w:rPr>
          <w:rFonts w:ascii="Times New Roman" w:eastAsia="Calibri" w:hAnsi="Times New Roman" w:cs="Times New Roman"/>
          <w:b/>
          <w:sz w:val="22"/>
          <w:u w:val="single"/>
        </w:rPr>
        <w:t>Italie – PIB et ses composantes en volume</w:t>
      </w:r>
    </w:p>
    <w:p w14:paraId="2E58470D" w14:textId="77777777" w:rsidR="00CF359C" w:rsidRPr="00CF359C" w:rsidRDefault="00CF359C" w:rsidP="00CF359C">
      <w:pPr>
        <w:spacing w:after="120" w:line="240" w:lineRule="auto"/>
        <w:jc w:val="center"/>
        <w:rPr>
          <w:rFonts w:ascii="Times New Roman" w:eastAsia="Calibri" w:hAnsi="Times New Roman" w:cs="Times New Roman"/>
          <w:i/>
          <w:sz w:val="22"/>
        </w:rPr>
      </w:pPr>
      <w:proofErr w:type="gramStart"/>
      <w:r w:rsidRPr="00CF359C">
        <w:rPr>
          <w:rFonts w:ascii="Times New Roman" w:eastAsia="Calibri" w:hAnsi="Times New Roman" w:cs="Times New Roman"/>
          <w:i/>
          <w:sz w:val="22"/>
        </w:rPr>
        <w:t>en</w:t>
      </w:r>
      <w:proofErr w:type="gramEnd"/>
      <w:r w:rsidRPr="00CF359C">
        <w:rPr>
          <w:rFonts w:ascii="Times New Roman" w:eastAsia="Calibri" w:hAnsi="Times New Roman" w:cs="Times New Roman"/>
          <w:i/>
          <w:sz w:val="22"/>
        </w:rPr>
        <w:t xml:space="preserve"> millions d’euros</w:t>
      </w:r>
    </w:p>
    <w:p w14:paraId="0BAA8788" w14:textId="77777777" w:rsidR="00CF359C" w:rsidRPr="00CF359C" w:rsidRDefault="00CF359C" w:rsidP="00CF359C">
      <w:pPr>
        <w:spacing w:after="120" w:line="240" w:lineRule="auto"/>
        <w:jc w:val="center"/>
        <w:rPr>
          <w:rFonts w:ascii="Times New Roman" w:eastAsia="Calibri" w:hAnsi="Times New Roman" w:cs="Times New Roman"/>
          <w:sz w:val="22"/>
        </w:rPr>
      </w:pPr>
      <w:r w:rsidRPr="00CF359C">
        <w:rPr>
          <w:rFonts w:ascii="Calibri" w:eastAsia="Calibri" w:hAnsi="Calibri" w:cs="Times New Roman"/>
          <w:noProof/>
          <w:sz w:val="22"/>
          <w:lang w:eastAsia="fr-FR"/>
        </w:rPr>
        <w:drawing>
          <wp:inline distT="0" distB="0" distL="0" distR="0" wp14:anchorId="3A782199" wp14:editId="2DADBF7A">
            <wp:extent cx="5044059" cy="3533775"/>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7116" cy="3542922"/>
                    </a:xfrm>
                    <a:prstGeom prst="rect">
                      <a:avLst/>
                    </a:prstGeom>
                    <a:noFill/>
                    <a:ln>
                      <a:noFill/>
                    </a:ln>
                  </pic:spPr>
                </pic:pic>
              </a:graphicData>
            </a:graphic>
          </wp:inline>
        </w:drawing>
      </w:r>
    </w:p>
    <w:p w14:paraId="281E1CA9" w14:textId="77777777" w:rsidR="00CF359C" w:rsidRPr="00CF359C" w:rsidRDefault="00CF359C" w:rsidP="00CF359C">
      <w:pPr>
        <w:spacing w:after="120" w:line="240" w:lineRule="auto"/>
        <w:jc w:val="center"/>
        <w:rPr>
          <w:rFonts w:ascii="Times New Roman" w:eastAsia="Calibri" w:hAnsi="Times New Roman" w:cs="Times New Roman"/>
          <w:sz w:val="22"/>
        </w:rPr>
      </w:pPr>
    </w:p>
    <w:p w14:paraId="263E5856" w14:textId="77777777" w:rsidR="00CF359C" w:rsidRPr="00CF359C" w:rsidRDefault="00CF359C" w:rsidP="00CF359C">
      <w:pPr>
        <w:spacing w:after="120" w:line="240" w:lineRule="auto"/>
        <w:jc w:val="center"/>
        <w:rPr>
          <w:rFonts w:ascii="Times New Roman" w:eastAsia="Calibri" w:hAnsi="Times New Roman" w:cs="Times New Roman"/>
          <w:b/>
          <w:sz w:val="22"/>
        </w:rPr>
      </w:pPr>
      <w:r w:rsidRPr="00CF359C">
        <w:rPr>
          <w:rFonts w:ascii="Times New Roman" w:eastAsia="Calibri" w:hAnsi="Times New Roman" w:cs="Times New Roman"/>
          <w:b/>
          <w:sz w:val="22"/>
        </w:rPr>
        <w:t>Contributions à la croissance du PIB italien, en points</w:t>
      </w:r>
    </w:p>
    <w:p w14:paraId="40CFA605" w14:textId="77777777" w:rsidR="00CF359C" w:rsidRPr="00CF359C" w:rsidRDefault="00CF359C" w:rsidP="00CF359C">
      <w:pPr>
        <w:spacing w:after="120" w:line="240" w:lineRule="auto"/>
        <w:jc w:val="center"/>
        <w:rPr>
          <w:rFonts w:ascii="Times New Roman" w:eastAsia="Calibri" w:hAnsi="Times New Roman" w:cs="Times New Roman"/>
          <w:sz w:val="22"/>
        </w:rPr>
      </w:pPr>
      <w:r w:rsidRPr="00CF359C">
        <w:rPr>
          <w:rFonts w:ascii="Times New Roman" w:eastAsia="Calibri" w:hAnsi="Times New Roman" w:cs="Times New Roman"/>
          <w:noProof/>
          <w:sz w:val="22"/>
          <w:lang w:eastAsia="fr-FR"/>
        </w:rPr>
        <w:drawing>
          <wp:inline distT="0" distB="0" distL="0" distR="0" wp14:anchorId="7D977D70" wp14:editId="37B434E3">
            <wp:extent cx="3802056" cy="2533650"/>
            <wp:effectExtent l="0" t="0" r="825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9084" cy="2544998"/>
                    </a:xfrm>
                    <a:prstGeom prst="rect">
                      <a:avLst/>
                    </a:prstGeom>
                    <a:noFill/>
                  </pic:spPr>
                </pic:pic>
              </a:graphicData>
            </a:graphic>
          </wp:inline>
        </w:drawing>
      </w:r>
    </w:p>
    <w:p w14:paraId="7920F24B" w14:textId="77777777" w:rsidR="00CF359C" w:rsidRPr="00CF359C" w:rsidRDefault="00CF359C" w:rsidP="00CF359C">
      <w:pPr>
        <w:spacing w:after="120" w:line="240" w:lineRule="auto"/>
        <w:ind w:left="1701"/>
        <w:rPr>
          <w:rFonts w:ascii="Times New Roman" w:eastAsia="Calibri" w:hAnsi="Times New Roman" w:cs="Times New Roman"/>
          <w:sz w:val="22"/>
        </w:rPr>
      </w:pPr>
      <w:r w:rsidRPr="00CF359C">
        <w:rPr>
          <w:rFonts w:ascii="Times New Roman" w:eastAsia="Calibri" w:hAnsi="Times New Roman" w:cs="Times New Roman"/>
          <w:i/>
          <w:sz w:val="18"/>
          <w:szCs w:val="18"/>
        </w:rPr>
        <w:t>Source ISTAT</w:t>
      </w:r>
      <w:r w:rsidRPr="00CF359C">
        <w:rPr>
          <w:rFonts w:ascii="Times New Roman" w:eastAsia="Calibri" w:hAnsi="Times New Roman" w:cs="Times New Roman"/>
          <w:sz w:val="22"/>
        </w:rPr>
        <w:br w:type="page"/>
      </w:r>
    </w:p>
    <w:p w14:paraId="7FFC1756" w14:textId="77777777" w:rsidR="00CF359C" w:rsidRPr="00CF359C" w:rsidRDefault="00CF359C" w:rsidP="00CF359C">
      <w:pPr>
        <w:spacing w:after="100" w:line="240" w:lineRule="auto"/>
        <w:jc w:val="center"/>
        <w:rPr>
          <w:rFonts w:ascii="Times New Roman" w:eastAsia="Calibri" w:hAnsi="Times New Roman" w:cs="Times New Roman"/>
          <w:b/>
          <w:sz w:val="22"/>
          <w:u w:val="single"/>
        </w:rPr>
      </w:pPr>
      <w:r w:rsidRPr="00CF359C">
        <w:rPr>
          <w:rFonts w:ascii="Times New Roman" w:eastAsia="Calibri" w:hAnsi="Times New Roman" w:cs="Times New Roman"/>
          <w:b/>
          <w:sz w:val="22"/>
          <w:u w:val="single"/>
        </w:rPr>
        <w:lastRenderedPageBreak/>
        <w:t>Evolution comparative du PIB en volume en Zone euro, Italie, France et Allemagne</w:t>
      </w:r>
    </w:p>
    <w:tbl>
      <w:tblPr>
        <w:tblStyle w:val="Grilledutableau1"/>
        <w:tblW w:w="5242"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052"/>
      </w:tblGrid>
      <w:tr w:rsidR="00CF359C" w:rsidRPr="00CF359C" w14:paraId="77A05D1E" w14:textId="77777777" w:rsidTr="00592693">
        <w:tc>
          <w:tcPr>
            <w:tcW w:w="2500" w:type="pct"/>
          </w:tcPr>
          <w:p w14:paraId="05183442" w14:textId="77777777" w:rsidR="00CF359C" w:rsidRPr="00CF359C" w:rsidRDefault="00CF359C" w:rsidP="00CF359C">
            <w:pPr>
              <w:spacing w:after="100"/>
              <w:jc w:val="center"/>
              <w:rPr>
                <w:rFonts w:ascii="Times New Roman" w:hAnsi="Times New Roman"/>
                <w:sz w:val="22"/>
              </w:rPr>
            </w:pPr>
            <w:r w:rsidRPr="00CF359C">
              <w:rPr>
                <w:rFonts w:ascii="Times New Roman" w:hAnsi="Times New Roman"/>
                <w:sz w:val="22"/>
              </w:rPr>
              <w:t>en milliards d’euros</w:t>
            </w:r>
          </w:p>
        </w:tc>
        <w:tc>
          <w:tcPr>
            <w:tcW w:w="2500" w:type="pct"/>
          </w:tcPr>
          <w:p w14:paraId="0C997EC1" w14:textId="77777777" w:rsidR="00CF359C" w:rsidRPr="00CF359C" w:rsidRDefault="00CF359C" w:rsidP="00CF359C">
            <w:pPr>
              <w:spacing w:after="100"/>
              <w:jc w:val="center"/>
              <w:rPr>
                <w:rFonts w:ascii="Times New Roman" w:hAnsi="Times New Roman"/>
                <w:sz w:val="22"/>
              </w:rPr>
            </w:pPr>
            <w:r w:rsidRPr="00CF359C">
              <w:rPr>
                <w:rFonts w:ascii="Times New Roman" w:hAnsi="Times New Roman"/>
                <w:sz w:val="22"/>
              </w:rPr>
              <w:t>variation annuelle en %</w:t>
            </w:r>
          </w:p>
        </w:tc>
      </w:tr>
      <w:tr w:rsidR="00CF359C" w:rsidRPr="00CF359C" w14:paraId="5675A882" w14:textId="77777777" w:rsidTr="00592693">
        <w:trPr>
          <w:trHeight w:val="3194"/>
        </w:trPr>
        <w:tc>
          <w:tcPr>
            <w:tcW w:w="2500" w:type="pct"/>
            <w:vAlign w:val="center"/>
          </w:tcPr>
          <w:p w14:paraId="5E215224" w14:textId="77777777" w:rsidR="00CF359C" w:rsidRPr="00CF359C" w:rsidRDefault="00CF359C" w:rsidP="00CF359C">
            <w:pPr>
              <w:spacing w:after="100"/>
              <w:jc w:val="center"/>
              <w:rPr>
                <w:rFonts w:ascii="Times New Roman" w:hAnsi="Times New Roman"/>
                <w:sz w:val="22"/>
              </w:rPr>
            </w:pPr>
            <w:r w:rsidRPr="00CF359C">
              <w:rPr>
                <w:rFonts w:ascii="Times New Roman" w:hAnsi="Times New Roman"/>
                <w:noProof/>
                <w:sz w:val="22"/>
              </w:rPr>
              <w:drawing>
                <wp:inline distT="0" distB="0" distL="0" distR="0" wp14:anchorId="175DC468" wp14:editId="03447864">
                  <wp:extent cx="3049200" cy="1879200"/>
                  <wp:effectExtent l="0" t="0" r="0" b="698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9200" cy="1879200"/>
                          </a:xfrm>
                          <a:prstGeom prst="rect">
                            <a:avLst/>
                          </a:prstGeom>
                          <a:noFill/>
                        </pic:spPr>
                      </pic:pic>
                    </a:graphicData>
                  </a:graphic>
                </wp:inline>
              </w:drawing>
            </w:r>
          </w:p>
        </w:tc>
        <w:tc>
          <w:tcPr>
            <w:tcW w:w="2500" w:type="pct"/>
            <w:vAlign w:val="center"/>
          </w:tcPr>
          <w:p w14:paraId="3F590DDD" w14:textId="77777777" w:rsidR="00CF359C" w:rsidRPr="00CF359C" w:rsidRDefault="00CF359C" w:rsidP="00CF359C">
            <w:pPr>
              <w:spacing w:after="100"/>
              <w:jc w:val="center"/>
              <w:rPr>
                <w:rFonts w:ascii="Times New Roman" w:hAnsi="Times New Roman"/>
                <w:sz w:val="22"/>
              </w:rPr>
            </w:pPr>
            <w:r w:rsidRPr="00CF359C">
              <w:rPr>
                <w:rFonts w:ascii="Times New Roman" w:hAnsi="Times New Roman"/>
                <w:noProof/>
                <w:sz w:val="22"/>
              </w:rPr>
              <w:drawing>
                <wp:inline distT="0" distB="0" distL="0" distR="0" wp14:anchorId="74CB470D" wp14:editId="3571BCCE">
                  <wp:extent cx="3049200" cy="1879200"/>
                  <wp:effectExtent l="0" t="0" r="0" b="698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9200" cy="1879200"/>
                          </a:xfrm>
                          <a:prstGeom prst="rect">
                            <a:avLst/>
                          </a:prstGeom>
                          <a:noFill/>
                        </pic:spPr>
                      </pic:pic>
                    </a:graphicData>
                  </a:graphic>
                </wp:inline>
              </w:drawing>
            </w:r>
          </w:p>
        </w:tc>
      </w:tr>
      <w:tr w:rsidR="00CF359C" w:rsidRPr="00CF359C" w14:paraId="4A72CA21" w14:textId="77777777" w:rsidTr="00592693">
        <w:tc>
          <w:tcPr>
            <w:tcW w:w="5000" w:type="pct"/>
            <w:gridSpan w:val="2"/>
          </w:tcPr>
          <w:p w14:paraId="7ACE592B" w14:textId="77777777" w:rsidR="00CF359C" w:rsidRPr="00CF359C" w:rsidRDefault="00CF359C" w:rsidP="00CF359C">
            <w:pPr>
              <w:spacing w:after="100"/>
              <w:jc w:val="center"/>
              <w:rPr>
                <w:rFonts w:ascii="Times New Roman" w:hAnsi="Times New Roman"/>
                <w:sz w:val="22"/>
              </w:rPr>
            </w:pPr>
            <w:r w:rsidRPr="00CF359C">
              <w:rPr>
                <w:rFonts w:ascii="Times New Roman" w:hAnsi="Times New Roman"/>
                <w:sz w:val="22"/>
              </w:rPr>
              <w:t>Taux de croissance du PIB en volume, variation en %</w:t>
            </w:r>
          </w:p>
          <w:p w14:paraId="593FAD92" w14:textId="77777777" w:rsidR="00CF359C" w:rsidRPr="00CF359C" w:rsidRDefault="00CF359C" w:rsidP="00CF359C">
            <w:pPr>
              <w:spacing w:after="100"/>
              <w:jc w:val="center"/>
              <w:rPr>
                <w:rFonts w:ascii="Times New Roman" w:hAnsi="Times New Roman"/>
                <w:sz w:val="22"/>
              </w:rPr>
            </w:pPr>
            <w:r w:rsidRPr="00CF359C">
              <w:rPr>
                <w:rFonts w:ascii="Times New Roman" w:hAnsi="Times New Roman"/>
                <w:noProof/>
                <w:sz w:val="22"/>
              </w:rPr>
              <w:drawing>
                <wp:inline distT="0" distB="0" distL="0" distR="0" wp14:anchorId="6764F7C9" wp14:editId="2782C8C4">
                  <wp:extent cx="3400425" cy="1115680"/>
                  <wp:effectExtent l="0" t="0" r="0" b="889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5447" cy="1120609"/>
                          </a:xfrm>
                          <a:prstGeom prst="rect">
                            <a:avLst/>
                          </a:prstGeom>
                          <a:noFill/>
                          <a:ln>
                            <a:noFill/>
                          </a:ln>
                        </pic:spPr>
                      </pic:pic>
                    </a:graphicData>
                  </a:graphic>
                </wp:inline>
              </w:drawing>
            </w:r>
          </w:p>
          <w:p w14:paraId="7AF2AA0E" w14:textId="77777777" w:rsidR="00CF359C" w:rsidRPr="00CF359C" w:rsidRDefault="00CF359C" w:rsidP="00CF359C">
            <w:pPr>
              <w:spacing w:after="100"/>
              <w:jc w:val="center"/>
              <w:rPr>
                <w:rFonts w:ascii="Times New Roman" w:hAnsi="Times New Roman"/>
                <w:i/>
                <w:sz w:val="18"/>
                <w:szCs w:val="18"/>
              </w:rPr>
            </w:pPr>
            <w:r w:rsidRPr="00CF359C">
              <w:rPr>
                <w:rFonts w:ascii="Times New Roman" w:hAnsi="Times New Roman"/>
                <w:i/>
                <w:sz w:val="18"/>
                <w:szCs w:val="18"/>
              </w:rPr>
              <w:t>Source Eurostat</w:t>
            </w:r>
          </w:p>
        </w:tc>
      </w:tr>
    </w:tbl>
    <w:p w14:paraId="30C13552" w14:textId="77777777" w:rsidR="00CF359C" w:rsidRPr="00CF359C" w:rsidRDefault="00CF359C" w:rsidP="00CF359C">
      <w:pPr>
        <w:spacing w:after="100" w:line="240" w:lineRule="auto"/>
        <w:jc w:val="center"/>
        <w:rPr>
          <w:rFonts w:ascii="Times New Roman" w:eastAsia="Calibri" w:hAnsi="Times New Roman" w:cs="Times New Roman"/>
          <w:b/>
          <w:sz w:val="22"/>
          <w:u w:val="single"/>
        </w:rPr>
      </w:pPr>
    </w:p>
    <w:p w14:paraId="7F2762C0" w14:textId="77777777" w:rsidR="00CF359C" w:rsidRPr="00CF359C" w:rsidRDefault="00CF359C" w:rsidP="00CF359C">
      <w:pPr>
        <w:spacing w:after="100" w:line="240" w:lineRule="auto"/>
        <w:jc w:val="center"/>
        <w:rPr>
          <w:rFonts w:ascii="Times New Roman" w:eastAsia="Calibri" w:hAnsi="Times New Roman" w:cs="Times New Roman"/>
          <w:b/>
          <w:sz w:val="22"/>
          <w:u w:val="single"/>
        </w:rPr>
      </w:pPr>
      <w:r w:rsidRPr="00CF359C">
        <w:rPr>
          <w:rFonts w:ascii="Times New Roman" w:eastAsia="Calibri" w:hAnsi="Times New Roman" w:cs="Times New Roman"/>
          <w:b/>
          <w:sz w:val="22"/>
          <w:u w:val="single"/>
        </w:rPr>
        <w:t>Répartition de la valeur ajoutée en 2017</w:t>
      </w:r>
      <w:r w:rsidRPr="00CF359C">
        <w:rPr>
          <w:rFonts w:ascii="Times New Roman" w:eastAsia="Calibri" w:hAnsi="Times New Roman" w:cs="Times New Roman"/>
          <w:b/>
          <w:sz w:val="22"/>
          <w:u w:val="single"/>
          <w:vertAlign w:val="superscript"/>
        </w:rPr>
        <w:footnoteReference w:id="2"/>
      </w:r>
    </w:p>
    <w:p w14:paraId="25046965" w14:textId="77777777" w:rsidR="00CF359C" w:rsidRPr="00CF359C" w:rsidRDefault="00CF359C" w:rsidP="00CF359C">
      <w:pPr>
        <w:spacing w:after="100" w:line="240" w:lineRule="auto"/>
        <w:jc w:val="center"/>
        <w:rPr>
          <w:rFonts w:ascii="Times New Roman" w:eastAsia="Calibri" w:hAnsi="Times New Roman" w:cs="Times New Roman"/>
          <w:b/>
          <w:sz w:val="18"/>
          <w:szCs w:val="18"/>
          <w:u w:val="single"/>
        </w:rPr>
      </w:pPr>
      <w:r w:rsidRPr="00CF359C">
        <w:rPr>
          <w:rFonts w:ascii="Calibri" w:eastAsia="Calibri" w:hAnsi="Calibri" w:cs="Times New Roman"/>
          <w:noProof/>
          <w:sz w:val="22"/>
          <w:lang w:eastAsia="fr-FR"/>
        </w:rPr>
        <w:drawing>
          <wp:inline distT="0" distB="0" distL="0" distR="0" wp14:anchorId="5F5CCC83" wp14:editId="061E981B">
            <wp:extent cx="4714875" cy="141538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r="754"/>
                    <a:stretch/>
                  </pic:blipFill>
                  <pic:spPr bwMode="auto">
                    <a:xfrm>
                      <a:off x="0" y="0"/>
                      <a:ext cx="4763008" cy="1429831"/>
                    </a:xfrm>
                    <a:prstGeom prst="rect">
                      <a:avLst/>
                    </a:prstGeom>
                    <a:noFill/>
                    <a:ln>
                      <a:noFill/>
                    </a:ln>
                    <a:extLst>
                      <a:ext uri="{53640926-AAD7-44D8-BBD7-CCE9431645EC}">
                        <a14:shadowObscured xmlns:a14="http://schemas.microsoft.com/office/drawing/2010/main"/>
                      </a:ext>
                    </a:extLst>
                  </pic:spPr>
                </pic:pic>
              </a:graphicData>
            </a:graphic>
          </wp:inline>
        </w:drawing>
      </w:r>
    </w:p>
    <w:p w14:paraId="354C1518" w14:textId="77777777" w:rsidR="00CF359C" w:rsidRPr="00CF359C" w:rsidRDefault="00CF359C" w:rsidP="00CF359C">
      <w:pPr>
        <w:spacing w:after="100" w:line="240" w:lineRule="auto"/>
        <w:jc w:val="center"/>
        <w:rPr>
          <w:rFonts w:ascii="Times New Roman" w:eastAsia="Calibri" w:hAnsi="Times New Roman" w:cs="Times New Roman"/>
          <w:b/>
          <w:sz w:val="18"/>
          <w:szCs w:val="18"/>
          <w:u w:val="single"/>
        </w:rPr>
      </w:pPr>
    </w:p>
    <w:p w14:paraId="42D2058C" w14:textId="77777777" w:rsidR="00CF359C" w:rsidRPr="00CF359C" w:rsidRDefault="00CF359C" w:rsidP="00CF359C">
      <w:pPr>
        <w:spacing w:after="100" w:line="240" w:lineRule="auto"/>
        <w:jc w:val="center"/>
        <w:rPr>
          <w:rFonts w:ascii="Times New Roman" w:eastAsia="Calibri" w:hAnsi="Times New Roman" w:cs="Times New Roman"/>
          <w:b/>
          <w:sz w:val="22"/>
          <w:u w:val="single"/>
        </w:rPr>
      </w:pPr>
      <w:r w:rsidRPr="00CF359C">
        <w:rPr>
          <w:rFonts w:ascii="Times New Roman" w:eastAsia="Calibri" w:hAnsi="Times New Roman" w:cs="Times New Roman"/>
          <w:b/>
          <w:sz w:val="22"/>
          <w:u w:val="single"/>
        </w:rPr>
        <w:t>Evolution de l’indice de productivité multifactorielle (base 2010 =100)</w:t>
      </w:r>
    </w:p>
    <w:p w14:paraId="0E2B9ECF" w14:textId="77777777" w:rsidR="00CF359C" w:rsidRPr="00CF359C" w:rsidRDefault="00CF359C" w:rsidP="00CF359C">
      <w:pPr>
        <w:spacing w:after="120" w:line="240" w:lineRule="auto"/>
        <w:jc w:val="center"/>
        <w:rPr>
          <w:rFonts w:ascii="Times New Roman" w:eastAsia="Calibri" w:hAnsi="Times New Roman" w:cs="Times New Roman"/>
          <w:sz w:val="22"/>
        </w:rPr>
      </w:pPr>
      <w:r w:rsidRPr="00CF359C">
        <w:rPr>
          <w:rFonts w:ascii="Times New Roman" w:eastAsia="Calibri" w:hAnsi="Times New Roman" w:cs="Times New Roman"/>
          <w:b/>
          <w:noProof/>
          <w:sz w:val="18"/>
          <w:szCs w:val="18"/>
          <w:lang w:eastAsia="fr-FR"/>
        </w:rPr>
        <w:drawing>
          <wp:inline distT="0" distB="0" distL="0" distR="0" wp14:anchorId="5EBE0778" wp14:editId="3B316142">
            <wp:extent cx="3248025" cy="195042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6883" cy="1973761"/>
                    </a:xfrm>
                    <a:prstGeom prst="rect">
                      <a:avLst/>
                    </a:prstGeom>
                    <a:noFill/>
                  </pic:spPr>
                </pic:pic>
              </a:graphicData>
            </a:graphic>
          </wp:inline>
        </w:drawing>
      </w:r>
    </w:p>
    <w:p w14:paraId="045AAEC6" w14:textId="77777777" w:rsidR="002C1015" w:rsidRDefault="002C1015" w:rsidP="00BB65E4">
      <w:pPr>
        <w:spacing w:before="120" w:after="0"/>
        <w:jc w:val="both"/>
        <w:rPr>
          <w:b/>
          <w:u w:val="single"/>
        </w:rPr>
      </w:pPr>
    </w:p>
    <w:p w14:paraId="6F53CDE1" w14:textId="77777777" w:rsidR="000F0B51" w:rsidRDefault="000F0B51" w:rsidP="00D64488">
      <w:pPr>
        <w:spacing w:before="120" w:after="0"/>
        <w:jc w:val="both"/>
      </w:pPr>
    </w:p>
    <w:p w14:paraId="6F53CDE2" w14:textId="77777777" w:rsidR="000F0B51" w:rsidRDefault="000F0B51" w:rsidP="00D64488">
      <w:pPr>
        <w:spacing w:before="120" w:after="0"/>
        <w:jc w:val="both"/>
      </w:pPr>
    </w:p>
    <w:p w14:paraId="6F53CDE3" w14:textId="77777777" w:rsidR="000F0B51" w:rsidRDefault="000F0B51" w:rsidP="00D64488">
      <w:pPr>
        <w:spacing w:before="120" w:after="0"/>
        <w:jc w:val="both"/>
      </w:pPr>
    </w:p>
    <w:p w14:paraId="6F53CDE4" w14:textId="77777777" w:rsidR="000F0B51" w:rsidRDefault="000F0B51" w:rsidP="00D64488">
      <w:pPr>
        <w:spacing w:before="120" w:after="0"/>
        <w:jc w:val="both"/>
      </w:pPr>
    </w:p>
    <w:p w14:paraId="6F53CDE5" w14:textId="77777777" w:rsidR="000F0B51" w:rsidRDefault="000F0B51" w:rsidP="00D64488">
      <w:pPr>
        <w:spacing w:before="120" w:after="0"/>
        <w:jc w:val="both"/>
      </w:pPr>
    </w:p>
    <w:p w14:paraId="6F53CDE6" w14:textId="77777777" w:rsidR="000F0B51" w:rsidRDefault="000F0B51" w:rsidP="00D64488">
      <w:pPr>
        <w:spacing w:before="120" w:after="0"/>
        <w:jc w:val="both"/>
      </w:pPr>
    </w:p>
    <w:p w14:paraId="6F53CDE7" w14:textId="77777777" w:rsidR="000F0B51" w:rsidRDefault="000F0B51" w:rsidP="00D64488">
      <w:pPr>
        <w:spacing w:before="120" w:after="0"/>
        <w:jc w:val="both"/>
      </w:pPr>
    </w:p>
    <w:p w14:paraId="6F53CDE8" w14:textId="77777777" w:rsidR="000F0B51" w:rsidRDefault="000F0B51" w:rsidP="00D64488">
      <w:pPr>
        <w:spacing w:before="120" w:after="0"/>
        <w:jc w:val="both"/>
      </w:pPr>
    </w:p>
    <w:p w14:paraId="6F53CDE9" w14:textId="77777777" w:rsidR="000F0B51" w:rsidRDefault="000F0B51" w:rsidP="00D64488">
      <w:pPr>
        <w:spacing w:before="120" w:after="0"/>
        <w:jc w:val="both"/>
      </w:pPr>
    </w:p>
    <w:p w14:paraId="6F53CDEA" w14:textId="77777777" w:rsidR="000F0B51" w:rsidRDefault="000F0B51" w:rsidP="00D64488">
      <w:pPr>
        <w:spacing w:before="120" w:after="0"/>
        <w:jc w:val="both"/>
      </w:pPr>
    </w:p>
    <w:p w14:paraId="6F53CDEB" w14:textId="77777777" w:rsidR="000F0B51" w:rsidRDefault="000F0B51" w:rsidP="00D64488">
      <w:pPr>
        <w:spacing w:before="120" w:after="0"/>
        <w:jc w:val="both"/>
      </w:pPr>
    </w:p>
    <w:p w14:paraId="6F53CDEC" w14:textId="77777777" w:rsidR="002C1015" w:rsidRDefault="002C1015" w:rsidP="00D64488">
      <w:pPr>
        <w:spacing w:before="120" w:after="0"/>
        <w:jc w:val="both"/>
      </w:pPr>
    </w:p>
    <w:p w14:paraId="6F53CDED" w14:textId="77777777" w:rsidR="002C1015" w:rsidRDefault="002C1015" w:rsidP="00D64488">
      <w:pPr>
        <w:spacing w:before="120" w:after="0"/>
        <w:jc w:val="both"/>
      </w:pPr>
    </w:p>
    <w:p w14:paraId="6F53CDEE" w14:textId="77777777" w:rsidR="002C1015" w:rsidRDefault="002C1015" w:rsidP="00D64488">
      <w:pPr>
        <w:spacing w:before="120" w:after="0"/>
        <w:jc w:val="both"/>
      </w:pPr>
    </w:p>
    <w:p w14:paraId="6F53CDEF" w14:textId="77777777" w:rsidR="002C1015" w:rsidRDefault="002C1015" w:rsidP="00D64488">
      <w:pPr>
        <w:spacing w:before="120" w:after="0"/>
        <w:jc w:val="both"/>
      </w:pPr>
    </w:p>
    <w:p w14:paraId="6F53CDF0" w14:textId="77777777" w:rsidR="002C1015" w:rsidRDefault="002C1015" w:rsidP="00D64488">
      <w:pPr>
        <w:spacing w:before="120" w:after="0"/>
        <w:jc w:val="both"/>
      </w:pPr>
    </w:p>
    <w:p w14:paraId="6F53CDF1" w14:textId="77777777" w:rsidR="00C3179B" w:rsidRDefault="00C3179B" w:rsidP="00D64488">
      <w:pPr>
        <w:spacing w:before="120" w:after="0"/>
        <w:jc w:val="both"/>
      </w:pPr>
    </w:p>
    <w:p w14:paraId="24345346" w14:textId="77777777" w:rsidR="00CF359C" w:rsidRDefault="00CF359C" w:rsidP="00D64488">
      <w:pPr>
        <w:spacing w:before="120" w:after="0"/>
        <w:jc w:val="both"/>
      </w:pPr>
    </w:p>
    <w:p w14:paraId="066B6D90" w14:textId="77777777" w:rsidR="00CF359C" w:rsidRDefault="00CF359C" w:rsidP="00D64488">
      <w:pPr>
        <w:spacing w:before="120" w:after="0"/>
        <w:jc w:val="both"/>
      </w:pPr>
    </w:p>
    <w:p w14:paraId="6256EB93" w14:textId="77777777" w:rsidR="00CF359C" w:rsidRDefault="00CF359C" w:rsidP="00D64488">
      <w:pPr>
        <w:spacing w:before="120" w:after="0"/>
        <w:jc w:val="both"/>
      </w:pPr>
    </w:p>
    <w:p w14:paraId="3B98646F" w14:textId="77777777" w:rsidR="00CF359C" w:rsidRDefault="00CF359C" w:rsidP="00D64488">
      <w:pPr>
        <w:spacing w:before="120" w:after="0"/>
        <w:jc w:val="both"/>
      </w:pPr>
    </w:p>
    <w:p w14:paraId="6051BDBB" w14:textId="77777777" w:rsidR="00CF359C" w:rsidRDefault="00CF359C" w:rsidP="00D64488">
      <w:pPr>
        <w:spacing w:before="120" w:after="0"/>
        <w:jc w:val="both"/>
      </w:pPr>
    </w:p>
    <w:p w14:paraId="3AE88CBF" w14:textId="77777777" w:rsidR="00CF359C" w:rsidRDefault="00CF359C" w:rsidP="00D64488">
      <w:pPr>
        <w:spacing w:before="120" w:after="0"/>
        <w:jc w:val="both"/>
      </w:pPr>
    </w:p>
    <w:p w14:paraId="066C3EC0" w14:textId="77777777" w:rsidR="00CF359C" w:rsidRDefault="00CF359C" w:rsidP="00D64488">
      <w:pPr>
        <w:spacing w:before="120" w:after="0"/>
        <w:jc w:val="both"/>
      </w:pPr>
    </w:p>
    <w:p w14:paraId="01B00A8B" w14:textId="77777777" w:rsidR="00CF359C" w:rsidRDefault="00CF359C" w:rsidP="00D64488">
      <w:pPr>
        <w:spacing w:before="120" w:after="0"/>
        <w:jc w:val="both"/>
      </w:pPr>
    </w:p>
    <w:p w14:paraId="59913236" w14:textId="77777777" w:rsidR="00CF359C" w:rsidRDefault="00CF359C" w:rsidP="00D64488">
      <w:pPr>
        <w:spacing w:before="120" w:after="0"/>
        <w:jc w:val="both"/>
      </w:pPr>
    </w:p>
    <w:p w14:paraId="324038E8" w14:textId="77777777" w:rsidR="00CF359C" w:rsidRDefault="00CF359C" w:rsidP="00D64488">
      <w:pPr>
        <w:spacing w:before="120" w:after="0"/>
        <w:jc w:val="both"/>
      </w:pPr>
    </w:p>
    <w:p w14:paraId="64D3ED5A" w14:textId="77777777" w:rsidR="00CF359C" w:rsidRDefault="00CF359C" w:rsidP="00D64488">
      <w:pPr>
        <w:spacing w:before="120" w:after="0"/>
        <w:jc w:val="both"/>
      </w:pPr>
    </w:p>
    <w:p w14:paraId="31458411" w14:textId="77777777" w:rsidR="00CF359C" w:rsidRDefault="00CF359C" w:rsidP="00D64488">
      <w:pPr>
        <w:spacing w:before="120" w:after="0"/>
        <w:jc w:val="both"/>
      </w:pPr>
    </w:p>
    <w:p w14:paraId="52E84901" w14:textId="77777777" w:rsidR="00CF359C" w:rsidRDefault="00CF359C" w:rsidP="00D64488">
      <w:pPr>
        <w:spacing w:before="120" w:after="0"/>
        <w:jc w:val="both"/>
      </w:pPr>
    </w:p>
    <w:p w14:paraId="34459A7C" w14:textId="77777777" w:rsidR="00CF359C" w:rsidRDefault="00CF359C" w:rsidP="00D64488">
      <w:pPr>
        <w:spacing w:before="120" w:after="0"/>
        <w:jc w:val="both"/>
      </w:pPr>
      <w:bookmarkStart w:id="1" w:name="_GoBack"/>
      <w:bookmarkEnd w:id="1"/>
    </w:p>
    <w:p w14:paraId="6F53CDF2" w14:textId="77777777" w:rsidR="00C3179B" w:rsidRDefault="00C3179B" w:rsidP="00D64488">
      <w:pPr>
        <w:spacing w:before="120" w:after="0"/>
        <w:jc w:val="both"/>
      </w:pPr>
    </w:p>
    <w:tbl>
      <w:tblPr>
        <w:tblStyle w:val="Grilledutableau"/>
        <w:tblW w:w="0" w:type="auto"/>
        <w:shd w:val="clear" w:color="auto" w:fill="E6A300"/>
        <w:tblLook w:val="04A0" w:firstRow="1" w:lastRow="0" w:firstColumn="1" w:lastColumn="0" w:noHBand="0" w:noVBand="1"/>
      </w:tblPr>
      <w:tblGrid>
        <w:gridCol w:w="9628"/>
      </w:tblGrid>
      <w:tr w:rsidR="002C1015" w:rsidRPr="005F4FC1" w14:paraId="6F53CDF4" w14:textId="77777777" w:rsidTr="002C1015">
        <w:trPr>
          <w:trHeight w:val="70"/>
        </w:trPr>
        <w:tc>
          <w:tcPr>
            <w:tcW w:w="9854" w:type="dxa"/>
            <w:shd w:val="clear" w:color="auto" w:fill="E6A300"/>
          </w:tcPr>
          <w:p w14:paraId="6F53CDF3" w14:textId="77777777" w:rsidR="002C1015" w:rsidRPr="004C458A" w:rsidRDefault="002C1015" w:rsidP="004C458A">
            <w:pPr>
              <w:pStyle w:val="Titre5"/>
              <w:outlineLvl w:val="4"/>
            </w:pPr>
            <w:r w:rsidRPr="004C458A">
              <w:t xml:space="preserve">Clause de non-responsabilité - 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 </w:t>
            </w:r>
          </w:p>
        </w:tc>
      </w:tr>
    </w:tbl>
    <w:p w14:paraId="6F53CDF5" w14:textId="77777777" w:rsidR="000F0B51" w:rsidRDefault="000F0B51" w:rsidP="00C3179B">
      <w:pPr>
        <w:spacing w:before="120" w:after="0"/>
        <w:jc w:val="both"/>
      </w:pPr>
    </w:p>
    <w:sectPr w:rsidR="000F0B51" w:rsidSect="00CF359C">
      <w:footerReference w:type="default" r:id="rId18"/>
      <w:pgSz w:w="11906" w:h="16838"/>
      <w:pgMar w:top="851" w:right="1134" w:bottom="1418" w:left="1134" w:header="90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3CDF8" w14:textId="77777777" w:rsidR="00C4094A" w:rsidRDefault="00C4094A" w:rsidP="00F425DB">
      <w:pPr>
        <w:spacing w:after="0" w:line="240" w:lineRule="auto"/>
      </w:pPr>
      <w:r>
        <w:separator/>
      </w:r>
    </w:p>
  </w:endnote>
  <w:endnote w:type="continuationSeparator" w:id="0">
    <w:p w14:paraId="6F53CDF9" w14:textId="77777777" w:rsidR="00C4094A" w:rsidRDefault="00C4094A" w:rsidP="00F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22255"/>
      </w:rPr>
      <w:id w:val="444509257"/>
      <w:docPartObj>
        <w:docPartGallery w:val="Page Numbers (Bottom of Page)"/>
        <w:docPartUnique/>
      </w:docPartObj>
    </w:sdtPr>
    <w:sdtEndPr>
      <w:rPr>
        <w:color w:val="auto"/>
        <w:sz w:val="18"/>
        <w:szCs w:val="18"/>
      </w:rPr>
    </w:sdtEndPr>
    <w:sdtContent>
      <w:tbl>
        <w:tblPr>
          <w:tblStyle w:val="Grilledutableau"/>
          <w:tblW w:w="9781" w:type="dxa"/>
          <w:tblInd w:w="108" w:type="dxa"/>
          <w:tblBorders>
            <w:top w:val="single" w:sz="12" w:space="0" w:color="E6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040"/>
          <w:gridCol w:w="2331"/>
        </w:tblGrid>
        <w:tr w:rsidR="00347E10" w:rsidRPr="00347E10" w14:paraId="6F53CE00" w14:textId="77777777" w:rsidTr="003D1901">
          <w:trPr>
            <w:trHeight w:val="815"/>
          </w:trPr>
          <w:tc>
            <w:tcPr>
              <w:tcW w:w="2410" w:type="dxa"/>
            </w:tcPr>
            <w:p w14:paraId="6F53CDFA" w14:textId="77777777" w:rsidR="005A69FD" w:rsidRPr="00347E10" w:rsidRDefault="00803591" w:rsidP="00347E10">
              <w:pPr>
                <w:spacing w:before="120"/>
                <w:rPr>
                  <w:rFonts w:ascii="Arial Gras" w:hAnsi="Arial Gras" w:cs="Arial"/>
                  <w:b/>
                  <w:color w:val="122255"/>
                  <w:sz w:val="16"/>
                </w:rPr>
              </w:pPr>
              <w:r w:rsidRPr="00347E10">
                <w:rPr>
                  <w:rFonts w:ascii="Arial Gras" w:hAnsi="Arial Gras" w:cs="Arial"/>
                  <w:b/>
                  <w:bCs/>
                  <w:color w:val="122255"/>
                  <w:sz w:val="16"/>
                </w:rPr>
                <w:t>Juin</w:t>
              </w:r>
              <w:r w:rsidR="005A69FD" w:rsidRPr="00347E10">
                <w:rPr>
                  <w:rFonts w:ascii="Arial Gras" w:hAnsi="Arial Gras" w:cs="Arial"/>
                  <w:b/>
                  <w:bCs/>
                  <w:color w:val="122255"/>
                  <w:sz w:val="16"/>
                </w:rPr>
                <w:t xml:space="preserve"> 2014 </w:t>
              </w:r>
              <w:r w:rsidR="00C3179B" w:rsidRPr="00347E10">
                <w:rPr>
                  <w:rFonts w:ascii="Arial Gras" w:hAnsi="Arial Gras" w:cs="Arial"/>
                  <w:b/>
                  <w:color w:val="122255"/>
                  <w:sz w:val="16"/>
                </w:rPr>
                <w:t>© DG Trésor</w:t>
              </w:r>
            </w:p>
            <w:p w14:paraId="6F53CDFB" w14:textId="77777777" w:rsidR="005A69FD" w:rsidRPr="00347E10" w:rsidRDefault="005A69FD" w:rsidP="005A69FD">
              <w:pPr>
                <w:rPr>
                  <w:color w:val="122255"/>
                  <w:sz w:val="18"/>
                  <w:szCs w:val="18"/>
                </w:rPr>
              </w:pPr>
            </w:p>
          </w:tc>
          <w:tc>
            <w:tcPr>
              <w:tcW w:w="5040" w:type="dxa"/>
            </w:tcPr>
            <w:p w14:paraId="6F53CDFC" w14:textId="77777777" w:rsidR="00803591" w:rsidRPr="00347E10" w:rsidRDefault="00803591" w:rsidP="000B5DAE">
              <w:pPr>
                <w:spacing w:before="120"/>
                <w:jc w:val="center"/>
                <w:rPr>
                  <w:b/>
                  <w:color w:val="122255"/>
                  <w:sz w:val="18"/>
                  <w:szCs w:val="18"/>
                </w:rPr>
              </w:pPr>
              <w:r w:rsidRPr="00347E10">
                <w:rPr>
                  <w:b/>
                  <w:color w:val="122255"/>
                  <w:sz w:val="18"/>
                  <w:szCs w:val="18"/>
                </w:rPr>
                <w:t xml:space="preserve">AMBASSADE DE FRANCE </w:t>
              </w:r>
              <w:r w:rsidR="002C1015">
                <w:rPr>
                  <w:b/>
                  <w:color w:val="122255"/>
                  <w:sz w:val="18"/>
                  <w:szCs w:val="18"/>
                </w:rPr>
                <w:t>EN XX</w:t>
              </w:r>
            </w:p>
            <w:p w14:paraId="6F53CDFD" w14:textId="77777777" w:rsidR="005A69FD" w:rsidRDefault="00803591" w:rsidP="00803591">
              <w:pPr>
                <w:jc w:val="center"/>
                <w:rPr>
                  <w:b/>
                  <w:color w:val="122255"/>
                  <w:sz w:val="18"/>
                  <w:szCs w:val="18"/>
                </w:rPr>
              </w:pPr>
              <w:r w:rsidRPr="00347E10">
                <w:rPr>
                  <w:b/>
                  <w:color w:val="122255"/>
                  <w:sz w:val="18"/>
                  <w:szCs w:val="18"/>
                </w:rPr>
                <w:t>SERVICE ECONOMIQUE (REGIONAL)</w:t>
              </w:r>
            </w:p>
            <w:p w14:paraId="6F53CDFE" w14:textId="77777777" w:rsidR="002611F0" w:rsidRPr="002611F0" w:rsidRDefault="002611F0" w:rsidP="00803591">
              <w:pPr>
                <w:jc w:val="center"/>
                <w:rPr>
                  <w:color w:val="122255"/>
                  <w:sz w:val="16"/>
                  <w:szCs w:val="16"/>
                </w:rPr>
              </w:pPr>
            </w:p>
          </w:tc>
          <w:tc>
            <w:tcPr>
              <w:tcW w:w="2331" w:type="dxa"/>
            </w:tcPr>
            <w:p w14:paraId="6F53CDFF" w14:textId="77777777" w:rsidR="005A69FD" w:rsidRPr="00347E10" w:rsidRDefault="005A69FD" w:rsidP="00347E10">
              <w:pPr>
                <w:spacing w:before="120"/>
                <w:jc w:val="right"/>
                <w:rPr>
                  <w:b/>
                  <w:color w:val="122255"/>
                  <w:sz w:val="16"/>
                  <w:szCs w:val="16"/>
                </w:rPr>
              </w:pPr>
              <w:r w:rsidRPr="00347E10">
                <w:rPr>
                  <w:b/>
                  <w:color w:val="122255"/>
                  <w:sz w:val="16"/>
                  <w:szCs w:val="16"/>
                </w:rPr>
                <w:fldChar w:fldCharType="begin"/>
              </w:r>
              <w:r w:rsidRPr="00347E10">
                <w:rPr>
                  <w:b/>
                  <w:color w:val="122255"/>
                  <w:sz w:val="16"/>
                  <w:szCs w:val="16"/>
                </w:rPr>
                <w:instrText>PAGE   \* MERGEFORMAT</w:instrText>
              </w:r>
              <w:r w:rsidRPr="00347E10">
                <w:rPr>
                  <w:b/>
                  <w:color w:val="122255"/>
                  <w:sz w:val="16"/>
                  <w:szCs w:val="16"/>
                </w:rPr>
                <w:fldChar w:fldCharType="separate"/>
              </w:r>
              <w:r w:rsidR="00CF359C">
                <w:rPr>
                  <w:b/>
                  <w:noProof/>
                  <w:color w:val="122255"/>
                  <w:sz w:val="16"/>
                  <w:szCs w:val="16"/>
                </w:rPr>
                <w:t>6</w:t>
              </w:r>
              <w:r w:rsidRPr="00347E10">
                <w:rPr>
                  <w:b/>
                  <w:color w:val="122255"/>
                  <w:sz w:val="16"/>
                  <w:szCs w:val="16"/>
                </w:rPr>
                <w:fldChar w:fldCharType="end"/>
              </w:r>
            </w:p>
          </w:tc>
        </w:tr>
      </w:tbl>
      <w:p w14:paraId="6F53CE01" w14:textId="77777777" w:rsidR="005A69FD" w:rsidRPr="005A69FD" w:rsidRDefault="00CF359C" w:rsidP="005A69FD">
        <w:pPr>
          <w:pStyle w:val="Pieddepage"/>
          <w:rPr>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3CDF6" w14:textId="77777777" w:rsidR="00C4094A" w:rsidRDefault="00C4094A" w:rsidP="00F425DB">
      <w:pPr>
        <w:spacing w:after="0" w:line="240" w:lineRule="auto"/>
      </w:pPr>
      <w:r>
        <w:separator/>
      </w:r>
    </w:p>
  </w:footnote>
  <w:footnote w:type="continuationSeparator" w:id="0">
    <w:p w14:paraId="6F53CDF7" w14:textId="77777777" w:rsidR="00C4094A" w:rsidRDefault="00C4094A" w:rsidP="00F425DB">
      <w:pPr>
        <w:spacing w:after="0" w:line="240" w:lineRule="auto"/>
      </w:pPr>
      <w:r>
        <w:continuationSeparator/>
      </w:r>
    </w:p>
  </w:footnote>
  <w:footnote w:id="1">
    <w:p w14:paraId="16F562CC" w14:textId="77777777" w:rsidR="002E0B0D" w:rsidRPr="002E0B0D" w:rsidRDefault="002E0B0D" w:rsidP="002E0B0D">
      <w:pPr>
        <w:pStyle w:val="Notedebasdepage"/>
        <w:rPr>
          <w:sz w:val="16"/>
          <w:szCs w:val="16"/>
        </w:rPr>
      </w:pPr>
      <w:r w:rsidRPr="002E0B0D">
        <w:rPr>
          <w:rStyle w:val="Appelnotedebasdep"/>
          <w:sz w:val="16"/>
          <w:szCs w:val="16"/>
        </w:rPr>
        <w:footnoteRef/>
      </w:r>
      <w:r w:rsidRPr="002E0B0D">
        <w:rPr>
          <w:sz w:val="16"/>
          <w:szCs w:val="16"/>
        </w:rPr>
        <w:t xml:space="preserve"> Décret-loi dit « </w:t>
      </w:r>
      <w:proofErr w:type="spellStart"/>
      <w:r w:rsidRPr="002E0B0D">
        <w:rPr>
          <w:sz w:val="16"/>
          <w:szCs w:val="16"/>
        </w:rPr>
        <w:t>salvarisparmio</w:t>
      </w:r>
      <w:proofErr w:type="spellEnd"/>
      <w:r w:rsidRPr="002E0B0D">
        <w:rPr>
          <w:sz w:val="16"/>
          <w:szCs w:val="16"/>
        </w:rPr>
        <w:t> »du 23 décembre 2016 converti en loi le 16 février 2017</w:t>
      </w:r>
    </w:p>
  </w:footnote>
  <w:footnote w:id="2">
    <w:p w14:paraId="706CF292" w14:textId="77777777" w:rsidR="00CF359C" w:rsidRPr="00CF359C" w:rsidRDefault="00CF359C" w:rsidP="00CF359C">
      <w:pPr>
        <w:pStyle w:val="Notedebasdepage"/>
        <w:rPr>
          <w:sz w:val="16"/>
          <w:szCs w:val="16"/>
        </w:rPr>
      </w:pPr>
      <w:r w:rsidRPr="00CF359C">
        <w:rPr>
          <w:rStyle w:val="Appelnotedebasdep"/>
          <w:sz w:val="16"/>
          <w:szCs w:val="16"/>
        </w:rPr>
        <w:footnoteRef/>
      </w:r>
      <w:r w:rsidRPr="00CF359C">
        <w:rPr>
          <w:sz w:val="16"/>
          <w:szCs w:val="16"/>
        </w:rPr>
        <w:t xml:space="preserve"> Le secteur industriel inclut les industries extractives, l’industrie manufacturière et la production et distribution d’eau et les activités d’assainissement, de gestion des déchets et de dépollution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04671D7C"/>
    <w:multiLevelType w:val="hybridMultilevel"/>
    <w:tmpl w:val="0E82E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0B3303"/>
    <w:multiLevelType w:val="multilevel"/>
    <w:tmpl w:val="71A2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35E99"/>
    <w:multiLevelType w:val="multilevel"/>
    <w:tmpl w:val="A9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D21A75"/>
    <w:multiLevelType w:val="multilevel"/>
    <w:tmpl w:val="5568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A722E9"/>
    <w:multiLevelType w:val="multilevel"/>
    <w:tmpl w:val="131C6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1576C5"/>
    <w:multiLevelType w:val="multilevel"/>
    <w:tmpl w:val="7F7C4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D311A4"/>
    <w:multiLevelType w:val="hybridMultilevel"/>
    <w:tmpl w:val="00FC14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DB27446"/>
    <w:multiLevelType w:val="multilevel"/>
    <w:tmpl w:val="C1FA0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1"/>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09"/>
    <w:rsid w:val="000652F9"/>
    <w:rsid w:val="000B5DAE"/>
    <w:rsid w:val="000C52B6"/>
    <w:rsid w:val="000F0B51"/>
    <w:rsid w:val="001B451E"/>
    <w:rsid w:val="0021111A"/>
    <w:rsid w:val="0023311E"/>
    <w:rsid w:val="0024314F"/>
    <w:rsid w:val="00256A40"/>
    <w:rsid w:val="002611F0"/>
    <w:rsid w:val="002A008A"/>
    <w:rsid w:val="002A2D9B"/>
    <w:rsid w:val="002C1015"/>
    <w:rsid w:val="002E0B0D"/>
    <w:rsid w:val="002E6781"/>
    <w:rsid w:val="00332F60"/>
    <w:rsid w:val="00347E10"/>
    <w:rsid w:val="0037395A"/>
    <w:rsid w:val="00383A7F"/>
    <w:rsid w:val="003849B7"/>
    <w:rsid w:val="003B3388"/>
    <w:rsid w:val="003D1901"/>
    <w:rsid w:val="00413B0F"/>
    <w:rsid w:val="00427381"/>
    <w:rsid w:val="00436D0C"/>
    <w:rsid w:val="004468D5"/>
    <w:rsid w:val="004C458A"/>
    <w:rsid w:val="004D7E73"/>
    <w:rsid w:val="004E6A6F"/>
    <w:rsid w:val="005A69FD"/>
    <w:rsid w:val="006B118B"/>
    <w:rsid w:val="006E0409"/>
    <w:rsid w:val="006F11E9"/>
    <w:rsid w:val="007B42E4"/>
    <w:rsid w:val="007E0B2E"/>
    <w:rsid w:val="007F0323"/>
    <w:rsid w:val="007F1945"/>
    <w:rsid w:val="00803591"/>
    <w:rsid w:val="008410A2"/>
    <w:rsid w:val="00864336"/>
    <w:rsid w:val="008658D0"/>
    <w:rsid w:val="00926398"/>
    <w:rsid w:val="009557C3"/>
    <w:rsid w:val="0096234D"/>
    <w:rsid w:val="009A53AA"/>
    <w:rsid w:val="009F7C9F"/>
    <w:rsid w:val="00A23AD5"/>
    <w:rsid w:val="00A47DCC"/>
    <w:rsid w:val="00A626A2"/>
    <w:rsid w:val="00A72588"/>
    <w:rsid w:val="00A72D34"/>
    <w:rsid w:val="00A95E79"/>
    <w:rsid w:val="00AA0B01"/>
    <w:rsid w:val="00B5662B"/>
    <w:rsid w:val="00B67BDA"/>
    <w:rsid w:val="00B81BD6"/>
    <w:rsid w:val="00B97C3F"/>
    <w:rsid w:val="00BB65E4"/>
    <w:rsid w:val="00BE4C3D"/>
    <w:rsid w:val="00C3179B"/>
    <w:rsid w:val="00C37EFC"/>
    <w:rsid w:val="00C4094A"/>
    <w:rsid w:val="00C64D1F"/>
    <w:rsid w:val="00CA2091"/>
    <w:rsid w:val="00CB3FC6"/>
    <w:rsid w:val="00CF359C"/>
    <w:rsid w:val="00D050D6"/>
    <w:rsid w:val="00D420C4"/>
    <w:rsid w:val="00D4689D"/>
    <w:rsid w:val="00D64488"/>
    <w:rsid w:val="00DB2BFA"/>
    <w:rsid w:val="00E20810"/>
    <w:rsid w:val="00E76811"/>
    <w:rsid w:val="00E76C44"/>
    <w:rsid w:val="00E77EA9"/>
    <w:rsid w:val="00E925A7"/>
    <w:rsid w:val="00EE32D2"/>
    <w:rsid w:val="00EE57C5"/>
    <w:rsid w:val="00F35B32"/>
    <w:rsid w:val="00F425DB"/>
    <w:rsid w:val="00F508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3CDC7"/>
  <w15:docId w15:val="{7560ABAE-F274-4229-B822-A033EAC4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C4"/>
    <w:rPr>
      <w:rFonts w:ascii="Arial" w:hAnsi="Arial"/>
      <w:sz w:val="20"/>
    </w:rPr>
  </w:style>
  <w:style w:type="paragraph" w:styleId="Titre1">
    <w:name w:val="heading 1"/>
    <w:basedOn w:val="Normal"/>
    <w:next w:val="Normal"/>
    <w:link w:val="Titre1Car"/>
    <w:uiPriority w:val="9"/>
    <w:qFormat/>
    <w:rsid w:val="00347E10"/>
    <w:pPr>
      <w:keepNext/>
      <w:keepLines/>
      <w:pBdr>
        <w:bottom w:val="single" w:sz="8" w:space="1" w:color="002060"/>
      </w:pBdr>
      <w:spacing w:before="600" w:after="120"/>
      <w:outlineLvl w:val="0"/>
    </w:pPr>
    <w:rPr>
      <w:rFonts w:eastAsiaTheme="majorEastAsia" w:cstheme="majorBidi"/>
      <w:b/>
      <w:bCs/>
      <w:color w:val="122255"/>
      <w:sz w:val="32"/>
      <w:szCs w:val="28"/>
    </w:rPr>
  </w:style>
  <w:style w:type="paragraph" w:styleId="Titre2">
    <w:name w:val="heading 2"/>
    <w:basedOn w:val="Normal"/>
    <w:next w:val="Normal"/>
    <w:link w:val="Titre2Car"/>
    <w:uiPriority w:val="9"/>
    <w:unhideWhenUsed/>
    <w:qFormat/>
    <w:rsid w:val="00347E10"/>
    <w:pPr>
      <w:keepNext/>
      <w:keepLines/>
      <w:pBdr>
        <w:bottom w:val="single" w:sz="8" w:space="1" w:color="002060"/>
      </w:pBdr>
      <w:spacing w:before="200" w:after="0"/>
      <w:outlineLvl w:val="1"/>
    </w:pPr>
    <w:rPr>
      <w:rFonts w:eastAsiaTheme="majorEastAsia" w:cstheme="majorBidi"/>
      <w:b/>
      <w:bCs/>
      <w:color w:val="122255"/>
      <w:sz w:val="28"/>
      <w:szCs w:val="26"/>
    </w:rPr>
  </w:style>
  <w:style w:type="paragraph" w:styleId="Titre3">
    <w:name w:val="heading 3"/>
    <w:basedOn w:val="Normal"/>
    <w:next w:val="Normal"/>
    <w:link w:val="Titre3Car"/>
    <w:uiPriority w:val="9"/>
    <w:unhideWhenUsed/>
    <w:qFormat/>
    <w:rsid w:val="00347E10"/>
    <w:pPr>
      <w:keepNext/>
      <w:keepLines/>
      <w:pBdr>
        <w:bottom w:val="single" w:sz="8" w:space="1" w:color="002060"/>
      </w:pBdr>
      <w:spacing w:before="200" w:after="120"/>
      <w:outlineLvl w:val="2"/>
    </w:pPr>
    <w:rPr>
      <w:rFonts w:eastAsiaTheme="majorEastAsia" w:cstheme="majorBidi"/>
      <w:b/>
      <w:bCs/>
      <w:color w:val="122255"/>
      <w:sz w:val="24"/>
    </w:rPr>
  </w:style>
  <w:style w:type="paragraph" w:styleId="Titre4">
    <w:name w:val="heading 4"/>
    <w:aliases w:val="Texte résumé"/>
    <w:basedOn w:val="Normal"/>
    <w:next w:val="Normal"/>
    <w:link w:val="Titre4Car"/>
    <w:uiPriority w:val="9"/>
    <w:unhideWhenUsed/>
    <w:qFormat/>
    <w:rsid w:val="00DB2BFA"/>
    <w:pPr>
      <w:keepNext/>
      <w:keepLines/>
      <w:pBdr>
        <w:top w:val="single" w:sz="8" w:space="1" w:color="122255"/>
        <w:left w:val="single" w:sz="8" w:space="4" w:color="122255"/>
        <w:bottom w:val="single" w:sz="8" w:space="1" w:color="122255"/>
        <w:right w:val="single" w:sz="8" w:space="4" w:color="122255"/>
      </w:pBdr>
      <w:spacing w:before="120" w:after="120"/>
      <w:jc w:val="both"/>
      <w:outlineLvl w:val="3"/>
    </w:pPr>
    <w:rPr>
      <w:rFonts w:eastAsiaTheme="majorEastAsia" w:cstheme="majorBidi"/>
      <w:bCs/>
      <w:iCs/>
    </w:rPr>
  </w:style>
  <w:style w:type="paragraph" w:styleId="Titre5">
    <w:name w:val="heading 5"/>
    <w:aliases w:val="Copyright"/>
    <w:basedOn w:val="Normal"/>
    <w:next w:val="Normal"/>
    <w:link w:val="Titre5Car"/>
    <w:uiPriority w:val="9"/>
    <w:unhideWhenUsed/>
    <w:qFormat/>
    <w:rsid w:val="004C458A"/>
    <w:pPr>
      <w:keepNext/>
      <w:keepLines/>
      <w:shd w:val="clear" w:color="auto" w:fill="E6A300"/>
      <w:spacing w:after="0"/>
      <w:jc w:val="both"/>
      <w:outlineLvl w:val="4"/>
    </w:pPr>
    <w:rPr>
      <w:rFonts w:eastAsiaTheme="majorEastAsia" w:cstheme="majorBid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409"/>
    <w:rPr>
      <w:color w:val="0000FF"/>
      <w:u w:val="single"/>
    </w:rPr>
  </w:style>
  <w:style w:type="paragraph" w:styleId="Textedebulles">
    <w:name w:val="Balloon Text"/>
    <w:basedOn w:val="Normal"/>
    <w:link w:val="TextedebullesCar"/>
    <w:uiPriority w:val="99"/>
    <w:semiHidden/>
    <w:unhideWhenUsed/>
    <w:rsid w:val="006E04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409"/>
    <w:rPr>
      <w:rFonts w:ascii="Tahoma" w:hAnsi="Tahoma" w:cs="Tahoma"/>
      <w:sz w:val="16"/>
      <w:szCs w:val="16"/>
    </w:rPr>
  </w:style>
  <w:style w:type="paragraph" w:styleId="Titre">
    <w:name w:val="Title"/>
    <w:basedOn w:val="Normal"/>
    <w:next w:val="Normal"/>
    <w:link w:val="TitreCar"/>
    <w:uiPriority w:val="10"/>
    <w:qFormat/>
    <w:rsid w:val="00A626A2"/>
    <w:pPr>
      <w:pBdr>
        <w:top w:val="single" w:sz="12" w:space="1" w:color="E6A300"/>
        <w:bottom w:val="single" w:sz="12" w:space="1" w:color="E6A300"/>
      </w:pBdr>
      <w:shd w:val="clear" w:color="auto" w:fill="FFFFFF" w:themeFill="background1"/>
      <w:spacing w:after="300" w:line="240" w:lineRule="auto"/>
      <w:contextualSpacing/>
      <w:jc w:val="center"/>
    </w:pPr>
    <w:rPr>
      <w:rFonts w:eastAsiaTheme="majorEastAsia" w:cstheme="majorBidi"/>
      <w:color w:val="122255"/>
      <w:spacing w:val="5"/>
      <w:kern w:val="28"/>
      <w:sz w:val="52"/>
      <w:szCs w:val="52"/>
    </w:rPr>
  </w:style>
  <w:style w:type="character" w:customStyle="1" w:styleId="TitreCar">
    <w:name w:val="Titre Car"/>
    <w:basedOn w:val="Policepardfaut"/>
    <w:link w:val="Titre"/>
    <w:uiPriority w:val="10"/>
    <w:rsid w:val="00A626A2"/>
    <w:rPr>
      <w:rFonts w:ascii="Arial" w:eastAsiaTheme="majorEastAsia" w:hAnsi="Arial" w:cstheme="majorBidi"/>
      <w:color w:val="122255"/>
      <w:spacing w:val="5"/>
      <w:kern w:val="28"/>
      <w:sz w:val="52"/>
      <w:szCs w:val="52"/>
      <w:shd w:val="clear" w:color="auto" w:fill="FFFFFF" w:themeFill="background1"/>
    </w:rPr>
  </w:style>
  <w:style w:type="character" w:customStyle="1" w:styleId="Titre2Car">
    <w:name w:val="Titre 2 Car"/>
    <w:basedOn w:val="Policepardfaut"/>
    <w:link w:val="Titre2"/>
    <w:uiPriority w:val="9"/>
    <w:rsid w:val="00347E10"/>
    <w:rPr>
      <w:rFonts w:ascii="Arial" w:eastAsiaTheme="majorEastAsia" w:hAnsi="Arial" w:cstheme="majorBidi"/>
      <w:b/>
      <w:bCs/>
      <w:color w:val="122255"/>
      <w:sz w:val="28"/>
      <w:szCs w:val="26"/>
    </w:rPr>
  </w:style>
  <w:style w:type="paragraph" w:styleId="En-tte">
    <w:name w:val="header"/>
    <w:basedOn w:val="Normal"/>
    <w:link w:val="En-tteCar"/>
    <w:uiPriority w:val="99"/>
    <w:unhideWhenUsed/>
    <w:rsid w:val="00F425DB"/>
    <w:pPr>
      <w:tabs>
        <w:tab w:val="center" w:pos="4536"/>
        <w:tab w:val="right" w:pos="9072"/>
      </w:tabs>
      <w:spacing w:after="0" w:line="240" w:lineRule="auto"/>
    </w:pPr>
  </w:style>
  <w:style w:type="character" w:customStyle="1" w:styleId="En-tteCar">
    <w:name w:val="En-tête Car"/>
    <w:basedOn w:val="Policepardfaut"/>
    <w:link w:val="En-tte"/>
    <w:uiPriority w:val="99"/>
    <w:rsid w:val="00F425DB"/>
  </w:style>
  <w:style w:type="paragraph" w:styleId="Pieddepage">
    <w:name w:val="footer"/>
    <w:basedOn w:val="Normal"/>
    <w:link w:val="PieddepageCar"/>
    <w:uiPriority w:val="99"/>
    <w:unhideWhenUsed/>
    <w:rsid w:val="00F42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DB"/>
  </w:style>
  <w:style w:type="paragraph" w:styleId="Paragraphedeliste">
    <w:name w:val="List Paragraph"/>
    <w:basedOn w:val="Normal"/>
    <w:uiPriority w:val="34"/>
    <w:qFormat/>
    <w:rsid w:val="00926398"/>
    <w:pPr>
      <w:ind w:left="720"/>
      <w:contextualSpacing/>
    </w:pPr>
  </w:style>
  <w:style w:type="table" w:styleId="Grilledutableau">
    <w:name w:val="Table Grid"/>
    <w:basedOn w:val="TableauNormal"/>
    <w:uiPriority w:val="59"/>
    <w:rsid w:val="005A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47E10"/>
    <w:rPr>
      <w:rFonts w:ascii="Arial" w:eastAsiaTheme="majorEastAsia" w:hAnsi="Arial" w:cstheme="majorBidi"/>
      <w:b/>
      <w:bCs/>
      <w:color w:val="122255"/>
      <w:sz w:val="24"/>
    </w:rPr>
  </w:style>
  <w:style w:type="character" w:customStyle="1" w:styleId="Titre1Car">
    <w:name w:val="Titre 1 Car"/>
    <w:basedOn w:val="Policepardfaut"/>
    <w:link w:val="Titre1"/>
    <w:uiPriority w:val="9"/>
    <w:rsid w:val="00347E10"/>
    <w:rPr>
      <w:rFonts w:ascii="Arial" w:eastAsiaTheme="majorEastAsia" w:hAnsi="Arial" w:cstheme="majorBidi"/>
      <w:b/>
      <w:bCs/>
      <w:color w:val="122255"/>
      <w:sz w:val="32"/>
      <w:szCs w:val="28"/>
    </w:rPr>
  </w:style>
  <w:style w:type="character" w:customStyle="1" w:styleId="Titre4Car">
    <w:name w:val="Titre 4 Car"/>
    <w:aliases w:val="Texte résumé Car"/>
    <w:basedOn w:val="Policepardfaut"/>
    <w:link w:val="Titre4"/>
    <w:uiPriority w:val="9"/>
    <w:rsid w:val="00DB2BFA"/>
    <w:rPr>
      <w:rFonts w:ascii="Arial" w:eastAsiaTheme="majorEastAsia" w:hAnsi="Arial" w:cstheme="majorBidi"/>
      <w:bCs/>
      <w:iCs/>
      <w:sz w:val="20"/>
    </w:rPr>
  </w:style>
  <w:style w:type="paragraph" w:styleId="Sous-titre">
    <w:name w:val="Subtitle"/>
    <w:basedOn w:val="Normal"/>
    <w:next w:val="Normal"/>
    <w:link w:val="Sous-titreCar"/>
    <w:uiPriority w:val="11"/>
    <w:qFormat/>
    <w:rsid w:val="00D4689D"/>
    <w:pPr>
      <w:numPr>
        <w:ilvl w:val="1"/>
      </w:numPr>
    </w:pPr>
    <w:rPr>
      <w:rFonts w:ascii="Times New Roman" w:eastAsiaTheme="majorEastAsia" w:hAnsi="Times New Roman" w:cstheme="majorBidi"/>
      <w:i/>
      <w:iCs/>
      <w:color w:val="0D0D0D" w:themeColor="text1" w:themeTint="F2"/>
      <w:spacing w:val="15"/>
      <w:sz w:val="24"/>
      <w:szCs w:val="24"/>
    </w:rPr>
  </w:style>
  <w:style w:type="character" w:customStyle="1" w:styleId="Sous-titreCar">
    <w:name w:val="Sous-titre Car"/>
    <w:basedOn w:val="Policepardfaut"/>
    <w:link w:val="Sous-titre"/>
    <w:uiPriority w:val="11"/>
    <w:rsid w:val="00D4689D"/>
    <w:rPr>
      <w:rFonts w:ascii="Times New Roman" w:eastAsiaTheme="majorEastAsia" w:hAnsi="Times New Roman" w:cstheme="majorBidi"/>
      <w:i/>
      <w:iCs/>
      <w:color w:val="0D0D0D" w:themeColor="text1" w:themeTint="F2"/>
      <w:spacing w:val="15"/>
      <w:sz w:val="24"/>
      <w:szCs w:val="24"/>
    </w:rPr>
  </w:style>
  <w:style w:type="character" w:customStyle="1" w:styleId="Titre5Car">
    <w:name w:val="Titre 5 Car"/>
    <w:aliases w:val="Copyright Car"/>
    <w:basedOn w:val="Policepardfaut"/>
    <w:link w:val="Titre5"/>
    <w:uiPriority w:val="9"/>
    <w:rsid w:val="004C458A"/>
    <w:rPr>
      <w:rFonts w:ascii="Arial" w:eastAsiaTheme="majorEastAsia" w:hAnsi="Arial" w:cstheme="majorBidi"/>
      <w:sz w:val="16"/>
      <w:shd w:val="clear" w:color="auto" w:fill="E6A300"/>
    </w:rPr>
  </w:style>
  <w:style w:type="paragraph" w:styleId="Notedebasdepage">
    <w:name w:val="footnote text"/>
    <w:basedOn w:val="Normal"/>
    <w:link w:val="NotedebasdepageCar"/>
    <w:uiPriority w:val="99"/>
    <w:semiHidden/>
    <w:unhideWhenUsed/>
    <w:rsid w:val="002E0B0D"/>
    <w:pPr>
      <w:spacing w:after="0" w:line="240" w:lineRule="auto"/>
    </w:pPr>
    <w:rPr>
      <w:szCs w:val="20"/>
    </w:rPr>
  </w:style>
  <w:style w:type="character" w:customStyle="1" w:styleId="NotedebasdepageCar">
    <w:name w:val="Note de bas de page Car"/>
    <w:basedOn w:val="Policepardfaut"/>
    <w:link w:val="Notedebasdepage"/>
    <w:uiPriority w:val="99"/>
    <w:semiHidden/>
    <w:rsid w:val="002E0B0D"/>
    <w:rPr>
      <w:rFonts w:ascii="Arial" w:hAnsi="Arial"/>
      <w:sz w:val="20"/>
      <w:szCs w:val="20"/>
    </w:rPr>
  </w:style>
  <w:style w:type="character" w:styleId="Appelnotedebasdep">
    <w:name w:val="footnote reference"/>
    <w:aliases w:val="Footnote Reference Number,Footnote Reference_LVL6,Footnote Reference_LVL61,Footnote Reference_LVL62,Footnote Reference_LVL63,Footnote Reference_LVL64,SUPERS,HAppel note de bas de p."/>
    <w:basedOn w:val="Policepardfaut"/>
    <w:uiPriority w:val="99"/>
    <w:rsid w:val="002E0B0D"/>
    <w:rPr>
      <w:vertAlign w:val="superscript"/>
    </w:rPr>
  </w:style>
  <w:style w:type="table" w:customStyle="1" w:styleId="Grilledutableau1">
    <w:name w:val="Grille du tableau1"/>
    <w:basedOn w:val="TableauNormal"/>
    <w:next w:val="Grilledutableau"/>
    <w:uiPriority w:val="59"/>
    <w:rsid w:val="00CF359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1785">
      <w:bodyDiv w:val="1"/>
      <w:marLeft w:val="0"/>
      <w:marRight w:val="0"/>
      <w:marTop w:val="0"/>
      <w:marBottom w:val="0"/>
      <w:divBdr>
        <w:top w:val="none" w:sz="0" w:space="0" w:color="auto"/>
        <w:left w:val="none" w:sz="0" w:space="0" w:color="auto"/>
        <w:bottom w:val="none" w:sz="0" w:space="0" w:color="auto"/>
        <w:right w:val="none" w:sz="0" w:space="0" w:color="auto"/>
      </w:divBdr>
    </w:div>
    <w:div w:id="876704195">
      <w:bodyDiv w:val="1"/>
      <w:marLeft w:val="0"/>
      <w:marRight w:val="0"/>
      <w:marTop w:val="0"/>
      <w:marBottom w:val="0"/>
      <w:divBdr>
        <w:top w:val="none" w:sz="0" w:space="0" w:color="auto"/>
        <w:left w:val="none" w:sz="0" w:space="0" w:color="auto"/>
        <w:bottom w:val="none" w:sz="0" w:space="0" w:color="auto"/>
        <w:right w:val="none" w:sz="0" w:space="0" w:color="auto"/>
      </w:divBdr>
      <w:divsChild>
        <w:div w:id="1316491390">
          <w:marLeft w:val="300"/>
          <w:marRight w:val="0"/>
          <w:marTop w:val="375"/>
          <w:marBottom w:val="225"/>
          <w:divBdr>
            <w:top w:val="none" w:sz="0" w:space="0" w:color="auto"/>
            <w:left w:val="none" w:sz="0" w:space="0" w:color="auto"/>
            <w:bottom w:val="none" w:sz="0" w:space="0" w:color="auto"/>
            <w:right w:val="none" w:sz="0" w:space="0" w:color="auto"/>
          </w:divBdr>
          <w:divsChild>
            <w:div w:id="1973828614">
              <w:marLeft w:val="0"/>
              <w:marRight w:val="0"/>
              <w:marTop w:val="0"/>
              <w:marBottom w:val="0"/>
              <w:divBdr>
                <w:top w:val="none" w:sz="0" w:space="0" w:color="auto"/>
                <w:left w:val="none" w:sz="0" w:space="0" w:color="auto"/>
                <w:bottom w:val="none" w:sz="0" w:space="0" w:color="auto"/>
                <w:right w:val="none" w:sz="0" w:space="0" w:color="auto"/>
              </w:divBdr>
              <w:divsChild>
                <w:div w:id="1374696158">
                  <w:marLeft w:val="0"/>
                  <w:marRight w:val="0"/>
                  <w:marTop w:val="0"/>
                  <w:marBottom w:val="0"/>
                  <w:divBdr>
                    <w:top w:val="none" w:sz="0" w:space="0" w:color="auto"/>
                    <w:left w:val="none" w:sz="0" w:space="0" w:color="auto"/>
                    <w:bottom w:val="none" w:sz="0" w:space="0" w:color="auto"/>
                    <w:right w:val="none" w:sz="0" w:space="0" w:color="auto"/>
                  </w:divBdr>
                  <w:divsChild>
                    <w:div w:id="143547384">
                      <w:marLeft w:val="0"/>
                      <w:marRight w:val="0"/>
                      <w:marTop w:val="0"/>
                      <w:marBottom w:val="0"/>
                      <w:divBdr>
                        <w:top w:val="none" w:sz="0" w:space="0" w:color="auto"/>
                        <w:left w:val="none" w:sz="0" w:space="0" w:color="auto"/>
                        <w:bottom w:val="none" w:sz="0" w:space="0" w:color="auto"/>
                        <w:right w:val="none" w:sz="0" w:space="0" w:color="auto"/>
                      </w:divBdr>
                      <w:divsChild>
                        <w:div w:id="388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62540">
      <w:bodyDiv w:val="1"/>
      <w:marLeft w:val="0"/>
      <w:marRight w:val="0"/>
      <w:marTop w:val="0"/>
      <w:marBottom w:val="0"/>
      <w:divBdr>
        <w:top w:val="none" w:sz="0" w:space="0" w:color="auto"/>
        <w:left w:val="none" w:sz="0" w:space="0" w:color="auto"/>
        <w:bottom w:val="none" w:sz="0" w:space="0" w:color="auto"/>
        <w:right w:val="none" w:sz="0" w:space="0" w:color="auto"/>
      </w:divBdr>
    </w:div>
    <w:div w:id="1661084075">
      <w:bodyDiv w:val="1"/>
      <w:marLeft w:val="0"/>
      <w:marRight w:val="0"/>
      <w:marTop w:val="0"/>
      <w:marBottom w:val="0"/>
      <w:divBdr>
        <w:top w:val="none" w:sz="0" w:space="0" w:color="auto"/>
        <w:left w:val="none" w:sz="0" w:space="0" w:color="auto"/>
        <w:bottom w:val="none" w:sz="0" w:space="0" w:color="auto"/>
        <w:right w:val="none" w:sz="0" w:space="0" w:color="auto"/>
      </w:divBdr>
      <w:divsChild>
        <w:div w:id="1878200404">
          <w:marLeft w:val="300"/>
          <w:marRight w:val="0"/>
          <w:marTop w:val="375"/>
          <w:marBottom w:val="225"/>
          <w:divBdr>
            <w:top w:val="none" w:sz="0" w:space="0" w:color="auto"/>
            <w:left w:val="none" w:sz="0" w:space="0" w:color="auto"/>
            <w:bottom w:val="none" w:sz="0" w:space="0" w:color="auto"/>
            <w:right w:val="none" w:sz="0" w:space="0" w:color="auto"/>
          </w:divBdr>
          <w:divsChild>
            <w:div w:id="709569375">
              <w:marLeft w:val="0"/>
              <w:marRight w:val="0"/>
              <w:marTop w:val="0"/>
              <w:marBottom w:val="0"/>
              <w:divBdr>
                <w:top w:val="none" w:sz="0" w:space="0" w:color="auto"/>
                <w:left w:val="none" w:sz="0" w:space="0" w:color="auto"/>
                <w:bottom w:val="none" w:sz="0" w:space="0" w:color="auto"/>
                <w:right w:val="none" w:sz="0" w:space="0" w:color="auto"/>
              </w:divBdr>
              <w:divsChild>
                <w:div w:id="375204544">
                  <w:marLeft w:val="0"/>
                  <w:marRight w:val="0"/>
                  <w:marTop w:val="0"/>
                  <w:marBottom w:val="0"/>
                  <w:divBdr>
                    <w:top w:val="none" w:sz="0" w:space="0" w:color="auto"/>
                    <w:left w:val="none" w:sz="0" w:space="0" w:color="auto"/>
                    <w:bottom w:val="none" w:sz="0" w:space="0" w:color="auto"/>
                    <w:right w:val="none" w:sz="0" w:space="0" w:color="auto"/>
                  </w:divBdr>
                </w:div>
                <w:div w:id="583227115">
                  <w:marLeft w:val="0"/>
                  <w:marRight w:val="0"/>
                  <w:marTop w:val="0"/>
                  <w:marBottom w:val="0"/>
                  <w:divBdr>
                    <w:top w:val="none" w:sz="0" w:space="0" w:color="auto"/>
                    <w:left w:val="none" w:sz="0" w:space="0" w:color="auto"/>
                    <w:bottom w:val="none" w:sz="0" w:space="0" w:color="auto"/>
                    <w:right w:val="none" w:sz="0" w:space="0" w:color="auto"/>
                  </w:divBdr>
                  <w:divsChild>
                    <w:div w:id="1917010926">
                      <w:marLeft w:val="0"/>
                      <w:marRight w:val="0"/>
                      <w:marTop w:val="0"/>
                      <w:marBottom w:val="0"/>
                      <w:divBdr>
                        <w:top w:val="none" w:sz="0" w:space="0" w:color="auto"/>
                        <w:left w:val="none" w:sz="0" w:space="0" w:color="auto"/>
                        <w:bottom w:val="none" w:sz="0" w:space="0" w:color="auto"/>
                        <w:right w:val="none" w:sz="0" w:space="0" w:color="auto"/>
                      </w:divBdr>
                      <w:divsChild>
                        <w:div w:id="1948386814">
                          <w:marLeft w:val="0"/>
                          <w:marRight w:val="0"/>
                          <w:marTop w:val="0"/>
                          <w:marBottom w:val="0"/>
                          <w:divBdr>
                            <w:top w:val="none" w:sz="0" w:space="0" w:color="auto"/>
                            <w:left w:val="none" w:sz="0" w:space="0" w:color="auto"/>
                            <w:bottom w:val="none" w:sz="0" w:space="0" w:color="auto"/>
                            <w:right w:val="none" w:sz="0" w:space="0" w:color="auto"/>
                          </w:divBdr>
                          <w:divsChild>
                            <w:div w:id="251016775">
                              <w:marLeft w:val="0"/>
                              <w:marRight w:val="0"/>
                              <w:marTop w:val="15"/>
                              <w:marBottom w:val="0"/>
                              <w:divBdr>
                                <w:top w:val="none" w:sz="0" w:space="0" w:color="auto"/>
                                <w:left w:val="none" w:sz="0" w:space="0" w:color="auto"/>
                                <w:bottom w:val="none" w:sz="0" w:space="0" w:color="auto"/>
                                <w:right w:val="none" w:sz="0" w:space="0" w:color="auto"/>
                              </w:divBdr>
                            </w:div>
                            <w:div w:id="1493136400">
                              <w:marLeft w:val="0"/>
                              <w:marRight w:val="0"/>
                              <w:marTop w:val="15"/>
                              <w:marBottom w:val="0"/>
                              <w:divBdr>
                                <w:top w:val="none" w:sz="0" w:space="0" w:color="auto"/>
                                <w:left w:val="none" w:sz="0" w:space="0" w:color="auto"/>
                                <w:bottom w:val="none" w:sz="0" w:space="0" w:color="auto"/>
                                <w:right w:val="none" w:sz="0" w:space="0" w:color="auto"/>
                              </w:divBdr>
                            </w:div>
                            <w:div w:id="12482740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5887">
      <w:bodyDiv w:val="1"/>
      <w:marLeft w:val="0"/>
      <w:marRight w:val="0"/>
      <w:marTop w:val="0"/>
      <w:marBottom w:val="0"/>
      <w:divBdr>
        <w:top w:val="none" w:sz="0" w:space="0" w:color="auto"/>
        <w:left w:val="none" w:sz="0" w:space="0" w:color="auto"/>
        <w:bottom w:val="none" w:sz="0" w:space="0" w:color="auto"/>
        <w:right w:val="none" w:sz="0" w:space="0" w:color="auto"/>
      </w:divBdr>
      <w:divsChild>
        <w:div w:id="1350791836">
          <w:marLeft w:val="0"/>
          <w:marRight w:val="0"/>
          <w:marTop w:val="100"/>
          <w:marBottom w:val="100"/>
          <w:divBdr>
            <w:top w:val="none" w:sz="0" w:space="0" w:color="auto"/>
            <w:left w:val="single" w:sz="6" w:space="0" w:color="8E8F92"/>
            <w:bottom w:val="none" w:sz="0" w:space="0" w:color="auto"/>
            <w:right w:val="single" w:sz="6" w:space="0" w:color="8E8F92"/>
          </w:divBdr>
          <w:divsChild>
            <w:div w:id="241137344">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39AB8653D8A34FAC99AC61D6685BD2" ma:contentTypeVersion="4" ma:contentTypeDescription="Crée un document." ma:contentTypeScope="" ma:versionID="9c0fb9aec821928c6f24dee7bcd0855a">
  <xsd:schema xmlns:xsd="http://www.w3.org/2001/XMLSchema" xmlns:xs="http://www.w3.org/2001/XMLSchema" xmlns:p="http://schemas.microsoft.com/office/2006/metadata/properties" xmlns:ns1="http://schemas.microsoft.com/sharepoint/v3" targetNamespace="http://schemas.microsoft.com/office/2006/metadata/properties" ma:root="true" ma:fieldsID="bbde7afb43fafa7849c2c50827c7cce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7C7A9-6C40-457E-8B70-A85FDFEAA453}">
  <ds:schemaRefs>
    <ds:schemaRef ds:uri="http://schemas.microsoft.com/sharepoint/v3/contenttype/forms"/>
  </ds:schemaRefs>
</ds:datastoreItem>
</file>

<file path=customXml/itemProps2.xml><?xml version="1.0" encoding="utf-8"?>
<ds:datastoreItem xmlns:ds="http://schemas.openxmlformats.org/officeDocument/2006/customXml" ds:itemID="{0F079B4F-0E5C-43EF-B4D2-D94BA71CF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24A34-D51D-4D23-96DB-A5BF9E7E6C9D}">
  <ds:schemaRefs>
    <ds:schemaRef ds:uri="http://schemas.microsoft.com/sharepoint/v3"/>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0474628-2C66-427F-9FCC-96606269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1622</Words>
  <Characters>8925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10526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 Trésor</dc:creator>
  <cp:lastModifiedBy>MERCANTI Federica</cp:lastModifiedBy>
  <cp:revision>3</cp:revision>
  <cp:lastPrinted>2014-06-03T08:56:00Z</cp:lastPrinted>
  <dcterms:created xsi:type="dcterms:W3CDTF">2018-06-08T15:05:00Z</dcterms:created>
  <dcterms:modified xsi:type="dcterms:W3CDTF">2018-06-08T15:09:00Z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0x0101008439AB8653D8A34FAC99AC61D6685BD2</vt:lpwstr>
  </property>
</Properties>
</file>