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D6617" w14:textId="0B997D1F" w:rsidR="00A91993" w:rsidRPr="008C169F" w:rsidRDefault="008C169F" w:rsidP="008C169F">
      <w:pPr>
        <w:spacing w:after="0" w:line="240" w:lineRule="auto"/>
        <w:ind w:left="-426" w:right="-709"/>
        <w:jc w:val="center"/>
        <w:rPr>
          <w:rFonts w:ascii="Times New Roman" w:hAnsi="Times New Roman" w:cs="Times New Roman"/>
          <w:b/>
          <w:color w:val="DD992E"/>
          <w:sz w:val="40"/>
          <w:szCs w:val="4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8C169F">
        <w:rPr>
          <w:rFonts w:ascii="Times New Roman" w:hAnsi="Times New Roman" w:cs="Times New Roman"/>
          <w:b/>
          <w:color w:val="DD992E"/>
          <w:sz w:val="40"/>
          <w:szCs w:val="4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L’économie sud-africaine </w:t>
      </w:r>
      <w:r w:rsidR="0021137F">
        <w:rPr>
          <w:rFonts w:ascii="Times New Roman" w:hAnsi="Times New Roman" w:cs="Times New Roman"/>
          <w:b/>
          <w:color w:val="DD992E"/>
          <w:sz w:val="40"/>
          <w:szCs w:val="4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continue sur sa lancée au T3</w:t>
      </w:r>
      <w:r w:rsidRPr="008C169F">
        <w:rPr>
          <w:rFonts w:ascii="Times New Roman" w:hAnsi="Times New Roman" w:cs="Times New Roman"/>
          <w:b/>
          <w:color w:val="DD992E"/>
          <w:sz w:val="40"/>
          <w:szCs w:val="40"/>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t xml:space="preserve"> 2017</w:t>
      </w:r>
    </w:p>
    <w:p w14:paraId="69D59B71" w14:textId="77777777" w:rsidR="00AF1C44" w:rsidRPr="008C169F" w:rsidRDefault="00AF1C44" w:rsidP="00AF1C44">
      <w:pPr>
        <w:spacing w:after="0" w:line="240" w:lineRule="auto"/>
        <w:rPr>
          <w:rFonts w:ascii="Times New Roman" w:hAnsi="Times New Roman" w:cs="Times New Roman"/>
          <w:b/>
          <w:color w:val="DD992E"/>
          <w:sz w:val="12"/>
          <w:szCs w:val="40"/>
          <w:highlight w:val="yellow"/>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rPr>
      </w:pPr>
    </w:p>
    <w:p w14:paraId="21AB8A53" w14:textId="0A44598C" w:rsidR="00C467FF" w:rsidRPr="0019674C" w:rsidRDefault="00B1555F" w:rsidP="00187DC1">
      <w:pPr>
        <w:pBdr>
          <w:top w:val="single" w:sz="18" w:space="1" w:color="DD992E"/>
          <w:left w:val="single" w:sz="18" w:space="4" w:color="DD992E"/>
          <w:bottom w:val="single" w:sz="18" w:space="0" w:color="DD992E"/>
          <w:right w:val="single" w:sz="18" w:space="4" w:color="DD992E"/>
        </w:pBdr>
        <w:spacing w:after="0" w:line="240" w:lineRule="auto"/>
        <w:jc w:val="both"/>
        <w:rPr>
          <w:rStyle w:val="apple-style-span"/>
          <w:rFonts w:ascii="Times New Roman" w:hAnsi="Times New Roman" w:cs="Times New Roman"/>
          <w:bCs/>
          <w:i/>
        </w:rPr>
      </w:pPr>
      <w:r w:rsidRPr="00B1555F">
        <w:rPr>
          <w:rFonts w:ascii="Times New Roman" w:hAnsi="Times New Roman" w:cs="Times New Roman"/>
          <w:bCs/>
          <w:i/>
        </w:rPr>
        <w:t xml:space="preserve">Selon les premières estimations, l’économie sud-africaine </w:t>
      </w:r>
      <w:r w:rsidR="0021137F">
        <w:rPr>
          <w:rFonts w:ascii="Times New Roman" w:hAnsi="Times New Roman" w:cs="Times New Roman"/>
          <w:bCs/>
          <w:i/>
        </w:rPr>
        <w:t>poursuit</w:t>
      </w:r>
      <w:r w:rsidRPr="00B1555F">
        <w:rPr>
          <w:rFonts w:ascii="Times New Roman" w:hAnsi="Times New Roman" w:cs="Times New Roman"/>
          <w:bCs/>
          <w:i/>
        </w:rPr>
        <w:t xml:space="preserve"> le</w:t>
      </w:r>
      <w:r w:rsidR="0021137F">
        <w:rPr>
          <w:rFonts w:ascii="Times New Roman" w:hAnsi="Times New Roman" w:cs="Times New Roman"/>
          <w:bCs/>
          <w:i/>
        </w:rPr>
        <w:t xml:space="preserve"> chemin de la croissance au 3ème trimestre 2017 (+2</w:t>
      </w:r>
      <w:r w:rsidR="006F4A24">
        <w:rPr>
          <w:rFonts w:ascii="Times New Roman" w:hAnsi="Times New Roman" w:cs="Times New Roman"/>
          <w:bCs/>
          <w:i/>
        </w:rPr>
        <w:t>,0</w:t>
      </w:r>
      <w:r w:rsidRPr="00B1555F">
        <w:rPr>
          <w:rFonts w:ascii="Times New Roman" w:hAnsi="Times New Roman" w:cs="Times New Roman"/>
          <w:bCs/>
          <w:i/>
        </w:rPr>
        <w:t xml:space="preserve"> % en rythme trimestriel annualisé corri</w:t>
      </w:r>
      <w:r w:rsidR="0021137F">
        <w:rPr>
          <w:rFonts w:ascii="Times New Roman" w:hAnsi="Times New Roman" w:cs="Times New Roman"/>
          <w:bCs/>
          <w:i/>
        </w:rPr>
        <w:t>gé des variations saisonnières</w:t>
      </w:r>
      <w:r w:rsidR="006F4A24">
        <w:rPr>
          <w:rFonts w:ascii="Times New Roman" w:hAnsi="Times New Roman" w:cs="Times New Roman"/>
          <w:bCs/>
          <w:i/>
        </w:rPr>
        <w:t>,</w:t>
      </w:r>
      <w:r w:rsidR="0021137F">
        <w:rPr>
          <w:rFonts w:ascii="Times New Roman" w:hAnsi="Times New Roman" w:cs="Times New Roman"/>
          <w:bCs/>
          <w:i/>
        </w:rPr>
        <w:t xml:space="preserve"> </w:t>
      </w:r>
      <w:r w:rsidRPr="00B1555F">
        <w:rPr>
          <w:rFonts w:ascii="Times New Roman" w:hAnsi="Times New Roman" w:cs="Times New Roman"/>
          <w:bCs/>
          <w:i/>
        </w:rPr>
        <w:t xml:space="preserve">après </w:t>
      </w:r>
      <w:r w:rsidR="0021137F">
        <w:rPr>
          <w:rFonts w:ascii="Times New Roman" w:hAnsi="Times New Roman" w:cs="Times New Roman"/>
          <w:bCs/>
          <w:i/>
        </w:rPr>
        <w:t>+2,8% au trimestre précédent</w:t>
      </w:r>
      <w:r w:rsidR="006F4A24">
        <w:rPr>
          <w:rFonts w:ascii="Times New Roman" w:hAnsi="Times New Roman" w:cs="Times New Roman"/>
          <w:bCs/>
          <w:i/>
        </w:rPr>
        <w:t xml:space="preserve">) à un rythme </w:t>
      </w:r>
      <w:r w:rsidR="00870804">
        <w:rPr>
          <w:rFonts w:ascii="Times New Roman" w:hAnsi="Times New Roman" w:cs="Times New Roman"/>
          <w:bCs/>
          <w:i/>
        </w:rPr>
        <w:t>légèrement</w:t>
      </w:r>
      <w:r w:rsidR="006F4A24">
        <w:rPr>
          <w:rFonts w:ascii="Times New Roman" w:hAnsi="Times New Roman" w:cs="Times New Roman"/>
          <w:bCs/>
          <w:i/>
        </w:rPr>
        <w:t xml:space="preserve"> supérieur à celui attendu en moyenne par les analystes</w:t>
      </w:r>
      <w:r w:rsidR="0021137F">
        <w:rPr>
          <w:rFonts w:ascii="Times New Roman" w:hAnsi="Times New Roman" w:cs="Times New Roman"/>
          <w:bCs/>
          <w:i/>
        </w:rPr>
        <w:t xml:space="preserve">. </w:t>
      </w:r>
      <w:r w:rsidR="00C467FF">
        <w:rPr>
          <w:rFonts w:ascii="Times New Roman" w:hAnsi="Times New Roman" w:cs="Times New Roman"/>
          <w:bCs/>
          <w:i/>
        </w:rPr>
        <w:t>L’activité es</w:t>
      </w:r>
      <w:r w:rsidR="0019674C">
        <w:rPr>
          <w:rFonts w:ascii="Times New Roman" w:hAnsi="Times New Roman" w:cs="Times New Roman"/>
          <w:bCs/>
          <w:i/>
        </w:rPr>
        <w:t>t principalement soutenue par la</w:t>
      </w:r>
      <w:r w:rsidR="00C467FF">
        <w:rPr>
          <w:rFonts w:ascii="Times New Roman" w:hAnsi="Times New Roman" w:cs="Times New Roman"/>
          <w:bCs/>
          <w:i/>
        </w:rPr>
        <w:t xml:space="preserve"> forte reprise de l’agriculture</w:t>
      </w:r>
      <w:r w:rsidR="00DD7398">
        <w:rPr>
          <w:rFonts w:ascii="Times New Roman" w:hAnsi="Times New Roman" w:cs="Times New Roman"/>
          <w:bCs/>
          <w:i/>
        </w:rPr>
        <w:t xml:space="preserve"> grâce </w:t>
      </w:r>
      <w:r w:rsidR="00870804">
        <w:rPr>
          <w:rFonts w:ascii="Times New Roman" w:hAnsi="Times New Roman" w:cs="Times New Roman"/>
          <w:bCs/>
          <w:i/>
        </w:rPr>
        <w:t>aux meilleures</w:t>
      </w:r>
      <w:r w:rsidR="00DD7398">
        <w:rPr>
          <w:rFonts w:ascii="Times New Roman" w:hAnsi="Times New Roman" w:cs="Times New Roman"/>
          <w:bCs/>
          <w:i/>
        </w:rPr>
        <w:t xml:space="preserve"> conditions climatiques</w:t>
      </w:r>
      <w:r w:rsidR="00C467FF">
        <w:rPr>
          <w:rFonts w:ascii="Times New Roman" w:hAnsi="Times New Roman" w:cs="Times New Roman"/>
          <w:bCs/>
          <w:i/>
        </w:rPr>
        <w:t xml:space="preserve">. </w:t>
      </w:r>
      <w:r w:rsidRPr="00B1555F">
        <w:rPr>
          <w:rFonts w:ascii="Times New Roman" w:hAnsi="Times New Roman" w:cs="Times New Roman"/>
          <w:bCs/>
          <w:i/>
        </w:rPr>
        <w:t>En glissement annuel</w:t>
      </w:r>
      <w:r w:rsidR="00C467FF">
        <w:rPr>
          <w:rFonts w:ascii="Times New Roman" w:hAnsi="Times New Roman" w:cs="Times New Roman"/>
          <w:bCs/>
          <w:i/>
        </w:rPr>
        <w:t>, la croissance s’établit à seulement 0,8</w:t>
      </w:r>
      <w:r w:rsidRPr="00B1555F">
        <w:rPr>
          <w:rFonts w:ascii="Times New Roman" w:hAnsi="Times New Roman" w:cs="Times New Roman"/>
          <w:bCs/>
          <w:i/>
        </w:rPr>
        <w:t>%</w:t>
      </w:r>
      <w:r w:rsidR="006F4A24">
        <w:rPr>
          <w:rFonts w:ascii="Times New Roman" w:hAnsi="Times New Roman" w:cs="Times New Roman"/>
          <w:bCs/>
          <w:i/>
        </w:rPr>
        <w:t xml:space="preserve"> et la progression sur l’ensemble de l’année 2017 ne devrait pas dépasser 1,0%, </w:t>
      </w:r>
      <w:r w:rsidR="00870804">
        <w:rPr>
          <w:rFonts w:ascii="Times New Roman" w:hAnsi="Times New Roman" w:cs="Times New Roman"/>
          <w:bCs/>
          <w:i/>
        </w:rPr>
        <w:t>pénalisée</w:t>
      </w:r>
      <w:r w:rsidR="006F4A24">
        <w:rPr>
          <w:rFonts w:ascii="Times New Roman" w:hAnsi="Times New Roman" w:cs="Times New Roman"/>
          <w:bCs/>
          <w:i/>
        </w:rPr>
        <w:t xml:space="preserve"> par la récession fin 2016 et </w:t>
      </w:r>
      <w:r w:rsidR="00870804">
        <w:rPr>
          <w:rFonts w:ascii="Times New Roman" w:hAnsi="Times New Roman" w:cs="Times New Roman"/>
          <w:bCs/>
          <w:i/>
        </w:rPr>
        <w:t>début</w:t>
      </w:r>
      <w:r w:rsidR="006F4A24">
        <w:rPr>
          <w:rFonts w:ascii="Times New Roman" w:hAnsi="Times New Roman" w:cs="Times New Roman"/>
          <w:bCs/>
          <w:i/>
        </w:rPr>
        <w:t xml:space="preserve"> 2017</w:t>
      </w:r>
      <w:r w:rsidR="00C467FF">
        <w:rPr>
          <w:rFonts w:ascii="Times New Roman" w:hAnsi="Times New Roman" w:cs="Times New Roman"/>
          <w:bCs/>
          <w:i/>
        </w:rPr>
        <w:t>.</w:t>
      </w:r>
    </w:p>
    <w:p w14:paraId="444C6697" w14:textId="77777777" w:rsidR="00187DC1" w:rsidRPr="00B1555F" w:rsidRDefault="00187DC1" w:rsidP="00187DC1">
      <w:pPr>
        <w:spacing w:after="0" w:line="240" w:lineRule="auto"/>
        <w:jc w:val="both"/>
        <w:rPr>
          <w:rFonts w:ascii="Times New Roman" w:hAnsi="Times New Roman" w:cs="Times New Roman"/>
          <w:bCs/>
          <w:i/>
          <w:sz w:val="12"/>
          <w:highlight w:val="yellow"/>
        </w:rPr>
      </w:pPr>
    </w:p>
    <w:p w14:paraId="4208992E" w14:textId="43CC455E" w:rsidR="00187DC1" w:rsidRPr="00B1555F" w:rsidRDefault="006F4A24" w:rsidP="00187DC1">
      <w:pPr>
        <w:pBdr>
          <w:top w:val="single" w:sz="4" w:space="1" w:color="DD992E"/>
          <w:left w:val="single" w:sz="4" w:space="4" w:color="DD992E"/>
          <w:bottom w:val="single" w:sz="4" w:space="1" w:color="DD992E"/>
          <w:right w:val="single" w:sz="4" w:space="4" w:color="DD992E"/>
        </w:pBdr>
        <w:jc w:val="center"/>
        <w:rPr>
          <w:rFonts w:ascii="Times New Roman" w:hAnsi="Times New Roman" w:cs="Times New Roman"/>
          <w:b/>
        </w:rPr>
      </w:pPr>
      <w:r>
        <w:rPr>
          <w:rFonts w:ascii="Times New Roman" w:hAnsi="Times New Roman" w:cs="Times New Roman"/>
          <w:b/>
        </w:rPr>
        <w:t>Une croissance portée par le secteur primaire</w:t>
      </w:r>
    </w:p>
    <w:p w14:paraId="0EE501DF" w14:textId="4CF189FA" w:rsidR="006E5249" w:rsidRDefault="0019674C" w:rsidP="006E5249">
      <w:pPr>
        <w:spacing w:after="0" w:line="240" w:lineRule="auto"/>
        <w:jc w:val="both"/>
        <w:rPr>
          <w:rFonts w:ascii="Times New Roman" w:hAnsi="Times New Roman" w:cs="Times New Roman"/>
        </w:rPr>
      </w:pPr>
      <w:r>
        <w:rPr>
          <w:rFonts w:ascii="Times New Roman" w:hAnsi="Times New Roman" w:cs="Times New Roman"/>
          <w:b/>
        </w:rPr>
        <w:t>Au T3</w:t>
      </w:r>
      <w:r w:rsidR="00B1555F" w:rsidRPr="00B1555F">
        <w:rPr>
          <w:rFonts w:ascii="Times New Roman" w:hAnsi="Times New Roman" w:cs="Times New Roman"/>
          <w:b/>
        </w:rPr>
        <w:t>,</w:t>
      </w:r>
      <w:r w:rsidR="00B1555F" w:rsidRPr="00B1555F">
        <w:rPr>
          <w:rFonts w:ascii="Times New Roman" w:hAnsi="Times New Roman" w:cs="Times New Roman"/>
        </w:rPr>
        <w:t xml:space="preserve"> </w:t>
      </w:r>
      <w:r w:rsidR="000E675E">
        <w:rPr>
          <w:rFonts w:ascii="Times New Roman" w:hAnsi="Times New Roman" w:cs="Times New Roman"/>
        </w:rPr>
        <w:t>l’activité a grandement bénéficié du dynamisme du secteur primaire (+1</w:t>
      </w:r>
      <w:r w:rsidR="006F4A24">
        <w:rPr>
          <w:rFonts w:ascii="Times New Roman" w:hAnsi="Times New Roman" w:cs="Times New Roman"/>
        </w:rPr>
        <w:t>5</w:t>
      </w:r>
      <w:r w:rsidR="000E675E">
        <w:rPr>
          <w:rFonts w:ascii="Times New Roman" w:hAnsi="Times New Roman" w:cs="Times New Roman"/>
        </w:rPr>
        <w:t>%</w:t>
      </w:r>
      <w:r w:rsidR="00943A70">
        <w:rPr>
          <w:rFonts w:ascii="Times New Roman" w:hAnsi="Times New Roman" w:cs="Times New Roman"/>
        </w:rPr>
        <w:t xml:space="preserve"> </w:t>
      </w:r>
      <w:r w:rsidR="00943A70" w:rsidRPr="00943A70">
        <w:rPr>
          <w:rFonts w:ascii="Times New Roman" w:hAnsi="Times New Roman" w:cs="Times New Roman"/>
        </w:rPr>
        <w:t xml:space="preserve">en rythme trimestriel annualisé </w:t>
      </w:r>
      <w:proofErr w:type="spellStart"/>
      <w:r w:rsidR="00943A70" w:rsidRPr="00943A70">
        <w:rPr>
          <w:rFonts w:ascii="Times New Roman" w:hAnsi="Times New Roman" w:cs="Times New Roman"/>
        </w:rPr>
        <w:t>cvs</w:t>
      </w:r>
      <w:proofErr w:type="spellEnd"/>
      <w:r w:rsidR="00943A70">
        <w:rPr>
          <w:rFonts w:ascii="Times New Roman" w:hAnsi="Times New Roman" w:cs="Times New Roman"/>
        </w:rPr>
        <w:t>) : d’une part,</w:t>
      </w:r>
      <w:r w:rsidR="000E675E">
        <w:rPr>
          <w:rFonts w:ascii="Times New Roman" w:hAnsi="Times New Roman" w:cs="Times New Roman"/>
        </w:rPr>
        <w:t xml:space="preserve">  </w:t>
      </w:r>
      <w:r w:rsidR="006F4A24">
        <w:rPr>
          <w:rFonts w:ascii="Times New Roman" w:hAnsi="Times New Roman" w:cs="Times New Roman"/>
          <w:b/>
        </w:rPr>
        <w:t>l’activité</w:t>
      </w:r>
      <w:r w:rsidR="00B1555F" w:rsidRPr="00B1555F">
        <w:rPr>
          <w:rFonts w:ascii="Times New Roman" w:hAnsi="Times New Roman" w:cs="Times New Roman"/>
          <w:b/>
        </w:rPr>
        <w:t xml:space="preserve"> </w:t>
      </w:r>
      <w:r w:rsidR="00A117F0">
        <w:rPr>
          <w:rFonts w:ascii="Times New Roman" w:hAnsi="Times New Roman" w:cs="Times New Roman"/>
          <w:b/>
        </w:rPr>
        <w:t>agric</w:t>
      </w:r>
      <w:r w:rsidR="006F4A24">
        <w:rPr>
          <w:rFonts w:ascii="Times New Roman" w:hAnsi="Times New Roman" w:cs="Times New Roman"/>
          <w:b/>
        </w:rPr>
        <w:t>o</w:t>
      </w:r>
      <w:r w:rsidR="00A117F0">
        <w:rPr>
          <w:rFonts w:ascii="Times New Roman" w:hAnsi="Times New Roman" w:cs="Times New Roman"/>
          <w:b/>
        </w:rPr>
        <w:t>le</w:t>
      </w:r>
      <w:r>
        <w:rPr>
          <w:rFonts w:ascii="Times New Roman" w:hAnsi="Times New Roman" w:cs="Times New Roman"/>
          <w:b/>
        </w:rPr>
        <w:t xml:space="preserve"> </w:t>
      </w:r>
      <w:r w:rsidR="005A5549">
        <w:rPr>
          <w:rFonts w:ascii="Times New Roman" w:hAnsi="Times New Roman" w:cs="Times New Roman"/>
          <w:b/>
        </w:rPr>
        <w:t>a bondi de +44%, soit la plus forte haus</w:t>
      </w:r>
      <w:r w:rsidR="00706AF2">
        <w:rPr>
          <w:rFonts w:ascii="Times New Roman" w:hAnsi="Times New Roman" w:cs="Times New Roman"/>
          <w:b/>
        </w:rPr>
        <w:t xml:space="preserve">se enregistrée depuis 1996 </w:t>
      </w:r>
      <w:r w:rsidR="00BF5FF4">
        <w:rPr>
          <w:rFonts w:ascii="Times New Roman" w:hAnsi="Times New Roman" w:cs="Times New Roman"/>
          <w:b/>
        </w:rPr>
        <w:t xml:space="preserve">et </w:t>
      </w:r>
      <w:r w:rsidR="00A55A24">
        <w:rPr>
          <w:rFonts w:ascii="Times New Roman" w:hAnsi="Times New Roman" w:cs="Times New Roman"/>
          <w:b/>
        </w:rPr>
        <w:t xml:space="preserve">participe </w:t>
      </w:r>
      <w:r w:rsidR="00BF5FF4">
        <w:rPr>
          <w:rFonts w:ascii="Times New Roman" w:hAnsi="Times New Roman" w:cs="Times New Roman"/>
          <w:b/>
        </w:rPr>
        <w:t xml:space="preserve">à </w:t>
      </w:r>
      <w:r w:rsidR="00FC0826">
        <w:rPr>
          <w:rFonts w:ascii="Times New Roman" w:hAnsi="Times New Roman" w:cs="Times New Roman"/>
          <w:b/>
        </w:rPr>
        <w:t>hauteur de 0,9 point</w:t>
      </w:r>
      <w:r>
        <w:rPr>
          <w:rFonts w:ascii="Times New Roman" w:hAnsi="Times New Roman" w:cs="Times New Roman"/>
          <w:b/>
        </w:rPr>
        <w:t xml:space="preserve"> de PIB. </w:t>
      </w:r>
      <w:r w:rsidR="00BF5FF4" w:rsidRPr="00A117F0">
        <w:rPr>
          <w:rFonts w:ascii="Times New Roman" w:hAnsi="Times New Roman" w:cs="Times New Roman"/>
        </w:rPr>
        <w:t xml:space="preserve">Ce résultat est principalement </w:t>
      </w:r>
      <w:r w:rsidR="00A117F0" w:rsidRPr="00A117F0">
        <w:rPr>
          <w:rFonts w:ascii="Times New Roman" w:hAnsi="Times New Roman" w:cs="Times New Roman"/>
        </w:rPr>
        <w:t>dû</w:t>
      </w:r>
      <w:r w:rsidR="00BF5FF4" w:rsidRPr="00A117F0">
        <w:rPr>
          <w:rFonts w:ascii="Times New Roman" w:hAnsi="Times New Roman" w:cs="Times New Roman"/>
        </w:rPr>
        <w:t xml:space="preserve"> à la normalisation des conditions climatiques après une longue période de sécheresse qui avait </w:t>
      </w:r>
      <w:r w:rsidR="006F4A24">
        <w:rPr>
          <w:rFonts w:ascii="Times New Roman" w:hAnsi="Times New Roman" w:cs="Times New Roman"/>
        </w:rPr>
        <w:t>réduit</w:t>
      </w:r>
      <w:r w:rsidR="00BF5FF4" w:rsidRPr="00A117F0">
        <w:rPr>
          <w:rFonts w:ascii="Times New Roman" w:hAnsi="Times New Roman" w:cs="Times New Roman"/>
        </w:rPr>
        <w:t xml:space="preserve"> les rendements agricoles</w:t>
      </w:r>
      <w:r w:rsidR="00BF5FF4">
        <w:rPr>
          <w:rFonts w:ascii="Times New Roman" w:hAnsi="Times New Roman" w:cs="Times New Roman"/>
          <w:b/>
        </w:rPr>
        <w:t>.</w:t>
      </w:r>
      <w:r w:rsidR="00943A70">
        <w:rPr>
          <w:rFonts w:ascii="Times New Roman" w:hAnsi="Times New Roman" w:cs="Times New Roman"/>
          <w:b/>
        </w:rPr>
        <w:t xml:space="preserve"> </w:t>
      </w:r>
      <w:r w:rsidR="00943A70" w:rsidRPr="00943A70">
        <w:rPr>
          <w:rFonts w:ascii="Times New Roman" w:hAnsi="Times New Roman" w:cs="Times New Roman"/>
        </w:rPr>
        <w:t>D’autre part,</w:t>
      </w:r>
      <w:r w:rsidR="00BF5FF4">
        <w:rPr>
          <w:rFonts w:ascii="Times New Roman" w:hAnsi="Times New Roman" w:cs="Times New Roman"/>
          <w:b/>
        </w:rPr>
        <w:t xml:space="preserve"> </w:t>
      </w:r>
      <w:r w:rsidR="00943A70">
        <w:rPr>
          <w:rFonts w:ascii="Times New Roman" w:hAnsi="Times New Roman" w:cs="Times New Roman"/>
          <w:b/>
        </w:rPr>
        <w:t>l</w:t>
      </w:r>
      <w:r w:rsidR="000E675E">
        <w:rPr>
          <w:rFonts w:ascii="Times New Roman" w:hAnsi="Times New Roman" w:cs="Times New Roman"/>
          <w:b/>
        </w:rPr>
        <w:t>’</w:t>
      </w:r>
      <w:r w:rsidR="00706AF2">
        <w:rPr>
          <w:rFonts w:ascii="Times New Roman" w:hAnsi="Times New Roman" w:cs="Times New Roman"/>
          <w:b/>
        </w:rPr>
        <w:t xml:space="preserve">industrie minière (+6,6%) a profité de la remontée </w:t>
      </w:r>
      <w:r w:rsidR="00943A70">
        <w:rPr>
          <w:rFonts w:ascii="Times New Roman" w:hAnsi="Times New Roman" w:cs="Times New Roman"/>
          <w:b/>
        </w:rPr>
        <w:t>du prix des matières premières et d’une production accrue d’or et de platin</w:t>
      </w:r>
      <w:r w:rsidR="00706AF2">
        <w:rPr>
          <w:rFonts w:ascii="Times New Roman" w:hAnsi="Times New Roman" w:cs="Times New Roman"/>
          <w:b/>
        </w:rPr>
        <w:t>e</w:t>
      </w:r>
      <w:r w:rsidR="00FC0826">
        <w:rPr>
          <w:rFonts w:ascii="Times New Roman" w:hAnsi="Times New Roman" w:cs="Times New Roman"/>
          <w:b/>
        </w:rPr>
        <w:t>. Sa contribution est équivalente à celle de l’industrie manufacturière</w:t>
      </w:r>
      <w:r w:rsidR="003E1AFA">
        <w:rPr>
          <w:rFonts w:ascii="Times New Roman" w:hAnsi="Times New Roman" w:cs="Times New Roman"/>
          <w:b/>
        </w:rPr>
        <w:t xml:space="preserve"> (+4,3%)</w:t>
      </w:r>
      <w:r w:rsidR="00FC0826">
        <w:rPr>
          <w:rFonts w:ascii="Times New Roman" w:hAnsi="Times New Roman" w:cs="Times New Roman"/>
          <w:b/>
        </w:rPr>
        <w:t xml:space="preserve"> et s’établit à 0,5 point de PIB</w:t>
      </w:r>
      <w:r w:rsidR="00B1555F" w:rsidRPr="00B1555F">
        <w:rPr>
          <w:rFonts w:ascii="Times New Roman" w:hAnsi="Times New Roman" w:cs="Times New Roman"/>
          <w:b/>
        </w:rPr>
        <w:t xml:space="preserve"> </w:t>
      </w:r>
      <w:r w:rsidR="00FC0826">
        <w:rPr>
          <w:rFonts w:ascii="Times New Roman" w:hAnsi="Times New Roman" w:cs="Times New Roman"/>
          <w:b/>
        </w:rPr>
        <w:t>pour ce trimestre.</w:t>
      </w:r>
      <w:r w:rsidR="003E1AFA">
        <w:rPr>
          <w:rFonts w:ascii="Times New Roman" w:hAnsi="Times New Roman" w:cs="Times New Roman"/>
          <w:b/>
        </w:rPr>
        <w:t xml:space="preserve"> </w:t>
      </w:r>
      <w:r w:rsidR="003E1AFA">
        <w:rPr>
          <w:rFonts w:ascii="Times New Roman" w:hAnsi="Times New Roman" w:cs="Times New Roman"/>
        </w:rPr>
        <w:t>En ce qui concerne le reste du</w:t>
      </w:r>
      <w:r w:rsidR="007752D0" w:rsidRPr="003E1AFA">
        <w:rPr>
          <w:rFonts w:ascii="Times New Roman" w:hAnsi="Times New Roman" w:cs="Times New Roman"/>
        </w:rPr>
        <w:t xml:space="preserve"> secteur secondaire</w:t>
      </w:r>
      <w:r w:rsidR="003E1AFA">
        <w:rPr>
          <w:rFonts w:ascii="Times New Roman" w:hAnsi="Times New Roman" w:cs="Times New Roman"/>
        </w:rPr>
        <w:t xml:space="preserve">, </w:t>
      </w:r>
      <w:r w:rsidR="007752D0" w:rsidRPr="003E1AFA">
        <w:rPr>
          <w:rFonts w:ascii="Times New Roman" w:hAnsi="Times New Roman" w:cs="Times New Roman"/>
        </w:rPr>
        <w:t xml:space="preserve">la construction est en déclin </w:t>
      </w:r>
      <w:r w:rsidR="00444D36">
        <w:rPr>
          <w:rFonts w:ascii="Times New Roman" w:hAnsi="Times New Roman" w:cs="Times New Roman"/>
        </w:rPr>
        <w:t xml:space="preserve">en raison d’un reflux de l’investissement dans </w:t>
      </w:r>
      <w:r w:rsidR="00655757">
        <w:rPr>
          <w:rFonts w:ascii="Times New Roman" w:hAnsi="Times New Roman" w:cs="Times New Roman"/>
        </w:rPr>
        <w:t xml:space="preserve">les secteurs résidentiels </w:t>
      </w:r>
      <w:r w:rsidR="007752D0" w:rsidRPr="003E1AFA">
        <w:rPr>
          <w:rFonts w:ascii="Times New Roman" w:hAnsi="Times New Roman" w:cs="Times New Roman"/>
        </w:rPr>
        <w:t>et l’électricité</w:t>
      </w:r>
      <w:r w:rsidR="003E1AFA">
        <w:rPr>
          <w:rFonts w:ascii="Times New Roman" w:hAnsi="Times New Roman" w:cs="Times New Roman"/>
        </w:rPr>
        <w:t xml:space="preserve"> </w:t>
      </w:r>
      <w:r w:rsidR="006F4A24">
        <w:rPr>
          <w:rFonts w:ascii="Times New Roman" w:hAnsi="Times New Roman" w:cs="Times New Roman"/>
        </w:rPr>
        <w:t>est en net recul</w:t>
      </w:r>
      <w:r w:rsidR="00923EBD">
        <w:rPr>
          <w:rFonts w:ascii="Times New Roman" w:hAnsi="Times New Roman" w:cs="Times New Roman"/>
        </w:rPr>
        <w:t xml:space="preserve"> </w:t>
      </w:r>
      <w:r w:rsidR="00D41566">
        <w:rPr>
          <w:rFonts w:ascii="Times New Roman" w:hAnsi="Times New Roman" w:cs="Times New Roman"/>
        </w:rPr>
        <w:t xml:space="preserve">(-5,5%).  </w:t>
      </w:r>
      <w:r w:rsidR="00855D26">
        <w:rPr>
          <w:rFonts w:ascii="Times New Roman" w:hAnsi="Times New Roman" w:cs="Times New Roman"/>
        </w:rPr>
        <w:t>Par ailleurs</w:t>
      </w:r>
      <w:r w:rsidR="00A55A24">
        <w:rPr>
          <w:rFonts w:ascii="Times New Roman" w:hAnsi="Times New Roman" w:cs="Times New Roman"/>
        </w:rPr>
        <w:t>, l</w:t>
      </w:r>
      <w:r w:rsidR="00D41566">
        <w:rPr>
          <w:rFonts w:ascii="Times New Roman" w:hAnsi="Times New Roman" w:cs="Times New Roman"/>
        </w:rPr>
        <w:t>es performances du secteur tertiaire restent très faibles (+0</w:t>
      </w:r>
      <w:r w:rsidR="00E0561B">
        <w:rPr>
          <w:rFonts w:ascii="Times New Roman" w:hAnsi="Times New Roman" w:cs="Times New Roman"/>
        </w:rPr>
        <w:t xml:space="preserve">,3%), le commerce souffrant d’une </w:t>
      </w:r>
      <w:r w:rsidR="00444D36">
        <w:rPr>
          <w:rFonts w:ascii="Times New Roman" w:hAnsi="Times New Roman" w:cs="Times New Roman"/>
        </w:rPr>
        <w:t>baisse</w:t>
      </w:r>
      <w:r w:rsidR="00E0561B">
        <w:rPr>
          <w:rFonts w:ascii="Times New Roman" w:hAnsi="Times New Roman" w:cs="Times New Roman"/>
        </w:rPr>
        <w:t xml:space="preserve"> des ventes aux détails et l’administration d’u</w:t>
      </w:r>
      <w:r w:rsidR="00444D36">
        <w:rPr>
          <w:rFonts w:ascii="Times New Roman" w:hAnsi="Times New Roman" w:cs="Times New Roman"/>
        </w:rPr>
        <w:t>ne réduction de ses effectifs.</w:t>
      </w:r>
      <w:r w:rsidR="00D33301">
        <w:rPr>
          <w:rFonts w:ascii="Times New Roman" w:hAnsi="Times New Roman" w:cs="Times New Roman"/>
        </w:rPr>
        <w:t xml:space="preserve"> L’industrie financière contribue</w:t>
      </w:r>
      <w:r w:rsidR="00A55A24">
        <w:rPr>
          <w:rFonts w:ascii="Times New Roman" w:hAnsi="Times New Roman" w:cs="Times New Roman"/>
        </w:rPr>
        <w:t xml:space="preserve"> néanmoins à </w:t>
      </w:r>
      <w:r w:rsidR="006F4A24">
        <w:rPr>
          <w:rFonts w:ascii="Times New Roman" w:hAnsi="Times New Roman" w:cs="Times New Roman"/>
        </w:rPr>
        <w:t xml:space="preserve">la croissance à hauteur de </w:t>
      </w:r>
      <w:r w:rsidR="00A55A24">
        <w:rPr>
          <w:rFonts w:ascii="Times New Roman" w:hAnsi="Times New Roman" w:cs="Times New Roman"/>
        </w:rPr>
        <w:t>0,</w:t>
      </w:r>
      <w:r w:rsidR="00D33301">
        <w:rPr>
          <w:rFonts w:ascii="Times New Roman" w:hAnsi="Times New Roman" w:cs="Times New Roman"/>
        </w:rPr>
        <w:t>3</w:t>
      </w:r>
      <w:r w:rsidR="00A55A24">
        <w:rPr>
          <w:rFonts w:ascii="Times New Roman" w:hAnsi="Times New Roman" w:cs="Times New Roman"/>
        </w:rPr>
        <w:t xml:space="preserve"> point du PIB</w:t>
      </w:r>
      <w:r w:rsidR="00D33301">
        <w:rPr>
          <w:rFonts w:ascii="Times New Roman" w:hAnsi="Times New Roman" w:cs="Times New Roman"/>
        </w:rPr>
        <w:t xml:space="preserve"> </w:t>
      </w:r>
      <w:r w:rsidR="00444D36">
        <w:rPr>
          <w:rFonts w:ascii="Times New Roman" w:hAnsi="Times New Roman" w:cs="Times New Roman"/>
        </w:rPr>
        <w:t xml:space="preserve">grâce à une hausse de </w:t>
      </w:r>
      <w:r w:rsidR="00D33301">
        <w:rPr>
          <w:rFonts w:ascii="Times New Roman" w:hAnsi="Times New Roman" w:cs="Times New Roman"/>
        </w:rPr>
        <w:t>+1,2%</w:t>
      </w:r>
      <w:r w:rsidR="00655757">
        <w:rPr>
          <w:rFonts w:ascii="Times New Roman" w:hAnsi="Times New Roman" w:cs="Times New Roman"/>
        </w:rPr>
        <w:t xml:space="preserve"> au T3 2017.</w:t>
      </w:r>
    </w:p>
    <w:p w14:paraId="2B937A06" w14:textId="77777777" w:rsidR="008D437F" w:rsidRPr="00B1555F" w:rsidRDefault="008D437F" w:rsidP="006E5249">
      <w:pPr>
        <w:spacing w:after="0" w:line="240" w:lineRule="auto"/>
        <w:jc w:val="both"/>
        <w:rPr>
          <w:rFonts w:ascii="Times New Roman" w:hAnsi="Times New Roman" w:cs="Times New Roman"/>
          <w:sz w:val="12"/>
        </w:rPr>
      </w:pPr>
    </w:p>
    <w:p w14:paraId="31C5B853" w14:textId="5BE60384" w:rsidR="006E5249" w:rsidRPr="00B1555F" w:rsidRDefault="008D437F" w:rsidP="006E5249">
      <w:pPr>
        <w:pBdr>
          <w:top w:val="single" w:sz="4" w:space="1" w:color="DD992E"/>
          <w:left w:val="single" w:sz="4" w:space="4" w:color="DD992E"/>
          <w:bottom w:val="single" w:sz="4" w:space="1" w:color="DD992E"/>
          <w:right w:val="single" w:sz="4" w:space="4" w:color="DD992E"/>
        </w:pBdr>
        <w:jc w:val="center"/>
        <w:rPr>
          <w:rFonts w:ascii="Times New Roman" w:hAnsi="Times New Roman" w:cs="Times New Roman"/>
          <w:b/>
        </w:rPr>
      </w:pPr>
      <w:r>
        <w:rPr>
          <w:rFonts w:ascii="Times New Roman" w:hAnsi="Times New Roman" w:cs="Times New Roman"/>
          <w:b/>
        </w:rPr>
        <w:t>Résistance de la consommation domestique et r</w:t>
      </w:r>
      <w:r w:rsidR="00855D26">
        <w:rPr>
          <w:rFonts w:ascii="Times New Roman" w:hAnsi="Times New Roman" w:cs="Times New Roman"/>
          <w:b/>
        </w:rPr>
        <w:t>eprise de</w:t>
      </w:r>
      <w:r w:rsidR="00B1555F" w:rsidRPr="00B1555F">
        <w:rPr>
          <w:rFonts w:ascii="Times New Roman" w:hAnsi="Times New Roman" w:cs="Times New Roman"/>
          <w:b/>
        </w:rPr>
        <w:t xml:space="preserve"> l’investissement</w:t>
      </w:r>
    </w:p>
    <w:p w14:paraId="52A9BFB0" w14:textId="612FDB6E" w:rsidR="00870804" w:rsidRDefault="006F4A24" w:rsidP="00870804">
      <w:pPr>
        <w:spacing w:after="0" w:line="240" w:lineRule="auto"/>
        <w:jc w:val="both"/>
        <w:rPr>
          <w:rFonts w:ascii="Times New Roman" w:hAnsi="Times New Roman" w:cs="Times New Roman"/>
        </w:rPr>
      </w:pPr>
      <w:r>
        <w:rPr>
          <w:rFonts w:ascii="Times New Roman" w:hAnsi="Times New Roman" w:cs="Times New Roman"/>
          <w:b/>
        </w:rPr>
        <w:t>L</w:t>
      </w:r>
      <w:r w:rsidR="00655757">
        <w:rPr>
          <w:rFonts w:ascii="Times New Roman" w:hAnsi="Times New Roman" w:cs="Times New Roman"/>
          <w:b/>
        </w:rPr>
        <w:t>a consommation des ménages</w:t>
      </w:r>
      <w:r w:rsidR="003646DA">
        <w:rPr>
          <w:rFonts w:ascii="Times New Roman" w:hAnsi="Times New Roman" w:cs="Times New Roman"/>
          <w:b/>
        </w:rPr>
        <w:t xml:space="preserve"> demeure le premier moteur de la croissance</w:t>
      </w:r>
      <w:r w:rsidR="003646DA" w:rsidRPr="00855D26">
        <w:rPr>
          <w:rFonts w:ascii="Times New Roman" w:hAnsi="Times New Roman" w:cs="Times New Roman"/>
        </w:rPr>
        <w:t xml:space="preserve"> (contribution à hauteur de 1,6 point de PIB). Elle enregistre une croissance de </w:t>
      </w:r>
      <w:r w:rsidR="00923EBD">
        <w:rPr>
          <w:rFonts w:ascii="Times New Roman" w:hAnsi="Times New Roman" w:cs="Times New Roman"/>
        </w:rPr>
        <w:t>+</w:t>
      </w:r>
      <w:r w:rsidR="003646DA" w:rsidRPr="00855D26">
        <w:rPr>
          <w:rFonts w:ascii="Times New Roman" w:hAnsi="Times New Roman" w:cs="Times New Roman"/>
        </w:rPr>
        <w:t xml:space="preserve">2,6% ce trimestre (contre </w:t>
      </w:r>
      <w:r w:rsidR="00923EBD">
        <w:rPr>
          <w:rFonts w:ascii="Times New Roman" w:hAnsi="Times New Roman" w:cs="Times New Roman"/>
        </w:rPr>
        <w:t>+</w:t>
      </w:r>
      <w:r w:rsidR="003646DA" w:rsidRPr="00855D26">
        <w:rPr>
          <w:rFonts w:ascii="Times New Roman" w:hAnsi="Times New Roman" w:cs="Times New Roman"/>
        </w:rPr>
        <w:t>4,7</w:t>
      </w:r>
      <w:r>
        <w:rPr>
          <w:rFonts w:ascii="Times New Roman" w:hAnsi="Times New Roman" w:cs="Times New Roman"/>
        </w:rPr>
        <w:t xml:space="preserve"> %</w:t>
      </w:r>
      <w:r w:rsidR="003646DA" w:rsidRPr="00855D26">
        <w:rPr>
          <w:rFonts w:ascii="Times New Roman" w:hAnsi="Times New Roman" w:cs="Times New Roman"/>
        </w:rPr>
        <w:t xml:space="preserve"> au T2) </w:t>
      </w:r>
      <w:r>
        <w:rPr>
          <w:rFonts w:ascii="Times New Roman" w:hAnsi="Times New Roman" w:cs="Times New Roman"/>
        </w:rPr>
        <w:t>portée</w:t>
      </w:r>
      <w:r w:rsidRPr="00855D26">
        <w:rPr>
          <w:rFonts w:ascii="Times New Roman" w:hAnsi="Times New Roman" w:cs="Times New Roman"/>
        </w:rPr>
        <w:t xml:space="preserve"> </w:t>
      </w:r>
      <w:r w:rsidR="003646DA" w:rsidRPr="00855D26">
        <w:rPr>
          <w:rFonts w:ascii="Times New Roman" w:hAnsi="Times New Roman" w:cs="Times New Roman"/>
        </w:rPr>
        <w:t>par la bonne performance des ventes de biens durables</w:t>
      </w:r>
      <w:r w:rsidR="00B81097">
        <w:rPr>
          <w:rFonts w:ascii="Times New Roman" w:hAnsi="Times New Roman" w:cs="Times New Roman"/>
        </w:rPr>
        <w:t xml:space="preserve"> dans un contexte de repli de l’inflation</w:t>
      </w:r>
      <w:r w:rsidR="003646DA" w:rsidRPr="00855D26">
        <w:rPr>
          <w:rFonts w:ascii="Times New Roman" w:hAnsi="Times New Roman" w:cs="Times New Roman"/>
        </w:rPr>
        <w:t xml:space="preserve">, particulièrement </w:t>
      </w:r>
      <w:r w:rsidR="00485F92">
        <w:rPr>
          <w:rFonts w:ascii="Times New Roman" w:hAnsi="Times New Roman" w:cs="Times New Roman"/>
        </w:rPr>
        <w:t>celles de voitures</w:t>
      </w:r>
      <w:r w:rsidR="003646DA" w:rsidRPr="00855D26">
        <w:rPr>
          <w:rFonts w:ascii="Times New Roman" w:hAnsi="Times New Roman" w:cs="Times New Roman"/>
        </w:rPr>
        <w:t xml:space="preserve"> qui participent </w:t>
      </w:r>
      <w:r w:rsidR="00485F92">
        <w:rPr>
          <w:rFonts w:ascii="Times New Roman" w:hAnsi="Times New Roman" w:cs="Times New Roman"/>
        </w:rPr>
        <w:t>pour</w:t>
      </w:r>
      <w:r w:rsidR="003646DA" w:rsidRPr="00855D26">
        <w:rPr>
          <w:rFonts w:ascii="Times New Roman" w:hAnsi="Times New Roman" w:cs="Times New Roman"/>
        </w:rPr>
        <w:t xml:space="preserve"> 0,8 point de PIB</w:t>
      </w:r>
      <w:r w:rsidR="00485F92">
        <w:rPr>
          <w:rFonts w:ascii="Times New Roman" w:hAnsi="Times New Roman" w:cs="Times New Roman"/>
        </w:rPr>
        <w:t xml:space="preserve"> à la croissance</w:t>
      </w:r>
      <w:r w:rsidR="003646DA" w:rsidRPr="00855D26">
        <w:rPr>
          <w:rFonts w:ascii="Times New Roman" w:hAnsi="Times New Roman" w:cs="Times New Roman"/>
        </w:rPr>
        <w:t xml:space="preserve">. </w:t>
      </w:r>
      <w:r w:rsidR="00485F92">
        <w:rPr>
          <w:rFonts w:ascii="Times New Roman" w:hAnsi="Times New Roman" w:cs="Times New Roman"/>
        </w:rPr>
        <w:t>E</w:t>
      </w:r>
      <w:r w:rsidR="00855D26" w:rsidRPr="00855D26">
        <w:rPr>
          <w:rFonts w:ascii="Times New Roman" w:hAnsi="Times New Roman" w:cs="Times New Roman"/>
        </w:rPr>
        <w:t>n parallèle</w:t>
      </w:r>
      <w:r w:rsidR="00485F92">
        <w:rPr>
          <w:rFonts w:ascii="Times New Roman" w:hAnsi="Times New Roman" w:cs="Times New Roman"/>
        </w:rPr>
        <w:t>,</w:t>
      </w:r>
      <w:r w:rsidR="00855D26" w:rsidRPr="00855D26">
        <w:rPr>
          <w:rFonts w:ascii="Times New Roman" w:hAnsi="Times New Roman" w:cs="Times New Roman"/>
        </w:rPr>
        <w:t xml:space="preserve"> </w:t>
      </w:r>
      <w:r w:rsidR="00855D26">
        <w:rPr>
          <w:rFonts w:ascii="Times New Roman" w:hAnsi="Times New Roman" w:cs="Times New Roman"/>
          <w:b/>
        </w:rPr>
        <w:t xml:space="preserve">la </w:t>
      </w:r>
      <w:r w:rsidR="00485F92">
        <w:rPr>
          <w:rFonts w:ascii="Times New Roman" w:hAnsi="Times New Roman" w:cs="Times New Roman"/>
          <w:b/>
        </w:rPr>
        <w:t xml:space="preserve">forte </w:t>
      </w:r>
      <w:r w:rsidR="00D33301">
        <w:rPr>
          <w:rFonts w:ascii="Times New Roman" w:hAnsi="Times New Roman" w:cs="Times New Roman"/>
          <w:b/>
        </w:rPr>
        <w:t>reprise de l’investissement</w:t>
      </w:r>
      <w:r w:rsidR="00855D26">
        <w:rPr>
          <w:rFonts w:ascii="Times New Roman" w:hAnsi="Times New Roman" w:cs="Times New Roman"/>
          <w:b/>
        </w:rPr>
        <w:t xml:space="preserve"> dans ce même secteur (+37,5%) et celui des machines et équipements (+7,9%)</w:t>
      </w:r>
      <w:r w:rsidR="008D437F">
        <w:rPr>
          <w:rFonts w:ascii="Times New Roman" w:hAnsi="Times New Roman" w:cs="Times New Roman"/>
          <w:b/>
        </w:rPr>
        <w:t xml:space="preserve"> </w:t>
      </w:r>
      <w:r w:rsidR="008D437F">
        <w:rPr>
          <w:rFonts w:ascii="Times New Roman" w:hAnsi="Times New Roman" w:cs="Times New Roman"/>
        </w:rPr>
        <w:t>qui affiche son plus haut taux de croissance (</w:t>
      </w:r>
      <w:r w:rsidR="008D437F" w:rsidRPr="00855D26">
        <w:rPr>
          <w:rFonts w:ascii="Times New Roman" w:hAnsi="Times New Roman" w:cs="Times New Roman"/>
        </w:rPr>
        <w:t xml:space="preserve">+4,3% en rythme trimestriel annualisé </w:t>
      </w:r>
      <w:proofErr w:type="spellStart"/>
      <w:r w:rsidR="008D437F" w:rsidRPr="00855D26">
        <w:rPr>
          <w:rFonts w:ascii="Times New Roman" w:hAnsi="Times New Roman" w:cs="Times New Roman"/>
        </w:rPr>
        <w:t>cvs</w:t>
      </w:r>
      <w:proofErr w:type="spellEnd"/>
      <w:r w:rsidR="008D437F" w:rsidRPr="00855D26">
        <w:rPr>
          <w:rFonts w:ascii="Times New Roman" w:hAnsi="Times New Roman" w:cs="Times New Roman"/>
        </w:rPr>
        <w:t>)</w:t>
      </w:r>
      <w:r w:rsidR="008D437F">
        <w:rPr>
          <w:rFonts w:ascii="Times New Roman" w:hAnsi="Times New Roman" w:cs="Times New Roman"/>
        </w:rPr>
        <w:t xml:space="preserve"> depuis le T3 2015.</w:t>
      </w:r>
      <w:r w:rsidR="00B53394">
        <w:rPr>
          <w:rFonts w:ascii="Times New Roman" w:hAnsi="Times New Roman" w:cs="Times New Roman"/>
        </w:rPr>
        <w:t xml:space="preserve"> Enfin, la contribution du commerce extérieure reste positive ce trimestre</w:t>
      </w:r>
      <w:r w:rsidR="00F76D65">
        <w:rPr>
          <w:rFonts w:ascii="Times New Roman" w:hAnsi="Times New Roman" w:cs="Times New Roman"/>
        </w:rPr>
        <w:t xml:space="preserve"> (</w:t>
      </w:r>
      <w:r w:rsidR="00957709">
        <w:rPr>
          <w:rFonts w:ascii="Times New Roman" w:hAnsi="Times New Roman" w:cs="Times New Roman"/>
        </w:rPr>
        <w:t>+</w:t>
      </w:r>
      <w:r w:rsidR="00F76D65">
        <w:rPr>
          <w:rFonts w:ascii="Times New Roman" w:hAnsi="Times New Roman" w:cs="Times New Roman"/>
        </w:rPr>
        <w:t>1,5 point)</w:t>
      </w:r>
      <w:r w:rsidR="00B53394">
        <w:rPr>
          <w:rFonts w:ascii="Times New Roman" w:hAnsi="Times New Roman" w:cs="Times New Roman"/>
        </w:rPr>
        <w:t xml:space="preserve">, la </w:t>
      </w:r>
      <w:r w:rsidR="004E2D00">
        <w:rPr>
          <w:rFonts w:ascii="Times New Roman" w:hAnsi="Times New Roman" w:cs="Times New Roman"/>
        </w:rPr>
        <w:t>diminution</w:t>
      </w:r>
      <w:r w:rsidR="00B53394">
        <w:rPr>
          <w:rFonts w:ascii="Times New Roman" w:hAnsi="Times New Roman" w:cs="Times New Roman"/>
        </w:rPr>
        <w:t xml:space="preserve"> des importations</w:t>
      </w:r>
      <w:r w:rsidR="004E2D00">
        <w:rPr>
          <w:rFonts w:ascii="Times New Roman" w:hAnsi="Times New Roman" w:cs="Times New Roman"/>
        </w:rPr>
        <w:t xml:space="preserve"> (-13,7</w:t>
      </w:r>
      <w:r w:rsidR="00B53394">
        <w:rPr>
          <w:rFonts w:ascii="Times New Roman" w:hAnsi="Times New Roman" w:cs="Times New Roman"/>
        </w:rPr>
        <w:t>%) supplantant celles des exportations (-10,3%)</w:t>
      </w:r>
      <w:r w:rsidR="00F76D65">
        <w:rPr>
          <w:rFonts w:ascii="Times New Roman" w:hAnsi="Times New Roman" w:cs="Times New Roman"/>
        </w:rPr>
        <w:t xml:space="preserve">, </w:t>
      </w:r>
      <w:r w:rsidR="00957709">
        <w:rPr>
          <w:rFonts w:ascii="Times New Roman" w:hAnsi="Times New Roman" w:cs="Times New Roman"/>
        </w:rPr>
        <w:t xml:space="preserve">mais </w:t>
      </w:r>
      <w:r w:rsidR="00F76D65">
        <w:rPr>
          <w:rFonts w:ascii="Times New Roman" w:hAnsi="Times New Roman" w:cs="Times New Roman"/>
        </w:rPr>
        <w:t xml:space="preserve">compensée par une </w:t>
      </w:r>
      <w:r w:rsidR="00957709">
        <w:rPr>
          <w:rFonts w:ascii="Times New Roman" w:hAnsi="Times New Roman" w:cs="Times New Roman"/>
        </w:rPr>
        <w:t>contribution négative des stocks de 1,3 point</w:t>
      </w:r>
      <w:r w:rsidR="00D05285">
        <w:rPr>
          <w:rFonts w:ascii="Times New Roman" w:hAnsi="Times New Roman" w:cs="Times New Roman"/>
        </w:rPr>
        <w:t xml:space="preserve"> : les </w:t>
      </w:r>
      <w:r w:rsidR="00D05285" w:rsidRPr="00433D7E">
        <w:rPr>
          <w:rFonts w:ascii="Times New Roman" w:hAnsi="Times New Roman" w:cs="Times New Roman"/>
          <w:b/>
        </w:rPr>
        <w:t xml:space="preserve">entreprises privées </w:t>
      </w:r>
      <w:r w:rsidR="00D05285">
        <w:rPr>
          <w:rFonts w:ascii="Times New Roman" w:hAnsi="Times New Roman" w:cs="Times New Roman"/>
          <w:b/>
        </w:rPr>
        <w:t>réduisent leurs</w:t>
      </w:r>
      <w:r w:rsidR="00D05285" w:rsidRPr="00433D7E">
        <w:rPr>
          <w:rFonts w:ascii="Times New Roman" w:hAnsi="Times New Roman" w:cs="Times New Roman"/>
          <w:b/>
        </w:rPr>
        <w:t xml:space="preserve"> stocks</w:t>
      </w:r>
      <w:r w:rsidR="00D05285">
        <w:rPr>
          <w:rFonts w:ascii="Times New Roman" w:hAnsi="Times New Roman" w:cs="Times New Roman"/>
        </w:rPr>
        <w:t>, reflet possible de l’incertitude politique</w:t>
      </w:r>
      <w:r w:rsidR="006E4791">
        <w:rPr>
          <w:rFonts w:ascii="Times New Roman" w:hAnsi="Times New Roman" w:cs="Times New Roman"/>
        </w:rPr>
        <w:t>.</w:t>
      </w:r>
      <w:r w:rsidR="00B53394">
        <w:rPr>
          <w:rFonts w:ascii="Times New Roman" w:hAnsi="Times New Roman" w:cs="Times New Roman"/>
        </w:rPr>
        <w:t xml:space="preserve"> </w:t>
      </w:r>
      <w:r w:rsidR="00D05285">
        <w:rPr>
          <w:rFonts w:ascii="Times New Roman" w:hAnsi="Times New Roman" w:cs="Times New Roman"/>
        </w:rPr>
        <w:t>Enfin, l</w:t>
      </w:r>
      <w:r w:rsidR="00802ACF">
        <w:rPr>
          <w:rFonts w:ascii="Times New Roman" w:hAnsi="Times New Roman" w:cs="Times New Roman"/>
        </w:rPr>
        <w:t xml:space="preserve">a </w:t>
      </w:r>
      <w:r w:rsidR="00870804" w:rsidRPr="00870804">
        <w:rPr>
          <w:rFonts w:ascii="Times New Roman" w:hAnsi="Times New Roman" w:cs="Times New Roman"/>
          <w:b/>
        </w:rPr>
        <w:t>quasi-stagnation</w:t>
      </w:r>
      <w:r w:rsidR="00802ACF">
        <w:rPr>
          <w:rFonts w:ascii="Times New Roman" w:hAnsi="Times New Roman" w:cs="Times New Roman"/>
        </w:rPr>
        <w:t xml:space="preserve"> </w:t>
      </w:r>
      <w:r w:rsidR="004E2D00" w:rsidRPr="00433D7E">
        <w:rPr>
          <w:rFonts w:ascii="Times New Roman" w:hAnsi="Times New Roman" w:cs="Times New Roman"/>
          <w:b/>
        </w:rPr>
        <w:t>de la consommation publique</w:t>
      </w:r>
      <w:r w:rsidR="004E2D00">
        <w:rPr>
          <w:rFonts w:ascii="Times New Roman" w:hAnsi="Times New Roman" w:cs="Times New Roman"/>
        </w:rPr>
        <w:t xml:space="preserve"> ce trimestre</w:t>
      </w:r>
      <w:r w:rsidR="00433D7E">
        <w:rPr>
          <w:rFonts w:ascii="Times New Roman" w:hAnsi="Times New Roman" w:cs="Times New Roman"/>
        </w:rPr>
        <w:t xml:space="preserve"> </w:t>
      </w:r>
      <w:r w:rsidR="00433D7E" w:rsidRPr="00870804">
        <w:rPr>
          <w:rFonts w:ascii="Times New Roman" w:hAnsi="Times New Roman" w:cs="Times New Roman"/>
        </w:rPr>
        <w:t xml:space="preserve">(-0,5% en rythme trimestriel annualisé </w:t>
      </w:r>
      <w:proofErr w:type="spellStart"/>
      <w:r w:rsidR="00433D7E" w:rsidRPr="00D05285">
        <w:rPr>
          <w:rFonts w:ascii="Times New Roman" w:hAnsi="Times New Roman" w:cs="Times New Roman"/>
        </w:rPr>
        <w:t>cvs</w:t>
      </w:r>
      <w:proofErr w:type="spellEnd"/>
      <w:r w:rsidR="00433D7E" w:rsidRPr="00D05285">
        <w:rPr>
          <w:rFonts w:ascii="Times New Roman" w:hAnsi="Times New Roman" w:cs="Times New Roman"/>
        </w:rPr>
        <w:t>)</w:t>
      </w:r>
      <w:r w:rsidR="004E2D00">
        <w:rPr>
          <w:rFonts w:ascii="Times New Roman" w:hAnsi="Times New Roman" w:cs="Times New Roman"/>
        </w:rPr>
        <w:t xml:space="preserve"> s’inscrit dans le cadre des restrictions budgétaires </w:t>
      </w:r>
      <w:r w:rsidR="00433D7E">
        <w:rPr>
          <w:rFonts w:ascii="Times New Roman" w:hAnsi="Times New Roman" w:cs="Times New Roman"/>
        </w:rPr>
        <w:t xml:space="preserve">et </w:t>
      </w:r>
      <w:r w:rsidR="00D05285">
        <w:rPr>
          <w:rFonts w:ascii="Times New Roman" w:hAnsi="Times New Roman" w:cs="Times New Roman"/>
        </w:rPr>
        <w:t xml:space="preserve">reflète </w:t>
      </w:r>
      <w:r w:rsidR="009964D9">
        <w:rPr>
          <w:rFonts w:ascii="Times New Roman" w:hAnsi="Times New Roman" w:cs="Times New Roman"/>
        </w:rPr>
        <w:t xml:space="preserve">notamment </w:t>
      </w:r>
      <w:r w:rsidR="00D05285">
        <w:rPr>
          <w:rFonts w:ascii="Times New Roman" w:hAnsi="Times New Roman" w:cs="Times New Roman"/>
        </w:rPr>
        <w:t>une</w:t>
      </w:r>
      <w:r w:rsidR="00433D7E">
        <w:rPr>
          <w:rFonts w:ascii="Times New Roman" w:hAnsi="Times New Roman" w:cs="Times New Roman"/>
        </w:rPr>
        <w:t xml:space="preserve"> réduction des effectifs au sein du  secteur publique. </w:t>
      </w:r>
    </w:p>
    <w:p w14:paraId="552B9B47" w14:textId="77777777" w:rsidR="00870804" w:rsidRPr="00B1555F" w:rsidRDefault="00870804" w:rsidP="00870804">
      <w:pPr>
        <w:spacing w:after="0" w:line="240" w:lineRule="auto"/>
        <w:jc w:val="both"/>
        <w:rPr>
          <w:rFonts w:ascii="Times New Roman" w:hAnsi="Times New Roman" w:cs="Times New Roman"/>
          <w:sz w:val="12"/>
        </w:rPr>
      </w:pPr>
    </w:p>
    <w:p w14:paraId="04F0D28E" w14:textId="1282CFE0" w:rsidR="00870804" w:rsidRPr="00B1555F" w:rsidRDefault="00870804" w:rsidP="00870804">
      <w:pPr>
        <w:pBdr>
          <w:top w:val="single" w:sz="4" w:space="1" w:color="DD992E"/>
          <w:left w:val="single" w:sz="4" w:space="4" w:color="DD992E"/>
          <w:bottom w:val="single" w:sz="4" w:space="1" w:color="DD992E"/>
          <w:right w:val="single" w:sz="4" w:space="4" w:color="DD992E"/>
        </w:pBdr>
        <w:jc w:val="center"/>
        <w:rPr>
          <w:rFonts w:ascii="Times New Roman" w:hAnsi="Times New Roman" w:cs="Times New Roman"/>
          <w:b/>
        </w:rPr>
      </w:pPr>
      <w:r>
        <w:rPr>
          <w:rFonts w:ascii="Times New Roman" w:hAnsi="Times New Roman" w:cs="Times New Roman"/>
          <w:b/>
        </w:rPr>
        <w:t>Vers une croissance à 1% en 2017 ?</w:t>
      </w:r>
    </w:p>
    <w:p w14:paraId="7071FF4E" w14:textId="77777777" w:rsidR="007F58AE" w:rsidRPr="007F58AE" w:rsidRDefault="007F58AE" w:rsidP="007F58AE">
      <w:pPr>
        <w:spacing w:after="0" w:line="240" w:lineRule="auto"/>
        <w:rPr>
          <w:rFonts w:ascii="Helvetica" w:eastAsia="Times New Roman" w:hAnsi="Helvetica" w:cs="Times New Roman"/>
          <w:color w:val="000000"/>
          <w:sz w:val="27"/>
          <w:szCs w:val="27"/>
          <w:lang w:eastAsia="fr-FR"/>
        </w:rPr>
      </w:pPr>
      <w:r w:rsidRPr="007F58AE">
        <w:rPr>
          <w:rFonts w:ascii="Times New Roman" w:eastAsia="Times New Roman" w:hAnsi="Times New Roman" w:cs="Times New Roman"/>
          <w:b/>
          <w:bCs/>
          <w:color w:val="000000"/>
          <w:sz w:val="23"/>
          <w:szCs w:val="23"/>
          <w:lang w:eastAsia="fr-FR"/>
        </w:rPr>
        <w:t>Cette amélioration pourrait permettre de dépasser les prévisions de croissance des organisations internationales pour l’année 2017, </w:t>
      </w:r>
      <w:r w:rsidRPr="007F58AE">
        <w:rPr>
          <w:rFonts w:ascii="Times New Roman" w:eastAsia="Times New Roman" w:hAnsi="Times New Roman" w:cs="Times New Roman"/>
          <w:color w:val="000000"/>
          <w:sz w:val="23"/>
          <w:szCs w:val="23"/>
          <w:lang w:eastAsia="fr-FR"/>
        </w:rPr>
        <w:t xml:space="preserve">les plus récentes oscillant entre 0,6% (SARB, Banque Mondiale) et 0,7% (FMI, OCDE). Après une quasi-stagnation de l’activité en 2016 (+0,3%), l’activité bénéficierait en 2017 de la reprise de l’investissement privé, de la demande externe et du prix des matières premières. Ainsi, la dernière estimation de </w:t>
      </w:r>
      <w:proofErr w:type="spellStart"/>
      <w:r w:rsidRPr="007F58AE">
        <w:rPr>
          <w:rFonts w:ascii="Times New Roman" w:eastAsia="Times New Roman" w:hAnsi="Times New Roman" w:cs="Times New Roman"/>
          <w:color w:val="000000"/>
          <w:sz w:val="23"/>
          <w:szCs w:val="23"/>
          <w:lang w:eastAsia="fr-FR"/>
        </w:rPr>
        <w:t>Nedbank</w:t>
      </w:r>
      <w:proofErr w:type="spellEnd"/>
      <w:r w:rsidRPr="007F58AE">
        <w:rPr>
          <w:rFonts w:ascii="Times New Roman" w:eastAsia="Times New Roman" w:hAnsi="Times New Roman" w:cs="Times New Roman"/>
          <w:color w:val="000000"/>
          <w:sz w:val="23"/>
          <w:szCs w:val="23"/>
          <w:lang w:eastAsia="fr-FR"/>
        </w:rPr>
        <w:t>, à la suite de la sortie du chiffre de PIB pour le T3 2017, annonçait une croissance à +0,9% sur l’année pour l’Afrique du Sud.</w:t>
      </w:r>
    </w:p>
    <w:p w14:paraId="6F6B4A11" w14:textId="0DEF4A18" w:rsidR="007F58AE" w:rsidRPr="008D437F" w:rsidRDefault="007F58AE" w:rsidP="00B1555F">
      <w:pPr>
        <w:spacing w:after="0" w:line="240" w:lineRule="auto"/>
        <w:jc w:val="both"/>
        <w:rPr>
          <w:rFonts w:ascii="Times New Roman" w:hAnsi="Times New Roman" w:cs="Times New Roman"/>
        </w:rPr>
      </w:pPr>
    </w:p>
    <w:p w14:paraId="21556E3F" w14:textId="0912EF5C" w:rsidR="00B1555F" w:rsidRPr="00E501D4" w:rsidRDefault="00B1555F" w:rsidP="00B1555F">
      <w:pPr>
        <w:spacing w:after="0" w:line="240" w:lineRule="auto"/>
        <w:jc w:val="center"/>
        <w:rPr>
          <w:rFonts w:ascii="Times New Roman" w:eastAsia="Times New Roman" w:hAnsi="Times New Roman" w:cs="Times New Roman"/>
          <w:b/>
          <w:sz w:val="23"/>
          <w:szCs w:val="23"/>
          <w:lang w:eastAsia="fr-FR"/>
        </w:rPr>
      </w:pPr>
      <w:bookmarkStart w:id="0" w:name="_GoBack"/>
      <w:bookmarkEnd w:id="0"/>
      <w:r w:rsidRPr="00E501D4">
        <w:rPr>
          <w:rFonts w:ascii="Times New Roman" w:eastAsia="Times New Roman" w:hAnsi="Times New Roman" w:cs="Times New Roman"/>
          <w:b/>
          <w:sz w:val="23"/>
          <w:szCs w:val="23"/>
          <w:lang w:eastAsia="fr-FR"/>
        </w:rPr>
        <w:lastRenderedPageBreak/>
        <w:t>Structure</w:t>
      </w:r>
      <w:r>
        <w:rPr>
          <w:rFonts w:ascii="Times New Roman" w:eastAsia="Times New Roman" w:hAnsi="Times New Roman" w:cs="Times New Roman"/>
          <w:b/>
          <w:sz w:val="23"/>
          <w:szCs w:val="23"/>
          <w:lang w:eastAsia="fr-FR"/>
        </w:rPr>
        <w:t xml:space="preserve"> sectorielle</w:t>
      </w:r>
      <w:r w:rsidRPr="00E501D4">
        <w:rPr>
          <w:rFonts w:ascii="Times New Roman" w:eastAsia="Times New Roman" w:hAnsi="Times New Roman" w:cs="Times New Roman"/>
          <w:b/>
          <w:sz w:val="23"/>
          <w:szCs w:val="23"/>
          <w:lang w:eastAsia="fr-FR"/>
        </w:rPr>
        <w:t xml:space="preserve"> du PIB </w:t>
      </w:r>
      <w:r w:rsidR="00AB5AC2">
        <w:rPr>
          <w:rFonts w:ascii="Times New Roman" w:eastAsia="Times New Roman" w:hAnsi="Times New Roman" w:cs="Times New Roman"/>
          <w:b/>
          <w:sz w:val="23"/>
          <w:szCs w:val="23"/>
          <w:lang w:eastAsia="fr-FR"/>
        </w:rPr>
        <w:t>sud-africain au T3</w:t>
      </w:r>
      <w:r w:rsidRPr="005F2CA0">
        <w:rPr>
          <w:rFonts w:ascii="Times New Roman" w:eastAsia="Times New Roman" w:hAnsi="Times New Roman" w:cs="Times New Roman"/>
          <w:b/>
          <w:sz w:val="23"/>
          <w:szCs w:val="23"/>
          <w:lang w:eastAsia="fr-FR"/>
        </w:rPr>
        <w:t xml:space="preserve"> 2017</w:t>
      </w:r>
    </w:p>
    <w:p w14:paraId="657324ED" w14:textId="040F6884" w:rsidR="00B1555F" w:rsidRDefault="000A2CDD" w:rsidP="00B1555F">
      <w:pPr>
        <w:spacing w:before="100" w:beforeAutospacing="1" w:after="100" w:afterAutospacing="1" w:line="240" w:lineRule="auto"/>
        <w:jc w:val="center"/>
      </w:pPr>
      <w:r w:rsidRPr="000A2CDD">
        <w:rPr>
          <w:noProof/>
          <w:lang w:eastAsia="fr-FR"/>
        </w:rPr>
        <w:drawing>
          <wp:inline distT="0" distB="0" distL="0" distR="0" wp14:anchorId="5C363757" wp14:editId="7991E1BF">
            <wp:extent cx="2481565" cy="250000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5736" cy="2514285"/>
                    </a:xfrm>
                    <a:prstGeom prst="rect">
                      <a:avLst/>
                    </a:prstGeom>
                    <a:noFill/>
                    <a:ln>
                      <a:noFill/>
                    </a:ln>
                  </pic:spPr>
                </pic:pic>
              </a:graphicData>
            </a:graphic>
          </wp:inline>
        </w:drawing>
      </w:r>
      <w:r w:rsidRPr="000A2CDD">
        <w:t xml:space="preserve"> </w:t>
      </w:r>
    </w:p>
    <w:p w14:paraId="4F5EE354" w14:textId="77777777" w:rsidR="0041307B" w:rsidRDefault="0041307B" w:rsidP="00B1555F">
      <w:pPr>
        <w:spacing w:before="100" w:beforeAutospacing="1" w:after="100" w:afterAutospacing="1" w:line="240" w:lineRule="auto"/>
        <w:jc w:val="center"/>
      </w:pPr>
    </w:p>
    <w:p w14:paraId="4C17159E" w14:textId="07BAC6FB" w:rsidR="006D36EC" w:rsidRPr="006D36EC" w:rsidRDefault="006D36EC" w:rsidP="006D36EC">
      <w:pPr>
        <w:spacing w:after="0" w:line="240" w:lineRule="auto"/>
        <w:jc w:val="center"/>
        <w:rPr>
          <w:rFonts w:ascii="Times New Roman" w:eastAsia="Times New Roman" w:hAnsi="Times New Roman" w:cs="Times New Roman"/>
          <w:b/>
          <w:sz w:val="23"/>
          <w:szCs w:val="23"/>
          <w:lang w:eastAsia="fr-FR"/>
        </w:rPr>
      </w:pPr>
      <w:r>
        <w:rPr>
          <w:rFonts w:ascii="Times New Roman" w:eastAsia="Times New Roman" w:hAnsi="Times New Roman" w:cs="Times New Roman"/>
          <w:b/>
          <w:sz w:val="23"/>
          <w:szCs w:val="23"/>
          <w:lang w:eastAsia="fr-FR"/>
        </w:rPr>
        <w:t>Evolution du PIB en rythme trimestriel annualisé, corrigé des variations saisonnières</w:t>
      </w:r>
      <w:r w:rsidR="0041307B">
        <w:rPr>
          <w:rFonts w:ascii="Times New Roman" w:eastAsia="Times New Roman" w:hAnsi="Times New Roman" w:cs="Times New Roman"/>
          <w:b/>
          <w:sz w:val="23"/>
          <w:szCs w:val="23"/>
          <w:lang w:eastAsia="fr-FR"/>
        </w:rPr>
        <w:t xml:space="preserve"> (%)</w:t>
      </w:r>
    </w:p>
    <w:p w14:paraId="47051BEC" w14:textId="395F59F5" w:rsidR="006D36EC" w:rsidRPr="006348D7" w:rsidRDefault="007E2C34" w:rsidP="00B1555F">
      <w:pPr>
        <w:spacing w:before="100" w:beforeAutospacing="1" w:after="100" w:afterAutospacing="1" w:line="240" w:lineRule="auto"/>
        <w:jc w:val="center"/>
        <w:rPr>
          <w:rFonts w:ascii="Times New Roman" w:eastAsia="Times New Roman" w:hAnsi="Times New Roman" w:cs="Times New Roman"/>
          <w:b/>
          <w:sz w:val="23"/>
          <w:szCs w:val="23"/>
          <w:u w:val="single"/>
          <w:lang w:eastAsia="fr-FR"/>
        </w:rPr>
      </w:pPr>
      <w:r w:rsidRPr="007E2C34">
        <w:rPr>
          <w:noProof/>
          <w:lang w:eastAsia="fr-FR"/>
        </w:rPr>
        <w:drawing>
          <wp:inline distT="0" distB="0" distL="0" distR="0" wp14:anchorId="2D25EF3A" wp14:editId="2FAF5233">
            <wp:extent cx="3249038" cy="3232964"/>
            <wp:effectExtent l="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2770" cy="3256578"/>
                    </a:xfrm>
                    <a:prstGeom prst="rect">
                      <a:avLst/>
                    </a:prstGeom>
                    <a:noFill/>
                    <a:ln>
                      <a:noFill/>
                    </a:ln>
                  </pic:spPr>
                </pic:pic>
              </a:graphicData>
            </a:graphic>
          </wp:inline>
        </w:drawing>
      </w:r>
    </w:p>
    <w:p w14:paraId="0D5C813A" w14:textId="77777777" w:rsidR="00B1555F" w:rsidRDefault="00B1555F" w:rsidP="00B1555F">
      <w:pPr>
        <w:spacing w:after="0" w:line="240" w:lineRule="auto"/>
        <w:jc w:val="both"/>
        <w:rPr>
          <w:rFonts w:ascii="Times New Roman" w:hAnsi="Times New Roman" w:cs="Times New Roman"/>
          <w:sz w:val="23"/>
          <w:szCs w:val="23"/>
        </w:rPr>
      </w:pPr>
    </w:p>
    <w:p w14:paraId="30D63B7A" w14:textId="77777777" w:rsidR="00B1555F" w:rsidRPr="006348D7" w:rsidRDefault="00B1555F" w:rsidP="00B1555F">
      <w:pPr>
        <w:spacing w:after="0" w:line="240" w:lineRule="auto"/>
        <w:jc w:val="center"/>
        <w:rPr>
          <w:rFonts w:ascii="Times New Roman" w:hAnsi="Times New Roman" w:cs="Times New Roman"/>
          <w:b/>
          <w:sz w:val="23"/>
          <w:szCs w:val="23"/>
        </w:rPr>
      </w:pPr>
      <w:r w:rsidRPr="006348D7">
        <w:rPr>
          <w:rFonts w:ascii="Times New Roman" w:hAnsi="Times New Roman" w:cs="Times New Roman"/>
          <w:b/>
          <w:sz w:val="23"/>
          <w:szCs w:val="23"/>
        </w:rPr>
        <w:t>Prévisions de croissance du PIB (%)</w:t>
      </w:r>
    </w:p>
    <w:p w14:paraId="25B49402" w14:textId="77777777" w:rsidR="00B1555F" w:rsidRPr="0055572E" w:rsidRDefault="00B1555F" w:rsidP="00B1555F">
      <w:pPr>
        <w:spacing w:after="0" w:line="240" w:lineRule="auto"/>
        <w:jc w:val="both"/>
        <w:rPr>
          <w:rFonts w:ascii="Times New Roman" w:hAnsi="Times New Roman" w:cs="Times New Roman"/>
          <w:color w:val="FF0000"/>
          <w:sz w:val="23"/>
          <w:szCs w:val="23"/>
        </w:rPr>
      </w:pPr>
    </w:p>
    <w:tbl>
      <w:tblPr>
        <w:tblStyle w:val="Grilledutableau"/>
        <w:tblW w:w="0" w:type="auto"/>
        <w:jc w:val="center"/>
        <w:tblLook w:val="04A0" w:firstRow="1" w:lastRow="0" w:firstColumn="1" w:lastColumn="0" w:noHBand="0" w:noVBand="1"/>
      </w:tblPr>
      <w:tblGrid>
        <w:gridCol w:w="3042"/>
        <w:gridCol w:w="690"/>
        <w:gridCol w:w="690"/>
        <w:gridCol w:w="690"/>
        <w:gridCol w:w="690"/>
      </w:tblGrid>
      <w:tr w:rsidR="00B1555F" w:rsidRPr="0055572E" w14:paraId="6BC80B1E" w14:textId="77777777" w:rsidTr="0041307B">
        <w:trPr>
          <w:trHeight w:val="252"/>
          <w:jc w:val="center"/>
        </w:trPr>
        <w:tc>
          <w:tcPr>
            <w:tcW w:w="3042" w:type="dxa"/>
          </w:tcPr>
          <w:p w14:paraId="1B9EDEA8" w14:textId="77777777" w:rsidR="00B1555F" w:rsidRPr="005F2CA0" w:rsidRDefault="00B1555F" w:rsidP="00D04F07">
            <w:pPr>
              <w:jc w:val="both"/>
              <w:rPr>
                <w:rFonts w:ascii="Times New Roman" w:hAnsi="Times New Roman" w:cs="Times New Roman"/>
              </w:rPr>
            </w:pPr>
            <w:r w:rsidRPr="005F2CA0">
              <w:rPr>
                <w:rFonts w:ascii="Times New Roman" w:hAnsi="Times New Roman" w:cs="Times New Roman"/>
                <w:b/>
              </w:rPr>
              <w:t>Source</w:t>
            </w:r>
            <w:r w:rsidRPr="005F2CA0">
              <w:rPr>
                <w:rFonts w:ascii="Times New Roman" w:hAnsi="Times New Roman" w:cs="Times New Roman"/>
              </w:rPr>
              <w:t xml:space="preserve"> – date de la prévision</w:t>
            </w:r>
          </w:p>
        </w:tc>
        <w:tc>
          <w:tcPr>
            <w:tcW w:w="690" w:type="dxa"/>
          </w:tcPr>
          <w:p w14:paraId="38D082E9" w14:textId="77777777" w:rsidR="00B1555F" w:rsidRPr="005F2CA0" w:rsidRDefault="00B1555F" w:rsidP="00D04F07">
            <w:pPr>
              <w:jc w:val="center"/>
              <w:rPr>
                <w:rFonts w:ascii="Times New Roman" w:hAnsi="Times New Roman" w:cs="Times New Roman"/>
                <w:b/>
              </w:rPr>
            </w:pPr>
            <w:r w:rsidRPr="005F2CA0">
              <w:rPr>
                <w:rFonts w:ascii="Times New Roman" w:hAnsi="Times New Roman" w:cs="Times New Roman"/>
                <w:b/>
              </w:rPr>
              <w:t>2015</w:t>
            </w:r>
          </w:p>
        </w:tc>
        <w:tc>
          <w:tcPr>
            <w:tcW w:w="690" w:type="dxa"/>
          </w:tcPr>
          <w:p w14:paraId="323B011B" w14:textId="77777777" w:rsidR="00B1555F" w:rsidRPr="005F2CA0" w:rsidRDefault="00B1555F" w:rsidP="00D04F07">
            <w:pPr>
              <w:jc w:val="center"/>
              <w:rPr>
                <w:rFonts w:ascii="Times New Roman" w:hAnsi="Times New Roman" w:cs="Times New Roman"/>
                <w:b/>
              </w:rPr>
            </w:pPr>
            <w:r w:rsidRPr="005F2CA0">
              <w:rPr>
                <w:rFonts w:ascii="Times New Roman" w:hAnsi="Times New Roman" w:cs="Times New Roman"/>
                <w:b/>
              </w:rPr>
              <w:t>2016</w:t>
            </w:r>
          </w:p>
        </w:tc>
        <w:tc>
          <w:tcPr>
            <w:tcW w:w="690" w:type="dxa"/>
          </w:tcPr>
          <w:p w14:paraId="1CA64832" w14:textId="77777777" w:rsidR="00B1555F" w:rsidRPr="005F2CA0" w:rsidRDefault="00B1555F" w:rsidP="00D04F07">
            <w:pPr>
              <w:jc w:val="center"/>
              <w:rPr>
                <w:rFonts w:ascii="Times New Roman" w:hAnsi="Times New Roman" w:cs="Times New Roman"/>
                <w:b/>
              </w:rPr>
            </w:pPr>
            <w:r w:rsidRPr="005F2CA0">
              <w:rPr>
                <w:rFonts w:ascii="Times New Roman" w:hAnsi="Times New Roman" w:cs="Times New Roman"/>
                <w:b/>
              </w:rPr>
              <w:t>2017</w:t>
            </w:r>
          </w:p>
        </w:tc>
        <w:tc>
          <w:tcPr>
            <w:tcW w:w="690" w:type="dxa"/>
          </w:tcPr>
          <w:p w14:paraId="322C6268" w14:textId="77777777" w:rsidR="00B1555F" w:rsidRPr="005F2CA0" w:rsidRDefault="00B1555F" w:rsidP="00D04F07">
            <w:pPr>
              <w:jc w:val="center"/>
              <w:rPr>
                <w:rFonts w:ascii="Times New Roman" w:hAnsi="Times New Roman" w:cs="Times New Roman"/>
                <w:b/>
              </w:rPr>
            </w:pPr>
            <w:r w:rsidRPr="005F2CA0">
              <w:rPr>
                <w:rFonts w:ascii="Times New Roman" w:hAnsi="Times New Roman" w:cs="Times New Roman"/>
                <w:b/>
              </w:rPr>
              <w:t>2018</w:t>
            </w:r>
          </w:p>
        </w:tc>
      </w:tr>
      <w:tr w:rsidR="00B1555F" w:rsidRPr="0055572E" w14:paraId="1BF52ACE" w14:textId="77777777" w:rsidTr="0041307B">
        <w:trPr>
          <w:trHeight w:val="252"/>
          <w:jc w:val="center"/>
        </w:trPr>
        <w:tc>
          <w:tcPr>
            <w:tcW w:w="3042" w:type="dxa"/>
          </w:tcPr>
          <w:p w14:paraId="745F67D8" w14:textId="1ECE3D00" w:rsidR="00B1555F" w:rsidRPr="0055572E" w:rsidRDefault="00B1555F" w:rsidP="00ED1E48">
            <w:pPr>
              <w:jc w:val="both"/>
              <w:rPr>
                <w:rFonts w:ascii="Times New Roman" w:hAnsi="Times New Roman" w:cs="Times New Roman"/>
                <w:b/>
                <w:color w:val="FF0000"/>
              </w:rPr>
            </w:pPr>
            <w:r w:rsidRPr="00C009B3">
              <w:rPr>
                <w:rFonts w:ascii="Times New Roman" w:hAnsi="Times New Roman" w:cs="Times New Roman"/>
                <w:b/>
              </w:rPr>
              <w:t xml:space="preserve">FMI </w:t>
            </w:r>
            <w:r w:rsidRPr="00C009B3">
              <w:rPr>
                <w:rFonts w:ascii="Times New Roman" w:hAnsi="Times New Roman" w:cs="Times New Roman"/>
              </w:rPr>
              <w:t xml:space="preserve">– </w:t>
            </w:r>
            <w:r w:rsidR="00ED1E48">
              <w:rPr>
                <w:rFonts w:ascii="Times New Roman" w:hAnsi="Times New Roman" w:cs="Times New Roman"/>
              </w:rPr>
              <w:t xml:space="preserve">octobre </w:t>
            </w:r>
          </w:p>
        </w:tc>
        <w:tc>
          <w:tcPr>
            <w:tcW w:w="690" w:type="dxa"/>
            <w:vMerge w:val="restart"/>
            <w:vAlign w:val="center"/>
          </w:tcPr>
          <w:p w14:paraId="0B1FC3AE" w14:textId="77777777" w:rsidR="00B1555F" w:rsidRPr="005F2CA0" w:rsidRDefault="00B1555F" w:rsidP="00D04F07">
            <w:pPr>
              <w:jc w:val="center"/>
              <w:rPr>
                <w:rFonts w:ascii="Times New Roman" w:hAnsi="Times New Roman" w:cs="Times New Roman"/>
              </w:rPr>
            </w:pPr>
            <w:r w:rsidRPr="005F2CA0">
              <w:rPr>
                <w:rFonts w:ascii="Times New Roman" w:hAnsi="Times New Roman" w:cs="Times New Roman"/>
              </w:rPr>
              <w:t>1,3</w:t>
            </w:r>
          </w:p>
        </w:tc>
        <w:tc>
          <w:tcPr>
            <w:tcW w:w="690" w:type="dxa"/>
            <w:vMerge w:val="restart"/>
            <w:vAlign w:val="center"/>
          </w:tcPr>
          <w:p w14:paraId="5CA2A793" w14:textId="77777777" w:rsidR="00B1555F" w:rsidRPr="005F2CA0" w:rsidRDefault="00B1555F" w:rsidP="00D04F07">
            <w:pPr>
              <w:jc w:val="center"/>
              <w:rPr>
                <w:rFonts w:ascii="Times New Roman" w:hAnsi="Times New Roman" w:cs="Times New Roman"/>
              </w:rPr>
            </w:pPr>
            <w:r w:rsidRPr="005F2CA0">
              <w:rPr>
                <w:rFonts w:ascii="Times New Roman" w:hAnsi="Times New Roman" w:cs="Times New Roman"/>
              </w:rPr>
              <w:t>0,3</w:t>
            </w:r>
          </w:p>
        </w:tc>
        <w:tc>
          <w:tcPr>
            <w:tcW w:w="690" w:type="dxa"/>
            <w:vAlign w:val="center"/>
          </w:tcPr>
          <w:p w14:paraId="6703A989" w14:textId="0F453249" w:rsidR="00B1555F" w:rsidRPr="00C009B3" w:rsidRDefault="00ED1E48" w:rsidP="00D04F07">
            <w:pPr>
              <w:jc w:val="center"/>
              <w:rPr>
                <w:rFonts w:ascii="Times New Roman" w:hAnsi="Times New Roman" w:cs="Times New Roman"/>
              </w:rPr>
            </w:pPr>
            <w:r>
              <w:rPr>
                <w:rFonts w:ascii="Times New Roman" w:hAnsi="Times New Roman" w:cs="Times New Roman"/>
              </w:rPr>
              <w:t>0,7</w:t>
            </w:r>
          </w:p>
        </w:tc>
        <w:tc>
          <w:tcPr>
            <w:tcW w:w="690" w:type="dxa"/>
            <w:vAlign w:val="center"/>
          </w:tcPr>
          <w:p w14:paraId="128BE5A2" w14:textId="129EC861" w:rsidR="00B1555F" w:rsidRPr="00C009B3" w:rsidRDefault="00ED1E48" w:rsidP="00D04F07">
            <w:pPr>
              <w:jc w:val="center"/>
              <w:rPr>
                <w:rFonts w:ascii="Times New Roman" w:hAnsi="Times New Roman" w:cs="Times New Roman"/>
              </w:rPr>
            </w:pPr>
            <w:r>
              <w:rPr>
                <w:rFonts w:ascii="Times New Roman" w:hAnsi="Times New Roman" w:cs="Times New Roman"/>
              </w:rPr>
              <w:t>1,1</w:t>
            </w:r>
          </w:p>
        </w:tc>
      </w:tr>
      <w:tr w:rsidR="00B1555F" w:rsidRPr="0055572E" w14:paraId="2F0B425E" w14:textId="77777777" w:rsidTr="0041307B">
        <w:trPr>
          <w:trHeight w:val="252"/>
          <w:jc w:val="center"/>
        </w:trPr>
        <w:tc>
          <w:tcPr>
            <w:tcW w:w="3042" w:type="dxa"/>
          </w:tcPr>
          <w:p w14:paraId="2777E818" w14:textId="44AC3DDE" w:rsidR="00B1555F" w:rsidRPr="00A81AFA" w:rsidRDefault="00B1555F" w:rsidP="00ED1E48">
            <w:pPr>
              <w:jc w:val="both"/>
              <w:rPr>
                <w:rFonts w:ascii="Times New Roman" w:hAnsi="Times New Roman" w:cs="Times New Roman"/>
                <w:b/>
              </w:rPr>
            </w:pPr>
            <w:r w:rsidRPr="00A81AFA">
              <w:rPr>
                <w:rFonts w:ascii="Times New Roman" w:hAnsi="Times New Roman" w:cs="Times New Roman"/>
                <w:b/>
              </w:rPr>
              <w:t xml:space="preserve">Banque mondiale </w:t>
            </w:r>
            <w:r w:rsidR="00ED1E48">
              <w:rPr>
                <w:rFonts w:ascii="Times New Roman" w:hAnsi="Times New Roman" w:cs="Times New Roman"/>
              </w:rPr>
              <w:t>–</w:t>
            </w:r>
            <w:r w:rsidRPr="00A81AFA">
              <w:rPr>
                <w:rFonts w:ascii="Times New Roman" w:hAnsi="Times New Roman" w:cs="Times New Roman"/>
              </w:rPr>
              <w:t xml:space="preserve"> </w:t>
            </w:r>
            <w:r w:rsidR="00ED1E48">
              <w:rPr>
                <w:rFonts w:ascii="Times New Roman" w:hAnsi="Times New Roman" w:cs="Times New Roman"/>
              </w:rPr>
              <w:t>septembre</w:t>
            </w:r>
          </w:p>
        </w:tc>
        <w:tc>
          <w:tcPr>
            <w:tcW w:w="690" w:type="dxa"/>
            <w:vMerge/>
          </w:tcPr>
          <w:p w14:paraId="3E0FB098" w14:textId="77777777" w:rsidR="00B1555F" w:rsidRPr="0055572E" w:rsidRDefault="00B1555F" w:rsidP="00D04F07">
            <w:pPr>
              <w:jc w:val="both"/>
              <w:rPr>
                <w:rFonts w:ascii="Times New Roman" w:hAnsi="Times New Roman" w:cs="Times New Roman"/>
                <w:color w:val="FF0000"/>
              </w:rPr>
            </w:pPr>
          </w:p>
        </w:tc>
        <w:tc>
          <w:tcPr>
            <w:tcW w:w="690" w:type="dxa"/>
            <w:vMerge/>
          </w:tcPr>
          <w:p w14:paraId="7AF682D1" w14:textId="77777777" w:rsidR="00B1555F" w:rsidRPr="0055572E" w:rsidRDefault="00B1555F" w:rsidP="00D04F07">
            <w:pPr>
              <w:jc w:val="both"/>
              <w:rPr>
                <w:rFonts w:ascii="Times New Roman" w:hAnsi="Times New Roman" w:cs="Times New Roman"/>
                <w:color w:val="FF0000"/>
              </w:rPr>
            </w:pPr>
          </w:p>
        </w:tc>
        <w:tc>
          <w:tcPr>
            <w:tcW w:w="690" w:type="dxa"/>
            <w:vAlign w:val="center"/>
          </w:tcPr>
          <w:p w14:paraId="5E0596B1" w14:textId="77777777" w:rsidR="00B1555F" w:rsidRPr="00A81AFA" w:rsidRDefault="00B1555F" w:rsidP="00D04F07">
            <w:pPr>
              <w:jc w:val="center"/>
              <w:rPr>
                <w:rFonts w:ascii="Times New Roman" w:hAnsi="Times New Roman" w:cs="Times New Roman"/>
              </w:rPr>
            </w:pPr>
            <w:r w:rsidRPr="00A81AFA">
              <w:rPr>
                <w:rFonts w:ascii="Times New Roman" w:hAnsi="Times New Roman" w:cs="Times New Roman"/>
              </w:rPr>
              <w:t>0,6</w:t>
            </w:r>
          </w:p>
        </w:tc>
        <w:tc>
          <w:tcPr>
            <w:tcW w:w="690" w:type="dxa"/>
            <w:vAlign w:val="center"/>
          </w:tcPr>
          <w:p w14:paraId="1772ED6E" w14:textId="77777777" w:rsidR="00B1555F" w:rsidRPr="00A81AFA" w:rsidRDefault="00B1555F" w:rsidP="00D04F07">
            <w:pPr>
              <w:jc w:val="center"/>
              <w:rPr>
                <w:rFonts w:ascii="Times New Roman" w:hAnsi="Times New Roman" w:cs="Times New Roman"/>
              </w:rPr>
            </w:pPr>
            <w:r w:rsidRPr="00A81AFA">
              <w:rPr>
                <w:rFonts w:ascii="Times New Roman" w:hAnsi="Times New Roman" w:cs="Times New Roman"/>
              </w:rPr>
              <w:t>1,1</w:t>
            </w:r>
          </w:p>
        </w:tc>
      </w:tr>
      <w:tr w:rsidR="00B1555F" w:rsidRPr="0055572E" w14:paraId="4DB0986F" w14:textId="77777777" w:rsidTr="0041307B">
        <w:trPr>
          <w:trHeight w:val="268"/>
          <w:jc w:val="center"/>
        </w:trPr>
        <w:tc>
          <w:tcPr>
            <w:tcW w:w="3042" w:type="dxa"/>
          </w:tcPr>
          <w:p w14:paraId="5DFDECD5" w14:textId="3FD90C6D" w:rsidR="00B1555F" w:rsidRPr="00A81AFA" w:rsidRDefault="00B1555F" w:rsidP="00D04F07">
            <w:pPr>
              <w:jc w:val="both"/>
              <w:rPr>
                <w:rFonts w:ascii="Times New Roman" w:hAnsi="Times New Roman" w:cs="Times New Roman"/>
                <w:b/>
              </w:rPr>
            </w:pPr>
            <w:r w:rsidRPr="00A81AFA">
              <w:rPr>
                <w:rFonts w:ascii="Times New Roman" w:hAnsi="Times New Roman" w:cs="Times New Roman"/>
                <w:b/>
              </w:rPr>
              <w:t xml:space="preserve">OCDE </w:t>
            </w:r>
            <w:r w:rsidR="00ED1E48">
              <w:rPr>
                <w:rFonts w:ascii="Times New Roman" w:hAnsi="Times New Roman" w:cs="Times New Roman"/>
              </w:rPr>
              <w:t>– novembre</w:t>
            </w:r>
          </w:p>
        </w:tc>
        <w:tc>
          <w:tcPr>
            <w:tcW w:w="690" w:type="dxa"/>
            <w:vMerge/>
          </w:tcPr>
          <w:p w14:paraId="71739BAA" w14:textId="77777777" w:rsidR="00B1555F" w:rsidRPr="0055572E" w:rsidRDefault="00B1555F" w:rsidP="00D04F07">
            <w:pPr>
              <w:jc w:val="both"/>
              <w:rPr>
                <w:rFonts w:ascii="Times New Roman" w:hAnsi="Times New Roman" w:cs="Times New Roman"/>
                <w:color w:val="FF0000"/>
              </w:rPr>
            </w:pPr>
          </w:p>
        </w:tc>
        <w:tc>
          <w:tcPr>
            <w:tcW w:w="690" w:type="dxa"/>
            <w:vMerge/>
          </w:tcPr>
          <w:p w14:paraId="7B27C55C" w14:textId="77777777" w:rsidR="00B1555F" w:rsidRPr="0055572E" w:rsidRDefault="00B1555F" w:rsidP="00D04F07">
            <w:pPr>
              <w:jc w:val="both"/>
              <w:rPr>
                <w:rFonts w:ascii="Times New Roman" w:hAnsi="Times New Roman" w:cs="Times New Roman"/>
                <w:color w:val="FF0000"/>
              </w:rPr>
            </w:pPr>
          </w:p>
        </w:tc>
        <w:tc>
          <w:tcPr>
            <w:tcW w:w="690" w:type="dxa"/>
            <w:vAlign w:val="center"/>
          </w:tcPr>
          <w:p w14:paraId="3FCB5D52" w14:textId="12596CA8" w:rsidR="00B1555F" w:rsidRPr="00A81AFA" w:rsidRDefault="00ED1E48" w:rsidP="00D04F07">
            <w:pPr>
              <w:jc w:val="center"/>
              <w:rPr>
                <w:rFonts w:ascii="Times New Roman" w:hAnsi="Times New Roman" w:cs="Times New Roman"/>
              </w:rPr>
            </w:pPr>
            <w:r>
              <w:rPr>
                <w:rFonts w:ascii="Times New Roman" w:hAnsi="Times New Roman" w:cs="Times New Roman"/>
              </w:rPr>
              <w:t>0,7</w:t>
            </w:r>
          </w:p>
        </w:tc>
        <w:tc>
          <w:tcPr>
            <w:tcW w:w="690" w:type="dxa"/>
            <w:vAlign w:val="center"/>
          </w:tcPr>
          <w:p w14:paraId="77C7F937" w14:textId="1ADD58D4" w:rsidR="00B1555F" w:rsidRPr="00A81AFA" w:rsidRDefault="00ED1E48" w:rsidP="00D04F07">
            <w:pPr>
              <w:jc w:val="center"/>
              <w:rPr>
                <w:rFonts w:ascii="Times New Roman" w:hAnsi="Times New Roman" w:cs="Times New Roman"/>
              </w:rPr>
            </w:pPr>
            <w:r>
              <w:rPr>
                <w:rFonts w:ascii="Times New Roman" w:hAnsi="Times New Roman" w:cs="Times New Roman"/>
              </w:rPr>
              <w:t>1,0</w:t>
            </w:r>
          </w:p>
        </w:tc>
      </w:tr>
      <w:tr w:rsidR="00B1555F" w:rsidRPr="0055572E" w14:paraId="4BF24682" w14:textId="77777777" w:rsidTr="0041307B">
        <w:trPr>
          <w:trHeight w:val="252"/>
          <w:jc w:val="center"/>
        </w:trPr>
        <w:tc>
          <w:tcPr>
            <w:tcW w:w="3042" w:type="dxa"/>
          </w:tcPr>
          <w:p w14:paraId="0AD4B212" w14:textId="17E02701" w:rsidR="00B1555F" w:rsidRPr="0055572E" w:rsidRDefault="00B1555F" w:rsidP="00ED1E48">
            <w:pPr>
              <w:jc w:val="both"/>
              <w:rPr>
                <w:rFonts w:ascii="Times New Roman" w:hAnsi="Times New Roman" w:cs="Times New Roman"/>
                <w:b/>
                <w:color w:val="FF0000"/>
              </w:rPr>
            </w:pPr>
            <w:r w:rsidRPr="00071ABE">
              <w:rPr>
                <w:rFonts w:ascii="Times New Roman" w:hAnsi="Times New Roman" w:cs="Times New Roman"/>
                <w:b/>
              </w:rPr>
              <w:t xml:space="preserve">Banque centrale </w:t>
            </w:r>
            <w:r w:rsidRPr="00071ABE">
              <w:rPr>
                <w:rFonts w:ascii="Times New Roman" w:hAnsi="Times New Roman" w:cs="Times New Roman"/>
              </w:rPr>
              <w:t xml:space="preserve">– </w:t>
            </w:r>
            <w:r w:rsidR="00ED1E48">
              <w:rPr>
                <w:rFonts w:ascii="Times New Roman" w:hAnsi="Times New Roman" w:cs="Times New Roman"/>
              </w:rPr>
              <w:t>septembre</w:t>
            </w:r>
          </w:p>
        </w:tc>
        <w:tc>
          <w:tcPr>
            <w:tcW w:w="690" w:type="dxa"/>
            <w:vMerge/>
          </w:tcPr>
          <w:p w14:paraId="1CC0048E" w14:textId="77777777" w:rsidR="00B1555F" w:rsidRPr="0055572E" w:rsidRDefault="00B1555F" w:rsidP="00D04F07">
            <w:pPr>
              <w:jc w:val="both"/>
              <w:rPr>
                <w:rFonts w:ascii="Times New Roman" w:hAnsi="Times New Roman" w:cs="Times New Roman"/>
                <w:color w:val="FF0000"/>
              </w:rPr>
            </w:pPr>
          </w:p>
        </w:tc>
        <w:tc>
          <w:tcPr>
            <w:tcW w:w="690" w:type="dxa"/>
            <w:vMerge/>
          </w:tcPr>
          <w:p w14:paraId="0D7B6EEA" w14:textId="77777777" w:rsidR="00B1555F" w:rsidRPr="0055572E" w:rsidRDefault="00B1555F" w:rsidP="00D04F07">
            <w:pPr>
              <w:jc w:val="both"/>
              <w:rPr>
                <w:rFonts w:ascii="Times New Roman" w:hAnsi="Times New Roman" w:cs="Times New Roman"/>
                <w:color w:val="FF0000"/>
              </w:rPr>
            </w:pPr>
          </w:p>
        </w:tc>
        <w:tc>
          <w:tcPr>
            <w:tcW w:w="690" w:type="dxa"/>
            <w:shd w:val="clear" w:color="auto" w:fill="auto"/>
            <w:vAlign w:val="center"/>
          </w:tcPr>
          <w:p w14:paraId="535ACABE" w14:textId="1C34A228" w:rsidR="00B1555F" w:rsidRPr="00071ABE" w:rsidRDefault="00ED1E48" w:rsidP="00D04F07">
            <w:pPr>
              <w:jc w:val="center"/>
              <w:rPr>
                <w:rFonts w:ascii="Times New Roman" w:hAnsi="Times New Roman" w:cs="Times New Roman"/>
              </w:rPr>
            </w:pPr>
            <w:r>
              <w:rPr>
                <w:rFonts w:ascii="Times New Roman" w:hAnsi="Times New Roman" w:cs="Times New Roman"/>
              </w:rPr>
              <w:t>0,6</w:t>
            </w:r>
          </w:p>
        </w:tc>
        <w:tc>
          <w:tcPr>
            <w:tcW w:w="690" w:type="dxa"/>
            <w:shd w:val="clear" w:color="auto" w:fill="auto"/>
            <w:vAlign w:val="center"/>
          </w:tcPr>
          <w:p w14:paraId="5D20BCA7" w14:textId="77777777" w:rsidR="00B1555F" w:rsidRPr="00071ABE" w:rsidRDefault="00B1555F" w:rsidP="00D04F07">
            <w:pPr>
              <w:jc w:val="center"/>
              <w:rPr>
                <w:rFonts w:ascii="Times New Roman" w:hAnsi="Times New Roman" w:cs="Times New Roman"/>
              </w:rPr>
            </w:pPr>
            <w:r w:rsidRPr="00071ABE">
              <w:rPr>
                <w:rFonts w:ascii="Times New Roman" w:hAnsi="Times New Roman" w:cs="Times New Roman"/>
              </w:rPr>
              <w:t>1,2</w:t>
            </w:r>
          </w:p>
        </w:tc>
      </w:tr>
      <w:tr w:rsidR="00B1555F" w:rsidRPr="0055572E" w14:paraId="5593E06D" w14:textId="77777777" w:rsidTr="0041307B">
        <w:trPr>
          <w:trHeight w:val="252"/>
          <w:jc w:val="center"/>
        </w:trPr>
        <w:tc>
          <w:tcPr>
            <w:tcW w:w="3042" w:type="dxa"/>
          </w:tcPr>
          <w:p w14:paraId="2887BC06" w14:textId="4E696BA4" w:rsidR="00B1555F" w:rsidRPr="0055572E" w:rsidRDefault="00B1555F" w:rsidP="00696647">
            <w:pPr>
              <w:jc w:val="both"/>
              <w:rPr>
                <w:rFonts w:ascii="Times New Roman" w:hAnsi="Times New Roman" w:cs="Times New Roman"/>
                <w:b/>
                <w:color w:val="FF0000"/>
              </w:rPr>
            </w:pPr>
            <w:r w:rsidRPr="00FC4C18">
              <w:rPr>
                <w:rFonts w:ascii="Times New Roman" w:hAnsi="Times New Roman" w:cs="Times New Roman"/>
                <w:b/>
              </w:rPr>
              <w:t xml:space="preserve">Trésor </w:t>
            </w:r>
            <w:r w:rsidRPr="00FC4C18">
              <w:rPr>
                <w:rFonts w:ascii="Times New Roman" w:hAnsi="Times New Roman" w:cs="Times New Roman"/>
              </w:rPr>
              <w:t xml:space="preserve">– </w:t>
            </w:r>
            <w:r w:rsidR="00696647">
              <w:rPr>
                <w:rFonts w:ascii="Times New Roman" w:hAnsi="Times New Roman" w:cs="Times New Roman"/>
              </w:rPr>
              <w:t>octobre</w:t>
            </w:r>
          </w:p>
        </w:tc>
        <w:tc>
          <w:tcPr>
            <w:tcW w:w="690" w:type="dxa"/>
            <w:vMerge/>
          </w:tcPr>
          <w:p w14:paraId="7A450100" w14:textId="77777777" w:rsidR="00B1555F" w:rsidRPr="0055572E" w:rsidRDefault="00B1555F" w:rsidP="00D04F07">
            <w:pPr>
              <w:jc w:val="both"/>
              <w:rPr>
                <w:rFonts w:ascii="Times New Roman" w:hAnsi="Times New Roman" w:cs="Times New Roman"/>
                <w:color w:val="FF0000"/>
              </w:rPr>
            </w:pPr>
          </w:p>
        </w:tc>
        <w:tc>
          <w:tcPr>
            <w:tcW w:w="690" w:type="dxa"/>
            <w:vMerge/>
          </w:tcPr>
          <w:p w14:paraId="44446080" w14:textId="77777777" w:rsidR="00B1555F" w:rsidRPr="0055572E" w:rsidRDefault="00B1555F" w:rsidP="00D04F07">
            <w:pPr>
              <w:jc w:val="both"/>
              <w:rPr>
                <w:rFonts w:ascii="Times New Roman" w:hAnsi="Times New Roman" w:cs="Times New Roman"/>
                <w:color w:val="FF0000"/>
              </w:rPr>
            </w:pPr>
          </w:p>
        </w:tc>
        <w:tc>
          <w:tcPr>
            <w:tcW w:w="690" w:type="dxa"/>
            <w:vAlign w:val="center"/>
          </w:tcPr>
          <w:p w14:paraId="0E36DFF3" w14:textId="3F086604" w:rsidR="00B1555F" w:rsidRPr="00FC4C18" w:rsidRDefault="00696647" w:rsidP="00D04F07">
            <w:pPr>
              <w:jc w:val="center"/>
              <w:rPr>
                <w:rFonts w:ascii="Times New Roman" w:hAnsi="Times New Roman" w:cs="Times New Roman"/>
              </w:rPr>
            </w:pPr>
            <w:r>
              <w:rPr>
                <w:rFonts w:ascii="Times New Roman" w:hAnsi="Times New Roman" w:cs="Times New Roman"/>
              </w:rPr>
              <w:t>0,7</w:t>
            </w:r>
          </w:p>
        </w:tc>
        <w:tc>
          <w:tcPr>
            <w:tcW w:w="690" w:type="dxa"/>
            <w:vAlign w:val="center"/>
          </w:tcPr>
          <w:p w14:paraId="6A3A31C2" w14:textId="397CE5B6" w:rsidR="00B1555F" w:rsidRPr="00FC4C18" w:rsidRDefault="00696647" w:rsidP="00D04F07">
            <w:pPr>
              <w:jc w:val="center"/>
              <w:rPr>
                <w:rFonts w:ascii="Times New Roman" w:hAnsi="Times New Roman" w:cs="Times New Roman"/>
              </w:rPr>
            </w:pPr>
            <w:r>
              <w:rPr>
                <w:rFonts w:ascii="Times New Roman" w:hAnsi="Times New Roman" w:cs="Times New Roman"/>
              </w:rPr>
              <w:t>1,1</w:t>
            </w:r>
          </w:p>
        </w:tc>
      </w:tr>
      <w:tr w:rsidR="00B1555F" w:rsidRPr="0055572E" w14:paraId="5936C1C8" w14:textId="77777777" w:rsidTr="0041307B">
        <w:trPr>
          <w:trHeight w:val="252"/>
          <w:jc w:val="center"/>
        </w:trPr>
        <w:tc>
          <w:tcPr>
            <w:tcW w:w="3042" w:type="dxa"/>
          </w:tcPr>
          <w:p w14:paraId="2515A697" w14:textId="6906EA2F" w:rsidR="00B1555F" w:rsidRPr="0063470F" w:rsidRDefault="00B1555F" w:rsidP="00ED1E48">
            <w:pPr>
              <w:jc w:val="both"/>
              <w:rPr>
                <w:rFonts w:ascii="Times New Roman" w:hAnsi="Times New Roman" w:cs="Times New Roman"/>
                <w:b/>
              </w:rPr>
            </w:pPr>
            <w:proofErr w:type="spellStart"/>
            <w:r w:rsidRPr="0063470F">
              <w:rPr>
                <w:rFonts w:ascii="Times New Roman" w:hAnsi="Times New Roman" w:cs="Times New Roman"/>
                <w:b/>
                <w:i/>
              </w:rPr>
              <w:t>Nedbank</w:t>
            </w:r>
            <w:proofErr w:type="spellEnd"/>
            <w:r w:rsidRPr="0063470F">
              <w:rPr>
                <w:rFonts w:ascii="Times New Roman" w:hAnsi="Times New Roman" w:cs="Times New Roman"/>
                <w:b/>
              </w:rPr>
              <w:t xml:space="preserve"> </w:t>
            </w:r>
            <w:r w:rsidRPr="0063470F">
              <w:rPr>
                <w:rFonts w:ascii="Times New Roman" w:hAnsi="Times New Roman" w:cs="Times New Roman"/>
              </w:rPr>
              <w:t xml:space="preserve">– </w:t>
            </w:r>
            <w:r w:rsidR="00ED1E48">
              <w:rPr>
                <w:rFonts w:ascii="Times New Roman" w:hAnsi="Times New Roman" w:cs="Times New Roman"/>
              </w:rPr>
              <w:t xml:space="preserve">décembre </w:t>
            </w:r>
          </w:p>
        </w:tc>
        <w:tc>
          <w:tcPr>
            <w:tcW w:w="690" w:type="dxa"/>
            <w:vMerge/>
          </w:tcPr>
          <w:p w14:paraId="4AA4C566" w14:textId="77777777" w:rsidR="00B1555F" w:rsidRPr="0055572E" w:rsidRDefault="00B1555F" w:rsidP="00D04F07">
            <w:pPr>
              <w:jc w:val="both"/>
              <w:rPr>
                <w:rFonts w:ascii="Times New Roman" w:hAnsi="Times New Roman" w:cs="Times New Roman"/>
                <w:color w:val="FF0000"/>
              </w:rPr>
            </w:pPr>
          </w:p>
        </w:tc>
        <w:tc>
          <w:tcPr>
            <w:tcW w:w="690" w:type="dxa"/>
            <w:vMerge/>
          </w:tcPr>
          <w:p w14:paraId="2E35AC07" w14:textId="77777777" w:rsidR="00B1555F" w:rsidRPr="0055572E" w:rsidRDefault="00B1555F" w:rsidP="00D04F07">
            <w:pPr>
              <w:jc w:val="both"/>
              <w:rPr>
                <w:rFonts w:ascii="Times New Roman" w:hAnsi="Times New Roman" w:cs="Times New Roman"/>
                <w:color w:val="FF0000"/>
              </w:rPr>
            </w:pPr>
          </w:p>
        </w:tc>
        <w:tc>
          <w:tcPr>
            <w:tcW w:w="690" w:type="dxa"/>
            <w:vAlign w:val="center"/>
          </w:tcPr>
          <w:p w14:paraId="5C155771" w14:textId="17229073" w:rsidR="00B1555F" w:rsidRPr="0055572E" w:rsidRDefault="00ED1E48" w:rsidP="00D04F07">
            <w:pPr>
              <w:jc w:val="center"/>
              <w:rPr>
                <w:rFonts w:ascii="Times New Roman" w:hAnsi="Times New Roman" w:cs="Times New Roman"/>
                <w:color w:val="FF0000"/>
              </w:rPr>
            </w:pPr>
            <w:r>
              <w:rPr>
                <w:rFonts w:ascii="Times New Roman" w:hAnsi="Times New Roman" w:cs="Times New Roman"/>
              </w:rPr>
              <w:t>0,9</w:t>
            </w:r>
          </w:p>
        </w:tc>
        <w:tc>
          <w:tcPr>
            <w:tcW w:w="690" w:type="dxa"/>
            <w:vAlign w:val="center"/>
          </w:tcPr>
          <w:p w14:paraId="39C86E28" w14:textId="0725384B" w:rsidR="00B1555F" w:rsidRPr="0055572E" w:rsidRDefault="00ED1E48" w:rsidP="00D04F07">
            <w:pPr>
              <w:jc w:val="center"/>
              <w:rPr>
                <w:rFonts w:ascii="Times New Roman" w:hAnsi="Times New Roman" w:cs="Times New Roman"/>
                <w:color w:val="FF0000"/>
              </w:rPr>
            </w:pPr>
            <w:r>
              <w:rPr>
                <w:rFonts w:ascii="Times New Roman" w:hAnsi="Times New Roman" w:cs="Times New Roman"/>
              </w:rPr>
              <w:t>1,1</w:t>
            </w:r>
          </w:p>
        </w:tc>
      </w:tr>
    </w:tbl>
    <w:p w14:paraId="7D7E9A2A" w14:textId="77777777" w:rsidR="0010267B" w:rsidRDefault="0010267B" w:rsidP="00F3306F">
      <w:pPr>
        <w:spacing w:after="0" w:line="240" w:lineRule="auto"/>
        <w:jc w:val="both"/>
        <w:rPr>
          <w:rFonts w:ascii="Times New Roman" w:hAnsi="Times New Roman" w:cs="Times New Roman"/>
          <w:sz w:val="23"/>
          <w:szCs w:val="23"/>
        </w:rPr>
      </w:pPr>
    </w:p>
    <w:p w14:paraId="2854BE24" w14:textId="77777777" w:rsidR="00B1555F" w:rsidRDefault="00B1555F" w:rsidP="00F3306F">
      <w:pPr>
        <w:spacing w:after="0" w:line="240" w:lineRule="auto"/>
        <w:jc w:val="both"/>
        <w:rPr>
          <w:rFonts w:ascii="Times New Roman" w:hAnsi="Times New Roman" w:cs="Times New Roman"/>
          <w:sz w:val="23"/>
          <w:szCs w:val="23"/>
        </w:rPr>
      </w:pPr>
    </w:p>
    <w:p w14:paraId="02D79004" w14:textId="77777777" w:rsidR="00B1555F" w:rsidRDefault="00B1555F" w:rsidP="00F3306F">
      <w:pPr>
        <w:spacing w:after="0" w:line="240" w:lineRule="auto"/>
        <w:jc w:val="both"/>
        <w:rPr>
          <w:rFonts w:ascii="Times New Roman" w:hAnsi="Times New Roman" w:cs="Times New Roman"/>
          <w:sz w:val="23"/>
          <w:szCs w:val="23"/>
        </w:rPr>
      </w:pPr>
    </w:p>
    <w:p w14:paraId="22BC9E0E" w14:textId="77777777" w:rsidR="00B1555F" w:rsidRDefault="00B1555F" w:rsidP="00F3306F">
      <w:pPr>
        <w:spacing w:after="0" w:line="240" w:lineRule="auto"/>
        <w:jc w:val="both"/>
        <w:rPr>
          <w:rFonts w:ascii="Times New Roman" w:hAnsi="Times New Roman" w:cs="Times New Roman"/>
          <w:sz w:val="23"/>
          <w:szCs w:val="23"/>
        </w:rPr>
      </w:pPr>
    </w:p>
    <w:p w14:paraId="39084632" w14:textId="77777777" w:rsidR="00B1555F" w:rsidRDefault="00B1555F" w:rsidP="00F3306F">
      <w:pPr>
        <w:spacing w:after="0" w:line="240" w:lineRule="auto"/>
        <w:jc w:val="both"/>
        <w:rPr>
          <w:rFonts w:ascii="Times New Roman" w:hAnsi="Times New Roman" w:cs="Times New Roman"/>
          <w:sz w:val="23"/>
          <w:szCs w:val="23"/>
        </w:rPr>
      </w:pPr>
    </w:p>
    <w:p w14:paraId="0D79C51B" w14:textId="77777777" w:rsidR="00B1555F" w:rsidRDefault="00B1555F" w:rsidP="00F3306F">
      <w:pPr>
        <w:spacing w:after="0" w:line="240" w:lineRule="auto"/>
        <w:jc w:val="both"/>
        <w:rPr>
          <w:rFonts w:ascii="Times New Roman" w:hAnsi="Times New Roman" w:cs="Times New Roman"/>
          <w:sz w:val="23"/>
          <w:szCs w:val="23"/>
        </w:rPr>
      </w:pPr>
    </w:p>
    <w:p w14:paraId="138B6797" w14:textId="77777777" w:rsidR="00B1555F" w:rsidRDefault="00B1555F" w:rsidP="00F3306F">
      <w:pPr>
        <w:spacing w:after="0" w:line="240" w:lineRule="auto"/>
        <w:jc w:val="both"/>
        <w:rPr>
          <w:rFonts w:ascii="Times New Roman" w:hAnsi="Times New Roman" w:cs="Times New Roman"/>
          <w:sz w:val="23"/>
          <w:szCs w:val="23"/>
        </w:rPr>
      </w:pPr>
    </w:p>
    <w:p w14:paraId="6611C9F8" w14:textId="77777777" w:rsidR="00B1555F" w:rsidRDefault="00B1555F" w:rsidP="00F3306F">
      <w:pPr>
        <w:spacing w:after="0" w:line="240" w:lineRule="auto"/>
        <w:jc w:val="both"/>
        <w:rPr>
          <w:rFonts w:ascii="Times New Roman" w:hAnsi="Times New Roman" w:cs="Times New Roman"/>
          <w:sz w:val="23"/>
          <w:szCs w:val="23"/>
        </w:rPr>
      </w:pPr>
    </w:p>
    <w:p w14:paraId="537E1F30" w14:textId="77777777" w:rsidR="00B1555F" w:rsidRDefault="00B1555F" w:rsidP="00F3306F">
      <w:pPr>
        <w:spacing w:after="0" w:line="240" w:lineRule="auto"/>
        <w:jc w:val="both"/>
        <w:rPr>
          <w:rFonts w:ascii="Times New Roman" w:hAnsi="Times New Roman" w:cs="Times New Roman"/>
          <w:sz w:val="23"/>
          <w:szCs w:val="23"/>
        </w:rPr>
      </w:pPr>
    </w:p>
    <w:p w14:paraId="3563DD0E" w14:textId="77777777" w:rsidR="00B1555F" w:rsidRDefault="00B1555F" w:rsidP="00F3306F">
      <w:pPr>
        <w:spacing w:after="0" w:line="240" w:lineRule="auto"/>
        <w:jc w:val="both"/>
        <w:rPr>
          <w:rFonts w:ascii="Times New Roman" w:hAnsi="Times New Roman" w:cs="Times New Roman"/>
          <w:sz w:val="23"/>
          <w:szCs w:val="23"/>
        </w:rPr>
      </w:pPr>
    </w:p>
    <w:p w14:paraId="53242C7D" w14:textId="77777777" w:rsidR="00B1555F" w:rsidRDefault="00B1555F" w:rsidP="00F3306F">
      <w:pPr>
        <w:spacing w:after="0" w:line="240" w:lineRule="auto"/>
        <w:jc w:val="both"/>
        <w:rPr>
          <w:rFonts w:ascii="Times New Roman" w:hAnsi="Times New Roman" w:cs="Times New Roman"/>
          <w:sz w:val="23"/>
          <w:szCs w:val="23"/>
        </w:rPr>
      </w:pPr>
    </w:p>
    <w:p w14:paraId="2DCB9F69" w14:textId="77777777" w:rsidR="00B1555F" w:rsidRDefault="00B1555F" w:rsidP="00F3306F">
      <w:pPr>
        <w:spacing w:after="0" w:line="240" w:lineRule="auto"/>
        <w:jc w:val="both"/>
        <w:rPr>
          <w:rFonts w:ascii="Times New Roman" w:hAnsi="Times New Roman" w:cs="Times New Roman"/>
          <w:sz w:val="23"/>
          <w:szCs w:val="23"/>
        </w:rPr>
      </w:pPr>
    </w:p>
    <w:p w14:paraId="560F3AF3" w14:textId="77777777" w:rsidR="00B1555F" w:rsidRDefault="00B1555F" w:rsidP="00F3306F">
      <w:pPr>
        <w:spacing w:after="0" w:line="240" w:lineRule="auto"/>
        <w:jc w:val="both"/>
        <w:rPr>
          <w:rFonts w:ascii="Times New Roman" w:hAnsi="Times New Roman" w:cs="Times New Roman"/>
          <w:sz w:val="23"/>
          <w:szCs w:val="23"/>
        </w:rPr>
      </w:pPr>
    </w:p>
    <w:p w14:paraId="7E4E305D" w14:textId="77777777" w:rsidR="00B1555F" w:rsidRDefault="00B1555F" w:rsidP="00B1555F">
      <w:pPr>
        <w:spacing w:after="0" w:line="240" w:lineRule="auto"/>
        <w:jc w:val="both"/>
        <w:rPr>
          <w:rFonts w:ascii="Times New Roman" w:hAnsi="Times New Roman" w:cs="Times New Roman"/>
          <w:i/>
          <w:sz w:val="23"/>
          <w:szCs w:val="23"/>
        </w:rPr>
      </w:pPr>
    </w:p>
    <w:p w14:paraId="358B4312" w14:textId="77777777" w:rsidR="00B1555F" w:rsidRPr="002F2371" w:rsidRDefault="00B1555F" w:rsidP="00B1555F">
      <w:pPr>
        <w:spacing w:after="0" w:line="240" w:lineRule="auto"/>
        <w:jc w:val="both"/>
        <w:rPr>
          <w:rFonts w:ascii="Times New Roman" w:hAnsi="Times New Roman" w:cs="Times New Roman"/>
          <w:i/>
          <w:sz w:val="12"/>
          <w:szCs w:val="23"/>
        </w:rPr>
      </w:pPr>
    </w:p>
    <w:tbl>
      <w:tblPr>
        <w:tblW w:w="9487" w:type="dxa"/>
        <w:jc w:val="center"/>
        <w:tblBorders>
          <w:top w:val="single" w:sz="4" w:space="0" w:color="DD992E"/>
          <w:left w:val="single" w:sz="4" w:space="0" w:color="DD992E"/>
          <w:bottom w:val="single" w:sz="4" w:space="0" w:color="DD992E"/>
          <w:right w:val="single" w:sz="4" w:space="0" w:color="DD992E"/>
        </w:tblBorders>
        <w:tblLayout w:type="fixed"/>
        <w:tblCellMar>
          <w:left w:w="70" w:type="dxa"/>
          <w:right w:w="70" w:type="dxa"/>
        </w:tblCellMar>
        <w:tblLook w:val="0000" w:firstRow="0" w:lastRow="0" w:firstColumn="0" w:lastColumn="0" w:noHBand="0" w:noVBand="0"/>
      </w:tblPr>
      <w:tblGrid>
        <w:gridCol w:w="3572"/>
        <w:gridCol w:w="2286"/>
        <w:gridCol w:w="3629"/>
      </w:tblGrid>
      <w:tr w:rsidR="00671D14" w:rsidRPr="00BA477B" w14:paraId="0EBA537E" w14:textId="77777777" w:rsidTr="00671D14">
        <w:trPr>
          <w:trHeight w:val="1845"/>
          <w:jc w:val="center"/>
        </w:trPr>
        <w:tc>
          <w:tcPr>
            <w:tcW w:w="3572" w:type="dxa"/>
            <w:shd w:val="clear" w:color="auto" w:fill="auto"/>
          </w:tcPr>
          <w:p w14:paraId="10E11FA6" w14:textId="77777777" w:rsidR="00671D14" w:rsidRDefault="00671D14" w:rsidP="00671D14">
            <w:pPr>
              <w:spacing w:after="0" w:line="240" w:lineRule="auto"/>
              <w:rPr>
                <w:rFonts w:ascii="Times New Roman" w:hAnsi="Times New Roman" w:cs="Times New Roman"/>
                <w:b/>
                <w:bCs/>
                <w:color w:val="004559"/>
                <w:sz w:val="16"/>
                <w:szCs w:val="14"/>
              </w:rPr>
            </w:pPr>
            <w:r w:rsidRPr="00C573F3">
              <w:rPr>
                <w:rFonts w:ascii="Times New Roman" w:hAnsi="Times New Roman" w:cs="Times New Roman"/>
                <w:b/>
                <w:bCs/>
                <w:color w:val="004559"/>
                <w:sz w:val="16"/>
                <w:szCs w:val="14"/>
              </w:rPr>
              <w:t>Copyright</w:t>
            </w:r>
          </w:p>
          <w:p w14:paraId="2E579FED" w14:textId="77777777" w:rsidR="00671D14" w:rsidRDefault="00671D14" w:rsidP="00671D14">
            <w:pPr>
              <w:spacing w:after="0" w:line="240" w:lineRule="auto"/>
              <w:rPr>
                <w:rFonts w:ascii="Times New Roman" w:hAnsi="Times New Roman" w:cs="Times New Roman"/>
                <w:b/>
                <w:bCs/>
                <w:color w:val="004559"/>
                <w:sz w:val="16"/>
                <w:szCs w:val="14"/>
              </w:rPr>
            </w:pPr>
          </w:p>
          <w:p w14:paraId="20A0CFD5" w14:textId="77777777" w:rsidR="00671D14" w:rsidRDefault="00671D14" w:rsidP="00671D14">
            <w:pPr>
              <w:spacing w:after="0" w:line="240" w:lineRule="auto"/>
              <w:jc w:val="both"/>
              <w:rPr>
                <w:rFonts w:ascii="Times New Roman" w:hAnsi="Times New Roman" w:cs="Times New Roman"/>
                <w:bCs/>
                <w:color w:val="004559"/>
                <w:sz w:val="14"/>
                <w:szCs w:val="14"/>
              </w:rPr>
            </w:pPr>
            <w:r w:rsidRPr="00C573F3">
              <w:rPr>
                <w:rFonts w:ascii="Times New Roman" w:hAnsi="Times New Roman" w:cs="Times New Roman"/>
                <w:bCs/>
                <w:color w:val="004559"/>
                <w:sz w:val="14"/>
                <w:szCs w:val="14"/>
              </w:rPr>
              <w:t xml:space="preserve">Tous droits de reproduction réservés, sauf autorisation expresse du </w:t>
            </w:r>
            <w:bookmarkStart w:id="1" w:name="peeEntete2"/>
            <w:bookmarkEnd w:id="1"/>
            <w:r w:rsidRPr="00C573F3">
              <w:rPr>
                <w:rFonts w:ascii="Times New Roman" w:hAnsi="Times New Roman" w:cs="Times New Roman"/>
                <w:bCs/>
                <w:color w:val="004559"/>
                <w:sz w:val="14"/>
                <w:szCs w:val="14"/>
              </w:rPr>
              <w:t>Service Economique pour l’Afrique Australe.</w:t>
            </w:r>
          </w:p>
          <w:p w14:paraId="1DF23FC8" w14:textId="77777777" w:rsidR="00671D14" w:rsidRPr="00C573F3" w:rsidRDefault="00671D14" w:rsidP="00671D14">
            <w:pPr>
              <w:spacing w:after="0" w:line="240" w:lineRule="auto"/>
              <w:jc w:val="both"/>
              <w:rPr>
                <w:rFonts w:ascii="Times New Roman" w:hAnsi="Times New Roman" w:cs="Times New Roman"/>
                <w:bCs/>
                <w:color w:val="004559"/>
                <w:sz w:val="14"/>
                <w:szCs w:val="14"/>
              </w:rPr>
            </w:pPr>
          </w:p>
          <w:p w14:paraId="632E81BE" w14:textId="77777777" w:rsidR="00671D14" w:rsidRDefault="00671D14" w:rsidP="00671D14">
            <w:pPr>
              <w:spacing w:after="0" w:line="240" w:lineRule="auto"/>
              <w:rPr>
                <w:rFonts w:ascii="Times New Roman" w:hAnsi="Times New Roman" w:cs="Times New Roman"/>
                <w:b/>
                <w:bCs/>
                <w:color w:val="004559"/>
                <w:sz w:val="16"/>
                <w:szCs w:val="14"/>
              </w:rPr>
            </w:pPr>
            <w:r w:rsidRPr="00C573F3">
              <w:rPr>
                <w:rFonts w:ascii="Times New Roman" w:hAnsi="Times New Roman" w:cs="Times New Roman"/>
                <w:b/>
                <w:bCs/>
                <w:color w:val="004559"/>
                <w:sz w:val="16"/>
                <w:szCs w:val="14"/>
              </w:rPr>
              <w:t>Clause de non-responsabilité</w:t>
            </w:r>
          </w:p>
          <w:p w14:paraId="71859FFD" w14:textId="77777777" w:rsidR="00671D14" w:rsidRPr="00C573F3" w:rsidRDefault="00671D14" w:rsidP="00671D14">
            <w:pPr>
              <w:spacing w:after="0" w:line="240" w:lineRule="auto"/>
              <w:rPr>
                <w:rFonts w:ascii="Times New Roman" w:hAnsi="Times New Roman" w:cs="Times New Roman"/>
                <w:b/>
                <w:bCs/>
                <w:color w:val="004559"/>
                <w:sz w:val="16"/>
                <w:szCs w:val="14"/>
              </w:rPr>
            </w:pPr>
          </w:p>
          <w:p w14:paraId="149D8397" w14:textId="77777777" w:rsidR="00671D14" w:rsidRPr="00C573F3" w:rsidRDefault="00671D14" w:rsidP="00671D14">
            <w:pPr>
              <w:spacing w:after="0" w:line="240" w:lineRule="auto"/>
              <w:jc w:val="both"/>
              <w:rPr>
                <w:rFonts w:ascii="Times New Roman" w:hAnsi="Times New Roman" w:cs="Times New Roman"/>
              </w:rPr>
            </w:pPr>
            <w:r w:rsidRPr="00C573F3">
              <w:rPr>
                <w:rFonts w:ascii="Times New Roman" w:hAnsi="Times New Roman" w:cs="Times New Roman"/>
                <w:bCs/>
                <w:color w:val="004559"/>
                <w:sz w:val="14"/>
                <w:szCs w:val="14"/>
              </w:rPr>
              <w:t>Le</w:t>
            </w:r>
            <w:bookmarkStart w:id="2" w:name="peeEntete3"/>
            <w:bookmarkEnd w:id="2"/>
            <w:r w:rsidRPr="00C573F3">
              <w:rPr>
                <w:rFonts w:ascii="Times New Roman" w:hAnsi="Times New Roman" w:cs="Times New Roman"/>
                <w:bCs/>
                <w:color w:val="004559"/>
                <w:sz w:val="14"/>
                <w:szCs w:val="14"/>
              </w:rPr>
              <w:t xml:space="preserve"> Service Economique Régional de Pretoria s’efforce de diffuser des informations exactes et à jour, et corrigera, dans la mesure du possible, les erreurs qui lui seront signalées. Toutefois, il ne peut en aucun cas être tenu responsable de l’utilisation et de l’interprétation de l’information contenue dans cette publication.</w:t>
            </w:r>
            <w:r w:rsidRPr="001D2F13">
              <w:rPr>
                <w:rFonts w:ascii="Times New Roman" w:hAnsi="Times New Roman" w:cs="Times New Roman"/>
                <w:bCs/>
                <w:color w:val="004559"/>
                <w:sz w:val="14"/>
                <w:szCs w:val="14"/>
              </w:rPr>
              <w:t xml:space="preserve"> Ce document a été élaboré sous la responsabilité de la direction générale du Trésor et ne reflète pas nécessairement la position du ministère de l’Économie et des Finances.</w:t>
            </w:r>
          </w:p>
        </w:tc>
        <w:tc>
          <w:tcPr>
            <w:tcW w:w="2286" w:type="dxa"/>
            <w:shd w:val="clear" w:color="auto" w:fill="auto"/>
            <w:vAlign w:val="center"/>
          </w:tcPr>
          <w:p w14:paraId="79CDF8D1" w14:textId="194D5A16" w:rsidR="00671D14" w:rsidRPr="00C573F3" w:rsidRDefault="00121D2A" w:rsidP="00121D2A">
            <w:pPr>
              <w:pStyle w:val="mentionslgales"/>
              <w:keepLines/>
              <w:spacing w:line="240" w:lineRule="auto"/>
              <w:ind w:right="-1"/>
              <w:jc w:val="center"/>
              <w:rPr>
                <w:rFonts w:ascii="Times New Roman" w:hAnsi="Times New Roman"/>
              </w:rPr>
            </w:pPr>
            <w:r w:rsidRPr="00121D2A">
              <w:rPr>
                <w:rFonts w:ascii="Times New Roman" w:hAnsi="Times New Roman"/>
                <w:noProof/>
              </w:rPr>
              <w:drawing>
                <wp:inline distT="0" distB="0" distL="0" distR="0" wp14:anchorId="06613274" wp14:editId="49AE3AE9">
                  <wp:extent cx="952500" cy="1222075"/>
                  <wp:effectExtent l="0" t="0" r="0" b="0"/>
                  <wp:docPr id="1" name="Image 1" descr="\\S-PRY\Utilisateurs$\praso\Desktop\bl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Y\Utilisateurs$\praso\Desktop\blo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4251" cy="1224322"/>
                          </a:xfrm>
                          <a:prstGeom prst="rect">
                            <a:avLst/>
                          </a:prstGeom>
                          <a:noFill/>
                          <a:ln>
                            <a:noFill/>
                          </a:ln>
                        </pic:spPr>
                      </pic:pic>
                    </a:graphicData>
                  </a:graphic>
                </wp:inline>
              </w:drawing>
            </w:r>
          </w:p>
        </w:tc>
        <w:tc>
          <w:tcPr>
            <w:tcW w:w="3629" w:type="dxa"/>
            <w:shd w:val="clear" w:color="auto" w:fill="auto"/>
          </w:tcPr>
          <w:p w14:paraId="6DCF5645" w14:textId="77777777" w:rsidR="00671D14" w:rsidRDefault="00671D14" w:rsidP="00671D14">
            <w:pPr>
              <w:spacing w:after="0" w:line="240" w:lineRule="auto"/>
              <w:jc w:val="both"/>
              <w:rPr>
                <w:rFonts w:ascii="Times New Roman" w:eastAsia="Times New Roman" w:hAnsi="Times New Roman" w:cs="Times New Roman"/>
                <w:b/>
                <w:bCs/>
                <w:sz w:val="12"/>
                <w:szCs w:val="20"/>
                <w:lang w:eastAsia="fr-FR"/>
              </w:rPr>
            </w:pPr>
          </w:p>
          <w:p w14:paraId="363A17FF" w14:textId="77777777" w:rsidR="00671D14" w:rsidRDefault="00671D14" w:rsidP="00671D14">
            <w:pPr>
              <w:spacing w:after="0" w:line="240" w:lineRule="auto"/>
              <w:jc w:val="both"/>
              <w:rPr>
                <w:rFonts w:ascii="Times New Roman" w:hAnsi="Times New Roman" w:cs="Times New Roman"/>
                <w:b/>
                <w:bCs/>
                <w:color w:val="004559"/>
                <w:sz w:val="16"/>
                <w:szCs w:val="14"/>
              </w:rPr>
            </w:pPr>
          </w:p>
          <w:p w14:paraId="7A722E5C" w14:textId="77777777" w:rsidR="00671D14" w:rsidRPr="00C573F3" w:rsidRDefault="00671D14" w:rsidP="00671D14">
            <w:pPr>
              <w:spacing w:after="0" w:line="240" w:lineRule="auto"/>
              <w:jc w:val="both"/>
              <w:rPr>
                <w:rFonts w:ascii="Times New Roman" w:hAnsi="Times New Roman" w:cs="Times New Roman"/>
                <w:bCs/>
                <w:color w:val="004559"/>
                <w:sz w:val="16"/>
                <w:szCs w:val="14"/>
              </w:rPr>
            </w:pPr>
            <w:r w:rsidRPr="00C573F3">
              <w:rPr>
                <w:rFonts w:ascii="Times New Roman" w:hAnsi="Times New Roman" w:cs="Times New Roman"/>
                <w:b/>
                <w:bCs/>
                <w:color w:val="004559"/>
                <w:sz w:val="16"/>
                <w:szCs w:val="14"/>
              </w:rPr>
              <w:t xml:space="preserve">Auteur : </w:t>
            </w:r>
            <w:bookmarkStart w:id="3" w:name="auteur"/>
            <w:bookmarkEnd w:id="3"/>
            <w:r w:rsidRPr="00C573F3">
              <w:rPr>
                <w:rFonts w:ascii="Times New Roman" w:hAnsi="Times New Roman" w:cs="Times New Roman"/>
                <w:bCs/>
                <w:color w:val="004559"/>
                <w:sz w:val="16"/>
                <w:szCs w:val="14"/>
              </w:rPr>
              <w:t>Service Economique Régional de Pretoria</w:t>
            </w:r>
          </w:p>
          <w:p w14:paraId="729F1A0A" w14:textId="77777777" w:rsidR="00671D14" w:rsidRDefault="00671D14" w:rsidP="00671D14">
            <w:pPr>
              <w:spacing w:after="0" w:line="240" w:lineRule="auto"/>
              <w:jc w:val="both"/>
              <w:rPr>
                <w:rFonts w:ascii="Times New Roman" w:hAnsi="Times New Roman" w:cs="Times New Roman"/>
                <w:b/>
                <w:bCs/>
                <w:color w:val="004559"/>
                <w:sz w:val="16"/>
                <w:szCs w:val="14"/>
              </w:rPr>
            </w:pPr>
            <w:bookmarkStart w:id="4" w:name="peeEntete"/>
            <w:bookmarkStart w:id="5" w:name="peeLibel"/>
            <w:bookmarkEnd w:id="4"/>
            <w:bookmarkEnd w:id="5"/>
          </w:p>
          <w:p w14:paraId="09A15EB1" w14:textId="3599A420" w:rsidR="00671D14" w:rsidRPr="005C7945" w:rsidRDefault="00671D14" w:rsidP="008C2C51">
            <w:pPr>
              <w:spacing w:after="0" w:line="240" w:lineRule="auto"/>
              <w:jc w:val="both"/>
              <w:rPr>
                <w:rFonts w:ascii="Times New Roman" w:hAnsi="Times New Roman" w:cs="Times New Roman"/>
                <w:bCs/>
                <w:color w:val="004559"/>
                <w:sz w:val="16"/>
                <w:szCs w:val="14"/>
              </w:rPr>
            </w:pPr>
            <w:r w:rsidRPr="00C573F3">
              <w:rPr>
                <w:rFonts w:ascii="Times New Roman" w:hAnsi="Times New Roman" w:cs="Times New Roman"/>
                <w:b/>
                <w:bCs/>
                <w:color w:val="004559"/>
                <w:sz w:val="16"/>
                <w:szCs w:val="14"/>
              </w:rPr>
              <w:t xml:space="preserve">Adresse : </w:t>
            </w:r>
            <w:bookmarkStart w:id="6" w:name="adressePEE"/>
            <w:bookmarkEnd w:id="6"/>
            <w:r w:rsidRPr="00C573F3">
              <w:rPr>
                <w:rFonts w:ascii="Times New Roman" w:hAnsi="Times New Roman" w:cs="Times New Roman"/>
                <w:bCs/>
                <w:color w:val="004559"/>
                <w:sz w:val="16"/>
                <w:szCs w:val="14"/>
              </w:rPr>
              <w:t>Ambassade de France en Afrique du Sud</w:t>
            </w:r>
          </w:p>
        </w:tc>
      </w:tr>
    </w:tbl>
    <w:p w14:paraId="7533B973" w14:textId="5E429220" w:rsidR="00040FDB" w:rsidRPr="003D4FE4" w:rsidRDefault="00040FDB" w:rsidP="00507547">
      <w:pPr>
        <w:spacing w:after="0" w:line="240" w:lineRule="auto"/>
        <w:rPr>
          <w:rFonts w:ascii="Times New Roman" w:hAnsi="Times New Roman" w:cs="Times New Roman"/>
          <w:b/>
          <w:color w:val="FF0000"/>
          <w:sz w:val="23"/>
          <w:szCs w:val="23"/>
        </w:rPr>
      </w:pPr>
    </w:p>
    <w:sectPr w:rsidR="00040FDB" w:rsidRPr="003D4FE4" w:rsidSect="00507547">
      <w:headerReference w:type="first" r:id="rId11"/>
      <w:footerReference w:type="first" r:id="rId12"/>
      <w:type w:val="evenPage"/>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25734" w14:textId="77777777" w:rsidR="00E620AE" w:rsidRDefault="00E620AE" w:rsidP="00573F51">
      <w:pPr>
        <w:spacing w:after="0" w:line="240" w:lineRule="auto"/>
      </w:pPr>
      <w:r>
        <w:separator/>
      </w:r>
    </w:p>
  </w:endnote>
  <w:endnote w:type="continuationSeparator" w:id="0">
    <w:p w14:paraId="5E868BFD" w14:textId="77777777" w:rsidR="00E620AE" w:rsidRDefault="00E620AE" w:rsidP="0057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30AAF" w14:textId="435F95E8" w:rsidR="00BF5D06" w:rsidRDefault="00BF5D06" w:rsidP="00BF5D06">
    <w:pPr>
      <w:pStyle w:val="Pieddepage"/>
      <w:tabs>
        <w:tab w:val="clear" w:pos="4536"/>
        <w:tab w:val="clear" w:pos="9072"/>
        <w:tab w:val="left" w:pos="381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67E14" w14:textId="77777777" w:rsidR="00E620AE" w:rsidRDefault="00E620AE" w:rsidP="00573F51">
      <w:pPr>
        <w:spacing w:after="0" w:line="240" w:lineRule="auto"/>
      </w:pPr>
      <w:r>
        <w:separator/>
      </w:r>
    </w:p>
  </w:footnote>
  <w:footnote w:type="continuationSeparator" w:id="0">
    <w:p w14:paraId="161A297C" w14:textId="77777777" w:rsidR="00E620AE" w:rsidRDefault="00E620AE" w:rsidP="00573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32761" w14:textId="7F86CD6B" w:rsidR="00187DC1" w:rsidRDefault="00187DC1" w:rsidP="00A91993">
    <w:pPr>
      <w:pStyle w:val="En-tte"/>
      <w:ind w:left="-1417"/>
      <w:jc w:val="center"/>
    </w:pPr>
    <w:r w:rsidRPr="002B7EA2">
      <w:rPr>
        <w:noProof/>
        <w:color w:val="DD992E"/>
        <w:sz w:val="28"/>
        <w:lang w:eastAsia="fr-FR"/>
      </w:rPr>
      <w:drawing>
        <wp:anchor distT="0" distB="0" distL="114300" distR="114300" simplePos="0" relativeHeight="251659264" behindDoc="0" locked="0" layoutInCell="1" allowOverlap="1" wp14:anchorId="39A65E73" wp14:editId="3E82315A">
          <wp:simplePos x="0" y="0"/>
          <wp:positionH relativeFrom="margin">
            <wp:align>center</wp:align>
          </wp:positionH>
          <wp:positionV relativeFrom="paragraph">
            <wp:posOffset>-8117</wp:posOffset>
          </wp:positionV>
          <wp:extent cx="1472565" cy="428625"/>
          <wp:effectExtent l="0" t="0" r="0" b="9525"/>
          <wp:wrapThrough wrapText="bothSides">
            <wp:wrapPolygon edited="0">
              <wp:start x="0" y="0"/>
              <wp:lineTo x="0" y="21120"/>
              <wp:lineTo x="21237" y="21120"/>
              <wp:lineTo x="21237" y="0"/>
              <wp:lineTo x="0" y="0"/>
            </wp:wrapPolygon>
          </wp:wrapThrough>
          <wp:docPr id="11" name="Image 11" descr="/Users/Johan/Desktop/Texte DG trés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ohan/Desktop/Texte DG trés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256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838930" w14:textId="77777777" w:rsidR="00A91993" w:rsidRDefault="00A91993" w:rsidP="00A91993">
    <w:pPr>
      <w:pStyle w:val="En-tte"/>
      <w:ind w:left="-1417"/>
      <w:jc w:val="center"/>
    </w:pPr>
  </w:p>
  <w:p w14:paraId="3C5A6B9C" w14:textId="77777777" w:rsidR="00187DC1" w:rsidRDefault="00187DC1" w:rsidP="00187DC1">
    <w:pPr>
      <w:pStyle w:val="En-tte"/>
      <w:ind w:left="-360"/>
      <w:jc w:val="center"/>
      <w:rPr>
        <w:rFonts w:ascii="Times New Roman" w:hAnsi="Times New Roman" w:cs="Times New Roman"/>
        <w:b/>
        <w:smallCaps/>
        <w:color w:val="DD992E"/>
        <w:szCs w:val="16"/>
      </w:rPr>
    </w:pPr>
    <w:r>
      <w:tab/>
    </w:r>
  </w:p>
  <w:p w14:paraId="73DF226D" w14:textId="77777777" w:rsidR="00187DC1" w:rsidRPr="002B7EA2" w:rsidRDefault="00187DC1" w:rsidP="00187DC1">
    <w:pPr>
      <w:pStyle w:val="En-tte"/>
      <w:ind w:left="-360"/>
      <w:jc w:val="center"/>
      <w:rPr>
        <w:rFonts w:ascii="Times New Roman" w:hAnsi="Times New Roman" w:cs="Times New Roman"/>
        <w:b/>
        <w:smallCaps/>
        <w:color w:val="DD992E"/>
        <w:szCs w:val="16"/>
      </w:rPr>
    </w:pPr>
    <w:r w:rsidRPr="002B7EA2">
      <w:rPr>
        <w:rFonts w:ascii="Times New Roman" w:hAnsi="Times New Roman" w:cs="Times New Roman"/>
        <w:b/>
        <w:smallCaps/>
        <w:color w:val="DD992E"/>
        <w:szCs w:val="16"/>
      </w:rPr>
      <w:t>Ambassade de France en Afrique du Sud</w:t>
    </w:r>
  </w:p>
  <w:p w14:paraId="523898DF" w14:textId="77777777" w:rsidR="00187DC1" w:rsidRPr="002B7EA2" w:rsidRDefault="00187DC1" w:rsidP="00187DC1">
    <w:pPr>
      <w:pStyle w:val="En-tte"/>
      <w:ind w:left="-360"/>
      <w:jc w:val="center"/>
      <w:rPr>
        <w:rFonts w:ascii="Times New Roman" w:hAnsi="Times New Roman" w:cs="Times New Roman"/>
        <w:b/>
        <w:smallCaps/>
        <w:color w:val="DD992E"/>
        <w:szCs w:val="16"/>
      </w:rPr>
    </w:pPr>
    <w:r w:rsidRPr="002B7EA2">
      <w:rPr>
        <w:rFonts w:ascii="Times New Roman" w:hAnsi="Times New Roman" w:cs="Times New Roman"/>
        <w:b/>
        <w:smallCaps/>
        <w:color w:val="DD992E"/>
        <w:szCs w:val="16"/>
      </w:rPr>
      <w:t>Service économique Régional pour l’Afrique australe</w:t>
    </w:r>
  </w:p>
  <w:p w14:paraId="604D84CB" w14:textId="77777777" w:rsidR="00187DC1" w:rsidRDefault="00187DC1" w:rsidP="00187DC1">
    <w:pPr>
      <w:pStyle w:val="En-tte"/>
      <w:tabs>
        <w:tab w:val="clear" w:pos="9072"/>
      </w:tabs>
    </w:pPr>
    <w:r w:rsidRPr="00753635">
      <w:rPr>
        <w:noProof/>
        <w:color w:val="DD992E"/>
        <w:sz w:val="28"/>
        <w:lang w:eastAsia="fr-FR"/>
      </w:rPr>
      <mc:AlternateContent>
        <mc:Choice Requires="wps">
          <w:drawing>
            <wp:anchor distT="0" distB="0" distL="114300" distR="114300" simplePos="0" relativeHeight="251660288" behindDoc="0" locked="0" layoutInCell="1" allowOverlap="1" wp14:anchorId="23AC1FCA" wp14:editId="1D4C56E9">
              <wp:simplePos x="0" y="0"/>
              <wp:positionH relativeFrom="margin">
                <wp:align>left</wp:align>
              </wp:positionH>
              <wp:positionV relativeFrom="paragraph">
                <wp:posOffset>89306</wp:posOffset>
              </wp:positionV>
              <wp:extent cx="5518992" cy="12922"/>
              <wp:effectExtent l="0" t="0" r="24765" b="25400"/>
              <wp:wrapNone/>
              <wp:docPr id="4" name="Connecteur droit 4"/>
              <wp:cNvGraphicFramePr/>
              <a:graphic xmlns:a="http://schemas.openxmlformats.org/drawingml/2006/main">
                <a:graphicData uri="http://schemas.microsoft.com/office/word/2010/wordprocessingShape">
                  <wps:wsp>
                    <wps:cNvCnPr/>
                    <wps:spPr>
                      <a:xfrm>
                        <a:off x="0" y="0"/>
                        <a:ext cx="5518992" cy="12922"/>
                      </a:xfrm>
                      <a:prstGeom prst="line">
                        <a:avLst/>
                      </a:prstGeom>
                      <a:ln>
                        <a:solidFill>
                          <a:srgbClr val="DD992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FB52B96" id="Connecteur droit 4"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05pt" to="434.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" strokecolor="#dd992e">
              <w10:wrap anchorx="margin"/>
            </v:line>
          </w:pict>
        </mc:Fallback>
      </mc:AlternateContent>
    </w:r>
  </w:p>
  <w:p w14:paraId="37EABD22" w14:textId="77777777" w:rsidR="00CA468F" w:rsidRPr="00187DC1" w:rsidRDefault="00CA468F" w:rsidP="00187DC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1D2C41"/>
    <w:multiLevelType w:val="hybridMultilevel"/>
    <w:tmpl w:val="CA22F3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50C"/>
    <w:rsid w:val="00004319"/>
    <w:rsid w:val="00005732"/>
    <w:rsid w:val="000077D7"/>
    <w:rsid w:val="00010E2A"/>
    <w:rsid w:val="0001406C"/>
    <w:rsid w:val="00016AE5"/>
    <w:rsid w:val="00023E81"/>
    <w:rsid w:val="00024E84"/>
    <w:rsid w:val="00025EB2"/>
    <w:rsid w:val="00027D5F"/>
    <w:rsid w:val="00033271"/>
    <w:rsid w:val="00034CFE"/>
    <w:rsid w:val="00037538"/>
    <w:rsid w:val="00040393"/>
    <w:rsid w:val="00040FDB"/>
    <w:rsid w:val="000506A8"/>
    <w:rsid w:val="00051E8E"/>
    <w:rsid w:val="000544BD"/>
    <w:rsid w:val="00054D1F"/>
    <w:rsid w:val="000605F1"/>
    <w:rsid w:val="00061A5C"/>
    <w:rsid w:val="000675B3"/>
    <w:rsid w:val="00071695"/>
    <w:rsid w:val="0007257E"/>
    <w:rsid w:val="0007294D"/>
    <w:rsid w:val="0007544A"/>
    <w:rsid w:val="00081D0B"/>
    <w:rsid w:val="00083AEF"/>
    <w:rsid w:val="00085C94"/>
    <w:rsid w:val="00086B69"/>
    <w:rsid w:val="00087479"/>
    <w:rsid w:val="000900B7"/>
    <w:rsid w:val="00095E14"/>
    <w:rsid w:val="000A1BC0"/>
    <w:rsid w:val="000A1F0F"/>
    <w:rsid w:val="000A23F1"/>
    <w:rsid w:val="000A2CDD"/>
    <w:rsid w:val="000B134F"/>
    <w:rsid w:val="000B440B"/>
    <w:rsid w:val="000B4B55"/>
    <w:rsid w:val="000B512A"/>
    <w:rsid w:val="000B5F35"/>
    <w:rsid w:val="000B69B4"/>
    <w:rsid w:val="000B6ADA"/>
    <w:rsid w:val="000B7064"/>
    <w:rsid w:val="000C2986"/>
    <w:rsid w:val="000C3CF5"/>
    <w:rsid w:val="000C4E35"/>
    <w:rsid w:val="000D4CCF"/>
    <w:rsid w:val="000E2DA4"/>
    <w:rsid w:val="000E675E"/>
    <w:rsid w:val="000F2AB3"/>
    <w:rsid w:val="000F310E"/>
    <w:rsid w:val="000F3901"/>
    <w:rsid w:val="000F4CF7"/>
    <w:rsid w:val="0010067D"/>
    <w:rsid w:val="0010267B"/>
    <w:rsid w:val="00110DA0"/>
    <w:rsid w:val="00112496"/>
    <w:rsid w:val="00112C39"/>
    <w:rsid w:val="00112FD8"/>
    <w:rsid w:val="00113A43"/>
    <w:rsid w:val="00114E32"/>
    <w:rsid w:val="0011769B"/>
    <w:rsid w:val="00120252"/>
    <w:rsid w:val="00121669"/>
    <w:rsid w:val="00121B84"/>
    <w:rsid w:val="00121D2A"/>
    <w:rsid w:val="0012506A"/>
    <w:rsid w:val="001253FF"/>
    <w:rsid w:val="001255F9"/>
    <w:rsid w:val="00126D81"/>
    <w:rsid w:val="00131134"/>
    <w:rsid w:val="0013286C"/>
    <w:rsid w:val="00132D8B"/>
    <w:rsid w:val="00135D50"/>
    <w:rsid w:val="0014097C"/>
    <w:rsid w:val="00143854"/>
    <w:rsid w:val="00143E0B"/>
    <w:rsid w:val="00145CA7"/>
    <w:rsid w:val="00145D8D"/>
    <w:rsid w:val="00146BC4"/>
    <w:rsid w:val="00146C37"/>
    <w:rsid w:val="00150048"/>
    <w:rsid w:val="0015559B"/>
    <w:rsid w:val="00155A78"/>
    <w:rsid w:val="00156CF7"/>
    <w:rsid w:val="00157233"/>
    <w:rsid w:val="0016039A"/>
    <w:rsid w:val="00163C85"/>
    <w:rsid w:val="00164843"/>
    <w:rsid w:val="00165F65"/>
    <w:rsid w:val="0016725F"/>
    <w:rsid w:val="00173724"/>
    <w:rsid w:val="0018155B"/>
    <w:rsid w:val="00184CCB"/>
    <w:rsid w:val="001850B4"/>
    <w:rsid w:val="00187DC1"/>
    <w:rsid w:val="00191AC3"/>
    <w:rsid w:val="00191C41"/>
    <w:rsid w:val="00193C55"/>
    <w:rsid w:val="0019674C"/>
    <w:rsid w:val="00196D99"/>
    <w:rsid w:val="001A5541"/>
    <w:rsid w:val="001A6C3C"/>
    <w:rsid w:val="001A70A2"/>
    <w:rsid w:val="001A7AC2"/>
    <w:rsid w:val="001B06FD"/>
    <w:rsid w:val="001B1DBD"/>
    <w:rsid w:val="001B31D1"/>
    <w:rsid w:val="001B46EA"/>
    <w:rsid w:val="001B4D62"/>
    <w:rsid w:val="001B72E1"/>
    <w:rsid w:val="001B7D67"/>
    <w:rsid w:val="001B7D92"/>
    <w:rsid w:val="001C09BC"/>
    <w:rsid w:val="001C0C8E"/>
    <w:rsid w:val="001C27A2"/>
    <w:rsid w:val="001C39E4"/>
    <w:rsid w:val="001C41E4"/>
    <w:rsid w:val="001C4745"/>
    <w:rsid w:val="001D334C"/>
    <w:rsid w:val="001D6D48"/>
    <w:rsid w:val="001E13B0"/>
    <w:rsid w:val="001E3A4F"/>
    <w:rsid w:val="001E478F"/>
    <w:rsid w:val="001E55BB"/>
    <w:rsid w:val="001F2C38"/>
    <w:rsid w:val="001F44A6"/>
    <w:rsid w:val="001F47F1"/>
    <w:rsid w:val="00201364"/>
    <w:rsid w:val="00202CC8"/>
    <w:rsid w:val="002044F1"/>
    <w:rsid w:val="0020647C"/>
    <w:rsid w:val="00207840"/>
    <w:rsid w:val="00210179"/>
    <w:rsid w:val="00210C82"/>
    <w:rsid w:val="002111FF"/>
    <w:rsid w:val="0021137F"/>
    <w:rsid w:val="0021438A"/>
    <w:rsid w:val="00214513"/>
    <w:rsid w:val="00215048"/>
    <w:rsid w:val="00223D84"/>
    <w:rsid w:val="00230269"/>
    <w:rsid w:val="00230788"/>
    <w:rsid w:val="00232A9E"/>
    <w:rsid w:val="00234494"/>
    <w:rsid w:val="00236C12"/>
    <w:rsid w:val="00240275"/>
    <w:rsid w:val="00240A27"/>
    <w:rsid w:val="00240A94"/>
    <w:rsid w:val="00241E5B"/>
    <w:rsid w:val="00242DAA"/>
    <w:rsid w:val="00250A8A"/>
    <w:rsid w:val="002527C1"/>
    <w:rsid w:val="0025777F"/>
    <w:rsid w:val="00257F60"/>
    <w:rsid w:val="00257FC5"/>
    <w:rsid w:val="00263003"/>
    <w:rsid w:val="00264528"/>
    <w:rsid w:val="002675F5"/>
    <w:rsid w:val="00270C03"/>
    <w:rsid w:val="0027247C"/>
    <w:rsid w:val="00273B5B"/>
    <w:rsid w:val="002827E8"/>
    <w:rsid w:val="00283886"/>
    <w:rsid w:val="00287F8D"/>
    <w:rsid w:val="00294C00"/>
    <w:rsid w:val="00295A40"/>
    <w:rsid w:val="00297349"/>
    <w:rsid w:val="002B13B9"/>
    <w:rsid w:val="002B3ACE"/>
    <w:rsid w:val="002B7C5D"/>
    <w:rsid w:val="002C02CE"/>
    <w:rsid w:val="002C30D3"/>
    <w:rsid w:val="002C3521"/>
    <w:rsid w:val="002C5C94"/>
    <w:rsid w:val="002C6612"/>
    <w:rsid w:val="002D1137"/>
    <w:rsid w:val="002D3A52"/>
    <w:rsid w:val="002D4E37"/>
    <w:rsid w:val="002D7006"/>
    <w:rsid w:val="002E1D60"/>
    <w:rsid w:val="002E2053"/>
    <w:rsid w:val="002E300F"/>
    <w:rsid w:val="002E437B"/>
    <w:rsid w:val="002E45E8"/>
    <w:rsid w:val="002E6546"/>
    <w:rsid w:val="002E6739"/>
    <w:rsid w:val="002E7B40"/>
    <w:rsid w:val="002F5338"/>
    <w:rsid w:val="002F55E8"/>
    <w:rsid w:val="002F5CC6"/>
    <w:rsid w:val="002F5DEE"/>
    <w:rsid w:val="002F6C6B"/>
    <w:rsid w:val="002F7073"/>
    <w:rsid w:val="003003EF"/>
    <w:rsid w:val="00301178"/>
    <w:rsid w:val="0030325D"/>
    <w:rsid w:val="003054FF"/>
    <w:rsid w:val="00305823"/>
    <w:rsid w:val="00305EB6"/>
    <w:rsid w:val="00310013"/>
    <w:rsid w:val="003105B0"/>
    <w:rsid w:val="00310CFC"/>
    <w:rsid w:val="00311DD3"/>
    <w:rsid w:val="003146A5"/>
    <w:rsid w:val="00314F17"/>
    <w:rsid w:val="00317242"/>
    <w:rsid w:val="0031750A"/>
    <w:rsid w:val="003202F1"/>
    <w:rsid w:val="00321351"/>
    <w:rsid w:val="003243C9"/>
    <w:rsid w:val="003302F8"/>
    <w:rsid w:val="00331534"/>
    <w:rsid w:val="003317ED"/>
    <w:rsid w:val="00332394"/>
    <w:rsid w:val="003359EC"/>
    <w:rsid w:val="00336F60"/>
    <w:rsid w:val="00341AAF"/>
    <w:rsid w:val="00342C76"/>
    <w:rsid w:val="00350A2B"/>
    <w:rsid w:val="00350F57"/>
    <w:rsid w:val="00353BEC"/>
    <w:rsid w:val="00354FCE"/>
    <w:rsid w:val="00360CE7"/>
    <w:rsid w:val="00363860"/>
    <w:rsid w:val="003646DA"/>
    <w:rsid w:val="003663CE"/>
    <w:rsid w:val="00372DF3"/>
    <w:rsid w:val="00374CE6"/>
    <w:rsid w:val="00375AE6"/>
    <w:rsid w:val="00377CC1"/>
    <w:rsid w:val="00381B59"/>
    <w:rsid w:val="00385A5D"/>
    <w:rsid w:val="003879FC"/>
    <w:rsid w:val="0039453A"/>
    <w:rsid w:val="00394E87"/>
    <w:rsid w:val="003A0DA5"/>
    <w:rsid w:val="003A4F84"/>
    <w:rsid w:val="003A6EFE"/>
    <w:rsid w:val="003A7169"/>
    <w:rsid w:val="003A7B37"/>
    <w:rsid w:val="003A7D19"/>
    <w:rsid w:val="003B0C0C"/>
    <w:rsid w:val="003B2011"/>
    <w:rsid w:val="003B6A39"/>
    <w:rsid w:val="003C6B40"/>
    <w:rsid w:val="003D4FE4"/>
    <w:rsid w:val="003D6C39"/>
    <w:rsid w:val="003D78FB"/>
    <w:rsid w:val="003E0488"/>
    <w:rsid w:val="003E0DA9"/>
    <w:rsid w:val="003E15A8"/>
    <w:rsid w:val="003E1AFA"/>
    <w:rsid w:val="003E57FE"/>
    <w:rsid w:val="003F15F0"/>
    <w:rsid w:val="003F2242"/>
    <w:rsid w:val="003F3B77"/>
    <w:rsid w:val="003F55C0"/>
    <w:rsid w:val="003F732E"/>
    <w:rsid w:val="00401129"/>
    <w:rsid w:val="00402364"/>
    <w:rsid w:val="00403381"/>
    <w:rsid w:val="00403533"/>
    <w:rsid w:val="004124AC"/>
    <w:rsid w:val="0041307B"/>
    <w:rsid w:val="004141F4"/>
    <w:rsid w:val="00414483"/>
    <w:rsid w:val="004149D8"/>
    <w:rsid w:val="00415503"/>
    <w:rsid w:val="0041603D"/>
    <w:rsid w:val="004162C4"/>
    <w:rsid w:val="00417D68"/>
    <w:rsid w:val="00423D20"/>
    <w:rsid w:val="0042403C"/>
    <w:rsid w:val="00425077"/>
    <w:rsid w:val="00425439"/>
    <w:rsid w:val="00427816"/>
    <w:rsid w:val="0043155B"/>
    <w:rsid w:val="00431A90"/>
    <w:rsid w:val="004328E2"/>
    <w:rsid w:val="0043304C"/>
    <w:rsid w:val="00433D7E"/>
    <w:rsid w:val="004344B4"/>
    <w:rsid w:val="004405B7"/>
    <w:rsid w:val="00442051"/>
    <w:rsid w:val="00444D36"/>
    <w:rsid w:val="00445D54"/>
    <w:rsid w:val="004507D4"/>
    <w:rsid w:val="004526F9"/>
    <w:rsid w:val="00452D63"/>
    <w:rsid w:val="004540D0"/>
    <w:rsid w:val="004571C0"/>
    <w:rsid w:val="00467F75"/>
    <w:rsid w:val="0047035C"/>
    <w:rsid w:val="00470BD8"/>
    <w:rsid w:val="004745DA"/>
    <w:rsid w:val="00474866"/>
    <w:rsid w:val="00474B03"/>
    <w:rsid w:val="00475D9E"/>
    <w:rsid w:val="0048142C"/>
    <w:rsid w:val="004834C3"/>
    <w:rsid w:val="00484AAC"/>
    <w:rsid w:val="00484FFF"/>
    <w:rsid w:val="00485F92"/>
    <w:rsid w:val="00487272"/>
    <w:rsid w:val="00493C37"/>
    <w:rsid w:val="00494735"/>
    <w:rsid w:val="00496C7B"/>
    <w:rsid w:val="004A0A55"/>
    <w:rsid w:val="004A1CFD"/>
    <w:rsid w:val="004A2556"/>
    <w:rsid w:val="004A3EDD"/>
    <w:rsid w:val="004A4CB4"/>
    <w:rsid w:val="004A671D"/>
    <w:rsid w:val="004A774F"/>
    <w:rsid w:val="004A795E"/>
    <w:rsid w:val="004A7E8E"/>
    <w:rsid w:val="004B1B98"/>
    <w:rsid w:val="004B3C26"/>
    <w:rsid w:val="004B46DB"/>
    <w:rsid w:val="004B7005"/>
    <w:rsid w:val="004C1E71"/>
    <w:rsid w:val="004C2FB2"/>
    <w:rsid w:val="004C602D"/>
    <w:rsid w:val="004D0E7E"/>
    <w:rsid w:val="004D5C14"/>
    <w:rsid w:val="004D6D69"/>
    <w:rsid w:val="004D6E1E"/>
    <w:rsid w:val="004D784B"/>
    <w:rsid w:val="004E2D00"/>
    <w:rsid w:val="004E2E8C"/>
    <w:rsid w:val="004E3752"/>
    <w:rsid w:val="004E4AA9"/>
    <w:rsid w:val="004E4D0D"/>
    <w:rsid w:val="004E69B5"/>
    <w:rsid w:val="004E7157"/>
    <w:rsid w:val="004F142F"/>
    <w:rsid w:val="004F599F"/>
    <w:rsid w:val="004F654C"/>
    <w:rsid w:val="0050582F"/>
    <w:rsid w:val="00506421"/>
    <w:rsid w:val="005072A6"/>
    <w:rsid w:val="00507547"/>
    <w:rsid w:val="00510D38"/>
    <w:rsid w:val="005145B5"/>
    <w:rsid w:val="00520223"/>
    <w:rsid w:val="00522A31"/>
    <w:rsid w:val="005257DE"/>
    <w:rsid w:val="00525B55"/>
    <w:rsid w:val="00526C3F"/>
    <w:rsid w:val="0052703E"/>
    <w:rsid w:val="00527A1B"/>
    <w:rsid w:val="00530CF0"/>
    <w:rsid w:val="00531101"/>
    <w:rsid w:val="005324F7"/>
    <w:rsid w:val="00537A51"/>
    <w:rsid w:val="00537D14"/>
    <w:rsid w:val="00540C13"/>
    <w:rsid w:val="005433B3"/>
    <w:rsid w:val="00543820"/>
    <w:rsid w:val="00546308"/>
    <w:rsid w:val="00546692"/>
    <w:rsid w:val="00547959"/>
    <w:rsid w:val="00550728"/>
    <w:rsid w:val="0055110A"/>
    <w:rsid w:val="005536B8"/>
    <w:rsid w:val="00554D7C"/>
    <w:rsid w:val="00561274"/>
    <w:rsid w:val="005612C8"/>
    <w:rsid w:val="00562210"/>
    <w:rsid w:val="00563C15"/>
    <w:rsid w:val="00565553"/>
    <w:rsid w:val="005663C0"/>
    <w:rsid w:val="00573F51"/>
    <w:rsid w:val="00577788"/>
    <w:rsid w:val="005853D9"/>
    <w:rsid w:val="00590AC8"/>
    <w:rsid w:val="0059286A"/>
    <w:rsid w:val="005939FA"/>
    <w:rsid w:val="00597664"/>
    <w:rsid w:val="00597815"/>
    <w:rsid w:val="005A03C8"/>
    <w:rsid w:val="005A0437"/>
    <w:rsid w:val="005A471B"/>
    <w:rsid w:val="005A5549"/>
    <w:rsid w:val="005B0202"/>
    <w:rsid w:val="005B0601"/>
    <w:rsid w:val="005B0DCD"/>
    <w:rsid w:val="005B2496"/>
    <w:rsid w:val="005B3A8E"/>
    <w:rsid w:val="005B3CFE"/>
    <w:rsid w:val="005B56E2"/>
    <w:rsid w:val="005B69D8"/>
    <w:rsid w:val="005B6A27"/>
    <w:rsid w:val="005C315D"/>
    <w:rsid w:val="005C49DB"/>
    <w:rsid w:val="005C604D"/>
    <w:rsid w:val="005C623B"/>
    <w:rsid w:val="005D04CA"/>
    <w:rsid w:val="005D0FF8"/>
    <w:rsid w:val="005D2214"/>
    <w:rsid w:val="005D2CB3"/>
    <w:rsid w:val="005D30E0"/>
    <w:rsid w:val="005D3D32"/>
    <w:rsid w:val="005D45E8"/>
    <w:rsid w:val="005D5170"/>
    <w:rsid w:val="005E3E6A"/>
    <w:rsid w:val="005F0E9B"/>
    <w:rsid w:val="005F34B0"/>
    <w:rsid w:val="005F4BE7"/>
    <w:rsid w:val="005F7031"/>
    <w:rsid w:val="005F72D7"/>
    <w:rsid w:val="00600EBC"/>
    <w:rsid w:val="0060205B"/>
    <w:rsid w:val="00602614"/>
    <w:rsid w:val="006026AB"/>
    <w:rsid w:val="006037A8"/>
    <w:rsid w:val="00603B4E"/>
    <w:rsid w:val="00603C15"/>
    <w:rsid w:val="00611880"/>
    <w:rsid w:val="00612A37"/>
    <w:rsid w:val="0061474B"/>
    <w:rsid w:val="00616F91"/>
    <w:rsid w:val="00617355"/>
    <w:rsid w:val="006174D4"/>
    <w:rsid w:val="00617A2A"/>
    <w:rsid w:val="00620096"/>
    <w:rsid w:val="006227AE"/>
    <w:rsid w:val="006232EE"/>
    <w:rsid w:val="00625566"/>
    <w:rsid w:val="00626758"/>
    <w:rsid w:val="00630FA2"/>
    <w:rsid w:val="0063450C"/>
    <w:rsid w:val="00635046"/>
    <w:rsid w:val="00636AA5"/>
    <w:rsid w:val="0063761C"/>
    <w:rsid w:val="00637EAE"/>
    <w:rsid w:val="006422A8"/>
    <w:rsid w:val="0064307E"/>
    <w:rsid w:val="00643917"/>
    <w:rsid w:val="00646DDC"/>
    <w:rsid w:val="00650E0F"/>
    <w:rsid w:val="00652CFB"/>
    <w:rsid w:val="00655757"/>
    <w:rsid w:val="00660BF1"/>
    <w:rsid w:val="006610DB"/>
    <w:rsid w:val="00662700"/>
    <w:rsid w:val="00667001"/>
    <w:rsid w:val="00671D14"/>
    <w:rsid w:val="00684A21"/>
    <w:rsid w:val="00685614"/>
    <w:rsid w:val="006904FF"/>
    <w:rsid w:val="00690793"/>
    <w:rsid w:val="0069087E"/>
    <w:rsid w:val="00692BB5"/>
    <w:rsid w:val="006946C5"/>
    <w:rsid w:val="00696647"/>
    <w:rsid w:val="00697D3E"/>
    <w:rsid w:val="006A0BC8"/>
    <w:rsid w:val="006A0C0C"/>
    <w:rsid w:val="006A15ED"/>
    <w:rsid w:val="006A2AB9"/>
    <w:rsid w:val="006A5333"/>
    <w:rsid w:val="006A5B0A"/>
    <w:rsid w:val="006A61EA"/>
    <w:rsid w:val="006A67B5"/>
    <w:rsid w:val="006A72AA"/>
    <w:rsid w:val="006B4F41"/>
    <w:rsid w:val="006B5E18"/>
    <w:rsid w:val="006B6F35"/>
    <w:rsid w:val="006C39D7"/>
    <w:rsid w:val="006C7419"/>
    <w:rsid w:val="006C7E52"/>
    <w:rsid w:val="006D36EC"/>
    <w:rsid w:val="006D4C31"/>
    <w:rsid w:val="006D5248"/>
    <w:rsid w:val="006D586E"/>
    <w:rsid w:val="006D716A"/>
    <w:rsid w:val="006D7FA2"/>
    <w:rsid w:val="006E22A8"/>
    <w:rsid w:val="006E2716"/>
    <w:rsid w:val="006E29FC"/>
    <w:rsid w:val="006E35C3"/>
    <w:rsid w:val="006E37F5"/>
    <w:rsid w:val="006E4791"/>
    <w:rsid w:val="006E5249"/>
    <w:rsid w:val="006E5566"/>
    <w:rsid w:val="006F2C2F"/>
    <w:rsid w:val="006F3605"/>
    <w:rsid w:val="006F3B60"/>
    <w:rsid w:val="006F4A24"/>
    <w:rsid w:val="006F5596"/>
    <w:rsid w:val="006F635F"/>
    <w:rsid w:val="007004AB"/>
    <w:rsid w:val="00700619"/>
    <w:rsid w:val="00702838"/>
    <w:rsid w:val="00702923"/>
    <w:rsid w:val="00703681"/>
    <w:rsid w:val="00704ACD"/>
    <w:rsid w:val="00704FAF"/>
    <w:rsid w:val="00706AF2"/>
    <w:rsid w:val="0071743D"/>
    <w:rsid w:val="00717767"/>
    <w:rsid w:val="00717E36"/>
    <w:rsid w:val="007237CF"/>
    <w:rsid w:val="007242E1"/>
    <w:rsid w:val="00727ADE"/>
    <w:rsid w:val="00732ED3"/>
    <w:rsid w:val="007369DC"/>
    <w:rsid w:val="00737C8D"/>
    <w:rsid w:val="007430E1"/>
    <w:rsid w:val="0074408F"/>
    <w:rsid w:val="00746817"/>
    <w:rsid w:val="0074711A"/>
    <w:rsid w:val="00747E59"/>
    <w:rsid w:val="007511D9"/>
    <w:rsid w:val="00751F47"/>
    <w:rsid w:val="00752728"/>
    <w:rsid w:val="007556FB"/>
    <w:rsid w:val="007607EE"/>
    <w:rsid w:val="00761E58"/>
    <w:rsid w:val="00762EC7"/>
    <w:rsid w:val="00766DDE"/>
    <w:rsid w:val="007752D0"/>
    <w:rsid w:val="007754DA"/>
    <w:rsid w:val="00775AD5"/>
    <w:rsid w:val="007760BD"/>
    <w:rsid w:val="00776F5E"/>
    <w:rsid w:val="00777264"/>
    <w:rsid w:val="00777436"/>
    <w:rsid w:val="00780605"/>
    <w:rsid w:val="00783C05"/>
    <w:rsid w:val="00783D5E"/>
    <w:rsid w:val="007871FE"/>
    <w:rsid w:val="007876B0"/>
    <w:rsid w:val="0079060D"/>
    <w:rsid w:val="00792C9C"/>
    <w:rsid w:val="007945CD"/>
    <w:rsid w:val="007A0986"/>
    <w:rsid w:val="007A3259"/>
    <w:rsid w:val="007B1CC2"/>
    <w:rsid w:val="007B69C8"/>
    <w:rsid w:val="007C0BF9"/>
    <w:rsid w:val="007C0C41"/>
    <w:rsid w:val="007C421A"/>
    <w:rsid w:val="007D3261"/>
    <w:rsid w:val="007D61A6"/>
    <w:rsid w:val="007E2C34"/>
    <w:rsid w:val="007E359F"/>
    <w:rsid w:val="007E3D82"/>
    <w:rsid w:val="007E45EE"/>
    <w:rsid w:val="007E61FA"/>
    <w:rsid w:val="007E6632"/>
    <w:rsid w:val="007E6C29"/>
    <w:rsid w:val="007E787F"/>
    <w:rsid w:val="007F4560"/>
    <w:rsid w:val="007F5833"/>
    <w:rsid w:val="007F58AE"/>
    <w:rsid w:val="007F650D"/>
    <w:rsid w:val="007F68D8"/>
    <w:rsid w:val="007F748D"/>
    <w:rsid w:val="008025E7"/>
    <w:rsid w:val="00802ACF"/>
    <w:rsid w:val="00802DBF"/>
    <w:rsid w:val="008030CE"/>
    <w:rsid w:val="00803E97"/>
    <w:rsid w:val="00805941"/>
    <w:rsid w:val="0080750C"/>
    <w:rsid w:val="00810EFE"/>
    <w:rsid w:val="00811BFE"/>
    <w:rsid w:val="008120E9"/>
    <w:rsid w:val="008125D5"/>
    <w:rsid w:val="00813341"/>
    <w:rsid w:val="008242C6"/>
    <w:rsid w:val="00826037"/>
    <w:rsid w:val="00826920"/>
    <w:rsid w:val="0083131C"/>
    <w:rsid w:val="00831B44"/>
    <w:rsid w:val="008377BF"/>
    <w:rsid w:val="00837E41"/>
    <w:rsid w:val="00842A42"/>
    <w:rsid w:val="008437C9"/>
    <w:rsid w:val="00846C69"/>
    <w:rsid w:val="008538AB"/>
    <w:rsid w:val="00855D26"/>
    <w:rsid w:val="00855F12"/>
    <w:rsid w:val="00860D89"/>
    <w:rsid w:val="00861603"/>
    <w:rsid w:val="00861A9B"/>
    <w:rsid w:val="0086261E"/>
    <w:rsid w:val="008707CA"/>
    <w:rsid w:val="00870804"/>
    <w:rsid w:val="00872D00"/>
    <w:rsid w:val="0087428F"/>
    <w:rsid w:val="008758FE"/>
    <w:rsid w:val="008763AE"/>
    <w:rsid w:val="00880AD2"/>
    <w:rsid w:val="00880AD9"/>
    <w:rsid w:val="00881FB4"/>
    <w:rsid w:val="00884B4C"/>
    <w:rsid w:val="00887638"/>
    <w:rsid w:val="00892D81"/>
    <w:rsid w:val="0089326A"/>
    <w:rsid w:val="00896399"/>
    <w:rsid w:val="0089653C"/>
    <w:rsid w:val="008A3C19"/>
    <w:rsid w:val="008A77CE"/>
    <w:rsid w:val="008B2590"/>
    <w:rsid w:val="008B33D3"/>
    <w:rsid w:val="008B3A0C"/>
    <w:rsid w:val="008B53FF"/>
    <w:rsid w:val="008C169F"/>
    <w:rsid w:val="008C2710"/>
    <w:rsid w:val="008C2C51"/>
    <w:rsid w:val="008C37BB"/>
    <w:rsid w:val="008C46BF"/>
    <w:rsid w:val="008C69C8"/>
    <w:rsid w:val="008C766C"/>
    <w:rsid w:val="008D060D"/>
    <w:rsid w:val="008D2494"/>
    <w:rsid w:val="008D437F"/>
    <w:rsid w:val="008D5129"/>
    <w:rsid w:val="008D674E"/>
    <w:rsid w:val="008D7F50"/>
    <w:rsid w:val="008E012E"/>
    <w:rsid w:val="008E669B"/>
    <w:rsid w:val="008F5268"/>
    <w:rsid w:val="009021CE"/>
    <w:rsid w:val="00902F52"/>
    <w:rsid w:val="009052E5"/>
    <w:rsid w:val="00911072"/>
    <w:rsid w:val="009118FE"/>
    <w:rsid w:val="00911C2A"/>
    <w:rsid w:val="0091298E"/>
    <w:rsid w:val="00916B65"/>
    <w:rsid w:val="00920AF8"/>
    <w:rsid w:val="009211B1"/>
    <w:rsid w:val="00923EBD"/>
    <w:rsid w:val="00923F3D"/>
    <w:rsid w:val="00926AA5"/>
    <w:rsid w:val="009324AB"/>
    <w:rsid w:val="00933F6B"/>
    <w:rsid w:val="0093480A"/>
    <w:rsid w:val="00936BA0"/>
    <w:rsid w:val="00943064"/>
    <w:rsid w:val="00943A70"/>
    <w:rsid w:val="00945D25"/>
    <w:rsid w:val="00947C59"/>
    <w:rsid w:val="00952076"/>
    <w:rsid w:val="00952896"/>
    <w:rsid w:val="00952F62"/>
    <w:rsid w:val="00953DF7"/>
    <w:rsid w:val="00955607"/>
    <w:rsid w:val="00957709"/>
    <w:rsid w:val="00960976"/>
    <w:rsid w:val="00961FD7"/>
    <w:rsid w:val="009644B7"/>
    <w:rsid w:val="00975A51"/>
    <w:rsid w:val="009854DD"/>
    <w:rsid w:val="009874C2"/>
    <w:rsid w:val="009902AE"/>
    <w:rsid w:val="009937D9"/>
    <w:rsid w:val="009958E0"/>
    <w:rsid w:val="00996440"/>
    <w:rsid w:val="009964D9"/>
    <w:rsid w:val="00996E44"/>
    <w:rsid w:val="00997B8F"/>
    <w:rsid w:val="009A15CD"/>
    <w:rsid w:val="009A4969"/>
    <w:rsid w:val="009A7C0E"/>
    <w:rsid w:val="009B17F4"/>
    <w:rsid w:val="009B49BB"/>
    <w:rsid w:val="009B7E83"/>
    <w:rsid w:val="009C0924"/>
    <w:rsid w:val="009C2DF4"/>
    <w:rsid w:val="009C39A3"/>
    <w:rsid w:val="009C5590"/>
    <w:rsid w:val="009C7108"/>
    <w:rsid w:val="009D29D7"/>
    <w:rsid w:val="009D2E7B"/>
    <w:rsid w:val="009D4B4D"/>
    <w:rsid w:val="009D4B50"/>
    <w:rsid w:val="009D4CE2"/>
    <w:rsid w:val="009E3A9C"/>
    <w:rsid w:val="009E3CBD"/>
    <w:rsid w:val="009F3D3A"/>
    <w:rsid w:val="009F459B"/>
    <w:rsid w:val="00A05EC5"/>
    <w:rsid w:val="00A077CC"/>
    <w:rsid w:val="00A10C9E"/>
    <w:rsid w:val="00A11507"/>
    <w:rsid w:val="00A11525"/>
    <w:rsid w:val="00A117F0"/>
    <w:rsid w:val="00A127E2"/>
    <w:rsid w:val="00A164BB"/>
    <w:rsid w:val="00A178F1"/>
    <w:rsid w:val="00A211C4"/>
    <w:rsid w:val="00A24C44"/>
    <w:rsid w:val="00A26A2A"/>
    <w:rsid w:val="00A27995"/>
    <w:rsid w:val="00A30C41"/>
    <w:rsid w:val="00A31209"/>
    <w:rsid w:val="00A327D1"/>
    <w:rsid w:val="00A346B1"/>
    <w:rsid w:val="00A3537F"/>
    <w:rsid w:val="00A35586"/>
    <w:rsid w:val="00A3604E"/>
    <w:rsid w:val="00A3745E"/>
    <w:rsid w:val="00A40E63"/>
    <w:rsid w:val="00A41F26"/>
    <w:rsid w:val="00A4278A"/>
    <w:rsid w:val="00A465E4"/>
    <w:rsid w:val="00A500F2"/>
    <w:rsid w:val="00A52BBF"/>
    <w:rsid w:val="00A52E8E"/>
    <w:rsid w:val="00A53BBF"/>
    <w:rsid w:val="00A55A24"/>
    <w:rsid w:val="00A602F2"/>
    <w:rsid w:val="00A62E0B"/>
    <w:rsid w:val="00A63445"/>
    <w:rsid w:val="00A65B0E"/>
    <w:rsid w:val="00A703EC"/>
    <w:rsid w:val="00A82DC8"/>
    <w:rsid w:val="00A84991"/>
    <w:rsid w:val="00A90E4C"/>
    <w:rsid w:val="00A91993"/>
    <w:rsid w:val="00A94840"/>
    <w:rsid w:val="00A948C0"/>
    <w:rsid w:val="00A96314"/>
    <w:rsid w:val="00A97DBC"/>
    <w:rsid w:val="00AA11B5"/>
    <w:rsid w:val="00AA1C36"/>
    <w:rsid w:val="00AA1FA7"/>
    <w:rsid w:val="00AA46FE"/>
    <w:rsid w:val="00AA57CD"/>
    <w:rsid w:val="00AB1602"/>
    <w:rsid w:val="00AB1F15"/>
    <w:rsid w:val="00AB205A"/>
    <w:rsid w:val="00AB2DD4"/>
    <w:rsid w:val="00AB41B7"/>
    <w:rsid w:val="00AB51C7"/>
    <w:rsid w:val="00AB5AC2"/>
    <w:rsid w:val="00AB7711"/>
    <w:rsid w:val="00AC0A7F"/>
    <w:rsid w:val="00AC20E4"/>
    <w:rsid w:val="00AC42E4"/>
    <w:rsid w:val="00AC5834"/>
    <w:rsid w:val="00AC60DE"/>
    <w:rsid w:val="00AC733F"/>
    <w:rsid w:val="00AD3093"/>
    <w:rsid w:val="00AD424A"/>
    <w:rsid w:val="00AD663D"/>
    <w:rsid w:val="00AD6B05"/>
    <w:rsid w:val="00AD71EA"/>
    <w:rsid w:val="00AD78B9"/>
    <w:rsid w:val="00AE01C6"/>
    <w:rsid w:val="00AE1D5E"/>
    <w:rsid w:val="00AE37FF"/>
    <w:rsid w:val="00AE3A51"/>
    <w:rsid w:val="00AE7D29"/>
    <w:rsid w:val="00AF09F6"/>
    <w:rsid w:val="00AF1C44"/>
    <w:rsid w:val="00AF1CAD"/>
    <w:rsid w:val="00AF62FF"/>
    <w:rsid w:val="00AF6316"/>
    <w:rsid w:val="00B0027E"/>
    <w:rsid w:val="00B00D86"/>
    <w:rsid w:val="00B0350C"/>
    <w:rsid w:val="00B05D4E"/>
    <w:rsid w:val="00B0687C"/>
    <w:rsid w:val="00B06A1A"/>
    <w:rsid w:val="00B112BF"/>
    <w:rsid w:val="00B11B2B"/>
    <w:rsid w:val="00B148FE"/>
    <w:rsid w:val="00B14D0B"/>
    <w:rsid w:val="00B1555F"/>
    <w:rsid w:val="00B157D6"/>
    <w:rsid w:val="00B20592"/>
    <w:rsid w:val="00B21314"/>
    <w:rsid w:val="00B23C7D"/>
    <w:rsid w:val="00B24635"/>
    <w:rsid w:val="00B2476C"/>
    <w:rsid w:val="00B24C2F"/>
    <w:rsid w:val="00B24FC3"/>
    <w:rsid w:val="00B26795"/>
    <w:rsid w:val="00B34CA4"/>
    <w:rsid w:val="00B37CCF"/>
    <w:rsid w:val="00B53394"/>
    <w:rsid w:val="00B53457"/>
    <w:rsid w:val="00B576CD"/>
    <w:rsid w:val="00B614B2"/>
    <w:rsid w:val="00B638C7"/>
    <w:rsid w:val="00B65998"/>
    <w:rsid w:val="00B70E93"/>
    <w:rsid w:val="00B71035"/>
    <w:rsid w:val="00B71218"/>
    <w:rsid w:val="00B717BB"/>
    <w:rsid w:val="00B72E1A"/>
    <w:rsid w:val="00B76279"/>
    <w:rsid w:val="00B771FE"/>
    <w:rsid w:val="00B81097"/>
    <w:rsid w:val="00B82AB9"/>
    <w:rsid w:val="00B82B5D"/>
    <w:rsid w:val="00B85EF0"/>
    <w:rsid w:val="00B8632F"/>
    <w:rsid w:val="00B900F1"/>
    <w:rsid w:val="00B90756"/>
    <w:rsid w:val="00B940BE"/>
    <w:rsid w:val="00BA2D6D"/>
    <w:rsid w:val="00BA3856"/>
    <w:rsid w:val="00BA50F2"/>
    <w:rsid w:val="00BB0662"/>
    <w:rsid w:val="00BB1DCA"/>
    <w:rsid w:val="00BB6021"/>
    <w:rsid w:val="00BB6CA3"/>
    <w:rsid w:val="00BC0D14"/>
    <w:rsid w:val="00BC75D3"/>
    <w:rsid w:val="00BC7BD5"/>
    <w:rsid w:val="00BC7E85"/>
    <w:rsid w:val="00BD0B5B"/>
    <w:rsid w:val="00BD12FE"/>
    <w:rsid w:val="00BD191A"/>
    <w:rsid w:val="00BD25FF"/>
    <w:rsid w:val="00BD56C8"/>
    <w:rsid w:val="00BD7A27"/>
    <w:rsid w:val="00BE35A7"/>
    <w:rsid w:val="00BE3F1B"/>
    <w:rsid w:val="00BE43FC"/>
    <w:rsid w:val="00BE5BB1"/>
    <w:rsid w:val="00BF032E"/>
    <w:rsid w:val="00BF1BB5"/>
    <w:rsid w:val="00BF36CF"/>
    <w:rsid w:val="00BF5D06"/>
    <w:rsid w:val="00BF5FF4"/>
    <w:rsid w:val="00C01D00"/>
    <w:rsid w:val="00C03107"/>
    <w:rsid w:val="00C10196"/>
    <w:rsid w:val="00C105F5"/>
    <w:rsid w:val="00C12486"/>
    <w:rsid w:val="00C132C4"/>
    <w:rsid w:val="00C225DB"/>
    <w:rsid w:val="00C246F7"/>
    <w:rsid w:val="00C27239"/>
    <w:rsid w:val="00C3063B"/>
    <w:rsid w:val="00C359BE"/>
    <w:rsid w:val="00C37EF5"/>
    <w:rsid w:val="00C420F2"/>
    <w:rsid w:val="00C426BF"/>
    <w:rsid w:val="00C451CA"/>
    <w:rsid w:val="00C467FF"/>
    <w:rsid w:val="00C51AA6"/>
    <w:rsid w:val="00C52B39"/>
    <w:rsid w:val="00C552EE"/>
    <w:rsid w:val="00C56832"/>
    <w:rsid w:val="00C57DCE"/>
    <w:rsid w:val="00C660B6"/>
    <w:rsid w:val="00C6768F"/>
    <w:rsid w:val="00C715B0"/>
    <w:rsid w:val="00C8085F"/>
    <w:rsid w:val="00C8111A"/>
    <w:rsid w:val="00C837FB"/>
    <w:rsid w:val="00C84604"/>
    <w:rsid w:val="00C846B7"/>
    <w:rsid w:val="00C8496D"/>
    <w:rsid w:val="00C84A01"/>
    <w:rsid w:val="00C87982"/>
    <w:rsid w:val="00C901FE"/>
    <w:rsid w:val="00C91D60"/>
    <w:rsid w:val="00C92E9E"/>
    <w:rsid w:val="00C92F07"/>
    <w:rsid w:val="00C978BF"/>
    <w:rsid w:val="00CA21F2"/>
    <w:rsid w:val="00CA23A6"/>
    <w:rsid w:val="00CA468F"/>
    <w:rsid w:val="00CB3701"/>
    <w:rsid w:val="00CB3D69"/>
    <w:rsid w:val="00CB44A2"/>
    <w:rsid w:val="00CB70A4"/>
    <w:rsid w:val="00CB7A92"/>
    <w:rsid w:val="00CC06D6"/>
    <w:rsid w:val="00CC1587"/>
    <w:rsid w:val="00CC2D27"/>
    <w:rsid w:val="00CC4117"/>
    <w:rsid w:val="00CC5212"/>
    <w:rsid w:val="00CC573E"/>
    <w:rsid w:val="00CC619B"/>
    <w:rsid w:val="00CD005A"/>
    <w:rsid w:val="00CD28C6"/>
    <w:rsid w:val="00CD5A7E"/>
    <w:rsid w:val="00CD6FB7"/>
    <w:rsid w:val="00CD7538"/>
    <w:rsid w:val="00CE0112"/>
    <w:rsid w:val="00CE16A9"/>
    <w:rsid w:val="00CE500A"/>
    <w:rsid w:val="00CE5B80"/>
    <w:rsid w:val="00CF4060"/>
    <w:rsid w:val="00D00376"/>
    <w:rsid w:val="00D01374"/>
    <w:rsid w:val="00D031EB"/>
    <w:rsid w:val="00D036BE"/>
    <w:rsid w:val="00D05285"/>
    <w:rsid w:val="00D10015"/>
    <w:rsid w:val="00D13873"/>
    <w:rsid w:val="00D13895"/>
    <w:rsid w:val="00D160A1"/>
    <w:rsid w:val="00D160E1"/>
    <w:rsid w:val="00D1637A"/>
    <w:rsid w:val="00D17B82"/>
    <w:rsid w:val="00D21A6B"/>
    <w:rsid w:val="00D22EEF"/>
    <w:rsid w:val="00D230C6"/>
    <w:rsid w:val="00D232BC"/>
    <w:rsid w:val="00D23643"/>
    <w:rsid w:val="00D3003D"/>
    <w:rsid w:val="00D33301"/>
    <w:rsid w:val="00D35BC9"/>
    <w:rsid w:val="00D41566"/>
    <w:rsid w:val="00D4441B"/>
    <w:rsid w:val="00D46508"/>
    <w:rsid w:val="00D46885"/>
    <w:rsid w:val="00D501BC"/>
    <w:rsid w:val="00D51C37"/>
    <w:rsid w:val="00D524FB"/>
    <w:rsid w:val="00D53591"/>
    <w:rsid w:val="00D546CF"/>
    <w:rsid w:val="00D55CD6"/>
    <w:rsid w:val="00D603A7"/>
    <w:rsid w:val="00D619A2"/>
    <w:rsid w:val="00D622F2"/>
    <w:rsid w:val="00D7093F"/>
    <w:rsid w:val="00D7209D"/>
    <w:rsid w:val="00D74E51"/>
    <w:rsid w:val="00D755EF"/>
    <w:rsid w:val="00D75E77"/>
    <w:rsid w:val="00D77790"/>
    <w:rsid w:val="00D83A72"/>
    <w:rsid w:val="00D8770F"/>
    <w:rsid w:val="00D90969"/>
    <w:rsid w:val="00D959F1"/>
    <w:rsid w:val="00D970F5"/>
    <w:rsid w:val="00D97C46"/>
    <w:rsid w:val="00DA0416"/>
    <w:rsid w:val="00DA0597"/>
    <w:rsid w:val="00DA16FB"/>
    <w:rsid w:val="00DA4A1D"/>
    <w:rsid w:val="00DA4E5B"/>
    <w:rsid w:val="00DA593E"/>
    <w:rsid w:val="00DA7BED"/>
    <w:rsid w:val="00DB284F"/>
    <w:rsid w:val="00DB4159"/>
    <w:rsid w:val="00DC68DC"/>
    <w:rsid w:val="00DD37E1"/>
    <w:rsid w:val="00DD468F"/>
    <w:rsid w:val="00DD5C67"/>
    <w:rsid w:val="00DD7398"/>
    <w:rsid w:val="00DE1E1A"/>
    <w:rsid w:val="00DE25BD"/>
    <w:rsid w:val="00DE3088"/>
    <w:rsid w:val="00DF40D9"/>
    <w:rsid w:val="00DF4D01"/>
    <w:rsid w:val="00DF5E6C"/>
    <w:rsid w:val="00E00E7A"/>
    <w:rsid w:val="00E02242"/>
    <w:rsid w:val="00E03376"/>
    <w:rsid w:val="00E03602"/>
    <w:rsid w:val="00E0561B"/>
    <w:rsid w:val="00E05C11"/>
    <w:rsid w:val="00E07F2C"/>
    <w:rsid w:val="00E145CA"/>
    <w:rsid w:val="00E15463"/>
    <w:rsid w:val="00E233B2"/>
    <w:rsid w:val="00E2375D"/>
    <w:rsid w:val="00E25259"/>
    <w:rsid w:val="00E27123"/>
    <w:rsid w:val="00E3111A"/>
    <w:rsid w:val="00E31356"/>
    <w:rsid w:val="00E33882"/>
    <w:rsid w:val="00E34B72"/>
    <w:rsid w:val="00E365F2"/>
    <w:rsid w:val="00E36F3C"/>
    <w:rsid w:val="00E375F5"/>
    <w:rsid w:val="00E42FCB"/>
    <w:rsid w:val="00E453ED"/>
    <w:rsid w:val="00E4661A"/>
    <w:rsid w:val="00E50257"/>
    <w:rsid w:val="00E50372"/>
    <w:rsid w:val="00E503B3"/>
    <w:rsid w:val="00E509B4"/>
    <w:rsid w:val="00E50CD9"/>
    <w:rsid w:val="00E579C6"/>
    <w:rsid w:val="00E60C05"/>
    <w:rsid w:val="00E60D99"/>
    <w:rsid w:val="00E61C76"/>
    <w:rsid w:val="00E620AE"/>
    <w:rsid w:val="00E71A54"/>
    <w:rsid w:val="00E7306D"/>
    <w:rsid w:val="00E73592"/>
    <w:rsid w:val="00E7359D"/>
    <w:rsid w:val="00E77798"/>
    <w:rsid w:val="00E8021E"/>
    <w:rsid w:val="00E82EA7"/>
    <w:rsid w:val="00E834DE"/>
    <w:rsid w:val="00E848EB"/>
    <w:rsid w:val="00E92C54"/>
    <w:rsid w:val="00E9588A"/>
    <w:rsid w:val="00E975DC"/>
    <w:rsid w:val="00EA00EF"/>
    <w:rsid w:val="00EA5A8B"/>
    <w:rsid w:val="00EA7219"/>
    <w:rsid w:val="00EB0AF8"/>
    <w:rsid w:val="00EB1417"/>
    <w:rsid w:val="00EB4D8D"/>
    <w:rsid w:val="00EB61FB"/>
    <w:rsid w:val="00EB6CA5"/>
    <w:rsid w:val="00EB7213"/>
    <w:rsid w:val="00EB789E"/>
    <w:rsid w:val="00EC09A6"/>
    <w:rsid w:val="00EC1E4A"/>
    <w:rsid w:val="00EC392A"/>
    <w:rsid w:val="00EC7AB0"/>
    <w:rsid w:val="00EC7EEC"/>
    <w:rsid w:val="00EC7F99"/>
    <w:rsid w:val="00ED1CEF"/>
    <w:rsid w:val="00ED1E48"/>
    <w:rsid w:val="00ED45F9"/>
    <w:rsid w:val="00ED5C2E"/>
    <w:rsid w:val="00ED7D49"/>
    <w:rsid w:val="00ED7F05"/>
    <w:rsid w:val="00EE124A"/>
    <w:rsid w:val="00EE221B"/>
    <w:rsid w:val="00EE73DE"/>
    <w:rsid w:val="00EE7571"/>
    <w:rsid w:val="00EE7B16"/>
    <w:rsid w:val="00EF01DA"/>
    <w:rsid w:val="00EF1082"/>
    <w:rsid w:val="00EF4BE3"/>
    <w:rsid w:val="00EF5B04"/>
    <w:rsid w:val="00F03189"/>
    <w:rsid w:val="00F035F9"/>
    <w:rsid w:val="00F036AC"/>
    <w:rsid w:val="00F06816"/>
    <w:rsid w:val="00F07D2E"/>
    <w:rsid w:val="00F1229A"/>
    <w:rsid w:val="00F141CC"/>
    <w:rsid w:val="00F17C01"/>
    <w:rsid w:val="00F22C3C"/>
    <w:rsid w:val="00F2643A"/>
    <w:rsid w:val="00F276D4"/>
    <w:rsid w:val="00F32E06"/>
    <w:rsid w:val="00F3306F"/>
    <w:rsid w:val="00F35500"/>
    <w:rsid w:val="00F3634E"/>
    <w:rsid w:val="00F36F6A"/>
    <w:rsid w:val="00F3755F"/>
    <w:rsid w:val="00F42A6E"/>
    <w:rsid w:val="00F45ACF"/>
    <w:rsid w:val="00F47561"/>
    <w:rsid w:val="00F513DB"/>
    <w:rsid w:val="00F54CF9"/>
    <w:rsid w:val="00F55150"/>
    <w:rsid w:val="00F56E84"/>
    <w:rsid w:val="00F619B0"/>
    <w:rsid w:val="00F6403E"/>
    <w:rsid w:val="00F67651"/>
    <w:rsid w:val="00F70638"/>
    <w:rsid w:val="00F71378"/>
    <w:rsid w:val="00F71A40"/>
    <w:rsid w:val="00F722FA"/>
    <w:rsid w:val="00F73759"/>
    <w:rsid w:val="00F73B6C"/>
    <w:rsid w:val="00F76D65"/>
    <w:rsid w:val="00F77817"/>
    <w:rsid w:val="00F77BC7"/>
    <w:rsid w:val="00F81855"/>
    <w:rsid w:val="00F83244"/>
    <w:rsid w:val="00F85B55"/>
    <w:rsid w:val="00F864E3"/>
    <w:rsid w:val="00F86C94"/>
    <w:rsid w:val="00F87422"/>
    <w:rsid w:val="00F925D3"/>
    <w:rsid w:val="00F9305A"/>
    <w:rsid w:val="00F94F96"/>
    <w:rsid w:val="00FA0FAF"/>
    <w:rsid w:val="00FA1C81"/>
    <w:rsid w:val="00FA5630"/>
    <w:rsid w:val="00FA5868"/>
    <w:rsid w:val="00FA6387"/>
    <w:rsid w:val="00FB029A"/>
    <w:rsid w:val="00FB3F6A"/>
    <w:rsid w:val="00FB4886"/>
    <w:rsid w:val="00FB666C"/>
    <w:rsid w:val="00FB778D"/>
    <w:rsid w:val="00FC0826"/>
    <w:rsid w:val="00FC1022"/>
    <w:rsid w:val="00FC6197"/>
    <w:rsid w:val="00FD11A7"/>
    <w:rsid w:val="00FD1B3A"/>
    <w:rsid w:val="00FD1D11"/>
    <w:rsid w:val="00FD3B0D"/>
    <w:rsid w:val="00FD472E"/>
    <w:rsid w:val="00FD4FD8"/>
    <w:rsid w:val="00FD6DC7"/>
    <w:rsid w:val="00FE10F2"/>
    <w:rsid w:val="00FE17D2"/>
    <w:rsid w:val="00FE2623"/>
    <w:rsid w:val="00FE7307"/>
    <w:rsid w:val="00FE7CFB"/>
    <w:rsid w:val="00FF2D7F"/>
    <w:rsid w:val="00FF323B"/>
    <w:rsid w:val="00FF33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FA472"/>
  <w15:docId w15:val="{753C83BD-4E8B-4C12-B139-4F40F507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3131C"/>
    <w:pPr>
      <w:ind w:left="720"/>
      <w:contextualSpacing/>
    </w:pPr>
  </w:style>
  <w:style w:type="paragraph" w:styleId="En-tte">
    <w:name w:val="header"/>
    <w:basedOn w:val="Normal"/>
    <w:link w:val="En-tteCar"/>
    <w:uiPriority w:val="99"/>
    <w:unhideWhenUsed/>
    <w:rsid w:val="00573F51"/>
    <w:pPr>
      <w:tabs>
        <w:tab w:val="center" w:pos="4536"/>
        <w:tab w:val="right" w:pos="9072"/>
      </w:tabs>
      <w:spacing w:after="0" w:line="240" w:lineRule="auto"/>
    </w:pPr>
  </w:style>
  <w:style w:type="character" w:customStyle="1" w:styleId="En-tteCar">
    <w:name w:val="En-tête Car"/>
    <w:basedOn w:val="Policepardfaut"/>
    <w:link w:val="En-tte"/>
    <w:uiPriority w:val="99"/>
    <w:rsid w:val="00573F51"/>
  </w:style>
  <w:style w:type="paragraph" w:styleId="Pieddepage">
    <w:name w:val="footer"/>
    <w:basedOn w:val="Normal"/>
    <w:link w:val="PieddepageCar"/>
    <w:uiPriority w:val="99"/>
    <w:unhideWhenUsed/>
    <w:rsid w:val="00573F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3F51"/>
  </w:style>
  <w:style w:type="paragraph" w:styleId="Textedebulles">
    <w:name w:val="Balloon Text"/>
    <w:basedOn w:val="Normal"/>
    <w:link w:val="TextedebullesCar"/>
    <w:uiPriority w:val="99"/>
    <w:semiHidden/>
    <w:unhideWhenUsed/>
    <w:rsid w:val="00573F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3F51"/>
    <w:rPr>
      <w:rFonts w:ascii="Tahoma" w:hAnsi="Tahoma" w:cs="Tahoma"/>
      <w:sz w:val="16"/>
      <w:szCs w:val="16"/>
    </w:rPr>
  </w:style>
  <w:style w:type="paragraph" w:styleId="Notedebasdepage">
    <w:name w:val="footnote text"/>
    <w:basedOn w:val="Normal"/>
    <w:link w:val="NotedebasdepageCar"/>
    <w:unhideWhenUsed/>
    <w:rsid w:val="006A67B5"/>
    <w:pPr>
      <w:spacing w:after="0" w:line="240" w:lineRule="auto"/>
    </w:pPr>
    <w:rPr>
      <w:sz w:val="20"/>
      <w:szCs w:val="20"/>
    </w:rPr>
  </w:style>
  <w:style w:type="character" w:customStyle="1" w:styleId="NotedebasdepageCar">
    <w:name w:val="Note de bas de page Car"/>
    <w:basedOn w:val="Policepardfaut"/>
    <w:link w:val="Notedebasdepage"/>
    <w:rsid w:val="006A67B5"/>
    <w:rPr>
      <w:sz w:val="20"/>
      <w:szCs w:val="20"/>
    </w:rPr>
  </w:style>
  <w:style w:type="character" w:styleId="Appelnotedebasdep">
    <w:name w:val="footnote reference"/>
    <w:basedOn w:val="Policepardfaut"/>
    <w:unhideWhenUsed/>
    <w:rsid w:val="006A67B5"/>
    <w:rPr>
      <w:vertAlign w:val="superscript"/>
    </w:rPr>
  </w:style>
  <w:style w:type="character" w:styleId="Marquedecommentaire">
    <w:name w:val="annotation reference"/>
    <w:basedOn w:val="Policepardfaut"/>
    <w:uiPriority w:val="99"/>
    <w:semiHidden/>
    <w:unhideWhenUsed/>
    <w:rsid w:val="00BE43FC"/>
    <w:rPr>
      <w:sz w:val="16"/>
      <w:szCs w:val="16"/>
    </w:rPr>
  </w:style>
  <w:style w:type="paragraph" w:styleId="Commentaire">
    <w:name w:val="annotation text"/>
    <w:basedOn w:val="Normal"/>
    <w:link w:val="CommentaireCar"/>
    <w:uiPriority w:val="99"/>
    <w:semiHidden/>
    <w:unhideWhenUsed/>
    <w:rsid w:val="00BE43FC"/>
    <w:pPr>
      <w:spacing w:line="240" w:lineRule="auto"/>
    </w:pPr>
    <w:rPr>
      <w:sz w:val="20"/>
      <w:szCs w:val="20"/>
    </w:rPr>
  </w:style>
  <w:style w:type="character" w:customStyle="1" w:styleId="CommentaireCar">
    <w:name w:val="Commentaire Car"/>
    <w:basedOn w:val="Policepardfaut"/>
    <w:link w:val="Commentaire"/>
    <w:uiPriority w:val="99"/>
    <w:semiHidden/>
    <w:rsid w:val="00BE43FC"/>
    <w:rPr>
      <w:sz w:val="20"/>
      <w:szCs w:val="20"/>
    </w:rPr>
  </w:style>
  <w:style w:type="paragraph" w:styleId="Objetducommentaire">
    <w:name w:val="annotation subject"/>
    <w:basedOn w:val="Commentaire"/>
    <w:next w:val="Commentaire"/>
    <w:link w:val="ObjetducommentaireCar"/>
    <w:uiPriority w:val="99"/>
    <w:semiHidden/>
    <w:unhideWhenUsed/>
    <w:rsid w:val="00BE43FC"/>
    <w:rPr>
      <w:b/>
      <w:bCs/>
    </w:rPr>
  </w:style>
  <w:style w:type="character" w:customStyle="1" w:styleId="ObjetducommentaireCar">
    <w:name w:val="Objet du commentaire Car"/>
    <w:basedOn w:val="CommentaireCar"/>
    <w:link w:val="Objetducommentaire"/>
    <w:uiPriority w:val="99"/>
    <w:semiHidden/>
    <w:rsid w:val="00BE43FC"/>
    <w:rPr>
      <w:b/>
      <w:bCs/>
      <w:sz w:val="20"/>
      <w:szCs w:val="20"/>
    </w:rPr>
  </w:style>
  <w:style w:type="table" w:styleId="Grilledutableau">
    <w:name w:val="Table Grid"/>
    <w:basedOn w:val="TableauNormal"/>
    <w:uiPriority w:val="59"/>
    <w:rsid w:val="00837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ourant">
    <w:name w:val="texte courant"/>
    <w:link w:val="textecourantCar"/>
    <w:rsid w:val="00DD5C67"/>
    <w:pPr>
      <w:spacing w:after="0" w:line="240" w:lineRule="atLeast"/>
      <w:jc w:val="both"/>
    </w:pPr>
    <w:rPr>
      <w:rFonts w:ascii="Times New Roman" w:eastAsia="Times New Roman" w:hAnsi="Times New Roman" w:cs="Times New Roman"/>
      <w:sz w:val="20"/>
      <w:szCs w:val="20"/>
      <w:lang w:eastAsia="fr-FR"/>
    </w:rPr>
  </w:style>
  <w:style w:type="character" w:customStyle="1" w:styleId="textecourantCar">
    <w:name w:val="texte courant Car"/>
    <w:link w:val="textecourant"/>
    <w:rsid w:val="00DD5C67"/>
    <w:rPr>
      <w:rFonts w:ascii="Times New Roman" w:eastAsia="Times New Roman" w:hAnsi="Times New Roman" w:cs="Times New Roman"/>
      <w:sz w:val="20"/>
      <w:szCs w:val="20"/>
      <w:lang w:eastAsia="fr-FR"/>
    </w:rPr>
  </w:style>
  <w:style w:type="paragraph" w:styleId="Sansinterligne">
    <w:name w:val="No Spacing"/>
    <w:uiPriority w:val="1"/>
    <w:qFormat/>
    <w:rsid w:val="00DD5C67"/>
    <w:pPr>
      <w:spacing w:after="0" w:line="240" w:lineRule="auto"/>
    </w:pPr>
  </w:style>
  <w:style w:type="character" w:styleId="Lienhypertexte">
    <w:name w:val="Hyperlink"/>
    <w:basedOn w:val="Policepardfaut"/>
    <w:uiPriority w:val="99"/>
    <w:unhideWhenUsed/>
    <w:rsid w:val="00372DF3"/>
    <w:rPr>
      <w:color w:val="0000FF" w:themeColor="hyperlink"/>
      <w:u w:val="single"/>
    </w:rPr>
  </w:style>
  <w:style w:type="paragraph" w:styleId="NormalWeb">
    <w:name w:val="Normal (Web)"/>
    <w:basedOn w:val="Normal"/>
    <w:uiPriority w:val="99"/>
    <w:unhideWhenUsed/>
    <w:rsid w:val="00372D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article">
    <w:name w:val="textearticle"/>
    <w:basedOn w:val="Normal"/>
    <w:rsid w:val="005C604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style-span">
    <w:name w:val="apple-style-span"/>
    <w:rsid w:val="00187DC1"/>
  </w:style>
  <w:style w:type="paragraph" w:customStyle="1" w:styleId="mentionslgales">
    <w:name w:val="mentionslégales"/>
    <w:rsid w:val="00187DC1"/>
    <w:pPr>
      <w:spacing w:after="0" w:line="180" w:lineRule="exact"/>
      <w:jc w:val="both"/>
    </w:pPr>
    <w:rPr>
      <w:rFonts w:ascii="Arial" w:eastAsia="Times New Roman" w:hAnsi="Arial" w:cs="Times New Roman"/>
      <w:sz w:val="1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7737">
      <w:bodyDiv w:val="1"/>
      <w:marLeft w:val="0"/>
      <w:marRight w:val="0"/>
      <w:marTop w:val="0"/>
      <w:marBottom w:val="0"/>
      <w:divBdr>
        <w:top w:val="none" w:sz="0" w:space="0" w:color="auto"/>
        <w:left w:val="none" w:sz="0" w:space="0" w:color="auto"/>
        <w:bottom w:val="none" w:sz="0" w:space="0" w:color="auto"/>
        <w:right w:val="none" w:sz="0" w:space="0" w:color="auto"/>
      </w:divBdr>
    </w:div>
    <w:div w:id="64497174">
      <w:bodyDiv w:val="1"/>
      <w:marLeft w:val="0"/>
      <w:marRight w:val="0"/>
      <w:marTop w:val="0"/>
      <w:marBottom w:val="0"/>
      <w:divBdr>
        <w:top w:val="none" w:sz="0" w:space="0" w:color="auto"/>
        <w:left w:val="none" w:sz="0" w:space="0" w:color="auto"/>
        <w:bottom w:val="none" w:sz="0" w:space="0" w:color="auto"/>
        <w:right w:val="none" w:sz="0" w:space="0" w:color="auto"/>
      </w:divBdr>
    </w:div>
    <w:div w:id="105008366">
      <w:bodyDiv w:val="1"/>
      <w:marLeft w:val="0"/>
      <w:marRight w:val="0"/>
      <w:marTop w:val="0"/>
      <w:marBottom w:val="0"/>
      <w:divBdr>
        <w:top w:val="none" w:sz="0" w:space="0" w:color="auto"/>
        <w:left w:val="none" w:sz="0" w:space="0" w:color="auto"/>
        <w:bottom w:val="none" w:sz="0" w:space="0" w:color="auto"/>
        <w:right w:val="none" w:sz="0" w:space="0" w:color="auto"/>
      </w:divBdr>
    </w:div>
    <w:div w:id="125779968">
      <w:bodyDiv w:val="1"/>
      <w:marLeft w:val="0"/>
      <w:marRight w:val="0"/>
      <w:marTop w:val="0"/>
      <w:marBottom w:val="0"/>
      <w:divBdr>
        <w:top w:val="none" w:sz="0" w:space="0" w:color="auto"/>
        <w:left w:val="none" w:sz="0" w:space="0" w:color="auto"/>
        <w:bottom w:val="none" w:sz="0" w:space="0" w:color="auto"/>
        <w:right w:val="none" w:sz="0" w:space="0" w:color="auto"/>
      </w:divBdr>
    </w:div>
    <w:div w:id="129133082">
      <w:bodyDiv w:val="1"/>
      <w:marLeft w:val="0"/>
      <w:marRight w:val="0"/>
      <w:marTop w:val="0"/>
      <w:marBottom w:val="0"/>
      <w:divBdr>
        <w:top w:val="none" w:sz="0" w:space="0" w:color="auto"/>
        <w:left w:val="none" w:sz="0" w:space="0" w:color="auto"/>
        <w:bottom w:val="none" w:sz="0" w:space="0" w:color="auto"/>
        <w:right w:val="none" w:sz="0" w:space="0" w:color="auto"/>
      </w:divBdr>
    </w:div>
    <w:div w:id="133837539">
      <w:bodyDiv w:val="1"/>
      <w:marLeft w:val="0"/>
      <w:marRight w:val="0"/>
      <w:marTop w:val="0"/>
      <w:marBottom w:val="0"/>
      <w:divBdr>
        <w:top w:val="none" w:sz="0" w:space="0" w:color="auto"/>
        <w:left w:val="none" w:sz="0" w:space="0" w:color="auto"/>
        <w:bottom w:val="none" w:sz="0" w:space="0" w:color="auto"/>
        <w:right w:val="none" w:sz="0" w:space="0" w:color="auto"/>
      </w:divBdr>
    </w:div>
    <w:div w:id="212230048">
      <w:bodyDiv w:val="1"/>
      <w:marLeft w:val="0"/>
      <w:marRight w:val="0"/>
      <w:marTop w:val="0"/>
      <w:marBottom w:val="0"/>
      <w:divBdr>
        <w:top w:val="none" w:sz="0" w:space="0" w:color="auto"/>
        <w:left w:val="none" w:sz="0" w:space="0" w:color="auto"/>
        <w:bottom w:val="none" w:sz="0" w:space="0" w:color="auto"/>
        <w:right w:val="none" w:sz="0" w:space="0" w:color="auto"/>
      </w:divBdr>
    </w:div>
    <w:div w:id="240724697">
      <w:bodyDiv w:val="1"/>
      <w:marLeft w:val="0"/>
      <w:marRight w:val="0"/>
      <w:marTop w:val="0"/>
      <w:marBottom w:val="0"/>
      <w:divBdr>
        <w:top w:val="none" w:sz="0" w:space="0" w:color="auto"/>
        <w:left w:val="none" w:sz="0" w:space="0" w:color="auto"/>
        <w:bottom w:val="none" w:sz="0" w:space="0" w:color="auto"/>
        <w:right w:val="none" w:sz="0" w:space="0" w:color="auto"/>
      </w:divBdr>
    </w:div>
    <w:div w:id="355236315">
      <w:bodyDiv w:val="1"/>
      <w:marLeft w:val="0"/>
      <w:marRight w:val="0"/>
      <w:marTop w:val="0"/>
      <w:marBottom w:val="0"/>
      <w:divBdr>
        <w:top w:val="none" w:sz="0" w:space="0" w:color="auto"/>
        <w:left w:val="none" w:sz="0" w:space="0" w:color="auto"/>
        <w:bottom w:val="none" w:sz="0" w:space="0" w:color="auto"/>
        <w:right w:val="none" w:sz="0" w:space="0" w:color="auto"/>
      </w:divBdr>
    </w:div>
    <w:div w:id="462818440">
      <w:bodyDiv w:val="1"/>
      <w:marLeft w:val="0"/>
      <w:marRight w:val="0"/>
      <w:marTop w:val="0"/>
      <w:marBottom w:val="0"/>
      <w:divBdr>
        <w:top w:val="none" w:sz="0" w:space="0" w:color="auto"/>
        <w:left w:val="none" w:sz="0" w:space="0" w:color="auto"/>
        <w:bottom w:val="none" w:sz="0" w:space="0" w:color="auto"/>
        <w:right w:val="none" w:sz="0" w:space="0" w:color="auto"/>
      </w:divBdr>
    </w:div>
    <w:div w:id="686563277">
      <w:bodyDiv w:val="1"/>
      <w:marLeft w:val="0"/>
      <w:marRight w:val="0"/>
      <w:marTop w:val="0"/>
      <w:marBottom w:val="0"/>
      <w:divBdr>
        <w:top w:val="none" w:sz="0" w:space="0" w:color="auto"/>
        <w:left w:val="none" w:sz="0" w:space="0" w:color="auto"/>
        <w:bottom w:val="none" w:sz="0" w:space="0" w:color="auto"/>
        <w:right w:val="none" w:sz="0" w:space="0" w:color="auto"/>
      </w:divBdr>
    </w:div>
    <w:div w:id="752507976">
      <w:bodyDiv w:val="1"/>
      <w:marLeft w:val="0"/>
      <w:marRight w:val="0"/>
      <w:marTop w:val="0"/>
      <w:marBottom w:val="0"/>
      <w:divBdr>
        <w:top w:val="none" w:sz="0" w:space="0" w:color="auto"/>
        <w:left w:val="none" w:sz="0" w:space="0" w:color="auto"/>
        <w:bottom w:val="none" w:sz="0" w:space="0" w:color="auto"/>
        <w:right w:val="none" w:sz="0" w:space="0" w:color="auto"/>
      </w:divBdr>
    </w:div>
    <w:div w:id="838228629">
      <w:bodyDiv w:val="1"/>
      <w:marLeft w:val="0"/>
      <w:marRight w:val="0"/>
      <w:marTop w:val="0"/>
      <w:marBottom w:val="0"/>
      <w:divBdr>
        <w:top w:val="none" w:sz="0" w:space="0" w:color="auto"/>
        <w:left w:val="none" w:sz="0" w:space="0" w:color="auto"/>
        <w:bottom w:val="none" w:sz="0" w:space="0" w:color="auto"/>
        <w:right w:val="none" w:sz="0" w:space="0" w:color="auto"/>
      </w:divBdr>
    </w:div>
    <w:div w:id="878588950">
      <w:bodyDiv w:val="1"/>
      <w:marLeft w:val="0"/>
      <w:marRight w:val="0"/>
      <w:marTop w:val="0"/>
      <w:marBottom w:val="0"/>
      <w:divBdr>
        <w:top w:val="none" w:sz="0" w:space="0" w:color="auto"/>
        <w:left w:val="none" w:sz="0" w:space="0" w:color="auto"/>
        <w:bottom w:val="none" w:sz="0" w:space="0" w:color="auto"/>
        <w:right w:val="none" w:sz="0" w:space="0" w:color="auto"/>
      </w:divBdr>
    </w:div>
    <w:div w:id="916092927">
      <w:bodyDiv w:val="1"/>
      <w:marLeft w:val="0"/>
      <w:marRight w:val="0"/>
      <w:marTop w:val="0"/>
      <w:marBottom w:val="0"/>
      <w:divBdr>
        <w:top w:val="none" w:sz="0" w:space="0" w:color="auto"/>
        <w:left w:val="none" w:sz="0" w:space="0" w:color="auto"/>
        <w:bottom w:val="none" w:sz="0" w:space="0" w:color="auto"/>
        <w:right w:val="none" w:sz="0" w:space="0" w:color="auto"/>
      </w:divBdr>
    </w:div>
    <w:div w:id="1032654610">
      <w:bodyDiv w:val="1"/>
      <w:marLeft w:val="0"/>
      <w:marRight w:val="0"/>
      <w:marTop w:val="0"/>
      <w:marBottom w:val="0"/>
      <w:divBdr>
        <w:top w:val="none" w:sz="0" w:space="0" w:color="auto"/>
        <w:left w:val="none" w:sz="0" w:space="0" w:color="auto"/>
        <w:bottom w:val="none" w:sz="0" w:space="0" w:color="auto"/>
        <w:right w:val="none" w:sz="0" w:space="0" w:color="auto"/>
      </w:divBdr>
    </w:div>
    <w:div w:id="1112360802">
      <w:bodyDiv w:val="1"/>
      <w:marLeft w:val="0"/>
      <w:marRight w:val="0"/>
      <w:marTop w:val="0"/>
      <w:marBottom w:val="0"/>
      <w:divBdr>
        <w:top w:val="none" w:sz="0" w:space="0" w:color="auto"/>
        <w:left w:val="none" w:sz="0" w:space="0" w:color="auto"/>
        <w:bottom w:val="none" w:sz="0" w:space="0" w:color="auto"/>
        <w:right w:val="none" w:sz="0" w:space="0" w:color="auto"/>
      </w:divBdr>
    </w:div>
    <w:div w:id="1155757725">
      <w:bodyDiv w:val="1"/>
      <w:marLeft w:val="0"/>
      <w:marRight w:val="0"/>
      <w:marTop w:val="0"/>
      <w:marBottom w:val="0"/>
      <w:divBdr>
        <w:top w:val="none" w:sz="0" w:space="0" w:color="auto"/>
        <w:left w:val="none" w:sz="0" w:space="0" w:color="auto"/>
        <w:bottom w:val="none" w:sz="0" w:space="0" w:color="auto"/>
        <w:right w:val="none" w:sz="0" w:space="0" w:color="auto"/>
      </w:divBdr>
    </w:div>
    <w:div w:id="1248422235">
      <w:bodyDiv w:val="1"/>
      <w:marLeft w:val="0"/>
      <w:marRight w:val="0"/>
      <w:marTop w:val="0"/>
      <w:marBottom w:val="0"/>
      <w:divBdr>
        <w:top w:val="none" w:sz="0" w:space="0" w:color="auto"/>
        <w:left w:val="none" w:sz="0" w:space="0" w:color="auto"/>
        <w:bottom w:val="none" w:sz="0" w:space="0" w:color="auto"/>
        <w:right w:val="none" w:sz="0" w:space="0" w:color="auto"/>
      </w:divBdr>
    </w:div>
    <w:div w:id="1436630373">
      <w:bodyDiv w:val="1"/>
      <w:marLeft w:val="0"/>
      <w:marRight w:val="0"/>
      <w:marTop w:val="0"/>
      <w:marBottom w:val="0"/>
      <w:divBdr>
        <w:top w:val="none" w:sz="0" w:space="0" w:color="auto"/>
        <w:left w:val="none" w:sz="0" w:space="0" w:color="auto"/>
        <w:bottom w:val="none" w:sz="0" w:space="0" w:color="auto"/>
        <w:right w:val="none" w:sz="0" w:space="0" w:color="auto"/>
      </w:divBdr>
    </w:div>
    <w:div w:id="1441489827">
      <w:bodyDiv w:val="1"/>
      <w:marLeft w:val="0"/>
      <w:marRight w:val="0"/>
      <w:marTop w:val="0"/>
      <w:marBottom w:val="0"/>
      <w:divBdr>
        <w:top w:val="none" w:sz="0" w:space="0" w:color="auto"/>
        <w:left w:val="none" w:sz="0" w:space="0" w:color="auto"/>
        <w:bottom w:val="none" w:sz="0" w:space="0" w:color="auto"/>
        <w:right w:val="none" w:sz="0" w:space="0" w:color="auto"/>
      </w:divBdr>
    </w:div>
    <w:div w:id="1446995214">
      <w:bodyDiv w:val="1"/>
      <w:marLeft w:val="0"/>
      <w:marRight w:val="0"/>
      <w:marTop w:val="0"/>
      <w:marBottom w:val="0"/>
      <w:divBdr>
        <w:top w:val="none" w:sz="0" w:space="0" w:color="auto"/>
        <w:left w:val="none" w:sz="0" w:space="0" w:color="auto"/>
        <w:bottom w:val="none" w:sz="0" w:space="0" w:color="auto"/>
        <w:right w:val="none" w:sz="0" w:space="0" w:color="auto"/>
      </w:divBdr>
    </w:div>
    <w:div w:id="1622809270">
      <w:bodyDiv w:val="1"/>
      <w:marLeft w:val="0"/>
      <w:marRight w:val="0"/>
      <w:marTop w:val="0"/>
      <w:marBottom w:val="0"/>
      <w:divBdr>
        <w:top w:val="none" w:sz="0" w:space="0" w:color="auto"/>
        <w:left w:val="none" w:sz="0" w:space="0" w:color="auto"/>
        <w:bottom w:val="none" w:sz="0" w:space="0" w:color="auto"/>
        <w:right w:val="none" w:sz="0" w:space="0" w:color="auto"/>
      </w:divBdr>
    </w:div>
    <w:div w:id="1649094394">
      <w:bodyDiv w:val="1"/>
      <w:marLeft w:val="0"/>
      <w:marRight w:val="0"/>
      <w:marTop w:val="0"/>
      <w:marBottom w:val="0"/>
      <w:divBdr>
        <w:top w:val="none" w:sz="0" w:space="0" w:color="auto"/>
        <w:left w:val="none" w:sz="0" w:space="0" w:color="auto"/>
        <w:bottom w:val="none" w:sz="0" w:space="0" w:color="auto"/>
        <w:right w:val="none" w:sz="0" w:space="0" w:color="auto"/>
      </w:divBdr>
    </w:div>
    <w:div w:id="1673022975">
      <w:bodyDiv w:val="1"/>
      <w:marLeft w:val="0"/>
      <w:marRight w:val="0"/>
      <w:marTop w:val="0"/>
      <w:marBottom w:val="0"/>
      <w:divBdr>
        <w:top w:val="none" w:sz="0" w:space="0" w:color="auto"/>
        <w:left w:val="none" w:sz="0" w:space="0" w:color="auto"/>
        <w:bottom w:val="none" w:sz="0" w:space="0" w:color="auto"/>
        <w:right w:val="none" w:sz="0" w:space="0" w:color="auto"/>
      </w:divBdr>
    </w:div>
    <w:div w:id="1697807781">
      <w:bodyDiv w:val="1"/>
      <w:marLeft w:val="0"/>
      <w:marRight w:val="0"/>
      <w:marTop w:val="0"/>
      <w:marBottom w:val="0"/>
      <w:divBdr>
        <w:top w:val="none" w:sz="0" w:space="0" w:color="auto"/>
        <w:left w:val="none" w:sz="0" w:space="0" w:color="auto"/>
        <w:bottom w:val="none" w:sz="0" w:space="0" w:color="auto"/>
        <w:right w:val="none" w:sz="0" w:space="0" w:color="auto"/>
      </w:divBdr>
    </w:div>
    <w:div w:id="1745369471">
      <w:bodyDiv w:val="1"/>
      <w:marLeft w:val="0"/>
      <w:marRight w:val="0"/>
      <w:marTop w:val="0"/>
      <w:marBottom w:val="0"/>
      <w:divBdr>
        <w:top w:val="none" w:sz="0" w:space="0" w:color="auto"/>
        <w:left w:val="none" w:sz="0" w:space="0" w:color="auto"/>
        <w:bottom w:val="none" w:sz="0" w:space="0" w:color="auto"/>
        <w:right w:val="none" w:sz="0" w:space="0" w:color="auto"/>
      </w:divBdr>
    </w:div>
    <w:div w:id="1783378249">
      <w:bodyDiv w:val="1"/>
      <w:marLeft w:val="0"/>
      <w:marRight w:val="0"/>
      <w:marTop w:val="0"/>
      <w:marBottom w:val="0"/>
      <w:divBdr>
        <w:top w:val="none" w:sz="0" w:space="0" w:color="auto"/>
        <w:left w:val="none" w:sz="0" w:space="0" w:color="auto"/>
        <w:bottom w:val="none" w:sz="0" w:space="0" w:color="auto"/>
        <w:right w:val="none" w:sz="0" w:space="0" w:color="auto"/>
      </w:divBdr>
    </w:div>
    <w:div w:id="1960258564">
      <w:bodyDiv w:val="1"/>
      <w:marLeft w:val="0"/>
      <w:marRight w:val="0"/>
      <w:marTop w:val="0"/>
      <w:marBottom w:val="0"/>
      <w:divBdr>
        <w:top w:val="none" w:sz="0" w:space="0" w:color="auto"/>
        <w:left w:val="none" w:sz="0" w:space="0" w:color="auto"/>
        <w:bottom w:val="none" w:sz="0" w:space="0" w:color="auto"/>
        <w:right w:val="none" w:sz="0" w:space="0" w:color="auto"/>
      </w:divBdr>
    </w:div>
    <w:div w:id="2001080265">
      <w:bodyDiv w:val="1"/>
      <w:marLeft w:val="0"/>
      <w:marRight w:val="0"/>
      <w:marTop w:val="0"/>
      <w:marBottom w:val="0"/>
      <w:divBdr>
        <w:top w:val="none" w:sz="0" w:space="0" w:color="auto"/>
        <w:left w:val="none" w:sz="0" w:space="0" w:color="auto"/>
        <w:bottom w:val="none" w:sz="0" w:space="0" w:color="auto"/>
        <w:right w:val="none" w:sz="0" w:space="0" w:color="auto"/>
      </w:divBdr>
      <w:divsChild>
        <w:div w:id="1855996090">
          <w:marLeft w:val="0"/>
          <w:marRight w:val="0"/>
          <w:marTop w:val="0"/>
          <w:marBottom w:val="0"/>
          <w:divBdr>
            <w:top w:val="single" w:sz="8" w:space="1" w:color="DD992E"/>
            <w:left w:val="single" w:sz="8" w:space="4" w:color="DD992E"/>
            <w:bottom w:val="single" w:sz="8" w:space="1" w:color="DD992E"/>
            <w:right w:val="single" w:sz="8" w:space="4" w:color="DD992E"/>
          </w:divBdr>
        </w:div>
        <w:div w:id="847333197">
          <w:marLeft w:val="0"/>
          <w:marRight w:val="0"/>
          <w:marTop w:val="0"/>
          <w:marBottom w:val="0"/>
          <w:divBdr>
            <w:top w:val="none" w:sz="0" w:space="0" w:color="auto"/>
            <w:left w:val="none" w:sz="0" w:space="0" w:color="auto"/>
            <w:bottom w:val="none" w:sz="0" w:space="0" w:color="auto"/>
            <w:right w:val="none" w:sz="0" w:space="0" w:color="auto"/>
          </w:divBdr>
        </w:div>
      </w:divsChild>
    </w:div>
    <w:div w:id="201491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6D9EA-E9C7-477F-8E4E-D30498737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2FE29D0F.dotm</Template>
  <TotalTime>0</TotalTime>
  <Pages>3</Pages>
  <Words>776</Words>
  <Characters>4269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DGTRESOR</Company>
  <LinksUpToDate>false</LinksUpToDate>
  <CharactersWithSpaces>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Mathilde Limbergère</dc:creator>
  <cp:lastModifiedBy>LIMBERGERE Mathilde</cp:lastModifiedBy>
  <cp:revision>2</cp:revision>
  <dcterms:created xsi:type="dcterms:W3CDTF">2017-12-06T09:37:00Z</dcterms:created>
  <dcterms:modified xsi:type="dcterms:W3CDTF">2017-12-06T09:37:00Z</dcterms:modified>
</cp:coreProperties>
</file>