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7FB4" w14:textId="526CE7A9" w:rsidR="00301021" w:rsidRPr="00006E50" w:rsidRDefault="007939AE" w:rsidP="00F4255E">
      <w:pPr>
        <w:spacing w:before="80" w:after="80"/>
        <w:ind w:right="1"/>
        <w:jc w:val="center"/>
        <w:rPr>
          <w:sz w:val="20"/>
          <w:szCs w:val="20"/>
        </w:rPr>
      </w:pP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1E742B70">
            <wp:simplePos x="0" y="0"/>
            <wp:positionH relativeFrom="column">
              <wp:posOffset>-509270</wp:posOffset>
            </wp:positionH>
            <wp:positionV relativeFrom="page">
              <wp:posOffset>278765</wp:posOffset>
            </wp:positionV>
            <wp:extent cx="2638425" cy="1003935"/>
            <wp:effectExtent l="0" t="0" r="9525" b="5715"/>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1003935"/>
                    </a:xfrm>
                    <a:prstGeom prst="rect">
                      <a:avLst/>
                    </a:prstGeom>
                  </pic:spPr>
                </pic:pic>
              </a:graphicData>
            </a:graphic>
            <wp14:sizeRelH relativeFrom="margin">
              <wp14:pctWidth>0</wp14:pctWidth>
            </wp14:sizeRelH>
            <wp14:sizeRelV relativeFrom="margin">
              <wp14:pctHeight>0</wp14:pctHeight>
            </wp14:sizeRelV>
          </wp:anchor>
        </w:drawing>
      </w:r>
      <w:r w:rsidR="00FD7798">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797DFAF8" w:rsidR="00532CE3" w:rsidRDefault="000C5210" w:rsidP="00532CE3">
                            <w:pPr>
                              <w:jc w:val="center"/>
                            </w:pPr>
                            <w:r>
                              <w:rPr>
                                <w:rFonts w:ascii="Segoe UI" w:hAnsi="Segoe UI" w:cs="Segoe UI"/>
                                <w:b/>
                                <w:bCs/>
                                <w:color w:val="000091" w:themeColor="text1"/>
                                <w:sz w:val="32"/>
                                <w:szCs w:val="20"/>
                              </w:rPr>
                              <w:t>MALDIVES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797DFAF8" w:rsidR="00532CE3" w:rsidRDefault="000C5210" w:rsidP="00532CE3">
                      <w:pPr>
                        <w:jc w:val="center"/>
                      </w:pPr>
                      <w:r>
                        <w:rPr>
                          <w:rFonts w:ascii="Segoe UI" w:hAnsi="Segoe UI" w:cs="Segoe UI"/>
                          <w:b/>
                          <w:bCs/>
                          <w:color w:val="000091" w:themeColor="text1"/>
                          <w:sz w:val="32"/>
                          <w:szCs w:val="20"/>
                        </w:rPr>
                        <w:t>MALDIVES</w:t>
                      </w:r>
                    </w:p>
                  </w:txbxContent>
                </v:textbox>
              </v:rect>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02E7E87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92CFF">
                              <w:rPr>
                                <w:rFonts w:ascii="Segoe UI" w:hAnsi="Segoe UI" w:cs="Segoe UI"/>
                                <w:color w:val="000091" w:themeColor="text1"/>
                                <w:sz w:val="17"/>
                                <w:szCs w:val="17"/>
                                <w:lang w:eastAsia="ja-JP"/>
                              </w:rPr>
                              <w:t xml:space="preserve"> </w:t>
                            </w:r>
                            <w:r w:rsidR="006E40EC">
                              <w:rPr>
                                <w:rFonts w:ascii="Segoe UI" w:hAnsi="Segoe UI" w:cs="Segoe UI"/>
                                <w:color w:val="000091" w:themeColor="text1"/>
                                <w:sz w:val="17"/>
                                <w:szCs w:val="17"/>
                                <w:lang w:eastAsia="ja-JP"/>
                              </w:rPr>
                              <w:t>Philippe FOUET</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1931003E" w14:textId="02E7E87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92CFF">
                        <w:rPr>
                          <w:rFonts w:ascii="Segoe UI" w:hAnsi="Segoe UI" w:cs="Segoe UI"/>
                          <w:color w:val="000091" w:themeColor="text1"/>
                          <w:sz w:val="17"/>
                          <w:szCs w:val="17"/>
                          <w:lang w:eastAsia="ja-JP"/>
                        </w:rPr>
                        <w:t xml:space="preserve"> </w:t>
                      </w:r>
                      <w:r w:rsidR="006E40EC">
                        <w:rPr>
                          <w:rFonts w:ascii="Segoe UI" w:hAnsi="Segoe UI" w:cs="Segoe UI"/>
                          <w:color w:val="000091" w:themeColor="text1"/>
                          <w:sz w:val="17"/>
                          <w:szCs w:val="17"/>
                          <w:lang w:eastAsia="ja-JP"/>
                        </w:rPr>
                        <w:t>Philippe FOUET</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00FD7798"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4F6CE24C" w:rsidR="00490B3C" w:rsidRPr="00532CE3" w:rsidRDefault="006E40E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Colombo</w:t>
                            </w:r>
                            <w:r w:rsidR="00490B3C" w:rsidRPr="00532CE3">
                              <w:rPr>
                                <w:rFonts w:ascii="Segoe UI" w:hAnsi="Segoe UI" w:cs="Segoe UI"/>
                                <w:color w:val="986E02" w:themeColor="accent2" w:themeShade="80"/>
                                <w:sz w:val="17"/>
                                <w:szCs w:val="17"/>
                                <w:lang w:eastAsia="ja-JP"/>
                              </w:rPr>
                              <w:t xml:space="preserve">, </w:t>
                            </w:r>
                            <w:r w:rsidR="00967D62">
                              <w:rPr>
                                <w:rFonts w:ascii="Segoe UI" w:hAnsi="Segoe UI" w:cs="Segoe UI"/>
                                <w:color w:val="986E02" w:themeColor="accent2" w:themeShade="80"/>
                                <w:sz w:val="17"/>
                                <w:szCs w:val="17"/>
                                <w:lang w:eastAsia="ja-JP"/>
                              </w:rPr>
                              <w:t>22</w:t>
                            </w:r>
                            <w:r>
                              <w:rPr>
                                <w:rFonts w:ascii="Segoe UI" w:hAnsi="Segoe UI" w:cs="Segoe UI"/>
                                <w:color w:val="986E02" w:themeColor="accent2" w:themeShade="80"/>
                                <w:sz w:val="17"/>
                                <w:szCs w:val="17"/>
                                <w:lang w:eastAsia="ja-JP"/>
                              </w:rPr>
                              <w:t>/</w:t>
                            </w:r>
                            <w:r w:rsidR="00D84F48">
                              <w:rPr>
                                <w:rFonts w:ascii="Segoe UI" w:hAnsi="Segoe UI" w:cs="Segoe UI"/>
                                <w:color w:val="986E02" w:themeColor="accent2" w:themeShade="80"/>
                                <w:sz w:val="17"/>
                                <w:szCs w:val="17"/>
                                <w:lang w:eastAsia="ja-JP"/>
                              </w:rPr>
                              <w:t>0</w:t>
                            </w:r>
                            <w:r w:rsidR="00892CFF">
                              <w:rPr>
                                <w:rFonts w:ascii="Segoe UI" w:hAnsi="Segoe UI" w:cs="Segoe UI"/>
                                <w:color w:val="986E02" w:themeColor="accent2" w:themeShade="80"/>
                                <w:sz w:val="17"/>
                                <w:szCs w:val="17"/>
                                <w:lang w:eastAsia="ja-JP"/>
                              </w:rPr>
                              <w:t>4</w:t>
                            </w:r>
                            <w:r>
                              <w:rPr>
                                <w:rFonts w:ascii="Segoe UI" w:hAnsi="Segoe UI" w:cs="Segoe UI"/>
                                <w:color w:val="986E02" w:themeColor="accent2" w:themeShade="80"/>
                                <w:sz w:val="17"/>
                                <w:szCs w:val="17"/>
                                <w:lang w:eastAsia="ja-JP"/>
                              </w:rPr>
                              <w:t>/202</w:t>
                            </w:r>
                            <w:r w:rsidR="00D84F48">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4F6CE24C" w:rsidR="00490B3C" w:rsidRPr="00532CE3" w:rsidRDefault="006E40E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Colombo</w:t>
                      </w:r>
                      <w:r w:rsidR="00490B3C" w:rsidRPr="00532CE3">
                        <w:rPr>
                          <w:rFonts w:ascii="Segoe UI" w:hAnsi="Segoe UI" w:cs="Segoe UI"/>
                          <w:color w:val="986E02" w:themeColor="accent2" w:themeShade="80"/>
                          <w:sz w:val="17"/>
                          <w:szCs w:val="17"/>
                          <w:lang w:eastAsia="ja-JP"/>
                        </w:rPr>
                        <w:t xml:space="preserve">, </w:t>
                      </w:r>
                      <w:r w:rsidR="00967D62">
                        <w:rPr>
                          <w:rFonts w:ascii="Segoe UI" w:hAnsi="Segoe UI" w:cs="Segoe UI"/>
                          <w:color w:val="986E02" w:themeColor="accent2" w:themeShade="80"/>
                          <w:sz w:val="17"/>
                          <w:szCs w:val="17"/>
                          <w:lang w:eastAsia="ja-JP"/>
                        </w:rPr>
                        <w:t>22</w:t>
                      </w:r>
                      <w:r>
                        <w:rPr>
                          <w:rFonts w:ascii="Segoe UI" w:hAnsi="Segoe UI" w:cs="Segoe UI"/>
                          <w:color w:val="986E02" w:themeColor="accent2" w:themeShade="80"/>
                          <w:sz w:val="17"/>
                          <w:szCs w:val="17"/>
                          <w:lang w:eastAsia="ja-JP"/>
                        </w:rPr>
                        <w:t>/</w:t>
                      </w:r>
                      <w:r w:rsidR="00D84F48">
                        <w:rPr>
                          <w:rFonts w:ascii="Segoe UI" w:hAnsi="Segoe UI" w:cs="Segoe UI"/>
                          <w:color w:val="986E02" w:themeColor="accent2" w:themeShade="80"/>
                          <w:sz w:val="17"/>
                          <w:szCs w:val="17"/>
                          <w:lang w:eastAsia="ja-JP"/>
                        </w:rPr>
                        <w:t>0</w:t>
                      </w:r>
                      <w:r w:rsidR="00892CFF">
                        <w:rPr>
                          <w:rFonts w:ascii="Segoe UI" w:hAnsi="Segoe UI" w:cs="Segoe UI"/>
                          <w:color w:val="986E02" w:themeColor="accent2" w:themeShade="80"/>
                          <w:sz w:val="17"/>
                          <w:szCs w:val="17"/>
                          <w:lang w:eastAsia="ja-JP"/>
                        </w:rPr>
                        <w:t>4</w:t>
                      </w:r>
                      <w:r>
                        <w:rPr>
                          <w:rFonts w:ascii="Segoe UI" w:hAnsi="Segoe UI" w:cs="Segoe UI"/>
                          <w:color w:val="986E02" w:themeColor="accent2" w:themeShade="80"/>
                          <w:sz w:val="17"/>
                          <w:szCs w:val="17"/>
                          <w:lang w:eastAsia="ja-JP"/>
                        </w:rPr>
                        <w:t>/202</w:t>
                      </w:r>
                      <w:r w:rsidR="00D84F48">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v:textbox>
                <w10:wrap type="square" anchorx="margin"/>
              </v:shape>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169F4823">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68293C4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6E40EC">
                              <w:rPr>
                                <w:rFonts w:ascii="Segoe UI" w:hAnsi="Segoe UI" w:cs="Segoe UI"/>
                                <w:bCs/>
                                <w:color w:val="000091" w:themeColor="text1"/>
                                <w:sz w:val="18"/>
                                <w:szCs w:val="18"/>
                                <w:lang w:eastAsia="ja-JP"/>
                              </w:rPr>
                              <w:t>au Sri Lanka et aux Maldives</w:t>
                            </w:r>
                          </w:p>
                          <w:p w14:paraId="3D62CBBB" w14:textId="0681E90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6E40EC">
                              <w:rPr>
                                <w:rFonts w:ascii="Segoe UI" w:hAnsi="Segoe UI" w:cs="Segoe UI"/>
                                <w:bCs/>
                                <w:color w:val="000091" w:themeColor="text1"/>
                                <w:sz w:val="18"/>
                                <w:szCs w:val="18"/>
                                <w:lang w:eastAsia="ja-JP"/>
                              </w:rPr>
                              <w:t xml:space="preserve"> de Colombo</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7465B737" w14:textId="68293C4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6E40EC">
                        <w:rPr>
                          <w:rFonts w:ascii="Segoe UI" w:hAnsi="Segoe UI" w:cs="Segoe UI"/>
                          <w:bCs/>
                          <w:color w:val="000091" w:themeColor="text1"/>
                          <w:sz w:val="18"/>
                          <w:szCs w:val="18"/>
                          <w:lang w:eastAsia="ja-JP"/>
                        </w:rPr>
                        <w:t>au Sri Lanka et aux Maldives</w:t>
                      </w:r>
                    </w:p>
                    <w:p w14:paraId="3D62CBBB" w14:textId="0681E90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6E40EC">
                        <w:rPr>
                          <w:rFonts w:ascii="Segoe UI" w:hAnsi="Segoe UI" w:cs="Segoe UI"/>
                          <w:bCs/>
                          <w:color w:val="000091" w:themeColor="text1"/>
                          <w:sz w:val="18"/>
                          <w:szCs w:val="18"/>
                          <w:lang w:eastAsia="ja-JP"/>
                        </w:rPr>
                        <w:t xml:space="preserve"> de Colombo</w:t>
                      </w:r>
                      <w:r w:rsidR="008A3AD5" w:rsidRPr="00A0743B">
                        <w:rPr>
                          <w:rFonts w:ascii="Arial" w:hAnsi="Arial" w:cs="Arial"/>
                          <w:b/>
                          <w:bCs/>
                          <w:sz w:val="20"/>
                          <w:szCs w:val="20"/>
                        </w:rPr>
                        <w:t xml:space="preserve"> </w:t>
                      </w:r>
                    </w:p>
                  </w:txbxContent>
                </v:textbox>
                <w10:wrap type="topAndBottom"/>
              </v:rect>
            </w:pict>
          </mc:Fallback>
        </mc:AlternateContent>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r w:rsidR="008523C9" w:rsidRPr="008523C9">
        <w:rPr>
          <w:rFonts w:ascii="Segoe UI" w:hAnsi="Segoe UI" w:cs="Segoe UI"/>
          <w:color w:val="000091" w:themeColor="text1"/>
          <w:sz w:val="32"/>
          <w:szCs w:val="20"/>
          <w:lang w:eastAsia="fr-FR"/>
        </w:rPr>
        <w:t>Le commerce extérieur en 2024</w:t>
      </w:r>
    </w:p>
    <w:p w14:paraId="7788FE4E" w14:textId="584D445D" w:rsidR="00F4255E" w:rsidRPr="00323A4A" w:rsidRDefault="008523C9" w:rsidP="00F4255E">
      <w:pPr>
        <w:pStyle w:val="Sansinterligne"/>
        <w:ind w:left="-284"/>
        <w:jc w:val="both"/>
        <w:rPr>
          <w:rFonts w:ascii="Segoe UI" w:hAnsi="Segoe UI" w:cs="Segoe UI"/>
          <w:color w:val="000091" w:themeColor="text1"/>
          <w:sz w:val="20"/>
          <w:szCs w:val="20"/>
          <w:lang w:eastAsia="fr-FR"/>
        </w:rPr>
      </w:pPr>
      <w:r w:rsidRPr="008523C9">
        <w:rPr>
          <w:rFonts w:ascii="Segoe UI" w:hAnsi="Segoe UI" w:cs="Segoe UI"/>
          <w:noProof/>
          <w:color w:val="000091" w:themeColor="text1"/>
          <w:sz w:val="20"/>
          <w:szCs w:val="20"/>
          <w:lang w:eastAsia="fr-FR"/>
        </w:rPr>
        <w:t xml:space="preserve">En 2024, les échanges de biens </w:t>
      </w:r>
      <w:r w:rsidR="00967D62">
        <w:rPr>
          <w:rFonts w:ascii="Segoe UI" w:hAnsi="Segoe UI" w:cs="Segoe UI"/>
          <w:noProof/>
          <w:color w:val="000091" w:themeColor="text1"/>
          <w:sz w:val="20"/>
          <w:szCs w:val="20"/>
          <w:lang w:eastAsia="fr-FR"/>
        </w:rPr>
        <w:t>des Maldives ont dépassé les 4</w:t>
      </w:r>
      <w:r w:rsidRPr="008523C9">
        <w:rPr>
          <w:rFonts w:ascii="Segoe UI" w:hAnsi="Segoe UI" w:cs="Segoe UI"/>
          <w:noProof/>
          <w:color w:val="000091" w:themeColor="text1"/>
          <w:sz w:val="20"/>
          <w:szCs w:val="20"/>
          <w:lang w:eastAsia="fr-FR"/>
        </w:rPr>
        <w:t xml:space="preserve"> Mds USD, </w:t>
      </w:r>
      <w:r w:rsidR="00967D62">
        <w:rPr>
          <w:rFonts w:ascii="Segoe UI" w:hAnsi="Segoe UI" w:cs="Segoe UI"/>
          <w:noProof/>
          <w:color w:val="000091" w:themeColor="text1"/>
          <w:sz w:val="20"/>
          <w:szCs w:val="20"/>
          <w:lang w:eastAsia="fr-FR"/>
        </w:rPr>
        <w:t>chiffre en progression de 2,6% par rapport à 2023 et record historique</w:t>
      </w:r>
      <w:r w:rsidRPr="008523C9">
        <w:rPr>
          <w:rFonts w:ascii="Segoe UI" w:hAnsi="Segoe UI" w:cs="Segoe UI"/>
          <w:noProof/>
          <w:color w:val="000091" w:themeColor="text1"/>
          <w:sz w:val="20"/>
          <w:szCs w:val="20"/>
          <w:lang w:eastAsia="fr-FR"/>
        </w:rPr>
        <w:t>. Le</w:t>
      </w:r>
      <w:r w:rsidR="00967D62">
        <w:rPr>
          <w:rFonts w:ascii="Segoe UI" w:hAnsi="Segoe UI" w:cs="Segoe UI"/>
          <w:noProof/>
          <w:color w:val="000091" w:themeColor="text1"/>
          <w:sz w:val="20"/>
          <w:szCs w:val="20"/>
          <w:lang w:eastAsia="fr-FR"/>
        </w:rPr>
        <w:t>s Mal</w:t>
      </w:r>
      <w:r w:rsidR="00792F3A">
        <w:rPr>
          <w:rFonts w:ascii="Segoe UI" w:hAnsi="Segoe UI" w:cs="Segoe UI"/>
          <w:noProof/>
          <w:color w:val="000091" w:themeColor="text1"/>
          <w:sz w:val="20"/>
          <w:szCs w:val="20"/>
          <w:lang w:eastAsia="fr-FR"/>
        </w:rPr>
        <w:t>d</w:t>
      </w:r>
      <w:r w:rsidR="00967D62">
        <w:rPr>
          <w:rFonts w:ascii="Segoe UI" w:hAnsi="Segoe UI" w:cs="Segoe UI"/>
          <w:noProof/>
          <w:color w:val="000091" w:themeColor="text1"/>
          <w:sz w:val="20"/>
          <w:szCs w:val="20"/>
          <w:lang w:eastAsia="fr-FR"/>
        </w:rPr>
        <w:t>ives dégagent</w:t>
      </w:r>
      <w:r w:rsidRPr="008523C9">
        <w:rPr>
          <w:rFonts w:ascii="Segoe UI" w:hAnsi="Segoe UI" w:cs="Segoe UI"/>
          <w:noProof/>
          <w:color w:val="000091" w:themeColor="text1"/>
          <w:sz w:val="20"/>
          <w:szCs w:val="20"/>
          <w:lang w:eastAsia="fr-FR"/>
        </w:rPr>
        <w:t xml:space="preserve"> un déficit structurel</w:t>
      </w:r>
      <w:r w:rsidR="00967D62">
        <w:rPr>
          <w:rFonts w:ascii="Segoe UI" w:hAnsi="Segoe UI" w:cs="Segoe UI"/>
          <w:noProof/>
          <w:color w:val="000091" w:themeColor="text1"/>
          <w:sz w:val="20"/>
          <w:szCs w:val="20"/>
          <w:lang w:eastAsia="fr-FR"/>
        </w:rPr>
        <w:t xml:space="preserve"> croissant</w:t>
      </w:r>
      <w:r w:rsidRPr="008523C9">
        <w:rPr>
          <w:rFonts w:ascii="Segoe UI" w:hAnsi="Segoe UI" w:cs="Segoe UI"/>
          <w:noProof/>
          <w:color w:val="000091" w:themeColor="text1"/>
          <w:sz w:val="20"/>
          <w:szCs w:val="20"/>
          <w:lang w:eastAsia="fr-FR"/>
        </w:rPr>
        <w:t xml:space="preserve">, qui a progressé </w:t>
      </w:r>
      <w:r w:rsidR="00967D62">
        <w:rPr>
          <w:rFonts w:ascii="Segoe UI" w:hAnsi="Segoe UI" w:cs="Segoe UI"/>
          <w:noProof/>
          <w:color w:val="000091" w:themeColor="text1"/>
          <w:sz w:val="20"/>
          <w:szCs w:val="20"/>
          <w:lang w:eastAsia="fr-FR"/>
        </w:rPr>
        <w:t xml:space="preserve">de 5,8% </w:t>
      </w:r>
      <w:r w:rsidRPr="008523C9">
        <w:rPr>
          <w:rFonts w:ascii="Segoe UI" w:hAnsi="Segoe UI" w:cs="Segoe UI"/>
          <w:noProof/>
          <w:color w:val="000091" w:themeColor="text1"/>
          <w:sz w:val="20"/>
          <w:szCs w:val="20"/>
          <w:lang w:eastAsia="fr-FR"/>
        </w:rPr>
        <w:t xml:space="preserve">entre 2023 et 2024 pour atteindre </w:t>
      </w:r>
      <w:r w:rsidR="00967D62">
        <w:rPr>
          <w:rFonts w:ascii="Segoe UI" w:hAnsi="Segoe UI" w:cs="Segoe UI"/>
          <w:noProof/>
          <w:color w:val="000091" w:themeColor="text1"/>
          <w:sz w:val="20"/>
          <w:szCs w:val="20"/>
          <w:lang w:eastAsia="fr-FR"/>
        </w:rPr>
        <w:t>3,3</w:t>
      </w:r>
      <w:r w:rsidRPr="008523C9">
        <w:rPr>
          <w:rFonts w:ascii="Segoe UI" w:hAnsi="Segoe UI" w:cs="Segoe UI"/>
          <w:noProof/>
          <w:color w:val="000091" w:themeColor="text1"/>
          <w:sz w:val="20"/>
          <w:szCs w:val="20"/>
          <w:lang w:eastAsia="fr-FR"/>
        </w:rPr>
        <w:t xml:space="preserve"> Mds USD sous l’effet de </w:t>
      </w:r>
      <w:r w:rsidR="00967D62">
        <w:rPr>
          <w:rFonts w:ascii="Segoe UI" w:hAnsi="Segoe UI" w:cs="Segoe UI"/>
          <w:noProof/>
          <w:color w:val="000091" w:themeColor="text1"/>
          <w:sz w:val="20"/>
          <w:szCs w:val="20"/>
          <w:lang w:eastAsia="fr-FR"/>
        </w:rPr>
        <w:t>l’érosion des exportations</w:t>
      </w:r>
      <w:r w:rsidR="008E1453">
        <w:rPr>
          <w:rFonts w:ascii="Segoe UI" w:hAnsi="Segoe UI" w:cs="Segoe UI"/>
          <w:noProof/>
          <w:color w:val="000091" w:themeColor="text1"/>
          <w:sz w:val="20"/>
          <w:szCs w:val="20"/>
          <w:lang w:eastAsia="fr-FR"/>
        </w:rPr>
        <w:t>, qui ne couvrent que 10% des importations</w:t>
      </w:r>
      <w:r w:rsidR="00967D62">
        <w:rPr>
          <w:rFonts w:ascii="Segoe UI" w:hAnsi="Segoe UI" w:cs="Segoe UI"/>
          <w:noProof/>
          <w:color w:val="000091" w:themeColor="text1"/>
          <w:sz w:val="20"/>
          <w:szCs w:val="20"/>
          <w:lang w:eastAsia="fr-FR"/>
        </w:rPr>
        <w:t xml:space="preserve"> et du dynamisme des importations soutenues par la croissance économique</w:t>
      </w:r>
      <w:r w:rsidRPr="008523C9">
        <w:rPr>
          <w:rFonts w:ascii="Segoe UI" w:hAnsi="Segoe UI" w:cs="Segoe UI"/>
          <w:noProof/>
          <w:color w:val="000091" w:themeColor="text1"/>
          <w:sz w:val="20"/>
          <w:szCs w:val="20"/>
          <w:lang w:eastAsia="fr-FR"/>
        </w:rPr>
        <w:t xml:space="preserve">. Les premiers fournisseurs </w:t>
      </w:r>
      <w:r w:rsidR="00967D62">
        <w:rPr>
          <w:rFonts w:ascii="Segoe UI" w:hAnsi="Segoe UI" w:cs="Segoe UI"/>
          <w:noProof/>
          <w:color w:val="000091" w:themeColor="text1"/>
          <w:sz w:val="20"/>
          <w:szCs w:val="20"/>
          <w:lang w:eastAsia="fr-FR"/>
        </w:rPr>
        <w:t xml:space="preserve">des Maldives </w:t>
      </w:r>
      <w:r w:rsidRPr="008523C9">
        <w:rPr>
          <w:rFonts w:ascii="Segoe UI" w:hAnsi="Segoe UI" w:cs="Segoe UI"/>
          <w:noProof/>
          <w:color w:val="000091" w:themeColor="text1"/>
          <w:sz w:val="20"/>
          <w:szCs w:val="20"/>
          <w:lang w:eastAsia="fr-FR"/>
        </w:rPr>
        <w:t xml:space="preserve">sont </w:t>
      </w:r>
      <w:r w:rsidR="00967D62">
        <w:rPr>
          <w:rFonts w:ascii="Segoe UI" w:hAnsi="Segoe UI" w:cs="Segoe UI"/>
          <w:noProof/>
          <w:color w:val="000091" w:themeColor="text1"/>
          <w:sz w:val="20"/>
          <w:szCs w:val="20"/>
          <w:lang w:eastAsia="fr-FR"/>
        </w:rPr>
        <w:t xml:space="preserve">les Emirats arabes unis, l’Inde et </w:t>
      </w:r>
      <w:r w:rsidRPr="008523C9">
        <w:rPr>
          <w:rFonts w:ascii="Segoe UI" w:hAnsi="Segoe UI" w:cs="Segoe UI"/>
          <w:noProof/>
          <w:color w:val="000091" w:themeColor="text1"/>
          <w:sz w:val="20"/>
          <w:szCs w:val="20"/>
          <w:lang w:eastAsia="fr-FR"/>
        </w:rPr>
        <w:t xml:space="preserve">la Chine et </w:t>
      </w:r>
      <w:r w:rsidR="00967D62">
        <w:rPr>
          <w:rFonts w:ascii="Segoe UI" w:hAnsi="Segoe UI" w:cs="Segoe UI"/>
          <w:noProof/>
          <w:color w:val="000091" w:themeColor="text1"/>
          <w:sz w:val="20"/>
          <w:szCs w:val="20"/>
          <w:lang w:eastAsia="fr-FR"/>
        </w:rPr>
        <w:t xml:space="preserve">leurs </w:t>
      </w:r>
      <w:r w:rsidRPr="008523C9">
        <w:rPr>
          <w:rFonts w:ascii="Segoe UI" w:hAnsi="Segoe UI" w:cs="Segoe UI"/>
          <w:noProof/>
          <w:color w:val="000091" w:themeColor="text1"/>
          <w:sz w:val="20"/>
          <w:szCs w:val="20"/>
          <w:lang w:eastAsia="fr-FR"/>
        </w:rPr>
        <w:t xml:space="preserve">premiers </w:t>
      </w:r>
      <w:r w:rsidR="00FE0FDC">
        <w:rPr>
          <w:rFonts w:ascii="Segoe UI" w:hAnsi="Segoe UI" w:cs="Segoe UI"/>
          <w:noProof/>
          <w:color w:val="000091" w:themeColor="text1"/>
          <w:sz w:val="20"/>
          <w:szCs w:val="20"/>
          <w:lang w:eastAsia="fr-FR"/>
        </w:rPr>
        <w:t xml:space="preserve">clients </w:t>
      </w:r>
      <w:r w:rsidR="00967D62">
        <w:rPr>
          <w:rFonts w:ascii="Segoe UI" w:hAnsi="Segoe UI" w:cs="Segoe UI"/>
          <w:noProof/>
          <w:color w:val="000091" w:themeColor="text1"/>
          <w:sz w:val="20"/>
          <w:szCs w:val="20"/>
          <w:lang w:eastAsia="fr-FR"/>
        </w:rPr>
        <w:t>la Thaïlande, le Royaume-Uni et l’UE</w:t>
      </w:r>
      <w:r w:rsidRPr="008523C9">
        <w:rPr>
          <w:rFonts w:ascii="Segoe UI" w:hAnsi="Segoe UI" w:cs="Segoe UI"/>
          <w:noProof/>
          <w:color w:val="000091" w:themeColor="text1"/>
          <w:sz w:val="20"/>
          <w:szCs w:val="20"/>
          <w:lang w:eastAsia="fr-FR"/>
        </w:rPr>
        <w:t xml:space="preserve">. En 2025, le déficit commercial pourrait </w:t>
      </w:r>
      <w:r w:rsidR="00FE0FDC">
        <w:rPr>
          <w:rFonts w:ascii="Segoe UI" w:hAnsi="Segoe UI" w:cs="Segoe UI"/>
          <w:noProof/>
          <w:color w:val="000091" w:themeColor="text1"/>
          <w:sz w:val="20"/>
          <w:szCs w:val="20"/>
          <w:lang w:eastAsia="fr-FR"/>
        </w:rPr>
        <w:t>à nouveau progresser</w:t>
      </w:r>
      <w:r w:rsidR="008E1453">
        <w:rPr>
          <w:rFonts w:ascii="Segoe UI" w:hAnsi="Segoe UI" w:cs="Segoe UI"/>
          <w:noProof/>
          <w:color w:val="000091" w:themeColor="text1"/>
          <w:sz w:val="20"/>
          <w:szCs w:val="20"/>
          <w:lang w:eastAsia="fr-FR"/>
        </w:rPr>
        <w:t xml:space="preserve"> grâce à la bonne tenue du tourisme, à l’origine d’une part importante de la consommation</w:t>
      </w:r>
      <w:r w:rsidRPr="008523C9">
        <w:rPr>
          <w:rFonts w:ascii="Segoe UI" w:hAnsi="Segoe UI" w:cs="Segoe UI"/>
          <w:noProof/>
          <w:color w:val="000091" w:themeColor="text1"/>
          <w:sz w:val="20"/>
          <w:szCs w:val="20"/>
          <w:lang w:eastAsia="fr-FR"/>
        </w:rPr>
        <w:t>.</w:t>
      </w:r>
      <w:r w:rsidR="00FE0FDC">
        <w:rPr>
          <w:rFonts w:ascii="Segoe UI" w:hAnsi="Segoe UI" w:cs="Segoe UI"/>
          <w:noProof/>
          <w:color w:val="000091" w:themeColor="text1"/>
          <w:sz w:val="20"/>
          <w:szCs w:val="20"/>
          <w:lang w:eastAsia="fr-FR"/>
        </w:rPr>
        <w:t xml:space="preserve"> </w:t>
      </w:r>
      <w:r w:rsidRPr="008523C9">
        <w:rPr>
          <w:rFonts w:ascii="Segoe UI" w:hAnsi="Segoe UI" w:cs="Segoe UI"/>
          <w:noProof/>
          <w:color w:val="000091" w:themeColor="text1"/>
          <w:sz w:val="20"/>
          <w:szCs w:val="20"/>
          <w:lang w:eastAsia="fr-FR"/>
        </w:rPr>
        <w:t xml:space="preserve">Le taux d’ouverture commerciale de l’économie </w:t>
      </w:r>
      <w:r w:rsidR="008E1453">
        <w:rPr>
          <w:rFonts w:ascii="Segoe UI" w:hAnsi="Segoe UI" w:cs="Segoe UI"/>
          <w:noProof/>
          <w:color w:val="000091" w:themeColor="text1"/>
          <w:sz w:val="20"/>
          <w:szCs w:val="20"/>
          <w:lang w:eastAsia="fr-FR"/>
        </w:rPr>
        <w:t xml:space="preserve">maldivienne </w:t>
      </w:r>
      <w:r w:rsidRPr="008523C9">
        <w:rPr>
          <w:rFonts w:ascii="Segoe UI" w:hAnsi="Segoe UI" w:cs="Segoe UI"/>
          <w:noProof/>
          <w:color w:val="000091" w:themeColor="text1"/>
          <w:sz w:val="20"/>
          <w:szCs w:val="20"/>
          <w:lang w:eastAsia="fr-FR"/>
        </w:rPr>
        <w:t xml:space="preserve">(échanges commerciaux de biens équivalant à </w:t>
      </w:r>
      <w:r w:rsidR="008E1453">
        <w:rPr>
          <w:rFonts w:ascii="Segoe UI" w:hAnsi="Segoe UI" w:cs="Segoe UI"/>
          <w:noProof/>
          <w:color w:val="000091" w:themeColor="text1"/>
          <w:sz w:val="20"/>
          <w:szCs w:val="20"/>
          <w:lang w:eastAsia="fr-FR"/>
        </w:rPr>
        <w:t>58</w:t>
      </w:r>
      <w:r w:rsidRPr="008523C9">
        <w:rPr>
          <w:rFonts w:ascii="Segoe UI" w:hAnsi="Segoe UI" w:cs="Segoe UI"/>
          <w:noProof/>
          <w:color w:val="000091" w:themeColor="text1"/>
          <w:sz w:val="20"/>
          <w:szCs w:val="20"/>
          <w:lang w:eastAsia="fr-FR"/>
        </w:rPr>
        <w:t xml:space="preserve">% du PIB) est relativement </w:t>
      </w:r>
      <w:r w:rsidR="008E1453">
        <w:rPr>
          <w:rFonts w:ascii="Segoe UI" w:hAnsi="Segoe UI" w:cs="Segoe UI"/>
          <w:noProof/>
          <w:color w:val="000091" w:themeColor="text1"/>
          <w:sz w:val="20"/>
          <w:szCs w:val="20"/>
          <w:lang w:eastAsia="fr-FR"/>
        </w:rPr>
        <w:t>élevé</w:t>
      </w:r>
      <w:r w:rsidRPr="008523C9">
        <w:rPr>
          <w:rFonts w:ascii="Segoe UI" w:hAnsi="Segoe UI" w:cs="Segoe UI"/>
          <w:noProof/>
          <w:color w:val="000091" w:themeColor="text1"/>
          <w:sz w:val="20"/>
          <w:szCs w:val="20"/>
          <w:lang w:eastAsia="fr-FR"/>
        </w:rPr>
        <w:t xml:space="preserve">, l’économie </w:t>
      </w:r>
      <w:r w:rsidR="008E1453">
        <w:rPr>
          <w:rFonts w:ascii="Segoe UI" w:hAnsi="Segoe UI" w:cs="Segoe UI"/>
          <w:noProof/>
          <w:color w:val="000091" w:themeColor="text1"/>
          <w:sz w:val="20"/>
          <w:szCs w:val="20"/>
          <w:lang w:eastAsia="fr-FR"/>
        </w:rPr>
        <w:t>maldivienne dépendant en</w:t>
      </w:r>
      <w:r w:rsidR="00FE0FDC">
        <w:rPr>
          <w:rFonts w:ascii="Segoe UI" w:hAnsi="Segoe UI" w:cs="Segoe UI"/>
          <w:noProof/>
          <w:color w:val="000091" w:themeColor="text1"/>
          <w:sz w:val="20"/>
          <w:szCs w:val="20"/>
          <w:lang w:eastAsia="fr-FR"/>
        </w:rPr>
        <w:t xml:space="preserve"> </w:t>
      </w:r>
      <w:r w:rsidR="006C68A8">
        <w:rPr>
          <w:rFonts w:ascii="Segoe UI" w:hAnsi="Segoe UI" w:cs="Segoe UI"/>
          <w:noProof/>
          <w:color w:val="000091" w:themeColor="text1"/>
          <w:sz w:val="20"/>
          <w:szCs w:val="20"/>
          <w:lang w:eastAsia="fr-FR"/>
        </w:rPr>
        <w:t>qu</w:t>
      </w:r>
      <w:r w:rsidR="000E65E7">
        <w:rPr>
          <w:rFonts w:ascii="Segoe UI" w:hAnsi="Segoe UI" w:cs="Segoe UI"/>
          <w:noProof/>
          <w:color w:val="000091" w:themeColor="text1"/>
          <w:sz w:val="20"/>
          <w:szCs w:val="20"/>
          <w:lang w:eastAsia="fr-FR"/>
        </w:rPr>
        <w:t>a</w:t>
      </w:r>
      <w:r w:rsidR="006C68A8">
        <w:rPr>
          <w:rFonts w:ascii="Segoe UI" w:hAnsi="Segoe UI" w:cs="Segoe UI"/>
          <w:noProof/>
          <w:color w:val="000091" w:themeColor="text1"/>
          <w:sz w:val="20"/>
          <w:szCs w:val="20"/>
          <w:lang w:eastAsia="fr-FR"/>
        </w:rPr>
        <w:t xml:space="preserve">si </w:t>
      </w:r>
      <w:r w:rsidR="00FE0FDC">
        <w:rPr>
          <w:rFonts w:ascii="Segoe UI" w:hAnsi="Segoe UI" w:cs="Segoe UI"/>
          <w:noProof/>
          <w:color w:val="000091" w:themeColor="text1"/>
          <w:sz w:val="20"/>
          <w:szCs w:val="20"/>
          <w:lang w:eastAsia="fr-FR"/>
        </w:rPr>
        <w:t>totalité</w:t>
      </w:r>
      <w:r w:rsidR="008E1453">
        <w:rPr>
          <w:rFonts w:ascii="Segoe UI" w:hAnsi="Segoe UI" w:cs="Segoe UI"/>
          <w:noProof/>
          <w:color w:val="000091" w:themeColor="text1"/>
          <w:sz w:val="20"/>
          <w:szCs w:val="20"/>
          <w:lang w:eastAsia="fr-FR"/>
        </w:rPr>
        <w:t xml:space="preserve"> </w:t>
      </w:r>
      <w:r w:rsidRPr="008523C9">
        <w:rPr>
          <w:rFonts w:ascii="Segoe UI" w:hAnsi="Segoe UI" w:cs="Segoe UI"/>
          <w:noProof/>
          <w:color w:val="000091" w:themeColor="text1"/>
          <w:sz w:val="20"/>
          <w:szCs w:val="20"/>
          <w:lang w:eastAsia="fr-FR"/>
        </w:rPr>
        <w:t xml:space="preserve">des importations pour ses approvisionnements. La hausse du tourisme a permis en 2024 une hausse de l’excédent de la balance des services, passé de </w:t>
      </w:r>
      <w:r w:rsidR="00C64272">
        <w:rPr>
          <w:rFonts w:ascii="Segoe UI" w:hAnsi="Segoe UI" w:cs="Segoe UI"/>
          <w:noProof/>
          <w:color w:val="000091" w:themeColor="text1"/>
          <w:sz w:val="20"/>
          <w:szCs w:val="20"/>
          <w:lang w:eastAsia="fr-FR"/>
        </w:rPr>
        <w:t>2,8</w:t>
      </w:r>
      <w:r w:rsidRPr="008523C9">
        <w:rPr>
          <w:rFonts w:ascii="Segoe UI" w:hAnsi="Segoe UI" w:cs="Segoe UI"/>
          <w:noProof/>
          <w:color w:val="000091" w:themeColor="text1"/>
          <w:sz w:val="20"/>
          <w:szCs w:val="20"/>
          <w:lang w:eastAsia="fr-FR"/>
        </w:rPr>
        <w:t xml:space="preserve"> à </w:t>
      </w:r>
      <w:r w:rsidR="00C64272">
        <w:rPr>
          <w:rFonts w:ascii="Segoe UI" w:hAnsi="Segoe UI" w:cs="Segoe UI"/>
          <w:noProof/>
          <w:color w:val="000091" w:themeColor="text1"/>
          <w:sz w:val="20"/>
          <w:szCs w:val="20"/>
          <w:lang w:eastAsia="fr-FR"/>
        </w:rPr>
        <w:t>2,9</w:t>
      </w:r>
      <w:r w:rsidRPr="008523C9">
        <w:rPr>
          <w:rFonts w:ascii="Segoe UI" w:hAnsi="Segoe UI" w:cs="Segoe UI"/>
          <w:noProof/>
          <w:color w:val="000091" w:themeColor="text1"/>
          <w:sz w:val="20"/>
          <w:szCs w:val="20"/>
          <w:lang w:eastAsia="fr-FR"/>
        </w:rPr>
        <w:t xml:space="preserve"> Mds USD</w:t>
      </w:r>
      <w:r w:rsidR="00C64272">
        <w:rPr>
          <w:rFonts w:ascii="Segoe UI" w:hAnsi="Segoe UI" w:cs="Segoe UI"/>
          <w:noProof/>
          <w:color w:val="000091" w:themeColor="text1"/>
          <w:sz w:val="20"/>
          <w:szCs w:val="20"/>
          <w:lang w:eastAsia="fr-FR"/>
        </w:rPr>
        <w:t xml:space="preserve"> (+6,3%)</w:t>
      </w:r>
      <w:r w:rsidRPr="008523C9">
        <w:rPr>
          <w:rFonts w:ascii="Segoe UI" w:hAnsi="Segoe UI" w:cs="Segoe UI"/>
          <w:noProof/>
          <w:color w:val="000091" w:themeColor="text1"/>
          <w:sz w:val="20"/>
          <w:szCs w:val="20"/>
          <w:lang w:eastAsia="fr-FR"/>
        </w:rPr>
        <w:t>, qui devrait se confirmer en 2025</w:t>
      </w:r>
      <w:r w:rsidR="00892CFF" w:rsidRPr="00892CFF">
        <w:rPr>
          <w:rFonts w:ascii="Segoe UI" w:hAnsi="Segoe UI" w:cs="Segoe UI"/>
          <w:noProof/>
          <w:color w:val="000091" w:themeColor="text1"/>
          <w:sz w:val="20"/>
          <w:szCs w:val="20"/>
          <w:lang w:eastAsia="fr-FR"/>
        </w:rPr>
        <w:t>.</w:t>
      </w:r>
    </w:p>
    <w:p w14:paraId="23EF5D10" w14:textId="737C5F73" w:rsidR="006E40EC" w:rsidRDefault="008523C9" w:rsidP="008523C9">
      <w:pPr>
        <w:spacing w:before="120" w:after="0"/>
        <w:ind w:left="-284"/>
        <w:jc w:val="both"/>
        <w:rPr>
          <w:rFonts w:ascii="Segoe UI" w:hAnsi="Segoe UI" w:cs="Segoe UI"/>
          <w:b/>
          <w:color w:val="000091" w:themeColor="text1"/>
          <w:szCs w:val="20"/>
        </w:rPr>
      </w:pPr>
      <w:r w:rsidRPr="008523C9">
        <w:rPr>
          <w:rFonts w:ascii="Segoe UI" w:hAnsi="Segoe UI" w:cs="Segoe UI"/>
          <w:b/>
          <w:color w:val="000091" w:themeColor="text1"/>
          <w:szCs w:val="20"/>
        </w:rPr>
        <w:t xml:space="preserve">Des importations </w:t>
      </w:r>
      <w:r w:rsidR="0090340F">
        <w:rPr>
          <w:rFonts w:ascii="Segoe UI" w:hAnsi="Segoe UI" w:cs="Segoe UI"/>
          <w:b/>
          <w:color w:val="000091" w:themeColor="text1"/>
          <w:szCs w:val="20"/>
        </w:rPr>
        <w:t>qui progressent avec la croissance du tourisme</w:t>
      </w:r>
    </w:p>
    <w:p w14:paraId="325CB700" w14:textId="5C50C349" w:rsidR="008523C9" w:rsidRPr="008523C9" w:rsidRDefault="008523C9" w:rsidP="008523C9">
      <w:pPr>
        <w:pStyle w:val="Titre02"/>
        <w:rPr>
          <w:rStyle w:val="Lienhypertexte"/>
          <w:b w:val="0"/>
          <w:noProof/>
          <w:color w:val="auto"/>
          <w:sz w:val="20"/>
          <w:u w:val="none"/>
        </w:rPr>
      </w:pPr>
      <w:r w:rsidRPr="008523C9">
        <w:rPr>
          <w:rStyle w:val="Lienhypertexte"/>
          <w:bCs/>
          <w:noProof/>
          <w:color w:val="auto"/>
          <w:sz w:val="20"/>
          <w:u w:val="none"/>
        </w:rPr>
        <w:t xml:space="preserve">Les importations de marchandises ont progressé de </w:t>
      </w:r>
      <w:r w:rsidR="0090340F">
        <w:rPr>
          <w:rStyle w:val="Lienhypertexte"/>
          <w:bCs/>
          <w:noProof/>
          <w:color w:val="auto"/>
          <w:sz w:val="20"/>
          <w:u w:val="none"/>
        </w:rPr>
        <w:t>4</w:t>
      </w:r>
      <w:r w:rsidRPr="008523C9">
        <w:rPr>
          <w:rStyle w:val="Lienhypertexte"/>
          <w:bCs/>
          <w:noProof/>
          <w:color w:val="auto"/>
          <w:sz w:val="20"/>
          <w:u w:val="none"/>
        </w:rPr>
        <w:t>% en 2024 par rapport à 2023</w:t>
      </w:r>
      <w:r w:rsidRPr="008523C9">
        <w:rPr>
          <w:rStyle w:val="Lienhypertexte"/>
          <w:b w:val="0"/>
          <w:noProof/>
          <w:color w:val="auto"/>
          <w:sz w:val="20"/>
          <w:u w:val="none"/>
        </w:rPr>
        <w:t xml:space="preserve">, passant de </w:t>
      </w:r>
      <w:r w:rsidR="0090340F">
        <w:rPr>
          <w:rStyle w:val="Lienhypertexte"/>
          <w:b w:val="0"/>
          <w:noProof/>
          <w:color w:val="auto"/>
          <w:sz w:val="20"/>
          <w:u w:val="none"/>
        </w:rPr>
        <w:t>3,5</w:t>
      </w:r>
      <w:r w:rsidRPr="008523C9">
        <w:rPr>
          <w:rStyle w:val="Lienhypertexte"/>
          <w:b w:val="0"/>
          <w:noProof/>
          <w:color w:val="auto"/>
          <w:sz w:val="20"/>
          <w:u w:val="none"/>
        </w:rPr>
        <w:t xml:space="preserve"> à </w:t>
      </w:r>
      <w:r w:rsidR="0090340F">
        <w:rPr>
          <w:rStyle w:val="Lienhypertexte"/>
          <w:b w:val="0"/>
          <w:noProof/>
          <w:color w:val="auto"/>
          <w:sz w:val="20"/>
          <w:u w:val="none"/>
        </w:rPr>
        <w:t>3,6</w:t>
      </w:r>
      <w:r w:rsidRPr="008523C9">
        <w:rPr>
          <w:rStyle w:val="Lienhypertexte"/>
          <w:b w:val="0"/>
          <w:noProof/>
          <w:color w:val="auto"/>
          <w:sz w:val="20"/>
          <w:u w:val="none"/>
        </w:rPr>
        <w:t xml:space="preserve"> Mds USD grâce à la </w:t>
      </w:r>
      <w:r w:rsidR="0090340F">
        <w:rPr>
          <w:rStyle w:val="Lienhypertexte"/>
          <w:b w:val="0"/>
          <w:noProof/>
          <w:color w:val="auto"/>
          <w:sz w:val="20"/>
          <w:u w:val="none"/>
        </w:rPr>
        <w:t xml:space="preserve">forte croissance de l’économie (5,5%), liée à la hausse de 8,9% des arrivées de touristes </w:t>
      </w:r>
      <w:r w:rsidR="0090340F" w:rsidRPr="0090340F">
        <w:rPr>
          <w:rStyle w:val="Lienhypertexte"/>
          <w:b w:val="0"/>
          <w:noProof/>
          <w:color w:val="auto"/>
          <w:sz w:val="20"/>
          <w:u w:val="none"/>
        </w:rPr>
        <w:t xml:space="preserve">entre 2023 et 2024 </w:t>
      </w:r>
      <w:r w:rsidR="0090340F">
        <w:rPr>
          <w:rStyle w:val="Lienhypertexte"/>
          <w:b w:val="0"/>
          <w:noProof/>
          <w:color w:val="auto"/>
          <w:sz w:val="20"/>
          <w:u w:val="none"/>
        </w:rPr>
        <w:t xml:space="preserve">et à la poursuite de travaux d’infrastructures (construction de logements, rénovation de l’aéroport, </w:t>
      </w:r>
      <w:r w:rsidR="00464903">
        <w:rPr>
          <w:rStyle w:val="Lienhypertexte"/>
          <w:b w:val="0"/>
          <w:noProof/>
          <w:color w:val="auto"/>
          <w:sz w:val="20"/>
          <w:u w:val="none"/>
        </w:rPr>
        <w:t xml:space="preserve">ports, </w:t>
      </w:r>
      <w:r w:rsidR="0090340F">
        <w:rPr>
          <w:rStyle w:val="Lienhypertexte"/>
          <w:b w:val="0"/>
          <w:noProof/>
          <w:color w:val="auto"/>
          <w:sz w:val="20"/>
          <w:u w:val="none"/>
        </w:rPr>
        <w:t xml:space="preserve">etc.) qui soutiennent </w:t>
      </w:r>
      <w:r w:rsidR="00464903">
        <w:rPr>
          <w:rStyle w:val="Lienhypertexte"/>
          <w:b w:val="0"/>
          <w:noProof/>
          <w:color w:val="auto"/>
          <w:sz w:val="20"/>
          <w:u w:val="none"/>
        </w:rPr>
        <w:t xml:space="preserve">l’activité dans </w:t>
      </w:r>
      <w:r w:rsidR="0090340F">
        <w:rPr>
          <w:rStyle w:val="Lienhypertexte"/>
          <w:b w:val="0"/>
          <w:noProof/>
          <w:color w:val="auto"/>
          <w:sz w:val="20"/>
          <w:u w:val="none"/>
        </w:rPr>
        <w:t>le secteur de la construction</w:t>
      </w:r>
      <w:r w:rsidRPr="008523C9">
        <w:rPr>
          <w:rStyle w:val="Lienhypertexte"/>
          <w:b w:val="0"/>
          <w:noProof/>
          <w:color w:val="auto"/>
          <w:sz w:val="20"/>
          <w:u w:val="none"/>
        </w:rPr>
        <w:t>.</w:t>
      </w:r>
    </w:p>
    <w:p w14:paraId="29E538F8" w14:textId="3DCAA229" w:rsidR="008523C9" w:rsidRPr="00C81E3B" w:rsidRDefault="00C81E3B" w:rsidP="008523C9">
      <w:pPr>
        <w:pStyle w:val="Titre02"/>
        <w:rPr>
          <w:rStyle w:val="Lienhypertexte"/>
          <w:b w:val="0"/>
          <w:noProof/>
          <w:color w:val="auto"/>
          <w:sz w:val="20"/>
          <w:u w:val="none"/>
        </w:rPr>
      </w:pPr>
      <w:r>
        <w:rPr>
          <w:rStyle w:val="Lienhypertexte"/>
          <w:bCs/>
          <w:noProof/>
          <w:color w:val="auto"/>
          <w:sz w:val="20"/>
          <w:u w:val="none"/>
        </w:rPr>
        <w:t xml:space="preserve">Les postes les plus importants à l’importation sont les produits agricoles et agroalimentaires </w:t>
      </w:r>
      <w:r w:rsidRPr="00C81E3B">
        <w:rPr>
          <w:rStyle w:val="Lienhypertexte"/>
          <w:b w:val="0"/>
          <w:noProof/>
          <w:color w:val="auto"/>
          <w:sz w:val="20"/>
          <w:u w:val="none"/>
        </w:rPr>
        <w:t>(les Maldives ne couvrant qu’une très faible part de leurs besoins</w:t>
      </w:r>
      <w:r>
        <w:rPr>
          <w:rStyle w:val="Lienhypertexte"/>
          <w:b w:val="0"/>
          <w:noProof/>
          <w:color w:val="auto"/>
          <w:sz w:val="20"/>
          <w:u w:val="none"/>
        </w:rPr>
        <w:t xml:space="preserve"> dans ce secteur</w:t>
      </w:r>
      <w:r w:rsidRPr="00C81E3B">
        <w:rPr>
          <w:rStyle w:val="Lienhypertexte"/>
          <w:b w:val="0"/>
          <w:noProof/>
          <w:color w:val="auto"/>
          <w:sz w:val="20"/>
          <w:u w:val="none"/>
        </w:rPr>
        <w:t>)</w:t>
      </w:r>
      <w:r>
        <w:rPr>
          <w:rStyle w:val="Lienhypertexte"/>
          <w:bCs/>
          <w:noProof/>
          <w:color w:val="auto"/>
          <w:sz w:val="20"/>
          <w:u w:val="none"/>
        </w:rPr>
        <w:t xml:space="preserve"> et les produits pétroliers. </w:t>
      </w:r>
      <w:r w:rsidRPr="00C81E3B">
        <w:rPr>
          <w:rStyle w:val="Lienhypertexte"/>
          <w:b w:val="0"/>
          <w:noProof/>
          <w:color w:val="auto"/>
          <w:sz w:val="20"/>
          <w:u w:val="none"/>
        </w:rPr>
        <w:t xml:space="preserve">A eux seuls, </w:t>
      </w:r>
      <w:r w:rsidR="00464903">
        <w:rPr>
          <w:rStyle w:val="Lienhypertexte"/>
          <w:b w:val="0"/>
          <w:noProof/>
          <w:color w:val="auto"/>
          <w:sz w:val="20"/>
          <w:u w:val="none"/>
        </w:rPr>
        <w:t xml:space="preserve">ils </w:t>
      </w:r>
      <w:r w:rsidRPr="00C81E3B">
        <w:rPr>
          <w:rStyle w:val="Lienhypertexte"/>
          <w:b w:val="0"/>
          <w:noProof/>
          <w:color w:val="auto"/>
          <w:sz w:val="20"/>
          <w:u w:val="none"/>
        </w:rPr>
        <w:t xml:space="preserve">représentent 41,5% du total des importations. </w:t>
      </w:r>
      <w:r>
        <w:rPr>
          <w:rStyle w:val="Lienhypertexte"/>
          <w:b w:val="0"/>
          <w:noProof/>
          <w:color w:val="auto"/>
          <w:sz w:val="20"/>
          <w:u w:val="none"/>
        </w:rPr>
        <w:t>Les achats de bois et ciment et ceux de matériel électrique et de produits de la métallurgie sont soutenus par le dynamisme de la construction.</w:t>
      </w:r>
    </w:p>
    <w:p w14:paraId="5FECFDDE" w14:textId="1B6B543A" w:rsidR="008523C9" w:rsidRDefault="00C81E3B" w:rsidP="00464903">
      <w:pPr>
        <w:pStyle w:val="Titre02"/>
        <w:rPr>
          <w:rStyle w:val="Lienhypertexte"/>
          <w:b w:val="0"/>
          <w:noProof/>
          <w:color w:val="auto"/>
          <w:sz w:val="20"/>
          <w:u w:val="none"/>
        </w:rPr>
      </w:pPr>
      <w:r>
        <w:rPr>
          <w:rStyle w:val="Lienhypertexte"/>
          <w:bCs/>
          <w:noProof/>
          <w:color w:val="auto"/>
          <w:sz w:val="20"/>
          <w:u w:val="none"/>
        </w:rPr>
        <w:t>Les fournisseurs de pétrole comptent parmi les principaux fournisseurs du pays : Emirats arabes unis (1</w:t>
      </w:r>
      <w:r w:rsidRPr="00C81E3B">
        <w:rPr>
          <w:rStyle w:val="Lienhypertexte"/>
          <w:bCs/>
          <w:noProof/>
          <w:color w:val="auto"/>
          <w:sz w:val="20"/>
          <w:u w:val="none"/>
          <w:vertAlign w:val="superscript"/>
        </w:rPr>
        <w:t>er</w:t>
      </w:r>
      <w:r>
        <w:rPr>
          <w:rStyle w:val="Lienhypertexte"/>
          <w:bCs/>
          <w:noProof/>
          <w:color w:val="auto"/>
          <w:sz w:val="20"/>
          <w:u w:val="none"/>
        </w:rPr>
        <w:t xml:space="preserve"> rang), Singapour (4</w:t>
      </w:r>
      <w:r w:rsidRPr="00C81E3B">
        <w:rPr>
          <w:rStyle w:val="Lienhypertexte"/>
          <w:bCs/>
          <w:noProof/>
          <w:color w:val="auto"/>
          <w:sz w:val="20"/>
          <w:u w:val="none"/>
          <w:vertAlign w:val="superscript"/>
        </w:rPr>
        <w:t>e</w:t>
      </w:r>
      <w:r w:rsidR="00464903">
        <w:rPr>
          <w:rStyle w:val="Lienhypertexte"/>
          <w:b w:val="0"/>
          <w:noProof/>
          <w:color w:val="auto"/>
          <w:sz w:val="20"/>
          <w:u w:val="none"/>
        </w:rPr>
        <w:t>, a</w:t>
      </w:r>
      <w:r w:rsidR="00464903" w:rsidRPr="00464903">
        <w:rPr>
          <w:rStyle w:val="Lienhypertexte"/>
          <w:b w:val="0"/>
          <w:noProof/>
          <w:color w:val="auto"/>
          <w:sz w:val="20"/>
          <w:u w:val="none"/>
        </w:rPr>
        <w:t>vec des échanges diversifiés toutefois)</w:t>
      </w:r>
      <w:r>
        <w:rPr>
          <w:rStyle w:val="Lienhypertexte"/>
          <w:bCs/>
          <w:noProof/>
          <w:color w:val="auto"/>
          <w:sz w:val="20"/>
          <w:u w:val="none"/>
        </w:rPr>
        <w:t xml:space="preserve"> et Oman (5</w:t>
      </w:r>
      <w:r w:rsidRPr="00C81E3B">
        <w:rPr>
          <w:rStyle w:val="Lienhypertexte"/>
          <w:bCs/>
          <w:noProof/>
          <w:color w:val="auto"/>
          <w:sz w:val="20"/>
          <w:u w:val="none"/>
          <w:vertAlign w:val="superscript"/>
        </w:rPr>
        <w:t>e</w:t>
      </w:r>
      <w:r>
        <w:rPr>
          <w:rStyle w:val="Lienhypertexte"/>
          <w:bCs/>
          <w:noProof/>
          <w:color w:val="auto"/>
          <w:sz w:val="20"/>
          <w:u w:val="none"/>
        </w:rPr>
        <w:t xml:space="preserve">). </w:t>
      </w:r>
      <w:r w:rsidR="006139EE">
        <w:rPr>
          <w:rStyle w:val="Lienhypertexte"/>
          <w:bCs/>
          <w:noProof/>
          <w:color w:val="auto"/>
          <w:sz w:val="20"/>
          <w:u w:val="none"/>
        </w:rPr>
        <w:t>L’Inde (</w:t>
      </w:r>
      <w:r w:rsidR="00464903">
        <w:rPr>
          <w:rStyle w:val="Lienhypertexte"/>
          <w:bCs/>
          <w:noProof/>
          <w:color w:val="auto"/>
          <w:sz w:val="20"/>
          <w:u w:val="none"/>
        </w:rPr>
        <w:t>1</w:t>
      </w:r>
      <w:r w:rsidR="00464903" w:rsidRPr="00464903">
        <w:rPr>
          <w:rStyle w:val="Lienhypertexte"/>
          <w:bCs/>
          <w:noProof/>
          <w:color w:val="auto"/>
          <w:sz w:val="20"/>
          <w:u w:val="none"/>
          <w:vertAlign w:val="superscript"/>
        </w:rPr>
        <w:t>er</w:t>
      </w:r>
      <w:r w:rsidR="00464903">
        <w:rPr>
          <w:rStyle w:val="Lienhypertexte"/>
          <w:bCs/>
          <w:noProof/>
          <w:color w:val="auto"/>
          <w:sz w:val="20"/>
          <w:u w:val="none"/>
        </w:rPr>
        <w:t xml:space="preserve"> </w:t>
      </w:r>
      <w:r w:rsidR="006139EE">
        <w:rPr>
          <w:rStyle w:val="Lienhypertexte"/>
          <w:bCs/>
          <w:noProof/>
          <w:color w:val="auto"/>
          <w:sz w:val="20"/>
          <w:u w:val="none"/>
        </w:rPr>
        <w:t>rang) se place devant la Chine (</w:t>
      </w:r>
      <w:r w:rsidR="00464903">
        <w:rPr>
          <w:rStyle w:val="Lienhypertexte"/>
          <w:bCs/>
          <w:noProof/>
          <w:color w:val="auto"/>
          <w:sz w:val="20"/>
          <w:u w:val="none"/>
        </w:rPr>
        <w:t>2</w:t>
      </w:r>
      <w:r w:rsidR="00464903" w:rsidRPr="00464903">
        <w:rPr>
          <w:rStyle w:val="Lienhypertexte"/>
          <w:bCs/>
          <w:noProof/>
          <w:color w:val="auto"/>
          <w:sz w:val="20"/>
          <w:u w:val="none"/>
          <w:vertAlign w:val="superscript"/>
        </w:rPr>
        <w:t>e</w:t>
      </w:r>
      <w:r w:rsidR="006139EE">
        <w:rPr>
          <w:rStyle w:val="Lienhypertexte"/>
          <w:bCs/>
          <w:noProof/>
          <w:color w:val="auto"/>
          <w:sz w:val="20"/>
          <w:u w:val="none"/>
        </w:rPr>
        <w:t>)</w:t>
      </w:r>
      <w:r w:rsidR="00464903" w:rsidRPr="00464903">
        <w:rPr>
          <w:rStyle w:val="Lienhypertexte"/>
          <w:b w:val="0"/>
          <w:noProof/>
          <w:color w:val="auto"/>
          <w:sz w:val="20"/>
          <w:u w:val="none"/>
        </w:rPr>
        <w:t>,</w:t>
      </w:r>
      <w:r w:rsidR="006139EE">
        <w:rPr>
          <w:rStyle w:val="Lienhypertexte"/>
          <w:bCs/>
          <w:noProof/>
          <w:color w:val="auto"/>
          <w:sz w:val="20"/>
          <w:u w:val="none"/>
        </w:rPr>
        <w:t xml:space="preserve"> </w:t>
      </w:r>
      <w:r w:rsidR="00464903" w:rsidRPr="00464903">
        <w:rPr>
          <w:rStyle w:val="Lienhypertexte"/>
          <w:b w:val="0"/>
          <w:noProof/>
          <w:color w:val="auto"/>
          <w:sz w:val="20"/>
          <w:u w:val="none"/>
        </w:rPr>
        <w:t>mais</w:t>
      </w:r>
      <w:r w:rsidR="00464903">
        <w:rPr>
          <w:rStyle w:val="Lienhypertexte"/>
          <w:bCs/>
          <w:noProof/>
          <w:color w:val="auto"/>
          <w:sz w:val="20"/>
          <w:u w:val="none"/>
        </w:rPr>
        <w:t xml:space="preserve"> </w:t>
      </w:r>
      <w:r w:rsidR="006139EE" w:rsidRPr="00464903">
        <w:rPr>
          <w:rStyle w:val="Lienhypertexte"/>
          <w:b w:val="0"/>
          <w:noProof/>
          <w:color w:val="auto"/>
          <w:sz w:val="20"/>
          <w:u w:val="none"/>
        </w:rPr>
        <w:t xml:space="preserve">la part </w:t>
      </w:r>
      <w:r w:rsidR="00464903">
        <w:rPr>
          <w:rStyle w:val="Lienhypertexte"/>
          <w:b w:val="0"/>
          <w:noProof/>
          <w:color w:val="auto"/>
          <w:sz w:val="20"/>
          <w:u w:val="none"/>
        </w:rPr>
        <w:t xml:space="preserve">de cette dernière </w:t>
      </w:r>
      <w:r w:rsidR="006139EE" w:rsidRPr="00464903">
        <w:rPr>
          <w:rStyle w:val="Lienhypertexte"/>
          <w:b w:val="0"/>
          <w:noProof/>
          <w:color w:val="auto"/>
          <w:sz w:val="20"/>
          <w:u w:val="none"/>
        </w:rPr>
        <w:t xml:space="preserve">devrait s’accroîre </w:t>
      </w:r>
      <w:r w:rsidR="00464903">
        <w:rPr>
          <w:rStyle w:val="Lienhypertexte"/>
          <w:b w:val="0"/>
          <w:noProof/>
          <w:color w:val="auto"/>
          <w:sz w:val="20"/>
          <w:u w:val="none"/>
        </w:rPr>
        <w:t>avec l’entrée en vigueur au 1</w:t>
      </w:r>
      <w:r w:rsidR="00464903" w:rsidRPr="00464903">
        <w:rPr>
          <w:rStyle w:val="Lienhypertexte"/>
          <w:b w:val="0"/>
          <w:noProof/>
          <w:color w:val="auto"/>
          <w:sz w:val="20"/>
          <w:u w:val="none"/>
          <w:vertAlign w:val="superscript"/>
        </w:rPr>
        <w:t>er</w:t>
      </w:r>
      <w:r w:rsidR="00464903">
        <w:rPr>
          <w:rStyle w:val="Lienhypertexte"/>
          <w:b w:val="0"/>
          <w:noProof/>
          <w:color w:val="auto"/>
          <w:sz w:val="20"/>
          <w:u w:val="none"/>
        </w:rPr>
        <w:t xml:space="preserve"> janvier 2025 du premier accord de libre-échange conclu par les Maldives</w:t>
      </w:r>
      <w:r w:rsidR="00EE44FC">
        <w:rPr>
          <w:rStyle w:val="Lienhypertexte"/>
          <w:b w:val="0"/>
          <w:noProof/>
          <w:color w:val="auto"/>
          <w:sz w:val="20"/>
          <w:u w:val="none"/>
        </w:rPr>
        <w:t xml:space="preserve">, qui ont également signé </w:t>
      </w:r>
      <w:r w:rsidR="005E43A6">
        <w:rPr>
          <w:rStyle w:val="Lienhypertexte"/>
          <w:b w:val="0"/>
          <w:noProof/>
          <w:color w:val="auto"/>
          <w:sz w:val="20"/>
          <w:u w:val="none"/>
        </w:rPr>
        <w:t xml:space="preserve">en novembre 2024 </w:t>
      </w:r>
      <w:r w:rsidR="00EE44FC">
        <w:rPr>
          <w:rStyle w:val="Lienhypertexte"/>
          <w:b w:val="0"/>
          <w:noProof/>
          <w:color w:val="auto"/>
          <w:sz w:val="20"/>
          <w:u w:val="none"/>
        </w:rPr>
        <w:t>un accord commercial préférentiel avec la Turquie</w:t>
      </w:r>
      <w:r w:rsidR="005E43A6">
        <w:rPr>
          <w:rStyle w:val="Lienhypertexte"/>
          <w:b w:val="0"/>
          <w:noProof/>
          <w:color w:val="auto"/>
          <w:sz w:val="20"/>
          <w:u w:val="none"/>
        </w:rPr>
        <w:t>, qui n’est pas encore en vigueur et qui négocient un ALE avec l’Inde</w:t>
      </w:r>
      <w:r w:rsidR="00464903">
        <w:rPr>
          <w:rStyle w:val="Lienhypertexte"/>
          <w:b w:val="0"/>
          <w:noProof/>
          <w:color w:val="auto"/>
          <w:sz w:val="20"/>
          <w:u w:val="none"/>
        </w:rPr>
        <w:t xml:space="preserve">. </w:t>
      </w:r>
      <w:r w:rsidR="008523C9" w:rsidRPr="008523C9">
        <w:rPr>
          <w:rStyle w:val="Lienhypertexte"/>
          <w:b w:val="0"/>
          <w:noProof/>
          <w:color w:val="auto"/>
          <w:sz w:val="20"/>
          <w:u w:val="none"/>
        </w:rPr>
        <w:t xml:space="preserve">L’UE dans son ensemble ne couvre que </w:t>
      </w:r>
      <w:r w:rsidR="00464903">
        <w:rPr>
          <w:rStyle w:val="Lienhypertexte"/>
          <w:b w:val="0"/>
          <w:noProof/>
          <w:color w:val="auto"/>
          <w:sz w:val="20"/>
          <w:u w:val="none"/>
        </w:rPr>
        <w:t>7,7</w:t>
      </w:r>
      <w:r w:rsidR="008523C9" w:rsidRPr="008523C9">
        <w:rPr>
          <w:rStyle w:val="Lienhypertexte"/>
          <w:b w:val="0"/>
          <w:noProof/>
          <w:color w:val="auto"/>
          <w:sz w:val="20"/>
          <w:u w:val="none"/>
        </w:rPr>
        <w:t xml:space="preserve">% des importations </w:t>
      </w:r>
      <w:r w:rsidR="00464903">
        <w:rPr>
          <w:rStyle w:val="Lienhypertexte"/>
          <w:b w:val="0"/>
          <w:noProof/>
          <w:color w:val="auto"/>
          <w:sz w:val="20"/>
          <w:u w:val="none"/>
        </w:rPr>
        <w:t xml:space="preserve">maldiviennes </w:t>
      </w:r>
      <w:r w:rsidR="008523C9" w:rsidRPr="008523C9">
        <w:rPr>
          <w:rStyle w:val="Lienhypertexte"/>
          <w:b w:val="0"/>
          <w:noProof/>
          <w:color w:val="auto"/>
          <w:sz w:val="20"/>
          <w:u w:val="none"/>
        </w:rPr>
        <w:t xml:space="preserve">et la France se classe au </w:t>
      </w:r>
      <w:r w:rsidR="00464903">
        <w:rPr>
          <w:rStyle w:val="Lienhypertexte"/>
          <w:b w:val="0"/>
          <w:noProof/>
          <w:color w:val="auto"/>
          <w:sz w:val="20"/>
          <w:u w:val="none"/>
        </w:rPr>
        <w:t>10</w:t>
      </w:r>
      <w:r w:rsidR="00464903" w:rsidRPr="00464903">
        <w:rPr>
          <w:rStyle w:val="Lienhypertexte"/>
          <w:b w:val="0"/>
          <w:noProof/>
          <w:color w:val="auto"/>
          <w:sz w:val="20"/>
          <w:u w:val="none"/>
          <w:vertAlign w:val="superscript"/>
        </w:rPr>
        <w:t>e</w:t>
      </w:r>
      <w:r w:rsidR="00464903">
        <w:rPr>
          <w:rStyle w:val="Lienhypertexte"/>
          <w:b w:val="0"/>
          <w:noProof/>
          <w:color w:val="auto"/>
          <w:sz w:val="20"/>
          <w:u w:val="none"/>
        </w:rPr>
        <w:t xml:space="preserve"> </w:t>
      </w:r>
      <w:r w:rsidR="008523C9" w:rsidRPr="008523C9">
        <w:rPr>
          <w:rStyle w:val="Lienhypertexte"/>
          <w:b w:val="0"/>
          <w:noProof/>
          <w:color w:val="auto"/>
          <w:sz w:val="20"/>
          <w:u w:val="none"/>
        </w:rPr>
        <w:t xml:space="preserve">rang des fournisseurs de ce pays avec </w:t>
      </w:r>
      <w:r w:rsidR="00464903">
        <w:rPr>
          <w:rStyle w:val="Lienhypertexte"/>
          <w:b w:val="0"/>
          <w:noProof/>
          <w:color w:val="auto"/>
          <w:sz w:val="20"/>
          <w:u w:val="none"/>
        </w:rPr>
        <w:t>1</w:t>
      </w:r>
      <w:r w:rsidR="008523C9" w:rsidRPr="008523C9">
        <w:rPr>
          <w:rStyle w:val="Lienhypertexte"/>
          <w:b w:val="0"/>
          <w:noProof/>
          <w:color w:val="auto"/>
          <w:sz w:val="20"/>
          <w:u w:val="none"/>
        </w:rPr>
        <w:t>,8% de ses importations.</w:t>
      </w:r>
    </w:p>
    <w:p w14:paraId="569509DD" w14:textId="08EFBF69" w:rsidR="00384B3F" w:rsidRPr="00384B3F" w:rsidRDefault="008523C9" w:rsidP="00384B3F">
      <w:pPr>
        <w:pStyle w:val="Titre02"/>
      </w:pPr>
      <w:r w:rsidRPr="008523C9">
        <w:t xml:space="preserve">Des exportations </w:t>
      </w:r>
      <w:r w:rsidR="001972EA">
        <w:t xml:space="preserve">nationales </w:t>
      </w:r>
      <w:r w:rsidR="00464903">
        <w:t>concentrées sur les produits de la mer qui affichent une forte baisse</w:t>
      </w:r>
    </w:p>
    <w:p w14:paraId="0F7E3090" w14:textId="5D58B40E" w:rsidR="008523C9" w:rsidRPr="008523C9" w:rsidRDefault="008523C9" w:rsidP="001972EA">
      <w:pPr>
        <w:spacing w:before="120" w:after="0"/>
        <w:ind w:left="-284"/>
        <w:jc w:val="both"/>
        <w:rPr>
          <w:rStyle w:val="Lienhypertexte"/>
          <w:rFonts w:ascii="Segoe UI" w:hAnsi="Segoe UI" w:cs="Segoe UI"/>
          <w:noProof/>
          <w:color w:val="auto"/>
          <w:sz w:val="20"/>
          <w:szCs w:val="20"/>
          <w:u w:val="none"/>
        </w:rPr>
      </w:pPr>
      <w:r w:rsidRPr="008523C9">
        <w:rPr>
          <w:rStyle w:val="Lienhypertexte"/>
          <w:rFonts w:ascii="Segoe UI" w:hAnsi="Segoe UI" w:cs="Segoe UI"/>
          <w:b/>
          <w:bCs/>
          <w:noProof/>
          <w:color w:val="auto"/>
          <w:sz w:val="20"/>
          <w:szCs w:val="20"/>
          <w:u w:val="none"/>
        </w:rPr>
        <w:t xml:space="preserve">Les exportations </w:t>
      </w:r>
      <w:r w:rsidR="00464903">
        <w:rPr>
          <w:rStyle w:val="Lienhypertexte"/>
          <w:rFonts w:ascii="Segoe UI" w:hAnsi="Segoe UI" w:cs="Segoe UI"/>
          <w:b/>
          <w:bCs/>
          <w:noProof/>
          <w:color w:val="auto"/>
          <w:sz w:val="20"/>
          <w:szCs w:val="20"/>
          <w:u w:val="none"/>
        </w:rPr>
        <w:t xml:space="preserve">maldiviennes </w:t>
      </w:r>
      <w:r w:rsidR="001972EA">
        <w:rPr>
          <w:rStyle w:val="Lienhypertexte"/>
          <w:rFonts w:ascii="Segoe UI" w:hAnsi="Segoe UI" w:cs="Segoe UI"/>
          <w:b/>
          <w:bCs/>
          <w:noProof/>
          <w:color w:val="auto"/>
          <w:sz w:val="20"/>
          <w:szCs w:val="20"/>
          <w:u w:val="none"/>
        </w:rPr>
        <w:t>se sont repliées de 9,2% entre 2024 et 2023</w:t>
      </w:r>
      <w:r w:rsidRPr="008523C9">
        <w:rPr>
          <w:rStyle w:val="Lienhypertexte"/>
          <w:rFonts w:ascii="Segoe UI" w:hAnsi="Segoe UI" w:cs="Segoe UI"/>
          <w:noProof/>
          <w:color w:val="auto"/>
          <w:sz w:val="20"/>
          <w:szCs w:val="20"/>
          <w:u w:val="none"/>
        </w:rPr>
        <w:t xml:space="preserve">. </w:t>
      </w:r>
      <w:r w:rsidR="001972EA">
        <w:rPr>
          <w:rStyle w:val="Lienhypertexte"/>
          <w:rFonts w:ascii="Segoe UI" w:hAnsi="Segoe UI" w:cs="Segoe UI"/>
          <w:noProof/>
          <w:color w:val="auto"/>
          <w:sz w:val="20"/>
          <w:szCs w:val="20"/>
          <w:u w:val="none"/>
        </w:rPr>
        <w:t xml:space="preserve">Plus des trois-quart sont en fait des réexportations de produits pétroliers et notamment de kérosène pour les avions qui font le plein à Malé, </w:t>
      </w:r>
      <w:r w:rsidR="004A4BC6">
        <w:rPr>
          <w:rStyle w:val="Lienhypertexte"/>
          <w:rFonts w:ascii="Segoe UI" w:hAnsi="Segoe UI" w:cs="Segoe UI"/>
          <w:noProof/>
          <w:color w:val="auto"/>
          <w:sz w:val="20"/>
          <w:szCs w:val="20"/>
          <w:u w:val="none"/>
        </w:rPr>
        <w:t xml:space="preserve">activité qui est </w:t>
      </w:r>
      <w:r w:rsidR="001972EA">
        <w:rPr>
          <w:rStyle w:val="Lienhypertexte"/>
          <w:rFonts w:ascii="Segoe UI" w:hAnsi="Segoe UI" w:cs="Segoe UI"/>
          <w:noProof/>
          <w:color w:val="auto"/>
          <w:sz w:val="20"/>
          <w:szCs w:val="20"/>
          <w:u w:val="none"/>
        </w:rPr>
        <w:t xml:space="preserve">soutenue par </w:t>
      </w:r>
      <w:r w:rsidR="004A4BC6">
        <w:rPr>
          <w:rStyle w:val="Lienhypertexte"/>
          <w:rFonts w:ascii="Segoe UI" w:hAnsi="Segoe UI" w:cs="Segoe UI"/>
          <w:noProof/>
          <w:color w:val="auto"/>
          <w:sz w:val="20"/>
          <w:szCs w:val="20"/>
          <w:u w:val="none"/>
        </w:rPr>
        <w:t>le tourisme</w:t>
      </w:r>
      <w:r w:rsidR="001972EA">
        <w:rPr>
          <w:rStyle w:val="Lienhypertexte"/>
          <w:rFonts w:ascii="Segoe UI" w:hAnsi="Segoe UI" w:cs="Segoe UI"/>
          <w:noProof/>
          <w:color w:val="auto"/>
          <w:sz w:val="20"/>
          <w:szCs w:val="20"/>
          <w:u w:val="none"/>
        </w:rPr>
        <w:t>. Les exportations nationales restent dérisoires (</w:t>
      </w:r>
      <w:r w:rsidR="004A4BC6">
        <w:rPr>
          <w:rStyle w:val="Lienhypertexte"/>
          <w:rFonts w:ascii="Segoe UI" w:hAnsi="Segoe UI" w:cs="Segoe UI"/>
          <w:noProof/>
          <w:color w:val="auto"/>
          <w:sz w:val="20"/>
          <w:szCs w:val="20"/>
          <w:u w:val="none"/>
        </w:rPr>
        <w:t>à peine 5,5% du PIB</w:t>
      </w:r>
      <w:r w:rsidR="001972EA">
        <w:rPr>
          <w:rStyle w:val="Lienhypertexte"/>
          <w:rFonts w:ascii="Segoe UI" w:hAnsi="Segoe UI" w:cs="Segoe UI"/>
          <w:noProof/>
          <w:color w:val="auto"/>
          <w:sz w:val="20"/>
          <w:szCs w:val="20"/>
          <w:u w:val="none"/>
        </w:rPr>
        <w:t>) ; elles se sont repliées de 43% entre 2023 et 2024 et sont concentrées à plus de 90% sur les produits de la mer frais ou en conserve.</w:t>
      </w:r>
    </w:p>
    <w:p w14:paraId="70F8EE4C" w14:textId="77F0A467" w:rsidR="00384B3F" w:rsidRDefault="008523C9" w:rsidP="008523C9">
      <w:pPr>
        <w:spacing w:before="120" w:after="0"/>
        <w:ind w:left="-284"/>
        <w:jc w:val="both"/>
        <w:rPr>
          <w:rStyle w:val="Lienhypertexte"/>
          <w:rFonts w:ascii="Segoe UI" w:hAnsi="Segoe UI" w:cs="Segoe UI"/>
          <w:noProof/>
          <w:color w:val="auto"/>
          <w:sz w:val="20"/>
          <w:szCs w:val="20"/>
          <w:u w:val="none"/>
        </w:rPr>
      </w:pPr>
      <w:r w:rsidRPr="008523C9">
        <w:rPr>
          <w:rStyle w:val="Lienhypertexte"/>
          <w:rFonts w:ascii="Segoe UI" w:hAnsi="Segoe UI" w:cs="Segoe UI"/>
          <w:b/>
          <w:bCs/>
          <w:noProof/>
          <w:color w:val="auto"/>
          <w:sz w:val="20"/>
          <w:szCs w:val="20"/>
          <w:u w:val="none"/>
        </w:rPr>
        <w:t xml:space="preserve">Les </w:t>
      </w:r>
      <w:r w:rsidR="004A4BC6">
        <w:rPr>
          <w:rStyle w:val="Lienhypertexte"/>
          <w:rFonts w:ascii="Segoe UI" w:hAnsi="Segoe UI" w:cs="Segoe UI"/>
          <w:b/>
          <w:bCs/>
          <w:noProof/>
          <w:color w:val="auto"/>
          <w:sz w:val="20"/>
          <w:szCs w:val="20"/>
          <w:u w:val="none"/>
        </w:rPr>
        <w:t xml:space="preserve">principaux clients des Maldives sont la Thaïlande (34,9%) et le Royaume-Uni (21,8%). </w:t>
      </w:r>
      <w:r w:rsidR="004A4BC6" w:rsidRPr="004A4BC6">
        <w:rPr>
          <w:rStyle w:val="Lienhypertexte"/>
          <w:rFonts w:ascii="Segoe UI" w:hAnsi="Segoe UI" w:cs="Segoe UI"/>
          <w:noProof/>
          <w:color w:val="auto"/>
          <w:sz w:val="20"/>
          <w:szCs w:val="20"/>
          <w:u w:val="none"/>
        </w:rPr>
        <w:t>La France, qui ab</w:t>
      </w:r>
      <w:r w:rsidR="00792F3A">
        <w:rPr>
          <w:rStyle w:val="Lienhypertexte"/>
          <w:rFonts w:ascii="Segoe UI" w:hAnsi="Segoe UI" w:cs="Segoe UI"/>
          <w:noProof/>
          <w:color w:val="auto"/>
          <w:sz w:val="20"/>
          <w:szCs w:val="20"/>
          <w:u w:val="none"/>
        </w:rPr>
        <w:t>so</w:t>
      </w:r>
      <w:r w:rsidR="004A4BC6" w:rsidRPr="004A4BC6">
        <w:rPr>
          <w:rStyle w:val="Lienhypertexte"/>
          <w:rFonts w:ascii="Segoe UI" w:hAnsi="Segoe UI" w:cs="Segoe UI"/>
          <w:noProof/>
          <w:color w:val="auto"/>
          <w:sz w:val="20"/>
          <w:szCs w:val="20"/>
          <w:u w:val="none"/>
        </w:rPr>
        <w:t>rbe 3,9% des importations maldiviennes, se classe au 5</w:t>
      </w:r>
      <w:r w:rsidR="004A4BC6" w:rsidRPr="004A4BC6">
        <w:rPr>
          <w:rStyle w:val="Lienhypertexte"/>
          <w:rFonts w:ascii="Segoe UI" w:hAnsi="Segoe UI" w:cs="Segoe UI"/>
          <w:noProof/>
          <w:color w:val="auto"/>
          <w:sz w:val="20"/>
          <w:szCs w:val="20"/>
          <w:u w:val="none"/>
          <w:vertAlign w:val="superscript"/>
        </w:rPr>
        <w:t>e</w:t>
      </w:r>
      <w:r w:rsidR="004A4BC6" w:rsidRPr="004A4BC6">
        <w:rPr>
          <w:rStyle w:val="Lienhypertexte"/>
          <w:rFonts w:ascii="Segoe UI" w:hAnsi="Segoe UI" w:cs="Segoe UI"/>
          <w:noProof/>
          <w:color w:val="auto"/>
          <w:sz w:val="20"/>
          <w:szCs w:val="20"/>
          <w:u w:val="none"/>
        </w:rPr>
        <w:t xml:space="preserve"> rang de ses clients. L’UE </w:t>
      </w:r>
      <w:r w:rsidR="0073197D">
        <w:rPr>
          <w:rStyle w:val="Lienhypertexte"/>
          <w:rFonts w:ascii="Segoe UI" w:hAnsi="Segoe UI" w:cs="Segoe UI"/>
          <w:noProof/>
          <w:color w:val="auto"/>
          <w:sz w:val="20"/>
          <w:szCs w:val="20"/>
          <w:u w:val="none"/>
        </w:rPr>
        <w:t xml:space="preserve">en tant que telle </w:t>
      </w:r>
      <w:r w:rsidR="004A4BC6" w:rsidRPr="004A4BC6">
        <w:rPr>
          <w:rStyle w:val="Lienhypertexte"/>
          <w:rFonts w:ascii="Segoe UI" w:hAnsi="Segoe UI" w:cs="Segoe UI"/>
          <w:noProof/>
          <w:color w:val="auto"/>
          <w:sz w:val="20"/>
          <w:szCs w:val="20"/>
          <w:u w:val="none"/>
        </w:rPr>
        <w:t>est le 3</w:t>
      </w:r>
      <w:r w:rsidR="004A4BC6" w:rsidRPr="004A4BC6">
        <w:rPr>
          <w:rStyle w:val="Lienhypertexte"/>
          <w:rFonts w:ascii="Segoe UI" w:hAnsi="Segoe UI" w:cs="Segoe UI"/>
          <w:noProof/>
          <w:color w:val="auto"/>
          <w:sz w:val="20"/>
          <w:szCs w:val="20"/>
          <w:u w:val="none"/>
          <w:vertAlign w:val="superscript"/>
        </w:rPr>
        <w:t>e</w:t>
      </w:r>
      <w:r w:rsidR="004A4BC6" w:rsidRPr="004A4BC6">
        <w:rPr>
          <w:rStyle w:val="Lienhypertexte"/>
          <w:rFonts w:ascii="Segoe UI" w:hAnsi="Segoe UI" w:cs="Segoe UI"/>
          <w:noProof/>
          <w:color w:val="auto"/>
          <w:sz w:val="20"/>
          <w:szCs w:val="20"/>
          <w:u w:val="none"/>
        </w:rPr>
        <w:t xml:space="preserve"> plus important </w:t>
      </w:r>
      <w:r w:rsidR="004A4BC6">
        <w:rPr>
          <w:rStyle w:val="Lienhypertexte"/>
          <w:rFonts w:ascii="Segoe UI" w:hAnsi="Segoe UI" w:cs="Segoe UI"/>
          <w:noProof/>
          <w:color w:val="auto"/>
          <w:sz w:val="20"/>
          <w:szCs w:val="20"/>
          <w:u w:val="none"/>
        </w:rPr>
        <w:t xml:space="preserve">client des Maldives </w:t>
      </w:r>
      <w:r w:rsidR="004A4BC6" w:rsidRPr="004A4BC6">
        <w:rPr>
          <w:rStyle w:val="Lienhypertexte"/>
          <w:rFonts w:ascii="Segoe UI" w:hAnsi="Segoe UI" w:cs="Segoe UI"/>
          <w:noProof/>
          <w:color w:val="auto"/>
          <w:sz w:val="20"/>
          <w:szCs w:val="20"/>
          <w:u w:val="none"/>
        </w:rPr>
        <w:t>avec 17% de</w:t>
      </w:r>
      <w:r w:rsidR="004A4BC6">
        <w:rPr>
          <w:rStyle w:val="Lienhypertexte"/>
          <w:rFonts w:ascii="Segoe UI" w:hAnsi="Segoe UI" w:cs="Segoe UI"/>
          <w:noProof/>
          <w:color w:val="auto"/>
          <w:sz w:val="20"/>
          <w:szCs w:val="20"/>
          <w:u w:val="none"/>
        </w:rPr>
        <w:t xml:space="preserve"> se</w:t>
      </w:r>
      <w:r w:rsidR="004A4BC6" w:rsidRPr="004A4BC6">
        <w:rPr>
          <w:rStyle w:val="Lienhypertexte"/>
          <w:rFonts w:ascii="Segoe UI" w:hAnsi="Segoe UI" w:cs="Segoe UI"/>
          <w:noProof/>
          <w:color w:val="auto"/>
          <w:sz w:val="20"/>
          <w:szCs w:val="20"/>
          <w:u w:val="none"/>
        </w:rPr>
        <w:t xml:space="preserve">s </w:t>
      </w:r>
      <w:r w:rsidR="004A4BC6">
        <w:rPr>
          <w:rStyle w:val="Lienhypertexte"/>
          <w:rFonts w:ascii="Segoe UI" w:hAnsi="Segoe UI" w:cs="Segoe UI"/>
          <w:noProof/>
          <w:color w:val="auto"/>
          <w:sz w:val="20"/>
          <w:szCs w:val="20"/>
          <w:u w:val="none"/>
        </w:rPr>
        <w:t>ex</w:t>
      </w:r>
      <w:r w:rsidR="004A4BC6" w:rsidRPr="004A4BC6">
        <w:rPr>
          <w:rStyle w:val="Lienhypertexte"/>
          <w:rFonts w:ascii="Segoe UI" w:hAnsi="Segoe UI" w:cs="Segoe UI"/>
          <w:noProof/>
          <w:color w:val="auto"/>
          <w:sz w:val="20"/>
          <w:szCs w:val="20"/>
          <w:u w:val="none"/>
        </w:rPr>
        <w:t>portations.</w:t>
      </w:r>
    </w:p>
    <w:p w14:paraId="1B42FF35" w14:textId="5EC8C2C8" w:rsidR="008523C9" w:rsidRPr="00096333" w:rsidRDefault="008523C9" w:rsidP="008523C9">
      <w:pPr>
        <w:spacing w:before="120" w:after="0"/>
        <w:ind w:left="-284"/>
        <w:jc w:val="both"/>
        <w:rPr>
          <w:rFonts w:ascii="Segoe UI" w:hAnsi="Segoe UI" w:cs="Segoe UI"/>
          <w:b/>
          <w:color w:val="000091" w:themeColor="text1"/>
        </w:rPr>
      </w:pPr>
      <w:r w:rsidRPr="00096333">
        <w:rPr>
          <w:rFonts w:ascii="Segoe UI" w:hAnsi="Segoe UI" w:cs="Segoe UI"/>
          <w:b/>
          <w:color w:val="000091" w:themeColor="text1"/>
        </w:rPr>
        <w:t xml:space="preserve">Un déficit commercial structurel </w:t>
      </w:r>
      <w:r w:rsidR="005F5A24">
        <w:rPr>
          <w:rFonts w:ascii="Segoe UI" w:hAnsi="Segoe UI" w:cs="Segoe UI"/>
          <w:b/>
          <w:color w:val="000091" w:themeColor="text1"/>
        </w:rPr>
        <w:t xml:space="preserve">qui </w:t>
      </w:r>
      <w:r w:rsidR="00D13EFC">
        <w:rPr>
          <w:rFonts w:ascii="Segoe UI" w:hAnsi="Segoe UI" w:cs="Segoe UI"/>
          <w:b/>
          <w:color w:val="000091" w:themeColor="text1"/>
        </w:rPr>
        <w:t>s’ac</w:t>
      </w:r>
      <w:r w:rsidR="005F5A24">
        <w:rPr>
          <w:rFonts w:ascii="Segoe UI" w:hAnsi="Segoe UI" w:cs="Segoe UI"/>
          <w:b/>
          <w:color w:val="000091" w:themeColor="text1"/>
        </w:rPr>
        <w:t>croît avec l’activité touristique</w:t>
      </w:r>
    </w:p>
    <w:p w14:paraId="3296727B" w14:textId="0FF88683" w:rsidR="000C3E8F" w:rsidRPr="00CC60E8" w:rsidRDefault="0073197D" w:rsidP="001F5628">
      <w:pPr>
        <w:spacing w:before="120" w:line="240" w:lineRule="auto"/>
        <w:ind w:left="-284"/>
        <w:jc w:val="both"/>
        <w:rPr>
          <w:rFonts w:ascii="Segoe UI" w:eastAsia="Calibri" w:hAnsi="Segoe UI" w:cs="Segoe UI"/>
          <w:sz w:val="20"/>
          <w:szCs w:val="20"/>
        </w:rPr>
      </w:pPr>
      <w:r w:rsidRPr="00925B2E">
        <w:rPr>
          <w:rFonts w:ascii="Segoe UI" w:hAnsi="Segoe UI" w:cs="Segoe UI"/>
          <w:b/>
          <w:color w:val="000000"/>
          <w:sz w:val="20"/>
          <w:szCs w:val="20"/>
        </w:rPr>
        <w:lastRenderedPageBreak/>
        <w:t xml:space="preserve">Le déficit commercial maldivien s’est dégradé </w:t>
      </w:r>
      <w:r w:rsidR="00096333" w:rsidRPr="00925B2E">
        <w:rPr>
          <w:rFonts w:ascii="Segoe UI" w:hAnsi="Segoe UI" w:cs="Segoe UI"/>
          <w:b/>
          <w:color w:val="000000"/>
          <w:sz w:val="20"/>
          <w:szCs w:val="20"/>
        </w:rPr>
        <w:t>en 2024</w:t>
      </w:r>
      <w:r w:rsidR="00096333" w:rsidRPr="0073197D">
        <w:rPr>
          <w:rFonts w:ascii="Segoe UI" w:hAnsi="Segoe UI" w:cs="Segoe UI"/>
          <w:bCs/>
          <w:color w:val="000000"/>
          <w:sz w:val="20"/>
          <w:szCs w:val="20"/>
        </w:rPr>
        <w:t xml:space="preserve"> </w:t>
      </w:r>
      <w:r>
        <w:rPr>
          <w:rFonts w:ascii="Segoe UI" w:hAnsi="Segoe UI" w:cs="Segoe UI"/>
          <w:bCs/>
          <w:color w:val="000000"/>
          <w:sz w:val="20"/>
          <w:szCs w:val="20"/>
        </w:rPr>
        <w:t xml:space="preserve">(+5,8% par rapport à 2023) </w:t>
      </w:r>
      <w:r w:rsidRPr="0073197D">
        <w:rPr>
          <w:rFonts w:ascii="Segoe UI" w:hAnsi="Segoe UI" w:cs="Segoe UI"/>
          <w:bCs/>
          <w:color w:val="000000"/>
          <w:sz w:val="20"/>
          <w:szCs w:val="20"/>
        </w:rPr>
        <w:t>sous l’effet de l’érosion des exportations</w:t>
      </w:r>
      <w:r w:rsidR="00CC60E8">
        <w:rPr>
          <w:rFonts w:ascii="Segoe UI" w:hAnsi="Segoe UI" w:cs="Segoe UI"/>
          <w:bCs/>
          <w:color w:val="000000"/>
          <w:sz w:val="20"/>
          <w:szCs w:val="20"/>
        </w:rPr>
        <w:t xml:space="preserve"> nationales</w:t>
      </w:r>
      <w:r w:rsidRPr="0073197D">
        <w:rPr>
          <w:rFonts w:ascii="Segoe UI" w:hAnsi="Segoe UI" w:cs="Segoe UI"/>
          <w:bCs/>
          <w:color w:val="000000"/>
          <w:sz w:val="20"/>
          <w:szCs w:val="20"/>
        </w:rPr>
        <w:t>, qui ne couvrent que 10% des importations et du dynamisme des importations soutenues par la croissance économique</w:t>
      </w:r>
      <w:r>
        <w:rPr>
          <w:rFonts w:ascii="Segoe UI" w:hAnsi="Segoe UI" w:cs="Segoe UI"/>
          <w:bCs/>
          <w:color w:val="000000"/>
          <w:sz w:val="20"/>
          <w:szCs w:val="20"/>
        </w:rPr>
        <w:t>, essentiellement liée aux activités touristiques.</w:t>
      </w:r>
      <w:r w:rsidR="00925B2E">
        <w:rPr>
          <w:rFonts w:ascii="Segoe UI" w:hAnsi="Segoe UI" w:cs="Segoe UI"/>
          <w:bCs/>
          <w:color w:val="000000"/>
          <w:sz w:val="20"/>
          <w:szCs w:val="20"/>
        </w:rPr>
        <w:t xml:space="preserve"> Il atteint ainsi 46,6% du PIB.</w:t>
      </w:r>
      <w:r w:rsidR="001F5628">
        <w:rPr>
          <w:rFonts w:ascii="Segoe UI" w:hAnsi="Segoe UI" w:cs="Segoe UI"/>
          <w:bCs/>
          <w:color w:val="000000"/>
          <w:sz w:val="20"/>
          <w:szCs w:val="20"/>
        </w:rPr>
        <w:t xml:space="preserve"> </w:t>
      </w:r>
      <w:r w:rsidR="00096333" w:rsidRPr="00CC60E8">
        <w:rPr>
          <w:rFonts w:ascii="Segoe UI" w:eastAsia="Calibri" w:hAnsi="Segoe UI" w:cs="Segoe UI"/>
          <w:sz w:val="20"/>
          <w:szCs w:val="20"/>
        </w:rPr>
        <w:t xml:space="preserve">Les </w:t>
      </w:r>
      <w:r w:rsidR="00CC60E8" w:rsidRPr="00CC60E8">
        <w:rPr>
          <w:rFonts w:ascii="Segoe UI" w:eastAsia="Calibri" w:hAnsi="Segoe UI" w:cs="Segoe UI"/>
          <w:sz w:val="20"/>
          <w:szCs w:val="20"/>
        </w:rPr>
        <w:t xml:space="preserve">importations maldiviennes devraient rester soutenues en 2025 grâce à la hausse </w:t>
      </w:r>
      <w:r w:rsidR="00CC60E8">
        <w:rPr>
          <w:rFonts w:ascii="Segoe UI" w:eastAsia="Calibri" w:hAnsi="Segoe UI" w:cs="Segoe UI"/>
          <w:sz w:val="20"/>
          <w:szCs w:val="20"/>
        </w:rPr>
        <w:t xml:space="preserve">des arrivées </w:t>
      </w:r>
      <w:r w:rsidR="00CC60E8" w:rsidRPr="00CC60E8">
        <w:rPr>
          <w:rFonts w:ascii="Segoe UI" w:eastAsia="Calibri" w:hAnsi="Segoe UI" w:cs="Segoe UI"/>
          <w:sz w:val="20"/>
          <w:szCs w:val="20"/>
        </w:rPr>
        <w:t>touris</w:t>
      </w:r>
      <w:r w:rsidR="00CC60E8">
        <w:rPr>
          <w:rFonts w:ascii="Segoe UI" w:eastAsia="Calibri" w:hAnsi="Segoe UI" w:cs="Segoe UI"/>
          <w:sz w:val="20"/>
          <w:szCs w:val="20"/>
        </w:rPr>
        <w:t>tiques</w:t>
      </w:r>
      <w:r w:rsidR="00CC60E8" w:rsidRPr="00CC60E8">
        <w:rPr>
          <w:rFonts w:ascii="Segoe UI" w:eastAsia="Calibri" w:hAnsi="Segoe UI" w:cs="Segoe UI"/>
          <w:sz w:val="20"/>
          <w:szCs w:val="20"/>
        </w:rPr>
        <w:t>, qui attei</w:t>
      </w:r>
      <w:r w:rsidR="00CC60E8">
        <w:rPr>
          <w:rFonts w:ascii="Segoe UI" w:eastAsia="Calibri" w:hAnsi="Segoe UI" w:cs="Segoe UI"/>
          <w:sz w:val="20"/>
          <w:szCs w:val="20"/>
        </w:rPr>
        <w:t xml:space="preserve">gnent </w:t>
      </w:r>
      <w:r w:rsidR="00CC60E8" w:rsidRPr="00CC60E8">
        <w:rPr>
          <w:rFonts w:ascii="Segoe UI" w:eastAsia="Calibri" w:hAnsi="Segoe UI" w:cs="Segoe UI"/>
          <w:sz w:val="20"/>
          <w:szCs w:val="20"/>
        </w:rPr>
        <w:t>7,4% au cours des 4 premiers mois de 2025</w:t>
      </w:r>
      <w:r w:rsidR="00CC60E8">
        <w:rPr>
          <w:rFonts w:ascii="Segoe UI" w:eastAsia="Calibri" w:hAnsi="Segoe UI" w:cs="Segoe UI"/>
          <w:sz w:val="20"/>
          <w:szCs w:val="20"/>
        </w:rPr>
        <w:t>.</w:t>
      </w:r>
      <w:r w:rsidR="000C3E8F">
        <w:rPr>
          <w:rFonts w:ascii="Segoe UI" w:eastAsia="Calibri" w:hAnsi="Segoe UI" w:cs="Segoe UI"/>
          <w:sz w:val="20"/>
          <w:szCs w:val="20"/>
        </w:rPr>
        <w:t xml:space="preserve"> </w:t>
      </w:r>
      <w:bookmarkStart w:id="0" w:name="_Hlk196239908"/>
      <w:r w:rsidR="000C3E8F">
        <w:rPr>
          <w:rFonts w:ascii="Segoe UI" w:eastAsia="Calibri" w:hAnsi="Segoe UI" w:cs="Segoe UI"/>
          <w:sz w:val="20"/>
          <w:szCs w:val="20"/>
        </w:rPr>
        <w:t>A plus long terme, les effets du changement climatique sur l’archipel, qui fait partie des pays les plus exposés, aura</w:t>
      </w:r>
      <w:r w:rsidR="000C3E8F" w:rsidRPr="000C3E8F">
        <w:rPr>
          <w:rFonts w:ascii="Segoe UI" w:eastAsia="Calibri" w:hAnsi="Segoe UI" w:cs="Segoe UI"/>
          <w:sz w:val="20"/>
          <w:szCs w:val="20"/>
        </w:rPr>
        <w:t xml:space="preserve"> des conséquences profondes sur </w:t>
      </w:r>
      <w:r w:rsidR="000C3E8F">
        <w:rPr>
          <w:rFonts w:ascii="Segoe UI" w:eastAsia="Calibri" w:hAnsi="Segoe UI" w:cs="Segoe UI"/>
          <w:sz w:val="20"/>
          <w:szCs w:val="20"/>
        </w:rPr>
        <w:t xml:space="preserve">les services </w:t>
      </w:r>
      <w:r w:rsidR="000C3E8F" w:rsidRPr="000C3E8F">
        <w:rPr>
          <w:rFonts w:ascii="Segoe UI" w:eastAsia="Calibri" w:hAnsi="Segoe UI" w:cs="Segoe UI"/>
          <w:sz w:val="20"/>
          <w:szCs w:val="20"/>
        </w:rPr>
        <w:t>touris</w:t>
      </w:r>
      <w:r w:rsidR="000C3E8F">
        <w:rPr>
          <w:rFonts w:ascii="Segoe UI" w:eastAsia="Calibri" w:hAnsi="Segoe UI" w:cs="Segoe UI"/>
          <w:sz w:val="20"/>
          <w:szCs w:val="20"/>
        </w:rPr>
        <w:t>tiques et</w:t>
      </w:r>
      <w:r w:rsidR="000C3E8F" w:rsidRPr="000C3E8F">
        <w:rPr>
          <w:rFonts w:ascii="Segoe UI" w:eastAsia="Calibri" w:hAnsi="Segoe UI" w:cs="Segoe UI"/>
          <w:sz w:val="20"/>
          <w:szCs w:val="20"/>
        </w:rPr>
        <w:t xml:space="preserve"> </w:t>
      </w:r>
      <w:r w:rsidR="000C3E8F">
        <w:rPr>
          <w:rFonts w:ascii="Segoe UI" w:eastAsia="Calibri" w:hAnsi="Segoe UI" w:cs="Segoe UI"/>
          <w:sz w:val="20"/>
          <w:szCs w:val="20"/>
        </w:rPr>
        <w:t xml:space="preserve">sur le secteur de </w:t>
      </w:r>
      <w:r w:rsidR="000C3E8F" w:rsidRPr="000C3E8F">
        <w:rPr>
          <w:rFonts w:ascii="Segoe UI" w:eastAsia="Calibri" w:hAnsi="Segoe UI" w:cs="Segoe UI"/>
          <w:sz w:val="20"/>
          <w:szCs w:val="20"/>
        </w:rPr>
        <w:t>la pêche</w:t>
      </w:r>
      <w:r w:rsidR="000C3E8F">
        <w:rPr>
          <w:rFonts w:ascii="Segoe UI" w:eastAsia="Calibri" w:hAnsi="Segoe UI" w:cs="Segoe UI"/>
          <w:sz w:val="20"/>
          <w:szCs w:val="20"/>
        </w:rPr>
        <w:t>, affectant par là même une base exportatrice déjà particulièrement réduite.</w:t>
      </w:r>
    </w:p>
    <w:bookmarkEnd w:id="0"/>
    <w:p w14:paraId="0B38D3DF" w14:textId="2780BE33" w:rsidR="00096333" w:rsidRPr="00096333" w:rsidRDefault="00096333" w:rsidP="00096333">
      <w:pPr>
        <w:spacing w:before="120" w:after="0"/>
        <w:ind w:left="-284"/>
        <w:jc w:val="both"/>
        <w:rPr>
          <w:rFonts w:ascii="Segoe UI" w:hAnsi="Segoe UI" w:cs="Segoe UI"/>
          <w:b/>
          <w:color w:val="000091" w:themeColor="text1"/>
        </w:rPr>
      </w:pPr>
      <w:r w:rsidRPr="00096333">
        <w:rPr>
          <w:rFonts w:ascii="Segoe UI" w:hAnsi="Segoe UI" w:cs="Segoe UI"/>
          <w:b/>
          <w:color w:val="000091" w:themeColor="text1"/>
        </w:rPr>
        <w:t>Une balance des services excédentaire qui bénéficie de la forte reprise du tourisme</w:t>
      </w:r>
    </w:p>
    <w:p w14:paraId="7C46BA54" w14:textId="77777777" w:rsidR="00CC60E8" w:rsidRPr="00925B2E" w:rsidRDefault="00CC60E8" w:rsidP="00CC60E8">
      <w:pPr>
        <w:pStyle w:val="Titre02"/>
        <w:rPr>
          <w:rStyle w:val="Lienhypertexte"/>
          <w:b w:val="0"/>
          <w:noProof/>
          <w:color w:val="auto"/>
          <w:sz w:val="20"/>
          <w:u w:val="none"/>
        </w:rPr>
      </w:pPr>
      <w:r w:rsidRPr="00925B2E">
        <w:rPr>
          <w:rStyle w:val="Lienhypertexte"/>
          <w:b w:val="0"/>
          <w:noProof/>
          <w:color w:val="auto"/>
          <w:sz w:val="20"/>
          <w:u w:val="none"/>
        </w:rPr>
        <w:t xml:space="preserve">Les </w:t>
      </w:r>
      <w:r>
        <w:rPr>
          <w:rStyle w:val="Lienhypertexte"/>
          <w:b w:val="0"/>
          <w:noProof/>
          <w:color w:val="auto"/>
          <w:sz w:val="20"/>
          <w:u w:val="none"/>
        </w:rPr>
        <w:t xml:space="preserve">importations de services des </w:t>
      </w:r>
      <w:r w:rsidRPr="00925B2E">
        <w:rPr>
          <w:rStyle w:val="Lienhypertexte"/>
          <w:b w:val="0"/>
          <w:noProof/>
          <w:color w:val="auto"/>
          <w:sz w:val="20"/>
          <w:u w:val="none"/>
        </w:rPr>
        <w:t>Maldives</w:t>
      </w:r>
      <w:r>
        <w:rPr>
          <w:rStyle w:val="Lienhypertexte"/>
          <w:b w:val="0"/>
          <w:noProof/>
          <w:color w:val="auto"/>
          <w:sz w:val="20"/>
          <w:u w:val="none"/>
        </w:rPr>
        <w:t xml:space="preserve"> ont atteint 1,8 Md USD en 2024 (+9,7% par rapport à 2023) et sont essentiellement constituées de services de transport et de tourisme, et, en 3</w:t>
      </w:r>
      <w:r w:rsidRPr="00925B2E">
        <w:rPr>
          <w:rStyle w:val="Lienhypertexte"/>
          <w:b w:val="0"/>
          <w:noProof/>
          <w:color w:val="auto"/>
          <w:sz w:val="20"/>
          <w:u w:val="none"/>
          <w:vertAlign w:val="superscript"/>
        </w:rPr>
        <w:t>e</w:t>
      </w:r>
      <w:r>
        <w:rPr>
          <w:rStyle w:val="Lienhypertexte"/>
          <w:b w:val="0"/>
          <w:noProof/>
          <w:color w:val="auto"/>
          <w:sz w:val="20"/>
          <w:u w:val="none"/>
        </w:rPr>
        <w:t xml:space="preserve"> position, de services de consultance.</w:t>
      </w:r>
    </w:p>
    <w:p w14:paraId="2F8E7339" w14:textId="77777777" w:rsidR="001F5628" w:rsidRDefault="00CC60E8" w:rsidP="001F5628">
      <w:pPr>
        <w:spacing w:before="120" w:after="0"/>
        <w:ind w:left="-284"/>
        <w:jc w:val="both"/>
        <w:rPr>
          <w:rStyle w:val="Lienhypertexte"/>
          <w:rFonts w:ascii="Segoe UI" w:hAnsi="Segoe UI" w:cs="Segoe UI"/>
          <w:noProof/>
          <w:color w:val="auto"/>
          <w:sz w:val="20"/>
          <w:szCs w:val="20"/>
          <w:u w:val="none"/>
        </w:rPr>
      </w:pPr>
      <w:r w:rsidRPr="00CC60E8">
        <w:rPr>
          <w:rStyle w:val="Lienhypertexte"/>
          <w:rFonts w:ascii="Segoe UI" w:hAnsi="Segoe UI" w:cs="Segoe UI"/>
          <w:noProof/>
          <w:color w:val="auto"/>
          <w:sz w:val="20"/>
          <w:szCs w:val="20"/>
          <w:u w:val="none"/>
        </w:rPr>
        <w:t xml:space="preserve">Les </w:t>
      </w:r>
      <w:r>
        <w:rPr>
          <w:rStyle w:val="Lienhypertexte"/>
          <w:rFonts w:ascii="Segoe UI" w:hAnsi="Segoe UI" w:cs="Segoe UI"/>
          <w:noProof/>
          <w:color w:val="auto"/>
          <w:sz w:val="20"/>
          <w:szCs w:val="20"/>
          <w:u w:val="none"/>
        </w:rPr>
        <w:t>Maldives ont exporté 4,8 Mds USD de services en 2024 (+7,6% ra rapport à 2023) dont l’essentiel sous forme de services de tourisme et de transports.</w:t>
      </w:r>
    </w:p>
    <w:p w14:paraId="0594B78C" w14:textId="1EB3096E" w:rsidR="00313406" w:rsidRDefault="001F5628" w:rsidP="001F5628">
      <w:pPr>
        <w:spacing w:before="120" w:after="0"/>
        <w:ind w:left="-284"/>
        <w:jc w:val="both"/>
        <w:rPr>
          <w:rFonts w:ascii="Segoe UI" w:hAnsi="Segoe UI" w:cs="Segoe UI"/>
          <w:bCs/>
          <w:color w:val="000000"/>
          <w:sz w:val="20"/>
          <w:szCs w:val="20"/>
        </w:rPr>
      </w:pPr>
      <w:r>
        <w:rPr>
          <w:rStyle w:val="Lienhypertexte"/>
          <w:rFonts w:ascii="Segoe UI" w:hAnsi="Segoe UI" w:cs="Segoe UI"/>
          <w:noProof/>
          <w:color w:val="auto"/>
          <w:sz w:val="20"/>
          <w:szCs w:val="20"/>
          <w:u w:val="none"/>
        </w:rPr>
        <w:t xml:space="preserve">L’excédent des échanges de services, </w:t>
      </w:r>
      <w:r w:rsidR="00CC60E8">
        <w:rPr>
          <w:rFonts w:ascii="Segoe UI" w:hAnsi="Segoe UI" w:cs="Segoe UI"/>
          <w:bCs/>
          <w:color w:val="000000"/>
          <w:sz w:val="20"/>
          <w:szCs w:val="20"/>
        </w:rPr>
        <w:t xml:space="preserve">passé de 2,8 Mds USD en 2023 à 2,9 Mds USD (+6,3%), </w:t>
      </w:r>
      <w:r>
        <w:rPr>
          <w:rFonts w:ascii="Segoe UI" w:hAnsi="Segoe UI" w:cs="Segoe UI"/>
          <w:bCs/>
          <w:color w:val="000000"/>
          <w:sz w:val="20"/>
          <w:szCs w:val="20"/>
        </w:rPr>
        <w:t xml:space="preserve">ne </w:t>
      </w:r>
      <w:r w:rsidR="00CC60E8">
        <w:rPr>
          <w:rFonts w:ascii="Segoe UI" w:hAnsi="Segoe UI" w:cs="Segoe UI"/>
          <w:bCs/>
          <w:color w:val="000000"/>
          <w:sz w:val="20"/>
          <w:szCs w:val="20"/>
        </w:rPr>
        <w:t xml:space="preserve">couvre </w:t>
      </w:r>
      <w:r>
        <w:rPr>
          <w:rFonts w:ascii="Segoe UI" w:hAnsi="Segoe UI" w:cs="Segoe UI"/>
          <w:bCs/>
          <w:color w:val="000000"/>
          <w:sz w:val="20"/>
          <w:szCs w:val="20"/>
        </w:rPr>
        <w:t xml:space="preserve">plus désormais que </w:t>
      </w:r>
      <w:r w:rsidR="00CC60E8">
        <w:rPr>
          <w:rFonts w:ascii="Segoe UI" w:hAnsi="Segoe UI" w:cs="Segoe UI"/>
          <w:bCs/>
          <w:color w:val="000000"/>
          <w:sz w:val="20"/>
          <w:szCs w:val="20"/>
        </w:rPr>
        <w:t>90,5% du déficit des échanges de marchandises</w:t>
      </w:r>
      <w:r>
        <w:rPr>
          <w:rFonts w:ascii="Segoe UI" w:hAnsi="Segoe UI" w:cs="Segoe UI"/>
          <w:bCs/>
          <w:color w:val="000000"/>
          <w:sz w:val="20"/>
          <w:szCs w:val="20"/>
        </w:rPr>
        <w:t>.</w:t>
      </w:r>
    </w:p>
    <w:p w14:paraId="557D7D81" w14:textId="77777777" w:rsidR="001F5628" w:rsidRPr="00096333" w:rsidRDefault="001F5628" w:rsidP="001F5628">
      <w:pPr>
        <w:spacing w:before="120" w:after="0"/>
        <w:ind w:left="-284"/>
        <w:jc w:val="both"/>
        <w:rPr>
          <w:rFonts w:ascii="Segoe UI" w:hAnsi="Segoe UI" w:cs="Segoe UI"/>
          <w:bCs/>
          <w:color w:val="000000"/>
          <w:sz w:val="20"/>
          <w:szCs w:val="20"/>
        </w:rPr>
      </w:pPr>
    </w:p>
    <w:p w14:paraId="34E2C9A8" w14:textId="1EEE4EDD" w:rsidR="00FD7798" w:rsidRDefault="00180A83" w:rsidP="00D62BB6">
      <w:pPr>
        <w:spacing w:before="120" w:after="0"/>
        <w:ind w:left="-284"/>
        <w:jc w:val="right"/>
        <w:rPr>
          <w:rFonts w:ascii="Segoe UI" w:hAnsi="Segoe UI" w:cs="Segoe UI"/>
          <w:b/>
          <w:sz w:val="18"/>
          <w:szCs w:val="18"/>
        </w:rPr>
      </w:pPr>
      <w:r>
        <w:rPr>
          <w:rFonts w:ascii="Segoe UI" w:hAnsi="Segoe UI" w:cs="Segoe UI"/>
          <w:b/>
          <w:sz w:val="18"/>
          <w:szCs w:val="18"/>
        </w:rPr>
        <w:t>Philippe FOUET</w:t>
      </w:r>
    </w:p>
    <w:p w14:paraId="3754432F" w14:textId="0A6B1FF7" w:rsidR="00096333" w:rsidRDefault="00096333" w:rsidP="00D62BB6">
      <w:pPr>
        <w:spacing w:before="120" w:after="0"/>
        <w:ind w:left="-284"/>
        <w:jc w:val="right"/>
        <w:rPr>
          <w:rFonts w:ascii="Segoe UI" w:hAnsi="Segoe UI" w:cs="Segoe UI"/>
          <w:b/>
          <w:sz w:val="18"/>
          <w:szCs w:val="18"/>
        </w:rPr>
      </w:pPr>
      <w:r>
        <w:rPr>
          <w:rFonts w:ascii="Segoe UI" w:hAnsi="Segoe UI" w:cs="Segoe UI"/>
          <w:b/>
          <w:sz w:val="18"/>
          <w:szCs w:val="18"/>
        </w:rPr>
        <w:br w:type="page"/>
      </w:r>
    </w:p>
    <w:p w14:paraId="07EA7929" w14:textId="4DB58069" w:rsidR="00096333" w:rsidRPr="00096333" w:rsidRDefault="00096333" w:rsidP="00096333">
      <w:pPr>
        <w:spacing w:after="120"/>
        <w:ind w:left="2410"/>
        <w:rPr>
          <w:rFonts w:ascii="Segoe UI" w:hAnsi="Segoe UI" w:cs="Segoe UI"/>
          <w:bCs/>
          <w:i/>
          <w:iCs/>
          <w:sz w:val="20"/>
          <w:szCs w:val="20"/>
        </w:rPr>
      </w:pPr>
      <w:r w:rsidRPr="00096333">
        <w:rPr>
          <w:rFonts w:ascii="Segoe UI" w:hAnsi="Segoe UI" w:cs="Segoe UI"/>
          <w:b/>
          <w:sz w:val="20"/>
          <w:szCs w:val="20"/>
        </w:rPr>
        <w:lastRenderedPageBreak/>
        <w:t xml:space="preserve">ANNEXES </w:t>
      </w:r>
      <w:r w:rsidRPr="00096333">
        <w:rPr>
          <w:rFonts w:ascii="Segoe UI" w:hAnsi="Segoe UI" w:cs="Segoe UI"/>
          <w:bCs/>
          <w:i/>
          <w:iCs/>
          <w:sz w:val="20"/>
          <w:szCs w:val="20"/>
        </w:rPr>
        <w:t xml:space="preserve">(Source : </w:t>
      </w:r>
      <w:r w:rsidR="000C5210" w:rsidRPr="000C5210">
        <w:rPr>
          <w:rFonts w:ascii="Segoe UI" w:hAnsi="Segoe UI" w:cs="Segoe UI"/>
          <w:bCs/>
          <w:i/>
          <w:iCs/>
          <w:sz w:val="20"/>
          <w:szCs w:val="20"/>
        </w:rPr>
        <w:t xml:space="preserve">Maldives </w:t>
      </w:r>
      <w:proofErr w:type="spellStart"/>
      <w:r w:rsidR="000C5210" w:rsidRPr="000C5210">
        <w:rPr>
          <w:rFonts w:ascii="Segoe UI" w:hAnsi="Segoe UI" w:cs="Segoe UI"/>
          <w:bCs/>
          <w:i/>
          <w:iCs/>
          <w:sz w:val="20"/>
          <w:szCs w:val="20"/>
        </w:rPr>
        <w:t>Monetary</w:t>
      </w:r>
      <w:proofErr w:type="spellEnd"/>
      <w:r w:rsidR="000C5210" w:rsidRPr="000C5210">
        <w:rPr>
          <w:rFonts w:ascii="Segoe UI" w:hAnsi="Segoe UI" w:cs="Segoe UI"/>
          <w:bCs/>
          <w:i/>
          <w:iCs/>
          <w:sz w:val="20"/>
          <w:szCs w:val="20"/>
        </w:rPr>
        <w:t xml:space="preserve"> </w:t>
      </w:r>
      <w:proofErr w:type="spellStart"/>
      <w:r w:rsidR="000C5210" w:rsidRPr="000C5210">
        <w:rPr>
          <w:rFonts w:ascii="Segoe UI" w:hAnsi="Segoe UI" w:cs="Segoe UI"/>
          <w:bCs/>
          <w:i/>
          <w:iCs/>
          <w:sz w:val="20"/>
          <w:szCs w:val="20"/>
        </w:rPr>
        <w:t>Authority</w:t>
      </w:r>
      <w:proofErr w:type="spellEnd"/>
      <w:r w:rsidRPr="00096333">
        <w:rPr>
          <w:rFonts w:ascii="Segoe UI" w:hAnsi="Segoe UI" w:cs="Segoe UI"/>
          <w:bCs/>
          <w:i/>
          <w:iCs/>
          <w:sz w:val="20"/>
          <w:szCs w:val="20"/>
        </w:rPr>
        <w:t>)</w:t>
      </w:r>
    </w:p>
    <w:p w14:paraId="4936D41D" w14:textId="2F152E5E" w:rsidR="00096333" w:rsidRPr="000C5210" w:rsidRDefault="00096333" w:rsidP="00096333">
      <w:pPr>
        <w:spacing w:after="120"/>
        <w:jc w:val="center"/>
        <w:rPr>
          <w:rFonts w:ascii="Segoe UI" w:hAnsi="Segoe UI" w:cs="Segoe UI"/>
          <w:bCs/>
          <w:sz w:val="20"/>
          <w:szCs w:val="20"/>
        </w:rPr>
      </w:pPr>
      <w:r w:rsidRPr="00096333">
        <w:rPr>
          <w:rFonts w:ascii="Segoe UI" w:hAnsi="Segoe UI" w:cs="Segoe UI"/>
          <w:b/>
          <w:sz w:val="20"/>
          <w:szCs w:val="20"/>
        </w:rPr>
        <w:t xml:space="preserve">Evolution des échanges de biens </w:t>
      </w:r>
      <w:r w:rsidR="000C5210">
        <w:rPr>
          <w:rFonts w:ascii="Segoe UI" w:hAnsi="Segoe UI" w:cs="Segoe UI"/>
          <w:b/>
          <w:sz w:val="20"/>
          <w:szCs w:val="20"/>
        </w:rPr>
        <w:t xml:space="preserve">des Maldives </w:t>
      </w:r>
      <w:r w:rsidR="000C5210">
        <w:rPr>
          <w:rFonts w:ascii="Segoe UI" w:hAnsi="Segoe UI" w:cs="Segoe UI"/>
          <w:bCs/>
          <w:sz w:val="20"/>
          <w:szCs w:val="20"/>
        </w:rPr>
        <w:t>(MUSD)</w:t>
      </w:r>
    </w:p>
    <w:p w14:paraId="57743B8B" w14:textId="72F1EDDD" w:rsidR="00096333" w:rsidRPr="00096333" w:rsidRDefault="000C5210" w:rsidP="00096333">
      <w:pPr>
        <w:spacing w:line="240" w:lineRule="auto"/>
        <w:jc w:val="center"/>
        <w:rPr>
          <w:rFonts w:ascii="Segoe UI" w:hAnsi="Segoe UI" w:cs="Segoe UI"/>
          <w:b/>
          <w:sz w:val="20"/>
          <w:szCs w:val="20"/>
        </w:rPr>
      </w:pPr>
      <w:r>
        <w:rPr>
          <w:noProof/>
        </w:rPr>
        <w:drawing>
          <wp:inline distT="0" distB="0" distL="0" distR="0" wp14:anchorId="463F39BC" wp14:editId="484BDE6E">
            <wp:extent cx="5851525" cy="2324735"/>
            <wp:effectExtent l="0" t="0" r="15875" b="18415"/>
            <wp:docPr id="6" name="Graphique 6">
              <a:extLst xmlns:a="http://schemas.openxmlformats.org/drawingml/2006/main">
                <a:ext uri="{FF2B5EF4-FFF2-40B4-BE49-F238E27FC236}">
                  <a16:creationId xmlns:a16="http://schemas.microsoft.com/office/drawing/2014/main" id="{8DC2AC08-1DDD-4BD7-9B5A-187587572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1D29A0" w14:textId="7B709E3B" w:rsidR="00096333" w:rsidRPr="00096333" w:rsidRDefault="00096333" w:rsidP="00096333">
      <w:pPr>
        <w:tabs>
          <w:tab w:val="left" w:pos="1875"/>
        </w:tabs>
        <w:spacing w:after="0" w:line="240" w:lineRule="auto"/>
        <w:jc w:val="center"/>
        <w:rPr>
          <w:rFonts w:ascii="Segoe UI" w:hAnsi="Segoe UI" w:cs="Segoe UI"/>
          <w:sz w:val="20"/>
          <w:szCs w:val="20"/>
        </w:rPr>
      </w:pPr>
      <w:r w:rsidRPr="00096333">
        <w:rPr>
          <w:rFonts w:ascii="Segoe UI" w:hAnsi="Segoe UI" w:cs="Segoe UI"/>
          <w:b/>
          <w:sz w:val="20"/>
          <w:szCs w:val="20"/>
        </w:rPr>
        <w:t>Tableau</w:t>
      </w:r>
      <w:r w:rsidRPr="00096333">
        <w:rPr>
          <w:rFonts w:ascii="Segoe UI" w:hAnsi="Segoe UI" w:cs="Segoe UI"/>
          <w:sz w:val="20"/>
          <w:szCs w:val="20"/>
        </w:rPr>
        <w:t> </w:t>
      </w:r>
      <w:r w:rsidRPr="00096333">
        <w:rPr>
          <w:rFonts w:ascii="Segoe UI" w:hAnsi="Segoe UI" w:cs="Segoe UI"/>
          <w:b/>
          <w:sz w:val="20"/>
          <w:szCs w:val="20"/>
        </w:rPr>
        <w:t>1</w:t>
      </w:r>
      <w:r w:rsidRPr="00096333">
        <w:rPr>
          <w:rFonts w:ascii="Segoe UI" w:hAnsi="Segoe UI" w:cs="Segoe UI"/>
          <w:sz w:val="20"/>
          <w:szCs w:val="20"/>
        </w:rPr>
        <w:t xml:space="preserve"> : Les principaux partenaires commerciaux </w:t>
      </w:r>
      <w:r w:rsidR="000C5210">
        <w:rPr>
          <w:rFonts w:ascii="Segoe UI" w:hAnsi="Segoe UI" w:cs="Segoe UI"/>
          <w:sz w:val="20"/>
          <w:szCs w:val="20"/>
        </w:rPr>
        <w:t>des Maldives</w:t>
      </w:r>
      <w:r w:rsidRPr="00096333">
        <w:rPr>
          <w:rFonts w:ascii="Segoe UI" w:hAnsi="Segoe UI" w:cs="Segoe UI"/>
          <w:sz w:val="20"/>
          <w:szCs w:val="20"/>
        </w:rPr>
        <w:t xml:space="preserve"> (biens)</w:t>
      </w:r>
    </w:p>
    <w:tbl>
      <w:tblPr>
        <w:tblStyle w:val="Grilledutableau"/>
        <w:tblpPr w:leftFromText="141" w:rightFromText="141" w:vertAnchor="text" w:horzAnchor="margin" w:tblpXSpec="center" w:tblpY="93"/>
        <w:tblW w:w="6744" w:type="dxa"/>
        <w:tblLook w:val="04A0" w:firstRow="1" w:lastRow="0" w:firstColumn="1" w:lastColumn="0" w:noHBand="0" w:noVBand="1"/>
      </w:tblPr>
      <w:tblGrid>
        <w:gridCol w:w="2547"/>
        <w:gridCol w:w="1036"/>
        <w:gridCol w:w="2224"/>
        <w:gridCol w:w="937"/>
      </w:tblGrid>
      <w:tr w:rsidR="00096333" w:rsidRPr="00096333" w14:paraId="0D6F5F9D" w14:textId="77777777" w:rsidTr="00D816A7">
        <w:trPr>
          <w:trHeight w:val="300"/>
        </w:trPr>
        <w:tc>
          <w:tcPr>
            <w:tcW w:w="3583" w:type="dxa"/>
            <w:gridSpan w:val="2"/>
            <w:noWrap/>
            <w:hideMark/>
          </w:tcPr>
          <w:p w14:paraId="76D2A8B4"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Importations</w:t>
            </w:r>
          </w:p>
        </w:tc>
        <w:tc>
          <w:tcPr>
            <w:tcW w:w="3161" w:type="dxa"/>
            <w:gridSpan w:val="2"/>
            <w:noWrap/>
            <w:hideMark/>
          </w:tcPr>
          <w:p w14:paraId="0A9EE978" w14:textId="77777777" w:rsidR="00096333" w:rsidRPr="00096333" w:rsidRDefault="00096333"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Exportations</w:t>
            </w:r>
          </w:p>
        </w:tc>
      </w:tr>
      <w:tr w:rsidR="000C5210" w:rsidRPr="00096333" w14:paraId="680A4772" w14:textId="77777777" w:rsidTr="00D816A7">
        <w:trPr>
          <w:trHeight w:val="300"/>
        </w:trPr>
        <w:tc>
          <w:tcPr>
            <w:tcW w:w="2547" w:type="dxa"/>
            <w:noWrap/>
            <w:hideMark/>
          </w:tcPr>
          <w:p w14:paraId="04B3B44C" w14:textId="77777777" w:rsidR="000C5210" w:rsidRPr="00096333" w:rsidRDefault="000C5210"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Pays</w:t>
            </w:r>
          </w:p>
        </w:tc>
        <w:tc>
          <w:tcPr>
            <w:tcW w:w="1036" w:type="dxa"/>
            <w:noWrap/>
            <w:hideMark/>
          </w:tcPr>
          <w:p w14:paraId="31C62F2E" w14:textId="77777777" w:rsidR="000C5210" w:rsidRPr="00096333" w:rsidRDefault="000C5210" w:rsidP="00294CD0">
            <w:pPr>
              <w:tabs>
                <w:tab w:val="left" w:pos="1875"/>
              </w:tabs>
              <w:jc w:val="center"/>
              <w:rPr>
                <w:rFonts w:ascii="Segoe UI" w:hAnsi="Segoe UI" w:cs="Segoe UI"/>
                <w:b/>
                <w:bCs/>
                <w:sz w:val="20"/>
                <w:szCs w:val="20"/>
              </w:rPr>
            </w:pPr>
            <w:proofErr w:type="spellStart"/>
            <w:r w:rsidRPr="00096333">
              <w:rPr>
                <w:rFonts w:ascii="Segoe UI" w:hAnsi="Segoe UI" w:cs="Segoe UI"/>
                <w:b/>
                <w:bCs/>
                <w:sz w:val="20"/>
                <w:szCs w:val="20"/>
              </w:rPr>
              <w:t>pdm</w:t>
            </w:r>
            <w:proofErr w:type="spellEnd"/>
            <w:r w:rsidRPr="00096333">
              <w:rPr>
                <w:rFonts w:ascii="Segoe UI" w:hAnsi="Segoe UI" w:cs="Segoe UI"/>
                <w:b/>
                <w:bCs/>
                <w:sz w:val="20"/>
                <w:szCs w:val="20"/>
              </w:rPr>
              <w:t xml:space="preserve"> 2024</w:t>
            </w:r>
          </w:p>
        </w:tc>
        <w:tc>
          <w:tcPr>
            <w:tcW w:w="2224" w:type="dxa"/>
            <w:noWrap/>
            <w:hideMark/>
          </w:tcPr>
          <w:p w14:paraId="1B0CBE5F" w14:textId="77777777" w:rsidR="000C5210" w:rsidRPr="00096333" w:rsidRDefault="000C5210" w:rsidP="00294CD0">
            <w:pPr>
              <w:tabs>
                <w:tab w:val="left" w:pos="1875"/>
              </w:tabs>
              <w:jc w:val="center"/>
              <w:rPr>
                <w:rFonts w:ascii="Segoe UI" w:hAnsi="Segoe UI" w:cs="Segoe UI"/>
                <w:b/>
                <w:bCs/>
                <w:sz w:val="20"/>
                <w:szCs w:val="20"/>
              </w:rPr>
            </w:pPr>
            <w:r w:rsidRPr="00096333">
              <w:rPr>
                <w:rFonts w:ascii="Segoe UI" w:hAnsi="Segoe UI" w:cs="Segoe UI"/>
                <w:b/>
                <w:bCs/>
                <w:sz w:val="20"/>
                <w:szCs w:val="20"/>
              </w:rPr>
              <w:t>Pays</w:t>
            </w:r>
          </w:p>
        </w:tc>
        <w:tc>
          <w:tcPr>
            <w:tcW w:w="937" w:type="dxa"/>
            <w:noWrap/>
            <w:hideMark/>
          </w:tcPr>
          <w:p w14:paraId="5C634992" w14:textId="77777777" w:rsidR="000C5210" w:rsidRPr="00096333" w:rsidRDefault="000C5210" w:rsidP="00294CD0">
            <w:pPr>
              <w:tabs>
                <w:tab w:val="left" w:pos="1875"/>
              </w:tabs>
              <w:jc w:val="center"/>
              <w:rPr>
                <w:rFonts w:ascii="Segoe UI" w:hAnsi="Segoe UI" w:cs="Segoe UI"/>
                <w:b/>
                <w:bCs/>
                <w:sz w:val="20"/>
                <w:szCs w:val="20"/>
              </w:rPr>
            </w:pPr>
            <w:proofErr w:type="spellStart"/>
            <w:r w:rsidRPr="00096333">
              <w:rPr>
                <w:rFonts w:ascii="Segoe UI" w:hAnsi="Segoe UI" w:cs="Segoe UI"/>
                <w:b/>
                <w:bCs/>
                <w:sz w:val="20"/>
                <w:szCs w:val="20"/>
              </w:rPr>
              <w:t>pdm</w:t>
            </w:r>
            <w:proofErr w:type="spellEnd"/>
            <w:r w:rsidRPr="00096333">
              <w:rPr>
                <w:rFonts w:ascii="Segoe UI" w:hAnsi="Segoe UI" w:cs="Segoe UI"/>
                <w:b/>
                <w:bCs/>
                <w:sz w:val="20"/>
                <w:szCs w:val="20"/>
              </w:rPr>
              <w:t xml:space="preserve"> 2024</w:t>
            </w:r>
          </w:p>
        </w:tc>
      </w:tr>
      <w:tr w:rsidR="000C5210" w:rsidRPr="00096333" w14:paraId="306EC1D6" w14:textId="77777777" w:rsidTr="00D816A7">
        <w:trPr>
          <w:trHeight w:val="300"/>
        </w:trPr>
        <w:tc>
          <w:tcPr>
            <w:tcW w:w="2547" w:type="dxa"/>
            <w:noWrap/>
            <w:hideMark/>
          </w:tcPr>
          <w:p w14:paraId="6D63BF59" w14:textId="6E046D88" w:rsidR="000C5210" w:rsidRPr="00096333" w:rsidRDefault="00D816A7" w:rsidP="00294CD0">
            <w:pPr>
              <w:tabs>
                <w:tab w:val="left" w:pos="1875"/>
              </w:tabs>
              <w:jc w:val="center"/>
              <w:rPr>
                <w:rFonts w:ascii="Segoe UI" w:hAnsi="Segoe UI" w:cs="Segoe UI"/>
                <w:b/>
                <w:bCs/>
                <w:sz w:val="20"/>
                <w:szCs w:val="20"/>
              </w:rPr>
            </w:pPr>
            <w:r>
              <w:rPr>
                <w:rFonts w:ascii="Segoe UI" w:hAnsi="Segoe UI" w:cs="Segoe UI"/>
                <w:b/>
                <w:bCs/>
                <w:sz w:val="20"/>
                <w:szCs w:val="20"/>
              </w:rPr>
              <w:t>E.A.U.</w:t>
            </w:r>
          </w:p>
        </w:tc>
        <w:tc>
          <w:tcPr>
            <w:tcW w:w="1036" w:type="dxa"/>
            <w:noWrap/>
            <w:hideMark/>
          </w:tcPr>
          <w:p w14:paraId="5FD6E79F" w14:textId="5984A4A4" w:rsidR="000C5210" w:rsidRPr="00096333" w:rsidRDefault="00D816A7" w:rsidP="00294CD0">
            <w:pPr>
              <w:tabs>
                <w:tab w:val="left" w:pos="1875"/>
              </w:tabs>
              <w:jc w:val="center"/>
              <w:rPr>
                <w:rFonts w:ascii="Segoe UI" w:hAnsi="Segoe UI" w:cs="Segoe UI"/>
                <w:sz w:val="20"/>
                <w:szCs w:val="20"/>
              </w:rPr>
            </w:pPr>
            <w:r>
              <w:rPr>
                <w:rFonts w:ascii="Segoe UI" w:hAnsi="Segoe UI" w:cs="Segoe UI"/>
                <w:sz w:val="20"/>
                <w:szCs w:val="20"/>
              </w:rPr>
              <w:t>19,9%</w:t>
            </w:r>
          </w:p>
        </w:tc>
        <w:tc>
          <w:tcPr>
            <w:tcW w:w="2224" w:type="dxa"/>
            <w:noWrap/>
            <w:hideMark/>
          </w:tcPr>
          <w:p w14:paraId="5280B466" w14:textId="4146BCE2" w:rsidR="000C5210" w:rsidRPr="00096333" w:rsidRDefault="006D6129" w:rsidP="00294CD0">
            <w:pPr>
              <w:tabs>
                <w:tab w:val="left" w:pos="1875"/>
              </w:tabs>
              <w:jc w:val="center"/>
              <w:rPr>
                <w:rFonts w:ascii="Segoe UI" w:hAnsi="Segoe UI" w:cs="Segoe UI"/>
                <w:b/>
                <w:bCs/>
                <w:sz w:val="20"/>
                <w:szCs w:val="20"/>
              </w:rPr>
            </w:pPr>
            <w:r>
              <w:rPr>
                <w:rFonts w:ascii="Segoe UI" w:hAnsi="Segoe UI" w:cs="Segoe UI"/>
                <w:b/>
                <w:bCs/>
                <w:sz w:val="20"/>
                <w:szCs w:val="20"/>
              </w:rPr>
              <w:t>Thaïlande</w:t>
            </w:r>
          </w:p>
        </w:tc>
        <w:tc>
          <w:tcPr>
            <w:tcW w:w="937" w:type="dxa"/>
            <w:noWrap/>
            <w:hideMark/>
          </w:tcPr>
          <w:p w14:paraId="3A678539" w14:textId="0CB168E2" w:rsidR="000C5210" w:rsidRPr="00096333" w:rsidRDefault="006D6129" w:rsidP="00294CD0">
            <w:pPr>
              <w:tabs>
                <w:tab w:val="left" w:pos="1875"/>
              </w:tabs>
              <w:jc w:val="center"/>
              <w:rPr>
                <w:rFonts w:ascii="Segoe UI" w:hAnsi="Segoe UI" w:cs="Segoe UI"/>
                <w:sz w:val="20"/>
                <w:szCs w:val="20"/>
              </w:rPr>
            </w:pPr>
            <w:r>
              <w:rPr>
                <w:rFonts w:ascii="Segoe UI" w:hAnsi="Segoe UI" w:cs="Segoe UI"/>
                <w:sz w:val="20"/>
                <w:szCs w:val="20"/>
              </w:rPr>
              <w:t>34,9%</w:t>
            </w:r>
          </w:p>
        </w:tc>
      </w:tr>
      <w:tr w:rsidR="000C5210" w:rsidRPr="00096333" w14:paraId="45160D47" w14:textId="77777777" w:rsidTr="00D816A7">
        <w:trPr>
          <w:trHeight w:val="300"/>
        </w:trPr>
        <w:tc>
          <w:tcPr>
            <w:tcW w:w="2547" w:type="dxa"/>
            <w:noWrap/>
            <w:hideMark/>
          </w:tcPr>
          <w:p w14:paraId="240EF853" w14:textId="401D3475" w:rsidR="000C5210" w:rsidRPr="00096333" w:rsidRDefault="00D816A7" w:rsidP="00294CD0">
            <w:pPr>
              <w:tabs>
                <w:tab w:val="left" w:pos="1875"/>
              </w:tabs>
              <w:jc w:val="center"/>
              <w:rPr>
                <w:rFonts w:ascii="Segoe UI" w:hAnsi="Segoe UI" w:cs="Segoe UI"/>
                <w:b/>
                <w:bCs/>
                <w:sz w:val="20"/>
                <w:szCs w:val="20"/>
              </w:rPr>
            </w:pPr>
            <w:r>
              <w:rPr>
                <w:rFonts w:ascii="Segoe UI" w:hAnsi="Segoe UI" w:cs="Segoe UI"/>
                <w:b/>
                <w:bCs/>
                <w:sz w:val="20"/>
                <w:szCs w:val="20"/>
              </w:rPr>
              <w:t>Inde</w:t>
            </w:r>
          </w:p>
        </w:tc>
        <w:tc>
          <w:tcPr>
            <w:tcW w:w="1036" w:type="dxa"/>
            <w:noWrap/>
            <w:hideMark/>
          </w:tcPr>
          <w:p w14:paraId="15738897" w14:textId="3351B4F1" w:rsidR="000C5210" w:rsidRPr="00096333" w:rsidRDefault="00D816A7" w:rsidP="00294CD0">
            <w:pPr>
              <w:tabs>
                <w:tab w:val="left" w:pos="1875"/>
              </w:tabs>
              <w:jc w:val="center"/>
              <w:rPr>
                <w:rFonts w:ascii="Segoe UI" w:hAnsi="Segoe UI" w:cs="Segoe UI"/>
                <w:sz w:val="20"/>
                <w:szCs w:val="20"/>
              </w:rPr>
            </w:pPr>
            <w:r>
              <w:rPr>
                <w:rFonts w:ascii="Segoe UI" w:hAnsi="Segoe UI" w:cs="Segoe UI"/>
                <w:sz w:val="20"/>
                <w:szCs w:val="20"/>
              </w:rPr>
              <w:t>14,1%</w:t>
            </w:r>
          </w:p>
        </w:tc>
        <w:tc>
          <w:tcPr>
            <w:tcW w:w="2224" w:type="dxa"/>
            <w:noWrap/>
            <w:hideMark/>
          </w:tcPr>
          <w:p w14:paraId="0C4BD283" w14:textId="1B58F00E" w:rsidR="000C5210" w:rsidRPr="00096333" w:rsidRDefault="006D6129" w:rsidP="00294CD0">
            <w:pPr>
              <w:tabs>
                <w:tab w:val="left" w:pos="1875"/>
              </w:tabs>
              <w:jc w:val="center"/>
              <w:rPr>
                <w:rFonts w:ascii="Segoe UI" w:hAnsi="Segoe UI" w:cs="Segoe UI"/>
                <w:b/>
                <w:bCs/>
                <w:sz w:val="20"/>
                <w:szCs w:val="20"/>
              </w:rPr>
            </w:pPr>
            <w:r>
              <w:rPr>
                <w:rFonts w:ascii="Segoe UI" w:hAnsi="Segoe UI" w:cs="Segoe UI"/>
                <w:b/>
                <w:bCs/>
                <w:sz w:val="20"/>
                <w:szCs w:val="20"/>
              </w:rPr>
              <w:t>Royaume-Uni</w:t>
            </w:r>
          </w:p>
        </w:tc>
        <w:tc>
          <w:tcPr>
            <w:tcW w:w="937" w:type="dxa"/>
            <w:noWrap/>
            <w:hideMark/>
          </w:tcPr>
          <w:p w14:paraId="152B9C40" w14:textId="4DFED49E" w:rsidR="000C5210" w:rsidRPr="00096333" w:rsidRDefault="006D6129" w:rsidP="00294CD0">
            <w:pPr>
              <w:tabs>
                <w:tab w:val="left" w:pos="1875"/>
              </w:tabs>
              <w:jc w:val="center"/>
              <w:rPr>
                <w:rFonts w:ascii="Segoe UI" w:hAnsi="Segoe UI" w:cs="Segoe UI"/>
                <w:sz w:val="20"/>
                <w:szCs w:val="20"/>
              </w:rPr>
            </w:pPr>
            <w:r>
              <w:rPr>
                <w:rFonts w:ascii="Segoe UI" w:hAnsi="Segoe UI" w:cs="Segoe UI"/>
                <w:sz w:val="20"/>
                <w:szCs w:val="20"/>
              </w:rPr>
              <w:t>21,8%</w:t>
            </w:r>
          </w:p>
        </w:tc>
      </w:tr>
      <w:tr w:rsidR="000C5210" w:rsidRPr="00096333" w14:paraId="4190D142" w14:textId="77777777" w:rsidTr="00D816A7">
        <w:trPr>
          <w:trHeight w:val="300"/>
        </w:trPr>
        <w:tc>
          <w:tcPr>
            <w:tcW w:w="2547" w:type="dxa"/>
            <w:noWrap/>
            <w:hideMark/>
          </w:tcPr>
          <w:p w14:paraId="7A084850" w14:textId="0EAE1E3C" w:rsidR="000C5210" w:rsidRPr="00096333" w:rsidRDefault="00D816A7" w:rsidP="00294CD0">
            <w:pPr>
              <w:tabs>
                <w:tab w:val="left" w:pos="1875"/>
              </w:tabs>
              <w:jc w:val="center"/>
              <w:rPr>
                <w:rFonts w:ascii="Segoe UI" w:hAnsi="Segoe UI" w:cs="Segoe UI"/>
                <w:b/>
                <w:bCs/>
                <w:sz w:val="20"/>
                <w:szCs w:val="20"/>
              </w:rPr>
            </w:pPr>
            <w:r>
              <w:rPr>
                <w:rFonts w:ascii="Segoe UI" w:hAnsi="Segoe UI" w:cs="Segoe UI"/>
                <w:b/>
                <w:bCs/>
                <w:sz w:val="20"/>
                <w:szCs w:val="20"/>
              </w:rPr>
              <w:t>Chine</w:t>
            </w:r>
          </w:p>
        </w:tc>
        <w:tc>
          <w:tcPr>
            <w:tcW w:w="1036" w:type="dxa"/>
            <w:noWrap/>
            <w:hideMark/>
          </w:tcPr>
          <w:p w14:paraId="4C64AA6A" w14:textId="7134002D" w:rsidR="000C5210" w:rsidRPr="00096333" w:rsidRDefault="00D816A7" w:rsidP="00294CD0">
            <w:pPr>
              <w:tabs>
                <w:tab w:val="left" w:pos="1875"/>
              </w:tabs>
              <w:jc w:val="center"/>
              <w:rPr>
                <w:rFonts w:ascii="Segoe UI" w:hAnsi="Segoe UI" w:cs="Segoe UI"/>
                <w:sz w:val="20"/>
                <w:szCs w:val="20"/>
              </w:rPr>
            </w:pPr>
            <w:r>
              <w:rPr>
                <w:rFonts w:ascii="Segoe UI" w:hAnsi="Segoe UI" w:cs="Segoe UI"/>
                <w:sz w:val="20"/>
                <w:szCs w:val="20"/>
              </w:rPr>
              <w:t>13,4%</w:t>
            </w:r>
          </w:p>
        </w:tc>
        <w:tc>
          <w:tcPr>
            <w:tcW w:w="2224" w:type="dxa"/>
            <w:noWrap/>
            <w:hideMark/>
          </w:tcPr>
          <w:p w14:paraId="4CEA8C5C" w14:textId="615CA06E" w:rsidR="000C5210" w:rsidRPr="00096333" w:rsidRDefault="006D6129" w:rsidP="00294CD0">
            <w:pPr>
              <w:tabs>
                <w:tab w:val="left" w:pos="1875"/>
              </w:tabs>
              <w:jc w:val="center"/>
              <w:rPr>
                <w:rFonts w:ascii="Segoe UI" w:hAnsi="Segoe UI" w:cs="Segoe UI"/>
                <w:b/>
                <w:bCs/>
                <w:sz w:val="20"/>
                <w:szCs w:val="20"/>
              </w:rPr>
            </w:pPr>
            <w:r>
              <w:rPr>
                <w:rFonts w:ascii="Segoe UI" w:hAnsi="Segoe UI" w:cs="Segoe UI"/>
                <w:b/>
                <w:bCs/>
                <w:sz w:val="20"/>
                <w:szCs w:val="20"/>
              </w:rPr>
              <w:t>Allemagne</w:t>
            </w:r>
          </w:p>
        </w:tc>
        <w:tc>
          <w:tcPr>
            <w:tcW w:w="937" w:type="dxa"/>
            <w:noWrap/>
            <w:hideMark/>
          </w:tcPr>
          <w:p w14:paraId="680FCF4E" w14:textId="02BA1D74" w:rsidR="000C5210" w:rsidRPr="00096333" w:rsidRDefault="006D6129" w:rsidP="00294CD0">
            <w:pPr>
              <w:tabs>
                <w:tab w:val="left" w:pos="1875"/>
              </w:tabs>
              <w:jc w:val="center"/>
              <w:rPr>
                <w:rFonts w:ascii="Segoe UI" w:hAnsi="Segoe UI" w:cs="Segoe UI"/>
                <w:sz w:val="20"/>
                <w:szCs w:val="20"/>
              </w:rPr>
            </w:pPr>
            <w:r>
              <w:rPr>
                <w:rFonts w:ascii="Segoe UI" w:hAnsi="Segoe UI" w:cs="Segoe UI"/>
                <w:sz w:val="20"/>
                <w:szCs w:val="20"/>
              </w:rPr>
              <w:t>10,3%</w:t>
            </w:r>
          </w:p>
        </w:tc>
      </w:tr>
      <w:tr w:rsidR="006D6129" w:rsidRPr="00096333" w14:paraId="5E7436DE" w14:textId="77777777" w:rsidTr="00D816A7">
        <w:trPr>
          <w:trHeight w:val="300"/>
        </w:trPr>
        <w:tc>
          <w:tcPr>
            <w:tcW w:w="2547" w:type="dxa"/>
            <w:noWrap/>
          </w:tcPr>
          <w:p w14:paraId="11E08C50" w14:textId="4225D941" w:rsidR="006D6129" w:rsidRDefault="006D6129" w:rsidP="00294CD0">
            <w:pPr>
              <w:tabs>
                <w:tab w:val="left" w:pos="1875"/>
              </w:tabs>
              <w:jc w:val="center"/>
              <w:rPr>
                <w:rFonts w:ascii="Segoe UI" w:hAnsi="Segoe UI" w:cs="Segoe UI"/>
                <w:b/>
                <w:bCs/>
                <w:sz w:val="20"/>
                <w:szCs w:val="20"/>
              </w:rPr>
            </w:pPr>
            <w:r>
              <w:rPr>
                <w:rFonts w:ascii="Segoe UI" w:hAnsi="Segoe UI" w:cs="Segoe UI"/>
                <w:b/>
                <w:bCs/>
                <w:sz w:val="20"/>
                <w:szCs w:val="20"/>
              </w:rPr>
              <w:t>Singapour</w:t>
            </w:r>
          </w:p>
        </w:tc>
        <w:tc>
          <w:tcPr>
            <w:tcW w:w="1036" w:type="dxa"/>
            <w:noWrap/>
          </w:tcPr>
          <w:p w14:paraId="6E73912E" w14:textId="34159007" w:rsidR="006D6129" w:rsidRDefault="00AF3A3B" w:rsidP="00294CD0">
            <w:pPr>
              <w:tabs>
                <w:tab w:val="left" w:pos="1875"/>
              </w:tabs>
              <w:jc w:val="center"/>
              <w:rPr>
                <w:rFonts w:ascii="Segoe UI" w:hAnsi="Segoe UI" w:cs="Segoe UI"/>
                <w:sz w:val="20"/>
                <w:szCs w:val="20"/>
              </w:rPr>
            </w:pPr>
            <w:r>
              <w:rPr>
                <w:rFonts w:ascii="Segoe UI" w:hAnsi="Segoe UI" w:cs="Segoe UI"/>
                <w:sz w:val="20"/>
                <w:szCs w:val="20"/>
              </w:rPr>
              <w:t>10,3%</w:t>
            </w:r>
          </w:p>
        </w:tc>
        <w:tc>
          <w:tcPr>
            <w:tcW w:w="2224" w:type="dxa"/>
            <w:noWrap/>
          </w:tcPr>
          <w:p w14:paraId="629593C9" w14:textId="4097C18F" w:rsidR="006D6129" w:rsidRDefault="00AF3A3B" w:rsidP="00294CD0">
            <w:pPr>
              <w:tabs>
                <w:tab w:val="left" w:pos="1875"/>
              </w:tabs>
              <w:jc w:val="center"/>
              <w:rPr>
                <w:rFonts w:ascii="Segoe UI" w:hAnsi="Segoe UI" w:cs="Segoe UI"/>
                <w:b/>
                <w:bCs/>
                <w:sz w:val="20"/>
                <w:szCs w:val="20"/>
              </w:rPr>
            </w:pPr>
            <w:r>
              <w:rPr>
                <w:rFonts w:ascii="Segoe UI" w:hAnsi="Segoe UI" w:cs="Segoe UI"/>
                <w:b/>
                <w:bCs/>
                <w:sz w:val="20"/>
                <w:szCs w:val="20"/>
              </w:rPr>
              <w:t>Inde</w:t>
            </w:r>
          </w:p>
        </w:tc>
        <w:tc>
          <w:tcPr>
            <w:tcW w:w="937" w:type="dxa"/>
            <w:noWrap/>
          </w:tcPr>
          <w:p w14:paraId="1F536C73" w14:textId="0D09D5AE" w:rsidR="006D6129" w:rsidRDefault="00AF3A3B" w:rsidP="00294CD0">
            <w:pPr>
              <w:tabs>
                <w:tab w:val="left" w:pos="1875"/>
              </w:tabs>
              <w:jc w:val="center"/>
              <w:rPr>
                <w:rFonts w:ascii="Segoe UI" w:hAnsi="Segoe UI" w:cs="Segoe UI"/>
                <w:sz w:val="20"/>
                <w:szCs w:val="20"/>
              </w:rPr>
            </w:pPr>
            <w:r>
              <w:rPr>
                <w:rFonts w:ascii="Segoe UI" w:hAnsi="Segoe UI" w:cs="Segoe UI"/>
                <w:sz w:val="20"/>
                <w:szCs w:val="20"/>
              </w:rPr>
              <w:t>4,5%</w:t>
            </w:r>
          </w:p>
        </w:tc>
      </w:tr>
      <w:tr w:rsidR="000C5210" w:rsidRPr="00096333" w14:paraId="4BBA73DC" w14:textId="77777777" w:rsidTr="00D816A7">
        <w:trPr>
          <w:trHeight w:val="300"/>
        </w:trPr>
        <w:tc>
          <w:tcPr>
            <w:tcW w:w="2547" w:type="dxa"/>
            <w:noWrap/>
            <w:hideMark/>
          </w:tcPr>
          <w:p w14:paraId="6BB8965C" w14:textId="4F3CFE6B" w:rsidR="000C5210" w:rsidRPr="00096333" w:rsidRDefault="00D816A7" w:rsidP="00294CD0">
            <w:pPr>
              <w:tabs>
                <w:tab w:val="left" w:pos="1875"/>
              </w:tabs>
              <w:jc w:val="center"/>
              <w:rPr>
                <w:rFonts w:ascii="Segoe UI" w:hAnsi="Segoe UI" w:cs="Segoe UI"/>
                <w:b/>
                <w:bCs/>
                <w:sz w:val="20"/>
                <w:szCs w:val="20"/>
              </w:rPr>
            </w:pPr>
            <w:r>
              <w:rPr>
                <w:rFonts w:ascii="Segoe UI" w:hAnsi="Segoe UI" w:cs="Segoe UI"/>
                <w:b/>
                <w:bCs/>
                <w:sz w:val="20"/>
                <w:szCs w:val="20"/>
              </w:rPr>
              <w:t>Oman</w:t>
            </w:r>
          </w:p>
        </w:tc>
        <w:tc>
          <w:tcPr>
            <w:tcW w:w="1036" w:type="dxa"/>
            <w:noWrap/>
            <w:hideMark/>
          </w:tcPr>
          <w:p w14:paraId="2DC70BE6" w14:textId="01368D21" w:rsidR="000C5210" w:rsidRPr="00096333" w:rsidRDefault="00D816A7" w:rsidP="00294CD0">
            <w:pPr>
              <w:tabs>
                <w:tab w:val="left" w:pos="1875"/>
              </w:tabs>
              <w:jc w:val="center"/>
              <w:rPr>
                <w:rFonts w:ascii="Segoe UI" w:hAnsi="Segoe UI" w:cs="Segoe UI"/>
                <w:sz w:val="20"/>
                <w:szCs w:val="20"/>
              </w:rPr>
            </w:pPr>
            <w:r>
              <w:rPr>
                <w:rFonts w:ascii="Segoe UI" w:hAnsi="Segoe UI" w:cs="Segoe UI"/>
                <w:sz w:val="20"/>
                <w:szCs w:val="20"/>
              </w:rPr>
              <w:t>7,8%</w:t>
            </w:r>
          </w:p>
        </w:tc>
        <w:tc>
          <w:tcPr>
            <w:tcW w:w="2224" w:type="dxa"/>
            <w:noWrap/>
            <w:hideMark/>
          </w:tcPr>
          <w:p w14:paraId="48203233" w14:textId="39D0FF75" w:rsidR="000C5210" w:rsidRPr="00096333" w:rsidRDefault="00AF3A3B" w:rsidP="00294CD0">
            <w:pPr>
              <w:tabs>
                <w:tab w:val="left" w:pos="1875"/>
              </w:tabs>
              <w:jc w:val="center"/>
              <w:rPr>
                <w:rFonts w:ascii="Segoe UI" w:hAnsi="Segoe UI" w:cs="Segoe UI"/>
                <w:b/>
                <w:bCs/>
                <w:sz w:val="20"/>
                <w:szCs w:val="20"/>
              </w:rPr>
            </w:pPr>
            <w:r>
              <w:rPr>
                <w:rFonts w:ascii="Segoe UI" w:hAnsi="Segoe UI" w:cs="Segoe UI"/>
                <w:b/>
                <w:bCs/>
                <w:sz w:val="20"/>
                <w:szCs w:val="20"/>
              </w:rPr>
              <w:t>France</w:t>
            </w:r>
          </w:p>
        </w:tc>
        <w:tc>
          <w:tcPr>
            <w:tcW w:w="937" w:type="dxa"/>
            <w:noWrap/>
            <w:hideMark/>
          </w:tcPr>
          <w:p w14:paraId="2E108B3D" w14:textId="2AC6B593" w:rsidR="000C5210" w:rsidRPr="00096333" w:rsidRDefault="00AF3A3B" w:rsidP="00294CD0">
            <w:pPr>
              <w:tabs>
                <w:tab w:val="left" w:pos="1875"/>
              </w:tabs>
              <w:jc w:val="center"/>
              <w:rPr>
                <w:rFonts w:ascii="Segoe UI" w:hAnsi="Segoe UI" w:cs="Segoe UI"/>
                <w:sz w:val="20"/>
                <w:szCs w:val="20"/>
              </w:rPr>
            </w:pPr>
            <w:r>
              <w:rPr>
                <w:rFonts w:ascii="Segoe UI" w:hAnsi="Segoe UI" w:cs="Segoe UI"/>
                <w:sz w:val="20"/>
                <w:szCs w:val="20"/>
              </w:rPr>
              <w:t>3,9%</w:t>
            </w:r>
          </w:p>
        </w:tc>
      </w:tr>
      <w:tr w:rsidR="000C5210" w:rsidRPr="00096333" w14:paraId="45A04F8C" w14:textId="77777777" w:rsidTr="00D816A7">
        <w:trPr>
          <w:trHeight w:val="300"/>
        </w:trPr>
        <w:tc>
          <w:tcPr>
            <w:tcW w:w="2547" w:type="dxa"/>
            <w:noWrap/>
            <w:hideMark/>
          </w:tcPr>
          <w:p w14:paraId="4AFB8A73" w14:textId="1A4935D9" w:rsidR="000C5210" w:rsidRPr="00096333" w:rsidRDefault="00D816A7" w:rsidP="00294CD0">
            <w:pPr>
              <w:tabs>
                <w:tab w:val="left" w:pos="1875"/>
              </w:tabs>
              <w:jc w:val="center"/>
              <w:rPr>
                <w:rFonts w:ascii="Segoe UI" w:hAnsi="Segoe UI" w:cs="Segoe UI"/>
                <w:b/>
                <w:bCs/>
                <w:sz w:val="20"/>
                <w:szCs w:val="20"/>
              </w:rPr>
            </w:pPr>
            <w:r>
              <w:rPr>
                <w:rFonts w:ascii="Segoe UI" w:hAnsi="Segoe UI" w:cs="Segoe UI"/>
                <w:b/>
                <w:bCs/>
                <w:sz w:val="20"/>
                <w:szCs w:val="20"/>
              </w:rPr>
              <w:t>Malaisie</w:t>
            </w:r>
          </w:p>
        </w:tc>
        <w:tc>
          <w:tcPr>
            <w:tcW w:w="1036" w:type="dxa"/>
            <w:noWrap/>
            <w:hideMark/>
          </w:tcPr>
          <w:p w14:paraId="771B73DC" w14:textId="46F3B95E" w:rsidR="000C5210" w:rsidRPr="00096333" w:rsidRDefault="00D816A7" w:rsidP="00294CD0">
            <w:pPr>
              <w:tabs>
                <w:tab w:val="left" w:pos="1875"/>
              </w:tabs>
              <w:jc w:val="center"/>
              <w:rPr>
                <w:rFonts w:ascii="Segoe UI" w:hAnsi="Segoe UI" w:cs="Segoe UI"/>
                <w:sz w:val="20"/>
                <w:szCs w:val="20"/>
              </w:rPr>
            </w:pPr>
            <w:r>
              <w:rPr>
                <w:rFonts w:ascii="Segoe UI" w:hAnsi="Segoe UI" w:cs="Segoe UI"/>
                <w:sz w:val="20"/>
                <w:szCs w:val="20"/>
              </w:rPr>
              <w:t>4,9%</w:t>
            </w:r>
          </w:p>
        </w:tc>
        <w:tc>
          <w:tcPr>
            <w:tcW w:w="2224" w:type="dxa"/>
            <w:noWrap/>
            <w:hideMark/>
          </w:tcPr>
          <w:p w14:paraId="7338B8AD" w14:textId="4FB5DB94" w:rsidR="000C5210" w:rsidRPr="00096333" w:rsidRDefault="00AF3A3B" w:rsidP="00294CD0">
            <w:pPr>
              <w:tabs>
                <w:tab w:val="left" w:pos="1875"/>
              </w:tabs>
              <w:jc w:val="center"/>
              <w:rPr>
                <w:rFonts w:ascii="Segoe UI" w:hAnsi="Segoe UI" w:cs="Segoe UI"/>
                <w:b/>
                <w:bCs/>
                <w:sz w:val="20"/>
                <w:szCs w:val="20"/>
              </w:rPr>
            </w:pPr>
            <w:r>
              <w:rPr>
                <w:rFonts w:ascii="Segoe UI" w:hAnsi="Segoe UI" w:cs="Segoe UI"/>
                <w:b/>
                <w:bCs/>
                <w:sz w:val="20"/>
                <w:szCs w:val="20"/>
              </w:rPr>
              <w:t>Vietnam</w:t>
            </w:r>
          </w:p>
        </w:tc>
        <w:tc>
          <w:tcPr>
            <w:tcW w:w="937" w:type="dxa"/>
            <w:noWrap/>
            <w:hideMark/>
          </w:tcPr>
          <w:p w14:paraId="5FB88A59" w14:textId="68CF796D" w:rsidR="000C5210" w:rsidRPr="00096333" w:rsidRDefault="006D6129" w:rsidP="00294CD0">
            <w:pPr>
              <w:tabs>
                <w:tab w:val="left" w:pos="1875"/>
              </w:tabs>
              <w:jc w:val="center"/>
              <w:rPr>
                <w:rFonts w:ascii="Segoe UI" w:hAnsi="Segoe UI" w:cs="Segoe UI"/>
                <w:sz w:val="20"/>
                <w:szCs w:val="20"/>
              </w:rPr>
            </w:pPr>
            <w:r>
              <w:rPr>
                <w:rFonts w:ascii="Segoe UI" w:hAnsi="Segoe UI" w:cs="Segoe UI"/>
                <w:sz w:val="20"/>
                <w:szCs w:val="20"/>
              </w:rPr>
              <w:t>3,</w:t>
            </w:r>
            <w:r w:rsidR="00AF3A3B">
              <w:rPr>
                <w:rFonts w:ascii="Segoe UI" w:hAnsi="Segoe UI" w:cs="Segoe UI"/>
                <w:sz w:val="20"/>
                <w:szCs w:val="20"/>
              </w:rPr>
              <w:t>7</w:t>
            </w:r>
            <w:r>
              <w:rPr>
                <w:rFonts w:ascii="Segoe UI" w:hAnsi="Segoe UI" w:cs="Segoe UI"/>
                <w:sz w:val="20"/>
                <w:szCs w:val="20"/>
              </w:rPr>
              <w:t>%</w:t>
            </w:r>
          </w:p>
        </w:tc>
      </w:tr>
      <w:tr w:rsidR="000C5210" w:rsidRPr="00096333" w14:paraId="6B9A2AE8" w14:textId="77777777" w:rsidTr="00D816A7">
        <w:trPr>
          <w:trHeight w:val="300"/>
        </w:trPr>
        <w:tc>
          <w:tcPr>
            <w:tcW w:w="2547" w:type="dxa"/>
            <w:noWrap/>
          </w:tcPr>
          <w:p w14:paraId="3218982F" w14:textId="09C21B8F" w:rsidR="000C5210" w:rsidRPr="00096333" w:rsidRDefault="00D816A7" w:rsidP="00294CD0">
            <w:pPr>
              <w:tabs>
                <w:tab w:val="left" w:pos="1875"/>
              </w:tabs>
              <w:jc w:val="center"/>
              <w:rPr>
                <w:rFonts w:ascii="Segoe UI" w:hAnsi="Segoe UI" w:cs="Segoe UI"/>
                <w:b/>
                <w:bCs/>
                <w:sz w:val="20"/>
                <w:szCs w:val="20"/>
              </w:rPr>
            </w:pPr>
            <w:r>
              <w:rPr>
                <w:rFonts w:ascii="Segoe UI" w:hAnsi="Segoe UI" w:cs="Segoe UI"/>
                <w:b/>
                <w:bCs/>
                <w:sz w:val="20"/>
                <w:szCs w:val="20"/>
              </w:rPr>
              <w:t>Sri Lanka</w:t>
            </w:r>
          </w:p>
        </w:tc>
        <w:tc>
          <w:tcPr>
            <w:tcW w:w="1036" w:type="dxa"/>
            <w:noWrap/>
          </w:tcPr>
          <w:p w14:paraId="49563F5D" w14:textId="0C9BB40E" w:rsidR="000C5210" w:rsidRPr="00096333" w:rsidRDefault="00D816A7" w:rsidP="00294CD0">
            <w:pPr>
              <w:tabs>
                <w:tab w:val="left" w:pos="1875"/>
              </w:tabs>
              <w:jc w:val="center"/>
              <w:rPr>
                <w:rFonts w:ascii="Segoe UI" w:hAnsi="Segoe UI" w:cs="Segoe UI"/>
                <w:sz w:val="20"/>
                <w:szCs w:val="20"/>
              </w:rPr>
            </w:pPr>
            <w:r>
              <w:rPr>
                <w:rFonts w:ascii="Segoe UI" w:hAnsi="Segoe UI" w:cs="Segoe UI"/>
                <w:sz w:val="20"/>
                <w:szCs w:val="20"/>
              </w:rPr>
              <w:t>4,4%</w:t>
            </w:r>
          </w:p>
        </w:tc>
        <w:tc>
          <w:tcPr>
            <w:tcW w:w="2224" w:type="dxa"/>
            <w:noWrap/>
          </w:tcPr>
          <w:p w14:paraId="0CC9A6C9" w14:textId="4F02F786" w:rsidR="000C5210" w:rsidRPr="00096333" w:rsidRDefault="00AF3A3B" w:rsidP="00294CD0">
            <w:pPr>
              <w:tabs>
                <w:tab w:val="left" w:pos="1875"/>
              </w:tabs>
              <w:jc w:val="center"/>
              <w:rPr>
                <w:rFonts w:ascii="Segoe UI" w:hAnsi="Segoe UI" w:cs="Segoe UI"/>
                <w:b/>
                <w:bCs/>
                <w:sz w:val="20"/>
                <w:szCs w:val="20"/>
              </w:rPr>
            </w:pPr>
            <w:r>
              <w:rPr>
                <w:rFonts w:ascii="Segoe UI" w:hAnsi="Segoe UI" w:cs="Segoe UI"/>
                <w:b/>
                <w:bCs/>
                <w:sz w:val="20"/>
                <w:szCs w:val="20"/>
              </w:rPr>
              <w:t>Bangladesh</w:t>
            </w:r>
          </w:p>
        </w:tc>
        <w:tc>
          <w:tcPr>
            <w:tcW w:w="937" w:type="dxa"/>
            <w:noWrap/>
          </w:tcPr>
          <w:p w14:paraId="168AF308" w14:textId="55C2EA02" w:rsidR="000C5210" w:rsidRPr="00096333" w:rsidRDefault="00AF3A3B" w:rsidP="00294CD0">
            <w:pPr>
              <w:tabs>
                <w:tab w:val="left" w:pos="1875"/>
              </w:tabs>
              <w:jc w:val="center"/>
              <w:rPr>
                <w:rFonts w:ascii="Segoe UI" w:hAnsi="Segoe UI" w:cs="Segoe UI"/>
                <w:sz w:val="20"/>
                <w:szCs w:val="20"/>
              </w:rPr>
            </w:pPr>
            <w:r>
              <w:rPr>
                <w:rFonts w:ascii="Segoe UI" w:hAnsi="Segoe UI" w:cs="Segoe UI"/>
                <w:sz w:val="20"/>
                <w:szCs w:val="20"/>
              </w:rPr>
              <w:t>3,3%</w:t>
            </w:r>
          </w:p>
        </w:tc>
      </w:tr>
      <w:tr w:rsidR="000C5210" w:rsidRPr="00096333" w14:paraId="2E3E86C8" w14:textId="77777777" w:rsidTr="00D816A7">
        <w:trPr>
          <w:trHeight w:val="300"/>
        </w:trPr>
        <w:tc>
          <w:tcPr>
            <w:tcW w:w="2547" w:type="dxa"/>
            <w:noWrap/>
          </w:tcPr>
          <w:p w14:paraId="146CFE8B" w14:textId="5A540B5C" w:rsidR="000C5210" w:rsidRPr="00096333" w:rsidRDefault="00D816A7" w:rsidP="00294CD0">
            <w:pPr>
              <w:tabs>
                <w:tab w:val="left" w:pos="1875"/>
              </w:tabs>
              <w:jc w:val="center"/>
              <w:rPr>
                <w:rFonts w:ascii="Segoe UI" w:hAnsi="Segoe UI" w:cs="Segoe UI"/>
                <w:b/>
                <w:bCs/>
                <w:sz w:val="20"/>
                <w:szCs w:val="20"/>
              </w:rPr>
            </w:pPr>
            <w:r>
              <w:rPr>
                <w:rFonts w:ascii="Segoe UI" w:hAnsi="Segoe UI" w:cs="Segoe UI"/>
                <w:b/>
                <w:bCs/>
                <w:sz w:val="20"/>
                <w:szCs w:val="20"/>
              </w:rPr>
              <w:t>Etats-Unis</w:t>
            </w:r>
          </w:p>
        </w:tc>
        <w:tc>
          <w:tcPr>
            <w:tcW w:w="1036" w:type="dxa"/>
            <w:noWrap/>
          </w:tcPr>
          <w:p w14:paraId="769737B1" w14:textId="7904AD2D" w:rsidR="000C5210" w:rsidRPr="00096333" w:rsidRDefault="00D816A7" w:rsidP="00294CD0">
            <w:pPr>
              <w:tabs>
                <w:tab w:val="left" w:pos="1875"/>
              </w:tabs>
              <w:jc w:val="center"/>
              <w:rPr>
                <w:rFonts w:ascii="Segoe UI" w:hAnsi="Segoe UI" w:cs="Segoe UI"/>
                <w:sz w:val="20"/>
                <w:szCs w:val="20"/>
              </w:rPr>
            </w:pPr>
            <w:r>
              <w:rPr>
                <w:rFonts w:ascii="Segoe UI" w:hAnsi="Segoe UI" w:cs="Segoe UI"/>
                <w:sz w:val="20"/>
                <w:szCs w:val="20"/>
              </w:rPr>
              <w:t>2,8%</w:t>
            </w:r>
          </w:p>
        </w:tc>
        <w:tc>
          <w:tcPr>
            <w:tcW w:w="2224" w:type="dxa"/>
            <w:noWrap/>
          </w:tcPr>
          <w:p w14:paraId="2240706C" w14:textId="08693C2F" w:rsidR="000C5210" w:rsidRPr="00096333" w:rsidRDefault="00AF3A3B" w:rsidP="00294CD0">
            <w:pPr>
              <w:tabs>
                <w:tab w:val="left" w:pos="1875"/>
              </w:tabs>
              <w:jc w:val="center"/>
              <w:rPr>
                <w:rFonts w:ascii="Segoe UI" w:hAnsi="Segoe UI" w:cs="Segoe UI"/>
                <w:b/>
                <w:bCs/>
                <w:sz w:val="20"/>
                <w:szCs w:val="20"/>
              </w:rPr>
            </w:pPr>
            <w:r>
              <w:rPr>
                <w:rFonts w:ascii="Segoe UI" w:hAnsi="Segoe UI" w:cs="Segoe UI"/>
                <w:b/>
                <w:bCs/>
                <w:sz w:val="20"/>
                <w:szCs w:val="20"/>
              </w:rPr>
              <w:t>Suisse</w:t>
            </w:r>
          </w:p>
        </w:tc>
        <w:tc>
          <w:tcPr>
            <w:tcW w:w="937" w:type="dxa"/>
            <w:noWrap/>
          </w:tcPr>
          <w:p w14:paraId="47A208F5" w14:textId="1FA367DF" w:rsidR="000C5210" w:rsidRPr="00096333" w:rsidRDefault="00AF3A3B" w:rsidP="00294CD0">
            <w:pPr>
              <w:tabs>
                <w:tab w:val="left" w:pos="1875"/>
              </w:tabs>
              <w:jc w:val="center"/>
              <w:rPr>
                <w:rFonts w:ascii="Segoe UI" w:hAnsi="Segoe UI" w:cs="Segoe UI"/>
                <w:sz w:val="20"/>
                <w:szCs w:val="20"/>
              </w:rPr>
            </w:pPr>
            <w:r>
              <w:rPr>
                <w:rFonts w:ascii="Segoe UI" w:hAnsi="Segoe UI" w:cs="Segoe UI"/>
                <w:sz w:val="20"/>
                <w:szCs w:val="20"/>
              </w:rPr>
              <w:t>2,4%</w:t>
            </w:r>
          </w:p>
        </w:tc>
      </w:tr>
      <w:tr w:rsidR="000C5210" w:rsidRPr="00096333" w14:paraId="79BE62D2" w14:textId="77777777" w:rsidTr="00D816A7">
        <w:trPr>
          <w:trHeight w:val="300"/>
        </w:trPr>
        <w:tc>
          <w:tcPr>
            <w:tcW w:w="2547" w:type="dxa"/>
            <w:noWrap/>
          </w:tcPr>
          <w:p w14:paraId="2FC57016" w14:textId="524E0CF1" w:rsidR="000C5210" w:rsidRPr="00096333" w:rsidRDefault="00D816A7" w:rsidP="00294CD0">
            <w:pPr>
              <w:tabs>
                <w:tab w:val="left" w:pos="1875"/>
              </w:tabs>
              <w:jc w:val="center"/>
              <w:rPr>
                <w:rFonts w:ascii="Segoe UI" w:hAnsi="Segoe UI" w:cs="Segoe UI"/>
                <w:b/>
                <w:bCs/>
                <w:sz w:val="20"/>
                <w:szCs w:val="20"/>
              </w:rPr>
            </w:pPr>
            <w:r>
              <w:rPr>
                <w:rFonts w:ascii="Segoe UI" w:hAnsi="Segoe UI" w:cs="Segoe UI"/>
                <w:b/>
                <w:bCs/>
                <w:sz w:val="20"/>
                <w:szCs w:val="20"/>
              </w:rPr>
              <w:t>Thaïlande</w:t>
            </w:r>
          </w:p>
        </w:tc>
        <w:tc>
          <w:tcPr>
            <w:tcW w:w="1036" w:type="dxa"/>
            <w:noWrap/>
          </w:tcPr>
          <w:p w14:paraId="2B489D89" w14:textId="46EFE9DB" w:rsidR="000C5210" w:rsidRPr="00096333" w:rsidRDefault="00D816A7" w:rsidP="00294CD0">
            <w:pPr>
              <w:tabs>
                <w:tab w:val="left" w:pos="1875"/>
              </w:tabs>
              <w:jc w:val="center"/>
              <w:rPr>
                <w:rFonts w:ascii="Segoe UI" w:hAnsi="Segoe UI" w:cs="Segoe UI"/>
                <w:sz w:val="20"/>
                <w:szCs w:val="20"/>
              </w:rPr>
            </w:pPr>
            <w:r>
              <w:rPr>
                <w:rFonts w:ascii="Segoe UI" w:hAnsi="Segoe UI" w:cs="Segoe UI"/>
                <w:sz w:val="20"/>
                <w:szCs w:val="20"/>
              </w:rPr>
              <w:t>2,6%</w:t>
            </w:r>
          </w:p>
        </w:tc>
        <w:tc>
          <w:tcPr>
            <w:tcW w:w="2224" w:type="dxa"/>
            <w:noWrap/>
          </w:tcPr>
          <w:p w14:paraId="1BD059AD" w14:textId="7E72C8BC" w:rsidR="000C5210" w:rsidRPr="00096333" w:rsidRDefault="00AF3A3B" w:rsidP="00294CD0">
            <w:pPr>
              <w:tabs>
                <w:tab w:val="left" w:pos="1875"/>
              </w:tabs>
              <w:jc w:val="center"/>
              <w:rPr>
                <w:rFonts w:ascii="Segoe UI" w:hAnsi="Segoe UI" w:cs="Segoe UI"/>
                <w:b/>
                <w:bCs/>
                <w:sz w:val="20"/>
                <w:szCs w:val="20"/>
              </w:rPr>
            </w:pPr>
            <w:r>
              <w:rPr>
                <w:rFonts w:ascii="Segoe UI" w:hAnsi="Segoe UI" w:cs="Segoe UI"/>
                <w:b/>
                <w:bCs/>
                <w:sz w:val="20"/>
                <w:szCs w:val="20"/>
              </w:rPr>
              <w:t>Japon</w:t>
            </w:r>
          </w:p>
        </w:tc>
        <w:tc>
          <w:tcPr>
            <w:tcW w:w="937" w:type="dxa"/>
            <w:noWrap/>
          </w:tcPr>
          <w:p w14:paraId="4767F211" w14:textId="21D9AE9C" w:rsidR="000C5210" w:rsidRPr="00096333" w:rsidRDefault="00AF3A3B" w:rsidP="00294CD0">
            <w:pPr>
              <w:tabs>
                <w:tab w:val="left" w:pos="1875"/>
              </w:tabs>
              <w:jc w:val="center"/>
              <w:rPr>
                <w:rFonts w:ascii="Segoe UI" w:hAnsi="Segoe UI" w:cs="Segoe UI"/>
                <w:sz w:val="20"/>
                <w:szCs w:val="20"/>
              </w:rPr>
            </w:pPr>
            <w:r>
              <w:rPr>
                <w:rFonts w:ascii="Segoe UI" w:hAnsi="Segoe UI" w:cs="Segoe UI"/>
                <w:sz w:val="20"/>
                <w:szCs w:val="20"/>
              </w:rPr>
              <w:t>2,0%</w:t>
            </w:r>
          </w:p>
        </w:tc>
      </w:tr>
      <w:tr w:rsidR="000C5210" w:rsidRPr="00096333" w14:paraId="1802C858" w14:textId="77777777" w:rsidTr="00D816A7">
        <w:trPr>
          <w:trHeight w:val="300"/>
        </w:trPr>
        <w:tc>
          <w:tcPr>
            <w:tcW w:w="2547" w:type="dxa"/>
            <w:noWrap/>
          </w:tcPr>
          <w:p w14:paraId="17E1FAAB" w14:textId="24C6B7C2" w:rsidR="000C5210" w:rsidRPr="00096333" w:rsidRDefault="00D816A7" w:rsidP="00294CD0">
            <w:pPr>
              <w:tabs>
                <w:tab w:val="left" w:pos="1875"/>
              </w:tabs>
              <w:jc w:val="center"/>
              <w:rPr>
                <w:rFonts w:ascii="Segoe UI" w:hAnsi="Segoe UI" w:cs="Segoe UI"/>
                <w:b/>
                <w:bCs/>
                <w:sz w:val="20"/>
                <w:szCs w:val="20"/>
              </w:rPr>
            </w:pPr>
            <w:r>
              <w:rPr>
                <w:rFonts w:ascii="Segoe UI" w:hAnsi="Segoe UI" w:cs="Segoe UI"/>
                <w:b/>
                <w:bCs/>
                <w:sz w:val="20"/>
                <w:szCs w:val="20"/>
              </w:rPr>
              <w:t>France</w:t>
            </w:r>
          </w:p>
        </w:tc>
        <w:tc>
          <w:tcPr>
            <w:tcW w:w="1036" w:type="dxa"/>
            <w:noWrap/>
          </w:tcPr>
          <w:p w14:paraId="44896E71" w14:textId="1D8C7ADE" w:rsidR="000C5210" w:rsidRPr="00096333" w:rsidRDefault="00D816A7" w:rsidP="00294CD0">
            <w:pPr>
              <w:tabs>
                <w:tab w:val="left" w:pos="1875"/>
              </w:tabs>
              <w:jc w:val="center"/>
              <w:rPr>
                <w:rFonts w:ascii="Segoe UI" w:hAnsi="Segoe UI" w:cs="Segoe UI"/>
                <w:sz w:val="20"/>
                <w:szCs w:val="20"/>
              </w:rPr>
            </w:pPr>
            <w:r>
              <w:rPr>
                <w:rFonts w:ascii="Segoe UI" w:hAnsi="Segoe UI" w:cs="Segoe UI"/>
                <w:sz w:val="20"/>
                <w:szCs w:val="20"/>
              </w:rPr>
              <w:t>1,8%</w:t>
            </w:r>
          </w:p>
        </w:tc>
        <w:tc>
          <w:tcPr>
            <w:tcW w:w="2224" w:type="dxa"/>
            <w:noWrap/>
          </w:tcPr>
          <w:p w14:paraId="675ED178" w14:textId="422309C4" w:rsidR="000C5210" w:rsidRPr="00096333" w:rsidRDefault="00AF3A3B" w:rsidP="00294CD0">
            <w:pPr>
              <w:tabs>
                <w:tab w:val="left" w:pos="1875"/>
              </w:tabs>
              <w:jc w:val="center"/>
              <w:rPr>
                <w:rFonts w:ascii="Segoe UI" w:hAnsi="Segoe UI" w:cs="Segoe UI"/>
                <w:b/>
                <w:bCs/>
                <w:sz w:val="20"/>
                <w:szCs w:val="20"/>
              </w:rPr>
            </w:pPr>
            <w:r>
              <w:rPr>
                <w:rFonts w:ascii="Segoe UI" w:hAnsi="Segoe UI" w:cs="Segoe UI"/>
                <w:b/>
                <w:bCs/>
                <w:sz w:val="20"/>
                <w:szCs w:val="20"/>
              </w:rPr>
              <w:t>Sri Lanka</w:t>
            </w:r>
          </w:p>
        </w:tc>
        <w:tc>
          <w:tcPr>
            <w:tcW w:w="937" w:type="dxa"/>
            <w:noWrap/>
          </w:tcPr>
          <w:p w14:paraId="267956C7" w14:textId="50466E93" w:rsidR="000C5210" w:rsidRPr="00096333" w:rsidRDefault="00AF3A3B" w:rsidP="00294CD0">
            <w:pPr>
              <w:tabs>
                <w:tab w:val="left" w:pos="1875"/>
              </w:tabs>
              <w:jc w:val="center"/>
              <w:rPr>
                <w:rFonts w:ascii="Segoe UI" w:hAnsi="Segoe UI" w:cs="Segoe UI"/>
                <w:sz w:val="20"/>
                <w:szCs w:val="20"/>
              </w:rPr>
            </w:pPr>
            <w:r>
              <w:rPr>
                <w:rFonts w:ascii="Segoe UI" w:hAnsi="Segoe UI" w:cs="Segoe UI"/>
                <w:sz w:val="20"/>
                <w:szCs w:val="20"/>
              </w:rPr>
              <w:t>1,7%</w:t>
            </w:r>
          </w:p>
        </w:tc>
      </w:tr>
      <w:tr w:rsidR="000C5210" w:rsidRPr="00096333" w14:paraId="62A662B7" w14:textId="77777777" w:rsidTr="00D816A7">
        <w:trPr>
          <w:trHeight w:val="300"/>
        </w:trPr>
        <w:tc>
          <w:tcPr>
            <w:tcW w:w="2547" w:type="dxa"/>
            <w:noWrap/>
          </w:tcPr>
          <w:p w14:paraId="6386A945" w14:textId="5F575637" w:rsidR="000C5210" w:rsidRPr="00096333" w:rsidRDefault="000C5210" w:rsidP="00294CD0">
            <w:pPr>
              <w:tabs>
                <w:tab w:val="left" w:pos="1875"/>
              </w:tabs>
              <w:jc w:val="center"/>
              <w:rPr>
                <w:rFonts w:ascii="Segoe UI" w:hAnsi="Segoe UI" w:cs="Segoe UI"/>
                <w:b/>
                <w:bCs/>
                <w:sz w:val="20"/>
                <w:szCs w:val="20"/>
              </w:rPr>
            </w:pPr>
            <w:r>
              <w:rPr>
                <w:rFonts w:ascii="Segoe UI" w:hAnsi="Segoe UI" w:cs="Segoe UI"/>
                <w:b/>
                <w:bCs/>
                <w:sz w:val="20"/>
                <w:szCs w:val="20"/>
              </w:rPr>
              <w:t>UE</w:t>
            </w:r>
          </w:p>
        </w:tc>
        <w:tc>
          <w:tcPr>
            <w:tcW w:w="1036" w:type="dxa"/>
            <w:noWrap/>
          </w:tcPr>
          <w:p w14:paraId="4018AB2F" w14:textId="58725436" w:rsidR="000C5210" w:rsidRPr="00096333" w:rsidRDefault="00AF3A3B" w:rsidP="00294CD0">
            <w:pPr>
              <w:tabs>
                <w:tab w:val="left" w:pos="1875"/>
              </w:tabs>
              <w:jc w:val="center"/>
              <w:rPr>
                <w:rFonts w:ascii="Segoe UI" w:hAnsi="Segoe UI" w:cs="Segoe UI"/>
                <w:sz w:val="20"/>
                <w:szCs w:val="20"/>
              </w:rPr>
            </w:pPr>
            <w:r>
              <w:rPr>
                <w:rFonts w:ascii="Segoe UI" w:hAnsi="Segoe UI" w:cs="Segoe UI"/>
                <w:sz w:val="20"/>
                <w:szCs w:val="20"/>
              </w:rPr>
              <w:t>7,7%</w:t>
            </w:r>
          </w:p>
        </w:tc>
        <w:tc>
          <w:tcPr>
            <w:tcW w:w="2224" w:type="dxa"/>
            <w:noWrap/>
          </w:tcPr>
          <w:p w14:paraId="0D6C123A" w14:textId="139AE79A" w:rsidR="000C5210" w:rsidRPr="00096333" w:rsidRDefault="000C5210" w:rsidP="00294CD0">
            <w:pPr>
              <w:tabs>
                <w:tab w:val="left" w:pos="1875"/>
              </w:tabs>
              <w:jc w:val="center"/>
              <w:rPr>
                <w:rFonts w:ascii="Segoe UI" w:hAnsi="Segoe UI" w:cs="Segoe UI"/>
                <w:b/>
                <w:bCs/>
                <w:sz w:val="20"/>
                <w:szCs w:val="20"/>
              </w:rPr>
            </w:pPr>
            <w:r>
              <w:rPr>
                <w:rFonts w:ascii="Segoe UI" w:hAnsi="Segoe UI" w:cs="Segoe UI"/>
                <w:b/>
                <w:bCs/>
                <w:sz w:val="20"/>
                <w:szCs w:val="20"/>
              </w:rPr>
              <w:t>UE</w:t>
            </w:r>
          </w:p>
        </w:tc>
        <w:tc>
          <w:tcPr>
            <w:tcW w:w="937" w:type="dxa"/>
            <w:noWrap/>
          </w:tcPr>
          <w:p w14:paraId="060400FB" w14:textId="38D936E4" w:rsidR="000C5210" w:rsidRPr="00096333" w:rsidRDefault="00AF3A3B" w:rsidP="00294CD0">
            <w:pPr>
              <w:tabs>
                <w:tab w:val="left" w:pos="1875"/>
              </w:tabs>
              <w:jc w:val="center"/>
              <w:rPr>
                <w:rFonts w:ascii="Segoe UI" w:hAnsi="Segoe UI" w:cs="Segoe UI"/>
                <w:sz w:val="20"/>
                <w:szCs w:val="20"/>
              </w:rPr>
            </w:pPr>
            <w:r>
              <w:rPr>
                <w:rFonts w:ascii="Segoe UI" w:hAnsi="Segoe UI" w:cs="Segoe UI"/>
                <w:sz w:val="20"/>
                <w:szCs w:val="20"/>
              </w:rPr>
              <w:t>17,0%</w:t>
            </w:r>
          </w:p>
        </w:tc>
      </w:tr>
    </w:tbl>
    <w:p w14:paraId="21268F55"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5F557603"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6C9D2B87"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649BBD19"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45B24704"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635B439C"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3F3DABBC"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3BF23300"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559B4976" w14:textId="77777777" w:rsidR="00096333" w:rsidRPr="00096333" w:rsidRDefault="00096333" w:rsidP="00096333">
      <w:pPr>
        <w:tabs>
          <w:tab w:val="left" w:pos="1875"/>
        </w:tabs>
        <w:spacing w:line="240" w:lineRule="auto"/>
        <w:jc w:val="center"/>
        <w:rPr>
          <w:rFonts w:ascii="Segoe UI" w:hAnsi="Segoe UI" w:cs="Segoe UI"/>
          <w:b/>
          <w:sz w:val="20"/>
          <w:szCs w:val="20"/>
        </w:rPr>
      </w:pPr>
    </w:p>
    <w:p w14:paraId="415E1221" w14:textId="77777777" w:rsidR="00096333" w:rsidRPr="00096333" w:rsidRDefault="00096333" w:rsidP="00096333">
      <w:pPr>
        <w:tabs>
          <w:tab w:val="left" w:pos="1875"/>
        </w:tabs>
        <w:spacing w:after="120" w:line="240" w:lineRule="auto"/>
        <w:jc w:val="center"/>
        <w:rPr>
          <w:rFonts w:ascii="Segoe UI" w:hAnsi="Segoe UI" w:cs="Segoe UI"/>
          <w:b/>
          <w:sz w:val="20"/>
          <w:szCs w:val="20"/>
        </w:rPr>
      </w:pPr>
    </w:p>
    <w:p w14:paraId="50EA42CB" w14:textId="77777777" w:rsidR="00096333" w:rsidRPr="00096333" w:rsidRDefault="00096333" w:rsidP="00096333">
      <w:pPr>
        <w:tabs>
          <w:tab w:val="left" w:pos="1875"/>
        </w:tabs>
        <w:spacing w:after="120" w:line="240" w:lineRule="auto"/>
        <w:jc w:val="center"/>
        <w:rPr>
          <w:rFonts w:ascii="Segoe UI" w:hAnsi="Segoe UI" w:cs="Segoe UI"/>
          <w:b/>
          <w:sz w:val="20"/>
          <w:szCs w:val="20"/>
        </w:rPr>
      </w:pPr>
    </w:p>
    <w:p w14:paraId="65D2F53C" w14:textId="699871AF" w:rsidR="00096333" w:rsidRPr="00096333" w:rsidRDefault="00096333" w:rsidP="00096333">
      <w:pPr>
        <w:tabs>
          <w:tab w:val="left" w:pos="1875"/>
        </w:tabs>
        <w:spacing w:before="240" w:after="120" w:line="240" w:lineRule="auto"/>
        <w:jc w:val="center"/>
        <w:rPr>
          <w:rFonts w:ascii="Segoe UI" w:hAnsi="Segoe UI" w:cs="Segoe UI"/>
          <w:sz w:val="20"/>
          <w:szCs w:val="20"/>
        </w:rPr>
      </w:pPr>
      <w:r w:rsidRPr="00096333">
        <w:rPr>
          <w:rFonts w:ascii="Segoe UI" w:hAnsi="Segoe UI" w:cs="Segoe UI"/>
          <w:b/>
          <w:sz w:val="20"/>
          <w:szCs w:val="20"/>
        </w:rPr>
        <w:t>Tableau 2</w:t>
      </w:r>
      <w:r w:rsidRPr="00096333">
        <w:rPr>
          <w:rFonts w:ascii="Segoe UI" w:hAnsi="Segoe UI" w:cs="Segoe UI"/>
          <w:sz w:val="20"/>
          <w:szCs w:val="20"/>
        </w:rPr>
        <w:t> : Les principaux</w:t>
      </w:r>
      <w:r w:rsidR="00F81282">
        <w:rPr>
          <w:rFonts w:ascii="Segoe UI" w:hAnsi="Segoe UI" w:cs="Segoe UI"/>
          <w:sz w:val="20"/>
          <w:szCs w:val="20"/>
        </w:rPr>
        <w:t xml:space="preserve"> biens</w:t>
      </w:r>
      <w:r w:rsidRPr="00096333">
        <w:rPr>
          <w:rFonts w:ascii="Segoe UI" w:hAnsi="Segoe UI" w:cs="Segoe UI"/>
          <w:sz w:val="20"/>
          <w:szCs w:val="20"/>
        </w:rPr>
        <w:t xml:space="preserve"> importés et exportés en 2024</w:t>
      </w:r>
    </w:p>
    <w:tbl>
      <w:tblPr>
        <w:tblStyle w:val="Grilledutableau"/>
        <w:tblW w:w="6798" w:type="dxa"/>
        <w:jc w:val="center"/>
        <w:tblLook w:val="04A0" w:firstRow="1" w:lastRow="0" w:firstColumn="1" w:lastColumn="0" w:noHBand="0" w:noVBand="1"/>
      </w:tblPr>
      <w:tblGrid>
        <w:gridCol w:w="2447"/>
        <w:gridCol w:w="976"/>
        <w:gridCol w:w="2313"/>
        <w:gridCol w:w="1062"/>
      </w:tblGrid>
      <w:tr w:rsidR="00096333" w:rsidRPr="00096333" w14:paraId="60FF02B7" w14:textId="77777777" w:rsidTr="00AE7EAB">
        <w:trPr>
          <w:trHeight w:val="164"/>
          <w:jc w:val="center"/>
        </w:trPr>
        <w:tc>
          <w:tcPr>
            <w:tcW w:w="3423" w:type="dxa"/>
            <w:gridSpan w:val="2"/>
          </w:tcPr>
          <w:p w14:paraId="6916FD0D" w14:textId="77777777" w:rsidR="00096333" w:rsidRPr="00096333" w:rsidRDefault="00096333" w:rsidP="00294CD0">
            <w:pPr>
              <w:tabs>
                <w:tab w:val="left" w:pos="3000"/>
              </w:tabs>
              <w:jc w:val="center"/>
              <w:rPr>
                <w:rFonts w:ascii="Segoe UI" w:hAnsi="Segoe UI" w:cs="Segoe UI"/>
                <w:b/>
                <w:sz w:val="20"/>
                <w:szCs w:val="20"/>
              </w:rPr>
            </w:pPr>
            <w:r w:rsidRPr="00096333">
              <w:rPr>
                <w:rFonts w:ascii="Segoe UI" w:hAnsi="Segoe UI" w:cs="Segoe UI"/>
                <w:b/>
                <w:sz w:val="20"/>
                <w:szCs w:val="20"/>
              </w:rPr>
              <w:t>Importations</w:t>
            </w:r>
          </w:p>
        </w:tc>
        <w:tc>
          <w:tcPr>
            <w:tcW w:w="3375" w:type="dxa"/>
            <w:gridSpan w:val="2"/>
          </w:tcPr>
          <w:p w14:paraId="31F6B809" w14:textId="77777777" w:rsidR="00096333" w:rsidRPr="00096333" w:rsidRDefault="00096333" w:rsidP="00294CD0">
            <w:pPr>
              <w:jc w:val="center"/>
              <w:rPr>
                <w:rFonts w:ascii="Segoe UI" w:hAnsi="Segoe UI" w:cs="Segoe UI"/>
                <w:b/>
                <w:sz w:val="20"/>
                <w:szCs w:val="20"/>
              </w:rPr>
            </w:pPr>
            <w:r w:rsidRPr="00096333">
              <w:rPr>
                <w:rFonts w:ascii="Segoe UI" w:hAnsi="Segoe UI" w:cs="Segoe UI"/>
                <w:b/>
                <w:sz w:val="20"/>
                <w:szCs w:val="20"/>
              </w:rPr>
              <w:t>Exportations</w:t>
            </w:r>
          </w:p>
        </w:tc>
      </w:tr>
      <w:tr w:rsidR="00AE7EAB" w:rsidRPr="00096333" w14:paraId="39E08B9D" w14:textId="77777777" w:rsidTr="00AE7EAB">
        <w:trPr>
          <w:trHeight w:val="320"/>
          <w:jc w:val="center"/>
        </w:trPr>
        <w:tc>
          <w:tcPr>
            <w:tcW w:w="2447" w:type="dxa"/>
          </w:tcPr>
          <w:p w14:paraId="32181154" w14:textId="77777777" w:rsidR="00AE7EAB" w:rsidRPr="00096333" w:rsidRDefault="00AE7EAB" w:rsidP="00294CD0">
            <w:pPr>
              <w:jc w:val="center"/>
              <w:rPr>
                <w:rFonts w:ascii="Segoe UI" w:hAnsi="Segoe UI" w:cs="Segoe UI"/>
                <w:b/>
                <w:sz w:val="20"/>
                <w:szCs w:val="20"/>
              </w:rPr>
            </w:pPr>
            <w:r w:rsidRPr="00096333">
              <w:rPr>
                <w:rFonts w:ascii="Segoe UI" w:hAnsi="Segoe UI" w:cs="Segoe UI"/>
                <w:b/>
                <w:sz w:val="20"/>
                <w:szCs w:val="20"/>
              </w:rPr>
              <w:t>Type</w:t>
            </w:r>
          </w:p>
        </w:tc>
        <w:tc>
          <w:tcPr>
            <w:tcW w:w="976" w:type="dxa"/>
          </w:tcPr>
          <w:p w14:paraId="605D9E1A" w14:textId="77777777" w:rsidR="00AE7EAB" w:rsidRPr="00096333" w:rsidRDefault="00AE7EAB" w:rsidP="00294CD0">
            <w:pPr>
              <w:jc w:val="center"/>
              <w:rPr>
                <w:rFonts w:ascii="Segoe UI" w:hAnsi="Segoe UI" w:cs="Segoe UI"/>
                <w:b/>
                <w:sz w:val="20"/>
                <w:szCs w:val="20"/>
              </w:rPr>
            </w:pPr>
            <w:r w:rsidRPr="00096333">
              <w:rPr>
                <w:rFonts w:ascii="Segoe UI" w:hAnsi="Segoe UI" w:cs="Segoe UI"/>
                <w:b/>
                <w:sz w:val="20"/>
                <w:szCs w:val="20"/>
              </w:rPr>
              <w:t>% du total</w:t>
            </w:r>
          </w:p>
        </w:tc>
        <w:tc>
          <w:tcPr>
            <w:tcW w:w="2313" w:type="dxa"/>
          </w:tcPr>
          <w:p w14:paraId="19266B3B" w14:textId="77777777" w:rsidR="00AE7EAB" w:rsidRPr="00096333" w:rsidRDefault="00AE7EAB" w:rsidP="00294CD0">
            <w:pPr>
              <w:jc w:val="center"/>
              <w:rPr>
                <w:rFonts w:ascii="Segoe UI" w:hAnsi="Segoe UI" w:cs="Segoe UI"/>
                <w:b/>
                <w:sz w:val="20"/>
                <w:szCs w:val="20"/>
              </w:rPr>
            </w:pPr>
            <w:r w:rsidRPr="00096333">
              <w:rPr>
                <w:rFonts w:ascii="Segoe UI" w:hAnsi="Segoe UI" w:cs="Segoe UI"/>
                <w:b/>
                <w:sz w:val="20"/>
                <w:szCs w:val="20"/>
              </w:rPr>
              <w:t>Type</w:t>
            </w:r>
          </w:p>
        </w:tc>
        <w:tc>
          <w:tcPr>
            <w:tcW w:w="1062" w:type="dxa"/>
          </w:tcPr>
          <w:p w14:paraId="71EC8868" w14:textId="77777777" w:rsidR="00AE7EAB" w:rsidRPr="00096333" w:rsidRDefault="00AE7EAB" w:rsidP="00294CD0">
            <w:pPr>
              <w:jc w:val="center"/>
              <w:rPr>
                <w:rFonts w:ascii="Segoe UI" w:hAnsi="Segoe UI" w:cs="Segoe UI"/>
                <w:b/>
                <w:sz w:val="20"/>
                <w:szCs w:val="20"/>
              </w:rPr>
            </w:pPr>
            <w:r w:rsidRPr="00096333">
              <w:rPr>
                <w:rFonts w:ascii="Segoe UI" w:hAnsi="Segoe UI" w:cs="Segoe UI"/>
                <w:b/>
                <w:sz w:val="20"/>
                <w:szCs w:val="20"/>
              </w:rPr>
              <w:t>% du total</w:t>
            </w:r>
          </w:p>
        </w:tc>
      </w:tr>
      <w:tr w:rsidR="00AE7EAB" w:rsidRPr="00096333" w14:paraId="4AADE43D" w14:textId="77777777" w:rsidTr="00AE7EAB">
        <w:trPr>
          <w:trHeight w:val="485"/>
          <w:jc w:val="center"/>
        </w:trPr>
        <w:tc>
          <w:tcPr>
            <w:tcW w:w="2447" w:type="dxa"/>
          </w:tcPr>
          <w:p w14:paraId="7658D41C" w14:textId="41248E41" w:rsidR="00AE7EAB" w:rsidRPr="00096333" w:rsidRDefault="00612743" w:rsidP="00294CD0">
            <w:pPr>
              <w:jc w:val="center"/>
              <w:rPr>
                <w:rFonts w:ascii="Segoe UI" w:hAnsi="Segoe UI" w:cs="Segoe UI"/>
                <w:sz w:val="20"/>
                <w:szCs w:val="20"/>
              </w:rPr>
            </w:pPr>
            <w:r w:rsidRPr="00096333">
              <w:rPr>
                <w:rFonts w:ascii="Segoe UI" w:hAnsi="Segoe UI" w:cs="Segoe UI"/>
                <w:sz w:val="20"/>
                <w:szCs w:val="20"/>
              </w:rPr>
              <w:t xml:space="preserve">Produits agricoles et agroalimentaires </w:t>
            </w:r>
          </w:p>
        </w:tc>
        <w:tc>
          <w:tcPr>
            <w:tcW w:w="976" w:type="dxa"/>
          </w:tcPr>
          <w:p w14:paraId="48CE1A5A" w14:textId="06EF70EA" w:rsidR="00AE7EAB" w:rsidRPr="00096333" w:rsidRDefault="00612743" w:rsidP="00294CD0">
            <w:pPr>
              <w:jc w:val="center"/>
              <w:rPr>
                <w:rFonts w:ascii="Segoe UI" w:hAnsi="Segoe UI" w:cs="Segoe UI"/>
                <w:sz w:val="20"/>
                <w:szCs w:val="20"/>
              </w:rPr>
            </w:pPr>
            <w:r>
              <w:rPr>
                <w:rFonts w:ascii="Segoe UI" w:hAnsi="Segoe UI" w:cs="Segoe UI"/>
                <w:sz w:val="20"/>
                <w:szCs w:val="20"/>
              </w:rPr>
              <w:t>20,8%</w:t>
            </w:r>
          </w:p>
        </w:tc>
        <w:tc>
          <w:tcPr>
            <w:tcW w:w="2313" w:type="dxa"/>
          </w:tcPr>
          <w:p w14:paraId="14A64B04" w14:textId="239847CC" w:rsidR="00AE7EAB" w:rsidRPr="00096333" w:rsidRDefault="00AE7EAB" w:rsidP="00294CD0">
            <w:pPr>
              <w:jc w:val="center"/>
              <w:rPr>
                <w:rFonts w:ascii="Segoe UI" w:hAnsi="Segoe UI" w:cs="Segoe UI"/>
                <w:sz w:val="20"/>
                <w:szCs w:val="20"/>
              </w:rPr>
            </w:pPr>
            <w:r>
              <w:rPr>
                <w:rFonts w:ascii="Segoe UI" w:hAnsi="Segoe UI" w:cs="Segoe UI"/>
                <w:sz w:val="20"/>
                <w:szCs w:val="20"/>
              </w:rPr>
              <w:t>Réexportations</w:t>
            </w:r>
          </w:p>
        </w:tc>
        <w:tc>
          <w:tcPr>
            <w:tcW w:w="1062" w:type="dxa"/>
          </w:tcPr>
          <w:p w14:paraId="4A988988" w14:textId="04FAEFBD" w:rsidR="00AE7EAB" w:rsidRPr="00096333" w:rsidRDefault="00AE7EAB" w:rsidP="00294CD0">
            <w:pPr>
              <w:jc w:val="center"/>
              <w:rPr>
                <w:rFonts w:ascii="Segoe UI" w:hAnsi="Segoe UI" w:cs="Segoe UI"/>
                <w:sz w:val="20"/>
                <w:szCs w:val="20"/>
              </w:rPr>
            </w:pPr>
            <w:r>
              <w:rPr>
                <w:rFonts w:ascii="Segoe UI" w:hAnsi="Segoe UI" w:cs="Segoe UI"/>
                <w:sz w:val="20"/>
                <w:szCs w:val="20"/>
              </w:rPr>
              <w:t>75,8%</w:t>
            </w:r>
          </w:p>
        </w:tc>
      </w:tr>
      <w:tr w:rsidR="00AE7EAB" w:rsidRPr="00096333" w14:paraId="58DD8525" w14:textId="77777777" w:rsidTr="00AE7EAB">
        <w:trPr>
          <w:trHeight w:val="164"/>
          <w:jc w:val="center"/>
        </w:trPr>
        <w:tc>
          <w:tcPr>
            <w:tcW w:w="2447" w:type="dxa"/>
          </w:tcPr>
          <w:p w14:paraId="0C19E0C3" w14:textId="0C4AE6C4" w:rsidR="00AE7EAB" w:rsidRPr="00096333" w:rsidRDefault="00612743" w:rsidP="00294CD0">
            <w:pPr>
              <w:jc w:val="center"/>
              <w:rPr>
                <w:rFonts w:ascii="Segoe UI" w:hAnsi="Segoe UI" w:cs="Segoe UI"/>
                <w:sz w:val="20"/>
                <w:szCs w:val="20"/>
              </w:rPr>
            </w:pPr>
            <w:r>
              <w:rPr>
                <w:rFonts w:ascii="Segoe UI" w:hAnsi="Segoe UI" w:cs="Segoe UI"/>
                <w:sz w:val="20"/>
                <w:szCs w:val="20"/>
              </w:rPr>
              <w:t>Hydrocarbures</w:t>
            </w:r>
          </w:p>
        </w:tc>
        <w:tc>
          <w:tcPr>
            <w:tcW w:w="976" w:type="dxa"/>
          </w:tcPr>
          <w:p w14:paraId="57D06232" w14:textId="3CA034D7" w:rsidR="00AE7EAB" w:rsidRPr="00096333" w:rsidRDefault="0062003D" w:rsidP="00294CD0">
            <w:pPr>
              <w:jc w:val="center"/>
              <w:rPr>
                <w:rFonts w:ascii="Segoe UI" w:hAnsi="Segoe UI" w:cs="Segoe UI"/>
                <w:sz w:val="20"/>
                <w:szCs w:val="20"/>
              </w:rPr>
            </w:pPr>
            <w:r>
              <w:rPr>
                <w:rFonts w:ascii="Segoe UI" w:hAnsi="Segoe UI" w:cs="Segoe UI"/>
                <w:sz w:val="20"/>
                <w:szCs w:val="20"/>
              </w:rPr>
              <w:t>20,7%</w:t>
            </w:r>
          </w:p>
        </w:tc>
        <w:tc>
          <w:tcPr>
            <w:tcW w:w="2313" w:type="dxa"/>
          </w:tcPr>
          <w:p w14:paraId="3EAC7C77" w14:textId="2171163D" w:rsidR="00AE7EAB" w:rsidRPr="00AE7EAB" w:rsidRDefault="00AE7EAB" w:rsidP="00AE7EAB">
            <w:pPr>
              <w:jc w:val="center"/>
              <w:rPr>
                <w:rFonts w:ascii="Segoe UI" w:hAnsi="Segoe UI" w:cs="Segoe UI"/>
                <w:sz w:val="20"/>
                <w:szCs w:val="20"/>
              </w:rPr>
            </w:pPr>
            <w:r w:rsidRPr="00AE7EAB">
              <w:rPr>
                <w:rFonts w:ascii="Segoe UI" w:hAnsi="Segoe UI" w:cs="Segoe UI"/>
                <w:sz w:val="20"/>
                <w:szCs w:val="20"/>
              </w:rPr>
              <w:t>Produits de la mer</w:t>
            </w:r>
          </w:p>
        </w:tc>
        <w:tc>
          <w:tcPr>
            <w:tcW w:w="1062" w:type="dxa"/>
          </w:tcPr>
          <w:p w14:paraId="1638C98A" w14:textId="54340DA6" w:rsidR="00AE7EAB" w:rsidRPr="00096333" w:rsidRDefault="00AE7EAB" w:rsidP="00AE7EAB">
            <w:pPr>
              <w:jc w:val="center"/>
              <w:rPr>
                <w:rFonts w:ascii="Segoe UI" w:hAnsi="Segoe UI" w:cs="Segoe UI"/>
                <w:sz w:val="20"/>
                <w:szCs w:val="20"/>
              </w:rPr>
            </w:pPr>
            <w:r w:rsidRPr="00096333">
              <w:rPr>
                <w:rFonts w:ascii="Segoe UI" w:hAnsi="Segoe UI" w:cs="Segoe UI"/>
                <w:sz w:val="20"/>
                <w:szCs w:val="20"/>
              </w:rPr>
              <w:t>2</w:t>
            </w:r>
            <w:r w:rsidR="00612743">
              <w:rPr>
                <w:rFonts w:ascii="Segoe UI" w:hAnsi="Segoe UI" w:cs="Segoe UI"/>
                <w:sz w:val="20"/>
                <w:szCs w:val="20"/>
              </w:rPr>
              <w:t>1</w:t>
            </w:r>
            <w:r w:rsidRPr="00096333">
              <w:rPr>
                <w:rFonts w:ascii="Segoe UI" w:hAnsi="Segoe UI" w:cs="Segoe UI"/>
                <w:sz w:val="20"/>
                <w:szCs w:val="20"/>
              </w:rPr>
              <w:t>,</w:t>
            </w:r>
            <w:r w:rsidR="00612743">
              <w:rPr>
                <w:rFonts w:ascii="Segoe UI" w:hAnsi="Segoe UI" w:cs="Segoe UI"/>
                <w:sz w:val="20"/>
                <w:szCs w:val="20"/>
              </w:rPr>
              <w:t>8</w:t>
            </w:r>
            <w:r w:rsidRPr="00096333">
              <w:rPr>
                <w:rFonts w:ascii="Segoe UI" w:hAnsi="Segoe UI" w:cs="Segoe UI"/>
                <w:sz w:val="20"/>
                <w:szCs w:val="20"/>
              </w:rPr>
              <w:t>%</w:t>
            </w:r>
          </w:p>
        </w:tc>
      </w:tr>
      <w:tr w:rsidR="00AE7EAB" w:rsidRPr="00096333" w14:paraId="1DBF9799" w14:textId="77777777" w:rsidTr="00AE7EAB">
        <w:trPr>
          <w:trHeight w:val="164"/>
          <w:jc w:val="center"/>
        </w:trPr>
        <w:tc>
          <w:tcPr>
            <w:tcW w:w="2447" w:type="dxa"/>
          </w:tcPr>
          <w:p w14:paraId="4549B768" w14:textId="66DE148C" w:rsidR="00AE7EAB" w:rsidRPr="00096333" w:rsidRDefault="0062003D" w:rsidP="00294CD0">
            <w:pPr>
              <w:jc w:val="center"/>
              <w:rPr>
                <w:rFonts w:ascii="Segoe UI" w:hAnsi="Segoe UI" w:cs="Segoe UI"/>
                <w:sz w:val="20"/>
                <w:szCs w:val="20"/>
              </w:rPr>
            </w:pPr>
            <w:r>
              <w:rPr>
                <w:rFonts w:ascii="Segoe UI" w:hAnsi="Segoe UI" w:cs="Segoe UI"/>
                <w:sz w:val="20"/>
                <w:szCs w:val="20"/>
              </w:rPr>
              <w:t>Bois et ciment</w:t>
            </w:r>
          </w:p>
        </w:tc>
        <w:tc>
          <w:tcPr>
            <w:tcW w:w="976" w:type="dxa"/>
          </w:tcPr>
          <w:p w14:paraId="380DD7E4" w14:textId="48D97E54" w:rsidR="00AE7EAB" w:rsidRPr="00096333" w:rsidRDefault="0062003D" w:rsidP="00294CD0">
            <w:pPr>
              <w:jc w:val="center"/>
              <w:rPr>
                <w:rFonts w:ascii="Segoe UI" w:hAnsi="Segoe UI" w:cs="Segoe UI"/>
                <w:sz w:val="20"/>
                <w:szCs w:val="20"/>
              </w:rPr>
            </w:pPr>
            <w:r>
              <w:rPr>
                <w:rFonts w:ascii="Segoe UI" w:hAnsi="Segoe UI" w:cs="Segoe UI"/>
                <w:sz w:val="20"/>
                <w:szCs w:val="20"/>
              </w:rPr>
              <w:t>9,7%</w:t>
            </w:r>
          </w:p>
        </w:tc>
        <w:tc>
          <w:tcPr>
            <w:tcW w:w="2313" w:type="dxa"/>
          </w:tcPr>
          <w:p w14:paraId="15D6BE0D" w14:textId="22A97E5E" w:rsidR="00AE7EAB" w:rsidRPr="00096333" w:rsidRDefault="00612743" w:rsidP="00294CD0">
            <w:pPr>
              <w:jc w:val="center"/>
              <w:rPr>
                <w:rFonts w:ascii="Segoe UI" w:hAnsi="Segoe UI" w:cs="Segoe UI"/>
                <w:sz w:val="20"/>
                <w:szCs w:val="20"/>
              </w:rPr>
            </w:pPr>
            <w:r>
              <w:rPr>
                <w:rFonts w:ascii="Segoe UI" w:hAnsi="Segoe UI" w:cs="Segoe UI"/>
                <w:sz w:val="20"/>
                <w:szCs w:val="20"/>
              </w:rPr>
              <w:t>Autres</w:t>
            </w:r>
          </w:p>
        </w:tc>
        <w:tc>
          <w:tcPr>
            <w:tcW w:w="1062" w:type="dxa"/>
          </w:tcPr>
          <w:p w14:paraId="6A45B603" w14:textId="53930E43" w:rsidR="00AE7EAB" w:rsidRPr="00096333" w:rsidRDefault="00612743" w:rsidP="00294CD0">
            <w:pPr>
              <w:jc w:val="center"/>
              <w:rPr>
                <w:rFonts w:ascii="Segoe UI" w:hAnsi="Segoe UI" w:cs="Segoe UI"/>
                <w:sz w:val="20"/>
                <w:szCs w:val="20"/>
              </w:rPr>
            </w:pPr>
            <w:r>
              <w:rPr>
                <w:rFonts w:ascii="Segoe UI" w:hAnsi="Segoe UI" w:cs="Segoe UI"/>
                <w:sz w:val="20"/>
                <w:szCs w:val="20"/>
              </w:rPr>
              <w:t>2,4%</w:t>
            </w:r>
          </w:p>
        </w:tc>
      </w:tr>
      <w:tr w:rsidR="00AE7EAB" w:rsidRPr="00096333" w14:paraId="314C53DC" w14:textId="77777777" w:rsidTr="00AE7EAB">
        <w:trPr>
          <w:trHeight w:val="164"/>
          <w:jc w:val="center"/>
        </w:trPr>
        <w:tc>
          <w:tcPr>
            <w:tcW w:w="2447" w:type="dxa"/>
          </w:tcPr>
          <w:p w14:paraId="5A277B28" w14:textId="0C4CD549" w:rsidR="00AE7EAB" w:rsidRPr="00096333" w:rsidRDefault="0062003D" w:rsidP="00294CD0">
            <w:pPr>
              <w:jc w:val="center"/>
              <w:rPr>
                <w:rFonts w:ascii="Segoe UI" w:hAnsi="Segoe UI" w:cs="Segoe UI"/>
                <w:sz w:val="20"/>
                <w:szCs w:val="20"/>
              </w:rPr>
            </w:pPr>
            <w:r>
              <w:rPr>
                <w:rFonts w:ascii="Segoe UI" w:hAnsi="Segoe UI" w:cs="Segoe UI"/>
                <w:sz w:val="20"/>
                <w:szCs w:val="20"/>
              </w:rPr>
              <w:t>Equipement de transport</w:t>
            </w:r>
          </w:p>
        </w:tc>
        <w:tc>
          <w:tcPr>
            <w:tcW w:w="976" w:type="dxa"/>
          </w:tcPr>
          <w:p w14:paraId="37AC9EAC" w14:textId="359A2D4A" w:rsidR="00AE7EAB" w:rsidRPr="00096333" w:rsidRDefault="0062003D" w:rsidP="00294CD0">
            <w:pPr>
              <w:jc w:val="center"/>
              <w:rPr>
                <w:rFonts w:ascii="Segoe UI" w:hAnsi="Segoe UI" w:cs="Segoe UI"/>
                <w:sz w:val="20"/>
                <w:szCs w:val="20"/>
              </w:rPr>
            </w:pPr>
            <w:r>
              <w:rPr>
                <w:rFonts w:ascii="Segoe UI" w:hAnsi="Segoe UI" w:cs="Segoe UI"/>
                <w:sz w:val="20"/>
                <w:szCs w:val="20"/>
              </w:rPr>
              <w:t>9,6%</w:t>
            </w:r>
          </w:p>
        </w:tc>
        <w:tc>
          <w:tcPr>
            <w:tcW w:w="2313" w:type="dxa"/>
          </w:tcPr>
          <w:p w14:paraId="3EA79D76" w14:textId="4C9E32F4" w:rsidR="00AE7EAB" w:rsidRPr="00096333" w:rsidRDefault="00AE7EAB" w:rsidP="00294CD0">
            <w:pPr>
              <w:jc w:val="center"/>
              <w:rPr>
                <w:rFonts w:ascii="Segoe UI" w:hAnsi="Segoe UI" w:cs="Segoe UI"/>
                <w:sz w:val="20"/>
                <w:szCs w:val="20"/>
              </w:rPr>
            </w:pPr>
          </w:p>
        </w:tc>
        <w:tc>
          <w:tcPr>
            <w:tcW w:w="1062" w:type="dxa"/>
          </w:tcPr>
          <w:p w14:paraId="3F508784" w14:textId="6C15AA6E" w:rsidR="00AE7EAB" w:rsidRPr="00096333" w:rsidRDefault="00AE7EAB" w:rsidP="00294CD0">
            <w:pPr>
              <w:jc w:val="center"/>
              <w:rPr>
                <w:rFonts w:ascii="Segoe UI" w:hAnsi="Segoe UI" w:cs="Segoe UI"/>
                <w:sz w:val="20"/>
                <w:szCs w:val="20"/>
              </w:rPr>
            </w:pPr>
          </w:p>
        </w:tc>
      </w:tr>
      <w:tr w:rsidR="00AE7EAB" w:rsidRPr="00096333" w14:paraId="39BB5166" w14:textId="77777777" w:rsidTr="00AE7EAB">
        <w:trPr>
          <w:trHeight w:val="154"/>
          <w:jc w:val="center"/>
        </w:trPr>
        <w:tc>
          <w:tcPr>
            <w:tcW w:w="2447" w:type="dxa"/>
          </w:tcPr>
          <w:p w14:paraId="5839E08F" w14:textId="550CFB38" w:rsidR="00AE7EAB" w:rsidRPr="00096333" w:rsidRDefault="0062003D" w:rsidP="00294CD0">
            <w:pPr>
              <w:jc w:val="center"/>
              <w:rPr>
                <w:rFonts w:ascii="Segoe UI" w:hAnsi="Segoe UI" w:cs="Segoe UI"/>
                <w:sz w:val="20"/>
                <w:szCs w:val="20"/>
              </w:rPr>
            </w:pPr>
            <w:r>
              <w:rPr>
                <w:rFonts w:ascii="Segoe UI" w:hAnsi="Segoe UI" w:cs="Segoe UI"/>
                <w:sz w:val="20"/>
                <w:szCs w:val="20"/>
              </w:rPr>
              <w:t>Machines diverses</w:t>
            </w:r>
          </w:p>
        </w:tc>
        <w:tc>
          <w:tcPr>
            <w:tcW w:w="976" w:type="dxa"/>
          </w:tcPr>
          <w:p w14:paraId="3F68AC49" w14:textId="1418E61C" w:rsidR="00AE7EAB" w:rsidRPr="00096333" w:rsidRDefault="0062003D" w:rsidP="00294CD0">
            <w:pPr>
              <w:jc w:val="center"/>
              <w:rPr>
                <w:rFonts w:ascii="Segoe UI" w:hAnsi="Segoe UI" w:cs="Segoe UI"/>
                <w:sz w:val="20"/>
                <w:szCs w:val="20"/>
              </w:rPr>
            </w:pPr>
            <w:r>
              <w:rPr>
                <w:rFonts w:ascii="Segoe UI" w:hAnsi="Segoe UI" w:cs="Segoe UI"/>
                <w:sz w:val="20"/>
                <w:szCs w:val="20"/>
              </w:rPr>
              <w:t>7,7%</w:t>
            </w:r>
          </w:p>
        </w:tc>
        <w:tc>
          <w:tcPr>
            <w:tcW w:w="2313" w:type="dxa"/>
          </w:tcPr>
          <w:p w14:paraId="5D173DEA" w14:textId="16383E77" w:rsidR="00AE7EAB" w:rsidRPr="00096333" w:rsidRDefault="00AE7EAB" w:rsidP="00294CD0">
            <w:pPr>
              <w:jc w:val="center"/>
              <w:rPr>
                <w:rFonts w:ascii="Segoe UI" w:hAnsi="Segoe UI" w:cs="Segoe UI"/>
                <w:sz w:val="20"/>
                <w:szCs w:val="20"/>
              </w:rPr>
            </w:pPr>
          </w:p>
        </w:tc>
        <w:tc>
          <w:tcPr>
            <w:tcW w:w="1062" w:type="dxa"/>
          </w:tcPr>
          <w:p w14:paraId="5FAF1EB6" w14:textId="06C1227E" w:rsidR="00AE7EAB" w:rsidRPr="00096333" w:rsidRDefault="00AE7EAB" w:rsidP="00294CD0">
            <w:pPr>
              <w:jc w:val="center"/>
              <w:rPr>
                <w:rFonts w:ascii="Segoe UI" w:hAnsi="Segoe UI" w:cs="Segoe UI"/>
                <w:sz w:val="20"/>
                <w:szCs w:val="20"/>
              </w:rPr>
            </w:pPr>
          </w:p>
        </w:tc>
      </w:tr>
    </w:tbl>
    <w:p w14:paraId="4AB6049F" w14:textId="77777777" w:rsidR="00096333" w:rsidRPr="00096333" w:rsidRDefault="00096333" w:rsidP="00096333">
      <w:pPr>
        <w:spacing w:before="120" w:after="0"/>
        <w:rPr>
          <w:rFonts w:ascii="Segoe UI" w:hAnsi="Segoe UI" w:cs="Segoe UI"/>
          <w:b/>
          <w:sz w:val="20"/>
          <w:szCs w:val="20"/>
        </w:rPr>
      </w:pPr>
    </w:p>
    <w:sectPr w:rsidR="00096333" w:rsidRPr="00096333" w:rsidSect="00415F39">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92A2" w14:textId="77777777" w:rsidR="00AB4780" w:rsidRDefault="00AB4780" w:rsidP="001C2361">
      <w:pPr>
        <w:spacing w:after="0" w:line="240" w:lineRule="auto"/>
      </w:pPr>
      <w:r>
        <w:separator/>
      </w:r>
    </w:p>
  </w:endnote>
  <w:endnote w:type="continuationSeparator" w:id="0">
    <w:p w14:paraId="1B6F40E3" w14:textId="77777777" w:rsidR="00AB4780" w:rsidRDefault="00AB4780"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12B0" w14:textId="77777777" w:rsidR="00AB4780" w:rsidRDefault="00AB4780" w:rsidP="001C2361">
      <w:pPr>
        <w:spacing w:after="0" w:line="240" w:lineRule="auto"/>
      </w:pPr>
      <w:r>
        <w:separator/>
      </w:r>
    </w:p>
  </w:footnote>
  <w:footnote w:type="continuationSeparator" w:id="0">
    <w:p w14:paraId="22F6DD6D" w14:textId="77777777" w:rsidR="00AB4780" w:rsidRDefault="00AB4780"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EE0"/>
    <w:multiLevelType w:val="hybridMultilevel"/>
    <w:tmpl w:val="3B42BF0A"/>
    <w:lvl w:ilvl="0" w:tplc="C152E658">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4577E0"/>
    <w:multiLevelType w:val="hybridMultilevel"/>
    <w:tmpl w:val="22BAA7EA"/>
    <w:lvl w:ilvl="0" w:tplc="57B6594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139457D1"/>
    <w:multiLevelType w:val="hybridMultilevel"/>
    <w:tmpl w:val="784C5D20"/>
    <w:lvl w:ilvl="0" w:tplc="0EF8A5D6">
      <w:start w:val="2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3122AD1"/>
    <w:multiLevelType w:val="hybridMultilevel"/>
    <w:tmpl w:val="3762F328"/>
    <w:lvl w:ilvl="0" w:tplc="FBDCF0CA">
      <w:start w:val="1"/>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7732EB"/>
    <w:multiLevelType w:val="hybridMultilevel"/>
    <w:tmpl w:val="48ECF4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9" w15:restartNumberingAfterBreak="0">
    <w:nsid w:val="77391B68"/>
    <w:multiLevelType w:val="hybridMultilevel"/>
    <w:tmpl w:val="87FC47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0"/>
  </w:num>
  <w:num w:numId="6">
    <w:abstractNumId w:val="17"/>
  </w:num>
  <w:num w:numId="7">
    <w:abstractNumId w:val="8"/>
  </w:num>
  <w:num w:numId="8">
    <w:abstractNumId w:val="7"/>
  </w:num>
  <w:num w:numId="9">
    <w:abstractNumId w:val="2"/>
  </w:num>
  <w:num w:numId="10">
    <w:abstractNumId w:val="12"/>
  </w:num>
  <w:num w:numId="11">
    <w:abstractNumId w:val="9"/>
  </w:num>
  <w:num w:numId="12">
    <w:abstractNumId w:val="1"/>
  </w:num>
  <w:num w:numId="13">
    <w:abstractNumId w:val="4"/>
  </w:num>
  <w:num w:numId="14">
    <w:abstractNumId w:val="15"/>
  </w:num>
  <w:num w:numId="15">
    <w:abstractNumId w:val="10"/>
  </w:num>
  <w:num w:numId="16">
    <w:abstractNumId w:val="3"/>
  </w:num>
  <w:num w:numId="17">
    <w:abstractNumId w:val="5"/>
  </w:num>
  <w:num w:numId="18">
    <w:abstractNumId w:val="19"/>
  </w:num>
  <w:num w:numId="19">
    <w:abstractNumId w:val="13"/>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4C1"/>
    <w:rsid w:val="00006D9E"/>
    <w:rsid w:val="00006E50"/>
    <w:rsid w:val="00011240"/>
    <w:rsid w:val="00020EE2"/>
    <w:rsid w:val="00022880"/>
    <w:rsid w:val="00022F44"/>
    <w:rsid w:val="00031533"/>
    <w:rsid w:val="00045CF8"/>
    <w:rsid w:val="00050225"/>
    <w:rsid w:val="000534EC"/>
    <w:rsid w:val="00064115"/>
    <w:rsid w:val="000676F2"/>
    <w:rsid w:val="00071F97"/>
    <w:rsid w:val="000763B3"/>
    <w:rsid w:val="00080037"/>
    <w:rsid w:val="00096333"/>
    <w:rsid w:val="00097777"/>
    <w:rsid w:val="000A1918"/>
    <w:rsid w:val="000B0835"/>
    <w:rsid w:val="000C133D"/>
    <w:rsid w:val="000C3E8F"/>
    <w:rsid w:val="000C5210"/>
    <w:rsid w:val="000C5C9A"/>
    <w:rsid w:val="000E1E2F"/>
    <w:rsid w:val="000E65E7"/>
    <w:rsid w:val="000E7793"/>
    <w:rsid w:val="000F2C4E"/>
    <w:rsid w:val="00100569"/>
    <w:rsid w:val="00100C95"/>
    <w:rsid w:val="001105E1"/>
    <w:rsid w:val="001109EF"/>
    <w:rsid w:val="00111C32"/>
    <w:rsid w:val="0012430D"/>
    <w:rsid w:val="00130344"/>
    <w:rsid w:val="00134DE8"/>
    <w:rsid w:val="001360A8"/>
    <w:rsid w:val="00147754"/>
    <w:rsid w:val="001505C0"/>
    <w:rsid w:val="00152C27"/>
    <w:rsid w:val="00172DE0"/>
    <w:rsid w:val="00175E92"/>
    <w:rsid w:val="00177794"/>
    <w:rsid w:val="00180A83"/>
    <w:rsid w:val="00184135"/>
    <w:rsid w:val="0019173B"/>
    <w:rsid w:val="0019280B"/>
    <w:rsid w:val="001972EA"/>
    <w:rsid w:val="001A1A43"/>
    <w:rsid w:val="001A1CD5"/>
    <w:rsid w:val="001A5A37"/>
    <w:rsid w:val="001B1CF0"/>
    <w:rsid w:val="001B27B9"/>
    <w:rsid w:val="001B4686"/>
    <w:rsid w:val="001C100F"/>
    <w:rsid w:val="001C2361"/>
    <w:rsid w:val="001C5F2D"/>
    <w:rsid w:val="001E4D67"/>
    <w:rsid w:val="001F235A"/>
    <w:rsid w:val="001F2D7C"/>
    <w:rsid w:val="001F4DBB"/>
    <w:rsid w:val="001F5628"/>
    <w:rsid w:val="002048B4"/>
    <w:rsid w:val="00223554"/>
    <w:rsid w:val="00225798"/>
    <w:rsid w:val="00237439"/>
    <w:rsid w:val="00246C65"/>
    <w:rsid w:val="00250F27"/>
    <w:rsid w:val="002550BB"/>
    <w:rsid w:val="00255F30"/>
    <w:rsid w:val="00257E48"/>
    <w:rsid w:val="002762C9"/>
    <w:rsid w:val="00281BCD"/>
    <w:rsid w:val="0028390D"/>
    <w:rsid w:val="002A02A2"/>
    <w:rsid w:val="002D13A2"/>
    <w:rsid w:val="002D4C04"/>
    <w:rsid w:val="002E6890"/>
    <w:rsid w:val="002E7383"/>
    <w:rsid w:val="002F210F"/>
    <w:rsid w:val="0030017B"/>
    <w:rsid w:val="00301021"/>
    <w:rsid w:val="0030148A"/>
    <w:rsid w:val="00304863"/>
    <w:rsid w:val="00313406"/>
    <w:rsid w:val="00317870"/>
    <w:rsid w:val="00323A4A"/>
    <w:rsid w:val="003257BD"/>
    <w:rsid w:val="0033036F"/>
    <w:rsid w:val="00330428"/>
    <w:rsid w:val="00331019"/>
    <w:rsid w:val="00332310"/>
    <w:rsid w:val="003339CE"/>
    <w:rsid w:val="003407BF"/>
    <w:rsid w:val="00341E94"/>
    <w:rsid w:val="00341EC1"/>
    <w:rsid w:val="00344131"/>
    <w:rsid w:val="00347F9E"/>
    <w:rsid w:val="00351E1C"/>
    <w:rsid w:val="00377143"/>
    <w:rsid w:val="00377431"/>
    <w:rsid w:val="003847EC"/>
    <w:rsid w:val="00384B3F"/>
    <w:rsid w:val="003A1D94"/>
    <w:rsid w:val="003A4872"/>
    <w:rsid w:val="003A7EB8"/>
    <w:rsid w:val="003B1A22"/>
    <w:rsid w:val="003B33D3"/>
    <w:rsid w:val="003C2F51"/>
    <w:rsid w:val="003D2AD3"/>
    <w:rsid w:val="003D5550"/>
    <w:rsid w:val="003D6537"/>
    <w:rsid w:val="0040330E"/>
    <w:rsid w:val="00406D60"/>
    <w:rsid w:val="00415F39"/>
    <w:rsid w:val="00426E12"/>
    <w:rsid w:val="004311AF"/>
    <w:rsid w:val="004372C1"/>
    <w:rsid w:val="00450D73"/>
    <w:rsid w:val="00452C51"/>
    <w:rsid w:val="00452D27"/>
    <w:rsid w:val="00457B18"/>
    <w:rsid w:val="00463378"/>
    <w:rsid w:val="00464903"/>
    <w:rsid w:val="004716CD"/>
    <w:rsid w:val="00471702"/>
    <w:rsid w:val="00472C6F"/>
    <w:rsid w:val="00490640"/>
    <w:rsid w:val="004908E5"/>
    <w:rsid w:val="00490B3C"/>
    <w:rsid w:val="004919E8"/>
    <w:rsid w:val="00496D10"/>
    <w:rsid w:val="004A28DB"/>
    <w:rsid w:val="004A4BC6"/>
    <w:rsid w:val="004B0D65"/>
    <w:rsid w:val="004C3273"/>
    <w:rsid w:val="004D444C"/>
    <w:rsid w:val="004D7C76"/>
    <w:rsid w:val="004E6C1A"/>
    <w:rsid w:val="004E6DB3"/>
    <w:rsid w:val="004E7972"/>
    <w:rsid w:val="004F211B"/>
    <w:rsid w:val="005066FB"/>
    <w:rsid w:val="005077FB"/>
    <w:rsid w:val="00532CDF"/>
    <w:rsid w:val="00532CE3"/>
    <w:rsid w:val="00533C10"/>
    <w:rsid w:val="00541AB4"/>
    <w:rsid w:val="00543CA9"/>
    <w:rsid w:val="00545FE6"/>
    <w:rsid w:val="00557E89"/>
    <w:rsid w:val="00561CC4"/>
    <w:rsid w:val="00570D3F"/>
    <w:rsid w:val="00575F99"/>
    <w:rsid w:val="005806A2"/>
    <w:rsid w:val="00581DDD"/>
    <w:rsid w:val="00584799"/>
    <w:rsid w:val="00590894"/>
    <w:rsid w:val="00591EEF"/>
    <w:rsid w:val="0059242E"/>
    <w:rsid w:val="00595003"/>
    <w:rsid w:val="005A1ECF"/>
    <w:rsid w:val="005A5D69"/>
    <w:rsid w:val="005B16AF"/>
    <w:rsid w:val="005B28D9"/>
    <w:rsid w:val="005B3D40"/>
    <w:rsid w:val="005C4075"/>
    <w:rsid w:val="005D1ACB"/>
    <w:rsid w:val="005E43A6"/>
    <w:rsid w:val="005E6FED"/>
    <w:rsid w:val="005F3966"/>
    <w:rsid w:val="005F5A24"/>
    <w:rsid w:val="005F6235"/>
    <w:rsid w:val="00610942"/>
    <w:rsid w:val="00612743"/>
    <w:rsid w:val="006139EE"/>
    <w:rsid w:val="00616EE2"/>
    <w:rsid w:val="0062003D"/>
    <w:rsid w:val="00627753"/>
    <w:rsid w:val="00632692"/>
    <w:rsid w:val="00641868"/>
    <w:rsid w:val="006477A2"/>
    <w:rsid w:val="006600F3"/>
    <w:rsid w:val="00663E46"/>
    <w:rsid w:val="006A0293"/>
    <w:rsid w:val="006A3795"/>
    <w:rsid w:val="006B18EE"/>
    <w:rsid w:val="006B4AE0"/>
    <w:rsid w:val="006B5511"/>
    <w:rsid w:val="006C68A8"/>
    <w:rsid w:val="006D209E"/>
    <w:rsid w:val="006D4D83"/>
    <w:rsid w:val="006D5874"/>
    <w:rsid w:val="006D6129"/>
    <w:rsid w:val="006E40BB"/>
    <w:rsid w:val="006E40EC"/>
    <w:rsid w:val="006E6805"/>
    <w:rsid w:val="006E6FA7"/>
    <w:rsid w:val="006F4CCE"/>
    <w:rsid w:val="006F6043"/>
    <w:rsid w:val="00706D2B"/>
    <w:rsid w:val="0071067D"/>
    <w:rsid w:val="00713D95"/>
    <w:rsid w:val="007209E2"/>
    <w:rsid w:val="007241D4"/>
    <w:rsid w:val="00727D83"/>
    <w:rsid w:val="0073197D"/>
    <w:rsid w:val="0073215D"/>
    <w:rsid w:val="0073377D"/>
    <w:rsid w:val="00733B08"/>
    <w:rsid w:val="00733CCE"/>
    <w:rsid w:val="00743DD2"/>
    <w:rsid w:val="00745853"/>
    <w:rsid w:val="00750431"/>
    <w:rsid w:val="00754E7E"/>
    <w:rsid w:val="00756A18"/>
    <w:rsid w:val="0077520D"/>
    <w:rsid w:val="00776C9A"/>
    <w:rsid w:val="00777884"/>
    <w:rsid w:val="007802BB"/>
    <w:rsid w:val="00781BFC"/>
    <w:rsid w:val="0078229D"/>
    <w:rsid w:val="007855F6"/>
    <w:rsid w:val="00786241"/>
    <w:rsid w:val="00787921"/>
    <w:rsid w:val="00791423"/>
    <w:rsid w:val="00792F3A"/>
    <w:rsid w:val="007939AE"/>
    <w:rsid w:val="007952D4"/>
    <w:rsid w:val="00797604"/>
    <w:rsid w:val="007A352F"/>
    <w:rsid w:val="007B0159"/>
    <w:rsid w:val="007B4BC5"/>
    <w:rsid w:val="007B74A6"/>
    <w:rsid w:val="007C3111"/>
    <w:rsid w:val="007E456F"/>
    <w:rsid w:val="007E50B1"/>
    <w:rsid w:val="007E6D56"/>
    <w:rsid w:val="007F4001"/>
    <w:rsid w:val="007F55EB"/>
    <w:rsid w:val="007F6278"/>
    <w:rsid w:val="007F632E"/>
    <w:rsid w:val="008029D3"/>
    <w:rsid w:val="00813098"/>
    <w:rsid w:val="00816CD2"/>
    <w:rsid w:val="00847CE8"/>
    <w:rsid w:val="008523C9"/>
    <w:rsid w:val="0086046C"/>
    <w:rsid w:val="00870973"/>
    <w:rsid w:val="00872358"/>
    <w:rsid w:val="0088232B"/>
    <w:rsid w:val="00890E59"/>
    <w:rsid w:val="008918AF"/>
    <w:rsid w:val="008924BF"/>
    <w:rsid w:val="00892CFF"/>
    <w:rsid w:val="008A299F"/>
    <w:rsid w:val="008A3AD5"/>
    <w:rsid w:val="008B697B"/>
    <w:rsid w:val="008C4F91"/>
    <w:rsid w:val="008D35EE"/>
    <w:rsid w:val="008D4440"/>
    <w:rsid w:val="008E048F"/>
    <w:rsid w:val="008E1453"/>
    <w:rsid w:val="008E1707"/>
    <w:rsid w:val="008E3942"/>
    <w:rsid w:val="008F4B4E"/>
    <w:rsid w:val="008F7A1E"/>
    <w:rsid w:val="0090340F"/>
    <w:rsid w:val="00914DC5"/>
    <w:rsid w:val="00920915"/>
    <w:rsid w:val="009210BC"/>
    <w:rsid w:val="009233E1"/>
    <w:rsid w:val="00924ECB"/>
    <w:rsid w:val="00925B2E"/>
    <w:rsid w:val="0092634F"/>
    <w:rsid w:val="00932313"/>
    <w:rsid w:val="009352D1"/>
    <w:rsid w:val="00940BCE"/>
    <w:rsid w:val="00952A36"/>
    <w:rsid w:val="009558AE"/>
    <w:rsid w:val="00957E6E"/>
    <w:rsid w:val="0096411F"/>
    <w:rsid w:val="00965841"/>
    <w:rsid w:val="0096625D"/>
    <w:rsid w:val="00967D62"/>
    <w:rsid w:val="00971B84"/>
    <w:rsid w:val="009770F2"/>
    <w:rsid w:val="00981726"/>
    <w:rsid w:val="00985384"/>
    <w:rsid w:val="009854A7"/>
    <w:rsid w:val="00985A53"/>
    <w:rsid w:val="009A226D"/>
    <w:rsid w:val="009A5CB7"/>
    <w:rsid w:val="009B0DDF"/>
    <w:rsid w:val="009B7F35"/>
    <w:rsid w:val="009D2CA8"/>
    <w:rsid w:val="009D65B6"/>
    <w:rsid w:val="009E699A"/>
    <w:rsid w:val="009F118B"/>
    <w:rsid w:val="009F1D73"/>
    <w:rsid w:val="009F2D21"/>
    <w:rsid w:val="00A0197D"/>
    <w:rsid w:val="00A073CB"/>
    <w:rsid w:val="00A0743B"/>
    <w:rsid w:val="00A164E0"/>
    <w:rsid w:val="00A16E6F"/>
    <w:rsid w:val="00A2007D"/>
    <w:rsid w:val="00A233D7"/>
    <w:rsid w:val="00A27EA0"/>
    <w:rsid w:val="00A35142"/>
    <w:rsid w:val="00A413F3"/>
    <w:rsid w:val="00A4344F"/>
    <w:rsid w:val="00A77FA9"/>
    <w:rsid w:val="00A92617"/>
    <w:rsid w:val="00AA020A"/>
    <w:rsid w:val="00AA5DA2"/>
    <w:rsid w:val="00AA684E"/>
    <w:rsid w:val="00AB3252"/>
    <w:rsid w:val="00AB4780"/>
    <w:rsid w:val="00AB48A8"/>
    <w:rsid w:val="00AC17E1"/>
    <w:rsid w:val="00AE00C8"/>
    <w:rsid w:val="00AE7EAB"/>
    <w:rsid w:val="00AF3A3B"/>
    <w:rsid w:val="00B02AE3"/>
    <w:rsid w:val="00B136F5"/>
    <w:rsid w:val="00B16C2B"/>
    <w:rsid w:val="00B30489"/>
    <w:rsid w:val="00B343C4"/>
    <w:rsid w:val="00B4148F"/>
    <w:rsid w:val="00B454D0"/>
    <w:rsid w:val="00B6555F"/>
    <w:rsid w:val="00B754E5"/>
    <w:rsid w:val="00B95CDB"/>
    <w:rsid w:val="00BA5EF8"/>
    <w:rsid w:val="00BA7283"/>
    <w:rsid w:val="00BB069D"/>
    <w:rsid w:val="00BB12C7"/>
    <w:rsid w:val="00BE0854"/>
    <w:rsid w:val="00BE7CCA"/>
    <w:rsid w:val="00BF447D"/>
    <w:rsid w:val="00BF4E9B"/>
    <w:rsid w:val="00BF7428"/>
    <w:rsid w:val="00BF7AE1"/>
    <w:rsid w:val="00C17508"/>
    <w:rsid w:val="00C264C8"/>
    <w:rsid w:val="00C26A1B"/>
    <w:rsid w:val="00C34A5E"/>
    <w:rsid w:val="00C3555F"/>
    <w:rsid w:val="00C41E6D"/>
    <w:rsid w:val="00C42AD3"/>
    <w:rsid w:val="00C45948"/>
    <w:rsid w:val="00C64272"/>
    <w:rsid w:val="00C71F7B"/>
    <w:rsid w:val="00C81E3B"/>
    <w:rsid w:val="00C9503E"/>
    <w:rsid w:val="00CA0084"/>
    <w:rsid w:val="00CA0BF9"/>
    <w:rsid w:val="00CA50BD"/>
    <w:rsid w:val="00CA5F26"/>
    <w:rsid w:val="00CB137F"/>
    <w:rsid w:val="00CB51F4"/>
    <w:rsid w:val="00CB59C8"/>
    <w:rsid w:val="00CC1270"/>
    <w:rsid w:val="00CC314E"/>
    <w:rsid w:val="00CC3768"/>
    <w:rsid w:val="00CC37AF"/>
    <w:rsid w:val="00CC60E8"/>
    <w:rsid w:val="00CD1F5E"/>
    <w:rsid w:val="00CD524A"/>
    <w:rsid w:val="00CF2A11"/>
    <w:rsid w:val="00CF49B9"/>
    <w:rsid w:val="00D047A7"/>
    <w:rsid w:val="00D11E72"/>
    <w:rsid w:val="00D13547"/>
    <w:rsid w:val="00D13EFC"/>
    <w:rsid w:val="00D21565"/>
    <w:rsid w:val="00D309B8"/>
    <w:rsid w:val="00D6187C"/>
    <w:rsid w:val="00D62BB6"/>
    <w:rsid w:val="00D647F8"/>
    <w:rsid w:val="00D75547"/>
    <w:rsid w:val="00D7794E"/>
    <w:rsid w:val="00D816A7"/>
    <w:rsid w:val="00D82E2E"/>
    <w:rsid w:val="00D84F48"/>
    <w:rsid w:val="00D8590D"/>
    <w:rsid w:val="00D87853"/>
    <w:rsid w:val="00D91814"/>
    <w:rsid w:val="00D9438C"/>
    <w:rsid w:val="00DA218D"/>
    <w:rsid w:val="00DB3A59"/>
    <w:rsid w:val="00DB3E4A"/>
    <w:rsid w:val="00DB4B5B"/>
    <w:rsid w:val="00DB784A"/>
    <w:rsid w:val="00DD38B0"/>
    <w:rsid w:val="00DD74D2"/>
    <w:rsid w:val="00DE5AE7"/>
    <w:rsid w:val="00E01524"/>
    <w:rsid w:val="00E07DE5"/>
    <w:rsid w:val="00E12D9E"/>
    <w:rsid w:val="00E17D80"/>
    <w:rsid w:val="00E2222E"/>
    <w:rsid w:val="00E23C6C"/>
    <w:rsid w:val="00E273AF"/>
    <w:rsid w:val="00E40931"/>
    <w:rsid w:val="00E55039"/>
    <w:rsid w:val="00E73D15"/>
    <w:rsid w:val="00E81403"/>
    <w:rsid w:val="00E909BE"/>
    <w:rsid w:val="00E9379E"/>
    <w:rsid w:val="00E95F3D"/>
    <w:rsid w:val="00EA31C5"/>
    <w:rsid w:val="00EB1FBA"/>
    <w:rsid w:val="00EB3A6F"/>
    <w:rsid w:val="00EC3104"/>
    <w:rsid w:val="00EC6882"/>
    <w:rsid w:val="00EC769F"/>
    <w:rsid w:val="00ED6277"/>
    <w:rsid w:val="00ED7BA8"/>
    <w:rsid w:val="00EE1318"/>
    <w:rsid w:val="00EE44FC"/>
    <w:rsid w:val="00F05AE8"/>
    <w:rsid w:val="00F063F5"/>
    <w:rsid w:val="00F15ADF"/>
    <w:rsid w:val="00F168E2"/>
    <w:rsid w:val="00F26F9A"/>
    <w:rsid w:val="00F27D42"/>
    <w:rsid w:val="00F32FC3"/>
    <w:rsid w:val="00F4255E"/>
    <w:rsid w:val="00F43D4E"/>
    <w:rsid w:val="00F44858"/>
    <w:rsid w:val="00F61170"/>
    <w:rsid w:val="00F676DD"/>
    <w:rsid w:val="00F76EDA"/>
    <w:rsid w:val="00F81282"/>
    <w:rsid w:val="00F90A47"/>
    <w:rsid w:val="00F91C9D"/>
    <w:rsid w:val="00F93864"/>
    <w:rsid w:val="00FB3378"/>
    <w:rsid w:val="00FD06D8"/>
    <w:rsid w:val="00FD6573"/>
    <w:rsid w:val="00FD7798"/>
    <w:rsid w:val="00FE0055"/>
    <w:rsid w:val="00FE0C91"/>
    <w:rsid w:val="00FE0FDC"/>
    <w:rsid w:val="00FF6802"/>
  </w:rsids>
  <m:mathPr>
    <m:mathFont m:val="Cambria Math"/>
    <m:brkBin m:val="before"/>
    <m:brkBinSub m:val="--"/>
    <m:smallFrac m:val="0"/>
    <m:dispDef/>
    <m:lMargin m:val="0"/>
    <m:rMargin m:val="0"/>
    <m:defJc m:val="centerGroup"/>
    <m:wrapIndent m:val="1440"/>
    <m:intLim m:val="subSup"/>
    <m:naryLim m:val="undOvr"/>
  </m:mathPr>
  <w:themeFontLang w:val="fr-FR"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8"/>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8"/>
    <w:rsid w:val="00745853"/>
    <w:rPr>
      <w:sz w:val="20"/>
      <w:szCs w:val="20"/>
    </w:rPr>
  </w:style>
  <w:style w:type="character" w:styleId="Appelnotedebasdep">
    <w:name w:val="footnote reference"/>
    <w:basedOn w:val="Policepardfaut"/>
    <w:uiPriority w:val="8"/>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9E699A"/>
    <w:pPr>
      <w:spacing w:before="120" w:after="0" w:line="240" w:lineRule="auto"/>
      <w:ind w:left="-284"/>
      <w:jc w:val="both"/>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9E699A"/>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qFormat/>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419593821">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pfouet\Downloads\MDV\Comex%20MV%202015-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Feuil1!$F$4</c:f>
              <c:strCache>
                <c:ptCount val="1"/>
                <c:pt idx="0">
                  <c:v>exportations (MUSD)</c:v>
                </c:pt>
              </c:strCache>
            </c:strRef>
          </c:tx>
          <c:spPr>
            <a:solidFill>
              <a:schemeClr val="accent1"/>
            </a:solidFill>
            <a:ln>
              <a:noFill/>
            </a:ln>
            <a:effectLst/>
          </c:spPr>
          <c:invertIfNegative val="0"/>
          <c:cat>
            <c:numRef>
              <c:f>Feuil1!$G$3:$P$3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Feuil1!$G$4:$P$4</c:f>
              <c:numCache>
                <c:formatCode>General</c:formatCode>
                <c:ptCount val="10"/>
                <c:pt idx="0">
                  <c:v>239.84</c:v>
                </c:pt>
                <c:pt idx="1">
                  <c:v>256.2</c:v>
                </c:pt>
                <c:pt idx="2">
                  <c:v>318.33999999999997</c:v>
                </c:pt>
                <c:pt idx="3">
                  <c:v>339.23</c:v>
                </c:pt>
                <c:pt idx="4">
                  <c:v>360.69</c:v>
                </c:pt>
                <c:pt idx="5">
                  <c:v>285.69</c:v>
                </c:pt>
                <c:pt idx="6">
                  <c:v>285.33999999999997</c:v>
                </c:pt>
                <c:pt idx="7">
                  <c:v>399.75</c:v>
                </c:pt>
                <c:pt idx="8">
                  <c:v>421.39</c:v>
                </c:pt>
                <c:pt idx="9">
                  <c:v>382.83</c:v>
                </c:pt>
              </c:numCache>
            </c:numRef>
          </c:val>
          <c:extLst>
            <c:ext xmlns:c16="http://schemas.microsoft.com/office/drawing/2014/chart" uri="{C3380CC4-5D6E-409C-BE32-E72D297353CC}">
              <c16:uniqueId val="{00000000-086F-4D9D-99BC-E5B17085C1B4}"/>
            </c:ext>
          </c:extLst>
        </c:ser>
        <c:ser>
          <c:idx val="1"/>
          <c:order val="1"/>
          <c:tx>
            <c:strRef>
              <c:f>Feuil1!$F$5</c:f>
              <c:strCache>
                <c:ptCount val="1"/>
                <c:pt idx="0">
                  <c:v>importations (MUSD)</c:v>
                </c:pt>
              </c:strCache>
            </c:strRef>
          </c:tx>
          <c:spPr>
            <a:solidFill>
              <a:schemeClr val="accent2"/>
            </a:solidFill>
            <a:ln>
              <a:noFill/>
            </a:ln>
            <a:effectLst/>
          </c:spPr>
          <c:invertIfNegative val="0"/>
          <c:cat>
            <c:numRef>
              <c:f>Feuil1!$G$3:$P$3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Feuil1!$G$5:$P$5</c:f>
              <c:numCache>
                <c:formatCode>General</c:formatCode>
                <c:ptCount val="10"/>
                <c:pt idx="0">
                  <c:v>1900</c:v>
                </c:pt>
                <c:pt idx="1">
                  <c:v>2130</c:v>
                </c:pt>
                <c:pt idx="2">
                  <c:v>2360</c:v>
                </c:pt>
                <c:pt idx="3">
                  <c:v>2960</c:v>
                </c:pt>
                <c:pt idx="4">
                  <c:v>2890</c:v>
                </c:pt>
                <c:pt idx="5">
                  <c:v>1840</c:v>
                </c:pt>
                <c:pt idx="6">
                  <c:v>2570</c:v>
                </c:pt>
                <c:pt idx="7">
                  <c:v>3520</c:v>
                </c:pt>
                <c:pt idx="8">
                  <c:v>3500</c:v>
                </c:pt>
                <c:pt idx="9">
                  <c:v>3640</c:v>
                </c:pt>
              </c:numCache>
            </c:numRef>
          </c:val>
          <c:extLst>
            <c:ext xmlns:c16="http://schemas.microsoft.com/office/drawing/2014/chart" uri="{C3380CC4-5D6E-409C-BE32-E72D297353CC}">
              <c16:uniqueId val="{00000001-086F-4D9D-99BC-E5B17085C1B4}"/>
            </c:ext>
          </c:extLst>
        </c:ser>
        <c:dLbls>
          <c:showLegendKey val="0"/>
          <c:showVal val="0"/>
          <c:showCatName val="0"/>
          <c:showSerName val="0"/>
          <c:showPercent val="0"/>
          <c:showBubbleSize val="0"/>
        </c:dLbls>
        <c:gapWidth val="219"/>
        <c:overlap val="-27"/>
        <c:axId val="1026335184"/>
        <c:axId val="1026341008"/>
      </c:barChart>
      <c:lineChart>
        <c:grouping val="standard"/>
        <c:varyColors val="0"/>
        <c:ser>
          <c:idx val="2"/>
          <c:order val="2"/>
          <c:tx>
            <c:strRef>
              <c:f>Feuil1!$F$6</c:f>
              <c:strCache>
                <c:ptCount val="1"/>
                <c:pt idx="0">
                  <c:v>solde</c:v>
                </c:pt>
              </c:strCache>
            </c:strRef>
          </c:tx>
          <c:spPr>
            <a:ln w="28575" cap="rnd">
              <a:solidFill>
                <a:schemeClr val="accent3"/>
              </a:solidFill>
              <a:round/>
            </a:ln>
            <a:effectLst/>
          </c:spPr>
          <c:marker>
            <c:symbol val="none"/>
          </c:marker>
          <c:cat>
            <c:numRef>
              <c:f>Feuil1!$G$3:$P$3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Feuil1!$G$6:$P$6</c:f>
              <c:numCache>
                <c:formatCode>General</c:formatCode>
                <c:ptCount val="10"/>
                <c:pt idx="0">
                  <c:v>-1660.16</c:v>
                </c:pt>
                <c:pt idx="1">
                  <c:v>-1873.8</c:v>
                </c:pt>
                <c:pt idx="2">
                  <c:v>-2041.66</c:v>
                </c:pt>
                <c:pt idx="3">
                  <c:v>-2620.77</c:v>
                </c:pt>
                <c:pt idx="4">
                  <c:v>-2529.31</c:v>
                </c:pt>
                <c:pt idx="5">
                  <c:v>-1554.31</c:v>
                </c:pt>
                <c:pt idx="6">
                  <c:v>-2284.66</c:v>
                </c:pt>
                <c:pt idx="7">
                  <c:v>-3120.25</c:v>
                </c:pt>
                <c:pt idx="8">
                  <c:v>-3078.61</c:v>
                </c:pt>
                <c:pt idx="9">
                  <c:v>-3257.17</c:v>
                </c:pt>
              </c:numCache>
            </c:numRef>
          </c:val>
          <c:smooth val="0"/>
          <c:extLst>
            <c:ext xmlns:c16="http://schemas.microsoft.com/office/drawing/2014/chart" uri="{C3380CC4-5D6E-409C-BE32-E72D297353CC}">
              <c16:uniqueId val="{00000002-086F-4D9D-99BC-E5B17085C1B4}"/>
            </c:ext>
          </c:extLst>
        </c:ser>
        <c:dLbls>
          <c:showLegendKey val="0"/>
          <c:showVal val="0"/>
          <c:showCatName val="0"/>
          <c:showSerName val="0"/>
          <c:showPercent val="0"/>
          <c:showBubbleSize val="0"/>
        </c:dLbls>
        <c:marker val="1"/>
        <c:smooth val="0"/>
        <c:axId val="1026335184"/>
        <c:axId val="1026341008"/>
      </c:lineChart>
      <c:catAx>
        <c:axId val="102633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26341008"/>
        <c:crosses val="autoZero"/>
        <c:auto val="1"/>
        <c:lblAlgn val="ctr"/>
        <c:lblOffset val="100"/>
        <c:noMultiLvlLbl val="0"/>
      </c:catAx>
      <c:valAx>
        <c:axId val="1026341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2633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ersonnalisé 1">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5" ma:contentTypeDescription="Crée un document." ma:contentTypeScope="" ma:versionID="58c0432a552b7b59bf5f13e9dcdb9239">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412B-BB50-4FB4-924E-7EDF645D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290ED-311A-4B61-A24D-7BFB10623FD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591F387-A7B2-412E-9121-881A526755F4}">
  <ds:schemaRefs>
    <ds:schemaRef ds:uri="http://schemas.microsoft.com/sharepoint/v3/contenttype/forms"/>
  </ds:schemaRefs>
</ds:datastoreItem>
</file>

<file path=customXml/itemProps4.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919</Words>
  <Characters>5057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FOUET Philippe</cp:lastModifiedBy>
  <cp:revision>20</cp:revision>
  <dcterms:created xsi:type="dcterms:W3CDTF">2025-04-09T12:09:00Z</dcterms:created>
  <dcterms:modified xsi:type="dcterms:W3CDTF">2025-04-23T10:25:00Z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